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12FDA" w14:textId="71D5A29F" w:rsidR="00FA7F33" w:rsidRPr="00702EA1" w:rsidRDefault="00FA7F33" w:rsidP="00FA7F33">
      <w:pPr>
        <w:pStyle w:val="Reporttitle"/>
      </w:pPr>
      <w:r>
        <w:t>Review of 3.4 GHz band spectrum licen</w:t>
      </w:r>
      <w:r w:rsidR="008719C7">
        <w:t>sing</w:t>
      </w:r>
      <w:r>
        <w:t xml:space="preserve"> technical framework</w:t>
      </w:r>
    </w:p>
    <w:p w14:paraId="39957BB6" w14:textId="77777777" w:rsidR="00FA7F33" w:rsidRPr="00702EA1" w:rsidRDefault="00FA7F33" w:rsidP="00FA7F33">
      <w:pPr>
        <w:pStyle w:val="Reportsubtitle"/>
      </w:pPr>
      <w:r>
        <w:t xml:space="preserve">3400-4000 MHz Technical Liaison Group paper </w:t>
      </w:r>
    </w:p>
    <w:p w14:paraId="36B7D3D4" w14:textId="780C06FC" w:rsidR="00FA7F33" w:rsidRPr="00702EA1" w:rsidRDefault="009D1DE5" w:rsidP="00FA7F33">
      <w:pPr>
        <w:pStyle w:val="Reportdate"/>
        <w:spacing w:after="720"/>
        <w:rPr>
          <w:rFonts w:cs="Arial"/>
        </w:rPr>
        <w:sectPr w:rsidR="00FA7F33" w:rsidRPr="00702EA1" w:rsidSect="006539E8">
          <w:headerReference w:type="default" r:id="rId12"/>
          <w:footerReference w:type="default" r:id="rId13"/>
          <w:headerReference w:type="first" r:id="rId14"/>
          <w:pgSz w:w="11906" w:h="16838" w:code="9"/>
          <w:pgMar w:top="3924" w:right="992" w:bottom="1440" w:left="1134" w:header="709" w:footer="454" w:gutter="0"/>
          <w:cols w:space="708"/>
          <w:docGrid w:linePitch="360"/>
        </w:sectPr>
      </w:pPr>
      <w:r>
        <w:t>FEBRUARY</w:t>
      </w:r>
      <w:r w:rsidR="0044543C">
        <w:t xml:space="preserve"> 2023</w:t>
      </w:r>
    </w:p>
    <w:p w14:paraId="45463645" w14:textId="77777777" w:rsidR="00FA7F33" w:rsidRPr="00702EA1" w:rsidRDefault="00FA7F33" w:rsidP="00FA7F33">
      <w:pPr>
        <w:pStyle w:val="ACMACorporateAddressHeader"/>
      </w:pPr>
      <w:r w:rsidRPr="00702EA1">
        <w:lastRenderedPageBreak/>
        <w:t>Canberra</w:t>
      </w:r>
    </w:p>
    <w:p w14:paraId="319CCF22" w14:textId="77777777" w:rsidR="00FA7F33" w:rsidRPr="00702EA1" w:rsidRDefault="00FA7F33" w:rsidP="00FA7F33">
      <w:pPr>
        <w:pStyle w:val="ACMACorporateAddresses"/>
      </w:pPr>
      <w:r w:rsidRPr="00702EA1">
        <w:t xml:space="preserve">Red Building </w:t>
      </w:r>
      <w:r w:rsidRPr="00702EA1">
        <w:br/>
        <w:t>Benjamin Offices</w:t>
      </w:r>
      <w:r w:rsidRPr="00702EA1">
        <w:br/>
        <w:t xml:space="preserve">Chan Street </w:t>
      </w:r>
      <w:r w:rsidRPr="00702EA1">
        <w:br/>
        <w:t>Belconnen ACT</w:t>
      </w:r>
    </w:p>
    <w:p w14:paraId="67C30B90" w14:textId="77777777" w:rsidR="00FA7F33" w:rsidRPr="00702EA1" w:rsidRDefault="00FA7F33" w:rsidP="00FA7F33">
      <w:pPr>
        <w:pStyle w:val="ACMACorporateAddresses"/>
      </w:pPr>
      <w:r w:rsidRPr="00702EA1">
        <w:t>PO Box 78</w:t>
      </w:r>
      <w:r w:rsidRPr="00702EA1">
        <w:br/>
        <w:t>Belconnen ACT 2616</w:t>
      </w:r>
    </w:p>
    <w:p w14:paraId="409F86B4" w14:textId="77777777" w:rsidR="00FA7F33" w:rsidRPr="00702EA1" w:rsidRDefault="00FA7F33" w:rsidP="00FA7F33">
      <w:pPr>
        <w:pStyle w:val="ACMACorporateAddresses"/>
      </w:pPr>
      <w:r w:rsidRPr="00702EA1">
        <w:t>T</w:t>
      </w:r>
      <w:r w:rsidRPr="00702EA1">
        <w:tab/>
        <w:t>+61 2 6219 5555</w:t>
      </w:r>
      <w:r w:rsidRPr="00702EA1">
        <w:br/>
        <w:t>F</w:t>
      </w:r>
      <w:r w:rsidRPr="00702EA1">
        <w:tab/>
        <w:t>+61 2 6219 5353</w:t>
      </w:r>
    </w:p>
    <w:p w14:paraId="42FF76BD" w14:textId="77777777" w:rsidR="00FA7F33" w:rsidRPr="00702EA1" w:rsidRDefault="00FA7F33" w:rsidP="00FA7F33">
      <w:pPr>
        <w:pStyle w:val="ACMACorporateAddressHeader"/>
      </w:pPr>
      <w:r w:rsidRPr="00702EA1">
        <w:t>Melbourne</w:t>
      </w:r>
    </w:p>
    <w:p w14:paraId="5D7B1836" w14:textId="77777777" w:rsidR="00FA7F33" w:rsidRPr="00702EA1" w:rsidRDefault="00FA7F33" w:rsidP="00FA7F33">
      <w:pPr>
        <w:pStyle w:val="ACMACorporateAddresses"/>
      </w:pPr>
      <w:r w:rsidRPr="00702EA1">
        <w:t xml:space="preserve">Level 32 </w:t>
      </w:r>
      <w:r w:rsidRPr="00702EA1">
        <w:br/>
        <w:t>Melbourne Central Tower</w:t>
      </w:r>
      <w:r w:rsidRPr="00702EA1">
        <w:br/>
        <w:t xml:space="preserve">360 Elizabeth Street </w:t>
      </w:r>
      <w:r w:rsidRPr="00702EA1">
        <w:br/>
        <w:t>Melbourne VIC</w:t>
      </w:r>
    </w:p>
    <w:p w14:paraId="565CAA81" w14:textId="77777777" w:rsidR="00FA7F33" w:rsidRPr="00702EA1" w:rsidRDefault="00FA7F33" w:rsidP="00FA7F33">
      <w:pPr>
        <w:pStyle w:val="ACMACorporateAddresses"/>
      </w:pPr>
      <w:r w:rsidRPr="00702EA1">
        <w:t>PO Box 13112</w:t>
      </w:r>
      <w:r w:rsidRPr="00702EA1">
        <w:br/>
        <w:t xml:space="preserve">Law Courts </w:t>
      </w:r>
      <w:r w:rsidRPr="00702EA1">
        <w:br/>
        <w:t>Melbourne VIC 8010</w:t>
      </w:r>
    </w:p>
    <w:p w14:paraId="3C05FD5E" w14:textId="77777777" w:rsidR="00FA7F33" w:rsidRPr="00702EA1" w:rsidRDefault="00FA7F33" w:rsidP="00FA7F33">
      <w:pPr>
        <w:pStyle w:val="ACMACorporateAddresses"/>
      </w:pPr>
      <w:r w:rsidRPr="00702EA1">
        <w:t>T</w:t>
      </w:r>
      <w:r w:rsidRPr="00702EA1">
        <w:tab/>
        <w:t>+61 3 9963 6800</w:t>
      </w:r>
      <w:r w:rsidRPr="00702EA1">
        <w:br/>
        <w:t>F</w:t>
      </w:r>
      <w:r w:rsidRPr="00702EA1">
        <w:tab/>
        <w:t>+61 3 9963 6899</w:t>
      </w:r>
    </w:p>
    <w:p w14:paraId="4CD5C535" w14:textId="77777777" w:rsidR="00FA7F33" w:rsidRPr="00702EA1" w:rsidRDefault="00FA7F33" w:rsidP="00FA7F33">
      <w:pPr>
        <w:pStyle w:val="ACMACorporateAddressHeader"/>
      </w:pPr>
      <w:r w:rsidRPr="00702EA1">
        <w:t>Sydney</w:t>
      </w:r>
    </w:p>
    <w:p w14:paraId="3FFB55B9" w14:textId="77777777" w:rsidR="00FA7F33" w:rsidRPr="00702EA1" w:rsidRDefault="00FA7F33" w:rsidP="00FA7F33">
      <w:pPr>
        <w:pStyle w:val="ACMACorporateAddresses"/>
      </w:pPr>
      <w:r w:rsidRPr="00702EA1">
        <w:t xml:space="preserve">Level 5 </w:t>
      </w:r>
      <w:r w:rsidRPr="00702EA1">
        <w:br/>
        <w:t>The Bay Centre</w:t>
      </w:r>
      <w:r w:rsidRPr="00702EA1">
        <w:br/>
        <w:t xml:space="preserve">65 Pirrama Road </w:t>
      </w:r>
      <w:r w:rsidRPr="00702EA1">
        <w:br/>
        <w:t>Pyrmont NSW</w:t>
      </w:r>
    </w:p>
    <w:p w14:paraId="28148163" w14:textId="77777777" w:rsidR="00FA7F33" w:rsidRPr="00702EA1" w:rsidRDefault="00FA7F33" w:rsidP="00FA7F33">
      <w:pPr>
        <w:pStyle w:val="ACMACorporateAddresses"/>
      </w:pPr>
      <w:r w:rsidRPr="00702EA1">
        <w:t>PO Box Q500</w:t>
      </w:r>
      <w:r w:rsidRPr="00702EA1">
        <w:br/>
        <w:t xml:space="preserve">Queen Victoria Building </w:t>
      </w:r>
      <w:r w:rsidRPr="00702EA1">
        <w:br/>
        <w:t>NSW 1230</w:t>
      </w:r>
    </w:p>
    <w:p w14:paraId="35B46B03" w14:textId="77777777" w:rsidR="00FA7F33" w:rsidRPr="00702EA1" w:rsidRDefault="00FA7F33" w:rsidP="00FA7F33">
      <w:pPr>
        <w:pStyle w:val="ACMACorporateAddresses"/>
      </w:pPr>
      <w:r w:rsidRPr="00702EA1">
        <w:t>T</w:t>
      </w:r>
      <w:r w:rsidRPr="00702EA1">
        <w:tab/>
        <w:t>+61 2 9334 7700</w:t>
      </w:r>
      <w:r w:rsidRPr="00702EA1">
        <w:br/>
        <w:t>F</w:t>
      </w:r>
      <w:r w:rsidRPr="00702EA1">
        <w:tab/>
        <w:t>+61 2 9334 7799</w:t>
      </w:r>
    </w:p>
    <w:p w14:paraId="657A26D5" w14:textId="77777777" w:rsidR="00FA7F33" w:rsidRPr="00702EA1" w:rsidRDefault="00FA7F33" w:rsidP="00FA7F33">
      <w:pPr>
        <w:pStyle w:val="ACMACopyrightHeader"/>
      </w:pPr>
      <w:r w:rsidRPr="00702EA1">
        <w:t>Copyright notice</w:t>
      </w:r>
    </w:p>
    <w:p w14:paraId="1A30A3EE" w14:textId="77777777" w:rsidR="00FA7F33" w:rsidRPr="00702EA1" w:rsidRDefault="00FA7F33" w:rsidP="00FA7F33">
      <w:pPr>
        <w:pStyle w:val="ACMACClogo"/>
      </w:pPr>
      <w:r w:rsidRPr="00702EA1">
        <w:rPr>
          <w:noProof/>
        </w:rPr>
        <w:drawing>
          <wp:inline distT="0" distB="0" distL="0" distR="0" wp14:anchorId="1B74FBFD" wp14:editId="71F3C830">
            <wp:extent cx="838200" cy="295275"/>
            <wp:effectExtent l="0" t="0" r="0" b="0"/>
            <wp:docPr id="1" name="Picture 1" title="Creative Commons log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5"/>
                    </pic:cNvPr>
                    <pic:cNvPicPr>
                      <a:picLocks noChangeAspect="1" noChangeArrowheads="1"/>
                    </pic:cNvPicPr>
                  </pic:nvPicPr>
                  <pic:blipFill>
                    <a:blip r:embed="rId16" cstate="print"/>
                    <a:srcRect/>
                    <a:stretch>
                      <a:fillRect/>
                    </a:stretch>
                  </pic:blipFill>
                  <pic:spPr bwMode="auto">
                    <a:xfrm>
                      <a:off x="0" y="0"/>
                      <a:ext cx="838200" cy="295275"/>
                    </a:xfrm>
                    <a:prstGeom prst="rect">
                      <a:avLst/>
                    </a:prstGeom>
                    <a:noFill/>
                  </pic:spPr>
                </pic:pic>
              </a:graphicData>
            </a:graphic>
          </wp:inline>
        </w:drawing>
      </w:r>
    </w:p>
    <w:p w14:paraId="570DA02D" w14:textId="77777777" w:rsidR="00FA7F33" w:rsidRPr="00702EA1" w:rsidRDefault="00570D92" w:rsidP="00FA7F33">
      <w:pPr>
        <w:pStyle w:val="ACMACorporateAddresses"/>
        <w:rPr>
          <w:rStyle w:val="Hyperlink"/>
        </w:rPr>
      </w:pPr>
      <w:hyperlink r:id="rId17" w:history="1">
        <w:r w:rsidR="00FA7F33" w:rsidRPr="00702EA1">
          <w:rPr>
            <w:rStyle w:val="Hyperlink"/>
          </w:rPr>
          <w:t>https://creativecommons.org/licenses/by/4.0/</w:t>
        </w:r>
      </w:hyperlink>
    </w:p>
    <w:p w14:paraId="40C6B976" w14:textId="77777777" w:rsidR="00FA7F33" w:rsidRPr="00702EA1" w:rsidRDefault="00FA7F33" w:rsidP="00FA7F33">
      <w:pPr>
        <w:pStyle w:val="ACMACorporateAddresses"/>
      </w:pPr>
      <w:r w:rsidRPr="00702EA1">
        <w:t xml:space="preserve">With the exception of coats of arms, logos, emblems, images, other third-party material or devices protected by a trademark, this content is made available under the terms of the Creative Commons Attribution 4.0 International (CC BY 4.0) licence. </w:t>
      </w:r>
    </w:p>
    <w:p w14:paraId="22C5B8EA" w14:textId="1F01203B" w:rsidR="00FA7F33" w:rsidRPr="00702EA1" w:rsidRDefault="00FA7F33" w:rsidP="00FA7F33">
      <w:pPr>
        <w:pStyle w:val="ACMACorporateAddresses"/>
      </w:pPr>
      <w:r w:rsidRPr="00702EA1">
        <w:t>We request attribution as © Commonwealth of Australia (Australian Communications and Media Authority) 202</w:t>
      </w:r>
      <w:r w:rsidR="009421CA">
        <w:t>2</w:t>
      </w:r>
      <w:r w:rsidRPr="00702EA1">
        <w:t>.</w:t>
      </w:r>
    </w:p>
    <w:p w14:paraId="1653A2B5" w14:textId="77777777" w:rsidR="00FA7F33" w:rsidRPr="00702EA1" w:rsidRDefault="00FA7F33" w:rsidP="00FA7F33">
      <w:pPr>
        <w:pStyle w:val="ACMACorporateAddresses"/>
      </w:pPr>
      <w:r w:rsidRPr="00702EA1">
        <w:t>All other rights are reserved.</w:t>
      </w:r>
    </w:p>
    <w:p w14:paraId="2195A7FD" w14:textId="77777777" w:rsidR="00FA7F33" w:rsidRPr="00702EA1" w:rsidRDefault="00FA7F33" w:rsidP="00FA7F33">
      <w:pPr>
        <w:pStyle w:val="ACMACorporateAddresses"/>
      </w:pPr>
      <w:r w:rsidRPr="00702EA1">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055A4B2A" w14:textId="77777777" w:rsidR="00FA7F33" w:rsidRPr="00702EA1" w:rsidRDefault="00FA7F33" w:rsidP="00FA7F33">
      <w:pPr>
        <w:pStyle w:val="ACMACorporateAddresses"/>
      </w:pPr>
      <w:r w:rsidRPr="00702EA1">
        <w:t>Written enquiries may be sent to:</w:t>
      </w:r>
    </w:p>
    <w:p w14:paraId="74022AD9" w14:textId="77777777" w:rsidR="00FA7F33" w:rsidRPr="00702EA1" w:rsidRDefault="00FA7F33" w:rsidP="00FA7F33">
      <w:pPr>
        <w:pStyle w:val="ACMACorporateAddresses"/>
        <w:rPr>
          <w:rStyle w:val="Hyperlink"/>
        </w:rPr>
      </w:pPr>
      <w:r w:rsidRPr="00702EA1">
        <w:t>Manager, Editorial Services</w:t>
      </w:r>
      <w:r w:rsidRPr="00702EA1">
        <w:br/>
        <w:t>PO Box 13112</w:t>
      </w:r>
      <w:r w:rsidRPr="00702EA1">
        <w:br/>
        <w:t>Law Courts</w:t>
      </w:r>
      <w:r w:rsidRPr="00702EA1">
        <w:br/>
        <w:t>Melbourne VIC 8010</w:t>
      </w:r>
      <w:r w:rsidRPr="00702EA1">
        <w:br/>
        <w:t xml:space="preserve">Email: </w:t>
      </w:r>
      <w:hyperlink r:id="rId18" w:history="1">
        <w:r w:rsidRPr="00702EA1">
          <w:rPr>
            <w:rStyle w:val="Hyperlink"/>
          </w:rPr>
          <w:t>info@acma.gov.au</w:t>
        </w:r>
      </w:hyperlink>
    </w:p>
    <w:p w14:paraId="1232C790" w14:textId="77777777" w:rsidR="00FA7F33" w:rsidRPr="00702EA1" w:rsidRDefault="00FA7F33" w:rsidP="00FA7F33">
      <w:pPr>
        <w:pStyle w:val="ACMACorporateAddresses"/>
        <w:sectPr w:rsidR="00FA7F33" w:rsidRPr="00702EA1" w:rsidSect="006539E8">
          <w:headerReference w:type="even" r:id="rId19"/>
          <w:headerReference w:type="default" r:id="rId20"/>
          <w:footerReference w:type="even" r:id="rId21"/>
          <w:footerReference w:type="default" r:id="rId22"/>
          <w:pgSz w:w="11906" w:h="16838" w:code="9"/>
          <w:pgMar w:top="3924" w:right="1797" w:bottom="697" w:left="1134" w:header="709" w:footer="119" w:gutter="0"/>
          <w:cols w:space="708"/>
          <w:docGrid w:linePitch="360"/>
        </w:sectPr>
      </w:pPr>
    </w:p>
    <w:p w14:paraId="245C7F53" w14:textId="3B10FE96" w:rsidR="00986626" w:rsidRDefault="00FA7F33">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"1-3" \h \z \t "Exec summary heading,1" </w:instrText>
      </w:r>
      <w:r>
        <w:rPr>
          <w:rFonts w:cs="Arial"/>
        </w:rPr>
        <w:fldChar w:fldCharType="separate"/>
      </w:r>
      <w:hyperlink w:anchor="_Toc126841055" w:history="1">
        <w:r w:rsidR="00986626" w:rsidRPr="00311C86">
          <w:rPr>
            <w:rStyle w:val="Hyperlink"/>
          </w:rPr>
          <w:t>Version control</w:t>
        </w:r>
        <w:r w:rsidR="00986626">
          <w:rPr>
            <w:webHidden/>
          </w:rPr>
          <w:tab/>
        </w:r>
        <w:r w:rsidR="00986626">
          <w:rPr>
            <w:webHidden/>
          </w:rPr>
          <w:fldChar w:fldCharType="begin"/>
        </w:r>
        <w:r w:rsidR="00986626">
          <w:rPr>
            <w:webHidden/>
          </w:rPr>
          <w:instrText xml:space="preserve"> PAGEREF _Toc126841055 \h </w:instrText>
        </w:r>
        <w:r w:rsidR="00986626">
          <w:rPr>
            <w:webHidden/>
          </w:rPr>
        </w:r>
        <w:r w:rsidR="00986626">
          <w:rPr>
            <w:webHidden/>
          </w:rPr>
          <w:fldChar w:fldCharType="separate"/>
        </w:r>
        <w:r w:rsidR="00986626">
          <w:rPr>
            <w:webHidden/>
          </w:rPr>
          <w:t>iii</w:t>
        </w:r>
        <w:r w:rsidR="00986626">
          <w:rPr>
            <w:webHidden/>
          </w:rPr>
          <w:fldChar w:fldCharType="end"/>
        </w:r>
      </w:hyperlink>
    </w:p>
    <w:p w14:paraId="0B8D510C" w14:textId="3CA78196" w:rsidR="00986626" w:rsidRDefault="00986626">
      <w:pPr>
        <w:pStyle w:val="TOC1"/>
        <w:rPr>
          <w:rFonts w:asciiTheme="minorHAnsi" w:eastAsiaTheme="minorEastAsia" w:hAnsiTheme="minorHAnsi" w:cstheme="minorBidi"/>
          <w:b w:val="0"/>
          <w:spacing w:val="0"/>
          <w:sz w:val="22"/>
          <w:szCs w:val="22"/>
        </w:rPr>
      </w:pPr>
      <w:hyperlink w:anchor="_Toc126841056" w:history="1">
        <w:r w:rsidRPr="00311C86">
          <w:rPr>
            <w:rStyle w:val="Hyperlink"/>
          </w:rPr>
          <w:t>Introduction</w:t>
        </w:r>
        <w:r>
          <w:rPr>
            <w:webHidden/>
          </w:rPr>
          <w:tab/>
        </w:r>
        <w:r>
          <w:rPr>
            <w:webHidden/>
          </w:rPr>
          <w:fldChar w:fldCharType="begin"/>
        </w:r>
        <w:r>
          <w:rPr>
            <w:webHidden/>
          </w:rPr>
          <w:instrText xml:space="preserve"> PAGEREF _Toc126841056 \h </w:instrText>
        </w:r>
        <w:r>
          <w:rPr>
            <w:webHidden/>
          </w:rPr>
        </w:r>
        <w:r>
          <w:rPr>
            <w:webHidden/>
          </w:rPr>
          <w:fldChar w:fldCharType="separate"/>
        </w:r>
        <w:r>
          <w:rPr>
            <w:webHidden/>
          </w:rPr>
          <w:t>4</w:t>
        </w:r>
        <w:r>
          <w:rPr>
            <w:webHidden/>
          </w:rPr>
          <w:fldChar w:fldCharType="end"/>
        </w:r>
      </w:hyperlink>
    </w:p>
    <w:p w14:paraId="476AEE2F" w14:textId="07D09873" w:rsidR="00986626" w:rsidRDefault="00986626">
      <w:pPr>
        <w:pStyle w:val="TOC2"/>
        <w:rPr>
          <w:rFonts w:asciiTheme="minorHAnsi" w:eastAsiaTheme="minorEastAsia" w:hAnsiTheme="minorHAnsi" w:cstheme="minorBidi"/>
          <w:spacing w:val="0"/>
          <w:sz w:val="22"/>
          <w:szCs w:val="22"/>
        </w:rPr>
      </w:pPr>
      <w:hyperlink w:anchor="_Toc126841057" w:history="1">
        <w:r w:rsidRPr="00311C86">
          <w:rPr>
            <w:rStyle w:val="Hyperlink"/>
          </w:rPr>
          <w:t>Planning outcomes and preliminary views across the 3400-4200 MHz frequency range</w:t>
        </w:r>
        <w:r>
          <w:rPr>
            <w:webHidden/>
          </w:rPr>
          <w:tab/>
        </w:r>
        <w:r>
          <w:rPr>
            <w:webHidden/>
          </w:rPr>
          <w:fldChar w:fldCharType="begin"/>
        </w:r>
        <w:r>
          <w:rPr>
            <w:webHidden/>
          </w:rPr>
          <w:instrText xml:space="preserve"> PAGEREF _Toc126841057 \h </w:instrText>
        </w:r>
        <w:r>
          <w:rPr>
            <w:webHidden/>
          </w:rPr>
        </w:r>
        <w:r>
          <w:rPr>
            <w:webHidden/>
          </w:rPr>
          <w:fldChar w:fldCharType="separate"/>
        </w:r>
        <w:r>
          <w:rPr>
            <w:webHidden/>
          </w:rPr>
          <w:t>5</w:t>
        </w:r>
        <w:r>
          <w:rPr>
            <w:webHidden/>
          </w:rPr>
          <w:fldChar w:fldCharType="end"/>
        </w:r>
      </w:hyperlink>
    </w:p>
    <w:p w14:paraId="6C405D15" w14:textId="23E21398" w:rsidR="00986626" w:rsidRDefault="00986626">
      <w:pPr>
        <w:pStyle w:val="TOC2"/>
        <w:rPr>
          <w:rFonts w:asciiTheme="minorHAnsi" w:eastAsiaTheme="minorEastAsia" w:hAnsiTheme="minorHAnsi" w:cstheme="minorBidi"/>
          <w:spacing w:val="0"/>
          <w:sz w:val="22"/>
          <w:szCs w:val="22"/>
        </w:rPr>
      </w:pPr>
      <w:hyperlink w:anchor="_Toc126841058" w:history="1">
        <w:r w:rsidRPr="00311C86">
          <w:rPr>
            <w:rStyle w:val="Hyperlink"/>
          </w:rPr>
          <w:t>Scope of the TLG</w:t>
        </w:r>
        <w:r>
          <w:rPr>
            <w:webHidden/>
          </w:rPr>
          <w:tab/>
        </w:r>
        <w:r>
          <w:rPr>
            <w:webHidden/>
          </w:rPr>
          <w:fldChar w:fldCharType="begin"/>
        </w:r>
        <w:r>
          <w:rPr>
            <w:webHidden/>
          </w:rPr>
          <w:instrText xml:space="preserve"> PAGEREF _Toc126841058 \h </w:instrText>
        </w:r>
        <w:r>
          <w:rPr>
            <w:webHidden/>
          </w:rPr>
        </w:r>
        <w:r>
          <w:rPr>
            <w:webHidden/>
          </w:rPr>
          <w:fldChar w:fldCharType="separate"/>
        </w:r>
        <w:r>
          <w:rPr>
            <w:webHidden/>
          </w:rPr>
          <w:t>5</w:t>
        </w:r>
        <w:r>
          <w:rPr>
            <w:webHidden/>
          </w:rPr>
          <w:fldChar w:fldCharType="end"/>
        </w:r>
      </w:hyperlink>
    </w:p>
    <w:p w14:paraId="7C3FF0ED" w14:textId="6D593623" w:rsidR="00986626" w:rsidRDefault="00986626">
      <w:pPr>
        <w:pStyle w:val="TOC2"/>
        <w:rPr>
          <w:rFonts w:asciiTheme="minorHAnsi" w:eastAsiaTheme="minorEastAsia" w:hAnsiTheme="minorHAnsi" w:cstheme="minorBidi"/>
          <w:spacing w:val="0"/>
          <w:sz w:val="22"/>
          <w:szCs w:val="22"/>
        </w:rPr>
      </w:pPr>
      <w:hyperlink w:anchor="_Toc126841059" w:history="1">
        <w:r w:rsidRPr="00311C86">
          <w:rPr>
            <w:rStyle w:val="Hyperlink"/>
          </w:rPr>
          <w:t>Revised focus of the TLG</w:t>
        </w:r>
        <w:r>
          <w:rPr>
            <w:webHidden/>
          </w:rPr>
          <w:tab/>
        </w:r>
        <w:r>
          <w:rPr>
            <w:webHidden/>
          </w:rPr>
          <w:fldChar w:fldCharType="begin"/>
        </w:r>
        <w:r>
          <w:rPr>
            <w:webHidden/>
          </w:rPr>
          <w:instrText xml:space="preserve"> PAGEREF _Toc126841059 \h </w:instrText>
        </w:r>
        <w:r>
          <w:rPr>
            <w:webHidden/>
          </w:rPr>
        </w:r>
        <w:r>
          <w:rPr>
            <w:webHidden/>
          </w:rPr>
          <w:fldChar w:fldCharType="separate"/>
        </w:r>
        <w:r>
          <w:rPr>
            <w:webHidden/>
          </w:rPr>
          <w:t>6</w:t>
        </w:r>
        <w:r>
          <w:rPr>
            <w:webHidden/>
          </w:rPr>
          <w:fldChar w:fldCharType="end"/>
        </w:r>
      </w:hyperlink>
    </w:p>
    <w:p w14:paraId="3C0AAF81" w14:textId="5B4F24A3" w:rsidR="00986626" w:rsidRDefault="00986626">
      <w:pPr>
        <w:pStyle w:val="TOC2"/>
        <w:rPr>
          <w:rFonts w:asciiTheme="minorHAnsi" w:eastAsiaTheme="minorEastAsia" w:hAnsiTheme="minorHAnsi" w:cstheme="minorBidi"/>
          <w:spacing w:val="0"/>
          <w:sz w:val="22"/>
          <w:szCs w:val="22"/>
        </w:rPr>
      </w:pPr>
      <w:hyperlink w:anchor="_Toc126841060" w:history="1">
        <w:r w:rsidRPr="00311C86">
          <w:rPr>
            <w:rStyle w:val="Hyperlink"/>
          </w:rPr>
          <w:t>Legal Review</w:t>
        </w:r>
        <w:r>
          <w:rPr>
            <w:webHidden/>
          </w:rPr>
          <w:tab/>
        </w:r>
        <w:r>
          <w:rPr>
            <w:webHidden/>
          </w:rPr>
          <w:fldChar w:fldCharType="begin"/>
        </w:r>
        <w:r>
          <w:rPr>
            <w:webHidden/>
          </w:rPr>
          <w:instrText xml:space="preserve"> PAGEREF _Toc126841060 \h </w:instrText>
        </w:r>
        <w:r>
          <w:rPr>
            <w:webHidden/>
          </w:rPr>
        </w:r>
        <w:r>
          <w:rPr>
            <w:webHidden/>
          </w:rPr>
          <w:fldChar w:fldCharType="separate"/>
        </w:r>
        <w:r>
          <w:rPr>
            <w:webHidden/>
          </w:rPr>
          <w:t>7</w:t>
        </w:r>
        <w:r>
          <w:rPr>
            <w:webHidden/>
          </w:rPr>
          <w:fldChar w:fldCharType="end"/>
        </w:r>
      </w:hyperlink>
    </w:p>
    <w:p w14:paraId="00FBC800" w14:textId="3F95A19A" w:rsidR="00986626" w:rsidRDefault="00986626">
      <w:pPr>
        <w:pStyle w:val="TOC1"/>
        <w:rPr>
          <w:rFonts w:asciiTheme="minorHAnsi" w:eastAsiaTheme="minorEastAsia" w:hAnsiTheme="minorHAnsi" w:cstheme="minorBidi"/>
          <w:b w:val="0"/>
          <w:spacing w:val="0"/>
          <w:sz w:val="22"/>
          <w:szCs w:val="22"/>
        </w:rPr>
      </w:pPr>
      <w:hyperlink w:anchor="_Toc126841061" w:history="1">
        <w:r w:rsidRPr="00311C86">
          <w:rPr>
            <w:rStyle w:val="Hyperlink"/>
          </w:rPr>
          <w:t>Outline of paper</w:t>
        </w:r>
        <w:r>
          <w:rPr>
            <w:webHidden/>
          </w:rPr>
          <w:tab/>
        </w:r>
        <w:r>
          <w:rPr>
            <w:webHidden/>
          </w:rPr>
          <w:fldChar w:fldCharType="begin"/>
        </w:r>
        <w:r>
          <w:rPr>
            <w:webHidden/>
          </w:rPr>
          <w:instrText xml:space="preserve"> PAGEREF _Toc126841061 \h </w:instrText>
        </w:r>
        <w:r>
          <w:rPr>
            <w:webHidden/>
          </w:rPr>
        </w:r>
        <w:r>
          <w:rPr>
            <w:webHidden/>
          </w:rPr>
          <w:fldChar w:fldCharType="separate"/>
        </w:r>
        <w:r>
          <w:rPr>
            <w:webHidden/>
          </w:rPr>
          <w:t>8</w:t>
        </w:r>
        <w:r>
          <w:rPr>
            <w:webHidden/>
          </w:rPr>
          <w:fldChar w:fldCharType="end"/>
        </w:r>
      </w:hyperlink>
    </w:p>
    <w:p w14:paraId="56345D33" w14:textId="7F5AC13F" w:rsidR="00986626" w:rsidRDefault="00986626">
      <w:pPr>
        <w:pStyle w:val="TOC2"/>
        <w:rPr>
          <w:rFonts w:asciiTheme="minorHAnsi" w:eastAsiaTheme="minorEastAsia" w:hAnsiTheme="minorHAnsi" w:cstheme="minorBidi"/>
          <w:spacing w:val="0"/>
          <w:sz w:val="22"/>
          <w:szCs w:val="22"/>
        </w:rPr>
      </w:pPr>
      <w:hyperlink w:anchor="_Toc126841062" w:history="1">
        <w:r w:rsidRPr="00311C86">
          <w:rPr>
            <w:rStyle w:val="Hyperlink"/>
          </w:rPr>
          <w:t>Timeline</w:t>
        </w:r>
        <w:r>
          <w:rPr>
            <w:webHidden/>
          </w:rPr>
          <w:tab/>
        </w:r>
        <w:r>
          <w:rPr>
            <w:webHidden/>
          </w:rPr>
          <w:fldChar w:fldCharType="begin"/>
        </w:r>
        <w:r>
          <w:rPr>
            <w:webHidden/>
          </w:rPr>
          <w:instrText xml:space="preserve"> PAGEREF _Toc126841062 \h </w:instrText>
        </w:r>
        <w:r>
          <w:rPr>
            <w:webHidden/>
          </w:rPr>
        </w:r>
        <w:r>
          <w:rPr>
            <w:webHidden/>
          </w:rPr>
          <w:fldChar w:fldCharType="separate"/>
        </w:r>
        <w:r>
          <w:rPr>
            <w:webHidden/>
          </w:rPr>
          <w:t>8</w:t>
        </w:r>
        <w:r>
          <w:rPr>
            <w:webHidden/>
          </w:rPr>
          <w:fldChar w:fldCharType="end"/>
        </w:r>
      </w:hyperlink>
    </w:p>
    <w:p w14:paraId="31E84605" w14:textId="043CA8BC" w:rsidR="00986626" w:rsidRDefault="00986626">
      <w:pPr>
        <w:pStyle w:val="TOC1"/>
        <w:rPr>
          <w:rFonts w:asciiTheme="minorHAnsi" w:eastAsiaTheme="minorEastAsia" w:hAnsiTheme="minorHAnsi" w:cstheme="minorBidi"/>
          <w:b w:val="0"/>
          <w:spacing w:val="0"/>
          <w:sz w:val="22"/>
          <w:szCs w:val="22"/>
        </w:rPr>
      </w:pPr>
      <w:hyperlink w:anchor="_Toc126841063" w:history="1">
        <w:r w:rsidRPr="00311C86">
          <w:rPr>
            <w:rStyle w:val="Hyperlink"/>
          </w:rPr>
          <w:t>Coexistence between WBB and aeronautical radionavigation services</w:t>
        </w:r>
        <w:r>
          <w:rPr>
            <w:webHidden/>
          </w:rPr>
          <w:tab/>
        </w:r>
        <w:r>
          <w:rPr>
            <w:webHidden/>
          </w:rPr>
          <w:fldChar w:fldCharType="begin"/>
        </w:r>
        <w:r>
          <w:rPr>
            <w:webHidden/>
          </w:rPr>
          <w:instrText xml:space="preserve"> PAGEREF _Toc126841063 \h </w:instrText>
        </w:r>
        <w:r>
          <w:rPr>
            <w:webHidden/>
          </w:rPr>
        </w:r>
        <w:r>
          <w:rPr>
            <w:webHidden/>
          </w:rPr>
          <w:fldChar w:fldCharType="separate"/>
        </w:r>
        <w:r>
          <w:rPr>
            <w:webHidden/>
          </w:rPr>
          <w:t>9</w:t>
        </w:r>
        <w:r>
          <w:rPr>
            <w:webHidden/>
          </w:rPr>
          <w:fldChar w:fldCharType="end"/>
        </w:r>
      </w:hyperlink>
    </w:p>
    <w:p w14:paraId="36D3009D" w14:textId="2484A44F" w:rsidR="00986626" w:rsidRDefault="00986626">
      <w:pPr>
        <w:pStyle w:val="TOC2"/>
        <w:rPr>
          <w:rFonts w:asciiTheme="minorHAnsi" w:eastAsiaTheme="minorEastAsia" w:hAnsiTheme="minorHAnsi" w:cstheme="minorBidi"/>
          <w:spacing w:val="0"/>
          <w:sz w:val="22"/>
          <w:szCs w:val="22"/>
        </w:rPr>
      </w:pPr>
      <w:hyperlink w:anchor="_Toc126841064" w:history="1">
        <w:r w:rsidRPr="00311C86">
          <w:rPr>
            <w:rStyle w:val="Hyperlink"/>
          </w:rPr>
          <w:t>Background</w:t>
        </w:r>
        <w:r>
          <w:rPr>
            <w:webHidden/>
          </w:rPr>
          <w:tab/>
        </w:r>
        <w:r>
          <w:rPr>
            <w:webHidden/>
          </w:rPr>
          <w:fldChar w:fldCharType="begin"/>
        </w:r>
        <w:r>
          <w:rPr>
            <w:webHidden/>
          </w:rPr>
          <w:instrText xml:space="preserve"> PAGEREF _Toc126841064 \h </w:instrText>
        </w:r>
        <w:r>
          <w:rPr>
            <w:webHidden/>
          </w:rPr>
        </w:r>
        <w:r>
          <w:rPr>
            <w:webHidden/>
          </w:rPr>
          <w:fldChar w:fldCharType="separate"/>
        </w:r>
        <w:r>
          <w:rPr>
            <w:webHidden/>
          </w:rPr>
          <w:t>9</w:t>
        </w:r>
        <w:r>
          <w:rPr>
            <w:webHidden/>
          </w:rPr>
          <w:fldChar w:fldCharType="end"/>
        </w:r>
      </w:hyperlink>
    </w:p>
    <w:p w14:paraId="57CB55DC" w14:textId="090BA07D" w:rsidR="00986626" w:rsidRDefault="00986626">
      <w:pPr>
        <w:pStyle w:val="TOC3"/>
        <w:rPr>
          <w:rFonts w:asciiTheme="minorHAnsi" w:eastAsiaTheme="minorEastAsia" w:hAnsiTheme="minorHAnsi" w:cstheme="minorBidi"/>
        </w:rPr>
      </w:pPr>
      <w:hyperlink w:anchor="_Toc126841065" w:history="1">
        <w:r w:rsidRPr="00311C86">
          <w:rPr>
            <w:rStyle w:val="Hyperlink"/>
          </w:rPr>
          <w:t>TLG Member Views</w:t>
        </w:r>
        <w:r>
          <w:rPr>
            <w:webHidden/>
          </w:rPr>
          <w:tab/>
        </w:r>
        <w:r>
          <w:rPr>
            <w:webHidden/>
          </w:rPr>
          <w:fldChar w:fldCharType="begin"/>
        </w:r>
        <w:r>
          <w:rPr>
            <w:webHidden/>
          </w:rPr>
          <w:instrText xml:space="preserve"> PAGEREF _Toc126841065 \h </w:instrText>
        </w:r>
        <w:r>
          <w:rPr>
            <w:webHidden/>
          </w:rPr>
        </w:r>
        <w:r>
          <w:rPr>
            <w:webHidden/>
          </w:rPr>
          <w:fldChar w:fldCharType="separate"/>
        </w:r>
        <w:r>
          <w:rPr>
            <w:webHidden/>
          </w:rPr>
          <w:t>9</w:t>
        </w:r>
        <w:r>
          <w:rPr>
            <w:webHidden/>
          </w:rPr>
          <w:fldChar w:fldCharType="end"/>
        </w:r>
      </w:hyperlink>
    </w:p>
    <w:p w14:paraId="2EA9B60F" w14:textId="0E27A816" w:rsidR="00986626" w:rsidRDefault="00986626">
      <w:pPr>
        <w:pStyle w:val="TOC3"/>
        <w:rPr>
          <w:rFonts w:asciiTheme="minorHAnsi" w:eastAsiaTheme="minorEastAsia" w:hAnsiTheme="minorHAnsi" w:cstheme="minorBidi"/>
        </w:rPr>
      </w:pPr>
      <w:hyperlink w:anchor="_Toc126841066" w:history="1">
        <w:r w:rsidRPr="00311C86">
          <w:rPr>
            <w:rStyle w:val="Hyperlink"/>
          </w:rPr>
          <w:t>200 MHz guard band permanent mitigation</w:t>
        </w:r>
        <w:r>
          <w:rPr>
            <w:webHidden/>
          </w:rPr>
          <w:tab/>
        </w:r>
        <w:r>
          <w:rPr>
            <w:webHidden/>
          </w:rPr>
          <w:fldChar w:fldCharType="begin"/>
        </w:r>
        <w:r>
          <w:rPr>
            <w:webHidden/>
          </w:rPr>
          <w:instrText xml:space="preserve"> PAGEREF _Toc126841066 \h </w:instrText>
        </w:r>
        <w:r>
          <w:rPr>
            <w:webHidden/>
          </w:rPr>
        </w:r>
        <w:r>
          <w:rPr>
            <w:webHidden/>
          </w:rPr>
          <w:fldChar w:fldCharType="separate"/>
        </w:r>
        <w:r>
          <w:rPr>
            <w:webHidden/>
          </w:rPr>
          <w:t>9</w:t>
        </w:r>
        <w:r>
          <w:rPr>
            <w:webHidden/>
          </w:rPr>
          <w:fldChar w:fldCharType="end"/>
        </w:r>
      </w:hyperlink>
    </w:p>
    <w:p w14:paraId="3FBA2ED2" w14:textId="28472D0F" w:rsidR="00986626" w:rsidRDefault="00986626">
      <w:pPr>
        <w:pStyle w:val="TOC3"/>
        <w:rPr>
          <w:rFonts w:asciiTheme="minorHAnsi" w:eastAsiaTheme="minorEastAsia" w:hAnsiTheme="minorHAnsi" w:cstheme="minorBidi"/>
        </w:rPr>
      </w:pPr>
      <w:hyperlink w:anchor="_Toc126841067" w:history="1">
        <w:r w:rsidRPr="00311C86">
          <w:rPr>
            <w:rStyle w:val="Hyperlink"/>
          </w:rPr>
          <w:t>Coordination recommendation permanent mitigation</w:t>
        </w:r>
        <w:r>
          <w:rPr>
            <w:webHidden/>
          </w:rPr>
          <w:tab/>
        </w:r>
        <w:r>
          <w:rPr>
            <w:webHidden/>
          </w:rPr>
          <w:fldChar w:fldCharType="begin"/>
        </w:r>
        <w:r>
          <w:rPr>
            <w:webHidden/>
          </w:rPr>
          <w:instrText xml:space="preserve"> PAGEREF _Toc126841067 \h </w:instrText>
        </w:r>
        <w:r>
          <w:rPr>
            <w:webHidden/>
          </w:rPr>
        </w:r>
        <w:r>
          <w:rPr>
            <w:webHidden/>
          </w:rPr>
          <w:fldChar w:fldCharType="separate"/>
        </w:r>
        <w:r>
          <w:rPr>
            <w:webHidden/>
          </w:rPr>
          <w:t>9</w:t>
        </w:r>
        <w:r>
          <w:rPr>
            <w:webHidden/>
          </w:rPr>
          <w:fldChar w:fldCharType="end"/>
        </w:r>
      </w:hyperlink>
    </w:p>
    <w:p w14:paraId="64A3122B" w14:textId="286F03E9" w:rsidR="00986626" w:rsidRDefault="00986626">
      <w:pPr>
        <w:pStyle w:val="TOC3"/>
        <w:rPr>
          <w:rFonts w:asciiTheme="minorHAnsi" w:eastAsiaTheme="minorEastAsia" w:hAnsiTheme="minorHAnsi" w:cstheme="minorBidi"/>
        </w:rPr>
      </w:pPr>
      <w:hyperlink w:anchor="_Toc126841068" w:history="1">
        <w:r w:rsidRPr="00311C86">
          <w:rPr>
            <w:rStyle w:val="Hyperlink"/>
          </w:rPr>
          <w:t>Frequency boundary for where interim specific mitigations were proposed to apply</w:t>
        </w:r>
        <w:r>
          <w:rPr>
            <w:webHidden/>
          </w:rPr>
          <w:tab/>
        </w:r>
        <w:r>
          <w:rPr>
            <w:webHidden/>
          </w:rPr>
          <w:fldChar w:fldCharType="begin"/>
        </w:r>
        <w:r>
          <w:rPr>
            <w:webHidden/>
          </w:rPr>
          <w:instrText xml:space="preserve"> PAGEREF _Toc126841068 \h </w:instrText>
        </w:r>
        <w:r>
          <w:rPr>
            <w:webHidden/>
          </w:rPr>
        </w:r>
        <w:r>
          <w:rPr>
            <w:webHidden/>
          </w:rPr>
          <w:fldChar w:fldCharType="separate"/>
        </w:r>
        <w:r>
          <w:rPr>
            <w:webHidden/>
          </w:rPr>
          <w:t>9</w:t>
        </w:r>
        <w:r>
          <w:rPr>
            <w:webHidden/>
          </w:rPr>
          <w:fldChar w:fldCharType="end"/>
        </w:r>
      </w:hyperlink>
    </w:p>
    <w:p w14:paraId="5EFCDA54" w14:textId="5B05BA41" w:rsidR="00986626" w:rsidRDefault="00986626">
      <w:pPr>
        <w:pStyle w:val="TOC3"/>
        <w:rPr>
          <w:rFonts w:asciiTheme="minorHAnsi" w:eastAsiaTheme="minorEastAsia" w:hAnsiTheme="minorHAnsi" w:cstheme="minorBidi"/>
        </w:rPr>
      </w:pPr>
      <w:hyperlink w:anchor="_Toc126841069" w:history="1">
        <w:r w:rsidRPr="00311C86">
          <w:rPr>
            <w:rStyle w:val="Hyperlink"/>
          </w:rPr>
          <w:t>Views on the specific interim mitigations proposed above 3800 MHz</w:t>
        </w:r>
        <w:r>
          <w:rPr>
            <w:webHidden/>
          </w:rPr>
          <w:tab/>
        </w:r>
        <w:r>
          <w:rPr>
            <w:webHidden/>
          </w:rPr>
          <w:fldChar w:fldCharType="begin"/>
        </w:r>
        <w:r>
          <w:rPr>
            <w:webHidden/>
          </w:rPr>
          <w:instrText xml:space="preserve"> PAGEREF _Toc126841069 \h </w:instrText>
        </w:r>
        <w:r>
          <w:rPr>
            <w:webHidden/>
          </w:rPr>
        </w:r>
        <w:r>
          <w:rPr>
            <w:webHidden/>
          </w:rPr>
          <w:fldChar w:fldCharType="separate"/>
        </w:r>
        <w:r>
          <w:rPr>
            <w:webHidden/>
          </w:rPr>
          <w:t>10</w:t>
        </w:r>
        <w:r>
          <w:rPr>
            <w:webHidden/>
          </w:rPr>
          <w:fldChar w:fldCharType="end"/>
        </w:r>
      </w:hyperlink>
    </w:p>
    <w:p w14:paraId="2550B923" w14:textId="5C9E2FE0" w:rsidR="00986626" w:rsidRDefault="00986626">
      <w:pPr>
        <w:pStyle w:val="TOC3"/>
        <w:rPr>
          <w:rFonts w:asciiTheme="minorHAnsi" w:eastAsiaTheme="minorEastAsia" w:hAnsiTheme="minorHAnsi" w:cstheme="minorBidi"/>
        </w:rPr>
      </w:pPr>
      <w:hyperlink w:anchor="_Toc126841070" w:history="1">
        <w:r w:rsidRPr="00311C86">
          <w:rPr>
            <w:rStyle w:val="Hyperlink"/>
          </w:rPr>
          <w:t>Where the temporary mitigations should apply</w:t>
        </w:r>
        <w:r>
          <w:rPr>
            <w:webHidden/>
          </w:rPr>
          <w:tab/>
        </w:r>
        <w:r>
          <w:rPr>
            <w:webHidden/>
          </w:rPr>
          <w:fldChar w:fldCharType="begin"/>
        </w:r>
        <w:r>
          <w:rPr>
            <w:webHidden/>
          </w:rPr>
          <w:instrText xml:space="preserve"> PAGEREF _Toc126841070 \h </w:instrText>
        </w:r>
        <w:r>
          <w:rPr>
            <w:webHidden/>
          </w:rPr>
        </w:r>
        <w:r>
          <w:rPr>
            <w:webHidden/>
          </w:rPr>
          <w:fldChar w:fldCharType="separate"/>
        </w:r>
        <w:r>
          <w:rPr>
            <w:webHidden/>
          </w:rPr>
          <w:t>11</w:t>
        </w:r>
        <w:r>
          <w:rPr>
            <w:webHidden/>
          </w:rPr>
          <w:fldChar w:fldCharType="end"/>
        </w:r>
      </w:hyperlink>
    </w:p>
    <w:p w14:paraId="24DB276B" w14:textId="0365A439" w:rsidR="00986626" w:rsidRDefault="00986626">
      <w:pPr>
        <w:pStyle w:val="TOC3"/>
        <w:rPr>
          <w:rFonts w:asciiTheme="minorHAnsi" w:eastAsiaTheme="minorEastAsia" w:hAnsiTheme="minorHAnsi" w:cstheme="minorBidi"/>
        </w:rPr>
      </w:pPr>
      <w:hyperlink w:anchor="_Toc126841071" w:history="1">
        <w:r w:rsidRPr="00311C86">
          <w:rPr>
            <w:rStyle w:val="Hyperlink"/>
          </w:rPr>
          <w:t>Timeframe for the temporary mitigations</w:t>
        </w:r>
        <w:r>
          <w:rPr>
            <w:webHidden/>
          </w:rPr>
          <w:tab/>
        </w:r>
        <w:r>
          <w:rPr>
            <w:webHidden/>
          </w:rPr>
          <w:fldChar w:fldCharType="begin"/>
        </w:r>
        <w:r>
          <w:rPr>
            <w:webHidden/>
          </w:rPr>
          <w:instrText xml:space="preserve"> PAGEREF _Toc126841071 \h </w:instrText>
        </w:r>
        <w:r>
          <w:rPr>
            <w:webHidden/>
          </w:rPr>
        </w:r>
        <w:r>
          <w:rPr>
            <w:webHidden/>
          </w:rPr>
          <w:fldChar w:fldCharType="separate"/>
        </w:r>
        <w:r>
          <w:rPr>
            <w:webHidden/>
          </w:rPr>
          <w:t>11</w:t>
        </w:r>
        <w:r>
          <w:rPr>
            <w:webHidden/>
          </w:rPr>
          <w:fldChar w:fldCharType="end"/>
        </w:r>
      </w:hyperlink>
    </w:p>
    <w:p w14:paraId="0683F417" w14:textId="64DC9B60" w:rsidR="00986626" w:rsidRDefault="00986626">
      <w:pPr>
        <w:pStyle w:val="TOC3"/>
        <w:rPr>
          <w:rFonts w:asciiTheme="minorHAnsi" w:eastAsiaTheme="minorEastAsia" w:hAnsiTheme="minorHAnsi" w:cstheme="minorBidi"/>
        </w:rPr>
      </w:pPr>
      <w:hyperlink w:anchor="_Toc126841072" w:history="1">
        <w:r w:rsidRPr="00311C86">
          <w:rPr>
            <w:rStyle w:val="Hyperlink"/>
          </w:rPr>
          <w:t>Other feedback</w:t>
        </w:r>
        <w:r>
          <w:rPr>
            <w:webHidden/>
          </w:rPr>
          <w:tab/>
        </w:r>
        <w:r>
          <w:rPr>
            <w:webHidden/>
          </w:rPr>
          <w:fldChar w:fldCharType="begin"/>
        </w:r>
        <w:r>
          <w:rPr>
            <w:webHidden/>
          </w:rPr>
          <w:instrText xml:space="preserve"> PAGEREF _Toc126841072 \h </w:instrText>
        </w:r>
        <w:r>
          <w:rPr>
            <w:webHidden/>
          </w:rPr>
        </w:r>
        <w:r>
          <w:rPr>
            <w:webHidden/>
          </w:rPr>
          <w:fldChar w:fldCharType="separate"/>
        </w:r>
        <w:r>
          <w:rPr>
            <w:webHidden/>
          </w:rPr>
          <w:t>11</w:t>
        </w:r>
        <w:r>
          <w:rPr>
            <w:webHidden/>
          </w:rPr>
          <w:fldChar w:fldCharType="end"/>
        </w:r>
      </w:hyperlink>
    </w:p>
    <w:p w14:paraId="0F37BD06" w14:textId="533CC501" w:rsidR="00986626" w:rsidRDefault="00986626">
      <w:pPr>
        <w:pStyle w:val="TOC1"/>
        <w:rPr>
          <w:rFonts w:asciiTheme="minorHAnsi" w:eastAsiaTheme="minorEastAsia" w:hAnsiTheme="minorHAnsi" w:cstheme="minorBidi"/>
          <w:b w:val="0"/>
          <w:spacing w:val="0"/>
          <w:sz w:val="22"/>
          <w:szCs w:val="22"/>
        </w:rPr>
      </w:pPr>
      <w:hyperlink w:anchor="_Toc126841073" w:history="1">
        <w:r w:rsidRPr="00311C86">
          <w:rPr>
            <w:rStyle w:val="Hyperlink"/>
          </w:rPr>
          <w:t>Aspects of remote AWL technical framework applicable for consideration to the spectrum licensing technical framework</w:t>
        </w:r>
        <w:r>
          <w:rPr>
            <w:webHidden/>
          </w:rPr>
          <w:tab/>
        </w:r>
        <w:r>
          <w:rPr>
            <w:webHidden/>
          </w:rPr>
          <w:fldChar w:fldCharType="begin"/>
        </w:r>
        <w:r>
          <w:rPr>
            <w:webHidden/>
          </w:rPr>
          <w:instrText xml:space="preserve"> PAGEREF _Toc126841073 \h </w:instrText>
        </w:r>
        <w:r>
          <w:rPr>
            <w:webHidden/>
          </w:rPr>
        </w:r>
        <w:r>
          <w:rPr>
            <w:webHidden/>
          </w:rPr>
          <w:fldChar w:fldCharType="separate"/>
        </w:r>
        <w:r>
          <w:rPr>
            <w:webHidden/>
          </w:rPr>
          <w:t>13</w:t>
        </w:r>
        <w:r>
          <w:rPr>
            <w:webHidden/>
          </w:rPr>
          <w:fldChar w:fldCharType="end"/>
        </w:r>
      </w:hyperlink>
    </w:p>
    <w:p w14:paraId="685B382A" w14:textId="2D29CE61" w:rsidR="00986626" w:rsidRDefault="00986626">
      <w:pPr>
        <w:pStyle w:val="TOC2"/>
        <w:rPr>
          <w:rFonts w:asciiTheme="minorHAnsi" w:eastAsiaTheme="minorEastAsia" w:hAnsiTheme="minorHAnsi" w:cstheme="minorBidi"/>
          <w:spacing w:val="0"/>
          <w:sz w:val="22"/>
          <w:szCs w:val="22"/>
        </w:rPr>
      </w:pPr>
      <w:hyperlink w:anchor="_Toc126841074" w:history="1">
        <w:r w:rsidRPr="00311C86">
          <w:rPr>
            <w:rStyle w:val="Hyperlink"/>
          </w:rPr>
          <w:t>Unwanted emission power limits</w:t>
        </w:r>
        <w:r>
          <w:rPr>
            <w:webHidden/>
          </w:rPr>
          <w:tab/>
        </w:r>
        <w:r>
          <w:rPr>
            <w:webHidden/>
          </w:rPr>
          <w:fldChar w:fldCharType="begin"/>
        </w:r>
        <w:r>
          <w:rPr>
            <w:webHidden/>
          </w:rPr>
          <w:instrText xml:space="preserve"> PAGEREF _Toc126841074 \h </w:instrText>
        </w:r>
        <w:r>
          <w:rPr>
            <w:webHidden/>
          </w:rPr>
        </w:r>
        <w:r>
          <w:rPr>
            <w:webHidden/>
          </w:rPr>
          <w:fldChar w:fldCharType="separate"/>
        </w:r>
        <w:r>
          <w:rPr>
            <w:webHidden/>
          </w:rPr>
          <w:t>13</w:t>
        </w:r>
        <w:r>
          <w:rPr>
            <w:webHidden/>
          </w:rPr>
          <w:fldChar w:fldCharType="end"/>
        </w:r>
      </w:hyperlink>
    </w:p>
    <w:p w14:paraId="0E868AD0" w14:textId="243512F4" w:rsidR="00986626" w:rsidRDefault="00986626">
      <w:pPr>
        <w:pStyle w:val="TOC3"/>
        <w:rPr>
          <w:rFonts w:asciiTheme="minorHAnsi" w:eastAsiaTheme="minorEastAsia" w:hAnsiTheme="minorHAnsi" w:cstheme="minorBidi"/>
        </w:rPr>
      </w:pPr>
      <w:hyperlink w:anchor="_Toc126841075" w:history="1">
        <w:r w:rsidRPr="00311C86">
          <w:rPr>
            <w:rStyle w:val="Hyperlink"/>
          </w:rPr>
          <w:t>TLG Member Views</w:t>
        </w:r>
        <w:r>
          <w:rPr>
            <w:webHidden/>
          </w:rPr>
          <w:tab/>
        </w:r>
        <w:r>
          <w:rPr>
            <w:webHidden/>
          </w:rPr>
          <w:fldChar w:fldCharType="begin"/>
        </w:r>
        <w:r>
          <w:rPr>
            <w:webHidden/>
          </w:rPr>
          <w:instrText xml:space="preserve"> PAGEREF _Toc126841075 \h </w:instrText>
        </w:r>
        <w:r>
          <w:rPr>
            <w:webHidden/>
          </w:rPr>
        </w:r>
        <w:r>
          <w:rPr>
            <w:webHidden/>
          </w:rPr>
          <w:fldChar w:fldCharType="separate"/>
        </w:r>
        <w:r>
          <w:rPr>
            <w:webHidden/>
          </w:rPr>
          <w:t>13</w:t>
        </w:r>
        <w:r>
          <w:rPr>
            <w:webHidden/>
          </w:rPr>
          <w:fldChar w:fldCharType="end"/>
        </w:r>
      </w:hyperlink>
    </w:p>
    <w:p w14:paraId="5A880216" w14:textId="1FFE6361" w:rsidR="00986626" w:rsidRDefault="00986626">
      <w:pPr>
        <w:pStyle w:val="TOC2"/>
        <w:rPr>
          <w:rFonts w:asciiTheme="minorHAnsi" w:eastAsiaTheme="minorEastAsia" w:hAnsiTheme="minorHAnsi" w:cstheme="minorBidi"/>
          <w:spacing w:val="0"/>
          <w:sz w:val="22"/>
          <w:szCs w:val="22"/>
        </w:rPr>
      </w:pPr>
      <w:hyperlink w:anchor="_Toc126841076" w:history="1">
        <w:r w:rsidRPr="00311C86">
          <w:rPr>
            <w:rStyle w:val="Hyperlink"/>
          </w:rPr>
          <w:t>In-band power limits</w:t>
        </w:r>
        <w:r>
          <w:rPr>
            <w:webHidden/>
          </w:rPr>
          <w:tab/>
        </w:r>
        <w:r>
          <w:rPr>
            <w:webHidden/>
          </w:rPr>
          <w:fldChar w:fldCharType="begin"/>
        </w:r>
        <w:r>
          <w:rPr>
            <w:webHidden/>
          </w:rPr>
          <w:instrText xml:space="preserve"> PAGEREF _Toc126841076 \h </w:instrText>
        </w:r>
        <w:r>
          <w:rPr>
            <w:webHidden/>
          </w:rPr>
        </w:r>
        <w:r>
          <w:rPr>
            <w:webHidden/>
          </w:rPr>
          <w:fldChar w:fldCharType="separate"/>
        </w:r>
        <w:r>
          <w:rPr>
            <w:webHidden/>
          </w:rPr>
          <w:t>13</w:t>
        </w:r>
        <w:r>
          <w:rPr>
            <w:webHidden/>
          </w:rPr>
          <w:fldChar w:fldCharType="end"/>
        </w:r>
      </w:hyperlink>
    </w:p>
    <w:p w14:paraId="2EC4EC7F" w14:textId="0F95C6E3" w:rsidR="00986626" w:rsidRDefault="00986626">
      <w:pPr>
        <w:pStyle w:val="TOC2"/>
        <w:rPr>
          <w:rFonts w:asciiTheme="minorHAnsi" w:eastAsiaTheme="minorEastAsia" w:hAnsiTheme="minorHAnsi" w:cstheme="minorBidi"/>
          <w:spacing w:val="0"/>
          <w:sz w:val="22"/>
          <w:szCs w:val="22"/>
        </w:rPr>
      </w:pPr>
      <w:hyperlink w:anchor="_Toc126841077" w:history="1">
        <w:r w:rsidRPr="00311C86">
          <w:rPr>
            <w:rStyle w:val="Hyperlink"/>
          </w:rPr>
          <w:t>Revised view about coordinating between SL and AWL WBB services</w:t>
        </w:r>
        <w:r>
          <w:rPr>
            <w:webHidden/>
          </w:rPr>
          <w:tab/>
        </w:r>
        <w:r>
          <w:rPr>
            <w:webHidden/>
          </w:rPr>
          <w:fldChar w:fldCharType="begin"/>
        </w:r>
        <w:r>
          <w:rPr>
            <w:webHidden/>
          </w:rPr>
          <w:instrText xml:space="preserve"> PAGEREF _Toc126841077 \h </w:instrText>
        </w:r>
        <w:r>
          <w:rPr>
            <w:webHidden/>
          </w:rPr>
        </w:r>
        <w:r>
          <w:rPr>
            <w:webHidden/>
          </w:rPr>
          <w:fldChar w:fldCharType="separate"/>
        </w:r>
        <w:r>
          <w:rPr>
            <w:webHidden/>
          </w:rPr>
          <w:t>13</w:t>
        </w:r>
        <w:r>
          <w:rPr>
            <w:webHidden/>
          </w:rPr>
          <w:fldChar w:fldCharType="end"/>
        </w:r>
      </w:hyperlink>
    </w:p>
    <w:p w14:paraId="53B18A32" w14:textId="3525D3E0" w:rsidR="00986626" w:rsidRDefault="00986626">
      <w:pPr>
        <w:pStyle w:val="TOC3"/>
        <w:rPr>
          <w:rFonts w:asciiTheme="minorHAnsi" w:eastAsiaTheme="minorEastAsia" w:hAnsiTheme="minorHAnsi" w:cstheme="minorBidi"/>
        </w:rPr>
      </w:pPr>
      <w:hyperlink w:anchor="_Toc126841078" w:history="1">
        <w:r w:rsidRPr="00311C86">
          <w:rPr>
            <w:rStyle w:val="Hyperlink"/>
          </w:rPr>
          <w:t>TLG Member Views</w:t>
        </w:r>
        <w:r>
          <w:rPr>
            <w:webHidden/>
          </w:rPr>
          <w:tab/>
        </w:r>
        <w:r>
          <w:rPr>
            <w:webHidden/>
          </w:rPr>
          <w:fldChar w:fldCharType="begin"/>
        </w:r>
        <w:r>
          <w:rPr>
            <w:webHidden/>
          </w:rPr>
          <w:instrText xml:space="preserve"> PAGEREF _Toc126841078 \h </w:instrText>
        </w:r>
        <w:r>
          <w:rPr>
            <w:webHidden/>
          </w:rPr>
        </w:r>
        <w:r>
          <w:rPr>
            <w:webHidden/>
          </w:rPr>
          <w:fldChar w:fldCharType="separate"/>
        </w:r>
        <w:r>
          <w:rPr>
            <w:webHidden/>
          </w:rPr>
          <w:t>14</w:t>
        </w:r>
        <w:r>
          <w:rPr>
            <w:webHidden/>
          </w:rPr>
          <w:fldChar w:fldCharType="end"/>
        </w:r>
      </w:hyperlink>
    </w:p>
    <w:p w14:paraId="5D0F73A2" w14:textId="424E1E19" w:rsidR="00986626" w:rsidRDefault="00986626">
      <w:pPr>
        <w:pStyle w:val="TOC2"/>
        <w:rPr>
          <w:rFonts w:asciiTheme="minorHAnsi" w:eastAsiaTheme="minorEastAsia" w:hAnsiTheme="minorHAnsi" w:cstheme="minorBidi"/>
          <w:spacing w:val="0"/>
          <w:sz w:val="22"/>
          <w:szCs w:val="22"/>
        </w:rPr>
      </w:pPr>
      <w:hyperlink w:anchor="_Toc126841079" w:history="1">
        <w:r w:rsidRPr="00311C86">
          <w:rPr>
            <w:rStyle w:val="Hyperlink"/>
          </w:rPr>
          <w:t>Coexistence with other WBB service types in adjacent frequency segments</w:t>
        </w:r>
        <w:r>
          <w:rPr>
            <w:webHidden/>
          </w:rPr>
          <w:tab/>
        </w:r>
        <w:r>
          <w:rPr>
            <w:webHidden/>
          </w:rPr>
          <w:fldChar w:fldCharType="begin"/>
        </w:r>
        <w:r>
          <w:rPr>
            <w:webHidden/>
          </w:rPr>
          <w:instrText xml:space="preserve"> PAGEREF _Toc126841079 \h </w:instrText>
        </w:r>
        <w:r>
          <w:rPr>
            <w:webHidden/>
          </w:rPr>
        </w:r>
        <w:r>
          <w:rPr>
            <w:webHidden/>
          </w:rPr>
          <w:fldChar w:fldCharType="separate"/>
        </w:r>
        <w:r>
          <w:rPr>
            <w:webHidden/>
          </w:rPr>
          <w:t>14</w:t>
        </w:r>
        <w:r>
          <w:rPr>
            <w:webHidden/>
          </w:rPr>
          <w:fldChar w:fldCharType="end"/>
        </w:r>
      </w:hyperlink>
    </w:p>
    <w:p w14:paraId="34D3F507" w14:textId="0C08E332" w:rsidR="00986626" w:rsidRDefault="00986626">
      <w:pPr>
        <w:pStyle w:val="TOC3"/>
        <w:rPr>
          <w:rFonts w:asciiTheme="minorHAnsi" w:eastAsiaTheme="minorEastAsia" w:hAnsiTheme="minorHAnsi" w:cstheme="minorBidi"/>
        </w:rPr>
      </w:pPr>
      <w:hyperlink w:anchor="_Toc126841080" w:history="1">
        <w:r w:rsidRPr="00311C86">
          <w:rPr>
            <w:rStyle w:val="Hyperlink"/>
          </w:rPr>
          <w:t>TLG Member Views</w:t>
        </w:r>
        <w:r>
          <w:rPr>
            <w:webHidden/>
          </w:rPr>
          <w:tab/>
        </w:r>
        <w:r>
          <w:rPr>
            <w:webHidden/>
          </w:rPr>
          <w:fldChar w:fldCharType="begin"/>
        </w:r>
        <w:r>
          <w:rPr>
            <w:webHidden/>
          </w:rPr>
          <w:instrText xml:space="preserve"> PAGEREF _Toc126841080 \h </w:instrText>
        </w:r>
        <w:r>
          <w:rPr>
            <w:webHidden/>
          </w:rPr>
        </w:r>
        <w:r>
          <w:rPr>
            <w:webHidden/>
          </w:rPr>
          <w:fldChar w:fldCharType="separate"/>
        </w:r>
        <w:r>
          <w:rPr>
            <w:webHidden/>
          </w:rPr>
          <w:t>14</w:t>
        </w:r>
        <w:r>
          <w:rPr>
            <w:webHidden/>
          </w:rPr>
          <w:fldChar w:fldCharType="end"/>
        </w:r>
      </w:hyperlink>
    </w:p>
    <w:p w14:paraId="426BEBF4" w14:textId="396BF1BF" w:rsidR="00986626" w:rsidRDefault="00986626">
      <w:pPr>
        <w:pStyle w:val="TOC2"/>
        <w:rPr>
          <w:rFonts w:asciiTheme="minorHAnsi" w:eastAsiaTheme="minorEastAsia" w:hAnsiTheme="minorHAnsi" w:cstheme="minorBidi"/>
          <w:spacing w:val="0"/>
          <w:sz w:val="22"/>
          <w:szCs w:val="22"/>
        </w:rPr>
      </w:pPr>
      <w:hyperlink w:anchor="_Toc126841081" w:history="1">
        <w:r w:rsidRPr="00311C86">
          <w:rPr>
            <w:rStyle w:val="Hyperlink"/>
          </w:rPr>
          <w:t>FSS AL receive devices operating in the 3400-4200 MHz range</w:t>
        </w:r>
        <w:r>
          <w:rPr>
            <w:webHidden/>
          </w:rPr>
          <w:tab/>
        </w:r>
        <w:r>
          <w:rPr>
            <w:webHidden/>
          </w:rPr>
          <w:fldChar w:fldCharType="begin"/>
        </w:r>
        <w:r>
          <w:rPr>
            <w:webHidden/>
          </w:rPr>
          <w:instrText xml:space="preserve"> PAGEREF _Toc126841081 \h </w:instrText>
        </w:r>
        <w:r>
          <w:rPr>
            <w:webHidden/>
          </w:rPr>
        </w:r>
        <w:r>
          <w:rPr>
            <w:webHidden/>
          </w:rPr>
          <w:fldChar w:fldCharType="separate"/>
        </w:r>
        <w:r>
          <w:rPr>
            <w:webHidden/>
          </w:rPr>
          <w:t>15</w:t>
        </w:r>
        <w:r>
          <w:rPr>
            <w:webHidden/>
          </w:rPr>
          <w:fldChar w:fldCharType="end"/>
        </w:r>
      </w:hyperlink>
    </w:p>
    <w:p w14:paraId="4147C463" w14:textId="0AAE9E55" w:rsidR="00986626" w:rsidRDefault="00986626">
      <w:pPr>
        <w:pStyle w:val="TOC3"/>
        <w:rPr>
          <w:rFonts w:asciiTheme="minorHAnsi" w:eastAsiaTheme="minorEastAsia" w:hAnsiTheme="minorHAnsi" w:cstheme="minorBidi"/>
        </w:rPr>
      </w:pPr>
      <w:hyperlink w:anchor="_Toc126841082" w:history="1">
        <w:r w:rsidRPr="00311C86">
          <w:rPr>
            <w:rStyle w:val="Hyperlink"/>
          </w:rPr>
          <w:t>TLG Member Views</w:t>
        </w:r>
        <w:r>
          <w:rPr>
            <w:webHidden/>
          </w:rPr>
          <w:tab/>
        </w:r>
        <w:r>
          <w:rPr>
            <w:webHidden/>
          </w:rPr>
          <w:fldChar w:fldCharType="begin"/>
        </w:r>
        <w:r>
          <w:rPr>
            <w:webHidden/>
          </w:rPr>
          <w:instrText xml:space="preserve"> PAGEREF _Toc126841082 \h </w:instrText>
        </w:r>
        <w:r>
          <w:rPr>
            <w:webHidden/>
          </w:rPr>
        </w:r>
        <w:r>
          <w:rPr>
            <w:webHidden/>
          </w:rPr>
          <w:fldChar w:fldCharType="separate"/>
        </w:r>
        <w:r>
          <w:rPr>
            <w:webHidden/>
          </w:rPr>
          <w:t>15</w:t>
        </w:r>
        <w:r>
          <w:rPr>
            <w:webHidden/>
          </w:rPr>
          <w:fldChar w:fldCharType="end"/>
        </w:r>
      </w:hyperlink>
    </w:p>
    <w:p w14:paraId="7945CE25" w14:textId="43AB91C4" w:rsidR="00986626" w:rsidRDefault="00986626">
      <w:pPr>
        <w:pStyle w:val="TOC2"/>
        <w:rPr>
          <w:rFonts w:asciiTheme="minorHAnsi" w:eastAsiaTheme="minorEastAsia" w:hAnsiTheme="minorHAnsi" w:cstheme="minorBidi"/>
          <w:spacing w:val="0"/>
          <w:sz w:val="22"/>
          <w:szCs w:val="22"/>
        </w:rPr>
      </w:pPr>
      <w:hyperlink w:anchor="_Toc126841083" w:history="1">
        <w:r w:rsidRPr="00311C86">
          <w:rPr>
            <w:rStyle w:val="Hyperlink"/>
          </w:rPr>
          <w:t>PMP AL receive devices operating in the 3400-3700 MHz range</w:t>
        </w:r>
        <w:r>
          <w:rPr>
            <w:webHidden/>
          </w:rPr>
          <w:tab/>
        </w:r>
        <w:r>
          <w:rPr>
            <w:webHidden/>
          </w:rPr>
          <w:fldChar w:fldCharType="begin"/>
        </w:r>
        <w:r>
          <w:rPr>
            <w:webHidden/>
          </w:rPr>
          <w:instrText xml:space="preserve"> PAGEREF _Toc126841083 \h </w:instrText>
        </w:r>
        <w:r>
          <w:rPr>
            <w:webHidden/>
          </w:rPr>
        </w:r>
        <w:r>
          <w:rPr>
            <w:webHidden/>
          </w:rPr>
          <w:fldChar w:fldCharType="separate"/>
        </w:r>
        <w:r>
          <w:rPr>
            <w:webHidden/>
          </w:rPr>
          <w:t>16</w:t>
        </w:r>
        <w:r>
          <w:rPr>
            <w:webHidden/>
          </w:rPr>
          <w:fldChar w:fldCharType="end"/>
        </w:r>
      </w:hyperlink>
    </w:p>
    <w:p w14:paraId="06026CE3" w14:textId="1EFCB266" w:rsidR="00986626" w:rsidRDefault="00986626">
      <w:pPr>
        <w:pStyle w:val="TOC3"/>
        <w:rPr>
          <w:rFonts w:asciiTheme="minorHAnsi" w:eastAsiaTheme="minorEastAsia" w:hAnsiTheme="minorHAnsi" w:cstheme="minorBidi"/>
        </w:rPr>
      </w:pPr>
      <w:hyperlink w:anchor="_Toc126841084" w:history="1">
        <w:r w:rsidRPr="00311C86">
          <w:rPr>
            <w:rStyle w:val="Hyperlink"/>
          </w:rPr>
          <w:t>TLG Member Views</w:t>
        </w:r>
        <w:r>
          <w:rPr>
            <w:webHidden/>
          </w:rPr>
          <w:tab/>
        </w:r>
        <w:r>
          <w:rPr>
            <w:webHidden/>
          </w:rPr>
          <w:fldChar w:fldCharType="begin"/>
        </w:r>
        <w:r>
          <w:rPr>
            <w:webHidden/>
          </w:rPr>
          <w:instrText xml:space="preserve"> PAGEREF _Toc126841084 \h </w:instrText>
        </w:r>
        <w:r>
          <w:rPr>
            <w:webHidden/>
          </w:rPr>
        </w:r>
        <w:r>
          <w:rPr>
            <w:webHidden/>
          </w:rPr>
          <w:fldChar w:fldCharType="separate"/>
        </w:r>
        <w:r>
          <w:rPr>
            <w:webHidden/>
          </w:rPr>
          <w:t>16</w:t>
        </w:r>
        <w:r>
          <w:rPr>
            <w:webHidden/>
          </w:rPr>
          <w:fldChar w:fldCharType="end"/>
        </w:r>
      </w:hyperlink>
    </w:p>
    <w:p w14:paraId="2617F54B" w14:textId="3E825EC0" w:rsidR="00986626" w:rsidRDefault="00986626">
      <w:pPr>
        <w:pStyle w:val="TOC2"/>
        <w:rPr>
          <w:rFonts w:asciiTheme="minorHAnsi" w:eastAsiaTheme="minorEastAsia" w:hAnsiTheme="minorHAnsi" w:cstheme="minorBidi"/>
          <w:spacing w:val="0"/>
          <w:sz w:val="22"/>
          <w:szCs w:val="22"/>
        </w:rPr>
      </w:pPr>
      <w:hyperlink w:anchor="_Toc126841085" w:history="1">
        <w:r w:rsidRPr="00311C86">
          <w:rPr>
            <w:rStyle w:val="Hyperlink"/>
          </w:rPr>
          <w:t>Coexistence with Earth Station Protection Zones (ESPZs)</w:t>
        </w:r>
        <w:r>
          <w:rPr>
            <w:webHidden/>
          </w:rPr>
          <w:tab/>
        </w:r>
        <w:r>
          <w:rPr>
            <w:webHidden/>
          </w:rPr>
          <w:fldChar w:fldCharType="begin"/>
        </w:r>
        <w:r>
          <w:rPr>
            <w:webHidden/>
          </w:rPr>
          <w:instrText xml:space="preserve"> PAGEREF _Toc126841085 \h </w:instrText>
        </w:r>
        <w:r>
          <w:rPr>
            <w:webHidden/>
          </w:rPr>
        </w:r>
        <w:r>
          <w:rPr>
            <w:webHidden/>
          </w:rPr>
          <w:fldChar w:fldCharType="separate"/>
        </w:r>
        <w:r>
          <w:rPr>
            <w:webHidden/>
          </w:rPr>
          <w:t>16</w:t>
        </w:r>
        <w:r>
          <w:rPr>
            <w:webHidden/>
          </w:rPr>
          <w:fldChar w:fldCharType="end"/>
        </w:r>
      </w:hyperlink>
    </w:p>
    <w:p w14:paraId="0029F3E6" w14:textId="743D988F" w:rsidR="00986626" w:rsidRDefault="00986626">
      <w:pPr>
        <w:pStyle w:val="TOC2"/>
        <w:rPr>
          <w:rFonts w:asciiTheme="minorHAnsi" w:eastAsiaTheme="minorEastAsia" w:hAnsiTheme="minorHAnsi" w:cstheme="minorBidi"/>
          <w:spacing w:val="0"/>
          <w:sz w:val="22"/>
          <w:szCs w:val="22"/>
        </w:rPr>
      </w:pPr>
      <w:hyperlink w:anchor="_Toc126841086" w:history="1">
        <w:r w:rsidRPr="00311C86">
          <w:rPr>
            <w:rStyle w:val="Hyperlink"/>
          </w:rPr>
          <w:t>Coexistence with the Mid West Radio Quiet Zone (RQZ)</w:t>
        </w:r>
        <w:r>
          <w:rPr>
            <w:webHidden/>
          </w:rPr>
          <w:tab/>
        </w:r>
        <w:r>
          <w:rPr>
            <w:webHidden/>
          </w:rPr>
          <w:fldChar w:fldCharType="begin"/>
        </w:r>
        <w:r>
          <w:rPr>
            <w:webHidden/>
          </w:rPr>
          <w:instrText xml:space="preserve"> PAGEREF _Toc126841086 \h </w:instrText>
        </w:r>
        <w:r>
          <w:rPr>
            <w:webHidden/>
          </w:rPr>
        </w:r>
        <w:r>
          <w:rPr>
            <w:webHidden/>
          </w:rPr>
          <w:fldChar w:fldCharType="separate"/>
        </w:r>
        <w:r>
          <w:rPr>
            <w:webHidden/>
          </w:rPr>
          <w:t>17</w:t>
        </w:r>
        <w:r>
          <w:rPr>
            <w:webHidden/>
          </w:rPr>
          <w:fldChar w:fldCharType="end"/>
        </w:r>
      </w:hyperlink>
    </w:p>
    <w:p w14:paraId="647E7420" w14:textId="2F18B0E5" w:rsidR="00986626" w:rsidRDefault="00986626">
      <w:pPr>
        <w:pStyle w:val="TOC2"/>
        <w:rPr>
          <w:rFonts w:asciiTheme="minorHAnsi" w:eastAsiaTheme="minorEastAsia" w:hAnsiTheme="minorHAnsi" w:cstheme="minorBidi"/>
          <w:spacing w:val="0"/>
          <w:sz w:val="22"/>
          <w:szCs w:val="22"/>
        </w:rPr>
      </w:pPr>
      <w:hyperlink w:anchor="_Toc126841087" w:history="1">
        <w:r w:rsidRPr="00311C86">
          <w:rPr>
            <w:rStyle w:val="Hyperlink"/>
          </w:rPr>
          <w:t>Class licensed devices</w:t>
        </w:r>
        <w:r>
          <w:rPr>
            <w:webHidden/>
          </w:rPr>
          <w:tab/>
        </w:r>
        <w:r>
          <w:rPr>
            <w:webHidden/>
          </w:rPr>
          <w:fldChar w:fldCharType="begin"/>
        </w:r>
        <w:r>
          <w:rPr>
            <w:webHidden/>
          </w:rPr>
          <w:instrText xml:space="preserve"> PAGEREF _Toc126841087 \h </w:instrText>
        </w:r>
        <w:r>
          <w:rPr>
            <w:webHidden/>
          </w:rPr>
        </w:r>
        <w:r>
          <w:rPr>
            <w:webHidden/>
          </w:rPr>
          <w:fldChar w:fldCharType="separate"/>
        </w:r>
        <w:r>
          <w:rPr>
            <w:webHidden/>
          </w:rPr>
          <w:t>17</w:t>
        </w:r>
        <w:r>
          <w:rPr>
            <w:webHidden/>
          </w:rPr>
          <w:fldChar w:fldCharType="end"/>
        </w:r>
      </w:hyperlink>
    </w:p>
    <w:p w14:paraId="6239EAF5" w14:textId="6E264EBA" w:rsidR="00986626" w:rsidRDefault="00986626">
      <w:pPr>
        <w:pStyle w:val="TOC2"/>
        <w:rPr>
          <w:rFonts w:asciiTheme="minorHAnsi" w:eastAsiaTheme="minorEastAsia" w:hAnsiTheme="minorHAnsi" w:cstheme="minorBidi"/>
          <w:spacing w:val="0"/>
          <w:sz w:val="22"/>
          <w:szCs w:val="22"/>
        </w:rPr>
      </w:pPr>
      <w:hyperlink w:anchor="_Toc126841088" w:history="1">
        <w:r w:rsidRPr="00311C86">
          <w:rPr>
            <w:rStyle w:val="Hyperlink"/>
          </w:rPr>
          <w:t>Amateur service in the 3400-3575 MHz range</w:t>
        </w:r>
        <w:r>
          <w:rPr>
            <w:webHidden/>
          </w:rPr>
          <w:tab/>
        </w:r>
        <w:r>
          <w:rPr>
            <w:webHidden/>
          </w:rPr>
          <w:fldChar w:fldCharType="begin"/>
        </w:r>
        <w:r>
          <w:rPr>
            <w:webHidden/>
          </w:rPr>
          <w:instrText xml:space="preserve"> PAGEREF _Toc126841088 \h </w:instrText>
        </w:r>
        <w:r>
          <w:rPr>
            <w:webHidden/>
          </w:rPr>
        </w:r>
        <w:r>
          <w:rPr>
            <w:webHidden/>
          </w:rPr>
          <w:fldChar w:fldCharType="separate"/>
        </w:r>
        <w:r>
          <w:rPr>
            <w:webHidden/>
          </w:rPr>
          <w:t>17</w:t>
        </w:r>
        <w:r>
          <w:rPr>
            <w:webHidden/>
          </w:rPr>
          <w:fldChar w:fldCharType="end"/>
        </w:r>
      </w:hyperlink>
    </w:p>
    <w:p w14:paraId="62F7A07A" w14:textId="4637EE61" w:rsidR="00986626" w:rsidRDefault="00986626">
      <w:pPr>
        <w:pStyle w:val="TOC3"/>
        <w:rPr>
          <w:rFonts w:asciiTheme="minorHAnsi" w:eastAsiaTheme="minorEastAsia" w:hAnsiTheme="minorHAnsi" w:cstheme="minorBidi"/>
        </w:rPr>
      </w:pPr>
      <w:hyperlink w:anchor="_Toc126841089" w:history="1">
        <w:r w:rsidRPr="00311C86">
          <w:rPr>
            <w:rStyle w:val="Hyperlink"/>
          </w:rPr>
          <w:t>Miscellaneous TLG Member Views</w:t>
        </w:r>
        <w:r>
          <w:rPr>
            <w:webHidden/>
          </w:rPr>
          <w:tab/>
        </w:r>
        <w:r>
          <w:rPr>
            <w:webHidden/>
          </w:rPr>
          <w:fldChar w:fldCharType="begin"/>
        </w:r>
        <w:r>
          <w:rPr>
            <w:webHidden/>
          </w:rPr>
          <w:instrText xml:space="preserve"> PAGEREF _Toc126841089 \h </w:instrText>
        </w:r>
        <w:r>
          <w:rPr>
            <w:webHidden/>
          </w:rPr>
        </w:r>
        <w:r>
          <w:rPr>
            <w:webHidden/>
          </w:rPr>
          <w:fldChar w:fldCharType="separate"/>
        </w:r>
        <w:r>
          <w:rPr>
            <w:webHidden/>
          </w:rPr>
          <w:t>18</w:t>
        </w:r>
        <w:r>
          <w:rPr>
            <w:webHidden/>
          </w:rPr>
          <w:fldChar w:fldCharType="end"/>
        </w:r>
      </w:hyperlink>
    </w:p>
    <w:p w14:paraId="50D4629A" w14:textId="22429E92" w:rsidR="00986626" w:rsidRDefault="00986626">
      <w:pPr>
        <w:pStyle w:val="TOC1"/>
        <w:rPr>
          <w:rFonts w:asciiTheme="minorHAnsi" w:eastAsiaTheme="minorEastAsia" w:hAnsiTheme="minorHAnsi" w:cstheme="minorBidi"/>
          <w:b w:val="0"/>
          <w:spacing w:val="0"/>
          <w:sz w:val="22"/>
          <w:szCs w:val="22"/>
        </w:rPr>
      </w:pPr>
      <w:hyperlink w:anchor="_Toc126841090" w:history="1">
        <w:r w:rsidRPr="00311C86">
          <w:rPr>
            <w:rStyle w:val="Hyperlink"/>
          </w:rPr>
          <w:t>Extended 3.4 GHz band spectrum licensing technical framework</w:t>
        </w:r>
        <w:r>
          <w:rPr>
            <w:webHidden/>
          </w:rPr>
          <w:tab/>
        </w:r>
        <w:r>
          <w:rPr>
            <w:webHidden/>
          </w:rPr>
          <w:fldChar w:fldCharType="begin"/>
        </w:r>
        <w:r>
          <w:rPr>
            <w:webHidden/>
          </w:rPr>
          <w:instrText xml:space="preserve"> PAGEREF _Toc126841090 \h </w:instrText>
        </w:r>
        <w:r>
          <w:rPr>
            <w:webHidden/>
          </w:rPr>
        </w:r>
        <w:r>
          <w:rPr>
            <w:webHidden/>
          </w:rPr>
          <w:fldChar w:fldCharType="separate"/>
        </w:r>
        <w:r>
          <w:rPr>
            <w:webHidden/>
          </w:rPr>
          <w:t>19</w:t>
        </w:r>
        <w:r>
          <w:rPr>
            <w:webHidden/>
          </w:rPr>
          <w:fldChar w:fldCharType="end"/>
        </w:r>
      </w:hyperlink>
    </w:p>
    <w:p w14:paraId="7ED79891" w14:textId="7CB2BCCD" w:rsidR="00986626" w:rsidRDefault="00986626">
      <w:pPr>
        <w:pStyle w:val="TOC2"/>
        <w:rPr>
          <w:rFonts w:asciiTheme="minorHAnsi" w:eastAsiaTheme="minorEastAsia" w:hAnsiTheme="minorHAnsi" w:cstheme="minorBidi"/>
          <w:spacing w:val="0"/>
          <w:sz w:val="22"/>
          <w:szCs w:val="22"/>
        </w:rPr>
      </w:pPr>
      <w:hyperlink w:anchor="_Toc126841091" w:history="1">
        <w:r w:rsidRPr="00311C86">
          <w:rPr>
            <w:rStyle w:val="Hyperlink"/>
          </w:rPr>
          <w:t>Background</w:t>
        </w:r>
        <w:r>
          <w:rPr>
            <w:webHidden/>
          </w:rPr>
          <w:tab/>
        </w:r>
        <w:r>
          <w:rPr>
            <w:webHidden/>
          </w:rPr>
          <w:fldChar w:fldCharType="begin"/>
        </w:r>
        <w:r>
          <w:rPr>
            <w:webHidden/>
          </w:rPr>
          <w:instrText xml:space="preserve"> PAGEREF _Toc126841091 \h </w:instrText>
        </w:r>
        <w:r>
          <w:rPr>
            <w:webHidden/>
          </w:rPr>
        </w:r>
        <w:r>
          <w:rPr>
            <w:webHidden/>
          </w:rPr>
          <w:fldChar w:fldCharType="separate"/>
        </w:r>
        <w:r>
          <w:rPr>
            <w:webHidden/>
          </w:rPr>
          <w:t>19</w:t>
        </w:r>
        <w:r>
          <w:rPr>
            <w:webHidden/>
          </w:rPr>
          <w:fldChar w:fldCharType="end"/>
        </w:r>
      </w:hyperlink>
    </w:p>
    <w:p w14:paraId="3004DEB9" w14:textId="23FA6A9E" w:rsidR="00986626" w:rsidRDefault="00986626">
      <w:pPr>
        <w:pStyle w:val="TOC2"/>
        <w:rPr>
          <w:rFonts w:asciiTheme="minorHAnsi" w:eastAsiaTheme="minorEastAsia" w:hAnsiTheme="minorHAnsi" w:cstheme="minorBidi"/>
          <w:spacing w:val="0"/>
          <w:sz w:val="22"/>
          <w:szCs w:val="22"/>
        </w:rPr>
      </w:pPr>
      <w:hyperlink w:anchor="_Toc126841092" w:history="1">
        <w:r w:rsidRPr="00311C86">
          <w:rPr>
            <w:rStyle w:val="Hyperlink"/>
          </w:rPr>
          <w:t>The existing 3.4 GHz band spectrum licensing technical framework</w:t>
        </w:r>
        <w:r>
          <w:rPr>
            <w:webHidden/>
          </w:rPr>
          <w:tab/>
        </w:r>
        <w:r>
          <w:rPr>
            <w:webHidden/>
          </w:rPr>
          <w:fldChar w:fldCharType="begin"/>
        </w:r>
        <w:r>
          <w:rPr>
            <w:webHidden/>
          </w:rPr>
          <w:instrText xml:space="preserve"> PAGEREF _Toc126841092 \h </w:instrText>
        </w:r>
        <w:r>
          <w:rPr>
            <w:webHidden/>
          </w:rPr>
        </w:r>
        <w:r>
          <w:rPr>
            <w:webHidden/>
          </w:rPr>
          <w:fldChar w:fldCharType="separate"/>
        </w:r>
        <w:r>
          <w:rPr>
            <w:webHidden/>
          </w:rPr>
          <w:t>19</w:t>
        </w:r>
        <w:r>
          <w:rPr>
            <w:webHidden/>
          </w:rPr>
          <w:fldChar w:fldCharType="end"/>
        </w:r>
      </w:hyperlink>
    </w:p>
    <w:p w14:paraId="45E13659" w14:textId="7187941E" w:rsidR="00986626" w:rsidRDefault="00986626">
      <w:pPr>
        <w:pStyle w:val="TOC2"/>
        <w:rPr>
          <w:rFonts w:asciiTheme="minorHAnsi" w:eastAsiaTheme="minorEastAsia" w:hAnsiTheme="minorHAnsi" w:cstheme="minorBidi"/>
          <w:spacing w:val="0"/>
          <w:sz w:val="22"/>
          <w:szCs w:val="22"/>
        </w:rPr>
      </w:pPr>
      <w:hyperlink w:anchor="_Toc126841093" w:history="1">
        <w:r w:rsidRPr="00311C86">
          <w:rPr>
            <w:rStyle w:val="Hyperlink"/>
          </w:rPr>
          <w:t>Conditions on the spectrum licence</w:t>
        </w:r>
        <w:r>
          <w:rPr>
            <w:webHidden/>
          </w:rPr>
          <w:tab/>
        </w:r>
        <w:r>
          <w:rPr>
            <w:webHidden/>
          </w:rPr>
          <w:fldChar w:fldCharType="begin"/>
        </w:r>
        <w:r>
          <w:rPr>
            <w:webHidden/>
          </w:rPr>
          <w:instrText xml:space="preserve"> PAGEREF _Toc126841093 \h </w:instrText>
        </w:r>
        <w:r>
          <w:rPr>
            <w:webHidden/>
          </w:rPr>
        </w:r>
        <w:r>
          <w:rPr>
            <w:webHidden/>
          </w:rPr>
          <w:fldChar w:fldCharType="separate"/>
        </w:r>
        <w:r>
          <w:rPr>
            <w:webHidden/>
          </w:rPr>
          <w:t>20</w:t>
        </w:r>
        <w:r>
          <w:rPr>
            <w:webHidden/>
          </w:rPr>
          <w:fldChar w:fldCharType="end"/>
        </w:r>
      </w:hyperlink>
    </w:p>
    <w:p w14:paraId="6BEED7AF" w14:textId="04AC5B37" w:rsidR="00986626" w:rsidRDefault="00986626">
      <w:pPr>
        <w:pStyle w:val="TOC2"/>
        <w:rPr>
          <w:rFonts w:asciiTheme="minorHAnsi" w:eastAsiaTheme="minorEastAsia" w:hAnsiTheme="minorHAnsi" w:cstheme="minorBidi"/>
          <w:spacing w:val="0"/>
          <w:sz w:val="22"/>
          <w:szCs w:val="22"/>
        </w:rPr>
      </w:pPr>
      <w:hyperlink w:anchor="_Toc126841094" w:history="1">
        <w:r w:rsidRPr="00311C86">
          <w:rPr>
            <w:rStyle w:val="Hyperlink"/>
          </w:rPr>
          <w:t>Unacceptable levels of interference</w:t>
        </w:r>
        <w:r>
          <w:rPr>
            <w:webHidden/>
          </w:rPr>
          <w:tab/>
        </w:r>
        <w:r>
          <w:rPr>
            <w:webHidden/>
          </w:rPr>
          <w:fldChar w:fldCharType="begin"/>
        </w:r>
        <w:r>
          <w:rPr>
            <w:webHidden/>
          </w:rPr>
          <w:instrText xml:space="preserve"> PAGEREF _Toc126841094 \h </w:instrText>
        </w:r>
        <w:r>
          <w:rPr>
            <w:webHidden/>
          </w:rPr>
        </w:r>
        <w:r>
          <w:rPr>
            <w:webHidden/>
          </w:rPr>
          <w:fldChar w:fldCharType="separate"/>
        </w:r>
        <w:r>
          <w:rPr>
            <w:webHidden/>
          </w:rPr>
          <w:t>20</w:t>
        </w:r>
        <w:r>
          <w:rPr>
            <w:webHidden/>
          </w:rPr>
          <w:fldChar w:fldCharType="end"/>
        </w:r>
      </w:hyperlink>
    </w:p>
    <w:p w14:paraId="44D54F3B" w14:textId="66C98BE0" w:rsidR="00986626" w:rsidRDefault="00986626">
      <w:pPr>
        <w:pStyle w:val="TOC2"/>
        <w:rPr>
          <w:rFonts w:asciiTheme="minorHAnsi" w:eastAsiaTheme="minorEastAsia" w:hAnsiTheme="minorHAnsi" w:cstheme="minorBidi"/>
          <w:spacing w:val="0"/>
          <w:sz w:val="22"/>
          <w:szCs w:val="22"/>
        </w:rPr>
      </w:pPr>
      <w:hyperlink w:anchor="_Toc126841095" w:history="1">
        <w:r w:rsidRPr="00311C86">
          <w:rPr>
            <w:rStyle w:val="Hyperlink"/>
          </w:rPr>
          <w:t>Radiocommunications advisory guidelines</w:t>
        </w:r>
        <w:r>
          <w:rPr>
            <w:webHidden/>
          </w:rPr>
          <w:tab/>
        </w:r>
        <w:r>
          <w:rPr>
            <w:webHidden/>
          </w:rPr>
          <w:fldChar w:fldCharType="begin"/>
        </w:r>
        <w:r>
          <w:rPr>
            <w:webHidden/>
          </w:rPr>
          <w:instrText xml:space="preserve"> PAGEREF _Toc126841095 \h </w:instrText>
        </w:r>
        <w:r>
          <w:rPr>
            <w:webHidden/>
          </w:rPr>
        </w:r>
        <w:r>
          <w:rPr>
            <w:webHidden/>
          </w:rPr>
          <w:fldChar w:fldCharType="separate"/>
        </w:r>
        <w:r>
          <w:rPr>
            <w:webHidden/>
          </w:rPr>
          <w:t>21</w:t>
        </w:r>
        <w:r>
          <w:rPr>
            <w:webHidden/>
          </w:rPr>
          <w:fldChar w:fldCharType="end"/>
        </w:r>
      </w:hyperlink>
    </w:p>
    <w:p w14:paraId="464D719C" w14:textId="0F156387" w:rsidR="00986626" w:rsidRDefault="00986626">
      <w:pPr>
        <w:pStyle w:val="TOC1"/>
        <w:rPr>
          <w:rFonts w:asciiTheme="minorHAnsi" w:eastAsiaTheme="minorEastAsia" w:hAnsiTheme="minorHAnsi" w:cstheme="minorBidi"/>
          <w:b w:val="0"/>
          <w:spacing w:val="0"/>
          <w:sz w:val="22"/>
          <w:szCs w:val="22"/>
        </w:rPr>
      </w:pPr>
      <w:hyperlink w:anchor="_Toc126841096" w:history="1">
        <w:r w:rsidRPr="00311C86">
          <w:rPr>
            <w:rStyle w:val="Hyperlink"/>
          </w:rPr>
          <w:t>Proposed changes to the 3.4 GHz spectrum licensing technical framework</w:t>
        </w:r>
        <w:r>
          <w:rPr>
            <w:webHidden/>
          </w:rPr>
          <w:tab/>
        </w:r>
        <w:r>
          <w:rPr>
            <w:webHidden/>
          </w:rPr>
          <w:fldChar w:fldCharType="begin"/>
        </w:r>
        <w:r>
          <w:rPr>
            <w:webHidden/>
          </w:rPr>
          <w:instrText xml:space="preserve"> PAGEREF _Toc126841096 \h </w:instrText>
        </w:r>
        <w:r>
          <w:rPr>
            <w:webHidden/>
          </w:rPr>
        </w:r>
        <w:r>
          <w:rPr>
            <w:webHidden/>
          </w:rPr>
          <w:fldChar w:fldCharType="separate"/>
        </w:r>
        <w:r>
          <w:rPr>
            <w:webHidden/>
          </w:rPr>
          <w:t>22</w:t>
        </w:r>
        <w:r>
          <w:rPr>
            <w:webHidden/>
          </w:rPr>
          <w:fldChar w:fldCharType="end"/>
        </w:r>
      </w:hyperlink>
    </w:p>
    <w:p w14:paraId="240C4C15" w14:textId="7E424D03" w:rsidR="00986626" w:rsidRDefault="00986626">
      <w:pPr>
        <w:pStyle w:val="TOC2"/>
        <w:rPr>
          <w:rFonts w:asciiTheme="minorHAnsi" w:eastAsiaTheme="minorEastAsia" w:hAnsiTheme="minorHAnsi" w:cstheme="minorBidi"/>
          <w:spacing w:val="0"/>
          <w:sz w:val="22"/>
          <w:szCs w:val="22"/>
        </w:rPr>
      </w:pPr>
      <w:hyperlink w:anchor="_Toc126841097" w:history="1">
        <w:r w:rsidRPr="00311C86">
          <w:rPr>
            <w:rStyle w:val="Hyperlink"/>
          </w:rPr>
          <w:t>Consequential changes</w:t>
        </w:r>
        <w:r>
          <w:rPr>
            <w:webHidden/>
          </w:rPr>
          <w:tab/>
        </w:r>
        <w:r>
          <w:rPr>
            <w:webHidden/>
          </w:rPr>
          <w:fldChar w:fldCharType="begin"/>
        </w:r>
        <w:r>
          <w:rPr>
            <w:webHidden/>
          </w:rPr>
          <w:instrText xml:space="preserve"> PAGEREF _Toc126841097 \h </w:instrText>
        </w:r>
        <w:r>
          <w:rPr>
            <w:webHidden/>
          </w:rPr>
        </w:r>
        <w:r>
          <w:rPr>
            <w:webHidden/>
          </w:rPr>
          <w:fldChar w:fldCharType="separate"/>
        </w:r>
        <w:r>
          <w:rPr>
            <w:webHidden/>
          </w:rPr>
          <w:t>22</w:t>
        </w:r>
        <w:r>
          <w:rPr>
            <w:webHidden/>
          </w:rPr>
          <w:fldChar w:fldCharType="end"/>
        </w:r>
      </w:hyperlink>
    </w:p>
    <w:p w14:paraId="06CF9660" w14:textId="2022B84C" w:rsidR="00986626" w:rsidRDefault="00986626">
      <w:pPr>
        <w:pStyle w:val="TOC3"/>
        <w:rPr>
          <w:rFonts w:asciiTheme="minorHAnsi" w:eastAsiaTheme="minorEastAsia" w:hAnsiTheme="minorHAnsi" w:cstheme="minorBidi"/>
        </w:rPr>
      </w:pPr>
      <w:hyperlink w:anchor="_Toc126841098" w:history="1">
        <w:r w:rsidRPr="00311C86">
          <w:rPr>
            <w:rStyle w:val="Hyperlink"/>
          </w:rPr>
          <w:t>TLG Member Views</w:t>
        </w:r>
        <w:r>
          <w:rPr>
            <w:webHidden/>
          </w:rPr>
          <w:tab/>
        </w:r>
        <w:r>
          <w:rPr>
            <w:webHidden/>
          </w:rPr>
          <w:fldChar w:fldCharType="begin"/>
        </w:r>
        <w:r>
          <w:rPr>
            <w:webHidden/>
          </w:rPr>
          <w:instrText xml:space="preserve"> PAGEREF _Toc126841098 \h </w:instrText>
        </w:r>
        <w:r>
          <w:rPr>
            <w:webHidden/>
          </w:rPr>
        </w:r>
        <w:r>
          <w:rPr>
            <w:webHidden/>
          </w:rPr>
          <w:fldChar w:fldCharType="separate"/>
        </w:r>
        <w:r>
          <w:rPr>
            <w:webHidden/>
          </w:rPr>
          <w:t>22</w:t>
        </w:r>
        <w:r>
          <w:rPr>
            <w:webHidden/>
          </w:rPr>
          <w:fldChar w:fldCharType="end"/>
        </w:r>
      </w:hyperlink>
    </w:p>
    <w:p w14:paraId="64C8A50F" w14:textId="5AA75390" w:rsidR="00986626" w:rsidRDefault="00986626">
      <w:pPr>
        <w:pStyle w:val="TOC1"/>
        <w:rPr>
          <w:rFonts w:asciiTheme="minorHAnsi" w:eastAsiaTheme="minorEastAsia" w:hAnsiTheme="minorHAnsi" w:cstheme="minorBidi"/>
          <w:b w:val="0"/>
          <w:spacing w:val="0"/>
          <w:sz w:val="22"/>
          <w:szCs w:val="22"/>
        </w:rPr>
      </w:pPr>
      <w:hyperlink w:anchor="_Toc126841099" w:history="1">
        <w:r w:rsidRPr="00311C86">
          <w:rPr>
            <w:rStyle w:val="Hyperlink"/>
          </w:rPr>
          <w:t>List of Attachments</w:t>
        </w:r>
        <w:r>
          <w:rPr>
            <w:webHidden/>
          </w:rPr>
          <w:tab/>
        </w:r>
        <w:r>
          <w:rPr>
            <w:webHidden/>
          </w:rPr>
          <w:fldChar w:fldCharType="begin"/>
        </w:r>
        <w:r>
          <w:rPr>
            <w:webHidden/>
          </w:rPr>
          <w:instrText xml:space="preserve"> PAGEREF _Toc126841099 \h </w:instrText>
        </w:r>
        <w:r>
          <w:rPr>
            <w:webHidden/>
          </w:rPr>
        </w:r>
        <w:r>
          <w:rPr>
            <w:webHidden/>
          </w:rPr>
          <w:fldChar w:fldCharType="separate"/>
        </w:r>
        <w:r>
          <w:rPr>
            <w:webHidden/>
          </w:rPr>
          <w:t>27</w:t>
        </w:r>
        <w:r>
          <w:rPr>
            <w:webHidden/>
          </w:rPr>
          <w:fldChar w:fldCharType="end"/>
        </w:r>
      </w:hyperlink>
    </w:p>
    <w:p w14:paraId="384CCCCC" w14:textId="77777777" w:rsidR="00FA7F33" w:rsidRPr="00702EA1" w:rsidRDefault="00FA7F33" w:rsidP="00FA7F33">
      <w:pPr>
        <w:rPr>
          <w:rFonts w:cs="Arial"/>
        </w:rPr>
        <w:sectPr w:rsidR="00FA7F33" w:rsidRPr="00702EA1" w:rsidSect="006539E8">
          <w:headerReference w:type="even" r:id="rId23"/>
          <w:headerReference w:type="default" r:id="rId24"/>
          <w:footerReference w:type="even" r:id="rId25"/>
          <w:footerReference w:type="default" r:id="rId26"/>
          <w:footerReference w:type="first" r:id="rId27"/>
          <w:pgSz w:w="11906" w:h="16838" w:code="9"/>
          <w:pgMar w:top="3646" w:right="3101" w:bottom="1134" w:left="1134" w:header="709" w:footer="119" w:gutter="0"/>
          <w:cols w:space="708"/>
          <w:titlePg/>
          <w:docGrid w:linePitch="360"/>
        </w:sectPr>
      </w:pPr>
      <w:r>
        <w:rPr>
          <w:rFonts w:cs="Arial"/>
        </w:rPr>
        <w:fldChar w:fldCharType="end"/>
      </w:r>
    </w:p>
    <w:p w14:paraId="75597E0F" w14:textId="77777777" w:rsidR="00FA7F33" w:rsidRPr="007D04B2" w:rsidRDefault="00FA7F33" w:rsidP="00FA7F33">
      <w:pPr>
        <w:pStyle w:val="Heading1"/>
      </w:pPr>
      <w:bookmarkStart w:id="0" w:name="_Toc56006325"/>
      <w:bookmarkStart w:id="1" w:name="_Toc57809582"/>
      <w:bookmarkStart w:id="2" w:name="_Toc126841055"/>
      <w:r w:rsidRPr="007D04B2">
        <w:lastRenderedPageBreak/>
        <w:t xml:space="preserve">Version </w:t>
      </w:r>
      <w:bookmarkEnd w:id="0"/>
      <w:r>
        <w:t>c</w:t>
      </w:r>
      <w:r w:rsidRPr="007D04B2">
        <w:t>ontrol</w:t>
      </w:r>
      <w:bookmarkEnd w:id="1"/>
      <w:bookmarkEnd w:id="2"/>
    </w:p>
    <w:p w14:paraId="0545EF07" w14:textId="77777777" w:rsidR="00FA7F33" w:rsidRPr="007D04B2" w:rsidRDefault="00FA7F33" w:rsidP="00FA7F33">
      <w:pPr>
        <w:spacing w:after="0" w:line="240" w:lineRule="auto"/>
      </w:pPr>
    </w:p>
    <w:p w14:paraId="66EF9078" w14:textId="77777777" w:rsidR="00FA7F33" w:rsidRPr="007D04B2" w:rsidRDefault="00FA7F33" w:rsidP="00FA7F33">
      <w:pPr>
        <w:spacing w:after="0" w:line="240" w:lineRule="auto"/>
      </w:pPr>
    </w:p>
    <w:tbl>
      <w:tblPr>
        <w:tblStyle w:val="TableGrid"/>
        <w:tblW w:w="9209" w:type="dxa"/>
        <w:tblLook w:val="04A0" w:firstRow="1" w:lastRow="0" w:firstColumn="1" w:lastColumn="0" w:noHBand="0" w:noVBand="1"/>
      </w:tblPr>
      <w:tblGrid>
        <w:gridCol w:w="1322"/>
        <w:gridCol w:w="5903"/>
        <w:gridCol w:w="1984"/>
      </w:tblGrid>
      <w:tr w:rsidR="00FA7F33" w:rsidRPr="007D04B2" w14:paraId="07D5BE3D" w14:textId="77777777" w:rsidTr="00B63CAB">
        <w:tc>
          <w:tcPr>
            <w:tcW w:w="1322" w:type="dxa"/>
            <w:shd w:val="clear" w:color="auto" w:fill="7F7F7F" w:themeFill="text1" w:themeFillTint="80"/>
          </w:tcPr>
          <w:p w14:paraId="0F863CE3" w14:textId="77777777" w:rsidR="00FA7F33" w:rsidRPr="007D04B2" w:rsidRDefault="00FA7F33" w:rsidP="00B63CAB">
            <w:pPr>
              <w:spacing w:before="120" w:after="120" w:line="240" w:lineRule="auto"/>
              <w:rPr>
                <w:b/>
                <w:color w:val="FFFFFF" w:themeColor="background1"/>
              </w:rPr>
            </w:pPr>
            <w:r w:rsidRPr="007D04B2">
              <w:rPr>
                <w:b/>
                <w:color w:val="FFFFFF" w:themeColor="background1"/>
              </w:rPr>
              <w:t>Version</w:t>
            </w:r>
          </w:p>
        </w:tc>
        <w:tc>
          <w:tcPr>
            <w:tcW w:w="5903" w:type="dxa"/>
            <w:shd w:val="clear" w:color="auto" w:fill="7F7F7F" w:themeFill="text1" w:themeFillTint="80"/>
          </w:tcPr>
          <w:p w14:paraId="2BDA9C85" w14:textId="77777777" w:rsidR="00FA7F33" w:rsidRPr="007D04B2" w:rsidRDefault="00FA7F33" w:rsidP="00B63CAB">
            <w:pPr>
              <w:spacing w:before="120" w:after="120" w:line="240" w:lineRule="auto"/>
              <w:rPr>
                <w:b/>
                <w:color w:val="FFFFFF" w:themeColor="background1"/>
              </w:rPr>
            </w:pPr>
            <w:r w:rsidRPr="007D04B2">
              <w:rPr>
                <w:b/>
                <w:color w:val="FFFFFF" w:themeColor="background1"/>
              </w:rPr>
              <w:t>Comments</w:t>
            </w:r>
          </w:p>
        </w:tc>
        <w:tc>
          <w:tcPr>
            <w:tcW w:w="1984" w:type="dxa"/>
            <w:shd w:val="clear" w:color="auto" w:fill="7F7F7F" w:themeFill="text1" w:themeFillTint="80"/>
          </w:tcPr>
          <w:p w14:paraId="7CB35BCD" w14:textId="77777777" w:rsidR="00FA7F33" w:rsidRPr="007D04B2" w:rsidRDefault="00FA7F33" w:rsidP="00B63CAB">
            <w:pPr>
              <w:spacing w:before="120" w:after="120" w:line="240" w:lineRule="auto"/>
              <w:rPr>
                <w:b/>
                <w:color w:val="FFFFFF" w:themeColor="background1"/>
              </w:rPr>
            </w:pPr>
            <w:r>
              <w:rPr>
                <w:b/>
                <w:color w:val="FFFFFF" w:themeColor="background1"/>
              </w:rPr>
              <w:t>Date</w:t>
            </w:r>
          </w:p>
        </w:tc>
      </w:tr>
      <w:tr w:rsidR="00FA7F33" w:rsidRPr="007D04B2" w14:paraId="4D753DA5" w14:textId="77777777" w:rsidTr="00B63CAB">
        <w:tc>
          <w:tcPr>
            <w:tcW w:w="1322" w:type="dxa"/>
          </w:tcPr>
          <w:p w14:paraId="2DEFD9E4" w14:textId="77777777" w:rsidR="00FA7F33" w:rsidRPr="007D04B2" w:rsidRDefault="00FA7F33" w:rsidP="00B63CAB">
            <w:pPr>
              <w:spacing w:before="120" w:after="120" w:line="240" w:lineRule="auto"/>
            </w:pPr>
            <w:r w:rsidRPr="007D04B2">
              <w:t>Version 1.0</w:t>
            </w:r>
          </w:p>
        </w:tc>
        <w:tc>
          <w:tcPr>
            <w:tcW w:w="5903" w:type="dxa"/>
          </w:tcPr>
          <w:p w14:paraId="6586CE5A" w14:textId="77777777" w:rsidR="00FA7F33" w:rsidRPr="007D04B2" w:rsidRDefault="00FA7F33" w:rsidP="00B63CAB">
            <w:pPr>
              <w:spacing w:before="120" w:after="120" w:line="240" w:lineRule="auto"/>
            </w:pPr>
            <w:r w:rsidRPr="007D04B2">
              <w:t>Initial release</w:t>
            </w:r>
          </w:p>
        </w:tc>
        <w:tc>
          <w:tcPr>
            <w:tcW w:w="1984" w:type="dxa"/>
          </w:tcPr>
          <w:p w14:paraId="7FA73A51" w14:textId="77777777" w:rsidR="00FA7F33" w:rsidRPr="007D04B2" w:rsidRDefault="00FA7F33" w:rsidP="00B63CAB">
            <w:pPr>
              <w:spacing w:before="120" w:after="120" w:line="240" w:lineRule="auto"/>
            </w:pPr>
            <w:r>
              <w:t>5 July 2021</w:t>
            </w:r>
          </w:p>
        </w:tc>
      </w:tr>
      <w:tr w:rsidR="00FA7F33" w:rsidRPr="007D04B2" w14:paraId="345C177D" w14:textId="77777777" w:rsidTr="00B63CAB">
        <w:tc>
          <w:tcPr>
            <w:tcW w:w="1322" w:type="dxa"/>
          </w:tcPr>
          <w:p w14:paraId="25CAC579" w14:textId="77777777" w:rsidR="00FA7F33" w:rsidRPr="007D04B2" w:rsidRDefault="00FA7F33" w:rsidP="00B63CAB">
            <w:pPr>
              <w:spacing w:before="120" w:after="120" w:line="240" w:lineRule="auto"/>
            </w:pPr>
            <w:r>
              <w:t xml:space="preserve">Version 2 </w:t>
            </w:r>
          </w:p>
        </w:tc>
        <w:tc>
          <w:tcPr>
            <w:tcW w:w="5903" w:type="dxa"/>
          </w:tcPr>
          <w:p w14:paraId="023DA0EA" w14:textId="209CFCA7" w:rsidR="00FA7F33" w:rsidRPr="007D04B2" w:rsidRDefault="00FA7F33" w:rsidP="00F461DE">
            <w:pPr>
              <w:spacing w:before="120" w:after="120" w:line="240" w:lineRule="auto"/>
              <w:ind w:left="360"/>
            </w:pPr>
            <w:r>
              <w:t>Second release after submissions to version 1 and initial discussions with formed Working Groups.</w:t>
            </w:r>
          </w:p>
        </w:tc>
        <w:tc>
          <w:tcPr>
            <w:tcW w:w="1984" w:type="dxa"/>
          </w:tcPr>
          <w:p w14:paraId="1152E65C" w14:textId="77777777" w:rsidR="00FA7F33" w:rsidRDefault="00FA7F33" w:rsidP="00B63CAB">
            <w:pPr>
              <w:spacing w:before="120" w:after="120" w:line="240" w:lineRule="auto"/>
            </w:pPr>
            <w:r>
              <w:t>15 September 2021</w:t>
            </w:r>
          </w:p>
        </w:tc>
      </w:tr>
      <w:tr w:rsidR="007A5E51" w:rsidRPr="007D04B2" w14:paraId="2C234AE0" w14:textId="77777777" w:rsidTr="00B63CAB">
        <w:tc>
          <w:tcPr>
            <w:tcW w:w="1322" w:type="dxa"/>
          </w:tcPr>
          <w:p w14:paraId="7B7A1EC8" w14:textId="330DBD36" w:rsidR="007A5E51" w:rsidRDefault="007A5E51" w:rsidP="00B63CAB">
            <w:pPr>
              <w:spacing w:before="120" w:after="120" w:line="240" w:lineRule="auto"/>
            </w:pPr>
            <w:r>
              <w:t>Version 3.0</w:t>
            </w:r>
          </w:p>
        </w:tc>
        <w:tc>
          <w:tcPr>
            <w:tcW w:w="5903" w:type="dxa"/>
          </w:tcPr>
          <w:p w14:paraId="16FBE0BC" w14:textId="29C1651E" w:rsidR="007A5E51" w:rsidRDefault="007A5E51" w:rsidP="00F461DE">
            <w:r>
              <w:t>Third version</w:t>
            </w:r>
            <w:r w:rsidR="003347AB">
              <w:t xml:space="preserve"> </w:t>
            </w:r>
            <w:r w:rsidR="00B17635">
              <w:t>frozen for</w:t>
            </w:r>
            <w:r>
              <w:t xml:space="preserve"> public release </w:t>
            </w:r>
            <w:r w:rsidR="00B63570">
              <w:t xml:space="preserve">of a remote area TLG “snapshot” after </w:t>
            </w:r>
            <w:r w:rsidR="00FD2ADB">
              <w:t>version 2</w:t>
            </w:r>
            <w:r w:rsidR="00B63570">
              <w:t xml:space="preserve"> comments</w:t>
            </w:r>
            <w:r w:rsidR="00805AD2">
              <w:t>.</w:t>
            </w:r>
          </w:p>
        </w:tc>
        <w:tc>
          <w:tcPr>
            <w:tcW w:w="1984" w:type="dxa"/>
          </w:tcPr>
          <w:p w14:paraId="57E94C5C" w14:textId="7B75E083" w:rsidR="007A5E51" w:rsidRDefault="008F55F7" w:rsidP="00B63CAB">
            <w:pPr>
              <w:spacing w:before="120" w:after="120" w:line="240" w:lineRule="auto"/>
            </w:pPr>
            <w:r>
              <w:t xml:space="preserve">21 </w:t>
            </w:r>
            <w:r w:rsidR="007A5E51">
              <w:t>December 2021</w:t>
            </w:r>
          </w:p>
        </w:tc>
      </w:tr>
      <w:tr w:rsidR="00F35E78" w:rsidRPr="007D04B2" w14:paraId="61C917CB" w14:textId="77777777" w:rsidTr="00B63CAB">
        <w:tc>
          <w:tcPr>
            <w:tcW w:w="1322" w:type="dxa"/>
          </w:tcPr>
          <w:p w14:paraId="3F34F829" w14:textId="14145D33" w:rsidR="00F35E78" w:rsidRDefault="00F35E78" w:rsidP="00B63CAB">
            <w:pPr>
              <w:spacing w:before="120" w:after="120" w:line="240" w:lineRule="auto"/>
            </w:pPr>
            <w:r>
              <w:t>Version 4.0</w:t>
            </w:r>
          </w:p>
        </w:tc>
        <w:tc>
          <w:tcPr>
            <w:tcW w:w="5903" w:type="dxa"/>
          </w:tcPr>
          <w:p w14:paraId="046AC5B5" w14:textId="51A0ECD8" w:rsidR="00F35E78" w:rsidRDefault="00F35E78" w:rsidP="00B63CAB">
            <w:pPr>
              <w:spacing w:before="120" w:after="120" w:line="240" w:lineRule="auto"/>
            </w:pPr>
            <w:r>
              <w:t xml:space="preserve">Fourth version focussed </w:t>
            </w:r>
            <w:r w:rsidR="001176BA">
              <w:t xml:space="preserve">on </w:t>
            </w:r>
            <w:r>
              <w:t>3.4 GHz SLTF</w:t>
            </w:r>
          </w:p>
          <w:p w14:paraId="1FDCC105" w14:textId="77777777" w:rsidR="00F35E78" w:rsidRDefault="00F35E78" w:rsidP="00F35E78">
            <w:pPr>
              <w:pStyle w:val="ListParagraph"/>
              <w:numPr>
                <w:ilvl w:val="0"/>
                <w:numId w:val="54"/>
              </w:numPr>
              <w:spacing w:before="120" w:after="120" w:line="240" w:lineRule="auto"/>
            </w:pPr>
            <w:r>
              <w:t>Removing aspects not intended to be covered in the revised scope/terms of reference</w:t>
            </w:r>
          </w:p>
          <w:p w14:paraId="6E211741" w14:textId="0F72559A" w:rsidR="00F35E78" w:rsidRDefault="00F35E78" w:rsidP="00F461DE">
            <w:pPr>
              <w:pStyle w:val="ListParagraph"/>
              <w:numPr>
                <w:ilvl w:val="0"/>
                <w:numId w:val="54"/>
              </w:numPr>
              <w:spacing w:before="120" w:after="120" w:line="240" w:lineRule="auto"/>
            </w:pPr>
            <w:r>
              <w:t>Revisions to proposed SLTF changes</w:t>
            </w:r>
          </w:p>
        </w:tc>
        <w:tc>
          <w:tcPr>
            <w:tcW w:w="1984" w:type="dxa"/>
          </w:tcPr>
          <w:p w14:paraId="06861B11" w14:textId="174FADDE" w:rsidR="00F35E78" w:rsidRDefault="00042797" w:rsidP="00B63CAB">
            <w:pPr>
              <w:spacing w:before="120" w:after="120" w:line="240" w:lineRule="auto"/>
            </w:pPr>
            <w:r>
              <w:t>September</w:t>
            </w:r>
            <w:r w:rsidR="00F35E78">
              <w:t xml:space="preserve"> 2022</w:t>
            </w:r>
          </w:p>
        </w:tc>
      </w:tr>
      <w:tr w:rsidR="00737FB4" w:rsidRPr="007D04B2" w14:paraId="0B4DADCD" w14:textId="77777777" w:rsidTr="00B63CAB">
        <w:tc>
          <w:tcPr>
            <w:tcW w:w="1322" w:type="dxa"/>
          </w:tcPr>
          <w:p w14:paraId="590037BB" w14:textId="079ECC52" w:rsidR="00737FB4" w:rsidRDefault="00737FB4" w:rsidP="00B63CAB">
            <w:pPr>
              <w:spacing w:before="120" w:after="120" w:line="240" w:lineRule="auto"/>
            </w:pPr>
            <w:r>
              <w:t>Version 4.1</w:t>
            </w:r>
          </w:p>
        </w:tc>
        <w:tc>
          <w:tcPr>
            <w:tcW w:w="5903" w:type="dxa"/>
          </w:tcPr>
          <w:p w14:paraId="7866D872" w14:textId="211FF353" w:rsidR="00737FB4" w:rsidRDefault="00737FB4" w:rsidP="00B63CAB">
            <w:pPr>
              <w:spacing w:before="120" w:after="120" w:line="240" w:lineRule="auto"/>
            </w:pPr>
            <w:r>
              <w:t>Corrections on in-band limits text</w:t>
            </w:r>
          </w:p>
        </w:tc>
        <w:tc>
          <w:tcPr>
            <w:tcW w:w="1984" w:type="dxa"/>
          </w:tcPr>
          <w:p w14:paraId="1C8A939D" w14:textId="0B8F15EE" w:rsidR="00737FB4" w:rsidRDefault="00737FB4" w:rsidP="00B63CAB">
            <w:pPr>
              <w:spacing w:before="120" w:after="120" w:line="240" w:lineRule="auto"/>
            </w:pPr>
            <w:r>
              <w:t>30 September 2022</w:t>
            </w:r>
          </w:p>
        </w:tc>
      </w:tr>
      <w:tr w:rsidR="009A4A22" w:rsidRPr="007D04B2" w14:paraId="0D244101" w14:textId="77777777" w:rsidTr="00B63CAB">
        <w:tc>
          <w:tcPr>
            <w:tcW w:w="1322" w:type="dxa"/>
          </w:tcPr>
          <w:p w14:paraId="76CA77A6" w14:textId="6C135A33" w:rsidR="009A4A22" w:rsidRDefault="009A4A22" w:rsidP="00B63CAB">
            <w:pPr>
              <w:spacing w:before="120" w:after="120" w:line="240" w:lineRule="auto"/>
            </w:pPr>
            <w:r>
              <w:t>Version 4.2</w:t>
            </w:r>
          </w:p>
        </w:tc>
        <w:tc>
          <w:tcPr>
            <w:tcW w:w="5903" w:type="dxa"/>
          </w:tcPr>
          <w:p w14:paraId="505D1536" w14:textId="047CFE75" w:rsidR="009A4A22" w:rsidRDefault="009A4A22" w:rsidP="00B63CAB">
            <w:pPr>
              <w:spacing w:before="120" w:after="120" w:line="240" w:lineRule="auto"/>
            </w:pPr>
            <w:r>
              <w:t xml:space="preserve">Minor editorial to elements listed </w:t>
            </w:r>
            <w:r w:rsidR="00AE7C9D">
              <w:t>in “revised focus of the TLG” section</w:t>
            </w:r>
            <w:r w:rsidR="00FB0491">
              <w:t xml:space="preserve"> and incl</w:t>
            </w:r>
            <w:r w:rsidR="00E64BEB">
              <w:t xml:space="preserve">usion of a new </w:t>
            </w:r>
            <w:r w:rsidR="00C854B2">
              <w:t>attachment G, “radio altimeter report”</w:t>
            </w:r>
          </w:p>
        </w:tc>
        <w:tc>
          <w:tcPr>
            <w:tcW w:w="1984" w:type="dxa"/>
          </w:tcPr>
          <w:p w14:paraId="1E03A6D7" w14:textId="30BE98D2" w:rsidR="009A4A22" w:rsidRDefault="00AE7C9D" w:rsidP="00B63CAB">
            <w:pPr>
              <w:spacing w:before="120" w:after="120" w:line="240" w:lineRule="auto"/>
            </w:pPr>
            <w:r>
              <w:t>7 October 2022</w:t>
            </w:r>
          </w:p>
        </w:tc>
      </w:tr>
      <w:tr w:rsidR="00B6078C" w:rsidRPr="007D04B2" w14:paraId="28F9B1B5" w14:textId="77777777" w:rsidTr="00B63CAB">
        <w:tc>
          <w:tcPr>
            <w:tcW w:w="1322" w:type="dxa"/>
          </w:tcPr>
          <w:p w14:paraId="5D1D40EB" w14:textId="1EF3B52F" w:rsidR="00B6078C" w:rsidRDefault="00B6078C" w:rsidP="00B63CAB">
            <w:pPr>
              <w:spacing w:before="120" w:after="120" w:line="240" w:lineRule="auto"/>
            </w:pPr>
            <w:r>
              <w:t>Version 5.0</w:t>
            </w:r>
          </w:p>
        </w:tc>
        <w:tc>
          <w:tcPr>
            <w:tcW w:w="5903" w:type="dxa"/>
          </w:tcPr>
          <w:p w14:paraId="2796909B" w14:textId="77777777" w:rsidR="00B6078C" w:rsidRDefault="00B6078C" w:rsidP="00B63CAB">
            <w:pPr>
              <w:spacing w:before="120" w:after="120" w:line="240" w:lineRule="auto"/>
            </w:pPr>
            <w:r>
              <w:t>Post TLG submissions to Version 4.2</w:t>
            </w:r>
          </w:p>
          <w:p w14:paraId="6225E2BC" w14:textId="77777777" w:rsidR="00B6078C" w:rsidRDefault="00B6078C" w:rsidP="00B6078C">
            <w:pPr>
              <w:pStyle w:val="ListParagraph"/>
              <w:numPr>
                <w:ilvl w:val="0"/>
                <w:numId w:val="60"/>
              </w:numPr>
              <w:spacing w:before="120" w:after="120" w:line="240" w:lineRule="auto"/>
            </w:pPr>
            <w:r>
              <w:t>Update of background and tenses</w:t>
            </w:r>
          </w:p>
          <w:p w14:paraId="4650636B" w14:textId="6B041A6D" w:rsidR="00B6078C" w:rsidRDefault="00B6078C" w:rsidP="00986626">
            <w:pPr>
              <w:pStyle w:val="ListParagraph"/>
              <w:numPr>
                <w:ilvl w:val="0"/>
                <w:numId w:val="60"/>
              </w:numPr>
              <w:spacing w:before="120" w:after="120" w:line="240" w:lineRule="auto"/>
            </w:pPr>
            <w:r>
              <w:t>Recording of TLG views</w:t>
            </w:r>
            <w:r w:rsidR="00F25201">
              <w:t xml:space="preserve"> in summary</w:t>
            </w:r>
          </w:p>
        </w:tc>
        <w:tc>
          <w:tcPr>
            <w:tcW w:w="1984" w:type="dxa"/>
          </w:tcPr>
          <w:p w14:paraId="1502D6DE" w14:textId="5078F409" w:rsidR="00B6078C" w:rsidRDefault="000931B6" w:rsidP="00B63CAB">
            <w:pPr>
              <w:spacing w:before="120" w:after="120" w:line="240" w:lineRule="auto"/>
            </w:pPr>
            <w:r>
              <w:t>9</w:t>
            </w:r>
            <w:r w:rsidR="00B6078C">
              <w:t xml:space="preserve"> December 2022</w:t>
            </w:r>
          </w:p>
        </w:tc>
      </w:tr>
      <w:tr w:rsidR="006D0D8A" w:rsidRPr="007D04B2" w14:paraId="5D01CDAE" w14:textId="77777777" w:rsidTr="00B63CAB">
        <w:tc>
          <w:tcPr>
            <w:tcW w:w="1322" w:type="dxa"/>
          </w:tcPr>
          <w:p w14:paraId="1DA1F285" w14:textId="349102F7" w:rsidR="006D0D8A" w:rsidRDefault="006D0D8A" w:rsidP="00B63CAB">
            <w:pPr>
              <w:spacing w:before="120" w:after="120" w:line="240" w:lineRule="auto"/>
            </w:pPr>
            <w:r>
              <w:t>Version 5.1</w:t>
            </w:r>
          </w:p>
        </w:tc>
        <w:tc>
          <w:tcPr>
            <w:tcW w:w="5903" w:type="dxa"/>
          </w:tcPr>
          <w:p w14:paraId="68E18AD1" w14:textId="56DEFF28" w:rsidR="006D0D8A" w:rsidRDefault="006D0D8A" w:rsidP="00B63CAB">
            <w:pPr>
              <w:spacing w:before="120" w:after="120" w:line="240" w:lineRule="auto"/>
            </w:pPr>
            <w:r>
              <w:t>Post TLG member review</w:t>
            </w:r>
            <w:r w:rsidR="009D1DE5">
              <w:t>, for TLG package public release</w:t>
            </w:r>
          </w:p>
        </w:tc>
        <w:tc>
          <w:tcPr>
            <w:tcW w:w="1984" w:type="dxa"/>
          </w:tcPr>
          <w:p w14:paraId="2F975E1A" w14:textId="6A9E437C" w:rsidR="006D0D8A" w:rsidRDefault="009D1DE5" w:rsidP="00B63CAB">
            <w:pPr>
              <w:spacing w:before="120" w:after="120" w:line="240" w:lineRule="auto"/>
            </w:pPr>
            <w:r>
              <w:t>9 February</w:t>
            </w:r>
            <w:r w:rsidR="006D0D8A">
              <w:t xml:space="preserve"> 2023</w:t>
            </w:r>
          </w:p>
        </w:tc>
      </w:tr>
    </w:tbl>
    <w:p w14:paraId="4BFDEC81" w14:textId="77777777" w:rsidR="00FA7F33" w:rsidRDefault="00FA7F33" w:rsidP="00FA7F33">
      <w:pPr>
        <w:spacing w:after="0" w:line="240" w:lineRule="auto"/>
        <w:sectPr w:rsidR="00FA7F33" w:rsidSect="006539E8">
          <w:headerReference w:type="even" r:id="rId28"/>
          <w:headerReference w:type="default" r:id="rId29"/>
          <w:footerReference w:type="even" r:id="rId30"/>
          <w:footerReference w:type="default" r:id="rId31"/>
          <w:pgSz w:w="11906" w:h="16838" w:code="9"/>
          <w:pgMar w:top="1945" w:right="3101" w:bottom="1134" w:left="1134" w:header="709" w:footer="119" w:gutter="0"/>
          <w:pgNumType w:fmt="lowerRoman" w:start="3"/>
          <w:cols w:space="708"/>
          <w:titlePg/>
          <w:docGrid w:linePitch="360"/>
        </w:sectPr>
      </w:pPr>
    </w:p>
    <w:p w14:paraId="6766DF63" w14:textId="77777777" w:rsidR="00FA7F33" w:rsidRPr="00702EA1" w:rsidRDefault="00FA7F33" w:rsidP="00FA7F33">
      <w:pPr>
        <w:pStyle w:val="Heading1"/>
      </w:pPr>
      <w:bookmarkStart w:id="3" w:name="_Toc126841056"/>
      <w:r>
        <w:lastRenderedPageBreak/>
        <w:t>Introduction</w:t>
      </w:r>
      <w:bookmarkEnd w:id="3"/>
    </w:p>
    <w:p w14:paraId="7094C097" w14:textId="77777777" w:rsidR="00FA7F33" w:rsidRDefault="00FA7F33" w:rsidP="00FA7F33">
      <w:pPr>
        <w:rPr>
          <w:rFonts w:cs="Arial"/>
        </w:rPr>
      </w:pPr>
      <w:r w:rsidRPr="00885439">
        <w:rPr>
          <w:rFonts w:cs="Arial"/>
          <w:bCs/>
          <w:color w:val="000000" w:themeColor="text1"/>
          <w:szCs w:val="20"/>
        </w:rPr>
        <w:t xml:space="preserve">In </w:t>
      </w:r>
      <w:r>
        <w:rPr>
          <w:rFonts w:cs="Arial"/>
          <w:bCs/>
          <w:color w:val="000000" w:themeColor="text1"/>
          <w:szCs w:val="20"/>
        </w:rPr>
        <w:t>January 2021,</w:t>
      </w:r>
      <w:r w:rsidRPr="00885439">
        <w:rPr>
          <w:rFonts w:cs="Arial"/>
          <w:bCs/>
          <w:color w:val="000000" w:themeColor="text1"/>
          <w:szCs w:val="20"/>
        </w:rPr>
        <w:t xml:space="preserve"> the </w:t>
      </w:r>
      <w:r w:rsidRPr="007D04B2">
        <w:rPr>
          <w:rFonts w:cs="Arial"/>
        </w:rPr>
        <w:t xml:space="preserve">Australian Communications and Media Authority (ACMA) </w:t>
      </w:r>
      <w:r w:rsidRPr="00885439">
        <w:rPr>
          <w:rFonts w:cs="Arial"/>
          <w:bCs/>
          <w:color w:val="000000" w:themeColor="text1"/>
          <w:szCs w:val="20"/>
        </w:rPr>
        <w:t xml:space="preserve"> released the </w:t>
      </w:r>
      <w:hyperlink r:id="rId32" w:history="1">
        <w:r>
          <w:rPr>
            <w:rStyle w:val="Hyperlink"/>
            <w:rFonts w:cs="Arial"/>
            <w:i/>
            <w:iCs/>
            <w:szCs w:val="20"/>
          </w:rPr>
          <w:t>Replanning the 3700-4200 MHz band - Outcomes paper</w:t>
        </w:r>
      </w:hyperlink>
      <w:r w:rsidRPr="00885439">
        <w:rPr>
          <w:rFonts w:cs="Arial"/>
          <w:bCs/>
          <w:color w:val="000000" w:themeColor="text1"/>
          <w:szCs w:val="20"/>
        </w:rPr>
        <w:t xml:space="preserve"> (the </w:t>
      </w:r>
      <w:r>
        <w:rPr>
          <w:rFonts w:cs="Arial"/>
          <w:bCs/>
          <w:color w:val="000000" w:themeColor="text1"/>
          <w:szCs w:val="20"/>
        </w:rPr>
        <w:t xml:space="preserve">2021 </w:t>
      </w:r>
      <w:r w:rsidRPr="00885439">
        <w:rPr>
          <w:rFonts w:cs="Arial"/>
          <w:bCs/>
          <w:color w:val="000000" w:themeColor="text1"/>
          <w:szCs w:val="20"/>
        </w:rPr>
        <w:t>Outcomes paper).</w:t>
      </w:r>
      <w:r w:rsidRPr="00885439">
        <w:rPr>
          <w:rFonts w:cs="Arial"/>
          <w:b/>
          <w:color w:val="000000" w:themeColor="text1"/>
          <w:szCs w:val="20"/>
        </w:rPr>
        <w:t xml:space="preserve"> </w:t>
      </w:r>
      <w:r>
        <w:rPr>
          <w:rFonts w:cs="Arial"/>
        </w:rPr>
        <w:t>This paper described the ACMA’s planning outcomes and preliminary views to introduce wireless broadband services in the 3700-4200 MHz band, using a combination of apparatus and spectrum licensing arrangements. Preliminary views on key licence conditions were also included in the Outcomes paper</w:t>
      </w:r>
      <w:bookmarkStart w:id="4" w:name="_Hlk22286282"/>
      <w:r>
        <w:rPr>
          <w:rFonts w:cs="Arial"/>
        </w:rPr>
        <w:t>, however it was noted that these conditions would be decided later as part of future consultation processes, such as this Technical Liaison Group (TLG) and routine consultation on updates to Radiocommunications Licensing and Assignment Instructions (RALIs) and other legislative instruments, as applicable.</w:t>
      </w:r>
      <w:bookmarkEnd w:id="4"/>
    </w:p>
    <w:p w14:paraId="15AD42B7" w14:textId="77777777" w:rsidR="00FA7F33" w:rsidRDefault="00FA7F33" w:rsidP="00FA7F33">
      <w:pPr>
        <w:rPr>
          <w:szCs w:val="20"/>
        </w:rPr>
      </w:pPr>
      <w:r>
        <w:t>T</w:t>
      </w:r>
      <w:r w:rsidRPr="00197A32">
        <w:t xml:space="preserve">he Outcomes paper </w:t>
      </w:r>
      <w:r>
        <w:t>also stated that</w:t>
      </w:r>
      <w:r w:rsidRPr="00197A32">
        <w:t xml:space="preserve"> the ACMA would</w:t>
      </w:r>
      <w:r>
        <w:t>,</w:t>
      </w:r>
      <w:r w:rsidRPr="00197A32">
        <w:t xml:space="preserve"> </w:t>
      </w:r>
      <w:r>
        <w:t>as far as practical, extend or align frameworks and the timing of their development with similar ones in the 3400-3700 MHz (3.4 GHz) band. T</w:t>
      </w:r>
      <w:r w:rsidRPr="00197A32">
        <w:rPr>
          <w:szCs w:val="20"/>
        </w:rPr>
        <w:t xml:space="preserve">he paper </w:t>
      </w:r>
      <w:hyperlink r:id="rId33" w:history="1">
        <w:r w:rsidRPr="00197A32">
          <w:rPr>
            <w:rStyle w:val="Hyperlink"/>
            <w:i/>
            <w:iCs/>
            <w:szCs w:val="20"/>
          </w:rPr>
          <w:t>Optimising arrangements for the 3400-3575 MHz band: Planning decisions and preliminary views</w:t>
        </w:r>
      </w:hyperlink>
      <w:r w:rsidRPr="00197A32">
        <w:rPr>
          <w:i/>
          <w:iCs/>
          <w:szCs w:val="20"/>
        </w:rPr>
        <w:t xml:space="preserve"> </w:t>
      </w:r>
      <w:r>
        <w:rPr>
          <w:szCs w:val="20"/>
        </w:rPr>
        <w:t xml:space="preserve">(the 2019 Outcomes paper) outlines the planning outcomes for the 3.4 GHz band. </w:t>
      </w:r>
    </w:p>
    <w:p w14:paraId="32E522A6" w14:textId="304AA473" w:rsidR="00FA7F33" w:rsidRDefault="00FA7F33" w:rsidP="00FA7F33">
      <w:pPr>
        <w:rPr>
          <w:rFonts w:cs="Arial"/>
        </w:rPr>
      </w:pPr>
      <w:r>
        <w:rPr>
          <w:rFonts w:cs="Arial"/>
          <w:bCs/>
          <w:color w:val="000000" w:themeColor="text1"/>
          <w:szCs w:val="20"/>
        </w:rPr>
        <w:t xml:space="preserve">To facilitate development of apparatus and spectrum licence arrangements, the ACMA formed a technical liaison group (TLG) to review/develop spectrum and apparatus licence technical frameworks for the broader 3400-4000 MHz range (where applicable). </w:t>
      </w:r>
      <w:r>
        <w:t>A</w:t>
      </w:r>
      <w:r w:rsidRPr="00736BE8">
        <w:t xml:space="preserve"> TLG is a short-term advisory body convened by the ACMA. Its purpose is to provide advice on the development of, or possible changes to, a spectrum or apparatus licence technical framework. </w:t>
      </w:r>
      <w:r>
        <w:rPr>
          <w:rFonts w:cs="Arial"/>
          <w:bCs/>
          <w:color w:val="000000" w:themeColor="text1"/>
          <w:szCs w:val="20"/>
        </w:rPr>
        <w:t xml:space="preserve">The TLG was formed in July 2021 and </w:t>
      </w:r>
      <w:r w:rsidR="00B04A34">
        <w:rPr>
          <w:rFonts w:cs="Arial"/>
          <w:bCs/>
          <w:color w:val="000000" w:themeColor="text1"/>
          <w:szCs w:val="20"/>
        </w:rPr>
        <w:t xml:space="preserve">remote aspects were finalised in December 2021, excepting the consideration of </w:t>
      </w:r>
      <w:r w:rsidR="00221405">
        <w:rPr>
          <w:rFonts w:cs="Arial"/>
          <w:bCs/>
          <w:color w:val="000000" w:themeColor="text1"/>
          <w:szCs w:val="20"/>
        </w:rPr>
        <w:t>coexistence</w:t>
      </w:r>
      <w:r w:rsidR="00B04A34">
        <w:rPr>
          <w:rFonts w:cs="Arial"/>
          <w:bCs/>
          <w:color w:val="000000" w:themeColor="text1"/>
          <w:szCs w:val="20"/>
        </w:rPr>
        <w:t xml:space="preserve"> with radio altimeters</w:t>
      </w:r>
      <w:r>
        <w:rPr>
          <w:rFonts w:cs="Arial"/>
          <w:bCs/>
          <w:color w:val="000000" w:themeColor="text1"/>
          <w:szCs w:val="20"/>
        </w:rPr>
        <w:t xml:space="preserve">. </w:t>
      </w:r>
      <w:r w:rsidRPr="00F256E0">
        <w:rPr>
          <w:rFonts w:cs="Arial"/>
        </w:rPr>
        <w:t>Membership include</w:t>
      </w:r>
      <w:r>
        <w:rPr>
          <w:rFonts w:cs="Arial"/>
        </w:rPr>
        <w:t>d</w:t>
      </w:r>
      <w:r w:rsidRPr="00F256E0">
        <w:rPr>
          <w:rFonts w:cs="Arial"/>
        </w:rPr>
        <w:t xml:space="preserve"> </w:t>
      </w:r>
      <w:r>
        <w:rPr>
          <w:rFonts w:cs="Arial"/>
        </w:rPr>
        <w:t>representatives from existing incumbent licensees, mobile network operators, satellite service operators, vendors, wireless broadband network operators, the aviation sector, nbn, Defence and DITRDC</w:t>
      </w:r>
      <w:r w:rsidRPr="00F256E0">
        <w:rPr>
          <w:rFonts w:cs="Arial"/>
        </w:rPr>
        <w:t>.</w:t>
      </w:r>
    </w:p>
    <w:p w14:paraId="3A93AFC3" w14:textId="1C681220" w:rsidR="00F35E78" w:rsidRDefault="00593B0C" w:rsidP="00FA7F33">
      <w:pPr>
        <w:rPr>
          <w:rFonts w:cs="Arial"/>
        </w:rPr>
      </w:pPr>
      <w:r>
        <w:rPr>
          <w:rFonts w:cs="Arial"/>
        </w:rPr>
        <w:t>In March 2022, the ACMA consulted</w:t>
      </w:r>
      <w:r w:rsidR="00F35E78">
        <w:rPr>
          <w:rFonts w:cs="Arial"/>
        </w:rPr>
        <w:t xml:space="preserve"> on </w:t>
      </w:r>
      <w:hyperlink r:id="rId34" w:history="1">
        <w:r w:rsidR="00F35E78" w:rsidRPr="00F461DE">
          <w:rPr>
            <w:rStyle w:val="Hyperlink"/>
            <w:i/>
            <w:iCs/>
          </w:rPr>
          <w:t>the Proposed spectrum re-allocation declaration for the 3.4 GHz and 3.7 GHz bands</w:t>
        </w:r>
      </w:hyperlink>
      <w:r>
        <w:rPr>
          <w:rFonts w:cs="Arial"/>
        </w:rPr>
        <w:t>.</w:t>
      </w:r>
      <w:r w:rsidR="00F35E78">
        <w:rPr>
          <w:rFonts w:cs="Arial"/>
        </w:rPr>
        <w:t xml:space="preserve"> </w:t>
      </w:r>
      <w:r w:rsidR="00F35E78" w:rsidRPr="00F35E78">
        <w:rPr>
          <w:rFonts w:cs="Arial"/>
        </w:rPr>
        <w:t>After considering the submissions received, we made the </w:t>
      </w:r>
      <w:hyperlink r:id="rId35" w:tgtFrame="_blank" w:history="1">
        <w:r w:rsidR="00F35E78" w:rsidRPr="00F35E78">
          <w:rPr>
            <w:rStyle w:val="Hyperlink"/>
            <w:rFonts w:cs="Arial"/>
          </w:rPr>
          <w:t>Radiocommunications (Spectrum Re-allocation – 3.4 GHz and 3.7 GHz Bands) Declaration 2022</w:t>
        </w:r>
      </w:hyperlink>
      <w:r w:rsidR="00F35E78" w:rsidRPr="00F35E78">
        <w:rPr>
          <w:rFonts w:cs="Arial"/>
          <w:i/>
          <w:iCs/>
        </w:rPr>
        <w:t>,</w:t>
      </w:r>
      <w:r w:rsidR="00F35E78" w:rsidRPr="00F35E78">
        <w:rPr>
          <w:rFonts w:cs="Arial"/>
        </w:rPr>
        <w:t> </w:t>
      </w:r>
      <w:r>
        <w:rPr>
          <w:rFonts w:cs="Arial"/>
        </w:rPr>
        <w:t>which re-allocated</w:t>
      </w:r>
      <w:r w:rsidR="00F35E78" w:rsidRPr="00F35E78">
        <w:rPr>
          <w:rFonts w:cs="Arial"/>
        </w:rPr>
        <w:t xml:space="preserve"> parts of the 3.4 GHz (3400–3575 MHz) and the 3.7 GHz (3700–3800 MHz) bands</w:t>
      </w:r>
      <w:r>
        <w:rPr>
          <w:rFonts w:cs="Arial"/>
        </w:rPr>
        <w:t xml:space="preserve"> for spectrum licensing</w:t>
      </w:r>
      <w:r w:rsidR="00F35E78" w:rsidRPr="00F35E78">
        <w:rPr>
          <w:rFonts w:cs="Arial"/>
        </w:rPr>
        <w:t>.</w:t>
      </w:r>
    </w:p>
    <w:p w14:paraId="45DAD1A2" w14:textId="12BF1517" w:rsidR="00F35E78" w:rsidRPr="006B4EC1" w:rsidRDefault="00F35E78" w:rsidP="00FA7F33">
      <w:r>
        <w:rPr>
          <w:rFonts w:cs="Arial"/>
        </w:rPr>
        <w:t xml:space="preserve">The ACMA </w:t>
      </w:r>
      <w:r w:rsidRPr="00F35E78">
        <w:rPr>
          <w:rFonts w:cs="Arial"/>
        </w:rPr>
        <w:t>plan</w:t>
      </w:r>
      <w:r w:rsidR="00DD3432">
        <w:rPr>
          <w:rFonts w:cs="Arial"/>
        </w:rPr>
        <w:t>s</w:t>
      </w:r>
      <w:r w:rsidRPr="00F35E78">
        <w:rPr>
          <w:rFonts w:cs="Arial"/>
        </w:rPr>
        <w:t xml:space="preserve"> to conduct a</w:t>
      </w:r>
      <w:r w:rsidR="00DD3432">
        <w:rPr>
          <w:rFonts w:cs="Arial"/>
        </w:rPr>
        <w:t>n</w:t>
      </w:r>
      <w:r w:rsidRPr="00F35E78">
        <w:rPr>
          <w:rFonts w:cs="Arial"/>
        </w:rPr>
        <w:t xml:space="preserve"> auction of </w:t>
      </w:r>
      <w:r w:rsidR="00DD3432">
        <w:rPr>
          <w:rFonts w:cs="Arial"/>
        </w:rPr>
        <w:t xml:space="preserve">spectrum licences in the </w:t>
      </w:r>
      <w:r w:rsidRPr="00F35E78">
        <w:rPr>
          <w:rFonts w:cs="Arial"/>
        </w:rPr>
        <w:t>3.4 GHz and 3.7 GHz band</w:t>
      </w:r>
      <w:r w:rsidR="00DD3432">
        <w:rPr>
          <w:rFonts w:cs="Arial"/>
        </w:rPr>
        <w:t>s</w:t>
      </w:r>
      <w:r w:rsidRPr="00F35E78">
        <w:rPr>
          <w:rFonts w:cs="Arial"/>
        </w:rPr>
        <w:t xml:space="preserve"> in 2023. We plan to consult on draft instruments for the auction in Q4 2022</w:t>
      </w:r>
      <w:r w:rsidR="00211404">
        <w:rPr>
          <w:rStyle w:val="FootnoteReference"/>
          <w:rFonts w:cs="Arial"/>
        </w:rPr>
        <w:footnoteReference w:id="2"/>
      </w:r>
      <w:r w:rsidRPr="00F35E78">
        <w:rPr>
          <w:rFonts w:cs="Arial"/>
        </w:rPr>
        <w:t>. </w:t>
      </w:r>
    </w:p>
    <w:p w14:paraId="1B6F0EAD" w14:textId="77777777" w:rsidR="00FA7F33" w:rsidRDefault="00FA7F33" w:rsidP="00FA7F33">
      <w:pPr>
        <w:spacing w:after="80"/>
        <w:rPr>
          <w:rFonts w:cs="Arial"/>
        </w:rPr>
      </w:pPr>
      <w:r w:rsidRPr="007D04B2">
        <w:rPr>
          <w:rFonts w:cs="Arial"/>
        </w:rPr>
        <w:t>The purpose of this paper is to</w:t>
      </w:r>
      <w:r>
        <w:rPr>
          <w:rFonts w:cs="Arial"/>
        </w:rPr>
        <w:t>:</w:t>
      </w:r>
      <w:r w:rsidRPr="007D04B2">
        <w:rPr>
          <w:rFonts w:cs="Arial"/>
        </w:rPr>
        <w:t xml:space="preserve"> </w:t>
      </w:r>
    </w:p>
    <w:p w14:paraId="0E92CA8F" w14:textId="22A8DF25" w:rsidR="00FA7F33" w:rsidRDefault="00FA7F33" w:rsidP="00FA7F33">
      <w:pPr>
        <w:pStyle w:val="Bulletlevel1"/>
      </w:pPr>
      <w:r>
        <w:t>Record draft</w:t>
      </w:r>
      <w:r w:rsidRPr="007D04B2">
        <w:t xml:space="preserve"> </w:t>
      </w:r>
      <w:r>
        <w:t>potential spectrum planning, including technical,</w:t>
      </w:r>
      <w:r w:rsidRPr="007D04B2">
        <w:t xml:space="preserve"> </w:t>
      </w:r>
      <w:r>
        <w:t>arrangements</w:t>
      </w:r>
      <w:r w:rsidRPr="007D04B2">
        <w:t xml:space="preserve"> for spectrum licen</w:t>
      </w:r>
      <w:r>
        <w:t>sing use of the 3400-</w:t>
      </w:r>
      <w:r w:rsidR="00F35E78">
        <w:t xml:space="preserve">3800 </w:t>
      </w:r>
      <w:r>
        <w:t xml:space="preserve">MHz frequency range as outlined in the 2019 and 2021 Outcomes papers. </w:t>
      </w:r>
    </w:p>
    <w:p w14:paraId="30717CE8" w14:textId="77777777" w:rsidR="00FA7F33" w:rsidRDefault="00FA7F33" w:rsidP="00FA7F33">
      <w:pPr>
        <w:pStyle w:val="Bulletlevel1"/>
      </w:pPr>
      <w:r>
        <w:t>summarise feedback on these draft arrangements from the TLG.</w:t>
      </w:r>
    </w:p>
    <w:p w14:paraId="0CD1A986" w14:textId="7B50F79A" w:rsidR="00FA7F33" w:rsidRDefault="00E43AE2" w:rsidP="00FA7F33">
      <w:pPr>
        <w:pStyle w:val="Paragraph"/>
        <w:spacing w:before="240"/>
      </w:pPr>
      <w:r>
        <w:t>I</w:t>
      </w:r>
      <w:r w:rsidR="00FA7F33">
        <w:t xml:space="preserve">t </w:t>
      </w:r>
      <w:r w:rsidR="006C16C5">
        <w:t xml:space="preserve">was </w:t>
      </w:r>
      <w:r w:rsidR="00FA7F33">
        <w:t>proposed to consider extending and aligning technical arrangements as much as practicable</w:t>
      </w:r>
      <w:r>
        <w:t>,</w:t>
      </w:r>
      <w:r w:rsidR="00FA7F33">
        <w:t xml:space="preserve"> between the </w:t>
      </w:r>
      <w:r>
        <w:t xml:space="preserve">extant </w:t>
      </w:r>
      <w:r w:rsidR="00FA7F33">
        <w:t xml:space="preserve">3.4 GHz </w:t>
      </w:r>
      <w:r>
        <w:t xml:space="preserve">SLTF </w:t>
      </w:r>
      <w:r w:rsidR="00FA7F33">
        <w:t xml:space="preserve">and </w:t>
      </w:r>
      <w:r>
        <w:t>the new 3.4 GHz and 3.7 GHz spectrum licen</w:t>
      </w:r>
      <w:r w:rsidR="001176BA">
        <w:t>s</w:t>
      </w:r>
      <w:r>
        <w:t>ed</w:t>
      </w:r>
      <w:r w:rsidR="00FA7F33">
        <w:t xml:space="preserve"> bands</w:t>
      </w:r>
      <w:r>
        <w:t>.  Consequently</w:t>
      </w:r>
      <w:r w:rsidR="00FA7F33">
        <w:t>, in this paper the bands are referred to collectively as the “</w:t>
      </w:r>
      <w:r w:rsidR="00FA7F33" w:rsidRPr="000F234C">
        <w:rPr>
          <w:b/>
          <w:bCs/>
          <w:i/>
          <w:iCs/>
        </w:rPr>
        <w:t>extended 3.4 GHz band</w:t>
      </w:r>
      <w:r w:rsidR="00FA7F33">
        <w:t>”. The TLG itself is referred to as the 3400-</w:t>
      </w:r>
      <w:r w:rsidR="00FA7F33">
        <w:lastRenderedPageBreak/>
        <w:t>4000 MHz TLG. Where previous planning work is referenced, the applicable name of the band is used.</w:t>
      </w:r>
    </w:p>
    <w:p w14:paraId="41B24E05" w14:textId="21832832" w:rsidR="006C16C5" w:rsidRDefault="006C16C5" w:rsidP="00FA7F33">
      <w:pPr>
        <w:pStyle w:val="Paragraph"/>
        <w:spacing w:before="240"/>
      </w:pPr>
      <w:r>
        <w:t xml:space="preserve">Submissions to </w:t>
      </w:r>
      <w:r w:rsidR="009D445C">
        <w:t>non-radio</w:t>
      </w:r>
      <w:r w:rsidR="0019455B">
        <w:t xml:space="preserve">-altimeter related aspects of the TLG package closed at </w:t>
      </w:r>
      <w:r w:rsidR="001547BC">
        <w:t>on</w:t>
      </w:r>
      <w:r w:rsidR="0019455B">
        <w:t xml:space="preserve"> 14 October 2022.  Submissions to radio</w:t>
      </w:r>
      <w:r w:rsidR="001547BC">
        <w:t xml:space="preserve"> </w:t>
      </w:r>
      <w:r w:rsidR="0019455B">
        <w:t>altimeter aspects close</w:t>
      </w:r>
      <w:r w:rsidR="00924D6C">
        <w:t>d on</w:t>
      </w:r>
      <w:r w:rsidR="0019455B">
        <w:t xml:space="preserve"> 31 October 2022. </w:t>
      </w:r>
      <w:r w:rsidR="009D1DE5">
        <w:t xml:space="preserve"> Members had the opportunity to review the summary record of their views before 3</w:t>
      </w:r>
      <w:r w:rsidR="00211404">
        <w:t>1</w:t>
      </w:r>
      <w:r w:rsidR="009D1DE5">
        <w:t>December 2022.</w:t>
      </w:r>
    </w:p>
    <w:p w14:paraId="626139F7" w14:textId="77777777" w:rsidR="00FA7F33" w:rsidRPr="002B2FD2" w:rsidRDefault="00FA7F33" w:rsidP="00FA7F33">
      <w:pPr>
        <w:keepNext/>
        <w:spacing w:before="320" w:after="60"/>
        <w:outlineLvl w:val="1"/>
        <w:rPr>
          <w:rFonts w:cs="Arial"/>
          <w:b/>
          <w:bCs/>
          <w:iCs/>
          <w:sz w:val="28"/>
          <w:szCs w:val="28"/>
        </w:rPr>
      </w:pPr>
      <w:r w:rsidRPr="002B2FD2">
        <w:rPr>
          <w:rFonts w:cs="Arial"/>
          <w:b/>
          <w:bCs/>
          <w:iCs/>
          <w:sz w:val="28"/>
          <w:szCs w:val="28"/>
        </w:rPr>
        <w:t xml:space="preserve">Status and distribution </w:t>
      </w:r>
    </w:p>
    <w:p w14:paraId="46F9B317" w14:textId="0119BEC4" w:rsidR="00FA7F33" w:rsidRDefault="00FA7F33" w:rsidP="00FA7F33">
      <w:pPr>
        <w:rPr>
          <w:rFonts w:cs="Arial"/>
        </w:rPr>
      </w:pPr>
      <w:r w:rsidRPr="002B2FD2">
        <w:rPr>
          <w:rFonts w:cs="Arial"/>
        </w:rPr>
        <w:t xml:space="preserve">The purpose of this paper is to share </w:t>
      </w:r>
      <w:r>
        <w:rPr>
          <w:rFonts w:cs="Arial"/>
        </w:rPr>
        <w:t xml:space="preserve">potential </w:t>
      </w:r>
      <w:r>
        <w:t>spectrum planning, including technical,</w:t>
      </w:r>
      <w:r w:rsidRPr="007D04B2">
        <w:t xml:space="preserve"> </w:t>
      </w:r>
      <w:r>
        <w:t>arrangements</w:t>
      </w:r>
      <w:r w:rsidRPr="007D04B2">
        <w:t xml:space="preserve"> for spectrum licen</w:t>
      </w:r>
      <w:r>
        <w:t>sed uses of the 3400-4000 MHz band (consistent with established outcomes) and to document feedback from TLG members</w:t>
      </w:r>
      <w:r w:rsidRPr="002B2FD2">
        <w:rPr>
          <w:rFonts w:cs="Arial"/>
        </w:rPr>
        <w:t xml:space="preserve">. The document is informal in nature, makes no </w:t>
      </w:r>
      <w:r w:rsidR="006D0D82">
        <w:rPr>
          <w:rFonts w:cs="Arial"/>
        </w:rPr>
        <w:t xml:space="preserve">definitive </w:t>
      </w:r>
      <w:r w:rsidRPr="002B2FD2">
        <w:rPr>
          <w:rFonts w:cs="Arial"/>
        </w:rPr>
        <w:t xml:space="preserve">proposals and has not been considered by the ACMA Authority. </w:t>
      </w:r>
      <w:r>
        <w:rPr>
          <w:rFonts w:cs="Arial"/>
        </w:rPr>
        <w:t xml:space="preserve">Outcomes from the TLG will be considered by the ACMA when developing formal proposals for public consultation. </w:t>
      </w:r>
    </w:p>
    <w:p w14:paraId="74584495" w14:textId="2BF169D4" w:rsidR="00FA7F33" w:rsidRDefault="00FA7F33" w:rsidP="00FA7F33">
      <w:r w:rsidRPr="002B2FD2">
        <w:rPr>
          <w:rFonts w:cs="Arial"/>
        </w:rPr>
        <w:t>As an informal document, it</w:t>
      </w:r>
      <w:r w:rsidR="000572F8">
        <w:rPr>
          <w:rFonts w:cs="Arial"/>
        </w:rPr>
        <w:t>s development</w:t>
      </w:r>
      <w:r w:rsidRPr="002B2FD2">
        <w:rPr>
          <w:rFonts w:cs="Arial"/>
        </w:rPr>
        <w:t xml:space="preserve"> has been shared with members of </w:t>
      </w:r>
      <w:r>
        <w:rPr>
          <w:rFonts w:cs="Arial"/>
        </w:rPr>
        <w:t>this</w:t>
      </w:r>
      <w:r w:rsidRPr="002B2FD2">
        <w:rPr>
          <w:rFonts w:cs="Arial"/>
        </w:rPr>
        <w:t xml:space="preserve"> TLG only and not </w:t>
      </w:r>
      <w:r w:rsidR="004A3845">
        <w:rPr>
          <w:rFonts w:cs="Arial"/>
        </w:rPr>
        <w:t xml:space="preserve">yet </w:t>
      </w:r>
      <w:r w:rsidRPr="002B2FD2">
        <w:rPr>
          <w:rFonts w:cs="Arial"/>
        </w:rPr>
        <w:t>released publicly.</w:t>
      </w:r>
    </w:p>
    <w:p w14:paraId="794BF00D" w14:textId="77777777" w:rsidR="00FA7F33" w:rsidRPr="007D04B2" w:rsidRDefault="00FA7F33" w:rsidP="00F461DE">
      <w:pPr>
        <w:pStyle w:val="sub-heading"/>
      </w:pPr>
      <w:bookmarkStart w:id="5" w:name="_Toc126841057"/>
      <w:r>
        <w:t>Planning outcomes and preliminary views across the 3400-4200 MHz frequency range</w:t>
      </w:r>
      <w:bookmarkEnd w:id="5"/>
    </w:p>
    <w:p w14:paraId="7548D422" w14:textId="77777777" w:rsidR="00FA7F33" w:rsidRDefault="00FA7F33" w:rsidP="00FA7F33">
      <w:pPr>
        <w:pStyle w:val="Paragraph"/>
        <w:spacing w:after="80"/>
      </w:pPr>
      <w:r>
        <w:t>Having further considered the preliminary views for the extended 3.4 GHz band, the ACMA decided to further investigate:</w:t>
      </w:r>
    </w:p>
    <w:p w14:paraId="05FF1D02" w14:textId="44213EBC" w:rsidR="00FA7F33" w:rsidRDefault="001176BA" w:rsidP="00FA7F33">
      <w:pPr>
        <w:pStyle w:val="Paragraph"/>
        <w:numPr>
          <w:ilvl w:val="0"/>
          <w:numId w:val="13"/>
        </w:numPr>
        <w:spacing w:after="80"/>
      </w:pPr>
      <w:r>
        <w:t>e</w:t>
      </w:r>
      <w:r w:rsidR="00FA7F33">
        <w:t>xtending and modify</w:t>
      </w:r>
      <w:r w:rsidR="00475362">
        <w:t>ing</w:t>
      </w:r>
      <w:r w:rsidR="00FA7F33">
        <w:t xml:space="preserve"> the 3.4 GHz spectrum licensing technical framework to accommodate </w:t>
      </w:r>
      <w:r w:rsidR="00DD3432">
        <w:t>the newly re-allocated</w:t>
      </w:r>
      <w:r w:rsidR="00FA7F33">
        <w:t xml:space="preserve"> spectrum spaces in </w:t>
      </w:r>
      <w:r w:rsidR="00DD3432">
        <w:t>3.4 GHz and 3.7 GHz bands</w:t>
      </w:r>
      <w:r w:rsidR="00FA7F33">
        <w:t>.</w:t>
      </w:r>
    </w:p>
    <w:p w14:paraId="509B611C" w14:textId="0F538FB2" w:rsidR="00FA7F33" w:rsidRDefault="00FA7F33" w:rsidP="00FA7F33">
      <w:pPr>
        <w:spacing w:after="0" w:line="240" w:lineRule="auto"/>
        <w:rPr>
          <w:rFonts w:cs="Arial"/>
          <w:sz w:val="28"/>
          <w:szCs w:val="28"/>
        </w:rPr>
      </w:pPr>
      <w:bookmarkStart w:id="6" w:name="_Toc56006328"/>
      <w:bookmarkStart w:id="7" w:name="_Toc57809585"/>
    </w:p>
    <w:p w14:paraId="73E944AA" w14:textId="77777777" w:rsidR="00FA7F33" w:rsidRPr="007D04B2" w:rsidRDefault="00FA7F33" w:rsidP="00FA7F33">
      <w:pPr>
        <w:pStyle w:val="sub-heading"/>
      </w:pPr>
      <w:bookmarkStart w:id="8" w:name="_Toc126841058"/>
      <w:r w:rsidRPr="007D04B2">
        <w:t>Scope</w:t>
      </w:r>
      <w:bookmarkEnd w:id="6"/>
      <w:bookmarkEnd w:id="7"/>
      <w:r>
        <w:t xml:space="preserve"> of the TLG</w:t>
      </w:r>
      <w:bookmarkEnd w:id="8"/>
    </w:p>
    <w:p w14:paraId="57B63DB3" w14:textId="3FA9D763" w:rsidR="00E43AE2" w:rsidRDefault="00E43AE2" w:rsidP="00E43AE2">
      <w:pPr>
        <w:spacing w:after="80"/>
      </w:pPr>
      <w:r w:rsidRPr="00004BE0">
        <w:t xml:space="preserve">The </w:t>
      </w:r>
      <w:r>
        <w:t xml:space="preserve">3400-4000 MHz band TLG </w:t>
      </w:r>
      <w:r w:rsidR="00B6078C">
        <w:t>considered</w:t>
      </w:r>
      <w:r>
        <w:t xml:space="preserve"> the following issues:</w:t>
      </w:r>
    </w:p>
    <w:p w14:paraId="48D6D077" w14:textId="391F8029" w:rsidR="00E43AE2" w:rsidRDefault="001176BA" w:rsidP="00E43AE2">
      <w:pPr>
        <w:pStyle w:val="ListBullet"/>
      </w:pPr>
      <w:bookmarkStart w:id="9" w:name="_Hlk54356750"/>
      <w:r>
        <w:rPr>
          <w:rFonts w:cs="Arial"/>
        </w:rPr>
        <w:t>p</w:t>
      </w:r>
      <w:r w:rsidR="00E43AE2">
        <w:rPr>
          <w:rFonts w:cs="Arial"/>
        </w:rPr>
        <w:t xml:space="preserve">otential </w:t>
      </w:r>
      <w:bookmarkEnd w:id="9"/>
      <w:r w:rsidR="00E43AE2">
        <w:t>changes to the existing 3.4 GHz band spectrum licen</w:t>
      </w:r>
      <w:r>
        <w:t>sing</w:t>
      </w:r>
      <w:r w:rsidR="00E43AE2">
        <w:t xml:space="preserve"> technical framework required to accommodate</w:t>
      </w:r>
      <w:r w:rsidR="00DD3432">
        <w:t xml:space="preserve"> the newly re-allocated spectrum space in the 3.4 GHz and</w:t>
      </w:r>
      <w:r w:rsidR="00E43AE2">
        <w:t xml:space="preserve"> </w:t>
      </w:r>
      <w:r w:rsidR="00DD3432">
        <w:t>3.7 GHz bands</w:t>
      </w:r>
      <w:r w:rsidR="00E43AE2">
        <w:t>. This includes a review of spectrum licence core conditions, s.145(4) determination o</w:t>
      </w:r>
      <w:r>
        <w:t>n</w:t>
      </w:r>
      <w:r w:rsidR="00E43AE2">
        <w:t xml:space="preserve"> unacceptable levels of interference and the Radiocommunications Advisory Guidelines made under s.262.</w:t>
      </w:r>
    </w:p>
    <w:p w14:paraId="60329975" w14:textId="71B8C6E8" w:rsidR="00042797" w:rsidRPr="00E43AE2" w:rsidRDefault="00042797" w:rsidP="00042797">
      <w:pPr>
        <w:pStyle w:val="ListBullet"/>
        <w:rPr>
          <w:rFonts w:ascii="Calibri" w:hAnsi="Calibri"/>
        </w:rPr>
      </w:pPr>
      <w:r>
        <w:t xml:space="preserve">further consideration of coexistence between wireless broadband </w:t>
      </w:r>
      <w:r w:rsidR="001176BA">
        <w:t xml:space="preserve">in </w:t>
      </w:r>
      <w:r w:rsidR="008D0584">
        <w:t xml:space="preserve">the </w:t>
      </w:r>
      <w:r w:rsidR="001176BA">
        <w:t xml:space="preserve">3700-3800 </w:t>
      </w:r>
      <w:r w:rsidR="008D0584">
        <w:t>MHz</w:t>
      </w:r>
      <w:r w:rsidR="001176BA">
        <w:t xml:space="preserve"> band</w:t>
      </w:r>
      <w:r>
        <w:t xml:space="preserve"> and aeronautical radio-navigation services in the 4200-4400 MHz band (aircraft radio altimeters) as an input into spectrum and apparatus licensing technical frameworks.</w:t>
      </w:r>
    </w:p>
    <w:p w14:paraId="419926CF" w14:textId="77777777" w:rsidR="00FA7F33" w:rsidRDefault="00FA7F33" w:rsidP="00FA7F33">
      <w:pPr>
        <w:pStyle w:val="ListBullet"/>
        <w:numPr>
          <w:ilvl w:val="0"/>
          <w:numId w:val="0"/>
        </w:numPr>
        <w:spacing w:before="240"/>
        <w:rPr>
          <w:rFonts w:cs="Arial"/>
        </w:rPr>
      </w:pPr>
      <w:bookmarkStart w:id="10" w:name="_Toc40191056"/>
      <w:r>
        <w:rPr>
          <w:rFonts w:cs="Arial"/>
        </w:rPr>
        <w:t>The following was not in scope of the TLG:</w:t>
      </w:r>
    </w:p>
    <w:p w14:paraId="3330A6DC" w14:textId="6FB1203D" w:rsidR="00E43AE2" w:rsidRDefault="001176BA" w:rsidP="00E43AE2">
      <w:pPr>
        <w:pStyle w:val="ListBullet"/>
      </w:pPr>
      <w:r>
        <w:t>a</w:t>
      </w:r>
      <w:r w:rsidR="00E43AE2">
        <w:t>llocation methods and timeframes.</w:t>
      </w:r>
    </w:p>
    <w:p w14:paraId="6C7E151E" w14:textId="77777777" w:rsidR="00E43AE2" w:rsidRDefault="00E43AE2" w:rsidP="00E43AE2">
      <w:pPr>
        <w:pStyle w:val="ListBullet"/>
      </w:pPr>
      <w:r>
        <w:t>technical frameworks other than the revised 3.4 GHz spectrum licensing technical framework.</w:t>
      </w:r>
    </w:p>
    <w:p w14:paraId="389A63E7" w14:textId="77777777" w:rsidR="00FA7F33" w:rsidRDefault="00FA7F33" w:rsidP="00FA7F33">
      <w:pPr>
        <w:pStyle w:val="ListBullet"/>
        <w:numPr>
          <w:ilvl w:val="0"/>
          <w:numId w:val="0"/>
        </w:numPr>
        <w:spacing w:before="240"/>
        <w:rPr>
          <w:rFonts w:cs="Arial"/>
        </w:rPr>
      </w:pPr>
      <w:r>
        <w:rPr>
          <w:rFonts w:cs="Arial"/>
        </w:rPr>
        <w:t>Note</w:t>
      </w:r>
      <w:r w:rsidRPr="007D04B2">
        <w:rPr>
          <w:rFonts w:cs="Arial"/>
        </w:rPr>
        <w:t xml:space="preserve"> that</w:t>
      </w:r>
      <w:r>
        <w:rPr>
          <w:rFonts w:cs="Arial"/>
        </w:rPr>
        <w:t>:</w:t>
      </w:r>
      <w:r w:rsidRPr="007D04B2">
        <w:rPr>
          <w:rFonts w:cs="Arial"/>
        </w:rPr>
        <w:t xml:space="preserve"> </w:t>
      </w:r>
    </w:p>
    <w:p w14:paraId="6E04491C" w14:textId="5301434C" w:rsidR="00042797" w:rsidRDefault="00042797" w:rsidP="00FA7F33">
      <w:pPr>
        <w:pStyle w:val="ListBullet"/>
      </w:pPr>
      <w:bookmarkStart w:id="11" w:name="_Hlk115855536"/>
      <w:r>
        <w:t xml:space="preserve">Finalised information about the proposed approach to manage coexistence between wireless broadband and aeronautical radio-navigation services </w:t>
      </w:r>
      <w:r w:rsidR="00925604">
        <w:t xml:space="preserve">was </w:t>
      </w:r>
      <w:r>
        <w:t>not available</w:t>
      </w:r>
      <w:r w:rsidR="00925604">
        <w:t xml:space="preserve"> </w:t>
      </w:r>
      <w:r w:rsidR="004D5911">
        <w:t>in the initial release of V4</w:t>
      </w:r>
      <w:r>
        <w:t xml:space="preserve">.  </w:t>
      </w:r>
      <w:r w:rsidR="004D5911">
        <w:t xml:space="preserve">It was released with </w:t>
      </w:r>
      <w:r w:rsidR="008D0584">
        <w:t xml:space="preserve">version </w:t>
      </w:r>
      <w:r w:rsidR="004D5911">
        <w:t>V4.2 on 7 October 2022.</w:t>
      </w:r>
    </w:p>
    <w:bookmarkEnd w:id="11"/>
    <w:p w14:paraId="15F76060" w14:textId="68E9DE6A" w:rsidR="00FA7F33" w:rsidRPr="005438AE" w:rsidRDefault="00FA7F33" w:rsidP="00FA7F33">
      <w:pPr>
        <w:pStyle w:val="ListBullet"/>
      </w:pPr>
      <w:r>
        <w:lastRenderedPageBreak/>
        <w:t>T</w:t>
      </w:r>
      <w:r w:rsidRPr="00473557">
        <w:t xml:space="preserve">he TLG is </w:t>
      </w:r>
      <w:r w:rsidR="00042797">
        <w:t>one</w:t>
      </w:r>
      <w:r w:rsidR="00042797" w:rsidRPr="00473557">
        <w:t xml:space="preserve"> </w:t>
      </w:r>
      <w:r w:rsidRPr="00473557">
        <w:t xml:space="preserve">step in the process of </w:t>
      </w:r>
      <w:r>
        <w:t>reviewing</w:t>
      </w:r>
      <w:r w:rsidRPr="00473557">
        <w:t xml:space="preserve"> </w:t>
      </w:r>
      <w:r>
        <w:t xml:space="preserve">or establishing </w:t>
      </w:r>
      <w:r w:rsidRPr="00473557">
        <w:t xml:space="preserve">a technical framework. The ACMA will use the outcomes of the TLG to publicly consult on </w:t>
      </w:r>
      <w:r>
        <w:t xml:space="preserve">proposed changes to, or new, </w:t>
      </w:r>
      <w:r w:rsidRPr="00473557">
        <w:t>relevant instruments that</w:t>
      </w:r>
      <w:r>
        <w:t xml:space="preserve"> will</w:t>
      </w:r>
      <w:r w:rsidRPr="00473557">
        <w:t xml:space="preserve"> form the</w:t>
      </w:r>
      <w:r>
        <w:t xml:space="preserve"> extended 3.4 </w:t>
      </w:r>
      <w:r w:rsidRPr="00473557">
        <w:t xml:space="preserve">GHz band </w:t>
      </w:r>
      <w:r w:rsidR="00E43AE2">
        <w:t xml:space="preserve">spectrum licensing </w:t>
      </w:r>
      <w:r w:rsidRPr="00473557">
        <w:t>technical framework. TLG members will be able to provide comment</w:t>
      </w:r>
      <w:r w:rsidRPr="005438AE">
        <w:t xml:space="preserve">s on the technical framework both as part of the informal TLG and </w:t>
      </w:r>
      <w:r>
        <w:t xml:space="preserve">the </w:t>
      </w:r>
      <w:r w:rsidRPr="005438AE">
        <w:t>subsequent formal public consultation processes</w:t>
      </w:r>
      <w:r>
        <w:t>.</w:t>
      </w:r>
    </w:p>
    <w:p w14:paraId="4E38F2FA" w14:textId="77777777" w:rsidR="00FA7F33" w:rsidRPr="00AB3668" w:rsidRDefault="00FA7F33" w:rsidP="00FA7F33">
      <w:pPr>
        <w:pStyle w:val="ListBullet"/>
        <w:rPr>
          <w:rFonts w:cs="Arial"/>
        </w:rPr>
      </w:pPr>
      <w:r>
        <w:t>W</w:t>
      </w:r>
      <w:r w:rsidRPr="00736BE8">
        <w:t>hile the ACMA strives to achieve consensus with members, the final decision on the content of, or changes to, a spectrum or apparatus licence technical framework rests with the ACMA. This is particularly relevant in cases where consensus cannot be achieved on an issue</w:t>
      </w:r>
      <w:r>
        <w:t>,</w:t>
      </w:r>
      <w:r w:rsidRPr="00736BE8">
        <w:t xml:space="preserve"> or advice from the TLG is not provided within a reasonable time</w:t>
      </w:r>
      <w:r>
        <w:t xml:space="preserve"> frame.</w:t>
      </w:r>
    </w:p>
    <w:p w14:paraId="7B33CE74" w14:textId="216ACB84" w:rsidR="00FA7F33" w:rsidRPr="007D04B2" w:rsidRDefault="00FA7F33" w:rsidP="00FA7F33">
      <w:pPr>
        <w:pStyle w:val="sub-heading"/>
      </w:pPr>
      <w:bookmarkStart w:id="12" w:name="_Toc126841059"/>
      <w:r>
        <w:t>Revised focus of the TLG</w:t>
      </w:r>
      <w:bookmarkEnd w:id="12"/>
    </w:p>
    <w:p w14:paraId="101923D5" w14:textId="6E3AD97E" w:rsidR="00F947AA" w:rsidRDefault="00F947AA" w:rsidP="00FA7F33">
      <w:pPr>
        <w:rPr>
          <w:rFonts w:cs="Arial"/>
        </w:rPr>
      </w:pPr>
      <w:r>
        <w:rPr>
          <w:rFonts w:cs="Arial"/>
        </w:rPr>
        <w:t>As noted, significant input has already been received on technical frameworks applicable in the 3400-4000 MHz range.</w:t>
      </w:r>
    </w:p>
    <w:p w14:paraId="0D84423D" w14:textId="7238C536" w:rsidR="00FA7F33" w:rsidRDefault="00FA7F33" w:rsidP="00FA7F33">
      <w:pPr>
        <w:rPr>
          <w:rFonts w:cs="Arial"/>
        </w:rPr>
      </w:pPr>
      <w:r>
        <w:rPr>
          <w:rFonts w:cs="Arial"/>
        </w:rPr>
        <w:t xml:space="preserve">The scope of the TLG initially aimed to resolve issues relevant to all potential parts of the technical framework and possible allocation processes, in all spectrum spaces. </w:t>
      </w:r>
      <w:r w:rsidR="00F947AA">
        <w:rPr>
          <w:rFonts w:cs="Arial"/>
        </w:rPr>
        <w:t xml:space="preserve">It was then refocussed </w:t>
      </w:r>
      <w:r w:rsidR="00FB5D11">
        <w:rPr>
          <w:rFonts w:cs="Arial"/>
        </w:rPr>
        <w:t xml:space="preserve">in late 2021 </w:t>
      </w:r>
      <w:r w:rsidR="00F947AA">
        <w:rPr>
          <w:rFonts w:cs="Arial"/>
        </w:rPr>
        <w:t>to remote areas only.</w:t>
      </w:r>
    </w:p>
    <w:p w14:paraId="626244A2" w14:textId="6386369A" w:rsidR="00F947AA" w:rsidRDefault="00F947AA" w:rsidP="00FA7F33">
      <w:pPr>
        <w:rPr>
          <w:rFonts w:cs="Arial"/>
        </w:rPr>
      </w:pPr>
      <w:r>
        <w:rPr>
          <w:rFonts w:cs="Arial"/>
        </w:rPr>
        <w:t xml:space="preserve">This re-engagement of the TLG </w:t>
      </w:r>
      <w:r w:rsidR="006C16C5">
        <w:rPr>
          <w:rFonts w:cs="Arial"/>
        </w:rPr>
        <w:t>focussed</w:t>
      </w:r>
      <w:r>
        <w:rPr>
          <w:rFonts w:cs="Arial"/>
        </w:rPr>
        <w:t xml:space="preserve"> on the spectrum licensing technical framework only. </w:t>
      </w:r>
      <w:r w:rsidR="00FB5D11">
        <w:rPr>
          <w:rFonts w:cs="Arial"/>
        </w:rPr>
        <w:t>T</w:t>
      </w:r>
      <w:r>
        <w:rPr>
          <w:rFonts w:cs="Arial"/>
        </w:rPr>
        <w:t xml:space="preserve">he TLG </w:t>
      </w:r>
      <w:r w:rsidR="00FB5D11">
        <w:rPr>
          <w:rFonts w:cs="Arial"/>
        </w:rPr>
        <w:t xml:space="preserve">may </w:t>
      </w:r>
      <w:r>
        <w:rPr>
          <w:rFonts w:cs="Arial"/>
        </w:rPr>
        <w:t>be re-engaged in early 2023 to consider aspects of AWL technical frameworks in non-remote areas.</w:t>
      </w:r>
    </w:p>
    <w:p w14:paraId="412D1374" w14:textId="5F71427C" w:rsidR="00FA7F33" w:rsidRPr="00070DE4" w:rsidRDefault="004B3071" w:rsidP="00F461DE">
      <w:r>
        <w:rPr>
          <w:rFonts w:cs="Arial"/>
        </w:rPr>
        <w:t>T</w:t>
      </w:r>
      <w:r w:rsidR="00FA7F33">
        <w:rPr>
          <w:rFonts w:cs="Arial"/>
        </w:rPr>
        <w:t xml:space="preserve">he critical elements to define to enable a </w:t>
      </w:r>
      <w:r>
        <w:rPr>
          <w:rFonts w:cs="Arial"/>
        </w:rPr>
        <w:t>spectrum licence</w:t>
      </w:r>
      <w:r w:rsidR="00FA7F33">
        <w:rPr>
          <w:rFonts w:cs="Arial"/>
        </w:rPr>
        <w:t xml:space="preserve"> allocation </w:t>
      </w:r>
      <w:r w:rsidR="00FA397E">
        <w:rPr>
          <w:rFonts w:cs="Arial"/>
        </w:rPr>
        <w:t>include m</w:t>
      </w:r>
      <w:r w:rsidR="00FA7F33">
        <w:t xml:space="preserve">ost aspects </w:t>
      </w:r>
      <w:r w:rsidR="00C16D21">
        <w:t xml:space="preserve">that were also relevant </w:t>
      </w:r>
      <w:r w:rsidR="004009E2">
        <w:t>to</w:t>
      </w:r>
      <w:r w:rsidR="00C16D21">
        <w:t xml:space="preserve"> the remote </w:t>
      </w:r>
      <w:r w:rsidR="00FA7F33">
        <w:t>AWL technical framework:</w:t>
      </w:r>
    </w:p>
    <w:p w14:paraId="7950157D" w14:textId="6B4421C1" w:rsidR="00FA7F33" w:rsidRPr="004675B3" w:rsidRDefault="000C3452" w:rsidP="00F461DE">
      <w:pPr>
        <w:pStyle w:val="ListBullet"/>
        <w:numPr>
          <w:ilvl w:val="0"/>
          <w:numId w:val="36"/>
        </w:numPr>
      </w:pPr>
      <w:r>
        <w:t>m</w:t>
      </w:r>
      <w:r w:rsidR="00FA7F33">
        <w:t xml:space="preserve">anaging interference with WBB services operating under </w:t>
      </w:r>
      <w:r w:rsidR="00FA7F33" w:rsidRPr="004675B3">
        <w:t>AWL</w:t>
      </w:r>
      <w:r w:rsidR="00FA7F33">
        <w:t>s</w:t>
      </w:r>
      <w:r w:rsidR="000B6E16">
        <w:t xml:space="preserve">, both in remote areas in 3400-4000 MHz and in adjacent frequencies in the same </w:t>
      </w:r>
      <w:r w:rsidR="003E16FC">
        <w:t xml:space="preserve">potential </w:t>
      </w:r>
      <w:r w:rsidR="000B6E16">
        <w:t>areas for future AWL allocations</w:t>
      </w:r>
      <w:r w:rsidR="007778D2">
        <w:t>.</w:t>
      </w:r>
    </w:p>
    <w:p w14:paraId="10556023" w14:textId="2B389690" w:rsidR="00FA7F33" w:rsidRPr="004675B3" w:rsidRDefault="00FA7F33" w:rsidP="00F461DE">
      <w:pPr>
        <w:pStyle w:val="ListBullet"/>
        <w:numPr>
          <w:ilvl w:val="0"/>
          <w:numId w:val="36"/>
        </w:numPr>
      </w:pPr>
      <w:r>
        <w:t>managing co-</w:t>
      </w:r>
      <w:r w:rsidR="00C16D21">
        <w:t xml:space="preserve">frequency and adjacent frequency </w:t>
      </w:r>
      <w:r>
        <w:t xml:space="preserve">interference with </w:t>
      </w:r>
      <w:r w:rsidRPr="004675B3">
        <w:t xml:space="preserve">devices operating </w:t>
      </w:r>
      <w:r>
        <w:t>under s</w:t>
      </w:r>
      <w:r w:rsidRPr="004675B3">
        <w:t>pectrum licen</w:t>
      </w:r>
      <w:r>
        <w:t>c</w:t>
      </w:r>
      <w:r w:rsidRPr="004675B3">
        <w:t>e</w:t>
      </w:r>
      <w:r>
        <w:t xml:space="preserve">s </w:t>
      </w:r>
      <w:r w:rsidRPr="004675B3">
        <w:t xml:space="preserve">in the frequency range 3400-3800 MHz in capital cities and </w:t>
      </w:r>
      <w:r>
        <w:t>variously defined</w:t>
      </w:r>
      <w:r w:rsidRPr="004675B3">
        <w:t xml:space="preserve"> regional areas</w:t>
      </w:r>
      <w:r w:rsidR="00723751">
        <w:t>.</w:t>
      </w:r>
      <w:r>
        <w:t xml:space="preserve"> </w:t>
      </w:r>
    </w:p>
    <w:p w14:paraId="3655DEC8" w14:textId="34F4DBAB" w:rsidR="00FA7F33" w:rsidRPr="004675B3" w:rsidRDefault="00FA7F33" w:rsidP="00F461DE">
      <w:pPr>
        <w:pStyle w:val="ListBullet"/>
        <w:numPr>
          <w:ilvl w:val="0"/>
          <w:numId w:val="36"/>
        </w:numPr>
      </w:pPr>
      <w:r>
        <w:t xml:space="preserve">managing interference with </w:t>
      </w:r>
      <w:r w:rsidRPr="004675B3">
        <w:t xml:space="preserve">FSS receive earth stations </w:t>
      </w:r>
      <w:r>
        <w:t>(earth receive apparatus licences – not</w:t>
      </w:r>
      <w:r w:rsidR="00723751">
        <w:t xml:space="preserve"> possible </w:t>
      </w:r>
      <w:r w:rsidR="004A6BBD">
        <w:t>future FSS</w:t>
      </w:r>
      <w:r>
        <w:t xml:space="preserve"> </w:t>
      </w:r>
      <w:r w:rsidR="00723751">
        <w:t xml:space="preserve">operating under </w:t>
      </w:r>
      <w:r>
        <w:t xml:space="preserve">AWLs) </w:t>
      </w:r>
      <w:r w:rsidRPr="004675B3">
        <w:t xml:space="preserve">in </w:t>
      </w:r>
      <w:r>
        <w:t>variously defined</w:t>
      </w:r>
      <w:r w:rsidRPr="004675B3">
        <w:t xml:space="preserve"> spectrum spaces in the frequency range 3400-4200 </w:t>
      </w:r>
      <w:r>
        <w:t>MHz</w:t>
      </w:r>
      <w:r w:rsidRPr="004675B3">
        <w:t>.</w:t>
      </w:r>
    </w:p>
    <w:p w14:paraId="17505DC0" w14:textId="44DCABA0" w:rsidR="00FA7F33" w:rsidRPr="004675B3" w:rsidRDefault="00FA7F33" w:rsidP="00F461DE">
      <w:pPr>
        <w:pStyle w:val="ListBullet"/>
        <w:numPr>
          <w:ilvl w:val="0"/>
          <w:numId w:val="36"/>
        </w:numPr>
      </w:pPr>
      <w:r>
        <w:t>managing interference with i</w:t>
      </w:r>
      <w:r w:rsidRPr="004675B3">
        <w:t xml:space="preserve">ncumbent </w:t>
      </w:r>
      <w:r w:rsidR="007778D2">
        <w:t>point-to-multipoint (</w:t>
      </w:r>
      <w:r w:rsidRPr="004675B3">
        <w:t>PMP</w:t>
      </w:r>
      <w:r w:rsidR="007778D2">
        <w:t>)</w:t>
      </w:r>
      <w:r w:rsidRPr="004675B3">
        <w:t xml:space="preserve"> services in </w:t>
      </w:r>
      <w:r>
        <w:t>variously defined</w:t>
      </w:r>
      <w:r w:rsidRPr="004675B3">
        <w:t xml:space="preserve"> spectrum spaces in the frequency range 3400-3700 </w:t>
      </w:r>
      <w:r>
        <w:t>MHz</w:t>
      </w:r>
      <w:r w:rsidRPr="004675B3">
        <w:t>.</w:t>
      </w:r>
    </w:p>
    <w:p w14:paraId="01293FFB" w14:textId="29525E90" w:rsidR="00FA7F33" w:rsidRPr="004675B3" w:rsidRDefault="00FA7F33" w:rsidP="00F461DE">
      <w:pPr>
        <w:pStyle w:val="ListBullet"/>
        <w:numPr>
          <w:ilvl w:val="0"/>
          <w:numId w:val="36"/>
        </w:numPr>
      </w:pPr>
      <w:r>
        <w:t>managing interference with l</w:t>
      </w:r>
      <w:r w:rsidRPr="004675B3">
        <w:t xml:space="preserve">egacy, incumbent and future </w:t>
      </w:r>
      <w:r w:rsidR="0099166C">
        <w:t>PTP</w:t>
      </w:r>
      <w:r w:rsidRPr="004675B3">
        <w:t xml:space="preserve"> services operating in the frequency range 3580-4200 MHz (3.8 GHz PTP band)</w:t>
      </w:r>
      <w:r w:rsidR="007B7563">
        <w:t>.</w:t>
      </w:r>
      <w:r>
        <w:t xml:space="preserve"> </w:t>
      </w:r>
    </w:p>
    <w:p w14:paraId="268840A0" w14:textId="2EE98CC3" w:rsidR="00FA7F33" w:rsidRPr="00F461DE" w:rsidRDefault="00FA7F33" w:rsidP="00FA397E">
      <w:pPr>
        <w:pStyle w:val="ListBullet"/>
        <w:numPr>
          <w:ilvl w:val="0"/>
          <w:numId w:val="36"/>
        </w:numPr>
        <w:rPr>
          <w:strike/>
        </w:rPr>
      </w:pPr>
      <w:r>
        <w:t>coexistence with a</w:t>
      </w:r>
      <w:r w:rsidRPr="004675B3">
        <w:t>eronautical radionavigation (radio altimeter) services operated in the 4200-4400 MHz band</w:t>
      </w:r>
      <w:r w:rsidR="0099166C">
        <w:t>.</w:t>
      </w:r>
    </w:p>
    <w:p w14:paraId="7CECE7D4" w14:textId="77D35EFD" w:rsidR="007015B0" w:rsidRPr="007F68A0" w:rsidRDefault="007015B0" w:rsidP="00F461DE">
      <w:pPr>
        <w:pStyle w:val="ListBullet"/>
        <w:numPr>
          <w:ilvl w:val="0"/>
          <w:numId w:val="36"/>
        </w:numPr>
        <w:rPr>
          <w:strike/>
        </w:rPr>
      </w:pPr>
      <w:r>
        <w:t>Coexistence with the Amateur service.</w:t>
      </w:r>
    </w:p>
    <w:p w14:paraId="5423F5B1" w14:textId="58B3993B" w:rsidR="00FA7F33" w:rsidRDefault="00FA7F33" w:rsidP="00F461DE">
      <w:pPr>
        <w:pStyle w:val="ListBullet"/>
        <w:numPr>
          <w:ilvl w:val="0"/>
          <w:numId w:val="36"/>
        </w:numPr>
      </w:pPr>
      <w:r>
        <w:t>managing interference with r</w:t>
      </w:r>
      <w:r w:rsidRPr="004675B3">
        <w:t xml:space="preserve">adiolocation services </w:t>
      </w:r>
      <w:r>
        <w:t xml:space="preserve">operating </w:t>
      </w:r>
      <w:r w:rsidR="001B407D">
        <w:t xml:space="preserve">between </w:t>
      </w:r>
      <w:r w:rsidR="001B407D" w:rsidRPr="001B407D">
        <w:t>3300-3400 MHz and 3400-3600 MHz</w:t>
      </w:r>
      <w:r w:rsidRPr="004675B3">
        <w:t>.</w:t>
      </w:r>
    </w:p>
    <w:p w14:paraId="1DD813CB" w14:textId="17A84B6E" w:rsidR="00FA7F33" w:rsidRDefault="00FA7F33" w:rsidP="00F461DE">
      <w:pPr>
        <w:pStyle w:val="ListBullet"/>
        <w:numPr>
          <w:ilvl w:val="0"/>
          <w:numId w:val="36"/>
        </w:numPr>
      </w:pPr>
      <w:r>
        <w:t>managing interference into earth station protection zones</w:t>
      </w:r>
      <w:r w:rsidR="00EF4BDB">
        <w:t xml:space="preserve"> (ESPZ)</w:t>
      </w:r>
      <w:r>
        <w:t>.</w:t>
      </w:r>
    </w:p>
    <w:p w14:paraId="2E627A6D" w14:textId="26F447FC" w:rsidR="001B407D" w:rsidRDefault="000C3452" w:rsidP="00FA397E">
      <w:pPr>
        <w:pStyle w:val="ListBullet"/>
        <w:numPr>
          <w:ilvl w:val="0"/>
          <w:numId w:val="36"/>
        </w:numPr>
      </w:pPr>
      <w:r>
        <w:t>m</w:t>
      </w:r>
      <w:r w:rsidR="001B407D">
        <w:t>anaging interference into the earth station facility near Uralla, NSW.</w:t>
      </w:r>
    </w:p>
    <w:p w14:paraId="72DBB469" w14:textId="047A46E6" w:rsidR="00A96849" w:rsidRPr="004675B3" w:rsidRDefault="000C3452" w:rsidP="00F461DE">
      <w:pPr>
        <w:pStyle w:val="ListBullet"/>
        <w:numPr>
          <w:ilvl w:val="0"/>
          <w:numId w:val="36"/>
        </w:numPr>
      </w:pPr>
      <w:r>
        <w:t>m</w:t>
      </w:r>
      <w:r w:rsidR="00A96849">
        <w:t>anaging interference into the mid-west radio quiet zone (RQZ).</w:t>
      </w:r>
    </w:p>
    <w:p w14:paraId="17E1AE1E" w14:textId="77777777" w:rsidR="005845B1" w:rsidRPr="00F461DE" w:rsidRDefault="005845B1" w:rsidP="00F461DE">
      <w:pPr>
        <w:pStyle w:val="ListBullet"/>
        <w:numPr>
          <w:ilvl w:val="0"/>
          <w:numId w:val="0"/>
        </w:numPr>
        <w:ind w:left="295" w:hanging="295"/>
        <w:rPr>
          <w:strike/>
        </w:rPr>
      </w:pPr>
    </w:p>
    <w:p w14:paraId="1FED4EB9" w14:textId="77777777" w:rsidR="00FB5D11" w:rsidRDefault="00FB5D11">
      <w:pPr>
        <w:spacing w:after="160" w:line="259" w:lineRule="auto"/>
      </w:pPr>
      <w:r>
        <w:br w:type="page"/>
      </w:r>
    </w:p>
    <w:p w14:paraId="75633BFF" w14:textId="3AD53209" w:rsidR="00FA7F33" w:rsidRDefault="00FA7F33" w:rsidP="00FA7F33">
      <w:pPr>
        <w:spacing w:after="80"/>
      </w:pPr>
      <w:r>
        <w:lastRenderedPageBreak/>
        <w:t xml:space="preserve">To support </w:t>
      </w:r>
      <w:r w:rsidR="00C16D21">
        <w:t xml:space="preserve">the SL </w:t>
      </w:r>
      <w:r>
        <w:t>deployments</w:t>
      </w:r>
      <w:r w:rsidR="00C16D21">
        <w:t xml:space="preserve">, </w:t>
      </w:r>
      <w:r>
        <w:t xml:space="preserve">the following </w:t>
      </w:r>
      <w:r w:rsidR="00834D3A">
        <w:t xml:space="preserve">instruments and </w:t>
      </w:r>
      <w:r>
        <w:t>documents will need to be drafted:</w:t>
      </w:r>
    </w:p>
    <w:p w14:paraId="26BEE3B1" w14:textId="5F5D5C17" w:rsidR="004009E2" w:rsidRPr="006B4EC1" w:rsidRDefault="004009E2" w:rsidP="004009E2">
      <w:pPr>
        <w:pStyle w:val="ListBullet"/>
        <w:numPr>
          <w:ilvl w:val="0"/>
          <w:numId w:val="37"/>
        </w:numPr>
        <w:rPr>
          <w:rFonts w:cs="Arial"/>
        </w:rPr>
      </w:pPr>
      <w:r>
        <w:t xml:space="preserve">Amendments to the </w:t>
      </w:r>
      <w:hyperlink r:id="rId36" w:tgtFrame="_self" w:history="1">
        <w:r w:rsidRPr="005438AE">
          <w:rPr>
            <w:rStyle w:val="Hyperlink"/>
            <w:bCs/>
          </w:rPr>
          <w:t xml:space="preserve">Radiocommunications (Unacceptable Levels of Interference – </w:t>
        </w:r>
        <w:r>
          <w:rPr>
            <w:rStyle w:val="Hyperlink"/>
            <w:bCs/>
          </w:rPr>
          <w:t>3.4</w:t>
        </w:r>
        <w:r w:rsidRPr="005438AE">
          <w:rPr>
            <w:rStyle w:val="Hyperlink"/>
            <w:bCs/>
          </w:rPr>
          <w:t xml:space="preserve"> GHz Band) Determination 201</w:t>
        </w:r>
        <w:r>
          <w:rPr>
            <w:rStyle w:val="Hyperlink"/>
            <w:bCs/>
          </w:rPr>
          <w:t>5</w:t>
        </w:r>
      </w:hyperlink>
      <w:r w:rsidRPr="00A9457C">
        <w:t xml:space="preserve"> </w:t>
      </w:r>
      <w:r>
        <w:t>(the s.145(4) determination)</w:t>
      </w:r>
    </w:p>
    <w:p w14:paraId="0431C1DD" w14:textId="314056F8" w:rsidR="004009E2" w:rsidRDefault="004009E2" w:rsidP="004009E2">
      <w:pPr>
        <w:pStyle w:val="ListBullet"/>
        <w:numPr>
          <w:ilvl w:val="0"/>
          <w:numId w:val="37"/>
        </w:numPr>
        <w:rPr>
          <w:rFonts w:cs="Arial"/>
        </w:rPr>
      </w:pPr>
      <w:r>
        <w:t xml:space="preserve">Amendments to the </w:t>
      </w:r>
      <w:hyperlink r:id="rId37" w:history="1">
        <w:r w:rsidRPr="006B4EC1">
          <w:rPr>
            <w:rStyle w:val="Hyperlink"/>
            <w:rFonts w:cs="Arial"/>
          </w:rPr>
          <w:t>Radiocommunications Advisory Guidelines (Managing Interference from Spectrum Licensed Transmitters — 3.4 GHz Band) 2015</w:t>
        </w:r>
      </w:hyperlink>
      <w:r w:rsidRPr="006B4EC1">
        <w:rPr>
          <w:rFonts w:cs="Arial"/>
        </w:rPr>
        <w:t xml:space="preserve"> (the RAG Tx)</w:t>
      </w:r>
    </w:p>
    <w:p w14:paraId="03E6F67C" w14:textId="1CDA10B0" w:rsidR="004009E2" w:rsidRPr="006B4EC1" w:rsidRDefault="004009E2" w:rsidP="004009E2">
      <w:pPr>
        <w:pStyle w:val="ListBullet"/>
        <w:numPr>
          <w:ilvl w:val="0"/>
          <w:numId w:val="37"/>
        </w:numPr>
        <w:spacing w:after="240"/>
        <w:rPr>
          <w:rFonts w:cs="Arial"/>
        </w:rPr>
      </w:pPr>
      <w:r>
        <w:t xml:space="preserve">Amendments to the </w:t>
      </w:r>
      <w:hyperlink r:id="rId38" w:tgtFrame="_self" w:history="1">
        <w:r w:rsidRPr="005438AE">
          <w:rPr>
            <w:rStyle w:val="Hyperlink"/>
            <w:bCs/>
          </w:rPr>
          <w:t xml:space="preserve">Radiocommunications Advisory Guidelines (Managing Interference to Spectrum Licensed Receivers – </w:t>
        </w:r>
        <w:r>
          <w:rPr>
            <w:rStyle w:val="Hyperlink"/>
            <w:bCs/>
          </w:rPr>
          <w:t>3.4</w:t>
        </w:r>
        <w:r w:rsidRPr="005438AE">
          <w:rPr>
            <w:rStyle w:val="Hyperlink"/>
            <w:bCs/>
          </w:rPr>
          <w:t xml:space="preserve"> GHz Band) 201</w:t>
        </w:r>
        <w:r>
          <w:rPr>
            <w:rStyle w:val="Hyperlink"/>
            <w:bCs/>
          </w:rPr>
          <w:t>5</w:t>
        </w:r>
      </w:hyperlink>
      <w:r>
        <w:rPr>
          <w:rFonts w:cs="Arial"/>
        </w:rPr>
        <w:t xml:space="preserve"> (</w:t>
      </w:r>
      <w:r w:rsidRPr="00A9457C">
        <w:rPr>
          <w:rFonts w:cs="Arial"/>
        </w:rPr>
        <w:t xml:space="preserve">the RAG </w:t>
      </w:r>
      <w:r>
        <w:rPr>
          <w:rFonts w:cs="Arial"/>
        </w:rPr>
        <w:t>R</w:t>
      </w:r>
      <w:r w:rsidRPr="00A9457C">
        <w:rPr>
          <w:rFonts w:cs="Arial"/>
        </w:rPr>
        <w:t>x)</w:t>
      </w:r>
    </w:p>
    <w:p w14:paraId="1FF3DB9E" w14:textId="4A7ED318" w:rsidR="00B24EDC" w:rsidRDefault="001B772D" w:rsidP="007F68A0">
      <w:pPr>
        <w:spacing w:after="80"/>
      </w:pPr>
      <w:r>
        <w:t>Draft RALI MS47 is also included with the spectrum licensing technical framework draft documents as it is referenced by some of the draft amended instruments</w:t>
      </w:r>
      <w:r w:rsidR="001A7738">
        <w:t xml:space="preserve"> and considers some aspects of coordination with SL services</w:t>
      </w:r>
      <w:r>
        <w:t>.</w:t>
      </w:r>
    </w:p>
    <w:p w14:paraId="2454B554" w14:textId="77777777" w:rsidR="00FA7F33" w:rsidRPr="00E9196E" w:rsidRDefault="00FA7F33" w:rsidP="00FA7F33">
      <w:pPr>
        <w:spacing w:after="80"/>
        <w:rPr>
          <w:b/>
          <w:bCs/>
        </w:rPr>
      </w:pPr>
      <w:bookmarkStart w:id="13" w:name="_Hlk90281873"/>
      <w:r w:rsidRPr="00E9196E">
        <w:rPr>
          <w:b/>
          <w:bCs/>
        </w:rPr>
        <w:t>Request for feedback</w:t>
      </w:r>
    </w:p>
    <w:p w14:paraId="60BD2584" w14:textId="7D0A5C73" w:rsidR="00FA7F33" w:rsidRDefault="00FA7F33" w:rsidP="00FA7F33">
      <w:pPr>
        <w:spacing w:after="80"/>
      </w:pPr>
      <w:r>
        <w:t xml:space="preserve">TLG members </w:t>
      </w:r>
      <w:r w:rsidR="006C16C5">
        <w:t xml:space="preserve">were </w:t>
      </w:r>
      <w:r>
        <w:t>encouraged to focus their attention o</w:t>
      </w:r>
      <w:r w:rsidR="007E3B48">
        <w:t>n</w:t>
      </w:r>
      <w:r>
        <w:t xml:space="preserve"> the above issues that are essential for the development of </w:t>
      </w:r>
      <w:r w:rsidR="003F0739">
        <w:t>the SL</w:t>
      </w:r>
      <w:r>
        <w:t xml:space="preserve"> arrangements</w:t>
      </w:r>
      <w:r w:rsidR="00765025">
        <w:t>.</w:t>
      </w:r>
    </w:p>
    <w:p w14:paraId="747398E1" w14:textId="77777777" w:rsidR="0077709D" w:rsidRPr="007D04B2" w:rsidRDefault="0077709D" w:rsidP="0077709D">
      <w:pPr>
        <w:pStyle w:val="Heading2"/>
      </w:pPr>
      <w:bookmarkStart w:id="14" w:name="_Toc507878605"/>
      <w:bookmarkStart w:id="15" w:name="_Toc126841060"/>
      <w:r w:rsidRPr="007D04B2">
        <w:t>Legal Review</w:t>
      </w:r>
      <w:bookmarkEnd w:id="14"/>
      <w:bookmarkEnd w:id="15"/>
      <w:r w:rsidRPr="007D04B2">
        <w:t xml:space="preserve"> </w:t>
      </w:r>
    </w:p>
    <w:p w14:paraId="11BCE05C" w14:textId="68F11344" w:rsidR="0077709D" w:rsidRPr="007D04B2" w:rsidRDefault="0077709D" w:rsidP="0077709D">
      <w:pPr>
        <w:spacing w:after="0" w:line="240" w:lineRule="auto"/>
      </w:pPr>
      <w:r w:rsidRPr="007D04B2">
        <w:t xml:space="preserve">It is noted that </w:t>
      </w:r>
      <w:r w:rsidR="006C16C5">
        <w:t xml:space="preserve">the </w:t>
      </w:r>
      <w:r w:rsidRPr="007D04B2">
        <w:t xml:space="preserve">draft </w:t>
      </w:r>
      <w:r>
        <w:t xml:space="preserve">amended </w:t>
      </w:r>
      <w:r w:rsidRPr="007D04B2">
        <w:t xml:space="preserve">instruments </w:t>
      </w:r>
      <w:r>
        <w:t xml:space="preserve">provided to the TLG </w:t>
      </w:r>
      <w:r w:rsidR="006C16C5" w:rsidRPr="007D04B2">
        <w:t>ha</w:t>
      </w:r>
      <w:r w:rsidR="006C16C5">
        <w:t>d</w:t>
      </w:r>
      <w:r w:rsidR="006C16C5" w:rsidRPr="007D04B2">
        <w:t xml:space="preserve"> </w:t>
      </w:r>
      <w:r w:rsidRPr="007D04B2">
        <w:t>not undergone legal review. It is possible there could be changes to the text in the</w:t>
      </w:r>
      <w:r>
        <w:t>se</w:t>
      </w:r>
      <w:r w:rsidRPr="007D04B2">
        <w:t xml:space="preserve"> draft instruments after such a review has been conducted. </w:t>
      </w:r>
    </w:p>
    <w:p w14:paraId="15F7DD33" w14:textId="77777777" w:rsidR="0077709D" w:rsidRPr="007D04B2" w:rsidRDefault="0077709D" w:rsidP="0077709D">
      <w:pPr>
        <w:spacing w:after="0" w:line="240" w:lineRule="auto"/>
      </w:pPr>
    </w:p>
    <w:p w14:paraId="60EDB4B5" w14:textId="6F541A28" w:rsidR="0077709D" w:rsidRPr="007D04B2" w:rsidRDefault="0077709D" w:rsidP="0077709D">
      <w:pPr>
        <w:spacing w:after="0" w:line="240" w:lineRule="auto"/>
      </w:pPr>
      <w:r w:rsidRPr="007D04B2">
        <w:t xml:space="preserve">Under the currently proposed timeline, a legal review of the draft instruments will be performed and finalised in time for public consultation of the draft technical framework </w:t>
      </w:r>
      <w:r>
        <w:t>towards the end of 2022</w:t>
      </w:r>
      <w:r w:rsidRPr="007D04B2">
        <w:t>.</w:t>
      </w:r>
    </w:p>
    <w:p w14:paraId="7F8A372C" w14:textId="77777777" w:rsidR="0077709D" w:rsidRDefault="0077709D" w:rsidP="00FA7F33">
      <w:pPr>
        <w:spacing w:after="80"/>
      </w:pPr>
    </w:p>
    <w:p w14:paraId="5355162A" w14:textId="77777777" w:rsidR="00FA7F33" w:rsidRPr="007D04B2" w:rsidRDefault="00FA7F33" w:rsidP="00FA7F33">
      <w:pPr>
        <w:pStyle w:val="Heading1"/>
      </w:pPr>
      <w:bookmarkStart w:id="16" w:name="_Toc56006327"/>
      <w:bookmarkStart w:id="17" w:name="_Toc57809584"/>
      <w:bookmarkStart w:id="18" w:name="_Toc126841061"/>
      <w:bookmarkEnd w:id="13"/>
      <w:r w:rsidRPr="007D04B2">
        <w:lastRenderedPageBreak/>
        <w:t>Outline</w:t>
      </w:r>
      <w:bookmarkEnd w:id="16"/>
      <w:bookmarkEnd w:id="17"/>
      <w:r>
        <w:t xml:space="preserve"> of paper</w:t>
      </w:r>
      <w:bookmarkEnd w:id="18"/>
    </w:p>
    <w:p w14:paraId="0240219A" w14:textId="35842A76" w:rsidR="00FA7F33" w:rsidRPr="007D04B2" w:rsidRDefault="00FA7F33" w:rsidP="00FA7F33">
      <w:pPr>
        <w:spacing w:after="0" w:line="240" w:lineRule="auto"/>
      </w:pPr>
      <w:r w:rsidRPr="007D04B2">
        <w:t>This paper has been divided into discussion o</w:t>
      </w:r>
      <w:r>
        <w:t>n the following issues</w:t>
      </w:r>
      <w:r w:rsidR="00546EE5">
        <w:t>:</w:t>
      </w:r>
    </w:p>
    <w:p w14:paraId="6428923A" w14:textId="77777777" w:rsidR="00546EE5" w:rsidRPr="007D04B2" w:rsidRDefault="00546EE5" w:rsidP="00FA7F33">
      <w:pPr>
        <w:spacing w:after="0" w:line="240" w:lineRule="auto"/>
      </w:pPr>
    </w:p>
    <w:p w14:paraId="03404AB2" w14:textId="61124201" w:rsidR="00FA7F33" w:rsidRPr="00B1548D" w:rsidRDefault="006836EB" w:rsidP="00FA7F33">
      <w:pPr>
        <w:pStyle w:val="ListBullet"/>
        <w:rPr>
          <w:rFonts w:cs="Arial"/>
        </w:rPr>
      </w:pPr>
      <w:r>
        <w:rPr>
          <w:rFonts w:cs="Arial"/>
        </w:rPr>
        <w:t>c</w:t>
      </w:r>
      <w:r w:rsidR="00FA7F33">
        <w:rPr>
          <w:rFonts w:cs="Arial"/>
        </w:rPr>
        <w:t xml:space="preserve">oexistence between WBB and </w:t>
      </w:r>
      <w:r w:rsidR="00FA7F33">
        <w:t>aeronautical radionavigation services.</w:t>
      </w:r>
    </w:p>
    <w:p w14:paraId="0B51AA08" w14:textId="505E52F3" w:rsidR="00FA7F33" w:rsidRPr="00B04B10" w:rsidRDefault="006836EB" w:rsidP="00FA7F33">
      <w:pPr>
        <w:pStyle w:val="ListBullet"/>
        <w:rPr>
          <w:rFonts w:cs="Arial"/>
        </w:rPr>
      </w:pPr>
      <w:r>
        <w:rPr>
          <w:rFonts w:cs="Arial"/>
        </w:rPr>
        <w:t>e</w:t>
      </w:r>
      <w:r w:rsidR="00FA7F33">
        <w:rPr>
          <w:rFonts w:cs="Arial"/>
        </w:rPr>
        <w:t>xtended 3.4 GHz band spectrum licen</w:t>
      </w:r>
      <w:r w:rsidR="00656A45">
        <w:rPr>
          <w:rFonts w:cs="Arial"/>
        </w:rPr>
        <w:t>sing</w:t>
      </w:r>
      <w:r w:rsidR="00FA7F33">
        <w:rPr>
          <w:rFonts w:cs="Arial"/>
        </w:rPr>
        <w:t xml:space="preserve"> technical framework.</w:t>
      </w:r>
    </w:p>
    <w:p w14:paraId="56F4A875" w14:textId="77777777" w:rsidR="00FA7F33" w:rsidRPr="007D04B2" w:rsidRDefault="00FA7F33" w:rsidP="00FA7F33">
      <w:pPr>
        <w:pStyle w:val="sub-heading"/>
      </w:pPr>
      <w:bookmarkStart w:id="19" w:name="_Toc126841062"/>
      <w:r w:rsidRPr="007D04B2">
        <w:t>Timeline</w:t>
      </w:r>
      <w:bookmarkEnd w:id="10"/>
      <w:bookmarkEnd w:id="19"/>
    </w:p>
    <w:p w14:paraId="02EF6926" w14:textId="3A3A51AF" w:rsidR="00FA7F33" w:rsidRDefault="00FA7F33" w:rsidP="00FA7F33">
      <w:pPr>
        <w:rPr>
          <w:rFonts w:cs="Calibri"/>
        </w:rPr>
      </w:pPr>
      <w:r w:rsidRPr="007D04B2">
        <w:rPr>
          <w:rFonts w:cs="Calibri"/>
        </w:rPr>
        <w:t xml:space="preserve">The ACMA is </w:t>
      </w:r>
      <w:r w:rsidR="005F1543">
        <w:rPr>
          <w:rFonts w:cs="Calibri"/>
        </w:rPr>
        <w:t>proposing to</w:t>
      </w:r>
      <w:r w:rsidR="004B3071">
        <w:rPr>
          <w:rFonts w:cs="Calibri"/>
        </w:rPr>
        <w:t xml:space="preserve"> consult on the spectrum licensing allocation instruments, including the spectrum licensing technical framework, in </w:t>
      </w:r>
      <w:r w:rsidR="009D1DE5">
        <w:rPr>
          <w:rFonts w:cs="Calibri"/>
        </w:rPr>
        <w:t>Q1 2023</w:t>
      </w:r>
      <w:r w:rsidR="004B3071">
        <w:rPr>
          <w:rFonts w:cs="Calibri"/>
        </w:rPr>
        <w:t>.  A</w:t>
      </w:r>
      <w:r w:rsidR="00DD3432">
        <w:rPr>
          <w:rFonts w:cs="Calibri"/>
        </w:rPr>
        <w:t xml:space="preserve">n </w:t>
      </w:r>
      <w:r>
        <w:rPr>
          <w:rFonts w:cs="Calibri"/>
        </w:rPr>
        <w:t xml:space="preserve">indicative </w:t>
      </w:r>
      <w:r w:rsidRPr="007D04B2">
        <w:rPr>
          <w:rFonts w:cs="Calibri"/>
        </w:rPr>
        <w:t>timeframe is</w:t>
      </w:r>
      <w:r>
        <w:rPr>
          <w:rFonts w:cs="Calibri"/>
        </w:rPr>
        <w:t xml:space="preserve"> detailed in Table </w:t>
      </w:r>
      <w:r w:rsidR="004B3071">
        <w:rPr>
          <w:rFonts w:cs="Calibri"/>
        </w:rPr>
        <w:t>1</w:t>
      </w:r>
      <w:r>
        <w:rPr>
          <w:rFonts w:cs="Calibri"/>
        </w:rPr>
        <w:t>.</w:t>
      </w:r>
    </w:p>
    <w:p w14:paraId="35A185B6" w14:textId="77777777" w:rsidR="00FA7F33" w:rsidRPr="00702EA1" w:rsidRDefault="00FA7F33" w:rsidP="00FA7F33">
      <w:pPr>
        <w:pStyle w:val="Tableheading"/>
        <w:keepLines/>
      </w:pPr>
      <w:r>
        <w:t>Indicative timeline for the extended 3.4 GHz band TLG</w:t>
      </w:r>
    </w:p>
    <w:tbl>
      <w:tblPr>
        <w:tblStyle w:val="ACMAtablestyle"/>
        <w:tblW w:w="6762" w:type="dxa"/>
        <w:tblLayout w:type="fixed"/>
        <w:tblLook w:val="04A0" w:firstRow="1" w:lastRow="0" w:firstColumn="1" w:lastColumn="0" w:noHBand="0" w:noVBand="1"/>
        <w:tblCaption w:val="Indicative timetable for the reallocation process"/>
        <w:tblDescription w:val="The table provides the indicative timetable which outlines the key steps in the re-allocation process. The ACMA is working towards giving the Minister a recommendation to make a spectrum reallocation declaration in May 2015, and anticipates that the Minister will make a spectrum re-allocation declaration in May 2015. However, under section 153E of the Act, the Minister has 180 days after receiving the ACMA’s recommendation to make a spectrum re-allocation declaration. If the Minister makes a spectrum re-allocation declaration in May, the ACMA is proposing to commence an auction of the 1800 megahertz band in November 2015. "/>
      </w:tblPr>
      <w:tblGrid>
        <w:gridCol w:w="3381"/>
        <w:gridCol w:w="3381"/>
      </w:tblGrid>
      <w:tr w:rsidR="004B3071" w:rsidRPr="003B5575" w14:paraId="3EF6D668" w14:textId="77777777" w:rsidTr="00986626">
        <w:trPr>
          <w:cnfStyle w:val="100000000000" w:firstRow="1" w:lastRow="0" w:firstColumn="0" w:lastColumn="0" w:oddVBand="0" w:evenVBand="0" w:oddHBand="0" w:evenHBand="0" w:firstRowFirstColumn="0" w:firstRowLastColumn="0" w:lastRowFirstColumn="0" w:lastRowLastColumn="0"/>
        </w:trPr>
        <w:tc>
          <w:tcPr>
            <w:tcW w:w="3381" w:type="dxa"/>
          </w:tcPr>
          <w:p w14:paraId="109365B9" w14:textId="77777777" w:rsidR="004B3071" w:rsidRPr="00BA38E1" w:rsidRDefault="004B3071" w:rsidP="00B63CAB">
            <w:pPr>
              <w:pStyle w:val="TableHeading0"/>
              <w:rPr>
                <w:rFonts w:cs="Arial"/>
                <w:sz w:val="22"/>
                <w:szCs w:val="22"/>
              </w:rPr>
            </w:pPr>
            <w:r w:rsidRPr="00BA38E1">
              <w:rPr>
                <w:rFonts w:cs="Arial"/>
                <w:sz w:val="22"/>
                <w:szCs w:val="22"/>
              </w:rPr>
              <w:t>Key steps</w:t>
            </w:r>
          </w:p>
        </w:tc>
        <w:tc>
          <w:tcPr>
            <w:tcW w:w="3381" w:type="dxa"/>
          </w:tcPr>
          <w:p w14:paraId="01B22315" w14:textId="3437385A" w:rsidR="004B3071" w:rsidRPr="00BA38E1" w:rsidRDefault="004B3071" w:rsidP="00B63CAB">
            <w:pPr>
              <w:pStyle w:val="TableHeading0"/>
              <w:rPr>
                <w:rFonts w:cs="Arial"/>
                <w:sz w:val="22"/>
                <w:szCs w:val="22"/>
              </w:rPr>
            </w:pPr>
            <w:r w:rsidRPr="00BA38E1">
              <w:rPr>
                <w:rFonts w:cs="Arial"/>
                <w:sz w:val="22"/>
                <w:szCs w:val="22"/>
              </w:rPr>
              <w:t>Proposed Date</w:t>
            </w:r>
          </w:p>
        </w:tc>
      </w:tr>
      <w:tr w:rsidR="004B3071" w:rsidRPr="003B5575" w14:paraId="497EE552" w14:textId="77777777" w:rsidTr="00BA1887">
        <w:trPr>
          <w:cnfStyle w:val="000000100000" w:firstRow="0" w:lastRow="0" w:firstColumn="0" w:lastColumn="0" w:oddVBand="0" w:evenVBand="0" w:oddHBand="1" w:evenHBand="0" w:firstRowFirstColumn="0" w:firstRowLastColumn="0" w:lastRowFirstColumn="0" w:lastRowLastColumn="0"/>
        </w:trPr>
        <w:tc>
          <w:tcPr>
            <w:tcW w:w="3381" w:type="dxa"/>
          </w:tcPr>
          <w:p w14:paraId="1E8C2D9F" w14:textId="129A82BF" w:rsidR="004B3071" w:rsidRPr="00BA38E1" w:rsidRDefault="006F3965" w:rsidP="00B63CAB">
            <w:pPr>
              <w:keepNext/>
              <w:keepLines/>
              <w:spacing w:after="0"/>
              <w:rPr>
                <w:rFonts w:cs="Arial"/>
                <w:szCs w:val="20"/>
              </w:rPr>
            </w:pPr>
            <w:r>
              <w:rPr>
                <w:rFonts w:cs="Arial"/>
                <w:szCs w:val="20"/>
              </w:rPr>
              <w:t xml:space="preserve">New </w:t>
            </w:r>
            <w:r w:rsidR="004B3071" w:rsidRPr="00BA38E1">
              <w:rPr>
                <w:rFonts w:cs="Arial"/>
                <w:szCs w:val="20"/>
              </w:rPr>
              <w:t>TLG process</w:t>
            </w:r>
          </w:p>
          <w:p w14:paraId="02BEFE70" w14:textId="77777777" w:rsidR="004B3071" w:rsidRPr="00BA38E1" w:rsidRDefault="004B3071" w:rsidP="00B63CAB">
            <w:pPr>
              <w:keepNext/>
              <w:keepLines/>
              <w:spacing w:after="0"/>
              <w:rPr>
                <w:rFonts w:cs="Arial"/>
                <w:szCs w:val="20"/>
              </w:rPr>
            </w:pPr>
          </w:p>
          <w:p w14:paraId="7433C1B6" w14:textId="41A5EEF2" w:rsidR="004B3071" w:rsidRPr="00D9497D" w:rsidRDefault="004B3071" w:rsidP="00FA7F33">
            <w:pPr>
              <w:pStyle w:val="ListParagraph"/>
              <w:numPr>
                <w:ilvl w:val="0"/>
                <w:numId w:val="19"/>
              </w:numPr>
            </w:pPr>
            <w:r w:rsidRPr="00D9497D">
              <w:t>release of TLG paper (V</w:t>
            </w:r>
            <w:r>
              <w:t>4</w:t>
            </w:r>
            <w:r w:rsidRPr="00D9497D">
              <w:t>.0)</w:t>
            </w:r>
          </w:p>
          <w:p w14:paraId="009B57B6" w14:textId="77777777" w:rsidR="004B3071" w:rsidRPr="00D9497D" w:rsidRDefault="004B3071" w:rsidP="00B63CAB">
            <w:pPr>
              <w:pStyle w:val="ListParagraph"/>
              <w:numPr>
                <w:ilvl w:val="0"/>
                <w:numId w:val="0"/>
              </w:numPr>
              <w:ind w:left="644"/>
            </w:pPr>
          </w:p>
          <w:p w14:paraId="62809D95" w14:textId="15CC800D" w:rsidR="004B3071" w:rsidRPr="00D9497D" w:rsidRDefault="004B3071" w:rsidP="00FA7F33">
            <w:pPr>
              <w:pStyle w:val="ListParagraph"/>
              <w:numPr>
                <w:ilvl w:val="0"/>
                <w:numId w:val="19"/>
              </w:numPr>
            </w:pPr>
            <w:r w:rsidRPr="00D9497D">
              <w:t>Deadline for submissions/comments on TLG paper</w:t>
            </w:r>
            <w:r>
              <w:t xml:space="preserve"> (V4.0)</w:t>
            </w:r>
          </w:p>
          <w:p w14:paraId="5D8C4743" w14:textId="77777777" w:rsidR="004B3071" w:rsidRPr="00D9497D" w:rsidRDefault="004B3071" w:rsidP="00B63CAB">
            <w:pPr>
              <w:pStyle w:val="ListParagraph"/>
              <w:numPr>
                <w:ilvl w:val="0"/>
                <w:numId w:val="0"/>
              </w:numPr>
              <w:ind w:left="644"/>
            </w:pPr>
          </w:p>
          <w:p w14:paraId="4488757C" w14:textId="037D112A" w:rsidR="004B3071" w:rsidRDefault="00A014A5" w:rsidP="00FA7F33">
            <w:pPr>
              <w:pStyle w:val="ListParagraph"/>
              <w:numPr>
                <w:ilvl w:val="0"/>
                <w:numId w:val="19"/>
              </w:numPr>
            </w:pPr>
            <w:r>
              <w:t>Deadline for submissions/comments on the RA report</w:t>
            </w:r>
          </w:p>
          <w:p w14:paraId="0BFF6AB6" w14:textId="77777777" w:rsidR="00A014A5" w:rsidRDefault="00A014A5" w:rsidP="00BA1887">
            <w:pPr>
              <w:pStyle w:val="ListParagraph"/>
              <w:numPr>
                <w:ilvl w:val="0"/>
                <w:numId w:val="0"/>
              </w:numPr>
              <w:ind w:left="720"/>
            </w:pPr>
          </w:p>
          <w:p w14:paraId="738D3A38" w14:textId="1CC86959" w:rsidR="00A014A5" w:rsidRPr="00D9497D" w:rsidRDefault="00A014A5" w:rsidP="00FA7F33">
            <w:pPr>
              <w:pStyle w:val="ListParagraph"/>
              <w:numPr>
                <w:ilvl w:val="0"/>
                <w:numId w:val="19"/>
              </w:numPr>
            </w:pPr>
            <w:r>
              <w:t xml:space="preserve">Release of TLG paper (V5.0) for review of </w:t>
            </w:r>
            <w:r w:rsidR="001547BC">
              <w:t xml:space="preserve">member’s </w:t>
            </w:r>
            <w:r>
              <w:t>views</w:t>
            </w:r>
          </w:p>
          <w:p w14:paraId="42100012" w14:textId="77777777" w:rsidR="004B3071" w:rsidRPr="00D9497D" w:rsidRDefault="004B3071" w:rsidP="00B63CAB">
            <w:pPr>
              <w:pStyle w:val="ListParagraph"/>
              <w:numPr>
                <w:ilvl w:val="0"/>
                <w:numId w:val="0"/>
              </w:numPr>
              <w:ind w:left="644"/>
            </w:pPr>
          </w:p>
          <w:p w14:paraId="7ADF8D33" w14:textId="5378E626" w:rsidR="004B3071" w:rsidRPr="00D9497D" w:rsidRDefault="004B3071" w:rsidP="00FA7F33">
            <w:pPr>
              <w:pStyle w:val="ListParagraph"/>
              <w:numPr>
                <w:ilvl w:val="0"/>
                <w:numId w:val="19"/>
              </w:numPr>
            </w:pPr>
            <w:r w:rsidRPr="00D9497D">
              <w:t xml:space="preserve">Finalise TLG paper, </w:t>
            </w:r>
            <w:r>
              <w:t>suspend</w:t>
            </w:r>
            <w:r w:rsidRPr="00D9497D">
              <w:t xml:space="preserve"> TLG ahead of public release</w:t>
            </w:r>
          </w:p>
        </w:tc>
        <w:tc>
          <w:tcPr>
            <w:tcW w:w="3381" w:type="dxa"/>
          </w:tcPr>
          <w:p w14:paraId="6D38D57C" w14:textId="444EB661" w:rsidR="004B3071" w:rsidRPr="00BA38E1" w:rsidRDefault="006F3965" w:rsidP="00B63CAB">
            <w:pPr>
              <w:keepNext/>
              <w:keepLines/>
              <w:spacing w:after="0"/>
              <w:rPr>
                <w:rFonts w:cs="Arial"/>
                <w:szCs w:val="20"/>
              </w:rPr>
            </w:pPr>
            <w:r>
              <w:rPr>
                <w:rFonts w:cs="Arial"/>
                <w:szCs w:val="20"/>
              </w:rPr>
              <w:t xml:space="preserve">September 2022 </w:t>
            </w:r>
            <w:r w:rsidR="004B3071" w:rsidRPr="00BA38E1">
              <w:rPr>
                <w:rFonts w:cs="Arial"/>
                <w:szCs w:val="20"/>
              </w:rPr>
              <w:t>-</w:t>
            </w:r>
            <w:r>
              <w:rPr>
                <w:rFonts w:cs="Arial"/>
                <w:szCs w:val="20"/>
              </w:rPr>
              <w:t xml:space="preserve"> </w:t>
            </w:r>
            <w:r w:rsidR="00211404">
              <w:rPr>
                <w:rFonts w:cs="Arial"/>
                <w:szCs w:val="20"/>
              </w:rPr>
              <w:t>January</w:t>
            </w:r>
            <w:r w:rsidR="00211404">
              <w:rPr>
                <w:rFonts w:cs="Arial"/>
                <w:szCs w:val="20"/>
              </w:rPr>
              <w:t xml:space="preserve"> </w:t>
            </w:r>
            <w:r>
              <w:rPr>
                <w:rFonts w:cs="Arial"/>
                <w:szCs w:val="20"/>
              </w:rPr>
              <w:t>2023</w:t>
            </w:r>
          </w:p>
          <w:p w14:paraId="3862EEE8" w14:textId="77777777" w:rsidR="004B3071" w:rsidRPr="00BA38E1" w:rsidRDefault="004B3071" w:rsidP="00B63CAB">
            <w:pPr>
              <w:keepNext/>
              <w:keepLines/>
              <w:spacing w:after="0"/>
              <w:ind w:left="284"/>
              <w:rPr>
                <w:rFonts w:cs="Arial"/>
                <w:szCs w:val="20"/>
              </w:rPr>
            </w:pPr>
          </w:p>
          <w:p w14:paraId="467413AC" w14:textId="58A3ACCD" w:rsidR="004B3071" w:rsidRPr="00BA38E1" w:rsidRDefault="004F0460" w:rsidP="00B63CAB">
            <w:pPr>
              <w:keepNext/>
              <w:keepLines/>
              <w:spacing w:after="0"/>
              <w:ind w:left="284"/>
              <w:rPr>
                <w:rFonts w:cs="Arial"/>
                <w:szCs w:val="20"/>
              </w:rPr>
            </w:pPr>
            <w:r>
              <w:rPr>
                <w:rFonts w:cs="Arial"/>
                <w:szCs w:val="20"/>
              </w:rPr>
              <w:t>21</w:t>
            </w:r>
            <w:r w:rsidR="004B3071">
              <w:rPr>
                <w:rFonts w:cs="Arial"/>
                <w:szCs w:val="20"/>
              </w:rPr>
              <w:t xml:space="preserve"> September 2022</w:t>
            </w:r>
          </w:p>
          <w:p w14:paraId="6E237BB5" w14:textId="77777777" w:rsidR="004B3071" w:rsidRDefault="004B3071" w:rsidP="00B63CAB">
            <w:pPr>
              <w:keepNext/>
              <w:keepLines/>
              <w:spacing w:after="0"/>
              <w:ind w:left="284"/>
              <w:rPr>
                <w:rFonts w:cs="Arial"/>
                <w:szCs w:val="20"/>
              </w:rPr>
            </w:pPr>
          </w:p>
          <w:p w14:paraId="624DC0DE" w14:textId="77777777" w:rsidR="004B3071" w:rsidRPr="00BA38E1" w:rsidRDefault="004B3071" w:rsidP="00B63CAB">
            <w:pPr>
              <w:keepNext/>
              <w:keepLines/>
              <w:spacing w:after="0"/>
              <w:ind w:left="284"/>
              <w:rPr>
                <w:rFonts w:cs="Arial"/>
                <w:szCs w:val="20"/>
              </w:rPr>
            </w:pPr>
          </w:p>
          <w:p w14:paraId="5BECF710" w14:textId="1A290818" w:rsidR="004B3071" w:rsidRPr="00BA38E1" w:rsidRDefault="004E2BCE" w:rsidP="00B63CAB">
            <w:pPr>
              <w:keepNext/>
              <w:keepLines/>
              <w:spacing w:after="0"/>
              <w:ind w:left="284"/>
              <w:rPr>
                <w:rFonts w:cs="Arial"/>
                <w:szCs w:val="20"/>
              </w:rPr>
            </w:pPr>
            <w:r>
              <w:rPr>
                <w:rFonts w:cs="Arial"/>
                <w:szCs w:val="20"/>
              </w:rPr>
              <w:t>14</w:t>
            </w:r>
            <w:r w:rsidR="00383880">
              <w:rPr>
                <w:rFonts w:cs="Arial"/>
                <w:szCs w:val="20"/>
              </w:rPr>
              <w:t xml:space="preserve"> October</w:t>
            </w:r>
            <w:r w:rsidR="004B3071">
              <w:rPr>
                <w:rFonts w:cs="Arial"/>
                <w:szCs w:val="20"/>
              </w:rPr>
              <w:t xml:space="preserve"> 2022</w:t>
            </w:r>
          </w:p>
          <w:p w14:paraId="2CCF08AA" w14:textId="77777777" w:rsidR="004B3071" w:rsidRPr="00BA38E1" w:rsidRDefault="004B3071" w:rsidP="00B63CAB">
            <w:pPr>
              <w:keepNext/>
              <w:keepLines/>
              <w:spacing w:after="0"/>
              <w:ind w:left="284"/>
              <w:rPr>
                <w:rFonts w:cs="Arial"/>
                <w:szCs w:val="20"/>
              </w:rPr>
            </w:pPr>
          </w:p>
          <w:p w14:paraId="689E3A1B" w14:textId="77777777" w:rsidR="004B3071" w:rsidRPr="00BA38E1" w:rsidRDefault="004B3071" w:rsidP="00B63CAB">
            <w:pPr>
              <w:keepNext/>
              <w:keepLines/>
              <w:spacing w:after="0"/>
              <w:ind w:left="284"/>
              <w:rPr>
                <w:rFonts w:cs="Arial"/>
                <w:szCs w:val="20"/>
              </w:rPr>
            </w:pPr>
          </w:p>
          <w:p w14:paraId="1928042A" w14:textId="77777777" w:rsidR="004B3071" w:rsidRDefault="004B3071" w:rsidP="00B63CAB">
            <w:pPr>
              <w:keepNext/>
              <w:keepLines/>
              <w:spacing w:after="0"/>
              <w:ind w:left="284"/>
              <w:rPr>
                <w:rFonts w:cs="Arial"/>
                <w:szCs w:val="20"/>
              </w:rPr>
            </w:pPr>
          </w:p>
          <w:p w14:paraId="0AD49FF4" w14:textId="0DAFC0F6" w:rsidR="004B3071" w:rsidRPr="00BA38E1" w:rsidRDefault="00A014A5" w:rsidP="00B63CAB">
            <w:pPr>
              <w:keepNext/>
              <w:keepLines/>
              <w:spacing w:after="0"/>
              <w:ind w:left="284"/>
              <w:rPr>
                <w:rFonts w:cs="Arial"/>
                <w:szCs w:val="20"/>
              </w:rPr>
            </w:pPr>
            <w:r>
              <w:rPr>
                <w:rFonts w:cs="Arial"/>
                <w:szCs w:val="20"/>
              </w:rPr>
              <w:t>31</w:t>
            </w:r>
            <w:r w:rsidRPr="00BA38E1">
              <w:rPr>
                <w:rFonts w:cs="Arial"/>
                <w:szCs w:val="20"/>
              </w:rPr>
              <w:t xml:space="preserve"> </w:t>
            </w:r>
            <w:r w:rsidR="002467A6">
              <w:rPr>
                <w:rFonts w:cs="Arial"/>
                <w:szCs w:val="20"/>
              </w:rPr>
              <w:t>October 2022</w:t>
            </w:r>
          </w:p>
          <w:p w14:paraId="1A0913B5" w14:textId="77777777" w:rsidR="004B3071" w:rsidRDefault="004B3071" w:rsidP="00B63CAB">
            <w:pPr>
              <w:keepNext/>
              <w:keepLines/>
              <w:spacing w:after="0"/>
              <w:ind w:left="284"/>
              <w:rPr>
                <w:rFonts w:cs="Arial"/>
                <w:szCs w:val="20"/>
              </w:rPr>
            </w:pPr>
          </w:p>
          <w:p w14:paraId="6945C5D7" w14:textId="77777777" w:rsidR="004B3071" w:rsidRDefault="004B3071" w:rsidP="00B63CAB">
            <w:pPr>
              <w:keepNext/>
              <w:keepLines/>
              <w:spacing w:after="0"/>
              <w:ind w:left="284"/>
              <w:rPr>
                <w:rFonts w:cs="Arial"/>
                <w:szCs w:val="20"/>
              </w:rPr>
            </w:pPr>
          </w:p>
          <w:p w14:paraId="082E7167" w14:textId="77777777" w:rsidR="00A014A5" w:rsidRDefault="00A014A5" w:rsidP="00B63CAB">
            <w:pPr>
              <w:keepNext/>
              <w:keepLines/>
              <w:spacing w:after="0"/>
              <w:ind w:left="284"/>
              <w:rPr>
                <w:rFonts w:cs="Arial"/>
                <w:szCs w:val="20"/>
              </w:rPr>
            </w:pPr>
          </w:p>
          <w:p w14:paraId="38F7AFDE" w14:textId="252B9E7A" w:rsidR="004B3071" w:rsidRDefault="00DB39E7" w:rsidP="00BA1887">
            <w:pPr>
              <w:keepNext/>
              <w:keepLines/>
              <w:spacing w:before="60" w:after="0"/>
              <w:ind w:left="284"/>
              <w:rPr>
                <w:rFonts w:cs="Arial"/>
                <w:szCs w:val="20"/>
              </w:rPr>
            </w:pPr>
            <w:r>
              <w:rPr>
                <w:rFonts w:cs="Arial"/>
                <w:szCs w:val="20"/>
              </w:rPr>
              <w:t>9</w:t>
            </w:r>
            <w:r w:rsidR="001B20E5">
              <w:rPr>
                <w:rFonts w:cs="Arial"/>
                <w:szCs w:val="20"/>
              </w:rPr>
              <w:t xml:space="preserve"> </w:t>
            </w:r>
            <w:r>
              <w:rPr>
                <w:rFonts w:cs="Arial"/>
                <w:szCs w:val="20"/>
              </w:rPr>
              <w:t xml:space="preserve">December </w:t>
            </w:r>
            <w:r w:rsidR="002467A6">
              <w:rPr>
                <w:rFonts w:cs="Arial"/>
                <w:szCs w:val="20"/>
              </w:rPr>
              <w:t>2022</w:t>
            </w:r>
          </w:p>
          <w:p w14:paraId="7AD79BE4" w14:textId="77777777" w:rsidR="00A014A5" w:rsidRDefault="00A014A5" w:rsidP="00B63CAB">
            <w:pPr>
              <w:keepNext/>
              <w:keepLines/>
              <w:spacing w:after="0"/>
              <w:ind w:left="284"/>
              <w:rPr>
                <w:rFonts w:cs="Arial"/>
                <w:szCs w:val="20"/>
              </w:rPr>
            </w:pPr>
          </w:p>
          <w:p w14:paraId="3E5EF847" w14:textId="77777777" w:rsidR="00A014A5" w:rsidRDefault="00A014A5" w:rsidP="00B63CAB">
            <w:pPr>
              <w:keepNext/>
              <w:keepLines/>
              <w:spacing w:after="0"/>
              <w:ind w:left="284"/>
              <w:rPr>
                <w:rFonts w:cs="Arial"/>
                <w:szCs w:val="20"/>
              </w:rPr>
            </w:pPr>
          </w:p>
          <w:p w14:paraId="55B87140" w14:textId="2C51E1C7" w:rsidR="00A014A5" w:rsidRPr="00BA38E1" w:rsidRDefault="00DB39E7" w:rsidP="00BA1887">
            <w:pPr>
              <w:keepNext/>
              <w:keepLines/>
              <w:spacing w:before="60" w:after="120"/>
              <w:ind w:left="284"/>
              <w:rPr>
                <w:rFonts w:cs="Arial"/>
                <w:szCs w:val="20"/>
              </w:rPr>
            </w:pPr>
            <w:r>
              <w:rPr>
                <w:rFonts w:cs="Arial"/>
                <w:szCs w:val="20"/>
              </w:rPr>
              <w:t>January</w:t>
            </w:r>
            <w:r w:rsidR="00A014A5">
              <w:rPr>
                <w:rFonts w:cs="Arial"/>
                <w:szCs w:val="20"/>
              </w:rPr>
              <w:t xml:space="preserve"> 202</w:t>
            </w:r>
            <w:r>
              <w:rPr>
                <w:rFonts w:cs="Arial"/>
                <w:szCs w:val="20"/>
              </w:rPr>
              <w:t>3</w:t>
            </w:r>
          </w:p>
        </w:tc>
      </w:tr>
      <w:tr w:rsidR="004B3071" w:rsidRPr="003B5575" w14:paraId="6AAF5FB2" w14:textId="77777777" w:rsidTr="00BA1887">
        <w:trPr>
          <w:cnfStyle w:val="000000010000" w:firstRow="0" w:lastRow="0" w:firstColumn="0" w:lastColumn="0" w:oddVBand="0" w:evenVBand="0" w:oddHBand="0" w:evenHBand="1" w:firstRowFirstColumn="0" w:firstRowLastColumn="0" w:lastRowFirstColumn="0" w:lastRowLastColumn="0"/>
        </w:trPr>
        <w:tc>
          <w:tcPr>
            <w:tcW w:w="3381" w:type="dxa"/>
          </w:tcPr>
          <w:p w14:paraId="6D1F58AA" w14:textId="77777777" w:rsidR="004B3071" w:rsidRPr="00BA38E1" w:rsidRDefault="004B3071" w:rsidP="00B63CAB">
            <w:pPr>
              <w:keepNext/>
              <w:keepLines/>
              <w:spacing w:after="0"/>
              <w:rPr>
                <w:rFonts w:cs="Arial"/>
                <w:szCs w:val="20"/>
              </w:rPr>
            </w:pPr>
            <w:r w:rsidRPr="00BA38E1">
              <w:rPr>
                <w:rFonts w:cs="Arial"/>
                <w:szCs w:val="20"/>
              </w:rPr>
              <w:t>Public consultation on the drafts of the technical framework instruments</w:t>
            </w:r>
          </w:p>
        </w:tc>
        <w:tc>
          <w:tcPr>
            <w:tcW w:w="3381" w:type="dxa"/>
          </w:tcPr>
          <w:p w14:paraId="66996512" w14:textId="3240A000" w:rsidR="004B3071" w:rsidRPr="00BA38E1" w:rsidRDefault="004B3071" w:rsidP="00B63CAB">
            <w:pPr>
              <w:keepNext/>
              <w:keepLines/>
              <w:spacing w:after="0"/>
              <w:rPr>
                <w:rFonts w:cs="Arial"/>
                <w:szCs w:val="20"/>
              </w:rPr>
            </w:pPr>
            <w:r>
              <w:rPr>
                <w:rFonts w:cs="Arial"/>
                <w:szCs w:val="20"/>
              </w:rPr>
              <w:t>Q1 2023</w:t>
            </w:r>
          </w:p>
        </w:tc>
      </w:tr>
      <w:tr w:rsidR="00FC5BCE" w:rsidRPr="003B5575" w14:paraId="7791A6BC" w14:textId="77777777" w:rsidTr="004B3071">
        <w:trPr>
          <w:cnfStyle w:val="000000100000" w:firstRow="0" w:lastRow="0" w:firstColumn="0" w:lastColumn="0" w:oddVBand="0" w:evenVBand="0" w:oddHBand="1" w:evenHBand="0" w:firstRowFirstColumn="0" w:firstRowLastColumn="0" w:lastRowFirstColumn="0" w:lastRowLastColumn="0"/>
        </w:trPr>
        <w:tc>
          <w:tcPr>
            <w:tcW w:w="3381" w:type="dxa"/>
          </w:tcPr>
          <w:p w14:paraId="06F2173A" w14:textId="45A45E92" w:rsidR="00FC5BCE" w:rsidRPr="00BA38E1" w:rsidRDefault="00FC5BCE" w:rsidP="00FC5BCE">
            <w:pPr>
              <w:keepNext/>
              <w:keepLines/>
              <w:spacing w:after="0"/>
              <w:rPr>
                <w:rFonts w:cs="Arial"/>
                <w:szCs w:val="20"/>
              </w:rPr>
            </w:pPr>
            <w:r w:rsidRPr="00BA38E1">
              <w:rPr>
                <w:rFonts w:cs="Arial"/>
                <w:szCs w:val="20"/>
              </w:rPr>
              <w:t>Public release of the TLG paper</w:t>
            </w:r>
            <w:r>
              <w:rPr>
                <w:rFonts w:cs="Arial"/>
                <w:szCs w:val="20"/>
              </w:rPr>
              <w:t xml:space="preserve"> in parallel with the public </w:t>
            </w:r>
            <w:r w:rsidR="002467A6">
              <w:rPr>
                <w:rFonts w:cs="Arial"/>
                <w:szCs w:val="20"/>
              </w:rPr>
              <w:t>consultation</w:t>
            </w:r>
            <w:r>
              <w:rPr>
                <w:rFonts w:cs="Arial"/>
                <w:szCs w:val="20"/>
              </w:rPr>
              <w:t xml:space="preserve"> on the drafts of the technical framework </w:t>
            </w:r>
            <w:r w:rsidR="002467A6">
              <w:rPr>
                <w:rFonts w:cs="Arial"/>
                <w:szCs w:val="20"/>
              </w:rPr>
              <w:t>instruments</w:t>
            </w:r>
          </w:p>
        </w:tc>
        <w:tc>
          <w:tcPr>
            <w:tcW w:w="3381" w:type="dxa"/>
          </w:tcPr>
          <w:p w14:paraId="1071C4A5" w14:textId="7D7BB5D5" w:rsidR="00FC5BCE" w:rsidRDefault="00DB39E7" w:rsidP="00FC5BCE">
            <w:pPr>
              <w:keepNext/>
              <w:keepLines/>
              <w:spacing w:after="0"/>
              <w:rPr>
                <w:rFonts w:cs="Arial"/>
                <w:szCs w:val="20"/>
              </w:rPr>
            </w:pPr>
            <w:r>
              <w:rPr>
                <w:rFonts w:cs="Arial"/>
                <w:szCs w:val="20"/>
              </w:rPr>
              <w:t>Q1 2023</w:t>
            </w:r>
          </w:p>
        </w:tc>
      </w:tr>
      <w:tr w:rsidR="00FC5BCE" w:rsidRPr="003B5575" w14:paraId="30AA31AF" w14:textId="77777777" w:rsidTr="00BA1887">
        <w:trPr>
          <w:cnfStyle w:val="000000010000" w:firstRow="0" w:lastRow="0" w:firstColumn="0" w:lastColumn="0" w:oddVBand="0" w:evenVBand="0" w:oddHBand="0" w:evenHBand="1" w:firstRowFirstColumn="0" w:firstRowLastColumn="0" w:lastRowFirstColumn="0" w:lastRowLastColumn="0"/>
        </w:trPr>
        <w:tc>
          <w:tcPr>
            <w:tcW w:w="3381" w:type="dxa"/>
          </w:tcPr>
          <w:p w14:paraId="64F72C6B" w14:textId="799270A5" w:rsidR="00FC5BCE" w:rsidRPr="00BA38E1" w:rsidRDefault="00FC5BCE" w:rsidP="00FC5BCE">
            <w:pPr>
              <w:keepNext/>
              <w:keepLines/>
              <w:spacing w:after="0"/>
              <w:rPr>
                <w:rFonts w:cs="Arial"/>
                <w:szCs w:val="20"/>
              </w:rPr>
            </w:pPr>
            <w:r w:rsidRPr="00BA38E1">
              <w:rPr>
                <w:rFonts w:cs="Arial"/>
                <w:szCs w:val="20"/>
              </w:rPr>
              <w:t>Finalisation of technical frameworks</w:t>
            </w:r>
            <w:r>
              <w:rPr>
                <w:rFonts w:cs="Arial"/>
                <w:szCs w:val="20"/>
              </w:rPr>
              <w:t xml:space="preserve"> (including instruments)</w:t>
            </w:r>
          </w:p>
        </w:tc>
        <w:tc>
          <w:tcPr>
            <w:tcW w:w="3381" w:type="dxa"/>
          </w:tcPr>
          <w:p w14:paraId="796FEF44" w14:textId="7C303CFC" w:rsidR="00FC5BCE" w:rsidRPr="00BA38E1" w:rsidRDefault="00CA1C51" w:rsidP="00FC5BCE">
            <w:pPr>
              <w:keepNext/>
              <w:keepLines/>
              <w:spacing w:after="0"/>
              <w:rPr>
                <w:rFonts w:cs="Arial"/>
                <w:szCs w:val="20"/>
              </w:rPr>
            </w:pPr>
            <w:r>
              <w:rPr>
                <w:rFonts w:cs="Arial"/>
                <w:szCs w:val="20"/>
              </w:rPr>
              <w:t xml:space="preserve">Q2 </w:t>
            </w:r>
            <w:r w:rsidR="00FC5BCE" w:rsidRPr="00BA38E1">
              <w:rPr>
                <w:rFonts w:cs="Arial"/>
                <w:szCs w:val="20"/>
              </w:rPr>
              <w:t>202</w:t>
            </w:r>
            <w:r w:rsidR="00FC5BCE">
              <w:rPr>
                <w:rFonts w:cs="Arial"/>
                <w:szCs w:val="20"/>
              </w:rPr>
              <w:t>3</w:t>
            </w:r>
          </w:p>
        </w:tc>
      </w:tr>
    </w:tbl>
    <w:p w14:paraId="77F9E143" w14:textId="2E0CF419" w:rsidR="00FA7F33" w:rsidRPr="00702EA1" w:rsidRDefault="00990921" w:rsidP="00FA7F33">
      <w:pPr>
        <w:pStyle w:val="Heading1"/>
      </w:pPr>
      <w:bookmarkStart w:id="20" w:name="_Toc126841063"/>
      <w:r>
        <w:lastRenderedPageBreak/>
        <w:t>Coexistence</w:t>
      </w:r>
      <w:r w:rsidR="001650CF">
        <w:t xml:space="preserve"> </w:t>
      </w:r>
      <w:r w:rsidR="00FA7F33">
        <w:t>between WBB and aeronautical radionavigation services</w:t>
      </w:r>
      <w:bookmarkEnd w:id="20"/>
      <w:r w:rsidR="00FA7F33">
        <w:t xml:space="preserve"> </w:t>
      </w:r>
    </w:p>
    <w:p w14:paraId="4843B0C4" w14:textId="77777777" w:rsidR="00FA7F33" w:rsidRDefault="00FA7F33" w:rsidP="00FA7F33">
      <w:pPr>
        <w:pStyle w:val="sub-heading"/>
      </w:pPr>
      <w:bookmarkStart w:id="21" w:name="_Toc126841064"/>
      <w:r>
        <w:t>Background</w:t>
      </w:r>
      <w:bookmarkEnd w:id="21"/>
    </w:p>
    <w:p w14:paraId="5B54DFF8" w14:textId="0E669C5A" w:rsidR="009D1E56" w:rsidRDefault="009B6273" w:rsidP="00F461DE">
      <w:r>
        <w:t>The ACMA has prepared a draft report</w:t>
      </w:r>
      <w:r w:rsidR="00EB4B37">
        <w:t>, Attachment G,</w:t>
      </w:r>
      <w:r>
        <w:t xml:space="preserve"> </w:t>
      </w:r>
      <w:r w:rsidR="00925C90">
        <w:t xml:space="preserve">which </w:t>
      </w:r>
      <w:r w:rsidR="00FB0C34">
        <w:t xml:space="preserve">consolidates the ACMA current understanding of the coexistence of RAs and WBB systems, as well as the current proposed </w:t>
      </w:r>
      <w:r w:rsidR="001547BC">
        <w:t xml:space="preserve">approach to manage </w:t>
      </w:r>
      <w:r w:rsidR="00141C83">
        <w:t>coexistence.</w:t>
      </w:r>
    </w:p>
    <w:p w14:paraId="2C709292" w14:textId="77777777" w:rsidR="00EC6539" w:rsidRDefault="00EC6539" w:rsidP="00EC6539">
      <w:pPr>
        <w:pStyle w:val="Heading3"/>
      </w:pPr>
      <w:bookmarkStart w:id="22" w:name="_Toc126841065"/>
      <w:r>
        <w:t>TLG Member Views</w:t>
      </w:r>
      <w:bookmarkEnd w:id="22"/>
    </w:p>
    <w:p w14:paraId="0866458E" w14:textId="03C32B55" w:rsidR="00D84C1C" w:rsidRDefault="00D84C1C" w:rsidP="00F461DE">
      <w:r>
        <w:t xml:space="preserve">TLG member views are grouped into </w:t>
      </w:r>
      <w:r w:rsidR="00924D6C">
        <w:t>several</w:t>
      </w:r>
      <w:r>
        <w:t xml:space="preserve"> categories related to the structure of the RA report and the proposed mitigations.</w:t>
      </w:r>
    </w:p>
    <w:p w14:paraId="068B09BA" w14:textId="32229B6D" w:rsidR="00D84C1C" w:rsidRPr="009421CA" w:rsidRDefault="00D84C1C" w:rsidP="00BA1887">
      <w:pPr>
        <w:pStyle w:val="Heading3"/>
      </w:pPr>
      <w:bookmarkStart w:id="23" w:name="_Toc126841066"/>
      <w:r w:rsidRPr="009421CA">
        <w:t>200 MHz guard band permanent mitigation</w:t>
      </w:r>
      <w:bookmarkEnd w:id="23"/>
    </w:p>
    <w:p w14:paraId="5B19D0F7" w14:textId="4DA9E682" w:rsidR="00EC6539" w:rsidRDefault="00EC6539" w:rsidP="00F461DE">
      <w:r>
        <w:t>AMTA</w:t>
      </w:r>
      <w:r w:rsidR="00844B49">
        <w:t>, supported by Optus</w:t>
      </w:r>
      <w:r w:rsidR="00D84C1C">
        <w:t xml:space="preserve">, </w:t>
      </w:r>
      <w:r w:rsidR="00844B49">
        <w:t>Telstra,</w:t>
      </w:r>
      <w:r>
        <w:t xml:space="preserve"> strongly supported their existing view </w:t>
      </w:r>
      <w:r w:rsidR="00D84C1C">
        <w:t>that a 200</w:t>
      </w:r>
      <w:r w:rsidR="001547BC">
        <w:t> </w:t>
      </w:r>
      <w:r w:rsidR="00D84C1C">
        <w:t xml:space="preserve">MHz guard band alone was a sufficient mitigation and that there has been ample time since the issue arose for the aviation sector to improve the performance of radio altimeters. Ericsson suggested that </w:t>
      </w:r>
      <w:r w:rsidR="00D16EDE" w:rsidRPr="00D16EDE">
        <w:t>The ACMA should consider whether it is possible to make 4000 – 4100 MHz an interim guard band, using the additional 100MHz recovered from the guard band for additional “restricted band” spectrum in addition to the 3950-4000 MHz and with the same restrictions proposed.</w:t>
      </w:r>
    </w:p>
    <w:p w14:paraId="73A42A8C" w14:textId="249684E7" w:rsidR="00D84C1C" w:rsidRPr="009421CA" w:rsidRDefault="00924D6C" w:rsidP="00BA1887">
      <w:pPr>
        <w:pStyle w:val="Heading3"/>
      </w:pPr>
      <w:bookmarkStart w:id="24" w:name="_Toc126841067"/>
      <w:r>
        <w:t>C</w:t>
      </w:r>
      <w:r w:rsidR="00D84C1C" w:rsidRPr="009421CA">
        <w:t>oordination recommendation permanent mitigation</w:t>
      </w:r>
      <w:bookmarkEnd w:id="24"/>
    </w:p>
    <w:p w14:paraId="2CEB6D6A" w14:textId="555553AB" w:rsidR="00C91470" w:rsidRDefault="00C91470" w:rsidP="00D84C1C">
      <w:r>
        <w:t>The ACMA had proposed a coordination recommendation</w:t>
      </w:r>
      <w:r w:rsidR="00ED47FC">
        <w:t xml:space="preserve"> providing guidance</w:t>
      </w:r>
      <w:r>
        <w:t xml:space="preserve"> for all WBB services in 3400-4000 MHz to, effectively, take care and consider the potential of interference when planning deployments around airports and helipads.</w:t>
      </w:r>
    </w:p>
    <w:p w14:paraId="04E58F8D" w14:textId="7A631F5C" w:rsidR="00A3662C" w:rsidRDefault="00D84C1C" w:rsidP="00D84C1C">
      <w:r>
        <w:t>AMTA, supported by Optus, Telstra and Ericsson questioned the</w:t>
      </w:r>
      <w:r w:rsidR="00A3662C">
        <w:t xml:space="preserve"> vagueness, purpose</w:t>
      </w:r>
      <w:r>
        <w:t xml:space="preserve">, practicality and resourcing required to implement the proposed coordination recommendation. The </w:t>
      </w:r>
      <w:r w:rsidR="00ED47FC">
        <w:t xml:space="preserve">view was also expressed that </w:t>
      </w:r>
      <w:r>
        <w:t xml:space="preserve">application of it to existing spectrum licences below 3700 MHz dilutes their existing utility and goes against principles </w:t>
      </w:r>
      <w:r w:rsidR="00A3662C">
        <w:t>of the Act in</w:t>
      </w:r>
      <w:r w:rsidR="00A3662C" w:rsidRPr="00A3662C">
        <w:t xml:space="preserve"> </w:t>
      </w:r>
      <w:r w:rsidR="00A3662C">
        <w:t>“</w:t>
      </w:r>
      <w:r w:rsidR="00A3662C" w:rsidRPr="00A3662C">
        <w:t>provid[es]spectrum licensees with a high degree of exclusivity and certainty, making the licence type suited to supporting scenarios where licensees have long-term investment requirements”</w:t>
      </w:r>
      <w:r w:rsidR="00A3662C">
        <w:t>.</w:t>
      </w:r>
    </w:p>
    <w:p w14:paraId="3FC9519B" w14:textId="51024F30" w:rsidR="005E02ED" w:rsidRDefault="005E02ED" w:rsidP="00D84C1C">
      <w:r>
        <w:t xml:space="preserve">Telstra indicated that, given </w:t>
      </w:r>
      <w:r w:rsidR="001547BC">
        <w:t xml:space="preserve">the little difference in </w:t>
      </w:r>
      <w:r>
        <w:t xml:space="preserve">RA filter performance across the band, there is no need to have this </w:t>
      </w:r>
      <w:r w:rsidR="00924D6C">
        <w:t>“</w:t>
      </w:r>
      <w:r>
        <w:t>soft</w:t>
      </w:r>
      <w:r w:rsidR="00924D6C">
        <w:t>”</w:t>
      </w:r>
      <w:r>
        <w:t xml:space="preserve"> requirement below 3800</w:t>
      </w:r>
      <w:r w:rsidR="001547BC">
        <w:t> </w:t>
      </w:r>
      <w:r>
        <w:t>MHz and should be restricted to above 3800 MHz.</w:t>
      </w:r>
    </w:p>
    <w:p w14:paraId="20DBC704" w14:textId="1B353F2D" w:rsidR="00D84C1C" w:rsidRDefault="00A3662C" w:rsidP="00D84C1C">
      <w:r>
        <w:t xml:space="preserve">Aviation sector stakeholders the RA-CG, Boeing, </w:t>
      </w:r>
      <w:r w:rsidR="00775738">
        <w:t>AusALPA and</w:t>
      </w:r>
      <w:r w:rsidR="006D28BE">
        <w:t xml:space="preserve"> the AAA had the opposite view and that, given the safety-of-life importance of the use of RAs, the ACMA must take a more prescriptive and proactive approach to managing potential interference to RAs when no specific mitigations apply.</w:t>
      </w:r>
      <w:r w:rsidR="00A13DE5">
        <w:t xml:space="preserve"> </w:t>
      </w:r>
      <w:r w:rsidR="00ED47FC">
        <w:t>Boeing</w:t>
      </w:r>
      <w:r w:rsidR="00AD2265">
        <w:t xml:space="preserve">, in addition, </w:t>
      </w:r>
      <w:r w:rsidR="00ED47FC">
        <w:t>expressed the opinion</w:t>
      </w:r>
      <w:r w:rsidR="00A13DE5">
        <w:t xml:space="preserve"> that </w:t>
      </w:r>
      <w:r w:rsidR="00ED47FC">
        <w:t>this</w:t>
      </w:r>
      <w:r w:rsidR="00A13DE5">
        <w:t xml:space="preserve"> approach is likely to be in breach of Australia’s obligations under the Radio Regulations.</w:t>
      </w:r>
    </w:p>
    <w:p w14:paraId="13F06723" w14:textId="4C80C1D6" w:rsidR="0078235A" w:rsidRDefault="0078235A" w:rsidP="0078235A">
      <w:pPr>
        <w:pStyle w:val="Heading3"/>
      </w:pPr>
      <w:bookmarkStart w:id="25" w:name="_Toc126841068"/>
      <w:r>
        <w:t>Frequency boundary for where interim specific mitigations were proposed to apply</w:t>
      </w:r>
      <w:bookmarkEnd w:id="25"/>
    </w:p>
    <w:p w14:paraId="08B16F7A" w14:textId="1E70F10E" w:rsidR="0078235A" w:rsidRDefault="0078235A" w:rsidP="0078235A">
      <w:r>
        <w:t>The ACMA had proposed that the temporary mitigations only apply above 3800 MHz.</w:t>
      </w:r>
    </w:p>
    <w:p w14:paraId="6DDC60AD" w14:textId="09FCDC1A" w:rsidR="0078235A" w:rsidRDefault="00C91470" w:rsidP="0078235A">
      <w:r>
        <w:lastRenderedPageBreak/>
        <w:t>AMTA strongly agreed that mitigations should not apply below 3800</w:t>
      </w:r>
      <w:r w:rsidR="00AD4D21">
        <w:t> </w:t>
      </w:r>
      <w:r>
        <w:t>MHz and exemptions should also be considered for indoor WBB systems between 3800-4000 MHz, in a similar manner to decisions in Canada. They do not oppose the interim mitigations in 3800-4000 MHz as a compromise only to progress the issue but the</w:t>
      </w:r>
      <w:r w:rsidR="009421CA">
        <w:t>i</w:t>
      </w:r>
      <w:r>
        <w:t>r view is that any mitigations are not necessary.</w:t>
      </w:r>
    </w:p>
    <w:p w14:paraId="73327805" w14:textId="0C67A493" w:rsidR="00C91470" w:rsidRDefault="00C91470" w:rsidP="0078235A">
      <w:r>
        <w:t xml:space="preserve">Telstra and Optus </w:t>
      </w:r>
      <w:r w:rsidR="00D26EC6">
        <w:t xml:space="preserve">generally </w:t>
      </w:r>
      <w:r>
        <w:t>supported AMTA</w:t>
      </w:r>
      <w:r w:rsidR="00AD4D21">
        <w:t>’</w:t>
      </w:r>
      <w:r>
        <w:t>s views</w:t>
      </w:r>
      <w:r w:rsidR="00816D54">
        <w:t>.</w:t>
      </w:r>
    </w:p>
    <w:p w14:paraId="7B850B6A" w14:textId="3C06A7EB" w:rsidR="000D1F63" w:rsidRDefault="000D1F63" w:rsidP="0078235A">
      <w:r>
        <w:t>Ericsson accepted the general approach as a pragmatic balance.</w:t>
      </w:r>
    </w:p>
    <w:p w14:paraId="5AF16D68" w14:textId="465BCD51" w:rsidR="000D1F63" w:rsidRDefault="000D1F63" w:rsidP="0078235A">
      <w:r>
        <w:t>The RA-CG indicated that the temporary mitigations should apply to all new licences, down to 3700 MHz and indicated that CASA may need to consider operational restrictions upon examining the risk if the boundary was not changed to 3700 MHz.</w:t>
      </w:r>
    </w:p>
    <w:p w14:paraId="3A635B6A" w14:textId="730BABD4" w:rsidR="000D1F63" w:rsidRDefault="000D1F63" w:rsidP="0078235A">
      <w:r>
        <w:t xml:space="preserve">Similarly, CASA indicated that the mitigations should be considered </w:t>
      </w:r>
      <w:r w:rsidR="00633C91">
        <w:t>below 3800</w:t>
      </w:r>
      <w:r w:rsidR="004E7D31">
        <w:t> </w:t>
      </w:r>
      <w:r w:rsidR="00633C91">
        <w:t>MHz</w:t>
      </w:r>
      <w:r>
        <w:t xml:space="preserve"> to 3700</w:t>
      </w:r>
      <w:r w:rsidR="00AD4D21">
        <w:t> </w:t>
      </w:r>
      <w:r>
        <w:t xml:space="preserve">MHz as there was no experience with WBB above </w:t>
      </w:r>
      <w:r w:rsidR="00633C91">
        <w:t>3700 MHz</w:t>
      </w:r>
      <w:r>
        <w:t xml:space="preserve"> in Australia yet.</w:t>
      </w:r>
    </w:p>
    <w:p w14:paraId="4EBFC9BD" w14:textId="21CBE93E" w:rsidR="000D1F63" w:rsidRDefault="000D1F63" w:rsidP="0078235A">
      <w:r>
        <w:t xml:space="preserve">Boeing supported the “everywhere” mitigations above 3800 MHz but considered the ACMA proposed decision for a 3800 MHz boundary was fundamentally flawed and based on a poor interpretation of the evidence, citing an acknowledgment by the ACMA of potential interference from existing deployments which was at odds with the stated precautionary approach. </w:t>
      </w:r>
      <w:r w:rsidR="00ED47FC">
        <w:t>In their view the</w:t>
      </w:r>
      <w:r>
        <w:t xml:space="preserve"> lack of a causal link should not be a determinant to exclude mitigation measures from operations below 3800 MHz.</w:t>
      </w:r>
      <w:r w:rsidR="00170AB5">
        <w:t xml:space="preserve"> They strongly recommended that the temporary mitigations apply down to 3700 MHz and also be considered down to 3575 MHz.</w:t>
      </w:r>
    </w:p>
    <w:p w14:paraId="2BF067F9" w14:textId="26BFA181" w:rsidR="000D1F63" w:rsidRDefault="000D1F63" w:rsidP="0078235A">
      <w:r>
        <w:t>The AAA note</w:t>
      </w:r>
      <w:r w:rsidR="004E7D31">
        <w:t>d</w:t>
      </w:r>
      <w:r>
        <w:t xml:space="preserve"> that CASA is seeking protection above 3700 MHz.</w:t>
      </w:r>
    </w:p>
    <w:p w14:paraId="7EF57F19" w14:textId="3D224210" w:rsidR="000D1F63" w:rsidRDefault="00816D54" w:rsidP="0078235A">
      <w:r>
        <w:t>AusALPA support</w:t>
      </w:r>
      <w:r w:rsidR="004E7D31">
        <w:t>ed</w:t>
      </w:r>
      <w:r>
        <w:t xml:space="preserve"> the RA-CG contribution </w:t>
      </w:r>
      <w:r w:rsidR="00935392">
        <w:t>and</w:t>
      </w:r>
      <w:r>
        <w:t xml:space="preserve"> agree</w:t>
      </w:r>
      <w:r w:rsidR="004E7D31">
        <w:t>d</w:t>
      </w:r>
      <w:r>
        <w:t xml:space="preserve"> with Boeing that existing WBB deployments below 3700 MHz are in no way vindicated by the lack of evidence, </w:t>
      </w:r>
      <w:r w:rsidR="00AD4D21">
        <w:t xml:space="preserve">noting that </w:t>
      </w:r>
      <w:r>
        <w:t>“the absence of evidence is not evidence of absence”.</w:t>
      </w:r>
    </w:p>
    <w:p w14:paraId="63E71422" w14:textId="037DD837" w:rsidR="00816D54" w:rsidRDefault="00816D54" w:rsidP="00816D54">
      <w:pPr>
        <w:pStyle w:val="Heading3"/>
      </w:pPr>
      <w:bookmarkStart w:id="26" w:name="_Toc126841069"/>
      <w:r>
        <w:t>Views on the specific interim mitigations proposed above 3800 MHz</w:t>
      </w:r>
      <w:bookmarkEnd w:id="26"/>
    </w:p>
    <w:p w14:paraId="32FC542A" w14:textId="77777777" w:rsidR="00816D54" w:rsidRDefault="00816D54" w:rsidP="00816D54">
      <w:r>
        <w:t>The ACMA had proposed that the temporary mitigations only apply above 3800 MHz.</w:t>
      </w:r>
    </w:p>
    <w:p w14:paraId="0B5FB491" w14:textId="6B566883" w:rsidR="00816D54" w:rsidRDefault="00816D54" w:rsidP="00816D54">
      <w:r>
        <w:t>Telstra believed the French mitigations, from which the proposed mitigations were derived, are not evidence-based.</w:t>
      </w:r>
    </w:p>
    <w:p w14:paraId="53E43F57" w14:textId="60F331B6" w:rsidR="00D84C1C" w:rsidRDefault="00816D54" w:rsidP="00F461DE">
      <w:r>
        <w:t>Optus noted the very conservative nature of the studies upon which the mitigations were based and indicated that the 18</w:t>
      </w:r>
      <w:r w:rsidR="00AD4D21">
        <w:t xml:space="preserve"> </w:t>
      </w:r>
      <w:r>
        <w:t>dBi grating lobe used to determine some aspects of the mitigations was far too high, pointing to a CTIA filing to the US FCC process.</w:t>
      </w:r>
      <w:r w:rsidR="007F1F12">
        <w:t xml:space="preserve"> Optus believe, looking at the </w:t>
      </w:r>
      <w:r w:rsidR="00ED47FC">
        <w:t>‘</w:t>
      </w:r>
      <w:r w:rsidR="007F1F12">
        <w:t>near collision</w:t>
      </w:r>
      <w:r w:rsidR="00ED47FC">
        <w:t>’</w:t>
      </w:r>
      <w:r w:rsidR="007F1F12">
        <w:t xml:space="preserve"> scenario in the draft RTCA DO-399 report that, based on possible future RA performance, no coordination was likely to be required with EIRPs up to 65 dBm/MHz.</w:t>
      </w:r>
    </w:p>
    <w:p w14:paraId="3E461CFB" w14:textId="2C6E2E3D" w:rsidR="00816D54" w:rsidRDefault="00816D54" w:rsidP="00F461DE">
      <w:r>
        <w:t>Ericsson indicated that their equipment for bands b42, 43, n78 and sub-band n77 could meet the interim additional unwanted emissions mitigation for radios with capabilities up to 4100 MHz</w:t>
      </w:r>
      <w:r w:rsidR="005E02ED">
        <w:t>,</w:t>
      </w:r>
      <w:r>
        <w:t xml:space="preserve"> and that grating lobes were already</w:t>
      </w:r>
      <w:r w:rsidR="005E02ED">
        <w:t xml:space="preserve"> being </w:t>
      </w:r>
      <w:r>
        <w:t>minimised for other interference mitigation requirements.</w:t>
      </w:r>
    </w:p>
    <w:p w14:paraId="646DC912" w14:textId="77777777" w:rsidR="005E02ED" w:rsidRDefault="005E02ED" w:rsidP="00F461DE">
      <w:r>
        <w:t xml:space="preserve">The RA-CG implied that the 62 dBm/MHz EIRP limit should be applied ongoing and to all deployments. </w:t>
      </w:r>
    </w:p>
    <w:p w14:paraId="6A6DBCE8" w14:textId="04DACC0A" w:rsidR="00816D54" w:rsidRDefault="005E02ED" w:rsidP="00F461DE">
      <w:r>
        <w:t>CASA suggested that the unwanted emissions temporary mitigation should be made an ongoing, permanent requirement. They suggested that the proposed restricted cell areas in regional and remote areas in 3950 – 4000 MHz be extended to include remote areas.</w:t>
      </w:r>
    </w:p>
    <w:p w14:paraId="32FF70B9" w14:textId="6CC70801" w:rsidR="005E02ED" w:rsidRDefault="00170AB5" w:rsidP="00F461DE">
      <w:r>
        <w:lastRenderedPageBreak/>
        <w:t>Boeing supported the purpose of the interim mitigations but said more time would be required to be able to comment in detail and hence they should be considered preliminary. They noted that there were expected other factors such as wind shear and operational manoeuvres that could cause aircraft to drift outside of the exclusions/restricted zones. They supported the mitigations that are proposed to apply everywhere above 3800 MHz (not just around identified airports).</w:t>
      </w:r>
    </w:p>
    <w:p w14:paraId="15738517" w14:textId="390A361B" w:rsidR="00F20698" w:rsidRDefault="00F20698" w:rsidP="00F20698">
      <w:pPr>
        <w:pStyle w:val="Heading3"/>
      </w:pPr>
      <w:bookmarkStart w:id="27" w:name="_Toc126841070"/>
      <w:r>
        <w:t>Where the temporary mitigations should apply</w:t>
      </w:r>
      <w:bookmarkEnd w:id="27"/>
    </w:p>
    <w:p w14:paraId="0BC58632" w14:textId="032929CC" w:rsidR="00F20698" w:rsidRDefault="00F20698" w:rsidP="00F20698">
      <w:r>
        <w:t>The RA report included a draft list of runway approaches, identified by CASA, where the “identified runway” proposed temporary mitigations were proposed to apply.</w:t>
      </w:r>
    </w:p>
    <w:p w14:paraId="3CF65335" w14:textId="1752E73A" w:rsidR="00F20698" w:rsidRDefault="00F20698" w:rsidP="00F20698">
      <w:r>
        <w:t>CASA provided an updated list, accurate as of 1 December 2022.</w:t>
      </w:r>
    </w:p>
    <w:p w14:paraId="627D5BC2" w14:textId="59F40B4C" w:rsidR="00F20698" w:rsidRDefault="00F20698" w:rsidP="00F20698">
      <w:r>
        <w:t xml:space="preserve">Airservices, the AAA and AusALPA were concerned with how to accommodate the identification of future approaches requiring protection, including when WBB rollouts had already occurred, and also noted the potential impacts of restricting protection to the ILS classes in the current draft list of approaches. The RA-CG also wanted to raise the awareness of helicopter and emergency aviation operations where only the “everywhere” </w:t>
      </w:r>
      <w:r w:rsidR="00AC4BAF">
        <w:t>mitigations</w:t>
      </w:r>
      <w:r>
        <w:t xml:space="preserve"> are proposed to apply.</w:t>
      </w:r>
    </w:p>
    <w:p w14:paraId="00146BC9" w14:textId="67BB756E" w:rsidR="00AC4BAF" w:rsidRDefault="00AC4BAF" w:rsidP="00AC4BAF">
      <w:pPr>
        <w:pStyle w:val="Heading3"/>
      </w:pPr>
      <w:bookmarkStart w:id="28" w:name="_Toc126841071"/>
      <w:r>
        <w:t>Timeframe for the temporary mitigations</w:t>
      </w:r>
      <w:bookmarkEnd w:id="28"/>
      <w:r>
        <w:t xml:space="preserve"> </w:t>
      </w:r>
    </w:p>
    <w:p w14:paraId="2A77C07C" w14:textId="44DF74AF" w:rsidR="00AC4BAF" w:rsidRDefault="00AC4BAF" w:rsidP="00AC4BAF">
      <w:r>
        <w:t>In the RA report, the ACMA had proposed that the temporary mitigations be time -limited to 31 December 2024.</w:t>
      </w:r>
    </w:p>
    <w:p w14:paraId="7FFA3C9E" w14:textId="77777777" w:rsidR="00AC4BAF" w:rsidRDefault="00AC4BAF" w:rsidP="00AC4BAF">
      <w:r>
        <w:t xml:space="preserve">Telstra implored the aviation industry to expedite RA retrofits and wanted an unambiguous signal from the ACMA that the interim mitigations would cease on 1/1/2025. </w:t>
      </w:r>
    </w:p>
    <w:p w14:paraId="4B8C2548" w14:textId="18C5E016" w:rsidR="00AC4BAF" w:rsidRDefault="00AC4BAF" w:rsidP="00AC4BAF">
      <w:r>
        <w:t>AMTA and Optus suggested a 31 December 2023 end to temporary mitigations, based on the expected progress of the US interim retrofit program.</w:t>
      </w:r>
    </w:p>
    <w:p w14:paraId="685EB352" w14:textId="4529968F" w:rsidR="00AC4BAF" w:rsidRDefault="00AC4BAF" w:rsidP="00AC4BAF">
      <w:r>
        <w:t>Ericsson also asked for a shorter mitigation period, based on the US proposing to retrofit RAs by mid-2023.</w:t>
      </w:r>
    </w:p>
    <w:p w14:paraId="7282C8D3" w14:textId="1753C6B0" w:rsidR="007976AC" w:rsidRDefault="00AC4BAF" w:rsidP="00F461DE">
      <w:r>
        <w:t xml:space="preserve">Aviation sector members generally did not agree with a 31 December 2024 </w:t>
      </w:r>
      <w:r w:rsidR="0006590A">
        <w:t>timeframe,</w:t>
      </w:r>
      <w:r w:rsidR="00D1383A">
        <w:t xml:space="preserve"> or one based around the interim retrofit </w:t>
      </w:r>
      <w:r w:rsidR="00873C4F">
        <w:t xml:space="preserve">of filters to RAs as is happening in the US </w:t>
      </w:r>
      <w:r w:rsidR="00D1383A">
        <w:t>program</w:t>
      </w:r>
      <w:r>
        <w:t xml:space="preserve">, and wanted the timeframe </w:t>
      </w:r>
      <w:r w:rsidR="00D1383A">
        <w:t xml:space="preserve">instead </w:t>
      </w:r>
      <w:r>
        <w:t xml:space="preserve">based on a reasonable expectation to be able to fit new radio altimeters based on the </w:t>
      </w:r>
      <w:r w:rsidR="00D1383A">
        <w:t xml:space="preserve">developing </w:t>
      </w:r>
      <w:r>
        <w:t xml:space="preserve">new standard/MOPs and </w:t>
      </w:r>
      <w:r w:rsidR="00D1383A">
        <w:t xml:space="preserve">the expected </w:t>
      </w:r>
      <w:r>
        <w:t>subsequent revised FAA TSO</w:t>
      </w:r>
      <w:r w:rsidR="00D1383A">
        <w:t xml:space="preserve"> that would drive retrofitting. </w:t>
      </w:r>
    </w:p>
    <w:p w14:paraId="550069DA" w14:textId="03FA0B1F" w:rsidR="00170AB5" w:rsidRDefault="00D1383A" w:rsidP="00F461DE">
      <w:r>
        <w:t>Boeing indicated that it would likely take 3 years to globa</w:t>
      </w:r>
      <w:r w:rsidR="00924D6C">
        <w:t>l</w:t>
      </w:r>
      <w:r>
        <w:t>l</w:t>
      </w:r>
      <w:r w:rsidR="00924D6C">
        <w:t>y</w:t>
      </w:r>
      <w:r>
        <w:t xml:space="preserve"> fit new RAs based on the interim US retrofit</w:t>
      </w:r>
      <w:r w:rsidR="0006590A">
        <w:t xml:space="preserve"> spec (but also noted the US </w:t>
      </w:r>
      <w:r w:rsidR="007976AC">
        <w:t>interim retrofit program was already under strain)</w:t>
      </w:r>
      <w:r>
        <w:t>, and to the new standard could be of the order of 6-8 years but was too early to be defin</w:t>
      </w:r>
      <w:r w:rsidR="00D57770">
        <w:t>i</w:t>
      </w:r>
      <w:r>
        <w:t xml:space="preserve">tive. </w:t>
      </w:r>
    </w:p>
    <w:p w14:paraId="48844D6D" w14:textId="37C0EE24" w:rsidR="007976AC" w:rsidRDefault="007976AC" w:rsidP="00F461DE">
      <w:r>
        <w:t>The AAA indicated that the new FAA TSO, to be based on the new RA standard, would not be available until the end of 2023.</w:t>
      </w:r>
    </w:p>
    <w:p w14:paraId="7F7CA76D" w14:textId="0B3ED232" w:rsidR="007976AC" w:rsidRDefault="007976AC" w:rsidP="00F461DE">
      <w:r>
        <w:t>QANTAS indicated that they were working with avionics suppliers to introduce RA modifications but ongoing debate about the ACMA 5G implementation model is generating concern that the modifications would not adequately address the 5G threat to aircraft safety.</w:t>
      </w:r>
    </w:p>
    <w:p w14:paraId="366D42C9" w14:textId="1FD80157" w:rsidR="00D1383A" w:rsidRDefault="00D1383A" w:rsidP="00D1383A">
      <w:pPr>
        <w:pStyle w:val="Heading3"/>
      </w:pPr>
      <w:bookmarkStart w:id="29" w:name="_Toc126841072"/>
      <w:r>
        <w:t>Other feedback</w:t>
      </w:r>
      <w:bookmarkEnd w:id="29"/>
    </w:p>
    <w:p w14:paraId="18A7DF61" w14:textId="6E599755" w:rsidR="00D1383A" w:rsidRDefault="0006590A" w:rsidP="00D1383A">
      <w:r>
        <w:t>The AAA indicated that a whole-of-government approach to resolve the issue was needed and that in their experience this aspect had, so far, been disappointing.</w:t>
      </w:r>
    </w:p>
    <w:p w14:paraId="7E0F9109" w14:textId="77777777" w:rsidR="0006590A" w:rsidRDefault="0006590A" w:rsidP="00D1383A"/>
    <w:p w14:paraId="62D23CA4" w14:textId="77777777" w:rsidR="00D1383A" w:rsidRDefault="00D1383A" w:rsidP="00F461DE"/>
    <w:p w14:paraId="4A6C4D73" w14:textId="6D886583" w:rsidR="009D1E56" w:rsidRPr="00702EA1" w:rsidRDefault="009D1E56" w:rsidP="009D1E56">
      <w:pPr>
        <w:pStyle w:val="Heading1"/>
      </w:pPr>
      <w:bookmarkStart w:id="30" w:name="_Toc126841073"/>
      <w:r>
        <w:lastRenderedPageBreak/>
        <w:t>Aspects of remote AWL technical framework applicable for consideration to the spectrum licensing technical framework</w:t>
      </w:r>
      <w:bookmarkEnd w:id="30"/>
    </w:p>
    <w:p w14:paraId="37E40A1F" w14:textId="2530F804" w:rsidR="009D1E56" w:rsidRDefault="00466491" w:rsidP="009D1E56">
      <w:pPr>
        <w:pStyle w:val="sub-heading"/>
      </w:pPr>
      <w:bookmarkStart w:id="31" w:name="_Toc126841074"/>
      <w:r>
        <w:t>U</w:t>
      </w:r>
      <w:r w:rsidR="007921EB">
        <w:t>nwanted emission power limits</w:t>
      </w:r>
      <w:bookmarkEnd w:id="31"/>
    </w:p>
    <w:p w14:paraId="5117CE95" w14:textId="3DADAF55" w:rsidR="00FA7F33" w:rsidRDefault="00C14258" w:rsidP="00C14258">
      <w:r>
        <w:t xml:space="preserve">TLG members </w:t>
      </w:r>
      <w:r w:rsidR="00832C68">
        <w:t xml:space="preserve">had previously </w:t>
      </w:r>
      <w:r>
        <w:t>expressed a range of views on the draft AWL LCD and Draft RALI MS47</w:t>
      </w:r>
      <w:r w:rsidR="004A6BBD">
        <w:t xml:space="preserve"> that had some relevance to a SLTF</w:t>
      </w:r>
      <w:r>
        <w:t>:</w:t>
      </w:r>
    </w:p>
    <w:p w14:paraId="316279CA" w14:textId="3DD78C91" w:rsidR="00C14258" w:rsidRDefault="00C14258" w:rsidP="00C14258">
      <w:pPr>
        <w:pStyle w:val="ListParagraph"/>
        <w:numPr>
          <w:ilvl w:val="0"/>
          <w:numId w:val="45"/>
        </w:numPr>
      </w:pPr>
      <w:r>
        <w:t xml:space="preserve">Telco sector members indicated that the limit for out-of-band </w:t>
      </w:r>
      <w:r w:rsidR="00C559EE">
        <w:t xml:space="preserve">and spurious </w:t>
      </w:r>
      <w:r>
        <w:t xml:space="preserve">emissions for non-AAS systems was at odds with the 3GPP </w:t>
      </w:r>
      <w:r w:rsidR="00106CF6">
        <w:t>method and</w:t>
      </w:r>
      <w:r>
        <w:t xml:space="preserve"> requested that the limits apply “per antenna port” rather than to Total Radiated Power” (TRP). We have considered this view and </w:t>
      </w:r>
      <w:r w:rsidR="004A6BBD">
        <w:t xml:space="preserve">propose </w:t>
      </w:r>
      <w:r w:rsidR="005D2E37">
        <w:t>a per port limit</w:t>
      </w:r>
      <w:r w:rsidR="004A6BBD">
        <w:t xml:space="preserve"> in the SLTF</w:t>
      </w:r>
      <w:r w:rsidR="005D2E37">
        <w:t xml:space="preserve">. </w:t>
      </w:r>
    </w:p>
    <w:p w14:paraId="1138613C" w14:textId="384D4DF9" w:rsidR="00466491" w:rsidRDefault="00DC1147" w:rsidP="00466491">
      <w:r>
        <w:t xml:space="preserve">It </w:t>
      </w:r>
      <w:r w:rsidR="00362DE9">
        <w:t xml:space="preserve">was subsequently </w:t>
      </w:r>
      <w:r>
        <w:t>proposed to largely align proposed unwanted emission limits with appropriate 3GPP limits.</w:t>
      </w:r>
      <w:r w:rsidR="00672975">
        <w:t xml:space="preserve"> A document </w:t>
      </w:r>
      <w:r w:rsidR="00362DE9">
        <w:t xml:space="preserve">was </w:t>
      </w:r>
      <w:r w:rsidR="00672975">
        <w:t xml:space="preserve">shared with TLG members to guide them in understanding what specific 3GPP clauses </w:t>
      </w:r>
      <w:r w:rsidR="005C01BD">
        <w:t xml:space="preserve">the proposed framework values </w:t>
      </w:r>
      <w:r w:rsidR="00207DF5">
        <w:t>have been based on, where appropriate.</w:t>
      </w:r>
      <w:r w:rsidR="00362DE9">
        <w:t xml:space="preserve"> It is not included as an appendix.</w:t>
      </w:r>
    </w:p>
    <w:p w14:paraId="77A570E2" w14:textId="1ECC6E0D" w:rsidR="00832C68" w:rsidRDefault="00832C68" w:rsidP="00BA1887">
      <w:pPr>
        <w:pStyle w:val="Heading3"/>
      </w:pPr>
      <w:bookmarkStart w:id="32" w:name="_Toc126841075"/>
      <w:r>
        <w:t>TLG Member Views</w:t>
      </w:r>
      <w:bookmarkEnd w:id="32"/>
    </w:p>
    <w:p w14:paraId="23A6B560" w14:textId="6430823C" w:rsidR="00832C68" w:rsidRDefault="00832C68" w:rsidP="00466491">
      <w:r>
        <w:t xml:space="preserve">Ericsson acknowledged that the proposed changes to the SLTF in this regard now aligned with 3GPP. </w:t>
      </w:r>
    </w:p>
    <w:p w14:paraId="0D919DA6" w14:textId="36B05198" w:rsidR="00BF24D5" w:rsidRDefault="00BF24D5" w:rsidP="00BF24D5">
      <w:pPr>
        <w:pStyle w:val="sub-heading"/>
      </w:pPr>
      <w:bookmarkStart w:id="33" w:name="_Toc126841076"/>
      <w:r>
        <w:t>In-band power limits</w:t>
      </w:r>
      <w:bookmarkEnd w:id="33"/>
    </w:p>
    <w:p w14:paraId="2659A39A" w14:textId="3024FE2B" w:rsidR="00BF24D5" w:rsidRDefault="00BF24D5" w:rsidP="00BF24D5">
      <w:r>
        <w:t>It is not proposed to change the current technical framework in-band limit from the 48 dBm/5 MHz TRP definition</w:t>
      </w:r>
      <w:r w:rsidR="00362DE9">
        <w:t xml:space="preserve"> in the existing framework</w:t>
      </w:r>
      <w:r>
        <w:t>.</w:t>
      </w:r>
    </w:p>
    <w:p w14:paraId="1F90BCBA" w14:textId="7BE4CDE3" w:rsidR="00FA7F33" w:rsidRPr="007A241A" w:rsidRDefault="00FA7F33" w:rsidP="00F461DE">
      <w:pPr>
        <w:pStyle w:val="sub-heading"/>
      </w:pPr>
      <w:bookmarkStart w:id="34" w:name="_Ref81827002"/>
      <w:bookmarkStart w:id="35" w:name="_Ref81829813"/>
      <w:bookmarkStart w:id="36" w:name="_Ref82160010"/>
      <w:bookmarkStart w:id="37" w:name="_Toc126841077"/>
      <w:r w:rsidRPr="00CA736A">
        <w:t xml:space="preserve">Revised view about coordinating between </w:t>
      </w:r>
      <w:r w:rsidR="009E38E1">
        <w:t xml:space="preserve">SL and AWL </w:t>
      </w:r>
      <w:r w:rsidRPr="00CA736A">
        <w:t>WBB services</w:t>
      </w:r>
      <w:bookmarkEnd w:id="34"/>
      <w:bookmarkEnd w:id="35"/>
      <w:bookmarkEnd w:id="37"/>
      <w:r w:rsidRPr="007A241A">
        <w:t xml:space="preserve"> </w:t>
      </w:r>
      <w:bookmarkEnd w:id="36"/>
    </w:p>
    <w:p w14:paraId="678BEFD4" w14:textId="2ADDBB4E" w:rsidR="00FA7F33" w:rsidRPr="000406D3" w:rsidRDefault="00FA7F33" w:rsidP="00FA7F33">
      <w:r>
        <w:rPr>
          <w:rFonts w:cs="Arial"/>
        </w:rPr>
        <w:t xml:space="preserve">It </w:t>
      </w:r>
      <w:r w:rsidR="004A6BBD">
        <w:rPr>
          <w:rFonts w:cs="Arial"/>
        </w:rPr>
        <w:t xml:space="preserve">was </w:t>
      </w:r>
      <w:r>
        <w:rPr>
          <w:rFonts w:cs="Arial"/>
        </w:rPr>
        <w:t xml:space="preserve">a view </w:t>
      </w:r>
      <w:r w:rsidR="00E80491">
        <w:rPr>
          <w:rFonts w:cs="Arial"/>
        </w:rPr>
        <w:t xml:space="preserve">previously </w:t>
      </w:r>
      <w:r>
        <w:rPr>
          <w:rFonts w:cs="Arial"/>
        </w:rPr>
        <w:t xml:space="preserve">in the TLG and </w:t>
      </w:r>
      <w:r w:rsidR="005A0D8B">
        <w:rPr>
          <w:rFonts w:cs="Arial"/>
        </w:rPr>
        <w:t xml:space="preserve">by </w:t>
      </w:r>
      <w:r>
        <w:rPr>
          <w:rFonts w:cs="Arial"/>
        </w:rPr>
        <w:t>ACMA staff that:</w:t>
      </w:r>
    </w:p>
    <w:p w14:paraId="7E7C8CC0" w14:textId="1B73D71F" w:rsidR="00FA7F33" w:rsidRDefault="00FA7F33" w:rsidP="00FA7F33">
      <w:pPr>
        <w:pStyle w:val="ListParagraph"/>
        <w:numPr>
          <w:ilvl w:val="0"/>
          <w:numId w:val="30"/>
        </w:numPr>
      </w:pPr>
      <w:r>
        <w:t>A variety of wide area WBB and more localised WBB use cases need to be supported in the AWL and wider technical framework.</w:t>
      </w:r>
    </w:p>
    <w:p w14:paraId="63BC1FA5" w14:textId="147A5221" w:rsidR="00FA7F33" w:rsidRDefault="00FA7F33">
      <w:pPr>
        <w:pStyle w:val="ListParagraph"/>
        <w:numPr>
          <w:ilvl w:val="0"/>
          <w:numId w:val="30"/>
        </w:numPr>
      </w:pPr>
      <w:r>
        <w:t>It may not be practicable for a fallback synchronisation scheme for AWL to be the same as that for any adjacent SL framework.</w:t>
      </w:r>
    </w:p>
    <w:p w14:paraId="4316E58B" w14:textId="70DFA413" w:rsidR="00FA7F33" w:rsidRDefault="00FA7F33" w:rsidP="00FA7F33">
      <w:r>
        <w:t>This has the following likely implications for the</w:t>
      </w:r>
      <w:r w:rsidR="004A6BBD">
        <w:t xml:space="preserve"> SL</w:t>
      </w:r>
      <w:r>
        <w:t xml:space="preserve"> technical framework:</w:t>
      </w:r>
    </w:p>
    <w:p w14:paraId="6070CED9" w14:textId="77777777" w:rsidR="00FA7F33" w:rsidRDefault="00FA7F33" w:rsidP="00FA7F33">
      <w:pPr>
        <w:pStyle w:val="ListParagraph"/>
        <w:numPr>
          <w:ilvl w:val="0"/>
          <w:numId w:val="31"/>
        </w:numPr>
      </w:pPr>
      <w:r>
        <w:t>An acceptable means to manage interference between SL and AWL spectrum spaces needs to be developed that does not rely on a common fallback synchronisation scheme.</w:t>
      </w:r>
    </w:p>
    <w:p w14:paraId="6DFD6573" w14:textId="3AC2BD13" w:rsidR="00FA7F33" w:rsidRDefault="00FA7F33" w:rsidP="00FA7F33">
      <w:r>
        <w:t xml:space="preserve">It </w:t>
      </w:r>
      <w:r w:rsidR="00362DE9">
        <w:t xml:space="preserve">was </w:t>
      </w:r>
      <w:r>
        <w:t xml:space="preserve">the ACMA </w:t>
      </w:r>
      <w:r w:rsidR="005A0D8B">
        <w:t>staff</w:t>
      </w:r>
      <w:r>
        <w:t xml:space="preserve"> current </w:t>
      </w:r>
      <w:r w:rsidR="005A0D8B">
        <w:t>preliminary</w:t>
      </w:r>
      <w:r>
        <w:t xml:space="preserve"> view that this revised view generally only needs to be considered in </w:t>
      </w:r>
      <w:r w:rsidR="004A6BBD">
        <w:t>SL</w:t>
      </w:r>
      <w:r>
        <w:t xml:space="preserve"> areas.  </w:t>
      </w:r>
      <w:r w:rsidR="000B46C8">
        <w:t xml:space="preserve">As per the draft AWL LCD for remote areas, it is </w:t>
      </w:r>
      <w:r w:rsidR="000B46C8">
        <w:lastRenderedPageBreak/>
        <w:t>not now proposed for SL services to have a fallback synchronisation scheme with AWL services under the SLTF, as detailed in the proposed RAG Tx.</w:t>
      </w:r>
      <w:r w:rsidR="006C18CA">
        <w:t xml:space="preserve"> Under draft RALI MS47, AWL services in remote areas have a different</w:t>
      </w:r>
      <w:r w:rsidR="00362DE9">
        <w:t>, more stringent,</w:t>
      </w:r>
      <w:r w:rsidR="006C18CA">
        <w:t xml:space="preserve"> device boundary criterion with spectrum licenced services compared with AWLs, removing the need for SL services to have a fallback synchronisation scheme with remote AWLs.</w:t>
      </w:r>
    </w:p>
    <w:p w14:paraId="6349814B" w14:textId="77777777" w:rsidR="00E80491" w:rsidRDefault="00E80491" w:rsidP="00E80491">
      <w:pPr>
        <w:pStyle w:val="Heading3"/>
      </w:pPr>
      <w:bookmarkStart w:id="38" w:name="_Toc126841078"/>
      <w:r>
        <w:t>TLG Member Views</w:t>
      </w:r>
      <w:bookmarkEnd w:id="38"/>
    </w:p>
    <w:p w14:paraId="15F20E9D" w14:textId="3629BB98" w:rsidR="00E80491" w:rsidRDefault="00E80491" w:rsidP="00E80491">
      <w:r>
        <w:t xml:space="preserve">AMTA, Optus and Telstra noted the proposed changes to RAG Tx clauses 8.1 and 8.2 that extended </w:t>
      </w:r>
      <w:r w:rsidR="00362DE9">
        <w:t>its</w:t>
      </w:r>
      <w:r>
        <w:t xml:space="preserve"> use to include potential site-to-site coordination of spectrum licen</w:t>
      </w:r>
      <w:r w:rsidR="004E7D31">
        <w:t>sed</w:t>
      </w:r>
      <w:r>
        <w:t xml:space="preserve"> devices with AWL devices across a geographic boundary. The</w:t>
      </w:r>
      <w:r w:rsidR="004E7D31">
        <w:t>i</w:t>
      </w:r>
      <w:r>
        <w:t xml:space="preserve">r general view was </w:t>
      </w:r>
      <w:r w:rsidR="005B02FD">
        <w:t>strong opposition</w:t>
      </w:r>
      <w:r>
        <w:t>, as the “stringent” device boundary criterion</w:t>
      </w:r>
      <w:r w:rsidR="00362DE9">
        <w:t xml:space="preserve"> was</w:t>
      </w:r>
      <w:r>
        <w:t xml:space="preserve"> already proposed to manage interference from AWL to SL,</w:t>
      </w:r>
      <w:r w:rsidR="005B02FD">
        <w:t xml:space="preserve"> so</w:t>
      </w:r>
      <w:r>
        <w:t xml:space="preserve"> that it was both unnecessary, onerous and problematic to include AWLs in these clauses.</w:t>
      </w:r>
    </w:p>
    <w:p w14:paraId="237ED09B" w14:textId="7A0E8737" w:rsidR="00003306" w:rsidRDefault="00003306" w:rsidP="00E80491">
      <w:r>
        <w:t xml:space="preserve">Pivotel were concerned that the use of the stringent DBC for AWL to SL coordination would not allow flexibility for AWLs to synchronise with SLs and get closer to the boundary. AMTA, Optus and Telstra noted a willingness to provide information to AWLs to allow them to </w:t>
      </w:r>
      <w:r w:rsidR="00272E7D">
        <w:t>synchronise,</w:t>
      </w:r>
      <w:r>
        <w:t xml:space="preserve"> but a formal agreement was not desirable.</w:t>
      </w:r>
    </w:p>
    <w:p w14:paraId="630E14E9" w14:textId="750813AF" w:rsidR="00003306" w:rsidRDefault="00003306" w:rsidP="00E80491">
      <w:r>
        <w:t>AMTA, Optus and Telstra noted the current reference to the stringent DBC only applying to remote areas and questioned whether it was intended to apply to all future AWL/SL boundaries.</w:t>
      </w:r>
    </w:p>
    <w:p w14:paraId="51E80AE6" w14:textId="2E139633" w:rsidR="000545D7" w:rsidRDefault="000545D7" w:rsidP="00E80491">
      <w:r>
        <w:t>AMTA indicated that AWLs should operate as “no interference no protection” from SLs, with support from Optus and Telstra.</w:t>
      </w:r>
    </w:p>
    <w:p w14:paraId="606A263B" w14:textId="77777777" w:rsidR="00E80491" w:rsidRDefault="00E80491" w:rsidP="00FA7F33"/>
    <w:p w14:paraId="767D21EC" w14:textId="2D3DCB91" w:rsidR="00515B73" w:rsidRPr="00AD6BED" w:rsidRDefault="00CA1868" w:rsidP="00F461DE">
      <w:pPr>
        <w:pStyle w:val="sub-heading"/>
      </w:pPr>
      <w:bookmarkStart w:id="39" w:name="_Toc126841079"/>
      <w:r>
        <w:t>Coexistence</w:t>
      </w:r>
      <w:r w:rsidR="006C18CA">
        <w:t xml:space="preserve"> with </w:t>
      </w:r>
      <w:r w:rsidR="006027F6">
        <w:t xml:space="preserve">other </w:t>
      </w:r>
      <w:r w:rsidR="00515B73">
        <w:t>WBB service</w:t>
      </w:r>
      <w:r w:rsidR="006C18CA">
        <w:t xml:space="preserve"> types in adjacent frequency segments</w:t>
      </w:r>
      <w:bookmarkEnd w:id="39"/>
    </w:p>
    <w:p w14:paraId="398B63DB" w14:textId="36B73C10" w:rsidR="00515B73" w:rsidRDefault="00515B73" w:rsidP="00515B73">
      <w:pPr>
        <w:spacing w:line="240" w:lineRule="auto"/>
        <w:rPr>
          <w:rFonts w:cs="Arial"/>
          <w:szCs w:val="20"/>
        </w:rPr>
      </w:pPr>
      <w:r>
        <w:rPr>
          <w:rFonts w:cs="Arial"/>
          <w:szCs w:val="20"/>
        </w:rPr>
        <w:t>Measures need to be defined to manage interference between 3.4 GHz spectrum licen</w:t>
      </w:r>
      <w:r w:rsidR="006836EB">
        <w:rPr>
          <w:rFonts w:cs="Arial"/>
          <w:szCs w:val="20"/>
        </w:rPr>
        <w:t>sed</w:t>
      </w:r>
      <w:r>
        <w:rPr>
          <w:rFonts w:cs="Arial"/>
          <w:szCs w:val="20"/>
        </w:rPr>
        <w:t xml:space="preserve"> </w:t>
      </w:r>
      <w:r w:rsidR="006836EB">
        <w:rPr>
          <w:rFonts w:cs="Arial"/>
          <w:szCs w:val="20"/>
        </w:rPr>
        <w:t>services</w:t>
      </w:r>
      <w:r>
        <w:rPr>
          <w:rFonts w:cs="Arial"/>
          <w:szCs w:val="20"/>
        </w:rPr>
        <w:t xml:space="preserve"> and adjacent frequency apparatus licensed WBB services. This includes possible future restricted cell services in the 3400-3475 MHz band in urban areas and those operating under AWLs in the 3750/3800-3950 MHz band. </w:t>
      </w:r>
    </w:p>
    <w:p w14:paraId="33828B9F" w14:textId="2E88091B" w:rsidR="00515B73" w:rsidRDefault="00515B73" w:rsidP="00515B73">
      <w:pPr>
        <w:spacing w:line="240" w:lineRule="auto"/>
        <w:rPr>
          <w:rFonts w:cs="Arial"/>
          <w:szCs w:val="20"/>
        </w:rPr>
      </w:pPr>
      <w:r>
        <w:rPr>
          <w:rFonts w:cs="Arial"/>
          <w:szCs w:val="20"/>
        </w:rPr>
        <w:t>To manage such interference the following measures are proposed:</w:t>
      </w:r>
    </w:p>
    <w:p w14:paraId="32331C0B" w14:textId="77777777" w:rsidR="00515B73" w:rsidRPr="00B1548D" w:rsidRDefault="00515B73" w:rsidP="00515B73">
      <w:pPr>
        <w:pStyle w:val="ListBullet"/>
        <w:rPr>
          <w:rFonts w:cs="Arial"/>
        </w:rPr>
      </w:pPr>
      <w:r>
        <w:rPr>
          <w:rFonts w:cs="Arial"/>
        </w:rPr>
        <w:t>Restrict access to the 3470-3475 MHz band for new apparatus licences in defined urban areas</w:t>
      </w:r>
      <w:r>
        <w:t>.</w:t>
      </w:r>
    </w:p>
    <w:p w14:paraId="6DC79E32" w14:textId="33D21BBD" w:rsidR="00515B73" w:rsidRPr="00B04B10" w:rsidRDefault="00515B73" w:rsidP="00515B73">
      <w:pPr>
        <w:pStyle w:val="ListBullet"/>
        <w:spacing w:after="240"/>
        <w:rPr>
          <w:rFonts w:cs="Arial"/>
        </w:rPr>
      </w:pPr>
      <w:r>
        <w:rPr>
          <w:rFonts w:cs="Arial"/>
        </w:rPr>
        <w:t xml:space="preserve">Restrict access </w:t>
      </w:r>
      <w:r w:rsidRPr="002425AC">
        <w:rPr>
          <w:rFonts w:cs="Arial"/>
        </w:rPr>
        <w:t>to the 15 MHz directly adjacent to a 3.4 GHz band spectrum licence for AWLs</w:t>
      </w:r>
      <w:r>
        <w:rPr>
          <w:rFonts w:cs="Arial"/>
        </w:rPr>
        <w:t>.</w:t>
      </w:r>
    </w:p>
    <w:p w14:paraId="1E0CD9F4" w14:textId="00D2F951" w:rsidR="00515B73" w:rsidRDefault="00515B73" w:rsidP="00515B73">
      <w:pPr>
        <w:spacing w:line="240" w:lineRule="auto"/>
      </w:pPr>
      <w:r>
        <w:t>Access to this spectrum by prospective apparatus licensee</w:t>
      </w:r>
      <w:r w:rsidR="006836EB">
        <w:t>s</w:t>
      </w:r>
      <w:r>
        <w:t xml:space="preserve"> would generally be limited to cases where there is agreement with the adjacent 3.4 GHz band spectrum licensee. This helps to ensure measure</w:t>
      </w:r>
      <w:r w:rsidR="006836EB">
        <w:t>s</w:t>
      </w:r>
      <w:r>
        <w:t xml:space="preserve"> are in place to manage interference. </w:t>
      </w:r>
    </w:p>
    <w:p w14:paraId="6E122DCB" w14:textId="7CB0E7DA" w:rsidR="00515B73" w:rsidRDefault="00515B73" w:rsidP="00515B73">
      <w:pPr>
        <w:spacing w:line="240" w:lineRule="auto"/>
      </w:pPr>
      <w:r>
        <w:t>A new section 12 to the RAG</w:t>
      </w:r>
      <w:r w:rsidR="00851C2E">
        <w:t xml:space="preserve"> Tx</w:t>
      </w:r>
      <w:r>
        <w:t xml:space="preserve"> </w:t>
      </w:r>
      <w:r w:rsidR="005B02FD">
        <w:t xml:space="preserve">was </w:t>
      </w:r>
      <w:r>
        <w:t>proposed to detail the above</w:t>
      </w:r>
      <w:r w:rsidR="00B4054F">
        <w:t xml:space="preserve"> future</w:t>
      </w:r>
      <w:r>
        <w:t xml:space="preserve"> arrangements. </w:t>
      </w:r>
      <w:r w:rsidR="008F1427">
        <w:t>In addition, RALI MS47 would also be updated, as required, to assist in managing coexistence between any AWL services in these possible future AWL ranges and the spectrum licen</w:t>
      </w:r>
      <w:r w:rsidR="007F7601">
        <w:t>s</w:t>
      </w:r>
      <w:r w:rsidR="008F1427">
        <w:t>ed services.</w:t>
      </w:r>
    </w:p>
    <w:p w14:paraId="2CC17223" w14:textId="77777777" w:rsidR="005B02FD" w:rsidRDefault="005B02FD" w:rsidP="005B02FD">
      <w:pPr>
        <w:pStyle w:val="Heading3"/>
      </w:pPr>
      <w:bookmarkStart w:id="40" w:name="_Toc126841080"/>
      <w:r>
        <w:t>TLG Member Views</w:t>
      </w:r>
      <w:bookmarkEnd w:id="40"/>
    </w:p>
    <w:p w14:paraId="33DC7D58" w14:textId="68B17FEE" w:rsidR="005B02FD" w:rsidRPr="002425AC" w:rsidRDefault="005B02FD" w:rsidP="005B02FD">
      <w:pPr>
        <w:spacing w:line="240" w:lineRule="auto"/>
      </w:pPr>
      <w:r>
        <w:t>AMTA agreed with the proposal for “restricted use bands”</w:t>
      </w:r>
      <w:r w:rsidR="00284576">
        <w:t xml:space="preserve"> and w</w:t>
      </w:r>
      <w:r w:rsidR="004E7D31">
        <w:t>as</w:t>
      </w:r>
      <w:r w:rsidR="00284576">
        <w:t xml:space="preserve"> supported by Optus and Telstra.</w:t>
      </w:r>
    </w:p>
    <w:p w14:paraId="513309B6" w14:textId="00BC3A6B" w:rsidR="00FA7F33" w:rsidRPr="00137121" w:rsidRDefault="00FA7F33" w:rsidP="00FA7F33">
      <w:pPr>
        <w:pStyle w:val="sub-heading"/>
      </w:pPr>
      <w:bookmarkStart w:id="41" w:name="_Toc126841081"/>
      <w:r>
        <w:lastRenderedPageBreak/>
        <w:t>FSS AL receive</w:t>
      </w:r>
      <w:r w:rsidRPr="00137121">
        <w:t xml:space="preserve"> devices operating in the </w:t>
      </w:r>
      <w:r>
        <w:t>3400-4200 MHz range</w:t>
      </w:r>
      <w:bookmarkEnd w:id="41"/>
      <w:r>
        <w:t xml:space="preserve"> </w:t>
      </w:r>
    </w:p>
    <w:p w14:paraId="403EAEB0" w14:textId="5FB3F70A" w:rsidR="00AD6427" w:rsidRDefault="00DB6AA3" w:rsidP="00FA7F33">
      <w:pPr>
        <w:rPr>
          <w:rFonts w:cs="Arial"/>
        </w:rPr>
      </w:pPr>
      <w:r>
        <w:rPr>
          <w:rFonts w:cs="Arial"/>
        </w:rPr>
        <w:t xml:space="preserve">As presented in the March and July 2022 spectrum tune-ups in relation to the allocations in 3400-4000 MHz, issues around the possibility of FSS AL services unduly preventing AWL device registration in remote areas were discussed. This resulted in the ACMA proposing revisions to the draft MS47 to require a new FSS AL to coordinate with </w:t>
      </w:r>
      <w:r w:rsidR="007F7601">
        <w:rPr>
          <w:rFonts w:cs="Arial"/>
        </w:rPr>
        <w:t xml:space="preserve">the </w:t>
      </w:r>
      <w:r>
        <w:rPr>
          <w:rFonts w:cs="Arial"/>
        </w:rPr>
        <w:t xml:space="preserve">AWL </w:t>
      </w:r>
      <w:r w:rsidR="007F7601">
        <w:rPr>
          <w:rFonts w:cs="Arial"/>
        </w:rPr>
        <w:t xml:space="preserve">area to allow for future registration of </w:t>
      </w:r>
      <w:r>
        <w:rPr>
          <w:rFonts w:cs="Arial"/>
        </w:rPr>
        <w:t xml:space="preserve">devices </w:t>
      </w:r>
      <w:r w:rsidR="007F7601">
        <w:rPr>
          <w:rFonts w:cs="Arial"/>
        </w:rPr>
        <w:t>in the area</w:t>
      </w:r>
      <w:r>
        <w:rPr>
          <w:rFonts w:cs="Arial"/>
        </w:rPr>
        <w:t xml:space="preserve">. As this situation </w:t>
      </w:r>
      <w:r w:rsidR="007F7601">
        <w:rPr>
          <w:rFonts w:cs="Arial"/>
        </w:rPr>
        <w:t>is also relevant to</w:t>
      </w:r>
      <w:r>
        <w:rPr>
          <w:rFonts w:cs="Arial"/>
        </w:rPr>
        <w:t xml:space="preserve"> SLs</w:t>
      </w:r>
      <w:r w:rsidR="007F7601">
        <w:rPr>
          <w:rFonts w:cs="Arial"/>
        </w:rPr>
        <w:t>, coordination with the SL area is necessary to allow future registration of</w:t>
      </w:r>
      <w:r>
        <w:rPr>
          <w:rFonts w:cs="Arial"/>
        </w:rPr>
        <w:t xml:space="preserve"> devices, it is proposed to require this to occur for FSS ALs for SLs as well</w:t>
      </w:r>
      <w:r w:rsidR="009E38E1">
        <w:rPr>
          <w:rFonts w:cs="Arial"/>
        </w:rPr>
        <w:t xml:space="preserve"> in the final RALI MS47</w:t>
      </w:r>
      <w:r>
        <w:rPr>
          <w:rFonts w:cs="Arial"/>
        </w:rPr>
        <w:t>.</w:t>
      </w:r>
    </w:p>
    <w:p w14:paraId="446492F2" w14:textId="29BB89E3" w:rsidR="005214AF" w:rsidRDefault="005214AF" w:rsidP="00FA7F33">
      <w:pPr>
        <w:rPr>
          <w:rFonts w:cs="Arial"/>
        </w:rPr>
      </w:pPr>
      <w:r>
        <w:rPr>
          <w:rFonts w:cs="Arial"/>
        </w:rPr>
        <w:t xml:space="preserve">For the coordination of SLs with incumbent FSS ALs there </w:t>
      </w:r>
      <w:r w:rsidR="00003306">
        <w:rPr>
          <w:rFonts w:cs="Arial"/>
        </w:rPr>
        <w:t xml:space="preserve">were </w:t>
      </w:r>
      <w:r>
        <w:rPr>
          <w:rFonts w:cs="Arial"/>
        </w:rPr>
        <w:t>several cases to consider:</w:t>
      </w:r>
    </w:p>
    <w:p w14:paraId="0429FF79" w14:textId="2947EAF3" w:rsidR="005214AF" w:rsidRDefault="005214AF" w:rsidP="00F461DE">
      <w:pPr>
        <w:pStyle w:val="ListParagraph"/>
        <w:numPr>
          <w:ilvl w:val="0"/>
          <w:numId w:val="57"/>
        </w:numPr>
      </w:pPr>
      <w:r>
        <w:t>Protection of incumbent FSS ALs within a SL spectrum space during the SL reallocation period.</w:t>
      </w:r>
    </w:p>
    <w:p w14:paraId="7203D17E" w14:textId="5E59D758" w:rsidR="005214AF" w:rsidRDefault="005214AF" w:rsidP="00F461DE">
      <w:pPr>
        <w:pStyle w:val="ListParagraph"/>
        <w:numPr>
          <w:ilvl w:val="0"/>
          <w:numId w:val="57"/>
        </w:numPr>
      </w:pPr>
      <w:r>
        <w:t>Protection of incumbent FSS ALs outside an SL spectrum space during the SL reallocation period.</w:t>
      </w:r>
    </w:p>
    <w:p w14:paraId="37A72A6E" w14:textId="4C79966F" w:rsidR="005214AF" w:rsidRDefault="005214AF" w:rsidP="00F461DE">
      <w:pPr>
        <w:pStyle w:val="ListParagraph"/>
        <w:numPr>
          <w:ilvl w:val="0"/>
          <w:numId w:val="57"/>
        </w:numPr>
      </w:pPr>
      <w:r>
        <w:t>Protection of incumbent FSS ALs outside an SL spectrum space after the SL reallocation period.</w:t>
      </w:r>
    </w:p>
    <w:p w14:paraId="6F8CFAFC" w14:textId="17683845" w:rsidR="00483C38" w:rsidRPr="00897FAF" w:rsidRDefault="00483C38" w:rsidP="00F461DE">
      <w:pPr>
        <w:pStyle w:val="ListParagraph"/>
        <w:numPr>
          <w:ilvl w:val="0"/>
          <w:numId w:val="57"/>
        </w:numPr>
      </w:pPr>
      <w:r>
        <w:t>Protection of new FSS ALs outside a SL spectrum space after the reallocation period commences.</w:t>
      </w:r>
    </w:p>
    <w:p w14:paraId="6CAD28A2" w14:textId="7724DABC" w:rsidR="005D629C" w:rsidRDefault="005214AF" w:rsidP="00FA7F33">
      <w:pPr>
        <w:rPr>
          <w:rFonts w:cs="Arial"/>
        </w:rPr>
      </w:pPr>
      <w:r>
        <w:rPr>
          <w:rFonts w:cs="Arial"/>
        </w:rPr>
        <w:t>In the staff view</w:t>
      </w:r>
      <w:r w:rsidR="00003306">
        <w:rPr>
          <w:rFonts w:cs="Arial"/>
        </w:rPr>
        <w:t xml:space="preserve"> in TLG V4</w:t>
      </w:r>
      <w:r>
        <w:rPr>
          <w:rFonts w:cs="Arial"/>
        </w:rPr>
        <w:t>, the differences relate primarily to the consideration of the assumed RF filter</w:t>
      </w:r>
      <w:r w:rsidR="002B60A9">
        <w:rPr>
          <w:rFonts w:cs="Arial"/>
        </w:rPr>
        <w:t>, including whether it should apply to a</w:t>
      </w:r>
      <w:r w:rsidR="007F7601">
        <w:rPr>
          <w:rFonts w:cs="Arial"/>
        </w:rPr>
        <w:t>n</w:t>
      </w:r>
      <w:r w:rsidR="002B60A9">
        <w:rPr>
          <w:rFonts w:cs="Arial"/>
        </w:rPr>
        <w:t xml:space="preserve"> FSS AL licence frequency upper bound as well as lower bound,</w:t>
      </w:r>
      <w:r w:rsidR="009E38E1">
        <w:rPr>
          <w:rFonts w:cs="Arial"/>
        </w:rPr>
        <w:t xml:space="preserve"> </w:t>
      </w:r>
      <w:r>
        <w:rPr>
          <w:rFonts w:cs="Arial"/>
        </w:rPr>
        <w:t xml:space="preserve">under RAG Tx </w:t>
      </w:r>
      <w:r w:rsidR="00483C38">
        <w:rPr>
          <w:rFonts w:cs="Arial"/>
        </w:rPr>
        <w:t xml:space="preserve">section </w:t>
      </w:r>
      <w:r w:rsidR="005D629C">
        <w:rPr>
          <w:rFonts w:cs="Arial"/>
        </w:rPr>
        <w:t>4</w:t>
      </w:r>
      <w:r w:rsidR="00483C38">
        <w:rPr>
          <w:rFonts w:cs="Arial"/>
        </w:rPr>
        <w:t>.  As also proposed after the spectrum</w:t>
      </w:r>
      <w:r w:rsidR="005D629C">
        <w:rPr>
          <w:rFonts w:cs="Arial"/>
        </w:rPr>
        <w:t xml:space="preserve"> tune-ups</w:t>
      </w:r>
      <w:r w:rsidR="00483C38">
        <w:rPr>
          <w:rFonts w:cs="Arial"/>
        </w:rPr>
        <w:t xml:space="preserve">, </w:t>
      </w:r>
      <w:r w:rsidR="005D629C">
        <w:rPr>
          <w:rFonts w:cs="Arial"/>
        </w:rPr>
        <w:t>new</w:t>
      </w:r>
      <w:r w:rsidR="00483C38">
        <w:rPr>
          <w:rFonts w:cs="Arial"/>
        </w:rPr>
        <w:t xml:space="preserve"> FSS ALs were proposed to be permitted to licence a frequency range around which RF filtering was possible. </w:t>
      </w:r>
    </w:p>
    <w:p w14:paraId="5502A0F3" w14:textId="4BA089BB" w:rsidR="005214AF" w:rsidRDefault="00003306" w:rsidP="00FA7F33">
      <w:pPr>
        <w:rPr>
          <w:rFonts w:cs="Arial"/>
        </w:rPr>
      </w:pPr>
      <w:r>
        <w:rPr>
          <w:rFonts w:cs="Arial"/>
        </w:rPr>
        <w:t>It was</w:t>
      </w:r>
      <w:r w:rsidR="005D629C">
        <w:rPr>
          <w:rFonts w:cs="Arial"/>
        </w:rPr>
        <w:t xml:space="preserve"> the staff view </w:t>
      </w:r>
      <w:r>
        <w:rPr>
          <w:rFonts w:cs="Arial"/>
        </w:rPr>
        <w:t xml:space="preserve">for TLG V4 </w:t>
      </w:r>
      <w:r w:rsidR="005D629C">
        <w:rPr>
          <w:rFonts w:cs="Arial"/>
        </w:rPr>
        <w:t>that it would not be reasonable to assume the RF filter exists at the upper frequency bound of a</w:t>
      </w:r>
      <w:r w:rsidR="007F7601">
        <w:rPr>
          <w:rFonts w:cs="Arial"/>
        </w:rPr>
        <w:t>n</w:t>
      </w:r>
      <w:r w:rsidR="005D629C">
        <w:rPr>
          <w:rFonts w:cs="Arial"/>
        </w:rPr>
        <w:t xml:space="preserve"> FSS AL licence for cases 1 or 2, but that it would be reasonable for cases 3 and 4. </w:t>
      </w:r>
      <w:r w:rsidR="009E38E1">
        <w:rPr>
          <w:rFonts w:cs="Arial"/>
        </w:rPr>
        <w:t xml:space="preserve"> In case 3, there is a reasonable period of time for a</w:t>
      </w:r>
      <w:r w:rsidR="009920FB">
        <w:rPr>
          <w:rFonts w:cs="Arial"/>
        </w:rPr>
        <w:t>n</w:t>
      </w:r>
      <w:r w:rsidR="009E38E1">
        <w:rPr>
          <w:rFonts w:cs="Arial"/>
        </w:rPr>
        <w:t xml:space="preserve"> FSS AL to obtain filters to reflect licensing, or to re-licen</w:t>
      </w:r>
      <w:r w:rsidR="009920FB">
        <w:rPr>
          <w:rFonts w:cs="Arial"/>
        </w:rPr>
        <w:t>s</w:t>
      </w:r>
      <w:r w:rsidR="009E38E1">
        <w:rPr>
          <w:rFonts w:cs="Arial"/>
        </w:rPr>
        <w:t>e</w:t>
      </w:r>
      <w:r w:rsidR="009920FB">
        <w:rPr>
          <w:rFonts w:cs="Arial"/>
        </w:rPr>
        <w:t>d</w:t>
      </w:r>
      <w:r w:rsidR="009E38E1">
        <w:rPr>
          <w:rFonts w:cs="Arial"/>
        </w:rPr>
        <w:t xml:space="preserve"> for </w:t>
      </w:r>
      <w:r w:rsidR="001D1DAE">
        <w:rPr>
          <w:rFonts w:cs="Arial"/>
        </w:rPr>
        <w:t xml:space="preserve">the licence to reflect a practical filter.  For case 4, there is reasonable time for a </w:t>
      </w:r>
      <w:r w:rsidR="002B60A9">
        <w:rPr>
          <w:rFonts w:cs="Arial"/>
        </w:rPr>
        <w:t>potential FSS</w:t>
      </w:r>
      <w:r w:rsidR="001D1DAE">
        <w:rPr>
          <w:rFonts w:cs="Arial"/>
        </w:rPr>
        <w:t xml:space="preserve"> AL licensee to plan for a licence to match a practical filter.</w:t>
      </w:r>
    </w:p>
    <w:p w14:paraId="3489BD7F" w14:textId="05BEE932" w:rsidR="00AA5A24" w:rsidRDefault="00AA5A24" w:rsidP="00FA7F33">
      <w:pPr>
        <w:rPr>
          <w:rFonts w:cs="Arial"/>
        </w:rPr>
      </w:pPr>
      <w:r>
        <w:rPr>
          <w:rFonts w:cs="Arial"/>
        </w:rPr>
        <w:t xml:space="preserve">Satellite operators </w:t>
      </w:r>
      <w:r w:rsidR="00003306">
        <w:rPr>
          <w:rFonts w:cs="Arial"/>
        </w:rPr>
        <w:t xml:space="preserve">previously </w:t>
      </w:r>
      <w:r>
        <w:rPr>
          <w:rFonts w:cs="Arial"/>
        </w:rPr>
        <w:t>provided a submission proposing</w:t>
      </w:r>
      <w:r w:rsidR="00764F8C">
        <w:rPr>
          <w:rFonts w:cs="Arial"/>
        </w:rPr>
        <w:t>, and providing supporting evidence for,</w:t>
      </w:r>
      <w:r>
        <w:rPr>
          <w:rFonts w:cs="Arial"/>
        </w:rPr>
        <w:t xml:space="preserve"> changed values to protect FSS receive devices under the RAG</w:t>
      </w:r>
      <w:r w:rsidR="00851C2E">
        <w:rPr>
          <w:rFonts w:cs="Arial"/>
        </w:rPr>
        <w:t xml:space="preserve"> Tx</w:t>
      </w:r>
      <w:r w:rsidR="005214AF">
        <w:rPr>
          <w:rFonts w:cs="Arial"/>
        </w:rPr>
        <w:t xml:space="preserve">. </w:t>
      </w:r>
      <w:r>
        <w:rPr>
          <w:rFonts w:cs="Arial"/>
        </w:rPr>
        <w:t xml:space="preserve">The ACMA </w:t>
      </w:r>
      <w:r w:rsidR="00697D4B">
        <w:rPr>
          <w:rFonts w:cs="Arial"/>
        </w:rPr>
        <w:t xml:space="preserve">staff preliminary </w:t>
      </w:r>
      <w:r>
        <w:rPr>
          <w:rFonts w:cs="Arial"/>
        </w:rPr>
        <w:t xml:space="preserve">view, </w:t>
      </w:r>
      <w:r w:rsidR="00764F8C">
        <w:rPr>
          <w:rFonts w:cs="Arial"/>
        </w:rPr>
        <w:t>currently</w:t>
      </w:r>
      <w:r>
        <w:rPr>
          <w:rFonts w:cs="Arial"/>
        </w:rPr>
        <w:t xml:space="preserve">, is that the </w:t>
      </w:r>
      <w:r w:rsidR="00764F8C">
        <w:rPr>
          <w:rFonts w:cs="Arial"/>
        </w:rPr>
        <w:t>existing</w:t>
      </w:r>
      <w:r>
        <w:rPr>
          <w:rFonts w:cs="Arial"/>
        </w:rPr>
        <w:t xml:space="preserve"> RAG</w:t>
      </w:r>
      <w:r w:rsidR="00851C2E">
        <w:rPr>
          <w:rFonts w:cs="Arial"/>
        </w:rPr>
        <w:t xml:space="preserve"> Tx</w:t>
      </w:r>
      <w:r>
        <w:rPr>
          <w:rFonts w:cs="Arial"/>
        </w:rPr>
        <w:t xml:space="preserve"> clauses have been operating successfully in dense spectrum licensed areas in the 3.4-3.7 GHz range, both in relation to the relocation period and </w:t>
      </w:r>
      <w:r w:rsidR="00AE7624">
        <w:rPr>
          <w:rFonts w:cs="Arial"/>
        </w:rPr>
        <w:t xml:space="preserve">in </w:t>
      </w:r>
      <w:r>
        <w:rPr>
          <w:rFonts w:cs="Arial"/>
        </w:rPr>
        <w:t xml:space="preserve">ongoing coordination. </w:t>
      </w:r>
      <w:r w:rsidR="005214AF">
        <w:rPr>
          <w:rFonts w:cs="Arial"/>
        </w:rPr>
        <w:t>W</w:t>
      </w:r>
      <w:r w:rsidR="00764F8C">
        <w:rPr>
          <w:rFonts w:cs="Arial"/>
        </w:rPr>
        <w:t xml:space="preserve">e do not propose to revise the RAG </w:t>
      </w:r>
      <w:r w:rsidR="00851C2E">
        <w:rPr>
          <w:rFonts w:cs="Arial"/>
        </w:rPr>
        <w:t xml:space="preserve">Tx </w:t>
      </w:r>
      <w:r w:rsidR="00764F8C">
        <w:rPr>
          <w:rFonts w:cs="Arial"/>
        </w:rPr>
        <w:t xml:space="preserve">clauses in relation to FSS at this time. </w:t>
      </w:r>
    </w:p>
    <w:p w14:paraId="3D1E1E14" w14:textId="77777777" w:rsidR="00003306" w:rsidRDefault="00003306" w:rsidP="00003306">
      <w:pPr>
        <w:pStyle w:val="Heading3"/>
      </w:pPr>
      <w:bookmarkStart w:id="42" w:name="_Toc126841082"/>
      <w:r>
        <w:t>TLG Member Views</w:t>
      </w:r>
      <w:bookmarkEnd w:id="42"/>
    </w:p>
    <w:p w14:paraId="0804D9A4" w14:textId="07DEA8B2" w:rsidR="00003306" w:rsidRDefault="006C5163" w:rsidP="00FA7F33">
      <w:pPr>
        <w:rPr>
          <w:rFonts w:cs="Arial"/>
        </w:rPr>
      </w:pPr>
      <w:r>
        <w:rPr>
          <w:rFonts w:cs="Arial"/>
        </w:rPr>
        <w:t xml:space="preserve">Intelsat, SES and Speedcast questioned the basis for the parameters used for SL to earth station coordination in </w:t>
      </w:r>
      <w:r w:rsidR="004E7D31">
        <w:rPr>
          <w:rFonts w:cs="Arial"/>
        </w:rPr>
        <w:t>T</w:t>
      </w:r>
      <w:r>
        <w:rPr>
          <w:rFonts w:cs="Arial"/>
        </w:rPr>
        <w:t>able 1 of the RAG Tx (and similarly in RALI MS47 for AWL to earth station</w:t>
      </w:r>
      <w:r w:rsidR="000545D7">
        <w:rPr>
          <w:rFonts w:cs="Arial"/>
        </w:rPr>
        <w:t>). (Note the parameters were not proposed to be changed from the extant SLTF).</w:t>
      </w:r>
    </w:p>
    <w:p w14:paraId="64635F97" w14:textId="03FA752E" w:rsidR="000545D7" w:rsidRDefault="000545D7" w:rsidP="00FA7F33">
      <w:pPr>
        <w:rPr>
          <w:rFonts w:cs="Arial"/>
        </w:rPr>
      </w:pPr>
      <w:r>
        <w:rPr>
          <w:rFonts w:cs="Arial"/>
        </w:rPr>
        <w:t>They proposed new values for some coordination parameters to better protect earth stations and some technical basis for their proposal.</w:t>
      </w:r>
    </w:p>
    <w:p w14:paraId="04F2E6C7" w14:textId="18F6CBDC" w:rsidR="000545D7" w:rsidRDefault="000545D7" w:rsidP="00FA7F33">
      <w:pPr>
        <w:rPr>
          <w:rFonts w:cs="Arial"/>
        </w:rPr>
      </w:pPr>
      <w:r>
        <w:rPr>
          <w:rFonts w:cs="Arial"/>
        </w:rPr>
        <w:t>They questioned the practicality and cost of custom RF filters for earth stations and the alternative of licensing wide bandwidths was likely to be prohibitive in future metro</w:t>
      </w:r>
      <w:r w:rsidR="003A37C6">
        <w:rPr>
          <w:rFonts w:cs="Arial"/>
        </w:rPr>
        <w:t xml:space="preserve"> and </w:t>
      </w:r>
      <w:r w:rsidR="003A37C6">
        <w:rPr>
          <w:rFonts w:cs="Arial"/>
        </w:rPr>
        <w:lastRenderedPageBreak/>
        <w:t>regional</w:t>
      </w:r>
      <w:r>
        <w:rPr>
          <w:rFonts w:cs="Arial"/>
        </w:rPr>
        <w:t xml:space="preserve"> areas</w:t>
      </w:r>
      <w:r w:rsidR="00507267">
        <w:rPr>
          <w:rFonts w:cs="Arial"/>
        </w:rPr>
        <w:t xml:space="preserve"> and urged the released of </w:t>
      </w:r>
      <w:r w:rsidR="005B281A">
        <w:rPr>
          <w:rFonts w:cs="Arial"/>
        </w:rPr>
        <w:t xml:space="preserve">future possible </w:t>
      </w:r>
      <w:r w:rsidR="00507267">
        <w:rPr>
          <w:rFonts w:cs="Arial"/>
        </w:rPr>
        <w:t xml:space="preserve">AWL pricing </w:t>
      </w:r>
      <w:r w:rsidR="005B281A">
        <w:rPr>
          <w:rFonts w:cs="Arial"/>
        </w:rPr>
        <w:t xml:space="preserve">for those areas </w:t>
      </w:r>
      <w:r w:rsidR="00507267">
        <w:rPr>
          <w:rFonts w:cs="Arial"/>
        </w:rPr>
        <w:t>as soon as practicable</w:t>
      </w:r>
      <w:r>
        <w:rPr>
          <w:rFonts w:cs="Arial"/>
        </w:rPr>
        <w:t>. They did support the concessional “no RF filter at the upper edge” during the reallocation period proposal.</w:t>
      </w:r>
      <w:r w:rsidR="00BA1503">
        <w:rPr>
          <w:rFonts w:cs="Arial"/>
        </w:rPr>
        <w:t xml:space="preserve"> They (Intelsat, SES and Speedcast) have also raised a number of times their specific concerns with the use of AWLs for FSS C-band earth stations should they be proposed, as planned for the future allocations in regional and metropolitan areas.</w:t>
      </w:r>
    </w:p>
    <w:p w14:paraId="2E8A19DF" w14:textId="1B6C7555" w:rsidR="000545D7" w:rsidRDefault="000545D7" w:rsidP="00FA7F33">
      <w:pPr>
        <w:rPr>
          <w:rFonts w:cs="Arial"/>
        </w:rPr>
      </w:pPr>
      <w:r>
        <w:rPr>
          <w:rFonts w:cs="Arial"/>
        </w:rPr>
        <w:t xml:space="preserve">AMTA, Optus and Telstra also suggested that </w:t>
      </w:r>
      <w:r w:rsidR="007C7540">
        <w:rPr>
          <w:rFonts w:cs="Arial"/>
        </w:rPr>
        <w:t>the table</w:t>
      </w:r>
      <w:r>
        <w:rPr>
          <w:rFonts w:cs="Arial"/>
        </w:rPr>
        <w:t xml:space="preserve"> 1 of the RAG Tx RF filter values should be updated, as filters available in the market today offered better performance.</w:t>
      </w:r>
    </w:p>
    <w:p w14:paraId="0AFD9758" w14:textId="281F50F9" w:rsidR="000545D7" w:rsidRDefault="000545D7" w:rsidP="00FA7F33">
      <w:pPr>
        <w:rPr>
          <w:rFonts w:cs="Arial"/>
        </w:rPr>
      </w:pPr>
      <w:r>
        <w:rPr>
          <w:rFonts w:cs="Arial"/>
        </w:rPr>
        <w:t xml:space="preserve">AMTA noted that the earth station to AWL/SL </w:t>
      </w:r>
      <w:r w:rsidR="007C7540">
        <w:rPr>
          <w:rFonts w:cs="Arial"/>
        </w:rPr>
        <w:t>coordination</w:t>
      </w:r>
      <w:r>
        <w:rPr>
          <w:rFonts w:cs="Arial"/>
        </w:rPr>
        <w:t xml:space="preserve"> method described in the draft RALI MS47 did not appear to cover the geographic overlap </w:t>
      </w:r>
      <w:r w:rsidR="001E41E1">
        <w:rPr>
          <w:rFonts w:cs="Arial"/>
        </w:rPr>
        <w:t>by adjacent frequency AWLs/SLs.</w:t>
      </w:r>
    </w:p>
    <w:p w14:paraId="54722B4F" w14:textId="6E46DB03" w:rsidR="00272E7D" w:rsidRDefault="00272E7D" w:rsidP="00FA7F33">
      <w:pPr>
        <w:rPr>
          <w:rFonts w:cs="Arial"/>
        </w:rPr>
      </w:pPr>
      <w:r>
        <w:rPr>
          <w:rFonts w:cs="Arial"/>
        </w:rPr>
        <w:t>Telstra noted that the earth station to AWL/SL coordination method described in the draft RALI MS47 only appeared to be specified for remote area earth stations and questioned its wider application.</w:t>
      </w:r>
    </w:p>
    <w:p w14:paraId="7C877E60" w14:textId="77777777" w:rsidR="000545D7" w:rsidRDefault="000545D7" w:rsidP="00FA7F33">
      <w:pPr>
        <w:rPr>
          <w:rFonts w:cs="Arial"/>
        </w:rPr>
      </w:pPr>
    </w:p>
    <w:p w14:paraId="5DBBACE5" w14:textId="48EF7557" w:rsidR="00FA7F33" w:rsidRPr="00137121" w:rsidRDefault="00FA7F33" w:rsidP="00FA7F33">
      <w:pPr>
        <w:pStyle w:val="sub-heading"/>
      </w:pPr>
      <w:bookmarkStart w:id="43" w:name="_Toc126841083"/>
      <w:r>
        <w:t>PMP AL receive</w:t>
      </w:r>
      <w:r w:rsidRPr="00137121">
        <w:t xml:space="preserve"> devices operating in the </w:t>
      </w:r>
      <w:r>
        <w:t>3400-3700 MHz range</w:t>
      </w:r>
      <w:bookmarkEnd w:id="43"/>
      <w:r>
        <w:t xml:space="preserve"> </w:t>
      </w:r>
    </w:p>
    <w:p w14:paraId="72ABB293" w14:textId="088E14E2" w:rsidR="00FA7F33" w:rsidRDefault="00FA7F33" w:rsidP="00FA7F33">
      <w:pPr>
        <w:rPr>
          <w:rFonts w:cs="Arial"/>
        </w:rPr>
      </w:pPr>
      <w:r>
        <w:rPr>
          <w:rFonts w:cs="Arial"/>
        </w:rPr>
        <w:t xml:space="preserve">It </w:t>
      </w:r>
      <w:r w:rsidR="00930AFF">
        <w:rPr>
          <w:rFonts w:cs="Arial"/>
        </w:rPr>
        <w:t xml:space="preserve">was </w:t>
      </w:r>
      <w:r>
        <w:rPr>
          <w:rFonts w:cs="Arial"/>
        </w:rPr>
        <w:t xml:space="preserve">intended that once </w:t>
      </w:r>
      <w:r w:rsidR="00AD6427">
        <w:rPr>
          <w:rFonts w:cs="Arial"/>
        </w:rPr>
        <w:t>SL</w:t>
      </w:r>
      <w:r w:rsidR="00DB6AA3">
        <w:rPr>
          <w:rFonts w:cs="Arial"/>
        </w:rPr>
        <w:t xml:space="preserve"> </w:t>
      </w:r>
      <w:r>
        <w:rPr>
          <w:rFonts w:cs="Arial"/>
        </w:rPr>
        <w:t xml:space="preserve">arrangements are in place, no new PMP licences </w:t>
      </w:r>
      <w:r w:rsidR="001A68AC">
        <w:rPr>
          <w:rFonts w:cs="Arial"/>
        </w:rPr>
        <w:t xml:space="preserve">would </w:t>
      </w:r>
      <w:r>
        <w:rPr>
          <w:rFonts w:cs="Arial"/>
        </w:rPr>
        <w:t xml:space="preserve">be issued. </w:t>
      </w:r>
      <w:r w:rsidR="00AA0C1C">
        <w:rPr>
          <w:rFonts w:cs="Arial"/>
        </w:rPr>
        <w:t xml:space="preserve"> However, incumbent services, during and after the reallocation period need to be protected.  These requirements are now described in draft RALI MS47 which is intended to be referred to in the RAG Tx under Part 5.</w:t>
      </w:r>
    </w:p>
    <w:p w14:paraId="7DBCECAC" w14:textId="77777777" w:rsidR="00930AFF" w:rsidRDefault="00930AFF" w:rsidP="00930AFF">
      <w:pPr>
        <w:pStyle w:val="Heading3"/>
      </w:pPr>
      <w:bookmarkStart w:id="44" w:name="_Toc126841084"/>
      <w:r>
        <w:t>TLG Member Views</w:t>
      </w:r>
      <w:bookmarkEnd w:id="44"/>
    </w:p>
    <w:p w14:paraId="28FFF092" w14:textId="4D898F5B" w:rsidR="00930AFF" w:rsidRDefault="00930AFF" w:rsidP="00FA7F33">
      <w:pPr>
        <w:rPr>
          <w:rFonts w:cs="Arial"/>
        </w:rPr>
      </w:pPr>
      <w:r>
        <w:rPr>
          <w:rFonts w:cs="Arial"/>
        </w:rPr>
        <w:t xml:space="preserve">AMTA made </w:t>
      </w:r>
      <w:r w:rsidR="00230441">
        <w:rPr>
          <w:rFonts w:cs="Arial"/>
        </w:rPr>
        <w:t xml:space="preserve">specific </w:t>
      </w:r>
      <w:r>
        <w:rPr>
          <w:rFonts w:cs="Arial"/>
        </w:rPr>
        <w:t>comments around coordination conditions proposed for AWLs with PMPs under draft RALI MS47.</w:t>
      </w:r>
    </w:p>
    <w:p w14:paraId="7AF3B4B2" w14:textId="448E24BA" w:rsidR="00930AFF" w:rsidRDefault="00930AFF" w:rsidP="00FA7F33">
      <w:pPr>
        <w:rPr>
          <w:rFonts w:cs="Arial"/>
        </w:rPr>
      </w:pPr>
      <w:r>
        <w:rPr>
          <w:rFonts w:cs="Arial"/>
        </w:rPr>
        <w:t xml:space="preserve">Telstra </w:t>
      </w:r>
      <w:r w:rsidR="00230441">
        <w:rPr>
          <w:rFonts w:cs="Arial"/>
        </w:rPr>
        <w:t xml:space="preserve">questioned the need for </w:t>
      </w:r>
      <w:r>
        <w:rPr>
          <w:rFonts w:cs="Arial"/>
        </w:rPr>
        <w:t>a new condition in draft RALI MS47 that proposed a 20</w:t>
      </w:r>
      <w:r w:rsidR="00D57770">
        <w:rPr>
          <w:rFonts w:cs="Arial"/>
        </w:rPr>
        <w:t> </w:t>
      </w:r>
      <w:r>
        <w:rPr>
          <w:rFonts w:cs="Arial"/>
        </w:rPr>
        <w:t>km exclusion zone for AWLs around incumbent PMPs, which was intended to allow a transition path for PMPs to move to AWLs.</w:t>
      </w:r>
    </w:p>
    <w:p w14:paraId="38A50D0D" w14:textId="3FB906E2" w:rsidR="00FA7F33" w:rsidRPr="00137121" w:rsidRDefault="00FA7F33" w:rsidP="00FA7F33">
      <w:pPr>
        <w:pStyle w:val="sub-heading"/>
      </w:pPr>
      <w:bookmarkStart w:id="45" w:name="_Hlk81388608"/>
      <w:bookmarkStart w:id="46" w:name="_Toc126841085"/>
      <w:r>
        <w:t>Coexistence with Earth Station Protection Zones (ESPZs)</w:t>
      </w:r>
      <w:bookmarkEnd w:id="46"/>
      <w:r>
        <w:t xml:space="preserve"> </w:t>
      </w:r>
    </w:p>
    <w:p w14:paraId="2EF28A49" w14:textId="6C100663" w:rsidR="00FA7F33" w:rsidRDefault="00AD6427" w:rsidP="00FA7F33">
      <w:pPr>
        <w:rPr>
          <w:rFonts w:cs="Arial"/>
        </w:rPr>
      </w:pPr>
      <w:r>
        <w:rPr>
          <w:rFonts w:cs="Arial"/>
        </w:rPr>
        <w:t>S</w:t>
      </w:r>
      <w:r w:rsidR="009920FB">
        <w:rPr>
          <w:rFonts w:cs="Arial"/>
        </w:rPr>
        <w:t>pectrum</w:t>
      </w:r>
      <w:r>
        <w:rPr>
          <w:rFonts w:cs="Arial"/>
        </w:rPr>
        <w:t xml:space="preserve"> </w:t>
      </w:r>
      <w:r w:rsidR="00FA7F33">
        <w:rPr>
          <w:rFonts w:cs="Arial"/>
        </w:rPr>
        <w:t xml:space="preserve">licensees will need to comply with coordination requirements stated in the existing 3.4 GHz SL </w:t>
      </w:r>
      <w:r w:rsidR="00851C2E">
        <w:rPr>
          <w:rFonts w:cs="Arial"/>
        </w:rPr>
        <w:t>RAG Tx</w:t>
      </w:r>
      <w:r w:rsidR="00FA7F33">
        <w:rPr>
          <w:rFonts w:cs="Arial"/>
        </w:rPr>
        <w:t xml:space="preserve"> with regards to ESPZs (Part 9 including the references to RALI MS44) and Uralla (Part 10). </w:t>
      </w:r>
    </w:p>
    <w:p w14:paraId="29AFCED7" w14:textId="015A0B86" w:rsidR="00FA7F33" w:rsidRDefault="00FA7F33" w:rsidP="00FA7F33">
      <w:pPr>
        <w:rPr>
          <w:rFonts w:cs="Arial"/>
        </w:rPr>
      </w:pPr>
      <w:r>
        <w:rPr>
          <w:rFonts w:cs="Arial"/>
        </w:rPr>
        <w:t xml:space="preserve">For flexibility, it is proposed that </w:t>
      </w:r>
      <w:r w:rsidR="001B6C5B">
        <w:rPr>
          <w:rFonts w:cs="Arial"/>
        </w:rPr>
        <w:t>SL</w:t>
      </w:r>
      <w:r>
        <w:rPr>
          <w:rFonts w:cs="Arial"/>
        </w:rPr>
        <w:t xml:space="preserve">s may be allocated up to an ESPZ area boundary, but before registering devices, </w:t>
      </w:r>
      <w:r w:rsidR="009920FB">
        <w:rPr>
          <w:rFonts w:cs="Arial"/>
        </w:rPr>
        <w:t>coordination according to</w:t>
      </w:r>
      <w:r>
        <w:rPr>
          <w:rFonts w:cs="Arial"/>
        </w:rPr>
        <w:t xml:space="preserve"> the relevant </w:t>
      </w:r>
      <w:r w:rsidR="00851C2E">
        <w:rPr>
          <w:rFonts w:cs="Arial"/>
        </w:rPr>
        <w:t>RAG Tx</w:t>
      </w:r>
      <w:r>
        <w:rPr>
          <w:rFonts w:cs="Arial"/>
        </w:rPr>
        <w:t xml:space="preserve"> requirements (which point to RALI MS44) needs to be successful. </w:t>
      </w:r>
    </w:p>
    <w:p w14:paraId="589ECA0C" w14:textId="5C37D481" w:rsidR="00FA7F33" w:rsidRDefault="00FA7F33" w:rsidP="00F461DE">
      <w:pPr>
        <w:pStyle w:val="CommentText"/>
        <w:rPr>
          <w:rFonts w:ascii="Calibri" w:hAnsi="Calibri"/>
        </w:rPr>
      </w:pPr>
      <w:r>
        <w:rPr>
          <w:rFonts w:cs="Arial"/>
        </w:rPr>
        <w:t xml:space="preserve">LMA </w:t>
      </w:r>
      <w:r w:rsidR="00230441">
        <w:rPr>
          <w:rFonts w:cs="Arial"/>
        </w:rPr>
        <w:t>previously indicated</w:t>
      </w:r>
      <w:r>
        <w:rPr>
          <w:rFonts w:cs="Arial"/>
        </w:rPr>
        <w:t xml:space="preserve"> a view in the TLG that a satellite operator should not be required to seek a spectrum access agreement in any part of the 3400-4200 MHz band from any terrestrial service if the emissions from the satellite comply with the ITU-R </w:t>
      </w:r>
      <w:r w:rsidR="009920FB">
        <w:rPr>
          <w:rFonts w:cs="Arial"/>
        </w:rPr>
        <w:t>A</w:t>
      </w:r>
      <w:r>
        <w:rPr>
          <w:rFonts w:cs="Arial"/>
        </w:rPr>
        <w:t xml:space="preserve">rticle 21 PFD limits, or generally for TOSS, TT&amp;C or IOT FSS uses. </w:t>
      </w:r>
      <w:r w:rsidR="00CA1868">
        <w:rPr>
          <w:rFonts w:cs="Arial"/>
        </w:rPr>
        <w:t xml:space="preserve">The ACMA staff preliminary view </w:t>
      </w:r>
      <w:r w:rsidR="00230441">
        <w:rPr>
          <w:rFonts w:cs="Arial"/>
        </w:rPr>
        <w:t xml:space="preserve">was </w:t>
      </w:r>
      <w:r w:rsidR="00CA1868">
        <w:rPr>
          <w:rFonts w:cs="Arial"/>
        </w:rPr>
        <w:t>that current proposed arrangements should not change (</w:t>
      </w:r>
      <w:r w:rsidR="00230441">
        <w:rPr>
          <w:rFonts w:cs="Arial"/>
        </w:rPr>
        <w:t>i.e.</w:t>
      </w:r>
      <w:r w:rsidR="00CA1868">
        <w:rPr>
          <w:rFonts w:cs="Arial"/>
        </w:rPr>
        <w:t xml:space="preserve"> no </w:t>
      </w:r>
      <w:r w:rsidR="00CA1868">
        <w:t xml:space="preserve">changed requirements </w:t>
      </w:r>
      <w:r w:rsidR="00CA1868">
        <w:rPr>
          <w:rFonts w:cs="Arial"/>
        </w:rPr>
        <w:t>to be</w:t>
      </w:r>
      <w:r w:rsidR="00CA1868">
        <w:t xml:space="preserve"> introduced) and to maintain the current proposed mechanisms, which are:</w:t>
      </w:r>
    </w:p>
    <w:p w14:paraId="5EBA142F" w14:textId="337BA49C" w:rsidR="00FA7F33" w:rsidRDefault="00FA7F33" w:rsidP="00FA7F33">
      <w:pPr>
        <w:pStyle w:val="ListParagraph"/>
        <w:numPr>
          <w:ilvl w:val="0"/>
          <w:numId w:val="28"/>
        </w:numPr>
        <w:spacing w:after="0" w:line="240" w:lineRule="auto"/>
        <w:rPr>
          <w:rFonts w:eastAsia="Times New Roman"/>
        </w:rPr>
      </w:pPr>
      <w:r>
        <w:rPr>
          <w:rFonts w:eastAsia="Times New Roman"/>
        </w:rPr>
        <w:lastRenderedPageBreak/>
        <w:t xml:space="preserve">coordination requirements between earth receivers and terrestrial services as to be included in the proposed updates to the AWL LCD, new AWL RALI MS47 and the updated 3.4 GHz SL </w:t>
      </w:r>
      <w:r w:rsidR="00851C2E">
        <w:rPr>
          <w:rFonts w:eastAsia="Times New Roman"/>
        </w:rPr>
        <w:t>RAG Tx</w:t>
      </w:r>
      <w:r w:rsidR="00F07349">
        <w:rPr>
          <w:rFonts w:eastAsia="Times New Roman"/>
        </w:rPr>
        <w:t xml:space="preserve"> </w:t>
      </w:r>
      <w:r>
        <w:rPr>
          <w:rFonts w:eastAsia="Times New Roman"/>
        </w:rPr>
        <w:t xml:space="preserve">are met </w:t>
      </w:r>
    </w:p>
    <w:p w14:paraId="23A54982" w14:textId="52CFCB6C" w:rsidR="00FA7F33" w:rsidRDefault="00FA7F33" w:rsidP="00FA7F33">
      <w:pPr>
        <w:pStyle w:val="ListParagraph"/>
        <w:numPr>
          <w:ilvl w:val="0"/>
          <w:numId w:val="28"/>
        </w:numPr>
        <w:spacing w:after="0" w:line="240" w:lineRule="auto"/>
        <w:rPr>
          <w:rFonts w:eastAsia="Times New Roman"/>
        </w:rPr>
      </w:pPr>
      <w:r>
        <w:rPr>
          <w:rFonts w:eastAsia="Times New Roman"/>
        </w:rPr>
        <w:t xml:space="preserve">requirements for the ACMA </w:t>
      </w:r>
      <w:hyperlink r:id="rId39" w:history="1">
        <w:r w:rsidRPr="00F725F6">
          <w:rPr>
            <w:rStyle w:val="Hyperlink"/>
            <w:rFonts w:eastAsia="Times New Roman"/>
          </w:rPr>
          <w:t>BOP</w:t>
        </w:r>
      </w:hyperlink>
      <w:r>
        <w:rPr>
          <w:rFonts w:eastAsia="Times New Roman"/>
        </w:rPr>
        <w:t xml:space="preserve"> (including consistency with ITU requirements such as </w:t>
      </w:r>
      <w:r w:rsidR="000C25C6">
        <w:rPr>
          <w:rFonts w:eastAsia="Times New Roman"/>
        </w:rPr>
        <w:t xml:space="preserve">PFD </w:t>
      </w:r>
      <w:r>
        <w:rPr>
          <w:rFonts w:eastAsia="Times New Roman"/>
        </w:rPr>
        <w:t>limits) are met</w:t>
      </w:r>
    </w:p>
    <w:p w14:paraId="1701D26D" w14:textId="45F98564" w:rsidR="00FA7F33" w:rsidRPr="007F68A0" w:rsidRDefault="00FA7F33" w:rsidP="00FA7F33">
      <w:pPr>
        <w:pStyle w:val="ListParagraph"/>
        <w:numPr>
          <w:ilvl w:val="0"/>
          <w:numId w:val="28"/>
        </w:numPr>
        <w:spacing w:after="0" w:line="240" w:lineRule="auto"/>
      </w:pPr>
      <w:r w:rsidRPr="00E045FA">
        <w:rPr>
          <w:rFonts w:eastAsia="Times New Roman"/>
        </w:rPr>
        <w:t>restrictions on earth station locations as outline</w:t>
      </w:r>
      <w:r w:rsidR="001E16B2">
        <w:rPr>
          <w:rFonts w:eastAsia="Times New Roman"/>
        </w:rPr>
        <w:t>d in</w:t>
      </w:r>
      <w:r w:rsidRPr="00E045FA">
        <w:rPr>
          <w:rFonts w:eastAsia="Times New Roman"/>
        </w:rPr>
        <w:t xml:space="preserve"> spectrum embargoes, RALIs  and BOP</w:t>
      </w:r>
      <w:r w:rsidR="001E16B2">
        <w:rPr>
          <w:rFonts w:eastAsia="Times New Roman"/>
        </w:rPr>
        <w:t>s</w:t>
      </w:r>
      <w:r w:rsidRPr="00E045FA">
        <w:rPr>
          <w:rFonts w:eastAsia="Times New Roman"/>
        </w:rPr>
        <w:t xml:space="preserve"> such as </w:t>
      </w:r>
      <w:hyperlink r:id="rId40" w:history="1">
        <w:r w:rsidRPr="00E045FA">
          <w:rPr>
            <w:rStyle w:val="Hyperlink"/>
            <w:rFonts w:eastAsia="Times New Roman"/>
          </w:rPr>
          <w:t>Restriction on earth station licensing near Alice Springs</w:t>
        </w:r>
      </w:hyperlink>
      <w:r w:rsidRPr="00E045FA">
        <w:rPr>
          <w:rFonts w:eastAsia="Times New Roman"/>
        </w:rPr>
        <w:t xml:space="preserve"> are met. </w:t>
      </w:r>
    </w:p>
    <w:p w14:paraId="3BF25D0A" w14:textId="77777777" w:rsidR="00FA7F33" w:rsidRDefault="00FA7F33" w:rsidP="00FA7F33">
      <w:pPr>
        <w:spacing w:after="0" w:line="240" w:lineRule="auto"/>
        <w:rPr>
          <w:rFonts w:cs="Arial"/>
        </w:rPr>
      </w:pPr>
    </w:p>
    <w:p w14:paraId="5BE8205F" w14:textId="07791B67" w:rsidR="00FA7F33" w:rsidRDefault="00FA7F33" w:rsidP="00FA7F33">
      <w:pPr>
        <w:spacing w:after="0" w:line="240" w:lineRule="auto"/>
        <w:rPr>
          <w:rStyle w:val="Hyperlink"/>
        </w:rPr>
      </w:pPr>
      <w:r w:rsidRPr="00B5326D">
        <w:rPr>
          <w:rFonts w:cs="Arial"/>
        </w:rPr>
        <w:t xml:space="preserve">Note that RALI MS44 </w:t>
      </w:r>
      <w:r w:rsidR="001B6C5B">
        <w:rPr>
          <w:rFonts w:cs="Arial"/>
        </w:rPr>
        <w:t xml:space="preserve">now </w:t>
      </w:r>
      <w:r w:rsidRPr="00B5326D">
        <w:rPr>
          <w:rFonts w:cs="Arial"/>
        </w:rPr>
        <w:t xml:space="preserve">includes </w:t>
      </w:r>
      <w:r w:rsidRPr="008042D7">
        <w:t xml:space="preserve">coordination requirements for </w:t>
      </w:r>
      <w:r>
        <w:t>FSS</w:t>
      </w:r>
      <w:r w:rsidRPr="008042D7">
        <w:t xml:space="preserve"> services at </w:t>
      </w:r>
      <w:r>
        <w:t xml:space="preserve">ESPZ in eastern Australia and </w:t>
      </w:r>
      <w:r w:rsidRPr="008042D7">
        <w:t xml:space="preserve">the Uralla </w:t>
      </w:r>
      <w:r>
        <w:t>earth station facility</w:t>
      </w:r>
      <w:r w:rsidRPr="008042D7">
        <w:t xml:space="preserve"> in</w:t>
      </w:r>
      <w:r w:rsidR="001B6C5B">
        <w:t xml:space="preserve"> 3400-3442.5 MHz and 3475-4542.5 MHz ranges (except at Quirindi) as well </w:t>
      </w:r>
      <w:r w:rsidR="00230441">
        <w:t xml:space="preserve">as </w:t>
      </w:r>
      <w:r w:rsidR="00230441" w:rsidRPr="008042D7">
        <w:t>the</w:t>
      </w:r>
      <w:r w:rsidRPr="008042D7">
        <w:t xml:space="preserve"> 3600-4200 MHz range</w:t>
      </w:r>
      <w:r>
        <w:t xml:space="preserve">. </w:t>
      </w:r>
    </w:p>
    <w:p w14:paraId="4B8BB831" w14:textId="77777777" w:rsidR="00412A19" w:rsidRDefault="00412A19" w:rsidP="00412A19">
      <w:pPr>
        <w:spacing w:after="0" w:line="240" w:lineRule="auto"/>
      </w:pPr>
    </w:p>
    <w:p w14:paraId="732ED13F" w14:textId="21BF392F" w:rsidR="00FA7F33" w:rsidRPr="00137121" w:rsidRDefault="00FA7F33" w:rsidP="00FA7F33">
      <w:pPr>
        <w:pStyle w:val="sub-heading"/>
      </w:pPr>
      <w:bookmarkStart w:id="47" w:name="_Toc126841086"/>
      <w:bookmarkEnd w:id="45"/>
      <w:r>
        <w:t>Coexistence with the Mid West Radio Quiet Zone (RQZ)</w:t>
      </w:r>
      <w:bookmarkEnd w:id="47"/>
      <w:r>
        <w:t xml:space="preserve"> </w:t>
      </w:r>
    </w:p>
    <w:p w14:paraId="661E5DF0" w14:textId="40017CFE" w:rsidR="00FA7F33" w:rsidRDefault="00FA7F33" w:rsidP="00FA7F33">
      <w:pPr>
        <w:rPr>
          <w:rFonts w:cs="Arial"/>
        </w:rPr>
      </w:pPr>
      <w:r>
        <w:rPr>
          <w:rFonts w:cs="Arial"/>
        </w:rPr>
        <w:t xml:space="preserve">Similarly to existing licence conditions for the 3.4 GHz spectrum licensing technical framework, </w:t>
      </w:r>
      <w:r w:rsidR="001B6C5B">
        <w:rPr>
          <w:rFonts w:cs="Arial"/>
        </w:rPr>
        <w:t>SL</w:t>
      </w:r>
      <w:r>
        <w:rPr>
          <w:rFonts w:cs="Arial"/>
        </w:rPr>
        <w:t xml:space="preserve"> licensees will need to follow RALI </w:t>
      </w:r>
      <w:hyperlink r:id="rId41" w:history="1">
        <w:r w:rsidRPr="00CD612D">
          <w:rPr>
            <w:rStyle w:val="Hyperlink"/>
            <w:rFonts w:cs="Arial"/>
          </w:rPr>
          <w:t>MS32</w:t>
        </w:r>
      </w:hyperlink>
      <w:r>
        <w:rPr>
          <w:rFonts w:cs="Arial"/>
        </w:rPr>
        <w:t xml:space="preserve"> </w:t>
      </w:r>
      <w:r>
        <w:rPr>
          <w:rFonts w:cs="Arial"/>
          <w:i/>
          <w:iCs/>
        </w:rPr>
        <w:t>Coordination of Apparatus licensed services with the mid-west radio quiet zone.</w:t>
      </w:r>
    </w:p>
    <w:p w14:paraId="3606AA5D" w14:textId="31411EE7" w:rsidR="00FA7F33" w:rsidRPr="00137121" w:rsidRDefault="00FA7F33" w:rsidP="00FA7F33">
      <w:pPr>
        <w:pStyle w:val="sub-heading"/>
      </w:pPr>
      <w:bookmarkStart w:id="48" w:name="_Toc126841087"/>
      <w:r>
        <w:t>Class licensed</w:t>
      </w:r>
      <w:r w:rsidRPr="00137121">
        <w:t xml:space="preserve"> devices</w:t>
      </w:r>
      <w:bookmarkEnd w:id="48"/>
      <w:r w:rsidRPr="00137121">
        <w:t xml:space="preserve"> </w:t>
      </w:r>
    </w:p>
    <w:p w14:paraId="38C27406" w14:textId="2A4B604E" w:rsidR="00FA7F33" w:rsidRDefault="00FA7F33" w:rsidP="00FA7F33">
      <w:pPr>
        <w:rPr>
          <w:rFonts w:cs="Arial"/>
        </w:rPr>
      </w:pPr>
      <w:bookmarkStart w:id="49" w:name="_Hlk22118663"/>
      <w:r>
        <w:rPr>
          <w:rFonts w:cs="Arial"/>
        </w:rPr>
        <w:t>Various class licensed devices currently operate in the 3400-</w:t>
      </w:r>
      <w:r w:rsidR="004E2A99">
        <w:rPr>
          <w:rFonts w:cs="Arial"/>
        </w:rPr>
        <w:t xml:space="preserve">4200 </w:t>
      </w:r>
      <w:r>
        <w:rPr>
          <w:rFonts w:cs="Arial"/>
        </w:rPr>
        <w:t>MHz range, including:</w:t>
      </w:r>
    </w:p>
    <w:bookmarkEnd w:id="49"/>
    <w:p w14:paraId="16E9D38A" w14:textId="77777777" w:rsidR="00FA7F33" w:rsidRDefault="00FA7F33" w:rsidP="00FA7F33">
      <w:pPr>
        <w:pStyle w:val="Bulletlevel1"/>
      </w:pPr>
      <w:r>
        <w:t>b</w:t>
      </w:r>
      <w:r w:rsidRPr="004045F8">
        <w:t>uilding material analysis transmitters</w:t>
      </w:r>
      <w:r>
        <w:t xml:space="preserve"> and ground penetrating radars operating</w:t>
      </w:r>
      <w:r w:rsidRPr="004045F8">
        <w:t xml:space="preserve"> </w:t>
      </w:r>
      <w:r>
        <w:t>in the 30–12400 MHz range</w:t>
      </w:r>
      <w:r w:rsidRPr="004045F8">
        <w:t xml:space="preserve"> </w:t>
      </w:r>
    </w:p>
    <w:p w14:paraId="236501F1" w14:textId="77777777" w:rsidR="00FA7F33" w:rsidRDefault="00FA7F33" w:rsidP="00FA7F33">
      <w:pPr>
        <w:pStyle w:val="Bulletlevel1last"/>
      </w:pPr>
      <w:r>
        <w:t>UWB</w:t>
      </w:r>
      <w:r w:rsidRPr="00492CF6">
        <w:t xml:space="preserve"> transmitters </w:t>
      </w:r>
      <w:r>
        <w:t xml:space="preserve">operating in the </w:t>
      </w:r>
      <w:r w:rsidRPr="00492CF6">
        <w:t>3</w:t>
      </w:r>
      <w:r>
        <w:t>1</w:t>
      </w:r>
      <w:r w:rsidRPr="00492CF6">
        <w:t>00</w:t>
      </w:r>
      <w:r>
        <w:t>–</w:t>
      </w:r>
      <w:r w:rsidRPr="00492CF6">
        <w:t>4800</w:t>
      </w:r>
      <w:r>
        <w:t> MHz band.</w:t>
      </w:r>
    </w:p>
    <w:p w14:paraId="750845DA" w14:textId="53F3A73A" w:rsidR="00FA7F33" w:rsidRDefault="00FA7F33" w:rsidP="00FA7F33">
      <w:pPr>
        <w:pStyle w:val="ListBulletLast"/>
        <w:numPr>
          <w:ilvl w:val="0"/>
          <w:numId w:val="0"/>
        </w:numPr>
      </w:pPr>
      <w:r>
        <w:t xml:space="preserve">Operation of devices under the LIPD Class Licence is on a ‘no interference and no protection’ </w:t>
      </w:r>
      <w:r w:rsidR="0074086B">
        <w:t xml:space="preserve">(NINP) </w:t>
      </w:r>
      <w:r>
        <w:t xml:space="preserve">basis with other licensed services. The use of UWB ground and wall penetrating radar devices make the identification and resolution of interference more difficult than registered apparatus licensed devices. These concerns can be applied generally to all class licensed devices and ACMA </w:t>
      </w:r>
      <w:r w:rsidR="00697D4B">
        <w:t xml:space="preserve">staff </w:t>
      </w:r>
      <w:r>
        <w:t xml:space="preserve">considers the low power nature of these services greatly reduces the risk of interference. Consequently, the ACMA </w:t>
      </w:r>
      <w:r w:rsidR="00697D4B">
        <w:t>staff preliminary view is that there</w:t>
      </w:r>
      <w:r w:rsidR="00391B97">
        <w:t xml:space="preserve"> is not a</w:t>
      </w:r>
      <w:r>
        <w:t xml:space="preserve"> case to change the licensing arrangements for these specific devices.</w:t>
      </w:r>
    </w:p>
    <w:p w14:paraId="596CAB17" w14:textId="78C22CE8" w:rsidR="00FA7F33" w:rsidRDefault="00FA7F33" w:rsidP="00FA7F33">
      <w:r>
        <w:rPr>
          <w:rFonts w:cs="Arial"/>
        </w:rPr>
        <w:t xml:space="preserve">The RAG Tx Part 7 also </w:t>
      </w:r>
      <w:r w:rsidR="00DC56E0">
        <w:rPr>
          <w:rFonts w:cs="Arial"/>
        </w:rPr>
        <w:t>discusses</w:t>
      </w:r>
      <w:r>
        <w:rPr>
          <w:rFonts w:cs="Arial"/>
        </w:rPr>
        <w:t xml:space="preserve"> the </w:t>
      </w:r>
      <w:hyperlink r:id="rId42" w:history="1">
        <w:r w:rsidRPr="0023024C">
          <w:rPr>
            <w:rStyle w:val="Hyperlink"/>
            <w:rFonts w:cs="Arial"/>
          </w:rPr>
          <w:t>Radiocommunications (Low Interference Potential Devices) Class Licence 2015</w:t>
        </w:r>
      </w:hyperlink>
      <w:r w:rsidRPr="003E75B9">
        <w:rPr>
          <w:rFonts w:cs="Arial"/>
        </w:rPr>
        <w:t xml:space="preserve"> </w:t>
      </w:r>
      <w:r>
        <w:rPr>
          <w:rFonts w:cs="Arial"/>
        </w:rPr>
        <w:t>and states that t</w:t>
      </w:r>
      <w:r w:rsidRPr="003E75B9">
        <w:rPr>
          <w:rFonts w:cs="Arial"/>
        </w:rPr>
        <w:t>he operation of radiocommunications transmitters under these class licences is on a no-interference and no-protection basis</w:t>
      </w:r>
      <w:r>
        <w:rPr>
          <w:rFonts w:cs="Arial"/>
        </w:rPr>
        <w:t>.</w:t>
      </w:r>
      <w:r w:rsidR="004E2A99">
        <w:rPr>
          <w:rFonts w:cs="Arial"/>
        </w:rPr>
        <w:t xml:space="preserve"> Staff do propose to modify the text of </w:t>
      </w:r>
      <w:r w:rsidR="0074086B">
        <w:rPr>
          <w:rFonts w:cs="Arial"/>
        </w:rPr>
        <w:t>7.2 (Protection requirements) as NINP does not apply to all class licences. Specifically, this change is proposed to be made so that SLs still have to consider the operation of radio altimeters in the adjacent 4200-4400 MHz range.</w:t>
      </w:r>
    </w:p>
    <w:p w14:paraId="38EC649A" w14:textId="1251747B" w:rsidR="00FA7F33" w:rsidRPr="00137121" w:rsidRDefault="00FA7F33" w:rsidP="00FA7F33">
      <w:pPr>
        <w:pStyle w:val="sub-heading"/>
      </w:pPr>
      <w:bookmarkStart w:id="50" w:name="_Toc126841088"/>
      <w:r>
        <w:t>Amateur service in t</w:t>
      </w:r>
      <w:r w:rsidRPr="00137121">
        <w:t xml:space="preserve">he </w:t>
      </w:r>
      <w:r>
        <w:t>3400-3575 MHz range</w:t>
      </w:r>
      <w:bookmarkEnd w:id="50"/>
      <w:r>
        <w:t xml:space="preserve"> </w:t>
      </w:r>
    </w:p>
    <w:p w14:paraId="5FDC3A37" w14:textId="59EE4748" w:rsidR="00FA7F33" w:rsidRDefault="00FA7F33" w:rsidP="00FA7F33">
      <w:r>
        <w:rPr>
          <w:rFonts w:cs="Arial"/>
        </w:rPr>
        <w:t xml:space="preserve">Current arrangements for the amateur service are described in the </w:t>
      </w:r>
      <w:hyperlink r:id="rId43" w:history="1">
        <w:r w:rsidRPr="005D22C7">
          <w:rPr>
            <w:rStyle w:val="Hyperlink"/>
            <w:rFonts w:cs="Arial"/>
          </w:rPr>
          <w:t>Amateur LCD</w:t>
        </w:r>
      </w:hyperlink>
      <w:r>
        <w:rPr>
          <w:rFonts w:cs="Arial"/>
        </w:rPr>
        <w:t xml:space="preserve">. The Amateur services are allocated on a secondary basis in the </w:t>
      </w:r>
      <w:hyperlink r:id="rId44" w:history="1">
        <w:r>
          <w:rPr>
            <w:rStyle w:val="Hyperlink"/>
          </w:rPr>
          <w:t>Australian Radiofrequency Spectrum Plan</w:t>
        </w:r>
      </w:hyperlink>
      <w:r>
        <w:t>. This means the operate on a no interference and no protection basis to primary services. Service deployed under SLs are considered primary services, consequently any amateur use must take this into account.</w:t>
      </w:r>
    </w:p>
    <w:p w14:paraId="1EB23AC1" w14:textId="253182A1" w:rsidR="00FA7F33" w:rsidRDefault="00FA7F33" w:rsidP="00FA7F33">
      <w:pPr>
        <w:rPr>
          <w:rFonts w:cs="Arial"/>
        </w:rPr>
      </w:pPr>
      <w:r>
        <w:rPr>
          <w:rFonts w:cs="Arial"/>
        </w:rPr>
        <w:t xml:space="preserve">The ACMA </w:t>
      </w:r>
      <w:hyperlink r:id="rId45" w:history="1">
        <w:r w:rsidR="00183683">
          <w:rPr>
            <w:rStyle w:val="Hyperlink"/>
            <w:rFonts w:cs="Arial"/>
          </w:rPr>
          <w:t>consulted</w:t>
        </w:r>
      </w:hyperlink>
      <w:r>
        <w:rPr>
          <w:rFonts w:cs="Arial"/>
        </w:rPr>
        <w:t xml:space="preserve"> on future arrangements for the non-assigned amateur service. None of the </w:t>
      </w:r>
      <w:r w:rsidR="00183683">
        <w:rPr>
          <w:rFonts w:cs="Arial"/>
        </w:rPr>
        <w:t xml:space="preserve">possible </w:t>
      </w:r>
      <w:r>
        <w:rPr>
          <w:rFonts w:cs="Arial"/>
        </w:rPr>
        <w:t xml:space="preserve">options for new arrangements suggest changing the effective of the “no interference, no protection” interference management approach. The RAG Tx </w:t>
      </w:r>
      <w:r>
        <w:rPr>
          <w:rFonts w:cs="Arial"/>
        </w:rPr>
        <w:lastRenderedPageBreak/>
        <w:t xml:space="preserve">Part 7 also deals with the </w:t>
      </w:r>
      <w:hyperlink r:id="rId46" w:history="1">
        <w:r w:rsidRPr="00367A0D">
          <w:rPr>
            <w:rStyle w:val="Hyperlink"/>
            <w:rFonts w:cs="Arial"/>
          </w:rPr>
          <w:t>Radiocommunications (Overseas Amateurs Visiting Australia) Class Licence 2015</w:t>
        </w:r>
      </w:hyperlink>
      <w:r>
        <w:rPr>
          <w:rFonts w:cs="Arial"/>
        </w:rPr>
        <w:t xml:space="preserve"> and states that “t</w:t>
      </w:r>
      <w:r w:rsidRPr="003E75B9">
        <w:rPr>
          <w:rFonts w:cs="Arial"/>
        </w:rPr>
        <w:t>he operation of radiocommunications transmitters under these class licences is on a no-interference and no-protection basis</w:t>
      </w:r>
      <w:r>
        <w:rPr>
          <w:rFonts w:cs="Arial"/>
        </w:rPr>
        <w:t>”.</w:t>
      </w:r>
    </w:p>
    <w:p w14:paraId="1B9C9435" w14:textId="51082D10" w:rsidR="0010358C" w:rsidRPr="00F74D0E" w:rsidRDefault="0010358C" w:rsidP="00FA7F33">
      <w:pPr>
        <w:rPr>
          <w:rFonts w:cs="Arial"/>
        </w:rPr>
      </w:pPr>
      <w:r>
        <w:rPr>
          <w:rFonts w:cs="Arial"/>
        </w:rPr>
        <w:t xml:space="preserve">As outlined in the </w:t>
      </w:r>
      <w:hyperlink r:id="rId47" w:history="1">
        <w:r w:rsidRPr="0010358C">
          <w:rPr>
            <w:rStyle w:val="Hyperlink"/>
            <w:rFonts w:cs="Arial"/>
          </w:rPr>
          <w:t>FYSO</w:t>
        </w:r>
      </w:hyperlink>
      <w:r>
        <w:rPr>
          <w:rFonts w:cs="Arial"/>
        </w:rPr>
        <w:t>, the review of the non-assigned amateur and output licensing arrangements is occurring in Q3 2022.  It is currently expected that amateurs will transition to class licensing arrangements, and those arrangements will not permit amateur services in 3400-3600 MHz in metro and regional areas.</w:t>
      </w:r>
      <w:r w:rsidR="00230441">
        <w:rPr>
          <w:rFonts w:cs="Arial"/>
        </w:rPr>
        <w:t xml:space="preserve"> The ACMA consulted on the proposed amateur class licence from 29 September to 29 November 2022, via </w:t>
      </w:r>
      <w:hyperlink r:id="rId48" w:history="1">
        <w:r w:rsidR="00230441" w:rsidRPr="00230441">
          <w:rPr>
            <w:rStyle w:val="Hyperlink"/>
            <w:rFonts w:cs="Arial"/>
          </w:rPr>
          <w:t>IFC 31/2022</w:t>
        </w:r>
      </w:hyperlink>
      <w:r w:rsidR="00230441">
        <w:rPr>
          <w:rFonts w:cs="Arial"/>
        </w:rPr>
        <w:t>.</w:t>
      </w:r>
    </w:p>
    <w:p w14:paraId="5E3EBE34" w14:textId="00E04FB4" w:rsidR="00930AFF" w:rsidRDefault="001116E6" w:rsidP="00930AFF">
      <w:pPr>
        <w:pStyle w:val="Heading3"/>
      </w:pPr>
      <w:bookmarkStart w:id="51" w:name="_Toc126841089"/>
      <w:r>
        <w:t>Miscellaneous</w:t>
      </w:r>
      <w:r w:rsidR="00930AFF">
        <w:t xml:space="preserve"> TLG Member Views</w:t>
      </w:r>
      <w:bookmarkEnd w:id="51"/>
      <w:r w:rsidR="00930AFF">
        <w:t xml:space="preserve"> </w:t>
      </w:r>
    </w:p>
    <w:p w14:paraId="6D142FE9" w14:textId="2FC66F96" w:rsidR="00930AFF" w:rsidRDefault="00930AFF" w:rsidP="00930AFF">
      <w:pPr>
        <w:pStyle w:val="Paragraphbeforelist"/>
      </w:pPr>
      <w:r>
        <w:t xml:space="preserve">Telstra reiterated their view that the minimum HCIS </w:t>
      </w:r>
      <w:r w:rsidR="001116E6">
        <w:t>level for</w:t>
      </w:r>
      <w:r>
        <w:t xml:space="preserve"> AWL</w:t>
      </w:r>
      <w:r w:rsidR="001116E6">
        <w:t xml:space="preserve"> allocation </w:t>
      </w:r>
      <w:r>
        <w:t>should be level 1, not level 0 as currently proposed.</w:t>
      </w:r>
    </w:p>
    <w:p w14:paraId="6AB39B6A" w14:textId="6C9319C2" w:rsidR="001116E6" w:rsidRDefault="001116E6" w:rsidP="00BA1887">
      <w:pPr>
        <w:pStyle w:val="Paragraphbeforelist"/>
      </w:pPr>
      <w:r>
        <w:t>Telstra, supported by AMTA, raised the potential implications of inaccurate licensing date fields in the RRL affecting the correct determination of first-in-time and/or date-based technical coordination requirements.</w:t>
      </w:r>
    </w:p>
    <w:p w14:paraId="00A9D69D" w14:textId="77777777" w:rsidR="00FA7F33" w:rsidRPr="00702EA1" w:rsidRDefault="00FA7F33" w:rsidP="00FA7F33">
      <w:pPr>
        <w:pStyle w:val="Heading1"/>
      </w:pPr>
      <w:bookmarkStart w:id="52" w:name="_Toc126841090"/>
      <w:r>
        <w:lastRenderedPageBreak/>
        <w:t xml:space="preserve">Extended 3.4 GHz band spectrum licensing </w:t>
      </w:r>
      <w:r w:rsidRPr="007D04B2">
        <w:t>technical framework</w:t>
      </w:r>
      <w:bookmarkEnd w:id="52"/>
    </w:p>
    <w:p w14:paraId="0E9AE961" w14:textId="77777777" w:rsidR="00FA7F33" w:rsidRDefault="00FA7F33" w:rsidP="00FA7F33">
      <w:pPr>
        <w:pStyle w:val="sub-heading"/>
      </w:pPr>
      <w:bookmarkStart w:id="53" w:name="_Toc126841091"/>
      <w:r>
        <w:t>Background</w:t>
      </w:r>
      <w:bookmarkEnd w:id="53"/>
    </w:p>
    <w:p w14:paraId="67F7E562" w14:textId="77777777" w:rsidR="00FA7F33" w:rsidRPr="007D04B2" w:rsidRDefault="00FA7F33" w:rsidP="00FA7F33">
      <w:pPr>
        <w:rPr>
          <w:rFonts w:cs="Arial"/>
        </w:rPr>
      </w:pPr>
      <w:r w:rsidRPr="007D04B2">
        <w:rPr>
          <w:rFonts w:cs="Arial"/>
        </w:rPr>
        <w:t xml:space="preserve">The </w:t>
      </w:r>
      <w:r>
        <w:rPr>
          <w:rFonts w:cs="Arial"/>
        </w:rPr>
        <w:t>ACMA</w:t>
      </w:r>
      <w:r w:rsidRPr="007D04B2">
        <w:rPr>
          <w:rFonts w:cs="Arial"/>
        </w:rPr>
        <w:t xml:space="preserve"> develops a technical framework for every band subject to spectrum licensing. Each framework is a collection of technical and regulatory conditions applicable to the use of radiocommunications devices in the spectrum-licensed band. The purpose</w:t>
      </w:r>
      <w:r w:rsidRPr="007D04B2" w:rsidDel="00F774CE">
        <w:rPr>
          <w:rFonts w:cs="Arial"/>
        </w:rPr>
        <w:t xml:space="preserve"> </w:t>
      </w:r>
      <w:r w:rsidRPr="007D04B2">
        <w:rPr>
          <w:rFonts w:cs="Arial"/>
        </w:rPr>
        <w:t>of the technical framework is to define the technical conditions and constraints under which a device may be deployed and operated within the specified geographic area and frequency band of the licence.</w:t>
      </w:r>
    </w:p>
    <w:p w14:paraId="2C27E052" w14:textId="77777777" w:rsidR="00FA7F33" w:rsidRPr="007D04B2" w:rsidRDefault="00FA7F33" w:rsidP="00FA7F33">
      <w:pPr>
        <w:rPr>
          <w:rFonts w:cs="Arial"/>
        </w:rPr>
      </w:pPr>
      <w:r w:rsidRPr="007D04B2">
        <w:rPr>
          <w:rFonts w:cs="Arial"/>
        </w:rPr>
        <w:t>Although the technical framework is optimised for technologies, or services most likely to be deployed in the band, it is intended to be technology</w:t>
      </w:r>
      <w:r>
        <w:rPr>
          <w:rFonts w:cs="Arial"/>
        </w:rPr>
        <w:t xml:space="preserve"> </w:t>
      </w:r>
      <w:r w:rsidRPr="007D04B2">
        <w:rPr>
          <w:rFonts w:cs="Arial"/>
        </w:rPr>
        <w:t xml:space="preserve">flexible. This means licensees can operate any type of radiocommunications device for any purpose, provided they comply with the technical framework relevant to the licence. </w:t>
      </w:r>
    </w:p>
    <w:p w14:paraId="10D56164" w14:textId="77777777" w:rsidR="00FA7F33" w:rsidRPr="007D04B2" w:rsidRDefault="00FA7F33" w:rsidP="00FA7F33">
      <w:pPr>
        <w:spacing w:after="80"/>
        <w:rPr>
          <w:rFonts w:cs="Arial"/>
        </w:rPr>
      </w:pPr>
      <w:r w:rsidRPr="007D04B2">
        <w:rPr>
          <w:rFonts w:cs="Arial"/>
        </w:rPr>
        <w:t xml:space="preserve">A technical framework consists of three interlocking regulatory elements provided for under the </w:t>
      </w:r>
      <w:r w:rsidRPr="005438AE">
        <w:rPr>
          <w:rFonts w:cs="Arial"/>
          <w:i/>
          <w:iCs/>
        </w:rPr>
        <w:t>Radiocommunications Act 1992</w:t>
      </w:r>
      <w:r>
        <w:rPr>
          <w:rFonts w:cs="Arial"/>
        </w:rPr>
        <w:t xml:space="preserve"> (the Act)</w:t>
      </w:r>
      <w:r w:rsidRPr="007D04B2">
        <w:rPr>
          <w:rFonts w:cs="Arial"/>
        </w:rPr>
        <w:t>:</w:t>
      </w:r>
    </w:p>
    <w:p w14:paraId="6505E443" w14:textId="77777777" w:rsidR="00FA7F33" w:rsidRPr="007D04B2" w:rsidRDefault="00FA7F33" w:rsidP="00FA7F33">
      <w:pPr>
        <w:pStyle w:val="ListBullet"/>
      </w:pPr>
      <w:r w:rsidRPr="007D04B2">
        <w:t xml:space="preserve">The conditions specified on the spectrum licence—in particular, the core conditions that define the spectrum space (both frequency and geographical area) and the level of emissions permitted inside and across the frequency boundaries of the licence (section 66 of the Act). </w:t>
      </w:r>
    </w:p>
    <w:p w14:paraId="2E12BB41" w14:textId="77777777" w:rsidR="00FA7F33" w:rsidRPr="007D04B2" w:rsidRDefault="00FA7F33" w:rsidP="00FA7F33">
      <w:pPr>
        <w:pStyle w:val="ListBullet"/>
      </w:pPr>
      <w:r w:rsidRPr="007D04B2">
        <w:t>A determination of unacceptable interference for the purpose of device registration in each band (section 145 of the Act). This defines permissible levels of emissions across geographical licence boundaries and can also define various deployment constraints.</w:t>
      </w:r>
    </w:p>
    <w:p w14:paraId="1FA66915" w14:textId="77777777" w:rsidR="00FA7F33" w:rsidRPr="007D04B2" w:rsidRDefault="00FA7F33" w:rsidP="00FA7F33">
      <w:pPr>
        <w:pStyle w:val="ListBullet"/>
        <w:spacing w:after="240"/>
      </w:pPr>
      <w:r w:rsidRPr="007D04B2">
        <w:t xml:space="preserve">Radiocommunications advisory guidelines (RAG) that provide assistance and advice for coordination with stations in other services when and where required (section 262 of the Act). This includes detailing interference management criteria with incumbent apparatus and other spectrum licences. </w:t>
      </w:r>
    </w:p>
    <w:p w14:paraId="4E1A1482" w14:textId="38FAF369" w:rsidR="00FA7F33" w:rsidRPr="009D4F01" w:rsidRDefault="00FA7F33" w:rsidP="00FA7F33">
      <w:pPr>
        <w:rPr>
          <w:rFonts w:cs="Arial"/>
          <w:bCs/>
          <w:iCs/>
          <w:color w:val="0000FF"/>
          <w:u w:val="single" w:color="0000FF"/>
        </w:rPr>
      </w:pPr>
      <w:r w:rsidRPr="007D04B2">
        <w:rPr>
          <w:rFonts w:cs="Arial"/>
          <w:bCs/>
          <w:iCs/>
        </w:rPr>
        <w:t>A more comprehensive explanation of spectrum licen</w:t>
      </w:r>
      <w:r w:rsidR="00656A45">
        <w:rPr>
          <w:rFonts w:cs="Arial"/>
          <w:bCs/>
          <w:iCs/>
        </w:rPr>
        <w:t>sing</w:t>
      </w:r>
      <w:r w:rsidRPr="007D04B2">
        <w:rPr>
          <w:rFonts w:cs="Arial"/>
          <w:bCs/>
          <w:iCs/>
        </w:rPr>
        <w:t xml:space="preserve"> technical frameworks is provided in the document </w:t>
      </w:r>
      <w:hyperlink r:id="rId49" w:history="1">
        <w:r w:rsidRPr="00A64DAB">
          <w:rPr>
            <w:rStyle w:val="Hyperlink"/>
            <w:rFonts w:cs="Arial"/>
            <w:bCs/>
            <w:i/>
            <w:iCs/>
          </w:rPr>
          <w:t>Know your obligations—Spectrum licensees</w:t>
        </w:r>
        <w:r w:rsidRPr="00A64DAB">
          <w:rPr>
            <w:rStyle w:val="Hyperlink"/>
            <w:rFonts w:cs="Arial"/>
            <w:bCs/>
            <w:iCs/>
          </w:rPr>
          <w:t>.</w:t>
        </w:r>
      </w:hyperlink>
      <w:r>
        <w:rPr>
          <w:rStyle w:val="Hyperlink"/>
          <w:rFonts w:cs="Arial"/>
          <w:bCs/>
          <w:iCs/>
        </w:rPr>
        <w:t xml:space="preserve"> </w:t>
      </w:r>
    </w:p>
    <w:p w14:paraId="59919CD0" w14:textId="0E58D498" w:rsidR="00FA7F33" w:rsidRDefault="00FA7F33" w:rsidP="00FA7F33">
      <w:bookmarkStart w:id="54" w:name="_Toc56006332"/>
      <w:bookmarkStart w:id="55" w:name="_Toc57809589"/>
      <w:r>
        <w:t xml:space="preserve">The ACMA </w:t>
      </w:r>
      <w:r w:rsidR="0010699A">
        <w:t>staff preliminary view is that the ACMA should</w:t>
      </w:r>
      <w:r>
        <w:t xml:space="preserve"> extend and adapt the existing 3.4 GHz spectrum licensing technical framework to metropolitan and regional areas across 3700-3800 MHz.</w:t>
      </w:r>
    </w:p>
    <w:p w14:paraId="4239AC62" w14:textId="00E08FB5" w:rsidR="00FA7F33" w:rsidRPr="007D04B2" w:rsidRDefault="00FA7F33" w:rsidP="00FA7F33">
      <w:pPr>
        <w:pStyle w:val="sub-heading"/>
      </w:pPr>
      <w:bookmarkStart w:id="56" w:name="_Toc126841092"/>
      <w:r>
        <w:t>The existing 3.4</w:t>
      </w:r>
      <w:r w:rsidRPr="007D04B2">
        <w:t xml:space="preserve"> GHz </w:t>
      </w:r>
      <w:r>
        <w:t>b</w:t>
      </w:r>
      <w:r w:rsidRPr="007D04B2">
        <w:t xml:space="preserve">and </w:t>
      </w:r>
      <w:r>
        <w:t>s</w:t>
      </w:r>
      <w:r w:rsidRPr="007D04B2">
        <w:t xml:space="preserve">pectrum </w:t>
      </w:r>
      <w:r>
        <w:t>l</w:t>
      </w:r>
      <w:r w:rsidRPr="007D04B2">
        <w:t>icen</w:t>
      </w:r>
      <w:r w:rsidR="00656A45">
        <w:t>sing</w:t>
      </w:r>
      <w:r w:rsidRPr="007D04B2">
        <w:t xml:space="preserve"> </w:t>
      </w:r>
      <w:r>
        <w:t>t</w:t>
      </w:r>
      <w:r w:rsidRPr="007D04B2">
        <w:t xml:space="preserve">echnical </w:t>
      </w:r>
      <w:r>
        <w:t>f</w:t>
      </w:r>
      <w:r w:rsidRPr="007D04B2">
        <w:t>ramework</w:t>
      </w:r>
      <w:bookmarkEnd w:id="54"/>
      <w:bookmarkEnd w:id="55"/>
      <w:bookmarkEnd w:id="56"/>
    </w:p>
    <w:p w14:paraId="3996F6C1" w14:textId="10A9E1ED" w:rsidR="00FA7F33" w:rsidRPr="007D04B2" w:rsidRDefault="00FA7F33" w:rsidP="00FA7F33">
      <w:pPr>
        <w:spacing w:after="80"/>
        <w:rPr>
          <w:rFonts w:cs="Arial"/>
        </w:rPr>
      </w:pPr>
      <w:r>
        <w:rPr>
          <w:rFonts w:cs="Arial"/>
        </w:rPr>
        <w:t>The 3.4 GHz spectrum licen</w:t>
      </w:r>
      <w:r w:rsidR="00656A45">
        <w:rPr>
          <w:rFonts w:cs="Arial"/>
        </w:rPr>
        <w:t>sing</w:t>
      </w:r>
      <w:r>
        <w:rPr>
          <w:rFonts w:cs="Arial"/>
        </w:rPr>
        <w:t xml:space="preserve"> technical framework is optimised for Time Division Duplex (TDD) technologies. </w:t>
      </w:r>
      <w:r w:rsidRPr="007D04B2">
        <w:rPr>
          <w:rFonts w:cs="Arial"/>
        </w:rPr>
        <w:t xml:space="preserve">The relevant </w:t>
      </w:r>
      <w:r>
        <w:rPr>
          <w:rFonts w:cs="Arial"/>
        </w:rPr>
        <w:t>existing 3.4</w:t>
      </w:r>
      <w:r w:rsidRPr="007D04B2">
        <w:rPr>
          <w:rFonts w:cs="Arial"/>
        </w:rPr>
        <w:t xml:space="preserve"> GHz band technical framework instruments are:</w:t>
      </w:r>
    </w:p>
    <w:p w14:paraId="6F852B11" w14:textId="77777777" w:rsidR="00FA7F33" w:rsidRPr="006B4EC1" w:rsidRDefault="00FA7F33" w:rsidP="00FA7F33">
      <w:pPr>
        <w:pStyle w:val="ListBullet"/>
        <w:rPr>
          <w:rStyle w:val="Hyperlink"/>
          <w:rFonts w:cs="Arial"/>
        </w:rPr>
      </w:pPr>
      <w:r w:rsidRPr="007D04B2">
        <w:t>Spectrum Licence (</w:t>
      </w:r>
      <w:hyperlink r:id="rId50" w:history="1">
        <w:r>
          <w:rPr>
            <w:rStyle w:val="Hyperlink"/>
            <w:rFonts w:cs="Arial"/>
          </w:rPr>
          <w:t>c</w:t>
        </w:r>
        <w:r w:rsidRPr="007D04B2">
          <w:rPr>
            <w:rStyle w:val="Hyperlink"/>
            <w:rFonts w:cs="Arial"/>
          </w:rPr>
          <w:t>urrent licence holders and copies of licences</w:t>
        </w:r>
      </w:hyperlink>
      <w:r w:rsidRPr="007D04B2">
        <w:rPr>
          <w:rStyle w:val="Hyperlink"/>
          <w:rFonts w:cs="Arial"/>
        </w:rPr>
        <w:t>)</w:t>
      </w:r>
    </w:p>
    <w:p w14:paraId="62D22D06" w14:textId="77777777" w:rsidR="00FA7F33" w:rsidRPr="006B4EC1" w:rsidRDefault="00570D92" w:rsidP="00FA7F33">
      <w:pPr>
        <w:pStyle w:val="ListBullet"/>
        <w:rPr>
          <w:rFonts w:cs="Arial"/>
        </w:rPr>
      </w:pPr>
      <w:hyperlink r:id="rId51" w:tgtFrame="_self" w:history="1">
        <w:r w:rsidR="00FA7F33" w:rsidRPr="005438AE">
          <w:rPr>
            <w:rStyle w:val="Hyperlink"/>
            <w:bCs/>
          </w:rPr>
          <w:t xml:space="preserve">Radiocommunications (Unacceptable Levels of Interference – </w:t>
        </w:r>
        <w:r w:rsidR="00FA7F33">
          <w:rPr>
            <w:rStyle w:val="Hyperlink"/>
            <w:bCs/>
          </w:rPr>
          <w:t>3.4</w:t>
        </w:r>
        <w:r w:rsidR="00FA7F33" w:rsidRPr="005438AE">
          <w:rPr>
            <w:rStyle w:val="Hyperlink"/>
            <w:bCs/>
          </w:rPr>
          <w:t xml:space="preserve"> GHz Band) Determination 201</w:t>
        </w:r>
        <w:r w:rsidR="00FA7F33">
          <w:rPr>
            <w:rStyle w:val="Hyperlink"/>
            <w:bCs/>
          </w:rPr>
          <w:t>5</w:t>
        </w:r>
      </w:hyperlink>
      <w:r w:rsidR="00FA7F33" w:rsidRPr="00A9457C">
        <w:t xml:space="preserve"> </w:t>
      </w:r>
      <w:r w:rsidR="00FA7F33">
        <w:t>(the s.145(4) determination)</w:t>
      </w:r>
    </w:p>
    <w:p w14:paraId="34163724" w14:textId="77777777" w:rsidR="00FA7F33" w:rsidRDefault="00570D92" w:rsidP="00FA7F33">
      <w:pPr>
        <w:pStyle w:val="ListBullet"/>
        <w:rPr>
          <w:rFonts w:cs="Arial"/>
        </w:rPr>
      </w:pPr>
      <w:hyperlink r:id="rId52" w:history="1">
        <w:r w:rsidR="00FA7F33" w:rsidRPr="006B4EC1">
          <w:rPr>
            <w:rStyle w:val="Hyperlink"/>
            <w:rFonts w:cs="Arial"/>
          </w:rPr>
          <w:t>Radiocommunications Advisory Guidelines (Managing Interference from Spectrum Licensed Transmitters — 3.4 GHz Band) 2015</w:t>
        </w:r>
      </w:hyperlink>
      <w:r w:rsidR="00FA7F33" w:rsidRPr="006B4EC1">
        <w:rPr>
          <w:rFonts w:cs="Arial"/>
        </w:rPr>
        <w:t xml:space="preserve"> (the RAG Tx)</w:t>
      </w:r>
    </w:p>
    <w:p w14:paraId="534E3280" w14:textId="77777777" w:rsidR="00FA7F33" w:rsidRPr="006B4EC1" w:rsidRDefault="00570D92" w:rsidP="00FA7F33">
      <w:pPr>
        <w:pStyle w:val="ListBullet"/>
        <w:spacing w:after="240"/>
        <w:rPr>
          <w:rFonts w:cs="Arial"/>
        </w:rPr>
      </w:pPr>
      <w:hyperlink r:id="rId53" w:tgtFrame="_self" w:history="1">
        <w:r w:rsidR="00FA7F33" w:rsidRPr="005438AE">
          <w:rPr>
            <w:rStyle w:val="Hyperlink"/>
            <w:bCs/>
          </w:rPr>
          <w:t xml:space="preserve">Radiocommunications Advisory Guidelines (Managing Interference to Spectrum Licensed Receivers – </w:t>
        </w:r>
        <w:r w:rsidR="00FA7F33">
          <w:rPr>
            <w:rStyle w:val="Hyperlink"/>
            <w:bCs/>
          </w:rPr>
          <w:t>3.4</w:t>
        </w:r>
        <w:r w:rsidR="00FA7F33" w:rsidRPr="005438AE">
          <w:rPr>
            <w:rStyle w:val="Hyperlink"/>
            <w:bCs/>
          </w:rPr>
          <w:t xml:space="preserve"> GHz Band) 201</w:t>
        </w:r>
        <w:r w:rsidR="00FA7F33">
          <w:rPr>
            <w:rStyle w:val="Hyperlink"/>
            <w:bCs/>
          </w:rPr>
          <w:t>5</w:t>
        </w:r>
      </w:hyperlink>
      <w:r w:rsidR="00FA7F33">
        <w:rPr>
          <w:rFonts w:cs="Arial"/>
        </w:rPr>
        <w:t xml:space="preserve"> (</w:t>
      </w:r>
      <w:r w:rsidR="00FA7F33" w:rsidRPr="00A9457C">
        <w:rPr>
          <w:rFonts w:cs="Arial"/>
        </w:rPr>
        <w:t xml:space="preserve">the RAG </w:t>
      </w:r>
      <w:r w:rsidR="00FA7F33">
        <w:rPr>
          <w:rFonts w:cs="Arial"/>
        </w:rPr>
        <w:t>R</w:t>
      </w:r>
      <w:r w:rsidR="00FA7F33" w:rsidRPr="00A9457C">
        <w:rPr>
          <w:rFonts w:cs="Arial"/>
        </w:rPr>
        <w:t>x)</w:t>
      </w:r>
    </w:p>
    <w:p w14:paraId="79F42AD8" w14:textId="77777777" w:rsidR="00FA7F33" w:rsidRPr="007D04B2" w:rsidRDefault="00FA7F33" w:rsidP="00FA7F33">
      <w:pPr>
        <w:rPr>
          <w:rFonts w:cs="Arial"/>
        </w:rPr>
      </w:pPr>
      <w:r w:rsidRPr="007D04B2">
        <w:rPr>
          <w:rFonts w:cs="Arial"/>
        </w:rPr>
        <w:t xml:space="preserve">Details of the TLG process (including relevant papers) that developed the current </w:t>
      </w:r>
      <w:r>
        <w:rPr>
          <w:rFonts w:cs="Arial"/>
        </w:rPr>
        <w:t>3.4 </w:t>
      </w:r>
      <w:r w:rsidRPr="007D04B2">
        <w:rPr>
          <w:rFonts w:cs="Arial"/>
        </w:rPr>
        <w:t xml:space="preserve">GHz band technical framework are available on </w:t>
      </w:r>
      <w:hyperlink r:id="rId54" w:history="1">
        <w:r w:rsidRPr="000F4E6F">
          <w:rPr>
            <w:rStyle w:val="Hyperlink"/>
            <w:rFonts w:cs="Arial"/>
          </w:rPr>
          <w:t>the ACMA website</w:t>
        </w:r>
      </w:hyperlink>
      <w:r>
        <w:rPr>
          <w:rFonts w:cs="Arial"/>
        </w:rPr>
        <w:t>.</w:t>
      </w:r>
    </w:p>
    <w:p w14:paraId="271C9236" w14:textId="77777777" w:rsidR="00FA7F33" w:rsidRPr="007D04B2" w:rsidRDefault="00FA7F33" w:rsidP="00FA7F33">
      <w:pPr>
        <w:pStyle w:val="sub-heading"/>
      </w:pPr>
      <w:bookmarkStart w:id="57" w:name="_Toc403740552"/>
      <w:bookmarkStart w:id="58" w:name="_Toc404333447"/>
      <w:bookmarkStart w:id="59" w:name="_Toc444690625"/>
      <w:bookmarkStart w:id="60" w:name="_Toc56006333"/>
      <w:bookmarkStart w:id="61" w:name="_Toc57809590"/>
      <w:bookmarkStart w:id="62" w:name="_Toc126841093"/>
      <w:r w:rsidRPr="007D04B2">
        <w:t>Conditions on the spectrum licence</w:t>
      </w:r>
      <w:bookmarkEnd w:id="57"/>
      <w:bookmarkEnd w:id="58"/>
      <w:bookmarkEnd w:id="59"/>
      <w:bookmarkEnd w:id="60"/>
      <w:bookmarkEnd w:id="61"/>
      <w:bookmarkEnd w:id="62"/>
    </w:p>
    <w:p w14:paraId="0E21F145" w14:textId="77777777" w:rsidR="00FA7F33" w:rsidRPr="007D04B2" w:rsidRDefault="00FA7F33" w:rsidP="00FA7F33">
      <w:pPr>
        <w:keepNext/>
        <w:keepLines/>
        <w:spacing w:before="80" w:after="80"/>
        <w:rPr>
          <w:rFonts w:cs="Arial"/>
          <w:bCs/>
          <w:iCs/>
        </w:rPr>
      </w:pPr>
      <w:r w:rsidRPr="007D04B2">
        <w:rPr>
          <w:rFonts w:cs="Arial"/>
          <w:bCs/>
          <w:iCs/>
        </w:rPr>
        <w:t>Each spectrum licence includes both core conditions and statutory conditions specified under relevant sections of the Act. The Act also provides that other specific conditions may be included by the ACMA.</w:t>
      </w:r>
    </w:p>
    <w:p w14:paraId="47319AC4" w14:textId="77777777" w:rsidR="00FA7F33" w:rsidRPr="007D04B2" w:rsidRDefault="00FA7F33" w:rsidP="00FA7F33">
      <w:pPr>
        <w:pStyle w:val="ListBullet"/>
        <w:keepNext/>
        <w:keepLines/>
      </w:pPr>
      <w:r w:rsidRPr="007D04B2">
        <w:rPr>
          <w:b/>
        </w:rPr>
        <w:t>Core conditions</w:t>
      </w:r>
      <w:r w:rsidRPr="007D04B2">
        <w:t>—required under section 66, these conditions define the spectrum space within which the licensee is authorised to operate radiocommunications devices under the licence, and the maximum permitted level of radio emissions inside and outside the band. These conditions are included in all spectrum licences.</w:t>
      </w:r>
    </w:p>
    <w:p w14:paraId="550B1B9B" w14:textId="77777777" w:rsidR="00FA7F33" w:rsidRPr="007D04B2" w:rsidRDefault="00FA7F33" w:rsidP="00FA7F33">
      <w:pPr>
        <w:pStyle w:val="ListBullet"/>
      </w:pPr>
      <w:r w:rsidRPr="007D04B2">
        <w:rPr>
          <w:b/>
        </w:rPr>
        <w:t>Statutory conditions</w:t>
      </w:r>
      <w:r w:rsidRPr="007D04B2">
        <w:t>—required under sections 67 to 69A, these conditions include information about payment of charges, use by third parties, residency, registration of transmitters and devices exempt from registration. These conditions are included in all spectrum licences.</w:t>
      </w:r>
    </w:p>
    <w:p w14:paraId="262EF150" w14:textId="77777777" w:rsidR="00FA7F33" w:rsidRPr="007D04B2" w:rsidRDefault="00FA7F33" w:rsidP="00FA7F33">
      <w:pPr>
        <w:pStyle w:val="ListBullet"/>
        <w:spacing w:after="240"/>
      </w:pPr>
      <w:r w:rsidRPr="007D04B2">
        <w:rPr>
          <w:b/>
        </w:rPr>
        <w:t>Other conditions</w:t>
      </w:r>
      <w:r w:rsidRPr="007D04B2">
        <w:t>—conditions placed on licences under section 71 generally provide for the efficient management of the spectrum and administration of the Act. These conditions may vary from one band or licence to another.</w:t>
      </w:r>
    </w:p>
    <w:p w14:paraId="71EC4208" w14:textId="77777777" w:rsidR="00FA7F33" w:rsidRPr="007D04B2" w:rsidRDefault="00FA7F33" w:rsidP="00FA7F33">
      <w:pPr>
        <w:spacing w:after="80"/>
      </w:pPr>
      <w:r w:rsidRPr="007D04B2">
        <w:t>The core conditions of a spectrum licence form the fundamental building blocks for operation of a spectrum-licensed device, and for managing interference with adjacent frequency bands and geographic areas. Section 66 of the Act states spectrum licences must specify the following core conditions:</w:t>
      </w:r>
    </w:p>
    <w:p w14:paraId="0FAE210C" w14:textId="77777777" w:rsidR="00FA7F33" w:rsidRPr="007D04B2" w:rsidRDefault="00FA7F33" w:rsidP="00FA7F33">
      <w:pPr>
        <w:pStyle w:val="ListBullet"/>
      </w:pPr>
      <w:r w:rsidRPr="007D04B2">
        <w:t>the part or parts of the spectrum in which operation of radiocommunications devices is authorised under the licence (frequency range of operation)</w:t>
      </w:r>
    </w:p>
    <w:p w14:paraId="263691D1" w14:textId="77777777" w:rsidR="00FA7F33" w:rsidRPr="007D04B2" w:rsidRDefault="00FA7F33" w:rsidP="00FA7F33">
      <w:pPr>
        <w:pStyle w:val="ListBullet"/>
      </w:pPr>
      <w:r w:rsidRPr="007D04B2">
        <w:t>the maximum permitted level of radio emission, in parts of the spectrum outside the frequency range specified on the licence, which may be caused by operation of radiocommunications devices under the licence (outside-the-band emission)</w:t>
      </w:r>
    </w:p>
    <w:p w14:paraId="1684CB35" w14:textId="77777777" w:rsidR="00FA7F33" w:rsidRPr="007D04B2" w:rsidRDefault="00FA7F33" w:rsidP="00FA7F33">
      <w:pPr>
        <w:pStyle w:val="ListBullet"/>
      </w:pPr>
      <w:r w:rsidRPr="007D04B2">
        <w:t>the area within which operation of radiocommunications devices is authorised under the licence (geographic area of operation)</w:t>
      </w:r>
    </w:p>
    <w:p w14:paraId="7F746048" w14:textId="77777777" w:rsidR="00FA7F33" w:rsidRPr="007D04B2" w:rsidRDefault="00FA7F33" w:rsidP="00FA7F33">
      <w:pPr>
        <w:pStyle w:val="ListBullet"/>
        <w:spacing w:after="240"/>
      </w:pPr>
      <w:r w:rsidRPr="007D04B2">
        <w:t>the maximum permitted level of radio emission that may be caused by the operation of radiocommunications devices under the licence (outside-the-area emission).</w:t>
      </w:r>
    </w:p>
    <w:p w14:paraId="2E9E948E" w14:textId="77777777" w:rsidR="00FA7F33" w:rsidRPr="007D04B2" w:rsidRDefault="00FA7F33" w:rsidP="00FA7F33">
      <w:pPr>
        <w:pStyle w:val="sub-heading"/>
      </w:pPr>
      <w:bookmarkStart w:id="63" w:name="_Ref312164882"/>
      <w:bookmarkStart w:id="64" w:name="_Ref312338073"/>
      <w:bookmarkStart w:id="65" w:name="_Toc328403871"/>
      <w:bookmarkStart w:id="66" w:name="_Toc403740553"/>
      <w:bookmarkStart w:id="67" w:name="_Toc404333448"/>
      <w:bookmarkStart w:id="68" w:name="_Toc444690626"/>
      <w:bookmarkStart w:id="69" w:name="_Toc56006337"/>
      <w:bookmarkStart w:id="70" w:name="_Toc57809594"/>
      <w:bookmarkStart w:id="71" w:name="_Toc126841094"/>
      <w:r w:rsidRPr="007D04B2">
        <w:t>Unacceptable levels of interference</w:t>
      </w:r>
      <w:bookmarkEnd w:id="63"/>
      <w:bookmarkEnd w:id="64"/>
      <w:bookmarkEnd w:id="65"/>
      <w:bookmarkEnd w:id="66"/>
      <w:bookmarkEnd w:id="67"/>
      <w:bookmarkEnd w:id="68"/>
      <w:bookmarkEnd w:id="69"/>
      <w:bookmarkEnd w:id="70"/>
      <w:bookmarkEnd w:id="71"/>
    </w:p>
    <w:p w14:paraId="14B5E2BB" w14:textId="77777777" w:rsidR="00FA7F33" w:rsidRPr="007D04B2" w:rsidRDefault="00FA7F33" w:rsidP="00FA7F33">
      <w:pPr>
        <w:keepNext/>
        <w:keepLines/>
      </w:pPr>
      <w:r w:rsidRPr="007D04B2">
        <w:t>Spectrum licensees are required to register a radiocommunications transmitter in the Register of Radiocommunications Licences before they may be operated under the licence. The only exception to this is if there is a condition on licences that exempts certain types of transmitter.</w:t>
      </w:r>
    </w:p>
    <w:p w14:paraId="20C7DCED" w14:textId="77777777" w:rsidR="00FA7F33" w:rsidRPr="007D04B2" w:rsidRDefault="00FA7F33" w:rsidP="00FA7F33">
      <w:pPr>
        <w:keepLines/>
      </w:pPr>
      <w:r w:rsidRPr="007D04B2">
        <w:t>Subsection 145(1) of the Act gives the ACMA the power to refuse to register a radiocommunications transmitter if it is satisfied that the operation of the transmitter could cause an unacceptable level of interference to the operation of other radiocommunications devices. Under subsection 145(4) of the Act, the ACMA can make a determination (referred to as a section 145 determination) that sets out what is considered unacceptable levels of interference for each spectrum-licensed band.</w:t>
      </w:r>
    </w:p>
    <w:p w14:paraId="2E734465" w14:textId="77777777" w:rsidR="00FA7F33" w:rsidRPr="007D04B2" w:rsidRDefault="00FA7F33" w:rsidP="00FA7F33">
      <w:pPr>
        <w:spacing w:after="80"/>
        <w:rPr>
          <w:rFonts w:cs="Arial"/>
        </w:rPr>
      </w:pPr>
      <w:r w:rsidRPr="007D04B2">
        <w:rPr>
          <w:rFonts w:cs="Arial"/>
        </w:rPr>
        <w:lastRenderedPageBreak/>
        <w:t>A section 145 determination sets out the circumstances in which devices are deemed to cause unacceptable levels of interference. These circumstances typically include:</w:t>
      </w:r>
    </w:p>
    <w:p w14:paraId="1713976F" w14:textId="77777777" w:rsidR="00FA7F33" w:rsidRPr="007D04B2" w:rsidRDefault="00FA7F33" w:rsidP="00FA7F33">
      <w:pPr>
        <w:pStyle w:val="ListBullet"/>
      </w:pPr>
      <w:r w:rsidRPr="007D04B2">
        <w:t>if the levels of emissions from a device at the geographical boundary of a licence exceed a defined level</w:t>
      </w:r>
    </w:p>
    <w:p w14:paraId="65A52E66" w14:textId="77777777" w:rsidR="00FA7F33" w:rsidRPr="007D04B2" w:rsidRDefault="00FA7F33" w:rsidP="00FA7F33">
      <w:pPr>
        <w:pStyle w:val="ListBullet"/>
      </w:pPr>
      <w:r w:rsidRPr="007D04B2">
        <w:t>if the operation of the transmitter will cause a breach of a core condition of the licence</w:t>
      </w:r>
    </w:p>
    <w:p w14:paraId="0CF1FE49" w14:textId="77777777" w:rsidR="00FA7F33" w:rsidRPr="007D04B2" w:rsidRDefault="00FA7F33" w:rsidP="00FA7F33">
      <w:pPr>
        <w:pStyle w:val="ListBullet"/>
        <w:spacing w:after="240"/>
      </w:pPr>
      <w:r w:rsidRPr="007D04B2">
        <w:t>if the deployment of the device is outside any deployment constraints defined for the band</w:t>
      </w:r>
      <w:r>
        <w:t>.</w:t>
      </w:r>
    </w:p>
    <w:p w14:paraId="3AB4FA55" w14:textId="77777777" w:rsidR="00FA7F33" w:rsidRPr="007D04B2" w:rsidRDefault="00FA7F33" w:rsidP="00FA7F33">
      <w:pPr>
        <w:pStyle w:val="sub-heading"/>
      </w:pPr>
      <w:bookmarkStart w:id="72" w:name="_Ref312338161"/>
      <w:bookmarkStart w:id="73" w:name="_Ref312338219"/>
      <w:bookmarkStart w:id="74" w:name="_Ref314129073"/>
      <w:bookmarkStart w:id="75" w:name="_Toc328403872"/>
      <w:bookmarkStart w:id="76" w:name="_Toc403740554"/>
      <w:bookmarkStart w:id="77" w:name="_Toc404333449"/>
      <w:bookmarkStart w:id="78" w:name="_Toc444690627"/>
      <w:bookmarkStart w:id="79" w:name="_Toc56006340"/>
      <w:bookmarkStart w:id="80" w:name="_Toc57809597"/>
      <w:bookmarkStart w:id="81" w:name="_Toc126841095"/>
      <w:r w:rsidRPr="007D04B2">
        <w:t>Radiocommunications advisory guidelines</w:t>
      </w:r>
      <w:bookmarkEnd w:id="72"/>
      <w:bookmarkEnd w:id="73"/>
      <w:bookmarkEnd w:id="74"/>
      <w:bookmarkEnd w:id="75"/>
      <w:bookmarkEnd w:id="76"/>
      <w:bookmarkEnd w:id="77"/>
      <w:bookmarkEnd w:id="78"/>
      <w:bookmarkEnd w:id="79"/>
      <w:bookmarkEnd w:id="80"/>
      <w:bookmarkEnd w:id="81"/>
    </w:p>
    <w:p w14:paraId="4BF4511D" w14:textId="77777777" w:rsidR="00FA7F33" w:rsidRPr="007D04B2" w:rsidRDefault="00FA7F33" w:rsidP="00FA7F33">
      <w:pPr>
        <w:rPr>
          <w:rFonts w:cs="Arial"/>
        </w:rPr>
      </w:pPr>
      <w:r w:rsidRPr="007D04B2">
        <w:rPr>
          <w:rFonts w:cs="Arial"/>
        </w:rPr>
        <w:t>Further guidance on interference management with other licensed services is provided in Radiocommunications Advisory Guidelines (RAGs) made under section 262 of the Act. RAGs can refer to any aspect of radiocommunications or radio emissions.</w:t>
      </w:r>
    </w:p>
    <w:p w14:paraId="76D8B540" w14:textId="77777777" w:rsidR="00FA7F33" w:rsidRPr="007D04B2" w:rsidRDefault="00FA7F33" w:rsidP="00FA7F33">
      <w:pPr>
        <w:rPr>
          <w:rFonts w:cs="Arial"/>
        </w:rPr>
      </w:pPr>
      <w:r w:rsidRPr="007D04B2">
        <w:rPr>
          <w:rFonts w:cs="Arial"/>
        </w:rPr>
        <w:t>Generally, RAGs include provisions to help assess the possible interference between spectrum-licensed devices and services operating under spectrum, apparatus or class licences. Potentially affected services are identified in the RAGs to enable licensees to assess and mitigate the risk of interference between these services.</w:t>
      </w:r>
    </w:p>
    <w:p w14:paraId="72AE51C8" w14:textId="77777777" w:rsidR="00FA7F33" w:rsidRPr="007D04B2" w:rsidRDefault="00FA7F33" w:rsidP="00FA7F33">
      <w:pPr>
        <w:rPr>
          <w:rFonts w:cs="Arial"/>
        </w:rPr>
      </w:pPr>
      <w:r w:rsidRPr="007D04B2">
        <w:rPr>
          <w:rFonts w:cs="Arial"/>
        </w:rPr>
        <w:t xml:space="preserve">It is important to note that where a case of interference arises between a spectrum-licensed device and another licensed device, the ACMA will refer to the provisions of the RAGs in resolving the matter. In general, affected licensees </w:t>
      </w:r>
      <w:r>
        <w:rPr>
          <w:rFonts w:cs="Arial"/>
        </w:rPr>
        <w:t xml:space="preserve">can </w:t>
      </w:r>
      <w:r w:rsidRPr="007D04B2">
        <w:rPr>
          <w:rFonts w:cs="Arial"/>
        </w:rPr>
        <w:t xml:space="preserve">also negotiate their own arrangements to manage interference. Such arrangements will also be considered when resolving any interference disputes.  </w:t>
      </w:r>
    </w:p>
    <w:p w14:paraId="24845779" w14:textId="1214C0B0" w:rsidR="00FA7F33" w:rsidRPr="00702EA1" w:rsidRDefault="0002216A" w:rsidP="00FA7F33">
      <w:pPr>
        <w:pStyle w:val="Heading1"/>
      </w:pPr>
      <w:bookmarkStart w:id="82" w:name="_Toc56006331"/>
      <w:bookmarkStart w:id="83" w:name="_Toc57809588"/>
      <w:bookmarkStart w:id="84" w:name="_Toc126841096"/>
      <w:r>
        <w:lastRenderedPageBreak/>
        <w:t>Proposed</w:t>
      </w:r>
      <w:r w:rsidRPr="007D04B2">
        <w:t xml:space="preserve"> </w:t>
      </w:r>
      <w:r w:rsidR="00FA7F33">
        <w:t xml:space="preserve">changes to the 3.4 GHz spectrum licensing </w:t>
      </w:r>
      <w:r w:rsidR="00FA7F33" w:rsidRPr="007D04B2">
        <w:t>technical framework</w:t>
      </w:r>
      <w:bookmarkEnd w:id="82"/>
      <w:bookmarkEnd w:id="83"/>
      <w:bookmarkEnd w:id="84"/>
      <w:r w:rsidR="00B8490B">
        <w:t xml:space="preserve"> </w:t>
      </w:r>
    </w:p>
    <w:p w14:paraId="041C9381" w14:textId="77777777" w:rsidR="00FA7F33" w:rsidRDefault="00FA7F33" w:rsidP="00FA7F33">
      <w:r w:rsidRPr="007D04B2">
        <w:rPr>
          <w:rFonts w:cs="Arial"/>
        </w:rPr>
        <w:t xml:space="preserve">This section of the paper </w:t>
      </w:r>
      <w:r>
        <w:rPr>
          <w:rFonts w:cs="Arial"/>
        </w:rPr>
        <w:t>details</w:t>
      </w:r>
      <w:r w:rsidRPr="007D04B2">
        <w:rPr>
          <w:rFonts w:cs="Arial"/>
        </w:rPr>
        <w:t xml:space="preserve"> the </w:t>
      </w:r>
      <w:r>
        <w:rPr>
          <w:rFonts w:cs="Arial"/>
        </w:rPr>
        <w:t xml:space="preserve">changes to the 3.4 GHz technical framework proposed by the TLG as they pertain to the items for review identified in the </w:t>
      </w:r>
      <w:r w:rsidRPr="004B54DD">
        <w:rPr>
          <w:rFonts w:cs="Arial"/>
          <w:i/>
          <w:iCs/>
        </w:rPr>
        <w:t>Scope of the TLG</w:t>
      </w:r>
      <w:r>
        <w:rPr>
          <w:rFonts w:cs="Arial"/>
        </w:rPr>
        <w:t xml:space="preserve"> section. </w:t>
      </w:r>
    </w:p>
    <w:p w14:paraId="57536778" w14:textId="0AD0F84D" w:rsidR="00FA7F33" w:rsidRPr="007D04B2" w:rsidRDefault="00FA7F33" w:rsidP="00FA7F33">
      <w:pPr>
        <w:pStyle w:val="sub-heading"/>
      </w:pPr>
      <w:bookmarkStart w:id="85" w:name="_Toc126841097"/>
      <w:r>
        <w:t>Consequential changes</w:t>
      </w:r>
      <w:bookmarkEnd w:id="85"/>
      <w:r>
        <w:t xml:space="preserve"> </w:t>
      </w:r>
    </w:p>
    <w:p w14:paraId="35B55BDC" w14:textId="0892617C" w:rsidR="00FA7F33" w:rsidRDefault="00897FAF" w:rsidP="00FA7F33">
      <w:pPr>
        <w:spacing w:before="120" w:after="360" w:line="240" w:lineRule="auto"/>
        <w:rPr>
          <w:rFonts w:cs="Arial"/>
          <w:szCs w:val="20"/>
        </w:rPr>
      </w:pPr>
      <w:r>
        <w:rPr>
          <w:rFonts w:cs="Arial"/>
          <w:szCs w:val="20"/>
        </w:rPr>
        <w:t>In addition to editorial changes, t</w:t>
      </w:r>
      <w:r w:rsidR="00FA7F33" w:rsidRPr="00A9457C">
        <w:rPr>
          <w:rFonts w:cs="Arial"/>
          <w:szCs w:val="20"/>
        </w:rPr>
        <w:t xml:space="preserve">he TLG </w:t>
      </w:r>
      <w:r w:rsidR="001B2D5E">
        <w:rPr>
          <w:rFonts w:cs="Arial"/>
          <w:szCs w:val="20"/>
        </w:rPr>
        <w:t>considered the</w:t>
      </w:r>
      <w:r w:rsidR="00FA7F33" w:rsidRPr="00A9457C">
        <w:rPr>
          <w:rFonts w:cs="Arial"/>
          <w:szCs w:val="20"/>
        </w:rPr>
        <w:t xml:space="preserve"> following consequential changes to the </w:t>
      </w:r>
      <w:hyperlink r:id="rId55" w:history="1">
        <w:r w:rsidR="00FA7F33" w:rsidRPr="00A9457C">
          <w:rPr>
            <w:rStyle w:val="Hyperlink"/>
            <w:rFonts w:cs="Arial"/>
            <w:szCs w:val="20"/>
          </w:rPr>
          <w:t>3.4 GHz band technical framework</w:t>
        </w:r>
      </w:hyperlink>
      <w:r w:rsidR="00FA7F33" w:rsidRPr="00A9457C">
        <w:rPr>
          <w:rFonts w:cs="Arial"/>
          <w:szCs w:val="20"/>
        </w:rPr>
        <w:t xml:space="preserve"> that are required to support the </w:t>
      </w:r>
      <w:r w:rsidR="00FA7F33">
        <w:rPr>
          <w:rFonts w:cs="Arial"/>
          <w:szCs w:val="20"/>
        </w:rPr>
        <w:t xml:space="preserve">extension to accommodate the </w:t>
      </w:r>
      <w:r w:rsidR="00C14808">
        <w:rPr>
          <w:rFonts w:cs="Arial"/>
          <w:szCs w:val="20"/>
        </w:rPr>
        <w:t>spectrum spaces identified in the reallocation declaration</w:t>
      </w:r>
      <w:r w:rsidR="001B2D5E">
        <w:rPr>
          <w:rFonts w:cs="Arial"/>
          <w:szCs w:val="20"/>
        </w:rPr>
        <w:t>.</w:t>
      </w:r>
    </w:p>
    <w:p w14:paraId="351481BE" w14:textId="65D129FA" w:rsidR="001B2D5E" w:rsidRDefault="001B2D5E" w:rsidP="001B2D5E">
      <w:pPr>
        <w:pStyle w:val="Heading3"/>
      </w:pPr>
      <w:bookmarkStart w:id="86" w:name="_Toc126841098"/>
      <w:r>
        <w:t>TLG Member Views</w:t>
      </w:r>
      <w:bookmarkEnd w:id="86"/>
      <w:r>
        <w:t xml:space="preserve"> </w:t>
      </w:r>
    </w:p>
    <w:p w14:paraId="6EC22AC4" w14:textId="4676F267" w:rsidR="001B2D5E" w:rsidRDefault="001B2D5E" w:rsidP="001B2D5E">
      <w:pPr>
        <w:pStyle w:val="Paragraphbeforelist"/>
      </w:pPr>
      <w:r>
        <w:t>Most views were related to SL coordination proposals with other services and were noted in the previous sections.</w:t>
      </w:r>
    </w:p>
    <w:p w14:paraId="5C3E3DBF" w14:textId="5B312AC3" w:rsidR="001B2D5E" w:rsidRDefault="001B2D5E" w:rsidP="001B2D5E">
      <w:pPr>
        <w:pStyle w:val="Paragraphbeforelist"/>
      </w:pPr>
      <w:r>
        <w:t>Telstra agreed that SL to SL clauses in the proposed SLTF were good.</w:t>
      </w:r>
    </w:p>
    <w:p w14:paraId="6F67FFC8" w14:textId="77777777" w:rsidR="001B2D5E" w:rsidRDefault="001B2D5E" w:rsidP="00FA7F33">
      <w:pPr>
        <w:spacing w:before="120" w:after="360" w:line="240" w:lineRule="auto"/>
        <w:rPr>
          <w:rFonts w:cs="Arial"/>
          <w:szCs w:val="20"/>
        </w:rPr>
      </w:pPr>
    </w:p>
    <w:tbl>
      <w:tblPr>
        <w:tblStyle w:val="ACMAtablestyle"/>
        <w:tblW w:w="5456" w:type="pct"/>
        <w:tblLook w:val="04A0" w:firstRow="1" w:lastRow="0" w:firstColumn="1" w:lastColumn="0" w:noHBand="0" w:noVBand="1"/>
      </w:tblPr>
      <w:tblGrid>
        <w:gridCol w:w="2458"/>
        <w:gridCol w:w="895"/>
        <w:gridCol w:w="1615"/>
        <w:gridCol w:w="3392"/>
      </w:tblGrid>
      <w:tr w:rsidR="00FA7F33" w14:paraId="2E1FC786" w14:textId="77777777" w:rsidTr="00F461DE">
        <w:trPr>
          <w:cnfStyle w:val="100000000000" w:firstRow="1" w:lastRow="0" w:firstColumn="0" w:lastColumn="0" w:oddVBand="0" w:evenVBand="0" w:oddHBand="0" w:evenHBand="0" w:firstRowFirstColumn="0" w:firstRowLastColumn="0" w:lastRowFirstColumn="0" w:lastRowLastColumn="0"/>
        </w:trPr>
        <w:tc>
          <w:tcPr>
            <w:tcW w:w="1470" w:type="pct"/>
          </w:tcPr>
          <w:p w14:paraId="0991C4AB" w14:textId="77777777" w:rsidR="00FA7F33" w:rsidRDefault="00FA7F33" w:rsidP="00B63CAB">
            <w:r>
              <w:t>DOCUMENT</w:t>
            </w:r>
          </w:p>
        </w:tc>
        <w:tc>
          <w:tcPr>
            <w:tcW w:w="535" w:type="pct"/>
          </w:tcPr>
          <w:p w14:paraId="38327B02" w14:textId="77777777" w:rsidR="00FA7F33" w:rsidRDefault="00FA7F33" w:rsidP="00B63CAB">
            <w:r>
              <w:t>ITEM</w:t>
            </w:r>
          </w:p>
        </w:tc>
        <w:tc>
          <w:tcPr>
            <w:tcW w:w="966" w:type="pct"/>
          </w:tcPr>
          <w:p w14:paraId="03A5DFFC" w14:textId="77777777" w:rsidR="00FA7F33" w:rsidRDefault="00FA7F33" w:rsidP="00B63CAB">
            <w:r>
              <w:t>CLAUSE/para</w:t>
            </w:r>
          </w:p>
        </w:tc>
        <w:tc>
          <w:tcPr>
            <w:tcW w:w="2029" w:type="pct"/>
          </w:tcPr>
          <w:p w14:paraId="0D8E7B60" w14:textId="77777777" w:rsidR="00FA7F33" w:rsidRDefault="00FA7F33" w:rsidP="00B63CAB">
            <w:r>
              <w:t>CHANGE</w:t>
            </w:r>
          </w:p>
        </w:tc>
      </w:tr>
      <w:tr w:rsidR="00D42448" w14:paraId="1CA89C68" w14:textId="77777777" w:rsidTr="00C20E8D">
        <w:trPr>
          <w:cnfStyle w:val="000000100000" w:firstRow="0" w:lastRow="0" w:firstColumn="0" w:lastColumn="0" w:oddVBand="0" w:evenVBand="0" w:oddHBand="1" w:evenHBand="0" w:firstRowFirstColumn="0" w:firstRowLastColumn="0" w:lastRowFirstColumn="0" w:lastRowLastColumn="0"/>
        </w:trPr>
        <w:tc>
          <w:tcPr>
            <w:tcW w:w="1470" w:type="pct"/>
            <w:vMerge w:val="restart"/>
          </w:tcPr>
          <w:p w14:paraId="14363B9F" w14:textId="57CA96B5" w:rsidR="00D42448" w:rsidRPr="00F461DE" w:rsidRDefault="00D42448" w:rsidP="00B63CAB">
            <w:r w:rsidRPr="00F461DE">
              <w:t xml:space="preserve">RAG </w:t>
            </w:r>
            <w:r w:rsidRPr="00F461DE">
              <w:rPr>
                <w:rStyle w:val="Hyperlink"/>
                <w:color w:val="auto"/>
                <w:u w:val="none"/>
              </w:rPr>
              <w:t>Tx</w:t>
            </w:r>
            <w:r w:rsidRPr="00F461DE">
              <w:rPr>
                <w:rStyle w:val="Hyperlink"/>
                <w:u w:val="none"/>
              </w:rPr>
              <w:t xml:space="preserve"> </w:t>
            </w:r>
          </w:p>
        </w:tc>
        <w:tc>
          <w:tcPr>
            <w:tcW w:w="535" w:type="pct"/>
          </w:tcPr>
          <w:p w14:paraId="7F99F15D" w14:textId="77777777" w:rsidR="00D42448" w:rsidRDefault="00D42448" w:rsidP="00FA7F33">
            <w:pPr>
              <w:pStyle w:val="ListParagraph"/>
              <w:numPr>
                <w:ilvl w:val="0"/>
                <w:numId w:val="16"/>
              </w:numPr>
            </w:pPr>
          </w:p>
        </w:tc>
        <w:tc>
          <w:tcPr>
            <w:tcW w:w="966" w:type="pct"/>
          </w:tcPr>
          <w:p w14:paraId="4FCD7C3D" w14:textId="77777777" w:rsidR="00D42448" w:rsidRDefault="00D42448" w:rsidP="00B63CAB">
            <w:r>
              <w:t>1.5 (1)</w:t>
            </w:r>
          </w:p>
        </w:tc>
        <w:tc>
          <w:tcPr>
            <w:tcW w:w="2029" w:type="pct"/>
          </w:tcPr>
          <w:p w14:paraId="192408F4" w14:textId="77777777" w:rsidR="00D42448" w:rsidRPr="008F29D4" w:rsidRDefault="00D42448" w:rsidP="00B63CAB">
            <w:r w:rsidRPr="00C37684">
              <w:t>Redefine 3.4 GHz band to 3400-3800 MHz</w:t>
            </w:r>
          </w:p>
          <w:p w14:paraId="1678357C" w14:textId="5291DB30" w:rsidR="00D42448" w:rsidRDefault="00D42448" w:rsidP="00B63CAB">
            <w:r w:rsidRPr="00CE375E">
              <w:t xml:space="preserve">Remove retired/non applicable RALIs </w:t>
            </w:r>
            <w:r w:rsidRPr="00953DD9">
              <w:t>FX 19 and MS 39 and insert new RALI definition for MS 47</w:t>
            </w:r>
          </w:p>
        </w:tc>
      </w:tr>
      <w:tr w:rsidR="00D42448" w14:paraId="6E1F8A8E" w14:textId="77777777" w:rsidTr="00C20E8D">
        <w:trPr>
          <w:cnfStyle w:val="000000010000" w:firstRow="0" w:lastRow="0" w:firstColumn="0" w:lastColumn="0" w:oddVBand="0" w:evenVBand="0" w:oddHBand="0" w:evenHBand="1" w:firstRowFirstColumn="0" w:firstRowLastColumn="0" w:lastRowFirstColumn="0" w:lastRowLastColumn="0"/>
        </w:trPr>
        <w:tc>
          <w:tcPr>
            <w:tcW w:w="1470" w:type="pct"/>
            <w:vMerge/>
          </w:tcPr>
          <w:p w14:paraId="0B850AC4" w14:textId="77777777" w:rsidR="00D42448" w:rsidRDefault="00D42448" w:rsidP="00B63CAB"/>
        </w:tc>
        <w:tc>
          <w:tcPr>
            <w:tcW w:w="535" w:type="pct"/>
          </w:tcPr>
          <w:p w14:paraId="09FAB189" w14:textId="77777777" w:rsidR="00D42448" w:rsidRDefault="00D42448" w:rsidP="00FA7F33">
            <w:pPr>
              <w:pStyle w:val="ListParagraph"/>
              <w:numPr>
                <w:ilvl w:val="0"/>
                <w:numId w:val="16"/>
              </w:numPr>
            </w:pPr>
          </w:p>
        </w:tc>
        <w:tc>
          <w:tcPr>
            <w:tcW w:w="966" w:type="pct"/>
          </w:tcPr>
          <w:p w14:paraId="71798E50" w14:textId="77777777" w:rsidR="00D42448" w:rsidRDefault="00D42448" w:rsidP="00B63CAB">
            <w:r>
              <w:t>2.1</w:t>
            </w:r>
          </w:p>
        </w:tc>
        <w:tc>
          <w:tcPr>
            <w:tcW w:w="2029" w:type="pct"/>
          </w:tcPr>
          <w:p w14:paraId="5F558015" w14:textId="77777777" w:rsidR="00D42448" w:rsidRPr="008F29D4" w:rsidRDefault="00D42448" w:rsidP="00B63CAB">
            <w:r w:rsidRPr="00C37684">
              <w:t>Correct the text (it is not “Australia-wide”)</w:t>
            </w:r>
          </w:p>
        </w:tc>
      </w:tr>
      <w:tr w:rsidR="00D42448" w14:paraId="6F6865A8" w14:textId="77777777" w:rsidTr="00C20E8D">
        <w:trPr>
          <w:cnfStyle w:val="000000100000" w:firstRow="0" w:lastRow="0" w:firstColumn="0" w:lastColumn="0" w:oddVBand="0" w:evenVBand="0" w:oddHBand="1" w:evenHBand="0" w:firstRowFirstColumn="0" w:firstRowLastColumn="0" w:lastRowFirstColumn="0" w:lastRowLastColumn="0"/>
          <w:trHeight w:val="2161"/>
        </w:trPr>
        <w:tc>
          <w:tcPr>
            <w:tcW w:w="1470" w:type="pct"/>
            <w:vMerge/>
          </w:tcPr>
          <w:p w14:paraId="4B135D20" w14:textId="77777777" w:rsidR="00D42448" w:rsidRDefault="00D42448" w:rsidP="00B63CAB"/>
        </w:tc>
        <w:tc>
          <w:tcPr>
            <w:tcW w:w="535" w:type="pct"/>
          </w:tcPr>
          <w:p w14:paraId="40E87210" w14:textId="77777777" w:rsidR="00D42448" w:rsidRDefault="00D42448" w:rsidP="00FA7F33">
            <w:pPr>
              <w:pStyle w:val="ListParagraph"/>
              <w:numPr>
                <w:ilvl w:val="0"/>
                <w:numId w:val="16"/>
              </w:numPr>
            </w:pPr>
          </w:p>
        </w:tc>
        <w:tc>
          <w:tcPr>
            <w:tcW w:w="966" w:type="pct"/>
          </w:tcPr>
          <w:p w14:paraId="75F3E9F3" w14:textId="77777777" w:rsidR="00D42448" w:rsidRDefault="00D42448" w:rsidP="00B63CAB">
            <w:r>
              <w:t xml:space="preserve">2.3 </w:t>
            </w:r>
          </w:p>
          <w:p w14:paraId="306C96B2" w14:textId="4092AC56" w:rsidR="00D42448" w:rsidRDefault="00D42448" w:rsidP="00B63CAB"/>
        </w:tc>
        <w:tc>
          <w:tcPr>
            <w:tcW w:w="2029" w:type="pct"/>
          </w:tcPr>
          <w:p w14:paraId="76224BA7" w14:textId="034456AC" w:rsidR="00D42448" w:rsidRPr="00F461DE" w:rsidRDefault="00D42448" w:rsidP="00F461DE">
            <w:pPr>
              <w:spacing w:after="120"/>
            </w:pPr>
            <w:r w:rsidRPr="00F461DE">
              <w:t xml:space="preserve">Update circumstances covered in the </w:t>
            </w:r>
            <w:r>
              <w:t>RAG Tx</w:t>
            </w:r>
            <w:r w:rsidRPr="00F461DE">
              <w:t xml:space="preserve">. This includes: </w:t>
            </w:r>
          </w:p>
          <w:p w14:paraId="19604703" w14:textId="38EE37DB" w:rsidR="00D42448" w:rsidRPr="00A41ECF" w:rsidRDefault="00D42448" w:rsidP="00953DD9">
            <w:pPr>
              <w:pStyle w:val="ListParagraph"/>
              <w:numPr>
                <w:ilvl w:val="0"/>
                <w:numId w:val="58"/>
              </w:numPr>
            </w:pPr>
            <w:r w:rsidRPr="00A41ECF">
              <w:t>Aeronautical mobile and radionavigation services in 4200-4400 MHz</w:t>
            </w:r>
          </w:p>
          <w:p w14:paraId="50DDFE0F" w14:textId="28864FEB" w:rsidR="00D42448" w:rsidRPr="00C37684" w:rsidRDefault="00D42448" w:rsidP="00F461DE">
            <w:pPr>
              <w:pStyle w:val="ListParagraph"/>
              <w:numPr>
                <w:ilvl w:val="0"/>
                <w:numId w:val="58"/>
              </w:numPr>
            </w:pPr>
            <w:r w:rsidRPr="00A41ECF">
              <w:t>Adjacent frequency apparatus licensed WBB services in 3400-4000 MHz</w:t>
            </w:r>
          </w:p>
        </w:tc>
      </w:tr>
      <w:tr w:rsidR="00D42448" w14:paraId="098F837E" w14:textId="77777777" w:rsidTr="00C20E8D">
        <w:trPr>
          <w:cnfStyle w:val="000000010000" w:firstRow="0" w:lastRow="0" w:firstColumn="0" w:lastColumn="0" w:oddVBand="0" w:evenVBand="0" w:oddHBand="0" w:evenHBand="1" w:firstRowFirstColumn="0" w:firstRowLastColumn="0" w:lastRowFirstColumn="0" w:lastRowLastColumn="0"/>
        </w:trPr>
        <w:tc>
          <w:tcPr>
            <w:tcW w:w="1470" w:type="pct"/>
            <w:vMerge/>
          </w:tcPr>
          <w:p w14:paraId="38671AF9" w14:textId="77777777" w:rsidR="00D42448" w:rsidRDefault="00D42448" w:rsidP="00B63CAB"/>
        </w:tc>
        <w:tc>
          <w:tcPr>
            <w:tcW w:w="535" w:type="pct"/>
          </w:tcPr>
          <w:p w14:paraId="668281D8" w14:textId="77777777" w:rsidR="00D42448" w:rsidRDefault="00D42448" w:rsidP="00FA7F33">
            <w:pPr>
              <w:pStyle w:val="ListParagraph"/>
              <w:numPr>
                <w:ilvl w:val="0"/>
                <w:numId w:val="16"/>
              </w:numPr>
            </w:pPr>
          </w:p>
        </w:tc>
        <w:tc>
          <w:tcPr>
            <w:tcW w:w="966" w:type="pct"/>
          </w:tcPr>
          <w:p w14:paraId="37BC2EEF" w14:textId="77777777" w:rsidR="00D42448" w:rsidRDefault="00D42448" w:rsidP="00B63CAB">
            <w:r>
              <w:t>4.3</w:t>
            </w:r>
          </w:p>
        </w:tc>
        <w:tc>
          <w:tcPr>
            <w:tcW w:w="2029" w:type="pct"/>
          </w:tcPr>
          <w:p w14:paraId="654C0E9D" w14:textId="2879A927" w:rsidR="00D42448" w:rsidRPr="00C37684" w:rsidRDefault="00D42448" w:rsidP="00B63CAB">
            <w:r w:rsidRPr="00F461DE">
              <w:t xml:space="preserve">Update to co-channel frequency ranges in section 4.3(1)(c)(ii). </w:t>
            </w:r>
          </w:p>
          <w:p w14:paraId="373F1182" w14:textId="443AB5B2" w:rsidR="00D42448" w:rsidRDefault="00D42448" w:rsidP="00B63CAB">
            <w:r w:rsidRPr="00F461DE">
              <w:lastRenderedPageBreak/>
              <w:t xml:space="preserve">Consider changes to </w:t>
            </w:r>
            <w:r w:rsidRPr="00C37684">
              <w:t xml:space="preserve">the offset definition in table 1 of </w:t>
            </w:r>
            <w:r w:rsidRPr="008F29D4">
              <w:t xml:space="preserve">4.3 (4) to </w:t>
            </w:r>
            <w:r w:rsidRPr="00A41ECF">
              <w:t>include both FSS licence edges rather than “lower” edge</w:t>
            </w:r>
            <w:r w:rsidRPr="00F461DE">
              <w:t xml:space="preserve"> in some cases</w:t>
            </w:r>
            <w:r w:rsidRPr="00C37684">
              <w:t>, as there will now be potential for WBB services to be above the frequency of incumbent FSS services</w:t>
            </w:r>
            <w:r w:rsidRPr="008F29D4">
              <w:t xml:space="preserve"> in some cases.</w:t>
            </w:r>
          </w:p>
        </w:tc>
      </w:tr>
      <w:tr w:rsidR="00D42448" w14:paraId="32E0D1F7" w14:textId="77777777" w:rsidTr="00C20E8D">
        <w:trPr>
          <w:cnfStyle w:val="000000100000" w:firstRow="0" w:lastRow="0" w:firstColumn="0" w:lastColumn="0" w:oddVBand="0" w:evenVBand="0" w:oddHBand="1" w:evenHBand="0" w:firstRowFirstColumn="0" w:firstRowLastColumn="0" w:lastRowFirstColumn="0" w:lastRowLastColumn="0"/>
        </w:trPr>
        <w:tc>
          <w:tcPr>
            <w:tcW w:w="1470" w:type="pct"/>
            <w:vMerge/>
          </w:tcPr>
          <w:p w14:paraId="61B43564" w14:textId="77777777" w:rsidR="00D42448" w:rsidRDefault="00D42448" w:rsidP="00B63CAB"/>
        </w:tc>
        <w:tc>
          <w:tcPr>
            <w:tcW w:w="535" w:type="pct"/>
          </w:tcPr>
          <w:p w14:paraId="59711525" w14:textId="77777777" w:rsidR="00D42448" w:rsidRDefault="00D42448" w:rsidP="00FA7F33">
            <w:pPr>
              <w:pStyle w:val="ListParagraph"/>
              <w:numPr>
                <w:ilvl w:val="0"/>
                <w:numId w:val="16"/>
              </w:numPr>
            </w:pPr>
          </w:p>
        </w:tc>
        <w:tc>
          <w:tcPr>
            <w:tcW w:w="966" w:type="pct"/>
          </w:tcPr>
          <w:p w14:paraId="624501C8" w14:textId="77777777" w:rsidR="00D42448" w:rsidRDefault="00D42448" w:rsidP="00B63CAB">
            <w:r>
              <w:t>4.4</w:t>
            </w:r>
          </w:p>
        </w:tc>
        <w:tc>
          <w:tcPr>
            <w:tcW w:w="2029" w:type="pct"/>
          </w:tcPr>
          <w:p w14:paraId="452007AA" w14:textId="5B332F77" w:rsidR="00D42448" w:rsidRDefault="00D42448" w:rsidP="00B63CAB">
            <w:pPr>
              <w:rPr>
                <w:highlight w:val="yellow"/>
              </w:rPr>
            </w:pPr>
            <w:r w:rsidRPr="00D41433">
              <w:t xml:space="preserve">Update </w:t>
            </w:r>
            <w:r>
              <w:t>frequency range that the additional protection requirements apply to, so they cover incumbent earth receive stations in 3700-3800 MHz.</w:t>
            </w:r>
          </w:p>
          <w:p w14:paraId="0C625197" w14:textId="4A415B3C" w:rsidR="00D42448" w:rsidRDefault="00D42448" w:rsidP="00B63CAB">
            <w:r w:rsidRPr="008F29D4">
              <w:t>Add 4.4 (1) (d) to reflect the Ra</w:t>
            </w:r>
            <w:r w:rsidRPr="00CE375E">
              <w:t xml:space="preserve">diocommunications (Spectrum Re-allocation – 3.4 </w:t>
            </w:r>
            <w:r w:rsidRPr="00A41ECF">
              <w:t>GHz and 3.7 GHz Bands) Declaration 2022</w:t>
            </w:r>
          </w:p>
        </w:tc>
      </w:tr>
      <w:tr w:rsidR="00D42448" w14:paraId="3923CBD1" w14:textId="77777777" w:rsidTr="00C20E8D">
        <w:trPr>
          <w:cnfStyle w:val="000000010000" w:firstRow="0" w:lastRow="0" w:firstColumn="0" w:lastColumn="0" w:oddVBand="0" w:evenVBand="0" w:oddHBand="0" w:evenHBand="1" w:firstRowFirstColumn="0" w:firstRowLastColumn="0" w:lastRowFirstColumn="0" w:lastRowLastColumn="0"/>
        </w:trPr>
        <w:tc>
          <w:tcPr>
            <w:tcW w:w="1470" w:type="pct"/>
            <w:vMerge/>
          </w:tcPr>
          <w:p w14:paraId="75E3CED6" w14:textId="77777777" w:rsidR="00D42448" w:rsidRDefault="00D42448" w:rsidP="00B63CAB"/>
        </w:tc>
        <w:tc>
          <w:tcPr>
            <w:tcW w:w="535" w:type="pct"/>
          </w:tcPr>
          <w:p w14:paraId="3F82ED57" w14:textId="77777777" w:rsidR="00D42448" w:rsidRDefault="00D42448" w:rsidP="00FA7F33">
            <w:pPr>
              <w:pStyle w:val="ListParagraph"/>
              <w:numPr>
                <w:ilvl w:val="0"/>
                <w:numId w:val="16"/>
              </w:numPr>
            </w:pPr>
          </w:p>
        </w:tc>
        <w:tc>
          <w:tcPr>
            <w:tcW w:w="966" w:type="pct"/>
          </w:tcPr>
          <w:p w14:paraId="1CD7F75A" w14:textId="77777777" w:rsidR="00D42448" w:rsidRPr="00C37684" w:rsidRDefault="00D42448" w:rsidP="00B63CAB">
            <w:r w:rsidRPr="00C37684">
              <w:t>5</w:t>
            </w:r>
          </w:p>
        </w:tc>
        <w:tc>
          <w:tcPr>
            <w:tcW w:w="2029" w:type="pct"/>
          </w:tcPr>
          <w:p w14:paraId="2438FBE2" w14:textId="206FCE98" w:rsidR="00D42448" w:rsidRPr="00C37684" w:rsidRDefault="00D42448" w:rsidP="00B63CAB">
            <w:r w:rsidRPr="008F29D4">
              <w:t xml:space="preserve">Remove reference to RALIs proposed to be retired and update with a reference to protection criteria defined in </w:t>
            </w:r>
            <w:r w:rsidRPr="00A41ECF">
              <w:t>RALI</w:t>
            </w:r>
            <w:r w:rsidRPr="00F461DE">
              <w:t xml:space="preserve"> MS47</w:t>
            </w:r>
            <w:r w:rsidRPr="00C37684">
              <w:t xml:space="preserve">. </w:t>
            </w:r>
          </w:p>
        </w:tc>
      </w:tr>
      <w:tr w:rsidR="00D42448" w14:paraId="30E98974" w14:textId="77777777" w:rsidTr="00C20E8D">
        <w:trPr>
          <w:cnfStyle w:val="000000100000" w:firstRow="0" w:lastRow="0" w:firstColumn="0" w:lastColumn="0" w:oddVBand="0" w:evenVBand="0" w:oddHBand="1" w:evenHBand="0" w:firstRowFirstColumn="0" w:firstRowLastColumn="0" w:lastRowFirstColumn="0" w:lastRowLastColumn="0"/>
          <w:trHeight w:val="1090"/>
        </w:trPr>
        <w:tc>
          <w:tcPr>
            <w:tcW w:w="1470" w:type="pct"/>
            <w:vMerge/>
          </w:tcPr>
          <w:p w14:paraId="58728E19" w14:textId="77777777" w:rsidR="00D42448" w:rsidRDefault="00D42448" w:rsidP="00B63CAB"/>
        </w:tc>
        <w:tc>
          <w:tcPr>
            <w:tcW w:w="535" w:type="pct"/>
          </w:tcPr>
          <w:p w14:paraId="3DC2301F" w14:textId="77777777" w:rsidR="00D42448" w:rsidRDefault="00D42448" w:rsidP="00FA7F33">
            <w:pPr>
              <w:pStyle w:val="ListParagraph"/>
              <w:numPr>
                <w:ilvl w:val="0"/>
                <w:numId w:val="16"/>
              </w:numPr>
            </w:pPr>
          </w:p>
        </w:tc>
        <w:tc>
          <w:tcPr>
            <w:tcW w:w="966" w:type="pct"/>
          </w:tcPr>
          <w:p w14:paraId="1F1EBD40" w14:textId="77777777" w:rsidR="00D42448" w:rsidDel="002A7D5E" w:rsidRDefault="00D42448" w:rsidP="00B63CAB">
            <w:r>
              <w:t>6</w:t>
            </w:r>
          </w:p>
          <w:p w14:paraId="5DBCE356" w14:textId="377D7D57" w:rsidR="00D42448" w:rsidDel="002A7D5E" w:rsidRDefault="00D42448" w:rsidP="00B63CAB"/>
        </w:tc>
        <w:tc>
          <w:tcPr>
            <w:tcW w:w="2029" w:type="pct"/>
          </w:tcPr>
          <w:p w14:paraId="326A3E6C" w14:textId="0D365B95" w:rsidR="00D42448" w:rsidRDefault="00D42448" w:rsidP="00C37684">
            <w:pPr>
              <w:rPr>
                <w:highlight w:val="yellow"/>
              </w:rPr>
            </w:pPr>
            <w:r>
              <w:t xml:space="preserve">Add </w:t>
            </w:r>
            <w:r w:rsidRPr="00F461DE">
              <w:t xml:space="preserve">note indicating </w:t>
            </w:r>
            <w:r>
              <w:t>a</w:t>
            </w:r>
            <w:r w:rsidRPr="00C37684">
              <w:rPr>
                <w:szCs w:val="20"/>
              </w:rPr>
              <w:t>eronautical mobile and aeronautical radiodetermination services in the 4200</w:t>
            </w:r>
            <w:r w:rsidRPr="00712DB0">
              <w:rPr>
                <w:szCs w:val="20"/>
              </w:rPr>
              <w:t xml:space="preserve">-4400 MHz band </w:t>
            </w:r>
            <w:r>
              <w:rPr>
                <w:szCs w:val="20"/>
              </w:rPr>
              <w:t>are covered in</w:t>
            </w:r>
            <w:r w:rsidRPr="00712DB0">
              <w:rPr>
                <w:szCs w:val="20"/>
              </w:rPr>
              <w:t xml:space="preserve"> Part 11</w:t>
            </w:r>
          </w:p>
        </w:tc>
      </w:tr>
      <w:tr w:rsidR="00D42448" w14:paraId="207BED1C" w14:textId="77777777" w:rsidTr="00C20E8D">
        <w:trPr>
          <w:cnfStyle w:val="000000010000" w:firstRow="0" w:lastRow="0" w:firstColumn="0" w:lastColumn="0" w:oddVBand="0" w:evenVBand="0" w:oddHBand="0" w:evenHBand="1" w:firstRowFirstColumn="0" w:firstRowLastColumn="0" w:lastRowFirstColumn="0" w:lastRowLastColumn="0"/>
        </w:trPr>
        <w:tc>
          <w:tcPr>
            <w:tcW w:w="1470" w:type="pct"/>
            <w:vMerge/>
          </w:tcPr>
          <w:p w14:paraId="67D88DBC" w14:textId="77777777" w:rsidR="00D42448" w:rsidRDefault="00D42448" w:rsidP="00B63CAB"/>
        </w:tc>
        <w:tc>
          <w:tcPr>
            <w:tcW w:w="535" w:type="pct"/>
          </w:tcPr>
          <w:p w14:paraId="79C261E6" w14:textId="77777777" w:rsidR="00D42448" w:rsidRDefault="00D42448" w:rsidP="00FA7F33">
            <w:pPr>
              <w:pStyle w:val="ListParagraph"/>
              <w:numPr>
                <w:ilvl w:val="0"/>
                <w:numId w:val="16"/>
              </w:numPr>
            </w:pPr>
          </w:p>
        </w:tc>
        <w:tc>
          <w:tcPr>
            <w:tcW w:w="966" w:type="pct"/>
          </w:tcPr>
          <w:p w14:paraId="3132B761" w14:textId="77777777" w:rsidR="00D42448" w:rsidRDefault="00D42448" w:rsidP="00B63CAB">
            <w:r>
              <w:t>7</w:t>
            </w:r>
          </w:p>
        </w:tc>
        <w:tc>
          <w:tcPr>
            <w:tcW w:w="2029" w:type="pct"/>
          </w:tcPr>
          <w:p w14:paraId="135304A7" w14:textId="53F12D86" w:rsidR="00D42448" w:rsidRPr="00F461DE" w:rsidRDefault="00D42448" w:rsidP="00B63CAB">
            <w:r w:rsidRPr="00F461DE">
              <w:t xml:space="preserve">Update frequency range definition to account for increase in spectrum licence space. </w:t>
            </w:r>
          </w:p>
          <w:p w14:paraId="01B1E3C7" w14:textId="2A1D9E99" w:rsidR="00D42448" w:rsidRPr="00CE375E" w:rsidRDefault="00D42448" w:rsidP="00B63CAB">
            <w:r w:rsidRPr="00F461DE">
              <w:t xml:space="preserve">Update so Part 7 does not apply to the </w:t>
            </w:r>
            <w:r w:rsidRPr="00F461DE">
              <w:rPr>
                <w:i/>
                <w:iCs/>
              </w:rPr>
              <w:t>Radiocommunications (Aircraft and Aeronautical Mobile Stations) Class Licence 2016</w:t>
            </w:r>
            <w:r w:rsidRPr="008F29D4">
              <w:t>. That clas</w:t>
            </w:r>
            <w:r w:rsidRPr="00C7445D">
              <w:t xml:space="preserve">s licence is covered by new </w:t>
            </w:r>
            <w:r w:rsidRPr="00CE375E">
              <w:t>Part 11.</w:t>
            </w:r>
          </w:p>
        </w:tc>
      </w:tr>
      <w:tr w:rsidR="00D42448" w:rsidRPr="00D560AA" w14:paraId="29B33230" w14:textId="77777777" w:rsidTr="00C20E8D">
        <w:trPr>
          <w:cnfStyle w:val="000000100000" w:firstRow="0" w:lastRow="0" w:firstColumn="0" w:lastColumn="0" w:oddVBand="0" w:evenVBand="0" w:oddHBand="1" w:evenHBand="0" w:firstRowFirstColumn="0" w:firstRowLastColumn="0" w:lastRowFirstColumn="0" w:lastRowLastColumn="0"/>
        </w:trPr>
        <w:tc>
          <w:tcPr>
            <w:tcW w:w="1470" w:type="pct"/>
            <w:vMerge/>
          </w:tcPr>
          <w:p w14:paraId="4D441E45" w14:textId="77777777" w:rsidR="00D42448" w:rsidRDefault="00D42448" w:rsidP="00B63CAB"/>
        </w:tc>
        <w:tc>
          <w:tcPr>
            <w:tcW w:w="535" w:type="pct"/>
          </w:tcPr>
          <w:p w14:paraId="494A1867" w14:textId="77777777" w:rsidR="00D42448" w:rsidRDefault="00D42448" w:rsidP="00FA7F33">
            <w:pPr>
              <w:pStyle w:val="ListParagraph"/>
              <w:numPr>
                <w:ilvl w:val="0"/>
                <w:numId w:val="16"/>
              </w:numPr>
            </w:pPr>
          </w:p>
        </w:tc>
        <w:tc>
          <w:tcPr>
            <w:tcW w:w="966" w:type="pct"/>
          </w:tcPr>
          <w:p w14:paraId="3A97115E" w14:textId="0D2F61F5" w:rsidR="00D42448" w:rsidRDefault="00D42448" w:rsidP="00B63CAB">
            <w:r>
              <w:t>8</w:t>
            </w:r>
          </w:p>
        </w:tc>
        <w:tc>
          <w:tcPr>
            <w:tcW w:w="2029" w:type="pct"/>
          </w:tcPr>
          <w:p w14:paraId="508216D8" w14:textId="0283BFEF" w:rsidR="00D42448" w:rsidRPr="005C2523" w:rsidRDefault="00D42448" w:rsidP="00B63CAB">
            <w:r w:rsidRPr="008F29D4">
              <w:t>Update scope to ensure AWL receivers are cover</w:t>
            </w:r>
            <w:r w:rsidRPr="00F461DE">
              <w:t>ed</w:t>
            </w:r>
            <w:r w:rsidRPr="005C2523">
              <w:t xml:space="preserve"> by this part as well.</w:t>
            </w:r>
          </w:p>
        </w:tc>
      </w:tr>
      <w:tr w:rsidR="00D42448" w:rsidRPr="00D560AA" w14:paraId="7EE0E049" w14:textId="77777777" w:rsidTr="00C20E8D">
        <w:trPr>
          <w:cnfStyle w:val="000000010000" w:firstRow="0" w:lastRow="0" w:firstColumn="0" w:lastColumn="0" w:oddVBand="0" w:evenVBand="0" w:oddHBand="0" w:evenHBand="1" w:firstRowFirstColumn="0" w:firstRowLastColumn="0" w:lastRowFirstColumn="0" w:lastRowLastColumn="0"/>
        </w:trPr>
        <w:tc>
          <w:tcPr>
            <w:tcW w:w="1470" w:type="pct"/>
            <w:vMerge/>
          </w:tcPr>
          <w:p w14:paraId="5A992D7C" w14:textId="77777777" w:rsidR="00D42448" w:rsidRDefault="00D42448" w:rsidP="00B63CAB"/>
        </w:tc>
        <w:tc>
          <w:tcPr>
            <w:tcW w:w="535" w:type="pct"/>
          </w:tcPr>
          <w:p w14:paraId="4172C3EA" w14:textId="77777777" w:rsidR="00D42448" w:rsidRDefault="00D42448" w:rsidP="00FA7F33">
            <w:pPr>
              <w:pStyle w:val="ListParagraph"/>
              <w:numPr>
                <w:ilvl w:val="0"/>
                <w:numId w:val="16"/>
              </w:numPr>
            </w:pPr>
          </w:p>
        </w:tc>
        <w:tc>
          <w:tcPr>
            <w:tcW w:w="966" w:type="pct"/>
          </w:tcPr>
          <w:p w14:paraId="6AD2C7FD" w14:textId="77777777" w:rsidR="00D42448" w:rsidRDefault="00D42448" w:rsidP="00B63CAB">
            <w:r>
              <w:t>9.2</w:t>
            </w:r>
          </w:p>
        </w:tc>
        <w:tc>
          <w:tcPr>
            <w:tcW w:w="2029" w:type="pct"/>
          </w:tcPr>
          <w:p w14:paraId="334F28E6" w14:textId="7022CB5B" w:rsidR="00D42448" w:rsidRPr="005C2523" w:rsidRDefault="00D42448" w:rsidP="00B63CAB">
            <w:r w:rsidRPr="008F29D4">
              <w:t>Upd</w:t>
            </w:r>
            <w:r w:rsidRPr="005C2523">
              <w:t>ate note about reviewing ESPZs</w:t>
            </w:r>
          </w:p>
        </w:tc>
      </w:tr>
      <w:tr w:rsidR="00D42448" w:rsidRPr="00D560AA" w14:paraId="45223EF6" w14:textId="77777777" w:rsidTr="00897FAF">
        <w:trPr>
          <w:cnfStyle w:val="000000100000" w:firstRow="0" w:lastRow="0" w:firstColumn="0" w:lastColumn="0" w:oddVBand="0" w:evenVBand="0" w:oddHBand="1" w:evenHBand="0" w:firstRowFirstColumn="0" w:firstRowLastColumn="0" w:lastRowFirstColumn="0" w:lastRowLastColumn="0"/>
        </w:trPr>
        <w:tc>
          <w:tcPr>
            <w:tcW w:w="1470" w:type="pct"/>
            <w:vMerge/>
          </w:tcPr>
          <w:p w14:paraId="1F01C09F" w14:textId="77777777" w:rsidR="00D42448" w:rsidRDefault="00D42448" w:rsidP="00B63CAB"/>
        </w:tc>
        <w:tc>
          <w:tcPr>
            <w:tcW w:w="535" w:type="pct"/>
          </w:tcPr>
          <w:p w14:paraId="2147618A" w14:textId="77777777" w:rsidR="00D42448" w:rsidRDefault="00D42448" w:rsidP="00FA7F33">
            <w:pPr>
              <w:pStyle w:val="ListParagraph"/>
              <w:numPr>
                <w:ilvl w:val="0"/>
                <w:numId w:val="16"/>
              </w:numPr>
            </w:pPr>
          </w:p>
        </w:tc>
        <w:tc>
          <w:tcPr>
            <w:tcW w:w="966" w:type="pct"/>
          </w:tcPr>
          <w:p w14:paraId="4A75B370" w14:textId="054C6A27" w:rsidR="00D42448" w:rsidRDefault="00D42448" w:rsidP="00B63CAB">
            <w:r>
              <w:t>10</w:t>
            </w:r>
          </w:p>
        </w:tc>
        <w:tc>
          <w:tcPr>
            <w:tcW w:w="2029" w:type="pct"/>
          </w:tcPr>
          <w:p w14:paraId="2071B465" w14:textId="195D37A5" w:rsidR="00D42448" w:rsidRPr="008F29D4" w:rsidRDefault="00D42448" w:rsidP="00B63CAB">
            <w:r>
              <w:t xml:space="preserve">Update protection requirements to account for </w:t>
            </w:r>
            <w:hyperlink r:id="rId56" w:history="1">
              <w:r w:rsidRPr="005C2523">
                <w:rPr>
                  <w:rStyle w:val="Hyperlink"/>
                </w:rPr>
                <w:t>inclusion of segments of the 3400-3600 MHz band into RALI MS44</w:t>
              </w:r>
            </w:hyperlink>
            <w:r>
              <w:t>.</w:t>
            </w:r>
          </w:p>
        </w:tc>
      </w:tr>
      <w:tr w:rsidR="00D42448" w:rsidRPr="00D560AA" w14:paraId="7B9B4473" w14:textId="77777777" w:rsidTr="00897FAF">
        <w:trPr>
          <w:cnfStyle w:val="000000010000" w:firstRow="0" w:lastRow="0" w:firstColumn="0" w:lastColumn="0" w:oddVBand="0" w:evenVBand="0" w:oddHBand="0" w:evenHBand="1" w:firstRowFirstColumn="0" w:firstRowLastColumn="0" w:lastRowFirstColumn="0" w:lastRowLastColumn="0"/>
        </w:trPr>
        <w:tc>
          <w:tcPr>
            <w:tcW w:w="1470" w:type="pct"/>
            <w:vMerge/>
          </w:tcPr>
          <w:p w14:paraId="364E45C6" w14:textId="77777777" w:rsidR="00D42448" w:rsidRDefault="00D42448" w:rsidP="005C2523"/>
        </w:tc>
        <w:tc>
          <w:tcPr>
            <w:tcW w:w="535" w:type="pct"/>
          </w:tcPr>
          <w:p w14:paraId="73D79C50" w14:textId="77777777" w:rsidR="00D42448" w:rsidRDefault="00D42448" w:rsidP="005C2523">
            <w:pPr>
              <w:pStyle w:val="ListParagraph"/>
              <w:numPr>
                <w:ilvl w:val="0"/>
                <w:numId w:val="16"/>
              </w:numPr>
            </w:pPr>
          </w:p>
        </w:tc>
        <w:tc>
          <w:tcPr>
            <w:tcW w:w="966" w:type="pct"/>
          </w:tcPr>
          <w:p w14:paraId="31948BAB" w14:textId="4AEA2893" w:rsidR="00D42448" w:rsidRDefault="00D42448" w:rsidP="005C2523">
            <w:r>
              <w:t>new Part 11</w:t>
            </w:r>
          </w:p>
        </w:tc>
        <w:tc>
          <w:tcPr>
            <w:tcW w:w="2029" w:type="pct"/>
          </w:tcPr>
          <w:p w14:paraId="792CE479" w14:textId="17AD7124" w:rsidR="00D42448" w:rsidRPr="00F461DE" w:rsidRDefault="00D42448" w:rsidP="005C2523">
            <w:r>
              <w:t>Placeholder only for possible n</w:t>
            </w:r>
            <w:r w:rsidRPr="00F461DE">
              <w:t xml:space="preserve">ew part to </w:t>
            </w:r>
            <w:r>
              <w:t>manage coexistence with radio altimeters if required.</w:t>
            </w:r>
          </w:p>
          <w:p w14:paraId="2ABEFA76" w14:textId="2E8F9603" w:rsidR="00D42448" w:rsidRDefault="00D42448" w:rsidP="005C2523"/>
        </w:tc>
      </w:tr>
      <w:tr w:rsidR="00D42448" w:rsidRPr="00D560AA" w14:paraId="333B9E39" w14:textId="77777777" w:rsidTr="00897FAF">
        <w:trPr>
          <w:cnfStyle w:val="000000100000" w:firstRow="0" w:lastRow="0" w:firstColumn="0" w:lastColumn="0" w:oddVBand="0" w:evenVBand="0" w:oddHBand="1" w:evenHBand="0" w:firstRowFirstColumn="0" w:firstRowLastColumn="0" w:lastRowFirstColumn="0" w:lastRowLastColumn="0"/>
        </w:trPr>
        <w:tc>
          <w:tcPr>
            <w:tcW w:w="1470" w:type="pct"/>
            <w:vMerge/>
          </w:tcPr>
          <w:p w14:paraId="4AA2517B" w14:textId="77777777" w:rsidR="00D42448" w:rsidRDefault="00D42448" w:rsidP="005C2523"/>
        </w:tc>
        <w:tc>
          <w:tcPr>
            <w:tcW w:w="535" w:type="pct"/>
          </w:tcPr>
          <w:p w14:paraId="501CC3E8" w14:textId="77777777" w:rsidR="00D42448" w:rsidRDefault="00D42448" w:rsidP="005C2523">
            <w:pPr>
              <w:pStyle w:val="ListParagraph"/>
              <w:numPr>
                <w:ilvl w:val="0"/>
                <w:numId w:val="16"/>
              </w:numPr>
            </w:pPr>
          </w:p>
        </w:tc>
        <w:tc>
          <w:tcPr>
            <w:tcW w:w="966" w:type="pct"/>
          </w:tcPr>
          <w:p w14:paraId="7A948E85" w14:textId="205F13A4" w:rsidR="00D42448" w:rsidRDefault="00D42448" w:rsidP="005C2523">
            <w:r>
              <w:t>New Part 12</w:t>
            </w:r>
          </w:p>
        </w:tc>
        <w:tc>
          <w:tcPr>
            <w:tcW w:w="2029" w:type="pct"/>
          </w:tcPr>
          <w:p w14:paraId="302C6C18" w14:textId="5456E369" w:rsidR="00D42448" w:rsidRPr="00C37684" w:rsidRDefault="00D42448" w:rsidP="005C2523">
            <w:pPr>
              <w:rPr>
                <w:highlight w:val="yellow"/>
              </w:rPr>
            </w:pPr>
            <w:r w:rsidRPr="00F461DE">
              <w:t>New part that provides guidance on how adjacent channel interference is managed between devices operating under a 3.4 GHz spectrum licence and apparatus licensed WBB services (including AWLs)</w:t>
            </w:r>
            <w:r>
              <w:t>.</w:t>
            </w:r>
          </w:p>
        </w:tc>
      </w:tr>
      <w:tr w:rsidR="005C2523" w14:paraId="0F66D86F" w14:textId="77777777" w:rsidTr="00F461DE">
        <w:trPr>
          <w:cnfStyle w:val="000000010000" w:firstRow="0" w:lastRow="0" w:firstColumn="0" w:lastColumn="0" w:oddVBand="0" w:evenVBand="0" w:oddHBand="0" w:evenHBand="1" w:firstRowFirstColumn="0" w:firstRowLastColumn="0" w:lastRowFirstColumn="0" w:lastRowLastColumn="0"/>
        </w:trPr>
        <w:tc>
          <w:tcPr>
            <w:tcW w:w="1470" w:type="pct"/>
            <w:vMerge w:val="restart"/>
          </w:tcPr>
          <w:p w14:paraId="14093D78" w14:textId="557ACED3" w:rsidR="005C2523" w:rsidRDefault="005C2523" w:rsidP="005C2523">
            <w:r w:rsidRPr="00F74D0E">
              <w:t>RAG</w:t>
            </w:r>
            <w:r w:rsidR="00851C2E">
              <w:t xml:space="preserve"> Rx</w:t>
            </w:r>
          </w:p>
          <w:p w14:paraId="4187DC44" w14:textId="77777777" w:rsidR="005C2523" w:rsidRDefault="005C2523" w:rsidP="005C2523"/>
        </w:tc>
        <w:tc>
          <w:tcPr>
            <w:tcW w:w="535" w:type="pct"/>
          </w:tcPr>
          <w:p w14:paraId="1419F4F9" w14:textId="77777777" w:rsidR="005C2523" w:rsidRDefault="005C2523" w:rsidP="005C2523">
            <w:pPr>
              <w:pStyle w:val="ListParagraph"/>
              <w:numPr>
                <w:ilvl w:val="0"/>
                <w:numId w:val="16"/>
              </w:numPr>
            </w:pPr>
          </w:p>
        </w:tc>
        <w:tc>
          <w:tcPr>
            <w:tcW w:w="966" w:type="pct"/>
          </w:tcPr>
          <w:p w14:paraId="42D7A6E2" w14:textId="77777777" w:rsidR="005C2523" w:rsidRDefault="005C2523" w:rsidP="005C2523">
            <w:r>
              <w:t>1.4 (1)</w:t>
            </w:r>
          </w:p>
        </w:tc>
        <w:tc>
          <w:tcPr>
            <w:tcW w:w="2029" w:type="pct"/>
          </w:tcPr>
          <w:p w14:paraId="662A0F4E" w14:textId="6FE4AC88" w:rsidR="005C2523" w:rsidRPr="008F29D4" w:rsidRDefault="005C2523" w:rsidP="005C2523">
            <w:r w:rsidRPr="00C37684">
              <w:t>Redefine 3.4 GHz band to 3400-3800 MHz</w:t>
            </w:r>
          </w:p>
          <w:p w14:paraId="32BBD957" w14:textId="27592FF6" w:rsidR="005C2523" w:rsidRPr="00CE375E" w:rsidRDefault="005C2523" w:rsidP="005C2523">
            <w:r w:rsidRPr="00CE375E">
              <w:t>Include RALI MS47 definition</w:t>
            </w:r>
          </w:p>
          <w:p w14:paraId="769A100E" w14:textId="05C76CCC" w:rsidR="005C2523" w:rsidRPr="00897FAF" w:rsidRDefault="005C2523" w:rsidP="005C2523">
            <w:r w:rsidRPr="00897FAF">
              <w:t>Remove unused definitions</w:t>
            </w:r>
          </w:p>
        </w:tc>
      </w:tr>
      <w:tr w:rsidR="005C2523" w14:paraId="5530DAF4" w14:textId="77777777" w:rsidTr="00897FAF">
        <w:trPr>
          <w:cnfStyle w:val="000000100000" w:firstRow="0" w:lastRow="0" w:firstColumn="0" w:lastColumn="0" w:oddVBand="0" w:evenVBand="0" w:oddHBand="1" w:evenHBand="0" w:firstRowFirstColumn="0" w:firstRowLastColumn="0" w:lastRowFirstColumn="0" w:lastRowLastColumn="0"/>
        </w:trPr>
        <w:tc>
          <w:tcPr>
            <w:tcW w:w="1470" w:type="pct"/>
            <w:vMerge/>
          </w:tcPr>
          <w:p w14:paraId="7789CACD" w14:textId="77777777" w:rsidR="005C2523" w:rsidRDefault="005C2523" w:rsidP="005C2523"/>
        </w:tc>
        <w:tc>
          <w:tcPr>
            <w:tcW w:w="535" w:type="pct"/>
          </w:tcPr>
          <w:p w14:paraId="7C360850" w14:textId="77777777" w:rsidR="005C2523" w:rsidRDefault="005C2523" w:rsidP="005C2523">
            <w:pPr>
              <w:pStyle w:val="ListParagraph"/>
              <w:numPr>
                <w:ilvl w:val="0"/>
                <w:numId w:val="16"/>
              </w:numPr>
            </w:pPr>
          </w:p>
        </w:tc>
        <w:tc>
          <w:tcPr>
            <w:tcW w:w="966" w:type="pct"/>
          </w:tcPr>
          <w:p w14:paraId="3FE9F05B" w14:textId="77777777" w:rsidR="005C2523" w:rsidRDefault="005C2523" w:rsidP="005C2523">
            <w:r>
              <w:t>3.1 (2)</w:t>
            </w:r>
          </w:p>
        </w:tc>
        <w:tc>
          <w:tcPr>
            <w:tcW w:w="2029" w:type="pct"/>
          </w:tcPr>
          <w:p w14:paraId="0CB6A050" w14:textId="3D9A327A" w:rsidR="005C2523" w:rsidRPr="00897FAF" w:rsidRDefault="005C2523" w:rsidP="005C2523">
            <w:r w:rsidRPr="00C37684">
              <w:t>Update to account for latest re-allocation declaration</w:t>
            </w:r>
            <w:r w:rsidRPr="00897FAF">
              <w:t>.</w:t>
            </w:r>
          </w:p>
        </w:tc>
      </w:tr>
      <w:tr w:rsidR="005C2523" w14:paraId="2C0790A1" w14:textId="77777777" w:rsidTr="00BC4B19">
        <w:trPr>
          <w:cnfStyle w:val="000000010000" w:firstRow="0" w:lastRow="0" w:firstColumn="0" w:lastColumn="0" w:oddVBand="0" w:evenVBand="0" w:oddHBand="0" w:evenHBand="1" w:firstRowFirstColumn="0" w:firstRowLastColumn="0" w:lastRowFirstColumn="0" w:lastRowLastColumn="0"/>
          <w:trHeight w:val="1364"/>
        </w:trPr>
        <w:tc>
          <w:tcPr>
            <w:tcW w:w="1470" w:type="pct"/>
            <w:vMerge/>
          </w:tcPr>
          <w:p w14:paraId="4E4C9DD4" w14:textId="77777777" w:rsidR="005C2523" w:rsidRDefault="005C2523" w:rsidP="005C2523"/>
        </w:tc>
        <w:tc>
          <w:tcPr>
            <w:tcW w:w="535" w:type="pct"/>
          </w:tcPr>
          <w:p w14:paraId="6C4FAA06" w14:textId="77777777" w:rsidR="005C2523" w:rsidRDefault="005C2523" w:rsidP="005C2523">
            <w:pPr>
              <w:pStyle w:val="ListParagraph"/>
              <w:numPr>
                <w:ilvl w:val="0"/>
                <w:numId w:val="16"/>
              </w:numPr>
            </w:pPr>
          </w:p>
        </w:tc>
        <w:tc>
          <w:tcPr>
            <w:tcW w:w="966" w:type="pct"/>
          </w:tcPr>
          <w:p w14:paraId="3474DD3E" w14:textId="5F8F4185" w:rsidR="005C2523" w:rsidRDefault="005C2523" w:rsidP="005C2523">
            <w:r>
              <w:t>3.1 (3)-(6)</w:t>
            </w:r>
          </w:p>
          <w:p w14:paraId="473AAA7B" w14:textId="15D164EF" w:rsidR="005C2523" w:rsidRDefault="005C2523" w:rsidP="005C2523"/>
        </w:tc>
        <w:tc>
          <w:tcPr>
            <w:tcW w:w="2029" w:type="pct"/>
          </w:tcPr>
          <w:p w14:paraId="58E0FD86" w14:textId="7228EE86" w:rsidR="005C2523" w:rsidRPr="008F29D4" w:rsidRDefault="005C2523" w:rsidP="005C2523">
            <w:r w:rsidRPr="00C37684">
              <w:t>Delete subsection 3.1(3) and renumber</w:t>
            </w:r>
            <w:r w:rsidRPr="008F29D4">
              <w:t xml:space="preserve">. </w:t>
            </w:r>
          </w:p>
          <w:p w14:paraId="30AB05BA" w14:textId="6C0028B0" w:rsidR="005C2523" w:rsidRPr="00C37684" w:rsidRDefault="005C2523" w:rsidP="005C2523">
            <w:r w:rsidRPr="00CE375E">
              <w:t xml:space="preserve">Update to (5) </w:t>
            </w:r>
            <w:r w:rsidRPr="00897FAF">
              <w:t>account for changes to 3.1(2)</w:t>
            </w:r>
          </w:p>
        </w:tc>
      </w:tr>
      <w:tr w:rsidR="005C2523" w14:paraId="071A966B" w14:textId="77777777" w:rsidTr="00FB52D8">
        <w:trPr>
          <w:cnfStyle w:val="000000100000" w:firstRow="0" w:lastRow="0" w:firstColumn="0" w:lastColumn="0" w:oddVBand="0" w:evenVBand="0" w:oddHBand="1" w:evenHBand="0" w:firstRowFirstColumn="0" w:firstRowLastColumn="0" w:lastRowFirstColumn="0" w:lastRowLastColumn="0"/>
          <w:trHeight w:val="1380"/>
        </w:trPr>
        <w:tc>
          <w:tcPr>
            <w:tcW w:w="1470" w:type="pct"/>
            <w:vMerge/>
          </w:tcPr>
          <w:p w14:paraId="154C2953" w14:textId="77777777" w:rsidR="005C2523" w:rsidRDefault="005C2523" w:rsidP="005C2523"/>
        </w:tc>
        <w:tc>
          <w:tcPr>
            <w:tcW w:w="535" w:type="pct"/>
          </w:tcPr>
          <w:p w14:paraId="25D9FFA3" w14:textId="77777777" w:rsidR="005C2523" w:rsidRDefault="005C2523" w:rsidP="005C2523">
            <w:pPr>
              <w:pStyle w:val="ListParagraph"/>
              <w:numPr>
                <w:ilvl w:val="0"/>
                <w:numId w:val="16"/>
              </w:numPr>
            </w:pPr>
          </w:p>
        </w:tc>
        <w:tc>
          <w:tcPr>
            <w:tcW w:w="966" w:type="pct"/>
          </w:tcPr>
          <w:p w14:paraId="7CC92F94" w14:textId="77777777" w:rsidR="005C2523" w:rsidRDefault="005C2523" w:rsidP="005C2523">
            <w:r>
              <w:t>Sched 1 (5)</w:t>
            </w:r>
          </w:p>
          <w:p w14:paraId="3730E9AE" w14:textId="5D25CAEB" w:rsidR="005C2523" w:rsidRDefault="005C2523" w:rsidP="005C2523"/>
        </w:tc>
        <w:tc>
          <w:tcPr>
            <w:tcW w:w="2029" w:type="pct"/>
          </w:tcPr>
          <w:p w14:paraId="6A818D67" w14:textId="3CCDBAD6" w:rsidR="005C2523" w:rsidRPr="00C37684" w:rsidRDefault="005C2523" w:rsidP="005C2523">
            <w:r w:rsidRPr="00C37684">
              <w:t>Update blocking range to 3340-3860 MHz.</w:t>
            </w:r>
          </w:p>
        </w:tc>
      </w:tr>
      <w:tr w:rsidR="009B75D7" w14:paraId="1446C74B" w14:textId="77777777" w:rsidTr="003B79C8">
        <w:trPr>
          <w:cnfStyle w:val="000000010000" w:firstRow="0" w:lastRow="0" w:firstColumn="0" w:lastColumn="0" w:oddVBand="0" w:evenVBand="0" w:oddHBand="0" w:evenHBand="1" w:firstRowFirstColumn="0" w:firstRowLastColumn="0" w:lastRowFirstColumn="0" w:lastRowLastColumn="0"/>
          <w:trHeight w:val="1920"/>
        </w:trPr>
        <w:tc>
          <w:tcPr>
            <w:tcW w:w="1470" w:type="pct"/>
            <w:vMerge w:val="restart"/>
          </w:tcPr>
          <w:p w14:paraId="53B53755" w14:textId="5E14AF5F" w:rsidR="009B75D7" w:rsidRDefault="009B75D7" w:rsidP="005C2523">
            <w:r>
              <w:t xml:space="preserve">S.145 </w:t>
            </w:r>
            <w:r w:rsidRPr="00F74D0E">
              <w:t>determination</w:t>
            </w:r>
          </w:p>
        </w:tc>
        <w:tc>
          <w:tcPr>
            <w:tcW w:w="535" w:type="pct"/>
          </w:tcPr>
          <w:p w14:paraId="6A18A499" w14:textId="77777777" w:rsidR="009B75D7" w:rsidRDefault="009B75D7" w:rsidP="005C2523">
            <w:pPr>
              <w:pStyle w:val="ListParagraph"/>
              <w:numPr>
                <w:ilvl w:val="0"/>
                <w:numId w:val="16"/>
              </w:numPr>
            </w:pPr>
          </w:p>
        </w:tc>
        <w:tc>
          <w:tcPr>
            <w:tcW w:w="966" w:type="pct"/>
          </w:tcPr>
          <w:p w14:paraId="4E6F70ED" w14:textId="577F9D02" w:rsidR="009B75D7" w:rsidRDefault="009B75D7" w:rsidP="005C2523">
            <w:r>
              <w:t>Entire instrument</w:t>
            </w:r>
          </w:p>
        </w:tc>
        <w:tc>
          <w:tcPr>
            <w:tcW w:w="2029" w:type="pct"/>
          </w:tcPr>
          <w:p w14:paraId="244C0ACB" w14:textId="716DC90A" w:rsidR="009B75D7" w:rsidRPr="00CE375E" w:rsidRDefault="009B75D7" w:rsidP="005C2523">
            <w:r>
              <w:t xml:space="preserve">Align formatting and </w:t>
            </w:r>
            <w:r w:rsidR="00525C54">
              <w:t>text</w:t>
            </w:r>
            <w:r>
              <w:t xml:space="preserve"> with the latest template used for s.145 determinations. </w:t>
            </w:r>
          </w:p>
        </w:tc>
      </w:tr>
      <w:tr w:rsidR="009B75D7" w14:paraId="3BD3470A" w14:textId="77777777" w:rsidTr="00BC4B19">
        <w:trPr>
          <w:cnfStyle w:val="000000100000" w:firstRow="0" w:lastRow="0" w:firstColumn="0" w:lastColumn="0" w:oddVBand="0" w:evenVBand="0" w:oddHBand="1" w:evenHBand="0" w:firstRowFirstColumn="0" w:firstRowLastColumn="0" w:lastRowFirstColumn="0" w:lastRowLastColumn="0"/>
          <w:trHeight w:val="97"/>
        </w:trPr>
        <w:tc>
          <w:tcPr>
            <w:tcW w:w="1470" w:type="pct"/>
            <w:vMerge/>
          </w:tcPr>
          <w:p w14:paraId="2FC7EF23" w14:textId="40A2D75F" w:rsidR="009B75D7" w:rsidRDefault="009B75D7" w:rsidP="005C2523"/>
        </w:tc>
        <w:tc>
          <w:tcPr>
            <w:tcW w:w="535" w:type="pct"/>
          </w:tcPr>
          <w:p w14:paraId="242DD78D" w14:textId="77777777" w:rsidR="009B75D7" w:rsidRDefault="009B75D7" w:rsidP="005C2523">
            <w:pPr>
              <w:pStyle w:val="ListParagraph"/>
              <w:numPr>
                <w:ilvl w:val="0"/>
                <w:numId w:val="16"/>
              </w:numPr>
            </w:pPr>
          </w:p>
        </w:tc>
        <w:tc>
          <w:tcPr>
            <w:tcW w:w="966" w:type="pct"/>
          </w:tcPr>
          <w:p w14:paraId="0DB3092D" w14:textId="662E59E8" w:rsidR="009B75D7" w:rsidRDefault="009B75D7" w:rsidP="005C2523">
            <w:r>
              <w:t>Definitions (3)</w:t>
            </w:r>
          </w:p>
        </w:tc>
        <w:tc>
          <w:tcPr>
            <w:tcW w:w="2029" w:type="pct"/>
          </w:tcPr>
          <w:p w14:paraId="7D5B8A3D" w14:textId="34C7790E" w:rsidR="009B75D7" w:rsidRDefault="009B75D7" w:rsidP="005C2523">
            <w:r w:rsidRPr="00CE375E">
              <w:t>Redefine 3.4 GHz band to 3400-3800 MHz</w:t>
            </w:r>
          </w:p>
        </w:tc>
      </w:tr>
      <w:tr w:rsidR="005C2523" w14:paraId="10304F32" w14:textId="77777777" w:rsidTr="00897FAF">
        <w:trPr>
          <w:cnfStyle w:val="000000010000" w:firstRow="0" w:lastRow="0" w:firstColumn="0" w:lastColumn="0" w:oddVBand="0" w:evenVBand="0" w:oddHBand="0" w:evenHBand="1" w:firstRowFirstColumn="0" w:firstRowLastColumn="0" w:lastRowFirstColumn="0" w:lastRowLastColumn="0"/>
        </w:trPr>
        <w:tc>
          <w:tcPr>
            <w:tcW w:w="1470" w:type="pct"/>
          </w:tcPr>
          <w:p w14:paraId="18F2A29C" w14:textId="6897521C" w:rsidR="005C2523" w:rsidRDefault="00DE1C41" w:rsidP="005C2523">
            <w:r w:rsidRPr="00BA1887">
              <w:t>S</w:t>
            </w:r>
            <w:r w:rsidR="005C2523" w:rsidRPr="0080125E">
              <w:t>ample</w:t>
            </w:r>
            <w:r w:rsidR="005C2523" w:rsidRPr="00F74D0E">
              <w:t xml:space="preserve"> spectrum licence</w:t>
            </w:r>
          </w:p>
        </w:tc>
        <w:tc>
          <w:tcPr>
            <w:tcW w:w="535" w:type="pct"/>
          </w:tcPr>
          <w:p w14:paraId="2F550A8C" w14:textId="77777777" w:rsidR="005C2523" w:rsidRDefault="005C2523" w:rsidP="005C2523">
            <w:pPr>
              <w:pStyle w:val="ListParagraph"/>
              <w:numPr>
                <w:ilvl w:val="0"/>
                <w:numId w:val="16"/>
              </w:numPr>
            </w:pPr>
          </w:p>
        </w:tc>
        <w:tc>
          <w:tcPr>
            <w:tcW w:w="966" w:type="pct"/>
          </w:tcPr>
          <w:p w14:paraId="6C826876" w14:textId="637BD890" w:rsidR="005C2523" w:rsidRDefault="005C2523" w:rsidP="005C2523">
            <w:r>
              <w:t>Definitions</w:t>
            </w:r>
          </w:p>
        </w:tc>
        <w:tc>
          <w:tcPr>
            <w:tcW w:w="2029" w:type="pct"/>
          </w:tcPr>
          <w:p w14:paraId="1C81FB94" w14:textId="48C7D35F" w:rsidR="005C2523" w:rsidRPr="002A42DB" w:rsidRDefault="005C2523" w:rsidP="005C2523">
            <w:r w:rsidRPr="002A42DB">
              <w:t>Change definition of 3.4 GHz band to 3400 to 3800 MHz</w:t>
            </w:r>
            <w:r w:rsidR="00CE375E" w:rsidRPr="002A42DB">
              <w:t>.</w:t>
            </w:r>
          </w:p>
          <w:p w14:paraId="2714305F" w14:textId="77777777" w:rsidR="00CE375E" w:rsidRPr="002A42DB" w:rsidRDefault="00CE375E" w:rsidP="005C2523">
            <w:r w:rsidRPr="002A42DB">
              <w:t>Inclusion of definitions for AWL and mean power, re-allocation zones (i.e. areas subject to reallocation), unwanted emissions and upper or lower frequency limits.</w:t>
            </w:r>
          </w:p>
          <w:p w14:paraId="61EE5B45" w14:textId="76697473" w:rsidR="00CE375E" w:rsidRPr="002A42DB" w:rsidRDefault="00CE375E" w:rsidP="005C2523">
            <w:r w:rsidRPr="002A42DB">
              <w:t xml:space="preserve">Substitution of reference to the marketing plan to the s.145 determination for additional definitions. This avoids sunsetting instrument issues.   </w:t>
            </w:r>
          </w:p>
        </w:tc>
      </w:tr>
      <w:tr w:rsidR="005C2523" w14:paraId="32ACED17" w14:textId="77777777" w:rsidTr="00897FAF">
        <w:trPr>
          <w:cnfStyle w:val="000000100000" w:firstRow="0" w:lastRow="0" w:firstColumn="0" w:lastColumn="0" w:oddVBand="0" w:evenVBand="0" w:oddHBand="1" w:evenHBand="0" w:firstRowFirstColumn="0" w:firstRowLastColumn="0" w:lastRowFirstColumn="0" w:lastRowLastColumn="0"/>
        </w:trPr>
        <w:tc>
          <w:tcPr>
            <w:tcW w:w="1470" w:type="pct"/>
          </w:tcPr>
          <w:p w14:paraId="1988C05C" w14:textId="77777777" w:rsidR="005C2523" w:rsidRDefault="005C2523" w:rsidP="005C2523"/>
        </w:tc>
        <w:tc>
          <w:tcPr>
            <w:tcW w:w="535" w:type="pct"/>
          </w:tcPr>
          <w:p w14:paraId="2E48375B" w14:textId="77777777" w:rsidR="005C2523" w:rsidRDefault="005C2523" w:rsidP="005C2523">
            <w:pPr>
              <w:pStyle w:val="ListParagraph"/>
              <w:numPr>
                <w:ilvl w:val="0"/>
                <w:numId w:val="16"/>
              </w:numPr>
            </w:pPr>
          </w:p>
        </w:tc>
        <w:tc>
          <w:tcPr>
            <w:tcW w:w="966" w:type="pct"/>
          </w:tcPr>
          <w:p w14:paraId="23805ECC" w14:textId="4034B9C9" w:rsidR="005C2523" w:rsidRDefault="005C2523" w:rsidP="005C2523">
            <w:r>
              <w:t>Schedule 1 Part 3</w:t>
            </w:r>
          </w:p>
        </w:tc>
        <w:tc>
          <w:tcPr>
            <w:tcW w:w="2029" w:type="pct"/>
          </w:tcPr>
          <w:p w14:paraId="0EC18F8E" w14:textId="46F40022" w:rsidR="005C2523" w:rsidRPr="002A42DB" w:rsidRDefault="005C2523" w:rsidP="005C2523">
            <w:r w:rsidRPr="002A42DB">
              <w:t xml:space="preserve">Addition of </w:t>
            </w:r>
            <w:r w:rsidR="002A42DB" w:rsidRPr="00F461DE">
              <w:t xml:space="preserve">renewal </w:t>
            </w:r>
            <w:r w:rsidRPr="002A42DB">
              <w:t>statement</w:t>
            </w:r>
            <w:r w:rsidR="002A42DB" w:rsidRPr="00F461DE">
              <w:t xml:space="preserve">. Note this only applies to licences that will be issued in the newly re-allocated spectrum – not existing licences. Key aspects of the statement are still TBD and will form part of the public consultation process of the 3.4/3.7 GHz marketing plan. </w:t>
            </w:r>
          </w:p>
        </w:tc>
      </w:tr>
      <w:tr w:rsidR="005C2523" w14:paraId="58E80BDB" w14:textId="77777777" w:rsidTr="00897FAF">
        <w:trPr>
          <w:cnfStyle w:val="000000010000" w:firstRow="0" w:lastRow="0" w:firstColumn="0" w:lastColumn="0" w:oddVBand="0" w:evenVBand="0" w:oddHBand="0" w:evenHBand="1" w:firstRowFirstColumn="0" w:firstRowLastColumn="0" w:lastRowFirstColumn="0" w:lastRowLastColumn="0"/>
        </w:trPr>
        <w:tc>
          <w:tcPr>
            <w:tcW w:w="1470" w:type="pct"/>
          </w:tcPr>
          <w:p w14:paraId="03DFE87B" w14:textId="77777777" w:rsidR="005C2523" w:rsidRDefault="005C2523" w:rsidP="005C2523"/>
        </w:tc>
        <w:tc>
          <w:tcPr>
            <w:tcW w:w="535" w:type="pct"/>
          </w:tcPr>
          <w:p w14:paraId="3FE66643" w14:textId="77777777" w:rsidR="005C2523" w:rsidRDefault="005C2523" w:rsidP="005C2523">
            <w:pPr>
              <w:pStyle w:val="ListParagraph"/>
              <w:numPr>
                <w:ilvl w:val="0"/>
                <w:numId w:val="16"/>
              </w:numPr>
            </w:pPr>
          </w:p>
        </w:tc>
        <w:tc>
          <w:tcPr>
            <w:tcW w:w="966" w:type="pct"/>
          </w:tcPr>
          <w:p w14:paraId="15065D43" w14:textId="77777777" w:rsidR="002A42DB" w:rsidRDefault="005C2523" w:rsidP="005C2523">
            <w:r>
              <w:t>Schedule 2</w:t>
            </w:r>
          </w:p>
          <w:p w14:paraId="04EDFF4C" w14:textId="19B5F27E" w:rsidR="005C2523" w:rsidRDefault="005C2523" w:rsidP="005C2523">
            <w:r>
              <w:t>.</w:t>
            </w:r>
          </w:p>
        </w:tc>
        <w:tc>
          <w:tcPr>
            <w:tcW w:w="2029" w:type="pct"/>
          </w:tcPr>
          <w:p w14:paraId="2FC94552" w14:textId="66D69DE2" w:rsidR="002A42DB" w:rsidRDefault="00456A58" w:rsidP="005C2523">
            <w:r>
              <w:t xml:space="preserve">General editorial changes </w:t>
            </w:r>
            <w:r w:rsidR="002A42DB">
              <w:t>to text</w:t>
            </w:r>
            <w:r w:rsidR="005C2523" w:rsidRPr="002A42DB">
              <w:t xml:space="preserve"> </w:t>
            </w:r>
            <w:r>
              <w:t xml:space="preserve">throughout the schedule </w:t>
            </w:r>
            <w:r w:rsidR="002A42DB" w:rsidRPr="00F461DE">
              <w:t>to align with changes made to licences in other bands</w:t>
            </w:r>
            <w:r w:rsidR="005C2523" w:rsidRPr="002A42DB">
              <w:t>.</w:t>
            </w:r>
            <w:r w:rsidR="002A42DB">
              <w:t xml:space="preserve"> </w:t>
            </w:r>
          </w:p>
          <w:p w14:paraId="3967A9C0" w14:textId="727FE103" w:rsidR="005C2523" w:rsidRDefault="002A42DB" w:rsidP="005C2523">
            <w:r>
              <w:t xml:space="preserve">Updates to core condition </w:t>
            </w:r>
            <w:r w:rsidR="00DE0893">
              <w:t xml:space="preserve">and table </w:t>
            </w:r>
            <w:r>
              <w:t xml:space="preserve">references </w:t>
            </w:r>
            <w:r w:rsidR="00D130BE">
              <w:t>and</w:t>
            </w:r>
            <w:r w:rsidR="00DE0893">
              <w:t xml:space="preserve"> numbering </w:t>
            </w:r>
            <w:r>
              <w:t>as required. E.g. Section 4 is updated to reference core conditions 5 to 1</w:t>
            </w:r>
            <w:r w:rsidR="00116505">
              <w:t>2</w:t>
            </w:r>
            <w:r>
              <w:t xml:space="preserve"> (instead of 5 to 10).  </w:t>
            </w:r>
          </w:p>
        </w:tc>
      </w:tr>
      <w:tr w:rsidR="005C2523" w14:paraId="266AACB4" w14:textId="77777777" w:rsidTr="00897FAF">
        <w:trPr>
          <w:cnfStyle w:val="000000100000" w:firstRow="0" w:lastRow="0" w:firstColumn="0" w:lastColumn="0" w:oddVBand="0" w:evenVBand="0" w:oddHBand="1" w:evenHBand="0" w:firstRowFirstColumn="0" w:firstRowLastColumn="0" w:lastRowFirstColumn="0" w:lastRowLastColumn="0"/>
        </w:trPr>
        <w:tc>
          <w:tcPr>
            <w:tcW w:w="1470" w:type="pct"/>
          </w:tcPr>
          <w:p w14:paraId="3014F993" w14:textId="77777777" w:rsidR="005C2523" w:rsidRDefault="005C2523" w:rsidP="005C2523"/>
        </w:tc>
        <w:tc>
          <w:tcPr>
            <w:tcW w:w="535" w:type="pct"/>
          </w:tcPr>
          <w:p w14:paraId="2FB750D9" w14:textId="77777777" w:rsidR="005C2523" w:rsidRDefault="005C2523" w:rsidP="005C2523">
            <w:pPr>
              <w:pStyle w:val="ListParagraph"/>
              <w:numPr>
                <w:ilvl w:val="0"/>
                <w:numId w:val="16"/>
              </w:numPr>
            </w:pPr>
          </w:p>
        </w:tc>
        <w:tc>
          <w:tcPr>
            <w:tcW w:w="966" w:type="pct"/>
          </w:tcPr>
          <w:p w14:paraId="26A56382" w14:textId="3FF9B57D" w:rsidR="005C2523" w:rsidRPr="00DE0893" w:rsidRDefault="005C2523" w:rsidP="005C2523">
            <w:r w:rsidRPr="00DE0893">
              <w:t>Sched</w:t>
            </w:r>
            <w:r w:rsidR="00DE0893" w:rsidRPr="00DE0893">
              <w:t>ule</w:t>
            </w:r>
            <w:r w:rsidRPr="00DE0893">
              <w:t xml:space="preserve"> 2</w:t>
            </w:r>
            <w:r w:rsidR="00DE0893" w:rsidRPr="00DE0893">
              <w:t xml:space="preserve"> Sections</w:t>
            </w:r>
            <w:r w:rsidRPr="00DE0893">
              <w:t xml:space="preserve"> 6 to </w:t>
            </w:r>
            <w:r w:rsidR="00625DD0">
              <w:t>11</w:t>
            </w:r>
          </w:p>
        </w:tc>
        <w:tc>
          <w:tcPr>
            <w:tcW w:w="2029" w:type="pct"/>
          </w:tcPr>
          <w:p w14:paraId="7A85563A" w14:textId="50829280" w:rsidR="005C2523" w:rsidRDefault="005C2523" w:rsidP="005C2523">
            <w:r w:rsidRPr="00DE0893">
              <w:t>Modif</w:t>
            </w:r>
            <w:r w:rsidR="00DE0893">
              <w:t>ication to</w:t>
            </w:r>
            <w:r w:rsidRPr="00DE0893">
              <w:t xml:space="preserve"> </w:t>
            </w:r>
            <w:r w:rsidR="00DE0893" w:rsidRPr="00F461DE">
              <w:t xml:space="preserve">unwanted emission </w:t>
            </w:r>
            <w:r w:rsidRPr="00DE0893">
              <w:t>limit</w:t>
            </w:r>
            <w:r w:rsidR="00DE0893" w:rsidRPr="00F461DE">
              <w:t>s to align with category B limits in 3GPP TS 38.104</w:t>
            </w:r>
            <w:r w:rsidR="00625DD0">
              <w:t xml:space="preserve"> and </w:t>
            </w:r>
            <w:r w:rsidR="00625DD0" w:rsidRPr="00D41433">
              <w:t>3GPP TS 38.101-1</w:t>
            </w:r>
            <w:r w:rsidR="00DE0893" w:rsidRPr="00F461DE">
              <w:t xml:space="preserve">. </w:t>
            </w:r>
            <w:r w:rsidR="00625DD0">
              <w:t xml:space="preserve">For further clarity, the </w:t>
            </w:r>
            <w:r w:rsidR="00DE0893" w:rsidRPr="00F461DE">
              <w:t>frequency range</w:t>
            </w:r>
            <w:r w:rsidR="00625DD0">
              <w:t>s</w:t>
            </w:r>
            <w:r w:rsidR="00DE0893" w:rsidRPr="00F461DE">
              <w:t xml:space="preserve"> these limits apply</w:t>
            </w:r>
            <w:r w:rsidR="00625DD0">
              <w:t xml:space="preserve"> have been specified</w:t>
            </w:r>
            <w:r w:rsidR="00DE0893" w:rsidRPr="00F461DE">
              <w:t>.</w:t>
            </w:r>
          </w:p>
          <w:p w14:paraId="31E7416D" w14:textId="616C0EED" w:rsidR="00625DD0" w:rsidRPr="00DE0893" w:rsidRDefault="00625DD0" w:rsidP="005C2523">
            <w:r w:rsidRPr="00D41433">
              <w:t xml:space="preserve">Modification of the frequency range spurious emissions apply for devices exempt from registration to align with 3GPP TS 38.101-1 – upper limit </w:t>
            </w:r>
            <w:r w:rsidRPr="00D41433">
              <w:lastRenderedPageBreak/>
              <w:t>changed from 3805 MHz to 3905 MHz.</w:t>
            </w:r>
          </w:p>
        </w:tc>
      </w:tr>
      <w:tr w:rsidR="00625DD0" w14:paraId="5222CFB3" w14:textId="77777777" w:rsidTr="00897FAF">
        <w:trPr>
          <w:cnfStyle w:val="000000010000" w:firstRow="0" w:lastRow="0" w:firstColumn="0" w:lastColumn="0" w:oddVBand="0" w:evenVBand="0" w:oddHBand="0" w:evenHBand="1" w:firstRowFirstColumn="0" w:firstRowLastColumn="0" w:lastRowFirstColumn="0" w:lastRowLastColumn="0"/>
        </w:trPr>
        <w:tc>
          <w:tcPr>
            <w:tcW w:w="1470" w:type="pct"/>
          </w:tcPr>
          <w:p w14:paraId="285ADE93" w14:textId="77777777" w:rsidR="00625DD0" w:rsidRDefault="00625DD0" w:rsidP="00625DD0"/>
        </w:tc>
        <w:tc>
          <w:tcPr>
            <w:tcW w:w="535" w:type="pct"/>
          </w:tcPr>
          <w:p w14:paraId="411963BA" w14:textId="77777777" w:rsidR="00625DD0" w:rsidRDefault="00625DD0" w:rsidP="00625DD0">
            <w:pPr>
              <w:pStyle w:val="ListParagraph"/>
              <w:numPr>
                <w:ilvl w:val="0"/>
                <w:numId w:val="16"/>
              </w:numPr>
            </w:pPr>
          </w:p>
        </w:tc>
        <w:tc>
          <w:tcPr>
            <w:tcW w:w="966" w:type="pct"/>
          </w:tcPr>
          <w:p w14:paraId="0613A480" w14:textId="40A8CBE0" w:rsidR="00625DD0" w:rsidRDefault="00625DD0" w:rsidP="00625DD0">
            <w:r>
              <w:t>Schedule 3</w:t>
            </w:r>
          </w:p>
        </w:tc>
        <w:tc>
          <w:tcPr>
            <w:tcW w:w="2029" w:type="pct"/>
          </w:tcPr>
          <w:p w14:paraId="3A9A7261" w14:textId="13EC6E78" w:rsidR="00625DD0" w:rsidRDefault="00625DD0" w:rsidP="00625DD0">
            <w:r>
              <w:t>General editorial changes to text</w:t>
            </w:r>
            <w:r w:rsidRPr="00D41433">
              <w:t xml:space="preserve"> </w:t>
            </w:r>
            <w:r>
              <w:t xml:space="preserve">throughout the schedule </w:t>
            </w:r>
            <w:r w:rsidRPr="00D41433">
              <w:t>to align with changes made to licences in other bands.</w:t>
            </w:r>
            <w:r>
              <w:t xml:space="preserve"> </w:t>
            </w:r>
          </w:p>
        </w:tc>
      </w:tr>
      <w:tr w:rsidR="00625DD0" w14:paraId="5F66A814" w14:textId="77777777" w:rsidTr="00897FAF">
        <w:trPr>
          <w:cnfStyle w:val="000000100000" w:firstRow="0" w:lastRow="0" w:firstColumn="0" w:lastColumn="0" w:oddVBand="0" w:evenVBand="0" w:oddHBand="1" w:evenHBand="0" w:firstRowFirstColumn="0" w:firstRowLastColumn="0" w:lastRowFirstColumn="0" w:lastRowLastColumn="0"/>
        </w:trPr>
        <w:tc>
          <w:tcPr>
            <w:tcW w:w="1470" w:type="pct"/>
          </w:tcPr>
          <w:p w14:paraId="2CFF4C33" w14:textId="77777777" w:rsidR="00625DD0" w:rsidRDefault="00625DD0" w:rsidP="00625DD0"/>
        </w:tc>
        <w:tc>
          <w:tcPr>
            <w:tcW w:w="535" w:type="pct"/>
          </w:tcPr>
          <w:p w14:paraId="591B05E9" w14:textId="77777777" w:rsidR="00625DD0" w:rsidRDefault="00625DD0" w:rsidP="00625DD0">
            <w:pPr>
              <w:pStyle w:val="ListParagraph"/>
              <w:numPr>
                <w:ilvl w:val="0"/>
                <w:numId w:val="16"/>
              </w:numPr>
            </w:pPr>
          </w:p>
        </w:tc>
        <w:tc>
          <w:tcPr>
            <w:tcW w:w="966" w:type="pct"/>
          </w:tcPr>
          <w:p w14:paraId="42C38E75" w14:textId="77777777" w:rsidR="00625DD0" w:rsidRDefault="00625DD0" w:rsidP="00625DD0">
            <w:r>
              <w:t>Schedule 4</w:t>
            </w:r>
          </w:p>
          <w:p w14:paraId="7CBE9D1F" w14:textId="633CEDB4" w:rsidR="00625DD0" w:rsidRDefault="00625DD0" w:rsidP="00625DD0">
            <w:r>
              <w:t>Section 13</w:t>
            </w:r>
          </w:p>
        </w:tc>
        <w:tc>
          <w:tcPr>
            <w:tcW w:w="2029" w:type="pct"/>
          </w:tcPr>
          <w:p w14:paraId="379EBA87" w14:textId="72198C64" w:rsidR="00625DD0" w:rsidRDefault="00625DD0" w:rsidP="00625DD0">
            <w:r>
              <w:t>Modification to include protection for apparatus licences affected by the recent re-allocation of spectrum in the 3.4 GHz and 3.7 GHz bands.</w:t>
            </w:r>
          </w:p>
        </w:tc>
      </w:tr>
      <w:tr w:rsidR="00625DD0" w14:paraId="386B497F" w14:textId="77777777" w:rsidTr="00897FAF">
        <w:trPr>
          <w:cnfStyle w:val="000000010000" w:firstRow="0" w:lastRow="0" w:firstColumn="0" w:lastColumn="0" w:oddVBand="0" w:evenVBand="0" w:oddHBand="0" w:evenHBand="1" w:firstRowFirstColumn="0" w:firstRowLastColumn="0" w:lastRowFirstColumn="0" w:lastRowLastColumn="0"/>
        </w:trPr>
        <w:tc>
          <w:tcPr>
            <w:tcW w:w="1470" w:type="pct"/>
          </w:tcPr>
          <w:p w14:paraId="363C8011" w14:textId="77777777" w:rsidR="00625DD0" w:rsidRDefault="00625DD0" w:rsidP="00625DD0"/>
        </w:tc>
        <w:tc>
          <w:tcPr>
            <w:tcW w:w="535" w:type="pct"/>
          </w:tcPr>
          <w:p w14:paraId="4A09D42E" w14:textId="77777777" w:rsidR="00625DD0" w:rsidRDefault="00625DD0" w:rsidP="00625DD0">
            <w:pPr>
              <w:pStyle w:val="ListParagraph"/>
              <w:numPr>
                <w:ilvl w:val="0"/>
                <w:numId w:val="16"/>
              </w:numPr>
            </w:pPr>
          </w:p>
        </w:tc>
        <w:tc>
          <w:tcPr>
            <w:tcW w:w="966" w:type="pct"/>
          </w:tcPr>
          <w:p w14:paraId="4954D149" w14:textId="7BB337FA" w:rsidR="00625DD0" w:rsidRPr="00D41433" w:rsidRDefault="00625DD0" w:rsidP="00625DD0">
            <w:r w:rsidRPr="00D41433">
              <w:t xml:space="preserve">Schedule 4 </w:t>
            </w:r>
          </w:p>
          <w:p w14:paraId="761DD7E7" w14:textId="5A2349F9" w:rsidR="00625DD0" w:rsidRDefault="00625DD0" w:rsidP="00625DD0">
            <w:r w:rsidRPr="00D41433">
              <w:t>New section 1</w:t>
            </w:r>
          </w:p>
        </w:tc>
        <w:tc>
          <w:tcPr>
            <w:tcW w:w="2029" w:type="pct"/>
          </w:tcPr>
          <w:p w14:paraId="412E7DE5" w14:textId="1035E06E" w:rsidR="0065526A" w:rsidRPr="003C17CB" w:rsidRDefault="0065526A" w:rsidP="0065526A">
            <w:r>
              <w:t>Placeholder only for possible n</w:t>
            </w:r>
            <w:r w:rsidRPr="003C17CB">
              <w:t xml:space="preserve">ew part to </w:t>
            </w:r>
            <w:r>
              <w:t xml:space="preserve">reference relevant new part of RAG </w:t>
            </w:r>
            <w:r w:rsidR="004E7D31">
              <w:t>T</w:t>
            </w:r>
            <w:r>
              <w:t>x to manage coexistence with radio altimeters if required.</w:t>
            </w:r>
          </w:p>
          <w:p w14:paraId="71F0A809" w14:textId="16D9AB67" w:rsidR="00625DD0" w:rsidRPr="001419FD" w:rsidRDefault="00625DD0"/>
        </w:tc>
      </w:tr>
      <w:tr w:rsidR="00625DD0" w14:paraId="487B9651" w14:textId="77777777" w:rsidTr="00897FAF">
        <w:trPr>
          <w:cnfStyle w:val="000000100000" w:firstRow="0" w:lastRow="0" w:firstColumn="0" w:lastColumn="0" w:oddVBand="0" w:evenVBand="0" w:oddHBand="1" w:evenHBand="0" w:firstRowFirstColumn="0" w:firstRowLastColumn="0" w:lastRowFirstColumn="0" w:lastRowLastColumn="0"/>
        </w:trPr>
        <w:tc>
          <w:tcPr>
            <w:tcW w:w="1470" w:type="pct"/>
          </w:tcPr>
          <w:p w14:paraId="52FDB5B0" w14:textId="77777777" w:rsidR="00625DD0" w:rsidRDefault="00625DD0" w:rsidP="00625DD0"/>
        </w:tc>
        <w:tc>
          <w:tcPr>
            <w:tcW w:w="535" w:type="pct"/>
          </w:tcPr>
          <w:p w14:paraId="6A301141" w14:textId="77777777" w:rsidR="00625DD0" w:rsidRDefault="00625DD0" w:rsidP="00625DD0">
            <w:pPr>
              <w:pStyle w:val="ListParagraph"/>
              <w:numPr>
                <w:ilvl w:val="0"/>
                <w:numId w:val="16"/>
              </w:numPr>
            </w:pPr>
          </w:p>
        </w:tc>
        <w:tc>
          <w:tcPr>
            <w:tcW w:w="966" w:type="pct"/>
          </w:tcPr>
          <w:p w14:paraId="5112CF2B" w14:textId="46A20848" w:rsidR="00625DD0" w:rsidRDefault="00625DD0" w:rsidP="00625DD0">
            <w:r>
              <w:t xml:space="preserve">Schedule 5 </w:t>
            </w:r>
          </w:p>
        </w:tc>
        <w:tc>
          <w:tcPr>
            <w:tcW w:w="2029" w:type="pct"/>
          </w:tcPr>
          <w:p w14:paraId="59A27551" w14:textId="47E7DED2" w:rsidR="00625DD0" w:rsidRPr="00456A58" w:rsidRDefault="00625DD0" w:rsidP="00625DD0">
            <w:r>
              <w:t>General editorial changes to text</w:t>
            </w:r>
            <w:r w:rsidRPr="00D41433">
              <w:t xml:space="preserve"> </w:t>
            </w:r>
            <w:r>
              <w:t xml:space="preserve">throughout the schedule </w:t>
            </w:r>
            <w:r w:rsidRPr="00D41433">
              <w:t>to align with changes made to licences in other bands.</w:t>
            </w:r>
            <w:r w:rsidDel="00F70780">
              <w:rPr>
                <w:highlight w:val="yellow"/>
              </w:rPr>
              <w:t xml:space="preserve"> </w:t>
            </w:r>
          </w:p>
        </w:tc>
      </w:tr>
      <w:tr w:rsidR="00625DD0" w14:paraId="70AC06D3" w14:textId="2A743410" w:rsidTr="00897FAF">
        <w:trPr>
          <w:cnfStyle w:val="000000010000" w:firstRow="0" w:lastRow="0" w:firstColumn="0" w:lastColumn="0" w:oddVBand="0" w:evenVBand="0" w:oddHBand="0" w:evenHBand="1" w:firstRowFirstColumn="0" w:firstRowLastColumn="0" w:lastRowFirstColumn="0" w:lastRowLastColumn="0"/>
        </w:trPr>
        <w:tc>
          <w:tcPr>
            <w:tcW w:w="1470" w:type="pct"/>
          </w:tcPr>
          <w:p w14:paraId="5ECEC382" w14:textId="0E583EEB" w:rsidR="00625DD0" w:rsidRDefault="00625DD0" w:rsidP="00625DD0"/>
        </w:tc>
        <w:tc>
          <w:tcPr>
            <w:tcW w:w="535" w:type="pct"/>
          </w:tcPr>
          <w:p w14:paraId="3D2F2E9D" w14:textId="6A727C62" w:rsidR="00625DD0" w:rsidRDefault="00625DD0" w:rsidP="00625DD0">
            <w:pPr>
              <w:pStyle w:val="ListParagraph"/>
              <w:numPr>
                <w:ilvl w:val="0"/>
                <w:numId w:val="16"/>
              </w:numPr>
            </w:pPr>
          </w:p>
        </w:tc>
        <w:tc>
          <w:tcPr>
            <w:tcW w:w="966" w:type="pct"/>
          </w:tcPr>
          <w:p w14:paraId="561C1573" w14:textId="7D563710" w:rsidR="00625DD0" w:rsidRDefault="00625DD0" w:rsidP="00625DD0">
            <w:r>
              <w:t>Schedule 3</w:t>
            </w:r>
          </w:p>
        </w:tc>
        <w:tc>
          <w:tcPr>
            <w:tcW w:w="2029" w:type="pct"/>
          </w:tcPr>
          <w:p w14:paraId="0E6FC382" w14:textId="04396F6C" w:rsidR="00625DD0" w:rsidRDefault="00625DD0" w:rsidP="00625DD0">
            <w:r>
              <w:t>General editorial changes to text</w:t>
            </w:r>
            <w:r w:rsidRPr="00D41433">
              <w:t xml:space="preserve"> </w:t>
            </w:r>
            <w:r>
              <w:t xml:space="preserve">throughout the schedule </w:t>
            </w:r>
            <w:r w:rsidRPr="00D41433">
              <w:t>to align with changes made to licences in other bands.</w:t>
            </w:r>
            <w:r>
              <w:t xml:space="preserve"> </w:t>
            </w:r>
          </w:p>
        </w:tc>
      </w:tr>
      <w:tr w:rsidR="00625DD0" w14:paraId="5A6549F6" w14:textId="3BCCF74A" w:rsidTr="00897FAF">
        <w:trPr>
          <w:cnfStyle w:val="000000100000" w:firstRow="0" w:lastRow="0" w:firstColumn="0" w:lastColumn="0" w:oddVBand="0" w:evenVBand="0" w:oddHBand="1" w:evenHBand="0" w:firstRowFirstColumn="0" w:firstRowLastColumn="0" w:lastRowFirstColumn="0" w:lastRowLastColumn="0"/>
        </w:trPr>
        <w:tc>
          <w:tcPr>
            <w:tcW w:w="1470" w:type="pct"/>
          </w:tcPr>
          <w:p w14:paraId="0460E9C3" w14:textId="46FE1BA2" w:rsidR="00625DD0" w:rsidRDefault="00625DD0" w:rsidP="00625DD0"/>
        </w:tc>
        <w:tc>
          <w:tcPr>
            <w:tcW w:w="535" w:type="pct"/>
          </w:tcPr>
          <w:p w14:paraId="14F48B53" w14:textId="1D76FD2E" w:rsidR="00625DD0" w:rsidRDefault="00625DD0" w:rsidP="00625DD0">
            <w:pPr>
              <w:pStyle w:val="ListParagraph"/>
              <w:numPr>
                <w:ilvl w:val="0"/>
                <w:numId w:val="16"/>
              </w:numPr>
            </w:pPr>
          </w:p>
        </w:tc>
        <w:tc>
          <w:tcPr>
            <w:tcW w:w="966" w:type="pct"/>
          </w:tcPr>
          <w:p w14:paraId="0491AC73" w14:textId="1898837F" w:rsidR="00625DD0" w:rsidRPr="00BF3856" w:rsidRDefault="00625DD0" w:rsidP="00625DD0">
            <w:r>
              <w:t xml:space="preserve">Schedule 4 </w:t>
            </w:r>
          </w:p>
        </w:tc>
        <w:tc>
          <w:tcPr>
            <w:tcW w:w="2029" w:type="pct"/>
          </w:tcPr>
          <w:p w14:paraId="63915B37" w14:textId="15C1830B" w:rsidR="00625DD0" w:rsidRPr="00BF3856" w:rsidRDefault="00625DD0" w:rsidP="00625DD0">
            <w:r>
              <w:t>General editorial changes to text</w:t>
            </w:r>
            <w:r w:rsidRPr="00D41433">
              <w:t xml:space="preserve"> </w:t>
            </w:r>
            <w:r>
              <w:t xml:space="preserve">throughout the schedule </w:t>
            </w:r>
            <w:r w:rsidRPr="00D41433">
              <w:t>to align with changes made to licences in other bands.</w:t>
            </w:r>
          </w:p>
        </w:tc>
      </w:tr>
    </w:tbl>
    <w:p w14:paraId="06386751" w14:textId="12795B15" w:rsidR="00BC4B19" w:rsidRPr="00702EA1" w:rsidRDefault="00BC4B19" w:rsidP="00BC4B19">
      <w:pPr>
        <w:pStyle w:val="Heading1"/>
      </w:pPr>
      <w:bookmarkStart w:id="87" w:name="_Toc126841099"/>
      <w:r>
        <w:lastRenderedPageBreak/>
        <w:t>List of Attachments</w:t>
      </w:r>
      <w:bookmarkEnd w:id="87"/>
    </w:p>
    <w:tbl>
      <w:tblPr>
        <w:tblStyle w:val="TableGrid"/>
        <w:tblW w:w="0" w:type="auto"/>
        <w:tblLook w:val="04A0" w:firstRow="1" w:lastRow="0" w:firstColumn="1" w:lastColumn="0" w:noHBand="0" w:noVBand="1"/>
      </w:tblPr>
      <w:tblGrid>
        <w:gridCol w:w="1696"/>
        <w:gridCol w:w="5965"/>
      </w:tblGrid>
      <w:tr w:rsidR="007213A3" w14:paraId="77344CE5" w14:textId="77777777" w:rsidTr="00155A4E">
        <w:tc>
          <w:tcPr>
            <w:tcW w:w="1696" w:type="dxa"/>
          </w:tcPr>
          <w:p w14:paraId="7954EBED" w14:textId="63BF8292" w:rsidR="007213A3" w:rsidRDefault="007213A3">
            <w:r>
              <w:t>Attachment</w:t>
            </w:r>
          </w:p>
        </w:tc>
        <w:tc>
          <w:tcPr>
            <w:tcW w:w="5965" w:type="dxa"/>
          </w:tcPr>
          <w:p w14:paraId="49EBD417" w14:textId="4AE92B30" w:rsidR="007213A3" w:rsidRDefault="007213A3">
            <w:r>
              <w:t>Description</w:t>
            </w:r>
          </w:p>
        </w:tc>
      </w:tr>
      <w:tr w:rsidR="007213A3" w14:paraId="68F7D365" w14:textId="77777777" w:rsidTr="00155A4E">
        <w:tc>
          <w:tcPr>
            <w:tcW w:w="1696" w:type="dxa"/>
          </w:tcPr>
          <w:p w14:paraId="2C76E587" w14:textId="6CEC7D42" w:rsidR="007213A3" w:rsidRDefault="007213A3">
            <w:r>
              <w:t>A</w:t>
            </w:r>
          </w:p>
        </w:tc>
        <w:tc>
          <w:tcPr>
            <w:tcW w:w="5965" w:type="dxa"/>
          </w:tcPr>
          <w:p w14:paraId="68503B17" w14:textId="7DEF90C8" w:rsidR="007213A3" w:rsidRDefault="007E2B7E">
            <w:r>
              <w:t xml:space="preserve">Draft amended 3.4 GHz RAG </w:t>
            </w:r>
            <w:r w:rsidR="004E7D31">
              <w:t>T</w:t>
            </w:r>
            <w:r>
              <w:t>x</w:t>
            </w:r>
          </w:p>
        </w:tc>
      </w:tr>
      <w:tr w:rsidR="007E2B7E" w14:paraId="17A86DB8" w14:textId="77777777" w:rsidTr="007213A3">
        <w:tc>
          <w:tcPr>
            <w:tcW w:w="1696" w:type="dxa"/>
          </w:tcPr>
          <w:p w14:paraId="7A5DD4FE" w14:textId="3385FA98" w:rsidR="007E2B7E" w:rsidRDefault="007E2B7E">
            <w:r>
              <w:t>B</w:t>
            </w:r>
          </w:p>
        </w:tc>
        <w:tc>
          <w:tcPr>
            <w:tcW w:w="5965" w:type="dxa"/>
          </w:tcPr>
          <w:p w14:paraId="7CC11DFD" w14:textId="6A924B07" w:rsidR="007E2B7E" w:rsidRDefault="007E2B7E">
            <w:r>
              <w:t xml:space="preserve">Draft amended 3.4 GHz RAG </w:t>
            </w:r>
            <w:r w:rsidR="00DE1C41">
              <w:t>R</w:t>
            </w:r>
            <w:r>
              <w:t>x</w:t>
            </w:r>
          </w:p>
        </w:tc>
      </w:tr>
      <w:tr w:rsidR="007E2B7E" w14:paraId="09BD0EB6" w14:textId="77777777" w:rsidTr="007213A3">
        <w:tc>
          <w:tcPr>
            <w:tcW w:w="1696" w:type="dxa"/>
          </w:tcPr>
          <w:p w14:paraId="4253EEA0" w14:textId="34EA09F9" w:rsidR="007E2B7E" w:rsidRDefault="007E2B7E">
            <w:r>
              <w:t>C</w:t>
            </w:r>
          </w:p>
        </w:tc>
        <w:tc>
          <w:tcPr>
            <w:tcW w:w="5965" w:type="dxa"/>
          </w:tcPr>
          <w:p w14:paraId="28F63E34" w14:textId="0FB464EF" w:rsidR="007E2B7E" w:rsidRDefault="007E2B7E">
            <w:r>
              <w:t>Draft amended 3.4 GHz S.145 determination</w:t>
            </w:r>
          </w:p>
        </w:tc>
      </w:tr>
      <w:tr w:rsidR="007E2B7E" w14:paraId="4BEF2A17" w14:textId="77777777" w:rsidTr="007213A3">
        <w:tc>
          <w:tcPr>
            <w:tcW w:w="1696" w:type="dxa"/>
          </w:tcPr>
          <w:p w14:paraId="04ED2D83" w14:textId="312EA007" w:rsidR="007E2B7E" w:rsidRDefault="007E2B7E">
            <w:r>
              <w:t>D</w:t>
            </w:r>
          </w:p>
        </w:tc>
        <w:tc>
          <w:tcPr>
            <w:tcW w:w="5965" w:type="dxa"/>
          </w:tcPr>
          <w:p w14:paraId="19F7A12E" w14:textId="09554DD9" w:rsidR="007E2B7E" w:rsidRDefault="00217F06">
            <w:r>
              <w:t xml:space="preserve">Draft amended 3.4 GHz </w:t>
            </w:r>
            <w:r w:rsidR="00DE1C41">
              <w:t>S</w:t>
            </w:r>
            <w:r>
              <w:t>ample spectrum licence</w:t>
            </w:r>
          </w:p>
        </w:tc>
      </w:tr>
      <w:tr w:rsidR="00217F06" w14:paraId="0D241717" w14:textId="77777777" w:rsidTr="007213A3">
        <w:tc>
          <w:tcPr>
            <w:tcW w:w="1696" w:type="dxa"/>
          </w:tcPr>
          <w:p w14:paraId="16361EC6" w14:textId="3C968B52" w:rsidR="00217F06" w:rsidRDefault="00217F06">
            <w:r>
              <w:t>E</w:t>
            </w:r>
          </w:p>
        </w:tc>
        <w:tc>
          <w:tcPr>
            <w:tcW w:w="5965" w:type="dxa"/>
          </w:tcPr>
          <w:p w14:paraId="354758BD" w14:textId="28982C70" w:rsidR="00217F06" w:rsidRDefault="00217F06">
            <w:r>
              <w:t xml:space="preserve">Track changes version of draft amended 3.4 GHz </w:t>
            </w:r>
            <w:r w:rsidR="00DE1C41">
              <w:t>S</w:t>
            </w:r>
            <w:r>
              <w:t>ample spectrum licence</w:t>
            </w:r>
          </w:p>
        </w:tc>
      </w:tr>
      <w:tr w:rsidR="00217F06" w14:paraId="3F15AC81" w14:textId="77777777" w:rsidTr="007213A3">
        <w:tc>
          <w:tcPr>
            <w:tcW w:w="1696" w:type="dxa"/>
          </w:tcPr>
          <w:p w14:paraId="3490B391" w14:textId="3D87B2CC" w:rsidR="00217F06" w:rsidRDefault="00217F06">
            <w:r>
              <w:t>F</w:t>
            </w:r>
          </w:p>
        </w:tc>
        <w:tc>
          <w:tcPr>
            <w:tcW w:w="5965" w:type="dxa"/>
          </w:tcPr>
          <w:p w14:paraId="2E459945" w14:textId="33AC4368" w:rsidR="00217F06" w:rsidRDefault="00217F06">
            <w:r>
              <w:t>Draft RAL</w:t>
            </w:r>
            <w:r w:rsidR="004E7D31">
              <w:t>I</w:t>
            </w:r>
            <w:r>
              <w:t xml:space="preserve"> MS47 for reference</w:t>
            </w:r>
          </w:p>
        </w:tc>
      </w:tr>
      <w:tr w:rsidR="00BE5C54" w14:paraId="6998D7F7" w14:textId="77777777" w:rsidTr="007213A3">
        <w:tc>
          <w:tcPr>
            <w:tcW w:w="1696" w:type="dxa"/>
          </w:tcPr>
          <w:p w14:paraId="62560DA1" w14:textId="27A1FD24" w:rsidR="00BE5C54" w:rsidRDefault="00BE5C54">
            <w:r>
              <w:t>G</w:t>
            </w:r>
          </w:p>
        </w:tc>
        <w:tc>
          <w:tcPr>
            <w:tcW w:w="5965" w:type="dxa"/>
          </w:tcPr>
          <w:p w14:paraId="1A55D353" w14:textId="634E73C7" w:rsidR="00BE5C54" w:rsidRDefault="00333A24">
            <w:r>
              <w:t>Radio altimeter report</w:t>
            </w:r>
          </w:p>
        </w:tc>
      </w:tr>
    </w:tbl>
    <w:p w14:paraId="0A9E44B9" w14:textId="77777777" w:rsidR="00EF5B48" w:rsidRDefault="00EF5B48"/>
    <w:sectPr w:rsidR="00EF5B48" w:rsidSect="007F68A0">
      <w:headerReference w:type="even" r:id="rId57"/>
      <w:headerReference w:type="default" r:id="rId58"/>
      <w:footerReference w:type="even" r:id="rId59"/>
      <w:footerReference w:type="default" r:id="rId60"/>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3CD2D" w14:textId="77777777" w:rsidR="00224292" w:rsidRDefault="00224292" w:rsidP="00FA7F33">
      <w:pPr>
        <w:spacing w:after="0" w:line="240" w:lineRule="auto"/>
      </w:pPr>
      <w:r>
        <w:separator/>
      </w:r>
    </w:p>
  </w:endnote>
  <w:endnote w:type="continuationSeparator" w:id="0">
    <w:p w14:paraId="2A2EFC53" w14:textId="77777777" w:rsidR="00224292" w:rsidRDefault="00224292" w:rsidP="00FA7F33">
      <w:pPr>
        <w:spacing w:after="0" w:line="240" w:lineRule="auto"/>
      </w:pPr>
      <w:r>
        <w:continuationSeparator/>
      </w:r>
    </w:p>
  </w:endnote>
  <w:endnote w:type="continuationNotice" w:id="1">
    <w:p w14:paraId="0498E06F" w14:textId="77777777" w:rsidR="00224292" w:rsidRDefault="002242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A88A9" w14:textId="77777777" w:rsidR="00FA7F33" w:rsidRDefault="00FA7F33" w:rsidP="005E250B">
    <w:pPr>
      <w:pStyle w:val="Footer"/>
      <w:jc w:val="right"/>
    </w:pPr>
    <w:r w:rsidRPr="005E250B">
      <w:rPr>
        <w:noProof/>
        <w:vertAlign w:val="subscript"/>
      </w:rPr>
      <w:drawing>
        <wp:inline distT="0" distB="0" distL="0" distR="0" wp14:anchorId="2F45791C" wp14:editId="1743E391">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51CE" w14:textId="2FCB589E" w:rsidR="00FA7F33" w:rsidRPr="00622A3B" w:rsidRDefault="00FA7F33"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sidR="00F66022" w:rsidRPr="00F66022">
      <w:rPr>
        <w:rFonts w:cs="Arial"/>
      </w:rPr>
      <w:fldChar w:fldCharType="begin"/>
    </w:r>
    <w:r w:rsidR="00F66022" w:rsidRPr="00F66022">
      <w:rPr>
        <w:rFonts w:cs="Arial"/>
      </w:rPr>
      <w:instrText xml:space="preserve"> PAGE   \* MERGEFORMAT </w:instrText>
    </w:r>
    <w:r w:rsidR="00F66022" w:rsidRPr="00F66022">
      <w:rPr>
        <w:rFonts w:cs="Arial"/>
      </w:rPr>
      <w:fldChar w:fldCharType="separate"/>
    </w:r>
    <w:r w:rsidR="00F66022" w:rsidRPr="00F66022">
      <w:rPr>
        <w:rFonts w:cs="Arial"/>
        <w:noProof/>
      </w:rPr>
      <w:t>1</w:t>
    </w:r>
    <w:r w:rsidR="00F66022" w:rsidRPr="00F66022">
      <w:rPr>
        <w:rFonts w:cs="Arial"/>
        <w:noProof/>
      </w:rPr>
      <w:fldChar w:fldCharType="end"/>
    </w:r>
  </w:p>
  <w:p w14:paraId="6A65FE1C" w14:textId="77777777" w:rsidR="00FA7F33" w:rsidRPr="00A5474E" w:rsidRDefault="00FA7F33" w:rsidP="00A54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212F2" w14:textId="77777777" w:rsidR="00FA7F33" w:rsidRDefault="00FA7F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03E24" w14:textId="77777777" w:rsidR="00FA7F33" w:rsidRDefault="00FA7F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521A" w14:textId="77777777" w:rsidR="00FA7F33" w:rsidRPr="00622A3B" w:rsidRDefault="00FA7F33"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49D6767A" w14:textId="77777777" w:rsidR="00FA7F33" w:rsidRPr="00A5474E" w:rsidRDefault="00FA7F33"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69A2" w14:textId="77777777" w:rsidR="00FA7F33" w:rsidRPr="00622A3B" w:rsidRDefault="00FA7F33"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39F74F22" w14:textId="77777777" w:rsidR="00FA7F33" w:rsidRPr="00A5474E" w:rsidRDefault="00FA7F33"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EFF1" w14:textId="77777777" w:rsidR="00FA7F33" w:rsidRPr="00622A3B" w:rsidRDefault="00FA7F33"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712CC37E" w14:textId="77777777" w:rsidR="00FA7F33" w:rsidRPr="00A5474E" w:rsidRDefault="00FA7F33"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4AC8A" w14:textId="77777777" w:rsidR="00FA7F33" w:rsidRPr="00473557" w:rsidRDefault="00FA7F33" w:rsidP="00B53EE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83819" w14:textId="77777777" w:rsidR="00FA7F33" w:rsidRPr="00622A3B" w:rsidRDefault="00FA7F33" w:rsidP="00B53EE3">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color w:val="505050"/>
      </w:rPr>
      <w:t>1</w:t>
    </w:r>
    <w:r w:rsidRPr="00575AC5">
      <w:rPr>
        <w:color w:val="505050"/>
      </w:rPr>
      <w:fldChar w:fldCharType="end"/>
    </w:r>
  </w:p>
  <w:p w14:paraId="6BDCCF80" w14:textId="77777777" w:rsidR="00FA7F33" w:rsidRPr="00A5474E" w:rsidRDefault="00FA7F33" w:rsidP="00B53EE3">
    <w:pPr>
      <w:pStyle w:val="Footer"/>
      <w:jc w:val="right"/>
    </w:pPr>
  </w:p>
  <w:p w14:paraId="11115917" w14:textId="77777777" w:rsidR="00FA7F33" w:rsidRPr="00473557" w:rsidRDefault="00FA7F33" w:rsidP="00B53EE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FEAF4" w14:textId="77777777" w:rsidR="00FA7F33" w:rsidRPr="00622A3B" w:rsidRDefault="00FA7F33"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16C55F38" w14:textId="77777777" w:rsidR="00FA7F33" w:rsidRPr="00A5474E" w:rsidRDefault="00FA7F33"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96DAB" w14:textId="77777777" w:rsidR="00224292" w:rsidRDefault="00224292" w:rsidP="00FA7F33">
      <w:pPr>
        <w:spacing w:after="0" w:line="240" w:lineRule="auto"/>
      </w:pPr>
      <w:r>
        <w:separator/>
      </w:r>
    </w:p>
  </w:footnote>
  <w:footnote w:type="continuationSeparator" w:id="0">
    <w:p w14:paraId="71C11E14" w14:textId="77777777" w:rsidR="00224292" w:rsidRDefault="00224292" w:rsidP="00FA7F33">
      <w:pPr>
        <w:spacing w:after="0" w:line="240" w:lineRule="auto"/>
      </w:pPr>
      <w:r>
        <w:continuationSeparator/>
      </w:r>
    </w:p>
  </w:footnote>
  <w:footnote w:type="continuationNotice" w:id="1">
    <w:p w14:paraId="169492A6" w14:textId="77777777" w:rsidR="00224292" w:rsidRDefault="00224292">
      <w:pPr>
        <w:spacing w:after="0" w:line="240" w:lineRule="auto"/>
      </w:pPr>
    </w:p>
  </w:footnote>
  <w:footnote w:id="2">
    <w:p w14:paraId="4798C542" w14:textId="0480AB79" w:rsidR="00211404" w:rsidRDefault="00211404">
      <w:pPr>
        <w:pStyle w:val="FootnoteText"/>
      </w:pPr>
      <w:r>
        <w:rPr>
          <w:rStyle w:val="FootnoteReference"/>
        </w:rPr>
        <w:footnoteRef/>
      </w:r>
      <w:r>
        <w:t xml:space="preserve"> February 2023: Note that project timings in the paper represent those presented during the TLG process and may not represent the most recent ACMA plans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9AA1" w14:textId="77777777" w:rsidR="00FA7F33" w:rsidRPr="00A5474E" w:rsidRDefault="00FA7F33" w:rsidP="00A5474E">
    <w:pPr>
      <w:pStyle w:val="Header"/>
    </w:pPr>
    <w:r>
      <w:rPr>
        <w:noProof/>
      </w:rPr>
      <w:drawing>
        <wp:inline distT="0" distB="0" distL="0" distR="0" wp14:anchorId="55B1746F" wp14:editId="13CCB4EC">
          <wp:extent cx="6283434" cy="578076"/>
          <wp:effectExtent l="0" t="0" r="3175"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83434" cy="578076"/>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BF4C" w14:textId="77777777" w:rsidR="00FA7F33" w:rsidRDefault="00FA7F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D200F" w14:textId="77777777" w:rsidR="00FA7F33" w:rsidRPr="00A5474E" w:rsidRDefault="00FA7F33"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4BB3B" w14:textId="77777777" w:rsidR="00FA7F33" w:rsidRDefault="00FA7F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69DE" w14:textId="77777777" w:rsidR="00FA7F33" w:rsidRDefault="00FA7F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FA7F33" w14:paraId="20CDAABB" w14:textId="77777777" w:rsidTr="00847191">
      <w:trPr>
        <w:trHeight w:hRule="exact" w:val="988"/>
      </w:trPr>
      <w:tc>
        <w:tcPr>
          <w:tcW w:w="7678" w:type="dxa"/>
          <w:shd w:val="clear" w:color="auto" w:fill="auto"/>
        </w:tcPr>
        <w:p w14:paraId="5334848B" w14:textId="77777777" w:rsidR="00FA7F33" w:rsidRDefault="00FA7F33" w:rsidP="00971914">
          <w:pPr>
            <w:pStyle w:val="Header"/>
          </w:pPr>
        </w:p>
      </w:tc>
    </w:tr>
    <w:tr w:rsidR="00FA7F33" w14:paraId="731AD426" w14:textId="77777777" w:rsidTr="00847191">
      <w:tc>
        <w:tcPr>
          <w:tcW w:w="7678" w:type="dxa"/>
          <w:shd w:val="clear" w:color="auto" w:fill="auto"/>
        </w:tcPr>
        <w:p w14:paraId="0D1B806F" w14:textId="77777777" w:rsidR="00FA7F33" w:rsidRDefault="00FA7F33" w:rsidP="00971914">
          <w:pPr>
            <w:pStyle w:val="GridTable31"/>
          </w:pPr>
          <w:r>
            <w:t xml:space="preserve">Contents </w:t>
          </w:r>
          <w:r w:rsidRPr="00915B1C">
            <w:rPr>
              <w:b w:val="0"/>
              <w:spacing w:val="0"/>
              <w:sz w:val="28"/>
              <w:szCs w:val="28"/>
            </w:rPr>
            <w:t>(Continued)</w:t>
          </w:r>
        </w:p>
      </w:tc>
    </w:tr>
    <w:tr w:rsidR="00FA7F33" w14:paraId="10A4AA3D" w14:textId="77777777" w:rsidTr="00847191">
      <w:trPr>
        <w:trHeight w:val="1220"/>
      </w:trPr>
      <w:tc>
        <w:tcPr>
          <w:tcW w:w="7678" w:type="dxa"/>
          <w:shd w:val="clear" w:color="auto" w:fill="auto"/>
        </w:tcPr>
        <w:p w14:paraId="6749ADFD" w14:textId="77777777" w:rsidR="00FA7F33" w:rsidRDefault="00FA7F33" w:rsidP="00971914"/>
      </w:tc>
    </w:tr>
  </w:tbl>
  <w:p w14:paraId="1823AC25" w14:textId="77777777" w:rsidR="00FA7F33" w:rsidRDefault="00FA7F33"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FA7F33" w14:paraId="12E0F5DF" w14:textId="77777777" w:rsidTr="00847191">
      <w:trPr>
        <w:trHeight w:hRule="exact" w:val="988"/>
      </w:trPr>
      <w:tc>
        <w:tcPr>
          <w:tcW w:w="7678" w:type="dxa"/>
          <w:shd w:val="clear" w:color="auto" w:fill="auto"/>
        </w:tcPr>
        <w:p w14:paraId="47C2AFD9" w14:textId="77777777" w:rsidR="00FA7F33" w:rsidRDefault="00FA7F33" w:rsidP="00971914">
          <w:pPr>
            <w:pStyle w:val="Header"/>
          </w:pPr>
        </w:p>
      </w:tc>
    </w:tr>
    <w:tr w:rsidR="00FA7F33" w14:paraId="059972CD" w14:textId="77777777" w:rsidTr="00847191">
      <w:tc>
        <w:tcPr>
          <w:tcW w:w="7678" w:type="dxa"/>
          <w:shd w:val="clear" w:color="auto" w:fill="auto"/>
        </w:tcPr>
        <w:p w14:paraId="5B451DEA" w14:textId="77777777" w:rsidR="00FA7F33" w:rsidRDefault="00FA7F33" w:rsidP="00971914">
          <w:pPr>
            <w:pStyle w:val="GridTable31"/>
          </w:pPr>
          <w:r>
            <w:t xml:space="preserve">Contents </w:t>
          </w:r>
          <w:r w:rsidRPr="00915B1C">
            <w:rPr>
              <w:b w:val="0"/>
              <w:spacing w:val="0"/>
              <w:sz w:val="28"/>
              <w:szCs w:val="28"/>
            </w:rPr>
            <w:t>(Continued)</w:t>
          </w:r>
        </w:p>
      </w:tc>
    </w:tr>
    <w:tr w:rsidR="00FA7F33" w14:paraId="29E4ECC9" w14:textId="77777777" w:rsidTr="00847191">
      <w:trPr>
        <w:trHeight w:val="1220"/>
      </w:trPr>
      <w:tc>
        <w:tcPr>
          <w:tcW w:w="7678" w:type="dxa"/>
          <w:shd w:val="clear" w:color="auto" w:fill="auto"/>
        </w:tcPr>
        <w:p w14:paraId="6AD5DF50" w14:textId="77777777" w:rsidR="00FA7F33" w:rsidRDefault="00FA7F33" w:rsidP="00971914"/>
      </w:tc>
    </w:tr>
  </w:tbl>
  <w:p w14:paraId="4E5CA413" w14:textId="77777777" w:rsidR="00FA7F33" w:rsidRPr="00A5474E" w:rsidRDefault="00FA7F33"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93B9A" w14:textId="77777777" w:rsidR="00FA7F33" w:rsidRDefault="00FA7F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342C" w14:textId="77777777" w:rsidR="00FA7F33" w:rsidRDefault="00FA7F3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695C6" w14:textId="77777777" w:rsidR="00FA7F33" w:rsidRDefault="00FA7F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6EBA4AA8"/>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BB3C6A82"/>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5CF089F"/>
    <w:multiLevelType w:val="hybridMultilevel"/>
    <w:tmpl w:val="5A5850DA"/>
    <w:lvl w:ilvl="0" w:tplc="1186AFA8">
      <w:start w:val="1"/>
      <w:numFmt w:val="decimal"/>
      <w:pStyle w:val="question"/>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5" w15:restartNumberingAfterBreak="0">
    <w:nsid w:val="0EB55F81"/>
    <w:multiLevelType w:val="hybridMultilevel"/>
    <w:tmpl w:val="884A1BC8"/>
    <w:lvl w:ilvl="0" w:tplc="32204036">
      <w:start w:val="1"/>
      <w:numFmt w:val="decimal"/>
      <w:pStyle w:val="LegislationLvl1"/>
      <w:lvlText w:val="%1"/>
      <w:lvlJc w:val="left"/>
      <w:pPr>
        <w:tabs>
          <w:tab w:val="num" w:pos="1080"/>
        </w:tabs>
        <w:ind w:left="1080" w:hanging="720"/>
      </w:pPr>
      <w:rPr>
        <w:rFonts w:hint="default"/>
      </w:rPr>
    </w:lvl>
    <w:lvl w:ilvl="1" w:tplc="93C69154">
      <w:start w:val="1"/>
      <w:numFmt w:val="decimal"/>
      <w:pStyle w:val="LegislationLvl2"/>
      <w:lvlText w:val="(%2)"/>
      <w:lvlJc w:val="left"/>
      <w:pPr>
        <w:tabs>
          <w:tab w:val="num" w:pos="1440"/>
        </w:tabs>
        <w:ind w:left="1440" w:hanging="360"/>
      </w:pPr>
      <w:rPr>
        <w:rFonts w:hint="default"/>
      </w:rPr>
    </w:lvl>
    <w:lvl w:ilvl="2" w:tplc="BD8A0056">
      <w:start w:val="1"/>
      <w:numFmt w:val="lowerLetter"/>
      <w:pStyle w:val="LegislationLvl3"/>
      <w:lvlText w:val="(%3)"/>
      <w:lvlJc w:val="left"/>
      <w:pPr>
        <w:tabs>
          <w:tab w:val="num" w:pos="2340"/>
        </w:tabs>
        <w:ind w:left="2340" w:hanging="360"/>
      </w:pPr>
      <w:rPr>
        <w:rFonts w:hint="default"/>
      </w:rPr>
    </w:lvl>
    <w:lvl w:ilvl="3" w:tplc="BF665EE0">
      <w:start w:val="1"/>
      <w:numFmt w:val="lowerRoman"/>
      <w:pStyle w:val="LegislationLvl4"/>
      <w:lvlText w:val="(%4)"/>
      <w:lvlJc w:val="right"/>
      <w:pPr>
        <w:tabs>
          <w:tab w:val="num" w:pos="2700"/>
        </w:tabs>
        <w:ind w:left="2700" w:hanging="18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F2F29F0"/>
    <w:multiLevelType w:val="hybridMultilevel"/>
    <w:tmpl w:val="342031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826747"/>
    <w:multiLevelType w:val="hybridMultilevel"/>
    <w:tmpl w:val="66123D4C"/>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2A56770"/>
    <w:multiLevelType w:val="hybridMultilevel"/>
    <w:tmpl w:val="4DD085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2C01379"/>
    <w:multiLevelType w:val="hybridMultilevel"/>
    <w:tmpl w:val="927E64A2"/>
    <w:lvl w:ilvl="0" w:tplc="856E6310">
      <w:start w:val="1"/>
      <w:numFmt w:val="bullet"/>
      <w:lvlText w:val="&gt;"/>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EE495C"/>
    <w:multiLevelType w:val="hybridMultilevel"/>
    <w:tmpl w:val="1D8498B0"/>
    <w:lvl w:ilvl="0" w:tplc="A332420E">
      <w:start w:val="1"/>
      <w:numFmt w:val="lowerLetter"/>
      <w:pStyle w:val="ACMAletteredlist"/>
      <w:lvlText w:val="%1."/>
      <w:lvlJc w:val="left"/>
      <w:pPr>
        <w:tabs>
          <w:tab w:val="num" w:pos="360"/>
        </w:tabs>
        <w:ind w:left="360" w:hanging="360"/>
      </w:pPr>
    </w:lvl>
    <w:lvl w:ilvl="1" w:tplc="8EDAE56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4F4120"/>
    <w:multiLevelType w:val="hybridMultilevel"/>
    <w:tmpl w:val="5240CD66"/>
    <w:lvl w:ilvl="0" w:tplc="55F2986E">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2" w15:restartNumberingAfterBreak="0">
    <w:nsid w:val="186752CC"/>
    <w:multiLevelType w:val="hybridMultilevel"/>
    <w:tmpl w:val="357670EC"/>
    <w:lvl w:ilvl="0" w:tplc="17CC4916">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3" w15:restartNumberingAfterBreak="0">
    <w:nsid w:val="194E7162"/>
    <w:multiLevelType w:val="hybridMultilevel"/>
    <w:tmpl w:val="1E96CAAC"/>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CBD2530"/>
    <w:multiLevelType w:val="hybridMultilevel"/>
    <w:tmpl w:val="C854CC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EE03C3E"/>
    <w:multiLevelType w:val="hybridMultilevel"/>
    <w:tmpl w:val="BA8ADF1A"/>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2F82D85"/>
    <w:multiLevelType w:val="hybridMultilevel"/>
    <w:tmpl w:val="134A8524"/>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52240AA"/>
    <w:multiLevelType w:val="hybridMultilevel"/>
    <w:tmpl w:val="E3D85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E301BF0"/>
    <w:multiLevelType w:val="hybridMultilevel"/>
    <w:tmpl w:val="DC52EC26"/>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0" w15:restartNumberingAfterBreak="0">
    <w:nsid w:val="31461075"/>
    <w:multiLevelType w:val="hybridMultilevel"/>
    <w:tmpl w:val="0C16F1B2"/>
    <w:lvl w:ilvl="0" w:tplc="856E6310">
      <w:start w:val="1"/>
      <w:numFmt w:val="bullet"/>
      <w:lvlText w:val="&gt;"/>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2936509"/>
    <w:multiLevelType w:val="hybridMultilevel"/>
    <w:tmpl w:val="97D07176"/>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32C5F88"/>
    <w:multiLevelType w:val="hybridMultilevel"/>
    <w:tmpl w:val="66089A9C"/>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9C2CF1"/>
    <w:multiLevelType w:val="hybridMultilevel"/>
    <w:tmpl w:val="736C5398"/>
    <w:lvl w:ilvl="0" w:tplc="0C09000F">
      <w:start w:val="1"/>
      <w:numFmt w:val="decimal"/>
      <w:lvlText w:val="%1."/>
      <w:lvlJc w:val="left"/>
      <w:pPr>
        <w:ind w:left="1080" w:hanging="360"/>
      </w:pPr>
    </w:lvl>
    <w:lvl w:ilvl="1" w:tplc="41C6D166">
      <w:numFmt w:val="bullet"/>
      <w:lvlText w:val=""/>
      <w:lvlJc w:val="left"/>
      <w:pPr>
        <w:ind w:left="1800" w:hanging="360"/>
      </w:pPr>
      <w:rPr>
        <w:rFonts w:ascii="Wingdings" w:eastAsia="Times New Roman" w:hAnsi="Wingdings" w:cs="Times New Roman"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34E56B7D"/>
    <w:multiLevelType w:val="hybridMultilevel"/>
    <w:tmpl w:val="DB7E1AF4"/>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6372499"/>
    <w:multiLevelType w:val="hybridMultilevel"/>
    <w:tmpl w:val="6CB285FC"/>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83E60E1"/>
    <w:multiLevelType w:val="hybridMultilevel"/>
    <w:tmpl w:val="D742BC14"/>
    <w:lvl w:ilvl="0" w:tplc="0C090015">
      <w:start w:val="1"/>
      <w:numFmt w:val="upperLetter"/>
      <w:lvlText w:val="%1."/>
      <w:lvlJc w:val="left"/>
      <w:pPr>
        <w:ind w:left="780" w:hanging="360"/>
      </w:pPr>
      <w:rPr>
        <w:rFonts w:hint="default"/>
      </w:rPr>
    </w:lvl>
    <w:lvl w:ilvl="1" w:tplc="0C090003">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7" w15:restartNumberingAfterBreak="0">
    <w:nsid w:val="44C45C9D"/>
    <w:multiLevelType w:val="multilevel"/>
    <w:tmpl w:val="E45E92BC"/>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79E39DA"/>
    <w:multiLevelType w:val="hybridMultilevel"/>
    <w:tmpl w:val="3528AACE"/>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87E3DCE"/>
    <w:multiLevelType w:val="hybridMultilevel"/>
    <w:tmpl w:val="E0F6CD92"/>
    <w:lvl w:ilvl="0" w:tplc="0004E7EC">
      <w:start w:val="1"/>
      <w:numFmt w:val="bullet"/>
      <w:pStyle w:val="ListParagraph"/>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B541E8A"/>
    <w:multiLevelType w:val="hybridMultilevel"/>
    <w:tmpl w:val="986AA28C"/>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EA67A62"/>
    <w:multiLevelType w:val="hybridMultilevel"/>
    <w:tmpl w:val="B9B6F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2AB292A"/>
    <w:multiLevelType w:val="hybridMultilevel"/>
    <w:tmpl w:val="C198633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2EC660F"/>
    <w:multiLevelType w:val="hybridMultilevel"/>
    <w:tmpl w:val="251621C8"/>
    <w:lvl w:ilvl="0" w:tplc="0C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32319BC"/>
    <w:multiLevelType w:val="hybridMultilevel"/>
    <w:tmpl w:val="02A6EE1A"/>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48128F1"/>
    <w:multiLevelType w:val="hybridMultilevel"/>
    <w:tmpl w:val="9D6CC212"/>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5AA21F0"/>
    <w:multiLevelType w:val="hybridMultilevel"/>
    <w:tmpl w:val="916686BE"/>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357A3C"/>
    <w:multiLevelType w:val="hybridMultilevel"/>
    <w:tmpl w:val="4F643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65E2076"/>
    <w:multiLevelType w:val="hybridMultilevel"/>
    <w:tmpl w:val="119AB610"/>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8F751C1"/>
    <w:multiLevelType w:val="hybridMultilevel"/>
    <w:tmpl w:val="2F900664"/>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A390D64"/>
    <w:multiLevelType w:val="hybridMultilevel"/>
    <w:tmpl w:val="F10C20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A6F11A7"/>
    <w:multiLevelType w:val="hybridMultilevel"/>
    <w:tmpl w:val="DB4A3154"/>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D280AEA"/>
    <w:multiLevelType w:val="hybridMultilevel"/>
    <w:tmpl w:val="B8C4BF22"/>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00456F6"/>
    <w:multiLevelType w:val="hybridMultilevel"/>
    <w:tmpl w:val="B6BE2F44"/>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27C7BA5"/>
    <w:multiLevelType w:val="hybridMultilevel"/>
    <w:tmpl w:val="8F8C6A0E"/>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2B175F3"/>
    <w:multiLevelType w:val="hybridMultilevel"/>
    <w:tmpl w:val="7C80D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30053E5"/>
    <w:multiLevelType w:val="hybridMultilevel"/>
    <w:tmpl w:val="64E4F4BE"/>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4F723C1"/>
    <w:multiLevelType w:val="hybridMultilevel"/>
    <w:tmpl w:val="B49AEAEC"/>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612086C"/>
    <w:multiLevelType w:val="hybridMultilevel"/>
    <w:tmpl w:val="B40CC2A4"/>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9E00A9C"/>
    <w:multiLevelType w:val="hybridMultilevel"/>
    <w:tmpl w:val="609CB4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2A13B1"/>
    <w:multiLevelType w:val="hybridMultilevel"/>
    <w:tmpl w:val="1CF690A2"/>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C3E5510"/>
    <w:multiLevelType w:val="hybridMultilevel"/>
    <w:tmpl w:val="108E9D82"/>
    <w:lvl w:ilvl="0" w:tplc="856E6310">
      <w:start w:val="1"/>
      <w:numFmt w:val="bullet"/>
      <w:lvlText w:val="&gt;"/>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DD1512"/>
    <w:multiLevelType w:val="hybridMultilevel"/>
    <w:tmpl w:val="FD36B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754A7A70"/>
    <w:multiLevelType w:val="hybridMultilevel"/>
    <w:tmpl w:val="B7A00F68"/>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764C24BE"/>
    <w:multiLevelType w:val="hybridMultilevel"/>
    <w:tmpl w:val="8040BF9C"/>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7E4B5F1F"/>
    <w:multiLevelType w:val="hybridMultilevel"/>
    <w:tmpl w:val="09684CA2"/>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78393292">
    <w:abstractNumId w:val="3"/>
  </w:num>
  <w:num w:numId="2" w16cid:durableId="1406731480">
    <w:abstractNumId w:val="1"/>
  </w:num>
  <w:num w:numId="3" w16cid:durableId="1224023377">
    <w:abstractNumId w:val="2"/>
  </w:num>
  <w:num w:numId="4" w16cid:durableId="1989481711">
    <w:abstractNumId w:val="0"/>
  </w:num>
  <w:num w:numId="5" w16cid:durableId="2118407206">
    <w:abstractNumId w:val="19"/>
  </w:num>
  <w:num w:numId="6" w16cid:durableId="1453866394">
    <w:abstractNumId w:val="49"/>
  </w:num>
  <w:num w:numId="7" w16cid:durableId="1775789150">
    <w:abstractNumId w:val="36"/>
  </w:num>
  <w:num w:numId="8" w16cid:durableId="553779771">
    <w:abstractNumId w:val="47"/>
  </w:num>
  <w:num w:numId="9" w16cid:durableId="1286540571">
    <w:abstractNumId w:val="54"/>
  </w:num>
  <w:num w:numId="10" w16cid:durableId="691146790">
    <w:abstractNumId w:val="10"/>
  </w:num>
  <w:num w:numId="11" w16cid:durableId="1813517612">
    <w:abstractNumId w:val="5"/>
  </w:num>
  <w:num w:numId="12" w16cid:durableId="430979580">
    <w:abstractNumId w:val="38"/>
  </w:num>
  <w:num w:numId="13" w16cid:durableId="598753905">
    <w:abstractNumId w:val="25"/>
  </w:num>
  <w:num w:numId="14" w16cid:durableId="627589134">
    <w:abstractNumId w:val="30"/>
  </w:num>
  <w:num w:numId="15" w16cid:durableId="1211040503">
    <w:abstractNumId w:val="18"/>
  </w:num>
  <w:num w:numId="16" w16cid:durableId="1423447971">
    <w:abstractNumId w:val="8"/>
  </w:num>
  <w:num w:numId="17" w16cid:durableId="1594048908">
    <w:abstractNumId w:val="4"/>
  </w:num>
  <w:num w:numId="18" w16cid:durableId="1213541116">
    <w:abstractNumId w:val="29"/>
  </w:num>
  <w:num w:numId="19" w16cid:durableId="317540227">
    <w:abstractNumId w:val="11"/>
  </w:num>
  <w:num w:numId="20" w16cid:durableId="160660611">
    <w:abstractNumId w:val="26"/>
  </w:num>
  <w:num w:numId="21" w16cid:durableId="970599874">
    <w:abstractNumId w:val="55"/>
  </w:num>
  <w:num w:numId="22" w16cid:durableId="1329214767">
    <w:abstractNumId w:val="31"/>
  </w:num>
  <w:num w:numId="23" w16cid:durableId="1307778045">
    <w:abstractNumId w:val="16"/>
  </w:num>
  <w:num w:numId="24" w16cid:durableId="168566967">
    <w:abstractNumId w:val="22"/>
  </w:num>
  <w:num w:numId="25" w16cid:durableId="345987292">
    <w:abstractNumId w:val="23"/>
  </w:num>
  <w:num w:numId="26" w16cid:durableId="681056686">
    <w:abstractNumId w:val="56"/>
  </w:num>
  <w:num w:numId="27" w16cid:durableId="243757610">
    <w:abstractNumId w:val="57"/>
  </w:num>
  <w:num w:numId="28" w16cid:durableId="657922308">
    <w:abstractNumId w:val="12"/>
  </w:num>
  <w:num w:numId="29" w16cid:durableId="259533141">
    <w:abstractNumId w:val="43"/>
  </w:num>
  <w:num w:numId="30" w16cid:durableId="1148211409">
    <w:abstractNumId w:val="15"/>
  </w:num>
  <w:num w:numId="31" w16cid:durableId="1082340173">
    <w:abstractNumId w:val="44"/>
  </w:num>
  <w:num w:numId="32" w16cid:durableId="1788045344">
    <w:abstractNumId w:val="28"/>
  </w:num>
  <w:num w:numId="33" w16cid:durableId="1840458210">
    <w:abstractNumId w:val="20"/>
  </w:num>
  <w:num w:numId="34" w16cid:durableId="1469587456">
    <w:abstractNumId w:val="42"/>
  </w:num>
  <w:num w:numId="35" w16cid:durableId="591739390">
    <w:abstractNumId w:val="7"/>
  </w:num>
  <w:num w:numId="36" w16cid:durableId="1700812788">
    <w:abstractNumId w:val="9"/>
  </w:num>
  <w:num w:numId="37" w16cid:durableId="2085102881">
    <w:abstractNumId w:val="52"/>
  </w:num>
  <w:num w:numId="38" w16cid:durableId="1980181391">
    <w:abstractNumId w:val="41"/>
  </w:num>
  <w:num w:numId="39" w16cid:durableId="2090543753">
    <w:abstractNumId w:val="39"/>
  </w:num>
  <w:num w:numId="40" w16cid:durableId="1198081206">
    <w:abstractNumId w:val="32"/>
  </w:num>
  <w:num w:numId="41" w16cid:durableId="2096781258">
    <w:abstractNumId w:val="29"/>
  </w:num>
  <w:num w:numId="42" w16cid:durableId="1943566753">
    <w:abstractNumId w:val="51"/>
  </w:num>
  <w:num w:numId="43" w16cid:durableId="1691370734">
    <w:abstractNumId w:val="45"/>
  </w:num>
  <w:num w:numId="44" w16cid:durableId="36440503">
    <w:abstractNumId w:val="21"/>
  </w:num>
  <w:num w:numId="45" w16cid:durableId="1203207453">
    <w:abstractNumId w:val="13"/>
  </w:num>
  <w:num w:numId="46" w16cid:durableId="195317807">
    <w:abstractNumId w:val="46"/>
  </w:num>
  <w:num w:numId="47" w16cid:durableId="1366755220">
    <w:abstractNumId w:val="50"/>
  </w:num>
  <w:num w:numId="48" w16cid:durableId="1011378582">
    <w:abstractNumId w:val="53"/>
  </w:num>
  <w:num w:numId="49" w16cid:durableId="2044673046">
    <w:abstractNumId w:val="24"/>
  </w:num>
  <w:num w:numId="50" w16cid:durableId="569535012">
    <w:abstractNumId w:val="58"/>
  </w:num>
  <w:num w:numId="51" w16cid:durableId="1906597464">
    <w:abstractNumId w:val="35"/>
  </w:num>
  <w:num w:numId="52" w16cid:durableId="306281820">
    <w:abstractNumId w:val="48"/>
  </w:num>
  <w:num w:numId="53" w16cid:durableId="172493453">
    <w:abstractNumId w:val="27"/>
  </w:num>
  <w:num w:numId="54" w16cid:durableId="518273493">
    <w:abstractNumId w:val="6"/>
  </w:num>
  <w:num w:numId="55" w16cid:durableId="928999358">
    <w:abstractNumId w:val="17"/>
  </w:num>
  <w:num w:numId="56" w16cid:durableId="1604994583">
    <w:abstractNumId w:val="40"/>
  </w:num>
  <w:num w:numId="57" w16cid:durableId="780994579">
    <w:abstractNumId w:val="33"/>
  </w:num>
  <w:num w:numId="58" w16cid:durableId="678237331">
    <w:abstractNumId w:val="14"/>
  </w:num>
  <w:num w:numId="59" w16cid:durableId="959798415">
    <w:abstractNumId w:val="34"/>
  </w:num>
  <w:num w:numId="60" w16cid:durableId="1883781700">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F33"/>
    <w:rsid w:val="00003306"/>
    <w:rsid w:val="00011BCF"/>
    <w:rsid w:val="00013931"/>
    <w:rsid w:val="00014276"/>
    <w:rsid w:val="00016E6B"/>
    <w:rsid w:val="00020E42"/>
    <w:rsid w:val="0002216A"/>
    <w:rsid w:val="00022940"/>
    <w:rsid w:val="00022C61"/>
    <w:rsid w:val="00027536"/>
    <w:rsid w:val="00033A2F"/>
    <w:rsid w:val="00042797"/>
    <w:rsid w:val="00042C77"/>
    <w:rsid w:val="000436E3"/>
    <w:rsid w:val="00044E4D"/>
    <w:rsid w:val="000501B4"/>
    <w:rsid w:val="00050635"/>
    <w:rsid w:val="00053E67"/>
    <w:rsid w:val="00054156"/>
    <w:rsid w:val="000542D6"/>
    <w:rsid w:val="000545D7"/>
    <w:rsid w:val="0005609B"/>
    <w:rsid w:val="00056E29"/>
    <w:rsid w:val="000572F8"/>
    <w:rsid w:val="00060A51"/>
    <w:rsid w:val="0006590A"/>
    <w:rsid w:val="00067A76"/>
    <w:rsid w:val="00072ABA"/>
    <w:rsid w:val="00073314"/>
    <w:rsid w:val="00081B0A"/>
    <w:rsid w:val="00083AFF"/>
    <w:rsid w:val="00084708"/>
    <w:rsid w:val="00084DC2"/>
    <w:rsid w:val="00092677"/>
    <w:rsid w:val="0009283A"/>
    <w:rsid w:val="00092A60"/>
    <w:rsid w:val="00092B3B"/>
    <w:rsid w:val="000930D8"/>
    <w:rsid w:val="000931B6"/>
    <w:rsid w:val="00093E26"/>
    <w:rsid w:val="00096285"/>
    <w:rsid w:val="00096600"/>
    <w:rsid w:val="00096DF1"/>
    <w:rsid w:val="00097FA2"/>
    <w:rsid w:val="000A225E"/>
    <w:rsid w:val="000A5772"/>
    <w:rsid w:val="000B1448"/>
    <w:rsid w:val="000B1BE5"/>
    <w:rsid w:val="000B45F4"/>
    <w:rsid w:val="000B46C8"/>
    <w:rsid w:val="000B5EAA"/>
    <w:rsid w:val="000B6751"/>
    <w:rsid w:val="000B6E16"/>
    <w:rsid w:val="000C1C48"/>
    <w:rsid w:val="000C25C6"/>
    <w:rsid w:val="000C3452"/>
    <w:rsid w:val="000C5945"/>
    <w:rsid w:val="000D1F63"/>
    <w:rsid w:val="000D7395"/>
    <w:rsid w:val="000E0A07"/>
    <w:rsid w:val="000E282C"/>
    <w:rsid w:val="000E6AD8"/>
    <w:rsid w:val="000E7470"/>
    <w:rsid w:val="000F1997"/>
    <w:rsid w:val="000F1C9F"/>
    <w:rsid w:val="000F1F77"/>
    <w:rsid w:val="000F238C"/>
    <w:rsid w:val="000F26A2"/>
    <w:rsid w:val="000F3BB3"/>
    <w:rsid w:val="000F4BC2"/>
    <w:rsid w:val="000F788E"/>
    <w:rsid w:val="00101853"/>
    <w:rsid w:val="00101E39"/>
    <w:rsid w:val="0010358C"/>
    <w:rsid w:val="0010501E"/>
    <w:rsid w:val="00105A1F"/>
    <w:rsid w:val="0010699A"/>
    <w:rsid w:val="00106CF6"/>
    <w:rsid w:val="001116E6"/>
    <w:rsid w:val="001124B8"/>
    <w:rsid w:val="00112ADF"/>
    <w:rsid w:val="00116505"/>
    <w:rsid w:val="001172A5"/>
    <w:rsid w:val="001176BA"/>
    <w:rsid w:val="00121A12"/>
    <w:rsid w:val="0012279B"/>
    <w:rsid w:val="0012410A"/>
    <w:rsid w:val="00126A3D"/>
    <w:rsid w:val="00126F99"/>
    <w:rsid w:val="0013127F"/>
    <w:rsid w:val="00133CE6"/>
    <w:rsid w:val="00134F87"/>
    <w:rsid w:val="0013642F"/>
    <w:rsid w:val="001419FD"/>
    <w:rsid w:val="00141C83"/>
    <w:rsid w:val="0014282B"/>
    <w:rsid w:val="00144A4E"/>
    <w:rsid w:val="00144FCB"/>
    <w:rsid w:val="00145E15"/>
    <w:rsid w:val="00151A7A"/>
    <w:rsid w:val="001547BC"/>
    <w:rsid w:val="00155A4E"/>
    <w:rsid w:val="00155BAE"/>
    <w:rsid w:val="00156C96"/>
    <w:rsid w:val="001650CF"/>
    <w:rsid w:val="00170AB5"/>
    <w:rsid w:val="001729F8"/>
    <w:rsid w:val="001732E1"/>
    <w:rsid w:val="00173615"/>
    <w:rsid w:val="00183144"/>
    <w:rsid w:val="00183683"/>
    <w:rsid w:val="00183B8B"/>
    <w:rsid w:val="001845AF"/>
    <w:rsid w:val="0019455B"/>
    <w:rsid w:val="00194D2B"/>
    <w:rsid w:val="0019551D"/>
    <w:rsid w:val="001957F3"/>
    <w:rsid w:val="00195E50"/>
    <w:rsid w:val="001976FE"/>
    <w:rsid w:val="001979B8"/>
    <w:rsid w:val="001A27E4"/>
    <w:rsid w:val="001A35CA"/>
    <w:rsid w:val="001A3A9C"/>
    <w:rsid w:val="001A68AC"/>
    <w:rsid w:val="001A6DEF"/>
    <w:rsid w:val="001A7738"/>
    <w:rsid w:val="001B1BD9"/>
    <w:rsid w:val="001B1F64"/>
    <w:rsid w:val="001B20E5"/>
    <w:rsid w:val="001B2D5E"/>
    <w:rsid w:val="001B407D"/>
    <w:rsid w:val="001B6826"/>
    <w:rsid w:val="001B6C5B"/>
    <w:rsid w:val="001B772D"/>
    <w:rsid w:val="001C1D03"/>
    <w:rsid w:val="001C4F9D"/>
    <w:rsid w:val="001C5400"/>
    <w:rsid w:val="001D1DAE"/>
    <w:rsid w:val="001D3618"/>
    <w:rsid w:val="001D6A75"/>
    <w:rsid w:val="001D78E5"/>
    <w:rsid w:val="001E16B2"/>
    <w:rsid w:val="001E1F32"/>
    <w:rsid w:val="001E41E1"/>
    <w:rsid w:val="001E42C1"/>
    <w:rsid w:val="001E4C2A"/>
    <w:rsid w:val="001E5D0A"/>
    <w:rsid w:val="001E7354"/>
    <w:rsid w:val="001E7DA2"/>
    <w:rsid w:val="001F004B"/>
    <w:rsid w:val="001F4CD5"/>
    <w:rsid w:val="001F6EF9"/>
    <w:rsid w:val="00201E58"/>
    <w:rsid w:val="0020533E"/>
    <w:rsid w:val="00207DF5"/>
    <w:rsid w:val="00207FA4"/>
    <w:rsid w:val="00211404"/>
    <w:rsid w:val="0021393F"/>
    <w:rsid w:val="00213A9C"/>
    <w:rsid w:val="0021590E"/>
    <w:rsid w:val="00215ABD"/>
    <w:rsid w:val="00216DE7"/>
    <w:rsid w:val="00217F06"/>
    <w:rsid w:val="0022013B"/>
    <w:rsid w:val="0022122B"/>
    <w:rsid w:val="00221405"/>
    <w:rsid w:val="00221A6A"/>
    <w:rsid w:val="00224292"/>
    <w:rsid w:val="00230441"/>
    <w:rsid w:val="00230DB7"/>
    <w:rsid w:val="00232B26"/>
    <w:rsid w:val="00233071"/>
    <w:rsid w:val="002332F5"/>
    <w:rsid w:val="00235AE8"/>
    <w:rsid w:val="00241A29"/>
    <w:rsid w:val="002425AC"/>
    <w:rsid w:val="00242EFB"/>
    <w:rsid w:val="00243B16"/>
    <w:rsid w:val="00244201"/>
    <w:rsid w:val="00245476"/>
    <w:rsid w:val="002461F2"/>
    <w:rsid w:val="002467A6"/>
    <w:rsid w:val="00252C8B"/>
    <w:rsid w:val="00255F02"/>
    <w:rsid w:val="00264C6F"/>
    <w:rsid w:val="00265597"/>
    <w:rsid w:val="00272E7D"/>
    <w:rsid w:val="00273A34"/>
    <w:rsid w:val="002772BC"/>
    <w:rsid w:val="0028128D"/>
    <w:rsid w:val="00284576"/>
    <w:rsid w:val="002862A1"/>
    <w:rsid w:val="00286C9B"/>
    <w:rsid w:val="002A2159"/>
    <w:rsid w:val="002A2AA5"/>
    <w:rsid w:val="002A3E04"/>
    <w:rsid w:val="002A4201"/>
    <w:rsid w:val="002A42DB"/>
    <w:rsid w:val="002A46F6"/>
    <w:rsid w:val="002A69C6"/>
    <w:rsid w:val="002A6B9C"/>
    <w:rsid w:val="002A761F"/>
    <w:rsid w:val="002A7D5E"/>
    <w:rsid w:val="002B0596"/>
    <w:rsid w:val="002B1D58"/>
    <w:rsid w:val="002B2051"/>
    <w:rsid w:val="002B60A9"/>
    <w:rsid w:val="002C5561"/>
    <w:rsid w:val="002C59DA"/>
    <w:rsid w:val="002C7951"/>
    <w:rsid w:val="002D1546"/>
    <w:rsid w:val="002D6917"/>
    <w:rsid w:val="002E022B"/>
    <w:rsid w:val="002E1383"/>
    <w:rsid w:val="002E1D23"/>
    <w:rsid w:val="002E33E5"/>
    <w:rsid w:val="002E4FC2"/>
    <w:rsid w:val="002E5343"/>
    <w:rsid w:val="002F6724"/>
    <w:rsid w:val="00302F8E"/>
    <w:rsid w:val="00305A6E"/>
    <w:rsid w:val="0030651C"/>
    <w:rsid w:val="00310FFE"/>
    <w:rsid w:val="003157F0"/>
    <w:rsid w:val="00316E18"/>
    <w:rsid w:val="00316FA2"/>
    <w:rsid w:val="003170AD"/>
    <w:rsid w:val="00317172"/>
    <w:rsid w:val="003240FB"/>
    <w:rsid w:val="003265EC"/>
    <w:rsid w:val="003269DD"/>
    <w:rsid w:val="00326BFB"/>
    <w:rsid w:val="00327060"/>
    <w:rsid w:val="00333A24"/>
    <w:rsid w:val="00333B3E"/>
    <w:rsid w:val="00334642"/>
    <w:rsid w:val="003347AB"/>
    <w:rsid w:val="00335093"/>
    <w:rsid w:val="00335161"/>
    <w:rsid w:val="003352A0"/>
    <w:rsid w:val="003400F9"/>
    <w:rsid w:val="00350A53"/>
    <w:rsid w:val="0035435C"/>
    <w:rsid w:val="00355FE5"/>
    <w:rsid w:val="00356D41"/>
    <w:rsid w:val="003615FE"/>
    <w:rsid w:val="00361B75"/>
    <w:rsid w:val="00362DE9"/>
    <w:rsid w:val="003716AC"/>
    <w:rsid w:val="0037306C"/>
    <w:rsid w:val="0037480B"/>
    <w:rsid w:val="003750F5"/>
    <w:rsid w:val="00383483"/>
    <w:rsid w:val="00383880"/>
    <w:rsid w:val="00385F9B"/>
    <w:rsid w:val="003906F6"/>
    <w:rsid w:val="003907BA"/>
    <w:rsid w:val="003913CD"/>
    <w:rsid w:val="0039154A"/>
    <w:rsid w:val="00391B97"/>
    <w:rsid w:val="003957EE"/>
    <w:rsid w:val="00396D87"/>
    <w:rsid w:val="00397821"/>
    <w:rsid w:val="003A36AE"/>
    <w:rsid w:val="003A37C6"/>
    <w:rsid w:val="003A502A"/>
    <w:rsid w:val="003A6B47"/>
    <w:rsid w:val="003A7383"/>
    <w:rsid w:val="003A77A6"/>
    <w:rsid w:val="003A7E07"/>
    <w:rsid w:val="003B138E"/>
    <w:rsid w:val="003B178B"/>
    <w:rsid w:val="003B5898"/>
    <w:rsid w:val="003B6156"/>
    <w:rsid w:val="003C0A87"/>
    <w:rsid w:val="003C2376"/>
    <w:rsid w:val="003D1807"/>
    <w:rsid w:val="003D781D"/>
    <w:rsid w:val="003D7B03"/>
    <w:rsid w:val="003E0103"/>
    <w:rsid w:val="003E16FC"/>
    <w:rsid w:val="003E17B7"/>
    <w:rsid w:val="003E2953"/>
    <w:rsid w:val="003E307F"/>
    <w:rsid w:val="003E3EF6"/>
    <w:rsid w:val="003F0739"/>
    <w:rsid w:val="003F1FDD"/>
    <w:rsid w:val="003F23DA"/>
    <w:rsid w:val="003F2BC4"/>
    <w:rsid w:val="003F4597"/>
    <w:rsid w:val="004009E2"/>
    <w:rsid w:val="004021C3"/>
    <w:rsid w:val="00402804"/>
    <w:rsid w:val="00402BBF"/>
    <w:rsid w:val="00407C46"/>
    <w:rsid w:val="00412A19"/>
    <w:rsid w:val="00420F34"/>
    <w:rsid w:val="0042229C"/>
    <w:rsid w:val="004242B5"/>
    <w:rsid w:val="0042511B"/>
    <w:rsid w:val="00427019"/>
    <w:rsid w:val="004317AA"/>
    <w:rsid w:val="00432A14"/>
    <w:rsid w:val="00435121"/>
    <w:rsid w:val="004406A0"/>
    <w:rsid w:val="00441491"/>
    <w:rsid w:val="00443764"/>
    <w:rsid w:val="0044543C"/>
    <w:rsid w:val="0044582D"/>
    <w:rsid w:val="00445B86"/>
    <w:rsid w:val="0044607A"/>
    <w:rsid w:val="004474A9"/>
    <w:rsid w:val="00450187"/>
    <w:rsid w:val="00450675"/>
    <w:rsid w:val="0045073F"/>
    <w:rsid w:val="00450879"/>
    <w:rsid w:val="00453A7A"/>
    <w:rsid w:val="004558E1"/>
    <w:rsid w:val="00456A58"/>
    <w:rsid w:val="0045710C"/>
    <w:rsid w:val="00457ACD"/>
    <w:rsid w:val="00460B8C"/>
    <w:rsid w:val="00460C64"/>
    <w:rsid w:val="00461D7E"/>
    <w:rsid w:val="00466491"/>
    <w:rsid w:val="00466C54"/>
    <w:rsid w:val="00472E22"/>
    <w:rsid w:val="00473960"/>
    <w:rsid w:val="00475362"/>
    <w:rsid w:val="00476002"/>
    <w:rsid w:val="004819CB"/>
    <w:rsid w:val="00483C38"/>
    <w:rsid w:val="00485BAB"/>
    <w:rsid w:val="00487A73"/>
    <w:rsid w:val="004910CC"/>
    <w:rsid w:val="00492F18"/>
    <w:rsid w:val="00493131"/>
    <w:rsid w:val="0049665E"/>
    <w:rsid w:val="0049706D"/>
    <w:rsid w:val="00497133"/>
    <w:rsid w:val="004A0F55"/>
    <w:rsid w:val="004A1776"/>
    <w:rsid w:val="004A2C77"/>
    <w:rsid w:val="004A3845"/>
    <w:rsid w:val="004A43AE"/>
    <w:rsid w:val="004A4747"/>
    <w:rsid w:val="004A6BBD"/>
    <w:rsid w:val="004B3071"/>
    <w:rsid w:val="004B797D"/>
    <w:rsid w:val="004C105F"/>
    <w:rsid w:val="004C6ECD"/>
    <w:rsid w:val="004D19D0"/>
    <w:rsid w:val="004D1EA1"/>
    <w:rsid w:val="004D5911"/>
    <w:rsid w:val="004E005F"/>
    <w:rsid w:val="004E1583"/>
    <w:rsid w:val="004E181B"/>
    <w:rsid w:val="004E2A99"/>
    <w:rsid w:val="004E2BCE"/>
    <w:rsid w:val="004E6269"/>
    <w:rsid w:val="004E7D31"/>
    <w:rsid w:val="004F0320"/>
    <w:rsid w:val="004F0460"/>
    <w:rsid w:val="004F4591"/>
    <w:rsid w:val="00500025"/>
    <w:rsid w:val="00501F8C"/>
    <w:rsid w:val="0050258C"/>
    <w:rsid w:val="005028D4"/>
    <w:rsid w:val="00502A56"/>
    <w:rsid w:val="00505452"/>
    <w:rsid w:val="00506254"/>
    <w:rsid w:val="00507267"/>
    <w:rsid w:val="005107B4"/>
    <w:rsid w:val="005117DE"/>
    <w:rsid w:val="00515B73"/>
    <w:rsid w:val="0051648D"/>
    <w:rsid w:val="005200FB"/>
    <w:rsid w:val="005214AF"/>
    <w:rsid w:val="00525C54"/>
    <w:rsid w:val="00526670"/>
    <w:rsid w:val="00527758"/>
    <w:rsid w:val="00531808"/>
    <w:rsid w:val="00534193"/>
    <w:rsid w:val="0053528F"/>
    <w:rsid w:val="00543F29"/>
    <w:rsid w:val="00543F83"/>
    <w:rsid w:val="00546EE5"/>
    <w:rsid w:val="00550E1E"/>
    <w:rsid w:val="005518F1"/>
    <w:rsid w:val="00552522"/>
    <w:rsid w:val="00553023"/>
    <w:rsid w:val="005539C7"/>
    <w:rsid w:val="005549AF"/>
    <w:rsid w:val="00557070"/>
    <w:rsid w:val="00560C14"/>
    <w:rsid w:val="00561523"/>
    <w:rsid w:val="00562595"/>
    <w:rsid w:val="00562971"/>
    <w:rsid w:val="00570D92"/>
    <w:rsid w:val="00575620"/>
    <w:rsid w:val="005845B1"/>
    <w:rsid w:val="0058495A"/>
    <w:rsid w:val="0059003D"/>
    <w:rsid w:val="0059148B"/>
    <w:rsid w:val="00593B0C"/>
    <w:rsid w:val="0059407B"/>
    <w:rsid w:val="005A0D8B"/>
    <w:rsid w:val="005A5C96"/>
    <w:rsid w:val="005B02FD"/>
    <w:rsid w:val="005B281A"/>
    <w:rsid w:val="005B2AFD"/>
    <w:rsid w:val="005B2B2B"/>
    <w:rsid w:val="005B37DF"/>
    <w:rsid w:val="005B530C"/>
    <w:rsid w:val="005C01BD"/>
    <w:rsid w:val="005C2523"/>
    <w:rsid w:val="005D0793"/>
    <w:rsid w:val="005D0A31"/>
    <w:rsid w:val="005D25ED"/>
    <w:rsid w:val="005D2E37"/>
    <w:rsid w:val="005D629C"/>
    <w:rsid w:val="005D7B90"/>
    <w:rsid w:val="005D7D9D"/>
    <w:rsid w:val="005E02ED"/>
    <w:rsid w:val="005E05B2"/>
    <w:rsid w:val="005E1B60"/>
    <w:rsid w:val="005E27EA"/>
    <w:rsid w:val="005E3F65"/>
    <w:rsid w:val="005E4169"/>
    <w:rsid w:val="005E685D"/>
    <w:rsid w:val="005E723D"/>
    <w:rsid w:val="005F1543"/>
    <w:rsid w:val="005F3820"/>
    <w:rsid w:val="005F434B"/>
    <w:rsid w:val="00602192"/>
    <w:rsid w:val="006027F6"/>
    <w:rsid w:val="00603BB8"/>
    <w:rsid w:val="00606984"/>
    <w:rsid w:val="0061267C"/>
    <w:rsid w:val="00612EF9"/>
    <w:rsid w:val="00616D00"/>
    <w:rsid w:val="006170CE"/>
    <w:rsid w:val="006252B0"/>
    <w:rsid w:val="00625DD0"/>
    <w:rsid w:val="00633C91"/>
    <w:rsid w:val="00635690"/>
    <w:rsid w:val="00637D7C"/>
    <w:rsid w:val="0064092A"/>
    <w:rsid w:val="00644751"/>
    <w:rsid w:val="00644FB1"/>
    <w:rsid w:val="00645785"/>
    <w:rsid w:val="00645BB1"/>
    <w:rsid w:val="00646841"/>
    <w:rsid w:val="00652DDD"/>
    <w:rsid w:val="0065526A"/>
    <w:rsid w:val="00656A45"/>
    <w:rsid w:val="0066200E"/>
    <w:rsid w:val="00665492"/>
    <w:rsid w:val="00671248"/>
    <w:rsid w:val="00671B44"/>
    <w:rsid w:val="00672975"/>
    <w:rsid w:val="00672D94"/>
    <w:rsid w:val="006763ED"/>
    <w:rsid w:val="00682845"/>
    <w:rsid w:val="00683243"/>
    <w:rsid w:val="006832E3"/>
    <w:rsid w:val="006836EB"/>
    <w:rsid w:val="0068630E"/>
    <w:rsid w:val="00686BA9"/>
    <w:rsid w:val="0069008E"/>
    <w:rsid w:val="00693427"/>
    <w:rsid w:val="00694D59"/>
    <w:rsid w:val="00694F11"/>
    <w:rsid w:val="00697D4B"/>
    <w:rsid w:val="006A06FD"/>
    <w:rsid w:val="006A1F8B"/>
    <w:rsid w:val="006A25F4"/>
    <w:rsid w:val="006B48A3"/>
    <w:rsid w:val="006B5C32"/>
    <w:rsid w:val="006B6E89"/>
    <w:rsid w:val="006C085A"/>
    <w:rsid w:val="006C1126"/>
    <w:rsid w:val="006C16C5"/>
    <w:rsid w:val="006C18CA"/>
    <w:rsid w:val="006C18DC"/>
    <w:rsid w:val="006C43B7"/>
    <w:rsid w:val="006C5163"/>
    <w:rsid w:val="006D060C"/>
    <w:rsid w:val="006D0A26"/>
    <w:rsid w:val="006D0AA2"/>
    <w:rsid w:val="006D0D82"/>
    <w:rsid w:val="006D0D8A"/>
    <w:rsid w:val="006D28BE"/>
    <w:rsid w:val="006D2CA8"/>
    <w:rsid w:val="006D4A82"/>
    <w:rsid w:val="006D7CF5"/>
    <w:rsid w:val="006E5E62"/>
    <w:rsid w:val="006E6078"/>
    <w:rsid w:val="006F027D"/>
    <w:rsid w:val="006F0AAC"/>
    <w:rsid w:val="006F3034"/>
    <w:rsid w:val="006F3965"/>
    <w:rsid w:val="006F4BD4"/>
    <w:rsid w:val="006F5A05"/>
    <w:rsid w:val="006F5BB1"/>
    <w:rsid w:val="006F739E"/>
    <w:rsid w:val="007015B0"/>
    <w:rsid w:val="00701E8C"/>
    <w:rsid w:val="00703E05"/>
    <w:rsid w:val="00705E66"/>
    <w:rsid w:val="00707736"/>
    <w:rsid w:val="00707DCC"/>
    <w:rsid w:val="00707E55"/>
    <w:rsid w:val="00711B6F"/>
    <w:rsid w:val="00712695"/>
    <w:rsid w:val="007153CF"/>
    <w:rsid w:val="007161BB"/>
    <w:rsid w:val="007213A3"/>
    <w:rsid w:val="00723748"/>
    <w:rsid w:val="00723751"/>
    <w:rsid w:val="00724143"/>
    <w:rsid w:val="0072485A"/>
    <w:rsid w:val="00727477"/>
    <w:rsid w:val="00727684"/>
    <w:rsid w:val="00731657"/>
    <w:rsid w:val="00732A64"/>
    <w:rsid w:val="0073619E"/>
    <w:rsid w:val="00737FB4"/>
    <w:rsid w:val="0074086B"/>
    <w:rsid w:val="007458ED"/>
    <w:rsid w:val="00754340"/>
    <w:rsid w:val="0076064D"/>
    <w:rsid w:val="00763F51"/>
    <w:rsid w:val="00764F8C"/>
    <w:rsid w:val="00765025"/>
    <w:rsid w:val="007661FE"/>
    <w:rsid w:val="00767455"/>
    <w:rsid w:val="00772B5C"/>
    <w:rsid w:val="007733F7"/>
    <w:rsid w:val="00773CB7"/>
    <w:rsid w:val="0077477B"/>
    <w:rsid w:val="007754CF"/>
    <w:rsid w:val="00775738"/>
    <w:rsid w:val="0077709D"/>
    <w:rsid w:val="007778D2"/>
    <w:rsid w:val="007816AB"/>
    <w:rsid w:val="00781D11"/>
    <w:rsid w:val="0078235A"/>
    <w:rsid w:val="00782BE1"/>
    <w:rsid w:val="00787622"/>
    <w:rsid w:val="0079090F"/>
    <w:rsid w:val="00792008"/>
    <w:rsid w:val="007920F4"/>
    <w:rsid w:val="007921EB"/>
    <w:rsid w:val="007930E5"/>
    <w:rsid w:val="00795A76"/>
    <w:rsid w:val="00796E6F"/>
    <w:rsid w:val="007976AC"/>
    <w:rsid w:val="007978F7"/>
    <w:rsid w:val="007A11AF"/>
    <w:rsid w:val="007A290E"/>
    <w:rsid w:val="007A3F5E"/>
    <w:rsid w:val="007A4B97"/>
    <w:rsid w:val="007A5E51"/>
    <w:rsid w:val="007A7C08"/>
    <w:rsid w:val="007B2655"/>
    <w:rsid w:val="007B2722"/>
    <w:rsid w:val="007B3A19"/>
    <w:rsid w:val="007B40C8"/>
    <w:rsid w:val="007B7563"/>
    <w:rsid w:val="007C011F"/>
    <w:rsid w:val="007C0401"/>
    <w:rsid w:val="007C1ABC"/>
    <w:rsid w:val="007C3227"/>
    <w:rsid w:val="007C6727"/>
    <w:rsid w:val="007C7540"/>
    <w:rsid w:val="007D2138"/>
    <w:rsid w:val="007D3B96"/>
    <w:rsid w:val="007D7D53"/>
    <w:rsid w:val="007E2B7E"/>
    <w:rsid w:val="007E3B48"/>
    <w:rsid w:val="007E619C"/>
    <w:rsid w:val="007F0750"/>
    <w:rsid w:val="007F1354"/>
    <w:rsid w:val="007F1F12"/>
    <w:rsid w:val="007F5301"/>
    <w:rsid w:val="007F68A0"/>
    <w:rsid w:val="007F7601"/>
    <w:rsid w:val="0080045D"/>
    <w:rsid w:val="0080125E"/>
    <w:rsid w:val="00804715"/>
    <w:rsid w:val="00804A83"/>
    <w:rsid w:val="00805640"/>
    <w:rsid w:val="00805AD2"/>
    <w:rsid w:val="00807809"/>
    <w:rsid w:val="00807C39"/>
    <w:rsid w:val="00811A75"/>
    <w:rsid w:val="00812F1D"/>
    <w:rsid w:val="00816D54"/>
    <w:rsid w:val="00817E82"/>
    <w:rsid w:val="00820659"/>
    <w:rsid w:val="00820FC2"/>
    <w:rsid w:val="00827F56"/>
    <w:rsid w:val="00832C68"/>
    <w:rsid w:val="00834D3A"/>
    <w:rsid w:val="00835EEA"/>
    <w:rsid w:val="008372BF"/>
    <w:rsid w:val="00844B49"/>
    <w:rsid w:val="00844DB2"/>
    <w:rsid w:val="00846377"/>
    <w:rsid w:val="00846AAC"/>
    <w:rsid w:val="00847700"/>
    <w:rsid w:val="00851C2E"/>
    <w:rsid w:val="0085235D"/>
    <w:rsid w:val="008537EC"/>
    <w:rsid w:val="00854EBB"/>
    <w:rsid w:val="008551ED"/>
    <w:rsid w:val="00855D98"/>
    <w:rsid w:val="00857C34"/>
    <w:rsid w:val="008614D5"/>
    <w:rsid w:val="00862A64"/>
    <w:rsid w:val="00863D3C"/>
    <w:rsid w:val="008676DD"/>
    <w:rsid w:val="008719C7"/>
    <w:rsid w:val="00873571"/>
    <w:rsid w:val="00873C4F"/>
    <w:rsid w:val="008820F0"/>
    <w:rsid w:val="00887F61"/>
    <w:rsid w:val="00890638"/>
    <w:rsid w:val="00897884"/>
    <w:rsid w:val="00897E3C"/>
    <w:rsid w:val="00897FAF"/>
    <w:rsid w:val="008A2B92"/>
    <w:rsid w:val="008A47F5"/>
    <w:rsid w:val="008A4A0D"/>
    <w:rsid w:val="008A5170"/>
    <w:rsid w:val="008A7F41"/>
    <w:rsid w:val="008B32E5"/>
    <w:rsid w:val="008C1ABF"/>
    <w:rsid w:val="008C1D6E"/>
    <w:rsid w:val="008C37EE"/>
    <w:rsid w:val="008C4378"/>
    <w:rsid w:val="008C440E"/>
    <w:rsid w:val="008C44D7"/>
    <w:rsid w:val="008C5580"/>
    <w:rsid w:val="008C5726"/>
    <w:rsid w:val="008C5EDE"/>
    <w:rsid w:val="008D035D"/>
    <w:rsid w:val="008D0584"/>
    <w:rsid w:val="008D1AC2"/>
    <w:rsid w:val="008D2DE9"/>
    <w:rsid w:val="008D2E97"/>
    <w:rsid w:val="008D3D45"/>
    <w:rsid w:val="008D656E"/>
    <w:rsid w:val="008E05A3"/>
    <w:rsid w:val="008E2B02"/>
    <w:rsid w:val="008E37F3"/>
    <w:rsid w:val="008E5C73"/>
    <w:rsid w:val="008E684B"/>
    <w:rsid w:val="008F0FBC"/>
    <w:rsid w:val="008F1427"/>
    <w:rsid w:val="008F29D4"/>
    <w:rsid w:val="008F484F"/>
    <w:rsid w:val="008F55F7"/>
    <w:rsid w:val="008F6EBE"/>
    <w:rsid w:val="00902A13"/>
    <w:rsid w:val="00904420"/>
    <w:rsid w:val="009077CD"/>
    <w:rsid w:val="00911DEC"/>
    <w:rsid w:val="00915B07"/>
    <w:rsid w:val="00922708"/>
    <w:rsid w:val="00922CBF"/>
    <w:rsid w:val="00924D6C"/>
    <w:rsid w:val="00925604"/>
    <w:rsid w:val="00925C90"/>
    <w:rsid w:val="009274D0"/>
    <w:rsid w:val="00930AFF"/>
    <w:rsid w:val="00933906"/>
    <w:rsid w:val="009341C8"/>
    <w:rsid w:val="00935392"/>
    <w:rsid w:val="00936EFD"/>
    <w:rsid w:val="00941C5F"/>
    <w:rsid w:val="009421CA"/>
    <w:rsid w:val="009434A7"/>
    <w:rsid w:val="009448F4"/>
    <w:rsid w:val="0094513C"/>
    <w:rsid w:val="00947B2C"/>
    <w:rsid w:val="0095118B"/>
    <w:rsid w:val="009527DF"/>
    <w:rsid w:val="00953DD9"/>
    <w:rsid w:val="00953F88"/>
    <w:rsid w:val="00954ECB"/>
    <w:rsid w:val="009567DD"/>
    <w:rsid w:val="0095749A"/>
    <w:rsid w:val="00957C01"/>
    <w:rsid w:val="009603E5"/>
    <w:rsid w:val="00962D17"/>
    <w:rsid w:val="00963DAA"/>
    <w:rsid w:val="009641D7"/>
    <w:rsid w:val="009647E9"/>
    <w:rsid w:val="00965DED"/>
    <w:rsid w:val="0097281A"/>
    <w:rsid w:val="00974251"/>
    <w:rsid w:val="00977857"/>
    <w:rsid w:val="00980AA2"/>
    <w:rsid w:val="009811F0"/>
    <w:rsid w:val="009847CF"/>
    <w:rsid w:val="00986626"/>
    <w:rsid w:val="009867BA"/>
    <w:rsid w:val="00990921"/>
    <w:rsid w:val="00991565"/>
    <w:rsid w:val="0099166C"/>
    <w:rsid w:val="009920FB"/>
    <w:rsid w:val="009929DE"/>
    <w:rsid w:val="00993B30"/>
    <w:rsid w:val="0099525F"/>
    <w:rsid w:val="009A148E"/>
    <w:rsid w:val="009A3483"/>
    <w:rsid w:val="009A4A22"/>
    <w:rsid w:val="009B0541"/>
    <w:rsid w:val="009B13CA"/>
    <w:rsid w:val="009B13F7"/>
    <w:rsid w:val="009B2577"/>
    <w:rsid w:val="009B4616"/>
    <w:rsid w:val="009B6273"/>
    <w:rsid w:val="009B6E9A"/>
    <w:rsid w:val="009B75D7"/>
    <w:rsid w:val="009C3261"/>
    <w:rsid w:val="009C5EAE"/>
    <w:rsid w:val="009C605F"/>
    <w:rsid w:val="009D173F"/>
    <w:rsid w:val="009D1DE5"/>
    <w:rsid w:val="009D1E56"/>
    <w:rsid w:val="009D2D94"/>
    <w:rsid w:val="009D3807"/>
    <w:rsid w:val="009D445C"/>
    <w:rsid w:val="009D6834"/>
    <w:rsid w:val="009E02B0"/>
    <w:rsid w:val="009E0EE0"/>
    <w:rsid w:val="009E1627"/>
    <w:rsid w:val="009E38E1"/>
    <w:rsid w:val="009E3FAA"/>
    <w:rsid w:val="009E6F4E"/>
    <w:rsid w:val="009F0A68"/>
    <w:rsid w:val="009F5C3A"/>
    <w:rsid w:val="009F70C5"/>
    <w:rsid w:val="009F7946"/>
    <w:rsid w:val="00A014A5"/>
    <w:rsid w:val="00A01BF1"/>
    <w:rsid w:val="00A0243D"/>
    <w:rsid w:val="00A02F32"/>
    <w:rsid w:val="00A05D54"/>
    <w:rsid w:val="00A0679F"/>
    <w:rsid w:val="00A07389"/>
    <w:rsid w:val="00A074A7"/>
    <w:rsid w:val="00A13DE5"/>
    <w:rsid w:val="00A16E1C"/>
    <w:rsid w:val="00A20784"/>
    <w:rsid w:val="00A229C8"/>
    <w:rsid w:val="00A25842"/>
    <w:rsid w:val="00A3003E"/>
    <w:rsid w:val="00A322B5"/>
    <w:rsid w:val="00A32877"/>
    <w:rsid w:val="00A33769"/>
    <w:rsid w:val="00A3662C"/>
    <w:rsid w:val="00A369D4"/>
    <w:rsid w:val="00A402EA"/>
    <w:rsid w:val="00A417E3"/>
    <w:rsid w:val="00A41ECF"/>
    <w:rsid w:val="00A42C77"/>
    <w:rsid w:val="00A459CB"/>
    <w:rsid w:val="00A45B97"/>
    <w:rsid w:val="00A45BB1"/>
    <w:rsid w:val="00A50420"/>
    <w:rsid w:val="00A51EF9"/>
    <w:rsid w:val="00A55824"/>
    <w:rsid w:val="00A61712"/>
    <w:rsid w:val="00A753E7"/>
    <w:rsid w:val="00A87FB4"/>
    <w:rsid w:val="00A917A5"/>
    <w:rsid w:val="00A96849"/>
    <w:rsid w:val="00AA0C1C"/>
    <w:rsid w:val="00AA2C2D"/>
    <w:rsid w:val="00AA5A24"/>
    <w:rsid w:val="00AB0DEC"/>
    <w:rsid w:val="00AB218F"/>
    <w:rsid w:val="00AB28E1"/>
    <w:rsid w:val="00AB51F8"/>
    <w:rsid w:val="00AC413D"/>
    <w:rsid w:val="00AC41DF"/>
    <w:rsid w:val="00AC4BAF"/>
    <w:rsid w:val="00AC5499"/>
    <w:rsid w:val="00AD045E"/>
    <w:rsid w:val="00AD055F"/>
    <w:rsid w:val="00AD17AB"/>
    <w:rsid w:val="00AD199F"/>
    <w:rsid w:val="00AD2265"/>
    <w:rsid w:val="00AD4D21"/>
    <w:rsid w:val="00AD6106"/>
    <w:rsid w:val="00AD6427"/>
    <w:rsid w:val="00AD7485"/>
    <w:rsid w:val="00AE5315"/>
    <w:rsid w:val="00AE5C33"/>
    <w:rsid w:val="00AE7624"/>
    <w:rsid w:val="00AE7C9D"/>
    <w:rsid w:val="00AF34DD"/>
    <w:rsid w:val="00AF6130"/>
    <w:rsid w:val="00AF71A2"/>
    <w:rsid w:val="00B01B84"/>
    <w:rsid w:val="00B02D83"/>
    <w:rsid w:val="00B02E5A"/>
    <w:rsid w:val="00B04450"/>
    <w:rsid w:val="00B04A34"/>
    <w:rsid w:val="00B11B83"/>
    <w:rsid w:val="00B17635"/>
    <w:rsid w:val="00B20EF4"/>
    <w:rsid w:val="00B23336"/>
    <w:rsid w:val="00B24DA9"/>
    <w:rsid w:val="00B24EDC"/>
    <w:rsid w:val="00B24F4B"/>
    <w:rsid w:val="00B31FD9"/>
    <w:rsid w:val="00B3347E"/>
    <w:rsid w:val="00B34A61"/>
    <w:rsid w:val="00B36B6C"/>
    <w:rsid w:val="00B36BAD"/>
    <w:rsid w:val="00B36ECD"/>
    <w:rsid w:val="00B4054F"/>
    <w:rsid w:val="00B413B4"/>
    <w:rsid w:val="00B43F3B"/>
    <w:rsid w:val="00B44364"/>
    <w:rsid w:val="00B50360"/>
    <w:rsid w:val="00B538E9"/>
    <w:rsid w:val="00B6065D"/>
    <w:rsid w:val="00B6078C"/>
    <w:rsid w:val="00B62A14"/>
    <w:rsid w:val="00B63570"/>
    <w:rsid w:val="00B6522B"/>
    <w:rsid w:val="00B668D2"/>
    <w:rsid w:val="00B66D18"/>
    <w:rsid w:val="00B67C38"/>
    <w:rsid w:val="00B71FBE"/>
    <w:rsid w:val="00B769C7"/>
    <w:rsid w:val="00B77B64"/>
    <w:rsid w:val="00B80D5F"/>
    <w:rsid w:val="00B824F9"/>
    <w:rsid w:val="00B82D5C"/>
    <w:rsid w:val="00B8490B"/>
    <w:rsid w:val="00B84AEC"/>
    <w:rsid w:val="00B871D3"/>
    <w:rsid w:val="00B9255D"/>
    <w:rsid w:val="00B94635"/>
    <w:rsid w:val="00B94B06"/>
    <w:rsid w:val="00B95144"/>
    <w:rsid w:val="00BA0F8C"/>
    <w:rsid w:val="00BA1503"/>
    <w:rsid w:val="00BA1887"/>
    <w:rsid w:val="00BA2579"/>
    <w:rsid w:val="00BA4017"/>
    <w:rsid w:val="00BA4B06"/>
    <w:rsid w:val="00BA7499"/>
    <w:rsid w:val="00BC2242"/>
    <w:rsid w:val="00BC2D98"/>
    <w:rsid w:val="00BC4B19"/>
    <w:rsid w:val="00BC5371"/>
    <w:rsid w:val="00BC67CF"/>
    <w:rsid w:val="00BD0278"/>
    <w:rsid w:val="00BD3C3B"/>
    <w:rsid w:val="00BD4C7C"/>
    <w:rsid w:val="00BD580F"/>
    <w:rsid w:val="00BD6E21"/>
    <w:rsid w:val="00BE0772"/>
    <w:rsid w:val="00BE0BC5"/>
    <w:rsid w:val="00BE3ECD"/>
    <w:rsid w:val="00BE5C54"/>
    <w:rsid w:val="00BE5FD3"/>
    <w:rsid w:val="00BF09D5"/>
    <w:rsid w:val="00BF24D5"/>
    <w:rsid w:val="00BF3856"/>
    <w:rsid w:val="00C0285D"/>
    <w:rsid w:val="00C07BC4"/>
    <w:rsid w:val="00C14258"/>
    <w:rsid w:val="00C14808"/>
    <w:rsid w:val="00C15854"/>
    <w:rsid w:val="00C158FB"/>
    <w:rsid w:val="00C15C6B"/>
    <w:rsid w:val="00C15F20"/>
    <w:rsid w:val="00C16D21"/>
    <w:rsid w:val="00C17F20"/>
    <w:rsid w:val="00C200D0"/>
    <w:rsid w:val="00C24998"/>
    <w:rsid w:val="00C2568D"/>
    <w:rsid w:val="00C33787"/>
    <w:rsid w:val="00C3576C"/>
    <w:rsid w:val="00C35828"/>
    <w:rsid w:val="00C37684"/>
    <w:rsid w:val="00C41FB2"/>
    <w:rsid w:val="00C44F77"/>
    <w:rsid w:val="00C45B23"/>
    <w:rsid w:val="00C45C0C"/>
    <w:rsid w:val="00C479C0"/>
    <w:rsid w:val="00C559EE"/>
    <w:rsid w:val="00C561FF"/>
    <w:rsid w:val="00C62345"/>
    <w:rsid w:val="00C64935"/>
    <w:rsid w:val="00C65830"/>
    <w:rsid w:val="00C67DD5"/>
    <w:rsid w:val="00C73404"/>
    <w:rsid w:val="00C7445D"/>
    <w:rsid w:val="00C80A1F"/>
    <w:rsid w:val="00C81DAA"/>
    <w:rsid w:val="00C827E9"/>
    <w:rsid w:val="00C84E6C"/>
    <w:rsid w:val="00C854B2"/>
    <w:rsid w:val="00C86053"/>
    <w:rsid w:val="00C91470"/>
    <w:rsid w:val="00C92BA8"/>
    <w:rsid w:val="00C93E6D"/>
    <w:rsid w:val="00C944E1"/>
    <w:rsid w:val="00C94C5C"/>
    <w:rsid w:val="00C9639D"/>
    <w:rsid w:val="00C9678E"/>
    <w:rsid w:val="00C96C58"/>
    <w:rsid w:val="00C971A4"/>
    <w:rsid w:val="00CA01C9"/>
    <w:rsid w:val="00CA1868"/>
    <w:rsid w:val="00CA1C51"/>
    <w:rsid w:val="00CA2735"/>
    <w:rsid w:val="00CA390F"/>
    <w:rsid w:val="00CA62AD"/>
    <w:rsid w:val="00CA7B09"/>
    <w:rsid w:val="00CB24FB"/>
    <w:rsid w:val="00CB28CE"/>
    <w:rsid w:val="00CB39E8"/>
    <w:rsid w:val="00CB65F3"/>
    <w:rsid w:val="00CB74A4"/>
    <w:rsid w:val="00CC2D58"/>
    <w:rsid w:val="00CC2E31"/>
    <w:rsid w:val="00CC7858"/>
    <w:rsid w:val="00CC7D68"/>
    <w:rsid w:val="00CD2E53"/>
    <w:rsid w:val="00CD42FC"/>
    <w:rsid w:val="00CD4E74"/>
    <w:rsid w:val="00CE00E3"/>
    <w:rsid w:val="00CE123D"/>
    <w:rsid w:val="00CE375E"/>
    <w:rsid w:val="00CE46C4"/>
    <w:rsid w:val="00CE5690"/>
    <w:rsid w:val="00CF1ACB"/>
    <w:rsid w:val="00CF4CE6"/>
    <w:rsid w:val="00CF708C"/>
    <w:rsid w:val="00D0112C"/>
    <w:rsid w:val="00D025D4"/>
    <w:rsid w:val="00D0388C"/>
    <w:rsid w:val="00D056DC"/>
    <w:rsid w:val="00D130BE"/>
    <w:rsid w:val="00D1383A"/>
    <w:rsid w:val="00D1496C"/>
    <w:rsid w:val="00D16EDE"/>
    <w:rsid w:val="00D23851"/>
    <w:rsid w:val="00D26EC6"/>
    <w:rsid w:val="00D30E97"/>
    <w:rsid w:val="00D34FE1"/>
    <w:rsid w:val="00D3571A"/>
    <w:rsid w:val="00D400EA"/>
    <w:rsid w:val="00D42448"/>
    <w:rsid w:val="00D436AB"/>
    <w:rsid w:val="00D43E40"/>
    <w:rsid w:val="00D453C9"/>
    <w:rsid w:val="00D57770"/>
    <w:rsid w:val="00D636A7"/>
    <w:rsid w:val="00D63C79"/>
    <w:rsid w:val="00D670C1"/>
    <w:rsid w:val="00D67111"/>
    <w:rsid w:val="00D7137F"/>
    <w:rsid w:val="00D72AD8"/>
    <w:rsid w:val="00D74FC0"/>
    <w:rsid w:val="00D8148D"/>
    <w:rsid w:val="00D84C1C"/>
    <w:rsid w:val="00D851B6"/>
    <w:rsid w:val="00D8655E"/>
    <w:rsid w:val="00D87BA1"/>
    <w:rsid w:val="00D95493"/>
    <w:rsid w:val="00DA1813"/>
    <w:rsid w:val="00DA20CD"/>
    <w:rsid w:val="00DB3470"/>
    <w:rsid w:val="00DB39E7"/>
    <w:rsid w:val="00DB6AA3"/>
    <w:rsid w:val="00DB6F44"/>
    <w:rsid w:val="00DC1147"/>
    <w:rsid w:val="00DC4380"/>
    <w:rsid w:val="00DC56E0"/>
    <w:rsid w:val="00DC6601"/>
    <w:rsid w:val="00DD1CE6"/>
    <w:rsid w:val="00DD1D27"/>
    <w:rsid w:val="00DD3432"/>
    <w:rsid w:val="00DE0066"/>
    <w:rsid w:val="00DE0893"/>
    <w:rsid w:val="00DE1C41"/>
    <w:rsid w:val="00DF0F42"/>
    <w:rsid w:val="00DF3C57"/>
    <w:rsid w:val="00DF5629"/>
    <w:rsid w:val="00E0668D"/>
    <w:rsid w:val="00E10127"/>
    <w:rsid w:val="00E10CAB"/>
    <w:rsid w:val="00E114F3"/>
    <w:rsid w:val="00E11903"/>
    <w:rsid w:val="00E230EA"/>
    <w:rsid w:val="00E23680"/>
    <w:rsid w:val="00E23D70"/>
    <w:rsid w:val="00E26FC3"/>
    <w:rsid w:val="00E32430"/>
    <w:rsid w:val="00E36B3E"/>
    <w:rsid w:val="00E407FF"/>
    <w:rsid w:val="00E42137"/>
    <w:rsid w:val="00E42671"/>
    <w:rsid w:val="00E42B16"/>
    <w:rsid w:val="00E43AE2"/>
    <w:rsid w:val="00E440D0"/>
    <w:rsid w:val="00E50853"/>
    <w:rsid w:val="00E542E8"/>
    <w:rsid w:val="00E54EB4"/>
    <w:rsid w:val="00E60B95"/>
    <w:rsid w:val="00E64BEB"/>
    <w:rsid w:val="00E66A22"/>
    <w:rsid w:val="00E768B6"/>
    <w:rsid w:val="00E80491"/>
    <w:rsid w:val="00E81719"/>
    <w:rsid w:val="00E82AC6"/>
    <w:rsid w:val="00E85081"/>
    <w:rsid w:val="00E86F0B"/>
    <w:rsid w:val="00E91990"/>
    <w:rsid w:val="00E92170"/>
    <w:rsid w:val="00E93097"/>
    <w:rsid w:val="00E943C4"/>
    <w:rsid w:val="00E95A9B"/>
    <w:rsid w:val="00EA2A6D"/>
    <w:rsid w:val="00EA2B33"/>
    <w:rsid w:val="00EA4647"/>
    <w:rsid w:val="00EA5244"/>
    <w:rsid w:val="00EA52E0"/>
    <w:rsid w:val="00EA7438"/>
    <w:rsid w:val="00EA7A1E"/>
    <w:rsid w:val="00EB27DF"/>
    <w:rsid w:val="00EB4B37"/>
    <w:rsid w:val="00EB4F8F"/>
    <w:rsid w:val="00EC05A5"/>
    <w:rsid w:val="00EC2C29"/>
    <w:rsid w:val="00EC5C0B"/>
    <w:rsid w:val="00EC6539"/>
    <w:rsid w:val="00EC737C"/>
    <w:rsid w:val="00EC7A1E"/>
    <w:rsid w:val="00ED35DD"/>
    <w:rsid w:val="00ED47FC"/>
    <w:rsid w:val="00ED5AE3"/>
    <w:rsid w:val="00ED63BE"/>
    <w:rsid w:val="00ED7668"/>
    <w:rsid w:val="00EE7ACC"/>
    <w:rsid w:val="00EF37FE"/>
    <w:rsid w:val="00EF4BDB"/>
    <w:rsid w:val="00EF5047"/>
    <w:rsid w:val="00EF5B48"/>
    <w:rsid w:val="00EF7C6F"/>
    <w:rsid w:val="00F00B65"/>
    <w:rsid w:val="00F024AB"/>
    <w:rsid w:val="00F07349"/>
    <w:rsid w:val="00F12B04"/>
    <w:rsid w:val="00F14194"/>
    <w:rsid w:val="00F14959"/>
    <w:rsid w:val="00F17527"/>
    <w:rsid w:val="00F178C5"/>
    <w:rsid w:val="00F17CF8"/>
    <w:rsid w:val="00F20698"/>
    <w:rsid w:val="00F208B2"/>
    <w:rsid w:val="00F2314D"/>
    <w:rsid w:val="00F25201"/>
    <w:rsid w:val="00F274EE"/>
    <w:rsid w:val="00F31222"/>
    <w:rsid w:val="00F3179D"/>
    <w:rsid w:val="00F31C3B"/>
    <w:rsid w:val="00F333FB"/>
    <w:rsid w:val="00F33D1A"/>
    <w:rsid w:val="00F34A66"/>
    <w:rsid w:val="00F34CD0"/>
    <w:rsid w:val="00F35E78"/>
    <w:rsid w:val="00F36AB7"/>
    <w:rsid w:val="00F37FDF"/>
    <w:rsid w:val="00F42C8A"/>
    <w:rsid w:val="00F461DE"/>
    <w:rsid w:val="00F4641D"/>
    <w:rsid w:val="00F54B47"/>
    <w:rsid w:val="00F57277"/>
    <w:rsid w:val="00F577E2"/>
    <w:rsid w:val="00F57D0B"/>
    <w:rsid w:val="00F62459"/>
    <w:rsid w:val="00F62AA6"/>
    <w:rsid w:val="00F63D0B"/>
    <w:rsid w:val="00F65D1E"/>
    <w:rsid w:val="00F66022"/>
    <w:rsid w:val="00F66701"/>
    <w:rsid w:val="00F669A3"/>
    <w:rsid w:val="00F67EEA"/>
    <w:rsid w:val="00F7027B"/>
    <w:rsid w:val="00F70780"/>
    <w:rsid w:val="00F723AC"/>
    <w:rsid w:val="00F74282"/>
    <w:rsid w:val="00F7720D"/>
    <w:rsid w:val="00F82A6E"/>
    <w:rsid w:val="00F82EC8"/>
    <w:rsid w:val="00F834CF"/>
    <w:rsid w:val="00F86877"/>
    <w:rsid w:val="00F868CD"/>
    <w:rsid w:val="00F872B3"/>
    <w:rsid w:val="00F87573"/>
    <w:rsid w:val="00F919D6"/>
    <w:rsid w:val="00F9290F"/>
    <w:rsid w:val="00F92D73"/>
    <w:rsid w:val="00F947AA"/>
    <w:rsid w:val="00F94CFF"/>
    <w:rsid w:val="00F96CAB"/>
    <w:rsid w:val="00FA1283"/>
    <w:rsid w:val="00FA144C"/>
    <w:rsid w:val="00FA38FF"/>
    <w:rsid w:val="00FA397E"/>
    <w:rsid w:val="00FA7321"/>
    <w:rsid w:val="00FA7F33"/>
    <w:rsid w:val="00FB0491"/>
    <w:rsid w:val="00FB0C34"/>
    <w:rsid w:val="00FB11DD"/>
    <w:rsid w:val="00FB2E4A"/>
    <w:rsid w:val="00FB586D"/>
    <w:rsid w:val="00FB5D11"/>
    <w:rsid w:val="00FC0D61"/>
    <w:rsid w:val="00FC3DB0"/>
    <w:rsid w:val="00FC4066"/>
    <w:rsid w:val="00FC5BCE"/>
    <w:rsid w:val="00FC695F"/>
    <w:rsid w:val="00FC798C"/>
    <w:rsid w:val="00FD2ADB"/>
    <w:rsid w:val="00FD55D3"/>
    <w:rsid w:val="00FD77C7"/>
    <w:rsid w:val="00FE1D27"/>
    <w:rsid w:val="00FE2CA4"/>
    <w:rsid w:val="00FE55D2"/>
    <w:rsid w:val="00FE61AE"/>
    <w:rsid w:val="00FE7EA1"/>
    <w:rsid w:val="00FF0D57"/>
    <w:rsid w:val="00FF16CA"/>
    <w:rsid w:val="00FF19A2"/>
    <w:rsid w:val="00FF501B"/>
    <w:rsid w:val="00FF5ABB"/>
    <w:rsid w:val="00FF63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78C35"/>
  <w15:chartTrackingRefBased/>
  <w15:docId w15:val="{2A88514A-5D89-44A9-91AE-75F824878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3" w:unhideWhenUsed="1" w:qFormat="1"/>
    <w:lsdException w:name="annotation text" w:semiHidden="1" w:uiPriority="0" w:unhideWhenUsed="1" w:qFormat="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F33"/>
    <w:pPr>
      <w:spacing w:after="240" w:line="240" w:lineRule="atLeast"/>
    </w:pPr>
    <w:rPr>
      <w:rFonts w:ascii="Arial" w:eastAsia="Times New Roman" w:hAnsi="Arial" w:cs="Times New Roman"/>
      <w:sz w:val="20"/>
      <w:szCs w:val="24"/>
      <w:lang w:eastAsia="en-AU"/>
    </w:rPr>
  </w:style>
  <w:style w:type="paragraph" w:styleId="Heading1">
    <w:name w:val="heading 1"/>
    <w:basedOn w:val="Normal"/>
    <w:next w:val="Normal"/>
    <w:link w:val="Heading1Char"/>
    <w:uiPriority w:val="1"/>
    <w:qFormat/>
    <w:rsid w:val="00FA7F33"/>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Header"/>
    <w:next w:val="Normal"/>
    <w:link w:val="Heading2Char"/>
    <w:qFormat/>
    <w:rsid w:val="00FA7F33"/>
    <w:pPr>
      <w:keepNext/>
      <w:spacing w:before="360" w:after="60"/>
      <w:outlineLvl w:val="1"/>
    </w:pPr>
    <w:rPr>
      <w:rFonts w:cs="Arial"/>
      <w:b/>
      <w:bCs/>
      <w:iCs/>
      <w:sz w:val="28"/>
      <w:szCs w:val="28"/>
    </w:rPr>
  </w:style>
  <w:style w:type="paragraph" w:styleId="Heading3">
    <w:name w:val="heading 3"/>
    <w:basedOn w:val="Normal"/>
    <w:next w:val="Normal"/>
    <w:link w:val="Heading3Char"/>
    <w:uiPriority w:val="2"/>
    <w:qFormat/>
    <w:rsid w:val="00FA7F33"/>
    <w:pPr>
      <w:keepNext/>
      <w:spacing w:before="60" w:after="60"/>
      <w:outlineLvl w:val="2"/>
    </w:pPr>
    <w:rPr>
      <w:rFonts w:cs="Arial"/>
      <w:b/>
      <w:bCs/>
      <w:szCs w:val="26"/>
    </w:rPr>
  </w:style>
  <w:style w:type="paragraph" w:styleId="Heading4">
    <w:name w:val="heading 4"/>
    <w:basedOn w:val="BodySubHeader"/>
    <w:next w:val="Normal"/>
    <w:link w:val="Heading4Char"/>
    <w:uiPriority w:val="2"/>
    <w:qFormat/>
    <w:rsid w:val="00FA7F33"/>
    <w:pPr>
      <w:outlineLvl w:val="3"/>
    </w:pPr>
    <w:rPr>
      <w:rFonts w:cs="Arial"/>
    </w:rPr>
  </w:style>
  <w:style w:type="paragraph" w:styleId="Heading5">
    <w:name w:val="heading 5"/>
    <w:basedOn w:val="Normal"/>
    <w:next w:val="Normal"/>
    <w:link w:val="Heading5Char"/>
    <w:semiHidden/>
    <w:qFormat/>
    <w:rsid w:val="00FA7F33"/>
    <w:pPr>
      <w:numPr>
        <w:ilvl w:val="4"/>
        <w:numId w:val="5"/>
      </w:numPr>
      <w:spacing w:before="240" w:after="60"/>
      <w:outlineLvl w:val="4"/>
    </w:pPr>
    <w:rPr>
      <w:b/>
      <w:bCs/>
      <w:i/>
      <w:iCs/>
      <w:sz w:val="26"/>
      <w:szCs w:val="26"/>
    </w:rPr>
  </w:style>
  <w:style w:type="paragraph" w:styleId="Heading6">
    <w:name w:val="heading 6"/>
    <w:basedOn w:val="Normal"/>
    <w:next w:val="Normal"/>
    <w:link w:val="Heading6Char"/>
    <w:semiHidden/>
    <w:qFormat/>
    <w:rsid w:val="00FA7F33"/>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semiHidden/>
    <w:qFormat/>
    <w:rsid w:val="00FA7F33"/>
    <w:pPr>
      <w:numPr>
        <w:ilvl w:val="6"/>
        <w:numId w:val="5"/>
      </w:numPr>
      <w:spacing w:before="240" w:after="60"/>
      <w:outlineLvl w:val="6"/>
    </w:pPr>
    <w:rPr>
      <w:rFonts w:ascii="Times New Roman" w:hAnsi="Times New Roman"/>
      <w:sz w:val="24"/>
    </w:rPr>
  </w:style>
  <w:style w:type="paragraph" w:styleId="Heading8">
    <w:name w:val="heading 8"/>
    <w:basedOn w:val="Normal"/>
    <w:next w:val="Normal"/>
    <w:link w:val="Heading8Char"/>
    <w:semiHidden/>
    <w:qFormat/>
    <w:rsid w:val="00FA7F33"/>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link w:val="Heading9Char"/>
    <w:semiHidden/>
    <w:qFormat/>
    <w:rsid w:val="00FA7F33"/>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A7F33"/>
    <w:rPr>
      <w:rFonts w:ascii="Arial" w:eastAsia="Times New Roman" w:hAnsi="Arial" w:cs="Arial"/>
      <w:bCs/>
      <w:color w:val="323232"/>
      <w:kern w:val="32"/>
      <w:sz w:val="53"/>
      <w:szCs w:val="32"/>
      <w:lang w:eastAsia="en-AU"/>
    </w:rPr>
  </w:style>
  <w:style w:type="character" w:customStyle="1" w:styleId="Heading2Char">
    <w:name w:val="Heading 2 Char"/>
    <w:aliases w:val="RIS Heading 2 Char"/>
    <w:basedOn w:val="DefaultParagraphFont"/>
    <w:link w:val="Heading2"/>
    <w:rsid w:val="00FA7F33"/>
    <w:rPr>
      <w:rFonts w:ascii="Arial" w:eastAsia="Times New Roman" w:hAnsi="Arial" w:cs="Arial"/>
      <w:b/>
      <w:bCs/>
      <w:iCs/>
      <w:sz w:val="28"/>
      <w:szCs w:val="28"/>
      <w:lang w:eastAsia="en-AU"/>
    </w:rPr>
  </w:style>
  <w:style w:type="character" w:customStyle="1" w:styleId="Heading3Char">
    <w:name w:val="Heading 3 Char"/>
    <w:basedOn w:val="DefaultParagraphFont"/>
    <w:link w:val="Heading3"/>
    <w:uiPriority w:val="2"/>
    <w:rsid w:val="00FA7F33"/>
    <w:rPr>
      <w:rFonts w:ascii="Arial" w:eastAsia="Times New Roman" w:hAnsi="Arial" w:cs="Arial"/>
      <w:b/>
      <w:bCs/>
      <w:sz w:val="20"/>
      <w:szCs w:val="26"/>
      <w:lang w:eastAsia="en-AU"/>
    </w:rPr>
  </w:style>
  <w:style w:type="character" w:customStyle="1" w:styleId="Heading4Char">
    <w:name w:val="Heading 4 Char"/>
    <w:basedOn w:val="DefaultParagraphFont"/>
    <w:link w:val="Heading4"/>
    <w:uiPriority w:val="2"/>
    <w:rsid w:val="00FA7F33"/>
    <w:rPr>
      <w:rFonts w:ascii="Arial" w:eastAsia="Times New Roman" w:hAnsi="Arial" w:cs="Arial"/>
      <w:b/>
      <w:i/>
      <w:sz w:val="20"/>
      <w:szCs w:val="24"/>
      <w:lang w:eastAsia="en-AU"/>
    </w:rPr>
  </w:style>
  <w:style w:type="character" w:customStyle="1" w:styleId="Heading5Char">
    <w:name w:val="Heading 5 Char"/>
    <w:basedOn w:val="DefaultParagraphFont"/>
    <w:link w:val="Heading5"/>
    <w:semiHidden/>
    <w:rsid w:val="00FA7F33"/>
    <w:rPr>
      <w:rFonts w:ascii="Arial" w:eastAsia="Times New Roman" w:hAnsi="Arial" w:cs="Times New Roman"/>
      <w:b/>
      <w:bCs/>
      <w:i/>
      <w:iCs/>
      <w:sz w:val="26"/>
      <w:szCs w:val="26"/>
      <w:lang w:eastAsia="en-AU"/>
    </w:rPr>
  </w:style>
  <w:style w:type="character" w:customStyle="1" w:styleId="Heading6Char">
    <w:name w:val="Heading 6 Char"/>
    <w:basedOn w:val="DefaultParagraphFont"/>
    <w:link w:val="Heading6"/>
    <w:semiHidden/>
    <w:rsid w:val="00FA7F33"/>
    <w:rPr>
      <w:rFonts w:ascii="Times New Roman" w:eastAsia="Times New Roman" w:hAnsi="Times New Roman" w:cs="Times New Roman"/>
      <w:b/>
      <w:bCs/>
      <w:lang w:eastAsia="en-AU"/>
    </w:rPr>
  </w:style>
  <w:style w:type="character" w:customStyle="1" w:styleId="Heading7Char">
    <w:name w:val="Heading 7 Char"/>
    <w:basedOn w:val="DefaultParagraphFont"/>
    <w:link w:val="Heading7"/>
    <w:semiHidden/>
    <w:rsid w:val="00FA7F33"/>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semiHidden/>
    <w:rsid w:val="00FA7F33"/>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semiHidden/>
    <w:rsid w:val="00FA7F33"/>
    <w:rPr>
      <w:rFonts w:ascii="Arial" w:eastAsia="Times New Roman" w:hAnsi="Arial" w:cs="Arial"/>
      <w:lang w:eastAsia="en-AU"/>
    </w:rPr>
  </w:style>
  <w:style w:type="paragraph" w:styleId="Header">
    <w:name w:val="header"/>
    <w:basedOn w:val="Normal"/>
    <w:link w:val="HeaderChar"/>
    <w:semiHidden/>
    <w:rsid w:val="00FA7F33"/>
    <w:pPr>
      <w:tabs>
        <w:tab w:val="center" w:pos="4153"/>
        <w:tab w:val="right" w:pos="8306"/>
      </w:tabs>
      <w:spacing w:line="240" w:lineRule="auto"/>
    </w:pPr>
    <w:rPr>
      <w:sz w:val="16"/>
    </w:rPr>
  </w:style>
  <w:style w:type="character" w:customStyle="1" w:styleId="HeaderChar">
    <w:name w:val="Header Char"/>
    <w:basedOn w:val="DefaultParagraphFont"/>
    <w:link w:val="Header"/>
    <w:semiHidden/>
    <w:rsid w:val="00FA7F33"/>
    <w:rPr>
      <w:rFonts w:ascii="Arial" w:eastAsia="Times New Roman" w:hAnsi="Arial" w:cs="Times New Roman"/>
      <w:sz w:val="16"/>
      <w:szCs w:val="24"/>
      <w:lang w:eastAsia="en-AU"/>
    </w:rPr>
  </w:style>
  <w:style w:type="paragraph" w:styleId="Footer">
    <w:name w:val="footer"/>
    <w:basedOn w:val="Normal"/>
    <w:link w:val="FooterChar"/>
    <w:semiHidden/>
    <w:qFormat/>
    <w:rsid w:val="00FA7F33"/>
    <w:pPr>
      <w:tabs>
        <w:tab w:val="right" w:pos="113"/>
      </w:tabs>
      <w:spacing w:line="240" w:lineRule="auto"/>
    </w:pPr>
    <w:rPr>
      <w:color w:val="323232"/>
      <w:sz w:val="16"/>
    </w:rPr>
  </w:style>
  <w:style w:type="character" w:customStyle="1" w:styleId="FooterChar">
    <w:name w:val="Footer Char"/>
    <w:basedOn w:val="DefaultParagraphFont"/>
    <w:link w:val="Footer"/>
    <w:semiHidden/>
    <w:rsid w:val="00FA7F33"/>
    <w:rPr>
      <w:rFonts w:ascii="Arial" w:eastAsia="Times New Roman" w:hAnsi="Arial" w:cs="Times New Roman"/>
      <w:color w:val="323232"/>
      <w:sz w:val="16"/>
      <w:szCs w:val="24"/>
      <w:lang w:eastAsia="en-AU"/>
    </w:rPr>
  </w:style>
  <w:style w:type="paragraph" w:customStyle="1" w:styleId="Reporttitle">
    <w:name w:val="Report title"/>
    <w:basedOn w:val="Normal"/>
    <w:uiPriority w:val="19"/>
    <w:qFormat/>
    <w:rsid w:val="00FA7F33"/>
    <w:pPr>
      <w:spacing w:after="0" w:line="560" w:lineRule="exact"/>
    </w:pPr>
    <w:rPr>
      <w:b/>
      <w:spacing w:val="-28"/>
      <w:sz w:val="53"/>
    </w:rPr>
  </w:style>
  <w:style w:type="paragraph" w:customStyle="1" w:styleId="Reportsubtitle">
    <w:name w:val="Report subtitle"/>
    <w:basedOn w:val="Normal"/>
    <w:uiPriority w:val="20"/>
    <w:qFormat/>
    <w:rsid w:val="00FA7F33"/>
    <w:pPr>
      <w:spacing w:after="200" w:line="560" w:lineRule="exact"/>
    </w:pPr>
    <w:rPr>
      <w:color w:val="323232"/>
      <w:spacing w:val="-28"/>
      <w:sz w:val="53"/>
    </w:rPr>
  </w:style>
  <w:style w:type="table" w:styleId="TableGrid">
    <w:name w:val="Table Grid"/>
    <w:basedOn w:val="TableNormal"/>
    <w:uiPriority w:val="59"/>
    <w:rsid w:val="00FA7F33"/>
    <w:pPr>
      <w:spacing w:after="0" w:line="240" w:lineRule="atLeast"/>
    </w:pPr>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FA7F33"/>
    <w:pPr>
      <w:spacing w:after="1200" w:line="240" w:lineRule="auto"/>
    </w:pPr>
    <w:rPr>
      <w:caps/>
      <w:spacing w:val="-10"/>
      <w:sz w:val="20"/>
    </w:rPr>
  </w:style>
  <w:style w:type="paragraph" w:customStyle="1" w:styleId="Tableheaderrow">
    <w:name w:val="Table header row"/>
    <w:basedOn w:val="Normal"/>
    <w:uiPriority w:val="14"/>
    <w:qFormat/>
    <w:rsid w:val="00FA7F33"/>
    <w:pPr>
      <w:spacing w:after="0"/>
    </w:pPr>
    <w:rPr>
      <w:b/>
    </w:rPr>
  </w:style>
  <w:style w:type="paragraph" w:customStyle="1" w:styleId="PageNumber">
    <w:name w:val="PageNumber"/>
    <w:basedOn w:val="Normal"/>
    <w:semiHidden/>
    <w:rsid w:val="00FA7F33"/>
    <w:pPr>
      <w:spacing w:line="240" w:lineRule="auto"/>
    </w:pPr>
    <w:rPr>
      <w:sz w:val="16"/>
    </w:rPr>
  </w:style>
  <w:style w:type="paragraph" w:customStyle="1" w:styleId="Copyright">
    <w:name w:val="Copyright"/>
    <w:basedOn w:val="Normal"/>
    <w:semiHidden/>
    <w:rsid w:val="00FA7F33"/>
    <w:pPr>
      <w:spacing w:line="160" w:lineRule="exact"/>
    </w:pPr>
    <w:rPr>
      <w:color w:val="4D4D4F"/>
      <w:sz w:val="13"/>
    </w:rPr>
  </w:style>
  <w:style w:type="paragraph" w:styleId="TOCHeading">
    <w:name w:val="TOC Heading"/>
    <w:basedOn w:val="Normal"/>
    <w:semiHidden/>
    <w:qFormat/>
    <w:rsid w:val="00FA7F33"/>
    <w:pPr>
      <w:spacing w:before="1200" w:line="240" w:lineRule="auto"/>
    </w:pPr>
    <w:rPr>
      <w:b/>
      <w:color w:val="323232"/>
      <w:spacing w:val="-28"/>
      <w:sz w:val="53"/>
    </w:rPr>
  </w:style>
  <w:style w:type="paragraph" w:styleId="Caption">
    <w:name w:val="caption"/>
    <w:aliases w:val="Caption table"/>
    <w:basedOn w:val="Normal"/>
    <w:next w:val="Normal"/>
    <w:semiHidden/>
    <w:qFormat/>
    <w:rsid w:val="00FA7F33"/>
    <w:pPr>
      <w:numPr>
        <w:numId w:val="9"/>
      </w:numPr>
      <w:spacing w:after="0"/>
    </w:pPr>
    <w:rPr>
      <w:b/>
      <w:bCs/>
      <w:color w:val="323232"/>
      <w:szCs w:val="20"/>
    </w:rPr>
  </w:style>
  <w:style w:type="paragraph" w:customStyle="1" w:styleId="BodySubHeader">
    <w:name w:val="BodySubHeader"/>
    <w:basedOn w:val="Normal"/>
    <w:next w:val="Normal"/>
    <w:semiHidden/>
    <w:rsid w:val="00FA7F33"/>
    <w:pPr>
      <w:spacing w:before="240" w:after="0"/>
    </w:pPr>
    <w:rPr>
      <w:b/>
      <w:i/>
    </w:rPr>
  </w:style>
  <w:style w:type="paragraph" w:styleId="ListBullet">
    <w:name w:val="List Bullet"/>
    <w:aliases w:val="List Bullet 1"/>
    <w:basedOn w:val="Normal"/>
    <w:link w:val="ListBulletChar"/>
    <w:qFormat/>
    <w:rsid w:val="00FA7F33"/>
    <w:pPr>
      <w:numPr>
        <w:numId w:val="1"/>
      </w:numPr>
      <w:spacing w:after="80"/>
    </w:pPr>
  </w:style>
  <w:style w:type="paragraph" w:styleId="ListBullet2">
    <w:name w:val="List Bullet 2"/>
    <w:basedOn w:val="Normal"/>
    <w:qFormat/>
    <w:rsid w:val="00FA7F33"/>
    <w:pPr>
      <w:numPr>
        <w:numId w:val="2"/>
      </w:numPr>
      <w:spacing w:after="80"/>
    </w:pPr>
  </w:style>
  <w:style w:type="paragraph" w:styleId="ListNumber">
    <w:name w:val="List Number"/>
    <w:basedOn w:val="Normal"/>
    <w:semiHidden/>
    <w:qFormat/>
    <w:rsid w:val="00FA7F33"/>
    <w:pPr>
      <w:numPr>
        <w:numId w:val="3"/>
      </w:numPr>
      <w:spacing w:after="80"/>
    </w:pPr>
  </w:style>
  <w:style w:type="paragraph" w:styleId="ListNumber2">
    <w:name w:val="List Number 2"/>
    <w:basedOn w:val="Normal"/>
    <w:semiHidden/>
    <w:qFormat/>
    <w:rsid w:val="00FA7F33"/>
    <w:pPr>
      <w:numPr>
        <w:numId w:val="4"/>
      </w:numPr>
      <w:spacing w:after="80"/>
      <w:ind w:left="828" w:hanging="357"/>
    </w:pPr>
  </w:style>
  <w:style w:type="paragraph" w:customStyle="1" w:styleId="URLEmail">
    <w:name w:val="URL/Email"/>
    <w:basedOn w:val="Normal"/>
    <w:semiHidden/>
    <w:rsid w:val="00FA7F33"/>
    <w:rPr>
      <w:color w:val="4D4D4F"/>
      <w:spacing w:val="4"/>
    </w:rPr>
  </w:style>
  <w:style w:type="paragraph" w:customStyle="1" w:styleId="Execsummaryheading">
    <w:name w:val="Exec summary heading"/>
    <w:basedOn w:val="Normal"/>
    <w:uiPriority w:val="22"/>
    <w:qFormat/>
    <w:rsid w:val="00FA7F33"/>
    <w:pPr>
      <w:pageBreakBefore/>
      <w:spacing w:after="1440" w:line="550" w:lineRule="exact"/>
    </w:pPr>
    <w:rPr>
      <w:b/>
      <w:color w:val="323232"/>
      <w:spacing w:val="-18"/>
      <w:sz w:val="53"/>
    </w:rPr>
  </w:style>
  <w:style w:type="character" w:styleId="PageNumber0">
    <w:name w:val="page number"/>
    <w:basedOn w:val="DefaultParagraphFont"/>
    <w:semiHidden/>
    <w:rsid w:val="00FA7F33"/>
  </w:style>
  <w:style w:type="paragraph" w:styleId="ListContinue5">
    <w:name w:val="List Continue 5"/>
    <w:basedOn w:val="Normal"/>
    <w:semiHidden/>
    <w:rsid w:val="00FA7F33"/>
    <w:pPr>
      <w:spacing w:after="120"/>
      <w:ind w:left="1415"/>
      <w:contextualSpacing/>
    </w:pPr>
  </w:style>
  <w:style w:type="paragraph" w:customStyle="1" w:styleId="Paragraphbeforelist">
    <w:name w:val="Paragraph before list"/>
    <w:basedOn w:val="Paragraph"/>
    <w:uiPriority w:val="4"/>
    <w:qFormat/>
    <w:rsid w:val="00FA7F33"/>
    <w:pPr>
      <w:spacing w:after="80"/>
    </w:pPr>
  </w:style>
  <w:style w:type="paragraph" w:styleId="TOC1">
    <w:name w:val="toc 1"/>
    <w:basedOn w:val="Normal"/>
    <w:next w:val="Normal"/>
    <w:uiPriority w:val="39"/>
    <w:qFormat/>
    <w:rsid w:val="00FA7F33"/>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FA7F33"/>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FA7F33"/>
    <w:pPr>
      <w:tabs>
        <w:tab w:val="right" w:pos="7615"/>
      </w:tabs>
      <w:spacing w:line="320" w:lineRule="exact"/>
    </w:pPr>
    <w:rPr>
      <w:noProof/>
      <w:color w:val="808285"/>
      <w:sz w:val="28"/>
    </w:rPr>
  </w:style>
  <w:style w:type="paragraph" w:styleId="TOC3">
    <w:name w:val="toc 3"/>
    <w:basedOn w:val="Normal"/>
    <w:next w:val="Normal"/>
    <w:uiPriority w:val="39"/>
    <w:qFormat/>
    <w:rsid w:val="00FA7F33"/>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FA7F33"/>
    <w:rPr>
      <w:color w:val="0000FF"/>
      <w:u w:val="single" w:color="0000FF"/>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Style 13,FR"/>
    <w:basedOn w:val="DefaultParagraphFont"/>
    <w:qFormat/>
    <w:rsid w:val="00FA7F33"/>
    <w:rPr>
      <w:rFonts w:ascii="Arial" w:hAnsi="Arial"/>
      <w:vertAlign w:val="superscript"/>
    </w:rPr>
  </w:style>
  <w:style w:type="paragraph" w:styleId="FootnoteText">
    <w:name w:val="footnote text"/>
    <w:aliases w:val="Footnote text,ACMA Footnote Text,ABA Footnote Text,footnote text,Footnote Text Char1,Footnote Text Char Char,Footnote Text Char1 Char Char,Footnote Text Char Char Char Char,Footnote Text Char1 Char Char Char Char,f,fn"/>
    <w:basedOn w:val="Normal"/>
    <w:link w:val="FootnoteTextChar"/>
    <w:uiPriority w:val="23"/>
    <w:qFormat/>
    <w:rsid w:val="00FA7F33"/>
    <w:pPr>
      <w:spacing w:after="0"/>
    </w:pPr>
    <w:rPr>
      <w:sz w:val="16"/>
      <w:szCs w:val="16"/>
    </w:rPr>
  </w:style>
  <w:style w:type="character" w:customStyle="1" w:styleId="FootnoteTextChar">
    <w:name w:val="Footnote Text Char"/>
    <w:aliases w:val="Footnote text Char,ACMA Footnote Text Char,ABA Footnote Text Char,footnote text Char,Footnote Text Char1 Char,Footnote Text Char Char Char,Footnote Text Char1 Char Char Char,Footnote Text Char Char Char Char Char,f Char,fn Char"/>
    <w:basedOn w:val="DefaultParagraphFont"/>
    <w:link w:val="FootnoteText"/>
    <w:uiPriority w:val="23"/>
    <w:qFormat/>
    <w:rsid w:val="00FA7F33"/>
    <w:rPr>
      <w:rFonts w:ascii="Arial" w:eastAsia="Times New Roman" w:hAnsi="Arial" w:cs="Times New Roman"/>
      <w:sz w:val="16"/>
      <w:szCs w:val="16"/>
      <w:lang w:eastAsia="en-AU"/>
    </w:rPr>
  </w:style>
  <w:style w:type="paragraph" w:customStyle="1" w:styleId="TableBody">
    <w:name w:val="Table Body"/>
    <w:basedOn w:val="Normal"/>
    <w:qFormat/>
    <w:rsid w:val="00FA7F33"/>
    <w:pPr>
      <w:spacing w:after="0" w:line="240" w:lineRule="auto"/>
    </w:pPr>
  </w:style>
  <w:style w:type="character" w:styleId="CommentReference">
    <w:name w:val="annotation reference"/>
    <w:basedOn w:val="DefaultParagraphFont"/>
    <w:uiPriority w:val="99"/>
    <w:rsid w:val="00FA7F33"/>
    <w:rPr>
      <w:sz w:val="16"/>
      <w:szCs w:val="16"/>
    </w:rPr>
  </w:style>
  <w:style w:type="paragraph" w:styleId="CommentText">
    <w:name w:val="annotation text"/>
    <w:basedOn w:val="Normal"/>
    <w:link w:val="CommentTextChar"/>
    <w:qFormat/>
    <w:rsid w:val="00FA7F33"/>
    <w:pPr>
      <w:spacing w:line="240" w:lineRule="auto"/>
    </w:pPr>
    <w:rPr>
      <w:szCs w:val="20"/>
    </w:rPr>
  </w:style>
  <w:style w:type="character" w:customStyle="1" w:styleId="CommentTextChar">
    <w:name w:val="Comment Text Char"/>
    <w:basedOn w:val="DefaultParagraphFont"/>
    <w:link w:val="CommentText"/>
    <w:rsid w:val="00FA7F33"/>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semiHidden/>
    <w:rsid w:val="00FA7F33"/>
    <w:rPr>
      <w:b/>
      <w:bCs/>
    </w:rPr>
  </w:style>
  <w:style w:type="character" w:customStyle="1" w:styleId="CommentSubjectChar">
    <w:name w:val="Comment Subject Char"/>
    <w:basedOn w:val="CommentTextChar"/>
    <w:link w:val="CommentSubject"/>
    <w:semiHidden/>
    <w:rsid w:val="00FA7F33"/>
    <w:rPr>
      <w:rFonts w:ascii="Arial" w:eastAsia="Times New Roman" w:hAnsi="Arial" w:cs="Times New Roman"/>
      <w:b/>
      <w:bCs/>
      <w:sz w:val="20"/>
      <w:szCs w:val="20"/>
      <w:lang w:eastAsia="en-AU"/>
    </w:rPr>
  </w:style>
  <w:style w:type="character" w:styleId="FollowedHyperlink">
    <w:name w:val="FollowedHyperlink"/>
    <w:basedOn w:val="DefaultParagraphFont"/>
    <w:semiHidden/>
    <w:rsid w:val="00FA7F33"/>
    <w:rPr>
      <w:color w:val="954F72" w:themeColor="followedHyperlink"/>
      <w:u w:val="single"/>
    </w:rPr>
  </w:style>
  <w:style w:type="character" w:styleId="PlaceholderText">
    <w:name w:val="Placeholder Text"/>
    <w:basedOn w:val="DefaultParagraphFont"/>
    <w:uiPriority w:val="99"/>
    <w:semiHidden/>
    <w:rsid w:val="00FA7F33"/>
    <w:rPr>
      <w:color w:val="808080"/>
    </w:rPr>
  </w:style>
  <w:style w:type="paragraph" w:customStyle="1" w:styleId="ACMAInstructions">
    <w:name w:val="ACMA_Instructions"/>
    <w:basedOn w:val="Normal"/>
    <w:semiHidden/>
    <w:unhideWhenUsed/>
    <w:qFormat/>
    <w:rsid w:val="00FA7F33"/>
    <w:pPr>
      <w:spacing w:after="200"/>
    </w:pPr>
    <w:rPr>
      <w:rFonts w:cs="Arial"/>
      <w:b/>
      <w:vanish/>
      <w:sz w:val="24"/>
    </w:rPr>
  </w:style>
  <w:style w:type="paragraph" w:customStyle="1" w:styleId="CorporateAddresses">
    <w:name w:val="Corporate Addresses"/>
    <w:basedOn w:val="Normal"/>
    <w:semiHidden/>
    <w:rsid w:val="00FA7F33"/>
    <w:pPr>
      <w:spacing w:line="140" w:lineRule="exact"/>
    </w:pPr>
    <w:rPr>
      <w:color w:val="4D4D4F"/>
      <w:sz w:val="13"/>
    </w:rPr>
  </w:style>
  <w:style w:type="paragraph" w:customStyle="1" w:styleId="Bulletlevel1">
    <w:name w:val="Bullet level 1"/>
    <w:basedOn w:val="ListBullet"/>
    <w:uiPriority w:val="5"/>
    <w:qFormat/>
    <w:rsid w:val="00FA7F33"/>
    <w:rPr>
      <w:rFonts w:cs="Arial"/>
    </w:rPr>
  </w:style>
  <w:style w:type="paragraph" w:customStyle="1" w:styleId="ACMACorporateAddressHeader">
    <w:name w:val="ACMA_CorporateAddressHeader"/>
    <w:basedOn w:val="Normal"/>
    <w:next w:val="ACMACorporateAddresses"/>
    <w:semiHidden/>
    <w:unhideWhenUsed/>
    <w:qFormat/>
    <w:rsid w:val="00FA7F33"/>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A7F33"/>
    <w:pPr>
      <w:spacing w:before="0" w:after="120"/>
    </w:pPr>
    <w:rPr>
      <w:b w:val="0"/>
    </w:rPr>
  </w:style>
  <w:style w:type="paragraph" w:customStyle="1" w:styleId="ACMACopyrightHeader">
    <w:name w:val="ACMA_CopyrightHeader"/>
    <w:basedOn w:val="ACMACorporateAddressHeader"/>
    <w:semiHidden/>
    <w:unhideWhenUsed/>
    <w:qFormat/>
    <w:rsid w:val="00FA7F33"/>
    <w:pPr>
      <w:spacing w:before="3000"/>
    </w:pPr>
  </w:style>
  <w:style w:type="paragraph" w:customStyle="1" w:styleId="ACMACClogo">
    <w:name w:val="ACMA_CClogo"/>
    <w:semiHidden/>
    <w:unhideWhenUsed/>
    <w:qFormat/>
    <w:rsid w:val="00FA7F33"/>
    <w:pPr>
      <w:spacing w:before="160" w:after="120" w:line="240" w:lineRule="auto"/>
    </w:pPr>
    <w:rPr>
      <w:rFonts w:ascii="Arial" w:eastAsia="Times New Roman" w:hAnsi="Arial" w:cs="Times New Roman"/>
      <w:b/>
      <w:sz w:val="13"/>
      <w:szCs w:val="24"/>
      <w:lang w:eastAsia="en-AU"/>
    </w:rPr>
  </w:style>
  <w:style w:type="paragraph" w:customStyle="1" w:styleId="ListBulletLast">
    <w:name w:val="List Bullet Last"/>
    <w:basedOn w:val="ListBullet"/>
    <w:qFormat/>
    <w:rsid w:val="00FA7F33"/>
    <w:pPr>
      <w:spacing w:after="240"/>
    </w:pPr>
    <w:rPr>
      <w:rFonts w:cs="Arial"/>
    </w:rPr>
  </w:style>
  <w:style w:type="paragraph" w:customStyle="1" w:styleId="ListNumberLast">
    <w:name w:val="List Number Last"/>
    <w:basedOn w:val="ListNumber"/>
    <w:semiHidden/>
    <w:qFormat/>
    <w:rsid w:val="00FA7F33"/>
    <w:pPr>
      <w:spacing w:after="240"/>
      <w:ind w:left="357" w:hanging="357"/>
    </w:pPr>
    <w:rPr>
      <w:rFonts w:cs="Arial"/>
    </w:rPr>
  </w:style>
  <w:style w:type="paragraph" w:customStyle="1" w:styleId="ACMATableHeader">
    <w:name w:val="ACMA_TableHeader"/>
    <w:qFormat/>
    <w:rsid w:val="00FA7F33"/>
    <w:pPr>
      <w:numPr>
        <w:numId w:val="7"/>
      </w:numPr>
      <w:spacing w:line="240" w:lineRule="auto"/>
    </w:pPr>
    <w:rPr>
      <w:rFonts w:ascii="Arial" w:eastAsia="Times New Roman" w:hAnsi="Arial" w:cs="Times New Roman"/>
      <w:b/>
      <w:bCs/>
      <w:color w:val="323232"/>
      <w:sz w:val="20"/>
      <w:szCs w:val="20"/>
      <w:lang w:eastAsia="en-AU"/>
    </w:rPr>
  </w:style>
  <w:style w:type="paragraph" w:customStyle="1" w:styleId="ACMANotes">
    <w:name w:val="ACMA_Notes"/>
    <w:semiHidden/>
    <w:qFormat/>
    <w:rsid w:val="00FA7F33"/>
    <w:pPr>
      <w:spacing w:before="80" w:after="0" w:line="240" w:lineRule="auto"/>
    </w:pPr>
    <w:rPr>
      <w:rFonts w:ascii="Arial" w:eastAsia="Times New Roman" w:hAnsi="Arial" w:cs="Arial"/>
      <w:i/>
      <w:sz w:val="16"/>
      <w:szCs w:val="24"/>
      <w:lang w:eastAsia="en-AU"/>
    </w:rPr>
  </w:style>
  <w:style w:type="paragraph" w:customStyle="1" w:styleId="Numberlistlevel1">
    <w:name w:val="Number list level 1"/>
    <w:basedOn w:val="ListNumber"/>
    <w:uiPriority w:val="9"/>
    <w:qFormat/>
    <w:rsid w:val="00FA7F33"/>
  </w:style>
  <w:style w:type="character" w:styleId="Emphasis">
    <w:name w:val="Emphasis"/>
    <w:basedOn w:val="DefaultParagraphFont"/>
    <w:qFormat/>
    <w:rsid w:val="00FA7F33"/>
    <w:rPr>
      <w:i/>
      <w:iCs/>
    </w:rPr>
  </w:style>
  <w:style w:type="paragraph" w:customStyle="1" w:styleId="ListNumber2Last">
    <w:name w:val="List Number 2 Last"/>
    <w:basedOn w:val="ListNumber2"/>
    <w:semiHidden/>
    <w:qFormat/>
    <w:rsid w:val="00FA7F33"/>
    <w:pPr>
      <w:spacing w:after="240"/>
      <w:ind w:left="907"/>
    </w:pPr>
    <w:rPr>
      <w:rFonts w:cs="Arial"/>
    </w:rPr>
  </w:style>
  <w:style w:type="paragraph" w:customStyle="1" w:styleId="Spaceaftertable">
    <w:name w:val="Space after table"/>
    <w:basedOn w:val="Normal"/>
    <w:uiPriority w:val="99"/>
    <w:qFormat/>
    <w:rsid w:val="00FA7F33"/>
    <w:rPr>
      <w:rFonts w:cs="Arial"/>
    </w:rPr>
  </w:style>
  <w:style w:type="paragraph" w:customStyle="1" w:styleId="FooterLeft">
    <w:name w:val="Footer Left"/>
    <w:basedOn w:val="Footer"/>
    <w:semiHidden/>
    <w:qFormat/>
    <w:rsid w:val="00FA7F33"/>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FA7F33"/>
    <w:pPr>
      <w:numPr>
        <w:numId w:val="6"/>
      </w:numPr>
      <w:spacing w:line="240" w:lineRule="auto"/>
    </w:pPr>
    <w:rPr>
      <w:rFonts w:ascii="Arial" w:eastAsia="Times New Roman" w:hAnsi="Arial" w:cs="Times New Roman"/>
      <w:b/>
      <w:bCs/>
      <w:color w:val="323232"/>
      <w:sz w:val="20"/>
      <w:szCs w:val="20"/>
      <w:lang w:eastAsia="en-AU"/>
    </w:rPr>
  </w:style>
  <w:style w:type="paragraph" w:customStyle="1" w:styleId="Captionfigure">
    <w:name w:val="Caption figure"/>
    <w:basedOn w:val="Caption"/>
    <w:semiHidden/>
    <w:qFormat/>
    <w:rsid w:val="00FA7F33"/>
    <w:pPr>
      <w:keepNext/>
      <w:numPr>
        <w:numId w:val="8"/>
      </w:numPr>
    </w:pPr>
    <w:rPr>
      <w:rFonts w:cs="Arial"/>
    </w:rPr>
  </w:style>
  <w:style w:type="paragraph" w:customStyle="1" w:styleId="GridTable31">
    <w:name w:val="Grid Table 31"/>
    <w:basedOn w:val="Normal"/>
    <w:semiHidden/>
    <w:qFormat/>
    <w:rsid w:val="00FA7F33"/>
    <w:pPr>
      <w:spacing w:after="0" w:line="240" w:lineRule="auto"/>
    </w:pPr>
    <w:rPr>
      <w:b/>
      <w:color w:val="4D4D4F"/>
      <w:spacing w:val="-28"/>
      <w:sz w:val="53"/>
    </w:rPr>
  </w:style>
  <w:style w:type="character" w:styleId="UnresolvedMention">
    <w:name w:val="Unresolved Mention"/>
    <w:basedOn w:val="DefaultParagraphFont"/>
    <w:uiPriority w:val="99"/>
    <w:semiHidden/>
    <w:unhideWhenUsed/>
    <w:rsid w:val="00FA7F33"/>
    <w:rPr>
      <w:color w:val="605E5C"/>
      <w:shd w:val="clear" w:color="auto" w:fill="E1DFDD"/>
    </w:rPr>
  </w:style>
  <w:style w:type="paragraph" w:customStyle="1" w:styleId="Paragraph">
    <w:name w:val="Paragraph"/>
    <w:basedOn w:val="Normal"/>
    <w:qFormat/>
    <w:rsid w:val="00FA7F33"/>
    <w:rPr>
      <w:rFonts w:cs="Arial"/>
    </w:rPr>
  </w:style>
  <w:style w:type="paragraph" w:customStyle="1" w:styleId="Bulletlevel2">
    <w:name w:val="Bullet level 2"/>
    <w:basedOn w:val="ListBullet2"/>
    <w:uiPriority w:val="7"/>
    <w:qFormat/>
    <w:rsid w:val="00FA7F33"/>
    <w:pPr>
      <w:tabs>
        <w:tab w:val="clear" w:pos="845"/>
        <w:tab w:val="left" w:pos="295"/>
      </w:tabs>
      <w:ind w:left="590" w:hanging="295"/>
    </w:pPr>
    <w:rPr>
      <w:rFonts w:cs="Arial"/>
    </w:rPr>
  </w:style>
  <w:style w:type="paragraph" w:customStyle="1" w:styleId="Bulletlevel1last">
    <w:name w:val="Bullet level 1 last"/>
    <w:basedOn w:val="ListBulletLast"/>
    <w:uiPriority w:val="6"/>
    <w:qFormat/>
    <w:rsid w:val="00FA7F33"/>
  </w:style>
  <w:style w:type="paragraph" w:customStyle="1" w:styleId="Numberlistlevel2">
    <w:name w:val="Number list level 2"/>
    <w:basedOn w:val="ListNumber2"/>
    <w:uiPriority w:val="11"/>
    <w:qFormat/>
    <w:rsid w:val="00FA7F33"/>
    <w:pPr>
      <w:ind w:left="766" w:hanging="295"/>
    </w:pPr>
  </w:style>
  <w:style w:type="paragraph" w:customStyle="1" w:styleId="Numberlistlast">
    <w:name w:val="Number list last"/>
    <w:basedOn w:val="ListNumberLast"/>
    <w:uiPriority w:val="10"/>
    <w:qFormat/>
    <w:rsid w:val="00FA7F33"/>
  </w:style>
  <w:style w:type="paragraph" w:customStyle="1" w:styleId="Numberlistlevel2last">
    <w:name w:val="Number list level 2 last"/>
    <w:basedOn w:val="Numberlistlevel2"/>
    <w:uiPriority w:val="12"/>
    <w:qFormat/>
    <w:rsid w:val="00FA7F33"/>
    <w:pPr>
      <w:spacing w:after="240"/>
    </w:pPr>
  </w:style>
  <w:style w:type="paragraph" w:customStyle="1" w:styleId="Bulletlevel2last">
    <w:name w:val="Bullet level 2 last"/>
    <w:basedOn w:val="Bulletlevel2"/>
    <w:uiPriority w:val="8"/>
    <w:qFormat/>
    <w:rsid w:val="00FA7F33"/>
    <w:pPr>
      <w:spacing w:after="240"/>
    </w:pPr>
  </w:style>
  <w:style w:type="table" w:customStyle="1" w:styleId="ACMAtablestyle">
    <w:name w:val="ACMA table style"/>
    <w:basedOn w:val="TableNormal"/>
    <w:uiPriority w:val="99"/>
    <w:rsid w:val="00FA7F33"/>
    <w:pPr>
      <w:spacing w:after="0" w:line="240" w:lineRule="auto"/>
    </w:pPr>
    <w:rPr>
      <w:rFonts w:ascii="Arial" w:eastAsia="Times New Roman" w:hAnsi="Arial" w:cs="Times New Roman"/>
      <w:sz w:val="20"/>
      <w:szCs w:val="24"/>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uiPriority w:val="13"/>
    <w:qFormat/>
    <w:rsid w:val="00FA7F33"/>
    <w:pPr>
      <w:keepNext/>
      <w:spacing w:line="240" w:lineRule="atLeast"/>
    </w:pPr>
  </w:style>
  <w:style w:type="paragraph" w:customStyle="1" w:styleId="Tableorfigurenote">
    <w:name w:val="Table or figure note"/>
    <w:basedOn w:val="ACMANotes"/>
    <w:uiPriority w:val="17"/>
    <w:qFormat/>
    <w:rsid w:val="00FA7F33"/>
    <w:pPr>
      <w:spacing w:after="240"/>
    </w:pPr>
  </w:style>
  <w:style w:type="paragraph" w:customStyle="1" w:styleId="Figureheading">
    <w:name w:val="Figure heading"/>
    <w:basedOn w:val="ACMAFigureHeader"/>
    <w:uiPriority w:val="16"/>
    <w:qFormat/>
    <w:rsid w:val="00FA7F33"/>
    <w:pPr>
      <w:keepNext/>
      <w:spacing w:line="240" w:lineRule="atLeast"/>
    </w:pPr>
  </w:style>
  <w:style w:type="paragraph" w:customStyle="1" w:styleId="Tableorfigurenotemultiple">
    <w:name w:val="Table or figure note multiple"/>
    <w:basedOn w:val="Tableorfigurenote"/>
    <w:uiPriority w:val="18"/>
    <w:qFormat/>
    <w:rsid w:val="00FA7F33"/>
    <w:pPr>
      <w:spacing w:after="80"/>
    </w:pPr>
  </w:style>
  <w:style w:type="paragraph" w:customStyle="1" w:styleId="Protectivemarking">
    <w:name w:val="Protective marking"/>
    <w:basedOn w:val="Normal"/>
    <w:uiPriority w:val="99"/>
    <w:qFormat/>
    <w:rsid w:val="00FA7F33"/>
    <w:pPr>
      <w:tabs>
        <w:tab w:val="left" w:pos="720"/>
      </w:tabs>
      <w:spacing w:after="0" w:line="240" w:lineRule="auto"/>
      <w:jc w:val="center"/>
    </w:pPr>
    <w:rPr>
      <w:rFonts w:cs="Arial"/>
      <w:b/>
      <w:bCs/>
      <w:color w:val="FF0000"/>
      <w:sz w:val="32"/>
      <w:lang w:eastAsia="en-US"/>
    </w:rPr>
  </w:style>
  <w:style w:type="paragraph" w:styleId="BalloonText">
    <w:name w:val="Balloon Text"/>
    <w:basedOn w:val="Normal"/>
    <w:link w:val="BalloonTextChar"/>
    <w:semiHidden/>
    <w:unhideWhenUsed/>
    <w:rsid w:val="00FA7F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A7F33"/>
    <w:rPr>
      <w:rFonts w:ascii="Segoe UI" w:eastAsia="Times New Roman" w:hAnsi="Segoe UI" w:cs="Segoe UI"/>
      <w:sz w:val="18"/>
      <w:szCs w:val="18"/>
      <w:lang w:eastAsia="en-AU"/>
    </w:rPr>
  </w:style>
  <w:style w:type="paragraph" w:styleId="Revision">
    <w:name w:val="Revision"/>
    <w:hidden/>
    <w:semiHidden/>
    <w:rsid w:val="00FA7F33"/>
    <w:pPr>
      <w:spacing w:after="0" w:line="240" w:lineRule="auto"/>
    </w:pPr>
    <w:rPr>
      <w:rFonts w:ascii="Arial" w:eastAsia="Times New Roman" w:hAnsi="Arial" w:cs="Times New Roman"/>
      <w:sz w:val="20"/>
      <w:szCs w:val="24"/>
      <w:lang w:eastAsia="en-AU"/>
    </w:rPr>
  </w:style>
  <w:style w:type="character" w:customStyle="1" w:styleId="ListBulletChar">
    <w:name w:val="List Bullet Char"/>
    <w:aliases w:val="List Bullet 1 Char"/>
    <w:basedOn w:val="DefaultParagraphFont"/>
    <w:link w:val="ListBullet"/>
    <w:rsid w:val="00FA7F33"/>
    <w:rPr>
      <w:rFonts w:ascii="Arial" w:eastAsia="Times New Roman" w:hAnsi="Arial" w:cs="Times New Roman"/>
      <w:sz w:val="20"/>
      <w:szCs w:val="24"/>
      <w:lang w:eastAsia="en-AU"/>
    </w:rPr>
  </w:style>
  <w:style w:type="paragraph" w:customStyle="1" w:styleId="ACMAletteredlist">
    <w:name w:val="ACMA lettered list"/>
    <w:rsid w:val="00FA7F33"/>
    <w:pPr>
      <w:numPr>
        <w:numId w:val="10"/>
      </w:numPr>
      <w:spacing w:before="20" w:after="20" w:line="240" w:lineRule="auto"/>
      <w:ind w:left="0" w:firstLine="0"/>
    </w:pPr>
    <w:rPr>
      <w:rFonts w:ascii="Times New Roman" w:eastAsia="Times New Roman" w:hAnsi="Times New Roman" w:cs="Times New Roman"/>
      <w:sz w:val="24"/>
      <w:szCs w:val="20"/>
    </w:rPr>
  </w:style>
  <w:style w:type="paragraph" w:customStyle="1" w:styleId="ACMABodyText">
    <w:name w:val="ACMA Body Text"/>
    <w:link w:val="ACMABodyTextChar"/>
    <w:rsid w:val="00FA7F33"/>
    <w:pPr>
      <w:suppressAutoHyphens/>
      <w:spacing w:before="80" w:after="120" w:line="280" w:lineRule="atLeast"/>
    </w:pPr>
    <w:rPr>
      <w:rFonts w:ascii="Times New Roman" w:eastAsia="Times New Roman" w:hAnsi="Times New Roman" w:cs="Times New Roman"/>
      <w:snapToGrid w:val="0"/>
      <w:sz w:val="24"/>
      <w:szCs w:val="20"/>
    </w:rPr>
  </w:style>
  <w:style w:type="paragraph" w:customStyle="1" w:styleId="LegislationLvl1">
    <w:name w:val="Legislation Lvl 1"/>
    <w:rsid w:val="00FA7F33"/>
    <w:pPr>
      <w:numPr>
        <w:numId w:val="11"/>
      </w:numPr>
      <w:tabs>
        <w:tab w:val="clear" w:pos="1080"/>
        <w:tab w:val="num" w:pos="360"/>
      </w:tabs>
      <w:spacing w:after="0" w:line="240" w:lineRule="auto"/>
      <w:ind w:left="0" w:firstLine="0"/>
    </w:pPr>
    <w:rPr>
      <w:rFonts w:ascii="Times New Roman" w:eastAsia="Times New Roman" w:hAnsi="Times New Roman" w:cs="Times New Roman"/>
      <w:bCs/>
      <w:szCs w:val="20"/>
    </w:rPr>
  </w:style>
  <w:style w:type="paragraph" w:customStyle="1" w:styleId="LegislationLvl2">
    <w:name w:val="Legislation Lvl 2"/>
    <w:rsid w:val="00FA7F33"/>
    <w:pPr>
      <w:numPr>
        <w:ilvl w:val="1"/>
        <w:numId w:val="11"/>
      </w:numPr>
      <w:tabs>
        <w:tab w:val="clear" w:pos="1440"/>
        <w:tab w:val="num" w:pos="360"/>
      </w:tabs>
      <w:spacing w:after="0" w:line="240" w:lineRule="auto"/>
      <w:ind w:left="0" w:firstLine="0"/>
    </w:pPr>
    <w:rPr>
      <w:rFonts w:ascii="Times New Roman" w:eastAsia="Times New Roman" w:hAnsi="Times New Roman" w:cs="Times New Roman"/>
      <w:szCs w:val="20"/>
    </w:rPr>
  </w:style>
  <w:style w:type="paragraph" w:customStyle="1" w:styleId="LegislationLvl3">
    <w:name w:val="Legislation Lvl 3"/>
    <w:rsid w:val="00FA7F33"/>
    <w:pPr>
      <w:numPr>
        <w:ilvl w:val="2"/>
        <w:numId w:val="11"/>
      </w:numPr>
      <w:tabs>
        <w:tab w:val="clear" w:pos="2340"/>
        <w:tab w:val="num" w:pos="360"/>
      </w:tabs>
      <w:spacing w:after="0" w:line="240" w:lineRule="auto"/>
      <w:ind w:left="0" w:firstLine="0"/>
    </w:pPr>
    <w:rPr>
      <w:rFonts w:ascii="Times New Roman" w:eastAsia="Times New Roman" w:hAnsi="Times New Roman" w:cs="Times New Roman"/>
      <w:szCs w:val="20"/>
    </w:rPr>
  </w:style>
  <w:style w:type="paragraph" w:customStyle="1" w:styleId="LegislationLvl4">
    <w:name w:val="Legislation Lvl 4"/>
    <w:rsid w:val="00FA7F33"/>
    <w:pPr>
      <w:numPr>
        <w:ilvl w:val="3"/>
        <w:numId w:val="11"/>
      </w:numPr>
      <w:tabs>
        <w:tab w:val="clear" w:pos="2700"/>
        <w:tab w:val="num" w:pos="360"/>
      </w:tabs>
      <w:spacing w:after="0" w:line="240" w:lineRule="auto"/>
      <w:ind w:left="0" w:firstLine="0"/>
    </w:pPr>
    <w:rPr>
      <w:rFonts w:ascii="Times New Roman" w:eastAsia="Times New Roman" w:hAnsi="Times New Roman" w:cs="Times New Roman"/>
      <w:szCs w:val="20"/>
    </w:rPr>
  </w:style>
  <w:style w:type="paragraph" w:styleId="ListParagraph">
    <w:name w:val="List Paragraph"/>
    <w:aliases w:val="List Paragraph1,Recommendation"/>
    <w:basedOn w:val="Normal"/>
    <w:link w:val="ListParagraphChar"/>
    <w:uiPriority w:val="34"/>
    <w:qFormat/>
    <w:rsid w:val="00FA7F33"/>
    <w:pPr>
      <w:numPr>
        <w:numId w:val="18"/>
      </w:numPr>
      <w:spacing w:after="200" w:line="276" w:lineRule="auto"/>
      <w:contextualSpacing/>
    </w:pPr>
    <w:rPr>
      <w:rFonts w:eastAsia="Calibri" w:cs="Arial"/>
      <w:szCs w:val="20"/>
      <w:lang w:eastAsia="en-US"/>
    </w:rPr>
  </w:style>
  <w:style w:type="character" w:customStyle="1" w:styleId="ACMABodyTextChar">
    <w:name w:val="ACMA Body Text Char"/>
    <w:basedOn w:val="DefaultParagraphFont"/>
    <w:link w:val="ACMABodyText"/>
    <w:locked/>
    <w:rsid w:val="00FA7F33"/>
    <w:rPr>
      <w:rFonts w:ascii="Times New Roman" w:eastAsia="Times New Roman" w:hAnsi="Times New Roman" w:cs="Times New Roman"/>
      <w:snapToGrid w:val="0"/>
      <w:sz w:val="24"/>
      <w:szCs w:val="20"/>
    </w:rPr>
  </w:style>
  <w:style w:type="character" w:customStyle="1" w:styleId="ListParagraphChar">
    <w:name w:val="List Paragraph Char"/>
    <w:aliases w:val="List Paragraph1 Char,Recommendation Char"/>
    <w:basedOn w:val="DefaultParagraphFont"/>
    <w:link w:val="ListParagraph"/>
    <w:uiPriority w:val="34"/>
    <w:locked/>
    <w:rsid w:val="00FA7F33"/>
    <w:rPr>
      <w:rFonts w:ascii="Arial" w:eastAsia="Calibri" w:hAnsi="Arial" w:cs="Arial"/>
      <w:sz w:val="20"/>
      <w:szCs w:val="20"/>
    </w:rPr>
  </w:style>
  <w:style w:type="paragraph" w:customStyle="1" w:styleId="TableHeading0">
    <w:name w:val="Table Heading"/>
    <w:basedOn w:val="Normal"/>
    <w:qFormat/>
    <w:rsid w:val="00FA7F33"/>
    <w:pPr>
      <w:spacing w:after="0"/>
    </w:pPr>
    <w:rPr>
      <w:b/>
    </w:rPr>
  </w:style>
  <w:style w:type="paragraph" w:customStyle="1" w:styleId="Pre-NumberedLegisLvl3">
    <w:name w:val="Pre-Numbered Legis Lvl 3"/>
    <w:rsid w:val="00FA7F33"/>
    <w:pPr>
      <w:spacing w:after="0" w:line="240" w:lineRule="auto"/>
      <w:ind w:left="1985" w:hanging="567"/>
    </w:pPr>
    <w:rPr>
      <w:rFonts w:ascii="Times New Roman" w:eastAsia="Times New Roman" w:hAnsi="Times New Roman" w:cs="Times New Roman"/>
      <w:szCs w:val="20"/>
    </w:rPr>
  </w:style>
  <w:style w:type="paragraph" w:customStyle="1" w:styleId="question">
    <w:name w:val="question"/>
    <w:basedOn w:val="ListParagraph"/>
    <w:link w:val="questionChar"/>
    <w:qFormat/>
    <w:rsid w:val="00FA7F33"/>
    <w:pPr>
      <w:numPr>
        <w:numId w:val="17"/>
      </w:numPr>
      <w:pBdr>
        <w:top w:val="single" w:sz="4" w:space="1" w:color="auto"/>
        <w:left w:val="single" w:sz="4" w:space="4" w:color="auto"/>
        <w:bottom w:val="single" w:sz="4" w:space="1" w:color="auto"/>
        <w:right w:val="single" w:sz="4" w:space="4" w:color="auto"/>
        <w:between w:val="single" w:sz="4" w:space="1" w:color="auto"/>
        <w:bar w:val="single" w:sz="4" w:color="auto"/>
      </w:pBdr>
    </w:pPr>
  </w:style>
  <w:style w:type="paragraph" w:customStyle="1" w:styleId="sub-heading">
    <w:name w:val="sub-heading"/>
    <w:basedOn w:val="Heading2"/>
    <w:link w:val="sub-headingChar"/>
    <w:qFormat/>
    <w:rsid w:val="00FA7F33"/>
  </w:style>
  <w:style w:type="character" w:customStyle="1" w:styleId="questionChar">
    <w:name w:val="question Char"/>
    <w:basedOn w:val="ListParagraphChar"/>
    <w:link w:val="question"/>
    <w:rsid w:val="00FA7F33"/>
    <w:rPr>
      <w:rFonts w:ascii="Arial" w:eastAsia="Calibri" w:hAnsi="Arial" w:cs="Arial"/>
      <w:sz w:val="20"/>
      <w:szCs w:val="20"/>
    </w:rPr>
  </w:style>
  <w:style w:type="character" w:customStyle="1" w:styleId="sub-headingChar">
    <w:name w:val="sub-heading Char"/>
    <w:basedOn w:val="Heading2Char"/>
    <w:link w:val="sub-heading"/>
    <w:rsid w:val="00FA7F33"/>
    <w:rPr>
      <w:rFonts w:ascii="Arial" w:eastAsia="Times New Roman" w:hAnsi="Arial" w:cs="Arial"/>
      <w:b/>
      <w:bCs/>
      <w:iCs/>
      <w:sz w:val="28"/>
      <w:szCs w:val="28"/>
      <w:lang w:eastAsia="en-AU"/>
    </w:rPr>
  </w:style>
  <w:style w:type="paragraph" w:styleId="NormalWeb">
    <w:name w:val="Normal (Web)"/>
    <w:basedOn w:val="Normal"/>
    <w:uiPriority w:val="99"/>
    <w:semiHidden/>
    <w:unhideWhenUsed/>
    <w:rsid w:val="00FA7F33"/>
    <w:pPr>
      <w:spacing w:after="100" w:afterAutospacing="1" w:line="240" w:lineRule="auto"/>
    </w:pPr>
    <w:rPr>
      <w:rFonts w:ascii="Times New Roman" w:hAnsi="Times New Roman"/>
      <w:sz w:val="24"/>
    </w:rPr>
  </w:style>
  <w:style w:type="character" w:styleId="LineNumber">
    <w:name w:val="line number"/>
    <w:basedOn w:val="DefaultParagraphFont"/>
    <w:semiHidden/>
    <w:unhideWhenUsed/>
    <w:rsid w:val="00FA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376577">
      <w:bodyDiv w:val="1"/>
      <w:marLeft w:val="0"/>
      <w:marRight w:val="0"/>
      <w:marTop w:val="0"/>
      <w:marBottom w:val="0"/>
      <w:divBdr>
        <w:top w:val="none" w:sz="0" w:space="0" w:color="auto"/>
        <w:left w:val="none" w:sz="0" w:space="0" w:color="auto"/>
        <w:bottom w:val="none" w:sz="0" w:space="0" w:color="auto"/>
        <w:right w:val="none" w:sz="0" w:space="0" w:color="auto"/>
      </w:divBdr>
    </w:div>
    <w:div w:id="642588882">
      <w:bodyDiv w:val="1"/>
      <w:marLeft w:val="0"/>
      <w:marRight w:val="0"/>
      <w:marTop w:val="0"/>
      <w:marBottom w:val="0"/>
      <w:divBdr>
        <w:top w:val="none" w:sz="0" w:space="0" w:color="auto"/>
        <w:left w:val="none" w:sz="0" w:space="0" w:color="auto"/>
        <w:bottom w:val="none" w:sz="0" w:space="0" w:color="auto"/>
        <w:right w:val="none" w:sz="0" w:space="0" w:color="auto"/>
      </w:divBdr>
    </w:div>
    <w:div w:id="697439076">
      <w:bodyDiv w:val="1"/>
      <w:marLeft w:val="0"/>
      <w:marRight w:val="0"/>
      <w:marTop w:val="0"/>
      <w:marBottom w:val="0"/>
      <w:divBdr>
        <w:top w:val="none" w:sz="0" w:space="0" w:color="auto"/>
        <w:left w:val="none" w:sz="0" w:space="0" w:color="auto"/>
        <w:bottom w:val="none" w:sz="0" w:space="0" w:color="auto"/>
        <w:right w:val="none" w:sz="0" w:space="0" w:color="auto"/>
      </w:divBdr>
    </w:div>
    <w:div w:id="1835415093">
      <w:bodyDiv w:val="1"/>
      <w:marLeft w:val="0"/>
      <w:marRight w:val="0"/>
      <w:marTop w:val="0"/>
      <w:marBottom w:val="0"/>
      <w:divBdr>
        <w:top w:val="none" w:sz="0" w:space="0" w:color="auto"/>
        <w:left w:val="none" w:sz="0" w:space="0" w:color="auto"/>
        <w:bottom w:val="none" w:sz="0" w:space="0" w:color="auto"/>
        <w:right w:val="none" w:sz="0" w:space="0" w:color="auto"/>
      </w:divBdr>
      <w:divsChild>
        <w:div w:id="1372341448">
          <w:marLeft w:val="0"/>
          <w:marRight w:val="0"/>
          <w:marTop w:val="0"/>
          <w:marBottom w:val="120"/>
          <w:divBdr>
            <w:top w:val="none" w:sz="0" w:space="0" w:color="auto"/>
            <w:left w:val="none" w:sz="0" w:space="0" w:color="auto"/>
            <w:bottom w:val="none" w:sz="0" w:space="0" w:color="auto"/>
            <w:right w:val="none" w:sz="0" w:space="0" w:color="auto"/>
          </w:divBdr>
          <w:divsChild>
            <w:div w:id="1401173978">
              <w:marLeft w:val="0"/>
              <w:marRight w:val="0"/>
              <w:marTop w:val="0"/>
              <w:marBottom w:val="0"/>
              <w:divBdr>
                <w:top w:val="none" w:sz="0" w:space="0" w:color="auto"/>
                <w:left w:val="none" w:sz="0" w:space="0" w:color="auto"/>
                <w:bottom w:val="none" w:sz="0" w:space="0" w:color="auto"/>
                <w:right w:val="none" w:sz="0" w:space="0" w:color="auto"/>
              </w:divBdr>
            </w:div>
          </w:divsChild>
        </w:div>
        <w:div w:id="1491872157">
          <w:marLeft w:val="0"/>
          <w:marRight w:val="0"/>
          <w:marTop w:val="0"/>
          <w:marBottom w:val="120"/>
          <w:divBdr>
            <w:top w:val="none" w:sz="0" w:space="0" w:color="auto"/>
            <w:left w:val="none" w:sz="0" w:space="0" w:color="auto"/>
            <w:bottom w:val="none" w:sz="0" w:space="0" w:color="auto"/>
            <w:right w:val="none" w:sz="0" w:space="0" w:color="auto"/>
          </w:divBdr>
          <w:divsChild>
            <w:div w:id="154286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nfo@acma.gov.au" TargetMode="External"/><Relationship Id="rId26" Type="http://schemas.openxmlformats.org/officeDocument/2006/relationships/footer" Target="footer5.xml"/><Relationship Id="rId39" Type="http://schemas.openxmlformats.org/officeDocument/2006/relationships/hyperlink" Target="https://www.acma.gov.au/procedure-earth-and-earth-receive-licensing-and-registering-earth-stations" TargetMode="External"/><Relationship Id="rId21" Type="http://schemas.openxmlformats.org/officeDocument/2006/relationships/footer" Target="footer2.xml"/><Relationship Id="rId34" Type="http://schemas.openxmlformats.org/officeDocument/2006/relationships/hyperlink" Target="http://collaboration/organisation/cid/speb/sp/SectionDocuments/3700-4200%20MHz/implementation/TLG%20V4/Proposed%20spectrum%20re-allocation%20declaration%20for%20the%203.4%20GHz%20and%203.7%20GHz%20bands" TargetMode="External"/><Relationship Id="rId42" Type="http://schemas.openxmlformats.org/officeDocument/2006/relationships/hyperlink" Target="https://www.legislation.gov.au/Series/F2015L01438" TargetMode="External"/><Relationship Id="rId47" Type="http://schemas.openxmlformats.org/officeDocument/2006/relationships/hyperlink" Target="https://www.acma.gov.au/publications/2022-09/plan/five-year-spectrum-outlook-2022-27" TargetMode="External"/><Relationship Id="rId50" Type="http://schemas.openxmlformats.org/officeDocument/2006/relationships/hyperlink" Target="https://web.acma.gov.au/rrl/browse_licences.licence_list?pSV_ID=85&amp;pSS_ID=861" TargetMode="External"/><Relationship Id="rId55" Type="http://schemas.openxmlformats.org/officeDocument/2006/relationships/hyperlink" Target="https://www.acma.gov.au/34-ghz-technical-framework"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header" Target="header8.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yperlink" Target="https://www.acma.gov.au/consultations/2020-07/planning-options-3700-4200-mhz-band-consultation-222020" TargetMode="External"/><Relationship Id="rId37" Type="http://schemas.openxmlformats.org/officeDocument/2006/relationships/hyperlink" Target="https://www.legislation.gov.au/Series/F2015L00728" TargetMode="External"/><Relationship Id="rId40" Type="http://schemas.openxmlformats.org/officeDocument/2006/relationships/hyperlink" Target="https://www.acma.gov.au/restriction-earth-station-licensing-near-alice-springs" TargetMode="External"/><Relationship Id="rId45" Type="http://schemas.openxmlformats.org/officeDocument/2006/relationships/hyperlink" Target="https://www.acma.gov.au/consultations/2021-01/review-non-assigned-amateur-and-outpost-regulatory-arrangements-consultation-012021" TargetMode="External"/><Relationship Id="rId53" Type="http://schemas.openxmlformats.org/officeDocument/2006/relationships/hyperlink" Target="https://www.legislation.gov.au/Details/F2013L02150" TargetMode="External"/><Relationship Id="rId58" Type="http://schemas.openxmlformats.org/officeDocument/2006/relationships/header" Target="header10.xml"/><Relationship Id="rId5" Type="http://schemas.openxmlformats.org/officeDocument/2006/relationships/customXml" Target="../customXml/item5.xml"/><Relationship Id="rId61" Type="http://schemas.openxmlformats.org/officeDocument/2006/relationships/fontTable" Target="fontTable.xml"/><Relationship Id="rId19" Type="http://schemas.openxmlformats.org/officeDocument/2006/relationships/header" Target="header3.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hyperlink" Target="https://www.legislation.gov.au/Details/F2022L00983" TargetMode="External"/><Relationship Id="rId43" Type="http://schemas.openxmlformats.org/officeDocument/2006/relationships/hyperlink" Target="https://www.legislation.gov.au/Details/F2020C00376" TargetMode="External"/><Relationship Id="rId48" Type="http://schemas.openxmlformats.org/officeDocument/2006/relationships/hyperlink" Target="https://www.acma.gov.au/consultations/2022-09/proposed-amateur-class-licensing-arrangements-and-higher-power-operation-consultation-312022?utm_medium=email&amp;utm_campaign=Have%20your%20say%20%20proposed%20amateur%20class%20licence%20and%20considerations%20for%20higher%20power%20operation&amp;utm_content=Have%20your%20say%20%20proposed%20amateur%20class%20licence%20and%20considerations%20for%20higher%20power%20operation+Preview+CID_8ff76c5bcb8b75a9c3db389a153c0300&amp;utm_source=SendEmailCampaigns&amp;utm_term=ACMA%20website" TargetMode="External"/><Relationship Id="rId56" Type="http://schemas.openxmlformats.org/officeDocument/2006/relationships/hyperlink" Target="https://www.acma.gov.au/consultations/2021-08/planning-wireless-broadband-use-urban-areas-3400-3475-mhz-band-consultation-312021" TargetMode="External"/><Relationship Id="rId8" Type="http://schemas.openxmlformats.org/officeDocument/2006/relationships/settings" Target="settings.xml"/><Relationship Id="rId51" Type="http://schemas.openxmlformats.org/officeDocument/2006/relationships/hyperlink" Target="https://www.legislation.gov.au/Series/F2015L00727"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creativecommons.org/licenses/by/4.0/" TargetMode="External"/><Relationship Id="rId25" Type="http://schemas.openxmlformats.org/officeDocument/2006/relationships/footer" Target="footer4.xml"/><Relationship Id="rId33" Type="http://schemas.openxmlformats.org/officeDocument/2006/relationships/hyperlink" Target="https://www.acma.gov.au/consultations/2019-08/optimising-3400-3575-mhz-band-consultation-122019" TargetMode="External"/><Relationship Id="rId38" Type="http://schemas.openxmlformats.org/officeDocument/2006/relationships/hyperlink" Target="https://www.legislation.gov.au/Details/F2013L02150" TargetMode="External"/><Relationship Id="rId46" Type="http://schemas.openxmlformats.org/officeDocument/2006/relationships/hyperlink" Target="https://www.legislation.gov.au/Series/F2015L01114" TargetMode="External"/><Relationship Id="rId59" Type="http://schemas.openxmlformats.org/officeDocument/2006/relationships/footer" Target="footer9.xml"/><Relationship Id="rId20" Type="http://schemas.openxmlformats.org/officeDocument/2006/relationships/header" Target="header4.xml"/><Relationship Id="rId41" Type="http://schemas.openxmlformats.org/officeDocument/2006/relationships/hyperlink" Target="https://www.acma.gov.au/publications/2019-08/instruction/rali-ms32-mid-west-radio-quiet-zone" TargetMode="External"/><Relationship Id="rId54" Type="http://schemas.openxmlformats.org/officeDocument/2006/relationships/hyperlink" Target="https://www.acma.gov.au/spectrum-licence-technical-liaison-groups"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i.creativecommons.org/l/by/3.0/88x31.png"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https://www.legislation.gov.au/Series/F2015L00727" TargetMode="External"/><Relationship Id="rId49" Type="http://schemas.openxmlformats.org/officeDocument/2006/relationships/hyperlink" Target="https://www.acma.gov.au/publications/2012-12/guide/spectrum-licencees-know-your-obligations" TargetMode="External"/><Relationship Id="rId57" Type="http://schemas.openxmlformats.org/officeDocument/2006/relationships/header" Target="header9.xml"/><Relationship Id="rId10" Type="http://schemas.openxmlformats.org/officeDocument/2006/relationships/footnotes" Target="footnotes.xml"/><Relationship Id="rId31" Type="http://schemas.openxmlformats.org/officeDocument/2006/relationships/footer" Target="footer8.xml"/><Relationship Id="rId44" Type="http://schemas.openxmlformats.org/officeDocument/2006/relationships/hyperlink" Target="https://www.acma.gov.au/australian-radiofrequency-spectrum-plan" TargetMode="External"/><Relationship Id="rId52" Type="http://schemas.openxmlformats.org/officeDocument/2006/relationships/hyperlink" Target="https://www.legislation.gov.au/Series/F2015L00728" TargetMode="External"/><Relationship Id="rId60"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3NE2HDV7HD6D-128-7400</_dlc_DocId>
    <_dlc_DocIdUrl xmlns="1d983eb4-33f7-44b0-aea1-cbdcf0c55136">
      <Url>http://collaboration/organisation/cid/speb/sp/_layouts/15/DocIdRedir.aspx?ID=3NE2HDV7HD6D-128-7400</Url>
      <Description>3NE2HDV7HD6D-128-7400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4EE590-AD90-4FDF-8FCE-5E7A45F14E0E}">
  <ds:schemaRefs>
    <ds:schemaRef ds:uri="http://schemas.microsoft.com/office/infopath/2007/PartnerControls"/>
    <ds:schemaRef ds:uri="http://schemas.microsoft.com/office/2006/documentManagement/types"/>
    <ds:schemaRef ds:uri="http://purl.org/dc/elements/1.1/"/>
    <ds:schemaRef ds:uri="http://purl.org/dc/terms/"/>
    <ds:schemaRef ds:uri="http://schemas.microsoft.com/office/2006/metadata/properties"/>
    <ds:schemaRef ds:uri="1d983eb4-33f7-44b0-aea1-cbdcf0c55136"/>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E65CD2C-EAA8-4816-8C43-33BA2189D61D}">
  <ds:schemaRefs>
    <ds:schemaRef ds:uri="http://schemas.microsoft.com/sharepoint/events"/>
  </ds:schemaRefs>
</ds:datastoreItem>
</file>

<file path=customXml/itemProps3.xml><?xml version="1.0" encoding="utf-8"?>
<ds:datastoreItem xmlns:ds="http://schemas.openxmlformats.org/officeDocument/2006/customXml" ds:itemID="{5569F981-260D-4F9B-BD21-C7DDD1C03B51}">
  <ds:schemaRefs>
    <ds:schemaRef ds:uri="http://schemas.microsoft.com/sharepoint/v3/contenttype/forms"/>
  </ds:schemaRefs>
</ds:datastoreItem>
</file>

<file path=customXml/itemProps4.xml><?xml version="1.0" encoding="utf-8"?>
<ds:datastoreItem xmlns:ds="http://schemas.openxmlformats.org/officeDocument/2006/customXml" ds:itemID="{344FE4A1-4CD0-4B0A-819D-0C1BEF5A0301}">
  <ds:schemaRefs>
    <ds:schemaRef ds:uri="http://schemas.openxmlformats.org/officeDocument/2006/bibliography"/>
  </ds:schemaRefs>
</ds:datastoreItem>
</file>

<file path=customXml/itemProps5.xml><?xml version="1.0" encoding="utf-8"?>
<ds:datastoreItem xmlns:ds="http://schemas.openxmlformats.org/officeDocument/2006/customXml" ds:itemID="{8EF410A6-416A-45DB-9465-71BB8ED68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8113</Words>
  <Characters>43815</Characters>
  <Application>Microsoft Office Word</Application>
  <DocSecurity>0</DocSecurity>
  <Lines>1118</Lines>
  <Paragraphs>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Iles</dc:creator>
  <cp:keywords/>
  <dc:description/>
  <cp:lastModifiedBy>Douglas Iles</cp:lastModifiedBy>
  <cp:revision>4</cp:revision>
  <dcterms:created xsi:type="dcterms:W3CDTF">2023-02-09T02:15:00Z</dcterms:created>
  <dcterms:modified xsi:type="dcterms:W3CDTF">2023-02-09T02:17:00Z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TitusGUID">
    <vt:lpwstr>d42a5bfb-4012-44be-a088-910e9a93088a</vt:lpwstr>
  </property>
  <property fmtid="{D5CDD505-2E9C-101B-9397-08002B2CF9AE}" pid="4" name="_dlc_DocIdItemGuid">
    <vt:lpwstr>f0b5d1f2-790c-4ef6-bd30-118ce1c39ff0</vt:lpwstr>
  </property>
</Properties>
</file>