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B18BE0" w14:textId="22DE6909" w:rsidR="00A16B15" w:rsidRDefault="00892DC3" w:rsidP="00A51D1A">
      <w:pPr>
        <w:pStyle w:val="Reporttitle"/>
      </w:pPr>
      <w:r>
        <w:t xml:space="preserve">Coexistence between Radio Altimeters operating in 4200-4400 MHz and </w:t>
      </w:r>
    </w:p>
    <w:p w14:paraId="7C744BDC" w14:textId="2CBBC671" w:rsidR="00CC0825" w:rsidRDefault="00892DC3" w:rsidP="00A51D1A">
      <w:pPr>
        <w:pStyle w:val="Reporttitle"/>
      </w:pPr>
      <w:r>
        <w:t xml:space="preserve">Wireless Broadband </w:t>
      </w:r>
      <w:r w:rsidR="008A40B9">
        <w:t xml:space="preserve">systems </w:t>
      </w:r>
    </w:p>
    <w:p w14:paraId="5A17D304" w14:textId="5D51DB23" w:rsidR="00F06E14" w:rsidRPr="00702EA1" w:rsidRDefault="00892DC3" w:rsidP="00A51D1A">
      <w:pPr>
        <w:pStyle w:val="Reporttitle"/>
      </w:pPr>
      <w:r>
        <w:t xml:space="preserve">in </w:t>
      </w:r>
      <w:r w:rsidR="002E2234">
        <w:t>3400</w:t>
      </w:r>
      <w:r>
        <w:t>-4000 MHz</w:t>
      </w:r>
    </w:p>
    <w:p w14:paraId="5F0734F7" w14:textId="328F1C3D" w:rsidR="00F06E14" w:rsidRPr="00702EA1" w:rsidRDefault="00892DC3" w:rsidP="00F06E14">
      <w:pPr>
        <w:pStyle w:val="Reportsubtitle"/>
      </w:pPr>
      <w:r>
        <w:t>Report</w:t>
      </w:r>
    </w:p>
    <w:p w14:paraId="3689ED3A" w14:textId="20380B51" w:rsidR="00EF60C2" w:rsidRDefault="00E12D4D" w:rsidP="00EC2B68">
      <w:pPr>
        <w:pStyle w:val="Reportdate"/>
        <w:spacing w:after="720"/>
      </w:pPr>
      <w:r>
        <w:t>October</w:t>
      </w:r>
      <w:r w:rsidRPr="00702EA1">
        <w:t xml:space="preserve"> </w:t>
      </w:r>
      <w:r w:rsidR="00BD4421" w:rsidRPr="00702EA1">
        <w:t>20</w:t>
      </w:r>
      <w:r w:rsidR="000971BD" w:rsidRPr="00702EA1">
        <w:t>2</w:t>
      </w:r>
      <w:r w:rsidR="0026516F">
        <w:t>2</w:t>
      </w:r>
    </w:p>
    <w:p w14:paraId="35914F3D" w14:textId="6F43F0DC" w:rsidR="00E12D4D" w:rsidRDefault="00E12D4D" w:rsidP="00214293">
      <w:pPr>
        <w:pStyle w:val="Reportdate"/>
        <w:pBdr>
          <w:top w:val="single" w:sz="4" w:space="1" w:color="auto"/>
          <w:left w:val="single" w:sz="4" w:space="4" w:color="auto"/>
          <w:bottom w:val="single" w:sz="4" w:space="1" w:color="auto"/>
          <w:right w:val="single" w:sz="4" w:space="4" w:color="auto"/>
        </w:pBdr>
        <w:spacing w:after="0"/>
      </w:pPr>
      <w:r>
        <w:t>Status and Distribution</w:t>
      </w:r>
    </w:p>
    <w:p w14:paraId="0F25C1C9" w14:textId="6494C237" w:rsidR="000F1528" w:rsidRDefault="00E12D4D" w:rsidP="00214293">
      <w:pPr>
        <w:pBdr>
          <w:top w:val="single" w:sz="4" w:space="1" w:color="auto"/>
          <w:left w:val="single" w:sz="4" w:space="4" w:color="auto"/>
          <w:bottom w:val="single" w:sz="4" w:space="1" w:color="auto"/>
          <w:right w:val="single" w:sz="4" w:space="4" w:color="auto"/>
        </w:pBdr>
        <w:rPr>
          <w:rFonts w:cs="Arial"/>
        </w:rPr>
      </w:pPr>
      <w:r w:rsidRPr="002B2FD2">
        <w:rPr>
          <w:rFonts w:cs="Arial"/>
        </w:rPr>
        <w:t>Th</w:t>
      </w:r>
      <w:r>
        <w:rPr>
          <w:rFonts w:cs="Arial"/>
        </w:rPr>
        <w:t>is</w:t>
      </w:r>
      <w:r w:rsidRPr="002B2FD2">
        <w:rPr>
          <w:rFonts w:cs="Arial"/>
        </w:rPr>
        <w:t xml:space="preserve"> document </w:t>
      </w:r>
      <w:r>
        <w:rPr>
          <w:rFonts w:cs="Arial"/>
        </w:rPr>
        <w:t xml:space="preserve">version </w:t>
      </w:r>
      <w:r w:rsidRPr="002B2FD2">
        <w:rPr>
          <w:rFonts w:cs="Arial"/>
        </w:rPr>
        <w:t>is</w:t>
      </w:r>
      <w:r w:rsidR="00214293">
        <w:rPr>
          <w:rFonts w:cs="Arial"/>
        </w:rPr>
        <w:t xml:space="preserve"> a draft and</w:t>
      </w:r>
      <w:r w:rsidRPr="002B2FD2">
        <w:rPr>
          <w:rFonts w:cs="Arial"/>
        </w:rPr>
        <w:t xml:space="preserve"> </w:t>
      </w:r>
      <w:r w:rsidR="00A43083">
        <w:rPr>
          <w:rFonts w:cs="Arial"/>
        </w:rPr>
        <w:t xml:space="preserve">is </w:t>
      </w:r>
      <w:r w:rsidRPr="002B2FD2">
        <w:rPr>
          <w:rFonts w:cs="Arial"/>
        </w:rPr>
        <w:t xml:space="preserve">informal in nature, </w:t>
      </w:r>
      <w:r w:rsidRPr="002B2FD2" w:rsidDel="00A43083">
        <w:rPr>
          <w:rFonts w:cs="Arial"/>
        </w:rPr>
        <w:t xml:space="preserve">makes </w:t>
      </w:r>
      <w:r w:rsidRPr="002B2FD2">
        <w:rPr>
          <w:rFonts w:cs="Arial"/>
        </w:rPr>
        <w:t xml:space="preserve">no </w:t>
      </w:r>
      <w:r>
        <w:rPr>
          <w:rFonts w:cs="Arial"/>
        </w:rPr>
        <w:t xml:space="preserve">definitive </w:t>
      </w:r>
      <w:r w:rsidRPr="002B2FD2">
        <w:rPr>
          <w:rFonts w:cs="Arial"/>
        </w:rPr>
        <w:t>proposals and has not been considered by the ACMA Authority</w:t>
      </w:r>
      <w:r w:rsidR="00AD695A">
        <w:rPr>
          <w:rFonts w:cs="Arial"/>
        </w:rPr>
        <w:t xml:space="preserve"> (hence any references to the ACMA should be taken as ‘ACMA staff’)</w:t>
      </w:r>
      <w:r w:rsidRPr="002B2FD2">
        <w:rPr>
          <w:rFonts w:cs="Arial"/>
        </w:rPr>
        <w:t>. As an informal document, it</w:t>
      </w:r>
      <w:r>
        <w:rPr>
          <w:rFonts w:cs="Arial"/>
        </w:rPr>
        <w:t>s development</w:t>
      </w:r>
      <w:r w:rsidRPr="002B2FD2">
        <w:rPr>
          <w:rFonts w:cs="Arial"/>
        </w:rPr>
        <w:t xml:space="preserve"> has been shared with members of </w:t>
      </w:r>
      <w:r w:rsidR="00DA4324">
        <w:rPr>
          <w:rFonts w:cs="Arial"/>
        </w:rPr>
        <w:t>the 3.4 GHz Technical Liaison Group (TLG)</w:t>
      </w:r>
      <w:r w:rsidRPr="002B2FD2">
        <w:rPr>
          <w:rFonts w:cs="Arial"/>
        </w:rPr>
        <w:t xml:space="preserve"> only and not released publicly. </w:t>
      </w:r>
      <w:r>
        <w:rPr>
          <w:rFonts w:cs="Arial"/>
        </w:rPr>
        <w:t xml:space="preserve">Outcomes from the TLG will be considered by the ACMA when developing formal proposals for </w:t>
      </w:r>
      <w:r w:rsidR="00A43083">
        <w:rPr>
          <w:rFonts w:cs="Arial"/>
        </w:rPr>
        <w:t xml:space="preserve">any relevant </w:t>
      </w:r>
      <w:r>
        <w:rPr>
          <w:rFonts w:cs="Arial"/>
        </w:rPr>
        <w:t xml:space="preserve">subsequent public consultation. </w:t>
      </w:r>
    </w:p>
    <w:p w14:paraId="16FCC3AC" w14:textId="77777777" w:rsidR="00E12D4D" w:rsidRDefault="00E12D4D" w:rsidP="00EC2B68">
      <w:pPr>
        <w:pStyle w:val="Reportdate"/>
        <w:spacing w:after="720"/>
      </w:pPr>
    </w:p>
    <w:p w14:paraId="3287D2E1" w14:textId="057D8350" w:rsidR="00EF60C2" w:rsidRPr="00702EA1" w:rsidRDefault="00EF60C2" w:rsidP="00EC2B68">
      <w:pPr>
        <w:pStyle w:val="Reportdate"/>
        <w:spacing w:after="720"/>
        <w:rPr>
          <w:rFonts w:cs="Arial"/>
        </w:rPr>
        <w:sectPr w:rsidR="00EF60C2" w:rsidRPr="00702EA1" w:rsidSect="00D77AF2">
          <w:headerReference w:type="default" r:id="rId11"/>
          <w:footerReference w:type="default" r:id="rId12"/>
          <w:headerReference w:type="first" r:id="rId13"/>
          <w:pgSz w:w="11906" w:h="16838" w:code="9"/>
          <w:pgMar w:top="3924" w:right="992" w:bottom="1440" w:left="1134" w:header="709" w:footer="454" w:gutter="0"/>
          <w:cols w:space="708"/>
          <w:docGrid w:linePitch="360"/>
        </w:sectPr>
      </w:pPr>
    </w:p>
    <w:p w14:paraId="1FB1D1D7" w14:textId="77777777" w:rsidR="00284A74" w:rsidRPr="00702EA1" w:rsidRDefault="00284A74" w:rsidP="00284A74">
      <w:pPr>
        <w:pStyle w:val="ACMACorporateAddressHeader"/>
      </w:pPr>
      <w:r w:rsidRPr="00702EA1">
        <w:lastRenderedPageBreak/>
        <w:t>Canberra</w:t>
      </w:r>
    </w:p>
    <w:p w14:paraId="03CBDF41" w14:textId="77777777" w:rsidR="00284A74" w:rsidRPr="00702EA1" w:rsidRDefault="00284A74" w:rsidP="00284A74">
      <w:pPr>
        <w:pStyle w:val="ACMACorporateAddresses"/>
      </w:pPr>
      <w:r w:rsidRPr="00702EA1">
        <w:t xml:space="preserve">Red Building </w:t>
      </w:r>
      <w:r w:rsidRPr="00702EA1">
        <w:br/>
        <w:t>Benjamin Offices</w:t>
      </w:r>
      <w:r w:rsidRPr="00702EA1">
        <w:br/>
        <w:t xml:space="preserve">Chan Street </w:t>
      </w:r>
      <w:r w:rsidRPr="00702EA1">
        <w:br/>
        <w:t>Belconnen ACT</w:t>
      </w:r>
    </w:p>
    <w:p w14:paraId="3F40724B" w14:textId="77777777" w:rsidR="00284A74" w:rsidRPr="00702EA1" w:rsidRDefault="00284A74" w:rsidP="00284A74">
      <w:pPr>
        <w:pStyle w:val="ACMACorporateAddresses"/>
      </w:pPr>
      <w:r w:rsidRPr="00702EA1">
        <w:t>PO Box 78</w:t>
      </w:r>
      <w:r w:rsidRPr="00702EA1">
        <w:br/>
        <w:t>Belconnen ACT 2616</w:t>
      </w:r>
    </w:p>
    <w:p w14:paraId="266D6B22" w14:textId="77777777" w:rsidR="00284A74" w:rsidRPr="00702EA1" w:rsidRDefault="00284A74" w:rsidP="00284A74">
      <w:pPr>
        <w:pStyle w:val="ACMACorporateAddresses"/>
      </w:pPr>
      <w:r w:rsidRPr="00702EA1">
        <w:t>T</w:t>
      </w:r>
      <w:r w:rsidRPr="00702EA1">
        <w:tab/>
        <w:t>+61 2 6219 5555</w:t>
      </w:r>
      <w:r w:rsidRPr="00702EA1">
        <w:br/>
        <w:t>F</w:t>
      </w:r>
      <w:r w:rsidRPr="00702EA1">
        <w:tab/>
        <w:t>+61 2 6219 5353</w:t>
      </w:r>
    </w:p>
    <w:p w14:paraId="4EB3C08E" w14:textId="77777777" w:rsidR="00284A74" w:rsidRPr="00702EA1" w:rsidRDefault="00284A74" w:rsidP="00284A74">
      <w:pPr>
        <w:pStyle w:val="ACMACorporateAddressHeader"/>
      </w:pPr>
      <w:r w:rsidRPr="00702EA1">
        <w:t>Melbourne</w:t>
      </w:r>
    </w:p>
    <w:p w14:paraId="60EEF32E" w14:textId="77777777" w:rsidR="00284A74" w:rsidRPr="00702EA1" w:rsidRDefault="00284A74" w:rsidP="00284A74">
      <w:pPr>
        <w:pStyle w:val="ACMACorporateAddresses"/>
      </w:pPr>
      <w:r w:rsidRPr="00702EA1">
        <w:t xml:space="preserve">Level 32 </w:t>
      </w:r>
      <w:r w:rsidRPr="00702EA1">
        <w:br/>
        <w:t>Melbourne Central Tower</w:t>
      </w:r>
      <w:r w:rsidRPr="00702EA1">
        <w:br/>
        <w:t xml:space="preserve">360 Elizabeth Street </w:t>
      </w:r>
      <w:r w:rsidRPr="00702EA1">
        <w:br/>
        <w:t>Melbourne VIC</w:t>
      </w:r>
    </w:p>
    <w:p w14:paraId="49F4259E" w14:textId="77777777" w:rsidR="00284A74" w:rsidRPr="00702EA1" w:rsidRDefault="00284A74" w:rsidP="00284A74">
      <w:pPr>
        <w:pStyle w:val="ACMACorporateAddresses"/>
      </w:pPr>
      <w:r w:rsidRPr="00702EA1">
        <w:t>PO Box 13112</w:t>
      </w:r>
      <w:r w:rsidRPr="00702EA1">
        <w:br/>
        <w:t xml:space="preserve">Law Courts </w:t>
      </w:r>
      <w:r w:rsidRPr="00702EA1">
        <w:br/>
        <w:t>Melbourne VIC 8010</w:t>
      </w:r>
    </w:p>
    <w:p w14:paraId="36540C8B" w14:textId="77777777" w:rsidR="00284A74" w:rsidRPr="00702EA1" w:rsidRDefault="00284A74" w:rsidP="00284A74">
      <w:pPr>
        <w:pStyle w:val="ACMACorporateAddresses"/>
      </w:pPr>
      <w:r w:rsidRPr="00702EA1">
        <w:t>T</w:t>
      </w:r>
      <w:r w:rsidRPr="00702EA1">
        <w:tab/>
        <w:t>+61 3 9963 6800</w:t>
      </w:r>
      <w:r w:rsidRPr="00702EA1">
        <w:br/>
        <w:t>F</w:t>
      </w:r>
      <w:r w:rsidRPr="00702EA1">
        <w:tab/>
        <w:t>+61 3 9963 6899</w:t>
      </w:r>
    </w:p>
    <w:p w14:paraId="51720AC9" w14:textId="77777777" w:rsidR="00284A74" w:rsidRPr="00702EA1" w:rsidRDefault="00284A74" w:rsidP="00284A74">
      <w:pPr>
        <w:pStyle w:val="ACMACorporateAddressHeader"/>
      </w:pPr>
      <w:r w:rsidRPr="00702EA1">
        <w:t>Sydney</w:t>
      </w:r>
    </w:p>
    <w:p w14:paraId="1F149624" w14:textId="77777777" w:rsidR="00284A74" w:rsidRPr="00702EA1" w:rsidRDefault="00284A74" w:rsidP="00284A74">
      <w:pPr>
        <w:pStyle w:val="ACMACorporateAddresses"/>
      </w:pPr>
      <w:r w:rsidRPr="00702EA1">
        <w:t xml:space="preserve">Level 5 </w:t>
      </w:r>
      <w:r w:rsidRPr="00702EA1">
        <w:br/>
        <w:t>The Bay Centre</w:t>
      </w:r>
      <w:r w:rsidRPr="00702EA1">
        <w:br/>
        <w:t xml:space="preserve">65 Pirrama Road </w:t>
      </w:r>
      <w:r w:rsidRPr="00702EA1">
        <w:br/>
        <w:t>Pyrmont NSW</w:t>
      </w:r>
    </w:p>
    <w:p w14:paraId="73D0A3BD" w14:textId="77777777" w:rsidR="00284A74" w:rsidRPr="00702EA1" w:rsidRDefault="00284A74" w:rsidP="00284A74">
      <w:pPr>
        <w:pStyle w:val="ACMACorporateAddresses"/>
      </w:pPr>
      <w:r w:rsidRPr="00702EA1">
        <w:t>PO Box Q500</w:t>
      </w:r>
      <w:r w:rsidRPr="00702EA1">
        <w:br/>
        <w:t xml:space="preserve">Queen Victoria Building </w:t>
      </w:r>
      <w:r w:rsidRPr="00702EA1">
        <w:br/>
        <w:t>NSW 1230</w:t>
      </w:r>
    </w:p>
    <w:p w14:paraId="26268080" w14:textId="77777777" w:rsidR="00284A74" w:rsidRPr="00702EA1" w:rsidRDefault="00284A74" w:rsidP="00284A74">
      <w:pPr>
        <w:pStyle w:val="ACMACorporateAddresses"/>
      </w:pPr>
      <w:r w:rsidRPr="00702EA1">
        <w:t>T</w:t>
      </w:r>
      <w:r w:rsidRPr="00702EA1">
        <w:tab/>
        <w:t>+61 2 9334 7700</w:t>
      </w:r>
      <w:r w:rsidRPr="00702EA1">
        <w:br/>
        <w:t>F</w:t>
      </w:r>
      <w:r w:rsidRPr="00702EA1">
        <w:tab/>
        <w:t>+61 2 9334 7799</w:t>
      </w:r>
    </w:p>
    <w:p w14:paraId="2E1C6546" w14:textId="77777777" w:rsidR="00284A74" w:rsidRPr="00702EA1" w:rsidRDefault="00284A74" w:rsidP="00284A74">
      <w:pPr>
        <w:pStyle w:val="ACMACopyrightHeader"/>
      </w:pPr>
      <w:r w:rsidRPr="00702EA1">
        <w:t>Copyright notice</w:t>
      </w:r>
    </w:p>
    <w:p w14:paraId="1265FFCE" w14:textId="77777777" w:rsidR="00284A74" w:rsidRPr="00702EA1" w:rsidRDefault="00284A74" w:rsidP="00284A74">
      <w:pPr>
        <w:pStyle w:val="ACMACClogo"/>
      </w:pPr>
      <w:r w:rsidRPr="00702EA1">
        <w:rPr>
          <w:noProof/>
        </w:rPr>
        <w:drawing>
          <wp:inline distT="0" distB="0" distL="0" distR="0" wp14:anchorId="77DAB54B" wp14:editId="1C6A080B">
            <wp:extent cx="838200" cy="295275"/>
            <wp:effectExtent l="0" t="0" r="0" b="0"/>
            <wp:docPr id="1" name="Picture 1" title="Creative Commons logo">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4"/>
                    </pic:cNvPr>
                    <pic:cNvPicPr>
                      <a:picLocks noChangeAspect="1" noChangeArrowheads="1"/>
                    </pic:cNvPicPr>
                  </pic:nvPicPr>
                  <pic:blipFill>
                    <a:blip r:embed="rId15" cstate="print"/>
                    <a:srcRect/>
                    <a:stretch>
                      <a:fillRect/>
                    </a:stretch>
                  </pic:blipFill>
                  <pic:spPr bwMode="auto">
                    <a:xfrm>
                      <a:off x="0" y="0"/>
                      <a:ext cx="838200" cy="295275"/>
                    </a:xfrm>
                    <a:prstGeom prst="rect">
                      <a:avLst/>
                    </a:prstGeom>
                    <a:noFill/>
                  </pic:spPr>
                </pic:pic>
              </a:graphicData>
            </a:graphic>
          </wp:inline>
        </w:drawing>
      </w:r>
    </w:p>
    <w:p w14:paraId="6E133F59" w14:textId="77777777" w:rsidR="00284A74" w:rsidRPr="00702EA1" w:rsidRDefault="009C479C" w:rsidP="00284A74">
      <w:pPr>
        <w:pStyle w:val="ACMACorporateAddresses"/>
        <w:rPr>
          <w:rStyle w:val="Hyperlink"/>
        </w:rPr>
      </w:pPr>
      <w:hyperlink r:id="rId16" w:history="1">
        <w:r w:rsidR="00284A74" w:rsidRPr="00702EA1">
          <w:rPr>
            <w:rStyle w:val="Hyperlink"/>
          </w:rPr>
          <w:t>https://creativecommons.org/licenses/by/4.0/</w:t>
        </w:r>
      </w:hyperlink>
    </w:p>
    <w:p w14:paraId="73723E67" w14:textId="77777777" w:rsidR="00284A74" w:rsidRPr="00702EA1" w:rsidRDefault="00284A74" w:rsidP="00284A74">
      <w:pPr>
        <w:pStyle w:val="ACMACorporateAddresses"/>
      </w:pPr>
      <w:r w:rsidRPr="00702EA1">
        <w:t xml:space="preserve">With the exception of coats of arms, logos, emblems, images, other third-party material or devices protected by a trademark, this content is made available under the terms of the Creative Commons Attribution 4.0 International (CC BY 4.0) licence. </w:t>
      </w:r>
    </w:p>
    <w:p w14:paraId="00D0E60A" w14:textId="4D27E1F3" w:rsidR="00284A74" w:rsidRPr="00702EA1" w:rsidRDefault="00284A74" w:rsidP="00284A74">
      <w:pPr>
        <w:pStyle w:val="ACMACorporateAddresses"/>
      </w:pPr>
      <w:r w:rsidRPr="00702EA1">
        <w:t>We request attribution as © Commonwealth of Australia (Australian Communications and Media Authority) 202</w:t>
      </w:r>
      <w:r w:rsidR="00D77AF2">
        <w:t>2</w:t>
      </w:r>
      <w:r w:rsidRPr="00702EA1">
        <w:t>.</w:t>
      </w:r>
    </w:p>
    <w:p w14:paraId="6915C168" w14:textId="77777777" w:rsidR="00284A74" w:rsidRPr="00702EA1" w:rsidRDefault="00284A74" w:rsidP="00284A74">
      <w:pPr>
        <w:pStyle w:val="ACMACorporateAddresses"/>
      </w:pPr>
      <w:r w:rsidRPr="00702EA1">
        <w:t>All other rights are reserved.</w:t>
      </w:r>
    </w:p>
    <w:p w14:paraId="02A9A055" w14:textId="77777777" w:rsidR="00284A74" w:rsidRPr="00702EA1" w:rsidRDefault="00284A74" w:rsidP="00284A74">
      <w:pPr>
        <w:pStyle w:val="ACMACorporateAddresses"/>
      </w:pPr>
      <w:r w:rsidRPr="00702EA1">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40788AE3" w14:textId="77777777" w:rsidR="00284A74" w:rsidRPr="00702EA1" w:rsidRDefault="00284A74" w:rsidP="00284A74">
      <w:pPr>
        <w:pStyle w:val="ACMACorporateAddresses"/>
      </w:pPr>
      <w:r w:rsidRPr="00702EA1">
        <w:t>Written enquiries may be sent to:</w:t>
      </w:r>
    </w:p>
    <w:p w14:paraId="6B74EE2C" w14:textId="77777777" w:rsidR="00284A74" w:rsidRPr="00702EA1" w:rsidRDefault="00284A74" w:rsidP="00284A74">
      <w:pPr>
        <w:pStyle w:val="ACMACorporateAddresses"/>
        <w:rPr>
          <w:rStyle w:val="Hyperlink"/>
        </w:rPr>
      </w:pPr>
      <w:r w:rsidRPr="00702EA1">
        <w:t>Manager, Editorial Services</w:t>
      </w:r>
      <w:r w:rsidRPr="00702EA1">
        <w:br/>
        <w:t>PO Box 13112</w:t>
      </w:r>
      <w:r w:rsidRPr="00702EA1">
        <w:br/>
        <w:t>Law Courts</w:t>
      </w:r>
      <w:r w:rsidRPr="00702EA1">
        <w:br/>
        <w:t>Melbourne VIC 8010</w:t>
      </w:r>
      <w:r w:rsidRPr="00702EA1">
        <w:br/>
        <w:t xml:space="preserve">Email: </w:t>
      </w:r>
      <w:hyperlink r:id="rId17" w:history="1">
        <w:r w:rsidRPr="00702EA1">
          <w:rPr>
            <w:rStyle w:val="Hyperlink"/>
          </w:rPr>
          <w:t>info@acma.gov.au</w:t>
        </w:r>
      </w:hyperlink>
    </w:p>
    <w:p w14:paraId="7FE1F84E" w14:textId="77777777" w:rsidR="00D16FE3" w:rsidRPr="00702EA1" w:rsidRDefault="00D16FE3" w:rsidP="00D16FE3">
      <w:pPr>
        <w:pStyle w:val="ACMACorporateAddresses"/>
        <w:sectPr w:rsidR="00D16FE3" w:rsidRPr="00702EA1">
          <w:headerReference w:type="even" r:id="rId18"/>
          <w:headerReference w:type="default" r:id="rId19"/>
          <w:footerReference w:type="even" r:id="rId20"/>
          <w:footerReference w:type="default" r:id="rId21"/>
          <w:pgSz w:w="11906" w:h="16838" w:code="9"/>
          <w:pgMar w:top="3924" w:right="1797" w:bottom="697" w:left="1134" w:header="709" w:footer="119" w:gutter="0"/>
          <w:cols w:space="708"/>
          <w:docGrid w:linePitch="360"/>
        </w:sectPr>
      </w:pPr>
    </w:p>
    <w:p w14:paraId="1C709E10" w14:textId="53690B6B" w:rsidR="00EF23CB" w:rsidRDefault="003C59EE">
      <w:pPr>
        <w:pStyle w:val="TOC1"/>
        <w:rPr>
          <w:rFonts w:asciiTheme="minorHAnsi" w:eastAsiaTheme="minorEastAsia" w:hAnsiTheme="minorHAnsi" w:cstheme="minorBidi"/>
          <w:b w:val="0"/>
          <w:spacing w:val="0"/>
          <w:sz w:val="22"/>
          <w:szCs w:val="22"/>
        </w:rPr>
      </w:pPr>
      <w:r>
        <w:rPr>
          <w:rFonts w:cs="Arial"/>
          <w:b w:val="0"/>
        </w:rPr>
        <w:lastRenderedPageBreak/>
        <w:fldChar w:fldCharType="begin"/>
      </w:r>
      <w:r>
        <w:rPr>
          <w:rFonts w:cs="Arial"/>
          <w:b w:val="0"/>
        </w:rPr>
        <w:instrText xml:space="preserve"> TOC \o "1-2" \h \z \t "Exec summary heading,1" </w:instrText>
      </w:r>
      <w:r>
        <w:rPr>
          <w:rFonts w:cs="Arial"/>
          <w:b w:val="0"/>
        </w:rPr>
        <w:fldChar w:fldCharType="separate"/>
      </w:r>
      <w:hyperlink w:anchor="_Toc116041864" w:history="1">
        <w:r w:rsidR="00EF23CB" w:rsidRPr="00F65040">
          <w:rPr>
            <w:rStyle w:val="Hyperlink"/>
          </w:rPr>
          <w:t>1.</w:t>
        </w:r>
        <w:r w:rsidR="00EF23CB">
          <w:rPr>
            <w:rFonts w:asciiTheme="minorHAnsi" w:eastAsiaTheme="minorEastAsia" w:hAnsiTheme="minorHAnsi" w:cstheme="minorBidi"/>
            <w:b w:val="0"/>
            <w:spacing w:val="0"/>
            <w:sz w:val="22"/>
            <w:szCs w:val="22"/>
          </w:rPr>
          <w:tab/>
        </w:r>
        <w:r w:rsidR="00EF23CB" w:rsidRPr="00F65040">
          <w:rPr>
            <w:rStyle w:val="Hyperlink"/>
          </w:rPr>
          <w:t>Version and review history</w:t>
        </w:r>
        <w:r w:rsidR="00EF23CB">
          <w:rPr>
            <w:webHidden/>
          </w:rPr>
          <w:tab/>
        </w:r>
        <w:r w:rsidR="00EF23CB">
          <w:rPr>
            <w:webHidden/>
          </w:rPr>
          <w:fldChar w:fldCharType="begin"/>
        </w:r>
        <w:r w:rsidR="00EF23CB">
          <w:rPr>
            <w:webHidden/>
          </w:rPr>
          <w:instrText xml:space="preserve"> PAGEREF _Toc116041864 \h </w:instrText>
        </w:r>
        <w:r w:rsidR="00EF23CB">
          <w:rPr>
            <w:webHidden/>
          </w:rPr>
        </w:r>
        <w:r w:rsidR="00EF23CB">
          <w:rPr>
            <w:webHidden/>
          </w:rPr>
          <w:fldChar w:fldCharType="separate"/>
        </w:r>
        <w:r w:rsidR="009C0E98">
          <w:rPr>
            <w:webHidden/>
          </w:rPr>
          <w:t>1</w:t>
        </w:r>
        <w:r w:rsidR="00EF23CB">
          <w:rPr>
            <w:webHidden/>
          </w:rPr>
          <w:fldChar w:fldCharType="end"/>
        </w:r>
      </w:hyperlink>
    </w:p>
    <w:p w14:paraId="276C9911" w14:textId="40194FAC" w:rsidR="00EF23CB" w:rsidRDefault="009C479C">
      <w:pPr>
        <w:pStyle w:val="TOC1"/>
        <w:rPr>
          <w:rFonts w:asciiTheme="minorHAnsi" w:eastAsiaTheme="minorEastAsia" w:hAnsiTheme="minorHAnsi" w:cstheme="minorBidi"/>
          <w:b w:val="0"/>
          <w:spacing w:val="0"/>
          <w:sz w:val="22"/>
          <w:szCs w:val="22"/>
        </w:rPr>
      </w:pPr>
      <w:hyperlink w:anchor="_Toc116041865" w:history="1">
        <w:r w:rsidR="00EF23CB" w:rsidRPr="00F65040">
          <w:rPr>
            <w:rStyle w:val="Hyperlink"/>
          </w:rPr>
          <w:t>1.</w:t>
        </w:r>
        <w:r w:rsidR="00EF23CB">
          <w:rPr>
            <w:rFonts w:asciiTheme="minorHAnsi" w:eastAsiaTheme="minorEastAsia" w:hAnsiTheme="minorHAnsi" w:cstheme="minorBidi"/>
            <w:b w:val="0"/>
            <w:spacing w:val="0"/>
            <w:sz w:val="22"/>
            <w:szCs w:val="22"/>
          </w:rPr>
          <w:tab/>
        </w:r>
        <w:r w:rsidR="00EF23CB" w:rsidRPr="00F65040">
          <w:rPr>
            <w:rStyle w:val="Hyperlink"/>
          </w:rPr>
          <w:t>Executive summary</w:t>
        </w:r>
        <w:r w:rsidR="00EF23CB">
          <w:rPr>
            <w:webHidden/>
          </w:rPr>
          <w:tab/>
        </w:r>
        <w:r w:rsidR="00EF23CB">
          <w:rPr>
            <w:webHidden/>
          </w:rPr>
          <w:fldChar w:fldCharType="begin"/>
        </w:r>
        <w:r w:rsidR="00EF23CB">
          <w:rPr>
            <w:webHidden/>
          </w:rPr>
          <w:instrText xml:space="preserve"> PAGEREF _Toc116041865 \h </w:instrText>
        </w:r>
        <w:r w:rsidR="00EF23CB">
          <w:rPr>
            <w:webHidden/>
          </w:rPr>
        </w:r>
        <w:r w:rsidR="00EF23CB">
          <w:rPr>
            <w:webHidden/>
          </w:rPr>
          <w:fldChar w:fldCharType="separate"/>
        </w:r>
        <w:r w:rsidR="009C0E98">
          <w:rPr>
            <w:webHidden/>
          </w:rPr>
          <w:t>2</w:t>
        </w:r>
        <w:r w:rsidR="00EF23CB">
          <w:rPr>
            <w:webHidden/>
          </w:rPr>
          <w:fldChar w:fldCharType="end"/>
        </w:r>
      </w:hyperlink>
    </w:p>
    <w:p w14:paraId="0C38DF12" w14:textId="27A90D9C" w:rsidR="00EF23CB" w:rsidRDefault="009C479C">
      <w:pPr>
        <w:pStyle w:val="TOC2"/>
        <w:rPr>
          <w:rFonts w:asciiTheme="minorHAnsi" w:eastAsiaTheme="minorEastAsia" w:hAnsiTheme="minorHAnsi" w:cstheme="minorBidi"/>
          <w:spacing w:val="0"/>
          <w:sz w:val="22"/>
          <w:szCs w:val="22"/>
        </w:rPr>
      </w:pPr>
      <w:hyperlink w:anchor="_Toc116041866" w:history="1">
        <w:r w:rsidR="00EF23CB" w:rsidRPr="00F65040">
          <w:rPr>
            <w:rStyle w:val="Hyperlink"/>
          </w:rPr>
          <w:t>The issue</w:t>
        </w:r>
        <w:r w:rsidR="00EF23CB">
          <w:rPr>
            <w:webHidden/>
          </w:rPr>
          <w:tab/>
        </w:r>
        <w:r w:rsidR="00EF23CB">
          <w:rPr>
            <w:webHidden/>
          </w:rPr>
          <w:fldChar w:fldCharType="begin"/>
        </w:r>
        <w:r w:rsidR="00EF23CB">
          <w:rPr>
            <w:webHidden/>
          </w:rPr>
          <w:instrText xml:space="preserve"> PAGEREF _Toc116041866 \h </w:instrText>
        </w:r>
        <w:r w:rsidR="00EF23CB">
          <w:rPr>
            <w:webHidden/>
          </w:rPr>
        </w:r>
        <w:r w:rsidR="00EF23CB">
          <w:rPr>
            <w:webHidden/>
          </w:rPr>
          <w:fldChar w:fldCharType="separate"/>
        </w:r>
        <w:r w:rsidR="009C0E98">
          <w:rPr>
            <w:webHidden/>
          </w:rPr>
          <w:t>2</w:t>
        </w:r>
        <w:r w:rsidR="00EF23CB">
          <w:rPr>
            <w:webHidden/>
          </w:rPr>
          <w:fldChar w:fldCharType="end"/>
        </w:r>
      </w:hyperlink>
    </w:p>
    <w:p w14:paraId="7CD26A5C" w14:textId="7D031CB7" w:rsidR="00EF23CB" w:rsidRDefault="009C479C">
      <w:pPr>
        <w:pStyle w:val="TOC2"/>
        <w:rPr>
          <w:rFonts w:asciiTheme="minorHAnsi" w:eastAsiaTheme="minorEastAsia" w:hAnsiTheme="minorHAnsi" w:cstheme="minorBidi"/>
          <w:spacing w:val="0"/>
          <w:sz w:val="22"/>
          <w:szCs w:val="22"/>
        </w:rPr>
      </w:pPr>
      <w:hyperlink w:anchor="_Toc116041867" w:history="1">
        <w:r w:rsidR="00EF23CB" w:rsidRPr="00F65040">
          <w:rPr>
            <w:rStyle w:val="Hyperlink"/>
          </w:rPr>
          <w:t>Background</w:t>
        </w:r>
        <w:r w:rsidR="00EF23CB">
          <w:rPr>
            <w:webHidden/>
          </w:rPr>
          <w:tab/>
        </w:r>
        <w:r w:rsidR="00EF23CB">
          <w:rPr>
            <w:webHidden/>
          </w:rPr>
          <w:fldChar w:fldCharType="begin"/>
        </w:r>
        <w:r w:rsidR="00EF23CB">
          <w:rPr>
            <w:webHidden/>
          </w:rPr>
          <w:instrText xml:space="preserve"> PAGEREF _Toc116041867 \h </w:instrText>
        </w:r>
        <w:r w:rsidR="00EF23CB">
          <w:rPr>
            <w:webHidden/>
          </w:rPr>
        </w:r>
        <w:r w:rsidR="00EF23CB">
          <w:rPr>
            <w:webHidden/>
          </w:rPr>
          <w:fldChar w:fldCharType="separate"/>
        </w:r>
        <w:r w:rsidR="009C0E98">
          <w:rPr>
            <w:webHidden/>
          </w:rPr>
          <w:t>2</w:t>
        </w:r>
        <w:r w:rsidR="00EF23CB">
          <w:rPr>
            <w:webHidden/>
          </w:rPr>
          <w:fldChar w:fldCharType="end"/>
        </w:r>
      </w:hyperlink>
    </w:p>
    <w:p w14:paraId="2F474DCC" w14:textId="50266175" w:rsidR="00EF23CB" w:rsidRDefault="009C479C">
      <w:pPr>
        <w:pStyle w:val="TOC2"/>
        <w:rPr>
          <w:rFonts w:asciiTheme="minorHAnsi" w:eastAsiaTheme="minorEastAsia" w:hAnsiTheme="minorHAnsi" w:cstheme="minorBidi"/>
          <w:spacing w:val="0"/>
          <w:sz w:val="22"/>
          <w:szCs w:val="22"/>
        </w:rPr>
      </w:pPr>
      <w:hyperlink w:anchor="_Toc116041868" w:history="1">
        <w:r w:rsidR="00EF23CB" w:rsidRPr="00F65040">
          <w:rPr>
            <w:rStyle w:val="Hyperlink"/>
          </w:rPr>
          <w:t>Observations</w:t>
        </w:r>
        <w:r w:rsidR="00EF23CB">
          <w:rPr>
            <w:webHidden/>
          </w:rPr>
          <w:tab/>
        </w:r>
        <w:r w:rsidR="00EF23CB">
          <w:rPr>
            <w:webHidden/>
          </w:rPr>
          <w:fldChar w:fldCharType="begin"/>
        </w:r>
        <w:r w:rsidR="00EF23CB">
          <w:rPr>
            <w:webHidden/>
          </w:rPr>
          <w:instrText xml:space="preserve"> PAGEREF _Toc116041868 \h </w:instrText>
        </w:r>
        <w:r w:rsidR="00EF23CB">
          <w:rPr>
            <w:webHidden/>
          </w:rPr>
        </w:r>
        <w:r w:rsidR="00EF23CB">
          <w:rPr>
            <w:webHidden/>
          </w:rPr>
          <w:fldChar w:fldCharType="separate"/>
        </w:r>
        <w:r w:rsidR="009C0E98">
          <w:rPr>
            <w:webHidden/>
          </w:rPr>
          <w:t>3</w:t>
        </w:r>
        <w:r w:rsidR="00EF23CB">
          <w:rPr>
            <w:webHidden/>
          </w:rPr>
          <w:fldChar w:fldCharType="end"/>
        </w:r>
      </w:hyperlink>
    </w:p>
    <w:p w14:paraId="5D80670B" w14:textId="18F355B7" w:rsidR="00EF23CB" w:rsidRDefault="009C479C">
      <w:pPr>
        <w:pStyle w:val="TOC2"/>
        <w:rPr>
          <w:rFonts w:asciiTheme="minorHAnsi" w:eastAsiaTheme="minorEastAsia" w:hAnsiTheme="minorHAnsi" w:cstheme="minorBidi"/>
          <w:spacing w:val="0"/>
          <w:sz w:val="22"/>
          <w:szCs w:val="22"/>
        </w:rPr>
      </w:pPr>
      <w:hyperlink w:anchor="_Toc116041869" w:history="1">
        <w:r w:rsidR="00EF23CB" w:rsidRPr="00F65040">
          <w:rPr>
            <w:rStyle w:val="Hyperlink"/>
          </w:rPr>
          <w:t>Proposed approach</w:t>
        </w:r>
        <w:r w:rsidR="00EF23CB">
          <w:rPr>
            <w:webHidden/>
          </w:rPr>
          <w:tab/>
        </w:r>
        <w:r w:rsidR="00EF23CB">
          <w:rPr>
            <w:webHidden/>
          </w:rPr>
          <w:fldChar w:fldCharType="begin"/>
        </w:r>
        <w:r w:rsidR="00EF23CB">
          <w:rPr>
            <w:webHidden/>
          </w:rPr>
          <w:instrText xml:space="preserve"> PAGEREF _Toc116041869 \h </w:instrText>
        </w:r>
        <w:r w:rsidR="00EF23CB">
          <w:rPr>
            <w:webHidden/>
          </w:rPr>
        </w:r>
        <w:r w:rsidR="00EF23CB">
          <w:rPr>
            <w:webHidden/>
          </w:rPr>
          <w:fldChar w:fldCharType="separate"/>
        </w:r>
        <w:r w:rsidR="009C0E98">
          <w:rPr>
            <w:webHidden/>
          </w:rPr>
          <w:t>4</w:t>
        </w:r>
        <w:r w:rsidR="00EF23CB">
          <w:rPr>
            <w:webHidden/>
          </w:rPr>
          <w:fldChar w:fldCharType="end"/>
        </w:r>
      </w:hyperlink>
    </w:p>
    <w:p w14:paraId="21FE0C55" w14:textId="162A7D4C" w:rsidR="00EF23CB" w:rsidRDefault="009C479C">
      <w:pPr>
        <w:pStyle w:val="TOC2"/>
        <w:rPr>
          <w:rFonts w:asciiTheme="minorHAnsi" w:eastAsiaTheme="minorEastAsia" w:hAnsiTheme="minorHAnsi" w:cstheme="minorBidi"/>
          <w:spacing w:val="0"/>
          <w:sz w:val="22"/>
          <w:szCs w:val="22"/>
        </w:rPr>
      </w:pPr>
      <w:hyperlink w:anchor="_Toc116041870" w:history="1">
        <w:r w:rsidR="00EF23CB" w:rsidRPr="00F65040">
          <w:rPr>
            <w:rStyle w:val="Hyperlink"/>
          </w:rPr>
          <w:t>Purpose and outline</w:t>
        </w:r>
        <w:r w:rsidR="00EF23CB">
          <w:rPr>
            <w:webHidden/>
          </w:rPr>
          <w:tab/>
        </w:r>
        <w:r w:rsidR="00EF23CB">
          <w:rPr>
            <w:webHidden/>
          </w:rPr>
          <w:fldChar w:fldCharType="begin"/>
        </w:r>
        <w:r w:rsidR="00EF23CB">
          <w:rPr>
            <w:webHidden/>
          </w:rPr>
          <w:instrText xml:space="preserve"> PAGEREF _Toc116041870 \h </w:instrText>
        </w:r>
        <w:r w:rsidR="00EF23CB">
          <w:rPr>
            <w:webHidden/>
          </w:rPr>
        </w:r>
        <w:r w:rsidR="00EF23CB">
          <w:rPr>
            <w:webHidden/>
          </w:rPr>
          <w:fldChar w:fldCharType="separate"/>
        </w:r>
        <w:r w:rsidR="009C0E98">
          <w:rPr>
            <w:webHidden/>
          </w:rPr>
          <w:t>7</w:t>
        </w:r>
        <w:r w:rsidR="00EF23CB">
          <w:rPr>
            <w:webHidden/>
          </w:rPr>
          <w:fldChar w:fldCharType="end"/>
        </w:r>
      </w:hyperlink>
    </w:p>
    <w:p w14:paraId="2A2BCB9B" w14:textId="11F33A3B" w:rsidR="00EF23CB" w:rsidRDefault="009C479C">
      <w:pPr>
        <w:pStyle w:val="TOC1"/>
        <w:rPr>
          <w:rFonts w:asciiTheme="minorHAnsi" w:eastAsiaTheme="minorEastAsia" w:hAnsiTheme="minorHAnsi" w:cstheme="minorBidi"/>
          <w:b w:val="0"/>
          <w:spacing w:val="0"/>
          <w:sz w:val="22"/>
          <w:szCs w:val="22"/>
        </w:rPr>
      </w:pPr>
      <w:hyperlink w:anchor="_Toc116041871" w:history="1">
        <w:r w:rsidR="00EF23CB" w:rsidRPr="00F65040">
          <w:rPr>
            <w:rStyle w:val="Hyperlink"/>
          </w:rPr>
          <w:t>2.</w:t>
        </w:r>
        <w:r w:rsidR="00EF23CB">
          <w:rPr>
            <w:rFonts w:asciiTheme="minorHAnsi" w:eastAsiaTheme="minorEastAsia" w:hAnsiTheme="minorHAnsi" w:cstheme="minorBidi"/>
            <w:b w:val="0"/>
            <w:spacing w:val="0"/>
            <w:sz w:val="22"/>
            <w:szCs w:val="22"/>
          </w:rPr>
          <w:tab/>
        </w:r>
        <w:r w:rsidR="00EF23CB" w:rsidRPr="00F65040">
          <w:rPr>
            <w:rStyle w:val="Hyperlink"/>
          </w:rPr>
          <w:t>Background</w:t>
        </w:r>
        <w:r w:rsidR="00EF23CB">
          <w:rPr>
            <w:webHidden/>
          </w:rPr>
          <w:tab/>
        </w:r>
        <w:r w:rsidR="00EF23CB">
          <w:rPr>
            <w:webHidden/>
          </w:rPr>
          <w:fldChar w:fldCharType="begin"/>
        </w:r>
        <w:r w:rsidR="00EF23CB">
          <w:rPr>
            <w:webHidden/>
          </w:rPr>
          <w:instrText xml:space="preserve"> PAGEREF _Toc116041871 \h </w:instrText>
        </w:r>
        <w:r w:rsidR="00EF23CB">
          <w:rPr>
            <w:webHidden/>
          </w:rPr>
        </w:r>
        <w:r w:rsidR="00EF23CB">
          <w:rPr>
            <w:webHidden/>
          </w:rPr>
          <w:fldChar w:fldCharType="separate"/>
        </w:r>
        <w:r w:rsidR="009C0E98">
          <w:rPr>
            <w:webHidden/>
          </w:rPr>
          <w:t>8</w:t>
        </w:r>
        <w:r w:rsidR="00EF23CB">
          <w:rPr>
            <w:webHidden/>
          </w:rPr>
          <w:fldChar w:fldCharType="end"/>
        </w:r>
      </w:hyperlink>
    </w:p>
    <w:p w14:paraId="6D2ED205" w14:textId="1779C397" w:rsidR="00EF23CB" w:rsidRDefault="009C479C">
      <w:pPr>
        <w:pStyle w:val="TOC2"/>
        <w:rPr>
          <w:rFonts w:asciiTheme="minorHAnsi" w:eastAsiaTheme="minorEastAsia" w:hAnsiTheme="minorHAnsi" w:cstheme="minorBidi"/>
          <w:spacing w:val="0"/>
          <w:sz w:val="22"/>
          <w:szCs w:val="22"/>
        </w:rPr>
      </w:pPr>
      <w:hyperlink w:anchor="_Toc116041872" w:history="1">
        <w:r w:rsidR="00EF23CB" w:rsidRPr="00F65040">
          <w:rPr>
            <w:rStyle w:val="Hyperlink"/>
          </w:rPr>
          <w:t>Overview</w:t>
        </w:r>
        <w:r w:rsidR="00EF23CB">
          <w:rPr>
            <w:webHidden/>
          </w:rPr>
          <w:tab/>
        </w:r>
        <w:r w:rsidR="00EF23CB">
          <w:rPr>
            <w:webHidden/>
          </w:rPr>
          <w:fldChar w:fldCharType="begin"/>
        </w:r>
        <w:r w:rsidR="00EF23CB">
          <w:rPr>
            <w:webHidden/>
          </w:rPr>
          <w:instrText xml:space="preserve"> PAGEREF _Toc116041872 \h </w:instrText>
        </w:r>
        <w:r w:rsidR="00EF23CB">
          <w:rPr>
            <w:webHidden/>
          </w:rPr>
        </w:r>
        <w:r w:rsidR="00EF23CB">
          <w:rPr>
            <w:webHidden/>
          </w:rPr>
          <w:fldChar w:fldCharType="separate"/>
        </w:r>
        <w:r w:rsidR="009C0E98">
          <w:rPr>
            <w:webHidden/>
          </w:rPr>
          <w:t>8</w:t>
        </w:r>
        <w:r w:rsidR="00EF23CB">
          <w:rPr>
            <w:webHidden/>
          </w:rPr>
          <w:fldChar w:fldCharType="end"/>
        </w:r>
      </w:hyperlink>
    </w:p>
    <w:p w14:paraId="383C0C6B" w14:textId="08BB4DBE" w:rsidR="00EF23CB" w:rsidRDefault="009C479C">
      <w:pPr>
        <w:pStyle w:val="TOC2"/>
        <w:rPr>
          <w:rFonts w:asciiTheme="minorHAnsi" w:eastAsiaTheme="minorEastAsia" w:hAnsiTheme="minorHAnsi" w:cstheme="minorBidi"/>
          <w:spacing w:val="0"/>
          <w:sz w:val="22"/>
          <w:szCs w:val="22"/>
        </w:rPr>
      </w:pPr>
      <w:hyperlink w:anchor="_Toc116041873" w:history="1">
        <w:r w:rsidR="00EF23CB" w:rsidRPr="00F65040">
          <w:rPr>
            <w:rStyle w:val="Hyperlink"/>
          </w:rPr>
          <w:t>Recent activities</w:t>
        </w:r>
        <w:r w:rsidR="00EF23CB">
          <w:rPr>
            <w:webHidden/>
          </w:rPr>
          <w:tab/>
        </w:r>
        <w:r w:rsidR="00EF23CB">
          <w:rPr>
            <w:webHidden/>
          </w:rPr>
          <w:fldChar w:fldCharType="begin"/>
        </w:r>
        <w:r w:rsidR="00EF23CB">
          <w:rPr>
            <w:webHidden/>
          </w:rPr>
          <w:instrText xml:space="preserve"> PAGEREF _Toc116041873 \h </w:instrText>
        </w:r>
        <w:r w:rsidR="00EF23CB">
          <w:rPr>
            <w:webHidden/>
          </w:rPr>
        </w:r>
        <w:r w:rsidR="00EF23CB">
          <w:rPr>
            <w:webHidden/>
          </w:rPr>
          <w:fldChar w:fldCharType="separate"/>
        </w:r>
        <w:r w:rsidR="009C0E98">
          <w:rPr>
            <w:webHidden/>
          </w:rPr>
          <w:t>11</w:t>
        </w:r>
        <w:r w:rsidR="00EF23CB">
          <w:rPr>
            <w:webHidden/>
          </w:rPr>
          <w:fldChar w:fldCharType="end"/>
        </w:r>
      </w:hyperlink>
    </w:p>
    <w:p w14:paraId="72B52F6C" w14:textId="29018E24" w:rsidR="00EF23CB" w:rsidRDefault="009C479C">
      <w:pPr>
        <w:pStyle w:val="TOC1"/>
        <w:rPr>
          <w:rFonts w:asciiTheme="minorHAnsi" w:eastAsiaTheme="minorEastAsia" w:hAnsiTheme="minorHAnsi" w:cstheme="minorBidi"/>
          <w:b w:val="0"/>
          <w:spacing w:val="0"/>
          <w:sz w:val="22"/>
          <w:szCs w:val="22"/>
        </w:rPr>
      </w:pPr>
      <w:hyperlink w:anchor="_Toc116041874" w:history="1">
        <w:r w:rsidR="00EF23CB" w:rsidRPr="00F65040">
          <w:rPr>
            <w:rStyle w:val="Hyperlink"/>
          </w:rPr>
          <w:t>3.</w:t>
        </w:r>
        <w:r w:rsidR="00EF23CB">
          <w:rPr>
            <w:rFonts w:asciiTheme="minorHAnsi" w:eastAsiaTheme="minorEastAsia" w:hAnsiTheme="minorHAnsi" w:cstheme="minorBidi"/>
            <w:b w:val="0"/>
            <w:spacing w:val="0"/>
            <w:sz w:val="22"/>
            <w:szCs w:val="22"/>
          </w:rPr>
          <w:tab/>
        </w:r>
        <w:r w:rsidR="00EF23CB" w:rsidRPr="00F65040">
          <w:rPr>
            <w:rStyle w:val="Hyperlink"/>
          </w:rPr>
          <w:t>Coexistence evaluation</w:t>
        </w:r>
        <w:r w:rsidR="00EF23CB">
          <w:rPr>
            <w:webHidden/>
          </w:rPr>
          <w:tab/>
        </w:r>
        <w:r w:rsidR="00EF23CB">
          <w:rPr>
            <w:webHidden/>
          </w:rPr>
          <w:fldChar w:fldCharType="begin"/>
        </w:r>
        <w:r w:rsidR="00EF23CB">
          <w:rPr>
            <w:webHidden/>
          </w:rPr>
          <w:instrText xml:space="preserve"> PAGEREF _Toc116041874 \h </w:instrText>
        </w:r>
        <w:r w:rsidR="00EF23CB">
          <w:rPr>
            <w:webHidden/>
          </w:rPr>
        </w:r>
        <w:r w:rsidR="00EF23CB">
          <w:rPr>
            <w:webHidden/>
          </w:rPr>
          <w:fldChar w:fldCharType="separate"/>
        </w:r>
        <w:r w:rsidR="009C0E98">
          <w:rPr>
            <w:webHidden/>
          </w:rPr>
          <w:t>12</w:t>
        </w:r>
        <w:r w:rsidR="00EF23CB">
          <w:rPr>
            <w:webHidden/>
          </w:rPr>
          <w:fldChar w:fldCharType="end"/>
        </w:r>
      </w:hyperlink>
    </w:p>
    <w:p w14:paraId="2BE9382C" w14:textId="705DC9AE" w:rsidR="00EF23CB" w:rsidRDefault="009C479C">
      <w:pPr>
        <w:pStyle w:val="TOC2"/>
        <w:rPr>
          <w:rFonts w:asciiTheme="minorHAnsi" w:eastAsiaTheme="minorEastAsia" w:hAnsiTheme="minorHAnsi" w:cstheme="minorBidi"/>
          <w:spacing w:val="0"/>
          <w:sz w:val="22"/>
          <w:szCs w:val="22"/>
        </w:rPr>
      </w:pPr>
      <w:hyperlink w:anchor="_Toc116041875" w:history="1">
        <w:r w:rsidR="00EF23CB" w:rsidRPr="00F65040">
          <w:rPr>
            <w:rStyle w:val="Hyperlink"/>
          </w:rPr>
          <w:t>Spectrum management regulatory environment</w:t>
        </w:r>
        <w:r w:rsidR="00EF23CB">
          <w:rPr>
            <w:webHidden/>
          </w:rPr>
          <w:tab/>
        </w:r>
        <w:r w:rsidR="00EF23CB">
          <w:rPr>
            <w:webHidden/>
          </w:rPr>
          <w:fldChar w:fldCharType="begin"/>
        </w:r>
        <w:r w:rsidR="00EF23CB">
          <w:rPr>
            <w:webHidden/>
          </w:rPr>
          <w:instrText xml:space="preserve"> PAGEREF _Toc116041875 \h </w:instrText>
        </w:r>
        <w:r w:rsidR="00EF23CB">
          <w:rPr>
            <w:webHidden/>
          </w:rPr>
        </w:r>
        <w:r w:rsidR="00EF23CB">
          <w:rPr>
            <w:webHidden/>
          </w:rPr>
          <w:fldChar w:fldCharType="separate"/>
        </w:r>
        <w:r w:rsidR="009C0E98">
          <w:rPr>
            <w:webHidden/>
          </w:rPr>
          <w:t>12</w:t>
        </w:r>
        <w:r w:rsidR="00EF23CB">
          <w:rPr>
            <w:webHidden/>
          </w:rPr>
          <w:fldChar w:fldCharType="end"/>
        </w:r>
      </w:hyperlink>
    </w:p>
    <w:p w14:paraId="2D1CC63A" w14:textId="2E88218A" w:rsidR="00EF23CB" w:rsidRDefault="009C479C">
      <w:pPr>
        <w:pStyle w:val="TOC2"/>
        <w:rPr>
          <w:rFonts w:asciiTheme="minorHAnsi" w:eastAsiaTheme="minorEastAsia" w:hAnsiTheme="minorHAnsi" w:cstheme="minorBidi"/>
          <w:spacing w:val="0"/>
          <w:sz w:val="22"/>
          <w:szCs w:val="22"/>
        </w:rPr>
      </w:pPr>
      <w:hyperlink w:anchor="_Toc116041876" w:history="1">
        <w:r w:rsidR="00EF23CB" w:rsidRPr="00F65040">
          <w:rPr>
            <w:rStyle w:val="Hyperlink"/>
            <w:lang w:val="en-GB"/>
          </w:rPr>
          <w:t>International</w:t>
        </w:r>
        <w:r w:rsidR="00EF23CB">
          <w:rPr>
            <w:webHidden/>
          </w:rPr>
          <w:tab/>
        </w:r>
        <w:r w:rsidR="00EF23CB">
          <w:rPr>
            <w:webHidden/>
          </w:rPr>
          <w:fldChar w:fldCharType="begin"/>
        </w:r>
        <w:r w:rsidR="00EF23CB">
          <w:rPr>
            <w:webHidden/>
          </w:rPr>
          <w:instrText xml:space="preserve"> PAGEREF _Toc116041876 \h </w:instrText>
        </w:r>
        <w:r w:rsidR="00EF23CB">
          <w:rPr>
            <w:webHidden/>
          </w:rPr>
        </w:r>
        <w:r w:rsidR="00EF23CB">
          <w:rPr>
            <w:webHidden/>
          </w:rPr>
          <w:fldChar w:fldCharType="separate"/>
        </w:r>
        <w:r w:rsidR="009C0E98">
          <w:rPr>
            <w:webHidden/>
          </w:rPr>
          <w:t>12</w:t>
        </w:r>
        <w:r w:rsidR="00EF23CB">
          <w:rPr>
            <w:webHidden/>
          </w:rPr>
          <w:fldChar w:fldCharType="end"/>
        </w:r>
      </w:hyperlink>
    </w:p>
    <w:p w14:paraId="43ED7B88" w14:textId="155EDC06" w:rsidR="00EF23CB" w:rsidRDefault="009C479C">
      <w:pPr>
        <w:pStyle w:val="TOC2"/>
        <w:rPr>
          <w:rFonts w:asciiTheme="minorHAnsi" w:eastAsiaTheme="minorEastAsia" w:hAnsiTheme="minorHAnsi" w:cstheme="minorBidi"/>
          <w:spacing w:val="0"/>
          <w:sz w:val="22"/>
          <w:szCs w:val="22"/>
        </w:rPr>
      </w:pPr>
      <w:hyperlink w:anchor="_Toc116041877" w:history="1">
        <w:r w:rsidR="00EF23CB" w:rsidRPr="00F65040">
          <w:rPr>
            <w:rStyle w:val="Hyperlink"/>
            <w:lang w:val="en-GB"/>
          </w:rPr>
          <w:t>Domestic</w:t>
        </w:r>
        <w:r w:rsidR="00EF23CB">
          <w:rPr>
            <w:webHidden/>
          </w:rPr>
          <w:tab/>
        </w:r>
        <w:r w:rsidR="00EF23CB">
          <w:rPr>
            <w:webHidden/>
          </w:rPr>
          <w:fldChar w:fldCharType="begin"/>
        </w:r>
        <w:r w:rsidR="00EF23CB">
          <w:rPr>
            <w:webHidden/>
          </w:rPr>
          <w:instrText xml:space="preserve"> PAGEREF _Toc116041877 \h </w:instrText>
        </w:r>
        <w:r w:rsidR="00EF23CB">
          <w:rPr>
            <w:webHidden/>
          </w:rPr>
        </w:r>
        <w:r w:rsidR="00EF23CB">
          <w:rPr>
            <w:webHidden/>
          </w:rPr>
          <w:fldChar w:fldCharType="separate"/>
        </w:r>
        <w:r w:rsidR="009C0E98">
          <w:rPr>
            <w:webHidden/>
          </w:rPr>
          <w:t>12</w:t>
        </w:r>
        <w:r w:rsidR="00EF23CB">
          <w:rPr>
            <w:webHidden/>
          </w:rPr>
          <w:fldChar w:fldCharType="end"/>
        </w:r>
      </w:hyperlink>
    </w:p>
    <w:p w14:paraId="08A8EFCB" w14:textId="6A5C910D" w:rsidR="00EF23CB" w:rsidRDefault="009C479C">
      <w:pPr>
        <w:pStyle w:val="TOC2"/>
        <w:rPr>
          <w:rFonts w:asciiTheme="minorHAnsi" w:eastAsiaTheme="minorEastAsia" w:hAnsiTheme="minorHAnsi" w:cstheme="minorBidi"/>
          <w:spacing w:val="0"/>
          <w:sz w:val="22"/>
          <w:szCs w:val="22"/>
        </w:rPr>
      </w:pPr>
      <w:hyperlink w:anchor="_Toc116041878" w:history="1">
        <w:r w:rsidR="00EF23CB" w:rsidRPr="00F65040">
          <w:rPr>
            <w:rStyle w:val="Hyperlink"/>
          </w:rPr>
          <w:t>Interference mechanisms</w:t>
        </w:r>
        <w:r w:rsidR="00EF23CB">
          <w:rPr>
            <w:webHidden/>
          </w:rPr>
          <w:tab/>
        </w:r>
        <w:r w:rsidR="00EF23CB">
          <w:rPr>
            <w:webHidden/>
          </w:rPr>
          <w:fldChar w:fldCharType="begin"/>
        </w:r>
        <w:r w:rsidR="00EF23CB">
          <w:rPr>
            <w:webHidden/>
          </w:rPr>
          <w:instrText xml:space="preserve"> PAGEREF _Toc116041878 \h </w:instrText>
        </w:r>
        <w:r w:rsidR="00EF23CB">
          <w:rPr>
            <w:webHidden/>
          </w:rPr>
        </w:r>
        <w:r w:rsidR="00EF23CB">
          <w:rPr>
            <w:webHidden/>
          </w:rPr>
          <w:fldChar w:fldCharType="separate"/>
        </w:r>
        <w:r w:rsidR="009C0E98">
          <w:rPr>
            <w:webHidden/>
          </w:rPr>
          <w:t>13</w:t>
        </w:r>
        <w:r w:rsidR="00EF23CB">
          <w:rPr>
            <w:webHidden/>
          </w:rPr>
          <w:fldChar w:fldCharType="end"/>
        </w:r>
      </w:hyperlink>
    </w:p>
    <w:p w14:paraId="5403FAFD" w14:textId="2D9337CF" w:rsidR="00EF23CB" w:rsidRDefault="009C479C">
      <w:pPr>
        <w:pStyle w:val="TOC2"/>
        <w:rPr>
          <w:rFonts w:asciiTheme="minorHAnsi" w:eastAsiaTheme="minorEastAsia" w:hAnsiTheme="minorHAnsi" w:cstheme="minorBidi"/>
          <w:spacing w:val="0"/>
          <w:sz w:val="22"/>
          <w:szCs w:val="22"/>
        </w:rPr>
      </w:pPr>
      <w:hyperlink w:anchor="_Toc116041879" w:history="1">
        <w:r w:rsidR="00EF23CB" w:rsidRPr="00F65040">
          <w:rPr>
            <w:rStyle w:val="Hyperlink"/>
            <w:rFonts w:eastAsia="SimSun"/>
            <w:lang w:val="en-GB"/>
          </w:rPr>
          <w:t>Recei</w:t>
        </w:r>
        <w:r w:rsidR="00EF23CB" w:rsidRPr="00F65040">
          <w:rPr>
            <w:rStyle w:val="Hyperlink"/>
            <w:lang w:val="en-GB"/>
          </w:rPr>
          <w:t>v</w:t>
        </w:r>
        <w:r w:rsidR="00EF23CB" w:rsidRPr="00F65040">
          <w:rPr>
            <w:rStyle w:val="Hyperlink"/>
            <w:rFonts w:eastAsia="SimSun"/>
            <w:lang w:val="en-GB"/>
          </w:rPr>
          <w:t xml:space="preserve">er </w:t>
        </w:r>
        <w:r w:rsidR="00EF23CB" w:rsidRPr="00F65040">
          <w:rPr>
            <w:rStyle w:val="Hyperlink"/>
            <w:lang w:val="en-GB"/>
          </w:rPr>
          <w:t>front</w:t>
        </w:r>
        <w:r w:rsidR="00EF23CB" w:rsidRPr="00F65040">
          <w:rPr>
            <w:rStyle w:val="Hyperlink"/>
            <w:rFonts w:eastAsia="SimSun"/>
            <w:lang w:val="en-GB"/>
          </w:rPr>
          <w:t>-end overload</w:t>
        </w:r>
        <w:r w:rsidR="00EF23CB">
          <w:rPr>
            <w:webHidden/>
          </w:rPr>
          <w:tab/>
        </w:r>
        <w:r w:rsidR="00EF23CB">
          <w:rPr>
            <w:webHidden/>
          </w:rPr>
          <w:fldChar w:fldCharType="begin"/>
        </w:r>
        <w:r w:rsidR="00EF23CB">
          <w:rPr>
            <w:webHidden/>
          </w:rPr>
          <w:instrText xml:space="preserve"> PAGEREF _Toc116041879 \h </w:instrText>
        </w:r>
        <w:r w:rsidR="00EF23CB">
          <w:rPr>
            <w:webHidden/>
          </w:rPr>
        </w:r>
        <w:r w:rsidR="00EF23CB">
          <w:rPr>
            <w:webHidden/>
          </w:rPr>
          <w:fldChar w:fldCharType="separate"/>
        </w:r>
        <w:r w:rsidR="009C0E98">
          <w:rPr>
            <w:webHidden/>
          </w:rPr>
          <w:t>13</w:t>
        </w:r>
        <w:r w:rsidR="00EF23CB">
          <w:rPr>
            <w:webHidden/>
          </w:rPr>
          <w:fldChar w:fldCharType="end"/>
        </w:r>
      </w:hyperlink>
    </w:p>
    <w:p w14:paraId="37C09740" w14:textId="7CFC124E" w:rsidR="00EF23CB" w:rsidRDefault="009C479C">
      <w:pPr>
        <w:pStyle w:val="TOC2"/>
        <w:rPr>
          <w:rFonts w:asciiTheme="minorHAnsi" w:eastAsiaTheme="minorEastAsia" w:hAnsiTheme="minorHAnsi" w:cstheme="minorBidi"/>
          <w:spacing w:val="0"/>
          <w:sz w:val="22"/>
          <w:szCs w:val="22"/>
        </w:rPr>
      </w:pPr>
      <w:hyperlink w:anchor="_Toc116041880" w:history="1">
        <w:r w:rsidR="00EF23CB" w:rsidRPr="00F65040">
          <w:rPr>
            <w:rStyle w:val="Hyperlink"/>
            <w:rFonts w:eastAsia="SimSun"/>
            <w:lang w:val="en-GB"/>
          </w:rPr>
          <w:t>Receiver desensitization</w:t>
        </w:r>
        <w:r w:rsidR="00EF23CB">
          <w:rPr>
            <w:webHidden/>
          </w:rPr>
          <w:tab/>
        </w:r>
        <w:r w:rsidR="00EF23CB">
          <w:rPr>
            <w:webHidden/>
          </w:rPr>
          <w:fldChar w:fldCharType="begin"/>
        </w:r>
        <w:r w:rsidR="00EF23CB">
          <w:rPr>
            <w:webHidden/>
          </w:rPr>
          <w:instrText xml:space="preserve"> PAGEREF _Toc116041880 \h </w:instrText>
        </w:r>
        <w:r w:rsidR="00EF23CB">
          <w:rPr>
            <w:webHidden/>
          </w:rPr>
        </w:r>
        <w:r w:rsidR="00EF23CB">
          <w:rPr>
            <w:webHidden/>
          </w:rPr>
          <w:fldChar w:fldCharType="separate"/>
        </w:r>
        <w:r w:rsidR="009C0E98">
          <w:rPr>
            <w:webHidden/>
          </w:rPr>
          <w:t>13</w:t>
        </w:r>
        <w:r w:rsidR="00EF23CB">
          <w:rPr>
            <w:webHidden/>
          </w:rPr>
          <w:fldChar w:fldCharType="end"/>
        </w:r>
      </w:hyperlink>
    </w:p>
    <w:p w14:paraId="727735D5" w14:textId="4342F659" w:rsidR="00EF23CB" w:rsidRDefault="009C479C">
      <w:pPr>
        <w:pStyle w:val="TOC2"/>
        <w:rPr>
          <w:rFonts w:asciiTheme="minorHAnsi" w:eastAsiaTheme="minorEastAsia" w:hAnsiTheme="minorHAnsi" w:cstheme="minorBidi"/>
          <w:spacing w:val="0"/>
          <w:sz w:val="22"/>
          <w:szCs w:val="22"/>
        </w:rPr>
      </w:pPr>
      <w:hyperlink w:anchor="_Toc116041881" w:history="1">
        <w:r w:rsidR="00EF23CB" w:rsidRPr="00F65040">
          <w:rPr>
            <w:rStyle w:val="Hyperlink"/>
            <w:rFonts w:eastAsia="SimSun"/>
            <w:lang w:val="en-GB"/>
          </w:rPr>
          <w:t>False altitude reports</w:t>
        </w:r>
        <w:r w:rsidR="00EF23CB">
          <w:rPr>
            <w:webHidden/>
          </w:rPr>
          <w:tab/>
        </w:r>
        <w:r w:rsidR="00EF23CB">
          <w:rPr>
            <w:webHidden/>
          </w:rPr>
          <w:fldChar w:fldCharType="begin"/>
        </w:r>
        <w:r w:rsidR="00EF23CB">
          <w:rPr>
            <w:webHidden/>
          </w:rPr>
          <w:instrText xml:space="preserve"> PAGEREF _Toc116041881 \h </w:instrText>
        </w:r>
        <w:r w:rsidR="00EF23CB">
          <w:rPr>
            <w:webHidden/>
          </w:rPr>
        </w:r>
        <w:r w:rsidR="00EF23CB">
          <w:rPr>
            <w:webHidden/>
          </w:rPr>
          <w:fldChar w:fldCharType="separate"/>
        </w:r>
        <w:r w:rsidR="009C0E98">
          <w:rPr>
            <w:webHidden/>
          </w:rPr>
          <w:t>13</w:t>
        </w:r>
        <w:r w:rsidR="00EF23CB">
          <w:rPr>
            <w:webHidden/>
          </w:rPr>
          <w:fldChar w:fldCharType="end"/>
        </w:r>
      </w:hyperlink>
    </w:p>
    <w:p w14:paraId="6259266F" w14:textId="229420E1" w:rsidR="00EF23CB" w:rsidRDefault="009C479C">
      <w:pPr>
        <w:pStyle w:val="TOC2"/>
        <w:rPr>
          <w:rFonts w:asciiTheme="minorHAnsi" w:eastAsiaTheme="minorEastAsia" w:hAnsiTheme="minorHAnsi" w:cstheme="minorBidi"/>
          <w:spacing w:val="0"/>
          <w:sz w:val="22"/>
          <w:szCs w:val="22"/>
        </w:rPr>
      </w:pPr>
      <w:hyperlink w:anchor="_Toc116041882" w:history="1">
        <w:r w:rsidR="00EF23CB" w:rsidRPr="00F65040">
          <w:rPr>
            <w:rStyle w:val="Hyperlink"/>
          </w:rPr>
          <w:t>Studies</w:t>
        </w:r>
        <w:r w:rsidR="00EF23CB">
          <w:rPr>
            <w:webHidden/>
          </w:rPr>
          <w:tab/>
        </w:r>
        <w:r w:rsidR="00EF23CB">
          <w:rPr>
            <w:webHidden/>
          </w:rPr>
          <w:tab/>
        </w:r>
        <w:r w:rsidR="00EF23CB">
          <w:rPr>
            <w:webHidden/>
          </w:rPr>
          <w:fldChar w:fldCharType="begin"/>
        </w:r>
        <w:r w:rsidR="00EF23CB">
          <w:rPr>
            <w:webHidden/>
          </w:rPr>
          <w:instrText xml:space="preserve"> PAGEREF _Toc116041882 \h </w:instrText>
        </w:r>
        <w:r w:rsidR="00EF23CB">
          <w:rPr>
            <w:webHidden/>
          </w:rPr>
        </w:r>
        <w:r w:rsidR="00EF23CB">
          <w:rPr>
            <w:webHidden/>
          </w:rPr>
          <w:fldChar w:fldCharType="separate"/>
        </w:r>
        <w:r w:rsidR="009C0E98">
          <w:rPr>
            <w:webHidden/>
          </w:rPr>
          <w:t>14</w:t>
        </w:r>
        <w:r w:rsidR="00EF23CB">
          <w:rPr>
            <w:webHidden/>
          </w:rPr>
          <w:fldChar w:fldCharType="end"/>
        </w:r>
      </w:hyperlink>
    </w:p>
    <w:p w14:paraId="11246C7C" w14:textId="432DF2B8" w:rsidR="00EF23CB" w:rsidRDefault="009C479C">
      <w:pPr>
        <w:pStyle w:val="TOC2"/>
        <w:rPr>
          <w:rFonts w:asciiTheme="minorHAnsi" w:eastAsiaTheme="minorEastAsia" w:hAnsiTheme="minorHAnsi" w:cstheme="minorBidi"/>
          <w:spacing w:val="0"/>
          <w:sz w:val="22"/>
          <w:szCs w:val="22"/>
        </w:rPr>
      </w:pPr>
      <w:hyperlink w:anchor="_Toc116041883" w:history="1">
        <w:r w:rsidR="00EF23CB" w:rsidRPr="00F65040">
          <w:rPr>
            <w:rStyle w:val="Hyperlink"/>
          </w:rPr>
          <w:t>Over the air tests and trials</w:t>
        </w:r>
        <w:r w:rsidR="00EF23CB">
          <w:rPr>
            <w:webHidden/>
          </w:rPr>
          <w:tab/>
        </w:r>
        <w:r w:rsidR="00EF23CB">
          <w:rPr>
            <w:webHidden/>
          </w:rPr>
          <w:fldChar w:fldCharType="begin"/>
        </w:r>
        <w:r w:rsidR="00EF23CB">
          <w:rPr>
            <w:webHidden/>
          </w:rPr>
          <w:instrText xml:space="preserve"> PAGEREF _Toc116041883 \h </w:instrText>
        </w:r>
        <w:r w:rsidR="00EF23CB">
          <w:rPr>
            <w:webHidden/>
          </w:rPr>
        </w:r>
        <w:r w:rsidR="00EF23CB">
          <w:rPr>
            <w:webHidden/>
          </w:rPr>
          <w:fldChar w:fldCharType="separate"/>
        </w:r>
        <w:r w:rsidR="009C0E98">
          <w:rPr>
            <w:webHidden/>
          </w:rPr>
          <w:t>20</w:t>
        </w:r>
        <w:r w:rsidR="00EF23CB">
          <w:rPr>
            <w:webHidden/>
          </w:rPr>
          <w:fldChar w:fldCharType="end"/>
        </w:r>
      </w:hyperlink>
    </w:p>
    <w:p w14:paraId="3D6283B3" w14:textId="305F1779" w:rsidR="00EF23CB" w:rsidRDefault="009C479C">
      <w:pPr>
        <w:pStyle w:val="TOC2"/>
        <w:rPr>
          <w:rFonts w:asciiTheme="minorHAnsi" w:eastAsiaTheme="minorEastAsia" w:hAnsiTheme="minorHAnsi" w:cstheme="minorBidi"/>
          <w:spacing w:val="0"/>
          <w:sz w:val="22"/>
          <w:szCs w:val="22"/>
        </w:rPr>
      </w:pPr>
      <w:hyperlink w:anchor="_Toc116041884" w:history="1">
        <w:r w:rsidR="00EF23CB" w:rsidRPr="00F65040">
          <w:rPr>
            <w:rStyle w:val="Hyperlink"/>
          </w:rPr>
          <w:t>Historical and contemporary deployments</w:t>
        </w:r>
        <w:r w:rsidR="00EF23CB">
          <w:rPr>
            <w:webHidden/>
          </w:rPr>
          <w:tab/>
        </w:r>
        <w:r w:rsidR="00EF23CB">
          <w:rPr>
            <w:webHidden/>
          </w:rPr>
          <w:fldChar w:fldCharType="begin"/>
        </w:r>
        <w:r w:rsidR="00EF23CB">
          <w:rPr>
            <w:webHidden/>
          </w:rPr>
          <w:instrText xml:space="preserve"> PAGEREF _Toc116041884 \h </w:instrText>
        </w:r>
        <w:r w:rsidR="00EF23CB">
          <w:rPr>
            <w:webHidden/>
          </w:rPr>
        </w:r>
        <w:r w:rsidR="00EF23CB">
          <w:rPr>
            <w:webHidden/>
          </w:rPr>
          <w:fldChar w:fldCharType="separate"/>
        </w:r>
        <w:r w:rsidR="009C0E98">
          <w:rPr>
            <w:webHidden/>
          </w:rPr>
          <w:t>21</w:t>
        </w:r>
        <w:r w:rsidR="00EF23CB">
          <w:rPr>
            <w:webHidden/>
          </w:rPr>
          <w:fldChar w:fldCharType="end"/>
        </w:r>
      </w:hyperlink>
    </w:p>
    <w:p w14:paraId="07633BC7" w14:textId="65332EB6" w:rsidR="00EF23CB" w:rsidRDefault="009C479C">
      <w:pPr>
        <w:pStyle w:val="TOC2"/>
        <w:rPr>
          <w:rFonts w:asciiTheme="minorHAnsi" w:eastAsiaTheme="minorEastAsia" w:hAnsiTheme="minorHAnsi" w:cstheme="minorBidi"/>
          <w:spacing w:val="0"/>
          <w:sz w:val="22"/>
          <w:szCs w:val="22"/>
        </w:rPr>
      </w:pPr>
      <w:hyperlink w:anchor="_Toc116041885" w:history="1">
        <w:r w:rsidR="00EF23CB" w:rsidRPr="00F65040">
          <w:rPr>
            <w:rStyle w:val="Hyperlink"/>
          </w:rPr>
          <w:t>Observed historical possible interference events</w:t>
        </w:r>
        <w:r w:rsidR="00EF23CB">
          <w:rPr>
            <w:webHidden/>
          </w:rPr>
          <w:tab/>
        </w:r>
        <w:r w:rsidR="00EF23CB">
          <w:rPr>
            <w:webHidden/>
          </w:rPr>
          <w:fldChar w:fldCharType="begin"/>
        </w:r>
        <w:r w:rsidR="00EF23CB">
          <w:rPr>
            <w:webHidden/>
          </w:rPr>
          <w:instrText xml:space="preserve"> PAGEREF _Toc116041885 \h </w:instrText>
        </w:r>
        <w:r w:rsidR="00EF23CB">
          <w:rPr>
            <w:webHidden/>
          </w:rPr>
        </w:r>
        <w:r w:rsidR="00EF23CB">
          <w:rPr>
            <w:webHidden/>
          </w:rPr>
          <w:fldChar w:fldCharType="separate"/>
        </w:r>
        <w:r w:rsidR="009C0E98">
          <w:rPr>
            <w:webHidden/>
          </w:rPr>
          <w:t>22</w:t>
        </w:r>
        <w:r w:rsidR="00EF23CB">
          <w:rPr>
            <w:webHidden/>
          </w:rPr>
          <w:fldChar w:fldCharType="end"/>
        </w:r>
      </w:hyperlink>
    </w:p>
    <w:p w14:paraId="04F8FB4B" w14:textId="01B6F950" w:rsidR="00EF23CB" w:rsidRDefault="009C479C">
      <w:pPr>
        <w:pStyle w:val="TOC1"/>
        <w:rPr>
          <w:rFonts w:asciiTheme="minorHAnsi" w:eastAsiaTheme="minorEastAsia" w:hAnsiTheme="minorHAnsi" w:cstheme="minorBidi"/>
          <w:b w:val="0"/>
          <w:spacing w:val="0"/>
          <w:sz w:val="22"/>
          <w:szCs w:val="22"/>
        </w:rPr>
      </w:pPr>
      <w:hyperlink w:anchor="_Toc116041886" w:history="1">
        <w:r w:rsidR="00EF23CB" w:rsidRPr="00F65040">
          <w:rPr>
            <w:rStyle w:val="Hyperlink"/>
          </w:rPr>
          <w:t>4.</w:t>
        </w:r>
        <w:r w:rsidR="00EF23CB">
          <w:rPr>
            <w:rFonts w:asciiTheme="minorHAnsi" w:eastAsiaTheme="minorEastAsia" w:hAnsiTheme="minorHAnsi" w:cstheme="minorBidi"/>
            <w:b w:val="0"/>
            <w:spacing w:val="0"/>
            <w:sz w:val="22"/>
            <w:szCs w:val="22"/>
          </w:rPr>
          <w:tab/>
        </w:r>
        <w:r w:rsidR="00EF23CB" w:rsidRPr="00F65040">
          <w:rPr>
            <w:rStyle w:val="Hyperlink"/>
          </w:rPr>
          <w:t>Observations, conclusions and proposed approach</w:t>
        </w:r>
        <w:r w:rsidR="00EF23CB">
          <w:rPr>
            <w:webHidden/>
          </w:rPr>
          <w:tab/>
        </w:r>
        <w:r w:rsidR="00EF23CB">
          <w:rPr>
            <w:webHidden/>
          </w:rPr>
          <w:fldChar w:fldCharType="begin"/>
        </w:r>
        <w:r w:rsidR="00EF23CB">
          <w:rPr>
            <w:webHidden/>
          </w:rPr>
          <w:instrText xml:space="preserve"> PAGEREF _Toc116041886 \h </w:instrText>
        </w:r>
        <w:r w:rsidR="00EF23CB">
          <w:rPr>
            <w:webHidden/>
          </w:rPr>
        </w:r>
        <w:r w:rsidR="00EF23CB">
          <w:rPr>
            <w:webHidden/>
          </w:rPr>
          <w:fldChar w:fldCharType="separate"/>
        </w:r>
        <w:r w:rsidR="009C0E98">
          <w:rPr>
            <w:webHidden/>
          </w:rPr>
          <w:t>24</w:t>
        </w:r>
        <w:r w:rsidR="00EF23CB">
          <w:rPr>
            <w:webHidden/>
          </w:rPr>
          <w:fldChar w:fldCharType="end"/>
        </w:r>
      </w:hyperlink>
    </w:p>
    <w:p w14:paraId="5ECD0FFC" w14:textId="51A3FD39" w:rsidR="00EF23CB" w:rsidRDefault="009C479C">
      <w:pPr>
        <w:pStyle w:val="TOC2"/>
        <w:rPr>
          <w:rFonts w:asciiTheme="minorHAnsi" w:eastAsiaTheme="minorEastAsia" w:hAnsiTheme="minorHAnsi" w:cstheme="minorBidi"/>
          <w:spacing w:val="0"/>
          <w:sz w:val="22"/>
          <w:szCs w:val="22"/>
        </w:rPr>
      </w:pPr>
      <w:hyperlink w:anchor="_Toc116041887" w:history="1">
        <w:r w:rsidR="00EF23CB" w:rsidRPr="00F65040">
          <w:rPr>
            <w:rStyle w:val="Hyperlink"/>
          </w:rPr>
          <w:t>Difference in approaches between national spectrum regulators</w:t>
        </w:r>
        <w:r w:rsidR="00EF23CB">
          <w:rPr>
            <w:webHidden/>
          </w:rPr>
          <w:tab/>
        </w:r>
        <w:r w:rsidR="00EF23CB">
          <w:rPr>
            <w:webHidden/>
          </w:rPr>
          <w:fldChar w:fldCharType="begin"/>
        </w:r>
        <w:r w:rsidR="00EF23CB">
          <w:rPr>
            <w:webHidden/>
          </w:rPr>
          <w:instrText xml:space="preserve"> PAGEREF _Toc116041887 \h </w:instrText>
        </w:r>
        <w:r w:rsidR="00EF23CB">
          <w:rPr>
            <w:webHidden/>
          </w:rPr>
        </w:r>
        <w:r w:rsidR="00EF23CB">
          <w:rPr>
            <w:webHidden/>
          </w:rPr>
          <w:fldChar w:fldCharType="separate"/>
        </w:r>
        <w:r w:rsidR="009C0E98">
          <w:rPr>
            <w:webHidden/>
          </w:rPr>
          <w:t>24</w:t>
        </w:r>
        <w:r w:rsidR="00EF23CB">
          <w:rPr>
            <w:webHidden/>
          </w:rPr>
          <w:fldChar w:fldCharType="end"/>
        </w:r>
      </w:hyperlink>
    </w:p>
    <w:p w14:paraId="7BEB2909" w14:textId="0CB72C21" w:rsidR="00EF23CB" w:rsidRDefault="009C479C">
      <w:pPr>
        <w:pStyle w:val="TOC2"/>
        <w:rPr>
          <w:rFonts w:asciiTheme="minorHAnsi" w:eastAsiaTheme="minorEastAsia" w:hAnsiTheme="minorHAnsi" w:cstheme="minorBidi"/>
          <w:spacing w:val="0"/>
          <w:sz w:val="22"/>
          <w:szCs w:val="22"/>
        </w:rPr>
      </w:pPr>
      <w:hyperlink w:anchor="_Toc116041888" w:history="1">
        <w:r w:rsidR="00EF23CB" w:rsidRPr="00F65040">
          <w:rPr>
            <w:rStyle w:val="Hyperlink"/>
          </w:rPr>
          <w:t>Variation in views between industry sectors</w:t>
        </w:r>
        <w:r w:rsidR="00EF23CB">
          <w:rPr>
            <w:webHidden/>
          </w:rPr>
          <w:tab/>
        </w:r>
        <w:r w:rsidR="00EF23CB">
          <w:rPr>
            <w:webHidden/>
          </w:rPr>
          <w:fldChar w:fldCharType="begin"/>
        </w:r>
        <w:r w:rsidR="00EF23CB">
          <w:rPr>
            <w:webHidden/>
          </w:rPr>
          <w:instrText xml:space="preserve"> PAGEREF _Toc116041888 \h </w:instrText>
        </w:r>
        <w:r w:rsidR="00EF23CB">
          <w:rPr>
            <w:webHidden/>
          </w:rPr>
        </w:r>
        <w:r w:rsidR="00EF23CB">
          <w:rPr>
            <w:webHidden/>
          </w:rPr>
          <w:fldChar w:fldCharType="separate"/>
        </w:r>
        <w:r w:rsidR="009C0E98">
          <w:rPr>
            <w:webHidden/>
          </w:rPr>
          <w:t>25</w:t>
        </w:r>
        <w:r w:rsidR="00EF23CB">
          <w:rPr>
            <w:webHidden/>
          </w:rPr>
          <w:fldChar w:fldCharType="end"/>
        </w:r>
      </w:hyperlink>
    </w:p>
    <w:p w14:paraId="07922D18" w14:textId="1D0224FF" w:rsidR="00EF23CB" w:rsidRDefault="009C479C">
      <w:pPr>
        <w:pStyle w:val="TOC2"/>
        <w:rPr>
          <w:rFonts w:asciiTheme="minorHAnsi" w:eastAsiaTheme="minorEastAsia" w:hAnsiTheme="minorHAnsi" w:cstheme="minorBidi"/>
          <w:spacing w:val="0"/>
          <w:sz w:val="22"/>
          <w:szCs w:val="22"/>
        </w:rPr>
      </w:pPr>
      <w:hyperlink w:anchor="_Toc116041889" w:history="1">
        <w:r w:rsidR="00EF23CB" w:rsidRPr="00F65040">
          <w:rPr>
            <w:rStyle w:val="Hyperlink"/>
          </w:rPr>
          <w:t>Poor alignment between theory and experience concerning interference risk</w:t>
        </w:r>
        <w:r w:rsidR="00EF23CB">
          <w:rPr>
            <w:webHidden/>
          </w:rPr>
          <w:tab/>
        </w:r>
        <w:r w:rsidR="00EF23CB">
          <w:rPr>
            <w:webHidden/>
          </w:rPr>
          <w:fldChar w:fldCharType="begin"/>
        </w:r>
        <w:r w:rsidR="00EF23CB">
          <w:rPr>
            <w:webHidden/>
          </w:rPr>
          <w:instrText xml:space="preserve"> PAGEREF _Toc116041889 \h </w:instrText>
        </w:r>
        <w:r w:rsidR="00EF23CB">
          <w:rPr>
            <w:webHidden/>
          </w:rPr>
        </w:r>
        <w:r w:rsidR="00EF23CB">
          <w:rPr>
            <w:webHidden/>
          </w:rPr>
          <w:fldChar w:fldCharType="separate"/>
        </w:r>
        <w:r w:rsidR="009C0E98">
          <w:rPr>
            <w:webHidden/>
          </w:rPr>
          <w:t>26</w:t>
        </w:r>
        <w:r w:rsidR="00EF23CB">
          <w:rPr>
            <w:webHidden/>
          </w:rPr>
          <w:fldChar w:fldCharType="end"/>
        </w:r>
      </w:hyperlink>
    </w:p>
    <w:p w14:paraId="0DD897B6" w14:textId="445D3B63" w:rsidR="00EF23CB" w:rsidRDefault="009C479C">
      <w:pPr>
        <w:pStyle w:val="TOC2"/>
        <w:rPr>
          <w:rFonts w:asciiTheme="minorHAnsi" w:eastAsiaTheme="minorEastAsia" w:hAnsiTheme="minorHAnsi" w:cstheme="minorBidi"/>
          <w:spacing w:val="0"/>
          <w:sz w:val="22"/>
          <w:szCs w:val="22"/>
        </w:rPr>
      </w:pPr>
      <w:hyperlink w:anchor="_Toc116041890" w:history="1">
        <w:r w:rsidR="00EF23CB" w:rsidRPr="00F65040">
          <w:rPr>
            <w:rStyle w:val="Hyperlink"/>
          </w:rPr>
          <w:t>Performance of RAs</w:t>
        </w:r>
        <w:r w:rsidR="00EF23CB">
          <w:rPr>
            <w:webHidden/>
          </w:rPr>
          <w:tab/>
        </w:r>
        <w:r w:rsidR="00EF23CB">
          <w:rPr>
            <w:webHidden/>
          </w:rPr>
          <w:fldChar w:fldCharType="begin"/>
        </w:r>
        <w:r w:rsidR="00EF23CB">
          <w:rPr>
            <w:webHidden/>
          </w:rPr>
          <w:instrText xml:space="preserve"> PAGEREF _Toc116041890 \h </w:instrText>
        </w:r>
        <w:r w:rsidR="00EF23CB">
          <w:rPr>
            <w:webHidden/>
          </w:rPr>
        </w:r>
        <w:r w:rsidR="00EF23CB">
          <w:rPr>
            <w:webHidden/>
          </w:rPr>
          <w:fldChar w:fldCharType="separate"/>
        </w:r>
        <w:r w:rsidR="009C0E98">
          <w:rPr>
            <w:webHidden/>
          </w:rPr>
          <w:t>26</w:t>
        </w:r>
        <w:r w:rsidR="00EF23CB">
          <w:rPr>
            <w:webHidden/>
          </w:rPr>
          <w:fldChar w:fldCharType="end"/>
        </w:r>
      </w:hyperlink>
    </w:p>
    <w:p w14:paraId="4940D81D" w14:textId="15362AB0" w:rsidR="00EF23CB" w:rsidRDefault="009C479C">
      <w:pPr>
        <w:pStyle w:val="TOC2"/>
        <w:rPr>
          <w:rFonts w:asciiTheme="minorHAnsi" w:eastAsiaTheme="minorEastAsia" w:hAnsiTheme="minorHAnsi" w:cstheme="minorBidi"/>
          <w:spacing w:val="0"/>
          <w:sz w:val="22"/>
          <w:szCs w:val="22"/>
        </w:rPr>
      </w:pPr>
      <w:hyperlink w:anchor="_Toc116041891" w:history="1">
        <w:r w:rsidR="00EF23CB" w:rsidRPr="00F65040">
          <w:rPr>
            <w:rStyle w:val="Hyperlink"/>
          </w:rPr>
          <w:t>Conclusions and proposed approach</w:t>
        </w:r>
        <w:r w:rsidR="00EF23CB">
          <w:rPr>
            <w:webHidden/>
          </w:rPr>
          <w:tab/>
        </w:r>
        <w:r w:rsidR="00EF23CB">
          <w:rPr>
            <w:webHidden/>
          </w:rPr>
          <w:fldChar w:fldCharType="begin"/>
        </w:r>
        <w:r w:rsidR="00EF23CB">
          <w:rPr>
            <w:webHidden/>
          </w:rPr>
          <w:instrText xml:space="preserve"> PAGEREF _Toc116041891 \h </w:instrText>
        </w:r>
        <w:r w:rsidR="00EF23CB">
          <w:rPr>
            <w:webHidden/>
          </w:rPr>
        </w:r>
        <w:r w:rsidR="00EF23CB">
          <w:rPr>
            <w:webHidden/>
          </w:rPr>
          <w:fldChar w:fldCharType="separate"/>
        </w:r>
        <w:r w:rsidR="009C0E98">
          <w:rPr>
            <w:webHidden/>
          </w:rPr>
          <w:t>27</w:t>
        </w:r>
        <w:r w:rsidR="00EF23CB">
          <w:rPr>
            <w:webHidden/>
          </w:rPr>
          <w:fldChar w:fldCharType="end"/>
        </w:r>
      </w:hyperlink>
    </w:p>
    <w:p w14:paraId="57AFB6D0" w14:textId="3E33E5FE" w:rsidR="00EF23CB" w:rsidRDefault="009C479C">
      <w:pPr>
        <w:pStyle w:val="TOC2"/>
        <w:rPr>
          <w:rFonts w:asciiTheme="minorHAnsi" w:eastAsiaTheme="minorEastAsia" w:hAnsiTheme="minorHAnsi" w:cstheme="minorBidi"/>
          <w:spacing w:val="0"/>
          <w:sz w:val="22"/>
          <w:szCs w:val="22"/>
        </w:rPr>
      </w:pPr>
      <w:hyperlink w:anchor="_Toc116041892" w:history="1">
        <w:r w:rsidR="00EF23CB" w:rsidRPr="00F65040">
          <w:rPr>
            <w:rStyle w:val="Hyperlink"/>
          </w:rPr>
          <w:t>Further work and next steps</w:t>
        </w:r>
        <w:r w:rsidR="00EF23CB">
          <w:rPr>
            <w:webHidden/>
          </w:rPr>
          <w:tab/>
        </w:r>
        <w:r w:rsidR="00EF23CB">
          <w:rPr>
            <w:webHidden/>
          </w:rPr>
          <w:fldChar w:fldCharType="begin"/>
        </w:r>
        <w:r w:rsidR="00EF23CB">
          <w:rPr>
            <w:webHidden/>
          </w:rPr>
          <w:instrText xml:space="preserve"> PAGEREF _Toc116041892 \h </w:instrText>
        </w:r>
        <w:r w:rsidR="00EF23CB">
          <w:rPr>
            <w:webHidden/>
          </w:rPr>
        </w:r>
        <w:r w:rsidR="00EF23CB">
          <w:rPr>
            <w:webHidden/>
          </w:rPr>
          <w:fldChar w:fldCharType="separate"/>
        </w:r>
        <w:r w:rsidR="009C0E98">
          <w:rPr>
            <w:webHidden/>
          </w:rPr>
          <w:t>32</w:t>
        </w:r>
        <w:r w:rsidR="00EF23CB">
          <w:rPr>
            <w:webHidden/>
          </w:rPr>
          <w:fldChar w:fldCharType="end"/>
        </w:r>
      </w:hyperlink>
    </w:p>
    <w:p w14:paraId="0B052115" w14:textId="0CD6FC50" w:rsidR="00EF23CB" w:rsidRDefault="009C479C">
      <w:pPr>
        <w:pStyle w:val="TOC1"/>
        <w:rPr>
          <w:rFonts w:asciiTheme="minorHAnsi" w:eastAsiaTheme="minorEastAsia" w:hAnsiTheme="minorHAnsi" w:cstheme="minorBidi"/>
          <w:b w:val="0"/>
          <w:spacing w:val="0"/>
          <w:sz w:val="22"/>
          <w:szCs w:val="22"/>
        </w:rPr>
      </w:pPr>
      <w:hyperlink w:anchor="_Toc116041893" w:history="1">
        <w:r w:rsidR="00EF23CB" w:rsidRPr="00F65040">
          <w:rPr>
            <w:rStyle w:val="Hyperlink"/>
          </w:rPr>
          <w:t>5.</w:t>
        </w:r>
        <w:r w:rsidR="00EF23CB">
          <w:rPr>
            <w:rFonts w:asciiTheme="minorHAnsi" w:eastAsiaTheme="minorEastAsia" w:hAnsiTheme="minorHAnsi" w:cstheme="minorBidi"/>
            <w:b w:val="0"/>
            <w:spacing w:val="0"/>
            <w:sz w:val="22"/>
            <w:szCs w:val="22"/>
          </w:rPr>
          <w:tab/>
        </w:r>
        <w:r w:rsidR="00EF23CB" w:rsidRPr="00F65040">
          <w:rPr>
            <w:rStyle w:val="Hyperlink"/>
          </w:rPr>
          <w:t>Appendix A: Wireless Broadband</w:t>
        </w:r>
        <w:r w:rsidR="00EF23CB">
          <w:rPr>
            <w:webHidden/>
          </w:rPr>
          <w:tab/>
        </w:r>
        <w:r w:rsidR="00EF23CB">
          <w:rPr>
            <w:webHidden/>
          </w:rPr>
          <w:fldChar w:fldCharType="begin"/>
        </w:r>
        <w:r w:rsidR="00EF23CB">
          <w:rPr>
            <w:webHidden/>
          </w:rPr>
          <w:instrText xml:space="preserve"> PAGEREF _Toc116041893 \h </w:instrText>
        </w:r>
        <w:r w:rsidR="00EF23CB">
          <w:rPr>
            <w:webHidden/>
          </w:rPr>
        </w:r>
        <w:r w:rsidR="00EF23CB">
          <w:rPr>
            <w:webHidden/>
          </w:rPr>
          <w:fldChar w:fldCharType="separate"/>
        </w:r>
        <w:r w:rsidR="009C0E98">
          <w:rPr>
            <w:webHidden/>
          </w:rPr>
          <w:t>33</w:t>
        </w:r>
        <w:r w:rsidR="00EF23CB">
          <w:rPr>
            <w:webHidden/>
          </w:rPr>
          <w:fldChar w:fldCharType="end"/>
        </w:r>
      </w:hyperlink>
    </w:p>
    <w:p w14:paraId="5ED2DC19" w14:textId="7152E64C" w:rsidR="00EF23CB" w:rsidRDefault="009C479C">
      <w:pPr>
        <w:pStyle w:val="TOC2"/>
        <w:rPr>
          <w:rFonts w:asciiTheme="minorHAnsi" w:eastAsiaTheme="minorEastAsia" w:hAnsiTheme="minorHAnsi" w:cstheme="minorBidi"/>
          <w:spacing w:val="0"/>
          <w:sz w:val="22"/>
          <w:szCs w:val="22"/>
        </w:rPr>
      </w:pPr>
      <w:hyperlink w:anchor="_Toc116041894" w:history="1">
        <w:r w:rsidR="00EF23CB" w:rsidRPr="00F65040">
          <w:rPr>
            <w:rStyle w:val="Hyperlink"/>
          </w:rPr>
          <w:t>Overview</w:t>
        </w:r>
        <w:r w:rsidR="00EF23CB">
          <w:rPr>
            <w:webHidden/>
          </w:rPr>
          <w:tab/>
        </w:r>
        <w:r w:rsidR="00EF23CB">
          <w:rPr>
            <w:webHidden/>
          </w:rPr>
          <w:fldChar w:fldCharType="begin"/>
        </w:r>
        <w:r w:rsidR="00EF23CB">
          <w:rPr>
            <w:webHidden/>
          </w:rPr>
          <w:instrText xml:space="preserve"> PAGEREF _Toc116041894 \h </w:instrText>
        </w:r>
        <w:r w:rsidR="00EF23CB">
          <w:rPr>
            <w:webHidden/>
          </w:rPr>
        </w:r>
        <w:r w:rsidR="00EF23CB">
          <w:rPr>
            <w:webHidden/>
          </w:rPr>
          <w:fldChar w:fldCharType="separate"/>
        </w:r>
        <w:r w:rsidR="009C0E98">
          <w:rPr>
            <w:webHidden/>
          </w:rPr>
          <w:t>33</w:t>
        </w:r>
        <w:r w:rsidR="00EF23CB">
          <w:rPr>
            <w:webHidden/>
          </w:rPr>
          <w:fldChar w:fldCharType="end"/>
        </w:r>
      </w:hyperlink>
    </w:p>
    <w:p w14:paraId="5A529122" w14:textId="58AD152C" w:rsidR="00EF23CB" w:rsidRDefault="009C479C">
      <w:pPr>
        <w:pStyle w:val="TOC2"/>
        <w:rPr>
          <w:rFonts w:asciiTheme="minorHAnsi" w:eastAsiaTheme="minorEastAsia" w:hAnsiTheme="minorHAnsi" w:cstheme="minorBidi"/>
          <w:spacing w:val="0"/>
          <w:sz w:val="22"/>
          <w:szCs w:val="22"/>
        </w:rPr>
      </w:pPr>
      <w:hyperlink w:anchor="_Toc116041895" w:history="1">
        <w:r w:rsidR="00EF23CB" w:rsidRPr="00F65040">
          <w:rPr>
            <w:rStyle w:val="Hyperlink"/>
          </w:rPr>
          <w:t>Technical characteristics</w:t>
        </w:r>
        <w:r w:rsidR="00EF23CB">
          <w:rPr>
            <w:webHidden/>
          </w:rPr>
          <w:tab/>
        </w:r>
        <w:r w:rsidR="00EF23CB">
          <w:rPr>
            <w:webHidden/>
          </w:rPr>
          <w:fldChar w:fldCharType="begin"/>
        </w:r>
        <w:r w:rsidR="00EF23CB">
          <w:rPr>
            <w:webHidden/>
          </w:rPr>
          <w:instrText xml:space="preserve"> PAGEREF _Toc116041895 \h </w:instrText>
        </w:r>
        <w:r w:rsidR="00EF23CB">
          <w:rPr>
            <w:webHidden/>
          </w:rPr>
        </w:r>
        <w:r w:rsidR="00EF23CB">
          <w:rPr>
            <w:webHidden/>
          </w:rPr>
          <w:fldChar w:fldCharType="separate"/>
        </w:r>
        <w:r w:rsidR="009C0E98">
          <w:rPr>
            <w:webHidden/>
          </w:rPr>
          <w:t>33</w:t>
        </w:r>
        <w:r w:rsidR="00EF23CB">
          <w:rPr>
            <w:webHidden/>
          </w:rPr>
          <w:fldChar w:fldCharType="end"/>
        </w:r>
      </w:hyperlink>
    </w:p>
    <w:p w14:paraId="2C96AE54" w14:textId="68858D85" w:rsidR="00EF23CB" w:rsidRDefault="009C479C">
      <w:pPr>
        <w:pStyle w:val="TOC1"/>
        <w:rPr>
          <w:rFonts w:asciiTheme="minorHAnsi" w:eastAsiaTheme="minorEastAsia" w:hAnsiTheme="minorHAnsi" w:cstheme="minorBidi"/>
          <w:b w:val="0"/>
          <w:spacing w:val="0"/>
          <w:sz w:val="22"/>
          <w:szCs w:val="22"/>
        </w:rPr>
      </w:pPr>
      <w:hyperlink w:anchor="_Toc116041896" w:history="1">
        <w:r w:rsidR="00EF23CB" w:rsidRPr="00F65040">
          <w:rPr>
            <w:rStyle w:val="Hyperlink"/>
          </w:rPr>
          <w:t>6.</w:t>
        </w:r>
        <w:r w:rsidR="00EF23CB">
          <w:rPr>
            <w:rFonts w:asciiTheme="minorHAnsi" w:eastAsiaTheme="minorEastAsia" w:hAnsiTheme="minorHAnsi" w:cstheme="minorBidi"/>
            <w:b w:val="0"/>
            <w:spacing w:val="0"/>
            <w:sz w:val="22"/>
            <w:szCs w:val="22"/>
          </w:rPr>
          <w:tab/>
        </w:r>
        <w:r w:rsidR="00EF23CB" w:rsidRPr="00F65040">
          <w:rPr>
            <w:rStyle w:val="Hyperlink"/>
          </w:rPr>
          <w:t>Appendix B: Radio Altimeters</w:t>
        </w:r>
        <w:r w:rsidR="00EF23CB">
          <w:rPr>
            <w:webHidden/>
          </w:rPr>
          <w:tab/>
        </w:r>
        <w:r w:rsidR="00EF23CB">
          <w:rPr>
            <w:webHidden/>
          </w:rPr>
          <w:fldChar w:fldCharType="begin"/>
        </w:r>
        <w:r w:rsidR="00EF23CB">
          <w:rPr>
            <w:webHidden/>
          </w:rPr>
          <w:instrText xml:space="preserve"> PAGEREF _Toc116041896 \h </w:instrText>
        </w:r>
        <w:r w:rsidR="00EF23CB">
          <w:rPr>
            <w:webHidden/>
          </w:rPr>
        </w:r>
        <w:r w:rsidR="00EF23CB">
          <w:rPr>
            <w:webHidden/>
          </w:rPr>
          <w:fldChar w:fldCharType="separate"/>
        </w:r>
        <w:r w:rsidR="009C0E98">
          <w:rPr>
            <w:webHidden/>
          </w:rPr>
          <w:t>36</w:t>
        </w:r>
        <w:r w:rsidR="00EF23CB">
          <w:rPr>
            <w:webHidden/>
          </w:rPr>
          <w:fldChar w:fldCharType="end"/>
        </w:r>
      </w:hyperlink>
    </w:p>
    <w:p w14:paraId="2BAA925A" w14:textId="32A88CCD" w:rsidR="00EF23CB" w:rsidRDefault="009C479C">
      <w:pPr>
        <w:pStyle w:val="TOC2"/>
        <w:rPr>
          <w:rFonts w:asciiTheme="minorHAnsi" w:eastAsiaTheme="minorEastAsia" w:hAnsiTheme="minorHAnsi" w:cstheme="minorBidi"/>
          <w:spacing w:val="0"/>
          <w:sz w:val="22"/>
          <w:szCs w:val="22"/>
        </w:rPr>
      </w:pPr>
      <w:hyperlink w:anchor="_Toc116041897" w:history="1">
        <w:r w:rsidR="00EF23CB" w:rsidRPr="00F65040">
          <w:rPr>
            <w:rStyle w:val="Hyperlink"/>
          </w:rPr>
          <w:t>Overview</w:t>
        </w:r>
        <w:r w:rsidR="00EF23CB">
          <w:rPr>
            <w:webHidden/>
          </w:rPr>
          <w:tab/>
        </w:r>
        <w:r w:rsidR="00EF23CB">
          <w:rPr>
            <w:webHidden/>
          </w:rPr>
          <w:fldChar w:fldCharType="begin"/>
        </w:r>
        <w:r w:rsidR="00EF23CB">
          <w:rPr>
            <w:webHidden/>
          </w:rPr>
          <w:instrText xml:space="preserve"> PAGEREF _Toc116041897 \h </w:instrText>
        </w:r>
        <w:r w:rsidR="00EF23CB">
          <w:rPr>
            <w:webHidden/>
          </w:rPr>
        </w:r>
        <w:r w:rsidR="00EF23CB">
          <w:rPr>
            <w:webHidden/>
          </w:rPr>
          <w:fldChar w:fldCharType="separate"/>
        </w:r>
        <w:r w:rsidR="009C0E98">
          <w:rPr>
            <w:webHidden/>
          </w:rPr>
          <w:t>36</w:t>
        </w:r>
        <w:r w:rsidR="00EF23CB">
          <w:rPr>
            <w:webHidden/>
          </w:rPr>
          <w:fldChar w:fldCharType="end"/>
        </w:r>
      </w:hyperlink>
    </w:p>
    <w:p w14:paraId="49BD4543" w14:textId="17513285" w:rsidR="00EF23CB" w:rsidRDefault="009C479C">
      <w:pPr>
        <w:pStyle w:val="TOC2"/>
        <w:rPr>
          <w:rFonts w:asciiTheme="minorHAnsi" w:eastAsiaTheme="minorEastAsia" w:hAnsiTheme="minorHAnsi" w:cstheme="minorBidi"/>
          <w:spacing w:val="0"/>
          <w:sz w:val="22"/>
          <w:szCs w:val="22"/>
        </w:rPr>
      </w:pPr>
      <w:hyperlink w:anchor="_Toc116041898" w:history="1">
        <w:r w:rsidR="00EF23CB" w:rsidRPr="00F65040">
          <w:rPr>
            <w:rStyle w:val="Hyperlink"/>
          </w:rPr>
          <w:t>Technical characteristics</w:t>
        </w:r>
        <w:r w:rsidR="00EF23CB">
          <w:rPr>
            <w:webHidden/>
          </w:rPr>
          <w:tab/>
        </w:r>
        <w:r w:rsidR="00EF23CB">
          <w:rPr>
            <w:webHidden/>
          </w:rPr>
          <w:fldChar w:fldCharType="begin"/>
        </w:r>
        <w:r w:rsidR="00EF23CB">
          <w:rPr>
            <w:webHidden/>
          </w:rPr>
          <w:instrText xml:space="preserve"> PAGEREF _Toc116041898 \h </w:instrText>
        </w:r>
        <w:r w:rsidR="00EF23CB">
          <w:rPr>
            <w:webHidden/>
          </w:rPr>
        </w:r>
        <w:r w:rsidR="00EF23CB">
          <w:rPr>
            <w:webHidden/>
          </w:rPr>
          <w:fldChar w:fldCharType="separate"/>
        </w:r>
        <w:r w:rsidR="009C0E98">
          <w:rPr>
            <w:webHidden/>
          </w:rPr>
          <w:t>39</w:t>
        </w:r>
        <w:r w:rsidR="00EF23CB">
          <w:rPr>
            <w:webHidden/>
          </w:rPr>
          <w:fldChar w:fldCharType="end"/>
        </w:r>
      </w:hyperlink>
    </w:p>
    <w:p w14:paraId="7D16E883" w14:textId="5CACFB62" w:rsidR="00EF23CB" w:rsidRDefault="009C479C">
      <w:pPr>
        <w:pStyle w:val="TOC2"/>
        <w:rPr>
          <w:rFonts w:asciiTheme="minorHAnsi" w:eastAsiaTheme="minorEastAsia" w:hAnsiTheme="minorHAnsi" w:cstheme="minorBidi"/>
          <w:spacing w:val="0"/>
          <w:sz w:val="22"/>
          <w:szCs w:val="22"/>
        </w:rPr>
      </w:pPr>
      <w:hyperlink w:anchor="_Toc116041899" w:history="1">
        <w:r w:rsidR="00EF23CB" w:rsidRPr="00F65040">
          <w:rPr>
            <w:rStyle w:val="Hyperlink"/>
          </w:rPr>
          <w:t>Future RA Performance</w:t>
        </w:r>
        <w:r w:rsidR="00EF23CB">
          <w:rPr>
            <w:webHidden/>
          </w:rPr>
          <w:tab/>
        </w:r>
        <w:r w:rsidR="00EF23CB">
          <w:rPr>
            <w:webHidden/>
          </w:rPr>
          <w:fldChar w:fldCharType="begin"/>
        </w:r>
        <w:r w:rsidR="00EF23CB">
          <w:rPr>
            <w:webHidden/>
          </w:rPr>
          <w:instrText xml:space="preserve"> PAGEREF _Toc116041899 \h </w:instrText>
        </w:r>
        <w:r w:rsidR="00EF23CB">
          <w:rPr>
            <w:webHidden/>
          </w:rPr>
        </w:r>
        <w:r w:rsidR="00EF23CB">
          <w:rPr>
            <w:webHidden/>
          </w:rPr>
          <w:fldChar w:fldCharType="separate"/>
        </w:r>
        <w:r w:rsidR="009C0E98">
          <w:rPr>
            <w:webHidden/>
          </w:rPr>
          <w:t>40</w:t>
        </w:r>
        <w:r w:rsidR="00EF23CB">
          <w:rPr>
            <w:webHidden/>
          </w:rPr>
          <w:fldChar w:fldCharType="end"/>
        </w:r>
      </w:hyperlink>
    </w:p>
    <w:p w14:paraId="72E2ED3C" w14:textId="49525030" w:rsidR="00EF23CB" w:rsidRDefault="009C479C">
      <w:pPr>
        <w:pStyle w:val="TOC1"/>
        <w:rPr>
          <w:rFonts w:asciiTheme="minorHAnsi" w:eastAsiaTheme="minorEastAsia" w:hAnsiTheme="minorHAnsi" w:cstheme="minorBidi"/>
          <w:b w:val="0"/>
          <w:spacing w:val="0"/>
          <w:sz w:val="22"/>
          <w:szCs w:val="22"/>
        </w:rPr>
      </w:pPr>
      <w:hyperlink w:anchor="_Toc116041900" w:history="1">
        <w:r w:rsidR="00EF23CB" w:rsidRPr="00F65040">
          <w:rPr>
            <w:rStyle w:val="Hyperlink"/>
          </w:rPr>
          <w:t>7.</w:t>
        </w:r>
        <w:r w:rsidR="00EF23CB">
          <w:rPr>
            <w:rFonts w:asciiTheme="minorHAnsi" w:eastAsiaTheme="minorEastAsia" w:hAnsiTheme="minorHAnsi" w:cstheme="minorBidi"/>
            <w:b w:val="0"/>
            <w:spacing w:val="0"/>
            <w:sz w:val="22"/>
            <w:szCs w:val="22"/>
          </w:rPr>
          <w:tab/>
        </w:r>
        <w:r w:rsidR="00EF23CB" w:rsidRPr="00F65040">
          <w:rPr>
            <w:rStyle w:val="Hyperlink"/>
          </w:rPr>
          <w:t>Appendix C: International developments and approaches</w:t>
        </w:r>
        <w:r w:rsidR="00EF23CB">
          <w:rPr>
            <w:webHidden/>
          </w:rPr>
          <w:tab/>
        </w:r>
        <w:r w:rsidR="00EF23CB">
          <w:rPr>
            <w:webHidden/>
          </w:rPr>
          <w:fldChar w:fldCharType="begin"/>
        </w:r>
        <w:r w:rsidR="00EF23CB">
          <w:rPr>
            <w:webHidden/>
          </w:rPr>
          <w:instrText xml:space="preserve"> PAGEREF _Toc116041900 \h </w:instrText>
        </w:r>
        <w:r w:rsidR="00EF23CB">
          <w:rPr>
            <w:webHidden/>
          </w:rPr>
        </w:r>
        <w:r w:rsidR="00EF23CB">
          <w:rPr>
            <w:webHidden/>
          </w:rPr>
          <w:fldChar w:fldCharType="separate"/>
        </w:r>
        <w:r w:rsidR="009C0E98">
          <w:rPr>
            <w:webHidden/>
          </w:rPr>
          <w:t>42</w:t>
        </w:r>
        <w:r w:rsidR="00EF23CB">
          <w:rPr>
            <w:webHidden/>
          </w:rPr>
          <w:fldChar w:fldCharType="end"/>
        </w:r>
      </w:hyperlink>
    </w:p>
    <w:p w14:paraId="06B41C8C" w14:textId="711CCB30" w:rsidR="00EF23CB" w:rsidRDefault="009C479C">
      <w:pPr>
        <w:pStyle w:val="TOC2"/>
        <w:rPr>
          <w:rFonts w:asciiTheme="minorHAnsi" w:eastAsiaTheme="minorEastAsia" w:hAnsiTheme="minorHAnsi" w:cstheme="minorBidi"/>
          <w:spacing w:val="0"/>
          <w:sz w:val="22"/>
          <w:szCs w:val="22"/>
        </w:rPr>
      </w:pPr>
      <w:hyperlink w:anchor="_Toc116041901" w:history="1">
        <w:r w:rsidR="00EF23CB" w:rsidRPr="00F65040">
          <w:rPr>
            <w:rStyle w:val="Hyperlink"/>
          </w:rPr>
          <w:t>USA</w:t>
        </w:r>
        <w:r w:rsidR="00EF23CB">
          <w:rPr>
            <w:webHidden/>
          </w:rPr>
          <w:tab/>
        </w:r>
        <w:r w:rsidR="00EF23CB">
          <w:rPr>
            <w:webHidden/>
          </w:rPr>
          <w:tab/>
        </w:r>
        <w:r w:rsidR="00EF23CB">
          <w:rPr>
            <w:webHidden/>
          </w:rPr>
          <w:fldChar w:fldCharType="begin"/>
        </w:r>
        <w:r w:rsidR="00EF23CB">
          <w:rPr>
            <w:webHidden/>
          </w:rPr>
          <w:instrText xml:space="preserve"> PAGEREF _Toc116041901 \h </w:instrText>
        </w:r>
        <w:r w:rsidR="00EF23CB">
          <w:rPr>
            <w:webHidden/>
          </w:rPr>
        </w:r>
        <w:r w:rsidR="00EF23CB">
          <w:rPr>
            <w:webHidden/>
          </w:rPr>
          <w:fldChar w:fldCharType="separate"/>
        </w:r>
        <w:r w:rsidR="009C0E98">
          <w:rPr>
            <w:webHidden/>
          </w:rPr>
          <w:t>42</w:t>
        </w:r>
        <w:r w:rsidR="00EF23CB">
          <w:rPr>
            <w:webHidden/>
          </w:rPr>
          <w:fldChar w:fldCharType="end"/>
        </w:r>
      </w:hyperlink>
    </w:p>
    <w:p w14:paraId="46B7E32D" w14:textId="74CEB142" w:rsidR="00EF23CB" w:rsidRDefault="009C479C">
      <w:pPr>
        <w:pStyle w:val="TOC2"/>
        <w:rPr>
          <w:rFonts w:asciiTheme="minorHAnsi" w:eastAsiaTheme="minorEastAsia" w:hAnsiTheme="minorHAnsi" w:cstheme="minorBidi"/>
          <w:spacing w:val="0"/>
          <w:sz w:val="22"/>
          <w:szCs w:val="22"/>
        </w:rPr>
      </w:pPr>
      <w:hyperlink w:anchor="_Toc116041902" w:history="1">
        <w:r w:rsidR="00EF23CB" w:rsidRPr="00F65040">
          <w:rPr>
            <w:rStyle w:val="Hyperlink"/>
          </w:rPr>
          <w:t>Japan</w:t>
        </w:r>
        <w:r w:rsidR="00EF23CB">
          <w:rPr>
            <w:webHidden/>
          </w:rPr>
          <w:tab/>
        </w:r>
        <w:r w:rsidR="00EF23CB">
          <w:rPr>
            <w:webHidden/>
          </w:rPr>
          <w:tab/>
        </w:r>
        <w:r w:rsidR="00EF23CB">
          <w:rPr>
            <w:webHidden/>
          </w:rPr>
          <w:fldChar w:fldCharType="begin"/>
        </w:r>
        <w:r w:rsidR="00EF23CB">
          <w:rPr>
            <w:webHidden/>
          </w:rPr>
          <w:instrText xml:space="preserve"> PAGEREF _Toc116041902 \h </w:instrText>
        </w:r>
        <w:r w:rsidR="00EF23CB">
          <w:rPr>
            <w:webHidden/>
          </w:rPr>
        </w:r>
        <w:r w:rsidR="00EF23CB">
          <w:rPr>
            <w:webHidden/>
          </w:rPr>
          <w:fldChar w:fldCharType="separate"/>
        </w:r>
        <w:r w:rsidR="009C0E98">
          <w:rPr>
            <w:webHidden/>
          </w:rPr>
          <w:t>46</w:t>
        </w:r>
        <w:r w:rsidR="00EF23CB">
          <w:rPr>
            <w:webHidden/>
          </w:rPr>
          <w:fldChar w:fldCharType="end"/>
        </w:r>
      </w:hyperlink>
    </w:p>
    <w:p w14:paraId="179317A8" w14:textId="329AACD8" w:rsidR="00EF23CB" w:rsidRDefault="009C479C">
      <w:pPr>
        <w:pStyle w:val="TOC2"/>
        <w:rPr>
          <w:rFonts w:asciiTheme="minorHAnsi" w:eastAsiaTheme="minorEastAsia" w:hAnsiTheme="minorHAnsi" w:cstheme="minorBidi"/>
          <w:spacing w:val="0"/>
          <w:sz w:val="22"/>
          <w:szCs w:val="22"/>
        </w:rPr>
      </w:pPr>
      <w:hyperlink w:anchor="_Toc116041903" w:history="1">
        <w:r w:rsidR="00EF23CB" w:rsidRPr="00F65040">
          <w:rPr>
            <w:rStyle w:val="Hyperlink"/>
          </w:rPr>
          <w:t>UK</w:t>
        </w:r>
        <w:r w:rsidR="00EF23CB">
          <w:rPr>
            <w:webHidden/>
          </w:rPr>
          <w:tab/>
        </w:r>
        <w:r w:rsidR="00EF23CB">
          <w:rPr>
            <w:webHidden/>
          </w:rPr>
          <w:tab/>
        </w:r>
        <w:r w:rsidR="00EF23CB">
          <w:rPr>
            <w:webHidden/>
          </w:rPr>
          <w:fldChar w:fldCharType="begin"/>
        </w:r>
        <w:r w:rsidR="00EF23CB">
          <w:rPr>
            <w:webHidden/>
          </w:rPr>
          <w:instrText xml:space="preserve"> PAGEREF _Toc116041903 \h </w:instrText>
        </w:r>
        <w:r w:rsidR="00EF23CB">
          <w:rPr>
            <w:webHidden/>
          </w:rPr>
        </w:r>
        <w:r w:rsidR="00EF23CB">
          <w:rPr>
            <w:webHidden/>
          </w:rPr>
          <w:fldChar w:fldCharType="separate"/>
        </w:r>
        <w:r w:rsidR="009C0E98">
          <w:rPr>
            <w:webHidden/>
          </w:rPr>
          <w:t>46</w:t>
        </w:r>
        <w:r w:rsidR="00EF23CB">
          <w:rPr>
            <w:webHidden/>
          </w:rPr>
          <w:fldChar w:fldCharType="end"/>
        </w:r>
      </w:hyperlink>
    </w:p>
    <w:p w14:paraId="00FF4780" w14:textId="6EA54A80" w:rsidR="00EF23CB" w:rsidRDefault="009C479C">
      <w:pPr>
        <w:pStyle w:val="TOC2"/>
        <w:rPr>
          <w:rFonts w:asciiTheme="minorHAnsi" w:eastAsiaTheme="minorEastAsia" w:hAnsiTheme="minorHAnsi" w:cstheme="minorBidi"/>
          <w:spacing w:val="0"/>
          <w:sz w:val="22"/>
          <w:szCs w:val="22"/>
        </w:rPr>
      </w:pPr>
      <w:hyperlink w:anchor="_Toc116041904" w:history="1">
        <w:r w:rsidR="00EF23CB" w:rsidRPr="00F65040">
          <w:rPr>
            <w:rStyle w:val="Hyperlink"/>
          </w:rPr>
          <w:t>France</w:t>
        </w:r>
        <w:r w:rsidR="00EF23CB">
          <w:rPr>
            <w:webHidden/>
          </w:rPr>
          <w:tab/>
        </w:r>
        <w:r w:rsidR="00EF23CB">
          <w:rPr>
            <w:webHidden/>
          </w:rPr>
          <w:tab/>
        </w:r>
        <w:r w:rsidR="00EF23CB">
          <w:rPr>
            <w:webHidden/>
          </w:rPr>
          <w:fldChar w:fldCharType="begin"/>
        </w:r>
        <w:r w:rsidR="00EF23CB">
          <w:rPr>
            <w:webHidden/>
          </w:rPr>
          <w:instrText xml:space="preserve"> PAGEREF _Toc116041904 \h </w:instrText>
        </w:r>
        <w:r w:rsidR="00EF23CB">
          <w:rPr>
            <w:webHidden/>
          </w:rPr>
        </w:r>
        <w:r w:rsidR="00EF23CB">
          <w:rPr>
            <w:webHidden/>
          </w:rPr>
          <w:fldChar w:fldCharType="separate"/>
        </w:r>
        <w:r w:rsidR="009C0E98">
          <w:rPr>
            <w:webHidden/>
          </w:rPr>
          <w:t>50</w:t>
        </w:r>
        <w:r w:rsidR="00EF23CB">
          <w:rPr>
            <w:webHidden/>
          </w:rPr>
          <w:fldChar w:fldCharType="end"/>
        </w:r>
      </w:hyperlink>
    </w:p>
    <w:p w14:paraId="5C66A734" w14:textId="5A3259D8" w:rsidR="00EF23CB" w:rsidRDefault="009C479C">
      <w:pPr>
        <w:pStyle w:val="TOC2"/>
        <w:rPr>
          <w:rFonts w:asciiTheme="minorHAnsi" w:eastAsiaTheme="minorEastAsia" w:hAnsiTheme="minorHAnsi" w:cstheme="minorBidi"/>
          <w:spacing w:val="0"/>
          <w:sz w:val="22"/>
          <w:szCs w:val="22"/>
        </w:rPr>
      </w:pPr>
      <w:hyperlink w:anchor="_Toc116041905" w:history="1">
        <w:r w:rsidR="00EF23CB" w:rsidRPr="00F65040">
          <w:rPr>
            <w:rStyle w:val="Hyperlink"/>
          </w:rPr>
          <w:t>Denmark</w:t>
        </w:r>
        <w:r w:rsidR="00EF23CB">
          <w:rPr>
            <w:webHidden/>
          </w:rPr>
          <w:tab/>
        </w:r>
        <w:r w:rsidR="00EF23CB">
          <w:rPr>
            <w:webHidden/>
          </w:rPr>
          <w:fldChar w:fldCharType="begin"/>
        </w:r>
        <w:r w:rsidR="00EF23CB">
          <w:rPr>
            <w:webHidden/>
          </w:rPr>
          <w:instrText xml:space="preserve"> PAGEREF _Toc116041905 \h </w:instrText>
        </w:r>
        <w:r w:rsidR="00EF23CB">
          <w:rPr>
            <w:webHidden/>
          </w:rPr>
        </w:r>
        <w:r w:rsidR="00EF23CB">
          <w:rPr>
            <w:webHidden/>
          </w:rPr>
          <w:fldChar w:fldCharType="separate"/>
        </w:r>
        <w:r w:rsidR="009C0E98">
          <w:rPr>
            <w:webHidden/>
          </w:rPr>
          <w:t>51</w:t>
        </w:r>
        <w:r w:rsidR="00EF23CB">
          <w:rPr>
            <w:webHidden/>
          </w:rPr>
          <w:fldChar w:fldCharType="end"/>
        </w:r>
      </w:hyperlink>
    </w:p>
    <w:p w14:paraId="69296E73" w14:textId="159FBB09" w:rsidR="00EF23CB" w:rsidRDefault="009C479C">
      <w:pPr>
        <w:pStyle w:val="TOC2"/>
        <w:rPr>
          <w:rFonts w:asciiTheme="minorHAnsi" w:eastAsiaTheme="minorEastAsia" w:hAnsiTheme="minorHAnsi" w:cstheme="minorBidi"/>
          <w:spacing w:val="0"/>
          <w:sz w:val="22"/>
          <w:szCs w:val="22"/>
        </w:rPr>
      </w:pPr>
      <w:hyperlink w:anchor="_Toc116041906" w:history="1">
        <w:r w:rsidR="00EF23CB" w:rsidRPr="00F65040">
          <w:rPr>
            <w:rStyle w:val="Hyperlink"/>
          </w:rPr>
          <w:t>Switzerland</w:t>
        </w:r>
        <w:r w:rsidR="00EF23CB">
          <w:rPr>
            <w:webHidden/>
          </w:rPr>
          <w:tab/>
        </w:r>
        <w:r w:rsidR="00EF23CB">
          <w:rPr>
            <w:webHidden/>
          </w:rPr>
          <w:fldChar w:fldCharType="begin"/>
        </w:r>
        <w:r w:rsidR="00EF23CB">
          <w:rPr>
            <w:webHidden/>
          </w:rPr>
          <w:instrText xml:space="preserve"> PAGEREF _Toc116041906 \h </w:instrText>
        </w:r>
        <w:r w:rsidR="00EF23CB">
          <w:rPr>
            <w:webHidden/>
          </w:rPr>
        </w:r>
        <w:r w:rsidR="00EF23CB">
          <w:rPr>
            <w:webHidden/>
          </w:rPr>
          <w:fldChar w:fldCharType="separate"/>
        </w:r>
        <w:r w:rsidR="009C0E98">
          <w:rPr>
            <w:webHidden/>
          </w:rPr>
          <w:t>51</w:t>
        </w:r>
        <w:r w:rsidR="00EF23CB">
          <w:rPr>
            <w:webHidden/>
          </w:rPr>
          <w:fldChar w:fldCharType="end"/>
        </w:r>
      </w:hyperlink>
    </w:p>
    <w:p w14:paraId="757F210B" w14:textId="75AF1013" w:rsidR="00EF23CB" w:rsidRDefault="009C479C">
      <w:pPr>
        <w:pStyle w:val="TOC2"/>
        <w:rPr>
          <w:rFonts w:asciiTheme="minorHAnsi" w:eastAsiaTheme="minorEastAsia" w:hAnsiTheme="minorHAnsi" w:cstheme="minorBidi"/>
          <w:spacing w:val="0"/>
          <w:sz w:val="22"/>
          <w:szCs w:val="22"/>
        </w:rPr>
      </w:pPr>
      <w:hyperlink w:anchor="_Toc116041907" w:history="1">
        <w:r w:rsidR="00EF23CB" w:rsidRPr="00F65040">
          <w:rPr>
            <w:rStyle w:val="Hyperlink"/>
          </w:rPr>
          <w:t>Canada</w:t>
        </w:r>
        <w:r w:rsidR="00EF23CB">
          <w:rPr>
            <w:webHidden/>
          </w:rPr>
          <w:tab/>
        </w:r>
        <w:r w:rsidR="00EF23CB">
          <w:rPr>
            <w:webHidden/>
          </w:rPr>
          <w:tab/>
        </w:r>
        <w:r w:rsidR="00EF23CB">
          <w:rPr>
            <w:webHidden/>
          </w:rPr>
          <w:fldChar w:fldCharType="begin"/>
        </w:r>
        <w:r w:rsidR="00EF23CB">
          <w:rPr>
            <w:webHidden/>
          </w:rPr>
          <w:instrText xml:space="preserve"> PAGEREF _Toc116041907 \h </w:instrText>
        </w:r>
        <w:r w:rsidR="00EF23CB">
          <w:rPr>
            <w:webHidden/>
          </w:rPr>
        </w:r>
        <w:r w:rsidR="00EF23CB">
          <w:rPr>
            <w:webHidden/>
          </w:rPr>
          <w:fldChar w:fldCharType="separate"/>
        </w:r>
        <w:r w:rsidR="009C0E98">
          <w:rPr>
            <w:webHidden/>
          </w:rPr>
          <w:t>51</w:t>
        </w:r>
        <w:r w:rsidR="00EF23CB">
          <w:rPr>
            <w:webHidden/>
          </w:rPr>
          <w:fldChar w:fldCharType="end"/>
        </w:r>
      </w:hyperlink>
    </w:p>
    <w:p w14:paraId="29239916" w14:textId="6012998E" w:rsidR="00EF23CB" w:rsidRDefault="009C479C">
      <w:pPr>
        <w:pStyle w:val="TOC2"/>
        <w:rPr>
          <w:rFonts w:asciiTheme="minorHAnsi" w:eastAsiaTheme="minorEastAsia" w:hAnsiTheme="minorHAnsi" w:cstheme="minorBidi"/>
          <w:spacing w:val="0"/>
          <w:sz w:val="22"/>
          <w:szCs w:val="22"/>
        </w:rPr>
      </w:pPr>
      <w:hyperlink w:anchor="_Toc116041908" w:history="1">
        <w:r w:rsidR="00EF23CB" w:rsidRPr="00F65040">
          <w:rPr>
            <w:rStyle w:val="Hyperlink"/>
          </w:rPr>
          <w:t>Belgium</w:t>
        </w:r>
        <w:r w:rsidR="00EF23CB">
          <w:rPr>
            <w:webHidden/>
          </w:rPr>
          <w:tab/>
        </w:r>
        <w:r w:rsidR="00EF23CB">
          <w:rPr>
            <w:webHidden/>
          </w:rPr>
          <w:tab/>
        </w:r>
        <w:r w:rsidR="00EF23CB">
          <w:rPr>
            <w:webHidden/>
          </w:rPr>
          <w:fldChar w:fldCharType="begin"/>
        </w:r>
        <w:r w:rsidR="00EF23CB">
          <w:rPr>
            <w:webHidden/>
          </w:rPr>
          <w:instrText xml:space="preserve"> PAGEREF _Toc116041908 \h </w:instrText>
        </w:r>
        <w:r w:rsidR="00EF23CB">
          <w:rPr>
            <w:webHidden/>
          </w:rPr>
        </w:r>
        <w:r w:rsidR="00EF23CB">
          <w:rPr>
            <w:webHidden/>
          </w:rPr>
          <w:fldChar w:fldCharType="separate"/>
        </w:r>
        <w:r w:rsidR="009C0E98">
          <w:rPr>
            <w:webHidden/>
          </w:rPr>
          <w:t>54</w:t>
        </w:r>
        <w:r w:rsidR="00EF23CB">
          <w:rPr>
            <w:webHidden/>
          </w:rPr>
          <w:fldChar w:fldCharType="end"/>
        </w:r>
      </w:hyperlink>
    </w:p>
    <w:p w14:paraId="55B49EA8" w14:textId="5B483F1E" w:rsidR="00EF23CB" w:rsidRDefault="009C479C">
      <w:pPr>
        <w:pStyle w:val="TOC2"/>
        <w:rPr>
          <w:rFonts w:asciiTheme="minorHAnsi" w:eastAsiaTheme="minorEastAsia" w:hAnsiTheme="minorHAnsi" w:cstheme="minorBidi"/>
          <w:spacing w:val="0"/>
          <w:sz w:val="22"/>
          <w:szCs w:val="22"/>
        </w:rPr>
      </w:pPr>
      <w:hyperlink w:anchor="_Toc116041909" w:history="1">
        <w:r w:rsidR="00EF23CB" w:rsidRPr="00F65040">
          <w:rPr>
            <w:rStyle w:val="Hyperlink"/>
          </w:rPr>
          <w:t>Czechia</w:t>
        </w:r>
        <w:r w:rsidR="00EF23CB">
          <w:rPr>
            <w:webHidden/>
          </w:rPr>
          <w:tab/>
        </w:r>
        <w:r w:rsidR="00EF23CB">
          <w:rPr>
            <w:webHidden/>
          </w:rPr>
          <w:tab/>
        </w:r>
        <w:r w:rsidR="00EF23CB">
          <w:rPr>
            <w:webHidden/>
          </w:rPr>
          <w:fldChar w:fldCharType="begin"/>
        </w:r>
        <w:r w:rsidR="00EF23CB">
          <w:rPr>
            <w:webHidden/>
          </w:rPr>
          <w:instrText xml:space="preserve"> PAGEREF _Toc116041909 \h </w:instrText>
        </w:r>
        <w:r w:rsidR="00EF23CB">
          <w:rPr>
            <w:webHidden/>
          </w:rPr>
        </w:r>
        <w:r w:rsidR="00EF23CB">
          <w:rPr>
            <w:webHidden/>
          </w:rPr>
          <w:fldChar w:fldCharType="separate"/>
        </w:r>
        <w:r w:rsidR="009C0E98">
          <w:rPr>
            <w:webHidden/>
          </w:rPr>
          <w:t>54</w:t>
        </w:r>
        <w:r w:rsidR="00EF23CB">
          <w:rPr>
            <w:webHidden/>
          </w:rPr>
          <w:fldChar w:fldCharType="end"/>
        </w:r>
      </w:hyperlink>
    </w:p>
    <w:p w14:paraId="0D377FAE" w14:textId="087A5F8D" w:rsidR="00EF23CB" w:rsidRDefault="009C479C">
      <w:pPr>
        <w:pStyle w:val="TOC2"/>
        <w:rPr>
          <w:rFonts w:asciiTheme="minorHAnsi" w:eastAsiaTheme="minorEastAsia" w:hAnsiTheme="minorHAnsi" w:cstheme="minorBidi"/>
          <w:spacing w:val="0"/>
          <w:sz w:val="22"/>
          <w:szCs w:val="22"/>
        </w:rPr>
      </w:pPr>
      <w:hyperlink w:anchor="_Toc116041910" w:history="1">
        <w:r w:rsidR="00EF23CB" w:rsidRPr="00F65040">
          <w:rPr>
            <w:rStyle w:val="Hyperlink"/>
          </w:rPr>
          <w:t>Saudi Arabia</w:t>
        </w:r>
        <w:r w:rsidR="00EF23CB">
          <w:rPr>
            <w:webHidden/>
          </w:rPr>
          <w:tab/>
        </w:r>
        <w:r w:rsidR="00EF23CB">
          <w:rPr>
            <w:webHidden/>
          </w:rPr>
          <w:fldChar w:fldCharType="begin"/>
        </w:r>
        <w:r w:rsidR="00EF23CB">
          <w:rPr>
            <w:webHidden/>
          </w:rPr>
          <w:instrText xml:space="preserve"> PAGEREF _Toc116041910 \h </w:instrText>
        </w:r>
        <w:r w:rsidR="00EF23CB">
          <w:rPr>
            <w:webHidden/>
          </w:rPr>
        </w:r>
        <w:r w:rsidR="00EF23CB">
          <w:rPr>
            <w:webHidden/>
          </w:rPr>
          <w:fldChar w:fldCharType="separate"/>
        </w:r>
        <w:r w:rsidR="009C0E98">
          <w:rPr>
            <w:webHidden/>
          </w:rPr>
          <w:t>54</w:t>
        </w:r>
        <w:r w:rsidR="00EF23CB">
          <w:rPr>
            <w:webHidden/>
          </w:rPr>
          <w:fldChar w:fldCharType="end"/>
        </w:r>
      </w:hyperlink>
    </w:p>
    <w:p w14:paraId="2529F83A" w14:textId="5A91DD2F" w:rsidR="00EF23CB" w:rsidRDefault="009C479C">
      <w:pPr>
        <w:pStyle w:val="TOC2"/>
        <w:rPr>
          <w:rFonts w:asciiTheme="minorHAnsi" w:eastAsiaTheme="minorEastAsia" w:hAnsiTheme="minorHAnsi" w:cstheme="minorBidi"/>
          <w:spacing w:val="0"/>
          <w:sz w:val="22"/>
          <w:szCs w:val="22"/>
        </w:rPr>
      </w:pPr>
      <w:hyperlink w:anchor="_Toc116041911" w:history="1">
        <w:r w:rsidR="00EF23CB" w:rsidRPr="00F65040">
          <w:rPr>
            <w:rStyle w:val="Hyperlink"/>
          </w:rPr>
          <w:t>Brazil</w:t>
        </w:r>
        <w:r w:rsidR="00EF23CB">
          <w:rPr>
            <w:webHidden/>
          </w:rPr>
          <w:tab/>
        </w:r>
        <w:r w:rsidR="00EF23CB">
          <w:rPr>
            <w:webHidden/>
          </w:rPr>
          <w:tab/>
        </w:r>
        <w:r w:rsidR="00EF23CB">
          <w:rPr>
            <w:webHidden/>
          </w:rPr>
          <w:fldChar w:fldCharType="begin"/>
        </w:r>
        <w:r w:rsidR="00EF23CB">
          <w:rPr>
            <w:webHidden/>
          </w:rPr>
          <w:instrText xml:space="preserve"> PAGEREF _Toc116041911 \h </w:instrText>
        </w:r>
        <w:r w:rsidR="00EF23CB">
          <w:rPr>
            <w:webHidden/>
          </w:rPr>
        </w:r>
        <w:r w:rsidR="00EF23CB">
          <w:rPr>
            <w:webHidden/>
          </w:rPr>
          <w:fldChar w:fldCharType="separate"/>
        </w:r>
        <w:r w:rsidR="009C0E98">
          <w:rPr>
            <w:webHidden/>
          </w:rPr>
          <w:t>54</w:t>
        </w:r>
        <w:r w:rsidR="00EF23CB">
          <w:rPr>
            <w:webHidden/>
          </w:rPr>
          <w:fldChar w:fldCharType="end"/>
        </w:r>
      </w:hyperlink>
    </w:p>
    <w:p w14:paraId="56247D85" w14:textId="17B45BDE" w:rsidR="00EF23CB" w:rsidRDefault="009C479C">
      <w:pPr>
        <w:pStyle w:val="TOC2"/>
        <w:rPr>
          <w:rFonts w:asciiTheme="minorHAnsi" w:eastAsiaTheme="minorEastAsia" w:hAnsiTheme="minorHAnsi" w:cstheme="minorBidi"/>
          <w:spacing w:val="0"/>
          <w:sz w:val="22"/>
          <w:szCs w:val="22"/>
        </w:rPr>
      </w:pPr>
      <w:hyperlink w:anchor="_Toc116041912" w:history="1">
        <w:r w:rsidR="00EF23CB" w:rsidRPr="00F65040">
          <w:rPr>
            <w:rStyle w:val="Hyperlink"/>
          </w:rPr>
          <w:t>CEPT/ECC</w:t>
        </w:r>
        <w:r w:rsidR="00EF23CB">
          <w:rPr>
            <w:webHidden/>
          </w:rPr>
          <w:tab/>
        </w:r>
        <w:r w:rsidR="00EF23CB">
          <w:rPr>
            <w:webHidden/>
          </w:rPr>
          <w:fldChar w:fldCharType="begin"/>
        </w:r>
        <w:r w:rsidR="00EF23CB">
          <w:rPr>
            <w:webHidden/>
          </w:rPr>
          <w:instrText xml:space="preserve"> PAGEREF _Toc116041912 \h </w:instrText>
        </w:r>
        <w:r w:rsidR="00EF23CB">
          <w:rPr>
            <w:webHidden/>
          </w:rPr>
        </w:r>
        <w:r w:rsidR="00EF23CB">
          <w:rPr>
            <w:webHidden/>
          </w:rPr>
          <w:fldChar w:fldCharType="separate"/>
        </w:r>
        <w:r w:rsidR="009C0E98">
          <w:rPr>
            <w:webHidden/>
          </w:rPr>
          <w:t>55</w:t>
        </w:r>
        <w:r w:rsidR="00EF23CB">
          <w:rPr>
            <w:webHidden/>
          </w:rPr>
          <w:fldChar w:fldCharType="end"/>
        </w:r>
      </w:hyperlink>
    </w:p>
    <w:p w14:paraId="50F036D9" w14:textId="799B030C" w:rsidR="00EF23CB" w:rsidRDefault="009C479C">
      <w:pPr>
        <w:pStyle w:val="TOC2"/>
        <w:rPr>
          <w:rFonts w:asciiTheme="minorHAnsi" w:eastAsiaTheme="minorEastAsia" w:hAnsiTheme="minorHAnsi" w:cstheme="minorBidi"/>
          <w:spacing w:val="0"/>
          <w:sz w:val="22"/>
          <w:szCs w:val="22"/>
        </w:rPr>
      </w:pPr>
      <w:hyperlink w:anchor="_Toc116041913" w:history="1">
        <w:r w:rsidR="00EF23CB" w:rsidRPr="00F65040">
          <w:rPr>
            <w:rStyle w:val="Hyperlink"/>
          </w:rPr>
          <w:t>ICAO/FSMP</w:t>
        </w:r>
        <w:r w:rsidR="00EF23CB">
          <w:rPr>
            <w:webHidden/>
          </w:rPr>
          <w:tab/>
        </w:r>
        <w:r w:rsidR="00EF23CB">
          <w:rPr>
            <w:webHidden/>
          </w:rPr>
          <w:fldChar w:fldCharType="begin"/>
        </w:r>
        <w:r w:rsidR="00EF23CB">
          <w:rPr>
            <w:webHidden/>
          </w:rPr>
          <w:instrText xml:space="preserve"> PAGEREF _Toc116041913 \h </w:instrText>
        </w:r>
        <w:r w:rsidR="00EF23CB">
          <w:rPr>
            <w:webHidden/>
          </w:rPr>
        </w:r>
        <w:r w:rsidR="00EF23CB">
          <w:rPr>
            <w:webHidden/>
          </w:rPr>
          <w:fldChar w:fldCharType="separate"/>
        </w:r>
        <w:r w:rsidR="009C0E98">
          <w:rPr>
            <w:webHidden/>
          </w:rPr>
          <w:t>57</w:t>
        </w:r>
        <w:r w:rsidR="00EF23CB">
          <w:rPr>
            <w:webHidden/>
          </w:rPr>
          <w:fldChar w:fldCharType="end"/>
        </w:r>
      </w:hyperlink>
    </w:p>
    <w:p w14:paraId="2A751360" w14:textId="4B075970" w:rsidR="00EF23CB" w:rsidRDefault="009C479C">
      <w:pPr>
        <w:pStyle w:val="TOC2"/>
        <w:rPr>
          <w:rFonts w:asciiTheme="minorHAnsi" w:eastAsiaTheme="minorEastAsia" w:hAnsiTheme="minorHAnsi" w:cstheme="minorBidi"/>
          <w:spacing w:val="0"/>
          <w:sz w:val="22"/>
          <w:szCs w:val="22"/>
        </w:rPr>
      </w:pPr>
      <w:hyperlink w:anchor="_Toc116041914" w:history="1">
        <w:r w:rsidR="00EF23CB" w:rsidRPr="00F65040">
          <w:rPr>
            <w:rStyle w:val="Hyperlink"/>
          </w:rPr>
          <w:t>IATA</w:t>
        </w:r>
        <w:r w:rsidR="00EF23CB">
          <w:rPr>
            <w:webHidden/>
          </w:rPr>
          <w:tab/>
        </w:r>
        <w:r w:rsidR="00EF23CB">
          <w:rPr>
            <w:webHidden/>
          </w:rPr>
          <w:tab/>
        </w:r>
        <w:r w:rsidR="00EF23CB">
          <w:rPr>
            <w:webHidden/>
          </w:rPr>
          <w:fldChar w:fldCharType="begin"/>
        </w:r>
        <w:r w:rsidR="00EF23CB">
          <w:rPr>
            <w:webHidden/>
          </w:rPr>
          <w:instrText xml:space="preserve"> PAGEREF _Toc116041914 \h </w:instrText>
        </w:r>
        <w:r w:rsidR="00EF23CB">
          <w:rPr>
            <w:webHidden/>
          </w:rPr>
        </w:r>
        <w:r w:rsidR="00EF23CB">
          <w:rPr>
            <w:webHidden/>
          </w:rPr>
          <w:fldChar w:fldCharType="separate"/>
        </w:r>
        <w:r w:rsidR="009C0E98">
          <w:rPr>
            <w:webHidden/>
          </w:rPr>
          <w:t>60</w:t>
        </w:r>
        <w:r w:rsidR="00EF23CB">
          <w:rPr>
            <w:webHidden/>
          </w:rPr>
          <w:fldChar w:fldCharType="end"/>
        </w:r>
      </w:hyperlink>
    </w:p>
    <w:p w14:paraId="68751CF8" w14:textId="18595CFC" w:rsidR="00EF23CB" w:rsidRDefault="009C479C">
      <w:pPr>
        <w:pStyle w:val="TOC2"/>
        <w:rPr>
          <w:rFonts w:asciiTheme="minorHAnsi" w:eastAsiaTheme="minorEastAsia" w:hAnsiTheme="minorHAnsi" w:cstheme="minorBidi"/>
          <w:spacing w:val="0"/>
          <w:sz w:val="22"/>
          <w:szCs w:val="22"/>
        </w:rPr>
      </w:pPr>
      <w:hyperlink w:anchor="_Toc116041915" w:history="1">
        <w:r w:rsidR="00EF23CB" w:rsidRPr="00F65040">
          <w:rPr>
            <w:rStyle w:val="Hyperlink"/>
          </w:rPr>
          <w:t>RTCA/AVSI</w:t>
        </w:r>
        <w:r w:rsidR="00EF23CB">
          <w:rPr>
            <w:webHidden/>
          </w:rPr>
          <w:tab/>
        </w:r>
        <w:r w:rsidR="00EF23CB">
          <w:rPr>
            <w:webHidden/>
          </w:rPr>
          <w:fldChar w:fldCharType="begin"/>
        </w:r>
        <w:r w:rsidR="00EF23CB">
          <w:rPr>
            <w:webHidden/>
          </w:rPr>
          <w:instrText xml:space="preserve"> PAGEREF _Toc116041915 \h </w:instrText>
        </w:r>
        <w:r w:rsidR="00EF23CB">
          <w:rPr>
            <w:webHidden/>
          </w:rPr>
        </w:r>
        <w:r w:rsidR="00EF23CB">
          <w:rPr>
            <w:webHidden/>
          </w:rPr>
          <w:fldChar w:fldCharType="separate"/>
        </w:r>
        <w:r w:rsidR="009C0E98">
          <w:rPr>
            <w:webHidden/>
          </w:rPr>
          <w:t>60</w:t>
        </w:r>
        <w:r w:rsidR="00EF23CB">
          <w:rPr>
            <w:webHidden/>
          </w:rPr>
          <w:fldChar w:fldCharType="end"/>
        </w:r>
      </w:hyperlink>
    </w:p>
    <w:p w14:paraId="6FE540CA" w14:textId="358F69F0" w:rsidR="00EF23CB" w:rsidRDefault="009C479C">
      <w:pPr>
        <w:pStyle w:val="TOC1"/>
        <w:rPr>
          <w:rFonts w:asciiTheme="minorHAnsi" w:eastAsiaTheme="minorEastAsia" w:hAnsiTheme="minorHAnsi" w:cstheme="minorBidi"/>
          <w:b w:val="0"/>
          <w:spacing w:val="0"/>
          <w:sz w:val="22"/>
          <w:szCs w:val="22"/>
        </w:rPr>
      </w:pPr>
      <w:hyperlink w:anchor="_Toc116041916" w:history="1">
        <w:r w:rsidR="00EF23CB" w:rsidRPr="00F65040">
          <w:rPr>
            <w:rStyle w:val="Hyperlink"/>
          </w:rPr>
          <w:t>8.</w:t>
        </w:r>
        <w:r w:rsidR="00EF23CB">
          <w:rPr>
            <w:rFonts w:asciiTheme="minorHAnsi" w:eastAsiaTheme="minorEastAsia" w:hAnsiTheme="minorHAnsi" w:cstheme="minorBidi"/>
            <w:b w:val="0"/>
            <w:spacing w:val="0"/>
            <w:sz w:val="22"/>
            <w:szCs w:val="22"/>
          </w:rPr>
          <w:tab/>
        </w:r>
        <w:r w:rsidR="00EF23CB" w:rsidRPr="00F65040">
          <w:rPr>
            <w:rStyle w:val="Hyperlink"/>
          </w:rPr>
          <w:t>Appendix D: Development of proposed interim mitigations</w:t>
        </w:r>
        <w:r w:rsidR="00EF23CB">
          <w:rPr>
            <w:webHidden/>
          </w:rPr>
          <w:tab/>
        </w:r>
        <w:r w:rsidR="00EF23CB">
          <w:rPr>
            <w:webHidden/>
          </w:rPr>
          <w:fldChar w:fldCharType="begin"/>
        </w:r>
        <w:r w:rsidR="00EF23CB">
          <w:rPr>
            <w:webHidden/>
          </w:rPr>
          <w:instrText xml:space="preserve"> PAGEREF _Toc116041916 \h </w:instrText>
        </w:r>
        <w:r w:rsidR="00EF23CB">
          <w:rPr>
            <w:webHidden/>
          </w:rPr>
        </w:r>
        <w:r w:rsidR="00EF23CB">
          <w:rPr>
            <w:webHidden/>
          </w:rPr>
          <w:fldChar w:fldCharType="separate"/>
        </w:r>
        <w:r w:rsidR="009C0E98">
          <w:rPr>
            <w:webHidden/>
          </w:rPr>
          <w:t>62</w:t>
        </w:r>
        <w:r w:rsidR="00EF23CB">
          <w:rPr>
            <w:webHidden/>
          </w:rPr>
          <w:fldChar w:fldCharType="end"/>
        </w:r>
      </w:hyperlink>
    </w:p>
    <w:p w14:paraId="48F37866" w14:textId="7F64426B" w:rsidR="00EF23CB" w:rsidRDefault="009C479C">
      <w:pPr>
        <w:pStyle w:val="TOC2"/>
        <w:rPr>
          <w:rFonts w:asciiTheme="minorHAnsi" w:eastAsiaTheme="minorEastAsia" w:hAnsiTheme="minorHAnsi" w:cstheme="minorBidi"/>
          <w:spacing w:val="0"/>
          <w:sz w:val="22"/>
          <w:szCs w:val="22"/>
        </w:rPr>
      </w:pPr>
      <w:hyperlink w:anchor="_Toc116041917" w:history="1">
        <w:r w:rsidR="00EF23CB" w:rsidRPr="00F65040">
          <w:rPr>
            <w:rStyle w:val="Hyperlink"/>
          </w:rPr>
          <w:t>Summary</w:t>
        </w:r>
        <w:r w:rsidR="00EF23CB">
          <w:rPr>
            <w:webHidden/>
          </w:rPr>
          <w:tab/>
        </w:r>
        <w:r w:rsidR="00EF23CB">
          <w:rPr>
            <w:webHidden/>
          </w:rPr>
          <w:fldChar w:fldCharType="begin"/>
        </w:r>
        <w:r w:rsidR="00EF23CB">
          <w:rPr>
            <w:webHidden/>
          </w:rPr>
          <w:instrText xml:space="preserve"> PAGEREF _Toc116041917 \h </w:instrText>
        </w:r>
        <w:r w:rsidR="00EF23CB">
          <w:rPr>
            <w:webHidden/>
          </w:rPr>
        </w:r>
        <w:r w:rsidR="00EF23CB">
          <w:rPr>
            <w:webHidden/>
          </w:rPr>
          <w:fldChar w:fldCharType="separate"/>
        </w:r>
        <w:r w:rsidR="009C0E98">
          <w:rPr>
            <w:webHidden/>
          </w:rPr>
          <w:t>62</w:t>
        </w:r>
        <w:r w:rsidR="00EF23CB">
          <w:rPr>
            <w:webHidden/>
          </w:rPr>
          <w:fldChar w:fldCharType="end"/>
        </w:r>
      </w:hyperlink>
    </w:p>
    <w:p w14:paraId="3F5EB400" w14:textId="0D387815" w:rsidR="00EF23CB" w:rsidRDefault="009C479C">
      <w:pPr>
        <w:pStyle w:val="TOC2"/>
        <w:rPr>
          <w:rFonts w:asciiTheme="minorHAnsi" w:eastAsiaTheme="minorEastAsia" w:hAnsiTheme="minorHAnsi" w:cstheme="minorBidi"/>
          <w:spacing w:val="0"/>
          <w:sz w:val="22"/>
          <w:szCs w:val="22"/>
        </w:rPr>
      </w:pPr>
      <w:hyperlink w:anchor="_Toc116041918" w:history="1">
        <w:r w:rsidR="00EF23CB" w:rsidRPr="00F65040">
          <w:rPr>
            <w:rStyle w:val="Hyperlink"/>
          </w:rPr>
          <w:t>Airport Mitigations</w:t>
        </w:r>
        <w:r w:rsidR="00EF23CB">
          <w:rPr>
            <w:webHidden/>
          </w:rPr>
          <w:tab/>
        </w:r>
        <w:r w:rsidR="00EF23CB">
          <w:rPr>
            <w:webHidden/>
          </w:rPr>
          <w:fldChar w:fldCharType="begin"/>
        </w:r>
        <w:r w:rsidR="00EF23CB">
          <w:rPr>
            <w:webHidden/>
          </w:rPr>
          <w:instrText xml:space="preserve"> PAGEREF _Toc116041918 \h </w:instrText>
        </w:r>
        <w:r w:rsidR="00EF23CB">
          <w:rPr>
            <w:webHidden/>
          </w:rPr>
        </w:r>
        <w:r w:rsidR="00EF23CB">
          <w:rPr>
            <w:webHidden/>
          </w:rPr>
          <w:fldChar w:fldCharType="separate"/>
        </w:r>
        <w:r w:rsidR="009C0E98">
          <w:rPr>
            <w:webHidden/>
          </w:rPr>
          <w:t>62</w:t>
        </w:r>
        <w:r w:rsidR="00EF23CB">
          <w:rPr>
            <w:webHidden/>
          </w:rPr>
          <w:fldChar w:fldCharType="end"/>
        </w:r>
      </w:hyperlink>
    </w:p>
    <w:p w14:paraId="2F2C40C3" w14:textId="653BBBDD" w:rsidR="00EF23CB" w:rsidRDefault="009C479C">
      <w:pPr>
        <w:pStyle w:val="TOC2"/>
        <w:rPr>
          <w:rFonts w:asciiTheme="minorHAnsi" w:eastAsiaTheme="minorEastAsia" w:hAnsiTheme="minorHAnsi" w:cstheme="minorBidi"/>
          <w:spacing w:val="0"/>
          <w:sz w:val="22"/>
          <w:szCs w:val="22"/>
        </w:rPr>
      </w:pPr>
      <w:hyperlink w:anchor="_Toc116041919" w:history="1">
        <w:r w:rsidR="00EF23CB" w:rsidRPr="00F65040">
          <w:rPr>
            <w:rStyle w:val="Hyperlink"/>
          </w:rPr>
          <w:t>Overview</w:t>
        </w:r>
        <w:r w:rsidR="00EF23CB">
          <w:rPr>
            <w:webHidden/>
          </w:rPr>
          <w:tab/>
        </w:r>
        <w:r w:rsidR="00EF23CB">
          <w:rPr>
            <w:webHidden/>
          </w:rPr>
          <w:fldChar w:fldCharType="begin"/>
        </w:r>
        <w:r w:rsidR="00EF23CB">
          <w:rPr>
            <w:webHidden/>
          </w:rPr>
          <w:instrText xml:space="preserve"> PAGEREF _Toc116041919 \h </w:instrText>
        </w:r>
        <w:r w:rsidR="00EF23CB">
          <w:rPr>
            <w:webHidden/>
          </w:rPr>
        </w:r>
        <w:r w:rsidR="00EF23CB">
          <w:rPr>
            <w:webHidden/>
          </w:rPr>
          <w:fldChar w:fldCharType="separate"/>
        </w:r>
        <w:r w:rsidR="009C0E98">
          <w:rPr>
            <w:webHidden/>
          </w:rPr>
          <w:t>62</w:t>
        </w:r>
        <w:r w:rsidR="00EF23CB">
          <w:rPr>
            <w:webHidden/>
          </w:rPr>
          <w:fldChar w:fldCharType="end"/>
        </w:r>
      </w:hyperlink>
    </w:p>
    <w:p w14:paraId="4FBD4DBC" w14:textId="6C6BF00A" w:rsidR="00EF23CB" w:rsidRDefault="009C479C">
      <w:pPr>
        <w:pStyle w:val="TOC2"/>
        <w:rPr>
          <w:rFonts w:asciiTheme="minorHAnsi" w:eastAsiaTheme="minorEastAsia" w:hAnsiTheme="minorHAnsi" w:cstheme="minorBidi"/>
          <w:spacing w:val="0"/>
          <w:sz w:val="22"/>
          <w:szCs w:val="22"/>
        </w:rPr>
      </w:pPr>
      <w:hyperlink w:anchor="_Toc116041920" w:history="1">
        <w:r w:rsidR="00EF23CB" w:rsidRPr="00F65040">
          <w:rPr>
            <w:rStyle w:val="Hyperlink"/>
          </w:rPr>
          <w:t>Methodology</w:t>
        </w:r>
        <w:r w:rsidR="00EF23CB">
          <w:rPr>
            <w:webHidden/>
          </w:rPr>
          <w:tab/>
        </w:r>
        <w:r w:rsidR="00EF23CB">
          <w:rPr>
            <w:webHidden/>
          </w:rPr>
          <w:fldChar w:fldCharType="begin"/>
        </w:r>
        <w:r w:rsidR="00EF23CB">
          <w:rPr>
            <w:webHidden/>
          </w:rPr>
          <w:instrText xml:space="preserve"> PAGEREF _Toc116041920 \h </w:instrText>
        </w:r>
        <w:r w:rsidR="00EF23CB">
          <w:rPr>
            <w:webHidden/>
          </w:rPr>
        </w:r>
        <w:r w:rsidR="00EF23CB">
          <w:rPr>
            <w:webHidden/>
          </w:rPr>
          <w:fldChar w:fldCharType="separate"/>
        </w:r>
        <w:r w:rsidR="009C0E98">
          <w:rPr>
            <w:webHidden/>
          </w:rPr>
          <w:t>63</w:t>
        </w:r>
        <w:r w:rsidR="00EF23CB">
          <w:rPr>
            <w:webHidden/>
          </w:rPr>
          <w:fldChar w:fldCharType="end"/>
        </w:r>
      </w:hyperlink>
    </w:p>
    <w:p w14:paraId="2C5BF76B" w14:textId="72F9076D" w:rsidR="00EF23CB" w:rsidRDefault="009C479C">
      <w:pPr>
        <w:pStyle w:val="TOC2"/>
        <w:rPr>
          <w:rFonts w:asciiTheme="minorHAnsi" w:eastAsiaTheme="minorEastAsia" w:hAnsiTheme="minorHAnsi" w:cstheme="minorBidi"/>
          <w:spacing w:val="0"/>
          <w:sz w:val="22"/>
          <w:szCs w:val="22"/>
        </w:rPr>
      </w:pPr>
      <w:hyperlink w:anchor="_Toc116041921" w:history="1">
        <w:r w:rsidR="00EF23CB" w:rsidRPr="00F65040">
          <w:rPr>
            <w:rStyle w:val="Hyperlink"/>
          </w:rPr>
          <w:t>Application of methodology to the Australian environment</w:t>
        </w:r>
        <w:r w:rsidR="00EF23CB">
          <w:rPr>
            <w:webHidden/>
          </w:rPr>
          <w:tab/>
        </w:r>
        <w:r w:rsidR="00EF23CB">
          <w:rPr>
            <w:webHidden/>
          </w:rPr>
          <w:fldChar w:fldCharType="begin"/>
        </w:r>
        <w:r w:rsidR="00EF23CB">
          <w:rPr>
            <w:webHidden/>
          </w:rPr>
          <w:instrText xml:space="preserve"> PAGEREF _Toc116041921 \h </w:instrText>
        </w:r>
        <w:r w:rsidR="00EF23CB">
          <w:rPr>
            <w:webHidden/>
          </w:rPr>
        </w:r>
        <w:r w:rsidR="00EF23CB">
          <w:rPr>
            <w:webHidden/>
          </w:rPr>
          <w:fldChar w:fldCharType="separate"/>
        </w:r>
        <w:r w:rsidR="009C0E98">
          <w:rPr>
            <w:webHidden/>
          </w:rPr>
          <w:t>67</w:t>
        </w:r>
        <w:r w:rsidR="00EF23CB">
          <w:rPr>
            <w:webHidden/>
          </w:rPr>
          <w:fldChar w:fldCharType="end"/>
        </w:r>
      </w:hyperlink>
    </w:p>
    <w:p w14:paraId="5F2FA0B5" w14:textId="266B1E15" w:rsidR="00EF23CB" w:rsidRDefault="009C479C">
      <w:pPr>
        <w:pStyle w:val="TOC2"/>
        <w:rPr>
          <w:rFonts w:asciiTheme="minorHAnsi" w:eastAsiaTheme="minorEastAsia" w:hAnsiTheme="minorHAnsi" w:cstheme="minorBidi"/>
          <w:spacing w:val="0"/>
          <w:sz w:val="22"/>
          <w:szCs w:val="22"/>
        </w:rPr>
      </w:pPr>
      <w:hyperlink w:anchor="_Toc116041922" w:history="1">
        <w:r w:rsidR="00EF23CB" w:rsidRPr="00F65040">
          <w:rPr>
            <w:rStyle w:val="Hyperlink"/>
          </w:rPr>
          <w:t>Comparison with French and Canadian results</w:t>
        </w:r>
        <w:r w:rsidR="00EF23CB">
          <w:rPr>
            <w:webHidden/>
          </w:rPr>
          <w:tab/>
        </w:r>
        <w:r w:rsidR="00EF23CB">
          <w:rPr>
            <w:webHidden/>
          </w:rPr>
          <w:fldChar w:fldCharType="begin"/>
        </w:r>
        <w:r w:rsidR="00EF23CB">
          <w:rPr>
            <w:webHidden/>
          </w:rPr>
          <w:instrText xml:space="preserve"> PAGEREF _Toc116041922 \h </w:instrText>
        </w:r>
        <w:r w:rsidR="00EF23CB">
          <w:rPr>
            <w:webHidden/>
          </w:rPr>
        </w:r>
        <w:r w:rsidR="00EF23CB">
          <w:rPr>
            <w:webHidden/>
          </w:rPr>
          <w:fldChar w:fldCharType="separate"/>
        </w:r>
        <w:r w:rsidR="009C0E98">
          <w:rPr>
            <w:webHidden/>
          </w:rPr>
          <w:t>77</w:t>
        </w:r>
        <w:r w:rsidR="00EF23CB">
          <w:rPr>
            <w:webHidden/>
          </w:rPr>
          <w:fldChar w:fldCharType="end"/>
        </w:r>
      </w:hyperlink>
    </w:p>
    <w:p w14:paraId="41351B9E" w14:textId="6FCFAC5C" w:rsidR="00EF23CB" w:rsidRDefault="009C479C">
      <w:pPr>
        <w:pStyle w:val="TOC2"/>
        <w:rPr>
          <w:rFonts w:asciiTheme="minorHAnsi" w:eastAsiaTheme="minorEastAsia" w:hAnsiTheme="minorHAnsi" w:cstheme="minorBidi"/>
          <w:spacing w:val="0"/>
          <w:sz w:val="22"/>
          <w:szCs w:val="22"/>
        </w:rPr>
      </w:pPr>
      <w:hyperlink w:anchor="_Toc116041923" w:history="1">
        <w:r w:rsidR="00EF23CB" w:rsidRPr="00F65040">
          <w:rPr>
            <w:rStyle w:val="Hyperlink"/>
          </w:rPr>
          <w:t>General mitigations</w:t>
        </w:r>
        <w:r w:rsidR="00EF23CB">
          <w:rPr>
            <w:webHidden/>
          </w:rPr>
          <w:tab/>
        </w:r>
        <w:r w:rsidR="00EF23CB">
          <w:rPr>
            <w:webHidden/>
          </w:rPr>
          <w:fldChar w:fldCharType="begin"/>
        </w:r>
        <w:r w:rsidR="00EF23CB">
          <w:rPr>
            <w:webHidden/>
          </w:rPr>
          <w:instrText xml:space="preserve"> PAGEREF _Toc116041923 \h </w:instrText>
        </w:r>
        <w:r w:rsidR="00EF23CB">
          <w:rPr>
            <w:webHidden/>
          </w:rPr>
        </w:r>
        <w:r w:rsidR="00EF23CB">
          <w:rPr>
            <w:webHidden/>
          </w:rPr>
          <w:fldChar w:fldCharType="separate"/>
        </w:r>
        <w:r w:rsidR="009C0E98">
          <w:rPr>
            <w:webHidden/>
          </w:rPr>
          <w:t>82</w:t>
        </w:r>
        <w:r w:rsidR="00EF23CB">
          <w:rPr>
            <w:webHidden/>
          </w:rPr>
          <w:fldChar w:fldCharType="end"/>
        </w:r>
      </w:hyperlink>
    </w:p>
    <w:p w14:paraId="2D714A66" w14:textId="5C0530C9" w:rsidR="00EF23CB" w:rsidRDefault="009C479C">
      <w:pPr>
        <w:pStyle w:val="TOC2"/>
        <w:rPr>
          <w:rFonts w:asciiTheme="minorHAnsi" w:eastAsiaTheme="minorEastAsia" w:hAnsiTheme="minorHAnsi" w:cstheme="minorBidi"/>
          <w:spacing w:val="0"/>
          <w:sz w:val="22"/>
          <w:szCs w:val="22"/>
        </w:rPr>
      </w:pPr>
      <w:hyperlink w:anchor="_Toc116041924" w:history="1">
        <w:r w:rsidR="00EF23CB" w:rsidRPr="00F65040">
          <w:rPr>
            <w:rStyle w:val="Hyperlink"/>
          </w:rPr>
          <w:t>Summary of determined mitigations</w:t>
        </w:r>
        <w:r w:rsidR="00EF23CB">
          <w:rPr>
            <w:webHidden/>
          </w:rPr>
          <w:tab/>
        </w:r>
        <w:r w:rsidR="00EF23CB">
          <w:rPr>
            <w:webHidden/>
          </w:rPr>
          <w:fldChar w:fldCharType="begin"/>
        </w:r>
        <w:r w:rsidR="00EF23CB">
          <w:rPr>
            <w:webHidden/>
          </w:rPr>
          <w:instrText xml:space="preserve"> PAGEREF _Toc116041924 \h </w:instrText>
        </w:r>
        <w:r w:rsidR="00EF23CB">
          <w:rPr>
            <w:webHidden/>
          </w:rPr>
        </w:r>
        <w:r w:rsidR="00EF23CB">
          <w:rPr>
            <w:webHidden/>
          </w:rPr>
          <w:fldChar w:fldCharType="separate"/>
        </w:r>
        <w:r w:rsidR="009C0E98">
          <w:rPr>
            <w:webHidden/>
          </w:rPr>
          <w:t>89</w:t>
        </w:r>
        <w:r w:rsidR="00EF23CB">
          <w:rPr>
            <w:webHidden/>
          </w:rPr>
          <w:fldChar w:fldCharType="end"/>
        </w:r>
      </w:hyperlink>
    </w:p>
    <w:p w14:paraId="6E400843" w14:textId="4335C264" w:rsidR="00EF23CB" w:rsidRDefault="009C479C">
      <w:pPr>
        <w:pStyle w:val="TOC2"/>
        <w:rPr>
          <w:rFonts w:asciiTheme="minorHAnsi" w:eastAsiaTheme="minorEastAsia" w:hAnsiTheme="minorHAnsi" w:cstheme="minorBidi"/>
          <w:spacing w:val="0"/>
          <w:sz w:val="22"/>
          <w:szCs w:val="22"/>
        </w:rPr>
      </w:pPr>
      <w:hyperlink w:anchor="_Toc116041925" w:history="1">
        <w:r w:rsidR="00EF23CB" w:rsidRPr="00F65040">
          <w:rPr>
            <w:rStyle w:val="Hyperlink"/>
          </w:rPr>
          <w:t>Frequency Boundary for mitigations</w:t>
        </w:r>
        <w:r w:rsidR="00EF23CB">
          <w:rPr>
            <w:webHidden/>
          </w:rPr>
          <w:tab/>
        </w:r>
        <w:r w:rsidR="00EF23CB">
          <w:rPr>
            <w:webHidden/>
          </w:rPr>
          <w:fldChar w:fldCharType="begin"/>
        </w:r>
        <w:r w:rsidR="00EF23CB">
          <w:rPr>
            <w:webHidden/>
          </w:rPr>
          <w:instrText xml:space="preserve"> PAGEREF _Toc116041925 \h </w:instrText>
        </w:r>
        <w:r w:rsidR="00EF23CB">
          <w:rPr>
            <w:webHidden/>
          </w:rPr>
        </w:r>
        <w:r w:rsidR="00EF23CB">
          <w:rPr>
            <w:webHidden/>
          </w:rPr>
          <w:fldChar w:fldCharType="separate"/>
        </w:r>
        <w:r w:rsidR="009C0E98">
          <w:rPr>
            <w:webHidden/>
          </w:rPr>
          <w:t>93</w:t>
        </w:r>
        <w:r w:rsidR="00EF23CB">
          <w:rPr>
            <w:webHidden/>
          </w:rPr>
          <w:fldChar w:fldCharType="end"/>
        </w:r>
      </w:hyperlink>
    </w:p>
    <w:p w14:paraId="2989F10C" w14:textId="481E81E8" w:rsidR="00EF23CB" w:rsidRDefault="009C479C">
      <w:pPr>
        <w:pStyle w:val="TOC1"/>
        <w:rPr>
          <w:rFonts w:asciiTheme="minorHAnsi" w:eastAsiaTheme="minorEastAsia" w:hAnsiTheme="minorHAnsi" w:cstheme="minorBidi"/>
          <w:b w:val="0"/>
          <w:spacing w:val="0"/>
          <w:sz w:val="22"/>
          <w:szCs w:val="22"/>
        </w:rPr>
      </w:pPr>
      <w:hyperlink w:anchor="_Toc116041926" w:history="1">
        <w:r w:rsidR="00EF23CB" w:rsidRPr="00F65040">
          <w:rPr>
            <w:rStyle w:val="Hyperlink"/>
          </w:rPr>
          <w:t>9.</w:t>
        </w:r>
        <w:r w:rsidR="00EF23CB">
          <w:rPr>
            <w:rFonts w:asciiTheme="minorHAnsi" w:eastAsiaTheme="minorEastAsia" w:hAnsiTheme="minorHAnsi" w:cstheme="minorBidi"/>
            <w:b w:val="0"/>
            <w:spacing w:val="0"/>
            <w:sz w:val="22"/>
            <w:szCs w:val="22"/>
          </w:rPr>
          <w:tab/>
        </w:r>
        <w:r w:rsidR="00EF23CB" w:rsidRPr="00F65040">
          <w:rPr>
            <w:rStyle w:val="Hyperlink"/>
          </w:rPr>
          <w:t>Appendix E: Historical Australian WBB deployments</w:t>
        </w:r>
        <w:r w:rsidR="00EF23CB">
          <w:rPr>
            <w:webHidden/>
          </w:rPr>
          <w:tab/>
        </w:r>
        <w:r w:rsidR="00EF23CB">
          <w:rPr>
            <w:webHidden/>
          </w:rPr>
          <w:fldChar w:fldCharType="begin"/>
        </w:r>
        <w:r w:rsidR="00EF23CB">
          <w:rPr>
            <w:webHidden/>
          </w:rPr>
          <w:instrText xml:space="preserve"> PAGEREF _Toc116041926 \h </w:instrText>
        </w:r>
        <w:r w:rsidR="00EF23CB">
          <w:rPr>
            <w:webHidden/>
          </w:rPr>
        </w:r>
        <w:r w:rsidR="00EF23CB">
          <w:rPr>
            <w:webHidden/>
          </w:rPr>
          <w:fldChar w:fldCharType="separate"/>
        </w:r>
        <w:r w:rsidR="009C0E98">
          <w:rPr>
            <w:webHidden/>
          </w:rPr>
          <w:t>94</w:t>
        </w:r>
        <w:r w:rsidR="00EF23CB">
          <w:rPr>
            <w:webHidden/>
          </w:rPr>
          <w:fldChar w:fldCharType="end"/>
        </w:r>
      </w:hyperlink>
    </w:p>
    <w:p w14:paraId="2BF112D5" w14:textId="71BD08FD" w:rsidR="00EF23CB" w:rsidRDefault="009C479C">
      <w:pPr>
        <w:pStyle w:val="TOC2"/>
        <w:rPr>
          <w:rFonts w:asciiTheme="minorHAnsi" w:eastAsiaTheme="minorEastAsia" w:hAnsiTheme="minorHAnsi" w:cstheme="minorBidi"/>
          <w:spacing w:val="0"/>
          <w:sz w:val="22"/>
          <w:szCs w:val="22"/>
        </w:rPr>
      </w:pPr>
      <w:hyperlink w:anchor="_Toc116041927" w:history="1">
        <w:r w:rsidR="00EF23CB" w:rsidRPr="00F65040">
          <w:rPr>
            <w:rStyle w:val="Hyperlink"/>
          </w:rPr>
          <w:t>Summary</w:t>
        </w:r>
        <w:r w:rsidR="00EF23CB">
          <w:rPr>
            <w:webHidden/>
          </w:rPr>
          <w:tab/>
        </w:r>
        <w:r w:rsidR="00EF23CB">
          <w:rPr>
            <w:webHidden/>
          </w:rPr>
          <w:fldChar w:fldCharType="begin"/>
        </w:r>
        <w:r w:rsidR="00EF23CB">
          <w:rPr>
            <w:webHidden/>
          </w:rPr>
          <w:instrText xml:space="preserve"> PAGEREF _Toc116041927 \h </w:instrText>
        </w:r>
        <w:r w:rsidR="00EF23CB">
          <w:rPr>
            <w:webHidden/>
          </w:rPr>
        </w:r>
        <w:r w:rsidR="00EF23CB">
          <w:rPr>
            <w:webHidden/>
          </w:rPr>
          <w:fldChar w:fldCharType="separate"/>
        </w:r>
        <w:r w:rsidR="009C0E98">
          <w:rPr>
            <w:webHidden/>
          </w:rPr>
          <w:t>94</w:t>
        </w:r>
        <w:r w:rsidR="00EF23CB">
          <w:rPr>
            <w:webHidden/>
          </w:rPr>
          <w:fldChar w:fldCharType="end"/>
        </w:r>
      </w:hyperlink>
    </w:p>
    <w:p w14:paraId="5A6C3511" w14:textId="5E7481BB" w:rsidR="00EF23CB" w:rsidRDefault="009C479C">
      <w:pPr>
        <w:pStyle w:val="TOC2"/>
        <w:rPr>
          <w:rFonts w:asciiTheme="minorHAnsi" w:eastAsiaTheme="minorEastAsia" w:hAnsiTheme="minorHAnsi" w:cstheme="minorBidi"/>
          <w:spacing w:val="0"/>
          <w:sz w:val="22"/>
          <w:szCs w:val="22"/>
        </w:rPr>
      </w:pPr>
      <w:hyperlink w:anchor="_Toc116041928" w:history="1">
        <w:r w:rsidR="00EF23CB" w:rsidRPr="00F65040">
          <w:rPr>
            <w:rStyle w:val="Hyperlink"/>
          </w:rPr>
          <w:t>NBN Fixed Wireless Access</w:t>
        </w:r>
        <w:r w:rsidR="00EF23CB">
          <w:rPr>
            <w:webHidden/>
          </w:rPr>
          <w:tab/>
        </w:r>
        <w:r w:rsidR="00EF23CB">
          <w:rPr>
            <w:webHidden/>
          </w:rPr>
          <w:fldChar w:fldCharType="begin"/>
        </w:r>
        <w:r w:rsidR="00EF23CB">
          <w:rPr>
            <w:webHidden/>
          </w:rPr>
          <w:instrText xml:space="preserve"> PAGEREF _Toc116041928 \h </w:instrText>
        </w:r>
        <w:r w:rsidR="00EF23CB">
          <w:rPr>
            <w:webHidden/>
          </w:rPr>
        </w:r>
        <w:r w:rsidR="00EF23CB">
          <w:rPr>
            <w:webHidden/>
          </w:rPr>
          <w:fldChar w:fldCharType="separate"/>
        </w:r>
        <w:r w:rsidR="009C0E98">
          <w:rPr>
            <w:webHidden/>
          </w:rPr>
          <w:t>94</w:t>
        </w:r>
        <w:r w:rsidR="00EF23CB">
          <w:rPr>
            <w:webHidden/>
          </w:rPr>
          <w:fldChar w:fldCharType="end"/>
        </w:r>
      </w:hyperlink>
    </w:p>
    <w:p w14:paraId="043CB627" w14:textId="77CDB2D6" w:rsidR="00EF23CB" w:rsidRDefault="009C479C">
      <w:pPr>
        <w:pStyle w:val="TOC2"/>
        <w:rPr>
          <w:rFonts w:asciiTheme="minorHAnsi" w:eastAsiaTheme="minorEastAsia" w:hAnsiTheme="minorHAnsi" w:cstheme="minorBidi"/>
          <w:spacing w:val="0"/>
          <w:sz w:val="22"/>
          <w:szCs w:val="22"/>
        </w:rPr>
      </w:pPr>
      <w:hyperlink w:anchor="_Toc116041929" w:history="1">
        <w:r w:rsidR="00EF23CB" w:rsidRPr="00F65040">
          <w:rPr>
            <w:rStyle w:val="Hyperlink"/>
          </w:rPr>
          <w:t>Unwired network</w:t>
        </w:r>
        <w:r w:rsidR="00EF23CB">
          <w:rPr>
            <w:webHidden/>
          </w:rPr>
          <w:tab/>
        </w:r>
        <w:r w:rsidR="00EF23CB">
          <w:rPr>
            <w:webHidden/>
          </w:rPr>
          <w:fldChar w:fldCharType="begin"/>
        </w:r>
        <w:r w:rsidR="00EF23CB">
          <w:rPr>
            <w:webHidden/>
          </w:rPr>
          <w:instrText xml:space="preserve"> PAGEREF _Toc116041929 \h </w:instrText>
        </w:r>
        <w:r w:rsidR="00EF23CB">
          <w:rPr>
            <w:webHidden/>
          </w:rPr>
        </w:r>
        <w:r w:rsidR="00EF23CB">
          <w:rPr>
            <w:webHidden/>
          </w:rPr>
          <w:fldChar w:fldCharType="separate"/>
        </w:r>
        <w:r w:rsidR="009C0E98">
          <w:rPr>
            <w:webHidden/>
          </w:rPr>
          <w:t>97</w:t>
        </w:r>
        <w:r w:rsidR="00EF23CB">
          <w:rPr>
            <w:webHidden/>
          </w:rPr>
          <w:fldChar w:fldCharType="end"/>
        </w:r>
      </w:hyperlink>
    </w:p>
    <w:p w14:paraId="2824BC01" w14:textId="6679BF3A" w:rsidR="00EF23CB" w:rsidRDefault="009C479C">
      <w:pPr>
        <w:pStyle w:val="TOC2"/>
        <w:rPr>
          <w:rFonts w:asciiTheme="minorHAnsi" w:eastAsiaTheme="minorEastAsia" w:hAnsiTheme="minorHAnsi" w:cstheme="minorBidi"/>
          <w:spacing w:val="0"/>
          <w:sz w:val="22"/>
          <w:szCs w:val="22"/>
        </w:rPr>
      </w:pPr>
      <w:hyperlink w:anchor="_Toc116041930" w:history="1">
        <w:r w:rsidR="00EF23CB" w:rsidRPr="00F65040">
          <w:rPr>
            <w:rStyle w:val="Hyperlink"/>
          </w:rPr>
          <w:t>Summary of Australian 3.4 – 3.7 GHz deployments (November 2021)</w:t>
        </w:r>
        <w:r w:rsidR="00EF23CB">
          <w:rPr>
            <w:webHidden/>
          </w:rPr>
          <w:tab/>
        </w:r>
        <w:r w:rsidR="00EF23CB">
          <w:rPr>
            <w:webHidden/>
          </w:rPr>
          <w:fldChar w:fldCharType="begin"/>
        </w:r>
        <w:r w:rsidR="00EF23CB">
          <w:rPr>
            <w:webHidden/>
          </w:rPr>
          <w:instrText xml:space="preserve"> PAGEREF _Toc116041930 \h </w:instrText>
        </w:r>
        <w:r w:rsidR="00EF23CB">
          <w:rPr>
            <w:webHidden/>
          </w:rPr>
        </w:r>
        <w:r w:rsidR="00EF23CB">
          <w:rPr>
            <w:webHidden/>
          </w:rPr>
          <w:fldChar w:fldCharType="separate"/>
        </w:r>
        <w:r w:rsidR="009C0E98">
          <w:rPr>
            <w:webHidden/>
          </w:rPr>
          <w:t>103</w:t>
        </w:r>
        <w:r w:rsidR="00EF23CB">
          <w:rPr>
            <w:webHidden/>
          </w:rPr>
          <w:fldChar w:fldCharType="end"/>
        </w:r>
      </w:hyperlink>
    </w:p>
    <w:p w14:paraId="244D30EE" w14:textId="00E189BD" w:rsidR="00EF23CB" w:rsidRDefault="009C479C">
      <w:pPr>
        <w:pStyle w:val="TOC1"/>
        <w:tabs>
          <w:tab w:val="left" w:pos="885"/>
        </w:tabs>
        <w:rPr>
          <w:rFonts w:asciiTheme="minorHAnsi" w:eastAsiaTheme="minorEastAsia" w:hAnsiTheme="minorHAnsi" w:cstheme="minorBidi"/>
          <w:b w:val="0"/>
          <w:spacing w:val="0"/>
          <w:sz w:val="22"/>
          <w:szCs w:val="22"/>
        </w:rPr>
      </w:pPr>
      <w:hyperlink w:anchor="_Toc116041931" w:history="1">
        <w:r w:rsidR="00EF23CB" w:rsidRPr="00F65040">
          <w:rPr>
            <w:rStyle w:val="Hyperlink"/>
          </w:rPr>
          <w:t>10.</w:t>
        </w:r>
        <w:r w:rsidR="00EF23CB">
          <w:rPr>
            <w:rFonts w:asciiTheme="minorHAnsi" w:eastAsiaTheme="minorEastAsia" w:hAnsiTheme="minorHAnsi" w:cstheme="minorBidi"/>
            <w:b w:val="0"/>
            <w:spacing w:val="0"/>
            <w:sz w:val="22"/>
            <w:szCs w:val="22"/>
          </w:rPr>
          <w:tab/>
        </w:r>
        <w:r w:rsidR="00EF23CB" w:rsidRPr="00F65040">
          <w:rPr>
            <w:rStyle w:val="Hyperlink"/>
          </w:rPr>
          <w:t>Appendix F: Relevant overseas WBB deployments</w:t>
        </w:r>
        <w:r w:rsidR="00EF23CB">
          <w:rPr>
            <w:webHidden/>
          </w:rPr>
          <w:tab/>
        </w:r>
        <w:r w:rsidR="00EF23CB">
          <w:rPr>
            <w:webHidden/>
          </w:rPr>
          <w:fldChar w:fldCharType="begin"/>
        </w:r>
        <w:r w:rsidR="00EF23CB">
          <w:rPr>
            <w:webHidden/>
          </w:rPr>
          <w:instrText xml:space="preserve"> PAGEREF _Toc116041931 \h </w:instrText>
        </w:r>
        <w:r w:rsidR="00EF23CB">
          <w:rPr>
            <w:webHidden/>
          </w:rPr>
        </w:r>
        <w:r w:rsidR="00EF23CB">
          <w:rPr>
            <w:webHidden/>
          </w:rPr>
          <w:fldChar w:fldCharType="separate"/>
        </w:r>
        <w:r w:rsidR="009C0E98">
          <w:rPr>
            <w:webHidden/>
          </w:rPr>
          <w:t>107</w:t>
        </w:r>
        <w:r w:rsidR="00EF23CB">
          <w:rPr>
            <w:webHidden/>
          </w:rPr>
          <w:fldChar w:fldCharType="end"/>
        </w:r>
      </w:hyperlink>
    </w:p>
    <w:p w14:paraId="405AE7A3" w14:textId="78DD7D7B" w:rsidR="00EF23CB" w:rsidRDefault="009C479C">
      <w:pPr>
        <w:pStyle w:val="TOC2"/>
        <w:rPr>
          <w:rFonts w:asciiTheme="minorHAnsi" w:eastAsiaTheme="minorEastAsia" w:hAnsiTheme="minorHAnsi" w:cstheme="minorBidi"/>
          <w:spacing w:val="0"/>
          <w:sz w:val="22"/>
          <w:szCs w:val="22"/>
        </w:rPr>
      </w:pPr>
      <w:hyperlink w:anchor="_Toc116041932" w:history="1">
        <w:r w:rsidR="00EF23CB" w:rsidRPr="00F65040">
          <w:rPr>
            <w:rStyle w:val="Hyperlink"/>
          </w:rPr>
          <w:t>Japan</w:t>
        </w:r>
        <w:r w:rsidR="00EF23CB">
          <w:rPr>
            <w:webHidden/>
          </w:rPr>
          <w:tab/>
        </w:r>
        <w:r w:rsidR="00EF23CB">
          <w:rPr>
            <w:webHidden/>
          </w:rPr>
          <w:tab/>
        </w:r>
        <w:r w:rsidR="00EF23CB">
          <w:rPr>
            <w:webHidden/>
          </w:rPr>
          <w:fldChar w:fldCharType="begin"/>
        </w:r>
        <w:r w:rsidR="00EF23CB">
          <w:rPr>
            <w:webHidden/>
          </w:rPr>
          <w:instrText xml:space="preserve"> PAGEREF _Toc116041932 \h </w:instrText>
        </w:r>
        <w:r w:rsidR="00EF23CB">
          <w:rPr>
            <w:webHidden/>
          </w:rPr>
        </w:r>
        <w:r w:rsidR="00EF23CB">
          <w:rPr>
            <w:webHidden/>
          </w:rPr>
          <w:fldChar w:fldCharType="separate"/>
        </w:r>
        <w:r w:rsidR="009C0E98">
          <w:rPr>
            <w:webHidden/>
          </w:rPr>
          <w:t>107</w:t>
        </w:r>
        <w:r w:rsidR="00EF23CB">
          <w:rPr>
            <w:webHidden/>
          </w:rPr>
          <w:fldChar w:fldCharType="end"/>
        </w:r>
      </w:hyperlink>
    </w:p>
    <w:p w14:paraId="7A75357F" w14:textId="4E183178" w:rsidR="00EF23CB" w:rsidRDefault="009C479C">
      <w:pPr>
        <w:pStyle w:val="TOC2"/>
        <w:rPr>
          <w:rFonts w:asciiTheme="minorHAnsi" w:eastAsiaTheme="minorEastAsia" w:hAnsiTheme="minorHAnsi" w:cstheme="minorBidi"/>
          <w:spacing w:val="0"/>
          <w:sz w:val="22"/>
          <w:szCs w:val="22"/>
        </w:rPr>
      </w:pPr>
      <w:hyperlink w:anchor="_Toc116041933" w:history="1">
        <w:r w:rsidR="00EF23CB" w:rsidRPr="00F65040">
          <w:rPr>
            <w:rStyle w:val="Hyperlink"/>
          </w:rPr>
          <w:t>Denmark</w:t>
        </w:r>
        <w:r w:rsidR="00EF23CB">
          <w:rPr>
            <w:webHidden/>
          </w:rPr>
          <w:tab/>
        </w:r>
        <w:r w:rsidR="00EF23CB">
          <w:rPr>
            <w:webHidden/>
          </w:rPr>
          <w:fldChar w:fldCharType="begin"/>
        </w:r>
        <w:r w:rsidR="00EF23CB">
          <w:rPr>
            <w:webHidden/>
          </w:rPr>
          <w:instrText xml:space="preserve"> PAGEREF _Toc116041933 \h </w:instrText>
        </w:r>
        <w:r w:rsidR="00EF23CB">
          <w:rPr>
            <w:webHidden/>
          </w:rPr>
        </w:r>
        <w:r w:rsidR="00EF23CB">
          <w:rPr>
            <w:webHidden/>
          </w:rPr>
          <w:fldChar w:fldCharType="separate"/>
        </w:r>
        <w:r w:rsidR="009C0E98">
          <w:rPr>
            <w:webHidden/>
          </w:rPr>
          <w:t>115</w:t>
        </w:r>
        <w:r w:rsidR="00EF23CB">
          <w:rPr>
            <w:webHidden/>
          </w:rPr>
          <w:fldChar w:fldCharType="end"/>
        </w:r>
      </w:hyperlink>
    </w:p>
    <w:p w14:paraId="7D924ECE" w14:textId="47509485" w:rsidR="00EF23CB" w:rsidRDefault="009C479C">
      <w:pPr>
        <w:pStyle w:val="TOC2"/>
        <w:rPr>
          <w:rFonts w:asciiTheme="minorHAnsi" w:eastAsiaTheme="minorEastAsia" w:hAnsiTheme="minorHAnsi" w:cstheme="minorBidi"/>
          <w:spacing w:val="0"/>
          <w:sz w:val="22"/>
          <w:szCs w:val="22"/>
        </w:rPr>
      </w:pPr>
      <w:hyperlink w:anchor="_Toc116041934" w:history="1">
        <w:r w:rsidR="00EF23CB" w:rsidRPr="00F65040">
          <w:rPr>
            <w:rStyle w:val="Hyperlink"/>
          </w:rPr>
          <w:t>Finland</w:t>
        </w:r>
        <w:r w:rsidR="00EF23CB">
          <w:rPr>
            <w:webHidden/>
          </w:rPr>
          <w:tab/>
        </w:r>
        <w:r w:rsidR="00EF23CB">
          <w:rPr>
            <w:webHidden/>
          </w:rPr>
          <w:tab/>
        </w:r>
        <w:r w:rsidR="00EF23CB">
          <w:rPr>
            <w:webHidden/>
          </w:rPr>
          <w:fldChar w:fldCharType="begin"/>
        </w:r>
        <w:r w:rsidR="00EF23CB">
          <w:rPr>
            <w:webHidden/>
          </w:rPr>
          <w:instrText xml:space="preserve"> PAGEREF _Toc116041934 \h </w:instrText>
        </w:r>
        <w:r w:rsidR="00EF23CB">
          <w:rPr>
            <w:webHidden/>
          </w:rPr>
        </w:r>
        <w:r w:rsidR="00EF23CB">
          <w:rPr>
            <w:webHidden/>
          </w:rPr>
          <w:fldChar w:fldCharType="separate"/>
        </w:r>
        <w:r w:rsidR="009C0E98">
          <w:rPr>
            <w:webHidden/>
          </w:rPr>
          <w:t>115</w:t>
        </w:r>
        <w:r w:rsidR="00EF23CB">
          <w:rPr>
            <w:webHidden/>
          </w:rPr>
          <w:fldChar w:fldCharType="end"/>
        </w:r>
      </w:hyperlink>
    </w:p>
    <w:p w14:paraId="70E636D5" w14:textId="3A33D7B7" w:rsidR="00EF23CB" w:rsidRDefault="009C479C">
      <w:pPr>
        <w:pStyle w:val="TOC2"/>
        <w:rPr>
          <w:rFonts w:asciiTheme="minorHAnsi" w:eastAsiaTheme="minorEastAsia" w:hAnsiTheme="minorHAnsi" w:cstheme="minorBidi"/>
          <w:spacing w:val="0"/>
          <w:sz w:val="22"/>
          <w:szCs w:val="22"/>
        </w:rPr>
      </w:pPr>
      <w:hyperlink w:anchor="_Toc116041935" w:history="1">
        <w:r w:rsidR="00EF23CB" w:rsidRPr="00F65040">
          <w:rPr>
            <w:rStyle w:val="Hyperlink"/>
          </w:rPr>
          <w:t>Switzerland</w:t>
        </w:r>
        <w:r w:rsidR="00EF23CB">
          <w:rPr>
            <w:webHidden/>
          </w:rPr>
          <w:tab/>
        </w:r>
        <w:r w:rsidR="00EF23CB">
          <w:rPr>
            <w:webHidden/>
          </w:rPr>
          <w:fldChar w:fldCharType="begin"/>
        </w:r>
        <w:r w:rsidR="00EF23CB">
          <w:rPr>
            <w:webHidden/>
          </w:rPr>
          <w:instrText xml:space="preserve"> PAGEREF _Toc116041935 \h </w:instrText>
        </w:r>
        <w:r w:rsidR="00EF23CB">
          <w:rPr>
            <w:webHidden/>
          </w:rPr>
        </w:r>
        <w:r w:rsidR="00EF23CB">
          <w:rPr>
            <w:webHidden/>
          </w:rPr>
          <w:fldChar w:fldCharType="separate"/>
        </w:r>
        <w:r w:rsidR="009C0E98">
          <w:rPr>
            <w:webHidden/>
          </w:rPr>
          <w:t>115</w:t>
        </w:r>
        <w:r w:rsidR="00EF23CB">
          <w:rPr>
            <w:webHidden/>
          </w:rPr>
          <w:fldChar w:fldCharType="end"/>
        </w:r>
      </w:hyperlink>
    </w:p>
    <w:p w14:paraId="4AD28F47" w14:textId="51F83635" w:rsidR="00EF23CB" w:rsidRDefault="009C479C">
      <w:pPr>
        <w:pStyle w:val="TOC2"/>
        <w:rPr>
          <w:rFonts w:asciiTheme="minorHAnsi" w:eastAsiaTheme="minorEastAsia" w:hAnsiTheme="minorHAnsi" w:cstheme="minorBidi"/>
          <w:spacing w:val="0"/>
          <w:sz w:val="22"/>
          <w:szCs w:val="22"/>
        </w:rPr>
      </w:pPr>
      <w:hyperlink w:anchor="_Toc116041936" w:history="1">
        <w:r w:rsidR="00EF23CB" w:rsidRPr="00F65040">
          <w:rPr>
            <w:rStyle w:val="Hyperlink"/>
          </w:rPr>
          <w:t>Ireland</w:t>
        </w:r>
        <w:r w:rsidR="00EF23CB">
          <w:rPr>
            <w:webHidden/>
          </w:rPr>
          <w:tab/>
        </w:r>
        <w:r w:rsidR="00EF23CB">
          <w:rPr>
            <w:webHidden/>
          </w:rPr>
          <w:tab/>
        </w:r>
        <w:r w:rsidR="00EF23CB">
          <w:rPr>
            <w:webHidden/>
          </w:rPr>
          <w:fldChar w:fldCharType="begin"/>
        </w:r>
        <w:r w:rsidR="00EF23CB">
          <w:rPr>
            <w:webHidden/>
          </w:rPr>
          <w:instrText xml:space="preserve"> PAGEREF _Toc116041936 \h </w:instrText>
        </w:r>
        <w:r w:rsidR="00EF23CB">
          <w:rPr>
            <w:webHidden/>
          </w:rPr>
        </w:r>
        <w:r w:rsidR="00EF23CB">
          <w:rPr>
            <w:webHidden/>
          </w:rPr>
          <w:fldChar w:fldCharType="separate"/>
        </w:r>
        <w:r w:rsidR="009C0E98">
          <w:rPr>
            <w:webHidden/>
          </w:rPr>
          <w:t>117</w:t>
        </w:r>
        <w:r w:rsidR="00EF23CB">
          <w:rPr>
            <w:webHidden/>
          </w:rPr>
          <w:fldChar w:fldCharType="end"/>
        </w:r>
      </w:hyperlink>
    </w:p>
    <w:p w14:paraId="0ACF610D" w14:textId="6BC02390" w:rsidR="00EF23CB" w:rsidRDefault="009C479C">
      <w:pPr>
        <w:pStyle w:val="TOC2"/>
        <w:rPr>
          <w:rFonts w:asciiTheme="minorHAnsi" w:eastAsiaTheme="minorEastAsia" w:hAnsiTheme="minorHAnsi" w:cstheme="minorBidi"/>
          <w:spacing w:val="0"/>
          <w:sz w:val="22"/>
          <w:szCs w:val="22"/>
        </w:rPr>
      </w:pPr>
      <w:hyperlink w:anchor="_Toc116041937" w:history="1">
        <w:r w:rsidR="00EF23CB" w:rsidRPr="00F65040">
          <w:rPr>
            <w:rStyle w:val="Hyperlink"/>
          </w:rPr>
          <w:t>UK</w:t>
        </w:r>
        <w:r w:rsidR="00EF23CB">
          <w:rPr>
            <w:webHidden/>
          </w:rPr>
          <w:tab/>
        </w:r>
        <w:r w:rsidR="00EF23CB">
          <w:rPr>
            <w:webHidden/>
          </w:rPr>
          <w:tab/>
        </w:r>
        <w:r w:rsidR="00EF23CB">
          <w:rPr>
            <w:webHidden/>
          </w:rPr>
          <w:fldChar w:fldCharType="begin"/>
        </w:r>
        <w:r w:rsidR="00EF23CB">
          <w:rPr>
            <w:webHidden/>
          </w:rPr>
          <w:instrText xml:space="preserve"> PAGEREF _Toc116041937 \h </w:instrText>
        </w:r>
        <w:r w:rsidR="00EF23CB">
          <w:rPr>
            <w:webHidden/>
          </w:rPr>
        </w:r>
        <w:r w:rsidR="00EF23CB">
          <w:rPr>
            <w:webHidden/>
          </w:rPr>
          <w:fldChar w:fldCharType="separate"/>
        </w:r>
        <w:r w:rsidR="009C0E98">
          <w:rPr>
            <w:webHidden/>
          </w:rPr>
          <w:t>118</w:t>
        </w:r>
        <w:r w:rsidR="00EF23CB">
          <w:rPr>
            <w:webHidden/>
          </w:rPr>
          <w:fldChar w:fldCharType="end"/>
        </w:r>
      </w:hyperlink>
    </w:p>
    <w:p w14:paraId="50CAE36C" w14:textId="27E52984" w:rsidR="00EF23CB" w:rsidRDefault="009C479C">
      <w:pPr>
        <w:pStyle w:val="TOC1"/>
        <w:tabs>
          <w:tab w:val="left" w:pos="885"/>
        </w:tabs>
        <w:rPr>
          <w:rFonts w:asciiTheme="minorHAnsi" w:eastAsiaTheme="minorEastAsia" w:hAnsiTheme="minorHAnsi" w:cstheme="minorBidi"/>
          <w:b w:val="0"/>
          <w:spacing w:val="0"/>
          <w:sz w:val="22"/>
          <w:szCs w:val="22"/>
        </w:rPr>
      </w:pPr>
      <w:hyperlink w:anchor="_Toc116041938" w:history="1">
        <w:r w:rsidR="00EF23CB" w:rsidRPr="00F65040">
          <w:rPr>
            <w:rStyle w:val="Hyperlink"/>
          </w:rPr>
          <w:t>11.</w:t>
        </w:r>
        <w:r w:rsidR="00EF23CB">
          <w:rPr>
            <w:rFonts w:asciiTheme="minorHAnsi" w:eastAsiaTheme="minorEastAsia" w:hAnsiTheme="minorHAnsi" w:cstheme="minorBidi"/>
            <w:b w:val="0"/>
            <w:spacing w:val="0"/>
            <w:sz w:val="22"/>
            <w:szCs w:val="22"/>
          </w:rPr>
          <w:tab/>
        </w:r>
        <w:r w:rsidR="00EF23CB" w:rsidRPr="00F65040">
          <w:rPr>
            <w:rStyle w:val="Hyperlink"/>
          </w:rPr>
          <w:t>Appendix G: Identified runways</w:t>
        </w:r>
        <w:r w:rsidR="00EF23CB">
          <w:rPr>
            <w:webHidden/>
          </w:rPr>
          <w:tab/>
        </w:r>
        <w:r w:rsidR="00EF23CB">
          <w:rPr>
            <w:webHidden/>
          </w:rPr>
          <w:fldChar w:fldCharType="begin"/>
        </w:r>
        <w:r w:rsidR="00EF23CB">
          <w:rPr>
            <w:webHidden/>
          </w:rPr>
          <w:instrText xml:space="preserve"> PAGEREF _Toc116041938 \h </w:instrText>
        </w:r>
        <w:r w:rsidR="00EF23CB">
          <w:rPr>
            <w:webHidden/>
          </w:rPr>
        </w:r>
        <w:r w:rsidR="00EF23CB">
          <w:rPr>
            <w:webHidden/>
          </w:rPr>
          <w:fldChar w:fldCharType="separate"/>
        </w:r>
        <w:r w:rsidR="009C0E98">
          <w:rPr>
            <w:webHidden/>
          </w:rPr>
          <w:t>121</w:t>
        </w:r>
        <w:r w:rsidR="00EF23CB">
          <w:rPr>
            <w:webHidden/>
          </w:rPr>
          <w:fldChar w:fldCharType="end"/>
        </w:r>
      </w:hyperlink>
    </w:p>
    <w:p w14:paraId="6568A4F8" w14:textId="5D43A8EC" w:rsidR="004D56FF" w:rsidRPr="00702EA1" w:rsidRDefault="003C59EE">
      <w:pPr>
        <w:rPr>
          <w:rFonts w:cs="Arial"/>
        </w:rPr>
        <w:sectPr w:rsidR="004D56FF" w:rsidRPr="00702EA1" w:rsidSect="00C77380">
          <w:headerReference w:type="even" r:id="rId22"/>
          <w:headerReference w:type="default" r:id="rId23"/>
          <w:footerReference w:type="even" r:id="rId24"/>
          <w:footerReference w:type="default" r:id="rId25"/>
          <w:footerReference w:type="first" r:id="rId26"/>
          <w:pgSz w:w="11906" w:h="16838" w:code="9"/>
          <w:pgMar w:top="3646" w:right="3101" w:bottom="1134" w:left="1134" w:header="709" w:footer="119" w:gutter="0"/>
          <w:cols w:space="708"/>
          <w:titlePg/>
          <w:docGrid w:linePitch="360"/>
        </w:sectPr>
      </w:pPr>
      <w:r>
        <w:rPr>
          <w:rFonts w:cs="Arial"/>
          <w:b/>
          <w:noProof/>
          <w:spacing w:val="-14"/>
          <w:sz w:val="28"/>
        </w:rPr>
        <w:fldChar w:fldCharType="end"/>
      </w:r>
    </w:p>
    <w:p w14:paraId="3A131800" w14:textId="0E13F967" w:rsidR="004276A1" w:rsidRDefault="004276A1" w:rsidP="004276A1">
      <w:pPr>
        <w:pStyle w:val="Heading1"/>
      </w:pPr>
      <w:bookmarkStart w:id="0" w:name="_Toc116041864"/>
      <w:bookmarkStart w:id="1" w:name="_Hlk106969655"/>
      <w:r>
        <w:lastRenderedPageBreak/>
        <w:t xml:space="preserve">Version </w:t>
      </w:r>
      <w:r w:rsidR="00402FBF">
        <w:t xml:space="preserve">and review </w:t>
      </w:r>
      <w:r>
        <w:t>history</w:t>
      </w:r>
      <w:bookmarkEnd w:id="0"/>
    </w:p>
    <w:tbl>
      <w:tblPr>
        <w:tblStyle w:val="TableGrid"/>
        <w:tblW w:w="0" w:type="auto"/>
        <w:tblLook w:val="04A0" w:firstRow="1" w:lastRow="0" w:firstColumn="1" w:lastColumn="0" w:noHBand="0" w:noVBand="1"/>
      </w:tblPr>
      <w:tblGrid>
        <w:gridCol w:w="2553"/>
        <w:gridCol w:w="2554"/>
        <w:gridCol w:w="2554"/>
      </w:tblGrid>
      <w:tr w:rsidR="004276A1" w:rsidRPr="004276A1" w14:paraId="09C775A5" w14:textId="77777777" w:rsidTr="54BE0278">
        <w:tc>
          <w:tcPr>
            <w:tcW w:w="2553" w:type="dxa"/>
          </w:tcPr>
          <w:p w14:paraId="0FC87384" w14:textId="1E55D35F" w:rsidR="004276A1" w:rsidRPr="00D379F3" w:rsidRDefault="004276A1" w:rsidP="004276A1">
            <w:pPr>
              <w:rPr>
                <w:b/>
                <w:bCs/>
              </w:rPr>
            </w:pPr>
            <w:r w:rsidRPr="00D379F3">
              <w:rPr>
                <w:b/>
                <w:bCs/>
              </w:rPr>
              <w:t>VERSION</w:t>
            </w:r>
          </w:p>
        </w:tc>
        <w:tc>
          <w:tcPr>
            <w:tcW w:w="2554" w:type="dxa"/>
          </w:tcPr>
          <w:p w14:paraId="18045816" w14:textId="297AC048" w:rsidR="004276A1" w:rsidRPr="00D379F3" w:rsidRDefault="004276A1" w:rsidP="004276A1">
            <w:pPr>
              <w:rPr>
                <w:b/>
                <w:bCs/>
              </w:rPr>
            </w:pPr>
            <w:r w:rsidRPr="00D379F3">
              <w:rPr>
                <w:b/>
                <w:bCs/>
              </w:rPr>
              <w:t>DATE</w:t>
            </w:r>
          </w:p>
        </w:tc>
        <w:tc>
          <w:tcPr>
            <w:tcW w:w="2554" w:type="dxa"/>
          </w:tcPr>
          <w:p w14:paraId="79B40241" w14:textId="12C0B505" w:rsidR="004276A1" w:rsidRPr="00D379F3" w:rsidRDefault="004276A1" w:rsidP="004276A1">
            <w:pPr>
              <w:rPr>
                <w:b/>
                <w:bCs/>
              </w:rPr>
            </w:pPr>
            <w:r w:rsidRPr="00D379F3">
              <w:rPr>
                <w:b/>
                <w:bCs/>
              </w:rPr>
              <w:t>COMMENTS</w:t>
            </w:r>
          </w:p>
        </w:tc>
      </w:tr>
      <w:tr w:rsidR="006E5E1F" w14:paraId="415F9443" w14:textId="77777777" w:rsidTr="54BE0278">
        <w:tc>
          <w:tcPr>
            <w:tcW w:w="2553" w:type="dxa"/>
          </w:tcPr>
          <w:p w14:paraId="2EDAA732" w14:textId="5B35CD47" w:rsidR="006E5E1F" w:rsidRDefault="00FA1C02" w:rsidP="004276A1">
            <w:r>
              <w:t>1.1</w:t>
            </w:r>
          </w:p>
        </w:tc>
        <w:tc>
          <w:tcPr>
            <w:tcW w:w="2554" w:type="dxa"/>
          </w:tcPr>
          <w:p w14:paraId="154CF226" w14:textId="383FC469" w:rsidR="006E5E1F" w:rsidRDefault="00FA1C02" w:rsidP="004276A1">
            <w:r>
              <w:t>7/10/22</w:t>
            </w:r>
          </w:p>
        </w:tc>
        <w:tc>
          <w:tcPr>
            <w:tcW w:w="2554" w:type="dxa"/>
          </w:tcPr>
          <w:p w14:paraId="43F24C22" w14:textId="27C5F72D" w:rsidR="006E5E1F" w:rsidRDefault="00FA1C02" w:rsidP="004276A1">
            <w:r>
              <w:t>1</w:t>
            </w:r>
            <w:r w:rsidRPr="00257BC6">
              <w:rPr>
                <w:vertAlign w:val="superscript"/>
              </w:rPr>
              <w:t>st</w:t>
            </w:r>
            <w:r>
              <w:t xml:space="preserve"> release, as Attachment G to the 3400-4000 MHz TLG V4.2 paper.</w:t>
            </w:r>
          </w:p>
        </w:tc>
      </w:tr>
    </w:tbl>
    <w:p w14:paraId="249C34EC" w14:textId="7C16BD1A" w:rsidR="54BE0278" w:rsidRDefault="54BE0278"/>
    <w:p w14:paraId="234063F4" w14:textId="77777777" w:rsidR="004276A1" w:rsidRPr="004D3483" w:rsidRDefault="004276A1" w:rsidP="00D379F3"/>
    <w:bookmarkEnd w:id="1"/>
    <w:p w14:paraId="25F3E013" w14:textId="098C9DE8" w:rsidR="004276A1" w:rsidRDefault="004276A1">
      <w:pPr>
        <w:spacing w:after="0" w:line="240" w:lineRule="auto"/>
        <w:rPr>
          <w:rFonts w:cs="Arial"/>
          <w:bCs/>
          <w:color w:val="323232"/>
          <w:kern w:val="32"/>
          <w:sz w:val="53"/>
          <w:szCs w:val="32"/>
        </w:rPr>
      </w:pPr>
    </w:p>
    <w:p w14:paraId="7A8DB813" w14:textId="47586A53" w:rsidR="009D6C71" w:rsidRPr="00702EA1" w:rsidRDefault="009D6C71" w:rsidP="00257BC6">
      <w:pPr>
        <w:pStyle w:val="Heading1"/>
        <w:numPr>
          <w:ilvl w:val="0"/>
          <w:numId w:val="131"/>
        </w:numPr>
      </w:pPr>
      <w:bookmarkStart w:id="2" w:name="_Toc116041865"/>
      <w:r w:rsidRPr="00702EA1">
        <w:lastRenderedPageBreak/>
        <w:t>Executive summary</w:t>
      </w:r>
      <w:bookmarkEnd w:id="2"/>
    </w:p>
    <w:p w14:paraId="7336A359" w14:textId="3620A84C" w:rsidR="0084038A" w:rsidRDefault="0084038A" w:rsidP="0084038A">
      <w:pPr>
        <w:pStyle w:val="Heading2"/>
      </w:pPr>
      <w:bookmarkStart w:id="3" w:name="_Toc116041866"/>
      <w:r>
        <w:t>The issue</w:t>
      </w:r>
      <w:bookmarkEnd w:id="3"/>
    </w:p>
    <w:p w14:paraId="30060C02" w14:textId="5DD8AF9C" w:rsidR="00244944" w:rsidRDefault="00244944" w:rsidP="00244944">
      <w:pPr>
        <w:pStyle w:val="Numberedparagraph"/>
      </w:pPr>
      <w:r>
        <w:t>Coexistence between radio altimeters (RAs)</w:t>
      </w:r>
      <w:r w:rsidR="00FD40C6">
        <w:t>,</w:t>
      </w:r>
      <w:r>
        <w:t xml:space="preserve"> operating in </w:t>
      </w:r>
      <w:r w:rsidR="005047D7">
        <w:t xml:space="preserve">the </w:t>
      </w:r>
      <w:r>
        <w:t>4200-4400 MHz</w:t>
      </w:r>
      <w:r w:rsidR="005047D7">
        <w:t xml:space="preserve"> band</w:t>
      </w:r>
      <w:r w:rsidR="00FD40C6">
        <w:t>,</w:t>
      </w:r>
      <w:r>
        <w:t xml:space="preserve"> and wireless broadband </w:t>
      </w:r>
      <w:r w:rsidR="00E465B4">
        <w:t xml:space="preserve">(WBB) </w:t>
      </w:r>
      <w:r>
        <w:t xml:space="preserve">systems is under consideration globally </w:t>
      </w:r>
      <w:r w:rsidR="008C31C0">
        <w:t>with</w:t>
      </w:r>
      <w:r>
        <w:t xml:space="preserve"> the </w:t>
      </w:r>
      <w:r w:rsidR="004D5515">
        <w:t xml:space="preserve">planned </w:t>
      </w:r>
      <w:r>
        <w:t xml:space="preserve">introduction of new </w:t>
      </w:r>
      <w:r w:rsidR="00E465B4">
        <w:t>WBB</w:t>
      </w:r>
      <w:r>
        <w:t xml:space="preserve"> systems below </w:t>
      </w:r>
      <w:r w:rsidR="00FB0A8F">
        <w:t>(</w:t>
      </w:r>
      <w:r>
        <w:t>and above</w:t>
      </w:r>
      <w:r w:rsidR="00FB0A8F">
        <w:t>)</w:t>
      </w:r>
      <w:r>
        <w:t xml:space="preserve"> the band used by RAs</w:t>
      </w:r>
      <w:r w:rsidRPr="00702EA1">
        <w:t>.</w:t>
      </w:r>
      <w:r>
        <w:t xml:space="preserve"> </w:t>
      </w:r>
    </w:p>
    <w:p w14:paraId="008BDDD0" w14:textId="68ACE77E" w:rsidR="00BB0696" w:rsidRDefault="00002987" w:rsidP="00244944">
      <w:pPr>
        <w:pStyle w:val="Numberedparagraph"/>
      </w:pPr>
      <w:r>
        <w:t xml:space="preserve">RAs </w:t>
      </w:r>
      <w:r w:rsidR="00244944">
        <w:t xml:space="preserve">that operate in 4200-4400 MHz </w:t>
      </w:r>
      <w:r>
        <w:t>are critical sensor</w:t>
      </w:r>
      <w:r w:rsidR="00634CD0">
        <w:t>s</w:t>
      </w:r>
      <w:r>
        <w:t xml:space="preserve"> that provide high integrity, accurate measurements </w:t>
      </w:r>
      <w:r w:rsidR="00A6000A">
        <w:t>of</w:t>
      </w:r>
      <w:r>
        <w:t xml:space="preserve"> aircraft </w:t>
      </w:r>
      <w:r w:rsidR="00A6000A">
        <w:t xml:space="preserve">(commercial, civil and military) </w:t>
      </w:r>
      <w:r>
        <w:t>height above terrain and obstacles</w:t>
      </w:r>
      <w:r w:rsidR="00634CD0">
        <w:t>. They are</w:t>
      </w:r>
      <w:r>
        <w:t xml:space="preserve"> used by many aircraft (both fixed and rotary wing) to enable and enhance flight safety</w:t>
      </w:r>
      <w:r w:rsidR="00BB0696">
        <w:t xml:space="preserve"> and operations</w:t>
      </w:r>
      <w:r>
        <w:t xml:space="preserve">. </w:t>
      </w:r>
    </w:p>
    <w:p w14:paraId="685741D8" w14:textId="5CD5DA9F" w:rsidR="00244944" w:rsidRDefault="008F74A0" w:rsidP="00244944">
      <w:pPr>
        <w:pStyle w:val="Numberedparagraph"/>
      </w:pPr>
      <w:r>
        <w:t xml:space="preserve">Spectrum in </w:t>
      </w:r>
      <w:r w:rsidR="004D5515">
        <w:t xml:space="preserve">the </w:t>
      </w:r>
      <w:r>
        <w:t xml:space="preserve">3400-4200 MHz </w:t>
      </w:r>
      <w:r w:rsidR="004D5515">
        <w:t xml:space="preserve">range </w:t>
      </w:r>
      <w:r>
        <w:t xml:space="preserve">is of </w:t>
      </w:r>
      <w:r w:rsidR="00002987">
        <w:t>particular</w:t>
      </w:r>
      <w:r>
        <w:t xml:space="preserve"> </w:t>
      </w:r>
      <w:r w:rsidR="00002987">
        <w:t>interest globally</w:t>
      </w:r>
      <w:r>
        <w:t xml:space="preserve"> </w:t>
      </w:r>
      <w:r w:rsidR="00002987">
        <w:t xml:space="preserve">as an early or ‘pioneer’ band for </w:t>
      </w:r>
      <w:r w:rsidR="005E5425">
        <w:t>5G WBB</w:t>
      </w:r>
      <w:r w:rsidR="00A6000A">
        <w:t xml:space="preserve"> (in addition to 4G and earlier broadband services</w:t>
      </w:r>
      <w:r w:rsidR="00E465B4">
        <w:t xml:space="preserve"> in parts of the range</w:t>
      </w:r>
      <w:r w:rsidR="00A6000A">
        <w:t xml:space="preserve">) </w:t>
      </w:r>
      <w:r w:rsidR="00002987">
        <w:t xml:space="preserve">with extensive deployments worldwide in varying </w:t>
      </w:r>
      <w:r w:rsidR="008C31C0">
        <w:t xml:space="preserve">parts </w:t>
      </w:r>
      <w:r w:rsidR="00002987">
        <w:t>of the band</w:t>
      </w:r>
      <w:r w:rsidR="00A6000A">
        <w:t xml:space="preserve">. In Australia, fixed and mobile </w:t>
      </w:r>
      <w:r w:rsidR="005E5425">
        <w:t>WBB</w:t>
      </w:r>
      <w:r w:rsidR="00A6000A">
        <w:t xml:space="preserve"> systems have operated in parts of the band</w:t>
      </w:r>
      <w:r w:rsidR="004D48FA">
        <w:t>,</w:t>
      </w:r>
      <w:r w:rsidR="00A6000A">
        <w:t xml:space="preserve"> between 3400-3700 MHz</w:t>
      </w:r>
      <w:r w:rsidR="004D48FA">
        <w:t>,</w:t>
      </w:r>
      <w:r w:rsidR="00A6000A">
        <w:t xml:space="preserve"> for over two decades.</w:t>
      </w:r>
    </w:p>
    <w:p w14:paraId="2D10C4BD" w14:textId="20BDBC74" w:rsidR="0084038A" w:rsidRDefault="0084038A" w:rsidP="0084038A">
      <w:pPr>
        <w:pStyle w:val="Heading2"/>
      </w:pPr>
      <w:bookmarkStart w:id="4" w:name="_Toc116041867"/>
      <w:r>
        <w:t>Background</w:t>
      </w:r>
      <w:bookmarkEnd w:id="4"/>
    </w:p>
    <w:p w14:paraId="2757A286" w14:textId="584C0298" w:rsidR="00640B92" w:rsidRDefault="00FA0A83" w:rsidP="00A824E8">
      <w:pPr>
        <w:pStyle w:val="Numberedparagraph"/>
      </w:pPr>
      <w:r>
        <w:t xml:space="preserve">Within Australia, RA and </w:t>
      </w:r>
      <w:r w:rsidR="0024275B">
        <w:t>WBB</w:t>
      </w:r>
      <w:r>
        <w:t xml:space="preserve"> coexistence has been considered </w:t>
      </w:r>
      <w:r w:rsidR="00D1516B">
        <w:t>during</w:t>
      </w:r>
      <w:r>
        <w:t xml:space="preserve"> the review of spectrum management </w:t>
      </w:r>
      <w:r w:rsidR="000D53BB">
        <w:t>arrangements</w:t>
      </w:r>
      <w:r>
        <w:t xml:space="preserve"> </w:t>
      </w:r>
      <w:r w:rsidR="000D53BB">
        <w:t>in the 3700-4200 MHz band</w:t>
      </w:r>
      <w:r w:rsidR="00364018">
        <w:t>. This review</w:t>
      </w:r>
      <w:r w:rsidR="000D53BB">
        <w:t xml:space="preserve"> commenced with a </w:t>
      </w:r>
      <w:hyperlink r:id="rId27" w:history="1">
        <w:r w:rsidR="005F2A72" w:rsidRPr="00520EF6">
          <w:rPr>
            <w:rStyle w:val="Hyperlink"/>
          </w:rPr>
          <w:t>discussion</w:t>
        </w:r>
        <w:r w:rsidR="000D53BB" w:rsidRPr="00520EF6">
          <w:rPr>
            <w:rStyle w:val="Hyperlink"/>
          </w:rPr>
          <w:t xml:space="preserve"> paper</w:t>
        </w:r>
      </w:hyperlink>
      <w:r w:rsidR="000D53BB">
        <w:t xml:space="preserve"> in 2019 followed by an </w:t>
      </w:r>
      <w:hyperlink r:id="rId28" w:history="1">
        <w:r w:rsidR="000D53BB" w:rsidRPr="00520EF6">
          <w:rPr>
            <w:rStyle w:val="Hyperlink"/>
          </w:rPr>
          <w:t>options paper</w:t>
        </w:r>
      </w:hyperlink>
      <w:r w:rsidR="000D53BB">
        <w:t xml:space="preserve"> in 2020. When planning outcomes for this review were </w:t>
      </w:r>
      <w:hyperlink r:id="rId29" w:history="1">
        <w:r w:rsidR="005F2A72" w:rsidRPr="00520EF6">
          <w:rPr>
            <w:rStyle w:val="Hyperlink"/>
          </w:rPr>
          <w:t>announced</w:t>
        </w:r>
      </w:hyperlink>
      <w:r w:rsidR="000D53BB">
        <w:t xml:space="preserve"> in 2021, the ACMA </w:t>
      </w:r>
      <w:r w:rsidR="00364018">
        <w:t>stated</w:t>
      </w:r>
      <w:r w:rsidR="005F2A72">
        <w:t xml:space="preserve"> </w:t>
      </w:r>
      <w:r w:rsidR="00640B92">
        <w:t>its</w:t>
      </w:r>
      <w:r w:rsidR="005F2A72">
        <w:t xml:space="preserve"> intention to </w:t>
      </w:r>
      <w:r w:rsidR="00640B92">
        <w:t xml:space="preserve">develop spectrum management </w:t>
      </w:r>
      <w:r w:rsidR="005F2A72">
        <w:t xml:space="preserve">arrangements for </w:t>
      </w:r>
      <w:r w:rsidR="0024275B">
        <w:t>WBB</w:t>
      </w:r>
      <w:r w:rsidR="005F2A72">
        <w:t xml:space="preserve"> systems up to 4000 MHz only</w:t>
      </w:r>
      <w:r w:rsidR="00640B92">
        <w:t xml:space="preserve">. </w:t>
      </w:r>
    </w:p>
    <w:p w14:paraId="147F8EAD" w14:textId="5D60FA9C" w:rsidR="00364018" w:rsidRDefault="00364018" w:rsidP="00A824E8">
      <w:pPr>
        <w:pStyle w:val="Numberedparagraph"/>
      </w:pPr>
      <w:r>
        <w:t>This</w:t>
      </w:r>
      <w:r w:rsidR="00640B92">
        <w:t xml:space="preserve"> d</w:t>
      </w:r>
      <w:r>
        <w:t xml:space="preserve">ecision was </w:t>
      </w:r>
      <w:r w:rsidR="00520EF6">
        <w:t>made partly</w:t>
      </w:r>
      <w:r>
        <w:t xml:space="preserve"> due to coexistence considerations with RAs</w:t>
      </w:r>
      <w:r w:rsidR="00495544">
        <w:t>, providing</w:t>
      </w:r>
      <w:r w:rsidR="00640B92">
        <w:t xml:space="preserve"> a 200 MHz </w:t>
      </w:r>
      <w:r>
        <w:t>guard band</w:t>
      </w:r>
      <w:r w:rsidR="00745FA1">
        <w:t>, 4000 – 4200 MHz,</w:t>
      </w:r>
      <w:r w:rsidR="00640B92">
        <w:t xml:space="preserve"> between </w:t>
      </w:r>
      <w:r>
        <w:t xml:space="preserve">RAs and future </w:t>
      </w:r>
      <w:r w:rsidR="00BF4E3D">
        <w:t>WBB</w:t>
      </w:r>
      <w:r>
        <w:t xml:space="preserve"> use. When stating this view, the ACMA </w:t>
      </w:r>
      <w:r w:rsidR="00495544">
        <w:t xml:space="preserve">also indicated </w:t>
      </w:r>
      <w:r>
        <w:t xml:space="preserve">that when implementing arrangements for </w:t>
      </w:r>
      <w:r w:rsidR="00BF4E3D">
        <w:t>WBB</w:t>
      </w:r>
      <w:r>
        <w:t xml:space="preserve"> up to 4000</w:t>
      </w:r>
      <w:r w:rsidR="004D5515">
        <w:t> </w:t>
      </w:r>
      <w:r>
        <w:t xml:space="preserve">MHz it would consider further what, if any, additional mitigations were necessary to achieve </w:t>
      </w:r>
      <w:r w:rsidR="008A3C8F">
        <w:t>coexistence</w:t>
      </w:r>
      <w:r>
        <w:t xml:space="preserve"> </w:t>
      </w:r>
      <w:r w:rsidR="008A3C8F">
        <w:t>with RAs.</w:t>
      </w:r>
    </w:p>
    <w:p w14:paraId="7D558C72" w14:textId="6E369D85" w:rsidR="00652673" w:rsidRDefault="000E25B8" w:rsidP="00A824E8">
      <w:pPr>
        <w:pStyle w:val="Numberedparagraph"/>
      </w:pPr>
      <w:r w:rsidRPr="000E25B8">
        <w:t xml:space="preserve">To </w:t>
      </w:r>
      <w:r w:rsidR="00BD4C59">
        <w:t>further</w:t>
      </w:r>
      <w:r w:rsidRPr="000E25B8">
        <w:t xml:space="preserve"> </w:t>
      </w:r>
      <w:r w:rsidR="00D00BAE">
        <w:t>that</w:t>
      </w:r>
      <w:r w:rsidR="00D00BAE" w:rsidRPr="000E25B8">
        <w:t xml:space="preserve"> </w:t>
      </w:r>
      <w:r w:rsidRPr="000E25B8">
        <w:t xml:space="preserve">commitment, the ACMA </w:t>
      </w:r>
      <w:r w:rsidR="009A7A54">
        <w:t xml:space="preserve">conducted more </w:t>
      </w:r>
      <w:r w:rsidR="00FD7021">
        <w:t>investigat</w:t>
      </w:r>
      <w:r w:rsidR="009A7A54">
        <w:t>ion</w:t>
      </w:r>
      <w:r w:rsidR="00FD7021">
        <w:t xml:space="preserve">, </w:t>
      </w:r>
      <w:r w:rsidR="00D00BAE">
        <w:t xml:space="preserve">including </w:t>
      </w:r>
      <w:r w:rsidRPr="000E25B8">
        <w:t>undertak</w:t>
      </w:r>
      <w:r w:rsidR="008D4CD2">
        <w:t>i</w:t>
      </w:r>
      <w:r w:rsidRPr="000E25B8">
        <w:t>n</w:t>
      </w:r>
      <w:r w:rsidR="008D4CD2">
        <w:t>g</w:t>
      </w:r>
      <w:r w:rsidRPr="000E25B8">
        <w:t xml:space="preserve"> extensive engagement with industry, other parts of government and with </w:t>
      </w:r>
      <w:r>
        <w:t>international</w:t>
      </w:r>
      <w:r w:rsidRPr="000E25B8">
        <w:t xml:space="preserve"> peers. This has included the consideration </w:t>
      </w:r>
      <w:r w:rsidR="00745FA1">
        <w:t xml:space="preserve">of the potential for interference and possible mitigations </w:t>
      </w:r>
      <w:r w:rsidRPr="000E25B8">
        <w:t>within the technical liaison group (</w:t>
      </w:r>
      <w:hyperlink r:id="rId30" w:history="1">
        <w:r w:rsidRPr="00520EF6">
          <w:rPr>
            <w:rStyle w:val="Hyperlink"/>
          </w:rPr>
          <w:t>TLG</w:t>
        </w:r>
      </w:hyperlink>
      <w:r w:rsidRPr="000E25B8">
        <w:t xml:space="preserve">) </w:t>
      </w:r>
      <w:r>
        <w:t>(</w:t>
      </w:r>
      <w:r w:rsidRPr="000E25B8">
        <w:t>and</w:t>
      </w:r>
      <w:r>
        <w:t xml:space="preserve"> </w:t>
      </w:r>
      <w:r w:rsidR="00FD7021">
        <w:t>associated</w:t>
      </w:r>
      <w:r w:rsidRPr="000E25B8">
        <w:t xml:space="preserve"> RA </w:t>
      </w:r>
      <w:r w:rsidR="00D00BAE">
        <w:t>C</w:t>
      </w:r>
      <w:r w:rsidR="00D00BAE" w:rsidRPr="000E25B8">
        <w:t xml:space="preserve">oordination </w:t>
      </w:r>
      <w:r w:rsidR="00D00BAE">
        <w:t>G</w:t>
      </w:r>
      <w:r w:rsidR="00D00BAE" w:rsidRPr="000E25B8">
        <w:t>roup</w:t>
      </w:r>
      <w:r>
        <w:t>)</w:t>
      </w:r>
      <w:r w:rsidR="00FD7021">
        <w:t xml:space="preserve"> and</w:t>
      </w:r>
      <w:r w:rsidRPr="000E25B8">
        <w:t xml:space="preserve"> separate </w:t>
      </w:r>
      <w:r w:rsidR="008A3C8F" w:rsidRPr="000E25B8">
        <w:t xml:space="preserve">bilateral and multilateral </w:t>
      </w:r>
      <w:r w:rsidR="00D53E9B" w:rsidRPr="000E25B8">
        <w:t>discussion</w:t>
      </w:r>
      <w:r w:rsidRPr="000E25B8">
        <w:t xml:space="preserve">s with relevant parties. </w:t>
      </w:r>
      <w:r w:rsidR="00FD7021">
        <w:t>This informal phase</w:t>
      </w:r>
      <w:r w:rsidR="00520EF6">
        <w:t xml:space="preserve">, occurring </w:t>
      </w:r>
      <w:r w:rsidR="00520EF6" w:rsidRPr="00E465B4">
        <w:t>over</w:t>
      </w:r>
      <w:r w:rsidR="00FD7021" w:rsidRPr="00D379F3">
        <w:t xml:space="preserve"> </w:t>
      </w:r>
      <w:r w:rsidR="00520EF6" w:rsidRPr="00E465B4">
        <w:t>July</w:t>
      </w:r>
      <w:r w:rsidR="00520EF6">
        <w:t xml:space="preserve"> 2021 to January 2022,</w:t>
      </w:r>
      <w:r w:rsidR="00FD7021">
        <w:t xml:space="preserve"> </w:t>
      </w:r>
      <w:r w:rsidR="00745FA1">
        <w:t xml:space="preserve">resulted in two </w:t>
      </w:r>
      <w:r w:rsidR="00FD7021">
        <w:t xml:space="preserve">possible approaches </w:t>
      </w:r>
      <w:r w:rsidR="00745FA1">
        <w:t>for managing coexistence between WBB and RAs</w:t>
      </w:r>
      <w:r w:rsidR="00100157">
        <w:t xml:space="preserve">. These were published in </w:t>
      </w:r>
      <w:r w:rsidR="00EC30F9">
        <w:t xml:space="preserve">the </w:t>
      </w:r>
      <w:hyperlink r:id="rId31" w:history="1">
        <w:r w:rsidR="00EC30F9" w:rsidRPr="00D7779E">
          <w:rPr>
            <w:rStyle w:val="Hyperlink"/>
          </w:rPr>
          <w:t>releasing 3400-4000 MHz in remote areas</w:t>
        </w:r>
      </w:hyperlink>
      <w:r w:rsidR="00EC30F9">
        <w:t xml:space="preserve"> </w:t>
      </w:r>
      <w:r w:rsidR="00100157">
        <w:t xml:space="preserve">consultation paper in March </w:t>
      </w:r>
      <w:r w:rsidR="00D77AF2">
        <w:t>2022</w:t>
      </w:r>
      <w:r w:rsidR="00100157">
        <w:t>, and</w:t>
      </w:r>
      <w:r w:rsidR="00FD7021">
        <w:t xml:space="preserve"> requested formal feedback. </w:t>
      </w:r>
    </w:p>
    <w:p w14:paraId="54AA8888" w14:textId="08AFFC36" w:rsidR="008A3C8F" w:rsidRDefault="00652673" w:rsidP="00A824E8">
      <w:pPr>
        <w:pStyle w:val="Numberedparagraph"/>
      </w:pPr>
      <w:r>
        <w:t>The</w:t>
      </w:r>
      <w:r w:rsidR="00FD7021">
        <w:t xml:space="preserve"> approaches</w:t>
      </w:r>
      <w:r>
        <w:t xml:space="preserve"> identified</w:t>
      </w:r>
      <w:r w:rsidR="00FD7021">
        <w:t xml:space="preserve"> were</w:t>
      </w:r>
      <w:r>
        <w:t xml:space="preserve"> </w:t>
      </w:r>
      <w:r w:rsidR="00FD7021">
        <w:t>– either no additional specific mitigations required beyond the existing 200 MHz guard</w:t>
      </w:r>
      <w:r>
        <w:t xml:space="preserve"> </w:t>
      </w:r>
      <w:r w:rsidR="00FD7021">
        <w:t>band</w:t>
      </w:r>
      <w:r w:rsidR="00832130">
        <w:t>,</w:t>
      </w:r>
      <w:r w:rsidR="00FD7021">
        <w:t xml:space="preserve"> or </w:t>
      </w:r>
      <w:r>
        <w:t>additional</w:t>
      </w:r>
      <w:r w:rsidR="00FD7021">
        <w:t xml:space="preserve"> </w:t>
      </w:r>
      <w:r>
        <w:t>mitigations. The approach that contemplated additional mitigations was</w:t>
      </w:r>
      <w:r w:rsidR="00FD7021">
        <w:t xml:space="preserve"> based in part o</w:t>
      </w:r>
      <w:r>
        <w:t>n</w:t>
      </w:r>
      <w:r w:rsidR="00FD7021">
        <w:t xml:space="preserve"> those adopted in</w:t>
      </w:r>
      <w:r>
        <w:t xml:space="preserve"> some </w:t>
      </w:r>
      <w:r w:rsidR="00FD7021">
        <w:t xml:space="preserve">other </w:t>
      </w:r>
      <w:r>
        <w:t>jurisdictions</w:t>
      </w:r>
      <w:r w:rsidR="00FD7021">
        <w:t xml:space="preserve"> </w:t>
      </w:r>
      <w:r>
        <w:t xml:space="preserve">worldwide. These </w:t>
      </w:r>
      <w:r w:rsidR="00FD7021">
        <w:t xml:space="preserve">included measures such as exclusion and </w:t>
      </w:r>
      <w:r>
        <w:t xml:space="preserve">restricted </w:t>
      </w:r>
      <w:r w:rsidR="00FD7021">
        <w:t>zone</w:t>
      </w:r>
      <w:r>
        <w:t>s</w:t>
      </w:r>
      <w:r w:rsidR="00FD7021">
        <w:t xml:space="preserve"> around some airports</w:t>
      </w:r>
      <w:r w:rsidR="00797EFB">
        <w:t>,</w:t>
      </w:r>
      <w:r>
        <w:t xml:space="preserve"> where </w:t>
      </w:r>
      <w:r w:rsidR="00FB5D3A">
        <w:t>WBB</w:t>
      </w:r>
      <w:r>
        <w:t xml:space="preserve"> deployments </w:t>
      </w:r>
      <w:r w:rsidR="00FA72EC">
        <w:t>are</w:t>
      </w:r>
      <w:r>
        <w:t xml:space="preserve"> prohibited or in some way constrained</w:t>
      </w:r>
      <w:r w:rsidR="00FD7021">
        <w:t xml:space="preserve">. </w:t>
      </w:r>
    </w:p>
    <w:p w14:paraId="566B3C95" w14:textId="05021BBB" w:rsidR="00F85877" w:rsidRPr="000E25B8" w:rsidRDefault="00F85877" w:rsidP="00A824E8">
      <w:pPr>
        <w:pStyle w:val="Numberedparagraph"/>
      </w:pPr>
      <w:r>
        <w:t xml:space="preserve">The ACMA then considered submissions to the 3400-4000 MHz in remote areas consultation and has prepared this paper to summarise, as much as practicable, all work on the issue </w:t>
      </w:r>
      <w:r w:rsidR="0026173D">
        <w:t xml:space="preserve">globally </w:t>
      </w:r>
      <w:r>
        <w:t>and our current proposal.</w:t>
      </w:r>
    </w:p>
    <w:p w14:paraId="0D58C8A8" w14:textId="4907BBC4" w:rsidR="00C81489" w:rsidRPr="000E25B8" w:rsidRDefault="00C81489" w:rsidP="00A824E8">
      <w:pPr>
        <w:pStyle w:val="Numberedparagraph"/>
      </w:pPr>
      <w:r>
        <w:lastRenderedPageBreak/>
        <w:t>In the considerations for ACMA decision-making outside of remote areas</w:t>
      </w:r>
      <w:r w:rsidR="00F512D9">
        <w:t xml:space="preserve"> in the band</w:t>
      </w:r>
      <w:r w:rsidR="008D539F">
        <w:t xml:space="preserve">, as described in the </w:t>
      </w:r>
      <w:hyperlink r:id="rId32" w:history="1">
        <w:r w:rsidR="008D539F" w:rsidRPr="008D539F">
          <w:rPr>
            <w:rStyle w:val="Hyperlink"/>
          </w:rPr>
          <w:t xml:space="preserve">Proposed spectrum re-allocation for the 3.4 GHz and 3.7 GHz </w:t>
        </w:r>
        <w:r w:rsidR="008D539F" w:rsidRPr="008D539F" w:rsidDel="000705C3">
          <w:rPr>
            <w:rStyle w:val="Hyperlink"/>
          </w:rPr>
          <w:t>bands</w:t>
        </w:r>
        <w:r w:rsidR="000705C3" w:rsidRPr="008D539F">
          <w:rPr>
            <w:rStyle w:val="Hyperlink"/>
          </w:rPr>
          <w:t xml:space="preserve"> Outcomes</w:t>
        </w:r>
        <w:r w:rsidR="008D539F" w:rsidRPr="008D539F">
          <w:rPr>
            <w:rStyle w:val="Hyperlink"/>
          </w:rPr>
          <w:t xml:space="preserve"> paper</w:t>
        </w:r>
      </w:hyperlink>
      <w:r w:rsidR="008D539F">
        <w:t>,</w:t>
      </w:r>
      <w:r>
        <w:t xml:space="preserve"> </w:t>
      </w:r>
      <w:r w:rsidR="008D539F">
        <w:t>we are now proposing a low power restricted cell WBB allocation in regional and metro areas in the 3950-4000 MHz segment.</w:t>
      </w:r>
      <w:r w:rsidR="00832130">
        <w:t xml:space="preserve"> Our proposal for RAs also consider</w:t>
      </w:r>
      <w:r w:rsidR="00797EFB">
        <w:t>s</w:t>
      </w:r>
      <w:r w:rsidR="00832130">
        <w:t xml:space="preserve"> this lower powered use in that segment.</w:t>
      </w:r>
    </w:p>
    <w:p w14:paraId="49501C0C" w14:textId="77777777" w:rsidR="00356946" w:rsidRDefault="00356946" w:rsidP="00356946">
      <w:pPr>
        <w:pStyle w:val="Heading2"/>
      </w:pPr>
      <w:bookmarkStart w:id="5" w:name="_Ref106971368"/>
      <w:bookmarkStart w:id="6" w:name="_Toc116041868"/>
      <w:r>
        <w:t>Observations</w:t>
      </w:r>
      <w:bookmarkEnd w:id="5"/>
      <w:bookmarkEnd w:id="6"/>
    </w:p>
    <w:p w14:paraId="39E157A3" w14:textId="22349C4B" w:rsidR="00364018" w:rsidRDefault="00FA72EC" w:rsidP="00A824E8">
      <w:pPr>
        <w:pStyle w:val="Numberedparagraph"/>
      </w:pPr>
      <w:r>
        <w:t>The ACMA has made the following k</w:t>
      </w:r>
      <w:r w:rsidR="00364018">
        <w:t>ey observations</w:t>
      </w:r>
      <w:r>
        <w:t xml:space="preserve"> </w:t>
      </w:r>
      <w:r w:rsidR="00235D7A">
        <w:t>from</w:t>
      </w:r>
      <w:r>
        <w:t xml:space="preserve"> its investigations and industry engagement</w:t>
      </w:r>
      <w:r w:rsidR="007B24B8">
        <w:t xml:space="preserve"> so far</w:t>
      </w:r>
      <w:r w:rsidR="00364018">
        <w:t>:</w:t>
      </w:r>
    </w:p>
    <w:p w14:paraId="409D8BE4" w14:textId="0019A90B" w:rsidR="008A3C8F" w:rsidRDefault="008A3C8F" w:rsidP="00364018">
      <w:pPr>
        <w:pStyle w:val="Numberedparagraph"/>
        <w:numPr>
          <w:ilvl w:val="2"/>
          <w:numId w:val="13"/>
        </w:numPr>
      </w:pPr>
      <w:r>
        <w:t xml:space="preserve">There is a wide variation of views between </w:t>
      </w:r>
      <w:r w:rsidR="001C1B63">
        <w:t xml:space="preserve">domestic </w:t>
      </w:r>
      <w:r>
        <w:t>industry sectors</w:t>
      </w:r>
      <w:r w:rsidR="001C1B63">
        <w:t>:</w:t>
      </w:r>
      <w:r>
        <w:t xml:space="preserve"> </w:t>
      </w:r>
    </w:p>
    <w:p w14:paraId="2358028C" w14:textId="32318476" w:rsidR="00D53E9B" w:rsidRDefault="00520EF6" w:rsidP="00D53E9B">
      <w:pPr>
        <w:pStyle w:val="Numberedparagraph"/>
        <w:numPr>
          <w:ilvl w:val="3"/>
          <w:numId w:val="13"/>
        </w:numPr>
      </w:pPr>
      <w:r>
        <w:t xml:space="preserve">The </w:t>
      </w:r>
      <w:r w:rsidR="00FB5D3A">
        <w:t>WBB</w:t>
      </w:r>
      <w:r w:rsidR="00D53E9B">
        <w:t xml:space="preserve"> </w:t>
      </w:r>
      <w:r w:rsidR="00634CD0">
        <w:t>sector</w:t>
      </w:r>
      <w:r w:rsidR="00FA72EC">
        <w:t xml:space="preserve"> </w:t>
      </w:r>
      <w:r>
        <w:t xml:space="preserve">is </w:t>
      </w:r>
      <w:r w:rsidR="00D53E9B">
        <w:t>not supportive of additional mitigations beyond the 200 MHz guard band</w:t>
      </w:r>
      <w:r w:rsidR="00832130">
        <w:t>,</w:t>
      </w:r>
      <w:r w:rsidR="00D53E9B">
        <w:t xml:space="preserve"> citing no </w:t>
      </w:r>
      <w:r w:rsidR="00FD117C">
        <w:t xml:space="preserve">confirmed </w:t>
      </w:r>
      <w:r w:rsidR="00D53E9B">
        <w:t>reports of interference globally</w:t>
      </w:r>
      <w:r w:rsidR="00634CD0">
        <w:t>.</w:t>
      </w:r>
    </w:p>
    <w:p w14:paraId="51E041E0" w14:textId="30B36987" w:rsidR="00D53E9B" w:rsidRDefault="00520EF6" w:rsidP="00D53E9B">
      <w:pPr>
        <w:pStyle w:val="Numberedparagraph"/>
        <w:numPr>
          <w:ilvl w:val="3"/>
          <w:numId w:val="13"/>
        </w:numPr>
      </w:pPr>
      <w:r>
        <w:t>The a</w:t>
      </w:r>
      <w:r w:rsidR="00D53E9B">
        <w:t>viation sector</w:t>
      </w:r>
      <w:r>
        <w:t xml:space="preserve"> is</w:t>
      </w:r>
      <w:r w:rsidR="00D53E9B">
        <w:t xml:space="preserve"> </w:t>
      </w:r>
      <w:r w:rsidR="00FA72EC">
        <w:t>supportive of additional mitigations</w:t>
      </w:r>
      <w:r w:rsidR="00832130">
        <w:t>,</w:t>
      </w:r>
      <w:r w:rsidR="00FA72EC">
        <w:t xml:space="preserve"> citing the </w:t>
      </w:r>
      <w:r w:rsidR="00634CD0">
        <w:t xml:space="preserve">critical </w:t>
      </w:r>
      <w:r w:rsidR="00FA72EC">
        <w:t xml:space="preserve">safety </w:t>
      </w:r>
      <w:r>
        <w:t xml:space="preserve">and operational </w:t>
      </w:r>
      <w:r w:rsidR="00FA72EC">
        <w:t xml:space="preserve">aspects of </w:t>
      </w:r>
      <w:r w:rsidR="00634CD0">
        <w:t>RA use in aviation and the results of some studies</w:t>
      </w:r>
      <w:r w:rsidR="00FD117C">
        <w:t xml:space="preserve"> that indicate the potential for interference</w:t>
      </w:r>
      <w:r w:rsidR="00634CD0">
        <w:t>.</w:t>
      </w:r>
    </w:p>
    <w:p w14:paraId="565A7D7A" w14:textId="45563674" w:rsidR="008A3C8F" w:rsidRDefault="00FA72EC" w:rsidP="00364018">
      <w:pPr>
        <w:pStyle w:val="Numberedparagraph"/>
        <w:numPr>
          <w:ilvl w:val="2"/>
          <w:numId w:val="13"/>
        </w:numPr>
      </w:pPr>
      <w:r>
        <w:t xml:space="preserve">The ACMA is not aware of any </w:t>
      </w:r>
      <w:r w:rsidR="008A3C8F">
        <w:t xml:space="preserve">confirmed </w:t>
      </w:r>
      <w:r>
        <w:t>instances</w:t>
      </w:r>
      <w:r w:rsidR="008A3C8F">
        <w:t xml:space="preserve"> </w:t>
      </w:r>
      <w:r w:rsidR="00D53E9B">
        <w:t>of</w:t>
      </w:r>
      <w:r w:rsidR="008A3C8F">
        <w:t xml:space="preserve"> </w:t>
      </w:r>
      <w:r w:rsidR="00D53E9B">
        <w:t>interference</w:t>
      </w:r>
      <w:r w:rsidR="008A3C8F">
        <w:t xml:space="preserve"> to RAs</w:t>
      </w:r>
      <w:r w:rsidR="00D53E9B">
        <w:t xml:space="preserve"> with an identified </w:t>
      </w:r>
      <w:r w:rsidR="00CB1E2E">
        <w:t>causal</w:t>
      </w:r>
      <w:r w:rsidR="00D53E9B">
        <w:t xml:space="preserve"> </w:t>
      </w:r>
      <w:r w:rsidR="00CB1E2E">
        <w:t>link</w:t>
      </w:r>
      <w:r w:rsidR="00D53E9B">
        <w:t xml:space="preserve"> </w:t>
      </w:r>
      <w:r w:rsidR="00CB1E2E">
        <w:t>to</w:t>
      </w:r>
      <w:r w:rsidR="00D53E9B">
        <w:t xml:space="preserve"> </w:t>
      </w:r>
      <w:r w:rsidR="00FB5D3A">
        <w:t>WBB</w:t>
      </w:r>
      <w:r w:rsidR="00D53E9B">
        <w:t xml:space="preserve"> </w:t>
      </w:r>
      <w:r w:rsidR="00D53E9B" w:rsidDel="008E57E1">
        <w:t>deployments</w:t>
      </w:r>
      <w:r w:rsidR="00BB0696" w:rsidDel="008E57E1">
        <w:t xml:space="preserve"> but</w:t>
      </w:r>
      <w:r w:rsidR="00BB0696">
        <w:t xml:space="preserve"> notes that making a causal link from any</w:t>
      </w:r>
      <w:r w:rsidR="0026173D">
        <w:t xml:space="preserve"> operational</w:t>
      </w:r>
      <w:r w:rsidR="00BB0696">
        <w:t xml:space="preserve"> instance</w:t>
      </w:r>
      <w:r w:rsidR="0026173D">
        <w:t>, as opposed to a controlled trial,</w:t>
      </w:r>
      <w:r w:rsidR="00BB0696">
        <w:t xml:space="preserve"> is difficult</w:t>
      </w:r>
      <w:r w:rsidR="00864856">
        <w:t xml:space="preserve">. </w:t>
      </w:r>
      <w:r w:rsidR="00D53E9B">
        <w:t xml:space="preserve"> </w:t>
      </w:r>
    </w:p>
    <w:p w14:paraId="3099C9AA" w14:textId="649B9E8E" w:rsidR="008A3C8F" w:rsidRDefault="00864856" w:rsidP="00364018">
      <w:pPr>
        <w:pStyle w:val="Numberedparagraph"/>
        <w:numPr>
          <w:ilvl w:val="2"/>
          <w:numId w:val="13"/>
        </w:numPr>
      </w:pPr>
      <w:r>
        <w:t>There is a w</w:t>
      </w:r>
      <w:r w:rsidR="008A3C8F">
        <w:t xml:space="preserve">ide variation in </w:t>
      </w:r>
      <w:r w:rsidR="00D53E9B">
        <w:t>approaches</w:t>
      </w:r>
      <w:r w:rsidR="008A3C8F">
        <w:t xml:space="preserve"> by </w:t>
      </w:r>
      <w:r w:rsidR="00D53E9B">
        <w:t>national</w:t>
      </w:r>
      <w:r w:rsidR="008A3C8F">
        <w:t xml:space="preserve"> spectrum </w:t>
      </w:r>
      <w:r w:rsidR="00D53E9B">
        <w:t>regulators</w:t>
      </w:r>
      <w:r w:rsidR="008A3C8F">
        <w:t xml:space="preserve"> in</w:t>
      </w:r>
      <w:r w:rsidR="00D53E9B">
        <w:t xml:space="preserve"> implementing</w:t>
      </w:r>
      <w:r w:rsidR="008A3C8F">
        <w:t xml:space="preserve"> </w:t>
      </w:r>
      <w:r w:rsidR="00FB5D3A">
        <w:t>WBB</w:t>
      </w:r>
      <w:r w:rsidR="008A3C8F">
        <w:t xml:space="preserve"> </w:t>
      </w:r>
      <w:r w:rsidR="00D53E9B">
        <w:t>in bands nearby to RA</w:t>
      </w:r>
      <w:r w:rsidR="00E465B4">
        <w:t>s</w:t>
      </w:r>
      <w:r>
        <w:t>.</w:t>
      </w:r>
      <w:r w:rsidR="00D53E9B">
        <w:t xml:space="preserve"> </w:t>
      </w:r>
      <w:r>
        <w:t>These range from</w:t>
      </w:r>
      <w:r w:rsidR="008A3C8F">
        <w:t xml:space="preserve"> no guard</w:t>
      </w:r>
      <w:r w:rsidR="00D53E9B">
        <w:t xml:space="preserve"> </w:t>
      </w:r>
      <w:r w:rsidR="008A3C8F">
        <w:t>band</w:t>
      </w:r>
      <w:r w:rsidR="00D53E9B">
        <w:t xml:space="preserve"> </w:t>
      </w:r>
      <w:r w:rsidR="008A3C8F">
        <w:t xml:space="preserve">and no specific </w:t>
      </w:r>
      <w:r w:rsidR="00D53E9B">
        <w:t>mitigations</w:t>
      </w:r>
      <w:r w:rsidR="008A3C8F">
        <w:t xml:space="preserve"> for </w:t>
      </w:r>
      <w:r w:rsidR="00D53E9B">
        <w:t>coexistence</w:t>
      </w:r>
      <w:r w:rsidR="008A3C8F">
        <w:t xml:space="preserve"> with RAs, to various sized guard</w:t>
      </w:r>
      <w:r w:rsidR="00D53E9B">
        <w:t xml:space="preserve"> </w:t>
      </w:r>
      <w:r w:rsidR="008A3C8F">
        <w:t>band</w:t>
      </w:r>
      <w:r w:rsidR="008D4CD2">
        <w:t>s</w:t>
      </w:r>
      <w:r w:rsidR="008A3C8F">
        <w:t xml:space="preserve"> and </w:t>
      </w:r>
      <w:r w:rsidR="00D53E9B">
        <w:t>additional</w:t>
      </w:r>
      <w:r w:rsidR="008A3C8F">
        <w:t xml:space="preserve"> </w:t>
      </w:r>
      <w:r w:rsidR="00D53E9B">
        <w:t>mitigations, including exclusion</w:t>
      </w:r>
      <w:r>
        <w:t xml:space="preserve"> and restricted</w:t>
      </w:r>
      <w:r w:rsidR="00D53E9B">
        <w:t xml:space="preserve"> areas around certain airports</w:t>
      </w:r>
      <w:r>
        <w:t xml:space="preserve"> and other general constraints on </w:t>
      </w:r>
      <w:r w:rsidR="00FB5D3A">
        <w:t>WBB</w:t>
      </w:r>
      <w:r>
        <w:t xml:space="preserve"> deployments. </w:t>
      </w:r>
      <w:r w:rsidR="008A3C8F">
        <w:t xml:space="preserve"> </w:t>
      </w:r>
      <w:r w:rsidR="00B01125">
        <w:t>We note, however, that some regulators may not have considered the specific issue</w:t>
      </w:r>
      <w:r w:rsidR="00AC7423">
        <w:t xml:space="preserve"> when deciding planning arrangements</w:t>
      </w:r>
      <w:r w:rsidR="00B01125">
        <w:t>.</w:t>
      </w:r>
    </w:p>
    <w:p w14:paraId="4E863220" w14:textId="076DDD0E" w:rsidR="00715722" w:rsidRDefault="008E2AB9">
      <w:pPr>
        <w:pStyle w:val="Numberedparagraph"/>
        <w:numPr>
          <w:ilvl w:val="2"/>
          <w:numId w:val="13"/>
        </w:numPr>
      </w:pPr>
      <w:r>
        <w:t xml:space="preserve">There is inconsistency between theoretical studies and empirical evidence from real world deployments. Some studies (highly dependent on input parameters and other assumptions) indicate that, under some circumstances, interference may occur to RAs. However, the absence of confirmed interference events to RAs which are causally linked to extensive WBB deployments in many countries does not align with these theoretical observations. This may be a result of either flaws in the studies indicating the possibility of interference when there is none, and/or the nature of actual interference to RAs is such that to date it has not been properly identified or able to be causally linked with sufficient confidence. </w:t>
      </w:r>
    </w:p>
    <w:p w14:paraId="0C263FB3" w14:textId="3C7EF228" w:rsidR="00634CD0" w:rsidRDefault="008E2AB9" w:rsidP="00364018">
      <w:pPr>
        <w:pStyle w:val="Numberedparagraph"/>
        <w:numPr>
          <w:ilvl w:val="2"/>
          <w:numId w:val="13"/>
        </w:numPr>
      </w:pPr>
      <w:r>
        <w:t>The spectrum management coexistence performance of some</w:t>
      </w:r>
      <w:r>
        <w:rPr>
          <w:rStyle w:val="FootnoteReference"/>
        </w:rPr>
        <w:footnoteReference w:id="2"/>
      </w:r>
      <w:r>
        <w:t xml:space="preserve"> current RAs appears to be generally poor and not conducive to good spectrum management outcomes. This is characterised by industry testing</w:t>
      </w:r>
      <w:r>
        <w:rPr>
          <w:rStyle w:val="FootnoteReference"/>
        </w:rPr>
        <w:footnoteReference w:id="3"/>
      </w:r>
      <w:r>
        <w:t xml:space="preserve"> that indicates apparent susceptibility of RAs to operation of WBB devices far (100s of MHz) from the RA operating band via a mechanism whereby fundamental WBB emissions interact with RA operation due to poor RA filter performance. While the current use of spectrum nearby to the RA band is changing through the increased use for WBB under mobile and </w:t>
      </w:r>
      <w:r>
        <w:lastRenderedPageBreak/>
        <w:t>fixed service allocations, the regulatory environment in terms of service allocations has remained the same for many years. It appears that</w:t>
      </w:r>
      <w:r w:rsidR="00832130">
        <w:t>,</w:t>
      </w:r>
      <w:r>
        <w:t xml:space="preserve"> to date</w:t>
      </w:r>
      <w:r w:rsidR="00832130">
        <w:t>,</w:t>
      </w:r>
      <w:r>
        <w:t xml:space="preserve"> some RA devices and standards have not adequately considered the spectrum environment that they are intended to operate within.  This situation is being improved through the retrofitting of filters to existing RAs in the US to be completed by July 2023</w:t>
      </w:r>
      <w:r w:rsidR="00832130">
        <w:t>,</w:t>
      </w:r>
      <w:r>
        <w:t xml:space="preserve"> and work underway within industry to develop new RA standards</w:t>
      </w:r>
      <w:r w:rsidR="0012492A">
        <w:t xml:space="preserve">. </w:t>
      </w:r>
    </w:p>
    <w:p w14:paraId="6AEAD7D6" w14:textId="0AEAB19F" w:rsidR="00FA0A83" w:rsidRDefault="009F3C1D" w:rsidP="000D53BB">
      <w:pPr>
        <w:pStyle w:val="Heading2"/>
      </w:pPr>
      <w:bookmarkStart w:id="7" w:name="_Toc116041869"/>
      <w:r>
        <w:t>P</w:t>
      </w:r>
      <w:r w:rsidR="00176705">
        <w:t xml:space="preserve">roposed </w:t>
      </w:r>
      <w:r w:rsidR="000D53BB">
        <w:t>approach</w:t>
      </w:r>
      <w:bookmarkEnd w:id="7"/>
    </w:p>
    <w:p w14:paraId="35993620" w14:textId="2378A364" w:rsidR="005114FA" w:rsidRDefault="005114FA" w:rsidP="00A824E8">
      <w:pPr>
        <w:pStyle w:val="Numberedparagraph"/>
      </w:pPr>
      <w:r>
        <w:t xml:space="preserve">The theoretical studies and empirical evidence </w:t>
      </w:r>
      <w:r w:rsidR="000D6F56">
        <w:t xml:space="preserve">from real world </w:t>
      </w:r>
      <w:r w:rsidR="00A526CE">
        <w:t>deployments</w:t>
      </w:r>
      <w:r>
        <w:t xml:space="preserve"> regarding the coexistence of </w:t>
      </w:r>
      <w:r w:rsidR="00D4562C">
        <w:t>RAs</w:t>
      </w:r>
      <w:r>
        <w:t xml:space="preserve"> and </w:t>
      </w:r>
      <w:r w:rsidR="00FB5D3A">
        <w:t>WBB</w:t>
      </w:r>
      <w:r>
        <w:t xml:space="preserve"> do not provide a definitive picture of </w:t>
      </w:r>
      <w:r w:rsidR="00BB4205">
        <w:t xml:space="preserve">the </w:t>
      </w:r>
      <w:r w:rsidR="005047D7">
        <w:t xml:space="preserve">true </w:t>
      </w:r>
      <w:r w:rsidR="00D007F7">
        <w:t>likelihood of interference</w:t>
      </w:r>
      <w:r w:rsidR="00BB4205">
        <w:t xml:space="preserve"> </w:t>
      </w:r>
      <w:r w:rsidR="00D007F7">
        <w:t xml:space="preserve">to </w:t>
      </w:r>
      <w:r w:rsidR="00D4562C">
        <w:t>RAs</w:t>
      </w:r>
      <w:r>
        <w:t xml:space="preserve">. </w:t>
      </w:r>
      <w:r w:rsidR="00BB4205">
        <w:t>S</w:t>
      </w:r>
      <w:r w:rsidR="008E567B">
        <w:t>ome lack of certainty and</w:t>
      </w:r>
      <w:r>
        <w:t xml:space="preserve"> consensus on spectrum coexistence </w:t>
      </w:r>
      <w:r w:rsidR="00BB4205">
        <w:t>matters</w:t>
      </w:r>
      <w:r>
        <w:t xml:space="preserve"> is not unusual</w:t>
      </w:r>
      <w:r w:rsidR="00622277">
        <w:t>,</w:t>
      </w:r>
      <w:r>
        <w:t xml:space="preserve"> given the differing perspectives and motivations of stakeholders</w:t>
      </w:r>
      <w:r w:rsidR="00365135">
        <w:t xml:space="preserve">, noting </w:t>
      </w:r>
      <w:r w:rsidR="00BB4205">
        <w:t xml:space="preserve">that coexistence is </w:t>
      </w:r>
      <w:r w:rsidR="00D7779E">
        <w:t xml:space="preserve">often </w:t>
      </w:r>
      <w:r w:rsidR="00BB4205">
        <w:t xml:space="preserve">informed by theoretical modelling with </w:t>
      </w:r>
      <w:r w:rsidR="006C0B57">
        <w:t>associated</w:t>
      </w:r>
      <w:r w:rsidR="00BB4205">
        <w:t xml:space="preserve"> inherent limitations</w:t>
      </w:r>
      <w:r w:rsidR="008E567B">
        <w:t>.</w:t>
      </w:r>
      <w:r>
        <w:t xml:space="preserve"> </w:t>
      </w:r>
      <w:r w:rsidR="008E567B">
        <w:t xml:space="preserve">However, </w:t>
      </w:r>
      <w:r>
        <w:t xml:space="preserve">the critical nature of </w:t>
      </w:r>
      <w:r w:rsidR="00D4562C">
        <w:t>RAs</w:t>
      </w:r>
      <w:r w:rsidR="008E567B">
        <w:t xml:space="preserve"> in some use cases</w:t>
      </w:r>
      <w:r>
        <w:t xml:space="preserve">, makes this lack </w:t>
      </w:r>
      <w:r w:rsidR="003660D1">
        <w:t xml:space="preserve">of </w:t>
      </w:r>
      <w:r w:rsidR="00D007F7">
        <w:t xml:space="preserve">definitive </w:t>
      </w:r>
      <w:r w:rsidR="0084038A">
        <w:t xml:space="preserve">evidence </w:t>
      </w:r>
      <w:r>
        <w:t xml:space="preserve">more challenging than </w:t>
      </w:r>
      <w:r w:rsidR="00D7779E">
        <w:t>usual</w:t>
      </w:r>
      <w:r>
        <w:t xml:space="preserve">. </w:t>
      </w:r>
    </w:p>
    <w:p w14:paraId="04906DB0" w14:textId="52031240" w:rsidR="00EC30F9" w:rsidRDefault="00EC30F9" w:rsidP="00A824E8">
      <w:pPr>
        <w:pStyle w:val="Numberedparagraph"/>
      </w:pPr>
      <w:r>
        <w:t xml:space="preserve">Given these circumstances, the ACMA </w:t>
      </w:r>
      <w:r w:rsidR="00357D44">
        <w:t xml:space="preserve">currently </w:t>
      </w:r>
      <w:r>
        <w:t xml:space="preserve">considers it </w:t>
      </w:r>
      <w:r w:rsidR="00357D44">
        <w:t xml:space="preserve">appropriate </w:t>
      </w:r>
      <w:r>
        <w:t xml:space="preserve">to adopt a precautionary approach to the implementation of new </w:t>
      </w:r>
      <w:r w:rsidR="00FB5D3A">
        <w:t>WBB</w:t>
      </w:r>
      <w:r>
        <w:t xml:space="preserve"> uses</w:t>
      </w:r>
      <w:r w:rsidR="00622277">
        <w:t xml:space="preserve"> into this environment</w:t>
      </w:r>
      <w:r>
        <w:t xml:space="preserve">. This is </w:t>
      </w:r>
      <w:r w:rsidR="00357D44">
        <w:t xml:space="preserve">based </w:t>
      </w:r>
      <w:r>
        <w:t xml:space="preserve">on the concept that the absence </w:t>
      </w:r>
      <w:r w:rsidR="00BB4205">
        <w:t>o</w:t>
      </w:r>
      <w:r>
        <w:t xml:space="preserve">f definitive data </w:t>
      </w:r>
      <w:r w:rsidR="0067604C">
        <w:t>to accurately determine</w:t>
      </w:r>
      <w:r>
        <w:t xml:space="preserve"> </w:t>
      </w:r>
      <w:r w:rsidR="00D00BAE">
        <w:t>risk likelihood and consequence</w:t>
      </w:r>
      <w:r>
        <w:t xml:space="preserve"> (in</w:t>
      </w:r>
      <w:r w:rsidR="00BB4205">
        <w:t xml:space="preserve"> </w:t>
      </w:r>
      <w:r>
        <w:t xml:space="preserve">this </w:t>
      </w:r>
      <w:r w:rsidR="00BB4205">
        <w:t>risk of interference</w:t>
      </w:r>
      <w:r>
        <w:t xml:space="preserve"> to </w:t>
      </w:r>
      <w:r w:rsidR="00D4562C">
        <w:t>RAs</w:t>
      </w:r>
      <w:r>
        <w:t xml:space="preserve">) should not preclude action to mitigate the possible </w:t>
      </w:r>
      <w:r w:rsidR="00D00BAE">
        <w:t xml:space="preserve">risk </w:t>
      </w:r>
      <w:r>
        <w:t xml:space="preserve">through </w:t>
      </w:r>
      <w:r w:rsidR="00BB4205">
        <w:t xml:space="preserve">the adoption of prudent </w:t>
      </w:r>
      <w:r w:rsidR="00D00BAE">
        <w:t xml:space="preserve">controls (i.e. </w:t>
      </w:r>
      <w:r w:rsidR="005B1646">
        <w:t>r</w:t>
      </w:r>
      <w:r w:rsidR="00D00BAE">
        <w:t>egulatory</w:t>
      </w:r>
      <w:r>
        <w:t xml:space="preserve"> measures</w:t>
      </w:r>
      <w:r w:rsidR="00D00BAE">
        <w:t>)</w:t>
      </w:r>
      <w:r>
        <w:t>.</w:t>
      </w:r>
      <w:r w:rsidR="00BB4205">
        <w:t xml:space="preserve"> </w:t>
      </w:r>
      <w:r w:rsidR="00365135">
        <w:t>The consequences of</w:t>
      </w:r>
      <w:r w:rsidR="00BB4205">
        <w:t xml:space="preserve"> excessive or unnecessary regulatory restrictions on </w:t>
      </w:r>
      <w:r w:rsidR="00FB5D3A">
        <w:t>WBB</w:t>
      </w:r>
      <w:r w:rsidR="00BB4205">
        <w:t xml:space="preserve"> systems </w:t>
      </w:r>
      <w:r w:rsidR="00524137">
        <w:t>may</w:t>
      </w:r>
      <w:r w:rsidR="0067604C">
        <w:t>, however,</w:t>
      </w:r>
      <w:r w:rsidR="00BB4205">
        <w:t xml:space="preserve"> reduce the </w:t>
      </w:r>
      <w:r w:rsidR="00105661">
        <w:t xml:space="preserve">long-term </w:t>
      </w:r>
      <w:r w:rsidR="00BB4205">
        <w:t xml:space="preserve">benefits that these services can provide to the Australian community. </w:t>
      </w:r>
    </w:p>
    <w:p w14:paraId="651DAA0B" w14:textId="49485CD8" w:rsidR="001C6322" w:rsidRDefault="00BB4205" w:rsidP="00A824E8">
      <w:pPr>
        <w:pStyle w:val="Numberedparagraph"/>
      </w:pPr>
      <w:r>
        <w:t>It</w:t>
      </w:r>
      <w:r w:rsidR="00105661">
        <w:t xml:space="preserve"> is</w:t>
      </w:r>
      <w:r>
        <w:t xml:space="preserve"> in this context that the ACMA </w:t>
      </w:r>
      <w:r w:rsidR="00F44FC5">
        <w:t>propose</w:t>
      </w:r>
      <w:r w:rsidR="00A526CE">
        <w:t>s</w:t>
      </w:r>
      <w:r w:rsidR="00F44FC5">
        <w:t xml:space="preserve"> </w:t>
      </w:r>
      <w:r>
        <w:t>the following approach</w:t>
      </w:r>
      <w:r w:rsidR="001C6322">
        <w:rPr>
          <w:rStyle w:val="FootnoteReference"/>
        </w:rPr>
        <w:footnoteReference w:id="4"/>
      </w:r>
      <w:r w:rsidR="00F44FC5">
        <w:t>.</w:t>
      </w:r>
      <w:r>
        <w:t xml:space="preserve"> </w:t>
      </w:r>
      <w:r w:rsidR="00F44FC5">
        <w:t>This includes aspects that are</w:t>
      </w:r>
      <w:r w:rsidR="00D00BAE">
        <w:t xml:space="preserve"> </w:t>
      </w:r>
      <w:r w:rsidR="001C6322">
        <w:t xml:space="preserve">permanent and those which are of an </w:t>
      </w:r>
      <w:r>
        <w:t>interim</w:t>
      </w:r>
      <w:r w:rsidR="00496D12">
        <w:t>,</w:t>
      </w:r>
      <w:r w:rsidR="00F44FC5">
        <w:t xml:space="preserve"> time limited</w:t>
      </w:r>
      <w:r w:rsidR="00496D12">
        <w:t>,</w:t>
      </w:r>
      <w:r w:rsidR="00F44FC5">
        <w:t xml:space="preserve"> </w:t>
      </w:r>
      <w:r w:rsidR="001C6322">
        <w:t>nature for WBB depl</w:t>
      </w:r>
      <w:r w:rsidR="000D6F56">
        <w:t>o</w:t>
      </w:r>
      <w:r w:rsidR="001C6322">
        <w:t>yments above 3800 MHz</w:t>
      </w:r>
      <w:r w:rsidR="00F44FC5">
        <w:t xml:space="preserve">. </w:t>
      </w:r>
      <w:r w:rsidR="00496D12">
        <w:t>The proposed inte</w:t>
      </w:r>
      <w:r w:rsidR="0012492A">
        <w:t>r</w:t>
      </w:r>
      <w:r w:rsidR="00496D12">
        <w:t>im arrangements consist of those applicable to specific airports designed to address landing scenarios, and those of a general nature applicable everywhere.</w:t>
      </w:r>
      <w:r w:rsidR="00496D12" w:rsidRPr="00496D12">
        <w:t xml:space="preserve"> </w:t>
      </w:r>
      <w:r w:rsidR="00496D12">
        <w:t xml:space="preserve">A detailed presentation and discussion on this approach and the supporting basis is provided in </w:t>
      </w:r>
      <w:r w:rsidR="00496D12" w:rsidRPr="009D33B1">
        <w:rPr>
          <w:i/>
          <w:iCs/>
          <w:highlight w:val="yellow"/>
        </w:rPr>
        <w:fldChar w:fldCharType="begin"/>
      </w:r>
      <w:r w:rsidR="00496D12" w:rsidRPr="009D33B1">
        <w:rPr>
          <w:i/>
          <w:iCs/>
          <w:highlight w:val="yellow"/>
        </w:rPr>
        <w:instrText xml:space="preserve"> REF _Ref106371120 \h  \* MERGEFORMAT </w:instrText>
      </w:r>
      <w:r w:rsidR="00496D12" w:rsidRPr="009D33B1">
        <w:rPr>
          <w:i/>
          <w:iCs/>
          <w:highlight w:val="yellow"/>
        </w:rPr>
      </w:r>
      <w:r w:rsidR="00496D12" w:rsidRPr="009D33B1">
        <w:rPr>
          <w:i/>
          <w:iCs/>
          <w:highlight w:val="yellow"/>
        </w:rPr>
        <w:fldChar w:fldCharType="separate"/>
      </w:r>
      <w:r w:rsidR="009C0E98">
        <w:t xml:space="preserve">Appendix D: </w:t>
      </w:r>
      <w:r w:rsidR="009C0E98" w:rsidRPr="00695A13">
        <w:rPr>
          <w:i/>
          <w:iCs/>
        </w:rPr>
        <w:t>Development</w:t>
      </w:r>
      <w:r w:rsidR="009C0E98">
        <w:t xml:space="preserve"> of </w:t>
      </w:r>
      <w:r w:rsidR="009C0E98" w:rsidRPr="00695A13">
        <w:rPr>
          <w:i/>
          <w:iCs/>
        </w:rPr>
        <w:t>proposed interim mitigations</w:t>
      </w:r>
      <w:r w:rsidR="00496D12" w:rsidRPr="009D33B1">
        <w:rPr>
          <w:i/>
          <w:iCs/>
          <w:highlight w:val="yellow"/>
        </w:rPr>
        <w:fldChar w:fldCharType="end"/>
      </w:r>
      <w:r w:rsidR="00496D12" w:rsidRPr="001C6322">
        <w:rPr>
          <w:i/>
          <w:iCs/>
        </w:rPr>
        <w:t>.</w:t>
      </w:r>
      <w:r>
        <w:t xml:space="preserve"> </w:t>
      </w:r>
    </w:p>
    <w:p w14:paraId="06E38157" w14:textId="62CE786F" w:rsidR="00524F67" w:rsidRPr="00EF23CB" w:rsidRDefault="00524F67" w:rsidP="00A824E8">
      <w:pPr>
        <w:pStyle w:val="Numberedparagraph"/>
        <w:rPr>
          <w:u w:val="single"/>
        </w:rPr>
      </w:pPr>
      <w:r w:rsidRPr="00EF23CB">
        <w:rPr>
          <w:u w:val="single"/>
        </w:rPr>
        <w:t>Permanent mitigations:</w:t>
      </w:r>
    </w:p>
    <w:p w14:paraId="3FFE1DA4" w14:textId="5D824BB1" w:rsidR="00A0178F" w:rsidRDefault="00EA1F24" w:rsidP="00EA1F24">
      <w:pPr>
        <w:pStyle w:val="Numberedparagraph"/>
        <w:numPr>
          <w:ilvl w:val="2"/>
          <w:numId w:val="13"/>
        </w:numPr>
      </w:pPr>
      <w:r>
        <w:t xml:space="preserve">A </w:t>
      </w:r>
      <w:r w:rsidR="00A0178F">
        <w:t>200 MHz guard band</w:t>
      </w:r>
      <w:r w:rsidR="00832130">
        <w:t>,</w:t>
      </w:r>
      <w:r w:rsidR="00A0178F">
        <w:t xml:space="preserve"> 4000</w:t>
      </w:r>
      <w:r w:rsidR="00832130">
        <w:t xml:space="preserve"> </w:t>
      </w:r>
      <w:r w:rsidR="00832130" w:rsidRPr="00B728C9">
        <w:t xml:space="preserve">– </w:t>
      </w:r>
      <w:r w:rsidR="00A0178F">
        <w:t>4200 MHz</w:t>
      </w:r>
      <w:r w:rsidR="00832130">
        <w:t>,</w:t>
      </w:r>
      <w:r w:rsidR="00A0178F">
        <w:t xml:space="preserve"> where </w:t>
      </w:r>
      <w:r w:rsidR="00FB5D3A">
        <w:t>WBB</w:t>
      </w:r>
      <w:r w:rsidR="00A0178F">
        <w:t xml:space="preserve"> deployments will not be permitted (already determined)</w:t>
      </w:r>
      <w:r w:rsidR="00832130">
        <w:t>.</w:t>
      </w:r>
    </w:p>
    <w:p w14:paraId="62FD395E" w14:textId="0F57282F" w:rsidR="008F5A04" w:rsidRDefault="004416F1" w:rsidP="008F5A04">
      <w:pPr>
        <w:pStyle w:val="Numberedparagraph"/>
        <w:numPr>
          <w:ilvl w:val="2"/>
          <w:numId w:val="13"/>
        </w:numPr>
      </w:pPr>
      <w:bookmarkStart w:id="8" w:name="_Hlk115781184"/>
      <w:r w:rsidRPr="009D33B1">
        <w:t>F</w:t>
      </w:r>
      <w:r w:rsidR="00524F67" w:rsidRPr="009D33B1">
        <w:t>or all WBB</w:t>
      </w:r>
      <w:r w:rsidR="00524F67" w:rsidRPr="00257BC6" w:rsidDel="00B1523D">
        <w:t xml:space="preserve"> </w:t>
      </w:r>
      <w:r w:rsidR="00B1523D" w:rsidRPr="00257BC6">
        <w:t>licensees</w:t>
      </w:r>
      <w:r w:rsidR="00E913C2" w:rsidRPr="00257BC6">
        <w:t xml:space="preserve"> in 3400 – 4000 MHz</w:t>
      </w:r>
      <w:r w:rsidR="00B1523D" w:rsidRPr="00257BC6">
        <w:t xml:space="preserve">, it is recommended </w:t>
      </w:r>
      <w:r w:rsidR="00B1523D" w:rsidRPr="009D33B1">
        <w:t xml:space="preserve">when planning and deploying their networks, to take note of the co-existence issues that may arise due to aeronautical radio-navigation services, typically radio altimeters on aircraft, that may operate in the 4200 – 4400 MHz band. It is also recommended that affected licensees seek to coordinate with airports, heliports and aircraft operators to help </w:t>
      </w:r>
      <w:r w:rsidRPr="009D33B1">
        <w:t xml:space="preserve">prevent, </w:t>
      </w:r>
      <w:r w:rsidR="00B1523D" w:rsidRPr="009D33B1">
        <w:t>manage and resolve interference that may arise to aeronautical radio-navigation stations</w:t>
      </w:r>
      <w:r w:rsidR="00524F67" w:rsidRPr="00257BC6">
        <w:t>.</w:t>
      </w:r>
    </w:p>
    <w:p w14:paraId="1DAD52D7" w14:textId="5E4CF9EE" w:rsidR="00DF7FEE" w:rsidRPr="00257BC6" w:rsidRDefault="00DF7FEE" w:rsidP="00257BC6">
      <w:pPr>
        <w:pStyle w:val="Numberedparagraph"/>
        <w:numPr>
          <w:ilvl w:val="0"/>
          <w:numId w:val="0"/>
        </w:numPr>
        <w:ind w:left="1080"/>
      </w:pPr>
      <w:r>
        <w:t>(</w:t>
      </w:r>
      <w:r w:rsidR="00832130">
        <w:t>This</w:t>
      </w:r>
      <w:r>
        <w:t xml:space="preserve"> permanent mitigation is proposed to be implemented by a clause in </w:t>
      </w:r>
      <w:r w:rsidR="00350035">
        <w:t xml:space="preserve">RALI MS47 and </w:t>
      </w:r>
      <w:r>
        <w:t xml:space="preserve">an amended </w:t>
      </w:r>
      <w:hyperlink r:id="rId33" w:history="1">
        <w:r w:rsidRPr="00DF7FEE">
          <w:rPr>
            <w:rStyle w:val="Hyperlink"/>
          </w:rPr>
          <w:t>Radiocommunications Advisory Guidelines (Managing Interference from Spectrum Licensed Transmitters — 3.4 GHz Band</w:t>
        </w:r>
      </w:hyperlink>
      <w:r w:rsidRPr="00DF7FEE">
        <w:t>)</w:t>
      </w:r>
    </w:p>
    <w:p w14:paraId="5641B3C2" w14:textId="5A744D21" w:rsidR="008F5A04" w:rsidRPr="00257BC6" w:rsidRDefault="008F5A04" w:rsidP="00257BC6">
      <w:pPr>
        <w:pStyle w:val="Numberedparagraph"/>
      </w:pPr>
      <w:r w:rsidRPr="009D33B1">
        <w:lastRenderedPageBreak/>
        <w:t xml:space="preserve">The interim arrangements around specified airports are similar to the ‘additional mitigations’ approach (B) identified by the ACMA in its March 2022 paper, and the Canadian/French approaches referenced by a number of submissions to the ACMA consultation. </w:t>
      </w:r>
    </w:p>
    <w:bookmarkEnd w:id="8"/>
    <w:p w14:paraId="2AF62B1D" w14:textId="09926E7A" w:rsidR="00524F67" w:rsidRPr="00EF23CB" w:rsidRDefault="00142F50" w:rsidP="00077BB0">
      <w:pPr>
        <w:pStyle w:val="Numberedparagraph"/>
        <w:rPr>
          <w:u w:val="single"/>
        </w:rPr>
      </w:pPr>
      <w:r w:rsidRPr="00EF23CB">
        <w:rPr>
          <w:u w:val="single"/>
        </w:rPr>
        <w:t>Interim</w:t>
      </w:r>
      <w:r w:rsidR="00835225" w:rsidRPr="00EF23CB">
        <w:rPr>
          <w:u w:val="single"/>
        </w:rPr>
        <w:t xml:space="preserve">, </w:t>
      </w:r>
      <w:r w:rsidR="00CE3D85" w:rsidRPr="00EF23CB">
        <w:rPr>
          <w:u w:val="single"/>
        </w:rPr>
        <w:t>time limited</w:t>
      </w:r>
      <w:r w:rsidR="00835225" w:rsidRPr="00EF23CB">
        <w:rPr>
          <w:u w:val="single"/>
        </w:rPr>
        <w:t>,</w:t>
      </w:r>
      <w:r w:rsidRPr="00EF23CB">
        <w:rPr>
          <w:u w:val="single"/>
        </w:rPr>
        <w:t xml:space="preserve"> </w:t>
      </w:r>
      <w:r w:rsidR="00524F67" w:rsidRPr="00EF23CB">
        <w:rPr>
          <w:u w:val="single"/>
        </w:rPr>
        <w:t>mitigations:</w:t>
      </w:r>
    </w:p>
    <w:p w14:paraId="5AA69B89" w14:textId="51A4FFBB" w:rsidR="0047344E" w:rsidRDefault="00524F67" w:rsidP="0047344E">
      <w:pPr>
        <w:pStyle w:val="Numberedparagraph"/>
        <w:numPr>
          <w:ilvl w:val="2"/>
          <w:numId w:val="13"/>
        </w:numPr>
      </w:pPr>
      <w:r>
        <w:t xml:space="preserve">For deployments </w:t>
      </w:r>
      <w:r w:rsidR="00A74EEF">
        <w:t xml:space="preserve">above </w:t>
      </w:r>
      <w:r w:rsidR="000662C0" w:rsidRPr="00135F73">
        <w:t>3800</w:t>
      </w:r>
      <w:r w:rsidR="000662C0">
        <w:t xml:space="preserve"> </w:t>
      </w:r>
      <w:r w:rsidR="00A74EEF">
        <w:t>MHz</w:t>
      </w:r>
      <w:r w:rsidR="00F15748">
        <w:t xml:space="preserve"> </w:t>
      </w:r>
      <w:r>
        <w:t xml:space="preserve">around </w:t>
      </w:r>
      <w:r w:rsidR="00F15748">
        <w:t>runways</w:t>
      </w:r>
      <w:r w:rsidR="001C6322">
        <w:t xml:space="preserve"> identified in </w:t>
      </w:r>
      <w:r w:rsidR="00CE3D85">
        <w:t>consultation</w:t>
      </w:r>
      <w:r w:rsidR="001C6322">
        <w:t xml:space="preserve"> with CASA</w:t>
      </w:r>
      <w:r w:rsidR="0047344E">
        <w:t>:</w:t>
      </w:r>
    </w:p>
    <w:p w14:paraId="258AD380" w14:textId="41F398BA" w:rsidR="0047344E" w:rsidRDefault="0047344E" w:rsidP="0047344E">
      <w:pPr>
        <w:pStyle w:val="Numberedparagraph"/>
        <w:numPr>
          <w:ilvl w:val="3"/>
          <w:numId w:val="13"/>
        </w:numPr>
      </w:pPr>
      <w:r>
        <w:t>Exclusion zone</w:t>
      </w:r>
      <w:r w:rsidR="00622277">
        <w:t>s</w:t>
      </w:r>
      <w:r w:rsidR="0005764F">
        <w:t xml:space="preserve">, where no WBB </w:t>
      </w:r>
      <w:r w:rsidR="001C6322">
        <w:t xml:space="preserve">base stations </w:t>
      </w:r>
      <w:r w:rsidR="0005764F">
        <w:t>are permitted</w:t>
      </w:r>
      <w:r w:rsidR="001C6322">
        <w:t xml:space="preserve"> to deployed</w:t>
      </w:r>
    </w:p>
    <w:p w14:paraId="7598D275" w14:textId="1BE89DC4" w:rsidR="00F15748" w:rsidRDefault="0047344E">
      <w:pPr>
        <w:pStyle w:val="Numberedparagraph"/>
        <w:numPr>
          <w:ilvl w:val="3"/>
          <w:numId w:val="13"/>
        </w:numPr>
      </w:pPr>
      <w:r>
        <w:t>Restricted zones</w:t>
      </w:r>
      <w:r w:rsidR="00A2329C">
        <w:t xml:space="preserve">, </w:t>
      </w:r>
      <w:r w:rsidR="001C642F" w:rsidRPr="00BC6D77">
        <w:t xml:space="preserve">except in metro and regional area restricted </w:t>
      </w:r>
      <w:r w:rsidR="008D539F" w:rsidRPr="00BC6D77">
        <w:t>cell</w:t>
      </w:r>
      <w:r w:rsidR="001C642F" w:rsidRPr="00BC6D77">
        <w:t xml:space="preserve"> </w:t>
      </w:r>
      <w:r w:rsidR="008D539F" w:rsidRPr="00BC6D77">
        <w:t>areas</w:t>
      </w:r>
      <w:r w:rsidR="001C642F" w:rsidRPr="00BC6D77">
        <w:t xml:space="preserve"> in 3950 – 4000 MHz</w:t>
      </w:r>
      <w:r w:rsidR="001C642F">
        <w:t xml:space="preserve">, </w:t>
      </w:r>
      <w:r w:rsidR="001C6322">
        <w:t xml:space="preserve">where WBB base station deployments are </w:t>
      </w:r>
      <w:r w:rsidR="00CE3D85">
        <w:t>permitted</w:t>
      </w:r>
      <w:r w:rsidR="001C6322">
        <w:t xml:space="preserve"> but </w:t>
      </w:r>
      <w:r w:rsidR="00A2329C">
        <w:t xml:space="preserve">with </w:t>
      </w:r>
      <w:r w:rsidR="001C6322">
        <w:t>obligations to meet</w:t>
      </w:r>
      <w:r w:rsidR="00A2329C">
        <w:t xml:space="preserve"> a </w:t>
      </w:r>
      <w:r w:rsidR="007031B4">
        <w:t xml:space="preserve">specified </w:t>
      </w:r>
      <w:r w:rsidR="00810031">
        <w:t>power flux density (</w:t>
      </w:r>
      <w:r w:rsidR="00F15748">
        <w:t>PFD</w:t>
      </w:r>
      <w:r w:rsidR="00810031">
        <w:t>)</w:t>
      </w:r>
      <w:r w:rsidR="00F15748">
        <w:t xml:space="preserve"> limit</w:t>
      </w:r>
      <w:r w:rsidR="001C642F">
        <w:t>.</w:t>
      </w:r>
    </w:p>
    <w:p w14:paraId="4BC3386A" w14:textId="1C9E4D1B" w:rsidR="00F15748" w:rsidRDefault="00524F67" w:rsidP="00F15748">
      <w:pPr>
        <w:pStyle w:val="Numberedparagraph"/>
        <w:numPr>
          <w:ilvl w:val="2"/>
          <w:numId w:val="13"/>
        </w:numPr>
      </w:pPr>
      <w:r>
        <w:t>For deployments everywhere</w:t>
      </w:r>
      <w:r w:rsidR="00D64CF1">
        <w:t xml:space="preserve"> above </w:t>
      </w:r>
      <w:r w:rsidR="000662C0" w:rsidRPr="00135F73">
        <w:t xml:space="preserve">3800 </w:t>
      </w:r>
      <w:r w:rsidR="00D64CF1" w:rsidRPr="00135F73">
        <w:t>MHz</w:t>
      </w:r>
      <w:r w:rsidR="00F15748">
        <w:t>:</w:t>
      </w:r>
    </w:p>
    <w:p w14:paraId="2E6B9E0B" w14:textId="799ECBFF" w:rsidR="0047344E" w:rsidRDefault="00CA3CB8" w:rsidP="0047344E">
      <w:pPr>
        <w:pStyle w:val="Numberedparagraph"/>
        <w:numPr>
          <w:ilvl w:val="3"/>
          <w:numId w:val="13"/>
        </w:numPr>
      </w:pPr>
      <w:r>
        <w:t xml:space="preserve">Additional </w:t>
      </w:r>
      <w:r w:rsidR="003923D2">
        <w:t>WBB base station</w:t>
      </w:r>
      <w:r>
        <w:t xml:space="preserve"> u</w:t>
      </w:r>
      <w:r w:rsidR="0047344E">
        <w:t>nwanted emission</w:t>
      </w:r>
      <w:r w:rsidR="00622277">
        <w:t xml:space="preserve"> limits</w:t>
      </w:r>
      <w:r w:rsidR="00A74EEF">
        <w:t xml:space="preserve"> in </w:t>
      </w:r>
      <w:r w:rsidR="00876A19">
        <w:t>4200</w:t>
      </w:r>
      <w:r w:rsidR="0025671B">
        <w:noBreakHyphen/>
      </w:r>
      <w:r w:rsidR="00876A19">
        <w:t>4400</w:t>
      </w:r>
      <w:r w:rsidR="0025671B">
        <w:t> </w:t>
      </w:r>
      <w:r w:rsidR="00A74EEF">
        <w:t>MHz</w:t>
      </w:r>
    </w:p>
    <w:p w14:paraId="43E039D9" w14:textId="0BE39A4D" w:rsidR="0047344E" w:rsidRDefault="00A74EEF" w:rsidP="0047344E">
      <w:pPr>
        <w:pStyle w:val="Numberedparagraph"/>
        <w:numPr>
          <w:ilvl w:val="3"/>
          <w:numId w:val="13"/>
        </w:numPr>
      </w:pPr>
      <w:r>
        <w:t>Max</w:t>
      </w:r>
      <w:r w:rsidR="00616795">
        <w:t xml:space="preserve">imum </w:t>
      </w:r>
      <w:r w:rsidR="003923D2">
        <w:t xml:space="preserve">WBB base </w:t>
      </w:r>
      <w:r w:rsidR="007031B4">
        <w:t>station</w:t>
      </w:r>
      <w:r w:rsidR="00616795">
        <w:t xml:space="preserve"> EIRP density</w:t>
      </w:r>
      <w:r w:rsidR="00622277">
        <w:t xml:space="preserve"> limits</w:t>
      </w:r>
    </w:p>
    <w:p w14:paraId="6F1ABCBF" w14:textId="35A344E1" w:rsidR="00524F67" w:rsidRDefault="00616795">
      <w:pPr>
        <w:pStyle w:val="Numberedparagraph"/>
        <w:numPr>
          <w:ilvl w:val="3"/>
          <w:numId w:val="13"/>
        </w:numPr>
      </w:pPr>
      <w:r>
        <w:t>Requiring</w:t>
      </w:r>
      <w:r w:rsidR="00622277">
        <w:t xml:space="preserve"> WBB </w:t>
      </w:r>
      <w:r w:rsidR="007031B4">
        <w:t xml:space="preserve">base station </w:t>
      </w:r>
      <w:r w:rsidR="00622277">
        <w:t xml:space="preserve">antennas to point </w:t>
      </w:r>
      <w:r w:rsidR="00F15748">
        <w:t>or scan below</w:t>
      </w:r>
      <w:r w:rsidR="00622277">
        <w:t xml:space="preserve"> the horizon</w:t>
      </w:r>
      <w:r w:rsidR="00F15748">
        <w:t xml:space="preserve"> only</w:t>
      </w:r>
    </w:p>
    <w:p w14:paraId="4BF141CD" w14:textId="53963B76" w:rsidR="00DB7D11" w:rsidRDefault="00DB7D11">
      <w:pPr>
        <w:pStyle w:val="Numberedparagraph"/>
        <w:numPr>
          <w:ilvl w:val="3"/>
          <w:numId w:val="13"/>
        </w:numPr>
      </w:pPr>
      <w:r>
        <w:t xml:space="preserve">A requirement for WBB </w:t>
      </w:r>
      <w:r w:rsidR="007031B4">
        <w:t xml:space="preserve">base station </w:t>
      </w:r>
      <w:r>
        <w:t>antennas to minimise grating lobes as much as practicable</w:t>
      </w:r>
    </w:p>
    <w:p w14:paraId="26E47B23" w14:textId="0E799AD7" w:rsidR="00355E26" w:rsidRDefault="00010E96" w:rsidP="00F44FC5">
      <w:pPr>
        <w:pStyle w:val="Numberedparagraph"/>
        <w:numPr>
          <w:ilvl w:val="0"/>
          <w:numId w:val="0"/>
        </w:numPr>
        <w:ind w:left="1080"/>
      </w:pPr>
      <w:r>
        <w:t>Note that t</w:t>
      </w:r>
      <w:r w:rsidR="00355E26">
        <w:t>he definitions of the exclusion zones, restricted zones, PFD limit</w:t>
      </w:r>
      <w:r w:rsidR="003A2F92">
        <w:t xml:space="preserve"> and</w:t>
      </w:r>
      <w:r w:rsidR="00355E26">
        <w:t xml:space="preserve"> unwanted emission limits</w:t>
      </w:r>
      <w:r w:rsidR="00355E26" w:rsidDel="003A2F92">
        <w:t xml:space="preserve"> </w:t>
      </w:r>
      <w:r w:rsidR="00FE5139">
        <w:t xml:space="preserve">may </w:t>
      </w:r>
      <w:r w:rsidR="00355E26">
        <w:t>vary with the WBB frequency</w:t>
      </w:r>
      <w:r w:rsidR="00636373">
        <w:t>, to maintain compliance with the underlying</w:t>
      </w:r>
      <w:r w:rsidR="00B21972">
        <w:t xml:space="preserve"> derivations</w:t>
      </w:r>
      <w:r w:rsidR="00355E26">
        <w:t>.</w:t>
      </w:r>
    </w:p>
    <w:p w14:paraId="263D0860" w14:textId="5C04EE32" w:rsidR="00931C8C" w:rsidRPr="00BD28B6" w:rsidRDefault="00D64CF1" w:rsidP="00931C8C">
      <w:pPr>
        <w:pStyle w:val="Numberedparagraph"/>
      </w:pPr>
      <w:r w:rsidRPr="000F0202">
        <w:t>The</w:t>
      </w:r>
      <w:r w:rsidR="00142F50" w:rsidRPr="00BD28B6">
        <w:t xml:space="preserve"> ACMA is of the view </w:t>
      </w:r>
      <w:r w:rsidR="00832130">
        <w:t xml:space="preserve">that </w:t>
      </w:r>
      <w:r w:rsidR="00142F50" w:rsidRPr="00BD28B6">
        <w:t xml:space="preserve">it is imperative that </w:t>
      </w:r>
      <w:r w:rsidR="00142F50" w:rsidRPr="00BD28B6" w:rsidDel="00043434">
        <w:t xml:space="preserve">these </w:t>
      </w:r>
      <w:r w:rsidR="00142F50" w:rsidRPr="00BD28B6">
        <w:t xml:space="preserve">interim mitigations are </w:t>
      </w:r>
      <w:r w:rsidR="00D07337">
        <w:t xml:space="preserve">explicitly </w:t>
      </w:r>
      <w:r w:rsidR="00142F50" w:rsidRPr="00BD28B6">
        <w:t>time limited</w:t>
      </w:r>
      <w:r w:rsidR="000967FF" w:rsidRPr="00BD28B6">
        <w:t>. This is to ensure</w:t>
      </w:r>
      <w:r w:rsidR="00142F50" w:rsidRPr="00BD28B6">
        <w:t xml:space="preserve"> that the impacts of these mitigation</w:t>
      </w:r>
      <w:r w:rsidR="00931C8C" w:rsidRPr="00BD28B6">
        <w:t>s</w:t>
      </w:r>
      <w:r w:rsidR="00142F50" w:rsidRPr="00BD28B6">
        <w:t xml:space="preserve"> on WBB (and the benefits they provide) are </w:t>
      </w:r>
      <w:r w:rsidR="008F5A04">
        <w:t>limited</w:t>
      </w:r>
      <w:r w:rsidR="008F5A04" w:rsidRPr="00BD28B6">
        <w:t xml:space="preserve"> </w:t>
      </w:r>
      <w:r w:rsidR="00142F50" w:rsidRPr="00BD28B6">
        <w:t xml:space="preserve">to the extent compatible with </w:t>
      </w:r>
      <w:r w:rsidR="000967FF" w:rsidRPr="00BD28B6">
        <w:t xml:space="preserve">providing a </w:t>
      </w:r>
      <w:r w:rsidR="00142F50" w:rsidRPr="00BD28B6">
        <w:t xml:space="preserve">reasonable opportunity for improved RA devices to be implemented in Australia. </w:t>
      </w:r>
      <w:r w:rsidR="000F0202">
        <w:t>T</w:t>
      </w:r>
      <w:r w:rsidR="00931C8C" w:rsidRPr="00BD28B6">
        <w:t xml:space="preserve">here is an expectation that </w:t>
      </w:r>
      <w:r w:rsidR="000F0202">
        <w:t xml:space="preserve">the coexistence environment between RAs and WBB will be significantly improved </w:t>
      </w:r>
      <w:r w:rsidR="006C0A46">
        <w:t>through the deployment of improved performing RAs</w:t>
      </w:r>
      <w:r w:rsidR="00010E96">
        <w:t>. This</w:t>
      </w:r>
      <w:r w:rsidR="006C0A46">
        <w:t xml:space="preserve"> </w:t>
      </w:r>
      <w:r w:rsidR="00010E96">
        <w:t>would enable interim</w:t>
      </w:r>
      <w:r w:rsidR="00931C8C" w:rsidRPr="00BD28B6">
        <w:t xml:space="preserve"> mitigations to be </w:t>
      </w:r>
      <w:r w:rsidR="000F0202">
        <w:t>e</w:t>
      </w:r>
      <w:r w:rsidR="00931C8C" w:rsidRPr="00BD28B6">
        <w:t xml:space="preserve">ither removed </w:t>
      </w:r>
      <w:r w:rsidR="00BC6D77">
        <w:t xml:space="preserve">entirely </w:t>
      </w:r>
      <w:r w:rsidR="00931C8C" w:rsidRPr="00BD28B6">
        <w:t>or significantly reduced such that there would be minimal restrictions on WBB.</w:t>
      </w:r>
    </w:p>
    <w:p w14:paraId="77B682AA" w14:textId="6A79F185" w:rsidR="00931C8C" w:rsidRPr="00BD28B6" w:rsidRDefault="00BC6D77">
      <w:pPr>
        <w:pStyle w:val="Numberedparagraph"/>
      </w:pPr>
      <w:r>
        <w:t>This</w:t>
      </w:r>
      <w:r w:rsidR="00931C8C" w:rsidRPr="00BD28B6">
        <w:t xml:space="preserve"> approach is consistent with what is happening in the </w:t>
      </w:r>
      <w:hyperlink r:id="rId34" w:history="1">
        <w:r w:rsidR="00931C8C" w:rsidRPr="00043434">
          <w:rPr>
            <w:rStyle w:val="Hyperlink"/>
          </w:rPr>
          <w:t>US</w:t>
        </w:r>
      </w:hyperlink>
      <w:r w:rsidR="00931C8C" w:rsidRPr="00BD28B6">
        <w:t xml:space="preserve"> </w:t>
      </w:r>
      <w:r w:rsidR="00931C8C" w:rsidRPr="000F0202">
        <w:t xml:space="preserve">where </w:t>
      </w:r>
      <w:r w:rsidR="00104C65" w:rsidRPr="000F0202">
        <w:t xml:space="preserve">timeframes have been established that will see the retrofitting of filters </w:t>
      </w:r>
      <w:r w:rsidR="00043434">
        <w:t xml:space="preserve">and/or RA units </w:t>
      </w:r>
      <w:r w:rsidR="00104C65" w:rsidRPr="000F0202">
        <w:t>to affected RAs by July 2023.</w:t>
      </w:r>
    </w:p>
    <w:p w14:paraId="480F6D31" w14:textId="1BFABED9" w:rsidR="001A3E65" w:rsidRDefault="000F0202" w:rsidP="00142F50">
      <w:pPr>
        <w:pStyle w:val="Numberedparagraph"/>
      </w:pPr>
      <w:r w:rsidRPr="000F0202">
        <w:t>To provide clarity to both the aviation sector</w:t>
      </w:r>
      <w:r w:rsidR="00BB52D2">
        <w:t>,</w:t>
      </w:r>
      <w:r w:rsidRPr="000F0202">
        <w:t xml:space="preserve"> for the timeframes to undertake retrofits as necessary, and for </w:t>
      </w:r>
      <w:r w:rsidR="006C0A46">
        <w:t>future</w:t>
      </w:r>
      <w:r w:rsidRPr="000F0202">
        <w:t xml:space="preserve"> WBB licen</w:t>
      </w:r>
      <w:r w:rsidR="00BC6D77">
        <w:t>se</w:t>
      </w:r>
      <w:r w:rsidRPr="000F0202">
        <w:t xml:space="preserve">es, the ACMA is </w:t>
      </w:r>
      <w:r>
        <w:t>proposing</w:t>
      </w:r>
      <w:r w:rsidRPr="000F0202">
        <w:t xml:space="preserve"> to </w:t>
      </w:r>
      <w:r w:rsidR="00BB52D2">
        <w:t>remove</w:t>
      </w:r>
      <w:r w:rsidR="00BB52D2" w:rsidRPr="000F0202">
        <w:t xml:space="preserve"> </w:t>
      </w:r>
      <w:r w:rsidRPr="000F0202">
        <w:t>the interim mitigations by 31 December 2024.</w:t>
      </w:r>
      <w:r>
        <w:t xml:space="preserve"> This would provide an additional 18 months from the </w:t>
      </w:r>
      <w:r w:rsidR="006C0A46">
        <w:t>July</w:t>
      </w:r>
      <w:r>
        <w:t xml:space="preserve"> 2023 timeframe adopted in the US in recognition of </w:t>
      </w:r>
      <w:r w:rsidR="00CC3120">
        <w:t>the status of developments in the band in Australia,</w:t>
      </w:r>
      <w:r>
        <w:t xml:space="preserve"> potential equipment availability issues and time necessary to undertake such changes on aircraft</w:t>
      </w:r>
      <w:r w:rsidR="00CC3120">
        <w:t xml:space="preserve"> in the Australian environment</w:t>
      </w:r>
      <w:r>
        <w:t>.</w:t>
      </w:r>
    </w:p>
    <w:p w14:paraId="2532B583" w14:textId="44CABDB3" w:rsidR="00CC3120" w:rsidRDefault="008F5A04" w:rsidP="00142F50">
      <w:pPr>
        <w:pStyle w:val="Numberedparagraph"/>
      </w:pPr>
      <w:r>
        <w:t xml:space="preserve">It will be a matter for CASA to determine what appropriate possible restrictions would be placed on aircraft operations post 31 December 2024. While the ACMA may </w:t>
      </w:r>
      <w:r>
        <w:lastRenderedPageBreak/>
        <w:t>contemplate retention of modest mitigations post 31 December 2024, the case for potential ongoing mitigations is currently unclear. Consequently, the ACMA recommend industry work on the basis that all the interim mitigations are removed in their entirety at this time</w:t>
      </w:r>
      <w:r w:rsidR="00D07337">
        <w:t xml:space="preserve">.   </w:t>
      </w:r>
    </w:p>
    <w:p w14:paraId="73C0D269" w14:textId="5A07C766" w:rsidR="00CC3120" w:rsidRPr="00BD28B6" w:rsidRDefault="000E758D" w:rsidP="00142F50">
      <w:pPr>
        <w:pStyle w:val="Numberedparagraph"/>
      </w:pPr>
      <w:r>
        <w:t xml:space="preserve">The ACMA recognises that a reasonable timeframe </w:t>
      </w:r>
      <w:r w:rsidR="00CA3259">
        <w:t xml:space="preserve">for the implementation of improved RAs depends on a range of factors. Accordingly, the ACMA is seeking views from industry on what is an appropriate timeframe.  </w:t>
      </w:r>
      <w:r>
        <w:t xml:space="preserve"> </w:t>
      </w:r>
    </w:p>
    <w:p w14:paraId="65E885C3" w14:textId="30DC527F" w:rsidR="00A74EEF" w:rsidRDefault="008F5A04" w:rsidP="00BD28B6">
      <w:pPr>
        <w:pStyle w:val="Numberedparagraph"/>
      </w:pPr>
      <w:r w:rsidRPr="008F5A04">
        <w:t>While we propose a clear cessation date for these interim arrangements, we will continue to monitor developments and will review the mitigations earlier if appropriate.  Potential triggers for such a review include</w:t>
      </w:r>
      <w:r w:rsidR="00CA3CB8">
        <w:t>:</w:t>
      </w:r>
    </w:p>
    <w:p w14:paraId="6F45CE3E" w14:textId="7B28F567" w:rsidR="00357D44" w:rsidRDefault="00142F50" w:rsidP="00BD28B6">
      <w:pPr>
        <w:pStyle w:val="Numberedparagraph"/>
        <w:numPr>
          <w:ilvl w:val="2"/>
          <w:numId w:val="13"/>
        </w:numPr>
      </w:pPr>
      <w:r>
        <w:t>C</w:t>
      </w:r>
      <w:r w:rsidR="00105661">
        <w:t>omprehensive information on any RA events sufficient to properly investigate the possibility of RF interference being the ca</w:t>
      </w:r>
      <w:r w:rsidR="00D227E3">
        <w:t>u</w:t>
      </w:r>
      <w:r w:rsidR="00105661">
        <w:t>sal factor</w:t>
      </w:r>
      <w:r w:rsidR="00000CF3">
        <w:t>,</w:t>
      </w:r>
      <w:r w:rsidR="00105661">
        <w:t xml:space="preserve"> noting that the </w:t>
      </w:r>
      <w:r w:rsidR="00000CF3">
        <w:t xml:space="preserve">mere </w:t>
      </w:r>
      <w:r w:rsidR="00105661">
        <w:t xml:space="preserve">presence of </w:t>
      </w:r>
      <w:r w:rsidR="00FB5D3A">
        <w:t>WBB</w:t>
      </w:r>
      <w:r w:rsidR="00105661">
        <w:t xml:space="preserve"> systems geographically and spectrally ‘nearby’ to a radio altimeter event is of itself not adequate evidence of a </w:t>
      </w:r>
      <w:r w:rsidR="003B1025">
        <w:t>causal</w:t>
      </w:r>
      <w:r w:rsidR="00105661">
        <w:t xml:space="preserve"> link.</w:t>
      </w:r>
    </w:p>
    <w:p w14:paraId="6C8490EC" w14:textId="20A17DF9" w:rsidR="00616795" w:rsidRDefault="006A3659" w:rsidP="00BD28B6">
      <w:pPr>
        <w:pStyle w:val="Numberedparagraph"/>
        <w:numPr>
          <w:ilvl w:val="2"/>
          <w:numId w:val="13"/>
        </w:numPr>
      </w:pPr>
      <w:bookmarkStart w:id="9" w:name="_Ref106973035"/>
      <w:r>
        <w:t>Several</w:t>
      </w:r>
      <w:r w:rsidR="00616795">
        <w:t xml:space="preserve"> expected international milestones </w:t>
      </w:r>
      <w:r w:rsidR="00FB1F16">
        <w:t>including:</w:t>
      </w:r>
      <w:bookmarkEnd w:id="9"/>
    </w:p>
    <w:p w14:paraId="05500D18" w14:textId="7618090E" w:rsidR="00FB1F16" w:rsidRDefault="00FB1F16" w:rsidP="00BD28B6">
      <w:pPr>
        <w:pStyle w:val="Numberedparagraph"/>
        <w:numPr>
          <w:ilvl w:val="3"/>
          <w:numId w:val="13"/>
        </w:numPr>
      </w:pPr>
      <w:r>
        <w:t>Completion of the ECC PT1 work item on the radio altimeter issue in 2022.</w:t>
      </w:r>
    </w:p>
    <w:p w14:paraId="72775833" w14:textId="57FEBC61" w:rsidR="00FB1F16" w:rsidRDefault="00FB1F16" w:rsidP="00BD28B6">
      <w:pPr>
        <w:pStyle w:val="Numberedparagraph"/>
        <w:numPr>
          <w:ilvl w:val="3"/>
          <w:numId w:val="13"/>
        </w:numPr>
      </w:pPr>
      <w:r>
        <w:t xml:space="preserve">Expected completion by the RTCA of the </w:t>
      </w:r>
      <w:r w:rsidR="004B23B5">
        <w:t xml:space="preserve">interim </w:t>
      </w:r>
      <w:r>
        <w:t>DO-155A radio altimeter performance standard in Q3-Q4 2022.</w:t>
      </w:r>
    </w:p>
    <w:p w14:paraId="79A83484" w14:textId="0D65683F" w:rsidR="00C77D01" w:rsidRDefault="007076E1" w:rsidP="00BD28B6">
      <w:pPr>
        <w:pStyle w:val="Numberedparagraph"/>
        <w:numPr>
          <w:ilvl w:val="3"/>
          <w:numId w:val="13"/>
        </w:numPr>
      </w:pPr>
      <w:r>
        <w:t xml:space="preserve">Expected completion of over the air coexistence testing in the USA and Canada and reporting of the results in </w:t>
      </w:r>
      <w:r w:rsidR="004E1354">
        <w:t>Q3</w:t>
      </w:r>
      <w:r w:rsidR="001C642F">
        <w:t>/4</w:t>
      </w:r>
      <w:r w:rsidR="004E1354">
        <w:t xml:space="preserve"> </w:t>
      </w:r>
      <w:r>
        <w:t>2022.</w:t>
      </w:r>
    </w:p>
    <w:p w14:paraId="2B3466F8" w14:textId="14434101" w:rsidR="00176705" w:rsidRDefault="00176705">
      <w:pPr>
        <w:spacing w:after="0" w:line="240" w:lineRule="auto"/>
        <w:rPr>
          <w:rFonts w:cs="Arial"/>
          <w:b/>
          <w:bCs/>
          <w:iCs/>
          <w:sz w:val="28"/>
          <w:szCs w:val="28"/>
        </w:rPr>
      </w:pPr>
      <w:r>
        <w:br w:type="page"/>
      </w:r>
    </w:p>
    <w:p w14:paraId="66EC08C2" w14:textId="3A215130" w:rsidR="00FA0A83" w:rsidRDefault="00FA0A83" w:rsidP="00FA0A83">
      <w:pPr>
        <w:pStyle w:val="Heading2"/>
      </w:pPr>
      <w:bookmarkStart w:id="10" w:name="_Toc116041870"/>
      <w:r>
        <w:lastRenderedPageBreak/>
        <w:t>Purpose and outline</w:t>
      </w:r>
      <w:bookmarkEnd w:id="10"/>
    </w:p>
    <w:p w14:paraId="64FBE0EA" w14:textId="6C639027" w:rsidR="00FA0A83" w:rsidRDefault="00FA0A83" w:rsidP="00FA0A83">
      <w:pPr>
        <w:pStyle w:val="Numberedparagraph"/>
      </w:pPr>
      <w:r>
        <w:t xml:space="preserve">This paper consolidates the ACMA current understanding of the coexistence of </w:t>
      </w:r>
      <w:r w:rsidR="00D4562C">
        <w:t>RAs</w:t>
      </w:r>
      <w:r>
        <w:t xml:space="preserve"> and </w:t>
      </w:r>
      <w:r w:rsidR="00FB5D3A">
        <w:t>WBB</w:t>
      </w:r>
      <w:r>
        <w:t xml:space="preserve"> systems</w:t>
      </w:r>
      <w:r w:rsidR="003D7012">
        <w:t>, as well as the current proposed approach</w:t>
      </w:r>
      <w:r>
        <w:t>. Consideration of this issue is continuing globally</w:t>
      </w:r>
      <w:r w:rsidR="005979E4">
        <w:t xml:space="preserve">, </w:t>
      </w:r>
      <w:r>
        <w:t>therefore the understanding of the issue will continue to evolve over time</w:t>
      </w:r>
      <w:r w:rsidR="000D53BB">
        <w:t xml:space="preserve">. </w:t>
      </w:r>
      <w:r w:rsidR="005979E4">
        <w:t>T</w:t>
      </w:r>
      <w:r>
        <w:t>his paper may be updated as new information becomes available</w:t>
      </w:r>
      <w:r w:rsidR="000D53BB">
        <w:t xml:space="preserve"> </w:t>
      </w:r>
      <w:r w:rsidR="005979E4">
        <w:t>that could</w:t>
      </w:r>
      <w:r w:rsidR="000D53BB">
        <w:t xml:space="preserve"> influence relevant arrangements in Australia.</w:t>
      </w:r>
      <w:r>
        <w:t xml:space="preserve"> </w:t>
      </w:r>
    </w:p>
    <w:p w14:paraId="15F8CAEF" w14:textId="3C6AC3F3" w:rsidR="007C2E5D" w:rsidRPr="00276867" w:rsidRDefault="007C2E5D" w:rsidP="007C2E5D">
      <w:pPr>
        <w:pStyle w:val="Numberedparagraph"/>
      </w:pPr>
      <w:r>
        <w:t>This paper</w:t>
      </w:r>
      <w:r w:rsidRPr="00276867">
        <w:t xml:space="preserve"> is structured into the following chapters:</w:t>
      </w:r>
    </w:p>
    <w:p w14:paraId="048DFE81" w14:textId="592051E0" w:rsidR="007C2E5D" w:rsidRPr="00D77F80" w:rsidRDefault="000E6032" w:rsidP="007C2E5D">
      <w:pPr>
        <w:pStyle w:val="Bulletlevel1"/>
        <w:rPr>
          <w:lang w:val="en-US"/>
        </w:rPr>
      </w:pPr>
      <w:bookmarkStart w:id="11" w:name="_Hlk104544417"/>
      <w:r>
        <w:rPr>
          <w:b/>
          <w:bCs/>
          <w:lang w:val="en-US"/>
        </w:rPr>
        <w:t>Background</w:t>
      </w:r>
    </w:p>
    <w:p w14:paraId="47F1D631" w14:textId="32AACC3B" w:rsidR="003172E2" w:rsidRDefault="003172E2" w:rsidP="00D77F80">
      <w:pPr>
        <w:pStyle w:val="Bulletlevel1"/>
        <w:numPr>
          <w:ilvl w:val="0"/>
          <w:numId w:val="0"/>
        </w:numPr>
        <w:ind w:left="284" w:firstLine="284"/>
        <w:rPr>
          <w:lang w:val="en-US"/>
        </w:rPr>
      </w:pPr>
      <w:r>
        <w:rPr>
          <w:lang w:val="en-US"/>
        </w:rPr>
        <w:t>Provides a general overview of the issue and history of work conducted so far.</w:t>
      </w:r>
    </w:p>
    <w:p w14:paraId="56695FDF" w14:textId="5D69C614" w:rsidR="007C2E5D" w:rsidRPr="00D77F80" w:rsidRDefault="00672185" w:rsidP="007C2E5D">
      <w:pPr>
        <w:pStyle w:val="Bulletlevel1"/>
        <w:rPr>
          <w:lang w:val="en-US"/>
        </w:rPr>
      </w:pPr>
      <w:r>
        <w:rPr>
          <w:b/>
          <w:bCs/>
          <w:lang w:val="en-US"/>
        </w:rPr>
        <w:t>Coexistence</w:t>
      </w:r>
      <w:r w:rsidR="000E6032">
        <w:rPr>
          <w:b/>
          <w:bCs/>
          <w:lang w:val="en-US"/>
        </w:rPr>
        <w:t xml:space="preserve"> evaluation</w:t>
      </w:r>
    </w:p>
    <w:p w14:paraId="3DE0D484" w14:textId="2FCD148D" w:rsidR="003172E2" w:rsidRDefault="003172E2" w:rsidP="00D77F80">
      <w:pPr>
        <w:pStyle w:val="Bulletlevel1"/>
        <w:numPr>
          <w:ilvl w:val="0"/>
          <w:numId w:val="0"/>
        </w:numPr>
        <w:ind w:left="568"/>
        <w:rPr>
          <w:lang w:val="en-US"/>
        </w:rPr>
      </w:pPr>
      <w:r>
        <w:rPr>
          <w:lang w:val="en-US"/>
        </w:rPr>
        <w:t>Examines what the issue between WBB and RAs is and reviews theoretical and empirical evidence for potential issues</w:t>
      </w:r>
      <w:r w:rsidR="003660D1">
        <w:rPr>
          <w:lang w:val="en-US"/>
        </w:rPr>
        <w:t>,</w:t>
      </w:r>
      <w:r>
        <w:rPr>
          <w:lang w:val="en-US"/>
        </w:rPr>
        <w:t xml:space="preserve"> both domestically and </w:t>
      </w:r>
      <w:r w:rsidR="003660D1">
        <w:rPr>
          <w:lang w:val="en-US"/>
        </w:rPr>
        <w:t>overseas</w:t>
      </w:r>
      <w:r>
        <w:rPr>
          <w:lang w:val="en-US"/>
        </w:rPr>
        <w:t>.</w:t>
      </w:r>
    </w:p>
    <w:p w14:paraId="238FD304" w14:textId="627A4119" w:rsidR="007C2E5D" w:rsidRPr="00D77F80" w:rsidRDefault="003413C4" w:rsidP="007C2E5D">
      <w:pPr>
        <w:pStyle w:val="Bulletlevel1"/>
        <w:rPr>
          <w:lang w:val="en-US"/>
        </w:rPr>
      </w:pPr>
      <w:r>
        <w:rPr>
          <w:b/>
          <w:bCs/>
          <w:lang w:val="en-US"/>
        </w:rPr>
        <w:t>Observations, c</w:t>
      </w:r>
      <w:r w:rsidR="000E6032">
        <w:rPr>
          <w:b/>
          <w:bCs/>
          <w:lang w:val="en-US"/>
        </w:rPr>
        <w:t xml:space="preserve">onclusions and </w:t>
      </w:r>
      <w:r>
        <w:rPr>
          <w:b/>
          <w:bCs/>
          <w:lang w:val="en-US"/>
        </w:rPr>
        <w:t>proposed approach</w:t>
      </w:r>
    </w:p>
    <w:p w14:paraId="32111CB0" w14:textId="28FF22C6" w:rsidR="003172E2" w:rsidRDefault="003172E2" w:rsidP="00D77F80">
      <w:pPr>
        <w:pStyle w:val="Bulletlevel1"/>
        <w:numPr>
          <w:ilvl w:val="0"/>
          <w:numId w:val="0"/>
        </w:numPr>
        <w:ind w:left="568"/>
        <w:rPr>
          <w:lang w:val="en-US"/>
        </w:rPr>
      </w:pPr>
      <w:r>
        <w:rPr>
          <w:lang w:val="en-US"/>
        </w:rPr>
        <w:t>Makes overall conclusions on the issue and summaries the ACMA proposal.</w:t>
      </w:r>
    </w:p>
    <w:bookmarkEnd w:id="11"/>
    <w:p w14:paraId="09435DDB" w14:textId="52BDDF50" w:rsidR="007C2E5D" w:rsidRPr="00D77F80" w:rsidRDefault="007C2E5D" w:rsidP="00FA0A83">
      <w:pPr>
        <w:pStyle w:val="Bulletlevel1"/>
        <w:rPr>
          <w:lang w:val="en-US"/>
        </w:rPr>
      </w:pPr>
      <w:r>
        <w:rPr>
          <w:b/>
          <w:bCs/>
          <w:lang w:val="en-US"/>
        </w:rPr>
        <w:t>Appendix A</w:t>
      </w:r>
      <w:r w:rsidR="000E6032">
        <w:rPr>
          <w:b/>
          <w:bCs/>
          <w:lang w:val="en-US"/>
        </w:rPr>
        <w:t xml:space="preserve">: </w:t>
      </w:r>
      <w:r w:rsidR="007603DE">
        <w:rPr>
          <w:b/>
          <w:bCs/>
          <w:lang w:val="en-US"/>
        </w:rPr>
        <w:t>W</w:t>
      </w:r>
      <w:r w:rsidR="000E6032">
        <w:rPr>
          <w:b/>
          <w:bCs/>
          <w:lang w:val="en-US"/>
        </w:rPr>
        <w:t xml:space="preserve">ireless </w:t>
      </w:r>
      <w:r w:rsidR="007603DE">
        <w:rPr>
          <w:b/>
          <w:bCs/>
          <w:lang w:val="en-US"/>
        </w:rPr>
        <w:t>B</w:t>
      </w:r>
      <w:r w:rsidR="000E6032">
        <w:rPr>
          <w:b/>
          <w:bCs/>
          <w:lang w:val="en-US"/>
        </w:rPr>
        <w:t>roadband</w:t>
      </w:r>
    </w:p>
    <w:p w14:paraId="319B9333" w14:textId="592CDF98" w:rsidR="003172E2" w:rsidRPr="00D379F3" w:rsidRDefault="00C174E3" w:rsidP="00D77F80">
      <w:pPr>
        <w:pStyle w:val="Bulletlevel1"/>
        <w:numPr>
          <w:ilvl w:val="0"/>
          <w:numId w:val="0"/>
        </w:numPr>
        <w:ind w:left="568"/>
        <w:rPr>
          <w:lang w:val="en-US"/>
        </w:rPr>
      </w:pPr>
      <w:r>
        <w:rPr>
          <w:lang w:val="en-US"/>
        </w:rPr>
        <w:t>Information</w:t>
      </w:r>
      <w:r w:rsidR="003172E2">
        <w:rPr>
          <w:lang w:val="en-US"/>
        </w:rPr>
        <w:t xml:space="preserve"> on WBB and </w:t>
      </w:r>
      <w:r w:rsidR="003660D1">
        <w:rPr>
          <w:lang w:val="en-US"/>
        </w:rPr>
        <w:t xml:space="preserve">its </w:t>
      </w:r>
      <w:r w:rsidR="003172E2">
        <w:rPr>
          <w:lang w:val="en-US"/>
        </w:rPr>
        <w:t>relevant issues related to coexistence with RAs.</w:t>
      </w:r>
    </w:p>
    <w:p w14:paraId="0F659904" w14:textId="4A2B9DEF" w:rsidR="000E6032" w:rsidRPr="00D77F80" w:rsidRDefault="000E6032" w:rsidP="00FA0A83">
      <w:pPr>
        <w:pStyle w:val="Bulletlevel1"/>
        <w:rPr>
          <w:lang w:val="en-US"/>
        </w:rPr>
      </w:pPr>
      <w:r>
        <w:rPr>
          <w:b/>
          <w:bCs/>
          <w:lang w:val="en-US"/>
        </w:rPr>
        <w:t xml:space="preserve">Appendix B: </w:t>
      </w:r>
      <w:r w:rsidR="007603DE">
        <w:rPr>
          <w:b/>
          <w:bCs/>
          <w:lang w:val="en-US"/>
        </w:rPr>
        <w:t>R</w:t>
      </w:r>
      <w:r>
        <w:rPr>
          <w:b/>
          <w:bCs/>
          <w:lang w:val="en-US"/>
        </w:rPr>
        <w:t xml:space="preserve">adio </w:t>
      </w:r>
      <w:r w:rsidR="007603DE">
        <w:rPr>
          <w:b/>
          <w:bCs/>
          <w:lang w:val="en-US"/>
        </w:rPr>
        <w:t>A</w:t>
      </w:r>
      <w:r>
        <w:rPr>
          <w:b/>
          <w:bCs/>
          <w:lang w:val="en-US"/>
        </w:rPr>
        <w:t>ltimeters</w:t>
      </w:r>
    </w:p>
    <w:p w14:paraId="5AEDB0DE" w14:textId="0656C487" w:rsidR="003172E2" w:rsidRPr="00D379F3" w:rsidRDefault="00C174E3" w:rsidP="00D77F80">
      <w:pPr>
        <w:pStyle w:val="Bulletlevel1"/>
        <w:numPr>
          <w:ilvl w:val="0"/>
          <w:numId w:val="0"/>
        </w:numPr>
        <w:ind w:left="568"/>
        <w:rPr>
          <w:lang w:val="en-US"/>
        </w:rPr>
      </w:pPr>
      <w:r>
        <w:rPr>
          <w:lang w:val="en-US"/>
        </w:rPr>
        <w:t xml:space="preserve">Information </w:t>
      </w:r>
      <w:r w:rsidR="003172E2">
        <w:rPr>
          <w:lang w:val="en-US"/>
        </w:rPr>
        <w:t xml:space="preserve">on the aviation usage of </w:t>
      </w:r>
      <w:r w:rsidR="00D4562C">
        <w:rPr>
          <w:lang w:val="en-US"/>
        </w:rPr>
        <w:t>RAs</w:t>
      </w:r>
      <w:r w:rsidR="003172E2">
        <w:rPr>
          <w:lang w:val="en-US"/>
        </w:rPr>
        <w:t xml:space="preserve"> and characteristics.</w:t>
      </w:r>
    </w:p>
    <w:p w14:paraId="4D8B6640" w14:textId="4A1CE381" w:rsidR="000E6032" w:rsidRPr="00D77F80" w:rsidRDefault="000E6032" w:rsidP="00FA0A83">
      <w:pPr>
        <w:pStyle w:val="Bulletlevel1"/>
        <w:rPr>
          <w:lang w:val="en-US"/>
        </w:rPr>
      </w:pPr>
      <w:r>
        <w:rPr>
          <w:b/>
          <w:bCs/>
          <w:lang w:val="en-US"/>
        </w:rPr>
        <w:t>Appendix C: International developments and approaches</w:t>
      </w:r>
    </w:p>
    <w:p w14:paraId="51509A50" w14:textId="49BE1555" w:rsidR="003172E2" w:rsidRPr="00D379F3" w:rsidRDefault="00C174E3" w:rsidP="00D77F80">
      <w:pPr>
        <w:pStyle w:val="Bulletlevel1"/>
        <w:numPr>
          <w:ilvl w:val="0"/>
          <w:numId w:val="0"/>
        </w:numPr>
        <w:ind w:left="568"/>
        <w:rPr>
          <w:lang w:val="en-US"/>
        </w:rPr>
      </w:pPr>
      <w:r>
        <w:rPr>
          <w:lang w:val="en-US"/>
        </w:rPr>
        <w:t>Information on</w:t>
      </w:r>
      <w:r w:rsidR="003172E2">
        <w:rPr>
          <w:lang w:val="en-US"/>
        </w:rPr>
        <w:t xml:space="preserve"> relevant overseas activity on the issue and, </w:t>
      </w:r>
      <w:r w:rsidR="007243E0">
        <w:rPr>
          <w:lang w:val="en-US"/>
        </w:rPr>
        <w:t xml:space="preserve">where </w:t>
      </w:r>
      <w:r w:rsidR="003172E2">
        <w:rPr>
          <w:lang w:val="en-US"/>
        </w:rPr>
        <w:t>appropriate, a summary of approaches adopted.</w:t>
      </w:r>
    </w:p>
    <w:p w14:paraId="6F0DAB71" w14:textId="50FDEF56" w:rsidR="000E6032" w:rsidRPr="00257BC6" w:rsidRDefault="000E6032" w:rsidP="00CA4206">
      <w:pPr>
        <w:pStyle w:val="Bulletlevel1"/>
        <w:rPr>
          <w:b/>
          <w:bCs/>
          <w:lang w:val="en-US"/>
        </w:rPr>
      </w:pPr>
      <w:r>
        <w:rPr>
          <w:b/>
          <w:bCs/>
          <w:lang w:val="en-US"/>
        </w:rPr>
        <w:t xml:space="preserve">Appendix D: </w:t>
      </w:r>
      <w:r w:rsidR="00CD44D9">
        <w:rPr>
          <w:b/>
          <w:bCs/>
          <w:lang w:val="en-US"/>
        </w:rPr>
        <w:t>D</w:t>
      </w:r>
      <w:r w:rsidR="00754412" w:rsidRPr="00754412">
        <w:rPr>
          <w:b/>
          <w:bCs/>
          <w:lang w:val="en-US"/>
        </w:rPr>
        <w:t>evelopment of proposed interim mitigations</w:t>
      </w:r>
    </w:p>
    <w:p w14:paraId="72ED1585" w14:textId="4391AEF5" w:rsidR="003172E2" w:rsidRPr="00D379F3" w:rsidRDefault="003172E2" w:rsidP="00D77F80">
      <w:pPr>
        <w:pStyle w:val="Bulletlevel1"/>
        <w:numPr>
          <w:ilvl w:val="0"/>
          <w:numId w:val="0"/>
        </w:numPr>
        <w:ind w:left="568"/>
        <w:rPr>
          <w:lang w:val="en-US"/>
        </w:rPr>
      </w:pPr>
      <w:r>
        <w:rPr>
          <w:lang w:val="en-US"/>
        </w:rPr>
        <w:t xml:space="preserve">Further ACMA </w:t>
      </w:r>
      <w:r w:rsidR="003660D1">
        <w:rPr>
          <w:lang w:val="en-US"/>
        </w:rPr>
        <w:t xml:space="preserve">work </w:t>
      </w:r>
      <w:r>
        <w:rPr>
          <w:lang w:val="en-US"/>
        </w:rPr>
        <w:t xml:space="preserve">to </w:t>
      </w:r>
      <w:r w:rsidR="005979E4">
        <w:rPr>
          <w:lang w:val="en-US"/>
        </w:rPr>
        <w:t>explain how the</w:t>
      </w:r>
      <w:r>
        <w:rPr>
          <w:lang w:val="en-US"/>
        </w:rPr>
        <w:t xml:space="preserve"> proposed approach was developed.</w:t>
      </w:r>
    </w:p>
    <w:p w14:paraId="13CEB814" w14:textId="7AEE2167" w:rsidR="000E6032" w:rsidRPr="00D77F80" w:rsidRDefault="000E6032" w:rsidP="00FA0A83">
      <w:pPr>
        <w:pStyle w:val="Bulletlevel1"/>
        <w:rPr>
          <w:lang w:val="en-US"/>
        </w:rPr>
      </w:pPr>
      <w:r>
        <w:rPr>
          <w:b/>
          <w:bCs/>
          <w:lang w:val="en-US"/>
        </w:rPr>
        <w:t>Appendix E: Historical Australian WBB deployments</w:t>
      </w:r>
    </w:p>
    <w:p w14:paraId="1C845685" w14:textId="7A0D1684" w:rsidR="003172E2" w:rsidRPr="00D77F80" w:rsidRDefault="003172E2" w:rsidP="00D77F80">
      <w:pPr>
        <w:pStyle w:val="Bulletlevel1"/>
        <w:numPr>
          <w:ilvl w:val="0"/>
          <w:numId w:val="0"/>
        </w:numPr>
        <w:ind w:left="568"/>
        <w:rPr>
          <w:lang w:val="en-US"/>
        </w:rPr>
      </w:pPr>
      <w:r>
        <w:rPr>
          <w:lang w:val="en-US"/>
        </w:rPr>
        <w:t>An examination of domestic WBB deployments that may have had the potential for RA issues.</w:t>
      </w:r>
    </w:p>
    <w:p w14:paraId="1F5333EC" w14:textId="1A599D24" w:rsidR="003172E2" w:rsidRPr="00E36900" w:rsidRDefault="003172E2" w:rsidP="003172E2">
      <w:pPr>
        <w:pStyle w:val="Bulletlevel1"/>
        <w:rPr>
          <w:lang w:val="en-US"/>
        </w:rPr>
      </w:pPr>
      <w:r>
        <w:rPr>
          <w:b/>
          <w:bCs/>
          <w:lang w:val="en-US"/>
        </w:rPr>
        <w:t>Appendix F: Relevant overseas WBB deployments</w:t>
      </w:r>
    </w:p>
    <w:p w14:paraId="15E97E14" w14:textId="18C31BC7" w:rsidR="00E44B4F" w:rsidRPr="00D77F80" w:rsidRDefault="003172E2" w:rsidP="00D77F80">
      <w:pPr>
        <w:pStyle w:val="Bulletlevel1"/>
        <w:numPr>
          <w:ilvl w:val="0"/>
          <w:numId w:val="0"/>
        </w:numPr>
        <w:ind w:left="568"/>
        <w:rPr>
          <w:lang w:val="en-US"/>
        </w:rPr>
      </w:pPr>
      <w:r>
        <w:rPr>
          <w:lang w:val="en-US"/>
        </w:rPr>
        <w:t>A presentation of overseas deployment examples which may have the potential for RA issues.</w:t>
      </w:r>
    </w:p>
    <w:p w14:paraId="0B73DDEA" w14:textId="38D3969A" w:rsidR="00E44B4F" w:rsidRPr="00D77F80" w:rsidRDefault="00E44B4F" w:rsidP="00E44B4F">
      <w:pPr>
        <w:pStyle w:val="Bulletlevel1"/>
        <w:rPr>
          <w:lang w:val="en-US"/>
        </w:rPr>
      </w:pPr>
      <w:r>
        <w:rPr>
          <w:b/>
          <w:bCs/>
          <w:lang w:val="en-US"/>
        </w:rPr>
        <w:t xml:space="preserve">Appendix G: Identified </w:t>
      </w:r>
      <w:r w:rsidR="00ED313A">
        <w:rPr>
          <w:b/>
          <w:bCs/>
          <w:lang w:val="en-US"/>
        </w:rPr>
        <w:t>r</w:t>
      </w:r>
      <w:r>
        <w:rPr>
          <w:b/>
          <w:bCs/>
          <w:lang w:val="en-US"/>
        </w:rPr>
        <w:t>unways</w:t>
      </w:r>
    </w:p>
    <w:p w14:paraId="77151666" w14:textId="696D767C" w:rsidR="00E44B4F" w:rsidRPr="00D77F80" w:rsidRDefault="00E44B4F" w:rsidP="00E44B4F">
      <w:pPr>
        <w:pStyle w:val="Bulletlevel1"/>
        <w:numPr>
          <w:ilvl w:val="0"/>
          <w:numId w:val="0"/>
        </w:numPr>
        <w:ind w:left="568"/>
        <w:rPr>
          <w:lang w:val="en-US"/>
        </w:rPr>
      </w:pPr>
      <w:r>
        <w:rPr>
          <w:lang w:val="en-US"/>
        </w:rPr>
        <w:t xml:space="preserve">An initial list </w:t>
      </w:r>
      <w:r w:rsidR="00C174E3">
        <w:rPr>
          <w:lang w:val="en-US"/>
        </w:rPr>
        <w:t xml:space="preserve">of </w:t>
      </w:r>
      <w:r>
        <w:rPr>
          <w:lang w:val="en-US"/>
        </w:rPr>
        <w:t xml:space="preserve">where the temporary, reviewable mitigations would </w:t>
      </w:r>
      <w:r w:rsidR="007E606B">
        <w:rPr>
          <w:lang w:val="en-US"/>
        </w:rPr>
        <w:t xml:space="preserve">be proposed to </w:t>
      </w:r>
      <w:r>
        <w:rPr>
          <w:lang w:val="en-US"/>
        </w:rPr>
        <w:t>apply.</w:t>
      </w:r>
    </w:p>
    <w:p w14:paraId="63DB8EFA" w14:textId="7908E72E" w:rsidR="003172E2" w:rsidRDefault="003172E2" w:rsidP="003172E2">
      <w:pPr>
        <w:pStyle w:val="Bulletlevel1"/>
        <w:numPr>
          <w:ilvl w:val="0"/>
          <w:numId w:val="0"/>
        </w:numPr>
        <w:ind w:left="295" w:hanging="295"/>
        <w:rPr>
          <w:b/>
          <w:bCs/>
          <w:lang w:val="en-US"/>
        </w:rPr>
      </w:pPr>
    </w:p>
    <w:p w14:paraId="6599D229" w14:textId="77777777" w:rsidR="003172E2" w:rsidRPr="00FA0A83" w:rsidRDefault="003172E2" w:rsidP="00D77F80">
      <w:pPr>
        <w:pStyle w:val="Numberedparagraph"/>
        <w:numPr>
          <w:ilvl w:val="0"/>
          <w:numId w:val="0"/>
        </w:numPr>
        <w:ind w:left="-567"/>
        <w:rPr>
          <w:lang w:val="en-US"/>
        </w:rPr>
      </w:pPr>
    </w:p>
    <w:p w14:paraId="0BE9CDAC" w14:textId="77777777" w:rsidR="00CE7CD4" w:rsidRDefault="00CE7CD4">
      <w:pPr>
        <w:spacing w:after="0" w:line="240" w:lineRule="auto"/>
        <w:rPr>
          <w:rFonts w:cs="Arial"/>
          <w:bCs/>
          <w:color w:val="323232"/>
          <w:kern w:val="32"/>
          <w:sz w:val="53"/>
          <w:szCs w:val="32"/>
        </w:rPr>
      </w:pPr>
      <w:r>
        <w:br w:type="page"/>
      </w:r>
    </w:p>
    <w:p w14:paraId="2FA0DA17" w14:textId="5A550826" w:rsidR="00A6297F" w:rsidRPr="00023A36" w:rsidRDefault="00892DC3" w:rsidP="00A6297F">
      <w:pPr>
        <w:pStyle w:val="Heading1"/>
      </w:pPr>
      <w:bookmarkStart w:id="12" w:name="_Toc116041871"/>
      <w:r>
        <w:lastRenderedPageBreak/>
        <w:t>Background</w:t>
      </w:r>
      <w:bookmarkEnd w:id="12"/>
    </w:p>
    <w:p w14:paraId="3301D90E" w14:textId="77777777" w:rsidR="003118D4" w:rsidRDefault="003118D4" w:rsidP="008B72F4">
      <w:pPr>
        <w:pStyle w:val="Heading2"/>
      </w:pPr>
      <w:bookmarkStart w:id="13" w:name="_Toc116041872"/>
      <w:r>
        <w:t>Overview</w:t>
      </w:r>
      <w:bookmarkEnd w:id="13"/>
    </w:p>
    <w:p w14:paraId="77246CEC" w14:textId="07E92ADB" w:rsidR="003118D4" w:rsidRDefault="00AB7D40" w:rsidP="003118D4">
      <w:pPr>
        <w:pStyle w:val="Numberedparagraph"/>
      </w:pPr>
      <w:r>
        <w:t xml:space="preserve">This section is </w:t>
      </w:r>
      <w:r w:rsidR="00832130">
        <w:t>an</w:t>
      </w:r>
      <w:r>
        <w:t xml:space="preserve"> overview of the </w:t>
      </w:r>
      <w:r w:rsidR="009A7C0C">
        <w:t xml:space="preserve">relevant </w:t>
      </w:r>
      <w:r>
        <w:t xml:space="preserve">technologies </w:t>
      </w:r>
      <w:r w:rsidR="009A7C0C">
        <w:t xml:space="preserve">and applications and how they sit in terms of the ACMA replanning project for the </w:t>
      </w:r>
      <w:r w:rsidR="00832130">
        <w:t>3400</w:t>
      </w:r>
      <w:r w:rsidR="009A7C0C">
        <w:t>-4000 MHz range.</w:t>
      </w:r>
    </w:p>
    <w:p w14:paraId="61874E13" w14:textId="238AB9DA" w:rsidR="006B333B" w:rsidRDefault="006B333B" w:rsidP="006B333B">
      <w:pPr>
        <w:pStyle w:val="Heading3"/>
      </w:pPr>
      <w:r>
        <w:t xml:space="preserve">Wireless Broadband </w:t>
      </w:r>
    </w:p>
    <w:p w14:paraId="04BF31C3" w14:textId="376081B1" w:rsidR="006B333B" w:rsidRPr="00D379F3" w:rsidRDefault="00227D59" w:rsidP="006B333B">
      <w:pPr>
        <w:pStyle w:val="Numberedparagraph"/>
        <w:rPr>
          <w:i/>
          <w:iCs/>
        </w:rPr>
      </w:pPr>
      <w:r>
        <w:t xml:space="preserve">Information on the concepts involved in </w:t>
      </w:r>
      <w:r w:rsidR="00FB5D3A">
        <w:t>WBB</w:t>
      </w:r>
      <w:r>
        <w:t xml:space="preserve"> can be found in </w:t>
      </w:r>
      <w:r w:rsidRPr="00D379F3">
        <w:rPr>
          <w:i/>
          <w:iCs/>
        </w:rPr>
        <w:fldChar w:fldCharType="begin"/>
      </w:r>
      <w:r w:rsidRPr="00D379F3">
        <w:rPr>
          <w:i/>
          <w:iCs/>
        </w:rPr>
        <w:instrText xml:space="preserve"> REF _Ref106272305 \h </w:instrText>
      </w:r>
      <w:r>
        <w:rPr>
          <w:i/>
          <w:iCs/>
        </w:rPr>
        <w:instrText xml:space="preserve"> \* MERGEFORMAT </w:instrText>
      </w:r>
      <w:r w:rsidRPr="00D379F3">
        <w:rPr>
          <w:i/>
          <w:iCs/>
        </w:rPr>
      </w:r>
      <w:r w:rsidRPr="00D379F3">
        <w:rPr>
          <w:i/>
          <w:iCs/>
        </w:rPr>
        <w:fldChar w:fldCharType="separate"/>
      </w:r>
      <w:r w:rsidR="009C0E98" w:rsidRPr="00695A13">
        <w:rPr>
          <w:i/>
          <w:iCs/>
        </w:rPr>
        <w:t>Appendix A: Wireless Broadband</w:t>
      </w:r>
      <w:r w:rsidRPr="00D379F3">
        <w:rPr>
          <w:i/>
          <w:iCs/>
        </w:rPr>
        <w:fldChar w:fldCharType="end"/>
      </w:r>
      <w:r w:rsidR="00710D09">
        <w:rPr>
          <w:i/>
          <w:iCs/>
        </w:rPr>
        <w:t>.</w:t>
      </w:r>
    </w:p>
    <w:p w14:paraId="49B54A1F" w14:textId="77777777" w:rsidR="00227D59" w:rsidRPr="006B333B" w:rsidRDefault="00227D59" w:rsidP="00227D59">
      <w:pPr>
        <w:pStyle w:val="Heading3"/>
      </w:pPr>
      <w:r w:rsidRPr="006B333B">
        <w:t xml:space="preserve">Radio </w:t>
      </w:r>
      <w:r w:rsidRPr="006B333B">
        <w:rPr>
          <w:rStyle w:val="Heading3Char"/>
          <w:b/>
          <w:bCs/>
        </w:rPr>
        <w:t>Altimeters</w:t>
      </w:r>
    </w:p>
    <w:p w14:paraId="4AE95975" w14:textId="46A2E248" w:rsidR="00227D59" w:rsidRPr="00E04320" w:rsidRDefault="00227D59" w:rsidP="00227D59">
      <w:pPr>
        <w:pStyle w:val="Numberedparagraph"/>
        <w:rPr>
          <w:i/>
          <w:iCs/>
        </w:rPr>
      </w:pPr>
      <w:r>
        <w:t xml:space="preserve">A high-level introduction to </w:t>
      </w:r>
      <w:r w:rsidR="00D4562C">
        <w:t>RAs</w:t>
      </w:r>
      <w:r>
        <w:t xml:space="preserve"> and their use can be found in </w:t>
      </w:r>
      <w:r w:rsidRPr="00E04320">
        <w:rPr>
          <w:i/>
          <w:iCs/>
        </w:rPr>
        <w:fldChar w:fldCharType="begin"/>
      </w:r>
      <w:r w:rsidRPr="00E04320">
        <w:rPr>
          <w:i/>
          <w:iCs/>
        </w:rPr>
        <w:instrText xml:space="preserve"> REF _Ref106272216 \h </w:instrText>
      </w:r>
      <w:r>
        <w:rPr>
          <w:i/>
          <w:iCs/>
        </w:rPr>
        <w:instrText xml:space="preserve"> \* MERGEFORMAT </w:instrText>
      </w:r>
      <w:r w:rsidRPr="00E04320">
        <w:rPr>
          <w:i/>
          <w:iCs/>
        </w:rPr>
      </w:r>
      <w:r w:rsidRPr="00E04320">
        <w:rPr>
          <w:i/>
          <w:iCs/>
        </w:rPr>
        <w:fldChar w:fldCharType="separate"/>
      </w:r>
      <w:r w:rsidR="009C0E98" w:rsidRPr="00695A13">
        <w:rPr>
          <w:i/>
          <w:iCs/>
        </w:rPr>
        <w:t>Appendix B: Radio Altimeters</w:t>
      </w:r>
      <w:r w:rsidRPr="00E04320">
        <w:rPr>
          <w:i/>
          <w:iCs/>
        </w:rPr>
        <w:fldChar w:fldCharType="end"/>
      </w:r>
      <w:r>
        <w:rPr>
          <w:i/>
          <w:iCs/>
        </w:rPr>
        <w:t>.</w:t>
      </w:r>
    </w:p>
    <w:p w14:paraId="10511D54" w14:textId="68F0C0E1" w:rsidR="008B72F4" w:rsidRDefault="008B72F4" w:rsidP="006B333B">
      <w:pPr>
        <w:pStyle w:val="Heading3"/>
      </w:pPr>
      <w:r>
        <w:t xml:space="preserve">Existing band arrangements </w:t>
      </w:r>
    </w:p>
    <w:p w14:paraId="0157EC00" w14:textId="7BC78DC6" w:rsidR="008B72F4" w:rsidRDefault="00227D59" w:rsidP="00CD6527">
      <w:pPr>
        <w:pStyle w:val="Numberedparagraph"/>
      </w:pPr>
      <w:r>
        <w:t>The Australian Radiocommunications Spectrum Plan</w:t>
      </w:r>
      <w:r w:rsidR="009A7C0C">
        <w:t xml:space="preserve"> (</w:t>
      </w:r>
      <w:hyperlink r:id="rId35" w:history="1">
        <w:r w:rsidR="00264269">
          <w:rPr>
            <w:rStyle w:val="Hyperlink"/>
          </w:rPr>
          <w:t>Spectrum Plan</w:t>
        </w:r>
      </w:hyperlink>
      <w:r w:rsidR="009A7C0C">
        <w:t>)</w:t>
      </w:r>
      <w:r>
        <w:t xml:space="preserve"> </w:t>
      </w:r>
      <w:r w:rsidR="00832130">
        <w:t xml:space="preserve">describes </w:t>
      </w:r>
      <w:r>
        <w:t>the following high level service assignments in the band</w:t>
      </w:r>
      <w:r w:rsidR="009A7C0C">
        <w:t xml:space="preserve"> and </w:t>
      </w:r>
      <w:r w:rsidR="00D30ECE">
        <w:t xml:space="preserve">nearby </w:t>
      </w:r>
      <w:r w:rsidR="009A7C0C">
        <w:t>bands</w:t>
      </w:r>
      <w:r>
        <w:t xml:space="preserve"> in Australia and other ITU-R regions.</w:t>
      </w:r>
    </w:p>
    <w:p w14:paraId="2C71627F" w14:textId="06DFDE6B" w:rsidR="009A7C0C" w:rsidRPr="00D379F3" w:rsidRDefault="009A7C0C" w:rsidP="00D379F3">
      <w:pPr>
        <w:pStyle w:val="Paragraph-nonumber"/>
        <w:rPr>
          <w:rFonts w:ascii="Times New Roman" w:hAnsi="Times New Roman"/>
          <w:b/>
          <w:u w:val="single"/>
          <w:lang w:eastAsia="en-US"/>
        </w:rPr>
      </w:pPr>
      <w:r w:rsidRPr="00D379F3">
        <w:rPr>
          <w:b/>
          <w:bCs/>
          <w:u w:val="single"/>
          <w:lang w:eastAsia="en-US"/>
        </w:rPr>
        <w:t>3 100 – 4 400 MHz</w:t>
      </w:r>
    </w:p>
    <w:tbl>
      <w:tblPr>
        <w:tblW w:w="8217" w:type="dxa"/>
        <w:tblLayout w:type="fixed"/>
        <w:tblLook w:val="04A0" w:firstRow="1" w:lastRow="0" w:firstColumn="1" w:lastColumn="0" w:noHBand="0" w:noVBand="1"/>
      </w:tblPr>
      <w:tblGrid>
        <w:gridCol w:w="1693"/>
        <w:gridCol w:w="1985"/>
        <w:gridCol w:w="1847"/>
        <w:gridCol w:w="2692"/>
      </w:tblGrid>
      <w:tr w:rsidR="009A7C0C" w:rsidRPr="001F0246" w14:paraId="72549DCE"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14DC638D" w14:textId="77777777" w:rsidR="009A7C0C" w:rsidRPr="00D379F3" w:rsidRDefault="009A7C0C">
            <w:pPr>
              <w:spacing w:after="0"/>
              <w:jc w:val="center"/>
              <w:rPr>
                <w:sz w:val="16"/>
                <w:szCs w:val="16"/>
              </w:rPr>
            </w:pPr>
            <w:r w:rsidRPr="00D379F3">
              <w:rPr>
                <w:sz w:val="16"/>
                <w:szCs w:val="16"/>
              </w:rPr>
              <w:t>Column 1: ITU Radio Regulations Table of Allocations</w:t>
            </w:r>
          </w:p>
        </w:tc>
        <w:tc>
          <w:tcPr>
            <w:tcW w:w="1639" w:type="pct"/>
            <w:tcBorders>
              <w:top w:val="single" w:sz="4" w:space="0" w:color="auto"/>
              <w:left w:val="single" w:sz="4" w:space="0" w:color="auto"/>
              <w:bottom w:val="single" w:sz="4" w:space="0" w:color="auto"/>
              <w:right w:val="single" w:sz="4" w:space="0" w:color="auto"/>
            </w:tcBorders>
            <w:hideMark/>
          </w:tcPr>
          <w:p w14:paraId="65E3E1A7" w14:textId="77777777" w:rsidR="009A7C0C" w:rsidRPr="00D379F3" w:rsidRDefault="009A7C0C">
            <w:pPr>
              <w:spacing w:after="0"/>
              <w:jc w:val="center"/>
              <w:rPr>
                <w:sz w:val="16"/>
                <w:szCs w:val="16"/>
              </w:rPr>
            </w:pPr>
            <w:r w:rsidRPr="00D379F3">
              <w:rPr>
                <w:sz w:val="16"/>
                <w:szCs w:val="16"/>
              </w:rPr>
              <w:t>Column 2:</w:t>
            </w:r>
          </w:p>
        </w:tc>
      </w:tr>
      <w:tr w:rsidR="001F0246" w:rsidRPr="001F0246" w14:paraId="11EAEA64" w14:textId="77777777" w:rsidTr="001F0246">
        <w:trPr>
          <w:cantSplit/>
        </w:trPr>
        <w:tc>
          <w:tcPr>
            <w:tcW w:w="1030" w:type="pct"/>
            <w:tcBorders>
              <w:top w:val="single" w:sz="4" w:space="0" w:color="auto"/>
              <w:left w:val="single" w:sz="4" w:space="0" w:color="auto"/>
              <w:bottom w:val="single" w:sz="4" w:space="0" w:color="auto"/>
              <w:right w:val="single" w:sz="4" w:space="0" w:color="auto"/>
            </w:tcBorders>
            <w:hideMark/>
          </w:tcPr>
          <w:p w14:paraId="3336D562"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1</w:t>
            </w:r>
          </w:p>
        </w:tc>
        <w:tc>
          <w:tcPr>
            <w:tcW w:w="1208" w:type="pct"/>
            <w:tcBorders>
              <w:top w:val="single" w:sz="4" w:space="0" w:color="auto"/>
              <w:left w:val="single" w:sz="4" w:space="0" w:color="auto"/>
              <w:bottom w:val="single" w:sz="4" w:space="0" w:color="auto"/>
              <w:right w:val="single" w:sz="4" w:space="0" w:color="auto"/>
            </w:tcBorders>
            <w:hideMark/>
          </w:tcPr>
          <w:p w14:paraId="59A4D9A8"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2</w:t>
            </w:r>
          </w:p>
        </w:tc>
        <w:tc>
          <w:tcPr>
            <w:tcW w:w="1123" w:type="pct"/>
            <w:tcBorders>
              <w:top w:val="single" w:sz="4" w:space="0" w:color="auto"/>
              <w:left w:val="single" w:sz="4" w:space="0" w:color="auto"/>
              <w:bottom w:val="single" w:sz="4" w:space="0" w:color="auto"/>
              <w:right w:val="single" w:sz="4" w:space="0" w:color="auto"/>
            </w:tcBorders>
            <w:hideMark/>
          </w:tcPr>
          <w:p w14:paraId="243EDFB2" w14:textId="77777777" w:rsidR="009A7C0C" w:rsidRPr="00D379F3" w:rsidRDefault="009A7C0C">
            <w:pPr>
              <w:tabs>
                <w:tab w:val="left" w:pos="284"/>
                <w:tab w:val="left" w:pos="567"/>
                <w:tab w:val="left" w:pos="1134"/>
              </w:tabs>
              <w:spacing w:after="0"/>
              <w:jc w:val="center"/>
              <w:rPr>
                <w:sz w:val="16"/>
                <w:szCs w:val="16"/>
              </w:rPr>
            </w:pPr>
            <w:r w:rsidRPr="00D379F3">
              <w:rPr>
                <w:sz w:val="16"/>
                <w:szCs w:val="16"/>
              </w:rPr>
              <w:t>Region 3</w:t>
            </w:r>
          </w:p>
        </w:tc>
        <w:tc>
          <w:tcPr>
            <w:tcW w:w="1639" w:type="pct"/>
            <w:tcBorders>
              <w:top w:val="single" w:sz="4" w:space="0" w:color="auto"/>
              <w:left w:val="single" w:sz="4" w:space="0" w:color="auto"/>
              <w:bottom w:val="single" w:sz="4" w:space="0" w:color="auto"/>
              <w:right w:val="single" w:sz="4" w:space="0" w:color="auto"/>
            </w:tcBorders>
            <w:hideMark/>
          </w:tcPr>
          <w:p w14:paraId="1B186517" w14:textId="77777777" w:rsidR="009A7C0C" w:rsidRPr="00D379F3" w:rsidRDefault="009A7C0C">
            <w:pPr>
              <w:spacing w:after="0"/>
              <w:jc w:val="center"/>
              <w:rPr>
                <w:sz w:val="16"/>
                <w:szCs w:val="16"/>
              </w:rPr>
            </w:pPr>
            <w:r w:rsidRPr="00D379F3">
              <w:rPr>
                <w:sz w:val="16"/>
                <w:szCs w:val="16"/>
              </w:rPr>
              <w:t>Australian Table of Allocations</w:t>
            </w:r>
          </w:p>
        </w:tc>
      </w:tr>
      <w:tr w:rsidR="009A7C0C" w:rsidRPr="001F0246" w14:paraId="5FAC9A09"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7C2EB94B"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3 100 – 3 300</w:t>
            </w:r>
            <w:r w:rsidRPr="00D379F3">
              <w:rPr>
                <w:b/>
                <w:sz w:val="16"/>
                <w:szCs w:val="16"/>
                <w:lang w:eastAsia="en-US"/>
              </w:rPr>
              <w:tab/>
            </w:r>
            <w:r w:rsidRPr="00D379F3">
              <w:rPr>
                <w:sz w:val="16"/>
                <w:szCs w:val="16"/>
                <w:lang w:eastAsia="en-US"/>
              </w:rPr>
              <w:t>RADIOLOCATION</w:t>
            </w:r>
          </w:p>
          <w:p w14:paraId="2787709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Earth exploration–satellite (active)</w:t>
            </w:r>
          </w:p>
          <w:p w14:paraId="11F69AD6"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Space research (active)</w:t>
            </w:r>
          </w:p>
          <w:p w14:paraId="3C9EB8A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01E4E8F"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15B89BC5"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663C838B"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A8F676E"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2A7FAB13" w14:textId="77777777" w:rsidR="009A7C0C" w:rsidRPr="00D379F3" w:rsidRDefault="009A7C0C">
            <w:pPr>
              <w:tabs>
                <w:tab w:val="left" w:pos="2693"/>
              </w:tabs>
              <w:spacing w:after="0"/>
              <w:ind w:left="2920" w:hanging="2920"/>
              <w:rPr>
                <w:b/>
                <w:sz w:val="16"/>
                <w:szCs w:val="16"/>
                <w:lang w:eastAsia="en-US"/>
              </w:rPr>
            </w:pPr>
            <w:r w:rsidRPr="00D379F3">
              <w:rPr>
                <w:sz w:val="16"/>
                <w:szCs w:val="16"/>
                <w:lang w:eastAsia="en-US"/>
              </w:rPr>
              <w:tab/>
              <w:t>149  428</w:t>
            </w:r>
          </w:p>
        </w:tc>
        <w:tc>
          <w:tcPr>
            <w:tcW w:w="1639" w:type="pct"/>
            <w:tcBorders>
              <w:top w:val="single" w:sz="4" w:space="0" w:color="auto"/>
              <w:left w:val="single" w:sz="4" w:space="0" w:color="auto"/>
              <w:bottom w:val="single" w:sz="4" w:space="0" w:color="auto"/>
              <w:right w:val="single" w:sz="4" w:space="0" w:color="auto"/>
            </w:tcBorders>
            <w:hideMark/>
          </w:tcPr>
          <w:p w14:paraId="7ED2AFA5"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3 100 – 3 300</w:t>
            </w:r>
          </w:p>
          <w:p w14:paraId="73A9528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AUS100A</w:t>
            </w:r>
          </w:p>
          <w:p w14:paraId="41D04CE0"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Earth exploration–satellite (active)</w:t>
            </w:r>
          </w:p>
          <w:p w14:paraId="6F2217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Space research (active)</w:t>
            </w:r>
          </w:p>
          <w:p w14:paraId="09FF7DB0"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98579B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w:t>
            </w:r>
          </w:p>
          <w:p w14:paraId="009B44D7"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149</w:t>
            </w:r>
          </w:p>
        </w:tc>
      </w:tr>
      <w:tr w:rsidR="001F0246" w:rsidRPr="001F0246" w14:paraId="0136B482" w14:textId="77777777" w:rsidTr="001F0246">
        <w:trPr>
          <w:cantSplit/>
        </w:trPr>
        <w:tc>
          <w:tcPr>
            <w:tcW w:w="1030" w:type="pct"/>
            <w:tcBorders>
              <w:top w:val="single" w:sz="4" w:space="0" w:color="auto"/>
              <w:left w:val="single" w:sz="4" w:space="0" w:color="auto"/>
              <w:bottom w:val="single" w:sz="4" w:space="0" w:color="auto"/>
              <w:right w:val="single" w:sz="4" w:space="0" w:color="auto"/>
            </w:tcBorders>
          </w:tcPr>
          <w:p w14:paraId="7B9E325E"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7EFF496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22B05EB9" w14:textId="77777777" w:rsidR="009A7C0C" w:rsidRPr="00D379F3" w:rsidRDefault="009A7C0C">
            <w:pPr>
              <w:tabs>
                <w:tab w:val="left" w:pos="425"/>
              </w:tabs>
              <w:spacing w:after="0"/>
              <w:ind w:left="227" w:hanging="227"/>
              <w:rPr>
                <w:sz w:val="16"/>
                <w:szCs w:val="16"/>
                <w:lang w:eastAsia="en-US"/>
              </w:rPr>
            </w:pPr>
          </w:p>
          <w:p w14:paraId="632E9262" w14:textId="77777777" w:rsidR="009A7C0C" w:rsidRPr="00D379F3" w:rsidRDefault="009A7C0C">
            <w:pPr>
              <w:tabs>
                <w:tab w:val="left" w:pos="425"/>
              </w:tabs>
              <w:spacing w:after="0"/>
              <w:ind w:left="227" w:hanging="227"/>
              <w:rPr>
                <w:sz w:val="16"/>
                <w:szCs w:val="16"/>
                <w:lang w:eastAsia="en-US"/>
              </w:rPr>
            </w:pPr>
          </w:p>
          <w:p w14:paraId="0CB295C4" w14:textId="77777777" w:rsidR="009A7C0C" w:rsidRPr="00D379F3" w:rsidRDefault="009A7C0C">
            <w:pPr>
              <w:tabs>
                <w:tab w:val="left" w:pos="425"/>
              </w:tabs>
              <w:spacing w:after="0"/>
              <w:ind w:left="227" w:hanging="227"/>
              <w:rPr>
                <w:sz w:val="16"/>
                <w:szCs w:val="16"/>
                <w:lang w:eastAsia="en-US"/>
              </w:rPr>
            </w:pPr>
          </w:p>
          <w:p w14:paraId="3A2843B7" w14:textId="77777777" w:rsidR="009A7C0C" w:rsidRPr="00D379F3" w:rsidRDefault="009A7C0C">
            <w:pPr>
              <w:tabs>
                <w:tab w:val="left" w:pos="425"/>
              </w:tabs>
              <w:spacing w:after="0"/>
              <w:ind w:left="227" w:hanging="227"/>
              <w:rPr>
                <w:sz w:val="16"/>
                <w:szCs w:val="16"/>
                <w:lang w:eastAsia="en-US"/>
              </w:rPr>
            </w:pPr>
          </w:p>
          <w:p w14:paraId="35BA903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  429A  429B  430</w:t>
            </w:r>
          </w:p>
        </w:tc>
        <w:tc>
          <w:tcPr>
            <w:tcW w:w="1208" w:type="pct"/>
            <w:tcBorders>
              <w:top w:val="single" w:sz="4" w:space="0" w:color="auto"/>
              <w:left w:val="single" w:sz="4" w:space="0" w:color="auto"/>
              <w:bottom w:val="single" w:sz="4" w:space="0" w:color="auto"/>
              <w:right w:val="single" w:sz="4" w:space="0" w:color="auto"/>
            </w:tcBorders>
          </w:tcPr>
          <w:p w14:paraId="513B1B18"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638B396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6F258AB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E47831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687C154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w:t>
            </w:r>
          </w:p>
          <w:p w14:paraId="7B49AA38" w14:textId="77777777" w:rsidR="009A7C0C" w:rsidRPr="00D379F3" w:rsidRDefault="009A7C0C">
            <w:pPr>
              <w:tabs>
                <w:tab w:val="left" w:pos="425"/>
              </w:tabs>
              <w:spacing w:after="0"/>
              <w:ind w:left="227" w:hanging="227"/>
              <w:rPr>
                <w:sz w:val="16"/>
                <w:szCs w:val="16"/>
                <w:lang w:eastAsia="en-US"/>
              </w:rPr>
            </w:pPr>
          </w:p>
          <w:p w14:paraId="54142D9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429C  429D</w:t>
            </w:r>
          </w:p>
        </w:tc>
        <w:tc>
          <w:tcPr>
            <w:tcW w:w="1123" w:type="pct"/>
            <w:tcBorders>
              <w:top w:val="single" w:sz="4" w:space="0" w:color="auto"/>
              <w:left w:val="single" w:sz="4" w:space="0" w:color="auto"/>
              <w:bottom w:val="single" w:sz="4" w:space="0" w:color="auto"/>
              <w:right w:val="single" w:sz="4" w:space="0" w:color="auto"/>
            </w:tcBorders>
          </w:tcPr>
          <w:p w14:paraId="2525CE74"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3 300 – 3 400</w:t>
            </w:r>
          </w:p>
          <w:p w14:paraId="366DEE6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325F39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A257FE3" w14:textId="77777777" w:rsidR="009A7C0C" w:rsidRPr="00D379F3" w:rsidRDefault="009A7C0C">
            <w:pPr>
              <w:tabs>
                <w:tab w:val="left" w:pos="425"/>
              </w:tabs>
              <w:spacing w:after="0"/>
              <w:ind w:left="227" w:hanging="227"/>
              <w:rPr>
                <w:sz w:val="16"/>
                <w:szCs w:val="16"/>
                <w:lang w:eastAsia="en-US"/>
              </w:rPr>
            </w:pPr>
          </w:p>
          <w:p w14:paraId="5BA7DD30" w14:textId="77777777" w:rsidR="009A7C0C" w:rsidRPr="00D379F3" w:rsidRDefault="009A7C0C">
            <w:pPr>
              <w:tabs>
                <w:tab w:val="left" w:pos="425"/>
              </w:tabs>
              <w:spacing w:after="0"/>
              <w:ind w:left="227" w:hanging="227"/>
              <w:rPr>
                <w:sz w:val="16"/>
                <w:szCs w:val="16"/>
                <w:lang w:eastAsia="en-US"/>
              </w:rPr>
            </w:pPr>
          </w:p>
          <w:p w14:paraId="51DD5D58" w14:textId="77777777" w:rsidR="009A7C0C" w:rsidRPr="00D379F3" w:rsidRDefault="009A7C0C">
            <w:pPr>
              <w:tabs>
                <w:tab w:val="left" w:pos="425"/>
              </w:tabs>
              <w:spacing w:after="0"/>
              <w:ind w:left="227" w:hanging="227"/>
              <w:rPr>
                <w:sz w:val="16"/>
                <w:szCs w:val="16"/>
                <w:lang w:eastAsia="en-US"/>
              </w:rPr>
            </w:pPr>
          </w:p>
          <w:p w14:paraId="3452C9D1"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  429  429E  429F</w:t>
            </w:r>
          </w:p>
        </w:tc>
        <w:tc>
          <w:tcPr>
            <w:tcW w:w="1639" w:type="pct"/>
            <w:tcBorders>
              <w:top w:val="single" w:sz="4" w:space="0" w:color="auto"/>
              <w:left w:val="single" w:sz="4" w:space="0" w:color="auto"/>
              <w:bottom w:val="single" w:sz="4" w:space="0" w:color="auto"/>
              <w:right w:val="single" w:sz="4" w:space="0" w:color="auto"/>
            </w:tcBorders>
            <w:hideMark/>
          </w:tcPr>
          <w:p w14:paraId="67153063" w14:textId="77777777" w:rsidR="009A7C0C" w:rsidRPr="00D379F3" w:rsidRDefault="009A7C0C">
            <w:pPr>
              <w:tabs>
                <w:tab w:val="left" w:pos="425"/>
              </w:tabs>
              <w:spacing w:after="0"/>
              <w:ind w:left="227" w:hanging="227"/>
              <w:rPr>
                <w:sz w:val="16"/>
                <w:szCs w:val="16"/>
                <w:lang w:val="de-DE" w:eastAsia="en-US"/>
              </w:rPr>
            </w:pPr>
            <w:r w:rsidRPr="00D379F3">
              <w:rPr>
                <w:b/>
                <w:sz w:val="16"/>
                <w:szCs w:val="16"/>
                <w:lang w:val="de-DE" w:eastAsia="en-US"/>
              </w:rPr>
              <w:t>3 300 – 3 400</w:t>
            </w:r>
          </w:p>
          <w:p w14:paraId="32EE4186"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RADIOLOCATION  AUS100A</w:t>
            </w:r>
          </w:p>
          <w:p w14:paraId="7954794F"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Amateur</w:t>
            </w:r>
          </w:p>
          <w:p w14:paraId="38BEBE6A"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Fixed</w:t>
            </w:r>
          </w:p>
          <w:p w14:paraId="089BC5F2" w14:textId="77777777" w:rsidR="009A7C0C" w:rsidRPr="00D379F3" w:rsidRDefault="009A7C0C">
            <w:pPr>
              <w:tabs>
                <w:tab w:val="left" w:pos="425"/>
              </w:tabs>
              <w:spacing w:after="0"/>
              <w:ind w:left="227" w:hanging="227"/>
              <w:rPr>
                <w:sz w:val="16"/>
                <w:szCs w:val="16"/>
                <w:lang w:val="de-DE" w:eastAsia="en-US"/>
              </w:rPr>
            </w:pPr>
            <w:r w:rsidRPr="00D379F3">
              <w:rPr>
                <w:sz w:val="16"/>
                <w:szCs w:val="16"/>
                <w:lang w:val="de-DE" w:eastAsia="en-US"/>
              </w:rPr>
              <w:t>Mobile</w:t>
            </w:r>
          </w:p>
          <w:p w14:paraId="5B059BC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149</w:t>
            </w:r>
          </w:p>
        </w:tc>
      </w:tr>
      <w:tr w:rsidR="001F0246" w:rsidRPr="001F0246" w14:paraId="073BD92C" w14:textId="77777777" w:rsidTr="001F0246">
        <w:trPr>
          <w:cantSplit/>
        </w:trPr>
        <w:tc>
          <w:tcPr>
            <w:tcW w:w="1030" w:type="pct"/>
            <w:vMerge w:val="restart"/>
            <w:tcBorders>
              <w:top w:val="single" w:sz="4" w:space="0" w:color="auto"/>
              <w:left w:val="single" w:sz="4" w:space="0" w:color="auto"/>
              <w:bottom w:val="single" w:sz="4" w:space="0" w:color="auto"/>
              <w:right w:val="nil"/>
            </w:tcBorders>
          </w:tcPr>
          <w:p w14:paraId="2AB79913"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3 400 – 3 600</w:t>
            </w:r>
          </w:p>
          <w:p w14:paraId="60782A1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7CF2D46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0ACB967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430A</w:t>
            </w:r>
          </w:p>
          <w:p w14:paraId="3F58104C"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Radiolocation</w:t>
            </w:r>
          </w:p>
          <w:p w14:paraId="30760EE0" w14:textId="77777777" w:rsidR="009A7C0C" w:rsidRPr="00D379F3" w:rsidRDefault="009A7C0C">
            <w:pPr>
              <w:tabs>
                <w:tab w:val="left" w:pos="425"/>
              </w:tabs>
              <w:spacing w:after="0"/>
              <w:ind w:left="227" w:hanging="227"/>
              <w:rPr>
                <w:sz w:val="16"/>
                <w:szCs w:val="16"/>
                <w:lang w:eastAsia="en-US"/>
              </w:rPr>
            </w:pPr>
          </w:p>
          <w:p w14:paraId="3C2563FE" w14:textId="77777777" w:rsidR="009A7C0C" w:rsidRPr="00D379F3" w:rsidRDefault="009A7C0C">
            <w:pPr>
              <w:tabs>
                <w:tab w:val="left" w:pos="425"/>
              </w:tabs>
              <w:spacing w:after="0"/>
              <w:ind w:left="227" w:hanging="227"/>
              <w:rPr>
                <w:sz w:val="16"/>
                <w:szCs w:val="16"/>
                <w:lang w:eastAsia="en-US"/>
              </w:rPr>
            </w:pPr>
          </w:p>
          <w:p w14:paraId="0179DF18" w14:textId="77777777" w:rsidR="009A7C0C" w:rsidRPr="00D379F3" w:rsidRDefault="009A7C0C">
            <w:pPr>
              <w:tabs>
                <w:tab w:val="left" w:pos="425"/>
              </w:tabs>
              <w:spacing w:after="0"/>
              <w:ind w:left="227" w:hanging="227"/>
              <w:rPr>
                <w:sz w:val="16"/>
                <w:szCs w:val="16"/>
                <w:lang w:eastAsia="en-US"/>
              </w:rPr>
            </w:pPr>
          </w:p>
          <w:p w14:paraId="3B704AB3" w14:textId="77777777" w:rsidR="009A7C0C" w:rsidRPr="00D379F3" w:rsidRDefault="009A7C0C">
            <w:pPr>
              <w:tabs>
                <w:tab w:val="left" w:pos="425"/>
              </w:tabs>
              <w:spacing w:after="0"/>
              <w:ind w:left="227" w:hanging="227"/>
              <w:rPr>
                <w:sz w:val="16"/>
                <w:szCs w:val="16"/>
                <w:lang w:eastAsia="en-US"/>
              </w:rPr>
            </w:pPr>
          </w:p>
          <w:p w14:paraId="5DEE8A98" w14:textId="77777777" w:rsidR="009A7C0C" w:rsidRPr="00D379F3" w:rsidRDefault="009A7C0C">
            <w:pPr>
              <w:tabs>
                <w:tab w:val="left" w:pos="425"/>
              </w:tabs>
              <w:spacing w:after="0"/>
              <w:ind w:left="227" w:hanging="227"/>
              <w:rPr>
                <w:sz w:val="16"/>
                <w:szCs w:val="16"/>
                <w:lang w:eastAsia="en-US"/>
              </w:rPr>
            </w:pPr>
          </w:p>
          <w:p w14:paraId="2347DF28" w14:textId="77777777" w:rsidR="009A7C0C" w:rsidRPr="00D379F3" w:rsidRDefault="009A7C0C">
            <w:pPr>
              <w:tabs>
                <w:tab w:val="left" w:pos="425"/>
              </w:tabs>
              <w:spacing w:after="0"/>
              <w:ind w:left="227" w:hanging="227"/>
              <w:rPr>
                <w:sz w:val="16"/>
                <w:szCs w:val="16"/>
                <w:lang w:eastAsia="en-US"/>
              </w:rPr>
            </w:pPr>
          </w:p>
          <w:p w14:paraId="1748D7A0" w14:textId="77777777" w:rsidR="009A7C0C" w:rsidRPr="00D379F3" w:rsidRDefault="009A7C0C">
            <w:pPr>
              <w:tabs>
                <w:tab w:val="left" w:pos="425"/>
              </w:tabs>
              <w:spacing w:after="0"/>
              <w:ind w:left="227" w:hanging="227"/>
              <w:rPr>
                <w:sz w:val="16"/>
                <w:szCs w:val="16"/>
                <w:lang w:eastAsia="en-US"/>
              </w:rPr>
            </w:pPr>
          </w:p>
          <w:p w14:paraId="6084E3A6" w14:textId="77777777" w:rsidR="009A7C0C" w:rsidRPr="00D379F3" w:rsidRDefault="009A7C0C">
            <w:pPr>
              <w:tabs>
                <w:tab w:val="left" w:pos="425"/>
              </w:tabs>
              <w:spacing w:after="0"/>
              <w:ind w:left="227" w:hanging="227"/>
              <w:rPr>
                <w:sz w:val="16"/>
                <w:szCs w:val="16"/>
                <w:lang w:eastAsia="en-US"/>
              </w:rPr>
            </w:pPr>
          </w:p>
          <w:p w14:paraId="651E3EEE"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431</w:t>
            </w:r>
          </w:p>
        </w:tc>
        <w:tc>
          <w:tcPr>
            <w:tcW w:w="1208" w:type="pct"/>
            <w:tcBorders>
              <w:top w:val="single" w:sz="4" w:space="0" w:color="auto"/>
              <w:left w:val="single" w:sz="4" w:space="0" w:color="auto"/>
              <w:bottom w:val="single" w:sz="4" w:space="0" w:color="auto"/>
              <w:right w:val="single" w:sz="4" w:space="0" w:color="auto"/>
            </w:tcBorders>
            <w:hideMark/>
          </w:tcPr>
          <w:p w14:paraId="54611251"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lastRenderedPageBreak/>
              <w:t>3 400 – 3 500</w:t>
            </w:r>
          </w:p>
          <w:p w14:paraId="2B088FC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0281BEA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67B1CC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431A 431B</w:t>
            </w:r>
          </w:p>
          <w:p w14:paraId="7C0CB70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0ED718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p w14:paraId="6CCB6296"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282</w:t>
            </w:r>
          </w:p>
        </w:tc>
        <w:tc>
          <w:tcPr>
            <w:tcW w:w="1123" w:type="pct"/>
            <w:tcBorders>
              <w:top w:val="single" w:sz="4" w:space="0" w:color="auto"/>
              <w:left w:val="single" w:sz="4" w:space="0" w:color="auto"/>
              <w:bottom w:val="single" w:sz="4" w:space="0" w:color="auto"/>
              <w:right w:val="single" w:sz="4" w:space="0" w:color="auto"/>
            </w:tcBorders>
          </w:tcPr>
          <w:p w14:paraId="51920BED"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3 400 – 3 500</w:t>
            </w:r>
          </w:p>
          <w:p w14:paraId="6AE0719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3F73912A"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F94DF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Amateur</w:t>
            </w:r>
          </w:p>
          <w:p w14:paraId="1D46C3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432  432B</w:t>
            </w:r>
          </w:p>
          <w:p w14:paraId="3ED9C44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p w14:paraId="434B01C7" w14:textId="77777777" w:rsidR="009A7C0C" w:rsidRPr="00D379F3" w:rsidRDefault="009A7C0C">
            <w:pPr>
              <w:tabs>
                <w:tab w:val="left" w:pos="425"/>
              </w:tabs>
              <w:spacing w:after="0"/>
              <w:ind w:left="227" w:hanging="227"/>
              <w:rPr>
                <w:sz w:val="16"/>
                <w:szCs w:val="16"/>
                <w:lang w:eastAsia="en-US"/>
              </w:rPr>
            </w:pPr>
          </w:p>
          <w:p w14:paraId="2F8FF50D"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282  432A</w:t>
            </w:r>
          </w:p>
        </w:tc>
        <w:tc>
          <w:tcPr>
            <w:tcW w:w="1639" w:type="pct"/>
            <w:vMerge w:val="restart"/>
            <w:tcBorders>
              <w:top w:val="single" w:sz="4" w:space="0" w:color="auto"/>
              <w:left w:val="nil"/>
              <w:bottom w:val="single" w:sz="4" w:space="0" w:color="auto"/>
              <w:right w:val="single" w:sz="4" w:space="0" w:color="auto"/>
            </w:tcBorders>
          </w:tcPr>
          <w:p w14:paraId="40B8D1AF"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3 400 – 3 600</w:t>
            </w:r>
          </w:p>
          <w:p w14:paraId="0D50F7E0"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FIXED</w:t>
            </w:r>
          </w:p>
          <w:p w14:paraId="764202EB"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MOBILE  432B  433A</w:t>
            </w:r>
          </w:p>
          <w:p w14:paraId="5D76FA90"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RADIOLOCATION  433  AUS101A</w:t>
            </w:r>
          </w:p>
          <w:p w14:paraId="387756A1"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Amateur</w:t>
            </w:r>
          </w:p>
          <w:p w14:paraId="5543430B" w14:textId="77777777" w:rsidR="009A7C0C" w:rsidRPr="00D379F3" w:rsidRDefault="009A7C0C">
            <w:pPr>
              <w:tabs>
                <w:tab w:val="left" w:pos="425"/>
              </w:tabs>
              <w:spacing w:after="0"/>
              <w:ind w:left="227" w:right="-108" w:hanging="227"/>
              <w:rPr>
                <w:sz w:val="16"/>
                <w:szCs w:val="16"/>
                <w:lang w:eastAsia="en-US"/>
              </w:rPr>
            </w:pPr>
            <w:r w:rsidRPr="00D379F3">
              <w:rPr>
                <w:sz w:val="16"/>
                <w:szCs w:val="16"/>
                <w:lang w:eastAsia="en-US"/>
              </w:rPr>
              <w:t>Fixed–satellite (space-to-Earth)</w:t>
            </w:r>
          </w:p>
          <w:p w14:paraId="106FCDB2" w14:textId="77777777" w:rsidR="009A7C0C" w:rsidRPr="00D379F3" w:rsidRDefault="009A7C0C">
            <w:pPr>
              <w:tabs>
                <w:tab w:val="left" w:pos="425"/>
              </w:tabs>
              <w:spacing w:after="0"/>
              <w:ind w:left="227" w:hanging="227"/>
              <w:rPr>
                <w:sz w:val="16"/>
                <w:szCs w:val="16"/>
                <w:lang w:eastAsia="en-US"/>
              </w:rPr>
            </w:pPr>
          </w:p>
          <w:p w14:paraId="2C32F131" w14:textId="77777777" w:rsidR="009A7C0C" w:rsidRPr="00D379F3" w:rsidRDefault="009A7C0C">
            <w:pPr>
              <w:tabs>
                <w:tab w:val="left" w:pos="425"/>
              </w:tabs>
              <w:spacing w:after="0"/>
              <w:ind w:left="227" w:hanging="227"/>
              <w:rPr>
                <w:sz w:val="16"/>
                <w:szCs w:val="16"/>
                <w:lang w:eastAsia="en-US"/>
              </w:rPr>
            </w:pPr>
          </w:p>
          <w:p w14:paraId="395BC23D" w14:textId="77777777" w:rsidR="009A7C0C" w:rsidRPr="00D379F3" w:rsidRDefault="009A7C0C">
            <w:pPr>
              <w:tabs>
                <w:tab w:val="left" w:pos="425"/>
              </w:tabs>
              <w:spacing w:after="0"/>
              <w:ind w:left="227" w:hanging="227"/>
              <w:rPr>
                <w:sz w:val="16"/>
                <w:szCs w:val="16"/>
                <w:lang w:eastAsia="en-US"/>
              </w:rPr>
            </w:pPr>
          </w:p>
          <w:p w14:paraId="1037650C" w14:textId="77777777" w:rsidR="009A7C0C" w:rsidRPr="00D379F3" w:rsidRDefault="009A7C0C">
            <w:pPr>
              <w:tabs>
                <w:tab w:val="left" w:pos="425"/>
              </w:tabs>
              <w:spacing w:after="0"/>
              <w:ind w:left="227" w:hanging="227"/>
              <w:rPr>
                <w:sz w:val="16"/>
                <w:szCs w:val="16"/>
                <w:lang w:eastAsia="en-US"/>
              </w:rPr>
            </w:pPr>
          </w:p>
          <w:p w14:paraId="382C2A64" w14:textId="77777777" w:rsidR="009A7C0C" w:rsidRPr="00D379F3" w:rsidRDefault="009A7C0C">
            <w:pPr>
              <w:tabs>
                <w:tab w:val="left" w:pos="425"/>
              </w:tabs>
              <w:spacing w:after="0"/>
              <w:ind w:left="227" w:hanging="227"/>
              <w:rPr>
                <w:sz w:val="16"/>
                <w:szCs w:val="16"/>
                <w:lang w:eastAsia="en-US"/>
              </w:rPr>
            </w:pPr>
          </w:p>
          <w:p w14:paraId="11631E8A" w14:textId="77777777" w:rsidR="009A7C0C" w:rsidRPr="00D379F3" w:rsidRDefault="009A7C0C">
            <w:pPr>
              <w:tabs>
                <w:tab w:val="left" w:pos="425"/>
              </w:tabs>
              <w:spacing w:after="0"/>
              <w:ind w:left="227" w:hanging="227"/>
              <w:rPr>
                <w:sz w:val="16"/>
                <w:szCs w:val="16"/>
                <w:lang w:eastAsia="en-US"/>
              </w:rPr>
            </w:pPr>
          </w:p>
          <w:p w14:paraId="2297504D" w14:textId="77777777" w:rsidR="009A7C0C" w:rsidRPr="00D379F3" w:rsidRDefault="009A7C0C">
            <w:pPr>
              <w:tabs>
                <w:tab w:val="left" w:pos="425"/>
              </w:tabs>
              <w:spacing w:after="0"/>
              <w:ind w:left="227" w:hanging="227"/>
              <w:rPr>
                <w:sz w:val="16"/>
                <w:szCs w:val="16"/>
                <w:lang w:eastAsia="en-US"/>
              </w:rPr>
            </w:pPr>
          </w:p>
          <w:p w14:paraId="21F06E58" w14:textId="77777777" w:rsidR="009A7C0C" w:rsidRPr="00D379F3" w:rsidRDefault="009A7C0C">
            <w:pPr>
              <w:tabs>
                <w:tab w:val="left" w:pos="425"/>
              </w:tabs>
              <w:spacing w:after="0"/>
              <w:ind w:left="227" w:hanging="227"/>
              <w:rPr>
                <w:sz w:val="16"/>
                <w:szCs w:val="16"/>
                <w:lang w:eastAsia="en-US"/>
              </w:rPr>
            </w:pPr>
          </w:p>
          <w:p w14:paraId="1FC5EDAD"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282</w:t>
            </w:r>
          </w:p>
        </w:tc>
      </w:tr>
      <w:tr w:rsidR="001F0246" w:rsidRPr="001F0246" w14:paraId="6AEB0DA8" w14:textId="77777777" w:rsidTr="00D379F3">
        <w:trPr>
          <w:cantSplit/>
          <w:trHeight w:val="367"/>
        </w:trPr>
        <w:tc>
          <w:tcPr>
            <w:tcW w:w="1030" w:type="pct"/>
            <w:vMerge/>
            <w:tcBorders>
              <w:top w:val="single" w:sz="4" w:space="0" w:color="auto"/>
              <w:left w:val="single" w:sz="4" w:space="0" w:color="auto"/>
              <w:bottom w:val="single" w:sz="4" w:space="0" w:color="auto"/>
              <w:right w:val="nil"/>
            </w:tcBorders>
            <w:vAlign w:val="center"/>
            <w:hideMark/>
          </w:tcPr>
          <w:p w14:paraId="1E071FDD" w14:textId="77777777" w:rsidR="009A7C0C" w:rsidRPr="00D379F3" w:rsidRDefault="009A7C0C">
            <w:pPr>
              <w:spacing w:after="0"/>
              <w:rPr>
                <w:b/>
                <w:sz w:val="16"/>
                <w:szCs w:val="16"/>
                <w:lang w:eastAsia="en-US"/>
              </w:rPr>
            </w:pPr>
          </w:p>
        </w:tc>
        <w:tc>
          <w:tcPr>
            <w:tcW w:w="1208" w:type="pct"/>
            <w:tcBorders>
              <w:top w:val="single" w:sz="4" w:space="0" w:color="auto"/>
              <w:left w:val="single" w:sz="4" w:space="0" w:color="auto"/>
              <w:bottom w:val="single" w:sz="6" w:space="0" w:color="auto"/>
              <w:right w:val="single" w:sz="4" w:space="0" w:color="auto"/>
            </w:tcBorders>
            <w:hideMark/>
          </w:tcPr>
          <w:p w14:paraId="125E2194"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3 500 – 3 600</w:t>
            </w:r>
          </w:p>
          <w:p w14:paraId="403AD866"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C8C8C49"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26EE8E1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431B</w:t>
            </w:r>
          </w:p>
          <w:p w14:paraId="28CD92F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123" w:type="pct"/>
            <w:tcBorders>
              <w:top w:val="single" w:sz="4" w:space="0" w:color="auto"/>
              <w:left w:val="nil"/>
              <w:bottom w:val="single" w:sz="4" w:space="0" w:color="auto"/>
              <w:right w:val="single" w:sz="4" w:space="0" w:color="auto"/>
            </w:tcBorders>
            <w:hideMark/>
          </w:tcPr>
          <w:p w14:paraId="718D1288"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3 500 – 3 600</w:t>
            </w:r>
          </w:p>
          <w:p w14:paraId="4C0CD9B3"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24089041"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7792DA7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433A</w:t>
            </w:r>
          </w:p>
          <w:p w14:paraId="57D4D52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639" w:type="pct"/>
            <w:vMerge/>
            <w:tcBorders>
              <w:top w:val="single" w:sz="4" w:space="0" w:color="auto"/>
              <w:left w:val="nil"/>
              <w:bottom w:val="single" w:sz="4" w:space="0" w:color="auto"/>
              <w:right w:val="single" w:sz="4" w:space="0" w:color="auto"/>
            </w:tcBorders>
            <w:vAlign w:val="center"/>
            <w:hideMark/>
          </w:tcPr>
          <w:p w14:paraId="1B035BF2" w14:textId="77777777" w:rsidR="009A7C0C" w:rsidRPr="00D379F3" w:rsidRDefault="009A7C0C">
            <w:pPr>
              <w:spacing w:after="0"/>
              <w:rPr>
                <w:b/>
                <w:sz w:val="16"/>
                <w:szCs w:val="16"/>
                <w:lang w:eastAsia="en-US"/>
              </w:rPr>
            </w:pPr>
          </w:p>
        </w:tc>
      </w:tr>
      <w:tr w:rsidR="001F0246" w:rsidRPr="001F0246" w14:paraId="71CD1B33" w14:textId="77777777" w:rsidTr="001F0246">
        <w:trPr>
          <w:cantSplit/>
          <w:trHeight w:val="257"/>
        </w:trPr>
        <w:tc>
          <w:tcPr>
            <w:tcW w:w="1030" w:type="pct"/>
            <w:vMerge w:val="restart"/>
            <w:tcBorders>
              <w:top w:val="single" w:sz="4" w:space="0" w:color="auto"/>
              <w:left w:val="single" w:sz="4" w:space="0" w:color="auto"/>
              <w:bottom w:val="single" w:sz="4" w:space="0" w:color="auto"/>
              <w:right w:val="single" w:sz="4" w:space="0" w:color="auto"/>
            </w:tcBorders>
            <w:hideMark/>
          </w:tcPr>
          <w:p w14:paraId="5677CF74"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3 600 – 4 200</w:t>
            </w:r>
          </w:p>
          <w:p w14:paraId="4D5E84DC"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3E1BBF18"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497EC705"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Mobile</w:t>
            </w:r>
          </w:p>
        </w:tc>
        <w:tc>
          <w:tcPr>
            <w:tcW w:w="1208" w:type="pct"/>
            <w:tcBorders>
              <w:top w:val="single" w:sz="6" w:space="0" w:color="auto"/>
              <w:left w:val="single" w:sz="4" w:space="0" w:color="auto"/>
              <w:bottom w:val="single" w:sz="4" w:space="0" w:color="auto"/>
              <w:right w:val="single" w:sz="4" w:space="0" w:color="auto"/>
            </w:tcBorders>
            <w:hideMark/>
          </w:tcPr>
          <w:p w14:paraId="1FA5F9B6" w14:textId="77777777" w:rsidR="009A7C0C" w:rsidRPr="00D379F3" w:rsidRDefault="009A7C0C">
            <w:pPr>
              <w:tabs>
                <w:tab w:val="left" w:pos="425"/>
              </w:tabs>
              <w:spacing w:after="0"/>
              <w:ind w:left="652" w:hanging="652"/>
              <w:rPr>
                <w:b/>
                <w:sz w:val="16"/>
                <w:szCs w:val="16"/>
                <w:lang w:eastAsia="en-US"/>
              </w:rPr>
            </w:pPr>
            <w:r w:rsidRPr="00D379F3">
              <w:rPr>
                <w:b/>
                <w:sz w:val="16"/>
                <w:szCs w:val="16"/>
                <w:lang w:eastAsia="en-US"/>
              </w:rPr>
              <w:t>3 600 – 3 700</w:t>
            </w:r>
          </w:p>
          <w:p w14:paraId="3D698E5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1587580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0449FBD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  434</w:t>
            </w:r>
          </w:p>
          <w:p w14:paraId="254FFA8B"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  433</w:t>
            </w:r>
          </w:p>
        </w:tc>
        <w:tc>
          <w:tcPr>
            <w:tcW w:w="1123" w:type="pct"/>
            <w:tcBorders>
              <w:top w:val="single" w:sz="4" w:space="0" w:color="auto"/>
              <w:left w:val="nil"/>
              <w:bottom w:val="single" w:sz="4" w:space="0" w:color="auto"/>
              <w:right w:val="single" w:sz="4" w:space="0" w:color="auto"/>
            </w:tcBorders>
            <w:hideMark/>
          </w:tcPr>
          <w:p w14:paraId="084B7540"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3 600 – 3 700</w:t>
            </w:r>
          </w:p>
          <w:p w14:paraId="51DDC80E"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44509694"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62AD8F45"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w:t>
            </w:r>
          </w:p>
          <w:p w14:paraId="375E2C4C"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Radiolocation</w:t>
            </w:r>
          </w:p>
          <w:p w14:paraId="32D63E78" w14:textId="77777777" w:rsidR="009A7C0C" w:rsidRPr="00D379F3" w:rsidRDefault="009A7C0C">
            <w:pPr>
              <w:tabs>
                <w:tab w:val="left" w:pos="425"/>
              </w:tabs>
              <w:spacing w:after="0"/>
              <w:ind w:left="227" w:hanging="227"/>
              <w:rPr>
                <w:vanish/>
                <w:sz w:val="16"/>
                <w:szCs w:val="16"/>
                <w:lang w:eastAsia="en-US"/>
              </w:rPr>
            </w:pPr>
            <w:r w:rsidRPr="00D379F3">
              <w:rPr>
                <w:sz w:val="16"/>
                <w:szCs w:val="16"/>
                <w:lang w:eastAsia="en-US"/>
              </w:rPr>
              <w:t>435</w:t>
            </w:r>
          </w:p>
        </w:tc>
        <w:tc>
          <w:tcPr>
            <w:tcW w:w="1639" w:type="pct"/>
            <w:vMerge w:val="restart"/>
            <w:tcBorders>
              <w:top w:val="single" w:sz="4" w:space="0" w:color="auto"/>
              <w:left w:val="nil"/>
              <w:bottom w:val="single" w:sz="4" w:space="0" w:color="auto"/>
              <w:right w:val="single" w:sz="4" w:space="0" w:color="auto"/>
            </w:tcBorders>
            <w:hideMark/>
          </w:tcPr>
          <w:p w14:paraId="602759C8" w14:textId="77777777" w:rsidR="009A7C0C" w:rsidRPr="00D379F3" w:rsidRDefault="009A7C0C">
            <w:pPr>
              <w:tabs>
                <w:tab w:val="left" w:pos="425"/>
              </w:tabs>
              <w:spacing w:after="0"/>
              <w:ind w:left="227" w:hanging="227"/>
              <w:rPr>
                <w:sz w:val="16"/>
                <w:szCs w:val="16"/>
                <w:lang w:eastAsia="en-US"/>
              </w:rPr>
            </w:pPr>
            <w:r w:rsidRPr="00D379F3">
              <w:rPr>
                <w:b/>
                <w:sz w:val="16"/>
                <w:szCs w:val="16"/>
                <w:lang w:eastAsia="en-US"/>
              </w:rPr>
              <w:t>3 600 – 4 200</w:t>
            </w:r>
          </w:p>
          <w:p w14:paraId="60AC45D7"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w:t>
            </w:r>
          </w:p>
          <w:p w14:paraId="4C00306E"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FIXED–SATELLITE (space-to-Earth)</w:t>
            </w:r>
          </w:p>
          <w:p w14:paraId="3E4ED84F"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MOBILE except aeronautical mobile</w:t>
            </w:r>
          </w:p>
        </w:tc>
      </w:tr>
      <w:tr w:rsidR="001F0246" w:rsidRPr="001F0246" w14:paraId="223FE4B6" w14:textId="77777777" w:rsidTr="001F0246">
        <w:trPr>
          <w:cantSplit/>
          <w:trHeight w:val="1026"/>
        </w:trPr>
        <w:tc>
          <w:tcPr>
            <w:tcW w:w="1030" w:type="pct"/>
            <w:vMerge/>
            <w:tcBorders>
              <w:top w:val="single" w:sz="4" w:space="0" w:color="auto"/>
              <w:left w:val="single" w:sz="4" w:space="0" w:color="auto"/>
              <w:bottom w:val="single" w:sz="4" w:space="0" w:color="auto"/>
              <w:right w:val="single" w:sz="4" w:space="0" w:color="auto"/>
            </w:tcBorders>
            <w:vAlign w:val="center"/>
            <w:hideMark/>
          </w:tcPr>
          <w:p w14:paraId="64995ED3" w14:textId="77777777" w:rsidR="009A7C0C" w:rsidRPr="00D379F3" w:rsidRDefault="009A7C0C">
            <w:pPr>
              <w:spacing w:after="0"/>
              <w:rPr>
                <w:b/>
                <w:sz w:val="16"/>
                <w:szCs w:val="16"/>
                <w:lang w:eastAsia="en-US"/>
              </w:rPr>
            </w:pPr>
          </w:p>
        </w:tc>
        <w:tc>
          <w:tcPr>
            <w:tcW w:w="2332" w:type="pct"/>
            <w:gridSpan w:val="2"/>
            <w:tcBorders>
              <w:top w:val="single" w:sz="4" w:space="0" w:color="auto"/>
              <w:left w:val="single" w:sz="4" w:space="0" w:color="auto"/>
              <w:bottom w:val="single" w:sz="4" w:space="0" w:color="auto"/>
              <w:right w:val="single" w:sz="4" w:space="0" w:color="auto"/>
            </w:tcBorders>
            <w:hideMark/>
          </w:tcPr>
          <w:p w14:paraId="6AD7A2AF" w14:textId="77777777" w:rsidR="009A7C0C" w:rsidRPr="00D379F3" w:rsidRDefault="009A7C0C">
            <w:pPr>
              <w:tabs>
                <w:tab w:val="left" w:pos="425"/>
              </w:tabs>
              <w:spacing w:after="0"/>
              <w:ind w:left="652" w:hanging="652"/>
              <w:rPr>
                <w:b/>
                <w:sz w:val="16"/>
                <w:szCs w:val="16"/>
                <w:lang w:eastAsia="en-US"/>
              </w:rPr>
            </w:pPr>
            <w:r w:rsidRPr="00D379F3">
              <w:rPr>
                <w:b/>
                <w:sz w:val="16"/>
                <w:szCs w:val="16"/>
                <w:lang w:eastAsia="en-US"/>
              </w:rPr>
              <w:t>3 700 – 4 200</w:t>
            </w:r>
          </w:p>
          <w:p w14:paraId="6D891233"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FIXED</w:t>
            </w:r>
          </w:p>
          <w:p w14:paraId="3E8C2DD5"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FIXED–SATELLITE (space-to-Earth)</w:t>
            </w:r>
          </w:p>
          <w:p w14:paraId="22C70F3C" w14:textId="77777777" w:rsidR="009A7C0C" w:rsidRPr="00D379F3" w:rsidRDefault="009A7C0C">
            <w:pPr>
              <w:tabs>
                <w:tab w:val="left" w:pos="425"/>
              </w:tabs>
              <w:spacing w:after="0"/>
              <w:ind w:left="652" w:hanging="652"/>
              <w:rPr>
                <w:sz w:val="16"/>
                <w:szCs w:val="16"/>
                <w:lang w:eastAsia="en-US"/>
              </w:rPr>
            </w:pPr>
            <w:r w:rsidRPr="00D379F3">
              <w:rPr>
                <w:sz w:val="16"/>
                <w:szCs w:val="16"/>
                <w:lang w:eastAsia="en-US"/>
              </w:rPr>
              <w:tab/>
              <w:t>MOBILE except aeronautical mobile</w:t>
            </w:r>
          </w:p>
        </w:tc>
        <w:tc>
          <w:tcPr>
            <w:tcW w:w="1639" w:type="pct"/>
            <w:vMerge/>
            <w:tcBorders>
              <w:top w:val="single" w:sz="4" w:space="0" w:color="auto"/>
              <w:left w:val="nil"/>
              <w:bottom w:val="single" w:sz="4" w:space="0" w:color="auto"/>
              <w:right w:val="single" w:sz="4" w:space="0" w:color="auto"/>
            </w:tcBorders>
            <w:vAlign w:val="center"/>
            <w:hideMark/>
          </w:tcPr>
          <w:p w14:paraId="49A035E1" w14:textId="77777777" w:rsidR="009A7C0C" w:rsidRPr="00D379F3" w:rsidRDefault="009A7C0C">
            <w:pPr>
              <w:spacing w:after="0"/>
              <w:rPr>
                <w:sz w:val="16"/>
                <w:szCs w:val="16"/>
                <w:lang w:eastAsia="en-US"/>
              </w:rPr>
            </w:pPr>
          </w:p>
        </w:tc>
      </w:tr>
      <w:tr w:rsidR="009A7C0C" w:rsidRPr="001F0246" w14:paraId="4371AF03"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hideMark/>
          </w:tcPr>
          <w:p w14:paraId="0835EA25"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4 200 – 4 400</w:t>
            </w:r>
            <w:r w:rsidRPr="00D379F3">
              <w:rPr>
                <w:b/>
                <w:sz w:val="16"/>
                <w:szCs w:val="16"/>
                <w:lang w:eastAsia="en-US"/>
              </w:rPr>
              <w:tab/>
            </w:r>
            <w:r w:rsidRPr="00D379F3">
              <w:rPr>
                <w:sz w:val="16"/>
                <w:szCs w:val="16"/>
                <w:lang w:eastAsia="en-US"/>
              </w:rPr>
              <w:t>AERONAUTICAL MOBILE (R)  436</w:t>
            </w:r>
          </w:p>
          <w:p w14:paraId="1764409F" w14:textId="77777777" w:rsidR="009A7C0C" w:rsidRPr="00D379F3" w:rsidRDefault="009A7C0C">
            <w:pPr>
              <w:tabs>
                <w:tab w:val="left" w:pos="2693"/>
              </w:tabs>
              <w:spacing w:after="0"/>
              <w:ind w:left="2920" w:hanging="2920"/>
              <w:rPr>
                <w:sz w:val="16"/>
                <w:szCs w:val="16"/>
                <w:lang w:eastAsia="en-US"/>
              </w:rPr>
            </w:pPr>
            <w:r w:rsidRPr="00D379F3">
              <w:rPr>
                <w:b/>
                <w:sz w:val="16"/>
                <w:szCs w:val="16"/>
                <w:lang w:eastAsia="en-US"/>
              </w:rPr>
              <w:tab/>
            </w:r>
            <w:r w:rsidRPr="00D379F3">
              <w:rPr>
                <w:sz w:val="16"/>
                <w:szCs w:val="16"/>
                <w:lang w:eastAsia="en-US"/>
              </w:rPr>
              <w:t>AERONAUTICAL RADIONAVIGATION  438</w:t>
            </w:r>
          </w:p>
          <w:p w14:paraId="7C0FC98F"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04B45CD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1659D775"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0FAB5DF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r>
          </w:p>
          <w:p w14:paraId="3C4000D4" w14:textId="77777777" w:rsidR="009A7C0C" w:rsidRPr="00D379F3" w:rsidRDefault="009A7C0C">
            <w:pPr>
              <w:tabs>
                <w:tab w:val="left" w:pos="2693"/>
              </w:tabs>
              <w:spacing w:after="0"/>
              <w:ind w:left="2920" w:hanging="2920"/>
              <w:rPr>
                <w:sz w:val="16"/>
                <w:szCs w:val="16"/>
                <w:lang w:eastAsia="en-US"/>
              </w:rPr>
            </w:pPr>
            <w:r w:rsidRPr="00D379F3">
              <w:rPr>
                <w:sz w:val="16"/>
                <w:szCs w:val="16"/>
                <w:lang w:eastAsia="en-US"/>
              </w:rPr>
              <w:tab/>
              <w:t>437  439  440</w:t>
            </w:r>
          </w:p>
        </w:tc>
        <w:tc>
          <w:tcPr>
            <w:tcW w:w="1639" w:type="pct"/>
            <w:tcBorders>
              <w:top w:val="single" w:sz="4" w:space="0" w:color="auto"/>
              <w:left w:val="single" w:sz="4" w:space="0" w:color="auto"/>
              <w:bottom w:val="single" w:sz="4" w:space="0" w:color="auto"/>
              <w:right w:val="single" w:sz="4" w:space="0" w:color="auto"/>
            </w:tcBorders>
            <w:hideMark/>
          </w:tcPr>
          <w:p w14:paraId="7E6C9EC7" w14:textId="77777777" w:rsidR="009A7C0C" w:rsidRPr="00D379F3" w:rsidRDefault="009A7C0C">
            <w:pPr>
              <w:tabs>
                <w:tab w:val="left" w:pos="425"/>
              </w:tabs>
              <w:spacing w:after="0"/>
              <w:ind w:left="227" w:hanging="227"/>
              <w:rPr>
                <w:b/>
                <w:sz w:val="16"/>
                <w:szCs w:val="16"/>
                <w:lang w:eastAsia="en-US"/>
              </w:rPr>
            </w:pPr>
            <w:r w:rsidRPr="00D379F3">
              <w:rPr>
                <w:b/>
                <w:sz w:val="16"/>
                <w:szCs w:val="16"/>
                <w:lang w:eastAsia="en-US"/>
              </w:rPr>
              <w:t>4 200 – 4 400</w:t>
            </w:r>
          </w:p>
          <w:p w14:paraId="2814295D"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AERONAUTICAL MOBILE (R)  436</w:t>
            </w:r>
          </w:p>
          <w:p w14:paraId="28838C02" w14:textId="77777777" w:rsidR="009A7C0C" w:rsidRPr="00D379F3" w:rsidRDefault="009A7C0C">
            <w:pPr>
              <w:tabs>
                <w:tab w:val="left" w:pos="425"/>
              </w:tabs>
              <w:spacing w:after="0"/>
              <w:ind w:left="227" w:hanging="227"/>
              <w:rPr>
                <w:sz w:val="16"/>
                <w:szCs w:val="16"/>
                <w:lang w:eastAsia="en-US"/>
              </w:rPr>
            </w:pPr>
            <w:r w:rsidRPr="00D379F3">
              <w:rPr>
                <w:sz w:val="16"/>
                <w:szCs w:val="16"/>
                <w:lang w:eastAsia="en-US"/>
              </w:rPr>
              <w:t>AERONAUTICAL RADIONAVIGATION  438</w:t>
            </w:r>
          </w:p>
          <w:p w14:paraId="599EFD8B" w14:textId="77777777" w:rsidR="009A7C0C" w:rsidRPr="00D379F3" w:rsidRDefault="009A7C0C">
            <w:pPr>
              <w:tabs>
                <w:tab w:val="left" w:pos="425"/>
              </w:tabs>
              <w:spacing w:after="0"/>
              <w:ind w:left="227" w:hanging="227"/>
              <w:rPr>
                <w:b/>
                <w:sz w:val="16"/>
                <w:szCs w:val="16"/>
                <w:lang w:eastAsia="en-US"/>
              </w:rPr>
            </w:pPr>
            <w:r w:rsidRPr="00D379F3">
              <w:rPr>
                <w:sz w:val="16"/>
                <w:szCs w:val="16"/>
                <w:lang w:eastAsia="en-US"/>
              </w:rPr>
              <w:t>437  440  AUS87</w:t>
            </w:r>
          </w:p>
        </w:tc>
      </w:tr>
    </w:tbl>
    <w:p w14:paraId="72042CEA" w14:textId="77777777" w:rsidR="009A7C0C" w:rsidRPr="00D379F3" w:rsidRDefault="009A7C0C" w:rsidP="009A7C0C">
      <w:pPr>
        <w:pStyle w:val="Paragraph-nonumber"/>
        <w:rPr>
          <w:b/>
          <w:bCs/>
          <w:sz w:val="16"/>
          <w:szCs w:val="16"/>
          <w:u w:val="single"/>
          <w:lang w:eastAsia="en-US"/>
        </w:rPr>
      </w:pPr>
    </w:p>
    <w:p w14:paraId="7B53E70B" w14:textId="6B52D32A" w:rsidR="009A7C0C" w:rsidRDefault="009A7C0C" w:rsidP="009A7C0C">
      <w:pPr>
        <w:pStyle w:val="Paragraph-nonumber"/>
        <w:rPr>
          <w:b/>
          <w:bCs/>
          <w:sz w:val="16"/>
          <w:szCs w:val="16"/>
          <w:u w:val="single"/>
          <w:lang w:eastAsia="en-US"/>
        </w:rPr>
      </w:pPr>
      <w:r w:rsidRPr="00D379F3">
        <w:rPr>
          <w:b/>
          <w:bCs/>
          <w:sz w:val="16"/>
          <w:szCs w:val="16"/>
          <w:u w:val="single"/>
          <w:lang w:eastAsia="en-US"/>
        </w:rPr>
        <w:t>4 400 – 5 030 MHz</w:t>
      </w:r>
    </w:p>
    <w:tbl>
      <w:tblPr>
        <w:tblW w:w="8217" w:type="dxa"/>
        <w:shd w:val="clear" w:color="auto" w:fill="FDE9D9" w:themeFill="accent6" w:themeFillTint="33"/>
        <w:tblLayout w:type="fixed"/>
        <w:tblLook w:val="04A0" w:firstRow="1" w:lastRow="0" w:firstColumn="1" w:lastColumn="0" w:noHBand="0" w:noVBand="1"/>
      </w:tblPr>
      <w:tblGrid>
        <w:gridCol w:w="1698"/>
        <w:gridCol w:w="1985"/>
        <w:gridCol w:w="1842"/>
        <w:gridCol w:w="2692"/>
      </w:tblGrid>
      <w:tr w:rsidR="00BE09F7" w:rsidRPr="00BE09F7" w14:paraId="02EFA68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048E24D7" w14:textId="77777777" w:rsidR="00BE09F7" w:rsidRPr="00D379F3" w:rsidRDefault="00BE09F7">
            <w:pPr>
              <w:spacing w:after="0"/>
              <w:jc w:val="center"/>
              <w:rPr>
                <w:rFonts w:ascii="Times New Roman" w:hAnsi="Times New Roman"/>
                <w:sz w:val="16"/>
                <w:szCs w:val="16"/>
              </w:rPr>
            </w:pPr>
            <w:r w:rsidRPr="00D379F3">
              <w:rPr>
                <w:sz w:val="16"/>
                <w:szCs w:val="16"/>
              </w:rPr>
              <w:t>Column 1: ITU Radio Regulations Table of Allocations</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5C27EE59" w14:textId="77777777" w:rsidR="00BE09F7" w:rsidRPr="00D379F3" w:rsidRDefault="00BE09F7">
            <w:pPr>
              <w:spacing w:after="0"/>
              <w:jc w:val="center"/>
              <w:rPr>
                <w:sz w:val="16"/>
                <w:szCs w:val="16"/>
              </w:rPr>
            </w:pPr>
            <w:r w:rsidRPr="00D379F3">
              <w:rPr>
                <w:sz w:val="16"/>
                <w:szCs w:val="16"/>
              </w:rPr>
              <w:t>Column 2:</w:t>
            </w:r>
          </w:p>
        </w:tc>
      </w:tr>
      <w:tr w:rsidR="00BE09F7" w:rsidRPr="00BE09F7" w14:paraId="599966B4" w14:textId="77777777" w:rsidTr="00D379F3">
        <w:trPr>
          <w:cantSplit/>
        </w:trPr>
        <w:tc>
          <w:tcPr>
            <w:tcW w:w="1033"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3ED51703"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1</w:t>
            </w:r>
          </w:p>
        </w:tc>
        <w:tc>
          <w:tcPr>
            <w:tcW w:w="1208"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0FE092E1"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2</w:t>
            </w:r>
          </w:p>
        </w:tc>
        <w:tc>
          <w:tcPr>
            <w:tcW w:w="1121"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356F827A" w14:textId="77777777" w:rsidR="00BE09F7" w:rsidRPr="00D379F3" w:rsidRDefault="00BE09F7">
            <w:pPr>
              <w:tabs>
                <w:tab w:val="left" w:pos="284"/>
                <w:tab w:val="left" w:pos="567"/>
                <w:tab w:val="left" w:pos="1134"/>
              </w:tabs>
              <w:spacing w:after="0"/>
              <w:jc w:val="center"/>
              <w:rPr>
                <w:sz w:val="16"/>
                <w:szCs w:val="16"/>
              </w:rPr>
            </w:pPr>
            <w:r w:rsidRPr="00D379F3">
              <w:rPr>
                <w:sz w:val="16"/>
                <w:szCs w:val="16"/>
              </w:rPr>
              <w:t>Region 3</w:t>
            </w:r>
          </w:p>
        </w:tc>
        <w:tc>
          <w:tcPr>
            <w:tcW w:w="1639" w:type="pct"/>
            <w:tcBorders>
              <w:top w:val="single" w:sz="4" w:space="0" w:color="auto"/>
              <w:left w:val="single" w:sz="4" w:space="0" w:color="auto"/>
              <w:bottom w:val="single" w:sz="4" w:space="0" w:color="auto"/>
              <w:right w:val="single" w:sz="4" w:space="0" w:color="auto"/>
            </w:tcBorders>
            <w:shd w:val="clear" w:color="auto" w:fill="auto"/>
            <w:tcMar>
              <w:top w:w="0" w:type="dxa"/>
              <w:left w:w="107" w:type="dxa"/>
              <w:bottom w:w="0" w:type="dxa"/>
              <w:right w:w="107" w:type="dxa"/>
            </w:tcMar>
            <w:hideMark/>
          </w:tcPr>
          <w:p w14:paraId="11ED59C4" w14:textId="77777777" w:rsidR="00BE09F7" w:rsidRPr="00D379F3" w:rsidRDefault="00BE09F7">
            <w:pPr>
              <w:spacing w:after="0"/>
              <w:jc w:val="center"/>
              <w:rPr>
                <w:sz w:val="16"/>
                <w:szCs w:val="16"/>
              </w:rPr>
            </w:pPr>
            <w:r w:rsidRPr="00D379F3">
              <w:rPr>
                <w:sz w:val="16"/>
                <w:szCs w:val="16"/>
              </w:rPr>
              <w:t>Australian Table of Allocations</w:t>
            </w:r>
          </w:p>
        </w:tc>
      </w:tr>
      <w:tr w:rsidR="00BE09F7" w:rsidRPr="00BE09F7" w14:paraId="6FB898A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6D05F190"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4 400 – 4 500</w:t>
            </w:r>
            <w:r w:rsidRPr="00D379F3">
              <w:rPr>
                <w:b/>
                <w:sz w:val="16"/>
                <w:szCs w:val="16"/>
                <w:lang w:eastAsia="en-US"/>
              </w:rPr>
              <w:tab/>
            </w:r>
            <w:r w:rsidRPr="00D379F3">
              <w:rPr>
                <w:sz w:val="16"/>
                <w:szCs w:val="16"/>
                <w:lang w:eastAsia="en-US"/>
              </w:rPr>
              <w:t>FIXED</w:t>
            </w:r>
          </w:p>
          <w:p w14:paraId="181109E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60B61F5C" w14:textId="77777777" w:rsidR="00BE09F7" w:rsidRPr="00D379F3" w:rsidRDefault="00BE09F7">
            <w:pPr>
              <w:tabs>
                <w:tab w:val="left" w:pos="425"/>
              </w:tabs>
              <w:spacing w:after="0"/>
              <w:ind w:left="227" w:hanging="227"/>
              <w:rPr>
                <w:b/>
                <w:sz w:val="16"/>
                <w:szCs w:val="16"/>
                <w:lang w:val="de-DE" w:eastAsia="en-US"/>
              </w:rPr>
            </w:pPr>
            <w:r w:rsidRPr="00D379F3">
              <w:rPr>
                <w:b/>
                <w:sz w:val="16"/>
                <w:szCs w:val="16"/>
                <w:lang w:val="de-DE" w:eastAsia="en-US"/>
              </w:rPr>
              <w:t>4 400 – 4 500</w:t>
            </w:r>
          </w:p>
          <w:p w14:paraId="45DE05F5"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FIXED</w:t>
            </w:r>
          </w:p>
          <w:p w14:paraId="7197534E"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MOBILE  440A</w:t>
            </w:r>
          </w:p>
          <w:p w14:paraId="5563C63B" w14:textId="77777777" w:rsidR="00BE09F7" w:rsidRPr="00D379F3" w:rsidRDefault="00BE09F7">
            <w:pPr>
              <w:tabs>
                <w:tab w:val="left" w:pos="425"/>
              </w:tabs>
              <w:spacing w:after="0"/>
              <w:ind w:left="227" w:hanging="227"/>
              <w:rPr>
                <w:b/>
                <w:sz w:val="16"/>
                <w:szCs w:val="16"/>
                <w:lang w:val="de-DE" w:eastAsia="en-US"/>
              </w:rPr>
            </w:pPr>
            <w:r w:rsidRPr="00D379F3">
              <w:rPr>
                <w:sz w:val="16"/>
                <w:szCs w:val="16"/>
                <w:lang w:val="de-DE" w:eastAsia="en-US"/>
              </w:rPr>
              <w:t>AUS67  AUS87  AUS101</w:t>
            </w:r>
          </w:p>
        </w:tc>
      </w:tr>
      <w:tr w:rsidR="00BE09F7" w:rsidRPr="00BE09F7" w14:paraId="7EE8B9DD"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17C61D7C"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4 500 – 4 800</w:t>
            </w:r>
            <w:r w:rsidRPr="00D379F3">
              <w:rPr>
                <w:b/>
                <w:sz w:val="16"/>
                <w:szCs w:val="16"/>
                <w:lang w:eastAsia="en-US"/>
              </w:rPr>
              <w:tab/>
            </w:r>
            <w:r w:rsidRPr="00D379F3">
              <w:rPr>
                <w:sz w:val="16"/>
                <w:szCs w:val="16"/>
                <w:lang w:eastAsia="en-US"/>
              </w:rPr>
              <w:t>FIXED</w:t>
            </w:r>
          </w:p>
          <w:p w14:paraId="2665E29C"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FIXED–SATELLITE (space-to-Earth)  441</w:t>
            </w:r>
          </w:p>
          <w:p w14:paraId="2DB335DE"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4F264C28" w14:textId="77777777" w:rsidR="00BE09F7" w:rsidRPr="00D379F3" w:rsidRDefault="00BE09F7">
            <w:pPr>
              <w:tabs>
                <w:tab w:val="left" w:pos="425"/>
              </w:tabs>
              <w:spacing w:after="0"/>
              <w:ind w:left="227" w:hanging="227"/>
              <w:rPr>
                <w:sz w:val="16"/>
                <w:szCs w:val="16"/>
                <w:lang w:eastAsia="en-US"/>
              </w:rPr>
            </w:pPr>
            <w:r w:rsidRPr="00D379F3">
              <w:rPr>
                <w:b/>
                <w:sz w:val="16"/>
                <w:szCs w:val="16"/>
                <w:lang w:eastAsia="en-US"/>
              </w:rPr>
              <w:t>4 500 – 4 800</w:t>
            </w:r>
          </w:p>
          <w:p w14:paraId="0B447174"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w:t>
            </w:r>
          </w:p>
          <w:p w14:paraId="5BC1173A"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FIXED–SATELLITE (space-to-Earth)  441</w:t>
            </w:r>
          </w:p>
          <w:p w14:paraId="19A4ECBB" w14:textId="77777777" w:rsidR="00BE09F7" w:rsidRPr="00D379F3" w:rsidRDefault="00BE09F7">
            <w:pPr>
              <w:tabs>
                <w:tab w:val="left" w:pos="425"/>
              </w:tabs>
              <w:spacing w:after="0"/>
              <w:ind w:left="227" w:hanging="227"/>
              <w:rPr>
                <w:sz w:val="16"/>
                <w:szCs w:val="16"/>
                <w:lang w:val="de-DE" w:eastAsia="en-US"/>
              </w:rPr>
            </w:pPr>
            <w:r w:rsidRPr="00D379F3">
              <w:rPr>
                <w:sz w:val="16"/>
                <w:szCs w:val="16"/>
                <w:lang w:val="de-DE" w:eastAsia="en-US"/>
              </w:rPr>
              <w:t>MOBILE  440A</w:t>
            </w:r>
          </w:p>
          <w:p w14:paraId="671A818C" w14:textId="77777777" w:rsidR="00BE09F7" w:rsidRPr="00D379F3" w:rsidRDefault="00BE09F7">
            <w:pPr>
              <w:tabs>
                <w:tab w:val="left" w:pos="425"/>
              </w:tabs>
              <w:spacing w:after="0"/>
              <w:ind w:left="227" w:hanging="227"/>
              <w:rPr>
                <w:b/>
                <w:sz w:val="16"/>
                <w:szCs w:val="16"/>
                <w:lang w:val="de-DE" w:eastAsia="en-US"/>
              </w:rPr>
            </w:pPr>
            <w:r w:rsidRPr="00D379F3">
              <w:rPr>
                <w:sz w:val="16"/>
                <w:szCs w:val="16"/>
                <w:lang w:val="de-DE" w:eastAsia="en-US"/>
              </w:rPr>
              <w:t>AUS67  AUS87  AUS101</w:t>
            </w:r>
          </w:p>
        </w:tc>
      </w:tr>
      <w:tr w:rsidR="00BE09F7" w:rsidRPr="00BE09F7" w14:paraId="79626A62" w14:textId="77777777" w:rsidTr="00D379F3">
        <w:trPr>
          <w:cantSplit/>
          <w:trHeight w:val="1049"/>
        </w:trPr>
        <w:tc>
          <w:tcPr>
            <w:tcW w:w="3361" w:type="pct"/>
            <w:gridSpan w:val="3"/>
            <w:vMerge w:val="restart"/>
            <w:tcBorders>
              <w:top w:val="single" w:sz="4" w:space="0" w:color="auto"/>
              <w:left w:val="single" w:sz="4" w:space="0" w:color="auto"/>
              <w:bottom w:val="nil"/>
              <w:right w:val="single" w:sz="4" w:space="0" w:color="auto"/>
            </w:tcBorders>
            <w:shd w:val="clear" w:color="auto" w:fill="auto"/>
            <w:hideMark/>
          </w:tcPr>
          <w:p w14:paraId="412F439A"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t>4 800 – 4 990</w:t>
            </w:r>
            <w:r w:rsidRPr="00D379F3">
              <w:rPr>
                <w:b/>
                <w:sz w:val="16"/>
                <w:szCs w:val="16"/>
                <w:lang w:eastAsia="en-US"/>
              </w:rPr>
              <w:tab/>
            </w:r>
            <w:r w:rsidRPr="00D379F3">
              <w:rPr>
                <w:sz w:val="16"/>
                <w:szCs w:val="16"/>
                <w:lang w:eastAsia="en-US"/>
              </w:rPr>
              <w:t>FIXED</w:t>
            </w:r>
          </w:p>
          <w:p w14:paraId="4D414F93"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440A  441A  441B  442</w:t>
            </w:r>
          </w:p>
          <w:p w14:paraId="5D969211"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Radio astronomy</w:t>
            </w:r>
          </w:p>
          <w:p w14:paraId="746E83F1"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4EC8B8B9"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05637AEF"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546FE19D"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632F261D"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22D61DD3"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0B42E1B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1FDA4748"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13ED5D2A"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149  339  443</w:t>
            </w:r>
          </w:p>
        </w:tc>
        <w:tc>
          <w:tcPr>
            <w:tcW w:w="1639" w:type="pct"/>
            <w:tcBorders>
              <w:top w:val="single" w:sz="4" w:space="0" w:color="auto"/>
              <w:left w:val="single" w:sz="4" w:space="0" w:color="auto"/>
              <w:bottom w:val="nil"/>
              <w:right w:val="single" w:sz="4" w:space="0" w:color="auto"/>
            </w:tcBorders>
            <w:shd w:val="clear" w:color="auto" w:fill="auto"/>
            <w:hideMark/>
          </w:tcPr>
          <w:p w14:paraId="141BDD17"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4 800 – 4 940</w:t>
            </w:r>
          </w:p>
          <w:p w14:paraId="0BFD841D"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AUS101A</w:t>
            </w:r>
          </w:p>
          <w:p w14:paraId="17C20E53"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440A  442  AUS101A</w:t>
            </w:r>
          </w:p>
          <w:p w14:paraId="0AAC4C1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0EEEC759"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443  AUS67  AUS87</w:t>
            </w:r>
          </w:p>
        </w:tc>
      </w:tr>
      <w:tr w:rsidR="00BE09F7" w:rsidRPr="00BE09F7" w14:paraId="381C130E" w14:textId="77777777" w:rsidTr="00D379F3">
        <w:trPr>
          <w:cantSplit/>
          <w:trHeight w:val="1049"/>
        </w:trPr>
        <w:tc>
          <w:tcPr>
            <w:tcW w:w="3361" w:type="pct"/>
            <w:gridSpan w:val="3"/>
            <w:vMerge/>
            <w:tcBorders>
              <w:top w:val="single" w:sz="4" w:space="0" w:color="auto"/>
              <w:left w:val="single" w:sz="4" w:space="0" w:color="auto"/>
              <w:bottom w:val="nil"/>
              <w:right w:val="single" w:sz="4" w:space="0" w:color="auto"/>
            </w:tcBorders>
            <w:shd w:val="clear" w:color="auto" w:fill="FDE9D9" w:themeFill="accent6" w:themeFillTint="33"/>
            <w:vAlign w:val="center"/>
            <w:hideMark/>
          </w:tcPr>
          <w:p w14:paraId="4F9835A0" w14:textId="77777777" w:rsidR="00BE09F7" w:rsidRPr="00D379F3" w:rsidRDefault="00BE09F7">
            <w:pPr>
              <w:spacing w:after="0"/>
              <w:rPr>
                <w:sz w:val="16"/>
                <w:szCs w:val="16"/>
                <w:lang w:eastAsia="en-US"/>
              </w:rPr>
            </w:pPr>
          </w:p>
        </w:tc>
        <w:tc>
          <w:tcPr>
            <w:tcW w:w="1639" w:type="pct"/>
            <w:tcBorders>
              <w:top w:val="single" w:sz="4" w:space="0" w:color="auto"/>
              <w:left w:val="single" w:sz="4" w:space="0" w:color="auto"/>
              <w:bottom w:val="nil"/>
              <w:right w:val="single" w:sz="4" w:space="0" w:color="auto"/>
            </w:tcBorders>
            <w:shd w:val="clear" w:color="auto" w:fill="auto"/>
            <w:hideMark/>
          </w:tcPr>
          <w:p w14:paraId="1D4E1711"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4 940 – 4 990</w:t>
            </w:r>
          </w:p>
          <w:p w14:paraId="57D795C8"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AUS102A</w:t>
            </w:r>
          </w:p>
          <w:p w14:paraId="0499F2C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442  AUS102A</w:t>
            </w:r>
          </w:p>
          <w:p w14:paraId="2102621B"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737A5BAE"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339  443  AUS67  AUS87</w:t>
            </w:r>
          </w:p>
        </w:tc>
      </w:tr>
      <w:tr w:rsidR="00BE09F7" w:rsidRPr="00BE09F7" w14:paraId="2FA7E4F7" w14:textId="77777777" w:rsidTr="00D379F3">
        <w:trPr>
          <w:cantSplit/>
        </w:trPr>
        <w:tc>
          <w:tcPr>
            <w:tcW w:w="3361" w:type="pct"/>
            <w:gridSpan w:val="3"/>
            <w:tcBorders>
              <w:top w:val="single" w:sz="4" w:space="0" w:color="auto"/>
              <w:left w:val="single" w:sz="4" w:space="0" w:color="auto"/>
              <w:bottom w:val="single" w:sz="4" w:space="0" w:color="auto"/>
              <w:right w:val="single" w:sz="4" w:space="0" w:color="auto"/>
            </w:tcBorders>
            <w:shd w:val="clear" w:color="auto" w:fill="auto"/>
            <w:hideMark/>
          </w:tcPr>
          <w:p w14:paraId="2813C8D8" w14:textId="77777777" w:rsidR="00BE09F7" w:rsidRPr="00D379F3" w:rsidRDefault="00BE09F7">
            <w:pPr>
              <w:tabs>
                <w:tab w:val="left" w:pos="2693"/>
              </w:tabs>
              <w:spacing w:after="0"/>
              <w:ind w:left="2920" w:hanging="2920"/>
              <w:rPr>
                <w:sz w:val="16"/>
                <w:szCs w:val="16"/>
                <w:lang w:eastAsia="en-US"/>
              </w:rPr>
            </w:pPr>
            <w:r w:rsidRPr="00D379F3">
              <w:rPr>
                <w:b/>
                <w:sz w:val="16"/>
                <w:szCs w:val="16"/>
                <w:lang w:eastAsia="en-US"/>
              </w:rPr>
              <w:lastRenderedPageBreak/>
              <w:t>4 990 – 5 000</w:t>
            </w:r>
            <w:r w:rsidRPr="00D379F3">
              <w:rPr>
                <w:b/>
                <w:sz w:val="16"/>
                <w:szCs w:val="16"/>
                <w:lang w:eastAsia="en-US"/>
              </w:rPr>
              <w:tab/>
            </w:r>
            <w:r w:rsidRPr="00D379F3">
              <w:rPr>
                <w:sz w:val="16"/>
                <w:szCs w:val="16"/>
                <w:lang w:eastAsia="en-US"/>
              </w:rPr>
              <w:t>FIXED</w:t>
            </w:r>
          </w:p>
          <w:p w14:paraId="1A0CC84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MOBILE except aeronautical mobile</w:t>
            </w:r>
          </w:p>
          <w:p w14:paraId="776B51E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RADIO ASTRONOMY</w:t>
            </w:r>
          </w:p>
          <w:p w14:paraId="6B3136FF"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Space research (passive)</w:t>
            </w:r>
          </w:p>
          <w:p w14:paraId="5A17C40E"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5CC92AD2"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r>
          </w:p>
          <w:p w14:paraId="2C7C9D0C" w14:textId="77777777" w:rsidR="00BE09F7" w:rsidRPr="00D379F3" w:rsidRDefault="00BE09F7">
            <w:pPr>
              <w:tabs>
                <w:tab w:val="left" w:pos="2693"/>
              </w:tabs>
              <w:spacing w:after="0"/>
              <w:ind w:left="2920" w:hanging="2920"/>
              <w:rPr>
                <w:sz w:val="16"/>
                <w:szCs w:val="16"/>
                <w:lang w:eastAsia="en-US"/>
              </w:rPr>
            </w:pPr>
            <w:r w:rsidRPr="00D379F3">
              <w:rPr>
                <w:sz w:val="16"/>
                <w:szCs w:val="16"/>
                <w:lang w:eastAsia="en-US"/>
              </w:rPr>
              <w:tab/>
              <w:t>149</w:t>
            </w:r>
          </w:p>
        </w:tc>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43A19845" w14:textId="77777777" w:rsidR="00BE09F7" w:rsidRPr="00D379F3" w:rsidRDefault="00BE09F7">
            <w:pPr>
              <w:tabs>
                <w:tab w:val="left" w:pos="425"/>
              </w:tabs>
              <w:spacing w:after="0"/>
              <w:ind w:left="227" w:hanging="227"/>
              <w:rPr>
                <w:b/>
                <w:sz w:val="16"/>
                <w:szCs w:val="16"/>
                <w:lang w:eastAsia="en-US"/>
              </w:rPr>
            </w:pPr>
            <w:r w:rsidRPr="00D379F3">
              <w:rPr>
                <w:b/>
                <w:sz w:val="16"/>
                <w:szCs w:val="16"/>
                <w:lang w:eastAsia="en-US"/>
              </w:rPr>
              <w:t>4 990 – 5 000</w:t>
            </w:r>
          </w:p>
          <w:p w14:paraId="295B70C6"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FIXED  AUS101A</w:t>
            </w:r>
          </w:p>
          <w:p w14:paraId="34023060"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MOBILE except aeronautical mobile  AUS101A</w:t>
            </w:r>
          </w:p>
          <w:p w14:paraId="5306A18D"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RADIO ASTRONOMY</w:t>
            </w:r>
          </w:p>
          <w:p w14:paraId="40706D6C" w14:textId="77777777" w:rsidR="00BE09F7" w:rsidRPr="00D379F3" w:rsidRDefault="00BE09F7">
            <w:pPr>
              <w:tabs>
                <w:tab w:val="left" w:pos="425"/>
              </w:tabs>
              <w:spacing w:after="0"/>
              <w:ind w:left="227" w:hanging="227"/>
              <w:rPr>
                <w:sz w:val="16"/>
                <w:szCs w:val="16"/>
                <w:lang w:eastAsia="en-US"/>
              </w:rPr>
            </w:pPr>
            <w:r w:rsidRPr="00D379F3">
              <w:rPr>
                <w:sz w:val="16"/>
                <w:szCs w:val="16"/>
                <w:lang w:eastAsia="en-US"/>
              </w:rPr>
              <w:t>Space research (passive)</w:t>
            </w:r>
          </w:p>
          <w:p w14:paraId="3422A1DA" w14:textId="77777777" w:rsidR="00BE09F7" w:rsidRPr="00D379F3" w:rsidRDefault="00BE09F7">
            <w:pPr>
              <w:tabs>
                <w:tab w:val="left" w:pos="425"/>
              </w:tabs>
              <w:spacing w:after="0"/>
              <w:ind w:left="227" w:hanging="227"/>
              <w:rPr>
                <w:b/>
                <w:sz w:val="16"/>
                <w:szCs w:val="16"/>
                <w:lang w:eastAsia="en-US"/>
              </w:rPr>
            </w:pPr>
            <w:r w:rsidRPr="00D379F3">
              <w:rPr>
                <w:sz w:val="16"/>
                <w:szCs w:val="16"/>
                <w:lang w:eastAsia="en-US"/>
              </w:rPr>
              <w:t>149  AUS67  AUS87</w:t>
            </w:r>
          </w:p>
        </w:tc>
      </w:tr>
    </w:tbl>
    <w:p w14:paraId="7688534B" w14:textId="3DB55AE3" w:rsidR="00227D59" w:rsidRDefault="00227D59" w:rsidP="00227D59">
      <w:pPr>
        <w:pStyle w:val="Numberedparagraph"/>
        <w:numPr>
          <w:ilvl w:val="0"/>
          <w:numId w:val="0"/>
        </w:numPr>
        <w:ind w:left="-567"/>
      </w:pPr>
    </w:p>
    <w:p w14:paraId="7C24B19E" w14:textId="01940120" w:rsidR="009A7C0C" w:rsidRDefault="009A7C0C" w:rsidP="00365135">
      <w:pPr>
        <w:pStyle w:val="Numberedparagraph"/>
      </w:pPr>
      <w:r>
        <w:t>The mobile service has been allocated as a primary service in the 3400-4</w:t>
      </w:r>
      <w:r w:rsidR="00074BDA">
        <w:t xml:space="preserve">000 MHz range in Australia and in ITU-R </w:t>
      </w:r>
      <w:r w:rsidR="00264269">
        <w:t>R</w:t>
      </w:r>
      <w:r w:rsidR="00074BDA">
        <w:t xml:space="preserve">egions </w:t>
      </w:r>
      <w:r w:rsidR="00BE09F7">
        <w:t>2</w:t>
      </w:r>
      <w:r w:rsidR="00074BDA">
        <w:t xml:space="preserve"> and 3 for more than 60 years.</w:t>
      </w:r>
      <w:r w:rsidR="00EA61FE">
        <w:t xml:space="preserve"> The potential elevation of the mobile service </w:t>
      </w:r>
      <w:r w:rsidR="00BE09F7">
        <w:t xml:space="preserve">in 3600-3800 MHz in </w:t>
      </w:r>
      <w:r w:rsidR="00264269">
        <w:t>R</w:t>
      </w:r>
      <w:r w:rsidR="00BE09F7">
        <w:t>egion 1</w:t>
      </w:r>
      <w:r w:rsidR="00D30ECE">
        <w:t>,</w:t>
      </w:r>
      <w:r w:rsidR="00BE09F7">
        <w:t xml:space="preserve"> </w:t>
      </w:r>
      <w:r w:rsidR="00EA61FE">
        <w:t>from secondary to primary</w:t>
      </w:r>
      <w:r w:rsidR="00D30ECE">
        <w:t>,</w:t>
      </w:r>
      <w:r w:rsidR="00EA61FE">
        <w:t xml:space="preserve"> is also being considered at WRC-23 under agenda item 1.3.</w:t>
      </w:r>
    </w:p>
    <w:p w14:paraId="73BA668D" w14:textId="25FBD296" w:rsidR="002E4BC2" w:rsidRDefault="002E4BC2" w:rsidP="002E4BC2">
      <w:pPr>
        <w:pStyle w:val="Numberedparagraph"/>
      </w:pPr>
      <w:r>
        <w:t xml:space="preserve">The initial </w:t>
      </w:r>
      <w:hyperlink r:id="rId36" w:history="1">
        <w:r w:rsidRPr="00B97513">
          <w:rPr>
            <w:rStyle w:val="Hyperlink"/>
          </w:rPr>
          <w:t>discussion paper</w:t>
        </w:r>
      </w:hyperlink>
      <w:r>
        <w:t xml:space="preserve"> on 3700-4200 MHz presented the following more detailed view of the use of </w:t>
      </w:r>
      <w:r w:rsidR="00697116">
        <w:t>3700- 4200 MHz</w:t>
      </w:r>
      <w:r>
        <w:t xml:space="preserve"> domestically</w:t>
      </w:r>
      <w:r w:rsidR="00D30ECE">
        <w:t>,</w:t>
      </w:r>
      <w:r w:rsidR="005B4CBC">
        <w:t xml:space="preserve"> before planning decisions were made:</w:t>
      </w:r>
    </w:p>
    <w:p w14:paraId="63324550" w14:textId="58584A77" w:rsidR="005B4CBC" w:rsidRDefault="00AD3049" w:rsidP="00257BC6">
      <w:pPr>
        <w:pStyle w:val="ACMAFigureHeader"/>
      </w:pPr>
      <w:r>
        <w:t>Existing</w:t>
      </w:r>
      <w:r w:rsidR="005B4CBC">
        <w:t xml:space="preserve"> arrangements in 3700-4200 MHz</w:t>
      </w:r>
    </w:p>
    <w:p w14:paraId="1DAC61E7" w14:textId="77777777" w:rsidR="005B4CBC" w:rsidRDefault="005B4CBC" w:rsidP="005B4CBC">
      <w:pPr>
        <w:rPr>
          <w:rFonts w:cs="Arial"/>
        </w:rPr>
      </w:pPr>
      <w:r>
        <w:rPr>
          <w:noProof/>
        </w:rPr>
        <w:drawing>
          <wp:inline distT="0" distB="0" distL="0" distR="0" wp14:anchorId="721EF527" wp14:editId="28AFC165">
            <wp:extent cx="5812468" cy="4991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19721" cy="4997328"/>
                    </a:xfrm>
                    <a:prstGeom prst="rect">
                      <a:avLst/>
                    </a:prstGeom>
                  </pic:spPr>
                </pic:pic>
              </a:graphicData>
            </a:graphic>
          </wp:inline>
        </w:drawing>
      </w:r>
    </w:p>
    <w:p w14:paraId="79349AAE" w14:textId="77777777" w:rsidR="005B4CBC" w:rsidRDefault="005B4CBC" w:rsidP="005B4CBC">
      <w:pPr>
        <w:spacing w:after="160" w:line="259" w:lineRule="auto"/>
        <w:rPr>
          <w:b/>
          <w:bCs/>
          <w:iCs/>
          <w:color w:val="323232"/>
          <w:szCs w:val="20"/>
        </w:rPr>
      </w:pPr>
      <w:r>
        <w:rPr>
          <w:b/>
          <w:bCs/>
          <w:color w:val="323232"/>
          <w:szCs w:val="20"/>
        </w:rPr>
        <w:br w:type="page"/>
      </w:r>
    </w:p>
    <w:p w14:paraId="1E0E7E2C" w14:textId="77777777" w:rsidR="005B4CBC" w:rsidRDefault="005B4CBC" w:rsidP="00D379F3">
      <w:pPr>
        <w:pStyle w:val="Numberedparagraph"/>
        <w:numPr>
          <w:ilvl w:val="0"/>
          <w:numId w:val="0"/>
        </w:numPr>
        <w:ind w:left="-567"/>
      </w:pPr>
    </w:p>
    <w:p w14:paraId="74B5E389" w14:textId="77777777" w:rsidR="002E4BC2" w:rsidRDefault="002E4BC2" w:rsidP="00D379F3">
      <w:pPr>
        <w:pStyle w:val="Numberedparagraph"/>
        <w:numPr>
          <w:ilvl w:val="0"/>
          <w:numId w:val="0"/>
        </w:numPr>
      </w:pPr>
    </w:p>
    <w:p w14:paraId="716C9D90" w14:textId="26BEECD1" w:rsidR="009A7C0C" w:rsidRDefault="009A7C0C" w:rsidP="00D379F3">
      <w:pPr>
        <w:pStyle w:val="Numberedparagraph"/>
        <w:numPr>
          <w:ilvl w:val="0"/>
          <w:numId w:val="0"/>
        </w:numPr>
        <w:ind w:left="-567"/>
      </w:pPr>
    </w:p>
    <w:p w14:paraId="43FB2B82" w14:textId="6E6A7DDD" w:rsidR="008B72F4" w:rsidRDefault="003D7012" w:rsidP="008B72F4">
      <w:pPr>
        <w:pStyle w:val="Heading2"/>
      </w:pPr>
      <w:bookmarkStart w:id="14" w:name="_Toc116041873"/>
      <w:r>
        <w:t xml:space="preserve">Recent </w:t>
      </w:r>
      <w:r w:rsidR="008B72F4">
        <w:t>activities</w:t>
      </w:r>
      <w:bookmarkEnd w:id="14"/>
    </w:p>
    <w:p w14:paraId="2316450E" w14:textId="3F8C0FEB" w:rsidR="006B333B" w:rsidRDefault="006B333B" w:rsidP="006B333B">
      <w:pPr>
        <w:pStyle w:val="Heading3"/>
      </w:pPr>
      <w:r>
        <w:t>Domestic</w:t>
      </w:r>
    </w:p>
    <w:p w14:paraId="6F2BB99E" w14:textId="3E424E35" w:rsidR="003964FD" w:rsidRPr="003964FD" w:rsidRDefault="003964FD" w:rsidP="00257BC6">
      <w:pPr>
        <w:pStyle w:val="Heading4"/>
      </w:pPr>
      <w:r>
        <w:t xml:space="preserve">History of </w:t>
      </w:r>
      <w:r w:rsidR="00B97513">
        <w:t xml:space="preserve">the </w:t>
      </w:r>
      <w:r>
        <w:t>band review</w:t>
      </w:r>
      <w:r w:rsidR="00D515E2">
        <w:t xml:space="preserve"> concerning the issue</w:t>
      </w:r>
    </w:p>
    <w:p w14:paraId="3AB7E75F" w14:textId="6BE31510" w:rsidR="00930BF3" w:rsidRDefault="00930BF3" w:rsidP="003964FD">
      <w:pPr>
        <w:pStyle w:val="Numberedparagraph"/>
      </w:pPr>
      <w:r>
        <w:t xml:space="preserve">A review of the 3700-4200 MHz band was first identified in the </w:t>
      </w:r>
      <w:hyperlink r:id="rId38" w:history="1">
        <w:r w:rsidRPr="00930BF3">
          <w:rPr>
            <w:rStyle w:val="Hyperlink"/>
          </w:rPr>
          <w:t>2018-2022 FYSO</w:t>
        </w:r>
      </w:hyperlink>
      <w:r>
        <w:t xml:space="preserve">. A first </w:t>
      </w:r>
      <w:hyperlink r:id="rId39" w:history="1">
        <w:r w:rsidRPr="00930BF3">
          <w:rPr>
            <w:rStyle w:val="Hyperlink"/>
          </w:rPr>
          <w:t>discussion paper</w:t>
        </w:r>
      </w:hyperlink>
      <w:r>
        <w:t xml:space="preserve"> was issued in August 2019 where this issue was </w:t>
      </w:r>
      <w:r w:rsidR="0065593D">
        <w:t>discussed</w:t>
      </w:r>
      <w:r>
        <w:t xml:space="preserve">. An </w:t>
      </w:r>
      <w:hyperlink r:id="rId40" w:history="1">
        <w:r w:rsidRPr="00930BF3">
          <w:rPr>
            <w:rStyle w:val="Hyperlink"/>
          </w:rPr>
          <w:t>Options paper</w:t>
        </w:r>
      </w:hyperlink>
      <w:r>
        <w:t xml:space="preserve"> followed in July 2020, with the announced </w:t>
      </w:r>
      <w:hyperlink r:id="rId41" w:history="1">
        <w:r w:rsidRPr="00930BF3">
          <w:rPr>
            <w:rStyle w:val="Hyperlink"/>
          </w:rPr>
          <w:t>Outcomes</w:t>
        </w:r>
      </w:hyperlink>
      <w:r>
        <w:t xml:space="preserve"> occurring in January 2021. </w:t>
      </w:r>
    </w:p>
    <w:p w14:paraId="31AE1737" w14:textId="6305EC0B" w:rsidR="00930BF3" w:rsidRDefault="009C479C" w:rsidP="003964FD">
      <w:pPr>
        <w:pStyle w:val="Numberedparagraph"/>
      </w:pPr>
      <w:hyperlink r:id="rId42" w:history="1">
        <w:r w:rsidR="00D515E2" w:rsidRPr="00D515E2">
          <w:rPr>
            <w:rStyle w:val="Hyperlink"/>
          </w:rPr>
          <w:t>Planning decisions</w:t>
        </w:r>
      </w:hyperlink>
      <w:r w:rsidR="00D515E2">
        <w:t xml:space="preserve"> for the adjacent 3400-3575 MHz range had previously been made in December 2019, but not yet implemented. </w:t>
      </w:r>
    </w:p>
    <w:p w14:paraId="472140A3" w14:textId="00C3B0B5" w:rsidR="00D515E2" w:rsidRDefault="00930BF3" w:rsidP="003964FD">
      <w:pPr>
        <w:pStyle w:val="Numberedparagraph"/>
      </w:pPr>
      <w:r>
        <w:t xml:space="preserve">While the planning process investigated the issue in as much depth as practicable at the time, it was announced with the </w:t>
      </w:r>
      <w:r w:rsidR="00913398">
        <w:t xml:space="preserve">3700-4200 MHz </w:t>
      </w:r>
      <w:r>
        <w:t>outcomes that</w:t>
      </w:r>
      <w:r w:rsidR="0065593D">
        <w:t xml:space="preserve"> the issue would be further considered </w:t>
      </w:r>
      <w:r w:rsidR="0065593D" w:rsidRPr="0065593D">
        <w:t>in the development of detailed technical frameworks for WBB</w:t>
      </w:r>
      <w:r w:rsidR="0065593D">
        <w:t>.</w:t>
      </w:r>
    </w:p>
    <w:p w14:paraId="35D9B116" w14:textId="406DAB27" w:rsidR="00D515E2" w:rsidRDefault="00D515E2" w:rsidP="003964FD">
      <w:pPr>
        <w:pStyle w:val="Numberedparagraph"/>
      </w:pPr>
      <w:r>
        <w:t xml:space="preserve">To assist in the development of </w:t>
      </w:r>
      <w:r w:rsidR="00913398">
        <w:t xml:space="preserve">those </w:t>
      </w:r>
      <w:r>
        <w:t xml:space="preserve">technical frameworks, a </w:t>
      </w:r>
      <w:hyperlink r:id="rId43" w:history="1">
        <w:r w:rsidRPr="00913398">
          <w:rPr>
            <w:rStyle w:val="Hyperlink"/>
          </w:rPr>
          <w:t>Technical Liaison Group</w:t>
        </w:r>
      </w:hyperlink>
      <w:r>
        <w:t xml:space="preserve"> was established for the whole 3400-4000 MHz range in July 2021.  It concluded in January 2022 with respect to remote areas but may recommence as frameworks for other areas are considered. The TLG documents considered the issue and proposed possible methods for the issue.</w:t>
      </w:r>
    </w:p>
    <w:p w14:paraId="7D045E4F" w14:textId="1DF21FFB" w:rsidR="00CD6527" w:rsidRDefault="00930BF3" w:rsidP="003964FD">
      <w:pPr>
        <w:pStyle w:val="Numberedparagraph"/>
      </w:pPr>
      <w:r>
        <w:t xml:space="preserve"> </w:t>
      </w:r>
      <w:r w:rsidR="00D515E2">
        <w:t xml:space="preserve">A draft </w:t>
      </w:r>
      <w:hyperlink r:id="rId44" w:history="1">
        <w:r w:rsidR="00D515E2" w:rsidRPr="00D515E2">
          <w:rPr>
            <w:rStyle w:val="Hyperlink"/>
          </w:rPr>
          <w:t>technical framework</w:t>
        </w:r>
      </w:hyperlink>
      <w:r w:rsidR="00D515E2">
        <w:t xml:space="preserve"> was released for consultation in March 2022 along with remote allocation plans.</w:t>
      </w:r>
      <w:r w:rsidR="00D73B0C">
        <w:t xml:space="preserve"> This included the approaches considered at the time for radio altimeters.</w:t>
      </w:r>
    </w:p>
    <w:p w14:paraId="6CC19B13" w14:textId="10BF2AC3" w:rsidR="00F25C4D" w:rsidRDefault="00F25C4D" w:rsidP="003964FD">
      <w:pPr>
        <w:pStyle w:val="Numberedparagraph"/>
      </w:pPr>
      <w:r>
        <w:t xml:space="preserve">After considering the submissions to the </w:t>
      </w:r>
      <w:r w:rsidR="006D225B">
        <w:t>consultation</w:t>
      </w:r>
      <w:r>
        <w:t xml:space="preserve"> and developing this report, the ACMA shared</w:t>
      </w:r>
      <w:r w:rsidR="006D225B">
        <w:t xml:space="preserve"> the </w:t>
      </w:r>
      <w:r w:rsidR="00953431">
        <w:t>high-level</w:t>
      </w:r>
      <w:r w:rsidR="006D225B">
        <w:t xml:space="preserve"> proposed mitigations with CASA in July 2022. Their response included their views of appropriate mitigations and a list of applicable airports/approaches.</w:t>
      </w:r>
      <w:r>
        <w:t xml:space="preserve"> </w:t>
      </w:r>
    </w:p>
    <w:p w14:paraId="555F755D" w14:textId="4C72EF27" w:rsidR="009D5D8F" w:rsidRDefault="009D5D8F" w:rsidP="003964FD">
      <w:pPr>
        <w:pStyle w:val="Numberedparagraph"/>
      </w:pPr>
      <w:r>
        <w:t>As note</w:t>
      </w:r>
      <w:r w:rsidR="00873AD0">
        <w:t>d</w:t>
      </w:r>
      <w:r>
        <w:t xml:space="preserve"> in the introduction, services above the RA band also have the potential to have coexistence issues with them.  The implementation of this planning review makes no changes to arrangements for services above the RA band</w:t>
      </w:r>
      <w:r w:rsidR="00BE1FAE">
        <w:t>, which are mainly used by Defence.</w:t>
      </w:r>
    </w:p>
    <w:p w14:paraId="046E080E" w14:textId="561C1546" w:rsidR="007C2E5D" w:rsidRDefault="006B333B" w:rsidP="006B333B">
      <w:pPr>
        <w:pStyle w:val="Heading3"/>
      </w:pPr>
      <w:r>
        <w:t xml:space="preserve">International </w:t>
      </w:r>
    </w:p>
    <w:p w14:paraId="6AB60FFF" w14:textId="47D2E72A" w:rsidR="006B333B" w:rsidRDefault="00B97513" w:rsidP="006B333B">
      <w:pPr>
        <w:pStyle w:val="Numberedparagraph"/>
      </w:pPr>
      <w:r>
        <w:t xml:space="preserve">An overview on activities on the issue in overseas markets, including any proposed approaches, are contained at </w:t>
      </w:r>
      <w:r w:rsidRPr="00D379F3">
        <w:rPr>
          <w:i/>
          <w:iCs/>
        </w:rPr>
        <w:fldChar w:fldCharType="begin"/>
      </w:r>
      <w:r w:rsidRPr="00D379F3">
        <w:rPr>
          <w:i/>
          <w:iCs/>
        </w:rPr>
        <w:instrText xml:space="preserve"> REF _Ref106278740 \h </w:instrText>
      </w:r>
      <w:r>
        <w:rPr>
          <w:i/>
          <w:iCs/>
        </w:rPr>
        <w:instrText xml:space="preserve"> \* MERGEFORMAT </w:instrText>
      </w:r>
      <w:r w:rsidRPr="00D379F3">
        <w:rPr>
          <w:i/>
          <w:iCs/>
        </w:rPr>
      </w:r>
      <w:r w:rsidRPr="00D379F3">
        <w:rPr>
          <w:i/>
          <w:iCs/>
        </w:rPr>
        <w:fldChar w:fldCharType="separate"/>
      </w:r>
      <w:r w:rsidR="009C0E98" w:rsidRPr="00695A13">
        <w:rPr>
          <w:i/>
          <w:iCs/>
        </w:rPr>
        <w:t>Appendix C: International developments and approaches</w:t>
      </w:r>
      <w:r w:rsidRPr="00D379F3">
        <w:rPr>
          <w:i/>
          <w:iCs/>
        </w:rPr>
        <w:fldChar w:fldCharType="end"/>
      </w:r>
      <w:r>
        <w:rPr>
          <w:i/>
          <w:iCs/>
        </w:rPr>
        <w:t>.</w:t>
      </w:r>
    </w:p>
    <w:p w14:paraId="0E68EF6E" w14:textId="77777777" w:rsidR="006B333B" w:rsidRPr="006B333B" w:rsidRDefault="006B333B" w:rsidP="006B333B"/>
    <w:p w14:paraId="23C00AC0" w14:textId="44196AF4" w:rsidR="003C59EE" w:rsidRDefault="00892DC3" w:rsidP="003C59EE">
      <w:pPr>
        <w:pStyle w:val="Heading1"/>
      </w:pPr>
      <w:bookmarkStart w:id="15" w:name="_Ref106280008"/>
      <w:bookmarkStart w:id="16" w:name="_Toc116041874"/>
      <w:bookmarkStart w:id="17" w:name="_Toc348105641"/>
      <w:r>
        <w:lastRenderedPageBreak/>
        <w:t xml:space="preserve">Coexistence </w:t>
      </w:r>
      <w:r w:rsidR="00754412">
        <w:t>e</w:t>
      </w:r>
      <w:r>
        <w:t>valuation</w:t>
      </w:r>
      <w:bookmarkEnd w:id="15"/>
      <w:bookmarkEnd w:id="16"/>
    </w:p>
    <w:p w14:paraId="7059B151" w14:textId="4B14EBB5" w:rsidR="003E3730" w:rsidRDefault="003E3730" w:rsidP="00681CCB">
      <w:pPr>
        <w:pStyle w:val="Heading2"/>
      </w:pPr>
      <w:bookmarkStart w:id="18" w:name="_Toc116041875"/>
      <w:bookmarkStart w:id="19" w:name="_Hlk59627494"/>
      <w:r>
        <w:t>Spectrum management regulatory environment</w:t>
      </w:r>
      <w:bookmarkEnd w:id="18"/>
    </w:p>
    <w:p w14:paraId="3DA7DB19" w14:textId="538A8234" w:rsidR="004C3A9C" w:rsidRPr="00257BC6" w:rsidRDefault="004C3A9C" w:rsidP="00257BC6">
      <w:pPr>
        <w:pStyle w:val="Heading2"/>
        <w:rPr>
          <w:sz w:val="22"/>
          <w:szCs w:val="22"/>
          <w:lang w:val="en-GB"/>
        </w:rPr>
      </w:pPr>
      <w:bookmarkStart w:id="20" w:name="_Toc116041876"/>
      <w:r w:rsidRPr="004C3A9C">
        <w:rPr>
          <w:sz w:val="22"/>
          <w:szCs w:val="22"/>
          <w:lang w:val="en-GB"/>
        </w:rPr>
        <w:t>International</w:t>
      </w:r>
      <w:bookmarkEnd w:id="20"/>
    </w:p>
    <w:p w14:paraId="2A4206E0" w14:textId="54D102E5" w:rsidR="009E6DC3" w:rsidRDefault="009B0FCB" w:rsidP="003964FD">
      <w:pPr>
        <w:pStyle w:val="Numberedparagraph"/>
      </w:pPr>
      <w:r>
        <w:t xml:space="preserve">At the international </w:t>
      </w:r>
      <w:r w:rsidR="00B87656">
        <w:t xml:space="preserve">Radio </w:t>
      </w:r>
      <w:r w:rsidR="004C3A9C">
        <w:t>Regulations</w:t>
      </w:r>
      <w:r>
        <w:t xml:space="preserve"> </w:t>
      </w:r>
      <w:r w:rsidR="00895A18">
        <w:t xml:space="preserve">treaty </w:t>
      </w:r>
      <w:r>
        <w:t xml:space="preserve">level, there are currently no </w:t>
      </w:r>
      <w:r w:rsidR="00953431">
        <w:t xml:space="preserve">specific </w:t>
      </w:r>
      <w:r>
        <w:t>conditions to manage cross-border compatibility between any mobile service allocation below 4200</w:t>
      </w:r>
      <w:r w:rsidR="00953431">
        <w:t> </w:t>
      </w:r>
      <w:r>
        <w:t>MHz and the aeronautical radiolocation service (</w:t>
      </w:r>
      <w:r w:rsidR="00F832B0">
        <w:t>i.e.</w:t>
      </w:r>
      <w:r>
        <w:t xml:space="preserve"> RAs) in 4200-4400 MHz.  </w:t>
      </w:r>
      <w:r w:rsidR="009E6DC3">
        <w:t>There are</w:t>
      </w:r>
      <w:r w:rsidR="00A57FD6">
        <w:t>, however, clauses</w:t>
      </w:r>
      <w:r w:rsidR="009E6DC3">
        <w:t xml:space="preserve"> in </w:t>
      </w:r>
      <w:hyperlink r:id="rId45" w:history="1">
        <w:r w:rsidR="009E6DC3" w:rsidRPr="009E6DC3">
          <w:rPr>
            <w:rStyle w:val="Hyperlink"/>
          </w:rPr>
          <w:t>Article 4</w:t>
        </w:r>
      </w:hyperlink>
      <w:r w:rsidR="009E6DC3">
        <w:t xml:space="preserve"> </w:t>
      </w:r>
      <w:r w:rsidR="00B87656">
        <w:t>of the Radio Regulations concerning</w:t>
      </w:r>
      <w:r w:rsidR="009E6DC3">
        <w:t xml:space="preserve"> obligations upon member states that may be relevant</w:t>
      </w:r>
      <w:r w:rsidR="00953431">
        <w:t>,</w:t>
      </w:r>
      <w:r w:rsidR="009E6DC3">
        <w:t xml:space="preserve"> such as </w:t>
      </w:r>
      <w:r w:rsidR="00E036DB">
        <w:t xml:space="preserve">Articles </w:t>
      </w:r>
      <w:r w:rsidR="009E6DC3">
        <w:t>4.3, 4.5 and 4.10.</w:t>
      </w:r>
      <w:r w:rsidR="00763B3A">
        <w:t xml:space="preserve"> </w:t>
      </w:r>
    </w:p>
    <w:p w14:paraId="18E5D7FF" w14:textId="1E0EB2C2" w:rsidR="004C22CA" w:rsidRDefault="00B87656" w:rsidP="003964FD">
      <w:pPr>
        <w:pStyle w:val="Numberedparagraph"/>
      </w:pPr>
      <w:r>
        <w:t>Clauses in Article 3</w:t>
      </w:r>
      <w:r w:rsidR="004C22CA">
        <w:t xml:space="preserve"> </w:t>
      </w:r>
      <w:r>
        <w:t xml:space="preserve">such as </w:t>
      </w:r>
      <w:hyperlink r:id="rId46" w:history="1">
        <w:r w:rsidR="00E036DB">
          <w:rPr>
            <w:rStyle w:val="Hyperlink"/>
          </w:rPr>
          <w:t>A</w:t>
        </w:r>
        <w:r w:rsidR="004C22CA" w:rsidRPr="00F832B0">
          <w:rPr>
            <w:rStyle w:val="Hyperlink"/>
          </w:rPr>
          <w:t>rticle 3.3</w:t>
        </w:r>
      </w:hyperlink>
      <w:r w:rsidR="004C22CA">
        <w:t xml:space="preserve"> </w:t>
      </w:r>
      <w:r>
        <w:t>below, are</w:t>
      </w:r>
      <w:r w:rsidR="004C22CA">
        <w:t xml:space="preserve"> also relevant</w:t>
      </w:r>
      <w:r w:rsidR="00D86B3F">
        <w:t xml:space="preserve"> in</w:t>
      </w:r>
      <w:r>
        <w:t xml:space="preserve"> coexistence considerations</w:t>
      </w:r>
      <w:r w:rsidR="00D86B3F">
        <w:t>:</w:t>
      </w:r>
    </w:p>
    <w:p w14:paraId="52E7B947" w14:textId="0137FBEA" w:rsidR="004C22CA" w:rsidRPr="00257BC6" w:rsidRDefault="00B87656" w:rsidP="00257BC6">
      <w:pPr>
        <w:pStyle w:val="Numberedparagraph"/>
        <w:numPr>
          <w:ilvl w:val="0"/>
          <w:numId w:val="0"/>
        </w:numPr>
        <w:ind w:left="852"/>
        <w:rPr>
          <w:i/>
          <w:iCs/>
        </w:rPr>
      </w:pPr>
      <w:r>
        <w:rPr>
          <w:i/>
          <w:iCs/>
        </w:rPr>
        <w:t xml:space="preserve">Article 3.3: </w:t>
      </w:r>
      <w:r w:rsidR="004C22CA" w:rsidRPr="004C22CA">
        <w:rPr>
          <w:i/>
          <w:iCs/>
        </w:rPr>
        <w:t>Transmitting and receiving equipment intended to be used in a given part of the</w:t>
      </w:r>
      <w:r w:rsidR="004C22CA">
        <w:rPr>
          <w:i/>
          <w:iCs/>
        </w:rPr>
        <w:t xml:space="preserve"> </w:t>
      </w:r>
      <w:r w:rsidR="004C22CA" w:rsidRPr="004C22CA">
        <w:rPr>
          <w:i/>
          <w:iCs/>
        </w:rPr>
        <w:t>frequency spectrum should be designed to take into account the technical characteristics of</w:t>
      </w:r>
      <w:r w:rsidR="004C22CA">
        <w:rPr>
          <w:i/>
          <w:iCs/>
        </w:rPr>
        <w:t xml:space="preserve"> </w:t>
      </w:r>
      <w:r w:rsidR="004C22CA" w:rsidRPr="004C22CA">
        <w:rPr>
          <w:i/>
          <w:iCs/>
        </w:rPr>
        <w:t>transmitting and receiving equipment likely to be employed in neighbouring and other parts of the</w:t>
      </w:r>
      <w:r w:rsidR="004C22CA">
        <w:rPr>
          <w:i/>
          <w:iCs/>
        </w:rPr>
        <w:t xml:space="preserve"> </w:t>
      </w:r>
      <w:r w:rsidR="004C22CA" w:rsidRPr="004C22CA">
        <w:rPr>
          <w:i/>
          <w:iCs/>
        </w:rPr>
        <w:t>spectrum, provided that all technically and economically justifiable measures have been taken to</w:t>
      </w:r>
      <w:r w:rsidR="004C22CA">
        <w:rPr>
          <w:i/>
          <w:iCs/>
        </w:rPr>
        <w:t xml:space="preserve"> </w:t>
      </w:r>
      <w:r w:rsidR="004C22CA" w:rsidRPr="004C22CA">
        <w:rPr>
          <w:i/>
          <w:iCs/>
        </w:rPr>
        <w:t>reduce the level of unwanted emissions from the latter transmitting equipment and to reduce the</w:t>
      </w:r>
      <w:r w:rsidR="004C22CA">
        <w:rPr>
          <w:i/>
          <w:iCs/>
        </w:rPr>
        <w:t xml:space="preserve"> </w:t>
      </w:r>
      <w:r w:rsidR="004C22CA" w:rsidRPr="004C22CA">
        <w:rPr>
          <w:i/>
          <w:iCs/>
        </w:rPr>
        <w:t>susceptibility to interference of the latter receiving equipment.</w:t>
      </w:r>
    </w:p>
    <w:p w14:paraId="7CA3633B" w14:textId="7CDCC27C" w:rsidR="003964FD" w:rsidRDefault="009B0FCB" w:rsidP="003964FD">
      <w:pPr>
        <w:pStyle w:val="Numberedparagraph"/>
      </w:pPr>
      <w:r>
        <w:t xml:space="preserve">While there are two possibly relevant </w:t>
      </w:r>
      <w:r w:rsidR="001E4412">
        <w:t xml:space="preserve">World </w:t>
      </w:r>
      <w:r w:rsidR="00D86B3F">
        <w:t>Radiocommunication</w:t>
      </w:r>
      <w:r w:rsidR="001E4412">
        <w:t xml:space="preserve"> Conference (</w:t>
      </w:r>
      <w:r>
        <w:t>WRC-23</w:t>
      </w:r>
      <w:r w:rsidR="001E4412">
        <w:t>)</w:t>
      </w:r>
      <w:r>
        <w:t xml:space="preserve"> agenda items, </w:t>
      </w:r>
      <w:r w:rsidR="00895A18">
        <w:t>International Mobile Telecommunications (</w:t>
      </w:r>
      <w:r>
        <w:t>IMT</w:t>
      </w:r>
      <w:r w:rsidR="00895A18">
        <w:t>)</w:t>
      </w:r>
      <w:r>
        <w:t xml:space="preserve"> identification for 3.6-3.8 GHz in Region 2 and </w:t>
      </w:r>
      <w:r w:rsidR="00F1378B">
        <w:t xml:space="preserve">the </w:t>
      </w:r>
      <w:r>
        <w:t xml:space="preserve">possible upgrade of the mobile service to primary for 3.6-3.8 GHz in Region 1, no relevant studies have </w:t>
      </w:r>
      <w:r w:rsidR="008F2B79">
        <w:t>been submitted as formal contributions in this</w:t>
      </w:r>
      <w:r w:rsidR="001E4412">
        <w:t xml:space="preserve"> </w:t>
      </w:r>
      <w:r w:rsidR="00895A18">
        <w:t xml:space="preserve">WRC </w:t>
      </w:r>
      <w:r w:rsidR="001E4412">
        <w:t>study cycle</w:t>
      </w:r>
      <w:r>
        <w:t xml:space="preserve">.  The current stated </w:t>
      </w:r>
      <w:r w:rsidR="009A34E9">
        <w:t>International Civil Aviation Organisation (</w:t>
      </w:r>
      <w:r>
        <w:t>ICAO</w:t>
      </w:r>
      <w:r w:rsidR="009A34E9">
        <w:t>)</w:t>
      </w:r>
      <w:r>
        <w:t xml:space="preserve"> </w:t>
      </w:r>
      <w:hyperlink r:id="rId47" w:history="1">
        <w:r w:rsidRPr="008F2B79">
          <w:rPr>
            <w:rStyle w:val="Hyperlink"/>
          </w:rPr>
          <w:t>position</w:t>
        </w:r>
      </w:hyperlink>
      <w:r>
        <w:t xml:space="preserve"> on the issue </w:t>
      </w:r>
      <w:r w:rsidR="00B87656">
        <w:t>with respect to</w:t>
      </w:r>
      <w:r>
        <w:t xml:space="preserve"> WRC-23 is:</w:t>
      </w:r>
    </w:p>
    <w:p w14:paraId="5BD7A541" w14:textId="1B356807" w:rsidR="009B0FCB" w:rsidRPr="00D379F3" w:rsidRDefault="009B0FCB" w:rsidP="00D379F3">
      <w:pPr>
        <w:pStyle w:val="Numberedparagraph"/>
        <w:numPr>
          <w:ilvl w:val="0"/>
          <w:numId w:val="0"/>
        </w:numPr>
        <w:rPr>
          <w:rStyle w:val="eop"/>
        </w:rPr>
      </w:pPr>
      <w:r>
        <w:t>“</w:t>
      </w:r>
      <w:r w:rsidR="008F2B79">
        <w:t xml:space="preserve">It is important to note, however, that the issues raised by the radio altimeter studies are not with the regulatory allocation and identification to the mobile service (i.e., it is not pertinent to WRC-23 Agenda Item 1.3 discussions), rather to how new systems are being authorized for deployment within that service. Work continues to assess any possible measures that might be needed, both near-term and in the future, to ensure compatible operation of radio altimeters and these new mobile service </w:t>
      </w:r>
      <w:r w:rsidR="00406A9F">
        <w:t>systems.</w:t>
      </w:r>
      <w:r w:rsidR="00406A9F">
        <w:rPr>
          <w:rStyle w:val="eop"/>
          <w:rFonts w:ascii="Calibri" w:hAnsi="Calibri" w:cs="Calibri"/>
          <w:color w:val="000000"/>
          <w:szCs w:val="20"/>
          <w:shd w:val="clear" w:color="auto" w:fill="FFFFFF"/>
        </w:rPr>
        <w:t xml:space="preserve"> “</w:t>
      </w:r>
    </w:p>
    <w:p w14:paraId="0CA2FB75" w14:textId="21CF5D80" w:rsidR="00FE1F1E" w:rsidRDefault="00FE1F1E" w:rsidP="003964FD">
      <w:pPr>
        <w:pStyle w:val="Numberedparagraph"/>
      </w:pPr>
      <w:r>
        <w:t xml:space="preserve">While the ICAO prepared an </w:t>
      </w:r>
      <w:hyperlink r:id="rId48" w:history="1">
        <w:r w:rsidRPr="00F10601">
          <w:rPr>
            <w:rStyle w:val="Hyperlink"/>
          </w:rPr>
          <w:t>internal study</w:t>
        </w:r>
      </w:hyperlink>
      <w:r>
        <w:t xml:space="preserve"> in relation to WRC-15 AI 1.1</w:t>
      </w:r>
      <w:r w:rsidR="00406A9F">
        <w:t xml:space="preserve"> in that </w:t>
      </w:r>
      <w:r w:rsidR="009A34E9">
        <w:t xml:space="preserve">previous </w:t>
      </w:r>
      <w:r w:rsidR="00406A9F">
        <w:t>study cycle</w:t>
      </w:r>
      <w:r>
        <w:t xml:space="preserve">, </w:t>
      </w:r>
      <w:r w:rsidR="00710D09">
        <w:t xml:space="preserve">which </w:t>
      </w:r>
      <w:r w:rsidR="00120129">
        <w:t xml:space="preserve">included possible identification of IMT in the </w:t>
      </w:r>
      <w:r w:rsidR="00C8103B">
        <w:t>3400-4200 MHz and 4400-4500 MHz</w:t>
      </w:r>
      <w:r w:rsidR="00120129">
        <w:t xml:space="preserve"> range</w:t>
      </w:r>
      <w:r w:rsidR="00C8103B">
        <w:t>s</w:t>
      </w:r>
      <w:r w:rsidR="00120129">
        <w:t xml:space="preserve">, </w:t>
      </w:r>
      <w:r>
        <w:t xml:space="preserve">it </w:t>
      </w:r>
      <w:r w:rsidR="00F10601">
        <w:t>did</w:t>
      </w:r>
      <w:r>
        <w:t xml:space="preserve"> not </w:t>
      </w:r>
      <w:r w:rsidR="00F10601">
        <w:t>appear</w:t>
      </w:r>
      <w:r>
        <w:t xml:space="preserve"> in the </w:t>
      </w:r>
      <w:r w:rsidR="00F10601">
        <w:t xml:space="preserve">WRC-15 </w:t>
      </w:r>
      <w:r>
        <w:t xml:space="preserve">summary CPM </w:t>
      </w:r>
      <w:hyperlink r:id="rId49" w:history="1">
        <w:r w:rsidRPr="00FE1F1E">
          <w:rPr>
            <w:rStyle w:val="Hyperlink"/>
          </w:rPr>
          <w:t>input contribution</w:t>
        </w:r>
      </w:hyperlink>
      <w:r>
        <w:t>.</w:t>
      </w:r>
      <w:r w:rsidR="00C15543">
        <w:t xml:space="preserve"> This study is discussed later in this section.</w:t>
      </w:r>
    </w:p>
    <w:p w14:paraId="4A7E45C8" w14:textId="055137ED" w:rsidR="004C3A9C" w:rsidRPr="00257BC6" w:rsidRDefault="004C3A9C" w:rsidP="00257BC6">
      <w:pPr>
        <w:pStyle w:val="Heading2"/>
        <w:rPr>
          <w:sz w:val="22"/>
          <w:szCs w:val="22"/>
          <w:lang w:val="en-GB"/>
        </w:rPr>
      </w:pPr>
      <w:bookmarkStart w:id="21" w:name="_Toc116041877"/>
      <w:r w:rsidRPr="00257BC6">
        <w:rPr>
          <w:sz w:val="22"/>
          <w:szCs w:val="22"/>
          <w:lang w:val="en-GB"/>
        </w:rPr>
        <w:t>Domestic</w:t>
      </w:r>
      <w:bookmarkEnd w:id="21"/>
    </w:p>
    <w:p w14:paraId="206B79CD" w14:textId="16E049B4" w:rsidR="00411A53" w:rsidRPr="003964FD" w:rsidRDefault="00411A53" w:rsidP="003964FD">
      <w:pPr>
        <w:pStyle w:val="Numberedparagraph"/>
      </w:pPr>
      <w:r>
        <w:t xml:space="preserve">Domestically, radio altimeters are authorised </w:t>
      </w:r>
      <w:r w:rsidR="000F57B6">
        <w:t>for use</w:t>
      </w:r>
      <w:r>
        <w:t xml:space="preserve"> under the </w:t>
      </w:r>
      <w:hyperlink r:id="rId50" w:history="1">
        <w:r w:rsidRPr="00B824FF">
          <w:rPr>
            <w:rStyle w:val="Hyperlink"/>
            <w:i/>
            <w:iCs/>
          </w:rPr>
          <w:t>Radiocommunications (Aircraft and Aeronautical Mobile Stations) Class Licence 2016</w:t>
        </w:r>
      </w:hyperlink>
      <w:r>
        <w:rPr>
          <w:i/>
          <w:iCs/>
        </w:rPr>
        <w:t xml:space="preserve">. </w:t>
      </w:r>
      <w:r w:rsidR="0036563B">
        <w:t>General p</w:t>
      </w:r>
      <w:r w:rsidR="00214C00">
        <w:t xml:space="preserve">rovisions for Class licences are prescribed in Part 3.4 of the </w:t>
      </w:r>
      <w:hyperlink r:id="rId51" w:history="1">
        <w:r w:rsidR="00214C00" w:rsidRPr="00214C00">
          <w:rPr>
            <w:rStyle w:val="Hyperlink"/>
          </w:rPr>
          <w:t>Radiocommunications Act.</w:t>
        </w:r>
      </w:hyperlink>
      <w:r w:rsidR="00214C00">
        <w:t xml:space="preserve"> Neither document, or any other relevant instrument, </w:t>
      </w:r>
      <w:r w:rsidR="001C7D74">
        <w:t xml:space="preserve">describes any specific required protection </w:t>
      </w:r>
      <w:r w:rsidR="0036563B">
        <w:t>for RAs</w:t>
      </w:r>
      <w:r w:rsidR="001C7D74">
        <w:t>, or interference management requirements.</w:t>
      </w:r>
      <w:r w:rsidR="000F57B6">
        <w:t xml:space="preserve"> While certain sections of the Act (e.g. 192-194, 197) </w:t>
      </w:r>
      <w:r w:rsidR="00406A9F">
        <w:t xml:space="preserve">are </w:t>
      </w:r>
      <w:r w:rsidR="00E036DB">
        <w:t>relevant to</w:t>
      </w:r>
      <w:r w:rsidR="000F57B6">
        <w:t xml:space="preserve"> the safe operation of aircraft and other systems, they relate to knowingly engaging in conduct that would</w:t>
      </w:r>
      <w:r w:rsidR="00BE1462">
        <w:t>,</w:t>
      </w:r>
      <w:r w:rsidR="000F57B6">
        <w:t xml:space="preserve"> or would likely</w:t>
      </w:r>
      <w:r w:rsidR="00BE1462">
        <w:t>,</w:t>
      </w:r>
      <w:r w:rsidR="000F57B6">
        <w:t xml:space="preserve"> result in interference, rather than where interference is not intended.</w:t>
      </w:r>
      <w:r w:rsidR="0036563B">
        <w:t xml:space="preserve"> Consequently, new </w:t>
      </w:r>
      <w:r w:rsidR="00406A9F">
        <w:lastRenderedPageBreak/>
        <w:t xml:space="preserve">regulatory </w:t>
      </w:r>
      <w:r w:rsidR="0036563B">
        <w:t xml:space="preserve">provisions would be required </w:t>
      </w:r>
      <w:r w:rsidR="009A34E9">
        <w:t>to implemented any</w:t>
      </w:r>
      <w:r w:rsidR="0036563B">
        <w:t xml:space="preserve"> potential interference management for RAs.</w:t>
      </w:r>
    </w:p>
    <w:p w14:paraId="1A99BD87" w14:textId="20D4A5CE" w:rsidR="003C59EE" w:rsidRDefault="00681CCB" w:rsidP="00681CCB">
      <w:pPr>
        <w:pStyle w:val="Heading2"/>
      </w:pPr>
      <w:bookmarkStart w:id="22" w:name="_Toc116041878"/>
      <w:r>
        <w:t>Interference mechanisms</w:t>
      </w:r>
      <w:bookmarkEnd w:id="22"/>
    </w:p>
    <w:p w14:paraId="18E984D0" w14:textId="0EB060AA" w:rsidR="00357D44" w:rsidRDefault="009C479C">
      <w:pPr>
        <w:pStyle w:val="Numberedparagraph"/>
      </w:pPr>
      <w:hyperlink r:id="rId52" w:history="1">
        <w:r w:rsidR="00357D44" w:rsidRPr="00357D44">
          <w:rPr>
            <w:rStyle w:val="Hyperlink"/>
          </w:rPr>
          <w:t>ITU-R M.2059-0</w:t>
        </w:r>
      </w:hyperlink>
      <w:r w:rsidR="00357D44">
        <w:t xml:space="preserve"> provides </w:t>
      </w:r>
      <w:r w:rsidR="001A2B6F">
        <w:t>an overview</w:t>
      </w:r>
      <w:r w:rsidR="00357D44">
        <w:t xml:space="preserve"> of appropriate interference mechanisms </w:t>
      </w:r>
      <w:r w:rsidR="004D1D9F">
        <w:t xml:space="preserve">to consider </w:t>
      </w:r>
      <w:r w:rsidR="00357D44">
        <w:t xml:space="preserve">in </w:t>
      </w:r>
      <w:r w:rsidR="004D1D9F">
        <w:t xml:space="preserve">coexistence studies </w:t>
      </w:r>
      <w:r w:rsidR="00983017">
        <w:t xml:space="preserve">involving RAs </w:t>
      </w:r>
      <w:r w:rsidR="004D1D9F">
        <w:t xml:space="preserve">in </w:t>
      </w:r>
      <w:r w:rsidR="00357D44">
        <w:t xml:space="preserve">Annex 3, including overload, </w:t>
      </w:r>
      <w:r w:rsidR="00F1378B">
        <w:t>desensitisation,</w:t>
      </w:r>
      <w:r w:rsidR="00357D44">
        <w:t xml:space="preserve"> and false altitude reports.</w:t>
      </w:r>
      <w:r w:rsidR="00DC65AD">
        <w:t xml:space="preserve"> </w:t>
      </w:r>
      <w:r w:rsidR="00406A9F">
        <w:t>However, t</w:t>
      </w:r>
      <w:r w:rsidR="00DC65AD">
        <w:t>he Ofcom study, discussed in the section below, determined that in all cases the false altitude report mechanism is effectively redundant</w:t>
      </w:r>
      <w:r w:rsidR="00406A9F">
        <w:t>,</w:t>
      </w:r>
      <w:r w:rsidR="00DC65AD">
        <w:t xml:space="preserve"> if overload and desensitisation is </w:t>
      </w:r>
      <w:r w:rsidR="00983017">
        <w:t xml:space="preserve">already being </w:t>
      </w:r>
      <w:r w:rsidR="00DC65AD">
        <w:t xml:space="preserve">considered </w:t>
      </w:r>
      <w:r w:rsidR="00A703E9">
        <w:t xml:space="preserve">in a study </w:t>
      </w:r>
      <w:r w:rsidR="00406A9F">
        <w:t xml:space="preserve">on </w:t>
      </w:r>
      <w:r w:rsidR="00DC65AD">
        <w:t>practical WBB systems.</w:t>
      </w:r>
    </w:p>
    <w:p w14:paraId="53BC74F2" w14:textId="754312E6" w:rsidR="00402560" w:rsidRDefault="00402560" w:rsidP="00402560">
      <w:pPr>
        <w:pStyle w:val="Numberedparagraph"/>
        <w:numPr>
          <w:ilvl w:val="0"/>
          <w:numId w:val="0"/>
        </w:numPr>
      </w:pPr>
      <w:r>
        <w:t>In summary however, the mechanisms that should be considered are (reproduced in part from M.2059):</w:t>
      </w:r>
    </w:p>
    <w:p w14:paraId="0ABC9409" w14:textId="0262C9B5" w:rsidR="00402560" w:rsidRPr="00D379F3" w:rsidRDefault="00402560" w:rsidP="00402560">
      <w:pPr>
        <w:pStyle w:val="Heading2"/>
        <w:rPr>
          <w:rFonts w:ascii="Times New Roman" w:eastAsia="SimSun" w:hAnsi="Times New Roman"/>
          <w:sz w:val="22"/>
          <w:szCs w:val="22"/>
          <w:lang w:val="en-GB"/>
        </w:rPr>
      </w:pPr>
      <w:bookmarkStart w:id="23" w:name="_Toc116041879"/>
      <w:r w:rsidRPr="00D379F3">
        <w:rPr>
          <w:rFonts w:eastAsia="SimSun"/>
          <w:sz w:val="22"/>
          <w:szCs w:val="22"/>
          <w:lang w:val="en-GB"/>
        </w:rPr>
        <w:t>Recei</w:t>
      </w:r>
      <w:r w:rsidRPr="00D379F3">
        <w:rPr>
          <w:sz w:val="22"/>
          <w:szCs w:val="22"/>
          <w:lang w:val="en-GB"/>
        </w:rPr>
        <w:t>v</w:t>
      </w:r>
      <w:r w:rsidRPr="00D379F3">
        <w:rPr>
          <w:rFonts w:eastAsia="SimSun"/>
          <w:sz w:val="22"/>
          <w:szCs w:val="22"/>
          <w:lang w:val="en-GB"/>
        </w:rPr>
        <w:t xml:space="preserve">er </w:t>
      </w:r>
      <w:r w:rsidRPr="00D379F3">
        <w:rPr>
          <w:sz w:val="22"/>
          <w:szCs w:val="22"/>
          <w:lang w:val="en-GB"/>
        </w:rPr>
        <w:t>front</w:t>
      </w:r>
      <w:r w:rsidRPr="00D379F3">
        <w:rPr>
          <w:rFonts w:eastAsia="SimSun"/>
          <w:sz w:val="22"/>
          <w:szCs w:val="22"/>
          <w:lang w:val="en-GB"/>
        </w:rPr>
        <w:t>-end overload</w:t>
      </w:r>
      <w:bookmarkEnd w:id="23"/>
    </w:p>
    <w:p w14:paraId="49100B4F" w14:textId="549A31C9" w:rsidR="00402560" w:rsidRPr="00D379F3" w:rsidRDefault="00402560" w:rsidP="00D379F3">
      <w:pPr>
        <w:pStyle w:val="Numberedparagraph"/>
      </w:pPr>
      <w:r w:rsidRPr="00D379F3">
        <w:t>Receiver front-end overload occurs when sufficient power from an interfering signal saturates the front-end of a radio altimeter receiver causing the inherent effects of non-linear behaviour; for example, harmonic distortion or intermodulation.</w:t>
      </w:r>
      <w:r w:rsidR="00E83982">
        <w:t xml:space="preserve"> This mechanism is often also called “blocking” as the unwanted signal affects the ability of the receiver to correctly demodulate it’s wanted signal and “blocks” it.</w:t>
      </w:r>
    </w:p>
    <w:p w14:paraId="3FE428EC" w14:textId="77777777" w:rsidR="00402560" w:rsidRPr="00D379F3" w:rsidRDefault="00402560" w:rsidP="00402560">
      <w:pPr>
        <w:pStyle w:val="Heading2"/>
        <w:rPr>
          <w:rFonts w:eastAsia="SimSun"/>
          <w:sz w:val="22"/>
          <w:szCs w:val="22"/>
          <w:lang w:val="en-GB"/>
        </w:rPr>
      </w:pPr>
      <w:bookmarkStart w:id="24" w:name="_Toc116041880"/>
      <w:r w:rsidRPr="00D379F3">
        <w:rPr>
          <w:rFonts w:eastAsia="SimSun"/>
          <w:sz w:val="22"/>
          <w:szCs w:val="22"/>
          <w:lang w:val="en-GB"/>
        </w:rPr>
        <w:t>Receiver desensitization</w:t>
      </w:r>
      <w:bookmarkEnd w:id="24"/>
    </w:p>
    <w:p w14:paraId="2F02C040" w14:textId="2BAA371C" w:rsidR="00402560" w:rsidRPr="00D379F3" w:rsidRDefault="00402560" w:rsidP="00D379F3">
      <w:pPr>
        <w:pStyle w:val="Numberedparagraph"/>
      </w:pPr>
      <w:r w:rsidRPr="00D379F3">
        <w:t>The desensitization effect is related to the intensity of the interfering signal that falls into</w:t>
      </w:r>
      <w:r w:rsidR="00932A94" w:rsidRPr="00D379F3">
        <w:t xml:space="preserve"> </w:t>
      </w:r>
      <w:r w:rsidRPr="00D379F3">
        <w:t>the IF bandwidth of the radio altimeter. What complicates the issue of desensitization of a radio altimeter is that the RF spectrum related to the IF bandwidth by mixing is not constant in time, because radio altimeters operate in a homodyne configuration using a linear frequency-modulated signal. Thus, the impact of interference toward desensitization of a radio altimeter receiver is time dependent according to the technical characteristics of the specific radio altimeter.</w:t>
      </w:r>
    </w:p>
    <w:p w14:paraId="4B165AE3" w14:textId="6ADD1BB9" w:rsidR="00402560" w:rsidRPr="00D379F3" w:rsidRDefault="00402560" w:rsidP="00D379F3">
      <w:pPr>
        <w:pStyle w:val="Numberedparagraph"/>
      </w:pPr>
      <w:r w:rsidRPr="00D379F3">
        <w:t>The effect on a radio altimeter from in-band interference sources is related to the power of the interfering signals in the receiver IF bandwidth.</w:t>
      </w:r>
    </w:p>
    <w:p w14:paraId="3F7D7B4C" w14:textId="4348217B" w:rsidR="002F3FCB" w:rsidRPr="00D379F3" w:rsidRDefault="002F3FCB" w:rsidP="00D379F3">
      <w:pPr>
        <w:pStyle w:val="Numberedparagraph"/>
      </w:pPr>
      <w:r w:rsidRPr="00D379F3">
        <w:t xml:space="preserve">The ACMA note that receiver overload and desensitisation performance may also depend upon the signal level received from the RA transmitter itself. This, in turn, is dependent upon assumptions around “loop loss” i.e., the loss from the RA transmitter to receiver considering propagation loss, spread and ground scattering. The noise floor of the receiver may not need to be protected if the RA is receiving a strong signal from </w:t>
      </w:r>
      <w:r w:rsidR="003D7012" w:rsidRPr="00D379F3">
        <w:t>its</w:t>
      </w:r>
      <w:r w:rsidRPr="00D379F3">
        <w:t xml:space="preserve"> own transmitter.</w:t>
      </w:r>
    </w:p>
    <w:p w14:paraId="4D847C1F" w14:textId="77777777" w:rsidR="00402560" w:rsidRPr="00D379F3" w:rsidRDefault="00402560" w:rsidP="00402560">
      <w:pPr>
        <w:pStyle w:val="Heading2"/>
        <w:rPr>
          <w:rFonts w:eastAsia="SimSun"/>
          <w:sz w:val="22"/>
          <w:szCs w:val="22"/>
          <w:lang w:val="en-GB"/>
        </w:rPr>
      </w:pPr>
      <w:bookmarkStart w:id="25" w:name="_Toc116041881"/>
      <w:r w:rsidRPr="00D379F3">
        <w:rPr>
          <w:rFonts w:eastAsia="SimSun"/>
          <w:sz w:val="22"/>
          <w:szCs w:val="22"/>
          <w:lang w:val="en-GB"/>
        </w:rPr>
        <w:t>False altitude reports</w:t>
      </w:r>
      <w:bookmarkEnd w:id="25"/>
    </w:p>
    <w:p w14:paraId="38110A8D" w14:textId="77777777" w:rsidR="00402560" w:rsidRPr="00D379F3" w:rsidRDefault="00402560" w:rsidP="00D379F3">
      <w:pPr>
        <w:pStyle w:val="Numberedparagraph"/>
      </w:pPr>
      <w:r w:rsidRPr="00D379F3">
        <w:t>In the case of FMCW-based radio altimeters, false altitude reports occur when interference signals are detected as frequency components during spectral frequency analysis of the overall IF bandwidth.</w:t>
      </w:r>
    </w:p>
    <w:p w14:paraId="2CB91DF9" w14:textId="21BBC31A" w:rsidR="00250A96" w:rsidRPr="00EF23CB" w:rsidRDefault="00402560" w:rsidP="00EF23CB">
      <w:pPr>
        <w:pStyle w:val="Numberedparagraph"/>
      </w:pPr>
      <w:r w:rsidRPr="00D379F3">
        <w:t>The magnitude of the spectral components and the bandwidth of the resulting interfering signal spectra will be dependent on the strength of the received interference level and the fraction of time the resulting difference signals remain within the IF bandwidth.</w:t>
      </w:r>
    </w:p>
    <w:p w14:paraId="22CC42BE" w14:textId="76694C87" w:rsidR="00681CCB" w:rsidRDefault="00681CCB" w:rsidP="00681CCB">
      <w:pPr>
        <w:pStyle w:val="Heading2"/>
      </w:pPr>
      <w:bookmarkStart w:id="26" w:name="_Toc116041882"/>
      <w:r>
        <w:lastRenderedPageBreak/>
        <w:t>Studies</w:t>
      </w:r>
      <w:bookmarkEnd w:id="26"/>
    </w:p>
    <w:p w14:paraId="40A9DEBD" w14:textId="3BE37BBA" w:rsidR="00681CCB" w:rsidRDefault="00681CCB" w:rsidP="00681CCB">
      <w:pPr>
        <w:pStyle w:val="Heading3"/>
      </w:pPr>
      <w:r>
        <w:t>Australia</w:t>
      </w:r>
    </w:p>
    <w:p w14:paraId="78D2CB52" w14:textId="58F2C3AA" w:rsidR="00F1378B" w:rsidRDefault="00F1378B" w:rsidP="00D379F3">
      <w:pPr>
        <w:pStyle w:val="Numberedparagraph"/>
      </w:pPr>
      <w:r>
        <w:t xml:space="preserve">The ACMA conducted studies as part of the </w:t>
      </w:r>
      <w:hyperlink r:id="rId53" w:history="1">
        <w:r w:rsidRPr="00D379F3">
          <w:t>Options paper</w:t>
        </w:r>
      </w:hyperlink>
      <w:r>
        <w:t xml:space="preserve"> and </w:t>
      </w:r>
      <w:hyperlink r:id="rId54" w:history="1">
        <w:r w:rsidRPr="00D379F3">
          <w:t>TLG</w:t>
        </w:r>
      </w:hyperlink>
      <w:r w:rsidR="009A34E9">
        <w:t xml:space="preserve"> processes</w:t>
      </w:r>
      <w:r>
        <w:t>.</w:t>
      </w:r>
      <w:r w:rsidR="002E4F49">
        <w:t xml:space="preserve"> The studies generally considered both the overload and receiver desensitisation mechanisms.</w:t>
      </w:r>
    </w:p>
    <w:p w14:paraId="5CACB4D7" w14:textId="74492799" w:rsidR="00364B72" w:rsidRPr="0079709A" w:rsidRDefault="00364B72" w:rsidP="00D379F3">
      <w:pPr>
        <w:pStyle w:val="Numberedparagraph"/>
      </w:pPr>
      <w:r w:rsidRPr="004D3483">
        <w:t>The stud</w:t>
      </w:r>
      <w:r w:rsidRPr="0079709A">
        <w:t>ies covered a range of scenarios:</w:t>
      </w:r>
    </w:p>
    <w:p w14:paraId="00BBB83C" w14:textId="6079576C" w:rsidR="00364B72" w:rsidRPr="00D379F3" w:rsidRDefault="00364B72" w:rsidP="00D379F3">
      <w:pPr>
        <w:pStyle w:val="ListParagraph"/>
        <w:numPr>
          <w:ilvl w:val="0"/>
          <w:numId w:val="42"/>
        </w:numPr>
        <w:rPr>
          <w:rFonts w:ascii="Arial" w:hAnsi="Arial" w:cs="Arial"/>
          <w:sz w:val="20"/>
          <w:szCs w:val="20"/>
        </w:rPr>
      </w:pPr>
      <w:r w:rsidRPr="00D379F3">
        <w:rPr>
          <w:rFonts w:ascii="Arial" w:hAnsi="Arial" w:cs="Arial"/>
          <w:sz w:val="20"/>
          <w:szCs w:val="20"/>
        </w:rPr>
        <w:t>Single bas</w:t>
      </w:r>
      <w:r w:rsidR="00AB7D40">
        <w:rPr>
          <w:rFonts w:ascii="Arial" w:hAnsi="Arial" w:cs="Arial"/>
          <w:sz w:val="20"/>
          <w:szCs w:val="20"/>
        </w:rPr>
        <w:t>e</w:t>
      </w:r>
      <w:r w:rsidRPr="00D379F3">
        <w:rPr>
          <w:rFonts w:ascii="Arial" w:hAnsi="Arial" w:cs="Arial"/>
          <w:sz w:val="20"/>
          <w:szCs w:val="20"/>
        </w:rPr>
        <w:t xml:space="preserve"> station</w:t>
      </w:r>
      <w:r w:rsidR="009A34E9">
        <w:rPr>
          <w:rFonts w:ascii="Arial" w:hAnsi="Arial" w:cs="Arial"/>
          <w:sz w:val="20"/>
          <w:szCs w:val="20"/>
        </w:rPr>
        <w:t>,</w:t>
      </w:r>
      <w:r w:rsidRPr="00D379F3">
        <w:rPr>
          <w:rFonts w:ascii="Arial" w:hAnsi="Arial" w:cs="Arial"/>
          <w:sz w:val="20"/>
          <w:szCs w:val="20"/>
        </w:rPr>
        <w:t xml:space="preserve"> static non-AAS and AAS envelope landing</w:t>
      </w:r>
      <w:r w:rsidR="00C55A8F">
        <w:rPr>
          <w:rFonts w:ascii="Arial" w:hAnsi="Arial" w:cs="Arial"/>
          <w:sz w:val="20"/>
          <w:szCs w:val="20"/>
        </w:rPr>
        <w:t>,</w:t>
      </w:r>
      <w:r w:rsidRPr="00D379F3">
        <w:rPr>
          <w:rFonts w:ascii="Arial" w:hAnsi="Arial" w:cs="Arial"/>
          <w:sz w:val="20"/>
          <w:szCs w:val="20"/>
        </w:rPr>
        <w:t xml:space="preserve"> similar to the ICAO study</w:t>
      </w:r>
      <w:r w:rsidR="00AB7D40">
        <w:rPr>
          <w:rFonts w:ascii="Arial" w:hAnsi="Arial" w:cs="Arial"/>
          <w:sz w:val="20"/>
          <w:szCs w:val="20"/>
        </w:rPr>
        <w:t>.</w:t>
      </w:r>
    </w:p>
    <w:p w14:paraId="24C9F1DF" w14:textId="2A1BA5E0" w:rsidR="00364B72" w:rsidRDefault="00364B72" w:rsidP="00364B72">
      <w:pPr>
        <w:pStyle w:val="ListParagraph"/>
        <w:numPr>
          <w:ilvl w:val="0"/>
          <w:numId w:val="42"/>
        </w:numPr>
        <w:rPr>
          <w:rFonts w:ascii="Arial" w:hAnsi="Arial" w:cs="Arial"/>
          <w:sz w:val="20"/>
          <w:szCs w:val="20"/>
        </w:rPr>
      </w:pPr>
      <w:r w:rsidRPr="00D379F3">
        <w:rPr>
          <w:rFonts w:ascii="Arial" w:hAnsi="Arial" w:cs="Arial"/>
          <w:sz w:val="20"/>
          <w:szCs w:val="20"/>
        </w:rPr>
        <w:t>Single base station</w:t>
      </w:r>
      <w:r w:rsidR="009A34E9">
        <w:rPr>
          <w:rFonts w:ascii="Arial" w:hAnsi="Arial" w:cs="Arial"/>
          <w:sz w:val="20"/>
          <w:szCs w:val="20"/>
        </w:rPr>
        <w:t>,</w:t>
      </w:r>
      <w:r w:rsidRPr="00D379F3">
        <w:rPr>
          <w:rFonts w:ascii="Arial" w:hAnsi="Arial" w:cs="Arial"/>
          <w:sz w:val="20"/>
          <w:szCs w:val="20"/>
        </w:rPr>
        <w:t xml:space="preserve"> dynamic ideal AAS landing.</w:t>
      </w:r>
    </w:p>
    <w:p w14:paraId="007E1D26" w14:textId="3581066E" w:rsidR="00EF5AD8" w:rsidRDefault="00EF5AD8" w:rsidP="00364B72">
      <w:pPr>
        <w:pStyle w:val="ListParagraph"/>
        <w:numPr>
          <w:ilvl w:val="0"/>
          <w:numId w:val="42"/>
        </w:numPr>
        <w:rPr>
          <w:rFonts w:ascii="Arial" w:hAnsi="Arial" w:cs="Arial"/>
          <w:sz w:val="20"/>
          <w:szCs w:val="20"/>
        </w:rPr>
      </w:pPr>
      <w:r>
        <w:rPr>
          <w:rFonts w:ascii="Arial" w:hAnsi="Arial" w:cs="Arial"/>
          <w:sz w:val="20"/>
          <w:szCs w:val="20"/>
        </w:rPr>
        <w:t xml:space="preserve">Aggregate interference from existing base station deployments in 3575-3700 MHz for both non-AAS and ideal AAS scenarios </w:t>
      </w:r>
      <w:r w:rsidR="00697116">
        <w:rPr>
          <w:rFonts w:ascii="Arial" w:hAnsi="Arial" w:cs="Arial"/>
          <w:sz w:val="20"/>
          <w:szCs w:val="20"/>
        </w:rPr>
        <w:t xml:space="preserve">for </w:t>
      </w:r>
      <w:r w:rsidR="009A34E9">
        <w:rPr>
          <w:rFonts w:ascii="Arial" w:hAnsi="Arial" w:cs="Arial"/>
          <w:sz w:val="20"/>
          <w:szCs w:val="20"/>
        </w:rPr>
        <w:t>several</w:t>
      </w:r>
      <w:r>
        <w:rPr>
          <w:rFonts w:ascii="Arial" w:hAnsi="Arial" w:cs="Arial"/>
          <w:sz w:val="20"/>
          <w:szCs w:val="20"/>
        </w:rPr>
        <w:t xml:space="preserve"> metro airport </w:t>
      </w:r>
      <w:r w:rsidR="00697116">
        <w:rPr>
          <w:rFonts w:ascii="Arial" w:hAnsi="Arial" w:cs="Arial"/>
          <w:sz w:val="20"/>
          <w:szCs w:val="20"/>
        </w:rPr>
        <w:t>approaches</w:t>
      </w:r>
      <w:r>
        <w:rPr>
          <w:rFonts w:ascii="Arial" w:hAnsi="Arial" w:cs="Arial"/>
          <w:sz w:val="20"/>
          <w:szCs w:val="20"/>
        </w:rPr>
        <w:t>.</w:t>
      </w:r>
    </w:p>
    <w:p w14:paraId="2EFA0DFF" w14:textId="76BD25CC" w:rsidR="00364B72" w:rsidRPr="00D379F3" w:rsidRDefault="00364B72" w:rsidP="00D379F3">
      <w:pPr>
        <w:pStyle w:val="ListParagraph"/>
        <w:numPr>
          <w:ilvl w:val="0"/>
          <w:numId w:val="42"/>
        </w:numPr>
        <w:rPr>
          <w:rFonts w:ascii="Arial" w:hAnsi="Arial" w:cs="Arial"/>
          <w:sz w:val="20"/>
          <w:szCs w:val="20"/>
        </w:rPr>
      </w:pPr>
      <w:r w:rsidRPr="00D379F3">
        <w:rPr>
          <w:rFonts w:ascii="Arial" w:hAnsi="Arial" w:cs="Arial"/>
          <w:sz w:val="20"/>
          <w:szCs w:val="20"/>
        </w:rPr>
        <w:t>Aggregate interference from typical non-AAS BS deployment.</w:t>
      </w:r>
    </w:p>
    <w:p w14:paraId="1BC12B74" w14:textId="69EFF4E8" w:rsidR="00364B72" w:rsidRPr="00444F6D" w:rsidRDefault="00364B72" w:rsidP="00D379F3">
      <w:pPr>
        <w:pStyle w:val="ListParagraph"/>
        <w:numPr>
          <w:ilvl w:val="0"/>
          <w:numId w:val="42"/>
        </w:numPr>
        <w:rPr>
          <w:szCs w:val="20"/>
        </w:rPr>
      </w:pPr>
      <w:r w:rsidRPr="00D379F3">
        <w:rPr>
          <w:rFonts w:ascii="Arial" w:hAnsi="Arial" w:cs="Arial"/>
          <w:sz w:val="20"/>
          <w:szCs w:val="20"/>
        </w:rPr>
        <w:t>Aggregate interference from typical BS deployment using ideal AAS in a monte-</w:t>
      </w:r>
      <w:r w:rsidR="003635FF" w:rsidRPr="00D379F3">
        <w:rPr>
          <w:rFonts w:ascii="Arial" w:hAnsi="Arial" w:cs="Arial"/>
          <w:sz w:val="20"/>
          <w:szCs w:val="20"/>
        </w:rPr>
        <w:t>Carlo</w:t>
      </w:r>
      <w:r w:rsidRPr="00D379F3">
        <w:rPr>
          <w:rFonts w:ascii="Arial" w:hAnsi="Arial" w:cs="Arial"/>
          <w:sz w:val="20"/>
          <w:szCs w:val="20"/>
        </w:rPr>
        <w:t xml:space="preserve"> analysis.</w:t>
      </w:r>
    </w:p>
    <w:p w14:paraId="5938FC08" w14:textId="39507245" w:rsidR="00D93E64" w:rsidRPr="0079709A" w:rsidRDefault="00D93E64" w:rsidP="00196C09">
      <w:pPr>
        <w:pStyle w:val="Heading4"/>
      </w:pPr>
      <w:r w:rsidRPr="004D3483">
        <w:t>Summary</w:t>
      </w:r>
    </w:p>
    <w:p w14:paraId="3AC54C24" w14:textId="4AB037BB" w:rsidR="00364B72" w:rsidRPr="00D379F3" w:rsidRDefault="00F1378B" w:rsidP="00D379F3">
      <w:pPr>
        <w:pStyle w:val="Numberedparagraph"/>
      </w:pPr>
      <w:r w:rsidRPr="00444F6D">
        <w:t>The ACMA studies generally concluded that</w:t>
      </w:r>
      <w:r w:rsidR="00364B72" w:rsidRPr="00D379F3">
        <w:t>:</w:t>
      </w:r>
    </w:p>
    <w:p w14:paraId="3FFE5D11" w14:textId="626E9254" w:rsidR="00364B72" w:rsidRPr="00D379F3" w:rsidRDefault="00364B72" w:rsidP="00D379F3">
      <w:pPr>
        <w:pStyle w:val="ListParagraph"/>
        <w:numPr>
          <w:ilvl w:val="0"/>
          <w:numId w:val="43"/>
        </w:numPr>
        <w:spacing w:after="200" w:line="276" w:lineRule="auto"/>
        <w:rPr>
          <w:rFonts w:ascii="Arial" w:hAnsi="Arial" w:cs="Arial"/>
          <w:sz w:val="20"/>
          <w:szCs w:val="20"/>
        </w:rPr>
      </w:pPr>
      <w:r w:rsidRPr="00D379F3">
        <w:rPr>
          <w:rFonts w:ascii="Arial" w:hAnsi="Arial" w:cs="Arial"/>
          <w:sz w:val="20"/>
          <w:szCs w:val="20"/>
        </w:rPr>
        <w:t xml:space="preserve">Modelled </w:t>
      </w:r>
      <w:r w:rsidR="00927DD8">
        <w:rPr>
          <w:rFonts w:ascii="Arial" w:hAnsi="Arial" w:cs="Arial"/>
          <w:sz w:val="20"/>
          <w:szCs w:val="20"/>
        </w:rPr>
        <w:t>n</w:t>
      </w:r>
      <w:r w:rsidR="00927DD8" w:rsidRPr="00D379F3">
        <w:rPr>
          <w:rFonts w:ascii="Arial" w:hAnsi="Arial" w:cs="Arial"/>
          <w:sz w:val="20"/>
          <w:szCs w:val="20"/>
        </w:rPr>
        <w:t>on</w:t>
      </w:r>
      <w:r w:rsidRPr="00D379F3">
        <w:rPr>
          <w:rFonts w:ascii="Arial" w:hAnsi="Arial" w:cs="Arial"/>
          <w:sz w:val="20"/>
          <w:szCs w:val="20"/>
        </w:rPr>
        <w:t xml:space="preserve">-AAS WBB systems have some </w:t>
      </w:r>
      <w:r w:rsidR="003D7012">
        <w:rPr>
          <w:rFonts w:ascii="Arial" w:hAnsi="Arial" w:cs="Arial"/>
          <w:sz w:val="20"/>
          <w:szCs w:val="20"/>
        </w:rPr>
        <w:t xml:space="preserve">theoretical </w:t>
      </w:r>
      <w:r w:rsidRPr="00D379F3">
        <w:rPr>
          <w:rFonts w:ascii="Arial" w:hAnsi="Arial" w:cs="Arial"/>
          <w:sz w:val="20"/>
          <w:szCs w:val="20"/>
        </w:rPr>
        <w:t xml:space="preserve">potential for interference for the </w:t>
      </w:r>
      <w:r w:rsidR="00DC23D4" w:rsidRPr="004D3483">
        <w:rPr>
          <w:rFonts w:ascii="Arial" w:hAnsi="Arial" w:cs="Arial"/>
          <w:sz w:val="20"/>
          <w:szCs w:val="20"/>
        </w:rPr>
        <w:t>worst-case</w:t>
      </w:r>
      <w:r w:rsidRPr="00D379F3">
        <w:rPr>
          <w:rFonts w:ascii="Arial" w:hAnsi="Arial" w:cs="Arial"/>
          <w:sz w:val="20"/>
          <w:szCs w:val="20"/>
        </w:rPr>
        <w:t xml:space="preserve"> M.2059 or RTCA usage category 1, 2 or 3 RAs.</w:t>
      </w:r>
    </w:p>
    <w:p w14:paraId="5055CCA0" w14:textId="4F392081" w:rsidR="00364B72" w:rsidRPr="00D379F3" w:rsidRDefault="00364B72" w:rsidP="00D379F3">
      <w:pPr>
        <w:pStyle w:val="ListParagraph"/>
        <w:numPr>
          <w:ilvl w:val="0"/>
          <w:numId w:val="43"/>
        </w:numPr>
        <w:spacing w:after="200" w:line="276" w:lineRule="auto"/>
        <w:rPr>
          <w:rFonts w:ascii="Arial" w:hAnsi="Arial" w:cs="Arial"/>
          <w:sz w:val="20"/>
          <w:szCs w:val="20"/>
        </w:rPr>
      </w:pPr>
      <w:r w:rsidRPr="00D379F3">
        <w:rPr>
          <w:rFonts w:ascii="Arial" w:hAnsi="Arial" w:cs="Arial"/>
          <w:sz w:val="20"/>
          <w:szCs w:val="20"/>
        </w:rPr>
        <w:t xml:space="preserve">Modelled </w:t>
      </w:r>
      <w:r w:rsidR="00713A95">
        <w:rPr>
          <w:rFonts w:ascii="Arial" w:hAnsi="Arial" w:cs="Arial"/>
          <w:sz w:val="20"/>
          <w:szCs w:val="20"/>
        </w:rPr>
        <w:t>u</w:t>
      </w:r>
      <w:r w:rsidRPr="00D379F3">
        <w:rPr>
          <w:rFonts w:ascii="Arial" w:hAnsi="Arial" w:cs="Arial"/>
          <w:sz w:val="20"/>
          <w:szCs w:val="20"/>
        </w:rPr>
        <w:t xml:space="preserve">se of AAS for WBB deployments may significantly reduce </w:t>
      </w:r>
      <w:r w:rsidR="00713A95">
        <w:rPr>
          <w:rFonts w:ascii="Arial" w:hAnsi="Arial" w:cs="Arial"/>
          <w:sz w:val="20"/>
          <w:szCs w:val="20"/>
        </w:rPr>
        <w:t xml:space="preserve">or eliminate </w:t>
      </w:r>
      <w:r w:rsidRPr="00D379F3">
        <w:rPr>
          <w:rFonts w:ascii="Arial" w:hAnsi="Arial" w:cs="Arial"/>
          <w:sz w:val="20"/>
          <w:szCs w:val="20"/>
        </w:rPr>
        <w:t>the</w:t>
      </w:r>
      <w:r w:rsidR="003D7012">
        <w:rPr>
          <w:rFonts w:ascii="Arial" w:hAnsi="Arial" w:cs="Arial"/>
          <w:sz w:val="20"/>
          <w:szCs w:val="20"/>
        </w:rPr>
        <w:t xml:space="preserve"> theoretical</w:t>
      </w:r>
      <w:r w:rsidRPr="00D379F3">
        <w:rPr>
          <w:rFonts w:ascii="Arial" w:hAnsi="Arial" w:cs="Arial"/>
          <w:sz w:val="20"/>
          <w:szCs w:val="20"/>
        </w:rPr>
        <w:t xml:space="preserve"> potential for interference</w:t>
      </w:r>
      <w:r w:rsidR="0079709A" w:rsidRPr="00D379F3">
        <w:rPr>
          <w:rFonts w:ascii="Arial" w:hAnsi="Arial" w:cs="Arial"/>
          <w:sz w:val="20"/>
          <w:szCs w:val="20"/>
        </w:rPr>
        <w:t xml:space="preserve"> for the </w:t>
      </w:r>
      <w:r w:rsidR="00DC23D4" w:rsidRPr="004D3483">
        <w:rPr>
          <w:rFonts w:ascii="Arial" w:hAnsi="Arial" w:cs="Arial"/>
          <w:sz w:val="20"/>
          <w:szCs w:val="20"/>
        </w:rPr>
        <w:t>worst-case</w:t>
      </w:r>
      <w:r w:rsidR="0079709A" w:rsidRPr="00D379F3">
        <w:rPr>
          <w:rFonts w:ascii="Arial" w:hAnsi="Arial" w:cs="Arial"/>
          <w:sz w:val="20"/>
          <w:szCs w:val="20"/>
        </w:rPr>
        <w:t xml:space="preserve"> M.2059 or RTCA usage category 1 RAs</w:t>
      </w:r>
      <w:r w:rsidRPr="00D379F3">
        <w:rPr>
          <w:rFonts w:ascii="Arial" w:hAnsi="Arial" w:cs="Arial"/>
          <w:sz w:val="20"/>
          <w:szCs w:val="20"/>
        </w:rPr>
        <w:t>.</w:t>
      </w:r>
    </w:p>
    <w:p w14:paraId="069803D3" w14:textId="46F09E3F" w:rsidR="00364B72" w:rsidRDefault="00364B72" w:rsidP="00364B72">
      <w:pPr>
        <w:pStyle w:val="ListParagraph"/>
        <w:numPr>
          <w:ilvl w:val="0"/>
          <w:numId w:val="43"/>
        </w:numPr>
        <w:spacing w:after="200" w:line="276" w:lineRule="auto"/>
        <w:rPr>
          <w:rFonts w:ascii="Arial" w:hAnsi="Arial" w:cs="Arial"/>
          <w:sz w:val="20"/>
          <w:szCs w:val="20"/>
        </w:rPr>
      </w:pPr>
      <w:r w:rsidRPr="00D379F3">
        <w:rPr>
          <w:rFonts w:ascii="Arial" w:hAnsi="Arial" w:cs="Arial"/>
          <w:sz w:val="20"/>
          <w:szCs w:val="20"/>
        </w:rPr>
        <w:t>Studies are very sensitive to the assumed radio altimeter front</w:t>
      </w:r>
      <w:r w:rsidR="00927DD8">
        <w:rPr>
          <w:rFonts w:ascii="Arial" w:hAnsi="Arial" w:cs="Arial"/>
          <w:sz w:val="20"/>
          <w:szCs w:val="20"/>
        </w:rPr>
        <w:t>-</w:t>
      </w:r>
      <w:r w:rsidRPr="00D379F3">
        <w:rPr>
          <w:rFonts w:ascii="Arial" w:hAnsi="Arial" w:cs="Arial"/>
          <w:sz w:val="20"/>
          <w:szCs w:val="20"/>
        </w:rPr>
        <w:t>end filter and to the assumed vertical radiation pattern of WBB base stations.</w:t>
      </w:r>
    </w:p>
    <w:p w14:paraId="2CF02BDB" w14:textId="7A342187" w:rsidR="00EF5AD8" w:rsidRPr="00D379F3" w:rsidRDefault="00EF5AD8" w:rsidP="00D379F3">
      <w:pPr>
        <w:pStyle w:val="ListParagraph"/>
        <w:numPr>
          <w:ilvl w:val="0"/>
          <w:numId w:val="43"/>
        </w:numPr>
        <w:spacing w:after="200" w:line="276" w:lineRule="auto"/>
        <w:rPr>
          <w:rFonts w:ascii="Arial" w:hAnsi="Arial" w:cs="Arial"/>
          <w:sz w:val="20"/>
          <w:szCs w:val="20"/>
        </w:rPr>
      </w:pPr>
      <w:r>
        <w:rPr>
          <w:rFonts w:ascii="Arial" w:hAnsi="Arial" w:cs="Arial"/>
          <w:sz w:val="20"/>
          <w:szCs w:val="20"/>
        </w:rPr>
        <w:t xml:space="preserve">Existing base station deployments in 3575-3700 MHz have a low potential for interference </w:t>
      </w:r>
      <w:r w:rsidR="00713A95">
        <w:rPr>
          <w:rFonts w:ascii="Arial" w:hAnsi="Arial" w:cs="Arial"/>
          <w:sz w:val="20"/>
          <w:szCs w:val="20"/>
        </w:rPr>
        <w:t xml:space="preserve">if </w:t>
      </w:r>
      <w:r>
        <w:rPr>
          <w:rFonts w:ascii="Arial" w:hAnsi="Arial" w:cs="Arial"/>
          <w:sz w:val="20"/>
          <w:szCs w:val="20"/>
        </w:rPr>
        <w:t>modelled as ideal AAS systems.</w:t>
      </w:r>
    </w:p>
    <w:p w14:paraId="7A2993A6" w14:textId="6D8AE0CA" w:rsidR="00D93E64" w:rsidRDefault="00F1378B">
      <w:pPr>
        <w:pStyle w:val="Heading4"/>
      </w:pPr>
      <w:r>
        <w:t xml:space="preserve"> </w:t>
      </w:r>
      <w:r w:rsidR="00D93E64">
        <w:t>Limitations</w:t>
      </w:r>
    </w:p>
    <w:p w14:paraId="648100B0" w14:textId="176F3B68" w:rsidR="00F1378B" w:rsidRPr="004D3483" w:rsidRDefault="00F1378B" w:rsidP="00D379F3">
      <w:pPr>
        <w:pStyle w:val="Numberedparagraph"/>
      </w:pPr>
      <w:r>
        <w:t>The ACMA studies were limited to AAS systems scanning below the horizon with ideal M.2101 antenna patterns.</w:t>
      </w:r>
      <w:r w:rsidR="00954DA1">
        <w:t xml:space="preserve"> </w:t>
      </w:r>
      <w:r w:rsidR="00DC23D4">
        <w:t>Consequently,</w:t>
      </w:r>
      <w:r w:rsidR="00954DA1">
        <w:t xml:space="preserve"> they may not be representative for some cases which </w:t>
      </w:r>
      <w:r w:rsidR="00521365">
        <w:t>have</w:t>
      </w:r>
      <w:r w:rsidR="00954DA1">
        <w:t xml:space="preserve"> high side/grating lobes </w:t>
      </w:r>
      <w:r w:rsidR="00521365">
        <w:t>in the WBB antenna systems</w:t>
      </w:r>
      <w:r w:rsidR="00954DA1">
        <w:t>.</w:t>
      </w:r>
    </w:p>
    <w:p w14:paraId="29A5203D" w14:textId="37C61B12" w:rsidR="00681CCB" w:rsidRPr="002931DE" w:rsidRDefault="00681CCB" w:rsidP="002931DE">
      <w:pPr>
        <w:pStyle w:val="Heading3"/>
      </w:pPr>
      <w:r w:rsidRPr="002931DE">
        <w:t>International</w:t>
      </w:r>
    </w:p>
    <w:p w14:paraId="6F42D293" w14:textId="77777777" w:rsidR="00402560" w:rsidRPr="002931DE" w:rsidRDefault="00402560" w:rsidP="002931DE">
      <w:pPr>
        <w:pStyle w:val="Heading4"/>
      </w:pPr>
      <w:r w:rsidRPr="002931DE">
        <w:t>ICAO</w:t>
      </w:r>
    </w:p>
    <w:p w14:paraId="7195325B" w14:textId="4B9AC90F" w:rsidR="00402560" w:rsidRPr="004D3483" w:rsidRDefault="00402560" w:rsidP="00D379F3">
      <w:pPr>
        <w:pStyle w:val="Numberedparagraph"/>
      </w:pPr>
      <w:r>
        <w:t xml:space="preserve">An </w:t>
      </w:r>
      <w:hyperlink r:id="rId55" w:history="1">
        <w:r w:rsidRPr="00193983">
          <w:rPr>
            <w:rStyle w:val="Hyperlink"/>
          </w:rPr>
          <w:t>input</w:t>
        </w:r>
      </w:hyperlink>
      <w:r>
        <w:t xml:space="preserve"> into the ICAO ACP-WG-F30 meeting of March 2014 was a </w:t>
      </w:r>
      <w:r w:rsidRPr="00B87D00">
        <w:t>Preliminary Study into Radio Altimeter Adjacent Band Compatibility</w:t>
      </w:r>
      <w:r>
        <w:t xml:space="preserve"> concerning WRC-15 agenda item 1.1.</w:t>
      </w:r>
    </w:p>
    <w:p w14:paraId="03B9CF10" w14:textId="77777777" w:rsidR="00402560" w:rsidRDefault="00402560" w:rsidP="00402560">
      <w:pPr>
        <w:pStyle w:val="Heading4"/>
      </w:pPr>
      <w:r>
        <w:t>Summary</w:t>
      </w:r>
    </w:p>
    <w:p w14:paraId="0A4951FD" w14:textId="77777777" w:rsidR="00402560" w:rsidRDefault="00402560" w:rsidP="00D379F3">
      <w:pPr>
        <w:pStyle w:val="Numberedparagraph"/>
      </w:pPr>
      <w:r>
        <w:t xml:space="preserve">The </w:t>
      </w:r>
      <w:hyperlink r:id="rId56" w:history="1">
        <w:r w:rsidRPr="00D379F3">
          <w:t>study</w:t>
        </w:r>
      </w:hyperlink>
      <w:r>
        <w:t xml:space="preserve">, using the RA parameters from the </w:t>
      </w:r>
      <w:r w:rsidRPr="00B87D00">
        <w:t>c.</w:t>
      </w:r>
      <w:r w:rsidRPr="00B87D00">
        <w:tab/>
        <w:t xml:space="preserve">ITU-R Recommendation </w:t>
      </w:r>
      <w:hyperlink r:id="rId57" w:history="1">
        <w:r w:rsidRPr="00D379F3">
          <w:t>M.5_BL_6</w:t>
        </w:r>
      </w:hyperlink>
      <w:r>
        <w:t>, which was a pre-published version of M.2059-0, examined the false altitude detection mechanism from an example non-AAS  LTE base station and UE under a CAT-III landing flight path.</w:t>
      </w:r>
    </w:p>
    <w:p w14:paraId="39DAFABA" w14:textId="77777777" w:rsidR="00402560" w:rsidRDefault="00402560" w:rsidP="00D379F3">
      <w:pPr>
        <w:pStyle w:val="Numberedparagraph"/>
      </w:pPr>
      <w:r>
        <w:t>It concluded that:</w:t>
      </w:r>
    </w:p>
    <w:p w14:paraId="20D184AB" w14:textId="77777777" w:rsidR="00402560" w:rsidRPr="00E04320" w:rsidRDefault="00402560" w:rsidP="00402560">
      <w:pPr>
        <w:rPr>
          <w:sz w:val="18"/>
          <w:szCs w:val="18"/>
        </w:rPr>
      </w:pPr>
      <w:r>
        <w:t>“</w:t>
      </w:r>
      <w:r w:rsidRPr="00E04320">
        <w:rPr>
          <w:sz w:val="18"/>
          <w:szCs w:val="18"/>
        </w:rPr>
        <w:t xml:space="preserve">Although this preliminary study using a basic model to simulate an aircraft in one of its most critical phases of flight, the power levels received at the radio altimeter receiver are higher than desired.  If an IMT allocation was made in the adjacent frequency band to the radio altimeters, </w:t>
      </w:r>
      <w:r w:rsidRPr="00E04320">
        <w:rPr>
          <w:sz w:val="18"/>
          <w:szCs w:val="18"/>
        </w:rPr>
        <w:lastRenderedPageBreak/>
        <w:t>there is the potential requirement for nearly 64 dB of OOB isolation at the band edge to properly protection the receiver from false altitude errors.</w:t>
      </w:r>
      <w:r>
        <w:rPr>
          <w:sz w:val="18"/>
          <w:szCs w:val="18"/>
        </w:rPr>
        <w:t>”</w:t>
      </w:r>
    </w:p>
    <w:p w14:paraId="20DB5875" w14:textId="74A4D1F0" w:rsidR="00402560" w:rsidRPr="00D93E64" w:rsidRDefault="00064B4E" w:rsidP="00402560">
      <w:pPr>
        <w:pStyle w:val="Heading4"/>
      </w:pPr>
      <w:r>
        <w:t>O</w:t>
      </w:r>
      <w:r w:rsidR="00402560">
        <w:t>bservation</w:t>
      </w:r>
      <w:r>
        <w:t>s</w:t>
      </w:r>
    </w:p>
    <w:p w14:paraId="19DD4D29" w14:textId="77777777" w:rsidR="00402560" w:rsidRDefault="00402560" w:rsidP="00D379F3">
      <w:pPr>
        <w:pStyle w:val="Numberedparagraph"/>
      </w:pPr>
      <w:r>
        <w:t>The method does not consider any RA receiver front-end filtering. For the false altitude report mechanism, this would be correct, but that mechanism appears to be incorrectly assessed.</w:t>
      </w:r>
    </w:p>
    <w:p w14:paraId="59E5CA67" w14:textId="77777777" w:rsidR="00402560" w:rsidRDefault="00402560" w:rsidP="00D379F3">
      <w:pPr>
        <w:pStyle w:val="Numberedparagraph"/>
      </w:pPr>
      <w:r>
        <w:t xml:space="preserve">The method appears to incorrectly use the Base station/UE power, rather than the unwanted emissions falling into the RA bandwidth and does not appear to account for the RA chirp bandwidth, when determining if the power at the RA detector is above the false altitude detection level.  The calculation then appears to be valid only for determining the overload case and, consequently, the RA overload figure should instead be used as the threshold. For the worst-case RA A2 this would be -56dBm total power. The maximum power received from the BS was determined to be </w:t>
      </w:r>
      <w:r>
        <w:noBreakHyphen/>
        <w:t>97.6dBm/100 Hz or -47.6 dBm total BS power.  This is less than 10dB more than the RA overload level (ignoring any possible RA receiver front-end filtering).</w:t>
      </w:r>
    </w:p>
    <w:p w14:paraId="32DEE30D" w14:textId="2454E656" w:rsidR="00FE1F1E" w:rsidRDefault="00FE1F1E" w:rsidP="002931DE">
      <w:pPr>
        <w:pStyle w:val="Heading4"/>
      </w:pPr>
      <w:r>
        <w:t>Ofcom</w:t>
      </w:r>
    </w:p>
    <w:p w14:paraId="447F4F8A" w14:textId="4418A94E" w:rsidR="00A76A68" w:rsidRPr="004D3483" w:rsidRDefault="00A76A68" w:rsidP="00D379F3">
      <w:pPr>
        <w:pStyle w:val="Numberedparagraph"/>
      </w:pPr>
      <w:r w:rsidRPr="00444F6D">
        <w:t xml:space="preserve">Ofcom performed a study as part of their planning of </w:t>
      </w:r>
      <w:r w:rsidRPr="0011027F">
        <w:t>their “</w:t>
      </w:r>
      <w:hyperlink r:id="rId58" w:history="1">
        <w:r w:rsidRPr="00D379F3">
          <w:t>Enabling opportunities for innovation Shared access to spectrum supporting mobile technology</w:t>
        </w:r>
      </w:hyperlink>
      <w:r w:rsidR="00B72A1A" w:rsidRPr="0011027F">
        <w:t xml:space="preserve">” </w:t>
      </w:r>
      <w:hyperlink r:id="rId59" w:history="1">
        <w:r w:rsidR="00B72A1A" w:rsidRPr="002D2BD3">
          <w:rPr>
            <w:rStyle w:val="Hyperlink"/>
          </w:rPr>
          <w:t>consultation</w:t>
        </w:r>
      </w:hyperlink>
      <w:r w:rsidR="00B72A1A" w:rsidRPr="0011027F">
        <w:t xml:space="preserve"> from 2018. We previously examined this study as part of an international study scan in our initial </w:t>
      </w:r>
      <w:hyperlink r:id="rId60" w:history="1">
        <w:r w:rsidR="00B72A1A" w:rsidRPr="00D379F3">
          <w:t>Wireless broadband and radio altimeter compatibility study spectrum planning paper</w:t>
        </w:r>
      </w:hyperlink>
      <w:r w:rsidR="00B72A1A">
        <w:t xml:space="preserve"> from 2020.</w:t>
      </w:r>
    </w:p>
    <w:p w14:paraId="2BB94A4F" w14:textId="6171DA9C" w:rsidR="00FE1F1E" w:rsidRDefault="00FE1F1E" w:rsidP="00FE1F1E">
      <w:pPr>
        <w:pStyle w:val="Heading4"/>
      </w:pPr>
      <w:r>
        <w:t>Summary</w:t>
      </w:r>
    </w:p>
    <w:p w14:paraId="41BEDCF0" w14:textId="78FCBB61" w:rsidR="00B72A1A" w:rsidRDefault="00B72A1A" w:rsidP="00D379F3">
      <w:pPr>
        <w:pStyle w:val="Numberedparagraph"/>
      </w:pPr>
      <w:r>
        <w:t>The study examined the overload, receiver desensitisation and false altitude detection mechanisms in a geometry very similar to the ICAO study, using non-AAS WBB parameters suitable for the Ofcom plan for low and medium power WBB deployments.  It concluded that for their intended deployments, the risk was very low.</w:t>
      </w:r>
    </w:p>
    <w:p w14:paraId="41038C67" w14:textId="7216D69A" w:rsidR="00FE1F1E" w:rsidRPr="00D93E64" w:rsidRDefault="00064B4E" w:rsidP="00FE1F1E">
      <w:pPr>
        <w:pStyle w:val="Heading4"/>
      </w:pPr>
      <w:r>
        <w:t>O</w:t>
      </w:r>
      <w:r w:rsidR="00FE1F1E">
        <w:t>bservation</w:t>
      </w:r>
      <w:r>
        <w:t>s</w:t>
      </w:r>
    </w:p>
    <w:p w14:paraId="3F4123B4" w14:textId="7133B9DE" w:rsidR="00FE1F1E" w:rsidRDefault="00B72A1A" w:rsidP="00D379F3">
      <w:pPr>
        <w:pStyle w:val="Numberedparagraph"/>
      </w:pPr>
      <w:r>
        <w:t>We observed in our 2020 study that “</w:t>
      </w:r>
      <w:r w:rsidRPr="00B72A1A">
        <w:t xml:space="preserve">it can be expected that the ACMA study will show a higher likelihood of interference to </w:t>
      </w:r>
      <w:r w:rsidR="00D4562C">
        <w:t>RAs</w:t>
      </w:r>
      <w:r w:rsidRPr="00B72A1A">
        <w:t xml:space="preserve"> from WBB than the Ofcom study. This is largely due to the higher BS power levels and higher BS spurious levels assumed.</w:t>
      </w:r>
      <w:r>
        <w:t>”</w:t>
      </w:r>
    </w:p>
    <w:p w14:paraId="1F1DF800" w14:textId="61326BC8" w:rsidR="007233B3" w:rsidRDefault="007233B3" w:rsidP="007233B3">
      <w:pPr>
        <w:pStyle w:val="Heading4"/>
      </w:pPr>
      <w:r>
        <w:t xml:space="preserve">Subsequent UK </w:t>
      </w:r>
      <w:r w:rsidR="00B4357B">
        <w:t xml:space="preserve">CAA </w:t>
      </w:r>
      <w:r>
        <w:t>Study</w:t>
      </w:r>
    </w:p>
    <w:p w14:paraId="5BBFCB8D" w14:textId="6063E99E" w:rsidR="007233B3" w:rsidRPr="009F4670" w:rsidRDefault="007233B3" w:rsidP="00D379F3">
      <w:pPr>
        <w:pStyle w:val="Numberedparagraph"/>
      </w:pPr>
      <w:r w:rsidRPr="00444F6D">
        <w:t xml:space="preserve">The UK also provided an </w:t>
      </w:r>
      <w:hyperlink r:id="rId61" w:history="1">
        <w:r w:rsidRPr="007F18DD">
          <w:rPr>
            <w:rStyle w:val="Hyperlink"/>
          </w:rPr>
          <w:t>input</w:t>
        </w:r>
      </w:hyperlink>
      <w:r w:rsidRPr="00D379F3">
        <w:t xml:space="preserve"> into the ICAO FSMP WG11 meeting, </w:t>
      </w:r>
      <w:r w:rsidR="007E0790" w:rsidRPr="00D379F3">
        <w:t xml:space="preserve">from John Mettrop of the UK Civil Aviation Authority, </w:t>
      </w:r>
      <w:r w:rsidRPr="00D379F3">
        <w:t>concerning the UK medium power and low</w:t>
      </w:r>
      <w:r>
        <w:t xml:space="preserve"> power planned deployments in 3.6-3.8 GHz and 3.8-4.2 GHz ranges respectively.</w:t>
      </w:r>
    </w:p>
    <w:p w14:paraId="67F0B8DC" w14:textId="77777777" w:rsidR="007233B3" w:rsidRDefault="007233B3" w:rsidP="007233B3">
      <w:pPr>
        <w:pStyle w:val="Heading4"/>
      </w:pPr>
      <w:r>
        <w:t>Summary</w:t>
      </w:r>
    </w:p>
    <w:p w14:paraId="18F0CB8E" w14:textId="7A1404F2" w:rsidR="007233B3" w:rsidRDefault="007233B3" w:rsidP="00D379F3">
      <w:pPr>
        <w:pStyle w:val="Numberedparagraph"/>
      </w:pPr>
      <w:r>
        <w:t xml:space="preserve">The study </w:t>
      </w:r>
      <w:r w:rsidR="007E0790">
        <w:t>determined minimum separation distances from medium or low power typical deployments but with some flexes to some parameters such as different RA front-end roll-off masks, some aggregate cases, varying aircraft pitch/roll and for M.2059 altimeter A1 vs A3.</w:t>
      </w:r>
    </w:p>
    <w:p w14:paraId="22A09F88" w14:textId="63890DB9" w:rsidR="007E0790" w:rsidRDefault="007E0790" w:rsidP="00D379F3">
      <w:pPr>
        <w:pStyle w:val="Numberedparagraph"/>
      </w:pPr>
      <w:r>
        <w:t>The study made the following conclusions</w:t>
      </w:r>
      <w:r w:rsidR="00C41D40">
        <w:t xml:space="preserve"> (verbatim)</w:t>
      </w:r>
      <w:r>
        <w:t>:</w:t>
      </w:r>
    </w:p>
    <w:p w14:paraId="71AE1C75" w14:textId="6141C880" w:rsidR="007E0790" w:rsidRPr="009C479C" w:rsidRDefault="007E0790" w:rsidP="038DD769">
      <w:r w:rsidRPr="009C479C">
        <w:t>1</w:t>
      </w:r>
      <w:r>
        <w:tab/>
      </w:r>
      <w:r w:rsidRPr="009C479C">
        <w:t xml:space="preserve">This study would indicate that 5G mobile base stations operating below 3.8 GHz, especially if they use active antenna systems, which have not been considered in this study, pose a viable interference threat.  However, due to the anonymisation of the </w:t>
      </w:r>
      <w:r w:rsidR="00C41D40" w:rsidRPr="009C479C">
        <w:t>data provided</w:t>
      </w:r>
      <w:r w:rsidRPr="009C479C">
        <w:t xml:space="preserve"> in the RTCA study, which is the only one currently available, the number of radio altimeters affected and the </w:t>
      </w:r>
      <w:r w:rsidR="00C41D40" w:rsidRPr="009C479C">
        <w:t>degree to</w:t>
      </w:r>
      <w:r w:rsidRPr="009C479C">
        <w:t xml:space="preserve"> which they are affected cannot be assessed</w:t>
      </w:r>
    </w:p>
    <w:p w14:paraId="3F8695FC" w14:textId="58658360" w:rsidR="007E0790" w:rsidRDefault="007E0790" w:rsidP="007E0790">
      <w:r w:rsidRPr="009C479C">
        <w:lastRenderedPageBreak/>
        <w:t>2</w:t>
      </w:r>
      <w:r>
        <w:tab/>
      </w:r>
      <w:r w:rsidRPr="009C479C">
        <w:t>For the UK situation with respect to local fixed wireless access systems operating in the frequency band 3.8-4.2 GHz, especially given the restriction to rural areas and considering practical separation distances it is unlikely to be a problem for aircraft landing at an airfield.  However there may be an issue for helicopters, especially those used by the emergency services that could land closer to a mobile mask than would occur for fixed wing aircraft.</w:t>
      </w:r>
    </w:p>
    <w:p w14:paraId="2934CA87" w14:textId="1434F29B" w:rsidR="007E0790" w:rsidRDefault="007E0790" w:rsidP="007E0790">
      <w:r>
        <w:t>3</w:t>
      </w:r>
      <w:r>
        <w:tab/>
      </w:r>
      <w:r w:rsidRPr="009C479C">
        <w:t>In order to quantify the extent of the problem results are required for individual radio altimeters.  Once quantified then a solution(s) can be determined.</w:t>
      </w:r>
    </w:p>
    <w:p w14:paraId="694A58AF" w14:textId="4F8DC116" w:rsidR="007E0790" w:rsidRPr="009C479C" w:rsidRDefault="007E0790" w:rsidP="038DD769">
      <w:r>
        <w:t>4</w:t>
      </w:r>
      <w:r>
        <w:tab/>
      </w:r>
      <w:r w:rsidRPr="009C479C">
        <w:t>Given the size of the issue at 3.6-3.8 GHz in comparison to that at 3.8-4.2 GHz it would be reasonable to assume that any solution for the 3.6-3.8 GHz will also resolve the issue at 3.8-4.2 GHz</w:t>
      </w:r>
    </w:p>
    <w:p w14:paraId="6384136F" w14:textId="735A2B26" w:rsidR="007E0790" w:rsidRDefault="007E0790" w:rsidP="007E0790">
      <w:r>
        <w:t>5</w:t>
      </w:r>
      <w:r>
        <w:tab/>
        <w:t>Noting that 5G or other similar systems, including one deployed at London Heathrow, have apparently been operating without interference being detected then the reason why there has not been any interference detected needs to be investigated in light of the results of this study.</w:t>
      </w:r>
    </w:p>
    <w:p w14:paraId="68BDD52F" w14:textId="686E7773" w:rsidR="007233B3" w:rsidRPr="00D93E64" w:rsidRDefault="00064B4E" w:rsidP="007233B3">
      <w:pPr>
        <w:pStyle w:val="Heading4"/>
      </w:pPr>
      <w:r>
        <w:t>O</w:t>
      </w:r>
      <w:r w:rsidR="007233B3">
        <w:t>bservation</w:t>
      </w:r>
      <w:r w:rsidR="004D4A52">
        <w:t>s</w:t>
      </w:r>
    </w:p>
    <w:p w14:paraId="35348451" w14:textId="6B6EDCFE" w:rsidR="007233B3" w:rsidRDefault="007E0790" w:rsidP="00D379F3">
      <w:pPr>
        <w:pStyle w:val="Numberedparagraph"/>
      </w:pPr>
      <w:r>
        <w:t>Conclusion 1 notes that, because of modelling difficulties, AAS was not studied, yet concluded they should be worse</w:t>
      </w:r>
      <w:r w:rsidR="00B4357B">
        <w:t>, without any supporting evidence.</w:t>
      </w:r>
    </w:p>
    <w:p w14:paraId="1156FC53" w14:textId="20923AA0" w:rsidR="00B4357B" w:rsidRDefault="00B4357B" w:rsidP="00D379F3">
      <w:pPr>
        <w:pStyle w:val="Numberedparagraph"/>
      </w:pPr>
      <w:r>
        <w:t>The aviation industry “6dB safety factor” was used in the study.</w:t>
      </w:r>
    </w:p>
    <w:p w14:paraId="24DFDCC0" w14:textId="420336CB" w:rsidR="00C55A8F" w:rsidRDefault="00C55A8F" w:rsidP="00D379F3">
      <w:pPr>
        <w:pStyle w:val="Numberedparagraph"/>
      </w:pPr>
      <w:r>
        <w:t>The conclusions note the contrast between theory and practice in the UK context.</w:t>
      </w:r>
    </w:p>
    <w:p w14:paraId="187AFDD6" w14:textId="77777777" w:rsidR="00315DFE" w:rsidRDefault="00315DFE" w:rsidP="00315DFE">
      <w:pPr>
        <w:pStyle w:val="Heading4"/>
      </w:pPr>
      <w:bookmarkStart w:id="27" w:name="_Ref106284567"/>
      <w:r>
        <w:t>RTCA</w:t>
      </w:r>
      <w:bookmarkEnd w:id="27"/>
    </w:p>
    <w:p w14:paraId="4168C2F9" w14:textId="77777777" w:rsidR="00315DFE" w:rsidRPr="004D3483" w:rsidRDefault="00315DFE" w:rsidP="00315DFE">
      <w:pPr>
        <w:pStyle w:val="Numberedparagraph"/>
      </w:pPr>
      <w:r>
        <w:t xml:space="preserve">The RTCA released a detailed </w:t>
      </w:r>
      <w:hyperlink r:id="rId62" w:history="1">
        <w:r w:rsidRPr="00077BB0">
          <w:rPr>
            <w:color w:val="0070C0"/>
            <w:u w:val="single"/>
          </w:rPr>
          <w:t>study</w:t>
        </w:r>
      </w:hyperlink>
      <w:r w:rsidRPr="00077BB0">
        <w:rPr>
          <w:color w:val="0070C0"/>
        </w:rPr>
        <w:t xml:space="preserve"> </w:t>
      </w:r>
      <w:r>
        <w:t xml:space="preserve">as part of sub-committee </w:t>
      </w:r>
      <w:hyperlink r:id="rId63" w:history="1">
        <w:r w:rsidRPr="00D379F3">
          <w:t>239</w:t>
        </w:r>
      </w:hyperlink>
      <w:r>
        <w:t xml:space="preserve"> (Low range radar altimeter). This included laboratory measurements of RAs performed by the Aerospace vehicle systems institute (</w:t>
      </w:r>
      <w:hyperlink r:id="rId64" w:history="1">
        <w:r w:rsidRPr="00D379F3">
          <w:t>AVSI</w:t>
        </w:r>
      </w:hyperlink>
      <w:r>
        <w:t xml:space="preserve">). Subsequent to the release of the RTCA study, the AVSI conducted additional measurements, releasing them in stages with </w:t>
      </w:r>
      <w:hyperlink r:id="rId65" w:history="1">
        <w:r w:rsidRPr="00077BB0">
          <w:rPr>
            <w:color w:val="0070C0"/>
            <w:u w:val="single"/>
          </w:rPr>
          <w:t>volume i and ii</w:t>
        </w:r>
      </w:hyperlink>
      <w:r w:rsidRPr="00077BB0">
        <w:rPr>
          <w:u w:val="single"/>
        </w:rPr>
        <w:t xml:space="preserve"> </w:t>
      </w:r>
      <w:r>
        <w:t xml:space="preserve">then </w:t>
      </w:r>
      <w:hyperlink r:id="rId66" w:history="1">
        <w:r w:rsidRPr="00077BB0">
          <w:rPr>
            <w:color w:val="0070C0"/>
            <w:u w:val="single"/>
          </w:rPr>
          <w:t>volume iii</w:t>
        </w:r>
      </w:hyperlink>
      <w:r w:rsidRPr="00077BB0">
        <w:rPr>
          <w:color w:val="0070C0"/>
          <w:u w:val="single"/>
        </w:rPr>
        <w:t>.</w:t>
      </w:r>
    </w:p>
    <w:p w14:paraId="6B0CA831" w14:textId="77777777" w:rsidR="00315DFE" w:rsidRDefault="00315DFE" w:rsidP="00315DFE">
      <w:pPr>
        <w:pStyle w:val="Heading4"/>
      </w:pPr>
      <w:r>
        <w:t>Summary</w:t>
      </w:r>
    </w:p>
    <w:p w14:paraId="5F9D428E" w14:textId="77777777" w:rsidR="00315DFE" w:rsidRDefault="00315DFE" w:rsidP="00315DFE">
      <w:pPr>
        <w:pStyle w:val="Numberedparagraph"/>
      </w:pPr>
      <w:r>
        <w:t>Based on the methodology and assumptions made, the RTCA concluded that:</w:t>
      </w:r>
    </w:p>
    <w:p w14:paraId="2F0F2B03" w14:textId="77777777" w:rsidR="00315DFE" w:rsidRPr="004D3483" w:rsidRDefault="00315DFE" w:rsidP="00315DFE">
      <w:pPr>
        <w:pStyle w:val="Numberedparagraph"/>
      </w:pPr>
      <w:r>
        <w:t>“The results presented in this report reveal a major risk that 5G telecommunications systems in the 3.7–3.98 GHz band will cause harmful interference to radar altimeters on all types of civil aircraft—including commercial transport airplanes; business, regional, and general aviation airplanes; and both transport and general aviation helicopters. The results of the study performed clearly indicate that this risk is widespread and has the potential for broad impacts to aviation operations in the United States, including the possibility of catastrophic failures leading to multiple fatalities, in the absence of appropriate mitigations. The extent of the RF interference is summarized by the worst-case exceedance of the safe interference limit of radar altimeters by expected 5G signals in the 3.7–3.98 GHz band: 14 dB for commercial transport airplanes (as shown in Figure 10-4), 48 dB for business, regional, and general aviation airplanes (as shown in Figure 10-12), and 45 dB for helicopters (as shown in Figure 10-16). Further, the impacts are not only limited to the intentional emissions from 5G systems in the 3.7–3.98 GHz band, but also the spurious emissions from such systems within the protected 4.2–4.4 GHz radar altimeter band directly. In this latter case, the worstcase exceedance of the safe interference limit is 28 dB for business, regional, and general aviation airplanes (as shown in Figure 10-25), and 12 dB for helicopters (as shown in Figure 10-29).</w:t>
      </w:r>
    </w:p>
    <w:p w14:paraId="73F1DB5E" w14:textId="77777777" w:rsidR="00315DFE" w:rsidRDefault="00315DFE" w:rsidP="00315DFE">
      <w:pPr>
        <w:pStyle w:val="Heading4"/>
      </w:pPr>
      <w:r>
        <w:t>Observations</w:t>
      </w:r>
    </w:p>
    <w:p w14:paraId="207997B7" w14:textId="77777777" w:rsidR="00315DFE" w:rsidRDefault="00315DFE" w:rsidP="00315DFE">
      <w:pPr>
        <w:pStyle w:val="Numberedparagraph"/>
      </w:pPr>
      <w:r>
        <w:lastRenderedPageBreak/>
        <w:t xml:space="preserve">The ACMA previously provide some comments on the report with the release of the </w:t>
      </w:r>
      <w:hyperlink r:id="rId67" w:history="1">
        <w:r w:rsidRPr="00D379F3">
          <w:t>3700-4200 MHz Outcomes paper</w:t>
        </w:r>
      </w:hyperlink>
      <w:r>
        <w:t>:</w:t>
      </w:r>
    </w:p>
    <w:p w14:paraId="73BE16FA" w14:textId="77777777" w:rsidR="00315DFE" w:rsidRDefault="00315DFE" w:rsidP="00315DFE">
      <w:pPr>
        <w:pStyle w:val="Numberedparagraph"/>
      </w:pPr>
      <w:r>
        <w:t>“The report uses similar, but more comprehensive, methodologies to those in the ACMA study and used measured radio altimeter parameters as tested by the aerospace vehicle systems institute (AVSI). The following observations about the RTCA report are made:</w:t>
      </w:r>
    </w:p>
    <w:p w14:paraId="5E846A4E" w14:textId="77777777" w:rsidR="00315DFE" w:rsidRDefault="00315DFE" w:rsidP="00315DFE">
      <w:r>
        <w:t>&gt; The Interference Tolerance Masks (ITM) determined in the RTCA analysis uses a minimum ground reflectivity of 0.01, based on a minimum testing performance standard under ED-30. The ACMA study used 3.16 based on representative conditions in Australia (a 25 dB difference). Using a very low reflectivity will result in a higher estimated potential for interference. The RTCA/AVSI view is that the altimeters should work (and be protected) in the worst case.</w:t>
      </w:r>
    </w:p>
    <w:p w14:paraId="18EF2B59" w14:textId="77777777" w:rsidR="00315DFE" w:rsidRDefault="00315DFE" w:rsidP="00315DFE">
      <w:r>
        <w:t>&gt; The ITMs used the most conservative of each parameter from any of the set of radio altimeters identified as being applicable for each specific scenario/usage category being analysed.</w:t>
      </w:r>
    </w:p>
    <w:p w14:paraId="2A5EB639" w14:textId="77777777" w:rsidR="00315DFE" w:rsidRDefault="00315DFE" w:rsidP="00315DFE">
      <w:r>
        <w:t>&gt; An extra margin of 6 dB is used in the radio altimeter laboratory tests to develop the ITMs to account for testing and advised product variations, rather than testing multiple samples of each radio altimeter to obtain a parameter distribution.</w:t>
      </w:r>
    </w:p>
    <w:p w14:paraId="0E8167BA" w14:textId="77777777" w:rsidR="00315DFE" w:rsidRDefault="00315DFE" w:rsidP="00315DFE">
      <w:r>
        <w:t>&gt; An additional 6 dB ‘aviation safety margin’ is also considered and presented in the overall results. Its application depends on the determined safety criticality of each analysed scenario.</w:t>
      </w:r>
    </w:p>
    <w:p w14:paraId="1574F4D5" w14:textId="77777777" w:rsidR="00315DFE" w:rsidRPr="00466B08" w:rsidRDefault="00315DFE" w:rsidP="00315DFE">
      <w:r>
        <w:t>For many scenarios then, the RTCA study appears conservative compared with median expectations.”</w:t>
      </w:r>
    </w:p>
    <w:p w14:paraId="1833DC56" w14:textId="3DE7A03F" w:rsidR="00FE1F1E" w:rsidRDefault="00FE1F1E" w:rsidP="00FE1F1E">
      <w:pPr>
        <w:pStyle w:val="Heading4"/>
      </w:pPr>
      <w:r>
        <w:t>Japan</w:t>
      </w:r>
      <w:r w:rsidR="00A55008">
        <w:t xml:space="preserve"> MIC study</w:t>
      </w:r>
    </w:p>
    <w:p w14:paraId="04BF03F8" w14:textId="6F431B28" w:rsidR="007945AF" w:rsidRDefault="00B72A1A" w:rsidP="00D379F3">
      <w:pPr>
        <w:pStyle w:val="Numberedparagraph"/>
      </w:pPr>
      <w:r>
        <w:t xml:space="preserve">The MIC </w:t>
      </w:r>
      <w:r w:rsidR="007945AF">
        <w:t xml:space="preserve">in Japan conducted a study in support of their replanning of 3700-4200 MHz.  An English language </w:t>
      </w:r>
      <w:hyperlink r:id="rId68" w:history="1">
        <w:r w:rsidR="007945AF" w:rsidRPr="00D379F3">
          <w:t>summary</w:t>
        </w:r>
      </w:hyperlink>
      <w:r w:rsidR="007945AF">
        <w:t xml:space="preserve"> was provided as an input document to the ICAO FSMP WG/7 meeting in 2018. </w:t>
      </w:r>
      <w:r w:rsidR="00CE24A7">
        <w:t>Other relevant sources for the study are:</w:t>
      </w:r>
    </w:p>
    <w:p w14:paraId="07705871" w14:textId="77777777" w:rsidR="00CE24A7" w:rsidRDefault="009C479C" w:rsidP="00CE24A7">
      <w:pPr>
        <w:pStyle w:val="Bulletlevel1"/>
      </w:pPr>
      <w:hyperlink r:id="rId69" w:history="1">
        <w:r w:rsidR="00CE24A7" w:rsidRPr="00C56C68">
          <w:rPr>
            <w:rStyle w:val="Hyperlink"/>
          </w:rPr>
          <w:t>The compatibility study between 5G base stations and radio altimeters in Japan and update of the result of measurement campaign</w:t>
        </w:r>
      </w:hyperlink>
    </w:p>
    <w:p w14:paraId="7BFDA1B7" w14:textId="77777777" w:rsidR="00CE24A7" w:rsidRDefault="009C479C" w:rsidP="00CE24A7">
      <w:pPr>
        <w:pStyle w:val="Bulletlevel1"/>
      </w:pPr>
      <w:hyperlink r:id="rId70" w:history="1">
        <w:r w:rsidR="00CE24A7">
          <w:rPr>
            <w:rStyle w:val="Hyperlink"/>
          </w:rPr>
          <w:t>01.pdf (soumu.go.jp)</w:t>
        </w:r>
      </w:hyperlink>
      <w:r w:rsidR="00CE24A7">
        <w:t xml:space="preserve"> page 12</w:t>
      </w:r>
    </w:p>
    <w:p w14:paraId="4C31F24D" w14:textId="77777777" w:rsidR="00CE24A7" w:rsidRDefault="009C479C" w:rsidP="00CE24A7">
      <w:pPr>
        <w:pStyle w:val="Bulletlevel1"/>
      </w:pPr>
      <w:hyperlink r:id="rId71" w:history="1">
        <w:r w:rsidR="00CE24A7" w:rsidRPr="00666633">
          <w:rPr>
            <w:rStyle w:val="Hyperlink"/>
          </w:rPr>
          <w:t>https://www.5gamericas.org/wp-content/uploads/2021/07/Mid-Band-Spectrum-and-the-Co-Existence-with-Radio-Altimeters.pdf</w:t>
        </w:r>
      </w:hyperlink>
    </w:p>
    <w:p w14:paraId="33294186" w14:textId="77777777" w:rsidR="00CE24A7" w:rsidRDefault="009C479C" w:rsidP="00CE24A7">
      <w:pPr>
        <w:pStyle w:val="ListBullet"/>
      </w:pPr>
      <w:hyperlink r:id="rId72" w:history="1">
        <w:r w:rsidR="00CE24A7" w:rsidRPr="00666633">
          <w:rPr>
            <w:rStyle w:val="Hyperlink"/>
          </w:rPr>
          <w:t>https://www.soumu.go.jp/main_content/000582446.pdf</w:t>
        </w:r>
      </w:hyperlink>
      <w:r w:rsidR="00CE24A7">
        <w:t xml:space="preserve"> (in Japanese)</w:t>
      </w:r>
    </w:p>
    <w:p w14:paraId="1898881E" w14:textId="6AC3B2E9" w:rsidR="00FE1F1E" w:rsidRDefault="00FE1F1E" w:rsidP="00FE1F1E">
      <w:pPr>
        <w:pStyle w:val="Heading4"/>
      </w:pPr>
      <w:r>
        <w:t>Summary</w:t>
      </w:r>
    </w:p>
    <w:p w14:paraId="70B3979E" w14:textId="751466E1" w:rsidR="00235CBF" w:rsidRDefault="00235CBF" w:rsidP="00D379F3">
      <w:pPr>
        <w:pStyle w:val="Numberedparagraph"/>
      </w:pPr>
      <w:r>
        <w:t xml:space="preserve">The study examined </w:t>
      </w:r>
      <w:r w:rsidR="00BB68AB">
        <w:t>several</w:t>
      </w:r>
      <w:r>
        <w:t xml:space="preserve"> scenarios</w:t>
      </w:r>
      <w:r w:rsidR="00CE24A7">
        <w:t xml:space="preserve"> using radio altimeter parameters from ITU-R M.2059</w:t>
      </w:r>
      <w:r w:rsidR="0076779A">
        <w:t xml:space="preserve"> </w:t>
      </w:r>
      <w:r w:rsidR="00CE24A7">
        <w:t xml:space="preserve">and considered different base station densities in different areas </w:t>
      </w:r>
      <w:r w:rsidR="0076779A">
        <w:t xml:space="preserve">(e.g. urban, suburban, rural) </w:t>
      </w:r>
      <w:r w:rsidR="00CE24A7">
        <w:t>and used a statistically derived “beam forming antenna envelope” to consider potential interference from base stations.</w:t>
      </w:r>
    </w:p>
    <w:p w14:paraId="612ACF78" w14:textId="70E97614" w:rsidR="00FE1F1E" w:rsidRPr="00D93E64" w:rsidRDefault="004D4A52" w:rsidP="00FE1F1E">
      <w:pPr>
        <w:pStyle w:val="Heading4"/>
      </w:pPr>
      <w:r>
        <w:t>O</w:t>
      </w:r>
      <w:r w:rsidR="00FE1F1E">
        <w:t>bservation</w:t>
      </w:r>
      <w:r>
        <w:t>s</w:t>
      </w:r>
    </w:p>
    <w:p w14:paraId="4F9667F8" w14:textId="20942C5F" w:rsidR="00CE24A7" w:rsidRDefault="00CE24A7" w:rsidP="00D379F3">
      <w:pPr>
        <w:pStyle w:val="Numberedparagraph"/>
      </w:pPr>
      <w:r>
        <w:t xml:space="preserve">The ACMA 3400-4000 MHz TLG </w:t>
      </w:r>
      <w:hyperlink r:id="rId73" w:history="1">
        <w:r w:rsidRPr="00D379F3">
          <w:t>paper</w:t>
        </w:r>
      </w:hyperlink>
      <w:r>
        <w:t xml:space="preserve"> previously made the following observations:</w:t>
      </w:r>
    </w:p>
    <w:p w14:paraId="6F770828" w14:textId="663B48B9" w:rsidR="00CE24A7" w:rsidRDefault="00CE24A7" w:rsidP="00257BC6">
      <w:pPr>
        <w:pStyle w:val="Paragraph-nonumber"/>
      </w:pPr>
      <w:r>
        <w:t>“</w:t>
      </w:r>
      <w:r w:rsidRPr="00CE24A7">
        <w:t>It is expected that the study is more accurate for the overload mechanism than the French or Canadian cases, but still potentially conservative due to the “envelope” approach. For the spurious case, use of the ITU-R M.2059 radio altimeter receiver noise floor protection to derive spurious emission requirements means it is likely conservative for that case.</w:t>
      </w:r>
      <w:r>
        <w:t>”</w:t>
      </w:r>
    </w:p>
    <w:p w14:paraId="1E7C87CE" w14:textId="05EA786A" w:rsidR="00A55008" w:rsidRDefault="00A55008" w:rsidP="00A55008">
      <w:pPr>
        <w:pStyle w:val="Heading4"/>
      </w:pPr>
      <w:r>
        <w:lastRenderedPageBreak/>
        <w:t xml:space="preserve">Japan </w:t>
      </w:r>
      <w:r w:rsidR="00173C73" w:rsidRPr="00173C73">
        <w:t>Electronic Navigation Research Institute</w:t>
      </w:r>
      <w:r w:rsidR="00173C73" w:rsidRPr="00173C73" w:rsidDel="00173C73">
        <w:t xml:space="preserve"> </w:t>
      </w:r>
      <w:r w:rsidR="00173C73">
        <w:t>study</w:t>
      </w:r>
    </w:p>
    <w:p w14:paraId="014D6599" w14:textId="26C8A37A" w:rsidR="00A55008" w:rsidRDefault="00F72F08" w:rsidP="00A55008">
      <w:pPr>
        <w:pStyle w:val="Numberedparagraph"/>
      </w:pPr>
      <w:r>
        <w:t xml:space="preserve">The Japan </w:t>
      </w:r>
      <w:r w:rsidRPr="00F72F08">
        <w:t>Electronic Navigation Research Institute</w:t>
      </w:r>
      <w:r>
        <w:t xml:space="preserve"> presented an information </w:t>
      </w:r>
      <w:hyperlink r:id="rId74" w:history="1">
        <w:r w:rsidRPr="00F72F08">
          <w:rPr>
            <w:rStyle w:val="Hyperlink"/>
          </w:rPr>
          <w:t>paper</w:t>
        </w:r>
      </w:hyperlink>
      <w:r>
        <w:t xml:space="preserve"> at the ICAO FSMP WG/15 meeting in August 2022. It presented the results of laboratory tests of a range of radio altimeters interference susceptibility against 5G systems.</w:t>
      </w:r>
    </w:p>
    <w:p w14:paraId="2354E7A2" w14:textId="77777777" w:rsidR="00A55008" w:rsidRDefault="00A55008" w:rsidP="00A55008">
      <w:pPr>
        <w:pStyle w:val="Heading4"/>
      </w:pPr>
      <w:r>
        <w:t>Summary</w:t>
      </w:r>
    </w:p>
    <w:p w14:paraId="0B46E6D4" w14:textId="05F0D478" w:rsidR="00A55008" w:rsidRDefault="00F72F08" w:rsidP="00A55008">
      <w:pPr>
        <w:pStyle w:val="Numberedparagraph"/>
      </w:pPr>
      <w:r w:rsidRPr="00F72F08">
        <w:t xml:space="preserve">The in- and out-band electromagnetic interference susceptibility of the 12 RAs for large fixed-wing aircraft and the 8 RAs for the medium and small fixed-wing aircraft and the helicopters </w:t>
      </w:r>
      <w:r>
        <w:t>were</w:t>
      </w:r>
      <w:r w:rsidRPr="00F72F08">
        <w:t xml:space="preserve"> evaluated. The measurement procedures and the interference criteria </w:t>
      </w:r>
      <w:r>
        <w:t>were</w:t>
      </w:r>
      <w:r w:rsidRPr="00F72F08">
        <w:t xml:space="preserve"> fundamentally same as the those of described in the RTCA 5G Interference Assessment Report. The </w:t>
      </w:r>
      <w:r>
        <w:t xml:space="preserve">determined </w:t>
      </w:r>
      <w:r w:rsidRPr="00F72F08">
        <w:t xml:space="preserve">out-band interference threshold values of the RAs for the large fixed-wing aircraft </w:t>
      </w:r>
      <w:r>
        <w:t>were</w:t>
      </w:r>
      <w:r w:rsidRPr="00F72F08">
        <w:t xml:space="preserve"> −22 dBm at 200 ft, −29 dBm at 1000 ft, −37 dBm at more than 2000 ft. In addition, the out-band interference threshold values of the RAs for the medium and small fixed-wing aircraft and helicopters </w:t>
      </w:r>
      <w:r>
        <w:t>were</w:t>
      </w:r>
      <w:r w:rsidRPr="00F72F08">
        <w:t xml:space="preserve"> −56 dBm at 200 ft, −66 dBm at 1000 ft, −77 dBm at 2000 ft</w:t>
      </w:r>
      <w:r w:rsidR="00A55008">
        <w:t>.</w:t>
      </w:r>
    </w:p>
    <w:p w14:paraId="0313B2B3" w14:textId="31197614" w:rsidR="00D90EA7" w:rsidRDefault="00D90EA7" w:rsidP="00B824FF">
      <w:pPr>
        <w:pStyle w:val="Numberedparagraph"/>
        <w:numPr>
          <w:ilvl w:val="0"/>
          <w:numId w:val="0"/>
        </w:numPr>
      </w:pPr>
      <w:r>
        <w:t>The out-of-band (w.r.t. the RA) ITMs are similar in all cases to the RTCA ITMs.  In-band ITMs for smaller aircraft and helicopters show more variance, especially being 10dB more robust at 200ft.</w:t>
      </w:r>
    </w:p>
    <w:p w14:paraId="3A12169A" w14:textId="77777777" w:rsidR="00A55008" w:rsidRPr="00D93E64" w:rsidRDefault="00A55008" w:rsidP="00A55008">
      <w:pPr>
        <w:pStyle w:val="Heading4"/>
      </w:pPr>
      <w:r>
        <w:t>Observations</w:t>
      </w:r>
    </w:p>
    <w:p w14:paraId="270A740A" w14:textId="77777777" w:rsidR="00E61F04" w:rsidRDefault="00A55008" w:rsidP="00A55008">
      <w:pPr>
        <w:pStyle w:val="Numberedparagraph"/>
      </w:pPr>
      <w:r>
        <w:t xml:space="preserve">The </w:t>
      </w:r>
      <w:r w:rsidR="00D90EA7">
        <w:t>Japanese ITMs</w:t>
      </w:r>
      <w:r w:rsidR="00173C73">
        <w:t>, based on the worst measured RA in each category,</w:t>
      </w:r>
      <w:r w:rsidR="00D90EA7">
        <w:t xml:space="preserve"> include a 6dB uncertainty factor added to the measured results, but do not break this factor down. </w:t>
      </w:r>
      <w:r w:rsidR="008E6AEC">
        <w:t xml:space="preserve">This figure seems high, given some unit-to-unit variance is already taken into account for some models tested. </w:t>
      </w:r>
    </w:p>
    <w:p w14:paraId="5822994B" w14:textId="0E853337" w:rsidR="00D90EA7" w:rsidRDefault="00D90EA7" w:rsidP="00A55008">
      <w:pPr>
        <w:pStyle w:val="Numberedparagraph"/>
      </w:pPr>
      <w:r>
        <w:t>While, for example, the ITMs for the out-of (w.r.t. RA)-band tests for large fixed-wing aircraft do not vary much with 5G frequency, this is not the case for most of the individual RAs tested.</w:t>
      </w:r>
    </w:p>
    <w:p w14:paraId="7AEFA8FD" w14:textId="57341AB8" w:rsidR="00CD361C" w:rsidRDefault="00CD361C" w:rsidP="00A55008">
      <w:pPr>
        <w:pStyle w:val="Numberedparagraph"/>
      </w:pPr>
      <w:r>
        <w:t>The lab tests were based on static 5G behaviour, so would be conservative compared with most real-world dynamic AAS 5G deployments.</w:t>
      </w:r>
    </w:p>
    <w:p w14:paraId="04F1E0B6" w14:textId="67CF4917" w:rsidR="00A21B9C" w:rsidRDefault="00A21B9C" w:rsidP="00A55008">
      <w:pPr>
        <w:pStyle w:val="Numberedparagraph"/>
      </w:pPr>
      <w:r>
        <w:t xml:space="preserve">For comparison the figure below compares the Japan ITMs (with </w:t>
      </w:r>
      <w:r w:rsidR="008E6AEC">
        <w:t xml:space="preserve">the </w:t>
      </w:r>
      <w:r>
        <w:t>6dB factor removed) and the RTCA ITMs scaled to the 100 MHz test carrier bandwidth.</w:t>
      </w:r>
    </w:p>
    <w:p w14:paraId="6342F596" w14:textId="6683AEE3" w:rsidR="00A21B9C" w:rsidRDefault="00A21B9C" w:rsidP="00B824FF">
      <w:pPr>
        <w:pStyle w:val="Numberedparagraph"/>
        <w:numPr>
          <w:ilvl w:val="0"/>
          <w:numId w:val="0"/>
        </w:numPr>
        <w:ind w:left="-567"/>
        <w:jc w:val="center"/>
      </w:pPr>
      <w:r>
        <w:rPr>
          <w:noProof/>
        </w:rPr>
        <w:drawing>
          <wp:inline distT="0" distB="0" distL="0" distR="0" wp14:anchorId="56904178" wp14:editId="79C1ABC6">
            <wp:extent cx="5261284" cy="3133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5265880" cy="3136463"/>
                    </a:xfrm>
                    <a:prstGeom prst="rect">
                      <a:avLst/>
                    </a:prstGeom>
                    <a:noFill/>
                    <a:ln>
                      <a:noFill/>
                    </a:ln>
                  </pic:spPr>
                </pic:pic>
              </a:graphicData>
            </a:graphic>
          </wp:inline>
        </w:drawing>
      </w:r>
    </w:p>
    <w:p w14:paraId="57938EA1" w14:textId="77777777" w:rsidR="00402560" w:rsidRDefault="00402560" w:rsidP="00FE1F1E"/>
    <w:p w14:paraId="040C6C44" w14:textId="14D85A8C" w:rsidR="00FE1F1E" w:rsidRDefault="00FE1F1E" w:rsidP="00FE1F1E">
      <w:pPr>
        <w:pStyle w:val="Heading4"/>
      </w:pPr>
      <w:r>
        <w:t>France</w:t>
      </w:r>
    </w:p>
    <w:p w14:paraId="4B16686D" w14:textId="74942765" w:rsidR="00A1453E" w:rsidRPr="004D3483" w:rsidRDefault="00A1453E" w:rsidP="00D379F3">
      <w:pPr>
        <w:pStyle w:val="Numberedparagraph"/>
      </w:pPr>
      <w:r>
        <w:t xml:space="preserve">The French </w:t>
      </w:r>
      <w:r w:rsidR="00697116">
        <w:t>regulator, National</w:t>
      </w:r>
      <w:r w:rsidR="003179CB">
        <w:t xml:space="preserve"> Frequency Agency (ANFR)</w:t>
      </w:r>
      <w:r w:rsidR="00697116">
        <w:t>,</w:t>
      </w:r>
      <w:r w:rsidR="003179CB">
        <w:t xml:space="preserve"> </w:t>
      </w:r>
      <w:r>
        <w:t xml:space="preserve">based their proposed mitigations on some analysis which is </w:t>
      </w:r>
      <w:r w:rsidR="00DC23D4">
        <w:t>included</w:t>
      </w:r>
      <w:r>
        <w:t xml:space="preserve"> in a ICAO FSMP meeting WG 11 </w:t>
      </w:r>
      <w:r w:rsidRPr="00077BB0">
        <w:rPr>
          <w:color w:val="0070C0"/>
          <w:u w:val="single"/>
        </w:rPr>
        <w:t xml:space="preserve">input </w:t>
      </w:r>
      <w:hyperlink r:id="rId77" w:history="1">
        <w:r w:rsidRPr="00077BB0">
          <w:rPr>
            <w:color w:val="0070C0"/>
            <w:u w:val="single"/>
          </w:rPr>
          <w:t>document</w:t>
        </w:r>
      </w:hyperlink>
      <w:r>
        <w:t>.</w:t>
      </w:r>
    </w:p>
    <w:p w14:paraId="6BA22486" w14:textId="58EADF99" w:rsidR="00FE1F1E" w:rsidRDefault="00FE1F1E" w:rsidP="00FE1F1E">
      <w:pPr>
        <w:pStyle w:val="Heading4"/>
      </w:pPr>
      <w:r>
        <w:t>Summary</w:t>
      </w:r>
    </w:p>
    <w:p w14:paraId="254A7E73" w14:textId="767983B2" w:rsidR="00697116" w:rsidRDefault="00A1453E">
      <w:pPr>
        <w:pStyle w:val="Numberedparagraph"/>
      </w:pPr>
      <w:r>
        <w:t xml:space="preserve">The French mitigations, </w:t>
      </w:r>
      <w:r w:rsidR="0076779A">
        <w:t xml:space="preserve">detailed in the </w:t>
      </w:r>
      <w:r w:rsidR="001702CC" w:rsidRPr="00D379F3">
        <w:rPr>
          <w:i/>
          <w:iCs/>
        </w:rPr>
        <w:fldChar w:fldCharType="begin"/>
      </w:r>
      <w:r w:rsidR="001702CC" w:rsidRPr="00D379F3">
        <w:rPr>
          <w:i/>
          <w:iCs/>
        </w:rPr>
        <w:instrText xml:space="preserve"> REF _Ref106278740 \h </w:instrText>
      </w:r>
      <w:r w:rsidR="001702CC">
        <w:rPr>
          <w:i/>
          <w:iCs/>
        </w:rPr>
        <w:instrText xml:space="preserve"> \* MERGEFORMAT </w:instrText>
      </w:r>
      <w:r w:rsidR="001702CC" w:rsidRPr="00D379F3">
        <w:rPr>
          <w:i/>
          <w:iCs/>
        </w:rPr>
      </w:r>
      <w:r w:rsidR="001702CC" w:rsidRPr="00D379F3">
        <w:rPr>
          <w:i/>
          <w:iCs/>
        </w:rPr>
        <w:fldChar w:fldCharType="separate"/>
      </w:r>
      <w:r w:rsidR="009C0E98" w:rsidRPr="00695A13">
        <w:rPr>
          <w:i/>
          <w:iCs/>
        </w:rPr>
        <w:t>Appendix C: International developments and approaches</w:t>
      </w:r>
      <w:r w:rsidR="001702CC" w:rsidRPr="00D379F3">
        <w:rPr>
          <w:i/>
          <w:iCs/>
        </w:rPr>
        <w:fldChar w:fldCharType="end"/>
      </w:r>
      <w:r w:rsidR="0076779A" w:rsidRPr="00D379F3">
        <w:t xml:space="preserve"> </w:t>
      </w:r>
      <w:r w:rsidR="0076779A">
        <w:t>section</w:t>
      </w:r>
      <w:r>
        <w:t xml:space="preserve">, were based on </w:t>
      </w:r>
      <w:r w:rsidR="003B3EDE">
        <w:t>the</w:t>
      </w:r>
      <w:r>
        <w:t xml:space="preserve"> analysis using usage category </w:t>
      </w:r>
      <w:r w:rsidR="0074661B">
        <w:t xml:space="preserve">1 </w:t>
      </w:r>
      <w:r>
        <w:t>interference tolerance masks (ITMs) from the RTCA report</w:t>
      </w:r>
      <w:r w:rsidR="003B3EDE">
        <w:t xml:space="preserve"> for an appropriate </w:t>
      </w:r>
      <w:r w:rsidR="00897A17">
        <w:t>height</w:t>
      </w:r>
      <w:r w:rsidR="00BD407A">
        <w:t>, with some flight path tolerance,</w:t>
      </w:r>
      <w:r>
        <w:t xml:space="preserve"> and expected WBB deployment parameters.</w:t>
      </w:r>
      <w:r w:rsidR="0074661B">
        <w:t xml:space="preserve"> </w:t>
      </w:r>
    </w:p>
    <w:p w14:paraId="01598B7E" w14:textId="01541B2B" w:rsidR="00FE1F1E" w:rsidRPr="00D93E64" w:rsidRDefault="004D4A52" w:rsidP="009D33B1">
      <w:pPr>
        <w:pStyle w:val="Heading4"/>
      </w:pPr>
      <w:r>
        <w:t>O</w:t>
      </w:r>
      <w:r w:rsidR="00FE1F1E">
        <w:t>bservation</w:t>
      </w:r>
      <w:r>
        <w:t>s</w:t>
      </w:r>
    </w:p>
    <w:p w14:paraId="376FB6BF" w14:textId="542CFA6B" w:rsidR="00A1453E" w:rsidRDefault="00A1453E" w:rsidP="00D379F3">
      <w:pPr>
        <w:pStyle w:val="Numberedparagraph"/>
      </w:pPr>
      <w:r>
        <w:t>The size of the safety and precaution zones are dependent on WBB maximum EIRP</w:t>
      </w:r>
      <w:r w:rsidR="00B86E4B">
        <w:t xml:space="preserve"> (</w:t>
      </w:r>
      <w:r w:rsidR="005F16FD">
        <w:t xml:space="preserve">78 dBm/100 MHz for the </w:t>
      </w:r>
      <w:r w:rsidR="003A390B">
        <w:t xml:space="preserve">specific </w:t>
      </w:r>
      <w:r w:rsidR="005F16FD">
        <w:t>example</w:t>
      </w:r>
      <w:r w:rsidR="003A390B">
        <w:t xml:space="preserve"> given</w:t>
      </w:r>
      <w:r w:rsidR="005F16FD">
        <w:t>)</w:t>
      </w:r>
      <w:r>
        <w:t>.  The analysis of the precaution zone assumes a very high side/grating lobe for the WBB antenna (18dBi gain)</w:t>
      </w:r>
      <w:r w:rsidR="00BD407A">
        <w:t xml:space="preserve"> “</w:t>
      </w:r>
      <w:r w:rsidR="003179CB">
        <w:t>in the absence of an antenna envelope provided by the WBB operator</w:t>
      </w:r>
      <w:r>
        <w:t>.</w:t>
      </w:r>
      <w:r w:rsidR="00BD407A">
        <w:t>”</w:t>
      </w:r>
      <w:r>
        <w:t xml:space="preserve"> This may occur in some circumstances for very large AAS beam steering angles and/or </w:t>
      </w:r>
      <w:r w:rsidR="00BD0184">
        <w:t>AAS arrays using non-deal (</w:t>
      </w:r>
      <w:r w:rsidR="00BC0331">
        <w:t>&gt;</w:t>
      </w:r>
      <w:r w:rsidR="00BD0184">
        <w:t xml:space="preserve">wavelength/2) element </w:t>
      </w:r>
      <w:r w:rsidR="00D6376E">
        <w:t>spacing but</w:t>
      </w:r>
      <w:r w:rsidR="00BD0184">
        <w:t xml:space="preserve"> would be considered unusual.</w:t>
      </w:r>
    </w:p>
    <w:p w14:paraId="47553A4C" w14:textId="12A2F91F" w:rsidR="00BD407A" w:rsidRDefault="00BD407A" w:rsidP="00D379F3">
      <w:pPr>
        <w:pStyle w:val="Numberedparagraph"/>
      </w:pPr>
      <w:r>
        <w:t xml:space="preserve">The size of the safety zone includes a 6dB aviation industry safety </w:t>
      </w:r>
      <w:r w:rsidR="003718FB">
        <w:t>factor,</w:t>
      </w:r>
      <w:r>
        <w:t xml:space="preserve"> but the precaution zone size calculations do not.</w:t>
      </w:r>
    </w:p>
    <w:p w14:paraId="0CF67304" w14:textId="5E7933F4" w:rsidR="00BD0184" w:rsidRDefault="00BD0184" w:rsidP="00D379F3">
      <w:pPr>
        <w:pStyle w:val="Numberedparagraph"/>
      </w:pPr>
      <w:r>
        <w:t xml:space="preserve">Given the above and our previous comments on the RTCA study, the </w:t>
      </w:r>
      <w:r w:rsidR="00BD407A">
        <w:t>study and consequent mitigations</w:t>
      </w:r>
      <w:r>
        <w:t xml:space="preserve"> are likely to be conservative.</w:t>
      </w:r>
    </w:p>
    <w:p w14:paraId="7246E97F" w14:textId="170C84A6" w:rsidR="00FE1F1E" w:rsidRDefault="00FE1F1E" w:rsidP="00FE1F1E">
      <w:pPr>
        <w:pStyle w:val="Heading4"/>
      </w:pPr>
      <w:r>
        <w:t>Canada</w:t>
      </w:r>
    </w:p>
    <w:p w14:paraId="56A00935" w14:textId="621715A6" w:rsidR="003932D0" w:rsidRPr="004D3483" w:rsidRDefault="00D6376E" w:rsidP="00D379F3">
      <w:pPr>
        <w:pStyle w:val="Numberedparagraph"/>
      </w:pPr>
      <w:r>
        <w:t xml:space="preserve">ISED in Canada conducted some </w:t>
      </w:r>
      <w:r w:rsidR="00031740">
        <w:t xml:space="preserve">preliminary </w:t>
      </w:r>
      <w:hyperlink r:id="rId78" w:history="1">
        <w:r w:rsidR="00031740" w:rsidRPr="00077BB0">
          <w:rPr>
            <w:color w:val="0070C0"/>
            <w:u w:val="single"/>
          </w:rPr>
          <w:t>calculations</w:t>
        </w:r>
      </w:hyperlink>
      <w:r>
        <w:t xml:space="preserve"> </w:t>
      </w:r>
      <w:r w:rsidR="00031740">
        <w:t>to ascertain the level of risk for the proposed deployments of WBB</w:t>
      </w:r>
      <w:r w:rsidR="0072768B">
        <w:t>, initially in the 3460-3650 MHz range but also out to consultation for the 3650-3980 MHz range.</w:t>
      </w:r>
    </w:p>
    <w:p w14:paraId="2578A27A" w14:textId="6E74C2E4" w:rsidR="00FE1F1E" w:rsidRDefault="00FE1F1E" w:rsidP="00FE1F1E">
      <w:pPr>
        <w:pStyle w:val="Heading4"/>
      </w:pPr>
      <w:r>
        <w:t>Summary</w:t>
      </w:r>
    </w:p>
    <w:p w14:paraId="10658ACF" w14:textId="5280E15D" w:rsidR="00031740" w:rsidRDefault="00031740" w:rsidP="00D379F3">
      <w:pPr>
        <w:pStyle w:val="Numberedparagraph"/>
      </w:pPr>
      <w:r>
        <w:t>The initial calculations were based on the RA characteristics in M.2059 and assumed static WBB deployments. It concluded that “</w:t>
      </w:r>
      <w:r w:rsidRPr="00031740">
        <w:t>Harmful interference to radio altimeters from signals operating outside their band of operation (4200-4400 MHz) was calculated to be possible, which could include signals from future flexible use deployment of 5G systems in the 3500 MHz band around airports and heliports, warranting further investigation into the issue.</w:t>
      </w:r>
      <w:r w:rsidR="00795150">
        <w:t>” Because of this conclusion, ISED went on to consult</w:t>
      </w:r>
      <w:r w:rsidR="00487FC2">
        <w:t xml:space="preserve"> on, </w:t>
      </w:r>
      <w:r w:rsidR="00795150">
        <w:t>then decide on mitigations very similar to those established in France, but with a PFD limit in the “protection zones”. While the initial calculations were based on M.2059, the PFD limit was determined based on a specific usage category 1 scenario from the RTCA report.</w:t>
      </w:r>
      <w:r w:rsidR="00BD407A">
        <w:t xml:space="preserve"> Details on mitigations are described </w:t>
      </w:r>
      <w:r w:rsidR="00BD407A" w:rsidRPr="00257BC6">
        <w:rPr>
          <w:i/>
          <w:iCs/>
        </w:rPr>
        <w:fldChar w:fldCharType="begin"/>
      </w:r>
      <w:r w:rsidR="00BD407A" w:rsidRPr="00257BC6">
        <w:rPr>
          <w:i/>
          <w:iCs/>
        </w:rPr>
        <w:instrText xml:space="preserve"> REF _Ref106176518 \h  \* MERGEFORMAT </w:instrText>
      </w:r>
      <w:r w:rsidR="00BD407A" w:rsidRPr="00257BC6">
        <w:rPr>
          <w:i/>
          <w:iCs/>
        </w:rPr>
      </w:r>
      <w:r w:rsidR="00BD407A" w:rsidRPr="00257BC6">
        <w:rPr>
          <w:i/>
          <w:iCs/>
        </w:rPr>
        <w:fldChar w:fldCharType="separate"/>
      </w:r>
      <w:r w:rsidR="009C0E98" w:rsidRPr="00695A13">
        <w:rPr>
          <w:i/>
          <w:iCs/>
        </w:rPr>
        <w:t>Appendix C: International developments</w:t>
      </w:r>
      <w:r w:rsidR="00BD407A" w:rsidRPr="00257BC6">
        <w:rPr>
          <w:i/>
          <w:iCs/>
        </w:rPr>
        <w:fldChar w:fldCharType="end"/>
      </w:r>
      <w:r w:rsidR="00E23203">
        <w:t xml:space="preserve">in </w:t>
      </w:r>
      <w:r w:rsidR="00E23203" w:rsidRPr="009D33B1">
        <w:rPr>
          <w:i/>
        </w:rPr>
        <w:fldChar w:fldCharType="begin"/>
      </w:r>
      <w:r w:rsidR="00E23203" w:rsidRPr="00257BC6">
        <w:rPr>
          <w:i/>
          <w:iCs/>
        </w:rPr>
        <w:instrText xml:space="preserve"> REF _Ref106278740 \h  \* MERGEFORMAT </w:instrText>
      </w:r>
      <w:r w:rsidR="00E23203" w:rsidRPr="009D33B1">
        <w:rPr>
          <w:i/>
        </w:rPr>
      </w:r>
      <w:r w:rsidR="00E23203" w:rsidRPr="009D33B1">
        <w:rPr>
          <w:i/>
          <w:iCs/>
        </w:rPr>
        <w:fldChar w:fldCharType="separate"/>
      </w:r>
      <w:r w:rsidR="009C0E98" w:rsidRPr="00695A13">
        <w:rPr>
          <w:i/>
          <w:iCs/>
        </w:rPr>
        <w:t>Appendix C: International developments and approaches</w:t>
      </w:r>
      <w:r w:rsidR="00E23203" w:rsidRPr="009D33B1">
        <w:rPr>
          <w:i/>
          <w:iCs/>
        </w:rPr>
        <w:fldChar w:fldCharType="end"/>
      </w:r>
      <w:r w:rsidR="00BD407A">
        <w:t>.</w:t>
      </w:r>
    </w:p>
    <w:p w14:paraId="1ED9FDD5" w14:textId="113BCC18" w:rsidR="00FE1F1E" w:rsidRDefault="004D4A52" w:rsidP="00FE1F1E">
      <w:pPr>
        <w:pStyle w:val="Heading4"/>
      </w:pPr>
      <w:r>
        <w:t>O</w:t>
      </w:r>
      <w:r w:rsidR="00FE1F1E">
        <w:t>bservation</w:t>
      </w:r>
      <w:r>
        <w:t>s</w:t>
      </w:r>
    </w:p>
    <w:p w14:paraId="6C011DC9" w14:textId="5C4C2ACF" w:rsidR="009F3908" w:rsidRDefault="00897A17" w:rsidP="00D379F3">
      <w:pPr>
        <w:pStyle w:val="Numberedparagraph"/>
      </w:pPr>
      <w:r>
        <w:t>The i</w:t>
      </w:r>
      <w:r w:rsidR="009F3908">
        <w:t xml:space="preserve">nitial assessment of risk </w:t>
      </w:r>
      <w:r w:rsidR="004D4A52">
        <w:t xml:space="preserve">was </w:t>
      </w:r>
      <w:r w:rsidR="009F3908">
        <w:t xml:space="preserve">based on </w:t>
      </w:r>
      <w:r w:rsidR="00F96F60">
        <w:t xml:space="preserve">the </w:t>
      </w:r>
      <w:r w:rsidR="00530D2A">
        <w:t>worst-case</w:t>
      </w:r>
      <w:r w:rsidR="009F3908">
        <w:t xml:space="preserve"> M.2059 </w:t>
      </w:r>
      <w:r>
        <w:t>radio altimeter</w:t>
      </w:r>
      <w:r w:rsidRPr="00897A17">
        <w:t xml:space="preserve">, including protecting the full receiver noise floor, regardless of the likely received level from the radio altimeter transmitter. </w:t>
      </w:r>
      <w:r>
        <w:t xml:space="preserve"> No beamforming for AAS systems were considered. </w:t>
      </w:r>
      <w:r w:rsidR="004D4A52">
        <w:t>Consequently,</w:t>
      </w:r>
      <w:r>
        <w:t xml:space="preserve"> it was l</w:t>
      </w:r>
      <w:r w:rsidR="009F3908">
        <w:t xml:space="preserve">ikely conservative.  As the </w:t>
      </w:r>
      <w:r>
        <w:t xml:space="preserve">subsequently determined </w:t>
      </w:r>
      <w:r w:rsidR="00487FC2">
        <w:t xml:space="preserve">mitigation </w:t>
      </w:r>
      <w:r w:rsidR="009F3908">
        <w:t>zones are based on France and the PFD limit also based on RTCA report</w:t>
      </w:r>
      <w:r>
        <w:t xml:space="preserve"> ITMs</w:t>
      </w:r>
      <w:r w:rsidR="00487FC2">
        <w:t>,</w:t>
      </w:r>
      <w:r w:rsidR="009F3908">
        <w:t xml:space="preserve"> the mitigations are</w:t>
      </w:r>
      <w:r w:rsidR="00DC23D4">
        <w:t xml:space="preserve"> also</w:t>
      </w:r>
      <w:r w:rsidR="009F3908">
        <w:t xml:space="preserve"> likely to be conservative.</w:t>
      </w:r>
    </w:p>
    <w:p w14:paraId="3FBEA9EF" w14:textId="7113309F" w:rsidR="00317685" w:rsidRPr="004D3483" w:rsidRDefault="00317685" w:rsidP="00D379F3">
      <w:pPr>
        <w:pStyle w:val="Numberedparagraph"/>
      </w:pPr>
      <w:r>
        <w:t>Given that the French zone sizes are supposed to vary with deployed EIRP, the fixed Canadian zone sizes may not always be appropriate</w:t>
      </w:r>
      <w:r w:rsidR="00F96F60">
        <w:t xml:space="preserve"> for their use cases</w:t>
      </w:r>
      <w:r>
        <w:t>.</w:t>
      </w:r>
      <w:r w:rsidR="004D4A52">
        <w:t xml:space="preserve"> It is also noted that WBB deployment in Canada is proposed up to 3900 MHz for high power </w:t>
      </w:r>
      <w:r w:rsidR="004D4A52">
        <w:lastRenderedPageBreak/>
        <w:t>deployments</w:t>
      </w:r>
      <w:r w:rsidR="00F96F60">
        <w:t>. However,</w:t>
      </w:r>
      <w:r w:rsidR="004D4A52">
        <w:t xml:space="preserve"> zone sizes are based on 3750 MHz</w:t>
      </w:r>
      <w:r w:rsidR="00F96F60">
        <w:t xml:space="preserve"> specific</w:t>
      </w:r>
      <w:r w:rsidR="004D4A52">
        <w:t xml:space="preserve"> French calculations, where they would be expected to vary, dependent on the RTCA ITM mask with frequency.</w:t>
      </w:r>
      <w:r w:rsidR="007244B1">
        <w:t xml:space="preserve"> They do not current</w:t>
      </w:r>
      <w:r w:rsidR="00C87A8F">
        <w:t>ly</w:t>
      </w:r>
      <w:r w:rsidR="007244B1">
        <w:t xml:space="preserve"> propose any change of zone sizes with frequency.</w:t>
      </w:r>
    </w:p>
    <w:p w14:paraId="0D5ABE76" w14:textId="083D3369" w:rsidR="00650C08" w:rsidRDefault="00650C08" w:rsidP="00650C08">
      <w:pPr>
        <w:pStyle w:val="Heading4"/>
      </w:pPr>
      <w:r>
        <w:t>Independent</w:t>
      </w:r>
      <w:r w:rsidR="00602060">
        <w:t xml:space="preserve"> study around Chicago O’Hare by Remcom </w:t>
      </w:r>
      <w:r>
        <w:t xml:space="preserve"> </w:t>
      </w:r>
    </w:p>
    <w:p w14:paraId="6D497DC5" w14:textId="449DF897" w:rsidR="00650C08" w:rsidRPr="004D3483" w:rsidRDefault="009C479C" w:rsidP="00650C08">
      <w:pPr>
        <w:pStyle w:val="Numberedparagraph"/>
      </w:pPr>
      <w:hyperlink r:id="rId79" w:history="1">
        <w:r w:rsidR="00602060" w:rsidRPr="00602060">
          <w:rPr>
            <w:rStyle w:val="Hyperlink"/>
          </w:rPr>
          <w:t>Remcom</w:t>
        </w:r>
      </w:hyperlink>
      <w:r w:rsidR="00602060">
        <w:t xml:space="preserve"> released a </w:t>
      </w:r>
      <w:hyperlink r:id="rId80" w:history="1">
        <w:r w:rsidR="00602060" w:rsidRPr="00602060">
          <w:rPr>
            <w:rStyle w:val="Hyperlink"/>
          </w:rPr>
          <w:t xml:space="preserve">whitepaper </w:t>
        </w:r>
      </w:hyperlink>
      <w:r w:rsidR="00602060">
        <w:t xml:space="preserve">during 2022 using their software, primarily to demonstrate the increased accuracy possible by assessing the interaction with terrain and buildings.  </w:t>
      </w:r>
    </w:p>
    <w:p w14:paraId="376AE4A7" w14:textId="77777777" w:rsidR="00650C08" w:rsidRDefault="00650C08" w:rsidP="00650C08">
      <w:pPr>
        <w:pStyle w:val="Heading4"/>
      </w:pPr>
      <w:r>
        <w:t>Summary</w:t>
      </w:r>
    </w:p>
    <w:p w14:paraId="1AD2BEB3" w14:textId="4FB0B18B" w:rsidR="00650C08" w:rsidRDefault="00650C08" w:rsidP="00650C08">
      <w:pPr>
        <w:pStyle w:val="Numberedparagraph"/>
      </w:pPr>
      <w:r>
        <w:t xml:space="preserve">The </w:t>
      </w:r>
      <w:r w:rsidR="00602060">
        <w:t xml:space="preserve">study uses the RTCA ITMs as a basis, but models possible 5G base stations and propagation in a manner they </w:t>
      </w:r>
      <w:r w:rsidR="00291BB0">
        <w:t>thought</w:t>
      </w:r>
      <w:r w:rsidR="00602060">
        <w:t xml:space="preserve"> appropriate. They were able to replicate the RTCA report Chicago example closely, before terrain and building assessment was included. When these factors are included, including 3D ray-tracing models, the ITMs were exceeded </w:t>
      </w:r>
      <w:r w:rsidR="00E43964">
        <w:t xml:space="preserve">in some cases </w:t>
      </w:r>
      <w:r w:rsidR="00602060">
        <w:t>when they were not exceeded without these factors.</w:t>
      </w:r>
    </w:p>
    <w:p w14:paraId="21EA9F50" w14:textId="77777777" w:rsidR="00650C08" w:rsidRDefault="00650C08" w:rsidP="00650C08">
      <w:pPr>
        <w:pStyle w:val="Heading4"/>
      </w:pPr>
      <w:r>
        <w:t>Observations</w:t>
      </w:r>
    </w:p>
    <w:p w14:paraId="40EE8213" w14:textId="48F74A73" w:rsidR="00650C08" w:rsidRDefault="00E43964" w:rsidP="00650C08">
      <w:pPr>
        <w:pStyle w:val="Numberedparagraph"/>
      </w:pPr>
      <w:r>
        <w:t>The study used static AAS patterns with a large downtilt (10 degree mechanical plus 20 degree electrical). This is likely to create large grating lobes that may not exist for significant portions of time in a real AAS deployment scenario.</w:t>
      </w:r>
    </w:p>
    <w:p w14:paraId="1900EDB8" w14:textId="2EE9E922" w:rsidR="00650C08" w:rsidRDefault="00E43964" w:rsidP="00650C08">
      <w:pPr>
        <w:pStyle w:val="Numberedparagraph"/>
      </w:pPr>
      <w:r>
        <w:t>The ray tracing additions used fairly worst-case assumptions such as wet ground and smooth reflective surfaces that, again, may not be representative for most cases. Although the</w:t>
      </w:r>
      <w:r w:rsidR="00A45E79">
        <w:t>ir</w:t>
      </w:r>
      <w:r>
        <w:t xml:space="preserve"> further analysis of the sensitivity of results to terrain properties shows a low variance.</w:t>
      </w:r>
    </w:p>
    <w:p w14:paraId="5CFC0AF7" w14:textId="54002D0D" w:rsidR="00F03C4B" w:rsidRPr="00257BC6" w:rsidRDefault="00E43964" w:rsidP="00257BC6">
      <w:pPr>
        <w:pStyle w:val="Numberedparagraph"/>
      </w:pPr>
      <w:r>
        <w:t xml:space="preserve">Since the study is based on the RTCA ITMs, it assumes the use of worst-case ground reflectivity for the radio altimeter signal itself. If the study was introducing the more accurate factors for the 5G-&gt;RA radio path/s, not assessing more accurately the likely RA-&gt;RA radio path and behaviour </w:t>
      </w:r>
      <w:r w:rsidR="00291BB0">
        <w:t>means the overall study is not as accurate as it could have been.</w:t>
      </w:r>
    </w:p>
    <w:p w14:paraId="47C1D2A1" w14:textId="6EC02944" w:rsidR="00681CCB" w:rsidRDefault="00F0335F" w:rsidP="00681CCB">
      <w:pPr>
        <w:pStyle w:val="Heading2"/>
      </w:pPr>
      <w:bookmarkStart w:id="28" w:name="_Toc116041883"/>
      <w:r>
        <w:t>Over the air tests and t</w:t>
      </w:r>
      <w:r w:rsidR="00681CCB">
        <w:t>rials</w:t>
      </w:r>
      <w:bookmarkEnd w:id="28"/>
    </w:p>
    <w:p w14:paraId="1C826B35" w14:textId="3240AEC2" w:rsidR="00681CCB" w:rsidRDefault="00681CCB" w:rsidP="00196C09">
      <w:pPr>
        <w:pStyle w:val="Heading3"/>
      </w:pPr>
      <w:r>
        <w:t>France</w:t>
      </w:r>
    </w:p>
    <w:p w14:paraId="767D248F" w14:textId="0F1A3DB9" w:rsidR="00E05354" w:rsidRPr="00D379F3" w:rsidRDefault="000B0BF2" w:rsidP="00D379F3">
      <w:pPr>
        <w:pStyle w:val="Numberedparagraph"/>
      </w:pPr>
      <w:r>
        <w:t>The September 2021 d</w:t>
      </w:r>
      <w:r w:rsidR="00E05354">
        <w:t xml:space="preserve">ocument </w:t>
      </w:r>
      <w:hyperlink r:id="rId81" w:history="1">
        <w:r w:rsidR="00E05354" w:rsidRPr="00077BB0">
          <w:rPr>
            <w:color w:val="0070C0"/>
            <w:u w:val="single"/>
          </w:rPr>
          <w:t>ECC PT1(21)192</w:t>
        </w:r>
      </w:hyperlink>
      <w:r w:rsidR="00E05354" w:rsidRPr="00077BB0">
        <w:rPr>
          <w:color w:val="0070C0"/>
          <w:u w:val="single"/>
        </w:rPr>
        <w:t xml:space="preserve"> </w:t>
      </w:r>
      <w:r w:rsidR="00E05354" w:rsidRPr="00D379F3">
        <w:t>reported the “Outcome from preliminary trial on one type of radioaltimeter fitted on helicopter”, considering three scenarios for a specific “Gendarmerie” helicopter.</w:t>
      </w:r>
    </w:p>
    <w:p w14:paraId="65AC621C" w14:textId="6ED14A84" w:rsidR="00E05354" w:rsidRPr="00D379F3" w:rsidRDefault="00E05354" w:rsidP="00D379F3">
      <w:pPr>
        <w:pStyle w:val="Numberedparagraph"/>
      </w:pPr>
      <w:r w:rsidRPr="00D379F3">
        <w:t>It concluded that there was “No disturbance to the radio altimeter on board the EC135 of the French gendarmerie was detected during the flight, when using the 5G in the configuration for the test flight. In view of these in-flight observations, the the emission of 5G NR base station had no impact on the operational behaviour of the radio altimeter fitted on the French gendarmerie's EC135 helicopters, which gives us a good level of confidence in the resilience of this type of radio altimeter to conduct its missions.”</w:t>
      </w:r>
    </w:p>
    <w:p w14:paraId="6E24897C" w14:textId="450AA9B3" w:rsidR="00E05354" w:rsidRPr="004D3483" w:rsidRDefault="00E05354" w:rsidP="00D379F3">
      <w:pPr>
        <w:pStyle w:val="Numberedparagraph"/>
      </w:pPr>
      <w:r w:rsidRPr="00D379F3">
        <w:t xml:space="preserve">This conclusion may have </w:t>
      </w:r>
      <w:r w:rsidR="00DA4488" w:rsidRPr="00D379F3">
        <w:t>influenced</w:t>
      </w:r>
      <w:r w:rsidRPr="00D379F3">
        <w:t xml:space="preserve"> France </w:t>
      </w:r>
      <w:r w:rsidR="00DA4488" w:rsidRPr="00D379F3">
        <w:t>in</w:t>
      </w:r>
      <w:r w:rsidRPr="00D379F3">
        <w:t xml:space="preserve"> rolling back their “down-tilt” </w:t>
      </w:r>
      <w:r w:rsidR="00DA4488" w:rsidRPr="00D379F3">
        <w:t xml:space="preserve">mitigation </w:t>
      </w:r>
      <w:r w:rsidRPr="00D379F3">
        <w:t xml:space="preserve">requirements, ostensibly </w:t>
      </w:r>
      <w:r w:rsidR="00CC0FC9">
        <w:t xml:space="preserve">established </w:t>
      </w:r>
      <w:r w:rsidRPr="00D379F3">
        <w:t>for helicopters.</w:t>
      </w:r>
    </w:p>
    <w:p w14:paraId="3383B023" w14:textId="5EF488BB" w:rsidR="00681CCB" w:rsidRDefault="00681CCB" w:rsidP="00196C09">
      <w:pPr>
        <w:pStyle w:val="Heading3"/>
      </w:pPr>
      <w:r>
        <w:t>Norway</w:t>
      </w:r>
    </w:p>
    <w:p w14:paraId="2973B04C" w14:textId="518EBAFE" w:rsidR="00A6357D" w:rsidRPr="00D379F3" w:rsidRDefault="00A6357D" w:rsidP="00D379F3">
      <w:pPr>
        <w:pStyle w:val="Numberedparagraph"/>
      </w:pPr>
      <w:r>
        <w:t xml:space="preserve">Document </w:t>
      </w:r>
      <w:hyperlink r:id="rId82" w:history="1">
        <w:r w:rsidRPr="00077BB0">
          <w:rPr>
            <w:color w:val="0070C0"/>
            <w:u w:val="single"/>
          </w:rPr>
          <w:t>ECC PT1(21)184</w:t>
        </w:r>
      </w:hyperlink>
      <w:r w:rsidRPr="00D379F3">
        <w:t xml:space="preserve"> were the results of a live trial in Norway using a test base station near Norwegian International Airport Bergen-Flesland and used three different helicopters and five different passenger aircraft. RA types on the aircraft was identified where possible.</w:t>
      </w:r>
    </w:p>
    <w:p w14:paraId="72253700" w14:textId="252AE303" w:rsidR="00A6357D" w:rsidRPr="00D379F3" w:rsidRDefault="00A6357D" w:rsidP="00D379F3">
      <w:pPr>
        <w:pStyle w:val="Numberedparagraph"/>
      </w:pPr>
      <w:r w:rsidRPr="00D379F3">
        <w:lastRenderedPageBreak/>
        <w:t>The test concluded no that the “Test results showed no abnormalities on the Radio Altimeters during the test.</w:t>
      </w:r>
    </w:p>
    <w:p w14:paraId="6BA88494" w14:textId="0606E43A" w:rsidR="00A6357D" w:rsidRPr="00444F6D" w:rsidRDefault="00A6357D" w:rsidP="00D379F3">
      <w:pPr>
        <w:pStyle w:val="Numberedparagraph"/>
      </w:pPr>
      <w:r w:rsidRPr="00D379F3">
        <w:t>During the test the base station transmitted 100% of power with help of the air interface load generator. The aircraft participating in the test passed by antennas of the base station at the distance of less than 500 m taxiing along the runway, while helicopters using helipad passed antennas at distances of 200 m.</w:t>
      </w:r>
    </w:p>
    <w:p w14:paraId="0D76B0A9" w14:textId="0A7F5B6D" w:rsidR="006D118A" w:rsidRDefault="006D118A" w:rsidP="006D118A">
      <w:pPr>
        <w:pStyle w:val="Heading3"/>
      </w:pPr>
      <w:r>
        <w:t>Canada</w:t>
      </w:r>
    </w:p>
    <w:p w14:paraId="7BDC87C3" w14:textId="20510176" w:rsidR="00761B56" w:rsidRPr="00444F6D" w:rsidRDefault="00761B56">
      <w:pPr>
        <w:pStyle w:val="Numberedparagraph"/>
      </w:pPr>
      <w:r>
        <w:t>We understand that ISED, together with the National Research Council (NRC) and Transport Canada are “</w:t>
      </w:r>
      <w:r w:rsidRPr="00761B56">
        <w:t>performing analyses based on the lab and flight test data and will brief the aviation and mobile wireless working group in the near future.</w:t>
      </w:r>
      <w:r w:rsidR="00A61EF7">
        <w:t>”</w:t>
      </w:r>
      <w:r w:rsidRPr="00761B56">
        <w:t xml:space="preserve"> </w:t>
      </w:r>
      <w:r w:rsidR="00866A5E">
        <w:t>The intent, we understand, is to develop a computational model, taking into account the lab and flight test results to be able to develop a future accurate model for the assessment of possible revised mitigations.</w:t>
      </w:r>
    </w:p>
    <w:p w14:paraId="658A4C7B" w14:textId="64A19DA8" w:rsidR="00622277" w:rsidRDefault="00622277">
      <w:pPr>
        <w:pStyle w:val="Heading3"/>
      </w:pPr>
      <w:r w:rsidRPr="00D379F3">
        <w:t>USA</w:t>
      </w:r>
    </w:p>
    <w:p w14:paraId="6B35CF7C" w14:textId="068D9D97" w:rsidR="005D0B62" w:rsidRDefault="00547E9D" w:rsidP="005D0B62">
      <w:pPr>
        <w:pStyle w:val="Numberedparagraph"/>
      </w:pPr>
      <w:r>
        <w:t xml:space="preserve">The </w:t>
      </w:r>
      <w:r w:rsidRPr="00547E9D">
        <w:t>Joint Interagency Five G Radar Altimeter Interference (JI-FRAI) group, which includes participation from the Department of Homeland Security (DHS), Department of Defense (DoD), Federal Communications Commission (FCC), airlines, and avionics manufacturers</w:t>
      </w:r>
      <w:r w:rsidR="00675236">
        <w:t>,</w:t>
      </w:r>
      <w:r>
        <w:t xml:space="preserve"> was established in 2021.  They are expected to produce the results of in-flight testing of 5G and radio altimeters</w:t>
      </w:r>
      <w:r w:rsidR="00376974">
        <w:t xml:space="preserve"> in 2022</w:t>
      </w:r>
      <w:r>
        <w:t xml:space="preserve">. One member, the Institute for Telecommunications Sciences (ITS), part of the NTIA, has already released some </w:t>
      </w:r>
      <w:hyperlink r:id="rId83" w:history="1">
        <w:r w:rsidRPr="00547E9D">
          <w:rPr>
            <w:rStyle w:val="Hyperlink"/>
          </w:rPr>
          <w:t>information</w:t>
        </w:r>
      </w:hyperlink>
      <w:r>
        <w:t xml:space="preserve"> about their </w:t>
      </w:r>
      <w:r w:rsidR="0010268E">
        <w:t>test methodology</w:t>
      </w:r>
      <w:r w:rsidR="00675236">
        <w:t xml:space="preserve"> in the NITA Special Publication SP-22-560</w:t>
      </w:r>
      <w:r>
        <w:t>.</w:t>
      </w:r>
    </w:p>
    <w:p w14:paraId="01E36700" w14:textId="183AAA80" w:rsidR="00CC3413" w:rsidRDefault="00CC3413" w:rsidP="005D0B62">
      <w:pPr>
        <w:pStyle w:val="Numberedparagraph"/>
      </w:pPr>
      <w:r>
        <w:t xml:space="preserve">As per the </w:t>
      </w:r>
      <w:hyperlink r:id="rId84" w:history="1">
        <w:r w:rsidRPr="00CC3413">
          <w:rPr>
            <w:rStyle w:val="Hyperlink"/>
          </w:rPr>
          <w:t>minutes</w:t>
        </w:r>
      </w:hyperlink>
      <w:r>
        <w:t xml:space="preserve"> of the RTCA Program Management Committee June 2021 meeting, the final report was expected in June 2022.</w:t>
      </w:r>
    </w:p>
    <w:p w14:paraId="0BD74CE7" w14:textId="33766768" w:rsidR="001E031D" w:rsidRPr="00EF23CB" w:rsidRDefault="007036FC" w:rsidP="00257BC6">
      <w:pPr>
        <w:pStyle w:val="Numberedparagraph"/>
      </w:pPr>
      <w:r>
        <w:t xml:space="preserve">Defense </w:t>
      </w:r>
      <w:hyperlink r:id="rId85" w:history="1">
        <w:r w:rsidRPr="00EF23CB">
          <w:rPr>
            <w:rStyle w:val="Hyperlink"/>
          </w:rPr>
          <w:t>budgeted</w:t>
        </w:r>
      </w:hyperlink>
      <w:r>
        <w:t xml:space="preserve"> for their contribution to the JI-FRAI testing under a series of Quick Reaction Test line items.</w:t>
      </w:r>
      <w:bookmarkStart w:id="29" w:name="_Ref106971109"/>
    </w:p>
    <w:p w14:paraId="193D1269" w14:textId="073EB5F6" w:rsidR="00681CCB" w:rsidRDefault="00681CCB" w:rsidP="00681CCB">
      <w:pPr>
        <w:pStyle w:val="Heading2"/>
      </w:pPr>
      <w:bookmarkStart w:id="30" w:name="_Toc116041884"/>
      <w:r>
        <w:t>Historical and contemporary deployments</w:t>
      </w:r>
      <w:bookmarkEnd w:id="29"/>
      <w:bookmarkEnd w:id="30"/>
    </w:p>
    <w:p w14:paraId="563DCDC2" w14:textId="1710876F" w:rsidR="00335C0B" w:rsidRDefault="00335C0B" w:rsidP="00196C09">
      <w:pPr>
        <w:pStyle w:val="Heading3"/>
      </w:pPr>
      <w:r>
        <w:t>Australian</w:t>
      </w:r>
    </w:p>
    <w:p w14:paraId="59D3F619" w14:textId="77777777" w:rsidR="005D0B62" w:rsidRDefault="005D0B62" w:rsidP="005D0B62">
      <w:pPr>
        <w:pStyle w:val="Heading4"/>
      </w:pPr>
      <w:r>
        <w:t>Wireless broadband</w:t>
      </w:r>
    </w:p>
    <w:p w14:paraId="5FE45EC6" w14:textId="35529F20" w:rsidR="005D0B62" w:rsidRPr="00D379F3" w:rsidRDefault="005D0B62" w:rsidP="00D379F3">
      <w:pPr>
        <w:pStyle w:val="Numberedparagraph"/>
        <w:rPr>
          <w:i/>
          <w:iCs/>
        </w:rPr>
      </w:pPr>
      <w:r>
        <w:t xml:space="preserve">A discussion of relevant WBB deployments in Australia is contained in </w:t>
      </w:r>
      <w:r w:rsidRPr="00D379F3">
        <w:rPr>
          <w:i/>
          <w:iCs/>
        </w:rPr>
        <w:fldChar w:fldCharType="begin"/>
      </w:r>
      <w:r w:rsidRPr="00D379F3">
        <w:rPr>
          <w:i/>
          <w:iCs/>
        </w:rPr>
        <w:instrText xml:space="preserve"> REF _Ref106619600 \h  \* MERGEFORMAT </w:instrText>
      </w:r>
      <w:r w:rsidRPr="00D379F3">
        <w:rPr>
          <w:i/>
          <w:iCs/>
        </w:rPr>
      </w:r>
      <w:r w:rsidRPr="00D379F3">
        <w:rPr>
          <w:i/>
          <w:iCs/>
        </w:rPr>
        <w:fldChar w:fldCharType="separate"/>
      </w:r>
      <w:r w:rsidR="009C0E98" w:rsidRPr="00695A13">
        <w:rPr>
          <w:i/>
          <w:iCs/>
        </w:rPr>
        <w:t>Appendix E: Historical Australian WBB deployments</w:t>
      </w:r>
      <w:r w:rsidRPr="00D379F3">
        <w:rPr>
          <w:i/>
          <w:iCs/>
        </w:rPr>
        <w:fldChar w:fldCharType="end"/>
      </w:r>
      <w:r w:rsidRPr="00444F6D">
        <w:rPr>
          <w:i/>
          <w:iCs/>
        </w:rPr>
        <w:t>.</w:t>
      </w:r>
    </w:p>
    <w:p w14:paraId="4A3A41B8" w14:textId="214C610C" w:rsidR="00335C0B" w:rsidRDefault="00335C0B" w:rsidP="00196C09">
      <w:pPr>
        <w:pStyle w:val="Heading4"/>
      </w:pPr>
      <w:r>
        <w:t xml:space="preserve">Defence </w:t>
      </w:r>
      <w:r w:rsidR="00B62F49">
        <w:t xml:space="preserve">use </w:t>
      </w:r>
      <w:r>
        <w:t>above 4400 MHz</w:t>
      </w:r>
    </w:p>
    <w:p w14:paraId="011DA67E" w14:textId="45668FA9" w:rsidR="00D85437" w:rsidRPr="002931DE" w:rsidRDefault="00B62F49" w:rsidP="00077BB0">
      <w:pPr>
        <w:pStyle w:val="Numberedparagraph"/>
      </w:pPr>
      <w:r>
        <w:t>Above the 4200-4400 MHz range used by RAs, b</w:t>
      </w:r>
      <w:r w:rsidR="00944EA3" w:rsidRPr="00944EA3">
        <w:t xml:space="preserve">oth the 4400 – 4500 MHz and 4500 – 4800 MHz </w:t>
      </w:r>
      <w:r w:rsidR="00944EA3">
        <w:t>frequency ranges</w:t>
      </w:r>
      <w:r>
        <w:t>,</w:t>
      </w:r>
      <w:r w:rsidR="00944EA3" w:rsidRPr="00944EA3">
        <w:t xml:space="preserve"> are subject to footnote AUS101 to the </w:t>
      </w:r>
      <w:r w:rsidR="00FD3D61">
        <w:t>Spectrum Plan</w:t>
      </w:r>
      <w:r w:rsidR="00944EA3" w:rsidRPr="00944EA3">
        <w:t xml:space="preserve">. The </w:t>
      </w:r>
      <w:r w:rsidR="00FD3D61">
        <w:t>Spectrum Plan</w:t>
      </w:r>
      <w:r w:rsidR="00944EA3" w:rsidRPr="00944EA3">
        <w:t xml:space="preserve"> allocates those bands to fixed and mobile services on a primary basis. Authorisation of access under these footnotes is via the Defence apparatus licence type. Defence internally manages access</w:t>
      </w:r>
      <w:r w:rsidR="00944EA3">
        <w:t xml:space="preserve"> and </w:t>
      </w:r>
      <w:r w:rsidR="00944EA3" w:rsidRPr="00944EA3">
        <w:t>use under this licence type and as a result the ACMA does</w:t>
      </w:r>
      <w:r w:rsidR="00944EA3">
        <w:t xml:space="preserve"> not</w:t>
      </w:r>
      <w:r w:rsidR="00944EA3" w:rsidRPr="00944EA3">
        <w:t xml:space="preserve"> have clear visibility of actual use. However</w:t>
      </w:r>
      <w:r w:rsidR="00944EA3">
        <w:t>,</w:t>
      </w:r>
      <w:r w:rsidR="00944EA3" w:rsidRPr="00944EA3">
        <w:t xml:space="preserve"> it is understood that use is Australia-wide, often itinerant and supports a range of services.</w:t>
      </w:r>
      <w:r w:rsidR="00944EA3" w:rsidRPr="00944EA3" w:rsidDel="00944EA3">
        <w:t xml:space="preserve"> </w:t>
      </w:r>
    </w:p>
    <w:p w14:paraId="37F819A5" w14:textId="77777777" w:rsidR="00335C0B" w:rsidRDefault="00335C0B" w:rsidP="00196C09">
      <w:pPr>
        <w:pStyle w:val="Heading3"/>
      </w:pPr>
      <w:r>
        <w:t>International</w:t>
      </w:r>
    </w:p>
    <w:p w14:paraId="7FFC5882" w14:textId="3DAF6F82" w:rsidR="00135763" w:rsidRDefault="00135763" w:rsidP="00695A13">
      <w:pPr>
        <w:pStyle w:val="Numberedparagraph"/>
        <w:rPr>
          <w:i/>
          <w:iCs/>
        </w:rPr>
      </w:pPr>
      <w:r>
        <w:t>A discussion of relevant WBB deployments overseas</w:t>
      </w:r>
      <w:r w:rsidR="00F1319A">
        <w:t xml:space="preserve"> is</w:t>
      </w:r>
      <w:r>
        <w:t xml:space="preserve"> in </w:t>
      </w:r>
      <w:r w:rsidRPr="00444F6D">
        <w:rPr>
          <w:i/>
          <w:iCs/>
        </w:rPr>
        <w:fldChar w:fldCharType="begin"/>
      </w:r>
      <w:r w:rsidRPr="00D379F3">
        <w:rPr>
          <w:i/>
          <w:iCs/>
        </w:rPr>
        <w:instrText xml:space="preserve"> REF _Ref106622073 \h  \* MERGEFORMAT </w:instrText>
      </w:r>
      <w:r w:rsidRPr="00444F6D">
        <w:rPr>
          <w:i/>
          <w:iCs/>
        </w:rPr>
      </w:r>
      <w:r w:rsidRPr="00444F6D">
        <w:rPr>
          <w:i/>
          <w:iCs/>
        </w:rPr>
        <w:fldChar w:fldCharType="separate"/>
      </w:r>
      <w:r w:rsidR="009C0E98" w:rsidRPr="00695A13">
        <w:rPr>
          <w:i/>
          <w:iCs/>
        </w:rPr>
        <w:t>Appendix F: Relevant overseas WBB deployments</w:t>
      </w:r>
      <w:r w:rsidRPr="00444F6D">
        <w:rPr>
          <w:i/>
          <w:iCs/>
        </w:rPr>
        <w:fldChar w:fldCharType="end"/>
      </w:r>
      <w:r w:rsidRPr="00444F6D">
        <w:rPr>
          <w:i/>
          <w:iCs/>
        </w:rPr>
        <w:t>.</w:t>
      </w:r>
    </w:p>
    <w:p w14:paraId="1A535637" w14:textId="00B7129C" w:rsidR="00135763" w:rsidRDefault="00135763" w:rsidP="00135763">
      <w:pPr>
        <w:pStyle w:val="Heading4"/>
      </w:pPr>
      <w:r>
        <w:t>Summary</w:t>
      </w:r>
    </w:p>
    <w:p w14:paraId="754352C3" w14:textId="06514F09" w:rsidR="001E031D" w:rsidRPr="00EF23CB" w:rsidRDefault="00135763" w:rsidP="00EF23CB">
      <w:pPr>
        <w:pStyle w:val="Numberedparagraph"/>
        <w:spacing w:after="0" w:line="240" w:lineRule="auto"/>
        <w:rPr>
          <w:b/>
          <w:bCs/>
          <w:iCs/>
          <w:sz w:val="28"/>
          <w:szCs w:val="28"/>
        </w:rPr>
      </w:pPr>
      <w:r>
        <w:t xml:space="preserve">There have been many deployments of WBB networks of different technologies in parts of the 3400-4000 MHz range both in Australia and overseas. </w:t>
      </w:r>
      <w:r w:rsidRPr="00EF23CB">
        <w:rPr>
          <w:i/>
          <w:iCs/>
        </w:rPr>
        <w:fldChar w:fldCharType="begin"/>
      </w:r>
      <w:r w:rsidRPr="00EF23CB">
        <w:rPr>
          <w:i/>
          <w:iCs/>
        </w:rPr>
        <w:instrText xml:space="preserve"> REF _Ref106622191 \h  \* MERGEFORMAT </w:instrText>
      </w:r>
      <w:r w:rsidRPr="00EF23CB">
        <w:rPr>
          <w:i/>
          <w:iCs/>
        </w:rPr>
      </w:r>
      <w:r w:rsidRPr="00EF23CB">
        <w:rPr>
          <w:i/>
          <w:iCs/>
        </w:rPr>
        <w:fldChar w:fldCharType="separate"/>
      </w:r>
      <w:r w:rsidR="009C0E98" w:rsidRPr="00695A13">
        <w:rPr>
          <w:i/>
          <w:iCs/>
        </w:rPr>
        <w:t xml:space="preserve">Appendix D: </w:t>
      </w:r>
      <w:r w:rsidR="009C0E98" w:rsidRPr="00695A13">
        <w:rPr>
          <w:i/>
          <w:iCs/>
        </w:rPr>
        <w:lastRenderedPageBreak/>
        <w:t>Development of proposed interim mitigations</w:t>
      </w:r>
      <w:r w:rsidRPr="00EF23CB">
        <w:rPr>
          <w:i/>
          <w:iCs/>
        </w:rPr>
        <w:fldChar w:fldCharType="end"/>
      </w:r>
      <w:r>
        <w:t xml:space="preserve"> considers the implications when considering where a frequency boundary for possible mitigations should be placed.</w:t>
      </w:r>
      <w:bookmarkStart w:id="31" w:name="_Ref106971218"/>
    </w:p>
    <w:p w14:paraId="269EDA7F" w14:textId="19BFFC6B" w:rsidR="00952350" w:rsidRDefault="00952350" w:rsidP="00952350">
      <w:pPr>
        <w:pStyle w:val="Heading2"/>
      </w:pPr>
      <w:bookmarkStart w:id="32" w:name="_Toc116041885"/>
      <w:r>
        <w:t xml:space="preserve">Observed </w:t>
      </w:r>
      <w:r w:rsidR="00A10D9B">
        <w:t xml:space="preserve">historical </w:t>
      </w:r>
      <w:r w:rsidR="00C45C89">
        <w:t xml:space="preserve">possible </w:t>
      </w:r>
      <w:r>
        <w:t xml:space="preserve">interference </w:t>
      </w:r>
      <w:r w:rsidR="002E4F49">
        <w:t>events</w:t>
      </w:r>
      <w:bookmarkEnd w:id="31"/>
      <w:bookmarkEnd w:id="32"/>
    </w:p>
    <w:p w14:paraId="3730F302" w14:textId="6F80D0ED" w:rsidR="00952350" w:rsidRDefault="00952350" w:rsidP="00952350">
      <w:pPr>
        <w:pStyle w:val="Heading3"/>
      </w:pPr>
      <w:r>
        <w:t>Estonia</w:t>
      </w:r>
    </w:p>
    <w:p w14:paraId="6BE76865" w14:textId="277D4604" w:rsidR="00952350" w:rsidRPr="008F6F5F" w:rsidRDefault="006F29A3" w:rsidP="00077BB0">
      <w:pPr>
        <w:pStyle w:val="Numberedparagraph"/>
      </w:pPr>
      <w:r w:rsidRPr="008F6F5F">
        <w:t xml:space="preserve">The International Civil Aviation Organisation’s (ICAO) Frequency Spectrum Management Panel (FSMP) WG/11 </w:t>
      </w:r>
      <w:hyperlink r:id="rId86" w:history="1">
        <w:r w:rsidRPr="00077BB0">
          <w:rPr>
            <w:rStyle w:val="Hyperlink"/>
            <w:color w:val="1F497D" w:themeColor="text2"/>
          </w:rPr>
          <w:t>meeting</w:t>
        </w:r>
      </w:hyperlink>
      <w:r w:rsidRPr="00077BB0">
        <w:rPr>
          <w:color w:val="1F497D" w:themeColor="text2"/>
        </w:rPr>
        <w:t xml:space="preserve"> </w:t>
      </w:r>
      <w:r w:rsidRPr="008F6F5F">
        <w:t xml:space="preserve">March 2021 had an </w:t>
      </w:r>
      <w:r w:rsidR="00C45C89" w:rsidRPr="008F6F5F">
        <w:t>information</w:t>
      </w:r>
      <w:r w:rsidRPr="008F6F5F">
        <w:t xml:space="preserve"> </w:t>
      </w:r>
      <w:hyperlink r:id="rId87" w:history="1">
        <w:r w:rsidRPr="00077BB0">
          <w:rPr>
            <w:rStyle w:val="Hyperlink"/>
            <w:color w:val="1F497D" w:themeColor="text2"/>
          </w:rPr>
          <w:t>document</w:t>
        </w:r>
      </w:hyperlink>
      <w:r w:rsidRPr="00077BB0">
        <w:rPr>
          <w:color w:val="1F497D" w:themeColor="text2"/>
        </w:rPr>
        <w:t xml:space="preserve"> </w:t>
      </w:r>
      <w:r w:rsidRPr="008F6F5F">
        <w:t>concerning potential interference to certain ATR aircraft on approach to Tallinn airport in Estonia.</w:t>
      </w:r>
    </w:p>
    <w:p w14:paraId="0697C2D2" w14:textId="62C718A4" w:rsidR="004147B6" w:rsidRDefault="004147B6" w:rsidP="006F29A3">
      <w:pPr>
        <w:pStyle w:val="Numberedparagraph"/>
        <w:numPr>
          <w:ilvl w:val="0"/>
          <w:numId w:val="0"/>
        </w:numPr>
      </w:pPr>
      <w:r>
        <w:t xml:space="preserve">It reports </w:t>
      </w:r>
      <w:r w:rsidR="006F29A3">
        <w:t xml:space="preserve">a high degree of correlation of RA disturbances when passing over specific 3G/4G 800 MHz, 900 MHz, 2100 MHz base stations. </w:t>
      </w:r>
      <w:r w:rsidR="00617805">
        <w:t>(Note that t</w:t>
      </w:r>
      <w:r w:rsidR="006F29A3">
        <w:t>here are no transmissions of 5G or any in the 3400-4000 MHz range from these base stations.</w:t>
      </w:r>
      <w:r w:rsidR="00617805">
        <w:t>)</w:t>
      </w:r>
      <w:r>
        <w:t xml:space="preserve"> </w:t>
      </w:r>
    </w:p>
    <w:p w14:paraId="5C58A5D0" w14:textId="59CFA7E7" w:rsidR="006F29A3" w:rsidRDefault="004147B6" w:rsidP="006F29A3">
      <w:pPr>
        <w:pStyle w:val="Numberedparagraph"/>
        <w:numPr>
          <w:ilvl w:val="0"/>
          <w:numId w:val="0"/>
        </w:numPr>
      </w:pPr>
      <w:r>
        <w:t>If the issues were caused in part by the nearby transmissions</w:t>
      </w:r>
      <w:r w:rsidR="00617805">
        <w:t xml:space="preserve"> in those operating frequency ranges</w:t>
      </w:r>
      <w:r>
        <w:t>, this should already have been a globally observed major issue</w:t>
      </w:r>
      <w:r w:rsidR="00E620FE">
        <w:t>,</w:t>
      </w:r>
      <w:r>
        <w:t xml:space="preserve"> as WBB in these bands has been operating for many years.</w:t>
      </w:r>
    </w:p>
    <w:p w14:paraId="2FC42E04" w14:textId="666A1701" w:rsidR="006F29A3" w:rsidRDefault="006F29A3" w:rsidP="006F29A3">
      <w:pPr>
        <w:pStyle w:val="Heading3"/>
      </w:pPr>
      <w:r>
        <w:t>Australia</w:t>
      </w:r>
    </w:p>
    <w:p w14:paraId="7DB8A2FF" w14:textId="7BC9E980" w:rsidR="00163FF2" w:rsidRDefault="006F29A3" w:rsidP="00077BB0">
      <w:pPr>
        <w:pStyle w:val="Numberedparagraph"/>
      </w:pPr>
      <w:r>
        <w:t>In the CASA airworthiness bulletin</w:t>
      </w:r>
      <w:r w:rsidRPr="006F29A3">
        <w:t xml:space="preserve"> </w:t>
      </w:r>
      <w:hyperlink r:id="rId88" w:history="1">
        <w:r w:rsidRPr="006F29A3">
          <w:rPr>
            <w:rStyle w:val="Hyperlink"/>
          </w:rPr>
          <w:t>AWB 34-020 Issue 7 – 4 March 2022</w:t>
        </w:r>
      </w:hyperlink>
      <w:r>
        <w:t xml:space="preserve"> it indicates a number of reported errors or discrepancies with radio altimeter systems</w:t>
      </w:r>
      <w:r w:rsidR="00163FF2">
        <w:t>, but notes that “CASA has not confirmed any RA system failure from 5G interference”.</w:t>
      </w:r>
    </w:p>
    <w:p w14:paraId="0C0FC88B" w14:textId="33E5093F" w:rsidR="00163FF2" w:rsidRDefault="00163FF2" w:rsidP="00077BB0">
      <w:pPr>
        <w:pStyle w:val="Numberedparagraph"/>
      </w:pPr>
      <w:r>
        <w:t xml:space="preserve">The ACMA has received some </w:t>
      </w:r>
      <w:r w:rsidR="00166D13">
        <w:t xml:space="preserve">further </w:t>
      </w:r>
      <w:r>
        <w:t xml:space="preserve">information on </w:t>
      </w:r>
      <w:r w:rsidR="00166D13">
        <w:t xml:space="preserve">specific </w:t>
      </w:r>
      <w:r>
        <w:t xml:space="preserve">possible </w:t>
      </w:r>
      <w:r w:rsidR="003100DF">
        <w:t>events</w:t>
      </w:r>
      <w:r>
        <w:t>. While some</w:t>
      </w:r>
      <w:r w:rsidR="0031767A">
        <w:t xml:space="preserve"> of the event</w:t>
      </w:r>
      <w:r w:rsidR="004B2347">
        <w:t>s</w:t>
      </w:r>
      <w:r>
        <w:t xml:space="preserve">, under a </w:t>
      </w:r>
      <w:r w:rsidR="00284BD6">
        <w:t xml:space="preserve">simple </w:t>
      </w:r>
      <w:r w:rsidR="004B2347">
        <w:t xml:space="preserve">static </w:t>
      </w:r>
      <w:r>
        <w:t xml:space="preserve">analysis, indicate that nearby 5G base stations in the 3575-3700 MHz range have some potential to cause interference to </w:t>
      </w:r>
      <w:r w:rsidR="00FC2DB6">
        <w:t>a</w:t>
      </w:r>
      <w:r>
        <w:t xml:space="preserve"> </w:t>
      </w:r>
      <w:r w:rsidR="003100DF">
        <w:t>worst-case</w:t>
      </w:r>
      <w:r>
        <w:t xml:space="preserve"> M.2059 RA, there is not sufficient information to be able to make any </w:t>
      </w:r>
      <w:r w:rsidR="0031767A">
        <w:t xml:space="preserve">definitive </w:t>
      </w:r>
      <w:r>
        <w:t>conclusions</w:t>
      </w:r>
      <w:r w:rsidR="004B2347">
        <w:t xml:space="preserve"> about any of the</w:t>
      </w:r>
      <w:r w:rsidR="003100DF">
        <w:t>se</w:t>
      </w:r>
      <w:r w:rsidR="004B2347">
        <w:t xml:space="preserve"> historic</w:t>
      </w:r>
      <w:r w:rsidR="00284BD6">
        <w:t>al</w:t>
      </w:r>
      <w:r w:rsidR="004B2347">
        <w:t xml:space="preserve"> events</w:t>
      </w:r>
      <w:r>
        <w:t>.</w:t>
      </w:r>
    </w:p>
    <w:p w14:paraId="2685C5AA" w14:textId="5A3A77B6" w:rsidR="0031767A" w:rsidRDefault="0031767A" w:rsidP="00077BB0">
      <w:pPr>
        <w:pStyle w:val="Numberedparagraph"/>
      </w:pPr>
      <w:r>
        <w:t xml:space="preserve">The ACMA subsequently </w:t>
      </w:r>
      <w:r w:rsidR="00303D51">
        <w:t>encouraged</w:t>
      </w:r>
      <w:r>
        <w:t xml:space="preserve"> CASA to collect a wider degree of information than that currently</w:t>
      </w:r>
      <w:r w:rsidR="005355EA">
        <w:t xml:space="preserve"> suggested</w:t>
      </w:r>
      <w:r>
        <w:t xml:space="preserve"> in the AWB from </w:t>
      </w:r>
      <w:r w:rsidRPr="008F6F5F">
        <w:t>each</w:t>
      </w:r>
      <w:r>
        <w:t xml:space="preserve"> event.</w:t>
      </w:r>
    </w:p>
    <w:p w14:paraId="10FD929E" w14:textId="74A08768" w:rsidR="00B92BA6" w:rsidRDefault="00B92BA6" w:rsidP="00B92BA6">
      <w:pPr>
        <w:pStyle w:val="Heading3"/>
      </w:pPr>
      <w:r>
        <w:t>USA</w:t>
      </w:r>
    </w:p>
    <w:p w14:paraId="6AEE670D" w14:textId="70805F21" w:rsidR="00B92BA6" w:rsidRDefault="00B92BA6" w:rsidP="00077BB0">
      <w:pPr>
        <w:pStyle w:val="Numberedparagraph"/>
      </w:pPr>
      <w:r>
        <w:t xml:space="preserve">It was </w:t>
      </w:r>
      <w:hyperlink r:id="rId89" w:history="1">
        <w:r w:rsidRPr="00B92BA6">
          <w:rPr>
            <w:rStyle w:val="Hyperlink"/>
          </w:rPr>
          <w:t>reported</w:t>
        </w:r>
      </w:hyperlink>
      <w:r>
        <w:t xml:space="preserve"> in the media in February 2022 that pilots were reporting potential cases of interference to RAs, but the FAA could not validate any cases at the time.</w:t>
      </w:r>
    </w:p>
    <w:p w14:paraId="142619B6" w14:textId="32CF8FC7" w:rsidR="006F29A3" w:rsidRDefault="00667D61" w:rsidP="00077BB0">
      <w:pPr>
        <w:pStyle w:val="Numberedparagraph"/>
      </w:pPr>
      <w:bookmarkStart w:id="33" w:name="_Ref107297538"/>
      <w:r>
        <w:t xml:space="preserve">Using the FAA </w:t>
      </w:r>
      <w:hyperlink r:id="rId90" w:history="1">
        <w:r w:rsidRPr="00667D61">
          <w:rPr>
            <w:rStyle w:val="Hyperlink"/>
          </w:rPr>
          <w:t>ASIAS</w:t>
        </w:r>
      </w:hyperlink>
      <w:r>
        <w:t xml:space="preserve"> and </w:t>
      </w:r>
      <w:hyperlink r:id="rId91" w:history="1">
        <w:r w:rsidRPr="00667D61">
          <w:rPr>
            <w:rStyle w:val="Hyperlink"/>
          </w:rPr>
          <w:t>AIDS</w:t>
        </w:r>
      </w:hyperlink>
      <w:r>
        <w:t xml:space="preserve"> databases, the search terms “radio altimeter”, “radar altimeter”, “LRRA” and “radalt” retrieved seven total records of historical events</w:t>
      </w:r>
      <w:r w:rsidR="0090661E">
        <w:t xml:space="preserve"> since 1978</w:t>
      </w:r>
      <w:r>
        <w:t xml:space="preserve">. Only one </w:t>
      </w:r>
      <w:hyperlink r:id="rId92" w:history="1">
        <w:r w:rsidRPr="00667D61">
          <w:rPr>
            <w:rStyle w:val="Hyperlink"/>
          </w:rPr>
          <w:t>event</w:t>
        </w:r>
      </w:hyperlink>
      <w:r>
        <w:t xml:space="preserve"> suggested that radio frequency interference </w:t>
      </w:r>
      <w:r w:rsidR="0009502B">
        <w:t xml:space="preserve">(~ 2 GHz) </w:t>
      </w:r>
      <w:r>
        <w:t xml:space="preserve">may have been a factor but there was no </w:t>
      </w:r>
      <w:r w:rsidR="0009502B">
        <w:t>conclusion and the incident was closed.</w:t>
      </w:r>
      <w:r w:rsidR="00166D13">
        <w:t xml:space="preserve"> Some operational information on the </w:t>
      </w:r>
      <w:r w:rsidR="000C744A">
        <w:t xml:space="preserve">particular </w:t>
      </w:r>
      <w:r w:rsidR="00166D13">
        <w:t xml:space="preserve">Ground </w:t>
      </w:r>
      <w:r w:rsidR="00166D13" w:rsidRPr="008F6F5F">
        <w:t>Proximity</w:t>
      </w:r>
      <w:r w:rsidR="00166D13">
        <w:t xml:space="preserve"> Warning System (GPWS) used </w:t>
      </w:r>
      <w:r w:rsidR="000C744A">
        <w:t xml:space="preserve">by the aircraft in this event can be found in a historical Lockheed service news </w:t>
      </w:r>
      <w:hyperlink r:id="rId93" w:history="1">
        <w:r w:rsidR="000C744A">
          <w:rPr>
            <w:rStyle w:val="Hyperlink"/>
          </w:rPr>
          <w:t>publication</w:t>
        </w:r>
      </w:hyperlink>
      <w:r w:rsidR="000C744A">
        <w:t>.</w:t>
      </w:r>
      <w:bookmarkEnd w:id="33"/>
    </w:p>
    <w:p w14:paraId="6D494AB7" w14:textId="1AC8F9DF" w:rsidR="006F29A3" w:rsidRDefault="008F6F5F">
      <w:pPr>
        <w:pStyle w:val="Numberedparagraph"/>
        <w:rPr>
          <w:rStyle w:val="Hyperlink"/>
          <w:color w:val="auto"/>
          <w:u w:val="none"/>
        </w:rPr>
      </w:pPr>
      <w:r>
        <w:rPr>
          <w:rStyle w:val="Hyperlink"/>
          <w:color w:val="auto"/>
          <w:u w:val="none"/>
        </w:rPr>
        <w:t xml:space="preserve">Broadening the AIDS search terms to include GPWS displayed 11 events.  Some events indicated possible radio altimeter faults but did not </w:t>
      </w:r>
      <w:r w:rsidRPr="008F6F5F">
        <w:rPr>
          <w:rStyle w:val="Hyperlink"/>
          <w:color w:val="auto"/>
          <w:u w:val="none"/>
        </w:rPr>
        <w:t>indicate</w:t>
      </w:r>
      <w:r>
        <w:rPr>
          <w:rStyle w:val="Hyperlink"/>
          <w:color w:val="auto"/>
          <w:u w:val="none"/>
        </w:rPr>
        <w:t xml:space="preserve"> </w:t>
      </w:r>
      <w:r w:rsidR="00E02A75">
        <w:rPr>
          <w:rStyle w:val="Hyperlink"/>
          <w:color w:val="auto"/>
          <w:u w:val="none"/>
        </w:rPr>
        <w:t xml:space="preserve">that they were </w:t>
      </w:r>
      <w:r>
        <w:rPr>
          <w:rStyle w:val="Hyperlink"/>
          <w:color w:val="auto"/>
          <w:u w:val="none"/>
        </w:rPr>
        <w:t xml:space="preserve">interference related (excepting the same event as under </w:t>
      </w:r>
      <w:r w:rsidR="00854E5F">
        <w:rPr>
          <w:rStyle w:val="Hyperlink"/>
          <w:color w:val="auto"/>
          <w:u w:val="none"/>
        </w:rPr>
        <w:fldChar w:fldCharType="begin"/>
      </w:r>
      <w:r w:rsidR="00854E5F">
        <w:rPr>
          <w:rStyle w:val="Hyperlink"/>
          <w:color w:val="auto"/>
          <w:u w:val="none"/>
        </w:rPr>
        <w:instrText xml:space="preserve"> REF _Ref107297538 \r \h </w:instrText>
      </w:r>
      <w:r w:rsidR="00854E5F">
        <w:rPr>
          <w:rStyle w:val="Hyperlink"/>
          <w:color w:val="auto"/>
          <w:u w:val="none"/>
        </w:rPr>
      </w:r>
      <w:r w:rsidR="00854E5F">
        <w:rPr>
          <w:rStyle w:val="Hyperlink"/>
          <w:color w:val="auto"/>
          <w:u w:val="none"/>
        </w:rPr>
        <w:fldChar w:fldCharType="separate"/>
      </w:r>
      <w:r w:rsidR="009C0E98">
        <w:rPr>
          <w:rStyle w:val="Hyperlink"/>
          <w:color w:val="auto"/>
          <w:u w:val="none"/>
        </w:rPr>
        <w:t>3.78</w:t>
      </w:r>
      <w:r w:rsidR="00854E5F">
        <w:rPr>
          <w:rStyle w:val="Hyperlink"/>
          <w:color w:val="auto"/>
          <w:u w:val="none"/>
        </w:rPr>
        <w:fldChar w:fldCharType="end"/>
      </w:r>
      <w:r>
        <w:rPr>
          <w:rStyle w:val="Hyperlink"/>
          <w:color w:val="auto"/>
          <w:u w:val="none"/>
        </w:rPr>
        <w:fldChar w:fldCharType="begin"/>
      </w:r>
      <w:r>
        <w:rPr>
          <w:rStyle w:val="Hyperlink"/>
          <w:color w:val="auto"/>
          <w:u w:val="none"/>
        </w:rPr>
        <w:instrText xml:space="preserve"> REF _Ref107297538 \r \h </w:instrText>
      </w:r>
      <w:r>
        <w:rPr>
          <w:rStyle w:val="Hyperlink"/>
          <w:color w:val="auto"/>
          <w:u w:val="none"/>
        </w:rPr>
      </w:r>
      <w:r>
        <w:rPr>
          <w:rStyle w:val="Hyperlink"/>
          <w:color w:val="auto"/>
          <w:u w:val="none"/>
        </w:rPr>
        <w:fldChar w:fldCharType="separate"/>
      </w:r>
      <w:r w:rsidR="009C0E98">
        <w:rPr>
          <w:rStyle w:val="Hyperlink"/>
          <w:color w:val="auto"/>
          <w:u w:val="none"/>
        </w:rPr>
        <w:t>3.78</w:t>
      </w:r>
      <w:r>
        <w:rPr>
          <w:rStyle w:val="Hyperlink"/>
          <w:color w:val="auto"/>
          <w:u w:val="none"/>
        </w:rPr>
        <w:fldChar w:fldCharType="end"/>
      </w:r>
      <w:r>
        <w:rPr>
          <w:rStyle w:val="Hyperlink"/>
          <w:color w:val="auto"/>
          <w:u w:val="none"/>
        </w:rPr>
        <w:t>.)</w:t>
      </w:r>
    </w:p>
    <w:p w14:paraId="5C08F681" w14:textId="6833C917" w:rsidR="00322670" w:rsidRPr="008D4CD2" w:rsidRDefault="00322670" w:rsidP="00077BB0">
      <w:pPr>
        <w:pStyle w:val="Heading3"/>
        <w:rPr>
          <w:rStyle w:val="Hyperlink"/>
          <w:color w:val="auto"/>
          <w:u w:val="none"/>
        </w:rPr>
      </w:pPr>
      <w:r>
        <w:t>UK</w:t>
      </w:r>
    </w:p>
    <w:p w14:paraId="717A3FDF" w14:textId="7851B0FB" w:rsidR="007226D4" w:rsidRDefault="007226D4" w:rsidP="00077BB0">
      <w:pPr>
        <w:pStyle w:val="Numberedparagraph"/>
        <w:rPr>
          <w:rStyle w:val="Hyperlink"/>
          <w:color w:val="auto"/>
          <w:u w:val="none"/>
        </w:rPr>
      </w:pPr>
      <w:r>
        <w:rPr>
          <w:rStyle w:val="Hyperlink"/>
          <w:color w:val="auto"/>
          <w:u w:val="none"/>
        </w:rPr>
        <w:t xml:space="preserve">In the UK part of </w:t>
      </w:r>
      <w:r w:rsidRPr="00077BB0">
        <w:rPr>
          <w:rStyle w:val="Hyperlink"/>
          <w:i/>
          <w:iCs/>
          <w:color w:val="auto"/>
          <w:u w:val="none"/>
        </w:rPr>
        <w:fldChar w:fldCharType="begin"/>
      </w:r>
      <w:r w:rsidRPr="00077BB0">
        <w:rPr>
          <w:rStyle w:val="Hyperlink"/>
          <w:i/>
          <w:iCs/>
          <w:color w:val="auto"/>
          <w:u w:val="none"/>
        </w:rPr>
        <w:instrText xml:space="preserve"> REF _Ref106278740 \h </w:instrText>
      </w:r>
      <w:r w:rsidR="00322670">
        <w:rPr>
          <w:rStyle w:val="Hyperlink"/>
          <w:i/>
          <w:iCs/>
          <w:color w:val="auto"/>
          <w:u w:val="none"/>
        </w:rPr>
        <w:instrText xml:space="preserve"> \* MERGEFORMAT </w:instrText>
      </w:r>
      <w:r w:rsidRPr="00077BB0">
        <w:rPr>
          <w:rStyle w:val="Hyperlink"/>
          <w:i/>
          <w:iCs/>
          <w:color w:val="auto"/>
          <w:u w:val="none"/>
        </w:rPr>
      </w:r>
      <w:r w:rsidRPr="00077BB0">
        <w:rPr>
          <w:rStyle w:val="Hyperlink"/>
          <w:i/>
          <w:iCs/>
          <w:color w:val="auto"/>
          <w:u w:val="none"/>
        </w:rPr>
        <w:fldChar w:fldCharType="separate"/>
      </w:r>
      <w:r w:rsidR="009C0E98" w:rsidRPr="00695A13">
        <w:rPr>
          <w:i/>
          <w:iCs/>
        </w:rPr>
        <w:t>Appendix C: International developments and approaches</w:t>
      </w:r>
      <w:r w:rsidRPr="00077BB0">
        <w:rPr>
          <w:rStyle w:val="Hyperlink"/>
          <w:i/>
          <w:iCs/>
          <w:color w:val="auto"/>
          <w:u w:val="none"/>
        </w:rPr>
        <w:fldChar w:fldCharType="end"/>
      </w:r>
      <w:r w:rsidR="00322670">
        <w:rPr>
          <w:rStyle w:val="Hyperlink"/>
          <w:color w:val="auto"/>
          <w:u w:val="none"/>
        </w:rPr>
        <w:t>, it is noted that the Civil Aviation Authority (CAA) has talked with fellow aviation regulators and no confirmed incidents where “</w:t>
      </w:r>
      <w:r w:rsidR="00322670" w:rsidRPr="00322670">
        <w:rPr>
          <w:rStyle w:val="Hyperlink"/>
          <w:color w:val="auto"/>
          <w:u w:val="none"/>
        </w:rPr>
        <w:t>5G interference has resulted in aircraft system malfunction or unexpected behaviour</w:t>
      </w:r>
      <w:r w:rsidR="00322670">
        <w:rPr>
          <w:rStyle w:val="Hyperlink"/>
          <w:color w:val="auto"/>
          <w:u w:val="none"/>
        </w:rPr>
        <w:t>” have occurred.</w:t>
      </w:r>
    </w:p>
    <w:p w14:paraId="0ABA3703" w14:textId="49863057" w:rsidR="002A2802" w:rsidRPr="009D33B1" w:rsidRDefault="002A2802" w:rsidP="00077BB0">
      <w:pPr>
        <w:pStyle w:val="Numberedparagraph"/>
        <w:rPr>
          <w:rStyle w:val="Hyperlink"/>
          <w:color w:val="auto"/>
          <w:u w:val="none"/>
        </w:rPr>
      </w:pPr>
      <w:r w:rsidRPr="009D33B1">
        <w:rPr>
          <w:rStyle w:val="Hyperlink"/>
          <w:color w:val="auto"/>
          <w:u w:val="none"/>
        </w:rPr>
        <w:lastRenderedPageBreak/>
        <w:t xml:space="preserve">We are aware that there have been </w:t>
      </w:r>
      <w:hyperlink r:id="rId94" w:history="1">
        <w:r w:rsidRPr="009D33B1">
          <w:rPr>
            <w:rStyle w:val="Hyperlink"/>
          </w:rPr>
          <w:t>investigations</w:t>
        </w:r>
      </w:hyperlink>
      <w:r w:rsidRPr="009D33B1">
        <w:rPr>
          <w:rStyle w:val="Hyperlink"/>
          <w:color w:val="auto"/>
          <w:u w:val="none"/>
        </w:rPr>
        <w:t xml:space="preserve"> into </w:t>
      </w:r>
      <w:r w:rsidR="00583483" w:rsidRPr="00257BC6">
        <w:rPr>
          <w:rStyle w:val="Hyperlink"/>
          <w:color w:val="auto"/>
          <w:u w:val="none"/>
        </w:rPr>
        <w:t xml:space="preserve">possible </w:t>
      </w:r>
      <w:r w:rsidRPr="009D33B1">
        <w:rPr>
          <w:rStyle w:val="Hyperlink"/>
          <w:color w:val="auto"/>
          <w:u w:val="none"/>
        </w:rPr>
        <w:t>incidents around Heathrow and Bristol airports.</w:t>
      </w:r>
    </w:p>
    <w:p w14:paraId="2785E20D" w14:textId="77777777" w:rsidR="00335C0B" w:rsidRPr="00335C0B" w:rsidRDefault="00335C0B" w:rsidP="00365135">
      <w:pPr>
        <w:pStyle w:val="Numberedparagraph"/>
        <w:numPr>
          <w:ilvl w:val="0"/>
          <w:numId w:val="0"/>
        </w:numPr>
        <w:ind w:left="-567"/>
      </w:pPr>
    </w:p>
    <w:p w14:paraId="0F96DB2D" w14:textId="100D7238" w:rsidR="00892DC3" w:rsidRDefault="00892DC3" w:rsidP="00892DC3">
      <w:pPr>
        <w:pStyle w:val="Heading1"/>
      </w:pPr>
      <w:bookmarkStart w:id="34" w:name="_Toc106627247"/>
      <w:bookmarkStart w:id="35" w:name="_Toc106627248"/>
      <w:bookmarkStart w:id="36" w:name="_Toc106627249"/>
      <w:bookmarkStart w:id="37" w:name="_Ref106798064"/>
      <w:bookmarkStart w:id="38" w:name="_Toc116041886"/>
      <w:bookmarkEnd w:id="19"/>
      <w:bookmarkEnd w:id="34"/>
      <w:bookmarkEnd w:id="35"/>
      <w:bookmarkEnd w:id="36"/>
      <w:r>
        <w:lastRenderedPageBreak/>
        <w:t>Observations</w:t>
      </w:r>
      <w:bookmarkEnd w:id="37"/>
      <w:r w:rsidR="008C350B">
        <w:t>, c</w:t>
      </w:r>
      <w:r w:rsidR="000B0BF2">
        <w:t>onclusions</w:t>
      </w:r>
      <w:r w:rsidR="008C350B">
        <w:t xml:space="preserve"> and proposed approach</w:t>
      </w:r>
      <w:bookmarkEnd w:id="38"/>
    </w:p>
    <w:p w14:paraId="72D3AC34" w14:textId="61A94682" w:rsidR="00AC7207" w:rsidRPr="00EF23CB" w:rsidRDefault="00AC7207">
      <w:pPr>
        <w:pStyle w:val="Heading2"/>
      </w:pPr>
      <w:bookmarkStart w:id="39" w:name="_Toc116041887"/>
      <w:r w:rsidRPr="00EF23CB">
        <w:t xml:space="preserve">Difference in approaches between </w:t>
      </w:r>
      <w:r w:rsidRPr="00EF23CB">
        <w:rPr>
          <w:iCs w:val="0"/>
        </w:rPr>
        <w:t>national</w:t>
      </w:r>
      <w:r w:rsidRPr="00EF23CB">
        <w:t xml:space="preserve"> spectrum </w:t>
      </w:r>
      <w:r w:rsidRPr="00EF23CB">
        <w:rPr>
          <w:iCs w:val="0"/>
        </w:rPr>
        <w:t>regulators</w:t>
      </w:r>
      <w:bookmarkEnd w:id="39"/>
    </w:p>
    <w:p w14:paraId="72149872" w14:textId="5E74F70B" w:rsidR="00AC7207" w:rsidRDefault="00AC7207" w:rsidP="00AC7207">
      <w:pPr>
        <w:pStyle w:val="Numberedparagraph"/>
      </w:pPr>
      <w:r>
        <w:t>As outlined in Appendix C, there is a divergence in approaches adopted by national spectrum regulators on the matter of coexistence between WBB and RAs. There is likely to be a range of reasons why this is the case, including:</w:t>
      </w:r>
    </w:p>
    <w:p w14:paraId="06E7991B" w14:textId="27E77C77" w:rsidR="00AC7207" w:rsidRDefault="00AC7207" w:rsidP="00AC7207">
      <w:pPr>
        <w:pStyle w:val="Numberedparagraph"/>
        <w:numPr>
          <w:ilvl w:val="2"/>
          <w:numId w:val="13"/>
        </w:numPr>
      </w:pPr>
      <w:r>
        <w:t xml:space="preserve">Timing of considerations – the timing of domestic decisions by national regulators </w:t>
      </w:r>
      <w:r w:rsidR="00297CD6">
        <w:t xml:space="preserve">are </w:t>
      </w:r>
      <w:r>
        <w:t xml:space="preserve">often </w:t>
      </w:r>
      <w:r w:rsidR="003B7AF2">
        <w:t>different</w:t>
      </w:r>
      <w:r>
        <w:t xml:space="preserve"> meaning that the available information/evidence base </w:t>
      </w:r>
      <w:r w:rsidR="003B7AF2">
        <w:t xml:space="preserve">supporting these decisions </w:t>
      </w:r>
      <w:r>
        <w:t>will be different. This is especially relevant in the case of coexistence between WBB and RAs as it is only in relatively recent</w:t>
      </w:r>
      <w:r w:rsidR="00797EFB">
        <w:t>ly</w:t>
      </w:r>
      <w:r>
        <w:t xml:space="preserve"> </w:t>
      </w:r>
      <w:r w:rsidR="003B7AF2">
        <w:t xml:space="preserve">(the RTCA work </w:t>
      </w:r>
      <w:r w:rsidR="00297CD6">
        <w:t xml:space="preserve">was </w:t>
      </w:r>
      <w:r w:rsidR="003B7AF2">
        <w:t xml:space="preserve">only published </w:t>
      </w:r>
      <w:r w:rsidR="007C3D2E">
        <w:t>towards</w:t>
      </w:r>
      <w:r w:rsidR="003B7AF2">
        <w:t xml:space="preserve"> the end of </w:t>
      </w:r>
      <w:r w:rsidR="003B7AF2" w:rsidRPr="007C3D2E">
        <w:t>2020</w:t>
      </w:r>
      <w:r w:rsidR="003B7AF2">
        <w:t xml:space="preserve"> for example) </w:t>
      </w:r>
      <w:r>
        <w:t xml:space="preserve">that detailed work has been </w:t>
      </w:r>
      <w:r w:rsidR="003B7AF2">
        <w:t>undertaken</w:t>
      </w:r>
      <w:r>
        <w:t xml:space="preserve"> in </w:t>
      </w:r>
      <w:r w:rsidR="003B7AF2">
        <w:t>an attempt</w:t>
      </w:r>
      <w:r>
        <w:t xml:space="preserve"> to better quanti</w:t>
      </w:r>
      <w:r w:rsidR="00297CD6">
        <w:t>f</w:t>
      </w:r>
      <w:r>
        <w:t xml:space="preserve">y the </w:t>
      </w:r>
      <w:r w:rsidR="003B7AF2">
        <w:t>theoretical</w:t>
      </w:r>
      <w:r>
        <w:t xml:space="preserve"> </w:t>
      </w:r>
      <w:r w:rsidR="003B7AF2">
        <w:t>concern</w:t>
      </w:r>
      <w:r>
        <w:t xml:space="preserve">. </w:t>
      </w:r>
      <w:r w:rsidR="003B7AF2">
        <w:t>In some cases</w:t>
      </w:r>
      <w:r w:rsidR="00297CD6">
        <w:t>,</w:t>
      </w:r>
      <w:r w:rsidR="003B7AF2">
        <w:t xml:space="preserve"> it </w:t>
      </w:r>
      <w:r w:rsidR="00D811EA">
        <w:t>is likely</w:t>
      </w:r>
      <w:r w:rsidR="003B7AF2">
        <w:t xml:space="preserve"> that decisions have been made before any RA issues were identified. This different knowledge base may contribute to different decisions being made by regulators over time. </w:t>
      </w:r>
    </w:p>
    <w:p w14:paraId="24AB3785" w14:textId="43DEEC57" w:rsidR="00AC7207" w:rsidRDefault="003B7AF2" w:rsidP="00AC7207">
      <w:pPr>
        <w:pStyle w:val="Numberedparagraph"/>
        <w:numPr>
          <w:ilvl w:val="2"/>
          <w:numId w:val="13"/>
        </w:numPr>
      </w:pPr>
      <w:r>
        <w:t>‘</w:t>
      </w:r>
      <w:r w:rsidR="00AC7207">
        <w:t>Risk appetite</w:t>
      </w:r>
      <w:r>
        <w:t>’</w:t>
      </w:r>
      <w:r w:rsidR="00AC7207">
        <w:t xml:space="preserve"> </w:t>
      </w:r>
      <w:r>
        <w:t xml:space="preserve">– while the ACMA has no evidence to support this view, it is possible that different regulators have adopted a different risk management approach to coexistence between WBB and RAs. Given the safety nature of RA operations in some situations, some regulators may have chosen to apply a far higher degree of conservatism in analysis and decisions making influencing regulatory arrangements than other regulators.  </w:t>
      </w:r>
    </w:p>
    <w:p w14:paraId="494A594A" w14:textId="4848B145" w:rsidR="00AC7207" w:rsidRDefault="00AC7207" w:rsidP="00AC7207">
      <w:pPr>
        <w:pStyle w:val="Numberedparagraph"/>
        <w:numPr>
          <w:ilvl w:val="2"/>
          <w:numId w:val="13"/>
        </w:numPr>
      </w:pPr>
      <w:r>
        <w:t xml:space="preserve">Local </w:t>
      </w:r>
      <w:r w:rsidR="003B7AF2">
        <w:t>specific</w:t>
      </w:r>
      <w:r>
        <w:t xml:space="preserve"> </w:t>
      </w:r>
      <w:r w:rsidR="003B7AF2">
        <w:t xml:space="preserve">WBB deployment models </w:t>
      </w:r>
      <w:r w:rsidR="00D811EA">
        <w:t xml:space="preserve">– WBB use cases and technical deployment models are varied which influences the </w:t>
      </w:r>
      <w:r w:rsidR="00D24972">
        <w:t>associated</w:t>
      </w:r>
      <w:r w:rsidR="00D811EA">
        <w:t xml:space="preserve"> regulatory framework </w:t>
      </w:r>
      <w:r w:rsidR="00D24972">
        <w:t>and</w:t>
      </w:r>
      <w:r w:rsidR="00D811EA">
        <w:t xml:space="preserve"> the </w:t>
      </w:r>
      <w:r w:rsidR="00D24972">
        <w:t xml:space="preserve">subsequent </w:t>
      </w:r>
      <w:r w:rsidR="00D811EA">
        <w:t xml:space="preserve">coexistence environment. For example, high power, wide area WBB networks and supporting </w:t>
      </w:r>
      <w:r w:rsidR="00D24972">
        <w:t xml:space="preserve">regulatory </w:t>
      </w:r>
      <w:r w:rsidR="00692A68">
        <w:t>frameworks</w:t>
      </w:r>
      <w:r w:rsidR="00D811EA">
        <w:t xml:space="preserve"> will have different </w:t>
      </w:r>
      <w:r w:rsidR="00D24972">
        <w:t>coexistence considerations with RA</w:t>
      </w:r>
      <w:r w:rsidR="00D811EA">
        <w:t xml:space="preserve"> </w:t>
      </w:r>
      <w:r w:rsidR="00692A68">
        <w:t>than low</w:t>
      </w:r>
      <w:r w:rsidR="00D811EA">
        <w:t xml:space="preserve"> power WBB systems. It is </w:t>
      </w:r>
      <w:r w:rsidR="00692A68">
        <w:t>therefore</w:t>
      </w:r>
      <w:r w:rsidR="00D811EA">
        <w:t xml:space="preserve"> </w:t>
      </w:r>
      <w:r w:rsidR="00692A68">
        <w:t xml:space="preserve">reasonable to expect that the mix of </w:t>
      </w:r>
      <w:r w:rsidR="00617805">
        <w:t>guard bands</w:t>
      </w:r>
      <w:r w:rsidR="00692A68">
        <w:t xml:space="preserve"> and other regulatory measures will vary from country to country. </w:t>
      </w:r>
    </w:p>
    <w:p w14:paraId="634C2244" w14:textId="2AF3368E" w:rsidR="00AC7207" w:rsidRPr="00EB534A" w:rsidRDefault="00AC7207" w:rsidP="00257BC6">
      <w:pPr>
        <w:pStyle w:val="Numberedparagraph"/>
      </w:pPr>
      <w:r>
        <w:t xml:space="preserve">For these reasons it is difficult to directly compare </w:t>
      </w:r>
      <w:r w:rsidR="00692A68">
        <w:t>different</w:t>
      </w:r>
      <w:r>
        <w:t xml:space="preserve"> </w:t>
      </w:r>
      <w:r w:rsidR="007052F3">
        <w:t>regulatory</w:t>
      </w:r>
      <w:r>
        <w:t xml:space="preserve"> </w:t>
      </w:r>
      <w:r w:rsidR="007052F3">
        <w:t>environment</w:t>
      </w:r>
      <w:r w:rsidR="00692A68">
        <w:t>s</w:t>
      </w:r>
      <w:r>
        <w:t xml:space="preserve"> and </w:t>
      </w:r>
      <w:r w:rsidR="00797EFB">
        <w:t>the basis</w:t>
      </w:r>
      <w:r w:rsidR="00692A68">
        <w:t xml:space="preserve"> for these </w:t>
      </w:r>
      <w:r w:rsidR="007052F3">
        <w:t>decisions</w:t>
      </w:r>
      <w:r>
        <w:t xml:space="preserve"> </w:t>
      </w:r>
      <w:r w:rsidR="00692A68">
        <w:t>made</w:t>
      </w:r>
      <w:r>
        <w:t xml:space="preserve"> between different </w:t>
      </w:r>
      <w:r w:rsidR="007052F3">
        <w:t>regulators</w:t>
      </w:r>
      <w:r>
        <w:t>.</w:t>
      </w:r>
      <w:r w:rsidR="00397B92">
        <w:t xml:space="preserve"> Care, </w:t>
      </w:r>
      <w:r w:rsidR="007052F3">
        <w:t>therefore</w:t>
      </w:r>
      <w:r w:rsidR="00397B92">
        <w:t>,</w:t>
      </w:r>
      <w:r w:rsidR="007052F3">
        <w:t xml:space="preserve"> </w:t>
      </w:r>
      <w:r>
        <w:t>ne</w:t>
      </w:r>
      <w:r w:rsidR="007052F3">
        <w:t>e</w:t>
      </w:r>
      <w:r>
        <w:t xml:space="preserve">ds to be </w:t>
      </w:r>
      <w:r w:rsidR="00297CD6">
        <w:t>taken</w:t>
      </w:r>
      <w:r>
        <w:t xml:space="preserve"> in </w:t>
      </w:r>
      <w:r w:rsidR="007052F3">
        <w:t>attempting</w:t>
      </w:r>
      <w:r>
        <w:t xml:space="preserve"> any </w:t>
      </w:r>
      <w:r w:rsidR="007052F3">
        <w:t>comparisons. Given the complexity of the issues, simplified comparisons</w:t>
      </w:r>
      <w:r w:rsidR="00973CF2">
        <w:t xml:space="preserve"> and quotes</w:t>
      </w:r>
      <w:r w:rsidR="007052F3">
        <w:t xml:space="preserve"> are likely to be misleading and hence careful context and caveats are necessary</w:t>
      </w:r>
      <w:r w:rsidR="00692A68">
        <w:t xml:space="preserve"> to convey a proper comparison</w:t>
      </w:r>
      <w:r w:rsidR="007052F3">
        <w:t xml:space="preserve">. </w:t>
      </w:r>
      <w:r>
        <w:t xml:space="preserve"> </w:t>
      </w:r>
    </w:p>
    <w:p w14:paraId="724DC382" w14:textId="77777777" w:rsidR="00617805" w:rsidRDefault="00617805">
      <w:pPr>
        <w:spacing w:after="0" w:line="240" w:lineRule="auto"/>
        <w:rPr>
          <w:rFonts w:cs="Arial"/>
          <w:b/>
          <w:bCs/>
          <w:iCs/>
          <w:sz w:val="28"/>
          <w:szCs w:val="28"/>
        </w:rPr>
      </w:pPr>
      <w:bookmarkStart w:id="40" w:name="_Ref106183902"/>
      <w:r>
        <w:br w:type="page"/>
      </w:r>
    </w:p>
    <w:p w14:paraId="5BA5BEC7" w14:textId="7F04B2D6" w:rsidR="007052F3" w:rsidRDefault="007052F3" w:rsidP="00AC7207">
      <w:pPr>
        <w:pStyle w:val="Heading2"/>
      </w:pPr>
      <w:bookmarkStart w:id="41" w:name="_Toc116041888"/>
      <w:r>
        <w:lastRenderedPageBreak/>
        <w:t>Variation in views between industry sectors</w:t>
      </w:r>
      <w:bookmarkEnd w:id="41"/>
    </w:p>
    <w:p w14:paraId="6374A226" w14:textId="5F19BE77" w:rsidR="007052F3" w:rsidRDefault="007D70AB" w:rsidP="007052F3">
      <w:pPr>
        <w:pStyle w:val="Numberedparagraph"/>
      </w:pPr>
      <w:r>
        <w:t xml:space="preserve">A difference of views and perspectives between industry sectors is </w:t>
      </w:r>
      <w:r w:rsidR="00397B92">
        <w:t xml:space="preserve">normal for </w:t>
      </w:r>
      <w:r>
        <w:t xml:space="preserve">many spectrum management considerations. Given the importance of WBB to the mobile sector and </w:t>
      </w:r>
      <w:r w:rsidR="00397B92">
        <w:t xml:space="preserve">that </w:t>
      </w:r>
      <w:r>
        <w:t>of RAs to the aviation sector</w:t>
      </w:r>
      <w:r w:rsidR="00397B92">
        <w:t>,</w:t>
      </w:r>
      <w:r>
        <w:t xml:space="preserve"> (and of both </w:t>
      </w:r>
      <w:r w:rsidR="00297CD6">
        <w:t>to</w:t>
      </w:r>
      <w:r>
        <w:t xml:space="preserve"> the regulator) it is unsurprising that there are strong and different sectorial views on the issue of WBB/RA coexistence.  </w:t>
      </w:r>
    </w:p>
    <w:p w14:paraId="10B70316" w14:textId="099BBB38" w:rsidR="008A21E9" w:rsidRDefault="007D70AB" w:rsidP="007052F3">
      <w:pPr>
        <w:pStyle w:val="Numberedparagraph"/>
      </w:pPr>
      <w:r>
        <w:t xml:space="preserve">It appears that </w:t>
      </w:r>
      <w:r w:rsidR="008A21E9">
        <w:t>there are some</w:t>
      </w:r>
      <w:r>
        <w:t xml:space="preserve"> key </w:t>
      </w:r>
      <w:r w:rsidR="008A21E9">
        <w:t>perspectives from each sector that raise concerns with the other:</w:t>
      </w:r>
      <w:r w:rsidR="008A21E9">
        <w:rPr>
          <w:rStyle w:val="FootnoteReference"/>
        </w:rPr>
        <w:footnoteReference w:id="5"/>
      </w:r>
    </w:p>
    <w:p w14:paraId="76F36F57" w14:textId="1A2F9E05" w:rsidR="007D70AB" w:rsidRDefault="008A21E9" w:rsidP="008A21E9">
      <w:pPr>
        <w:pStyle w:val="Numberedparagraph"/>
        <w:numPr>
          <w:ilvl w:val="2"/>
          <w:numId w:val="13"/>
        </w:numPr>
      </w:pPr>
      <w:r>
        <w:t>The apparent perspectives from parts</w:t>
      </w:r>
      <w:r w:rsidR="003A7029">
        <w:t xml:space="preserve"> </w:t>
      </w:r>
      <w:r>
        <w:t>o</w:t>
      </w:r>
      <w:r w:rsidR="003A7029">
        <w:t>f</w:t>
      </w:r>
      <w:r>
        <w:t xml:space="preserve"> the WBB sector that suggest</w:t>
      </w:r>
      <w:r w:rsidR="00397B92">
        <w:t>,</w:t>
      </w:r>
      <w:r>
        <w:t xml:space="preserve"> since WBB have been deployed around the world for so long with no confirmed interference events</w:t>
      </w:r>
      <w:r w:rsidR="00397B92">
        <w:t>, that</w:t>
      </w:r>
      <w:r>
        <w:t xml:space="preserve"> the concerns raised by the aviation sector are disproportionate to the </w:t>
      </w:r>
      <w:r w:rsidR="003A7029">
        <w:t>real-world</w:t>
      </w:r>
      <w:r>
        <w:t xml:space="preserve"> risk.  </w:t>
      </w:r>
    </w:p>
    <w:p w14:paraId="40BC4367" w14:textId="79ACBC42" w:rsidR="008A21E9" w:rsidRDefault="008A21E9" w:rsidP="008A21E9">
      <w:pPr>
        <w:pStyle w:val="Numberedparagraph"/>
        <w:numPr>
          <w:ilvl w:val="2"/>
          <w:numId w:val="13"/>
        </w:numPr>
      </w:pPr>
      <w:r>
        <w:t>The apparent view from parts of the aviation sector</w:t>
      </w:r>
      <w:r w:rsidR="00397B92">
        <w:t>,</w:t>
      </w:r>
      <w:r>
        <w:t xml:space="preserve"> that </w:t>
      </w:r>
      <w:r w:rsidR="003A7029">
        <w:t xml:space="preserve">it is solely because </w:t>
      </w:r>
      <w:r>
        <w:t xml:space="preserve">the </w:t>
      </w:r>
      <w:r w:rsidR="003A7029">
        <w:t xml:space="preserve">deployed mobile/fixed service </w:t>
      </w:r>
      <w:r>
        <w:t xml:space="preserve">environment has changed </w:t>
      </w:r>
      <w:r w:rsidR="003A7029">
        <w:t xml:space="preserve">due to the advent of 5G </w:t>
      </w:r>
      <w:r w:rsidR="00297CD6">
        <w:t>which</w:t>
      </w:r>
      <w:r w:rsidR="003A7029">
        <w:t xml:space="preserve"> has created these current</w:t>
      </w:r>
      <w:r>
        <w:t xml:space="preserve"> concerns regarding RAs.</w:t>
      </w:r>
    </w:p>
    <w:p w14:paraId="1E540CA8" w14:textId="3EFE8576" w:rsidR="008A21E9" w:rsidRDefault="003A7029" w:rsidP="008A21E9">
      <w:pPr>
        <w:pStyle w:val="Numberedparagraph"/>
      </w:pPr>
      <w:r>
        <w:t xml:space="preserve">Some ACMA observations </w:t>
      </w:r>
      <w:r w:rsidR="00335EB5">
        <w:t xml:space="preserve">on </w:t>
      </w:r>
      <w:r>
        <w:t>these issues are:</w:t>
      </w:r>
    </w:p>
    <w:p w14:paraId="3CA3B2E6" w14:textId="5D9BC5B9" w:rsidR="000D75BD" w:rsidRDefault="003A7029" w:rsidP="003A7029">
      <w:pPr>
        <w:pStyle w:val="Numberedparagraph"/>
        <w:numPr>
          <w:ilvl w:val="2"/>
          <w:numId w:val="13"/>
        </w:numPr>
      </w:pPr>
      <w:r>
        <w:t>Whil</w:t>
      </w:r>
      <w:r w:rsidR="00C1770F">
        <w:t>e</w:t>
      </w:r>
      <w:r>
        <w:t xml:space="preserve"> the absence of causally linked interference events to RAs </w:t>
      </w:r>
      <w:r w:rsidR="00C1770F">
        <w:t xml:space="preserve">given current and historical worldwide deployments </w:t>
      </w:r>
      <w:r>
        <w:t>is a relevant consideration, caution needs to be applied as to how definitive a conclusion can be made in</w:t>
      </w:r>
      <w:r w:rsidR="00C1770F">
        <w:t xml:space="preserve"> </w:t>
      </w:r>
      <w:r>
        <w:t xml:space="preserve">all cases. </w:t>
      </w:r>
      <w:r w:rsidR="00C1770F">
        <w:t>As outlined elsewhere</w:t>
      </w:r>
      <w:r w:rsidR="000D75BD">
        <w:t>,</w:t>
      </w:r>
      <w:r w:rsidR="00C1770F">
        <w:t xml:space="preserve"> ther</w:t>
      </w:r>
      <w:r w:rsidR="00973CF2">
        <w:t>e</w:t>
      </w:r>
      <w:r w:rsidR="00C1770F">
        <w:t xml:space="preserve"> may</w:t>
      </w:r>
      <w:r w:rsidR="000D75BD">
        <w:t xml:space="preserve"> </w:t>
      </w:r>
      <w:r w:rsidR="00C1770F">
        <w:t xml:space="preserve">be reasons why no such causal link has been identified </w:t>
      </w:r>
      <w:r w:rsidR="00335EB5">
        <w:t>in real world, operational environments</w:t>
      </w:r>
      <w:r w:rsidR="00C1770F">
        <w:t xml:space="preserve">. </w:t>
      </w:r>
    </w:p>
    <w:p w14:paraId="1FF1E1C8" w14:textId="03852484" w:rsidR="003A7029" w:rsidRDefault="00C1770F" w:rsidP="00257BC6">
      <w:pPr>
        <w:pStyle w:val="Numberedparagraph"/>
        <w:numPr>
          <w:ilvl w:val="0"/>
          <w:numId w:val="0"/>
        </w:numPr>
        <w:ind w:left="1080"/>
      </w:pPr>
      <w:r>
        <w:t xml:space="preserve">Nonetheless, the ACMA does think it is material that real world deployments have appeared to coexist with RAs for some time in many </w:t>
      </w:r>
      <w:r w:rsidR="00397B92">
        <w:t>areas but</w:t>
      </w:r>
      <w:r>
        <w:t xml:space="preserve"> will remain cautious in the weight it gives this data point when making decisions. In this regard</w:t>
      </w:r>
      <w:r w:rsidR="00397B92">
        <w:t>,</w:t>
      </w:r>
      <w:r>
        <w:t xml:space="preserve"> the ACMA is eagerly awaiting</w:t>
      </w:r>
      <w:r w:rsidR="00397B92">
        <w:t xml:space="preserve"> the results of</w:t>
      </w:r>
      <w:r>
        <w:t xml:space="preserve"> over the air tests in a controlled environment being undertaken internationally</w:t>
      </w:r>
      <w:r w:rsidR="00397B92">
        <w:t>,</w:t>
      </w:r>
      <w:r>
        <w:t xml:space="preserve"> which is likely to </w:t>
      </w:r>
      <w:r w:rsidR="00397B92">
        <w:t>provide more on</w:t>
      </w:r>
      <w:r>
        <w:t xml:space="preserve"> this issue. </w:t>
      </w:r>
    </w:p>
    <w:p w14:paraId="57C69E93" w14:textId="25D69F77" w:rsidR="000D75BD" w:rsidRDefault="00973CF2" w:rsidP="003A7029">
      <w:pPr>
        <w:pStyle w:val="Numberedparagraph"/>
        <w:numPr>
          <w:ilvl w:val="2"/>
          <w:numId w:val="13"/>
        </w:numPr>
      </w:pPr>
      <w:r>
        <w:t>It is clear that the deployed environment using the band of interest for mobile networks has changed</w:t>
      </w:r>
      <w:r w:rsidR="000351E3">
        <w:t xml:space="preserve"> significantly</w:t>
      </w:r>
      <w:r>
        <w:t xml:space="preserve"> in recent years given the use of these bands for early 5G deployments. However, this </w:t>
      </w:r>
      <w:r w:rsidR="002F287E">
        <w:t>ignores</w:t>
      </w:r>
      <w:r>
        <w:t xml:space="preserve"> the fact that even the legacy deployed environment has been used for various WBB technologies and </w:t>
      </w:r>
      <w:r w:rsidR="00653168">
        <w:t>high-powered</w:t>
      </w:r>
      <w:r>
        <w:t xml:space="preserve"> fixed point-to-point links </w:t>
      </w:r>
      <w:r w:rsidR="000351E3">
        <w:t xml:space="preserve">(with no specific coexistence with RA arrangements in place) </w:t>
      </w:r>
      <w:r>
        <w:t xml:space="preserve">for many years. This is in contrast to some statements that simply compare </w:t>
      </w:r>
      <w:r w:rsidR="004B22E6">
        <w:t>recent/</w:t>
      </w:r>
      <w:r>
        <w:t>new 5G use with existing low power on the ground satellite downlink only use of the band (in addition to completely ignoring use above the band</w:t>
      </w:r>
      <w:r w:rsidR="00F92520">
        <w:t xml:space="preserve"> used by RAs</w:t>
      </w:r>
      <w:r>
        <w:t xml:space="preserve">). </w:t>
      </w:r>
    </w:p>
    <w:p w14:paraId="0847C3FF" w14:textId="35B064F5" w:rsidR="00973CF2" w:rsidRPr="00EB534A" w:rsidRDefault="000351E3" w:rsidP="00257BC6">
      <w:pPr>
        <w:pStyle w:val="Numberedparagraph"/>
        <w:numPr>
          <w:ilvl w:val="0"/>
          <w:numId w:val="0"/>
        </w:numPr>
        <w:ind w:left="1080"/>
      </w:pPr>
      <w:r>
        <w:t>Perhaps more importantly, the regulatory environment that envisages fixed and mobile use of bands</w:t>
      </w:r>
      <w:r>
        <w:rPr>
          <w:rStyle w:val="FootnoteReference"/>
        </w:rPr>
        <w:footnoteReference w:id="6"/>
      </w:r>
      <w:r>
        <w:t xml:space="preserve"> adjacent and nearby to the</w:t>
      </w:r>
      <w:r w:rsidR="002F287E">
        <w:t xml:space="preserve"> band used by</w:t>
      </w:r>
      <w:r>
        <w:t xml:space="preserve"> RA</w:t>
      </w:r>
      <w:r w:rsidR="002F287E">
        <w:t>s has</w:t>
      </w:r>
      <w:r>
        <w:t xml:space="preserve"> not changed in a substantial way for many years. The apparent possible implication</w:t>
      </w:r>
      <w:r w:rsidR="002F287E">
        <w:t>,</w:t>
      </w:r>
      <w:r>
        <w:t xml:space="preserve"> that RAs are specifically designed to operate solely with the currently deployed radiocommunications environment rather than that contemplated by the regulatory environment</w:t>
      </w:r>
      <w:r w:rsidR="002F287E">
        <w:t>,</w:t>
      </w:r>
      <w:r>
        <w:t xml:space="preserve"> is noteworthy.  </w:t>
      </w:r>
    </w:p>
    <w:p w14:paraId="67AEDC2B" w14:textId="1034FB9F" w:rsidR="00D93E64" w:rsidRDefault="00C706A6" w:rsidP="00257BC6">
      <w:pPr>
        <w:pStyle w:val="Heading2"/>
      </w:pPr>
      <w:bookmarkStart w:id="42" w:name="_Toc116041889"/>
      <w:r>
        <w:lastRenderedPageBreak/>
        <w:t xml:space="preserve">Poor </w:t>
      </w:r>
      <w:r w:rsidR="00D93E64">
        <w:t>alignment between theory and experience</w:t>
      </w:r>
      <w:bookmarkEnd w:id="40"/>
      <w:r w:rsidR="00AC7207">
        <w:t xml:space="preserve"> concerning interference risk</w:t>
      </w:r>
      <w:bookmarkEnd w:id="42"/>
    </w:p>
    <w:p w14:paraId="67AC7443" w14:textId="5768B277" w:rsidR="00EF5AD8" w:rsidRPr="00DD46D0" w:rsidRDefault="00EF5AD8" w:rsidP="00365135">
      <w:pPr>
        <w:pStyle w:val="Numberedparagraph"/>
      </w:pPr>
      <w:r w:rsidRPr="00DD46D0">
        <w:t>From the various studies, trials and observations on existing deployments</w:t>
      </w:r>
      <w:r w:rsidR="000B0BF2">
        <w:t>,</w:t>
      </w:r>
      <w:r w:rsidRPr="00DD46D0">
        <w:t xml:space="preserve"> there is </w:t>
      </w:r>
      <w:r w:rsidR="00460E2C">
        <w:t>inconsistency</w:t>
      </w:r>
      <w:r w:rsidRPr="00DD46D0">
        <w:t xml:space="preserve"> between the </w:t>
      </w:r>
      <w:r w:rsidR="00A13A53" w:rsidRPr="00DD46D0">
        <w:t xml:space="preserve">expected </w:t>
      </w:r>
      <w:r w:rsidR="00F1319A">
        <w:t xml:space="preserve">theoretical </w:t>
      </w:r>
      <w:r w:rsidRPr="00DD46D0">
        <w:t xml:space="preserve">potential for interference and </w:t>
      </w:r>
      <w:r w:rsidR="00460E2C">
        <w:t>empirical evidence from real world WBB deployments</w:t>
      </w:r>
      <w:r w:rsidRPr="00DD46D0">
        <w:t>.</w:t>
      </w:r>
    </w:p>
    <w:p w14:paraId="51B68571" w14:textId="16E5A075" w:rsidR="00C1772D" w:rsidRDefault="00C1772D">
      <w:pPr>
        <w:pStyle w:val="Numberedparagraph"/>
      </w:pPr>
      <w:r w:rsidRPr="00DD46D0">
        <w:t xml:space="preserve">As </w:t>
      </w:r>
      <w:r w:rsidR="00063C97">
        <w:t>noted</w:t>
      </w:r>
      <w:r w:rsidRPr="00DD46D0">
        <w:t>, there has been no confirmed</w:t>
      </w:r>
      <w:r w:rsidR="00C706A6">
        <w:t xml:space="preserve"> </w:t>
      </w:r>
      <w:r w:rsidRPr="00DD46D0">
        <w:t xml:space="preserve">event of interference to an RA caused by any </w:t>
      </w:r>
      <w:r w:rsidR="00646463">
        <w:t xml:space="preserve">operationally deployed </w:t>
      </w:r>
      <w:r w:rsidRPr="00DD46D0">
        <w:t>WBB system globally.</w:t>
      </w:r>
      <w:r w:rsidR="00063C97">
        <w:t xml:space="preserve"> The section </w:t>
      </w:r>
      <w:r w:rsidR="00650E9F">
        <w:t xml:space="preserve">on </w:t>
      </w:r>
      <w:r w:rsidR="00650E9F" w:rsidRPr="00257BC6">
        <w:rPr>
          <w:i/>
          <w:iCs/>
        </w:rPr>
        <w:fldChar w:fldCharType="begin"/>
      </w:r>
      <w:r w:rsidR="00650E9F" w:rsidRPr="00257BC6">
        <w:rPr>
          <w:i/>
          <w:iCs/>
        </w:rPr>
        <w:instrText xml:space="preserve"> REF _Ref106280008 \h </w:instrText>
      </w:r>
      <w:r w:rsidR="00650E9F">
        <w:rPr>
          <w:i/>
          <w:iCs/>
        </w:rPr>
        <w:instrText xml:space="preserve"> \* MERGEFORMAT </w:instrText>
      </w:r>
      <w:r w:rsidR="00650E9F" w:rsidRPr="00257BC6">
        <w:rPr>
          <w:i/>
          <w:iCs/>
        </w:rPr>
      </w:r>
      <w:r w:rsidR="00650E9F" w:rsidRPr="00257BC6">
        <w:rPr>
          <w:i/>
          <w:iCs/>
        </w:rPr>
        <w:fldChar w:fldCharType="separate"/>
      </w:r>
      <w:r w:rsidR="009C0E98" w:rsidRPr="00695A13">
        <w:rPr>
          <w:i/>
          <w:iCs/>
        </w:rPr>
        <w:t>Coexistence evaluation</w:t>
      </w:r>
      <w:r w:rsidR="00650E9F" w:rsidRPr="00257BC6">
        <w:rPr>
          <w:i/>
          <w:iCs/>
        </w:rPr>
        <w:fldChar w:fldCharType="end"/>
      </w:r>
      <w:r w:rsidR="00650E9F">
        <w:t xml:space="preserve"> </w:t>
      </w:r>
      <w:r w:rsidR="00063C97">
        <w:t>and its reference</w:t>
      </w:r>
      <w:r w:rsidR="00650E9F">
        <w:t>s</w:t>
      </w:r>
      <w:r w:rsidR="00063C97">
        <w:t xml:space="preserve"> to Appendices E and F, give examples where issues might </w:t>
      </w:r>
      <w:r w:rsidR="00460E2C">
        <w:t xml:space="preserve">be </w:t>
      </w:r>
      <w:r w:rsidR="00063C97">
        <w:t>expect</w:t>
      </w:r>
      <w:r w:rsidR="007D70AB">
        <w:t>ed</w:t>
      </w:r>
      <w:r w:rsidR="00063C97">
        <w:t xml:space="preserve"> to have occurred</w:t>
      </w:r>
      <w:r w:rsidR="00460E2C">
        <w:t xml:space="preserve"> based on some studies</w:t>
      </w:r>
      <w:r w:rsidR="00063C97">
        <w:t xml:space="preserve">. However, </w:t>
      </w:r>
      <w:r w:rsidR="00460E2C">
        <w:t>it was not possible</w:t>
      </w:r>
      <w:r w:rsidR="00063C97">
        <w:t xml:space="preserve"> to identify any even</w:t>
      </w:r>
      <w:r w:rsidR="00C706A6">
        <w:t>t</w:t>
      </w:r>
      <w:r w:rsidR="00063C97">
        <w:t xml:space="preserve"> that could be confirmed to have occurred because of WBB in the 3400-4000 MHz range.</w:t>
      </w:r>
    </w:p>
    <w:p w14:paraId="54DD76DA" w14:textId="3FAA1569" w:rsidR="00F50DE9" w:rsidRDefault="00F50DE9" w:rsidP="00365135">
      <w:pPr>
        <w:pStyle w:val="Numberedparagraph"/>
      </w:pPr>
      <w:r>
        <w:t xml:space="preserve">The possible reasons for this divergence </w:t>
      </w:r>
      <w:r w:rsidR="00646463">
        <w:t>include</w:t>
      </w:r>
      <w:r w:rsidR="007733C7">
        <w:t>:</w:t>
      </w:r>
    </w:p>
    <w:p w14:paraId="5AAB8A73" w14:textId="52C082A9" w:rsidR="007733C7" w:rsidRDefault="007733C7" w:rsidP="007733C7">
      <w:pPr>
        <w:pStyle w:val="Numberedparagraph"/>
        <w:numPr>
          <w:ilvl w:val="2"/>
          <w:numId w:val="13"/>
        </w:numPr>
      </w:pPr>
      <w:r>
        <w:t>Inaccuracies in modelling WBB networks and especially AAS.</w:t>
      </w:r>
    </w:p>
    <w:p w14:paraId="3E618189" w14:textId="36163D46" w:rsidR="007733C7" w:rsidRDefault="007733C7" w:rsidP="007733C7">
      <w:pPr>
        <w:pStyle w:val="Numberedparagraph"/>
        <w:numPr>
          <w:ilvl w:val="2"/>
          <w:numId w:val="13"/>
        </w:numPr>
      </w:pPr>
      <w:r>
        <w:t xml:space="preserve">Conservative factors in modelling </w:t>
      </w:r>
      <w:r w:rsidR="00460E2C">
        <w:t xml:space="preserve">coexistence between </w:t>
      </w:r>
      <w:r>
        <w:t>WBB networks and RAs.</w:t>
      </w:r>
    </w:p>
    <w:p w14:paraId="078D2CEC" w14:textId="6A68229B" w:rsidR="007733C7" w:rsidRDefault="00810F56" w:rsidP="007733C7">
      <w:pPr>
        <w:pStyle w:val="Numberedparagraph"/>
        <w:numPr>
          <w:ilvl w:val="2"/>
          <w:numId w:val="13"/>
        </w:numPr>
      </w:pPr>
      <w:r>
        <w:t>Inability to determine whether specific RA</w:t>
      </w:r>
      <w:r w:rsidR="002F287E">
        <w:t xml:space="preserve"> models used in studies</w:t>
      </w:r>
      <w:r>
        <w:t xml:space="preserve"> align with those in potential real-world events.</w:t>
      </w:r>
    </w:p>
    <w:p w14:paraId="6C770E4D" w14:textId="38048BD2" w:rsidR="00810F56" w:rsidRDefault="00810F56" w:rsidP="007733C7">
      <w:pPr>
        <w:pStyle w:val="Numberedparagraph"/>
        <w:numPr>
          <w:ilvl w:val="2"/>
          <w:numId w:val="13"/>
        </w:numPr>
      </w:pPr>
      <w:r>
        <w:t>The difficulty in conclusively demonstrating a real-world RA event was caused by a specific</w:t>
      </w:r>
      <w:r w:rsidR="00460E2C">
        <w:t xml:space="preserve"> </w:t>
      </w:r>
      <w:r>
        <w:t>WBB transmission</w:t>
      </w:r>
      <w:r w:rsidR="00460E2C">
        <w:t xml:space="preserve"> (or was due to radiofrequency </w:t>
      </w:r>
      <w:r w:rsidR="003A7029">
        <w:t>interference</w:t>
      </w:r>
      <w:r w:rsidR="00460E2C">
        <w:t xml:space="preserve"> at all)</w:t>
      </w:r>
      <w:r>
        <w:t>.</w:t>
      </w:r>
    </w:p>
    <w:p w14:paraId="5E92B3F8" w14:textId="77777777" w:rsidR="003B7AF2" w:rsidRDefault="00AC7207" w:rsidP="003B7AF2">
      <w:pPr>
        <w:pStyle w:val="Heading2"/>
      </w:pPr>
      <w:bookmarkStart w:id="43" w:name="_Toc116041890"/>
      <w:r>
        <w:t>Performance of RAs</w:t>
      </w:r>
      <w:bookmarkEnd w:id="43"/>
    </w:p>
    <w:p w14:paraId="31707D12" w14:textId="26D6E31A" w:rsidR="00DC7513" w:rsidRDefault="00DC7513" w:rsidP="00DC7513">
      <w:pPr>
        <w:pStyle w:val="Numberedparagraph"/>
      </w:pPr>
      <w:r>
        <w:t>The spectrum management coexistence performance of some</w:t>
      </w:r>
      <w:r>
        <w:rPr>
          <w:rStyle w:val="FootnoteReference"/>
        </w:rPr>
        <w:footnoteReference w:id="7"/>
      </w:r>
      <w:r>
        <w:t xml:space="preserve"> current RAs appears to be generally poor and not conducive to good spectrum management outcomes. </w:t>
      </w:r>
      <w:r w:rsidR="006B2AFF">
        <w:t>Importantly, even if this observation only applies to a subset of the currently deployed RA fleet, it still has a significant impact on the overall coexistence picture as</w:t>
      </w:r>
      <w:r w:rsidR="00EF45D1">
        <w:t xml:space="preserve"> these lower performing RAs</w:t>
      </w:r>
      <w:r w:rsidR="004F2DB0">
        <w:t xml:space="preserve"> may</w:t>
      </w:r>
      <w:r w:rsidR="00EF45D1">
        <w:t xml:space="preserve"> need to be considered unless it can be conclusively demonstrated that they currently aren’t or won’t in the future be used in Australia. </w:t>
      </w:r>
    </w:p>
    <w:p w14:paraId="5D1C1351" w14:textId="745B8B2D" w:rsidR="00DC7513" w:rsidRDefault="00DC7513" w:rsidP="00DC7513">
      <w:pPr>
        <w:pStyle w:val="Numberedparagraph"/>
      </w:pPr>
      <w:r>
        <w:t xml:space="preserve">This </w:t>
      </w:r>
      <w:r w:rsidR="00EF45D1">
        <w:t xml:space="preserve">issue </w:t>
      </w:r>
      <w:r>
        <w:t>is characterised by industry testing</w:t>
      </w:r>
      <w:r>
        <w:rPr>
          <w:rStyle w:val="FootnoteReference"/>
        </w:rPr>
        <w:footnoteReference w:id="8"/>
      </w:r>
      <w:r>
        <w:t xml:space="preserve"> that indicates </w:t>
      </w:r>
      <w:r w:rsidR="004F2DB0">
        <w:t xml:space="preserve">that the </w:t>
      </w:r>
      <w:r>
        <w:t xml:space="preserve">apparent susceptibility of some RAs to operation of WBB devices far (100s of MHz) from the RA operating band via a mechanism whereby fundamental WBB emissions interact with RA operation due to poor RA filter performance. </w:t>
      </w:r>
      <w:r w:rsidR="00EF45D1">
        <w:t>From the same testing, i</w:t>
      </w:r>
      <w:r>
        <w:t>t also appears that even relatively low levels of unwanted emissions falling within the RA passband have the theoretical possibility of affecting their operation</w:t>
      </w:r>
      <w:r w:rsidR="00EF45D1">
        <w:t xml:space="preserve"> in some scenarios</w:t>
      </w:r>
      <w:r>
        <w:t xml:space="preserve">. </w:t>
      </w:r>
    </w:p>
    <w:p w14:paraId="68B45B28" w14:textId="3BEFCB00" w:rsidR="00DC7513" w:rsidRDefault="00DC7513" w:rsidP="00DC7513">
      <w:pPr>
        <w:pStyle w:val="Numberedparagraph"/>
      </w:pPr>
      <w:r>
        <w:t xml:space="preserve">As outlined above, while the current use of spectrum nearby to the RA band is changing through the increased use for WBB under mobile and fixed service allocations, the regulatory environment in terms of service allocations has remained the same for many years. It appears that, to date, some RA devices and standards have not adequately considered the spectrum environment that they are intended to operate within with </w:t>
      </w:r>
      <w:r w:rsidR="00385D04">
        <w:t xml:space="preserve">the </w:t>
      </w:r>
      <w:r>
        <w:t xml:space="preserve">corresponding consequences </w:t>
      </w:r>
      <w:r w:rsidR="00385D04">
        <w:t>on</w:t>
      </w:r>
      <w:r>
        <w:t xml:space="preserve"> spectrum sharing</w:t>
      </w:r>
      <w:r w:rsidR="00385D04">
        <w:t xml:space="preserve"> and coexistence</w:t>
      </w:r>
      <w:r>
        <w:t xml:space="preserve">. </w:t>
      </w:r>
    </w:p>
    <w:p w14:paraId="7D197123" w14:textId="794B90E5" w:rsidR="00DC7513" w:rsidRDefault="00DC7513" w:rsidP="00DC7513">
      <w:pPr>
        <w:pStyle w:val="Numberedparagraph"/>
      </w:pPr>
      <w:r>
        <w:lastRenderedPageBreak/>
        <w:t xml:space="preserve">While this situation is </w:t>
      </w:r>
      <w:r w:rsidR="004F2DB0">
        <w:t>not</w:t>
      </w:r>
      <w:r>
        <w:t xml:space="preserve"> ideal, the ACMA acknowledges that this current reality needs to be considered and cannot be ignored in its current spectrum management decision making process.   </w:t>
      </w:r>
    </w:p>
    <w:p w14:paraId="6CD59D6B" w14:textId="5C93E00D" w:rsidR="009F4615" w:rsidRDefault="00DC7513" w:rsidP="00EF23CB">
      <w:pPr>
        <w:pStyle w:val="Numberedparagraph"/>
      </w:pPr>
      <w:r>
        <w:t xml:space="preserve">Positively, this situation appears to have been recognised and is being improved through the retrofitting of filters to existing RAs in the US to be completed by July 2023 and work underway within the aviation industry to develop new RA standards. </w:t>
      </w:r>
    </w:p>
    <w:p w14:paraId="65DD7A25" w14:textId="4C337328" w:rsidR="00E82097" w:rsidRDefault="00E82097" w:rsidP="00E82097">
      <w:pPr>
        <w:pStyle w:val="Heading2"/>
      </w:pPr>
      <w:bookmarkStart w:id="44" w:name="_Toc116041891"/>
      <w:r>
        <w:t xml:space="preserve">Conclusions </w:t>
      </w:r>
      <w:r w:rsidR="004C57DE">
        <w:t>and proposed approach</w:t>
      </w:r>
      <w:bookmarkEnd w:id="44"/>
    </w:p>
    <w:p w14:paraId="0EA580B1" w14:textId="77777777" w:rsidR="00460E2C" w:rsidRDefault="00460E2C" w:rsidP="00460E2C">
      <w:pPr>
        <w:pStyle w:val="Numberedparagraph"/>
      </w:pPr>
      <w:r>
        <w:t xml:space="preserve">The theoretical studies and empirical evidence from real world deployments regarding the coexistence of RAs and WBB do not provide a definitive picture of the true likelihood of interference to RAs. Some lack of certainty and consensus on spectrum coexistence matters is not unusual, given the differing perspectives and motivations of stakeholders, noting that coexistence is often informed by theoretical modelling with associated inherent limitations. However, the critical nature of RAs in some use cases, makes this lack of definitive evidence more challenging than usual. </w:t>
      </w:r>
    </w:p>
    <w:p w14:paraId="7E46B7D3" w14:textId="74477045" w:rsidR="00460E2C" w:rsidRDefault="00460E2C" w:rsidP="00460E2C">
      <w:pPr>
        <w:pStyle w:val="Numberedparagraph"/>
      </w:pPr>
      <w:r>
        <w:t xml:space="preserve">Given these circumstances, the ACMA currently considers it appropriate to adopt a precautionary approach to the implementation of new WBB uses into this environment. This is based on the concept that the absence of definitive data to accurately determine risk likelihood and consequence (in this </w:t>
      </w:r>
      <w:r w:rsidR="00B46E84">
        <w:t xml:space="preserve">case </w:t>
      </w:r>
      <w:r>
        <w:t>risk of interference to RAs) should not preclude action to mitigate the possible risk through the adoption of prudent controls (</w:t>
      </w:r>
      <w:r w:rsidR="00A04F0E">
        <w:t>i.e.,</w:t>
      </w:r>
      <w:r>
        <w:t xml:space="preserve"> regulatory measures). The consequences of excessive or unnecessary regulatory restrictions on WBB systems may, however, reduce the long-term benefits that these services can provide to the Australian community. </w:t>
      </w:r>
    </w:p>
    <w:p w14:paraId="31048DB9" w14:textId="271F687A" w:rsidR="008A562C" w:rsidRDefault="00A04F0E" w:rsidP="00365135">
      <w:pPr>
        <w:pStyle w:val="Numberedparagraph"/>
      </w:pPr>
      <w:bookmarkStart w:id="45" w:name="_Hlk108011213"/>
      <w:r>
        <w:t>W</w:t>
      </w:r>
      <w:r w:rsidR="00A13A53" w:rsidRPr="00DD46D0">
        <w:t>e propose to</w:t>
      </w:r>
      <w:r w:rsidR="00C1772D" w:rsidRPr="00DD46D0">
        <w:t xml:space="preserve"> apply </w:t>
      </w:r>
      <w:r w:rsidR="008129FB">
        <w:t xml:space="preserve">both permanent and </w:t>
      </w:r>
      <w:r w:rsidR="00C1772D" w:rsidRPr="00DD46D0">
        <w:t xml:space="preserve">interim mitigations </w:t>
      </w:r>
      <w:r w:rsidR="009A3C36">
        <w:t>(time limited)</w:t>
      </w:r>
      <w:r w:rsidR="00C1772D" w:rsidRPr="00DD46D0">
        <w:t xml:space="preserve"> for the </w:t>
      </w:r>
      <w:r w:rsidR="00C93250">
        <w:t xml:space="preserve">licensing </w:t>
      </w:r>
      <w:r w:rsidR="00C1772D" w:rsidRPr="00DD46D0">
        <w:t>technical framework</w:t>
      </w:r>
      <w:r w:rsidR="00C93250">
        <w:t>s</w:t>
      </w:r>
      <w:r w:rsidR="00860A85">
        <w:t xml:space="preserve"> in 3400 – 4000 MHz</w:t>
      </w:r>
      <w:r w:rsidR="00C1772D" w:rsidRPr="00DD46D0">
        <w:t xml:space="preserve">. </w:t>
      </w:r>
    </w:p>
    <w:p w14:paraId="77EBD2B2" w14:textId="7AF7C524" w:rsidR="00C33CEB" w:rsidRPr="00BD28B6" w:rsidRDefault="00C33CEB" w:rsidP="00C33CEB">
      <w:pPr>
        <w:pStyle w:val="Numberedparagraph"/>
      </w:pPr>
      <w:r w:rsidRPr="000F0202">
        <w:t>The</w:t>
      </w:r>
      <w:r w:rsidRPr="00BD28B6">
        <w:t xml:space="preserve"> ACMA is of the view </w:t>
      </w:r>
      <w:r>
        <w:t xml:space="preserve">that </w:t>
      </w:r>
      <w:r w:rsidRPr="00BD28B6">
        <w:t xml:space="preserve">it is imperative that </w:t>
      </w:r>
      <w:r w:rsidRPr="00BD28B6" w:rsidDel="00043434">
        <w:t xml:space="preserve">the </w:t>
      </w:r>
      <w:r w:rsidRPr="00BD28B6">
        <w:t xml:space="preserve">interim mitigations are </w:t>
      </w:r>
      <w:r>
        <w:t xml:space="preserve">explicitly </w:t>
      </w:r>
      <w:r w:rsidRPr="00BD28B6">
        <w:t xml:space="preserve">time limited. This is to ensure that the impacts of these mitigations on WBB (and the benefits they provide) are </w:t>
      </w:r>
      <w:r>
        <w:t>limited</w:t>
      </w:r>
      <w:r w:rsidRPr="00BD28B6">
        <w:t xml:space="preserve"> to the extent compatible with providing a reasonable opportunity for improved RA devices to be implemented in Australia. </w:t>
      </w:r>
      <w:r>
        <w:t>T</w:t>
      </w:r>
      <w:r w:rsidRPr="00BD28B6">
        <w:t xml:space="preserve">here is an expectation that </w:t>
      </w:r>
      <w:r>
        <w:t>the coexistence environment between RAs and WBB will be significantly improved through the deployment of improved performing RAs. This would enable interim</w:t>
      </w:r>
      <w:r w:rsidRPr="00BD28B6">
        <w:t xml:space="preserve"> mitigations to be </w:t>
      </w:r>
      <w:r>
        <w:t>e</w:t>
      </w:r>
      <w:r w:rsidRPr="00BD28B6">
        <w:t xml:space="preserve">ither removed </w:t>
      </w:r>
      <w:r>
        <w:t xml:space="preserve">entirely </w:t>
      </w:r>
      <w:r w:rsidRPr="00BD28B6">
        <w:t>or significantly reduced</w:t>
      </w:r>
      <w:r w:rsidR="00A04F0E">
        <w:t>,</w:t>
      </w:r>
      <w:r w:rsidRPr="00BD28B6">
        <w:t xml:space="preserve"> such that there would be minimal restrictions on WBB.</w:t>
      </w:r>
    </w:p>
    <w:p w14:paraId="2CFEFBF7" w14:textId="77777777" w:rsidR="00C33CEB" w:rsidRPr="00BD28B6" w:rsidRDefault="00C33CEB" w:rsidP="00C33CEB">
      <w:pPr>
        <w:pStyle w:val="Numberedparagraph"/>
      </w:pPr>
      <w:r>
        <w:t>This</w:t>
      </w:r>
      <w:r w:rsidRPr="00BD28B6">
        <w:t xml:space="preserve"> approach is consistent with what is happening in the </w:t>
      </w:r>
      <w:hyperlink r:id="rId95" w:history="1">
        <w:r w:rsidRPr="00043434">
          <w:rPr>
            <w:rStyle w:val="Hyperlink"/>
          </w:rPr>
          <w:t>US</w:t>
        </w:r>
      </w:hyperlink>
      <w:r w:rsidRPr="00BD28B6">
        <w:t xml:space="preserve"> </w:t>
      </w:r>
      <w:r w:rsidRPr="000F0202">
        <w:t xml:space="preserve">where timeframes have been established that will see the retrofitting of filters </w:t>
      </w:r>
      <w:r>
        <w:t xml:space="preserve">and/or RA units </w:t>
      </w:r>
      <w:r w:rsidRPr="000F0202">
        <w:t>to affected RAs by July 2023.</w:t>
      </w:r>
    </w:p>
    <w:p w14:paraId="4D14EB9A" w14:textId="77777777" w:rsidR="00C33CEB" w:rsidRDefault="00C33CEB" w:rsidP="00C33CEB">
      <w:pPr>
        <w:pStyle w:val="Numberedparagraph"/>
      </w:pPr>
      <w:r w:rsidRPr="000F0202">
        <w:t>To provide clarity to both the aviation sector</w:t>
      </w:r>
      <w:r>
        <w:t>,</w:t>
      </w:r>
      <w:r w:rsidRPr="000F0202">
        <w:t xml:space="preserve"> for the timeframes to undertake retrofits as necessary, and for </w:t>
      </w:r>
      <w:r>
        <w:t>future</w:t>
      </w:r>
      <w:r w:rsidRPr="000F0202">
        <w:t xml:space="preserve"> WBB licen</w:t>
      </w:r>
      <w:r>
        <w:t>se</w:t>
      </w:r>
      <w:r w:rsidRPr="000F0202">
        <w:t xml:space="preserve">es, the ACMA is </w:t>
      </w:r>
      <w:r>
        <w:t>proposing</w:t>
      </w:r>
      <w:r w:rsidRPr="000F0202">
        <w:t xml:space="preserve"> to </w:t>
      </w:r>
      <w:r>
        <w:t>remove</w:t>
      </w:r>
      <w:r w:rsidRPr="000F0202">
        <w:t xml:space="preserve"> the interim mitigations by 31 December 2024.</w:t>
      </w:r>
      <w:r>
        <w:t xml:space="preserve"> This would provide an additional 18 months from the July 2023 timeframe adopted in the US in recognition of the status of developments in the band in Australia, potential equipment availability issues and time necessary to undertake such changes on aircraft in the Australian environment.</w:t>
      </w:r>
    </w:p>
    <w:p w14:paraId="369F479D" w14:textId="77777777" w:rsidR="00C33CEB" w:rsidRDefault="00C33CEB" w:rsidP="00C33CEB">
      <w:pPr>
        <w:pStyle w:val="Numberedparagraph"/>
      </w:pPr>
      <w:r>
        <w:t xml:space="preserve">It will be a matter for CASA to determine what appropriate possible restrictions would be placed on aircraft operations post 31 December 2024. While the ACMA may contemplate retention of modest mitigations post 31 December 2024, the case for potential ongoing mitigations is currently unclear. Consequently, the ACMA recommend industry work on the basis that all the interim mitigations are removed in their entirety at this time.   </w:t>
      </w:r>
    </w:p>
    <w:p w14:paraId="7541C9E8" w14:textId="178B359E" w:rsidR="00C33CEB" w:rsidRDefault="00C33CEB" w:rsidP="00C33CEB">
      <w:pPr>
        <w:pStyle w:val="Numberedparagraph"/>
      </w:pPr>
      <w:r>
        <w:lastRenderedPageBreak/>
        <w:t>The ACMA recognises that a reasonable timeframe for the implementation of improved RAs depends on a range of factors. Accordingly, the ACMA is seeking views from industry on what is an appropriate timeframe.</w:t>
      </w:r>
    </w:p>
    <w:p w14:paraId="5A57B57C" w14:textId="77777777" w:rsidR="00B21972" w:rsidRPr="00B21972" w:rsidRDefault="00B21972" w:rsidP="00257BC6">
      <w:pPr>
        <w:pStyle w:val="Numberedparagraph"/>
      </w:pPr>
      <w:r w:rsidRPr="00257BC6">
        <w:rPr>
          <w:b/>
          <w:bCs/>
        </w:rPr>
        <w:t>Permanent mitigations</w:t>
      </w:r>
      <w:r w:rsidRPr="00B21972">
        <w:t>:</w:t>
      </w:r>
    </w:p>
    <w:p w14:paraId="71DA2FA9" w14:textId="77777777" w:rsidR="00B21972" w:rsidRDefault="00B21972" w:rsidP="00B21972">
      <w:pPr>
        <w:pStyle w:val="Numberedparagraph"/>
        <w:numPr>
          <w:ilvl w:val="2"/>
          <w:numId w:val="13"/>
        </w:numPr>
      </w:pPr>
      <w:r>
        <w:t>A 200 MHz guard band in 4000-4200 MHz where WBB deployments will not be permitted (already determined)</w:t>
      </w:r>
    </w:p>
    <w:p w14:paraId="67578A10" w14:textId="77777777" w:rsidR="0025671B" w:rsidRPr="0025671B" w:rsidRDefault="0025671B" w:rsidP="0025671B">
      <w:pPr>
        <w:pStyle w:val="ListParagraph"/>
        <w:numPr>
          <w:ilvl w:val="2"/>
          <w:numId w:val="13"/>
        </w:numPr>
        <w:rPr>
          <w:rFonts w:ascii="Arial" w:eastAsia="Times New Roman" w:hAnsi="Arial" w:cs="Arial"/>
          <w:sz w:val="20"/>
          <w:szCs w:val="24"/>
          <w:lang w:eastAsia="en-AU"/>
        </w:rPr>
      </w:pPr>
      <w:r w:rsidRPr="0025671B">
        <w:rPr>
          <w:rFonts w:ascii="Arial" w:eastAsia="Times New Roman" w:hAnsi="Arial" w:cs="Arial"/>
          <w:sz w:val="20"/>
          <w:szCs w:val="24"/>
          <w:lang w:eastAsia="en-AU"/>
        </w:rPr>
        <w:t>For all WBB licensees in 3400 – 4000 MHz, it is recommended when planning and deploying their networks, to take note of the co-existence issues that may arise due to aeronautical radio-navigation services, typically radio altimeters on aircraft, that may operate in the 4200 – 4400 MHz band. It is also recommended that affected licensees seek to coordinate with airports, heliports and aircraft operators to help prevent, manage and resolve interference that may arise to aeronautical radio-navigation stations.</w:t>
      </w:r>
    </w:p>
    <w:p w14:paraId="2E087F82" w14:textId="77777777" w:rsidR="00B21972" w:rsidRPr="00257BC6" w:rsidRDefault="00B21972" w:rsidP="00257BC6">
      <w:pPr>
        <w:pStyle w:val="Numberedparagraph"/>
        <w:rPr>
          <w:b/>
          <w:bCs/>
        </w:rPr>
      </w:pPr>
      <w:r w:rsidRPr="00077BB0">
        <w:rPr>
          <w:b/>
          <w:bCs/>
        </w:rPr>
        <w:t>Temporary, reviewable mitigations</w:t>
      </w:r>
      <w:r w:rsidRPr="00257BC6">
        <w:rPr>
          <w:b/>
          <w:bCs/>
        </w:rPr>
        <w:t>:</w:t>
      </w:r>
    </w:p>
    <w:p w14:paraId="1710724D" w14:textId="3A596FC6" w:rsidR="00B21972" w:rsidRPr="009D33B1" w:rsidRDefault="00B21972" w:rsidP="00B21972">
      <w:pPr>
        <w:pStyle w:val="Numberedparagraph"/>
        <w:numPr>
          <w:ilvl w:val="2"/>
          <w:numId w:val="13"/>
        </w:numPr>
      </w:pPr>
      <w:r w:rsidRPr="009D33B1">
        <w:t xml:space="preserve">For deployments above </w:t>
      </w:r>
      <w:r w:rsidR="00C549C4" w:rsidRPr="00257BC6">
        <w:t>3800</w:t>
      </w:r>
      <w:r w:rsidR="00C549C4" w:rsidRPr="009D33B1">
        <w:t xml:space="preserve"> </w:t>
      </w:r>
      <w:r w:rsidRPr="009D33B1">
        <w:t>MHz around identified runways:</w:t>
      </w:r>
    </w:p>
    <w:p w14:paraId="6CFD9FCE" w14:textId="2B3160E3" w:rsidR="00B21972" w:rsidRPr="009D33B1" w:rsidRDefault="00B21972" w:rsidP="00B21972">
      <w:pPr>
        <w:pStyle w:val="Numberedparagraph"/>
        <w:numPr>
          <w:ilvl w:val="3"/>
          <w:numId w:val="13"/>
        </w:numPr>
      </w:pPr>
      <w:r w:rsidRPr="009D33B1">
        <w:t>Exclusion zones, where no WBB services are permitted</w:t>
      </w:r>
    </w:p>
    <w:p w14:paraId="58E885A4" w14:textId="6D8F49D1" w:rsidR="00B21972" w:rsidRPr="009D33B1" w:rsidRDefault="00B907B7" w:rsidP="00B21972">
      <w:pPr>
        <w:pStyle w:val="Numberedparagraph"/>
        <w:numPr>
          <w:ilvl w:val="3"/>
          <w:numId w:val="13"/>
        </w:numPr>
      </w:pPr>
      <w:r w:rsidRPr="00B907B7">
        <w:t>Restricted zones, except in the 3950 – 4000 MHz range in metro and regional restricted cell areas, with a PFD limit in the restricted zones</w:t>
      </w:r>
      <w:r>
        <w:t>.</w:t>
      </w:r>
    </w:p>
    <w:p w14:paraId="6B5BBC51" w14:textId="5B30C7BE" w:rsidR="00B21972" w:rsidRPr="009D33B1" w:rsidRDefault="00B21972" w:rsidP="00B21972">
      <w:pPr>
        <w:pStyle w:val="Numberedparagraph"/>
        <w:numPr>
          <w:ilvl w:val="2"/>
          <w:numId w:val="13"/>
        </w:numPr>
      </w:pPr>
      <w:r w:rsidRPr="009D33B1">
        <w:t xml:space="preserve">For deployments above </w:t>
      </w:r>
      <w:r w:rsidR="00C549C4" w:rsidRPr="00257BC6">
        <w:t xml:space="preserve">3800 </w:t>
      </w:r>
      <w:r w:rsidRPr="00257BC6">
        <w:t>MHz</w:t>
      </w:r>
      <w:r w:rsidR="00617805">
        <w:t xml:space="preserve"> everywhere</w:t>
      </w:r>
      <w:r w:rsidRPr="009D33B1">
        <w:t>:</w:t>
      </w:r>
    </w:p>
    <w:p w14:paraId="3954642A" w14:textId="77777777" w:rsidR="00B21972" w:rsidRPr="009D33B1" w:rsidRDefault="00B21972" w:rsidP="00B21972">
      <w:pPr>
        <w:pStyle w:val="Numberedparagraph"/>
        <w:numPr>
          <w:ilvl w:val="3"/>
          <w:numId w:val="13"/>
        </w:numPr>
      </w:pPr>
      <w:r w:rsidRPr="009D33B1">
        <w:t>Additional unwanted emission limits in 4200-4400 MHz</w:t>
      </w:r>
    </w:p>
    <w:p w14:paraId="75937918" w14:textId="77777777" w:rsidR="00B21972" w:rsidRPr="009D33B1" w:rsidRDefault="00B21972" w:rsidP="00B21972">
      <w:pPr>
        <w:pStyle w:val="Numberedparagraph"/>
        <w:numPr>
          <w:ilvl w:val="3"/>
          <w:numId w:val="13"/>
        </w:numPr>
      </w:pPr>
      <w:r w:rsidRPr="009D33B1">
        <w:t>Maximum EIRP density limits</w:t>
      </w:r>
    </w:p>
    <w:p w14:paraId="359985C1" w14:textId="77777777" w:rsidR="00B21972" w:rsidRDefault="00B21972" w:rsidP="00B21972">
      <w:pPr>
        <w:pStyle w:val="Numberedparagraph"/>
        <w:numPr>
          <w:ilvl w:val="3"/>
          <w:numId w:val="13"/>
        </w:numPr>
      </w:pPr>
      <w:r w:rsidRPr="00C1772D">
        <w:t>Restricting any WBB antenna system to point maximum power or scan any beam below the horizon only.</w:t>
      </w:r>
    </w:p>
    <w:p w14:paraId="5DAD16A7" w14:textId="77777777" w:rsidR="00B21972" w:rsidRPr="00C1772D" w:rsidRDefault="00B21972" w:rsidP="00B21972">
      <w:pPr>
        <w:pStyle w:val="Numberedparagraph"/>
        <w:numPr>
          <w:ilvl w:val="3"/>
          <w:numId w:val="13"/>
        </w:numPr>
      </w:pPr>
      <w:r>
        <w:t>Grating lobes of WBB antenna systems should be minimised as much as is practicable.</w:t>
      </w:r>
    </w:p>
    <w:p w14:paraId="544AE0D4" w14:textId="02495A56" w:rsidR="00B21972" w:rsidRPr="00D40F53" w:rsidRDefault="00B21972" w:rsidP="00257BC6">
      <w:pPr>
        <w:pStyle w:val="Numberedparagraph"/>
        <w:numPr>
          <w:ilvl w:val="2"/>
          <w:numId w:val="13"/>
        </w:numPr>
      </w:pPr>
      <w:r w:rsidRPr="00C915D5">
        <w:t xml:space="preserve">An “identified runway” is one identified by CASA as requiring the protection of radio altimeters due to safety and/or important operational requirements.   </w:t>
      </w:r>
      <w:r w:rsidR="00B907B7">
        <w:t xml:space="preserve"> An initial list is provided at </w:t>
      </w:r>
      <w:r w:rsidR="00B907B7" w:rsidRPr="00257BC6">
        <w:rPr>
          <w:i/>
          <w:iCs/>
        </w:rPr>
        <w:fldChar w:fldCharType="begin"/>
      </w:r>
      <w:r w:rsidR="00B907B7" w:rsidRPr="00257BC6">
        <w:rPr>
          <w:i/>
          <w:iCs/>
        </w:rPr>
        <w:instrText xml:space="preserve"> REF _Ref116033610 \h </w:instrText>
      </w:r>
      <w:r w:rsidR="00B907B7">
        <w:rPr>
          <w:i/>
          <w:iCs/>
        </w:rPr>
        <w:instrText xml:space="preserve"> \* MERGEFORMAT </w:instrText>
      </w:r>
      <w:r w:rsidR="00B907B7" w:rsidRPr="00257BC6">
        <w:rPr>
          <w:i/>
          <w:iCs/>
        </w:rPr>
      </w:r>
      <w:r w:rsidR="00B907B7" w:rsidRPr="00257BC6">
        <w:rPr>
          <w:i/>
          <w:iCs/>
        </w:rPr>
        <w:fldChar w:fldCharType="separate"/>
      </w:r>
      <w:r w:rsidR="009C0E98" w:rsidRPr="00695A13">
        <w:rPr>
          <w:i/>
          <w:iCs/>
        </w:rPr>
        <w:t>Appendix G: Identified runways</w:t>
      </w:r>
      <w:r w:rsidR="00B907B7" w:rsidRPr="00257BC6">
        <w:rPr>
          <w:i/>
          <w:iCs/>
        </w:rPr>
        <w:fldChar w:fldCharType="end"/>
      </w:r>
      <w:r w:rsidR="00B907B7" w:rsidRPr="00257BC6">
        <w:rPr>
          <w:i/>
          <w:iCs/>
        </w:rPr>
        <w:t>.</w:t>
      </w:r>
    </w:p>
    <w:p w14:paraId="0C0CA8AC" w14:textId="50D1805C" w:rsidR="00390BE0" w:rsidRDefault="00B21972">
      <w:pPr>
        <w:pStyle w:val="Numberedparagraph"/>
        <w:numPr>
          <w:ilvl w:val="2"/>
          <w:numId w:val="13"/>
        </w:numPr>
      </w:pPr>
      <w:r w:rsidRPr="00D40F53">
        <w:t xml:space="preserve">An “exclusion zone” is a </w:t>
      </w:r>
      <w:r w:rsidR="00390BE0">
        <w:t>zone made of three contiguous areas</w:t>
      </w:r>
      <w:r w:rsidR="00707F15">
        <w:t xml:space="preserve"> using the following four dimensions</w:t>
      </w:r>
      <w:r w:rsidR="00390BE0">
        <w:t>:</w:t>
      </w:r>
    </w:p>
    <w:p w14:paraId="561FC42B" w14:textId="10362716" w:rsidR="00390BE0" w:rsidRDefault="00390BE0" w:rsidP="00390BE0">
      <w:pPr>
        <w:pStyle w:val="Numberedparagraph"/>
        <w:numPr>
          <w:ilvl w:val="3"/>
          <w:numId w:val="13"/>
        </w:numPr>
      </w:pPr>
      <w:r>
        <w:t xml:space="preserve">An area </w:t>
      </w:r>
      <w:r w:rsidR="00B21972" w:rsidRPr="00D40F53">
        <w:t xml:space="preserve">extending lengthwise from </w:t>
      </w:r>
      <w:r>
        <w:t>the landing end of an identified runway for the “</w:t>
      </w:r>
      <w:r w:rsidR="003B3409">
        <w:t xml:space="preserve">extension </w:t>
      </w:r>
      <w:r>
        <w:t>length” indicated in Table 1 column B for highest operating frequency.</w:t>
      </w:r>
    </w:p>
    <w:p w14:paraId="0F868847" w14:textId="0BFD4451" w:rsidR="00390BE0" w:rsidRDefault="00390BE0" w:rsidP="00390BE0">
      <w:pPr>
        <w:pStyle w:val="Numberedparagraph"/>
        <w:numPr>
          <w:ilvl w:val="3"/>
          <w:numId w:val="13"/>
        </w:numPr>
      </w:pPr>
      <w:r>
        <w:t>An area then extending along the length of the runway to the far end.</w:t>
      </w:r>
    </w:p>
    <w:p w14:paraId="2EDF5B8B" w14:textId="08862C6B" w:rsidR="00390BE0" w:rsidRDefault="00390BE0" w:rsidP="00390BE0">
      <w:pPr>
        <w:pStyle w:val="Numberedparagraph"/>
        <w:numPr>
          <w:ilvl w:val="3"/>
          <w:numId w:val="13"/>
        </w:numPr>
      </w:pPr>
      <w:r>
        <w:t xml:space="preserve">The exclusion zone extends beyond the far end of the runway </w:t>
      </w:r>
      <w:r w:rsidR="00707F15">
        <w:t>for</w:t>
      </w:r>
      <w:r>
        <w:t xml:space="preserve"> a length equal to the “half-width” in </w:t>
      </w:r>
      <w:r w:rsidR="00385D04">
        <w:t>T</w:t>
      </w:r>
      <w:r>
        <w:t xml:space="preserve">able 1 column </w:t>
      </w:r>
      <w:r w:rsidR="003B3409">
        <w:t>C</w:t>
      </w:r>
      <w:r>
        <w:t>.</w:t>
      </w:r>
    </w:p>
    <w:p w14:paraId="57A00EE3" w14:textId="78B431AA" w:rsidR="00B21972" w:rsidRPr="00D40F53" w:rsidRDefault="00390BE0" w:rsidP="00257BC6">
      <w:pPr>
        <w:pStyle w:val="Numberedparagraph"/>
        <w:numPr>
          <w:ilvl w:val="3"/>
          <w:numId w:val="13"/>
        </w:numPr>
      </w:pPr>
      <w:r>
        <w:lastRenderedPageBreak/>
        <w:t>The width of the exclusion zone each side of the runway centre-line, for the three parts in 1,2,3 is the “half-width”</w:t>
      </w:r>
      <w:r w:rsidR="00B21972" w:rsidRPr="00D40F53">
        <w:t xml:space="preserve"> using the</w:t>
      </w:r>
      <w:r w:rsidR="00B21972" w:rsidRPr="00264269">
        <w:t xml:space="preserve"> applicable </w:t>
      </w:r>
      <w:r w:rsidR="00B21972" w:rsidRPr="003A26CD">
        <w:rPr>
          <w:i/>
          <w:iCs/>
        </w:rPr>
        <w:t>maximum</w:t>
      </w:r>
      <w:r w:rsidR="00B21972" w:rsidRPr="00C915D5">
        <w:t xml:space="preserve"> operating frequency row in Table 1 column </w:t>
      </w:r>
      <w:r w:rsidR="003B3409">
        <w:t>C</w:t>
      </w:r>
      <w:r w:rsidR="00B21972" w:rsidRPr="00C915D5">
        <w:t>.</w:t>
      </w:r>
    </w:p>
    <w:p w14:paraId="32680D8E" w14:textId="33BDF86B" w:rsidR="00B21972" w:rsidRPr="00D40F53" w:rsidRDefault="00B21972" w:rsidP="00257BC6">
      <w:pPr>
        <w:pStyle w:val="Numberedparagraph"/>
        <w:numPr>
          <w:ilvl w:val="2"/>
          <w:numId w:val="13"/>
        </w:numPr>
      </w:pPr>
      <w:r w:rsidRPr="00D40F53">
        <w:t xml:space="preserve">A “restricted zone” is an area extending lengthwise from </w:t>
      </w:r>
      <w:r w:rsidR="00B00744">
        <w:t>a landing</w:t>
      </w:r>
      <w:r w:rsidR="00B00744" w:rsidRPr="00D40F53">
        <w:t xml:space="preserve"> </w:t>
      </w:r>
      <w:r w:rsidRPr="00D40F53">
        <w:t xml:space="preserve">end </w:t>
      </w:r>
      <w:r w:rsidR="00707F15">
        <w:t xml:space="preserve">only </w:t>
      </w:r>
      <w:r w:rsidRPr="00D40F53">
        <w:t xml:space="preserve">of </w:t>
      </w:r>
      <w:r w:rsidR="00095092">
        <w:t>an</w:t>
      </w:r>
      <w:r w:rsidR="00095092" w:rsidRPr="00D40F53">
        <w:t xml:space="preserve"> </w:t>
      </w:r>
      <w:r w:rsidRPr="00D40F53">
        <w:t xml:space="preserve">exclusion zone, and horizontally from an identified runway </w:t>
      </w:r>
      <w:r w:rsidR="00B00744" w:rsidRPr="00D40F53">
        <w:t>centreline</w:t>
      </w:r>
      <w:r w:rsidRPr="00D40F53">
        <w:t xml:space="preserve">. The dimensions apply using the </w:t>
      </w:r>
      <w:r w:rsidRPr="003A26CD">
        <w:rPr>
          <w:i/>
          <w:iCs/>
        </w:rPr>
        <w:t>maximum</w:t>
      </w:r>
      <w:r w:rsidRPr="00C915D5">
        <w:t xml:space="preserve"> operating frequency row </w:t>
      </w:r>
      <w:r w:rsidRPr="00D40F53">
        <w:t xml:space="preserve">in Table 1 column </w:t>
      </w:r>
      <w:r w:rsidR="003B3409">
        <w:t>D</w:t>
      </w:r>
      <w:r w:rsidRPr="00D40F53">
        <w:t>.</w:t>
      </w:r>
    </w:p>
    <w:p w14:paraId="5CDCDA6C" w14:textId="48C44B7A" w:rsidR="00B21972" w:rsidRPr="00264269" w:rsidRDefault="00B21972" w:rsidP="00257BC6">
      <w:pPr>
        <w:pStyle w:val="Numberedparagraph"/>
        <w:numPr>
          <w:ilvl w:val="0"/>
          <w:numId w:val="0"/>
        </w:numPr>
      </w:pPr>
      <w:r w:rsidRPr="00264269">
        <w:t>Figure</w:t>
      </w:r>
      <w:r w:rsidR="00AA0617">
        <w:t>s</w:t>
      </w:r>
      <w:r w:rsidRPr="00264269">
        <w:t xml:space="preserve"> </w:t>
      </w:r>
      <w:r w:rsidR="00495F2D">
        <w:t>2</w:t>
      </w:r>
      <w:r w:rsidR="0093090E">
        <w:t xml:space="preserve"> and 3</w:t>
      </w:r>
      <w:r w:rsidR="009D33B1">
        <w:t xml:space="preserve"> </w:t>
      </w:r>
      <w:r w:rsidRPr="00264269">
        <w:t xml:space="preserve">below </w:t>
      </w:r>
      <w:r w:rsidR="0093090E">
        <w:t>are</w:t>
      </w:r>
      <w:r w:rsidR="0093090E" w:rsidRPr="00264269">
        <w:t xml:space="preserve"> </w:t>
      </w:r>
      <w:r w:rsidRPr="00264269">
        <w:t>instructive for an example case at 3750</w:t>
      </w:r>
      <w:r w:rsidR="00AA0617">
        <w:rPr>
          <w:rStyle w:val="FootnoteReference"/>
        </w:rPr>
        <w:footnoteReference w:id="9"/>
      </w:r>
      <w:r w:rsidR="001C333C">
        <w:t xml:space="preserve"> </w:t>
      </w:r>
      <w:r w:rsidRPr="00264269">
        <w:t>MHz.</w:t>
      </w:r>
    </w:p>
    <w:p w14:paraId="1FB45946" w14:textId="28084ACC" w:rsidR="00B21972" w:rsidRPr="00A86BA8" w:rsidRDefault="00B21972" w:rsidP="00257BC6">
      <w:pPr>
        <w:pStyle w:val="ACMAFigureHeader"/>
      </w:pPr>
      <w:r w:rsidRPr="00A86BA8">
        <w:t xml:space="preserve">Zone sizes </w:t>
      </w:r>
      <w:r w:rsidR="00390BE0">
        <w:t xml:space="preserve">example </w:t>
      </w:r>
      <w:r w:rsidRPr="00A86BA8">
        <w:t>(not to scale)</w:t>
      </w:r>
      <w:r w:rsidR="00390BE0">
        <w:t xml:space="preserve"> for a runway which requires protection in both directions</w:t>
      </w:r>
    </w:p>
    <w:p w14:paraId="64D18574" w14:textId="5AB0C14A" w:rsidR="00B21972" w:rsidRDefault="008A4A1C" w:rsidP="00257BC6">
      <w:pPr>
        <w:pStyle w:val="Paragraph-nonumber"/>
      </w:pPr>
      <w:r w:rsidRPr="008A4A1C">
        <w:rPr>
          <w:noProof/>
        </w:rPr>
        <w:drawing>
          <wp:inline distT="0" distB="0" distL="0" distR="0" wp14:anchorId="38FC7C5D" wp14:editId="493BBAF3">
            <wp:extent cx="4871085" cy="1090295"/>
            <wp:effectExtent l="0" t="0" r="571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71085" cy="1090295"/>
                    </a:xfrm>
                    <a:prstGeom prst="rect">
                      <a:avLst/>
                    </a:prstGeom>
                  </pic:spPr>
                </pic:pic>
              </a:graphicData>
            </a:graphic>
          </wp:inline>
        </w:drawing>
      </w:r>
      <w:r w:rsidRPr="008A4A1C">
        <w:rPr>
          <w:noProof/>
        </w:rPr>
        <w:t xml:space="preserve"> </w:t>
      </w:r>
    </w:p>
    <w:p w14:paraId="14B458EF" w14:textId="4E6EA398" w:rsidR="00390BE0" w:rsidRPr="00A86BA8" w:rsidRDefault="00390BE0" w:rsidP="00390BE0">
      <w:pPr>
        <w:pStyle w:val="ACMAFigureHeader"/>
      </w:pPr>
      <w:r w:rsidRPr="00A86BA8">
        <w:t xml:space="preserve">Zone sizes </w:t>
      </w:r>
      <w:r>
        <w:t xml:space="preserve">example </w:t>
      </w:r>
      <w:r w:rsidRPr="00A86BA8">
        <w:t>(not to scale)</w:t>
      </w:r>
      <w:r>
        <w:t xml:space="preserve"> for a runway which requires protection in </w:t>
      </w:r>
      <w:r w:rsidR="00B00744">
        <w:t>only one</w:t>
      </w:r>
      <w:r>
        <w:t xml:space="preserve"> direction</w:t>
      </w:r>
    </w:p>
    <w:p w14:paraId="609870EB" w14:textId="49F40781" w:rsidR="00390BE0" w:rsidRPr="004D3483" w:rsidRDefault="008A4A1C">
      <w:pPr>
        <w:rPr>
          <w:rFonts w:cs="Arial"/>
          <w:szCs w:val="20"/>
        </w:rPr>
      </w:pPr>
      <w:r w:rsidRPr="008A4A1C">
        <w:rPr>
          <w:rFonts w:cs="Arial"/>
          <w:noProof/>
          <w:szCs w:val="20"/>
        </w:rPr>
        <w:drawing>
          <wp:inline distT="0" distB="0" distL="0" distR="0" wp14:anchorId="67A7BF3F" wp14:editId="71DB71B3">
            <wp:extent cx="4572000" cy="1228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581909" cy="1231639"/>
                    </a:xfrm>
                    <a:prstGeom prst="rect">
                      <a:avLst/>
                    </a:prstGeom>
                  </pic:spPr>
                </pic:pic>
              </a:graphicData>
            </a:graphic>
          </wp:inline>
        </w:drawing>
      </w:r>
    </w:p>
    <w:p w14:paraId="54F9A7BA" w14:textId="61F6D40A" w:rsidR="00B21972" w:rsidRPr="00264269" w:rsidRDefault="00B21972" w:rsidP="00257BC6">
      <w:pPr>
        <w:pStyle w:val="Numberedparagraph"/>
        <w:numPr>
          <w:ilvl w:val="2"/>
          <w:numId w:val="13"/>
        </w:numPr>
      </w:pPr>
      <w:r w:rsidRPr="00C915D5">
        <w:t xml:space="preserve">The “PFD limit” value is defined in </w:t>
      </w:r>
      <w:r w:rsidR="004C208C">
        <w:t>T</w:t>
      </w:r>
      <w:r w:rsidRPr="00C915D5">
        <w:t xml:space="preserve">able 1 column </w:t>
      </w:r>
      <w:r w:rsidR="00B703DE">
        <w:t>F</w:t>
      </w:r>
      <w:r w:rsidR="00B703DE" w:rsidRPr="00C915D5">
        <w:t xml:space="preserve"> </w:t>
      </w:r>
      <w:r w:rsidRPr="00C915D5">
        <w:t xml:space="preserve">for the </w:t>
      </w:r>
      <w:r w:rsidRPr="003A26CD">
        <w:rPr>
          <w:i/>
          <w:iCs/>
        </w:rPr>
        <w:t>maximum</w:t>
      </w:r>
      <w:r w:rsidRPr="00C915D5">
        <w:t xml:space="preserve"> operating frequency row. The PFD cannot exceed that value at a height above the ground of the corresponding column </w:t>
      </w:r>
      <w:r w:rsidR="003B3409">
        <w:t>G</w:t>
      </w:r>
      <w:r w:rsidR="003B3409" w:rsidRPr="00C915D5">
        <w:t xml:space="preserve"> </w:t>
      </w:r>
      <w:r w:rsidRPr="00C915D5">
        <w:t xml:space="preserve">of Table 1, </w:t>
      </w:r>
      <w:r w:rsidRPr="00D40F53">
        <w:t>for any percentage of the time for all combinations of elevation and azimuth angles above the horizon,</w:t>
      </w:r>
      <w:r w:rsidR="00606EDD">
        <w:t xml:space="preserve"> for deployments</w:t>
      </w:r>
      <w:r w:rsidRPr="00D40F53">
        <w:t xml:space="preserve"> the restricted zone.</w:t>
      </w:r>
    </w:p>
    <w:p w14:paraId="08A47CB1" w14:textId="629F33D5" w:rsidR="00B21972" w:rsidRPr="00264269" w:rsidRDefault="00B21972" w:rsidP="00257BC6">
      <w:pPr>
        <w:pStyle w:val="Numberedparagraph"/>
        <w:numPr>
          <w:ilvl w:val="2"/>
          <w:numId w:val="13"/>
        </w:numPr>
      </w:pPr>
      <w:r w:rsidRPr="00264269">
        <w:t xml:space="preserve">The “Additional unwanted emission limits” in 4200-4400 MHz </w:t>
      </w:r>
      <w:r w:rsidR="00B907B7">
        <w:t>is</w:t>
      </w:r>
      <w:r w:rsidR="00B907B7" w:rsidRPr="00264269">
        <w:t xml:space="preserve"> </w:t>
      </w:r>
      <w:r w:rsidRPr="00264269">
        <w:t xml:space="preserve">at most  the value for the </w:t>
      </w:r>
      <w:r w:rsidRPr="003A26CD">
        <w:rPr>
          <w:i/>
          <w:iCs/>
        </w:rPr>
        <w:t>minimum</w:t>
      </w:r>
      <w:r w:rsidRPr="00C915D5">
        <w:t xml:space="preserve"> operating frequency row from Table 1 column </w:t>
      </w:r>
      <w:r w:rsidR="003B3409">
        <w:t>E</w:t>
      </w:r>
      <w:r w:rsidRPr="00C915D5">
        <w:t xml:space="preserve">, </w:t>
      </w:r>
      <w:r w:rsidRPr="00D40F53">
        <w:t>anywhere in the 4200 4400 MHz range.</w:t>
      </w:r>
    </w:p>
    <w:p w14:paraId="295037EB" w14:textId="282AE4C1" w:rsidR="00B21972" w:rsidRPr="00D40F53" w:rsidRDefault="00B21972" w:rsidP="00257BC6">
      <w:pPr>
        <w:pStyle w:val="Numberedparagraph"/>
        <w:numPr>
          <w:ilvl w:val="2"/>
          <w:numId w:val="13"/>
        </w:numPr>
      </w:pPr>
      <w:r w:rsidRPr="00264269">
        <w:t>The “maximum EIRP density limit” is 62 dBm/MHz</w:t>
      </w:r>
      <w:r w:rsidR="00595334">
        <w:t>, outside of the restricted cell areas in 3950 – 4000 MHz</w:t>
      </w:r>
      <w:r w:rsidRPr="00C915D5">
        <w:t>.</w:t>
      </w:r>
    </w:p>
    <w:p w14:paraId="523F4767" w14:textId="77777777" w:rsidR="003B3409" w:rsidRDefault="003B3409">
      <w:pPr>
        <w:spacing w:after="0" w:line="240" w:lineRule="auto"/>
        <w:rPr>
          <w:b/>
          <w:bCs/>
          <w:color w:val="323232"/>
          <w:szCs w:val="20"/>
        </w:rPr>
      </w:pPr>
      <w:r>
        <w:br w:type="page"/>
      </w:r>
    </w:p>
    <w:p w14:paraId="057DECE5" w14:textId="10968294" w:rsidR="00B21972" w:rsidRPr="001B71FD" w:rsidRDefault="00B21972" w:rsidP="00257BC6">
      <w:pPr>
        <w:pStyle w:val="Tableheading"/>
      </w:pPr>
      <w:r w:rsidRPr="001B71FD">
        <w:lastRenderedPageBreak/>
        <w:t>Example table of mitigations in a frequency range</w:t>
      </w:r>
    </w:p>
    <w:tbl>
      <w:tblPr>
        <w:tblStyle w:val="ACMAtablestyle"/>
        <w:tblW w:w="10034" w:type="dxa"/>
        <w:tblLayout w:type="fixed"/>
        <w:tblLook w:val="04A0" w:firstRow="1" w:lastRow="0" w:firstColumn="1" w:lastColumn="0" w:noHBand="0" w:noVBand="1"/>
      </w:tblPr>
      <w:tblGrid>
        <w:gridCol w:w="1433"/>
        <w:gridCol w:w="1433"/>
        <w:gridCol w:w="1434"/>
        <w:gridCol w:w="1433"/>
        <w:gridCol w:w="1434"/>
        <w:gridCol w:w="1475"/>
        <w:gridCol w:w="1392"/>
      </w:tblGrid>
      <w:tr w:rsidR="003B3409" w:rsidRPr="005D5435" w14:paraId="64737DFA" w14:textId="77777777" w:rsidTr="00257BC6">
        <w:trPr>
          <w:cnfStyle w:val="100000000000" w:firstRow="1" w:lastRow="0" w:firstColumn="0" w:lastColumn="0" w:oddVBand="0" w:evenVBand="0" w:oddHBand="0" w:evenHBand="0" w:firstRowFirstColumn="0" w:firstRowLastColumn="0" w:lastRowFirstColumn="0" w:lastRowLastColumn="0"/>
          <w:trHeight w:val="300"/>
        </w:trPr>
        <w:tc>
          <w:tcPr>
            <w:tcW w:w="1433" w:type="dxa"/>
          </w:tcPr>
          <w:p w14:paraId="4AF5BB59" w14:textId="791C1FA9" w:rsidR="003B3409" w:rsidRPr="00DE7273" w:rsidRDefault="003B3409" w:rsidP="00695A13">
            <w:pPr>
              <w:pStyle w:val="Tableheaderrow"/>
              <w:jc w:val="center"/>
            </w:pPr>
            <w:r>
              <w:t>A</w:t>
            </w:r>
          </w:p>
        </w:tc>
        <w:tc>
          <w:tcPr>
            <w:tcW w:w="1433" w:type="dxa"/>
          </w:tcPr>
          <w:p w14:paraId="50211AF9" w14:textId="46F78391" w:rsidR="003B3409" w:rsidRPr="00DE7273" w:rsidRDefault="003B3409" w:rsidP="00695A13">
            <w:pPr>
              <w:pStyle w:val="Tableheaderrow"/>
              <w:jc w:val="center"/>
            </w:pPr>
            <w:r>
              <w:t>B</w:t>
            </w:r>
          </w:p>
        </w:tc>
        <w:tc>
          <w:tcPr>
            <w:tcW w:w="1434" w:type="dxa"/>
          </w:tcPr>
          <w:p w14:paraId="4BE0C253" w14:textId="24591DF9" w:rsidR="003B3409" w:rsidRDefault="003B3409" w:rsidP="00695A13">
            <w:pPr>
              <w:pStyle w:val="Tableheaderrow"/>
              <w:jc w:val="center"/>
            </w:pPr>
            <w:r>
              <w:t>C</w:t>
            </w:r>
          </w:p>
        </w:tc>
        <w:tc>
          <w:tcPr>
            <w:tcW w:w="1433" w:type="dxa"/>
          </w:tcPr>
          <w:p w14:paraId="2114B3E7" w14:textId="47B58FA5" w:rsidR="003B3409" w:rsidRPr="00DE7273" w:rsidRDefault="003B3409" w:rsidP="00695A13">
            <w:pPr>
              <w:pStyle w:val="Tableheaderrow"/>
              <w:jc w:val="center"/>
            </w:pPr>
            <w:r>
              <w:t>D</w:t>
            </w:r>
          </w:p>
        </w:tc>
        <w:tc>
          <w:tcPr>
            <w:tcW w:w="1434" w:type="dxa"/>
          </w:tcPr>
          <w:p w14:paraId="3246588B" w14:textId="15647117" w:rsidR="003B3409" w:rsidRPr="00DE7273" w:rsidRDefault="003B3409" w:rsidP="00695A13">
            <w:pPr>
              <w:pStyle w:val="Tableheaderrow"/>
              <w:jc w:val="center"/>
            </w:pPr>
            <w:r>
              <w:t>E</w:t>
            </w:r>
          </w:p>
        </w:tc>
        <w:tc>
          <w:tcPr>
            <w:tcW w:w="1475" w:type="dxa"/>
          </w:tcPr>
          <w:p w14:paraId="4FBFAC1B" w14:textId="17A9A8DD" w:rsidR="003B3409" w:rsidRPr="00DE7273" w:rsidRDefault="003B3409" w:rsidP="00695A13">
            <w:pPr>
              <w:pStyle w:val="Tableheaderrow"/>
              <w:jc w:val="center"/>
            </w:pPr>
            <w:r>
              <w:t>F</w:t>
            </w:r>
          </w:p>
        </w:tc>
        <w:tc>
          <w:tcPr>
            <w:tcW w:w="1392" w:type="dxa"/>
          </w:tcPr>
          <w:p w14:paraId="073A58F6" w14:textId="77E63EEB" w:rsidR="003B3409" w:rsidRDefault="003B3409" w:rsidP="00695A13">
            <w:pPr>
              <w:pStyle w:val="Tableheaderrow"/>
              <w:jc w:val="center"/>
            </w:pPr>
            <w:r>
              <w:t>G</w:t>
            </w:r>
          </w:p>
        </w:tc>
      </w:tr>
      <w:tr w:rsidR="003B3409" w:rsidRPr="005D5435" w14:paraId="1F919536" w14:textId="77777777" w:rsidTr="00257BC6">
        <w:trPr>
          <w:cnfStyle w:val="000000100000" w:firstRow="0" w:lastRow="0" w:firstColumn="0" w:lastColumn="0" w:oddVBand="0" w:evenVBand="0" w:oddHBand="1" w:evenHBand="0" w:firstRowFirstColumn="0" w:firstRowLastColumn="0" w:lastRowFirstColumn="0" w:lastRowLastColumn="0"/>
          <w:trHeight w:val="629"/>
        </w:trPr>
        <w:tc>
          <w:tcPr>
            <w:tcW w:w="1433" w:type="dxa"/>
          </w:tcPr>
          <w:p w14:paraId="3DB4CAE5" w14:textId="04E4C796" w:rsidR="003B3409" w:rsidRPr="00DE7273" w:rsidRDefault="003B3409" w:rsidP="00695A13">
            <w:pPr>
              <w:pStyle w:val="Tableheaderrow"/>
            </w:pPr>
            <w:r w:rsidRPr="00DE7273">
              <w:t xml:space="preserve">Base station </w:t>
            </w:r>
            <w:r w:rsidR="00CA003E">
              <w:t>operating</w:t>
            </w:r>
            <w:r w:rsidRPr="00DE7273">
              <w:t xml:space="preserve"> frequency (MHz)</w:t>
            </w:r>
          </w:p>
        </w:tc>
        <w:tc>
          <w:tcPr>
            <w:tcW w:w="1433" w:type="dxa"/>
          </w:tcPr>
          <w:p w14:paraId="17BA3D00" w14:textId="57C96CC1" w:rsidR="003B3409" w:rsidRPr="00DE7273" w:rsidRDefault="003B3409" w:rsidP="00762249">
            <w:pPr>
              <w:pStyle w:val="Tableheaderrow"/>
            </w:pPr>
            <w:r w:rsidRPr="00DE7273">
              <w:t xml:space="preserve">Exclusion zone </w:t>
            </w:r>
            <w:r>
              <w:t>extension length</w:t>
            </w:r>
            <w:r w:rsidRPr="00DE7273">
              <w:t xml:space="preserve"> (m)</w:t>
            </w:r>
          </w:p>
          <w:p w14:paraId="1B263A6C" w14:textId="1FC6F377" w:rsidR="003B3409" w:rsidRPr="00DE7273" w:rsidRDefault="003B3409" w:rsidP="00695A13">
            <w:pPr>
              <w:pStyle w:val="Tableheaderrow"/>
            </w:pPr>
          </w:p>
        </w:tc>
        <w:tc>
          <w:tcPr>
            <w:tcW w:w="1434" w:type="dxa"/>
          </w:tcPr>
          <w:p w14:paraId="4ACCA0CC" w14:textId="43B37544" w:rsidR="003B3409" w:rsidRPr="00DE7273" w:rsidRDefault="003B3409" w:rsidP="00762249">
            <w:pPr>
              <w:pStyle w:val="Tableheaderrow"/>
            </w:pPr>
            <w:r>
              <w:t>Exclusion zone half-width (m)</w:t>
            </w:r>
          </w:p>
        </w:tc>
        <w:tc>
          <w:tcPr>
            <w:tcW w:w="1433" w:type="dxa"/>
          </w:tcPr>
          <w:p w14:paraId="6A3F360A" w14:textId="77777777" w:rsidR="003B3409" w:rsidRPr="00DE7273" w:rsidRDefault="003B3409" w:rsidP="00762249">
            <w:pPr>
              <w:pStyle w:val="Tableheaderrow"/>
            </w:pPr>
            <w:r w:rsidRPr="00DE7273">
              <w:t xml:space="preserve">Restricted zone </w:t>
            </w:r>
            <w:r>
              <w:t>size</w:t>
            </w:r>
            <w:r w:rsidRPr="00DE7273">
              <w:t xml:space="preserve"> (m)</w:t>
            </w:r>
          </w:p>
          <w:p w14:paraId="0DB45F8B" w14:textId="7E4FD2C9" w:rsidR="003B3409" w:rsidRPr="00DE7273" w:rsidRDefault="003B3409" w:rsidP="00695A13">
            <w:pPr>
              <w:pStyle w:val="Tableheaderrow"/>
            </w:pPr>
            <w:r w:rsidRPr="00DE7273">
              <w:t xml:space="preserve">(Length x </w:t>
            </w:r>
            <w:r>
              <w:t>half-width</w:t>
            </w:r>
            <w:r w:rsidRPr="00DE7273">
              <w:t>)</w:t>
            </w:r>
          </w:p>
        </w:tc>
        <w:tc>
          <w:tcPr>
            <w:tcW w:w="1434" w:type="dxa"/>
          </w:tcPr>
          <w:p w14:paraId="5BC20EF1" w14:textId="575669C7" w:rsidR="003B3409" w:rsidRPr="00DE7273" w:rsidRDefault="003B3409" w:rsidP="00695A13">
            <w:pPr>
              <w:pStyle w:val="Tableheaderrow"/>
            </w:pPr>
            <w:r w:rsidRPr="00DE7273">
              <w:t>Spurious emissions limit EIRP (dBm/MHz)</w:t>
            </w:r>
          </w:p>
        </w:tc>
        <w:tc>
          <w:tcPr>
            <w:tcW w:w="1475" w:type="dxa"/>
          </w:tcPr>
          <w:p w14:paraId="3EC41D46" w14:textId="2924CB70" w:rsidR="003B3409" w:rsidRPr="00DE7273" w:rsidRDefault="003B3409" w:rsidP="00695A13">
            <w:pPr>
              <w:pStyle w:val="Tableheaderrow"/>
            </w:pPr>
            <w:r w:rsidRPr="00DE7273">
              <w:t>Power flux density limit (dBW/m</w:t>
            </w:r>
            <w:r w:rsidRPr="00A25C8D">
              <w:rPr>
                <w:vertAlign w:val="superscript"/>
              </w:rPr>
              <w:t>2</w:t>
            </w:r>
            <w:r w:rsidRPr="00DE7273">
              <w:t>/MHz)</w:t>
            </w:r>
          </w:p>
        </w:tc>
        <w:tc>
          <w:tcPr>
            <w:tcW w:w="1392" w:type="dxa"/>
          </w:tcPr>
          <w:p w14:paraId="04A3EB96" w14:textId="039D60DB" w:rsidR="003B3409" w:rsidRDefault="003B3409" w:rsidP="00695A13">
            <w:pPr>
              <w:pStyle w:val="Tableheaderrow"/>
            </w:pPr>
            <w:r>
              <w:t>Power flux density limit restriction height (m)</w:t>
            </w:r>
          </w:p>
        </w:tc>
      </w:tr>
      <w:tr w:rsidR="003B3409" w:rsidRPr="00273707" w14:paraId="644218BE" w14:textId="77777777" w:rsidTr="00257BC6">
        <w:trPr>
          <w:cnfStyle w:val="000000010000" w:firstRow="0" w:lastRow="0" w:firstColumn="0" w:lastColumn="0" w:oddVBand="0" w:evenVBand="0" w:oddHBand="0" w:evenHBand="1" w:firstRowFirstColumn="0" w:firstRowLastColumn="0" w:lastRowFirstColumn="0" w:lastRowLastColumn="0"/>
          <w:trHeight w:val="156"/>
        </w:trPr>
        <w:tc>
          <w:tcPr>
            <w:tcW w:w="1433" w:type="dxa"/>
          </w:tcPr>
          <w:p w14:paraId="46BD9BAB" w14:textId="24B0A601" w:rsidR="003B3409" w:rsidRPr="00F9796E" w:rsidRDefault="003B3409" w:rsidP="00695A13">
            <w:pPr>
              <w:pStyle w:val="TableBody"/>
              <w:jc w:val="center"/>
              <w:rPr>
                <w:rFonts w:cs="Arial"/>
              </w:rPr>
            </w:pPr>
            <w:r w:rsidRPr="00F9796E">
              <w:rPr>
                <w:rFonts w:cs="Arial"/>
              </w:rPr>
              <w:t>(</w:t>
            </w:r>
            <w:r>
              <w:rPr>
                <w:rFonts w:cs="Arial"/>
              </w:rPr>
              <w:t>&gt;</w:t>
            </w:r>
            <w:r w:rsidRPr="00F9796E">
              <w:rPr>
                <w:rFonts w:cs="Arial"/>
              </w:rPr>
              <w:t>3800, 3850]</w:t>
            </w:r>
          </w:p>
        </w:tc>
        <w:tc>
          <w:tcPr>
            <w:tcW w:w="1433" w:type="dxa"/>
          </w:tcPr>
          <w:p w14:paraId="7309CEBA" w14:textId="6ABE4FBB" w:rsidR="003B3409" w:rsidRPr="000A7BED" w:rsidRDefault="003B3409" w:rsidP="00695A13">
            <w:pPr>
              <w:pStyle w:val="TableBody"/>
              <w:jc w:val="center"/>
              <w:rPr>
                <w:rFonts w:cs="Arial"/>
              </w:rPr>
            </w:pPr>
            <w:r w:rsidRPr="000A7BED">
              <w:rPr>
                <w:rFonts w:cs="Arial"/>
              </w:rPr>
              <w:t>2890</w:t>
            </w:r>
          </w:p>
        </w:tc>
        <w:tc>
          <w:tcPr>
            <w:tcW w:w="1434" w:type="dxa"/>
          </w:tcPr>
          <w:p w14:paraId="69E6026A" w14:textId="500E7B54" w:rsidR="003B3409" w:rsidRPr="00273707" w:rsidRDefault="003B3409" w:rsidP="00695A13">
            <w:pPr>
              <w:pStyle w:val="TableBody"/>
              <w:jc w:val="center"/>
              <w:rPr>
                <w:rFonts w:cs="Arial"/>
              </w:rPr>
            </w:pPr>
            <w:r>
              <w:rPr>
                <w:rFonts w:cs="Arial"/>
              </w:rPr>
              <w:t>1760</w:t>
            </w:r>
          </w:p>
        </w:tc>
        <w:tc>
          <w:tcPr>
            <w:tcW w:w="1433" w:type="dxa"/>
          </w:tcPr>
          <w:p w14:paraId="5A4CAD14" w14:textId="2205B16C" w:rsidR="003B3409" w:rsidRPr="00273707" w:rsidRDefault="003B3409" w:rsidP="00695A13">
            <w:pPr>
              <w:pStyle w:val="TableBody"/>
              <w:jc w:val="center"/>
              <w:rPr>
                <w:rFonts w:cs="Arial"/>
              </w:rPr>
            </w:pPr>
            <w:r w:rsidRPr="00273707">
              <w:rPr>
                <w:rFonts w:cs="Arial"/>
              </w:rPr>
              <w:t>5310 x 560</w:t>
            </w:r>
          </w:p>
        </w:tc>
        <w:tc>
          <w:tcPr>
            <w:tcW w:w="1434" w:type="dxa"/>
          </w:tcPr>
          <w:p w14:paraId="4A98CDAE" w14:textId="4F7432B5" w:rsidR="003B3409" w:rsidRPr="00273707" w:rsidRDefault="003B3409" w:rsidP="00695A13">
            <w:pPr>
              <w:pStyle w:val="TableBody"/>
              <w:jc w:val="center"/>
              <w:rPr>
                <w:rFonts w:cs="Arial"/>
                <w:color w:val="FF0000"/>
              </w:rPr>
            </w:pPr>
            <w:r w:rsidRPr="00D05583">
              <w:t>5.1</w:t>
            </w:r>
          </w:p>
        </w:tc>
        <w:tc>
          <w:tcPr>
            <w:tcW w:w="1475" w:type="dxa"/>
          </w:tcPr>
          <w:p w14:paraId="631757E3" w14:textId="37CA259E" w:rsidR="003B3409" w:rsidRPr="00273707" w:rsidRDefault="003B3409" w:rsidP="00695A13">
            <w:pPr>
              <w:pStyle w:val="TableBody"/>
              <w:jc w:val="center"/>
              <w:rPr>
                <w:rFonts w:cs="Arial"/>
              </w:rPr>
            </w:pPr>
            <w:r w:rsidRPr="001640D5">
              <w:t>-41</w:t>
            </w:r>
          </w:p>
        </w:tc>
        <w:tc>
          <w:tcPr>
            <w:tcW w:w="1392" w:type="dxa"/>
          </w:tcPr>
          <w:p w14:paraId="11938AD7" w14:textId="6111EC66" w:rsidR="003B3409" w:rsidRDefault="003B3409" w:rsidP="00695A13">
            <w:pPr>
              <w:pStyle w:val="TableBody"/>
              <w:jc w:val="center"/>
              <w:rPr>
                <w:rFonts w:cs="Arial"/>
              </w:rPr>
            </w:pPr>
            <w:r w:rsidRPr="001640D5">
              <w:t>140</w:t>
            </w:r>
          </w:p>
        </w:tc>
      </w:tr>
      <w:tr w:rsidR="003B3409" w:rsidRPr="00273707" w14:paraId="4D2BEB2C" w14:textId="77777777" w:rsidTr="00257BC6">
        <w:trPr>
          <w:cnfStyle w:val="000000100000" w:firstRow="0" w:lastRow="0" w:firstColumn="0" w:lastColumn="0" w:oddVBand="0" w:evenVBand="0" w:oddHBand="1" w:evenHBand="0" w:firstRowFirstColumn="0" w:firstRowLastColumn="0" w:lastRowFirstColumn="0" w:lastRowLastColumn="0"/>
          <w:trHeight w:val="156"/>
        </w:trPr>
        <w:tc>
          <w:tcPr>
            <w:tcW w:w="1433" w:type="dxa"/>
          </w:tcPr>
          <w:p w14:paraId="56BC2B88" w14:textId="32A43CC1" w:rsidR="003B3409" w:rsidRPr="00F9796E" w:rsidRDefault="003B3409" w:rsidP="00695A13">
            <w:pPr>
              <w:pStyle w:val="TableBody"/>
              <w:jc w:val="center"/>
              <w:rPr>
                <w:rFonts w:cs="Arial"/>
              </w:rPr>
            </w:pPr>
            <w:r w:rsidRPr="00F9796E">
              <w:rPr>
                <w:rFonts w:cs="Arial"/>
              </w:rPr>
              <w:t>(</w:t>
            </w:r>
            <w:r>
              <w:rPr>
                <w:rFonts w:cs="Arial"/>
              </w:rPr>
              <w:t>&gt;</w:t>
            </w:r>
            <w:r w:rsidRPr="00F9796E">
              <w:rPr>
                <w:rFonts w:cs="Arial"/>
              </w:rPr>
              <w:t>3850, 3900]</w:t>
            </w:r>
          </w:p>
        </w:tc>
        <w:tc>
          <w:tcPr>
            <w:tcW w:w="1433" w:type="dxa"/>
          </w:tcPr>
          <w:p w14:paraId="0BDED993" w14:textId="74A44642" w:rsidR="003B3409" w:rsidRPr="000A7BED" w:rsidRDefault="003B3409" w:rsidP="00695A13">
            <w:pPr>
              <w:pStyle w:val="TableBody"/>
              <w:jc w:val="center"/>
              <w:rPr>
                <w:rFonts w:cs="Arial"/>
              </w:rPr>
            </w:pPr>
            <w:r w:rsidRPr="000A7BED">
              <w:rPr>
                <w:rFonts w:cs="Arial"/>
              </w:rPr>
              <w:t>3000</w:t>
            </w:r>
          </w:p>
        </w:tc>
        <w:tc>
          <w:tcPr>
            <w:tcW w:w="1434" w:type="dxa"/>
          </w:tcPr>
          <w:p w14:paraId="712E928B" w14:textId="2BC3F061" w:rsidR="003B3409" w:rsidRPr="00273707" w:rsidRDefault="003B3409" w:rsidP="00695A13">
            <w:pPr>
              <w:pStyle w:val="TableBody"/>
              <w:jc w:val="center"/>
              <w:rPr>
                <w:rFonts w:cs="Arial"/>
              </w:rPr>
            </w:pPr>
            <w:r>
              <w:rPr>
                <w:rFonts w:cs="Arial"/>
              </w:rPr>
              <w:t>1870</w:t>
            </w:r>
          </w:p>
        </w:tc>
        <w:tc>
          <w:tcPr>
            <w:tcW w:w="1433" w:type="dxa"/>
          </w:tcPr>
          <w:p w14:paraId="7F4D95B8" w14:textId="5D283DCC" w:rsidR="003B3409" w:rsidRPr="00273707" w:rsidRDefault="003B3409" w:rsidP="00695A13">
            <w:pPr>
              <w:pStyle w:val="TableBody"/>
              <w:jc w:val="center"/>
              <w:rPr>
                <w:rFonts w:cs="Arial"/>
              </w:rPr>
            </w:pPr>
            <w:r w:rsidRPr="00273707">
              <w:rPr>
                <w:rFonts w:cs="Arial"/>
              </w:rPr>
              <w:t>5200 x 680</w:t>
            </w:r>
          </w:p>
        </w:tc>
        <w:tc>
          <w:tcPr>
            <w:tcW w:w="1434" w:type="dxa"/>
          </w:tcPr>
          <w:p w14:paraId="5E75B252" w14:textId="6BD7A3A2" w:rsidR="003B3409" w:rsidRPr="00273707" w:rsidRDefault="003B3409" w:rsidP="00695A13">
            <w:pPr>
              <w:pStyle w:val="TableBody"/>
              <w:jc w:val="center"/>
              <w:rPr>
                <w:rFonts w:cs="Arial"/>
                <w:color w:val="FF0000"/>
              </w:rPr>
            </w:pPr>
            <w:r w:rsidRPr="00D05583">
              <w:t>5.5</w:t>
            </w:r>
          </w:p>
        </w:tc>
        <w:tc>
          <w:tcPr>
            <w:tcW w:w="1475" w:type="dxa"/>
          </w:tcPr>
          <w:p w14:paraId="6446E501" w14:textId="4AAD669A" w:rsidR="003B3409" w:rsidRPr="00273707" w:rsidRDefault="003B3409" w:rsidP="00695A13">
            <w:pPr>
              <w:pStyle w:val="TableBody"/>
              <w:jc w:val="center"/>
              <w:rPr>
                <w:rFonts w:cs="Arial"/>
              </w:rPr>
            </w:pPr>
            <w:r w:rsidRPr="001640D5">
              <w:t>-42.4</w:t>
            </w:r>
          </w:p>
        </w:tc>
        <w:tc>
          <w:tcPr>
            <w:tcW w:w="1392" w:type="dxa"/>
          </w:tcPr>
          <w:p w14:paraId="0ECC42D0" w14:textId="7945F962" w:rsidR="003B3409" w:rsidRDefault="003B3409" w:rsidP="00695A13">
            <w:pPr>
              <w:pStyle w:val="TableBody"/>
              <w:jc w:val="center"/>
              <w:rPr>
                <w:rFonts w:cs="Arial"/>
              </w:rPr>
            </w:pPr>
            <w:r w:rsidRPr="001640D5">
              <w:t>145</w:t>
            </w:r>
          </w:p>
        </w:tc>
      </w:tr>
      <w:tr w:rsidR="003B3409" w:rsidRPr="00273707" w14:paraId="4A54889F" w14:textId="77777777" w:rsidTr="00257BC6">
        <w:trPr>
          <w:cnfStyle w:val="000000010000" w:firstRow="0" w:lastRow="0" w:firstColumn="0" w:lastColumn="0" w:oddVBand="0" w:evenVBand="0" w:oddHBand="0" w:evenHBand="1" w:firstRowFirstColumn="0" w:firstRowLastColumn="0" w:lastRowFirstColumn="0" w:lastRowLastColumn="0"/>
          <w:trHeight w:val="149"/>
        </w:trPr>
        <w:tc>
          <w:tcPr>
            <w:tcW w:w="1433" w:type="dxa"/>
          </w:tcPr>
          <w:p w14:paraId="28E9C702" w14:textId="6A66E7C7" w:rsidR="003B3409" w:rsidRPr="00F9796E" w:rsidRDefault="003B3409" w:rsidP="00695A13">
            <w:pPr>
              <w:pStyle w:val="TableBody"/>
              <w:jc w:val="center"/>
              <w:rPr>
                <w:rFonts w:cs="Arial"/>
              </w:rPr>
            </w:pPr>
            <w:r w:rsidRPr="00F9796E">
              <w:rPr>
                <w:rFonts w:cs="Arial"/>
              </w:rPr>
              <w:t>(</w:t>
            </w:r>
            <w:r>
              <w:rPr>
                <w:rFonts w:cs="Arial"/>
              </w:rPr>
              <w:t>&gt;</w:t>
            </w:r>
            <w:r w:rsidRPr="00F9796E">
              <w:rPr>
                <w:rFonts w:cs="Arial"/>
              </w:rPr>
              <w:t>3900, 3950]</w:t>
            </w:r>
          </w:p>
        </w:tc>
        <w:tc>
          <w:tcPr>
            <w:tcW w:w="1433" w:type="dxa"/>
          </w:tcPr>
          <w:p w14:paraId="2B847144" w14:textId="2D7BED7D" w:rsidR="003B3409" w:rsidRPr="000A7BED" w:rsidRDefault="003B3409" w:rsidP="00695A13">
            <w:pPr>
              <w:pStyle w:val="TableBody"/>
              <w:jc w:val="center"/>
              <w:rPr>
                <w:rFonts w:cs="Arial"/>
              </w:rPr>
            </w:pPr>
            <w:r w:rsidRPr="000A7BED">
              <w:rPr>
                <w:rFonts w:cs="Arial"/>
              </w:rPr>
              <w:t>3110</w:t>
            </w:r>
          </w:p>
        </w:tc>
        <w:tc>
          <w:tcPr>
            <w:tcW w:w="1434" w:type="dxa"/>
          </w:tcPr>
          <w:p w14:paraId="1666D6B9" w14:textId="0115D4E0" w:rsidR="003B3409" w:rsidRPr="00273707" w:rsidRDefault="003B3409" w:rsidP="00695A13">
            <w:pPr>
              <w:pStyle w:val="TableBody"/>
              <w:jc w:val="center"/>
              <w:rPr>
                <w:rFonts w:cs="Arial"/>
              </w:rPr>
            </w:pPr>
            <w:r>
              <w:rPr>
                <w:rFonts w:cs="Arial"/>
              </w:rPr>
              <w:t>1980</w:t>
            </w:r>
          </w:p>
        </w:tc>
        <w:tc>
          <w:tcPr>
            <w:tcW w:w="1433" w:type="dxa"/>
          </w:tcPr>
          <w:p w14:paraId="12FA19DE" w14:textId="065298AC" w:rsidR="003B3409" w:rsidRPr="00273707" w:rsidRDefault="003B3409" w:rsidP="00695A13">
            <w:pPr>
              <w:pStyle w:val="TableBody"/>
              <w:jc w:val="center"/>
              <w:rPr>
                <w:rFonts w:cs="Arial"/>
              </w:rPr>
            </w:pPr>
            <w:r w:rsidRPr="00273707">
              <w:rPr>
                <w:rFonts w:cs="Arial"/>
              </w:rPr>
              <w:t>5090 x 840</w:t>
            </w:r>
          </w:p>
        </w:tc>
        <w:tc>
          <w:tcPr>
            <w:tcW w:w="1434" w:type="dxa"/>
          </w:tcPr>
          <w:p w14:paraId="1FBF1D29" w14:textId="29B7C42B" w:rsidR="003B3409" w:rsidRPr="00273707" w:rsidRDefault="003B3409" w:rsidP="00695A13">
            <w:pPr>
              <w:pStyle w:val="TableBody"/>
              <w:jc w:val="center"/>
              <w:rPr>
                <w:rFonts w:cs="Arial"/>
                <w:color w:val="FF0000"/>
              </w:rPr>
            </w:pPr>
            <w:r w:rsidRPr="00D05583">
              <w:t>5.8</w:t>
            </w:r>
          </w:p>
        </w:tc>
        <w:tc>
          <w:tcPr>
            <w:tcW w:w="1475" w:type="dxa"/>
          </w:tcPr>
          <w:p w14:paraId="01CE7AA0" w14:textId="09ED7C9E" w:rsidR="003B3409" w:rsidRPr="00273707" w:rsidRDefault="003B3409" w:rsidP="00695A13">
            <w:pPr>
              <w:pStyle w:val="TableBody"/>
              <w:jc w:val="center"/>
              <w:rPr>
                <w:rFonts w:cs="Arial"/>
              </w:rPr>
            </w:pPr>
            <w:r w:rsidRPr="001640D5">
              <w:t>-43.7</w:t>
            </w:r>
          </w:p>
        </w:tc>
        <w:tc>
          <w:tcPr>
            <w:tcW w:w="1392" w:type="dxa"/>
          </w:tcPr>
          <w:p w14:paraId="6942FF99" w14:textId="76D26873" w:rsidR="003B3409" w:rsidRDefault="003B3409" w:rsidP="00695A13">
            <w:pPr>
              <w:pStyle w:val="TableBody"/>
              <w:jc w:val="center"/>
              <w:rPr>
                <w:rFonts w:cs="Arial"/>
              </w:rPr>
            </w:pPr>
            <w:r w:rsidRPr="001640D5">
              <w:t>150</w:t>
            </w:r>
          </w:p>
        </w:tc>
      </w:tr>
      <w:tr w:rsidR="003B3409" w:rsidRPr="00273707" w14:paraId="338A4D96" w14:textId="77777777" w:rsidTr="00257BC6">
        <w:trPr>
          <w:cnfStyle w:val="000000100000" w:firstRow="0" w:lastRow="0" w:firstColumn="0" w:lastColumn="0" w:oddVBand="0" w:evenVBand="0" w:oddHBand="1" w:evenHBand="0" w:firstRowFirstColumn="0" w:firstRowLastColumn="0" w:lastRowFirstColumn="0" w:lastRowLastColumn="0"/>
          <w:trHeight w:val="156"/>
        </w:trPr>
        <w:tc>
          <w:tcPr>
            <w:tcW w:w="1433" w:type="dxa"/>
          </w:tcPr>
          <w:p w14:paraId="72FEDED7" w14:textId="0764BFE3" w:rsidR="003B3409" w:rsidRDefault="003B3409" w:rsidP="00695A13">
            <w:pPr>
              <w:pStyle w:val="TableBody"/>
              <w:jc w:val="center"/>
            </w:pPr>
            <w:r w:rsidRPr="006B2166">
              <w:t>(&gt;3950, 4000]</w:t>
            </w:r>
            <w:r>
              <w:rPr>
                <w:rStyle w:val="FootnoteReference"/>
              </w:rPr>
              <w:footnoteReference w:id="10"/>
            </w:r>
          </w:p>
          <w:p w14:paraId="280A05CB" w14:textId="762CB523" w:rsidR="003B3409" w:rsidRPr="00F9796E" w:rsidRDefault="003B3409" w:rsidP="00695A13">
            <w:pPr>
              <w:pStyle w:val="TableBody"/>
              <w:jc w:val="center"/>
              <w:rPr>
                <w:rFonts w:cs="Arial"/>
              </w:rPr>
            </w:pPr>
            <w:r>
              <w:t>Remote areas</w:t>
            </w:r>
          </w:p>
        </w:tc>
        <w:tc>
          <w:tcPr>
            <w:tcW w:w="1433" w:type="dxa"/>
          </w:tcPr>
          <w:p w14:paraId="238D01E8" w14:textId="1BD36141" w:rsidR="003B3409" w:rsidRPr="000A7BED" w:rsidRDefault="003B3409" w:rsidP="00695A13">
            <w:pPr>
              <w:pStyle w:val="TableBody"/>
              <w:jc w:val="center"/>
              <w:rPr>
                <w:rFonts w:cs="Arial"/>
              </w:rPr>
            </w:pPr>
            <w:r w:rsidRPr="006B2166">
              <w:t>3230</w:t>
            </w:r>
          </w:p>
        </w:tc>
        <w:tc>
          <w:tcPr>
            <w:tcW w:w="1434" w:type="dxa"/>
          </w:tcPr>
          <w:p w14:paraId="67972352" w14:textId="6FB138DD" w:rsidR="003B3409" w:rsidRPr="006B2166" w:rsidRDefault="003B3409" w:rsidP="00695A13">
            <w:pPr>
              <w:pStyle w:val="TableBody"/>
              <w:jc w:val="center"/>
            </w:pPr>
            <w:r>
              <w:t>2100</w:t>
            </w:r>
          </w:p>
        </w:tc>
        <w:tc>
          <w:tcPr>
            <w:tcW w:w="1433" w:type="dxa"/>
          </w:tcPr>
          <w:p w14:paraId="738EEDDB" w14:textId="1746B68F" w:rsidR="003B3409" w:rsidRPr="00273707" w:rsidRDefault="003B3409" w:rsidP="00695A13">
            <w:pPr>
              <w:pStyle w:val="TableBody"/>
              <w:jc w:val="center"/>
              <w:rPr>
                <w:rFonts w:cs="Arial"/>
              </w:rPr>
            </w:pPr>
            <w:r w:rsidRPr="006B2166">
              <w:t>4970 x 1030</w:t>
            </w:r>
          </w:p>
        </w:tc>
        <w:tc>
          <w:tcPr>
            <w:tcW w:w="1434" w:type="dxa"/>
          </w:tcPr>
          <w:p w14:paraId="4D47DCD3" w14:textId="0ED64B6B" w:rsidR="003B3409" w:rsidRPr="00273707" w:rsidRDefault="003B3409" w:rsidP="00695A13">
            <w:pPr>
              <w:pStyle w:val="TableBody"/>
              <w:jc w:val="center"/>
              <w:rPr>
                <w:rFonts w:cs="Arial"/>
                <w:color w:val="FF0000"/>
              </w:rPr>
            </w:pPr>
            <w:r w:rsidRPr="00D05583">
              <w:t>6</w:t>
            </w:r>
          </w:p>
        </w:tc>
        <w:tc>
          <w:tcPr>
            <w:tcW w:w="1475" w:type="dxa"/>
          </w:tcPr>
          <w:p w14:paraId="58EF64A4" w14:textId="4E17F594" w:rsidR="003B3409" w:rsidRPr="00273707" w:rsidRDefault="003B3409" w:rsidP="00695A13">
            <w:pPr>
              <w:pStyle w:val="TableBody"/>
              <w:jc w:val="center"/>
              <w:rPr>
                <w:rFonts w:cs="Arial"/>
              </w:rPr>
            </w:pPr>
            <w:r w:rsidRPr="001640D5">
              <w:t>-45.2</w:t>
            </w:r>
          </w:p>
        </w:tc>
        <w:tc>
          <w:tcPr>
            <w:tcW w:w="1392" w:type="dxa"/>
          </w:tcPr>
          <w:p w14:paraId="72F4C72F" w14:textId="083500F7" w:rsidR="003B3409" w:rsidRDefault="003B3409" w:rsidP="00695A13">
            <w:pPr>
              <w:pStyle w:val="TableBody"/>
              <w:jc w:val="center"/>
              <w:rPr>
                <w:rFonts w:cs="Arial"/>
              </w:rPr>
            </w:pPr>
            <w:r w:rsidRPr="001640D5">
              <w:t>155</w:t>
            </w:r>
          </w:p>
        </w:tc>
      </w:tr>
      <w:tr w:rsidR="003B3409" w:rsidRPr="00273707" w14:paraId="1AB20290" w14:textId="77777777" w:rsidTr="00257BC6">
        <w:trPr>
          <w:cnfStyle w:val="000000010000" w:firstRow="0" w:lastRow="0" w:firstColumn="0" w:lastColumn="0" w:oddVBand="0" w:evenVBand="0" w:oddHBand="0" w:evenHBand="1" w:firstRowFirstColumn="0" w:firstRowLastColumn="0" w:lastRowFirstColumn="0" w:lastRowLastColumn="0"/>
          <w:trHeight w:val="156"/>
        </w:trPr>
        <w:tc>
          <w:tcPr>
            <w:tcW w:w="1433" w:type="dxa"/>
          </w:tcPr>
          <w:p w14:paraId="7CCB0003" w14:textId="77777777" w:rsidR="003B3409" w:rsidRDefault="003B3409" w:rsidP="009B245A">
            <w:pPr>
              <w:pStyle w:val="TableBody"/>
              <w:jc w:val="center"/>
            </w:pPr>
            <w:r w:rsidRPr="006B2166">
              <w:t>(&gt;3950, 4000]</w:t>
            </w:r>
            <w:r>
              <w:rPr>
                <w:rStyle w:val="FootnoteReference"/>
              </w:rPr>
              <w:footnoteReference w:id="11"/>
            </w:r>
          </w:p>
          <w:p w14:paraId="3A28E4A6" w14:textId="35707E15" w:rsidR="003B3409" w:rsidRPr="006B2166" w:rsidRDefault="003B3409" w:rsidP="009B245A">
            <w:pPr>
              <w:pStyle w:val="TableBody"/>
              <w:jc w:val="center"/>
            </w:pPr>
            <w:r>
              <w:t>Restricted cell areas</w:t>
            </w:r>
          </w:p>
        </w:tc>
        <w:tc>
          <w:tcPr>
            <w:tcW w:w="1433" w:type="dxa"/>
          </w:tcPr>
          <w:p w14:paraId="4DD87DE2" w14:textId="32AB61E2" w:rsidR="003B3409" w:rsidRPr="006B2166" w:rsidRDefault="003B3409" w:rsidP="009B245A">
            <w:pPr>
              <w:pStyle w:val="TableBody"/>
              <w:jc w:val="center"/>
            </w:pPr>
            <w:r>
              <w:t>610</w:t>
            </w:r>
          </w:p>
        </w:tc>
        <w:tc>
          <w:tcPr>
            <w:tcW w:w="1434" w:type="dxa"/>
          </w:tcPr>
          <w:p w14:paraId="4EE7DA96" w14:textId="68F94EAE" w:rsidR="003B3409" w:rsidRDefault="003B3409" w:rsidP="009B245A">
            <w:pPr>
              <w:pStyle w:val="TableBody"/>
              <w:jc w:val="center"/>
            </w:pPr>
            <w:r>
              <w:t>12</w:t>
            </w:r>
            <w:r>
              <w:rPr>
                <w:rStyle w:val="FootnoteReference"/>
              </w:rPr>
              <w:footnoteReference w:id="12"/>
            </w:r>
          </w:p>
        </w:tc>
        <w:tc>
          <w:tcPr>
            <w:tcW w:w="1433" w:type="dxa"/>
          </w:tcPr>
          <w:p w14:paraId="05622F2E" w14:textId="3915EE96" w:rsidR="003B3409" w:rsidRPr="006B2166" w:rsidRDefault="003B3409" w:rsidP="009B245A">
            <w:pPr>
              <w:pStyle w:val="TableBody"/>
              <w:jc w:val="center"/>
            </w:pPr>
            <w:r>
              <w:t>N/A</w:t>
            </w:r>
          </w:p>
        </w:tc>
        <w:tc>
          <w:tcPr>
            <w:tcW w:w="1434" w:type="dxa"/>
          </w:tcPr>
          <w:p w14:paraId="22B8B6A7" w14:textId="068B1A4D" w:rsidR="003B3409" w:rsidRPr="00D05583" w:rsidRDefault="003B3409" w:rsidP="009B245A">
            <w:pPr>
              <w:pStyle w:val="TableBody"/>
              <w:jc w:val="center"/>
            </w:pPr>
            <w:r>
              <w:t>-36.4</w:t>
            </w:r>
          </w:p>
        </w:tc>
        <w:tc>
          <w:tcPr>
            <w:tcW w:w="1475" w:type="dxa"/>
          </w:tcPr>
          <w:p w14:paraId="2343EE53" w14:textId="4832C91F" w:rsidR="003B3409" w:rsidRPr="001640D5" w:rsidRDefault="003B3409" w:rsidP="009B245A">
            <w:pPr>
              <w:pStyle w:val="TableBody"/>
              <w:jc w:val="center"/>
            </w:pPr>
            <w:r>
              <w:t>N/A</w:t>
            </w:r>
          </w:p>
        </w:tc>
        <w:tc>
          <w:tcPr>
            <w:tcW w:w="1392" w:type="dxa"/>
          </w:tcPr>
          <w:p w14:paraId="001AAED6" w14:textId="5F5A9362" w:rsidR="003B3409" w:rsidRPr="001640D5" w:rsidRDefault="003B3409" w:rsidP="009B245A">
            <w:pPr>
              <w:pStyle w:val="TableBody"/>
              <w:jc w:val="center"/>
            </w:pPr>
            <w:r>
              <w:t>N/A</w:t>
            </w:r>
          </w:p>
        </w:tc>
      </w:tr>
    </w:tbl>
    <w:p w14:paraId="325AF1AB" w14:textId="77777777" w:rsidR="00B21972" w:rsidRDefault="00B21972" w:rsidP="00077BB0">
      <w:pPr>
        <w:pStyle w:val="Numberedparagraph"/>
        <w:numPr>
          <w:ilvl w:val="0"/>
          <w:numId w:val="0"/>
        </w:numPr>
        <w:ind w:left="-567"/>
      </w:pPr>
    </w:p>
    <w:p w14:paraId="0C33AFC7" w14:textId="73D6D9AA" w:rsidR="00286A72" w:rsidRDefault="00B21972" w:rsidP="00077BB0">
      <w:pPr>
        <w:pStyle w:val="Numberedparagraph"/>
        <w:rPr>
          <w:b/>
          <w:i/>
        </w:rPr>
      </w:pPr>
      <w:r w:rsidRPr="004D3483">
        <w:t xml:space="preserve">It </w:t>
      </w:r>
      <w:r w:rsidRPr="00A86BA8">
        <w:t xml:space="preserve">should be noted that </w:t>
      </w:r>
      <w:r w:rsidR="00A82B96">
        <w:t>any</w:t>
      </w:r>
      <w:r w:rsidR="00B907B7">
        <w:t xml:space="preserve"> list of identified runways may</w:t>
      </w:r>
      <w:r w:rsidRPr="00A86BA8">
        <w:t xml:space="preserve"> need to change as airport runways are re-developed or upgraded to improved landing systems. These planning timeframes are expected to be in the order of 5 to 10 years.</w:t>
      </w:r>
      <w:bookmarkStart w:id="46" w:name="_Hlk106373499"/>
      <w:r w:rsidR="00294959">
        <w:t xml:space="preserve"> Any consideration of changes to associated regulatory arrangements would be undertaken through normal consultation mechanisms. </w:t>
      </w:r>
    </w:p>
    <w:p w14:paraId="2ADACE4D" w14:textId="77777777" w:rsidR="0026150B" w:rsidRDefault="0026150B">
      <w:pPr>
        <w:spacing w:after="0" w:line="240" w:lineRule="auto"/>
        <w:rPr>
          <w:rFonts w:cs="Arial"/>
          <w:b/>
          <w:bCs/>
        </w:rPr>
      </w:pPr>
      <w:r>
        <w:rPr>
          <w:b/>
          <w:bCs/>
        </w:rPr>
        <w:br w:type="page"/>
      </w:r>
    </w:p>
    <w:p w14:paraId="4EFFB228" w14:textId="0CEE3E5B" w:rsidR="00286A72" w:rsidRPr="00077BB0" w:rsidRDefault="00286A72" w:rsidP="00077BB0">
      <w:pPr>
        <w:pStyle w:val="Numberedparagraph"/>
        <w:rPr>
          <w:bCs/>
        </w:rPr>
      </w:pPr>
      <w:r w:rsidRPr="00077BB0">
        <w:rPr>
          <w:b/>
          <w:bCs/>
        </w:rPr>
        <w:t>Basis for the proposed mitigations</w:t>
      </w:r>
    </w:p>
    <w:p w14:paraId="55343B6A" w14:textId="77777777" w:rsidR="00490F4C" w:rsidRDefault="00490F4C" w:rsidP="00490F4C">
      <w:r>
        <w:t>The intent and basis of each proposed mitigation is as follows:</w:t>
      </w:r>
    </w:p>
    <w:p w14:paraId="53B9766E" w14:textId="77777777" w:rsidR="00DA1794" w:rsidRDefault="00DA1794" w:rsidP="00DA1794">
      <w:pPr>
        <w:pStyle w:val="Numberedparagraph"/>
        <w:numPr>
          <w:ilvl w:val="2"/>
          <w:numId w:val="102"/>
        </w:numPr>
      </w:pPr>
      <w:r w:rsidRPr="00077BB0">
        <w:rPr>
          <w:i/>
          <w:iCs/>
        </w:rPr>
        <w:t>A 200 MHz guard band in 4000-4200 MHz</w:t>
      </w:r>
      <w:r>
        <w:t>: already determined as a reasonable guard band and to provide exclusive use by incumbent services types.</w:t>
      </w:r>
    </w:p>
    <w:p w14:paraId="0D0143C3" w14:textId="4DD9D7EB" w:rsidR="00DA1794" w:rsidRPr="00257BC6" w:rsidRDefault="0025671B" w:rsidP="00257BC6">
      <w:pPr>
        <w:pStyle w:val="ListParagraph"/>
        <w:numPr>
          <w:ilvl w:val="2"/>
          <w:numId w:val="102"/>
        </w:numPr>
        <w:rPr>
          <w:i/>
          <w:szCs w:val="20"/>
        </w:rPr>
      </w:pPr>
      <w:r w:rsidRPr="00257BC6">
        <w:rPr>
          <w:rFonts w:ascii="Arial" w:eastAsia="Times New Roman" w:hAnsi="Arial" w:cs="Arial"/>
          <w:i/>
          <w:iCs/>
          <w:sz w:val="20"/>
          <w:szCs w:val="24"/>
          <w:lang w:eastAsia="en-AU"/>
        </w:rPr>
        <w:t>For</w:t>
      </w:r>
      <w:r w:rsidRPr="0025671B">
        <w:rPr>
          <w:rFonts w:ascii="Arial" w:eastAsia="Times New Roman" w:hAnsi="Arial" w:cs="Arial"/>
          <w:i/>
          <w:sz w:val="20"/>
          <w:szCs w:val="24"/>
          <w:lang w:eastAsia="en-AU"/>
        </w:rPr>
        <w:t xml:space="preserve"> all WBB licensees</w:t>
      </w:r>
      <w:r w:rsidRPr="00257BC6">
        <w:rPr>
          <w:rFonts w:ascii="Arial" w:eastAsia="Times New Roman" w:hAnsi="Arial" w:cs="Arial"/>
          <w:i/>
          <w:iCs/>
          <w:sz w:val="20"/>
          <w:szCs w:val="24"/>
          <w:lang w:eastAsia="en-AU"/>
        </w:rPr>
        <w:t xml:space="preserve"> in 3400 – 4000 MHz,</w:t>
      </w:r>
      <w:r w:rsidRPr="0025671B">
        <w:rPr>
          <w:rFonts w:ascii="Arial" w:eastAsia="Times New Roman" w:hAnsi="Arial" w:cs="Arial"/>
          <w:i/>
          <w:sz w:val="20"/>
          <w:szCs w:val="24"/>
          <w:lang w:eastAsia="en-AU"/>
        </w:rPr>
        <w:t xml:space="preserve"> it is recommended when planning and deploying their networks, to take note of the co-existence issues that may arise due to aeronautical radio-navigation services, typically radio altimeters on aircraft, that may operate in the 4200 – 4400 MHz band. It is also recommended that affected licensees seek to coordinate with airports, heliports and aircraft operators to help </w:t>
      </w:r>
      <w:r w:rsidRPr="00257BC6">
        <w:rPr>
          <w:rFonts w:ascii="Arial" w:eastAsia="Times New Roman" w:hAnsi="Arial" w:cs="Arial"/>
          <w:i/>
          <w:iCs/>
          <w:sz w:val="20"/>
          <w:szCs w:val="24"/>
          <w:lang w:eastAsia="en-AU"/>
        </w:rPr>
        <w:t xml:space="preserve">prevent, </w:t>
      </w:r>
      <w:r w:rsidRPr="0025671B">
        <w:rPr>
          <w:rFonts w:ascii="Arial" w:eastAsia="Times New Roman" w:hAnsi="Arial" w:cs="Arial"/>
          <w:i/>
          <w:sz w:val="20"/>
          <w:szCs w:val="24"/>
          <w:lang w:eastAsia="en-AU"/>
        </w:rPr>
        <w:t>manage and resolve interference that may arise to aeronautical radio-navigation stations</w:t>
      </w:r>
      <w:r w:rsidRPr="0025671B">
        <w:rPr>
          <w:rFonts w:ascii="Arial" w:eastAsia="Times New Roman" w:hAnsi="Arial" w:cs="Arial"/>
          <w:sz w:val="20"/>
          <w:szCs w:val="24"/>
          <w:lang w:eastAsia="en-AU"/>
        </w:rPr>
        <w:t>.</w:t>
      </w:r>
      <w:r w:rsidR="00DA1794" w:rsidRPr="009D33B1">
        <w:t xml:space="preserve"> </w:t>
      </w:r>
      <w:r w:rsidR="00DA1794" w:rsidRPr="00257BC6">
        <w:rPr>
          <w:rFonts w:ascii="Arial" w:hAnsi="Arial" w:cs="Arial"/>
          <w:sz w:val="20"/>
          <w:szCs w:val="20"/>
        </w:rPr>
        <w:t xml:space="preserve">A general requirement to consider </w:t>
      </w:r>
      <w:r w:rsidRPr="00257BC6">
        <w:rPr>
          <w:rFonts w:ascii="Arial" w:hAnsi="Arial" w:cs="Arial"/>
          <w:sz w:val="20"/>
          <w:szCs w:val="20"/>
        </w:rPr>
        <w:t xml:space="preserve">the </w:t>
      </w:r>
      <w:r w:rsidR="00DA1794" w:rsidRPr="00257BC6">
        <w:rPr>
          <w:rFonts w:ascii="Arial" w:hAnsi="Arial" w:cs="Arial"/>
          <w:sz w:val="20"/>
          <w:szCs w:val="20"/>
        </w:rPr>
        <w:t xml:space="preserve">potential </w:t>
      </w:r>
      <w:r w:rsidRPr="00257BC6">
        <w:rPr>
          <w:rFonts w:ascii="Arial" w:hAnsi="Arial" w:cs="Arial"/>
          <w:sz w:val="20"/>
          <w:szCs w:val="20"/>
        </w:rPr>
        <w:t xml:space="preserve">for </w:t>
      </w:r>
      <w:r w:rsidR="00DA1794" w:rsidRPr="00257BC6">
        <w:rPr>
          <w:rFonts w:ascii="Arial" w:hAnsi="Arial" w:cs="Arial"/>
          <w:sz w:val="20"/>
          <w:szCs w:val="20"/>
        </w:rPr>
        <w:t>interference even where no specific mitigations apply.</w:t>
      </w:r>
    </w:p>
    <w:p w14:paraId="0491559A" w14:textId="70D4FA87" w:rsidR="00DA1794" w:rsidRDefault="00DA1794" w:rsidP="00DA1794">
      <w:pPr>
        <w:pStyle w:val="Numberedparagraph"/>
        <w:numPr>
          <w:ilvl w:val="2"/>
          <w:numId w:val="102"/>
        </w:numPr>
      </w:pPr>
      <w:r w:rsidRPr="009D33B1">
        <w:t xml:space="preserve">Additional mitigations above </w:t>
      </w:r>
      <w:r w:rsidR="001B6350" w:rsidRPr="00257BC6">
        <w:t>3800</w:t>
      </w:r>
      <w:r w:rsidR="001B6350" w:rsidRPr="009D33B1">
        <w:t xml:space="preserve"> </w:t>
      </w:r>
      <w:r w:rsidRPr="009D33B1">
        <w:t>MHz</w:t>
      </w:r>
      <w:r>
        <w:t xml:space="preserve"> for “identified runways”:</w:t>
      </w:r>
    </w:p>
    <w:p w14:paraId="568DAC8B" w14:textId="5D3C62E3" w:rsidR="00DA1794" w:rsidRDefault="00DA1794" w:rsidP="00DA1794">
      <w:pPr>
        <w:pStyle w:val="Numberedparagraph"/>
        <w:numPr>
          <w:ilvl w:val="3"/>
          <w:numId w:val="102"/>
        </w:numPr>
      </w:pPr>
      <w:r w:rsidRPr="00077BB0">
        <w:rPr>
          <w:i/>
          <w:iCs/>
        </w:rPr>
        <w:t>Exclusion zones</w:t>
      </w:r>
      <w:r>
        <w:t xml:space="preserve">: </w:t>
      </w:r>
      <w:r w:rsidR="00B907B7">
        <w:t>The z</w:t>
      </w:r>
      <w:r>
        <w:t xml:space="preserve">one size based on the French derivation which uses the RTCA ITM for usage category 1 </w:t>
      </w:r>
      <w:r w:rsidR="00EE3ABC">
        <w:t>(UC1)</w:t>
      </w:r>
      <w:r>
        <w:t xml:space="preserve"> plus a 6dB safety margin.  Size adapted to EIRPs necessary in Australia and the </w:t>
      </w:r>
      <w:r w:rsidR="0015280E">
        <w:t xml:space="preserve">frequency </w:t>
      </w:r>
      <w:r>
        <w:t>range of allocation. Designed to protect aircraft landings.</w:t>
      </w:r>
    </w:p>
    <w:p w14:paraId="142121CC" w14:textId="66335FC3" w:rsidR="00DA1794" w:rsidRDefault="00DA1794" w:rsidP="00DA1794">
      <w:pPr>
        <w:pStyle w:val="Numberedparagraph"/>
        <w:numPr>
          <w:ilvl w:val="3"/>
          <w:numId w:val="102"/>
        </w:numPr>
      </w:pPr>
      <w:r w:rsidRPr="00077BB0">
        <w:rPr>
          <w:i/>
          <w:iCs/>
        </w:rPr>
        <w:t>Restricted zones</w:t>
      </w:r>
      <w:r>
        <w:t xml:space="preserve">: </w:t>
      </w:r>
      <w:r w:rsidR="00B907B7">
        <w:t>The z</w:t>
      </w:r>
      <w:r>
        <w:t xml:space="preserve">one size based on the French derivation which uses the RTCA ITM for </w:t>
      </w:r>
      <w:r w:rsidR="00EE3ABC">
        <w:t>UC</w:t>
      </w:r>
      <w:r>
        <w:t xml:space="preserve"> 1 but with no safety margin.  </w:t>
      </w:r>
      <w:r w:rsidR="00B907B7">
        <w:t>The s</w:t>
      </w:r>
      <w:r>
        <w:t>ize</w:t>
      </w:r>
      <w:r w:rsidR="00B907B7">
        <w:t xml:space="preserve"> is</w:t>
      </w:r>
      <w:r>
        <w:t xml:space="preserve"> adapted to EIRPs necessary in Australia and </w:t>
      </w:r>
      <w:r w:rsidR="001E131D">
        <w:t xml:space="preserve">frequency </w:t>
      </w:r>
      <w:r>
        <w:t xml:space="preserve">range of allocation. </w:t>
      </w:r>
      <w:r w:rsidR="00B907B7">
        <w:t xml:space="preserve">The </w:t>
      </w:r>
      <w:r>
        <w:t xml:space="preserve">PFD limit calculation the same as the Canadian method but adapted to EIRPs necessary in Australia and </w:t>
      </w:r>
      <w:r w:rsidR="0073245C">
        <w:t xml:space="preserve">frequency </w:t>
      </w:r>
      <w:r>
        <w:t>range of allocation. Designed to protect aircraft landing approaches.</w:t>
      </w:r>
    </w:p>
    <w:p w14:paraId="24CE9DE4" w14:textId="44ADE4B8" w:rsidR="00C54E66" w:rsidRDefault="00C54E66" w:rsidP="00257BC6">
      <w:pPr>
        <w:pStyle w:val="Numberedparagraph"/>
        <w:numPr>
          <w:ilvl w:val="0"/>
          <w:numId w:val="0"/>
        </w:numPr>
        <w:ind w:left="1420"/>
      </w:pPr>
      <w:r>
        <w:t xml:space="preserve">As per Appendix D, restricted zones were determined not to be required for the restricted cell areas in 3950 – 4000 MHz as the restricted cell EIRP limit means that the RTCA ITM </w:t>
      </w:r>
      <w:r w:rsidR="00EE3ABC">
        <w:t>UC</w:t>
      </w:r>
      <w:r>
        <w:t>1 ITMs are always met outside of the exclusion zones</w:t>
      </w:r>
      <w:r w:rsidR="00DF0F99">
        <w:t xml:space="preserve"> at any practical aircraft height above ground.</w:t>
      </w:r>
    </w:p>
    <w:p w14:paraId="561A45A8" w14:textId="3D000F4B" w:rsidR="00DA1794" w:rsidRPr="009D33B1" w:rsidRDefault="00DA1794" w:rsidP="00DA1794">
      <w:pPr>
        <w:pStyle w:val="Numberedparagraph"/>
        <w:numPr>
          <w:ilvl w:val="2"/>
          <w:numId w:val="102"/>
        </w:numPr>
      </w:pPr>
      <w:r w:rsidRPr="009D33B1">
        <w:t xml:space="preserve">The following general mitigations above </w:t>
      </w:r>
      <w:r w:rsidR="001B6350" w:rsidRPr="00257BC6">
        <w:t>3800</w:t>
      </w:r>
      <w:r w:rsidR="001B6350" w:rsidRPr="009D33B1">
        <w:t xml:space="preserve"> </w:t>
      </w:r>
      <w:r w:rsidRPr="009D33B1">
        <w:t>MHz:</w:t>
      </w:r>
    </w:p>
    <w:p w14:paraId="48EF20DD" w14:textId="0E2B3AFE" w:rsidR="00DA1794" w:rsidRPr="00C1772D" w:rsidRDefault="00DA1794" w:rsidP="00DA1794">
      <w:pPr>
        <w:pStyle w:val="Numberedparagraph"/>
        <w:numPr>
          <w:ilvl w:val="3"/>
          <w:numId w:val="102"/>
        </w:numPr>
      </w:pPr>
      <w:r w:rsidRPr="00077BB0">
        <w:rPr>
          <w:i/>
          <w:iCs/>
        </w:rPr>
        <w:t>Additional unwanted emission limits</w:t>
      </w:r>
      <w:r w:rsidRPr="00C1772D">
        <w:t xml:space="preserve"> in </w:t>
      </w:r>
      <w:r w:rsidR="0025671B" w:rsidRPr="00C1772D">
        <w:t>4</w:t>
      </w:r>
      <w:r w:rsidR="0025671B">
        <w:t>2</w:t>
      </w:r>
      <w:r w:rsidR="0025671B" w:rsidRPr="00C1772D">
        <w:t>00</w:t>
      </w:r>
      <w:r w:rsidRPr="00C1772D">
        <w:t>-</w:t>
      </w:r>
      <w:r w:rsidR="0025671B" w:rsidRPr="00C1772D">
        <w:t>4</w:t>
      </w:r>
      <w:r w:rsidR="0025671B">
        <w:t>4</w:t>
      </w:r>
      <w:r w:rsidR="0025671B" w:rsidRPr="00C1772D">
        <w:t xml:space="preserve">00 </w:t>
      </w:r>
      <w:r w:rsidRPr="00C1772D">
        <w:t>MHz</w:t>
      </w:r>
      <w:r>
        <w:t xml:space="preserve">: These have been based on the use of RTCA ITMs for </w:t>
      </w:r>
      <w:r w:rsidR="00EE3ABC">
        <w:t>UC</w:t>
      </w:r>
      <w:r>
        <w:t>1 with no margin and are designed to protect aircraft landing approaches, plus also providing generally reduced risk of potential issues for all flight cases.</w:t>
      </w:r>
      <w:r w:rsidR="00E432BE">
        <w:t xml:space="preserve"> Using an EIRP limit as opposed to a TRP/conducted power provides greater certainty as to the coexistence environment.</w:t>
      </w:r>
    </w:p>
    <w:p w14:paraId="18CC882B" w14:textId="53B6CAC9" w:rsidR="00DA1794" w:rsidRPr="00C1772D" w:rsidRDefault="00DA1794" w:rsidP="00DA1794">
      <w:pPr>
        <w:pStyle w:val="Numberedparagraph"/>
        <w:numPr>
          <w:ilvl w:val="3"/>
          <w:numId w:val="102"/>
        </w:numPr>
      </w:pPr>
      <w:r w:rsidRPr="00C1772D">
        <w:t xml:space="preserve">A </w:t>
      </w:r>
      <w:r w:rsidRPr="00077BB0">
        <w:rPr>
          <w:i/>
          <w:iCs/>
        </w:rPr>
        <w:t>maximum EIRP density limit</w:t>
      </w:r>
      <w:r w:rsidRPr="00C1772D">
        <w:t xml:space="preserve"> for all WBB systems</w:t>
      </w:r>
      <w:r>
        <w:t xml:space="preserve">: Integral to the other calculations, but a reasonable limit to permit macro WBB deployments while </w:t>
      </w:r>
      <w:r w:rsidRPr="000854E8">
        <w:t>also providing generally reduced risk of potential issues for all flight cases</w:t>
      </w:r>
      <w:r>
        <w:t>.</w:t>
      </w:r>
      <w:r w:rsidR="009957F9">
        <w:t xml:space="preserve"> Using an EIRP limit as opposed to a TRP provides greater certainty as to the coexistence environment.</w:t>
      </w:r>
    </w:p>
    <w:p w14:paraId="799090D7" w14:textId="77777777" w:rsidR="00DA1794" w:rsidRDefault="00DA1794" w:rsidP="00DA1794">
      <w:pPr>
        <w:pStyle w:val="Numberedparagraph"/>
        <w:numPr>
          <w:ilvl w:val="3"/>
          <w:numId w:val="102"/>
        </w:numPr>
      </w:pPr>
      <w:r w:rsidRPr="00077BB0">
        <w:rPr>
          <w:i/>
          <w:iCs/>
        </w:rPr>
        <w:t>Restricting any WBB antenna system to point maximum power or scan any beam below the horizon only</w:t>
      </w:r>
      <w:r>
        <w:t xml:space="preserve">: This is designed to ensure that antenna systems do not scan to handsets located on aircraft and also </w:t>
      </w:r>
      <w:r w:rsidRPr="000854E8">
        <w:t>providing generally reduced risk of potential issues for all flight cases</w:t>
      </w:r>
      <w:r>
        <w:t>.</w:t>
      </w:r>
    </w:p>
    <w:p w14:paraId="3A11834A" w14:textId="268E6427" w:rsidR="00DA1794" w:rsidRPr="00C1772D" w:rsidRDefault="00DA1794" w:rsidP="00DA1794">
      <w:pPr>
        <w:pStyle w:val="Numberedparagraph"/>
        <w:numPr>
          <w:ilvl w:val="3"/>
          <w:numId w:val="102"/>
        </w:numPr>
      </w:pPr>
      <w:r w:rsidRPr="00077BB0">
        <w:rPr>
          <w:i/>
          <w:iCs/>
        </w:rPr>
        <w:t>Grating lobes of WBB antenna systems should be minimised as much as is practicable</w:t>
      </w:r>
      <w:r>
        <w:t xml:space="preserve">. This is designed to ensure unwanted power from the base station is minimised in the potential directions of aircraft, to </w:t>
      </w:r>
      <w:r w:rsidRPr="000854E8">
        <w:t>generally reduced risk of potential issues for all flight cases</w:t>
      </w:r>
      <w:r>
        <w:t>.</w:t>
      </w:r>
    </w:p>
    <w:p w14:paraId="67CFFDFD" w14:textId="4783841D" w:rsidR="0075118C" w:rsidRDefault="00490F4C" w:rsidP="00257BC6">
      <w:pPr>
        <w:rPr>
          <w:rFonts w:cs="Arial"/>
          <w:b/>
          <w:bCs/>
          <w:iCs/>
          <w:sz w:val="28"/>
          <w:szCs w:val="28"/>
        </w:rPr>
      </w:pPr>
      <w:r>
        <w:t xml:space="preserve">RTCA </w:t>
      </w:r>
      <w:r w:rsidR="00EE3ABC">
        <w:t>UC</w:t>
      </w:r>
      <w:r>
        <w:t xml:space="preserve">1 is defined as </w:t>
      </w:r>
      <w:r>
        <w:rPr>
          <w:i/>
          <w:iCs/>
        </w:rPr>
        <w:t>Commercial Air Transport Aircraft</w:t>
      </w:r>
      <w:r>
        <w:t xml:space="preserve"> in the RTCA report, being “commercial air transport airplanes, both single-aisle and wide-body”. The RTCA report discusses the relationship of their usage categories and Instrument Landing System categories. They consider that ILS CAT II/III approaches are critical and are a common occurrence for </w:t>
      </w:r>
      <w:r w:rsidR="00EE3ABC">
        <w:t>UC1</w:t>
      </w:r>
      <w:r>
        <w:t xml:space="preserve">.  Consequently, </w:t>
      </w:r>
      <w:r w:rsidR="000A177E">
        <w:t>consistent with</w:t>
      </w:r>
      <w:r>
        <w:t xml:space="preserve"> approaches in France, Canada and the USA, the mitigations have been designed to primarily protect </w:t>
      </w:r>
      <w:r w:rsidR="00EE3ABC">
        <w:t>UC1</w:t>
      </w:r>
      <w:r>
        <w:t xml:space="preserve"> landings, but with some consideration to other flight scenarios and categories.</w:t>
      </w:r>
      <w:bookmarkEnd w:id="45"/>
      <w:bookmarkEnd w:id="46"/>
    </w:p>
    <w:p w14:paraId="79AF1E29" w14:textId="776E917A" w:rsidR="004C0F9D" w:rsidRDefault="004C0F9D" w:rsidP="004C0F9D">
      <w:pPr>
        <w:pStyle w:val="Heading2"/>
      </w:pPr>
      <w:bookmarkStart w:id="47" w:name="_Toc116041892"/>
      <w:r>
        <w:t>Further work and next steps</w:t>
      </w:r>
      <w:bookmarkEnd w:id="47"/>
    </w:p>
    <w:p w14:paraId="3AD130CA" w14:textId="19329C51" w:rsidR="00D46657" w:rsidRDefault="004C0F9D" w:rsidP="00257BC6">
      <w:pPr>
        <w:pStyle w:val="Numberedparagraph"/>
      </w:pPr>
      <w:r>
        <w:t xml:space="preserve">There are </w:t>
      </w:r>
      <w:r w:rsidR="00503C5A">
        <w:t>several</w:t>
      </w:r>
      <w:r>
        <w:t xml:space="preserve"> </w:t>
      </w:r>
      <w:r w:rsidR="00503C5A">
        <w:t xml:space="preserve">actions </w:t>
      </w:r>
      <w:r w:rsidR="002447C3">
        <w:t>and developments</w:t>
      </w:r>
      <w:r w:rsidR="00503C5A">
        <w:t xml:space="preserve"> </w:t>
      </w:r>
      <w:r>
        <w:t xml:space="preserve">that </w:t>
      </w:r>
      <w:r w:rsidR="00D46657">
        <w:t>will enable appropriate review of the proposed approach</w:t>
      </w:r>
      <w:r w:rsidR="002447C3">
        <w:t xml:space="preserve">. A key step is further engagement with </w:t>
      </w:r>
      <w:r w:rsidR="00D46657">
        <w:t xml:space="preserve">the </w:t>
      </w:r>
      <w:r w:rsidR="00D7464C">
        <w:t>3400-4000 MHz TLG to seek comment.</w:t>
      </w:r>
      <w:r w:rsidR="002447C3">
        <w:t xml:space="preserve"> Aspects that are either expected to be included as part of this engagement with the TLG or separately include:</w:t>
      </w:r>
    </w:p>
    <w:p w14:paraId="603D5C22" w14:textId="4D1A8499" w:rsidR="00D46657" w:rsidRDefault="00D46657" w:rsidP="00D46657">
      <w:pPr>
        <w:pStyle w:val="Numberedparagraph"/>
        <w:numPr>
          <w:ilvl w:val="2"/>
          <w:numId w:val="13"/>
        </w:numPr>
      </w:pPr>
      <w:r>
        <w:t>Engaging with the aviation sector to assess the deployed</w:t>
      </w:r>
      <w:r w:rsidR="004E0715">
        <w:t xml:space="preserve"> and future</w:t>
      </w:r>
      <w:r>
        <w:t xml:space="preserve"> domestic fleet</w:t>
      </w:r>
      <w:r w:rsidR="004E0715">
        <w:t>s</w:t>
      </w:r>
      <w:r>
        <w:t xml:space="preserve"> of RAs, their performance and how they align, if necessary, with the RTCA report usage categories.</w:t>
      </w:r>
    </w:p>
    <w:p w14:paraId="6F88A6FE" w14:textId="0B87EE5C" w:rsidR="00D46657" w:rsidRDefault="00D46657" w:rsidP="00D46657">
      <w:pPr>
        <w:pStyle w:val="Numberedparagraph"/>
        <w:numPr>
          <w:ilvl w:val="2"/>
          <w:numId w:val="13"/>
        </w:numPr>
      </w:pPr>
      <w:r>
        <w:t xml:space="preserve">The discussed likely review points </w:t>
      </w:r>
      <w:r w:rsidR="00CF47AF">
        <w:t>concerning</w:t>
      </w:r>
      <w:r>
        <w:t xml:space="preserve"> overseas evidence.</w:t>
      </w:r>
    </w:p>
    <w:p w14:paraId="53D6B463" w14:textId="334A8A47" w:rsidR="00D46657" w:rsidRDefault="00001905" w:rsidP="00D46657">
      <w:pPr>
        <w:pStyle w:val="Numberedparagraph"/>
        <w:numPr>
          <w:ilvl w:val="2"/>
          <w:numId w:val="13"/>
        </w:numPr>
      </w:pPr>
      <w:r>
        <w:t xml:space="preserve">Input from the </w:t>
      </w:r>
      <w:r w:rsidR="00D46657">
        <w:t xml:space="preserve">domestic and international </w:t>
      </w:r>
      <w:r>
        <w:t xml:space="preserve">mobile network operators and vendors </w:t>
      </w:r>
      <w:r w:rsidR="00D46657">
        <w:t>to better model WBB AAS systems.</w:t>
      </w:r>
    </w:p>
    <w:p w14:paraId="32E59486" w14:textId="3C7738FF" w:rsidR="00D46657" w:rsidRDefault="00D46657" w:rsidP="00D46657">
      <w:pPr>
        <w:pStyle w:val="Numberedparagraph"/>
        <w:numPr>
          <w:ilvl w:val="2"/>
          <w:numId w:val="13"/>
        </w:numPr>
      </w:pPr>
      <w:r>
        <w:t xml:space="preserve">Working with </w:t>
      </w:r>
      <w:r w:rsidR="002447C3">
        <w:t>CASA</w:t>
      </w:r>
      <w:r w:rsidR="00B46E84">
        <w:t xml:space="preserve"> and</w:t>
      </w:r>
      <w:r w:rsidR="002447C3">
        <w:t xml:space="preserve"> </w:t>
      </w:r>
      <w:r>
        <w:t>the aviation sector to better report and assess any RA events that may be linked to WBB services.</w:t>
      </w:r>
    </w:p>
    <w:p w14:paraId="7CFC1E8A" w14:textId="77777777" w:rsidR="00726D70" w:rsidRDefault="00E41385" w:rsidP="00726D70">
      <w:pPr>
        <w:pStyle w:val="Numberedparagraph"/>
      </w:pPr>
      <w:r>
        <w:t>Consequently</w:t>
      </w:r>
      <w:r w:rsidR="009C0593">
        <w:t xml:space="preserve">, we intend to update this report </w:t>
      </w:r>
      <w:r>
        <w:t>from time to time</w:t>
      </w:r>
      <w:r w:rsidR="009C0593">
        <w:t>.</w:t>
      </w:r>
    </w:p>
    <w:p w14:paraId="47320CC1" w14:textId="3A9561BC" w:rsidR="00240CE9" w:rsidRPr="00BB471F" w:rsidRDefault="00FF3C69">
      <w:pPr>
        <w:pStyle w:val="Heading1"/>
      </w:pPr>
      <w:bookmarkStart w:id="48" w:name="_Toc113969893"/>
      <w:bookmarkStart w:id="49" w:name="_Toc113970140"/>
      <w:bookmarkStart w:id="50" w:name="_Toc113972266"/>
      <w:bookmarkStart w:id="51" w:name="_Toc113972462"/>
      <w:bookmarkStart w:id="52" w:name="_Toc115343760"/>
      <w:bookmarkStart w:id="53" w:name="_Toc115780671"/>
      <w:bookmarkStart w:id="54" w:name="_Toc115856144"/>
      <w:bookmarkStart w:id="55" w:name="_Toc115859181"/>
      <w:bookmarkStart w:id="56" w:name="_Toc115978474"/>
      <w:bookmarkStart w:id="57" w:name="_Toc113969894"/>
      <w:bookmarkStart w:id="58" w:name="_Toc113970141"/>
      <w:bookmarkStart w:id="59" w:name="_Toc113972267"/>
      <w:bookmarkStart w:id="60" w:name="_Toc113972463"/>
      <w:bookmarkStart w:id="61" w:name="_Toc115343761"/>
      <w:bookmarkStart w:id="62" w:name="_Toc115780672"/>
      <w:bookmarkStart w:id="63" w:name="_Toc115856145"/>
      <w:bookmarkStart w:id="64" w:name="_Toc115859182"/>
      <w:bookmarkStart w:id="65" w:name="_Toc115978475"/>
      <w:bookmarkStart w:id="66" w:name="_Ref106272305"/>
      <w:bookmarkStart w:id="67" w:name="_Toc11604189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BB471F">
        <w:t>Appendix A</w:t>
      </w:r>
      <w:bookmarkEnd w:id="17"/>
      <w:r w:rsidR="00DF0799" w:rsidRPr="00BB471F">
        <w:t xml:space="preserve">: </w:t>
      </w:r>
      <w:r w:rsidR="003A20D4" w:rsidRPr="00BB471F">
        <w:t>Wireless Broadband</w:t>
      </w:r>
      <w:bookmarkEnd w:id="66"/>
      <w:bookmarkEnd w:id="67"/>
    </w:p>
    <w:p w14:paraId="5573C979" w14:textId="28145B63" w:rsidR="003A20D4" w:rsidRPr="00444F6D" w:rsidRDefault="003A20D4" w:rsidP="00D379F3">
      <w:pPr>
        <w:pStyle w:val="Heading2"/>
      </w:pPr>
      <w:bookmarkStart w:id="68" w:name="_Toc116041894"/>
      <w:r w:rsidRPr="00444F6D">
        <w:t>Overview</w:t>
      </w:r>
      <w:bookmarkEnd w:id="68"/>
    </w:p>
    <w:p w14:paraId="13004B3B" w14:textId="794B1409" w:rsidR="00DA7695" w:rsidRPr="00257BC6" w:rsidRDefault="00DA7695" w:rsidP="00DA7695">
      <w:pPr>
        <w:pStyle w:val="Numberedparagraph"/>
        <w:rPr>
          <w:i/>
          <w:iCs/>
        </w:rPr>
      </w:pPr>
      <w:r>
        <w:t>The term w</w:t>
      </w:r>
      <w:r w:rsidR="00034C10">
        <w:t xml:space="preserve">ireless broadband (WBB) </w:t>
      </w:r>
      <w:r w:rsidR="00FA54F8">
        <w:t>refers to</w:t>
      </w:r>
      <w:r w:rsidR="00034C10">
        <w:t xml:space="preserve"> broadband connectivity in both mobile and fixed </w:t>
      </w:r>
      <w:r>
        <w:t xml:space="preserve">environments and </w:t>
      </w:r>
      <w:r w:rsidR="00FA54F8">
        <w:t>a range</w:t>
      </w:r>
      <w:r>
        <w:t xml:space="preserve"> of uses cases. </w:t>
      </w:r>
    </w:p>
    <w:p w14:paraId="5012FC85" w14:textId="5572D424" w:rsidR="00DA7695" w:rsidRDefault="00DA7695" w:rsidP="00257BC6">
      <w:pPr>
        <w:pStyle w:val="Numberedparagraph"/>
      </w:pPr>
      <w:r>
        <w:t xml:space="preserve">Three WBB use-cases have been </w:t>
      </w:r>
      <w:r w:rsidR="00FA54F8">
        <w:t xml:space="preserve">previously </w:t>
      </w:r>
      <w:r>
        <w:t xml:space="preserve">characterised by the ACMA in its spectrum planning activities: </w:t>
      </w:r>
    </w:p>
    <w:p w14:paraId="036E51B0" w14:textId="77777777" w:rsidR="00DA7695" w:rsidRDefault="00DA7695" w:rsidP="00DA7695">
      <w:pPr>
        <w:pStyle w:val="Bulletlevel1"/>
      </w:pPr>
      <w:r w:rsidRPr="00274072">
        <w:rPr>
          <w:b/>
          <w:bCs/>
        </w:rPr>
        <w:t>WA WBB:</w:t>
      </w:r>
      <w:r>
        <w:t xml:space="preserve"> this encompasses the deployment model mobile network operators (MNOs) and, in some cases, fixed wireless service providers such as NBN Co or other private WBB interests. WA WBB uses are typically supported by issuing spectrum licences covering large geographical areas. </w:t>
      </w:r>
    </w:p>
    <w:p w14:paraId="3A407879" w14:textId="690B7D9F" w:rsidR="00DA7695" w:rsidRDefault="00DA7695" w:rsidP="00DA7695">
      <w:pPr>
        <w:pStyle w:val="Bulletlevel1"/>
      </w:pPr>
      <w:r>
        <w:rPr>
          <w:b/>
          <w:bCs/>
        </w:rPr>
        <w:t>m</w:t>
      </w:r>
      <w:r w:rsidRPr="00447BF8">
        <w:rPr>
          <w:b/>
          <w:bCs/>
        </w:rPr>
        <w:t>acro cell LA WBB:</w:t>
      </w:r>
      <w:r>
        <w:t xml:space="preserve"> this encompasses the deployment of a limited number of WBB services requiring a medium-to-large cell size, as is often seen for services delivered by wireless internet service providers and above ground mine sites. This use-case is typically best supported by issuing apparatus licences, such as </w:t>
      </w:r>
      <w:r w:rsidR="00DE40C6">
        <w:t>area-wide licences (</w:t>
      </w:r>
      <w:r>
        <w:t>AWLs</w:t>
      </w:r>
      <w:r w:rsidR="00DE40C6">
        <w:t>)</w:t>
      </w:r>
      <w:r>
        <w:t xml:space="preserve"> that enable operation within a desired service area or areas. </w:t>
      </w:r>
    </w:p>
    <w:p w14:paraId="565A81E3" w14:textId="23334F72" w:rsidR="00DA7695" w:rsidRPr="00FC2E87" w:rsidRDefault="00DA7695" w:rsidP="00DA7695">
      <w:pPr>
        <w:pStyle w:val="Bulletlevel1last"/>
      </w:pPr>
      <w:r w:rsidRPr="00447BF8">
        <w:rPr>
          <w:b/>
          <w:bCs/>
        </w:rPr>
        <w:t>restricted cell LA WBB:</w:t>
      </w:r>
      <w:r>
        <w:t xml:space="preserve"> this encompasses highly </w:t>
      </w:r>
      <w:r w:rsidRPr="00FC2E87">
        <w:rPr>
          <w:szCs w:val="20"/>
        </w:rPr>
        <w:t xml:space="preserve">localised </w:t>
      </w:r>
      <w:r>
        <w:rPr>
          <w:szCs w:val="20"/>
        </w:rPr>
        <w:t xml:space="preserve">public, </w:t>
      </w:r>
      <w:r w:rsidRPr="00FC2E87">
        <w:rPr>
          <w:szCs w:val="20"/>
        </w:rPr>
        <w:t xml:space="preserve">private and enterprise networks, including services at </w:t>
      </w:r>
      <w:r>
        <w:t xml:space="preserve">warehouses, factories, airports, ports, transport hubs, hospitals, schools and smart buildings. This use-case is typically best supported by class licence or apparatus licence (such as AWL) arrangements that enable operation within a highly localised service area or areas. </w:t>
      </w:r>
    </w:p>
    <w:p w14:paraId="26557429" w14:textId="7474DCC2" w:rsidR="00DA7695" w:rsidRPr="00DA7695" w:rsidRDefault="00110B5E" w:rsidP="00DA7695">
      <w:pPr>
        <w:pStyle w:val="Numberedparagraph"/>
        <w:rPr>
          <w:i/>
          <w:iCs/>
        </w:rPr>
      </w:pPr>
      <w:r>
        <w:t>Often, but not always, WBB systems utilise equipment consistent with specifications developed by the 3</w:t>
      </w:r>
      <w:r w:rsidRPr="00257BC6">
        <w:rPr>
          <w:vertAlign w:val="superscript"/>
        </w:rPr>
        <w:t>rd</w:t>
      </w:r>
      <w:r>
        <w:t xml:space="preserve"> Generation Partnership Project (3GPP). </w:t>
      </w:r>
    </w:p>
    <w:p w14:paraId="1A219698" w14:textId="77777777" w:rsidR="003A20D4" w:rsidRDefault="003A20D4" w:rsidP="00D379F3">
      <w:pPr>
        <w:pStyle w:val="Heading2"/>
      </w:pPr>
      <w:bookmarkStart w:id="69" w:name="_Toc116041895"/>
      <w:r>
        <w:t>Technical characteristics</w:t>
      </w:r>
      <w:bookmarkEnd w:id="69"/>
    </w:p>
    <w:p w14:paraId="159AF9E5" w14:textId="3B216207" w:rsidR="003A20D4" w:rsidRDefault="00C160EF" w:rsidP="003A20D4">
      <w:pPr>
        <w:pStyle w:val="Numberedparagraph"/>
      </w:pPr>
      <w:r>
        <w:t xml:space="preserve">There are </w:t>
      </w:r>
      <w:r w:rsidR="001D442A">
        <w:t>several</w:t>
      </w:r>
      <w:r>
        <w:t xml:space="preserve"> technical characteristics for WBB services that are relevant to the consideration of coexistence with RAs.</w:t>
      </w:r>
    </w:p>
    <w:p w14:paraId="75719444" w14:textId="1F1D661E" w:rsidR="003A20D4" w:rsidRPr="00D379F3" w:rsidRDefault="003A20D4" w:rsidP="00D379F3">
      <w:pPr>
        <w:pStyle w:val="Numberedparagraph"/>
        <w:numPr>
          <w:ilvl w:val="0"/>
          <w:numId w:val="0"/>
        </w:numPr>
        <w:ind w:left="-567" w:firstLine="567"/>
        <w:rPr>
          <w:b/>
          <w:bCs/>
        </w:rPr>
      </w:pPr>
      <w:r w:rsidRPr="00D379F3">
        <w:rPr>
          <w:b/>
          <w:bCs/>
        </w:rPr>
        <w:t xml:space="preserve">In band </w:t>
      </w:r>
      <w:r w:rsidR="00E67B1E" w:rsidRPr="00D379F3">
        <w:rPr>
          <w:b/>
          <w:bCs/>
        </w:rPr>
        <w:t xml:space="preserve">or “wanted” </w:t>
      </w:r>
      <w:r w:rsidRPr="00D379F3">
        <w:rPr>
          <w:b/>
          <w:bCs/>
        </w:rPr>
        <w:t>emissions</w:t>
      </w:r>
    </w:p>
    <w:p w14:paraId="2151D8E2" w14:textId="357F4897" w:rsidR="003A20D4" w:rsidRDefault="00C160EF" w:rsidP="003A20D4">
      <w:pPr>
        <w:pStyle w:val="Numberedparagraph"/>
      </w:pPr>
      <w:r w:rsidRPr="00D379F3">
        <w:rPr>
          <w:i/>
          <w:iCs/>
        </w:rPr>
        <w:t>In-band emissions</w:t>
      </w:r>
      <w:r>
        <w:t xml:space="preserve"> are those necessarily required by the WBB</w:t>
      </w:r>
      <w:r w:rsidR="00392C41">
        <w:t xml:space="preserve"> service</w:t>
      </w:r>
      <w:r>
        <w:t xml:space="preserve"> to deliver its </w:t>
      </w:r>
      <w:r w:rsidR="0091089A">
        <w:t>data</w:t>
      </w:r>
      <w:r w:rsidR="00AB42B9">
        <w:t xml:space="preserve"> and are within the </w:t>
      </w:r>
      <w:r w:rsidR="00E17EF7">
        <w:t xml:space="preserve">necessary </w:t>
      </w:r>
      <w:r w:rsidR="00AB42B9">
        <w:t>wanted (channel) bandwidth of the WBB service that a receiver needs to demodulate and decode to obtain the data</w:t>
      </w:r>
      <w:r>
        <w:t xml:space="preserve">.  </w:t>
      </w:r>
      <w:r w:rsidR="0037621A">
        <w:t xml:space="preserve">For example, </w:t>
      </w:r>
      <w:r w:rsidR="003F7E3C">
        <w:t xml:space="preserve">a </w:t>
      </w:r>
      <w:r w:rsidR="0037621A">
        <w:t>100 MHz bandwidth 5G new radio carrier provided by an MNO</w:t>
      </w:r>
      <w:r w:rsidR="00E67B1E">
        <w:t xml:space="preserve"> or a 20</w:t>
      </w:r>
      <w:r w:rsidR="00C01558">
        <w:t> </w:t>
      </w:r>
      <w:r w:rsidR="00E67B1E">
        <w:t>MHz carrier provided by a NBN fixed wireless base station</w:t>
      </w:r>
      <w:r w:rsidR="0037621A">
        <w:t>. In terms of coexistence with RAs, the in-band emissions of interest are those that fall outside of the 4200-4400</w:t>
      </w:r>
      <w:r w:rsidR="003F7E3C">
        <w:t> </w:t>
      </w:r>
      <w:r w:rsidR="0037621A">
        <w:t xml:space="preserve">MHz range and are </w:t>
      </w:r>
      <w:r w:rsidR="00E67B1E">
        <w:t>considered</w:t>
      </w:r>
      <w:r w:rsidR="0037621A">
        <w:t xml:space="preserve"> for the overload mechanism.</w:t>
      </w:r>
    </w:p>
    <w:p w14:paraId="20999153" w14:textId="38DF3122" w:rsidR="0037621A" w:rsidRDefault="003F7E3C" w:rsidP="003A20D4">
      <w:pPr>
        <w:pStyle w:val="Numberedparagraph"/>
      </w:pPr>
      <w:r>
        <w:t xml:space="preserve">The power level of the in-band emissions will generally be limited by either practical considerations and/or standards and regulations. Typically, in Australian technical frameworks, the </w:t>
      </w:r>
      <w:r w:rsidRPr="00D379F3">
        <w:rPr>
          <w:i/>
          <w:iCs/>
        </w:rPr>
        <w:t>total radiated power</w:t>
      </w:r>
      <w:r>
        <w:t xml:space="preserve"> (TRP) of a carrier is restricted to at most 41</w:t>
      </w:r>
      <w:r w:rsidR="00034C10">
        <w:t xml:space="preserve"> </w:t>
      </w:r>
      <w:r>
        <w:t xml:space="preserve">dBm/MHz, </w:t>
      </w:r>
      <w:r w:rsidR="00647740">
        <w:t xml:space="preserve">but are often lower in practice, </w:t>
      </w:r>
      <w:r>
        <w:t xml:space="preserve">plus whatever the net gain of the antenna system is </w:t>
      </w:r>
      <w:r w:rsidR="00C01558">
        <w:t>connect</w:t>
      </w:r>
      <w:r w:rsidR="007C15CE">
        <w:t>ed</w:t>
      </w:r>
      <w:r w:rsidR="00C01558">
        <w:t xml:space="preserve"> to, or integrated with, the base station</w:t>
      </w:r>
      <w:r>
        <w:t>.</w:t>
      </w:r>
    </w:p>
    <w:p w14:paraId="57D8C066" w14:textId="72646E7E" w:rsidR="0073056B" w:rsidRDefault="0073056B" w:rsidP="003A20D4">
      <w:pPr>
        <w:pStyle w:val="Numberedparagraph"/>
      </w:pPr>
      <w:r>
        <w:t>In a RA context, the ability of a RA to reject WBB in-band emissions is affected by the performance of the RAs selectivity filter.</w:t>
      </w:r>
    </w:p>
    <w:p w14:paraId="5FBBD953" w14:textId="77777777" w:rsidR="001D442A" w:rsidRDefault="001D442A">
      <w:pPr>
        <w:spacing w:after="0" w:line="240" w:lineRule="auto"/>
        <w:rPr>
          <w:rFonts w:cs="Arial"/>
          <w:b/>
          <w:bCs/>
        </w:rPr>
      </w:pPr>
      <w:r>
        <w:rPr>
          <w:b/>
          <w:bCs/>
        </w:rPr>
        <w:br w:type="page"/>
      </w:r>
    </w:p>
    <w:p w14:paraId="5BFA2A65" w14:textId="72CDE44A" w:rsidR="003A20D4" w:rsidRPr="00D379F3" w:rsidRDefault="00C160EF" w:rsidP="00D379F3">
      <w:pPr>
        <w:pStyle w:val="Numberedparagraph"/>
        <w:numPr>
          <w:ilvl w:val="0"/>
          <w:numId w:val="0"/>
        </w:numPr>
        <w:ind w:left="-567" w:firstLine="567"/>
        <w:rPr>
          <w:b/>
          <w:bCs/>
        </w:rPr>
      </w:pPr>
      <w:r w:rsidRPr="00D379F3">
        <w:rPr>
          <w:b/>
          <w:bCs/>
        </w:rPr>
        <w:t>Unwanted</w:t>
      </w:r>
      <w:r w:rsidR="003A20D4" w:rsidRPr="00D379F3">
        <w:rPr>
          <w:b/>
          <w:bCs/>
        </w:rPr>
        <w:t xml:space="preserve"> emissions</w:t>
      </w:r>
    </w:p>
    <w:p w14:paraId="27394BCB" w14:textId="19E6B43F" w:rsidR="003A20D4" w:rsidRDefault="00C160EF" w:rsidP="003A20D4">
      <w:pPr>
        <w:pStyle w:val="Numberedparagraph"/>
      </w:pPr>
      <w:r w:rsidRPr="00D379F3">
        <w:rPr>
          <w:i/>
          <w:iCs/>
        </w:rPr>
        <w:t>Unwanted emissions</w:t>
      </w:r>
      <w:r>
        <w:t xml:space="preserve"> are those incidental</w:t>
      </w:r>
      <w:r w:rsidR="00C01558">
        <w:t xml:space="preserve">, but unavoidable in </w:t>
      </w:r>
      <w:r w:rsidR="00780CA7">
        <w:t>practice, to</w:t>
      </w:r>
      <w:r>
        <w:t xml:space="preserve"> the WBB in-band emissions</w:t>
      </w:r>
      <w:r w:rsidR="00C01558">
        <w:t>. They</w:t>
      </w:r>
      <w:r>
        <w:t xml:space="preserve"> occur outside of the wanted bandwidth</w:t>
      </w:r>
      <w:r w:rsidR="00AB42B9">
        <w:t xml:space="preserve"> but cannot completely be eliminated</w:t>
      </w:r>
      <w:r>
        <w:t xml:space="preserve">. These are often classified further into </w:t>
      </w:r>
      <w:r w:rsidRPr="00D379F3">
        <w:rPr>
          <w:i/>
          <w:iCs/>
        </w:rPr>
        <w:t>out-of-band emissions</w:t>
      </w:r>
      <w:r>
        <w:t xml:space="preserve"> (those that are close to the wanted </w:t>
      </w:r>
      <w:r w:rsidR="0091089A">
        <w:t>emissions</w:t>
      </w:r>
      <w:r>
        <w:t xml:space="preserve">) and </w:t>
      </w:r>
      <w:r w:rsidRPr="00D379F3">
        <w:rPr>
          <w:i/>
          <w:iCs/>
        </w:rPr>
        <w:t>spurious emissions</w:t>
      </w:r>
      <w:r>
        <w:t xml:space="preserve"> (the others, further away </w:t>
      </w:r>
      <w:r w:rsidR="00AB42B9">
        <w:t xml:space="preserve">from the wanted </w:t>
      </w:r>
      <w:r w:rsidR="0091089A">
        <w:t>emissions</w:t>
      </w:r>
      <w:r w:rsidR="00AB42B9">
        <w:t xml:space="preserve">). </w:t>
      </w:r>
      <w:r w:rsidR="0037621A">
        <w:t xml:space="preserve">In terms of coexistence with RAs, the unwanted emissions of interest are those that fall into the 4200-4400 MHz range and are </w:t>
      </w:r>
      <w:r w:rsidR="00392C41">
        <w:t>applicable</w:t>
      </w:r>
      <w:r w:rsidR="0037621A">
        <w:t xml:space="preserve"> for the receiver de-sensitisation and false-altitude reports mechanisms. (Although any power presented outside of the 4200-4400 MHz range to the RA receiver can be considered for the overload mechanism).</w:t>
      </w:r>
    </w:p>
    <w:p w14:paraId="5A5EB470" w14:textId="39F92F8A" w:rsidR="003F7E3C" w:rsidRDefault="003F7E3C" w:rsidP="003F7E3C">
      <w:pPr>
        <w:pStyle w:val="Numberedparagraph"/>
      </w:pPr>
      <w:r>
        <w:t>Again, t</w:t>
      </w:r>
      <w:r w:rsidRPr="003F7E3C">
        <w:t xml:space="preserve">he power level of the </w:t>
      </w:r>
      <w:r>
        <w:t>unwanted</w:t>
      </w:r>
      <w:r w:rsidRPr="003F7E3C">
        <w:t xml:space="preserve"> emissions will be limited by either practical considerations and/or standards and regulations.</w:t>
      </w:r>
      <w:r>
        <w:t xml:space="preserve"> </w:t>
      </w:r>
      <w:r w:rsidR="0091089A">
        <w:t>Permitted l</w:t>
      </w:r>
      <w:r>
        <w:t xml:space="preserve">evels will vary and regulations generally consider different limits for out-of-band compared with spurious </w:t>
      </w:r>
      <w:r w:rsidR="00E67B1E">
        <w:t>emissions</w:t>
      </w:r>
      <w:r>
        <w:t xml:space="preserve"> (stricter).  Where </w:t>
      </w:r>
      <w:r w:rsidR="00E67B1E">
        <w:t>practicable</w:t>
      </w:r>
      <w:r>
        <w:t xml:space="preserve">, alignment with international standards is </w:t>
      </w:r>
      <w:r w:rsidR="00392C41">
        <w:t xml:space="preserve">often </w:t>
      </w:r>
      <w:r w:rsidR="00E67B1E">
        <w:t xml:space="preserve">proposed, such as the 3GPP suite of standards for 5G </w:t>
      </w:r>
      <w:r w:rsidR="0091089A">
        <w:t>technologies</w:t>
      </w:r>
      <w:r w:rsidR="00E67B1E">
        <w:t>. If required for coexistence with specific services and is considered practicable, regulated unwanted emissions can be made stricter.</w:t>
      </w:r>
    </w:p>
    <w:p w14:paraId="4F999F39" w14:textId="738BB4E6" w:rsidR="0073056B" w:rsidRDefault="0073056B" w:rsidP="0073056B">
      <w:pPr>
        <w:pStyle w:val="Numberedparagraph"/>
      </w:pPr>
      <w:r>
        <w:t>In a RA context, an RAs selectivity filter can do nothing about WBB unwanted emissions that fall into the 4200-4400 MHz range.</w:t>
      </w:r>
      <w:r w:rsidR="00780CA7">
        <w:t xml:space="preserve"> There are some emerging digital signal processing (DSP) techniques within some RAs that, by being able to identify the interference from the RA signal, </w:t>
      </w:r>
      <w:r w:rsidR="00CA553D">
        <w:t>can</w:t>
      </w:r>
      <w:r w:rsidR="00780CA7">
        <w:t xml:space="preserve"> reduce th</w:t>
      </w:r>
      <w:r w:rsidR="00F54F32">
        <w:t>e effect</w:t>
      </w:r>
      <w:r w:rsidR="00F00590">
        <w:t xml:space="preserve"> of this</w:t>
      </w:r>
      <w:r w:rsidR="00F54F32">
        <w:t xml:space="preserve"> </w:t>
      </w:r>
      <w:r w:rsidR="00780CA7">
        <w:t>interference falling in-band to the RA.</w:t>
      </w:r>
    </w:p>
    <w:p w14:paraId="43CC2624" w14:textId="7275B305" w:rsidR="003F7E3C" w:rsidRDefault="00E67B1E" w:rsidP="003A20D4">
      <w:pPr>
        <w:pStyle w:val="Numberedparagraph"/>
      </w:pPr>
      <w:r>
        <w:t xml:space="preserve">What is considered </w:t>
      </w:r>
      <w:r w:rsidR="00F91467">
        <w:t xml:space="preserve">or called </w:t>
      </w:r>
      <w:r>
        <w:t xml:space="preserve">“in-band” vs “out-of-band” can vary depending on your perspective.  Wanted in-band WBB emissions are out-of-band </w:t>
      </w:r>
      <w:r w:rsidR="00444F6D">
        <w:t>as far as a</w:t>
      </w:r>
      <w:r>
        <w:t xml:space="preserve"> RA receiver </w:t>
      </w:r>
      <w:r w:rsidR="00444F6D">
        <w:t xml:space="preserve">is concerned </w:t>
      </w:r>
      <w:r>
        <w:t>and, conversely, WBB unwanted or “out-of-band” emissions may fall “in-band” to a RA receiver.</w:t>
      </w:r>
    </w:p>
    <w:p w14:paraId="470BB75F" w14:textId="502769C4" w:rsidR="00B720CF" w:rsidRDefault="00B720CF" w:rsidP="003A20D4">
      <w:pPr>
        <w:pStyle w:val="Numberedparagraph"/>
      </w:pPr>
      <w:r>
        <w:t xml:space="preserve">ITU-R Rec </w:t>
      </w:r>
      <w:hyperlink r:id="rId98" w:history="1">
        <w:r w:rsidR="0017430C" w:rsidRPr="0017430C">
          <w:rPr>
            <w:rStyle w:val="Hyperlink"/>
          </w:rPr>
          <w:t>SM.1541</w:t>
        </w:r>
      </w:hyperlink>
      <w:r w:rsidR="0017430C">
        <w:t xml:space="preserve"> and </w:t>
      </w:r>
      <w:hyperlink r:id="rId99" w:history="1">
        <w:r w:rsidR="0017430C" w:rsidRPr="0017430C">
          <w:rPr>
            <w:rStyle w:val="Hyperlink"/>
          </w:rPr>
          <w:t>SM.329</w:t>
        </w:r>
      </w:hyperlink>
      <w:r w:rsidR="0017430C">
        <w:t xml:space="preserve"> </w:t>
      </w:r>
      <w:r w:rsidR="0020690F">
        <w:t>provide further information and</w:t>
      </w:r>
      <w:r w:rsidR="0017430C">
        <w:t xml:space="preserve"> definitions. </w:t>
      </w:r>
    </w:p>
    <w:p w14:paraId="5C1D8230" w14:textId="2FC9B54D" w:rsidR="003A20D4" w:rsidRPr="00D379F3" w:rsidRDefault="003A20D4" w:rsidP="00D379F3">
      <w:pPr>
        <w:pStyle w:val="Numberedparagraph"/>
        <w:numPr>
          <w:ilvl w:val="0"/>
          <w:numId w:val="0"/>
        </w:numPr>
        <w:ind w:left="-567" w:firstLine="567"/>
        <w:rPr>
          <w:b/>
          <w:bCs/>
        </w:rPr>
      </w:pPr>
      <w:r w:rsidRPr="00D379F3">
        <w:rPr>
          <w:b/>
          <w:bCs/>
        </w:rPr>
        <w:t>Antennas</w:t>
      </w:r>
    </w:p>
    <w:p w14:paraId="683D24BC" w14:textId="7514D1B4" w:rsidR="00E17EF7" w:rsidRDefault="00444F6D" w:rsidP="003A20D4">
      <w:pPr>
        <w:pStyle w:val="Numberedparagraph"/>
      </w:pPr>
      <w:r>
        <w:t xml:space="preserve">Antenna systems for WBB services have advanced significantly in capability and complexity in recent years and consequently are often classified in standards, </w:t>
      </w:r>
      <w:r w:rsidR="0091089A">
        <w:t>recommendations,</w:t>
      </w:r>
      <w:r>
        <w:t xml:space="preserve"> and regulations into two broad technology types</w:t>
      </w:r>
      <w:r w:rsidR="00647740">
        <w:t>, AAS and non-AAS</w:t>
      </w:r>
      <w:r>
        <w:t xml:space="preserve">.  </w:t>
      </w:r>
    </w:p>
    <w:p w14:paraId="7318444D" w14:textId="2ADE7847" w:rsidR="003A20D4" w:rsidRPr="00D379F3" w:rsidRDefault="003A20D4" w:rsidP="00D379F3">
      <w:pPr>
        <w:pStyle w:val="Numberedparagraph"/>
        <w:numPr>
          <w:ilvl w:val="0"/>
          <w:numId w:val="0"/>
        </w:numPr>
        <w:ind w:left="-567" w:firstLine="567"/>
        <w:rPr>
          <w:b/>
          <w:bCs/>
        </w:rPr>
      </w:pPr>
      <w:r w:rsidRPr="00D379F3">
        <w:rPr>
          <w:b/>
          <w:bCs/>
        </w:rPr>
        <w:t>AAS</w:t>
      </w:r>
    </w:p>
    <w:p w14:paraId="33B915AC" w14:textId="5B376E85" w:rsidR="00444F6D" w:rsidRPr="00257BC6" w:rsidRDefault="00444F6D" w:rsidP="003A20D4">
      <w:pPr>
        <w:pStyle w:val="Numberedparagraph"/>
        <w:rPr>
          <w:i/>
        </w:rPr>
      </w:pPr>
      <w:r>
        <w:t xml:space="preserve">“Active” or “Advanced” antenna systems (AAS) in a WBB context are those </w:t>
      </w:r>
      <w:r w:rsidRPr="00444F6D">
        <w:t xml:space="preserve">make use of </w:t>
      </w:r>
      <w:r w:rsidR="00DD5D92">
        <w:t xml:space="preserve">dynamic </w:t>
      </w:r>
      <w:r w:rsidRPr="00444F6D">
        <w:t>multi-antenna technologies like beamforming and MIMO to improve network performance.</w:t>
      </w:r>
      <w:r>
        <w:t xml:space="preserve"> ACMA technical frameworks often define them as </w:t>
      </w:r>
      <w:r w:rsidR="00DD5D92" w:rsidRPr="00D379F3">
        <w:rPr>
          <w:i/>
          <w:iCs/>
        </w:rPr>
        <w:t>an antenna system where the amplitude and/or phase between antenna elements is continually adjusted, resulting in an antenna pattern that varies in response to short term changes in the radio environment.</w:t>
      </w:r>
      <w:r w:rsidR="00940D4D">
        <w:t xml:space="preserve"> Quite often</w:t>
      </w:r>
      <w:r w:rsidR="008F6502">
        <w:t>,</w:t>
      </w:r>
      <w:r w:rsidR="00940D4D">
        <w:t xml:space="preserve"> the RF electronics is integrated with the antenna itself. Consequently, this is one of the reasons why the term “total radiated power” is used as a metric for base station power as there is no means to directly measure the power of the “transmitter” </w:t>
      </w:r>
      <w:r w:rsidR="0091089A">
        <w:t>alone</w:t>
      </w:r>
      <w:r w:rsidR="00940D4D">
        <w:t>.</w:t>
      </w:r>
    </w:p>
    <w:p w14:paraId="08FD978E" w14:textId="77777777" w:rsidR="0027630F" w:rsidRDefault="002A5396" w:rsidP="0027630F">
      <w:pPr>
        <w:pStyle w:val="Numberedparagraph"/>
      </w:pPr>
      <w:r>
        <w:t>AAS antennas are increasingly used by many WBB systems, especially with the advent of 5G.</w:t>
      </w:r>
      <w:r w:rsidR="0027630F" w:rsidRPr="0027630F">
        <w:t xml:space="preserve"> </w:t>
      </w:r>
    </w:p>
    <w:p w14:paraId="7DBE9E7D" w14:textId="4D8157C9" w:rsidR="002A5396" w:rsidRPr="00D379F3" w:rsidRDefault="0027630F" w:rsidP="003A20D4">
      <w:pPr>
        <w:pStyle w:val="Numberedparagraph"/>
        <w:rPr>
          <w:i/>
          <w:iCs/>
        </w:rPr>
      </w:pPr>
      <w:r>
        <w:t>An AAS may have a higher peak gain than a non-AAS due to the ability to form one or more beams dynamically and electronically.  However, as they are dynamic and, due to other characteristics of typical technologies using them such as 5G, gain in any one direction varies with time and hence any coexistence consideration with RAs should, ideally, consider this dynamic nature</w:t>
      </w:r>
      <w:r>
        <w:rPr>
          <w:i/>
          <w:iCs/>
        </w:rPr>
        <w:t>.</w:t>
      </w:r>
    </w:p>
    <w:p w14:paraId="3ED8F9F2" w14:textId="76119C19" w:rsidR="00C56484" w:rsidRPr="00257BC6" w:rsidRDefault="0027630F" w:rsidP="00257BC6">
      <w:pPr>
        <w:pStyle w:val="Numberedparagraph"/>
      </w:pPr>
      <w:r>
        <w:t>As a result of the dynamic nature of AAS care needs to be taken in modelling steering and scanning beams as, dependent on the design and specific circumstances, unwanted “side-lobe” levels can potentially be relatively high as a result.</w:t>
      </w:r>
    </w:p>
    <w:p w14:paraId="05012826" w14:textId="6B79E87D" w:rsidR="003A20D4" w:rsidRPr="00D379F3" w:rsidRDefault="003A20D4" w:rsidP="00D379F3">
      <w:pPr>
        <w:pStyle w:val="Numberedparagraph"/>
        <w:numPr>
          <w:ilvl w:val="0"/>
          <w:numId w:val="0"/>
        </w:numPr>
        <w:ind w:left="-567" w:firstLine="567"/>
        <w:rPr>
          <w:b/>
          <w:bCs/>
        </w:rPr>
      </w:pPr>
      <w:r w:rsidRPr="00D379F3">
        <w:rPr>
          <w:b/>
          <w:bCs/>
        </w:rPr>
        <w:t>Non-</w:t>
      </w:r>
      <w:r w:rsidR="00DD5D92" w:rsidRPr="00D379F3">
        <w:rPr>
          <w:b/>
          <w:bCs/>
        </w:rPr>
        <w:t>AAS</w:t>
      </w:r>
    </w:p>
    <w:p w14:paraId="5BA97B5A" w14:textId="71DAE5DD" w:rsidR="00DD5D92" w:rsidRDefault="00DD5D92" w:rsidP="003A20D4">
      <w:pPr>
        <w:pStyle w:val="Numberedparagraph"/>
      </w:pPr>
      <w:r>
        <w:t xml:space="preserve">In a WBB context then, non-AAS antennas are those that do not use dynamic </w:t>
      </w:r>
      <w:r w:rsidR="00FA5613">
        <w:t>beamforming</w:t>
      </w:r>
      <w:r>
        <w:t xml:space="preserve"> or MIMO techniques.  They may be a traditional “passive” </w:t>
      </w:r>
      <w:r w:rsidR="00FA5613">
        <w:t>antenna or</w:t>
      </w:r>
      <w:r>
        <w:t xml:space="preserve"> have some active elements but do not use them to dynamically form or steer beams.</w:t>
      </w:r>
    </w:p>
    <w:p w14:paraId="1525F027" w14:textId="33FACA23" w:rsidR="00B2088C" w:rsidRDefault="00B2088C" w:rsidP="003A20D4">
      <w:pPr>
        <w:pStyle w:val="Numberedparagraph"/>
      </w:pPr>
      <w:r>
        <w:t xml:space="preserve">For typical systems in the 3400-4000 MHz range, non-AAS </w:t>
      </w:r>
      <w:r w:rsidR="000F3D8B">
        <w:t>have a peak gain of 16-20</w:t>
      </w:r>
      <w:r w:rsidR="002A5396">
        <w:t xml:space="preserve"> </w:t>
      </w:r>
      <w:r w:rsidR="000F3D8B">
        <w:t>dBi and AAS 23-25</w:t>
      </w:r>
      <w:r w:rsidR="002A5396">
        <w:t xml:space="preserve"> </w:t>
      </w:r>
      <w:r w:rsidR="000F3D8B">
        <w:t>dBi.</w:t>
      </w:r>
    </w:p>
    <w:p w14:paraId="6914A870" w14:textId="0391BD42" w:rsidR="00647740" w:rsidRPr="00D379F3" w:rsidRDefault="00647740" w:rsidP="00647740">
      <w:pPr>
        <w:pStyle w:val="Numberedparagraph"/>
        <w:numPr>
          <w:ilvl w:val="0"/>
          <w:numId w:val="0"/>
        </w:numPr>
        <w:ind w:left="-567" w:firstLine="567"/>
        <w:rPr>
          <w:b/>
          <w:bCs/>
        </w:rPr>
      </w:pPr>
      <w:r w:rsidRPr="00D379F3">
        <w:rPr>
          <w:b/>
          <w:bCs/>
        </w:rPr>
        <w:t>Other aspects</w:t>
      </w:r>
    </w:p>
    <w:p w14:paraId="588ECF9D" w14:textId="6F109115" w:rsidR="00647740" w:rsidRDefault="00647740" w:rsidP="00647740">
      <w:pPr>
        <w:pStyle w:val="Numberedparagraph"/>
      </w:pPr>
      <w:r>
        <w:t xml:space="preserve">WBB networks may only transmit </w:t>
      </w:r>
      <w:r w:rsidR="00BC0E03">
        <w:t xml:space="preserve">near maximum power </w:t>
      </w:r>
      <w:r>
        <w:t xml:space="preserve">when needed and there is a WBB receiver actively using the base station. Consequently, assumptions </w:t>
      </w:r>
      <w:r w:rsidR="00617805">
        <w:t>should</w:t>
      </w:r>
      <w:r>
        <w:t xml:space="preserve"> be made about various </w:t>
      </w:r>
      <w:r w:rsidR="00CE3E60">
        <w:t xml:space="preserve">time-based </w:t>
      </w:r>
      <w:r>
        <w:t>factors related to their time-varying use when considering coexistence.</w:t>
      </w:r>
      <w:r w:rsidR="001658AF">
        <w:t xml:space="preserve"> </w:t>
      </w:r>
    </w:p>
    <w:p w14:paraId="4234B767" w14:textId="0C1D28C5" w:rsidR="00805148" w:rsidRDefault="00805148" w:rsidP="00647740">
      <w:pPr>
        <w:pStyle w:val="Numberedparagraph"/>
      </w:pPr>
      <w:r>
        <w:t xml:space="preserve">When conducting coexistence studies between WBB and RAs, it is </w:t>
      </w:r>
      <w:r w:rsidR="00664C89">
        <w:t>also</w:t>
      </w:r>
      <w:r>
        <w:t xml:space="preserve"> important to model the nature of the </w:t>
      </w:r>
      <w:r w:rsidR="001658AF">
        <w:t xml:space="preserve">WBB system, especially the antenna, </w:t>
      </w:r>
      <w:r>
        <w:t>as clos</w:t>
      </w:r>
      <w:r w:rsidR="005C615B">
        <w:t xml:space="preserve">e to reality as practicable, both in terms of design as well as dynamic </w:t>
      </w:r>
      <w:r w:rsidR="003601EF">
        <w:t>beamforming</w:t>
      </w:r>
      <w:r w:rsidR="005C615B">
        <w:t xml:space="preserve"> and scanning operation</w:t>
      </w:r>
      <w:r w:rsidR="001658AF">
        <w:t xml:space="preserve"> and operating powers</w:t>
      </w:r>
      <w:r w:rsidR="005C615B">
        <w:t xml:space="preserve">. </w:t>
      </w:r>
      <w:r w:rsidR="001658AF">
        <w:t>T</w:t>
      </w:r>
      <w:r w:rsidR="005C615B">
        <w:t xml:space="preserve">here are currently practical limits to </w:t>
      </w:r>
      <w:r w:rsidR="001658AF">
        <w:t>modelling AAS though c</w:t>
      </w:r>
      <w:r w:rsidR="00A44969">
        <w:t>urrent working documents within ITU-R Working party 5D (IMT Systems) provide some guidance.</w:t>
      </w:r>
    </w:p>
    <w:p w14:paraId="11404145" w14:textId="77777777" w:rsidR="00647740" w:rsidRDefault="00647740" w:rsidP="00D379F3">
      <w:pPr>
        <w:pStyle w:val="Numberedparagraph"/>
        <w:numPr>
          <w:ilvl w:val="0"/>
          <w:numId w:val="0"/>
        </w:numPr>
        <w:ind w:left="-567"/>
      </w:pPr>
    </w:p>
    <w:p w14:paraId="03CC8D67" w14:textId="21BA3BAA" w:rsidR="0069032C" w:rsidRDefault="0069032C">
      <w:pPr>
        <w:spacing w:after="0" w:line="240" w:lineRule="auto"/>
        <w:rPr>
          <w:rFonts w:cs="Arial"/>
          <w:bCs/>
          <w:color w:val="323232"/>
          <w:kern w:val="32"/>
          <w:sz w:val="53"/>
          <w:szCs w:val="32"/>
        </w:rPr>
      </w:pPr>
      <w:r>
        <w:br w:type="page"/>
      </w:r>
    </w:p>
    <w:p w14:paraId="008FA587" w14:textId="0AD2E596" w:rsidR="0069032C" w:rsidRDefault="0069032C" w:rsidP="0069032C">
      <w:pPr>
        <w:pStyle w:val="Heading1"/>
      </w:pPr>
      <w:bookmarkStart w:id="70" w:name="_Ref106272216"/>
      <w:bookmarkStart w:id="71" w:name="_Toc116041896"/>
      <w:r>
        <w:t>Appendix B: Radio Altimeters</w:t>
      </w:r>
      <w:bookmarkEnd w:id="70"/>
      <w:bookmarkEnd w:id="71"/>
    </w:p>
    <w:p w14:paraId="3DEF1A86" w14:textId="77777777" w:rsidR="0069032C" w:rsidRPr="00702EA1" w:rsidRDefault="0069032C" w:rsidP="0069032C">
      <w:pPr>
        <w:pStyle w:val="Heading2"/>
      </w:pPr>
      <w:bookmarkStart w:id="72" w:name="_Toc116041897"/>
      <w:r>
        <w:t>Overview</w:t>
      </w:r>
      <w:r>
        <w:rPr>
          <w:rStyle w:val="FootnoteReference"/>
        </w:rPr>
        <w:footnoteReference w:id="13"/>
      </w:r>
      <w:bookmarkEnd w:id="72"/>
    </w:p>
    <w:p w14:paraId="18D95F79" w14:textId="1E19988E" w:rsidR="0069032C" w:rsidRDefault="00D4562C" w:rsidP="0069032C">
      <w:pPr>
        <w:pStyle w:val="Numberedparagraph"/>
      </w:pPr>
      <w:r>
        <w:t>RAs</w:t>
      </w:r>
      <w:r w:rsidR="0069032C">
        <w:t xml:space="preserve"> provide high integrity, accurate measurements for aircraft height above terrain and obstacles. </w:t>
      </w:r>
      <w:hyperlink r:id="rId100" w:history="1">
        <w:r w:rsidR="00E620FE" w:rsidRPr="00E620FE">
          <w:rPr>
            <w:rStyle w:val="Hyperlink"/>
          </w:rPr>
          <w:t>ITU-R M.2059</w:t>
        </w:r>
      </w:hyperlink>
      <w:r w:rsidR="00E620FE">
        <w:t xml:space="preserve"> </w:t>
      </w:r>
      <w:r w:rsidR="003C54AD">
        <w:t xml:space="preserve">also </w:t>
      </w:r>
      <w:r w:rsidR="00E620FE">
        <w:t xml:space="preserve">gives a useful overview of both their function and operational use in aviation. </w:t>
      </w:r>
    </w:p>
    <w:p w14:paraId="663061CC" w14:textId="72EB081C" w:rsidR="0069032C" w:rsidRPr="00702EA1" w:rsidRDefault="00D4562C" w:rsidP="0069032C">
      <w:pPr>
        <w:pStyle w:val="Numberedparagraph"/>
      </w:pPr>
      <w:r>
        <w:t>RAs</w:t>
      </w:r>
      <w:r w:rsidR="0069032C">
        <w:t xml:space="preserve"> (also known as radar altimeters (RAs), low range radar/radio altimeters, (LRRA) or by the abbreviations RALT or RADALT) are critical sensors used to enable and enhance several different safety and navigation functions throughout all phases of flight on a wide range of commercial, civil and military aircraft. Such functions include, but are not limited to, </w:t>
      </w:r>
      <w:r w:rsidR="00DA7C0C">
        <w:t xml:space="preserve">Ground Proximity Warning Systems (GPWS), </w:t>
      </w:r>
      <w:r w:rsidR="0069032C">
        <w:t xml:space="preserve">Terrain Awareness Warning Systems (TAWS), Traffic Alert and Collision Avoidance Systems (TCAS) and Airborne Collision Avoidance Systems (ACAS), Wind Shear detection systems, flight control systems, autoland systems (including </w:t>
      </w:r>
      <w:r w:rsidR="001276D1">
        <w:t>auto throttle</w:t>
      </w:r>
      <w:r w:rsidR="0069032C">
        <w:t xml:space="preserve"> and automated landing flare and rollout)</w:t>
      </w:r>
      <w:r w:rsidR="007670C9">
        <w:t xml:space="preserve"> and support in Instrument Landing System (ILS) decision making and ancillary support</w:t>
      </w:r>
      <w:r w:rsidR="0069032C">
        <w:t xml:space="preserve">. </w:t>
      </w:r>
    </w:p>
    <w:p w14:paraId="6924BBD4" w14:textId="3DA30386" w:rsidR="0069032C" w:rsidRDefault="00D4562C" w:rsidP="0069032C">
      <w:pPr>
        <w:pStyle w:val="Numberedparagraph"/>
      </w:pPr>
      <w:r>
        <w:t>RAs</w:t>
      </w:r>
      <w:r w:rsidR="0069032C">
        <w:t xml:space="preserve"> measure height above terrain direct</w:t>
      </w:r>
      <w:r w:rsidR="007B6AD0">
        <w:t>ly</w:t>
      </w:r>
      <w:r w:rsidR="0069032C">
        <w:t xml:space="preserve"> </w:t>
      </w:r>
      <w:r w:rsidR="00150372">
        <w:t xml:space="preserve">using </w:t>
      </w:r>
      <w:r w:rsidR="0069032C">
        <w:t>radar principles.  Radio emissions are transmitted from the radio altimeter antenna, reflected from terrain/obstacles below the aircraft and received back at the radio altimeter antenna. The received radio altimeter signals are then processed with the resulting height above terrain determined and used by various aircraft systems.  Two types of radar altimeters are in use: Frequency Modulation Continuous Wave (FMCW) and Pulsed.</w:t>
      </w:r>
      <w:r w:rsidR="0069032C" w:rsidRPr="008B1712">
        <w:t xml:space="preserve"> </w:t>
      </w:r>
    </w:p>
    <w:p w14:paraId="4146A35C" w14:textId="31CAEE24" w:rsidR="0069032C" w:rsidRDefault="0069032C" w:rsidP="0069032C">
      <w:pPr>
        <w:pStyle w:val="Numberedparagraph"/>
      </w:pPr>
      <w:r>
        <w:t xml:space="preserve">Being a radar type system, </w:t>
      </w:r>
      <w:r w:rsidR="00D4562C">
        <w:t>RAs</w:t>
      </w:r>
      <w:r>
        <w:t xml:space="preserve"> use the radiofrequency spectrum – specifically spectrum within 4200-4400 MHz</w:t>
      </w:r>
      <w:r w:rsidR="00150372">
        <w:t xml:space="preserve"> that is allocated globally for this specific purpose</w:t>
      </w:r>
      <w:r>
        <w:t>.</w:t>
      </w:r>
    </w:p>
    <w:p w14:paraId="4DF5D71D" w14:textId="77777777" w:rsidR="0069032C" w:rsidRDefault="0069032C" w:rsidP="0069032C">
      <w:pPr>
        <w:pStyle w:val="Heading3"/>
      </w:pPr>
      <w:r>
        <w:t xml:space="preserve">Spectrum management regulatory status </w:t>
      </w:r>
    </w:p>
    <w:p w14:paraId="6B4A5371" w14:textId="22B9056A" w:rsidR="0069032C" w:rsidRDefault="00D4562C" w:rsidP="0069032C">
      <w:pPr>
        <w:pStyle w:val="Numberedparagraph"/>
      </w:pPr>
      <w:r>
        <w:t>RAs</w:t>
      </w:r>
      <w:r w:rsidR="0069032C">
        <w:t xml:space="preserve"> operate in the Aeronautical Radionavigation Service (ARNS) allocation in 4200-4400 MHz as per the International </w:t>
      </w:r>
      <w:r w:rsidR="001251F2">
        <w:t>Telecommunication</w:t>
      </w:r>
      <w:r w:rsidR="0069032C">
        <w:t xml:space="preserve"> Union Radio Regulations and as implemented by domestic spectrum management authorities. The Radio Regulations limits, through footnote No. 5.438, use of this ARNS allocation to </w:t>
      </w:r>
      <w:r>
        <w:t>RAs</w:t>
      </w:r>
      <w:r w:rsidR="0069032C">
        <w:t xml:space="preserve"> installed on aircraft and for associated transponders on the ground.</w:t>
      </w:r>
    </w:p>
    <w:p w14:paraId="1D700313" w14:textId="77777777" w:rsidR="0069032C" w:rsidRPr="009D6B94" w:rsidRDefault="0069032C" w:rsidP="0069032C">
      <w:pPr>
        <w:pStyle w:val="Numberedparagraph"/>
      </w:pPr>
      <w:r>
        <w:t>The 4200-4400 MHz band has an allocation to the Aeronautical Mobile (Route) Service (AMS(R)S) service. The Radio Regulations limits, through footnote No. 5.436, use of this (AMS(R)S) allocation to Wireless Avionics Intra-Communications (WAICs) systems that operate in accordance with recognised international standards.</w:t>
      </w:r>
    </w:p>
    <w:p w14:paraId="6D32AE77" w14:textId="0C7E2129" w:rsidR="0069032C" w:rsidRDefault="0069032C" w:rsidP="0069032C">
      <w:pPr>
        <w:pStyle w:val="Heading3"/>
      </w:pPr>
      <w:r>
        <w:t>Aviation standards</w:t>
      </w:r>
      <w:r w:rsidR="00A57ED1">
        <w:t xml:space="preserve"> for radio altimeters</w:t>
      </w:r>
    </w:p>
    <w:p w14:paraId="4C5BFEC5" w14:textId="55B1C9E2" w:rsidR="0069032C" w:rsidRDefault="004D4DBA" w:rsidP="00077BB0">
      <w:pPr>
        <w:pStyle w:val="Numberedparagraph"/>
      </w:pPr>
      <w:r>
        <w:t xml:space="preserve">The first </w:t>
      </w:r>
      <w:r w:rsidRPr="004D4DBA">
        <w:t>airworthy radio altimeter specification</w:t>
      </w:r>
      <w:r>
        <w:t xml:space="preserve"> was </w:t>
      </w:r>
      <w:r w:rsidR="00D3545C" w:rsidRPr="00257BC6">
        <w:t xml:space="preserve">the </w:t>
      </w:r>
      <w:hyperlink r:id="rId101" w:history="1">
        <w:r w:rsidR="00D3545C" w:rsidRPr="00D3545C">
          <w:rPr>
            <w:rStyle w:val="Hyperlink"/>
          </w:rPr>
          <w:t>FAA TSO C87</w:t>
        </w:r>
      </w:hyperlink>
      <w:r>
        <w:t xml:space="preserve"> </w:t>
      </w:r>
      <w:r w:rsidR="00F50F9D">
        <w:t>from 1966.</w:t>
      </w:r>
    </w:p>
    <w:p w14:paraId="16F23957" w14:textId="0D4F1086" w:rsidR="00F50F9D" w:rsidRDefault="00F50F9D" w:rsidP="00077BB0">
      <w:pPr>
        <w:pStyle w:val="Numberedparagraph"/>
      </w:pPr>
      <w:r>
        <w:t xml:space="preserve">The revised </w:t>
      </w:r>
      <w:hyperlink r:id="rId102" w:history="1">
        <w:r w:rsidRPr="00F50F9D">
          <w:rPr>
            <w:rStyle w:val="Hyperlink"/>
          </w:rPr>
          <w:t>FAA TSO C87A</w:t>
        </w:r>
      </w:hyperlink>
      <w:r>
        <w:t xml:space="preserve"> from 2012 references compliance with </w:t>
      </w:r>
      <w:hyperlink r:id="rId103" w:history="1">
        <w:r w:rsidRPr="00F50F9D">
          <w:rPr>
            <w:rStyle w:val="Hyperlink"/>
          </w:rPr>
          <w:t>EUROCAE ED-30</w:t>
        </w:r>
      </w:hyperlink>
      <w:r>
        <w:t xml:space="preserve"> from 1980, with some exceptions</w:t>
      </w:r>
      <w:r w:rsidR="00027575">
        <w:t>, for new models of RAs identified and manufactured after March 2012</w:t>
      </w:r>
      <w:r>
        <w:t>.</w:t>
      </w:r>
      <w:r w:rsidR="00027575">
        <w:t xml:space="preserve"> The </w:t>
      </w:r>
      <w:hyperlink r:id="rId104" w:history="1">
        <w:r w:rsidR="00027575" w:rsidRPr="00027575">
          <w:rPr>
            <w:rStyle w:val="Hyperlink"/>
          </w:rPr>
          <w:t>CASA AWB 34-020 Issue 7</w:t>
        </w:r>
      </w:hyperlink>
      <w:r w:rsidR="00027575">
        <w:t xml:space="preserve"> notes that</w:t>
      </w:r>
      <w:r w:rsidR="00027575" w:rsidRPr="00027575">
        <w:t xml:space="preserve"> </w:t>
      </w:r>
      <w:r w:rsidR="00027575">
        <w:t xml:space="preserve">TSO-C87A does not provide criteria for compatibility with adjacent band operations, including potential impacts associated with wireless communications system deployments.  </w:t>
      </w:r>
    </w:p>
    <w:p w14:paraId="54E6D79C" w14:textId="6C940C9B" w:rsidR="001E4FA0" w:rsidRDefault="001E4FA0" w:rsidP="00077BB0">
      <w:pPr>
        <w:pStyle w:val="Numberedparagraph"/>
      </w:pPr>
      <w:r>
        <w:t xml:space="preserve">The </w:t>
      </w:r>
      <w:hyperlink r:id="rId105" w:history="1">
        <w:r w:rsidRPr="00533C08">
          <w:rPr>
            <w:rStyle w:val="Hyperlink"/>
          </w:rPr>
          <w:t>RTCA DO-155</w:t>
        </w:r>
      </w:hyperlink>
      <w:r>
        <w:t xml:space="preserve"> </w:t>
      </w:r>
      <w:r w:rsidR="00533C08">
        <w:t xml:space="preserve">(1974) </w:t>
      </w:r>
      <w:r>
        <w:t xml:space="preserve">is similar, but not </w:t>
      </w:r>
      <w:r w:rsidR="00533C08">
        <w:t>identical</w:t>
      </w:r>
      <w:r>
        <w:t xml:space="preserve"> to EUROCAE ED-30. The planned RTCA-DO155A is proposed to be a technically equivalent document to the planned ED-30A to support a </w:t>
      </w:r>
      <w:r w:rsidR="0046750E">
        <w:t xml:space="preserve">FAA </w:t>
      </w:r>
      <w:r>
        <w:t>Technical Standard Order/European Technical Standard Order (TSO/ETSO).</w:t>
      </w:r>
    </w:p>
    <w:p w14:paraId="0049A902" w14:textId="77777777" w:rsidR="0069032C" w:rsidRDefault="0069032C" w:rsidP="0069032C">
      <w:pPr>
        <w:pStyle w:val="Heading3"/>
      </w:pPr>
      <w:r>
        <w:t xml:space="preserve">Usage </w:t>
      </w:r>
    </w:p>
    <w:p w14:paraId="24E5523F" w14:textId="2F117FF0" w:rsidR="0069032C" w:rsidRDefault="00E01A03" w:rsidP="0069032C">
      <w:pPr>
        <w:pStyle w:val="Numberedparagraph"/>
      </w:pPr>
      <w:r>
        <w:t xml:space="preserve">As previously noted, RAs assist with performing </w:t>
      </w:r>
      <w:r w:rsidR="00D45688">
        <w:t>several</w:t>
      </w:r>
      <w:r>
        <w:t xml:space="preserve"> critical and non-critical flight tasks. Taken in part from M.2059:</w:t>
      </w:r>
    </w:p>
    <w:p w14:paraId="3FBD84F5" w14:textId="755E977E"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Radio altimeters designed for use in automated landing systems are required to achieve an accuracy of 0.9 metres (3 feet) or more. Such elevation readings are transmitted to a pilot’s visual display and to several automatic safety components. Radio altimeters provide an essential informational component of the automatic flight control system  for approach and landing, ground proximity warning system , terrain awareness and warning system , flight management guidance computer, flight control systems, electronic centralized aircraft monitoring  and engine-indicating and crew alerting system . In addition, elevation information from radio altimeters is transmitted to the traffic collision-avoidance system and automatic dependent surveillance-broadcast system, which are used to monitor the airspace around an aircraft and to warn pilots of any threat of a mid air collision.</w:t>
      </w:r>
    </w:p>
    <w:p w14:paraId="4B19B545" w14:textId="2AB0EC4F"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Information from radio altimeters is especially critical in low-visibility conditions, but is always imperative. Generally, if a system’s check before take-off indicates that the radio altimeters are</w:t>
      </w:r>
      <w:r w:rsidR="00D45688" w:rsidRPr="00077BB0">
        <w:rPr>
          <w:rFonts w:asciiTheme="majorHAnsi" w:hAnsiTheme="majorHAnsi"/>
          <w:color w:val="000000" w:themeColor="text1"/>
        </w:rPr>
        <w:t xml:space="preserve"> </w:t>
      </w:r>
      <w:r w:rsidRPr="00077BB0">
        <w:rPr>
          <w:rFonts w:asciiTheme="majorHAnsi" w:hAnsiTheme="majorHAnsi"/>
          <w:color w:val="000000" w:themeColor="text1"/>
        </w:rPr>
        <w:t>non-functioning, a flight must be suspended. If the signal from the radio altimeters is lost during flight, the collision-avoidance and other safety systems listed above are significantly impaired. If the radio altimeters are not functioning properly when an aircraft is approaching and landing, autopilot systems would be unable to function properly. Under the best situation, a crew would manually fly the approach or divert to another airport. However, this increases crew workload and degrades the approach capability, which can result in a “go around” missed approach. Such repeated landing attempts can significantly impact already congested landing patterns, increase air traffic control workload and create safety concerns. In addition, for certain category airports and weather conditions, loss of the radio altimeter system would prevent the authorized landing of the aircraft. Thereby forcing the aircraft to either fly a holding pattern until weather improves or divert to another airport. Because of the importance of radio altimeter functions, the spectrum allocated and used by these devices must be protected from harmful interference and be sufficient to meet accuracy requirements.</w:t>
      </w:r>
    </w:p>
    <w:p w14:paraId="344BE3E5" w14:textId="06B490BF"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Operational scenarios</w:t>
      </w:r>
    </w:p>
    <w:p w14:paraId="5E729B23"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Aircraft approach and landing</w:t>
      </w:r>
    </w:p>
    <w:p w14:paraId="6DB66A79"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Analysing a typical landing profile from 18.5 km (10 nm) to the runway threshold for an aircraft, the avionic system components predominantly in use are the instrument/microwave landing systems, distance measurement equipment, satellite navigation systems radio altimeters, inertial reference systems and the air data computers providing barometric altitude and airspeed.  The flight-management and flight-control computers continuously monitor sensor data input and correlate this data to ensure they are within specific parameter limits, particularly that the radio altimeter height readings between the sensors are correlated to be within tolerance. Auto-throttle is engaged; a stabilized approach with controlled descent rate and speed is maintained. At a pre established height, the glide-path vertical information sensor data is phased out of the equation by the flight-management computer and the vertical height above the runway surface is provided by the radio altimeter with aural annunciation in feet to initiate flare of the aircraft to touchdown. The flare phase is controlled by the autopilot system using information from the radio altimeter. This flight profile can be achieved in normal or low-visibility conditions.</w:t>
      </w:r>
    </w:p>
    <w:p w14:paraId="0A1F9F38"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If an aircraft loses or receives erroneous radio altimeter data, several consequences can occur depending upon the aircraft type, airport landing requirements or classification, and weather. Loss of radio altimeter data will disable the autopilot resulting in the pilot and co-pilot manually flying and landing the aircraft. Some airport categories or certain weather conditions would prohibit the landing of some types of aircraft without altimeter data. If only one radio altimeter is operational, then the height above ground when the decision to land the aircraft is made must be adjusted to a higher altitude. If visibility is poor, then the aircraft might be forced to wait until the weather gets better or land at a different airport. If the radio altimeter signal receives harmful interference during the final stages of landing, then a hazardous or catastrophic situation could occur. At best, the flight crew workload increases significantly; at worst the aircraft, crew and passengers are placed in a catastrophic situation.</w:t>
      </w:r>
    </w:p>
    <w:p w14:paraId="7A2BD32C"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Terrain avoidance and ground proximity warning systems</w:t>
      </w:r>
    </w:p>
    <w:p w14:paraId="7E514926"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A ground proximity warning system (GPWS) onboard an aircraft provides an automatic and very distinctive aural warning to a flight crew when the aircraft is in close proximity to ground below the aircraft. Another type of ground proximity warning system is known as the terrain avoidance warning system (TAWS) which also provides distinctive aural warnings based on the level of ground proximity threat in front of the aircraft.</w:t>
      </w:r>
    </w:p>
    <w:p w14:paraId="0F7034EA"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The design and intention of GPWS and TAWS is to prevent controlled flight into terrain (CFIT).  Radio altimeters are integrated into the aircraft flight management computer systems and provide critical data, such as effective aircraft height above terrain to the GPWS and TAWS. Working together, the radio altimeter, TAWS and GPWS enable safe operations when flying close to terrain, typically during low visibility operations and precision approach and landings or in mountainous areas.</w:t>
      </w:r>
    </w:p>
    <w:p w14:paraId="5EAA9D18"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In accordance with ICAO Annex 6 – Part 1 Chapter 6, the GPWS provides time-critical alerts when flight conditions are hazardous. The TAWS with GPWS functions are required to provide the flight crew with immediate situational awareness of the aircraft’s height above the ground.</w:t>
      </w:r>
    </w:p>
    <w:p w14:paraId="1D8EA0CE" w14:textId="1DA6CFB1"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 xml:space="preserve">GPWS alerts are radio altitude based, and derived from the inputs provided to the system and are available from 10 to 1 538 metres (30 to 5 000 feet). </w:t>
      </w:r>
    </w:p>
    <w:p w14:paraId="7FDEA478" w14:textId="77777777" w:rsidR="00E01A03" w:rsidRPr="00077BB0" w:rsidRDefault="00E01A03" w:rsidP="00077BB0">
      <w:pPr>
        <w:pStyle w:val="Numberedparagraph"/>
        <w:numPr>
          <w:ilvl w:val="0"/>
          <w:numId w:val="0"/>
        </w:numPr>
        <w:ind w:left="284"/>
        <w:rPr>
          <w:rFonts w:asciiTheme="majorHAnsi" w:hAnsiTheme="majorHAnsi"/>
          <w:b/>
          <w:bCs/>
          <w:color w:val="000000" w:themeColor="text1"/>
        </w:rPr>
      </w:pPr>
      <w:r w:rsidRPr="00077BB0">
        <w:rPr>
          <w:rFonts w:asciiTheme="majorHAnsi" w:hAnsiTheme="majorHAnsi"/>
          <w:b/>
          <w:bCs/>
          <w:color w:val="000000" w:themeColor="text1"/>
        </w:rPr>
        <w:t>ICAO requirements</w:t>
      </w:r>
    </w:p>
    <w:p w14:paraId="1B587BCC"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ICAO Annex 6 Part 1 Chapter 6 specifies the mandatory carriage of GPWS and TAWS with forward-looking terrain functions for certain aircraft weight categories. In addition to these requirements, many Administrations’ aviation regulations and airworthiness requirements mandate the carriage of such equipment as it is directly related to airworthiness and certification dispatch requirements of an aircraft.</w:t>
      </w:r>
    </w:p>
    <w:p w14:paraId="2C91F064" w14:textId="77777777" w:rsidR="00E01A03" w:rsidRPr="00077BB0" w:rsidRDefault="00E01A03" w:rsidP="00077BB0">
      <w:pPr>
        <w:pStyle w:val="Numberedparagraph"/>
        <w:numPr>
          <w:ilvl w:val="0"/>
          <w:numId w:val="0"/>
        </w:numPr>
        <w:ind w:left="284"/>
        <w:rPr>
          <w:rFonts w:asciiTheme="majorHAnsi" w:hAnsiTheme="majorHAnsi"/>
          <w:color w:val="000000" w:themeColor="text1"/>
        </w:rPr>
      </w:pPr>
      <w:r w:rsidRPr="00077BB0">
        <w:rPr>
          <w:rFonts w:asciiTheme="majorHAnsi" w:hAnsiTheme="majorHAnsi"/>
          <w:color w:val="000000" w:themeColor="text1"/>
        </w:rPr>
        <w:t>ICAO Annex 6 Part 1 Chapter 6 states:</w:t>
      </w:r>
    </w:p>
    <w:p w14:paraId="5A57516B" w14:textId="6387A638" w:rsidR="00E01A03" w:rsidRPr="002931DE" w:rsidRDefault="00E01A03" w:rsidP="00077BB0">
      <w:pPr>
        <w:pStyle w:val="Numberedparagraph"/>
        <w:numPr>
          <w:ilvl w:val="0"/>
          <w:numId w:val="0"/>
        </w:numPr>
        <w:ind w:left="284"/>
        <w:rPr>
          <w:color w:val="808080" w:themeColor="background1" w:themeShade="80"/>
        </w:rPr>
      </w:pPr>
      <w:r w:rsidRPr="00077BB0">
        <w:rPr>
          <w:rFonts w:asciiTheme="majorHAnsi" w:hAnsiTheme="majorHAnsi"/>
          <w:color w:val="000000" w:themeColor="text1"/>
        </w:rPr>
        <w:t xml:space="preserve">“All turbine-engine aeroplanes of a maximum certificated take-off mass in excess of 15 000 kg or authorized to carry more than 30 passengers shall be equipped with a ground proximity warning system which has a </w:t>
      </w:r>
      <w:r w:rsidR="0046750E" w:rsidRPr="00077BB0">
        <w:rPr>
          <w:rFonts w:asciiTheme="majorHAnsi" w:hAnsiTheme="majorHAnsi"/>
          <w:color w:val="000000" w:themeColor="text1"/>
        </w:rPr>
        <w:t>forward-looking</w:t>
      </w:r>
      <w:r w:rsidRPr="00077BB0">
        <w:rPr>
          <w:rFonts w:asciiTheme="majorHAnsi" w:hAnsiTheme="majorHAnsi"/>
          <w:color w:val="000000" w:themeColor="text1"/>
        </w:rPr>
        <w:t xml:space="preserve"> terrain avoidance function. (other paragraphs have similar provisions for different weight categories of aircraft.)”</w:t>
      </w:r>
    </w:p>
    <w:p w14:paraId="0C910E49" w14:textId="77777777" w:rsidR="0069032C" w:rsidRDefault="0069032C" w:rsidP="0069032C">
      <w:pPr>
        <w:pStyle w:val="Heading2"/>
      </w:pPr>
      <w:bookmarkStart w:id="73" w:name="_Toc116041898"/>
      <w:r>
        <w:t>Technical characteristics</w:t>
      </w:r>
      <w:bookmarkEnd w:id="73"/>
    </w:p>
    <w:p w14:paraId="33DDCEC0" w14:textId="7232E2D0" w:rsidR="0069032C" w:rsidRDefault="0069032C" w:rsidP="0069032C">
      <w:pPr>
        <w:pStyle w:val="Heading3"/>
      </w:pPr>
      <w:r>
        <w:t>Antenna</w:t>
      </w:r>
    </w:p>
    <w:p w14:paraId="25342CEE" w14:textId="22AC42F2" w:rsidR="00027575" w:rsidRDefault="00027575" w:rsidP="00257BC6">
      <w:pPr>
        <w:pStyle w:val="Numberedparagraph"/>
      </w:pPr>
      <w:r>
        <w:t xml:space="preserve">From the antennas associated with RA models in M.2059, </w:t>
      </w:r>
      <w:r w:rsidR="00237B47">
        <w:t>they typically have gains of 9-13</w:t>
      </w:r>
      <w:r w:rsidR="00910B05">
        <w:t xml:space="preserve"> </w:t>
      </w:r>
      <w:r w:rsidR="00237B47">
        <w:t>dBi with 3</w:t>
      </w:r>
      <w:r w:rsidR="00910B05">
        <w:t xml:space="preserve"> </w:t>
      </w:r>
      <w:r w:rsidR="00237B47">
        <w:t xml:space="preserve">dB beamwidths of 40-60 degrees.  Installed cable loss is typically 6dB with up to 3 systems installed on one aircraft. In the absence of manufacturer antenna patterns, they are typically modelled as cardioids with the specified beamwidth in </w:t>
      </w:r>
      <w:r w:rsidR="002F3FCB">
        <w:t>its</w:t>
      </w:r>
      <w:r w:rsidR="00237B47">
        <w:t xml:space="preserve"> operating bandwidth.</w:t>
      </w:r>
    </w:p>
    <w:p w14:paraId="38509AF8" w14:textId="224B6E09" w:rsidR="00237B47" w:rsidRPr="00444F6D" w:rsidRDefault="00237B47" w:rsidP="00257BC6">
      <w:pPr>
        <w:pStyle w:val="Numberedparagraph"/>
      </w:pPr>
      <w:r>
        <w:t xml:space="preserve">The RTCA </w:t>
      </w:r>
      <w:hyperlink r:id="rId106" w:history="1">
        <w:r w:rsidRPr="00237B47">
          <w:rPr>
            <w:rStyle w:val="Hyperlink"/>
          </w:rPr>
          <w:t>report</w:t>
        </w:r>
      </w:hyperlink>
      <w:r>
        <w:t xml:space="preserve"> discussed antenna characteristics at 6.3.4 and measured the performance of </w:t>
      </w:r>
      <w:r w:rsidR="00EA5AA9">
        <w:t>two antennas both in-band and in the adjacent 3.7-3.98 GHz band</w:t>
      </w:r>
      <w:r w:rsidR="00AF40F1">
        <w:t xml:space="preserve"> </w:t>
      </w:r>
      <w:r w:rsidR="00EA5AA9">
        <w:t>(</w:t>
      </w:r>
      <w:r w:rsidR="0039488E">
        <w:t>F</w:t>
      </w:r>
      <w:r w:rsidR="00EA5AA9">
        <w:t>igures 6-12 and 6-11).</w:t>
      </w:r>
      <w:r>
        <w:t xml:space="preserve"> </w:t>
      </w:r>
      <w:r w:rsidR="00B94C03">
        <w:t>In studies, the in-band gains should be used for receiver desensitisation and false altitude report mechanisms and the out-of-band gains for the overload mechanism</w:t>
      </w:r>
      <w:r w:rsidR="00C72270">
        <w:t>, if this is known</w:t>
      </w:r>
      <w:r w:rsidR="00B94C03">
        <w:t>.</w:t>
      </w:r>
    </w:p>
    <w:p w14:paraId="5F51797C" w14:textId="56831A12" w:rsidR="0069032C" w:rsidRDefault="0069032C" w:rsidP="0069032C">
      <w:pPr>
        <w:pStyle w:val="Heading3"/>
      </w:pPr>
      <w:r>
        <w:t>Interference protection criteria</w:t>
      </w:r>
    </w:p>
    <w:p w14:paraId="7E8BF888" w14:textId="335DFE6B" w:rsidR="00027575" w:rsidRPr="00027575" w:rsidRDefault="00027575" w:rsidP="00257BC6">
      <w:pPr>
        <w:pStyle w:val="Numberedparagraph"/>
      </w:pPr>
      <w:r>
        <w:t xml:space="preserve">As noted above, there are no required </w:t>
      </w:r>
      <w:r w:rsidRPr="00027575">
        <w:t>Interference protection criteria</w:t>
      </w:r>
      <w:r>
        <w:t xml:space="preserve"> in current RA standards.</w:t>
      </w:r>
    </w:p>
    <w:p w14:paraId="53AE6CCD" w14:textId="23BA1351" w:rsidR="0069032C" w:rsidRDefault="0069032C" w:rsidP="0069032C">
      <w:pPr>
        <w:pStyle w:val="Heading4"/>
      </w:pPr>
      <w:r>
        <w:t>ITU-R Recommendation M.2059</w:t>
      </w:r>
    </w:p>
    <w:p w14:paraId="3483C6E5" w14:textId="51A7C068" w:rsidR="00635245" w:rsidRDefault="002F3FCB" w:rsidP="00257BC6">
      <w:pPr>
        <w:pStyle w:val="Numberedparagraph"/>
      </w:pPr>
      <w:r>
        <w:t xml:space="preserve">M.2059 presented the basic parameters for </w:t>
      </w:r>
      <w:r w:rsidR="00C72270">
        <w:t>some</w:t>
      </w:r>
      <w:r>
        <w:t xml:space="preserve"> anonymised RAs to be able to develop interference protection criteria for the overload, desensitisation and false altitude report mechanisms.</w:t>
      </w:r>
      <w:r w:rsidR="00667D56">
        <w:t xml:space="preserve"> Other assumptions would still need to be made such as the out of band performance of the RA antenna, the loop loss, any additional safety margins.</w:t>
      </w:r>
    </w:p>
    <w:p w14:paraId="19A351CC" w14:textId="42C91C72" w:rsidR="00667D56" w:rsidRDefault="00667D56" w:rsidP="00257BC6">
      <w:pPr>
        <w:pStyle w:val="Numberedparagraph"/>
      </w:pPr>
      <w:r>
        <w:t xml:space="preserve">M.2059 includes </w:t>
      </w:r>
      <w:r w:rsidR="0065748A">
        <w:t xml:space="preserve">Table </w:t>
      </w:r>
      <w:r>
        <w:t xml:space="preserve">3 describing the RF selectivity for </w:t>
      </w:r>
      <w:r w:rsidR="00D4562C">
        <w:t>RAs</w:t>
      </w:r>
      <w:r>
        <w:t xml:space="preserve"> to be used in sharing studies. These characteristics are noted to offer poor selectivity for WBB systems in the adjacent 3700-4000 MHz band.</w:t>
      </w:r>
    </w:p>
    <w:p w14:paraId="70950088" w14:textId="38551EB3" w:rsidR="00667D56" w:rsidRPr="00444F6D" w:rsidRDefault="00667D56" w:rsidP="00257BC6">
      <w:pPr>
        <w:pStyle w:val="Numberedparagraph"/>
      </w:pPr>
      <w:r>
        <w:t xml:space="preserve">The characteristics of RA models listed in </w:t>
      </w:r>
      <w:r w:rsidR="0065748A">
        <w:t xml:space="preserve">Tables </w:t>
      </w:r>
      <w:r>
        <w:t>1 and 2 indicate a high degree of variability in the important receiver overload and receiver sensitivity parameters.</w:t>
      </w:r>
    </w:p>
    <w:p w14:paraId="6590DDBF" w14:textId="77777777" w:rsidR="0069032C" w:rsidRDefault="0069032C" w:rsidP="0069032C">
      <w:pPr>
        <w:pStyle w:val="Heading4"/>
      </w:pPr>
      <w:r>
        <w:t>Black box testing</w:t>
      </w:r>
    </w:p>
    <w:p w14:paraId="2A94F650" w14:textId="2B6A8160" w:rsidR="00567B20" w:rsidRDefault="00567B20" w:rsidP="0069032C">
      <w:pPr>
        <w:pStyle w:val="Numberedparagraph"/>
      </w:pPr>
      <w:r>
        <w:t xml:space="preserve">The AVSI conducted black box lab testing for the RTCA.  The results can be found in the links contained in the </w:t>
      </w:r>
      <w:r w:rsidRPr="00D379F3">
        <w:rPr>
          <w:i/>
          <w:iCs/>
        </w:rPr>
        <w:fldChar w:fldCharType="begin"/>
      </w:r>
      <w:r w:rsidRPr="00D379F3">
        <w:rPr>
          <w:i/>
          <w:iCs/>
        </w:rPr>
        <w:instrText xml:space="preserve"> REF _Ref106284567 \h </w:instrText>
      </w:r>
      <w:r>
        <w:rPr>
          <w:i/>
          <w:iCs/>
        </w:rPr>
        <w:instrText xml:space="preserve"> \* MERGEFORMAT </w:instrText>
      </w:r>
      <w:r w:rsidRPr="00D379F3">
        <w:rPr>
          <w:i/>
          <w:iCs/>
        </w:rPr>
      </w:r>
      <w:r w:rsidRPr="00D379F3">
        <w:rPr>
          <w:i/>
          <w:iCs/>
        </w:rPr>
        <w:fldChar w:fldCharType="separate"/>
      </w:r>
      <w:r w:rsidR="009C0E98" w:rsidRPr="00695A13">
        <w:rPr>
          <w:i/>
          <w:iCs/>
        </w:rPr>
        <w:t>RTCA</w:t>
      </w:r>
      <w:r w:rsidRPr="00D379F3">
        <w:rPr>
          <w:i/>
          <w:iCs/>
        </w:rPr>
        <w:fldChar w:fldCharType="end"/>
      </w:r>
      <w:r>
        <w:rPr>
          <w:i/>
          <w:iCs/>
        </w:rPr>
        <w:t xml:space="preserve"> </w:t>
      </w:r>
      <w:r>
        <w:t>part of the coexistence evaluation section of this paper.</w:t>
      </w:r>
    </w:p>
    <w:p w14:paraId="062F7DE4" w14:textId="531CCA4A" w:rsidR="00567B20" w:rsidRDefault="00567B20" w:rsidP="00567B20">
      <w:pPr>
        <w:pStyle w:val="Numberedparagraph"/>
        <w:numPr>
          <w:ilvl w:val="0"/>
          <w:numId w:val="0"/>
        </w:numPr>
      </w:pPr>
      <w:r>
        <w:t>As can be observed from, and was noted in</w:t>
      </w:r>
      <w:r w:rsidR="00DC6FC9">
        <w:t>,</w:t>
      </w:r>
      <w:r>
        <w:t xml:space="preserve"> the AVSI results, there is:</w:t>
      </w:r>
    </w:p>
    <w:p w14:paraId="32CA22D7" w14:textId="487E35BC" w:rsidR="00567B20" w:rsidRDefault="00567B20" w:rsidP="00567B20">
      <w:pPr>
        <w:pStyle w:val="Numberedparagraph"/>
        <w:numPr>
          <w:ilvl w:val="0"/>
          <w:numId w:val="48"/>
        </w:numPr>
      </w:pPr>
      <w:r>
        <w:t>A high degree in the variation of performance between different RA models</w:t>
      </w:r>
    </w:p>
    <w:p w14:paraId="2CE050F4" w14:textId="40B5F074" w:rsidR="00567B20" w:rsidRDefault="00567B20" w:rsidP="00567B20">
      <w:pPr>
        <w:pStyle w:val="Numberedparagraph"/>
        <w:numPr>
          <w:ilvl w:val="0"/>
          <w:numId w:val="48"/>
        </w:numPr>
      </w:pPr>
      <w:r>
        <w:t>A degree of variation between different examples of the same RA model</w:t>
      </w:r>
    </w:p>
    <w:p w14:paraId="1ED65D85" w14:textId="1D71CB9C" w:rsidR="00567B20" w:rsidRDefault="00567B20" w:rsidP="00567B20">
      <w:pPr>
        <w:pStyle w:val="Numberedparagraph"/>
        <w:numPr>
          <w:ilvl w:val="0"/>
          <w:numId w:val="48"/>
        </w:numPr>
      </w:pPr>
      <w:r>
        <w:t xml:space="preserve">A degree of variation </w:t>
      </w:r>
      <w:r w:rsidR="00361EF0">
        <w:t>with</w:t>
      </w:r>
      <w:r>
        <w:t xml:space="preserve"> temperature in a RA model</w:t>
      </w:r>
    </w:p>
    <w:p w14:paraId="38B4DBA5" w14:textId="12895379" w:rsidR="00567B20" w:rsidRDefault="00567B20" w:rsidP="00D379F3">
      <w:pPr>
        <w:pStyle w:val="Numberedparagraph"/>
        <w:numPr>
          <w:ilvl w:val="0"/>
          <w:numId w:val="0"/>
        </w:numPr>
      </w:pPr>
      <w:r>
        <w:t xml:space="preserve">The RTCA, when collating the characteristics into usage category groups for the purpose of determining Interference Tolerance </w:t>
      </w:r>
      <w:r w:rsidR="00DC6FC9">
        <w:t xml:space="preserve">Masks </w:t>
      </w:r>
      <w:r w:rsidR="00862F60">
        <w:t xml:space="preserve">(ITMs) </w:t>
      </w:r>
      <w:r>
        <w:t>from WBB services, took a specific approach by applying additional safety factors to cover the variability in performance.</w:t>
      </w:r>
    </w:p>
    <w:p w14:paraId="3730CF2A" w14:textId="00111713" w:rsidR="0069032C" w:rsidRDefault="00862F60" w:rsidP="0069032C">
      <w:pPr>
        <w:pStyle w:val="Numberedparagraph"/>
      </w:pPr>
      <w:r>
        <w:t>As noted, the RTCA report grouped different RA models into specific aircraft use cases (usage categories I, II, and III</w:t>
      </w:r>
      <w:r w:rsidR="0099775E">
        <w:rPr>
          <w:rStyle w:val="FootnoteReference"/>
        </w:rPr>
        <w:footnoteReference w:id="14"/>
      </w:r>
      <w:r>
        <w:t xml:space="preserve">) where they were used. The ITMs were then determined for each usage category.  It is not known if the specific grouping of RA models into </w:t>
      </w:r>
      <w:r w:rsidR="00361EF0">
        <w:t xml:space="preserve">the </w:t>
      </w:r>
      <w:r>
        <w:t xml:space="preserve">use cases can apply to the Australian </w:t>
      </w:r>
      <w:r w:rsidR="00361EF0">
        <w:t xml:space="preserve">aircraft </w:t>
      </w:r>
      <w:r>
        <w:t xml:space="preserve">context or if the </w:t>
      </w:r>
      <w:r w:rsidR="00D513E0">
        <w:t>usage categories</w:t>
      </w:r>
      <w:r>
        <w:t xml:space="preserve"> themselves are directly comparable for Australian operations.</w:t>
      </w:r>
    </w:p>
    <w:p w14:paraId="65BB2B44" w14:textId="50EBF6E1" w:rsidR="0099775E" w:rsidRDefault="0096523C" w:rsidP="0069032C">
      <w:pPr>
        <w:pStyle w:val="Numberedparagraph"/>
      </w:pPr>
      <w:r>
        <w:t xml:space="preserve">Japan </w:t>
      </w:r>
      <w:r w:rsidR="0096018E">
        <w:t xml:space="preserve">also </w:t>
      </w:r>
      <w:r>
        <w:t xml:space="preserve">conducted </w:t>
      </w:r>
      <w:r w:rsidR="0096018E">
        <w:t xml:space="preserve">initial </w:t>
      </w:r>
      <w:r>
        <w:t xml:space="preserve">limited testing of two pulsed (rather than FM-CW) RAs of the same model and was </w:t>
      </w:r>
      <w:hyperlink r:id="rId107" w:history="1">
        <w:r w:rsidRPr="0096523C">
          <w:rPr>
            <w:rStyle w:val="Hyperlink"/>
          </w:rPr>
          <w:t>presented</w:t>
        </w:r>
      </w:hyperlink>
      <w:r>
        <w:t xml:space="preserve"> at the ICAO FSMP WG-12 meeting. It confirmed the results measured by the Japanese MIC. It concluded that the </w:t>
      </w:r>
      <w:r w:rsidRPr="0096523C">
        <w:t>minimum interference threshold values for the in-band and the out-band interference test are −57.7 dBm</w:t>
      </w:r>
      <w:r>
        <w:t>/MHz</w:t>
      </w:r>
      <w:r w:rsidRPr="0096523C">
        <w:t xml:space="preserve"> and −86.8 dBm/MHz, respectively</w:t>
      </w:r>
      <w:r>
        <w:t>. Future tests, includ</w:t>
      </w:r>
      <w:r w:rsidR="004D65DC">
        <w:t>ing on</w:t>
      </w:r>
      <w:r>
        <w:t xml:space="preserve"> several FMCW RAs were proposed.</w:t>
      </w:r>
    </w:p>
    <w:p w14:paraId="45A3BE64" w14:textId="6E6E9466" w:rsidR="0096018E" w:rsidRDefault="0096018E" w:rsidP="0069032C">
      <w:pPr>
        <w:pStyle w:val="Numberedparagraph"/>
      </w:pPr>
      <w:r>
        <w:t xml:space="preserve">As per the studies section, the Japan ENRI also conducted black box </w:t>
      </w:r>
      <w:hyperlink r:id="rId108" w:history="1">
        <w:r w:rsidRPr="003945FC">
          <w:rPr>
            <w:rStyle w:val="Hyperlink"/>
          </w:rPr>
          <w:t>testing</w:t>
        </w:r>
      </w:hyperlink>
      <w:r>
        <w:t xml:space="preserve"> on a range of radio altimeters, grouping them into two use cases.</w:t>
      </w:r>
      <w:r w:rsidR="009F1AA4">
        <w:t xml:space="preserve"> They concluded generally good alignment with the RTCA/AVSI ITMs.</w:t>
      </w:r>
    </w:p>
    <w:p w14:paraId="234003AB" w14:textId="5D2B4A3F" w:rsidR="002C70B4" w:rsidRDefault="002C70B4" w:rsidP="0069032C">
      <w:pPr>
        <w:pStyle w:val="Numberedparagraph"/>
      </w:pPr>
      <w:r>
        <w:t>Lab testing has also been conducted by ISED in Canada, but results are not yet publicly available.</w:t>
      </w:r>
    </w:p>
    <w:p w14:paraId="66884CEF" w14:textId="77777777" w:rsidR="0069032C" w:rsidRPr="00681CCB" w:rsidRDefault="0069032C" w:rsidP="0069032C">
      <w:pPr>
        <w:pStyle w:val="Heading4"/>
      </w:pPr>
      <w:r>
        <w:t>Comments/observations/comparisons</w:t>
      </w:r>
    </w:p>
    <w:p w14:paraId="57BE632A" w14:textId="39541396" w:rsidR="0069032C" w:rsidRDefault="00235D7A" w:rsidP="0069032C">
      <w:pPr>
        <w:pStyle w:val="Numberedparagraph"/>
      </w:pPr>
      <w:r>
        <w:t xml:space="preserve">From examining data on RA </w:t>
      </w:r>
      <w:r w:rsidR="00361EF0">
        <w:t>performance,</w:t>
      </w:r>
      <w:r>
        <w:t xml:space="preserve"> it is apparent that performance in terms of RF </w:t>
      </w:r>
      <w:r w:rsidR="00635245">
        <w:t>susceptibility</w:t>
      </w:r>
      <w:r>
        <w:t xml:space="preserve"> </w:t>
      </w:r>
      <w:r w:rsidR="00635245">
        <w:t>is highly variable between different models.</w:t>
      </w:r>
    </w:p>
    <w:p w14:paraId="3FFFC6BB" w14:textId="172D58A7" w:rsidR="00361EF0" w:rsidRDefault="00361EF0" w:rsidP="00077BB0">
      <w:pPr>
        <w:pStyle w:val="Numberedparagraph"/>
      </w:pPr>
      <w:r>
        <w:t xml:space="preserve">Studies based on the </w:t>
      </w:r>
      <w:r w:rsidR="00041274">
        <w:t>worst-case</w:t>
      </w:r>
      <w:r>
        <w:t xml:space="preserve"> M.2059 RA are likely to be more conservative than those using RTCA usage category I ITMs as the latter RAs perform better than the worst M.2059 RA.</w:t>
      </w:r>
      <w:r w:rsidR="00A62459">
        <w:t xml:space="preserve"> </w:t>
      </w:r>
    </w:p>
    <w:p w14:paraId="39AAC338" w14:textId="77777777" w:rsidR="00DC6810" w:rsidRDefault="00DC6810" w:rsidP="00DC6810">
      <w:pPr>
        <w:pStyle w:val="Heading2"/>
      </w:pPr>
      <w:bookmarkStart w:id="74" w:name="_Toc116041899"/>
      <w:r>
        <w:t>Future RA Performance</w:t>
      </w:r>
      <w:bookmarkEnd w:id="74"/>
    </w:p>
    <w:p w14:paraId="671020B8" w14:textId="50A1B06C" w:rsidR="00DC6810" w:rsidRDefault="00DC6810" w:rsidP="00DC6810">
      <w:pPr>
        <w:pStyle w:val="Numberedparagraph"/>
      </w:pPr>
      <w:r>
        <w:t xml:space="preserve">It has been acknowledged by the aviation industry </w:t>
      </w:r>
      <w:r>
        <w:rPr>
          <w:rStyle w:val="FootnoteReference"/>
        </w:rPr>
        <w:footnoteReference w:id="15"/>
      </w:r>
      <w:r>
        <w:t xml:space="preserve">that the current standard for the performance of </w:t>
      </w:r>
      <w:r w:rsidR="00D4562C">
        <w:t>RAs</w:t>
      </w:r>
      <w:r>
        <w:t xml:space="preserve"> (e.g. DO-155 </w:t>
      </w:r>
      <w:r w:rsidR="003447EC">
        <w:t>and Eurocae</w:t>
      </w:r>
      <w:r>
        <w:t xml:space="preserve"> ED 30) were developed many years ago (1974, 1980) when the RF environment in 3400-4200 MHz was much quieter than today, and were not focussed on protecting the altimeter receivers from strong RF signals.</w:t>
      </w:r>
    </w:p>
    <w:p w14:paraId="70C429D4" w14:textId="65FA0369" w:rsidR="00DC6810" w:rsidRDefault="009A4EEE" w:rsidP="00DC6810">
      <w:pPr>
        <w:pStyle w:val="Heading4"/>
      </w:pPr>
      <w:r>
        <w:t>Proposed</w:t>
      </w:r>
      <w:r w:rsidR="00DC6810">
        <w:t xml:space="preserve"> new </w:t>
      </w:r>
      <w:r>
        <w:t xml:space="preserve">RA </w:t>
      </w:r>
      <w:r w:rsidR="00DC6810">
        <w:t>standards</w:t>
      </w:r>
    </w:p>
    <w:p w14:paraId="308594F1" w14:textId="4361CDBA" w:rsidR="00DC6810" w:rsidRDefault="00DC6810" w:rsidP="00DC6810">
      <w:pPr>
        <w:pStyle w:val="Numberedparagraph"/>
      </w:pPr>
      <w:r w:rsidRPr="00DD46D0">
        <w:t xml:space="preserve">As part of the scope of </w:t>
      </w:r>
      <w:hyperlink r:id="rId109" w:history="1">
        <w:r w:rsidRPr="00365135">
          <w:rPr>
            <w:rStyle w:val="Hyperlink"/>
            <w:color w:val="auto"/>
            <w:u w:val="none"/>
          </w:rPr>
          <w:t>SC-239</w:t>
        </w:r>
      </w:hyperlink>
      <w:r w:rsidRPr="00DD46D0">
        <w:t>, the RTCA proposed that DO-155 be redeveloped into DO-155A by September 2022, with Eurocae ED-30A or an equivalent being developed in parallel under EUROCAE WG-119.</w:t>
      </w:r>
    </w:p>
    <w:p w14:paraId="23ECB0BE" w14:textId="35FCC250" w:rsidR="00F224F6" w:rsidRPr="00DD46D0" w:rsidRDefault="00F224F6" w:rsidP="00DC6810">
      <w:pPr>
        <w:pStyle w:val="Numberedparagraph"/>
      </w:pPr>
      <w:r>
        <w:t xml:space="preserve">It is understood that the upgrade to the standard will now be a two-phased approach, with an interim Minimum Operational Performance Standard (MOPS) for December 2022, focussing on improved out of band rejection in an unknown future RF environment with no beam </w:t>
      </w:r>
      <w:r w:rsidR="009A4EEE">
        <w:t xml:space="preserve">directivity limits on WBB, </w:t>
      </w:r>
      <w:r>
        <w:t>and a final MOPS in December 2023</w:t>
      </w:r>
      <w:r w:rsidR="009A4EEE">
        <w:t xml:space="preserve"> which will be a complete re-write and modernisation</w:t>
      </w:r>
      <w:r>
        <w:t>.</w:t>
      </w:r>
    </w:p>
    <w:p w14:paraId="0FAF9CD3" w14:textId="77777777" w:rsidR="00DC6810" w:rsidRPr="00DD46D0" w:rsidRDefault="00DC6810" w:rsidP="00DC6810">
      <w:pPr>
        <w:pStyle w:val="Numberedparagraph"/>
      </w:pPr>
      <w:r w:rsidRPr="00DD46D0">
        <w:t xml:space="preserve">The RTCA also established </w:t>
      </w:r>
      <w:hyperlink r:id="rId110" w:history="1">
        <w:r w:rsidRPr="00365135">
          <w:rPr>
            <w:rStyle w:val="Hyperlink"/>
            <w:color w:val="auto"/>
            <w:u w:val="none"/>
          </w:rPr>
          <w:t>SC-242</w:t>
        </w:r>
      </w:hyperlink>
      <w:r w:rsidRPr="00DD46D0">
        <w:t xml:space="preserve"> in May 2022, to catalogue current spectrum standards for aviation and provide a new spectrum guidance document. </w:t>
      </w:r>
    </w:p>
    <w:p w14:paraId="5F1FF1C3" w14:textId="77777777" w:rsidR="00DC6810" w:rsidRDefault="00DC6810" w:rsidP="00DC6810">
      <w:pPr>
        <w:pStyle w:val="Heading4"/>
      </w:pPr>
      <w:r>
        <w:t>Timeframe to implement</w:t>
      </w:r>
    </w:p>
    <w:p w14:paraId="678ABEFF" w14:textId="7FD9AA22" w:rsidR="00DC6810" w:rsidRPr="00DD46D0" w:rsidRDefault="00DC6810" w:rsidP="00DC6810">
      <w:pPr>
        <w:pStyle w:val="Numberedparagraph"/>
      </w:pPr>
      <w:r w:rsidRPr="00DD46D0">
        <w:t xml:space="preserve">Advice from the aviation industry is that, given typical life-of-type and change management processes, it would take </w:t>
      </w:r>
      <w:r w:rsidR="00F47C4E">
        <w:t>7-</w:t>
      </w:r>
      <w:r w:rsidRPr="00DD46D0">
        <w:t>10+ years for the implementation of new RAs using a revised standard.</w:t>
      </w:r>
      <w:r>
        <w:t xml:space="preserve"> However, in the USA the FAA </w:t>
      </w:r>
      <w:hyperlink r:id="rId111" w:history="1">
        <w:r w:rsidRPr="00365135">
          <w:rPr>
            <w:rStyle w:val="Hyperlink"/>
          </w:rPr>
          <w:t>expects</w:t>
        </w:r>
      </w:hyperlink>
      <w:r>
        <w:t xml:space="preserve"> retrofitting of </w:t>
      </w:r>
      <w:r w:rsidR="00D673E5">
        <w:t xml:space="preserve">interim </w:t>
      </w:r>
      <w:r>
        <w:t>improved RAs by July 2023.</w:t>
      </w:r>
      <w:r w:rsidR="003447EC">
        <w:t xml:space="preserve"> This is independent of compliance with the revised RA </w:t>
      </w:r>
      <w:r w:rsidR="00D74C18">
        <w:t>MOPS</w:t>
      </w:r>
      <w:r w:rsidR="003447EC">
        <w:t>.</w:t>
      </w:r>
    </w:p>
    <w:p w14:paraId="50CE31D3" w14:textId="77777777" w:rsidR="00DC6810" w:rsidRDefault="00DC6810" w:rsidP="00DC6810">
      <w:pPr>
        <w:pStyle w:val="Heading4"/>
      </w:pPr>
      <w:r>
        <w:t>Risks associated with new standards being developed within the current deployed WBB environment</w:t>
      </w:r>
    </w:p>
    <w:p w14:paraId="115A48CB" w14:textId="2D4D68BD" w:rsidR="00DC6810" w:rsidRPr="00DD46D0" w:rsidRDefault="00DC6810" w:rsidP="00DC6810">
      <w:pPr>
        <w:pStyle w:val="Numberedparagraph"/>
      </w:pPr>
      <w:r w:rsidRPr="00DD46D0">
        <w:t xml:space="preserve">Any new standard </w:t>
      </w:r>
      <w:r w:rsidR="00447E71">
        <w:t>may</w:t>
      </w:r>
      <w:r w:rsidRPr="00DD46D0">
        <w:t xml:space="preserve"> need to make certain assumptions about the </w:t>
      </w:r>
      <w:r w:rsidR="00BF0CA9">
        <w:t>spectrum</w:t>
      </w:r>
      <w:r w:rsidR="00BF0CA9" w:rsidRPr="00DD46D0">
        <w:t xml:space="preserve"> </w:t>
      </w:r>
      <w:r w:rsidRPr="00DD46D0">
        <w:t xml:space="preserve">environment in which the RAs should be designed and/or certified to operate within.  If the new standard being developed assumes a certain </w:t>
      </w:r>
      <w:r w:rsidR="00BF0CA9">
        <w:t>spectrum</w:t>
      </w:r>
      <w:r w:rsidR="00BF0CA9" w:rsidRPr="00DD46D0">
        <w:t xml:space="preserve"> </w:t>
      </w:r>
      <w:r w:rsidRPr="00DD46D0">
        <w:t>environment that either assumes some mitigations or deployments which are not representative, then the risk is that mitigations will still be required well into the future even for new equipment.</w:t>
      </w:r>
    </w:p>
    <w:p w14:paraId="4FA73EC1" w14:textId="727C881A" w:rsidR="00DC6810" w:rsidRPr="009D33B1" w:rsidRDefault="00DC6810" w:rsidP="00DC6810">
      <w:pPr>
        <w:pStyle w:val="Numberedparagraph"/>
      </w:pPr>
      <w:r w:rsidRPr="00DD46D0">
        <w:t xml:space="preserve">The </w:t>
      </w:r>
      <w:hyperlink r:id="rId112" w:history="1">
        <w:r w:rsidRPr="00365135">
          <w:rPr>
            <w:rStyle w:val="Hyperlink"/>
            <w:color w:val="auto"/>
            <w:u w:val="none"/>
          </w:rPr>
          <w:t>minutes</w:t>
        </w:r>
      </w:hyperlink>
      <w:r w:rsidRPr="00DD46D0">
        <w:t xml:space="preserve"> of the RTCA SC-239 meeting of March 2022 indicated that there was an acknowledgement that if “BS equipment here is better than its spec, we are now committing to specs that are anticipated to be met worldwide” so we need to have a standard for worldwide usage“.</w:t>
      </w:r>
      <w:r w:rsidR="00E4296F">
        <w:t xml:space="preserve"> </w:t>
      </w:r>
      <w:r w:rsidR="00E4296F" w:rsidRPr="00257BC6">
        <w:t>No more recent minutes have yet been made publicly available, but it is understood the standard is now targeting the “best possible” RA performance</w:t>
      </w:r>
      <w:r w:rsidR="00E10871" w:rsidRPr="00257BC6">
        <w:t xml:space="preserve"> regarding out-of-band rejection</w:t>
      </w:r>
      <w:r w:rsidR="00E4296F" w:rsidRPr="00257BC6">
        <w:t>.</w:t>
      </w:r>
    </w:p>
    <w:p w14:paraId="5E1F55FE" w14:textId="64C708B2" w:rsidR="00DC6810" w:rsidRPr="00DD46D0" w:rsidRDefault="000D2E79" w:rsidP="00DC6810">
      <w:pPr>
        <w:pStyle w:val="Numberedparagraph"/>
      </w:pPr>
      <w:r>
        <w:t xml:space="preserve">As per the relevant part of the </w:t>
      </w:r>
      <w:r w:rsidRPr="00077BB0">
        <w:rPr>
          <w:i/>
          <w:iCs/>
        </w:rPr>
        <w:t xml:space="preserve">Appendix C: International </w:t>
      </w:r>
      <w:r w:rsidR="001702CC">
        <w:rPr>
          <w:i/>
          <w:iCs/>
        </w:rPr>
        <w:t>d</w:t>
      </w:r>
      <w:r w:rsidRPr="00077BB0">
        <w:rPr>
          <w:i/>
          <w:iCs/>
        </w:rPr>
        <w:t xml:space="preserve">evelopments and </w:t>
      </w:r>
      <w:r w:rsidR="001702CC">
        <w:rPr>
          <w:i/>
          <w:iCs/>
        </w:rPr>
        <w:t>a</w:t>
      </w:r>
      <w:r w:rsidRPr="00077BB0">
        <w:rPr>
          <w:i/>
          <w:iCs/>
        </w:rPr>
        <w:t>pproaches</w:t>
      </w:r>
      <w:r w:rsidR="00DC6810" w:rsidRPr="00DD46D0">
        <w:t xml:space="preserve">, through the ECC PT1 work item on the issue, that PT1 were tasked with developing “long term MFCN parameters for MOPS” to be able to provide deployment WBB parameter input into the new RA standard. </w:t>
      </w:r>
      <w:r>
        <w:t>It recognise</w:t>
      </w:r>
      <w:r w:rsidR="0004284B">
        <w:t>d</w:t>
      </w:r>
      <w:r>
        <w:t xml:space="preserve"> that there is a need to ensure the new standards a</w:t>
      </w:r>
      <w:r w:rsidRPr="000D2E79">
        <w:t>re more compatible with current and future use of spectrum in adjacent frequency bands</w:t>
      </w:r>
      <w:r w:rsidR="00DC6810" w:rsidRPr="00DD46D0">
        <w:t>.</w:t>
      </w:r>
    </w:p>
    <w:p w14:paraId="318E821A" w14:textId="7CE6279A" w:rsidR="0069032C" w:rsidRDefault="0069032C">
      <w:pPr>
        <w:pStyle w:val="Heading1"/>
      </w:pPr>
      <w:bookmarkStart w:id="75" w:name="_Toc113969902"/>
      <w:bookmarkStart w:id="76" w:name="_Toc113970149"/>
      <w:bookmarkStart w:id="77" w:name="_Toc113972275"/>
      <w:bookmarkStart w:id="78" w:name="_Toc113972471"/>
      <w:bookmarkStart w:id="79" w:name="_Toc115343769"/>
      <w:bookmarkStart w:id="80" w:name="_Toc115780680"/>
      <w:bookmarkStart w:id="81" w:name="_Toc115856153"/>
      <w:bookmarkStart w:id="82" w:name="_Toc115859190"/>
      <w:bookmarkStart w:id="83" w:name="_Toc115978483"/>
      <w:bookmarkStart w:id="84" w:name="_Ref106176110"/>
      <w:bookmarkStart w:id="85" w:name="_Ref106176518"/>
      <w:bookmarkStart w:id="86" w:name="_Ref106278740"/>
      <w:bookmarkStart w:id="87" w:name="_Toc116041900"/>
      <w:bookmarkEnd w:id="75"/>
      <w:bookmarkEnd w:id="76"/>
      <w:bookmarkEnd w:id="77"/>
      <w:bookmarkEnd w:id="78"/>
      <w:bookmarkEnd w:id="79"/>
      <w:bookmarkEnd w:id="80"/>
      <w:bookmarkEnd w:id="81"/>
      <w:bookmarkEnd w:id="82"/>
      <w:bookmarkEnd w:id="83"/>
      <w:r>
        <w:t xml:space="preserve">Appendix </w:t>
      </w:r>
      <w:r w:rsidR="00836799">
        <w:t>C</w:t>
      </w:r>
      <w:r>
        <w:t xml:space="preserve">: International </w:t>
      </w:r>
      <w:r w:rsidR="00DD7A73">
        <w:t>d</w:t>
      </w:r>
      <w:r>
        <w:t>evelopments</w:t>
      </w:r>
      <w:bookmarkEnd w:id="84"/>
      <w:bookmarkEnd w:id="85"/>
      <w:r>
        <w:t xml:space="preserve"> </w:t>
      </w:r>
      <w:r w:rsidR="00B82909">
        <w:t>and approaches</w:t>
      </w:r>
      <w:bookmarkEnd w:id="86"/>
      <w:bookmarkEnd w:id="87"/>
    </w:p>
    <w:p w14:paraId="442B36FA" w14:textId="23F1295E" w:rsidR="0069032C" w:rsidRPr="00B73F64" w:rsidRDefault="004D4DBA" w:rsidP="0069032C">
      <w:pPr>
        <w:pStyle w:val="Numberedparagraph"/>
      </w:pPr>
      <w:r>
        <w:t xml:space="preserve">The ICAO </w:t>
      </w:r>
      <w:hyperlink r:id="rId113" w:history="1">
        <w:r w:rsidRPr="004D4DBA">
          <w:rPr>
            <w:rStyle w:val="Hyperlink"/>
          </w:rPr>
          <w:t>FSMP</w:t>
        </w:r>
      </w:hyperlink>
      <w:r>
        <w:t xml:space="preserve"> has also been updating </w:t>
      </w:r>
      <w:r w:rsidR="00D86B3F">
        <w:t>an input</w:t>
      </w:r>
      <w:r>
        <w:t xml:space="preserve"> document</w:t>
      </w:r>
      <w:r w:rsidR="00D86B3F">
        <w:t xml:space="preserve"> at each meeting</w:t>
      </w:r>
      <w:r w:rsidR="005E226D">
        <w:t>,</w:t>
      </w:r>
      <w:r>
        <w:t xml:space="preserve"> summarising the latest </w:t>
      </w:r>
      <w:r w:rsidR="00B82909">
        <w:t xml:space="preserve">international </w:t>
      </w:r>
      <w:r>
        <w:t xml:space="preserve">developments. The latest update is from the </w:t>
      </w:r>
      <w:r w:rsidR="00F50041">
        <w:t xml:space="preserve">September </w:t>
      </w:r>
      <w:r>
        <w:t xml:space="preserve">2022 </w:t>
      </w:r>
      <w:hyperlink r:id="rId114" w:history="1">
        <w:r w:rsidRPr="004D4DBA">
          <w:rPr>
            <w:rStyle w:val="Hyperlink"/>
          </w:rPr>
          <w:t>meeting</w:t>
        </w:r>
      </w:hyperlink>
      <w:r>
        <w:t>.</w:t>
      </w:r>
    </w:p>
    <w:p w14:paraId="48E8EA2A" w14:textId="77777777" w:rsidR="0069032C" w:rsidRDefault="0069032C" w:rsidP="0069032C">
      <w:pPr>
        <w:pStyle w:val="Heading2"/>
      </w:pPr>
      <w:bookmarkStart w:id="88" w:name="_Toc116041901"/>
      <w:bookmarkStart w:id="89" w:name="_Hlk108005530"/>
      <w:r>
        <w:t>USA</w:t>
      </w:r>
      <w:bookmarkEnd w:id="88"/>
    </w:p>
    <w:p w14:paraId="539A59C8" w14:textId="75CCCAA5" w:rsidR="004F560E" w:rsidRDefault="005E5AC1" w:rsidP="0069032C">
      <w:pPr>
        <w:pStyle w:val="Numberedparagraph"/>
      </w:pPr>
      <w:r>
        <w:t>The USA has been undergoing a process to allocate the 3700-3980 MHz</w:t>
      </w:r>
      <w:r w:rsidR="004F560E">
        <w:t xml:space="preserve"> range</w:t>
      </w:r>
      <w:r>
        <w:t xml:space="preserve"> to WBB services under the FCC “</w:t>
      </w:r>
      <w:r w:rsidRPr="005E5AC1">
        <w:t>Expanding Flexible Use of the 3.7 GHz to 4.2 GHz Band</w:t>
      </w:r>
      <w:r>
        <w:t xml:space="preserve">” project. This resulted in </w:t>
      </w:r>
      <w:hyperlink r:id="rId115" w:history="1">
        <w:r w:rsidR="004F560E" w:rsidRPr="004F560E">
          <w:rPr>
            <w:rStyle w:val="Hyperlink"/>
          </w:rPr>
          <w:t>rules</w:t>
        </w:r>
      </w:hyperlink>
      <w:r w:rsidR="004F560E">
        <w:t xml:space="preserve"> being adopted in April 2020</w:t>
      </w:r>
      <w:r>
        <w:t xml:space="preserve"> </w:t>
      </w:r>
      <w:r w:rsidR="004F560E">
        <w:t xml:space="preserve">and a subsequent </w:t>
      </w:r>
      <w:r>
        <w:t xml:space="preserve">spectrum </w:t>
      </w:r>
      <w:hyperlink r:id="rId116" w:history="1">
        <w:r w:rsidRPr="005E5AC1">
          <w:rPr>
            <w:rStyle w:val="Hyperlink"/>
          </w:rPr>
          <w:t>auction</w:t>
        </w:r>
      </w:hyperlink>
      <w:r>
        <w:t xml:space="preserve"> in February 2021. </w:t>
      </w:r>
    </w:p>
    <w:p w14:paraId="243A89A9" w14:textId="751C02CE" w:rsidR="004F560E" w:rsidRDefault="004F560E" w:rsidP="0069032C">
      <w:pPr>
        <w:pStyle w:val="Numberedparagraph"/>
      </w:pPr>
      <w:r>
        <w:t>The original FCC report and order and subsequent Federal rule (see section 9 and paras 366 onwards) considered the “coexistence with aeronautical radionavigation”. At the time</w:t>
      </w:r>
      <w:r w:rsidR="00F5560A">
        <w:t>,</w:t>
      </w:r>
      <w:r>
        <w:t xml:space="preserve"> it considered that the proposed 220 MHz guard band was deemed to be sufficient</w:t>
      </w:r>
      <w:r w:rsidR="00F5560A">
        <w:t>,</w:t>
      </w:r>
      <w:r>
        <w:t xml:space="preserve"> but noted the AVSI submitted work and said that:</w:t>
      </w:r>
    </w:p>
    <w:p w14:paraId="31FA4633" w14:textId="472B24AE" w:rsidR="004F560E" w:rsidRDefault="004F560E" w:rsidP="00077BB0">
      <w:pPr>
        <w:pStyle w:val="Numberedparagraph"/>
        <w:numPr>
          <w:ilvl w:val="0"/>
          <w:numId w:val="0"/>
        </w:numPr>
        <w:ind w:left="284"/>
      </w:pPr>
      <w:r>
        <w:t xml:space="preserve">“Specifically, the technical rules on power and emission limits the Commission sets for the 3.7 GHz Service and the spectral separation of 220 megahertz should offer all due protection to services in the 4.2–4.4 GHz band. The Commission nonetheless agrees with AVSI that further analysis is warranted on why there may even be a potential for some interference given that well-designed equipment should not ordinarily receive any significant interference (let alone harmful interference) given these circumstances.”  </w:t>
      </w:r>
    </w:p>
    <w:p w14:paraId="39D70AE6" w14:textId="51653049" w:rsidR="00C50E5A" w:rsidRDefault="005E5AC1" w:rsidP="0069032C">
      <w:pPr>
        <w:pStyle w:val="Numberedparagraph"/>
      </w:pPr>
      <w:r>
        <w:t>Since then, there has been significant activity in relation to the potential issue of WBB and RA coexistence.</w:t>
      </w:r>
    </w:p>
    <w:p w14:paraId="2A6C3137" w14:textId="79DBB7A6" w:rsidR="0069032C" w:rsidRDefault="00CB0805" w:rsidP="0069032C">
      <w:pPr>
        <w:pStyle w:val="Numberedparagraph"/>
      </w:pPr>
      <w:r>
        <w:t>T</w:t>
      </w:r>
      <w:r w:rsidR="0069032C">
        <w:t xml:space="preserve">here has been ongoing discussion about the RTCA Report 274-20, which was referenced in the 3700-4200 MHz Outcomes paper. Some of the submissions on the issue were shared with the TLG, principally from the Cellular Telecommunications and Internet Association (CTIA) and the Radio Technical Commission for Aeronautics (RTCA). In short, there is no agreement from the CTIA that the RTCA report accurately represents the potential for interference from 5G services into </w:t>
      </w:r>
      <w:r w:rsidR="00D4562C">
        <w:t>RAs</w:t>
      </w:r>
      <w:r w:rsidR="0069032C">
        <w:t>.</w:t>
      </w:r>
    </w:p>
    <w:p w14:paraId="7724647B" w14:textId="35ED751A" w:rsidR="001F47B4" w:rsidRDefault="001F47B4" w:rsidP="0069032C">
      <w:pPr>
        <w:pStyle w:val="Numberedparagraph"/>
      </w:pPr>
      <w:r>
        <w:t xml:space="preserve">Most, but not all, correspondence on the issue can be found on the FCC </w:t>
      </w:r>
      <w:hyperlink r:id="rId117" w:history="1">
        <w:r w:rsidRPr="001F47B4">
          <w:rPr>
            <w:rStyle w:val="Hyperlink"/>
          </w:rPr>
          <w:t>filings</w:t>
        </w:r>
      </w:hyperlink>
      <w:r>
        <w:t xml:space="preserve"> for docket 18-122.</w:t>
      </w:r>
    </w:p>
    <w:p w14:paraId="13A8CA4C" w14:textId="693DFEBA" w:rsidR="0069032C" w:rsidRDefault="0069032C" w:rsidP="0069032C">
      <w:pPr>
        <w:pStyle w:val="Numberedparagraph"/>
      </w:pPr>
      <w:r>
        <w:t>In November 2021, the Federal Aviation Administration (FAA) release</w:t>
      </w:r>
      <w:r w:rsidR="00420267">
        <w:t>d</w:t>
      </w:r>
      <w:r>
        <w:t xml:space="preserve"> a special airworthiness bulletin (SAIB)</w:t>
      </w:r>
      <w:r w:rsidR="00833556">
        <w:t xml:space="preserve"> </w:t>
      </w:r>
      <w:hyperlink r:id="rId118" w:history="1">
        <w:r w:rsidR="00833556" w:rsidRPr="00833556">
          <w:rPr>
            <w:rStyle w:val="Hyperlink"/>
          </w:rPr>
          <w:t>AIR-21-18</w:t>
        </w:r>
      </w:hyperlink>
      <w:r>
        <w:t xml:space="preserve">. In summary, it </w:t>
      </w:r>
      <w:r w:rsidR="00833556">
        <w:t xml:space="preserve">recommended </w:t>
      </w:r>
      <w:r>
        <w:t>that aviation manufacturers and operators provide radio altimeter design, deployment and usage information to federal authorities so that altimeters can be assessed to guide risk assessment of whether further mitigation is warranted above that stated in the SAIB. It requests altimeter and aircraft manufacturers provide information and conduct their own testing to determine appropriate aircraft operational restrictions. Operators are requested to manage passenger electronic devices and potential degradation of radio altimeter capabilities, ahead of a staged WBB deployment from 5 December 2021, initially restricted to 46 markets and to the 3700-3800 MHz range.</w:t>
      </w:r>
    </w:p>
    <w:p w14:paraId="1A296A1F" w14:textId="2075A07B" w:rsidR="00D415A6" w:rsidRDefault="00D415A6" w:rsidP="0069032C">
      <w:pPr>
        <w:pStyle w:val="Numberedparagraph"/>
      </w:pPr>
      <w:r>
        <w:t xml:space="preserve">The various statements </w:t>
      </w:r>
      <w:r w:rsidR="00833556">
        <w:t xml:space="preserve">since </w:t>
      </w:r>
      <w:r>
        <w:t xml:space="preserve">made by the FAA on 5G can be found on a collated </w:t>
      </w:r>
      <w:hyperlink r:id="rId119" w:history="1">
        <w:r w:rsidRPr="00D415A6">
          <w:rPr>
            <w:rStyle w:val="Hyperlink"/>
          </w:rPr>
          <w:t>page</w:t>
        </w:r>
      </w:hyperlink>
      <w:r>
        <w:t xml:space="preserve">, including a link to their 5G and aviation safety </w:t>
      </w:r>
      <w:hyperlink r:id="rId120" w:history="1">
        <w:r w:rsidRPr="00D415A6">
          <w:rPr>
            <w:rStyle w:val="Hyperlink"/>
          </w:rPr>
          <w:t>page</w:t>
        </w:r>
      </w:hyperlink>
      <w:r>
        <w:t>.</w:t>
      </w:r>
    </w:p>
    <w:p w14:paraId="5B9A5A23" w14:textId="66DCFC25" w:rsidR="008F7C4B" w:rsidRDefault="008F7C4B" w:rsidP="0069032C">
      <w:pPr>
        <w:pStyle w:val="Numberedparagraph"/>
      </w:pPr>
      <w:r>
        <w:t xml:space="preserve">The airline pilots association (ALPA) also has a useful </w:t>
      </w:r>
      <w:hyperlink r:id="rId121" w:history="1">
        <w:r w:rsidRPr="008F7C4B">
          <w:rPr>
            <w:rStyle w:val="Hyperlink"/>
          </w:rPr>
          <w:t>history</w:t>
        </w:r>
      </w:hyperlink>
      <w:r w:rsidR="00B82909">
        <w:t xml:space="preserve"> of the issue in the US</w:t>
      </w:r>
      <w:r>
        <w:t>.</w:t>
      </w:r>
    </w:p>
    <w:p w14:paraId="4D658BBE" w14:textId="03AD94AE" w:rsidR="0069032C" w:rsidRDefault="0069032C" w:rsidP="0069032C">
      <w:pPr>
        <w:pStyle w:val="Numberedparagraph"/>
      </w:pPr>
      <w:r>
        <w:t xml:space="preserve">On 4 November 2021, US carriers Verizon and AT&amp;T announced that they would delay their rollouts until 5 January at the request of the Transportation department. On 25 November 2021, they subsequently advised the FCC that they would voluntarily limit 5G base station powers, expiring July </w:t>
      </w:r>
      <w:r w:rsidR="00103F4F">
        <w:t xml:space="preserve">5 </w:t>
      </w:r>
      <w:r>
        <w:t>2022 unless credible evidence to warrant it’s continuation emerges.</w:t>
      </w:r>
    </w:p>
    <w:p w14:paraId="4BAED276" w14:textId="77777777" w:rsidR="0069032C" w:rsidRDefault="0069032C" w:rsidP="0069032C">
      <w:pPr>
        <w:pStyle w:val="Numberedparagraph"/>
      </w:pPr>
      <w:r>
        <w:t>The temporary limits were:</w:t>
      </w:r>
    </w:p>
    <w:p w14:paraId="0CCCDBED" w14:textId="77777777" w:rsidR="0069032C" w:rsidRDefault="0069032C" w:rsidP="0069032C">
      <w:pPr>
        <w:pStyle w:val="Numberedparagraph"/>
        <w:numPr>
          <w:ilvl w:val="2"/>
          <w:numId w:val="13"/>
        </w:numPr>
      </w:pPr>
      <w:r>
        <w:t>limiting base station effective isotropic radiated power (EIRP) to no more than the lesser of: (a) 62 dBm/MHz or (b) 48 + 20 × log10(1/sin(Ɵ)) dBm/MHz, where Ɵ is the elevation angle above the horizontal plane of the base station antenna.</w:t>
      </w:r>
    </w:p>
    <w:p w14:paraId="2A1DCB85" w14:textId="77777777" w:rsidR="0069032C" w:rsidRDefault="0069032C" w:rsidP="0069032C">
      <w:pPr>
        <w:pStyle w:val="Numberedparagraph"/>
        <w:numPr>
          <w:ilvl w:val="2"/>
          <w:numId w:val="13"/>
        </w:numPr>
      </w:pPr>
      <w:r>
        <w:t>A series of limits near public airports with paved runways and heliports:</w:t>
      </w:r>
    </w:p>
    <w:p w14:paraId="54157E8A" w14:textId="77777777" w:rsidR="0069032C" w:rsidRDefault="0069032C" w:rsidP="0069032C">
      <w:pPr>
        <w:pStyle w:val="Numberedparagraph"/>
        <w:numPr>
          <w:ilvl w:val="3"/>
          <w:numId w:val="13"/>
        </w:numPr>
      </w:pPr>
      <w:r>
        <w:t>Limit C-band power flux density (PFD) to a maximum of -30 dBW/m2 /MHz within the horizontal plane surface 300 feet above the established airport elevation described by swinging arcs of 1 nautical mile (6,076 feet) radius from the centre of each end of the primary surface of each paved runway and connecting the adjacent arcs by lines tangent to those arcs.</w:t>
      </w:r>
    </w:p>
    <w:p w14:paraId="57A44A13" w14:textId="77777777" w:rsidR="0069032C" w:rsidRDefault="0069032C" w:rsidP="0069032C">
      <w:pPr>
        <w:pStyle w:val="Numberedparagraph"/>
        <w:numPr>
          <w:ilvl w:val="3"/>
          <w:numId w:val="13"/>
        </w:numPr>
      </w:pPr>
      <w:r>
        <w:t xml:space="preserve">Limit C-band PFD to a maximum of -31 dBW/m2 /MHz at the surface of all paved runways, within the boundaries of the runway edges and runway threshold lines. </w:t>
      </w:r>
    </w:p>
    <w:p w14:paraId="54BAA1DA" w14:textId="77777777" w:rsidR="0069032C" w:rsidRDefault="0069032C" w:rsidP="0069032C">
      <w:pPr>
        <w:pStyle w:val="Numberedparagraph"/>
        <w:numPr>
          <w:ilvl w:val="3"/>
          <w:numId w:val="13"/>
        </w:numPr>
      </w:pPr>
      <w:r>
        <w:t>Limit C-band PFD to a maximum of -19 dBW/m2 /MHz at the surface of all paved aprons and paved taxiways (i.e., movement and non-movement areas).</w:t>
      </w:r>
    </w:p>
    <w:p w14:paraId="16E01811" w14:textId="77777777" w:rsidR="0069032C" w:rsidRDefault="0069032C" w:rsidP="0069032C">
      <w:pPr>
        <w:pStyle w:val="Numberedparagraph"/>
        <w:numPr>
          <w:ilvl w:val="3"/>
          <w:numId w:val="13"/>
        </w:numPr>
      </w:pPr>
      <w:r>
        <w:t xml:space="preserve">Limit C-band EIRP from 5G base stations to no more than 37 dBm/MHz in a rectangular area centered on the runway centerline with a length extending to 1,000 feet beyond the runway threshold at each end of the paved runway, and laterally from the extended centerline, up to and including 600 feet on either side. </w:t>
      </w:r>
    </w:p>
    <w:p w14:paraId="2E07FEEC" w14:textId="77777777" w:rsidR="0069032C" w:rsidRDefault="0069032C" w:rsidP="0069032C">
      <w:pPr>
        <w:pStyle w:val="Numberedparagraph"/>
        <w:numPr>
          <w:ilvl w:val="3"/>
          <w:numId w:val="13"/>
        </w:numPr>
      </w:pPr>
      <w:r>
        <w:t xml:space="preserve">Limit C-band EIRP from 5G base stations to no more than 55 dBm/MHz EIRP in the area from 600 feet laterally up to and including 1,000 feet laterally on either side of the runway centerline extended to 1,000 feet beyond the runway threshold at each end of the runway. </w:t>
      </w:r>
    </w:p>
    <w:p w14:paraId="03CB66CD" w14:textId="77777777" w:rsidR="0069032C" w:rsidRDefault="0069032C" w:rsidP="0069032C">
      <w:pPr>
        <w:pStyle w:val="Numberedparagraph"/>
        <w:numPr>
          <w:ilvl w:val="3"/>
          <w:numId w:val="13"/>
        </w:numPr>
      </w:pPr>
      <w:r>
        <w:t xml:space="preserve">Base stations within the Final Approach Box (“FAB”), as defined below, at either end of all paved runways, will: </w:t>
      </w:r>
    </w:p>
    <w:p w14:paraId="2D336964" w14:textId="77777777" w:rsidR="0069032C" w:rsidRDefault="0069032C" w:rsidP="0069032C">
      <w:pPr>
        <w:pStyle w:val="Numberedparagraph"/>
        <w:numPr>
          <w:ilvl w:val="4"/>
          <w:numId w:val="13"/>
        </w:numPr>
      </w:pPr>
      <w:r>
        <w:t xml:space="preserve">Use C-band antennas that do not exceed a centerline height equivalent to a 50:1 approach surface above the touchdown zone elevation beginning at the primary surface, where the touchdown zone elevation is the highest elevation along the first 3,000 feet of the runway at that end of the runway and the primary surface is a surface longitudinally centered on a runway that extends 200 feet beyond each end of that runway.29 </w:t>
      </w:r>
    </w:p>
    <w:p w14:paraId="285EED88" w14:textId="77777777" w:rsidR="0069032C" w:rsidRDefault="0069032C" w:rsidP="0069032C">
      <w:pPr>
        <w:pStyle w:val="Numberedparagraph"/>
        <w:numPr>
          <w:ilvl w:val="4"/>
          <w:numId w:val="13"/>
        </w:numPr>
      </w:pPr>
      <w:r>
        <w:t xml:space="preserve">Limit C-band EIRP above the horizon to no more than the lesser of: (a) 62 dBm/MHz or (b) 39 + [0.005788 × (Dm - 305m)] + [20 × log10(1/sin(Ɵ))] dBm/MHz, where Dm is the horizontal distance from the base station to the runway threshold and Ɵ is the elevation angle above the horizontal plane of the base station antenna. </w:t>
      </w:r>
    </w:p>
    <w:p w14:paraId="5CCB49D4" w14:textId="77777777" w:rsidR="0069032C" w:rsidRDefault="0069032C" w:rsidP="0069032C">
      <w:pPr>
        <w:pStyle w:val="Numberedparagraph"/>
        <w:numPr>
          <w:ilvl w:val="4"/>
          <w:numId w:val="13"/>
        </w:numPr>
      </w:pPr>
      <w:r>
        <w:t xml:space="preserve">For purposes of (a) and (b), the FAB is defined as an isoceles trapezoid with its short side (top) orthogonal to the runway centerline (extended beyond the runway threshold), centered on the extended runway centerline, with the top positioned 1,000 feet from the runway threshold away from the runway, with a height of 5,100 feet, and with a long side (bottom) that is 3,772 feet. </w:t>
      </w:r>
    </w:p>
    <w:p w14:paraId="7DDC3888" w14:textId="77777777" w:rsidR="0069032C" w:rsidRDefault="0069032C" w:rsidP="0069032C">
      <w:pPr>
        <w:pStyle w:val="Numberedparagraph"/>
        <w:numPr>
          <w:ilvl w:val="3"/>
          <w:numId w:val="13"/>
        </w:numPr>
      </w:pPr>
      <w:r>
        <w:t>In addition, for all public use Heliports, limit C-band PFD to no more than -16 dBW/m2/MHz on the primary surfaces of helipads.</w:t>
      </w:r>
    </w:p>
    <w:p w14:paraId="0471B68A" w14:textId="7D2158F5" w:rsidR="0069032C" w:rsidRDefault="0069032C" w:rsidP="0069032C">
      <w:pPr>
        <w:pStyle w:val="Numberedparagraph"/>
      </w:pPr>
      <w:r>
        <w:t xml:space="preserve">Subsequent to the Verizon and AT&amp;T letter, the Aerospace Industries Association (AIA) wrote to the FCC on 6 December 2021, with their own proposal for safety measures, considering that the Verizon and AT&amp;T proposals were “inadequate and far too narrow to ensure the safety and economic vitality of the aviation industry”.  It retains some elements of the Verizon/AT&amp;T proposal but adds </w:t>
      </w:r>
      <w:r w:rsidR="00450096">
        <w:t>several</w:t>
      </w:r>
      <w:r>
        <w:t xml:space="preserve"> different elements in order to “preclude the need for an AMOC (Alternate Means of Compliance) and provide compatibility with relevant user category 1 (large air transport / cargo) platforms” (and a subset of Category 2 regional commuter jets/turboprops). </w:t>
      </w:r>
    </w:p>
    <w:p w14:paraId="19748CCC" w14:textId="4C87116E" w:rsidR="0069032C" w:rsidRDefault="00762631" w:rsidP="0069032C">
      <w:pPr>
        <w:pStyle w:val="Numberedparagraph"/>
      </w:pPr>
      <w:r>
        <w:t xml:space="preserve">The AIA approach </w:t>
      </w:r>
      <w:r w:rsidR="0069032C">
        <w:t>defines limits on defined “protected services” and also, to better cater for helicopters, it also modifies the Verizon/AT&amp;T general EIRP limit curve.</w:t>
      </w:r>
    </w:p>
    <w:p w14:paraId="25F0914B" w14:textId="13506194" w:rsidR="00450096" w:rsidRDefault="00450096" w:rsidP="0069032C">
      <w:pPr>
        <w:pStyle w:val="Numberedparagraph"/>
      </w:pPr>
      <w:r>
        <w:t xml:space="preserve">The AIA approach was not accepted and the FAA went on to develop the AMOC approach </w:t>
      </w:r>
      <w:r w:rsidR="00D924AD">
        <w:t>in conjunction with</w:t>
      </w:r>
      <w:r>
        <w:t xml:space="preserve"> buffer zones around </w:t>
      </w:r>
      <w:hyperlink r:id="rId122" w:history="1">
        <w:r w:rsidRPr="00450096">
          <w:rPr>
            <w:rStyle w:val="Hyperlink"/>
          </w:rPr>
          <w:t>50 airports</w:t>
        </w:r>
      </w:hyperlink>
      <w:r>
        <w:t>.</w:t>
      </w:r>
      <w:r w:rsidR="00854AE3">
        <w:t xml:space="preserve"> This included a </w:t>
      </w:r>
      <w:hyperlink r:id="rId123" w:history="1">
        <w:r w:rsidR="00854AE3" w:rsidRPr="00854AE3">
          <w:rPr>
            <w:rStyle w:val="Hyperlink"/>
          </w:rPr>
          <w:t>letter</w:t>
        </w:r>
      </w:hyperlink>
      <w:r w:rsidR="00854AE3">
        <w:t xml:space="preserve"> to AT&amp;T and Verizon which documents the temporary deal.</w:t>
      </w:r>
    </w:p>
    <w:p w14:paraId="54D86488" w14:textId="1CFC14BD" w:rsidR="00985FAD" w:rsidRDefault="00985FAD" w:rsidP="0069032C">
      <w:pPr>
        <w:pStyle w:val="Numberedparagraph"/>
      </w:pPr>
      <w:r>
        <w:t xml:space="preserve">The </w:t>
      </w:r>
      <w:hyperlink r:id="rId124" w:history="1">
        <w:r w:rsidRPr="00985FAD">
          <w:rPr>
            <w:rStyle w:val="Hyperlink"/>
          </w:rPr>
          <w:t>letter</w:t>
        </w:r>
      </w:hyperlink>
      <w:r>
        <w:t xml:space="preserve"> from the licensees to the US Dept of Transportation Secretary of 2 January 2022 details the temporary offer by AT&amp;T and Verizon.</w:t>
      </w:r>
      <w:r w:rsidR="004644BF">
        <w:t xml:space="preserve"> This offer implies that the buffer zones are </w:t>
      </w:r>
      <w:r w:rsidR="00D924AD">
        <w:t>based on that</w:t>
      </w:r>
      <w:r w:rsidR="004644BF">
        <w:t xml:space="preserve"> used in France.</w:t>
      </w:r>
      <w:r w:rsidR="009863B1">
        <w:t xml:space="preserve"> </w:t>
      </w:r>
      <w:r w:rsidR="00D924AD">
        <w:t>The relevant</w:t>
      </w:r>
      <w:r w:rsidR="009863B1">
        <w:t xml:space="preserve"> figure is reproduced below:</w:t>
      </w:r>
    </w:p>
    <w:p w14:paraId="79C51392" w14:textId="397B3F1A" w:rsidR="009863B1" w:rsidRDefault="009863B1" w:rsidP="00077BB0">
      <w:pPr>
        <w:pStyle w:val="Numberedparagraph"/>
        <w:numPr>
          <w:ilvl w:val="0"/>
          <w:numId w:val="0"/>
        </w:numPr>
        <w:ind w:left="-567"/>
        <w:jc w:val="center"/>
      </w:pPr>
      <w:r w:rsidRPr="009863B1">
        <w:rPr>
          <w:noProof/>
        </w:rPr>
        <w:drawing>
          <wp:inline distT="0" distB="0" distL="0" distR="0" wp14:anchorId="48309360" wp14:editId="4733107C">
            <wp:extent cx="5648593" cy="166343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55257" cy="1665392"/>
                    </a:xfrm>
                    <a:prstGeom prst="rect">
                      <a:avLst/>
                    </a:prstGeom>
                  </pic:spPr>
                </pic:pic>
              </a:graphicData>
            </a:graphic>
          </wp:inline>
        </w:drawing>
      </w:r>
    </w:p>
    <w:p w14:paraId="50832578" w14:textId="71A40342" w:rsidR="00D924AD" w:rsidRDefault="00D924AD">
      <w:pPr>
        <w:pStyle w:val="Numberedparagraph"/>
      </w:pPr>
      <w:r>
        <w:t>The US buffer zone approach retains the French exclusion zone (based on 58</w:t>
      </w:r>
      <w:r w:rsidR="001F47B4">
        <w:t> </w:t>
      </w:r>
      <w:r>
        <w:t xml:space="preserve">dBm/MHz general EIRP limit) then uses a </w:t>
      </w:r>
      <w:r w:rsidR="005F3290">
        <w:t>small, restricted</w:t>
      </w:r>
      <w:r>
        <w:t xml:space="preserve"> zone where EIRP is limited to the French example 58 dBm/MHz.  Outside of that </w:t>
      </w:r>
      <w:r w:rsidR="005F3290">
        <w:t>small, restricted</w:t>
      </w:r>
      <w:r>
        <w:t xml:space="preserve"> zone the EIRP limit is </w:t>
      </w:r>
      <w:r w:rsidR="001F47B4">
        <w:t xml:space="preserve">the US general temporary </w:t>
      </w:r>
      <w:r>
        <w:t xml:space="preserve">62dBm/MHz. Consequently, the US buffer zone method aligns with the French exclusion zone </w:t>
      </w:r>
      <w:r w:rsidR="001F47B4">
        <w:t>method</w:t>
      </w:r>
      <w:r>
        <w:t xml:space="preserve"> in part but not the French restricted zone method.  </w:t>
      </w:r>
      <w:r w:rsidRPr="00077BB0">
        <w:rPr>
          <w:i/>
          <w:iCs/>
        </w:rPr>
        <w:fldChar w:fldCharType="begin"/>
      </w:r>
      <w:r w:rsidRPr="00077BB0">
        <w:rPr>
          <w:i/>
          <w:iCs/>
        </w:rPr>
        <w:instrText xml:space="preserve"> REF _Ref106371120 \h </w:instrText>
      </w:r>
      <w:r>
        <w:rPr>
          <w:i/>
          <w:iCs/>
        </w:rPr>
        <w:instrText xml:space="preserve"> \* MERGEFORMAT </w:instrText>
      </w:r>
      <w:r w:rsidRPr="00077BB0">
        <w:rPr>
          <w:i/>
          <w:iCs/>
        </w:rPr>
      </w:r>
      <w:r w:rsidRPr="00077BB0">
        <w:rPr>
          <w:i/>
          <w:iCs/>
        </w:rPr>
        <w:fldChar w:fldCharType="separate"/>
      </w:r>
      <w:r w:rsidR="009C0E98" w:rsidRPr="00695A13">
        <w:rPr>
          <w:i/>
          <w:iCs/>
        </w:rPr>
        <w:t>Appendix D: Development of proposed interim mitigations</w:t>
      </w:r>
      <w:r w:rsidRPr="00077BB0">
        <w:rPr>
          <w:i/>
          <w:iCs/>
        </w:rPr>
        <w:fldChar w:fldCharType="end"/>
      </w:r>
      <w:r>
        <w:t xml:space="preserve"> Goes into detail about the French method for determining exclusion and restricted zone sizes.</w:t>
      </w:r>
    </w:p>
    <w:p w14:paraId="7D2C54E3" w14:textId="33A6F470" w:rsidR="000A36B9" w:rsidRDefault="000A36B9" w:rsidP="00077BB0">
      <w:pPr>
        <w:pStyle w:val="Numberedparagraph"/>
        <w:numPr>
          <w:ilvl w:val="0"/>
          <w:numId w:val="0"/>
        </w:numPr>
      </w:pPr>
    </w:p>
    <w:p w14:paraId="74449264" w14:textId="7FF0B600" w:rsidR="008F7C4B" w:rsidRDefault="008F7C4B" w:rsidP="0069032C">
      <w:pPr>
        <w:pStyle w:val="Numberedparagraph"/>
      </w:pPr>
      <w:r>
        <w:t>As per the ALPA page:</w:t>
      </w:r>
    </w:p>
    <w:p w14:paraId="13183C35" w14:textId="77777777" w:rsidR="008F7C4B" w:rsidRDefault="008F7C4B" w:rsidP="00D379F3">
      <w:pPr>
        <w:pStyle w:val="Numberedparagraph"/>
        <w:numPr>
          <w:ilvl w:val="0"/>
          <w:numId w:val="0"/>
        </w:numPr>
      </w:pPr>
      <w:r>
        <w:t>The FAA has developed a process by which better performing radar altimeters that are able to reject 5G interference can be approved to operate without regard to the AD and NOTAMs. These Alternate Methods of Compliance (AMOC) approvals will be specific to a combination of aircraft model and radar altimeter model.</w:t>
      </w:r>
    </w:p>
    <w:p w14:paraId="29C936CB" w14:textId="77777777" w:rsidR="008F7C4B" w:rsidRDefault="008F7C4B" w:rsidP="00D379F3">
      <w:pPr>
        <w:pStyle w:val="Numberedparagraph"/>
        <w:numPr>
          <w:ilvl w:val="0"/>
          <w:numId w:val="0"/>
        </w:numPr>
      </w:pPr>
      <w:r>
        <w:t>The method of approval will take into consideration the performance of the aircraft/radar altimeter combination, as well as the location and power of the 5G transmitter in the vicinity of the airport. Therefore, the AMOCs are being issued with a list of airports where they are effective.</w:t>
      </w:r>
    </w:p>
    <w:p w14:paraId="0C15419E" w14:textId="77777777" w:rsidR="008F7C4B" w:rsidRDefault="008F7C4B" w:rsidP="00D379F3">
      <w:pPr>
        <w:pStyle w:val="Numberedparagraph"/>
        <w:numPr>
          <w:ilvl w:val="0"/>
          <w:numId w:val="0"/>
        </w:numPr>
      </w:pPr>
      <w:r>
        <w:t>As of 4/25/2022, FAA has approved AMOCs for most airports for radar altimeters installed on Boeing 717, 737, 747, 757, 767, 777, 787, and MD-10/-11; Airbus A220, A300, A310, A319, A320, A321, A330, A340, A350, and A380; Canadair CRJ aircraft; DeHavilland Canada DHC-8; Embraer 120; and ATR-42/-72 aircraft.</w:t>
      </w:r>
    </w:p>
    <w:p w14:paraId="2682F256" w14:textId="7AF927AE" w:rsidR="008F7C4B" w:rsidRDefault="008F7C4B" w:rsidP="008F7C4B">
      <w:pPr>
        <w:pStyle w:val="Numberedparagraph"/>
        <w:numPr>
          <w:ilvl w:val="0"/>
          <w:numId w:val="0"/>
        </w:numPr>
      </w:pPr>
      <w:r>
        <w:t>Embraer 145, 170, 175, 190, and 195 aircraft continue to see significant impacts from 5G AD/NOTAMs in operations.</w:t>
      </w:r>
    </w:p>
    <w:p w14:paraId="583C4D57" w14:textId="26FC4E19" w:rsidR="008F7C4B" w:rsidRDefault="008F7C4B" w:rsidP="00D379F3">
      <w:pPr>
        <w:pStyle w:val="Numberedparagraph"/>
        <w:numPr>
          <w:ilvl w:val="0"/>
          <w:numId w:val="0"/>
        </w:numPr>
      </w:pPr>
      <w:r w:rsidRPr="008F7C4B">
        <w:t>AMOCs are revised each month by FAA and distributed by aircraft manufacturers to their airline customers.</w:t>
      </w:r>
    </w:p>
    <w:p w14:paraId="384CCDA7" w14:textId="52429DE1" w:rsidR="000A36B9" w:rsidRDefault="000A36B9" w:rsidP="000A36B9">
      <w:pPr>
        <w:pStyle w:val="Numberedparagraph"/>
      </w:pPr>
      <w:r>
        <w:t>It is understood</w:t>
      </w:r>
      <w:r w:rsidR="00F25C4D">
        <w:rPr>
          <w:rStyle w:val="FootnoteReference"/>
        </w:rPr>
        <w:footnoteReference w:id="16"/>
      </w:r>
      <w:r w:rsidR="002B2E8B">
        <w:t xml:space="preserve"> </w:t>
      </w:r>
      <w:r>
        <w:t xml:space="preserve">that the FAA went through a series of refinements </w:t>
      </w:r>
      <w:r w:rsidR="00F25C4D">
        <w:t xml:space="preserve">during 2022 </w:t>
      </w:r>
      <w:r>
        <w:t>to the underlying calculations to determine compliance with the AMOC</w:t>
      </w:r>
      <w:r w:rsidR="00F25C4D">
        <w:t>, to improve the accuracy and permit more base station deployments. It is also understood that the AMOC process will be end</w:t>
      </w:r>
      <w:r w:rsidR="00934FE0">
        <w:t>ing</w:t>
      </w:r>
      <w:r w:rsidR="00F25C4D">
        <w:t xml:space="preserve"> in October 22 and then only be applicable to a certain class of radio altimeter.</w:t>
      </w:r>
    </w:p>
    <w:p w14:paraId="274A3E96" w14:textId="542E6AFE" w:rsidR="0069032C" w:rsidRDefault="0069032C" w:rsidP="0069032C">
      <w:pPr>
        <w:pStyle w:val="Numberedparagraph"/>
      </w:pPr>
      <w:r>
        <w:t>The Aerospace Vehicle Systems Institute (AVSI) also released on 6 December 2021 to the FCC a number of documents related to “Derivation of Radar Altimeter Interference Tolerance Masks” that were summarised in the RTCA report. They can be found through the filings for the US C-band project.</w:t>
      </w:r>
      <w:r w:rsidR="00AF5A29">
        <w:t xml:space="preserve"> These have been discussed earlier in this paper.</w:t>
      </w:r>
    </w:p>
    <w:p w14:paraId="13CB6AD8" w14:textId="2B5255DA" w:rsidR="00E865AE" w:rsidRDefault="00E865AE" w:rsidP="0069032C">
      <w:pPr>
        <w:pStyle w:val="Numberedparagraph"/>
      </w:pPr>
      <w:r>
        <w:t>The FAA on June 1</w:t>
      </w:r>
      <w:r w:rsidR="0058200B">
        <w:t>7</w:t>
      </w:r>
      <w:r>
        <w:t xml:space="preserve"> made a </w:t>
      </w:r>
      <w:hyperlink r:id="rId126" w:history="1">
        <w:r w:rsidRPr="00E865AE">
          <w:rPr>
            <w:rStyle w:val="Hyperlink"/>
          </w:rPr>
          <w:t>statement</w:t>
        </w:r>
      </w:hyperlink>
      <w:r>
        <w:t xml:space="preserve"> that they had “</w:t>
      </w:r>
      <w:r w:rsidRPr="00E865AE">
        <w:t>identified a path that will continue to enable aviation and 5G C-band wireless to safely co-exist</w:t>
      </w:r>
      <w:r>
        <w:t>”. This included:</w:t>
      </w:r>
    </w:p>
    <w:p w14:paraId="1E2B859F" w14:textId="3003B942" w:rsidR="00E865AE" w:rsidRDefault="00E865AE" w:rsidP="00E865AE">
      <w:pPr>
        <w:pStyle w:val="Numberedparagraph"/>
        <w:numPr>
          <w:ilvl w:val="2"/>
          <w:numId w:val="13"/>
        </w:numPr>
      </w:pPr>
      <w:r>
        <w:t>Requiring “</w:t>
      </w:r>
      <w:r w:rsidRPr="00E865AE">
        <w:t>operators of regional aircraft with radio altimeters most susceptible to interference to retrofit them with radio frequency filters by the end of 2022.</w:t>
      </w:r>
      <w:r>
        <w:t>”</w:t>
      </w:r>
    </w:p>
    <w:p w14:paraId="19E6DF43" w14:textId="7EBD5FFF" w:rsidR="00FE302A" w:rsidRDefault="00FE302A" w:rsidP="00E865AE">
      <w:pPr>
        <w:pStyle w:val="Numberedparagraph"/>
        <w:numPr>
          <w:ilvl w:val="2"/>
          <w:numId w:val="13"/>
        </w:numPr>
      </w:pPr>
      <w:r>
        <w:t>“</w:t>
      </w:r>
      <w:r w:rsidRPr="00301039">
        <w:t xml:space="preserve">Based on progress achieved during a series of stakeholder roundtable meetings, the wireless companies offered </w:t>
      </w:r>
      <w:r>
        <w:t>…</w:t>
      </w:r>
      <w:r w:rsidRPr="00301039">
        <w:t xml:space="preserve"> to continue with some level of voluntary mitigations for another year</w:t>
      </w:r>
      <w:r>
        <w:t>.”</w:t>
      </w:r>
    </w:p>
    <w:p w14:paraId="36102FDC" w14:textId="4166D806" w:rsidR="00E865AE" w:rsidRDefault="00E865AE" w:rsidP="00365135">
      <w:pPr>
        <w:pStyle w:val="Numberedparagraph"/>
        <w:numPr>
          <w:ilvl w:val="2"/>
          <w:numId w:val="13"/>
        </w:numPr>
      </w:pPr>
      <w:r>
        <w:t>“Airlines and other operators of aircraft equipped with the affected radio altimeters must install filters or other enhancements as soon as possibl</w:t>
      </w:r>
      <w:r w:rsidR="00762631">
        <w:t>e</w:t>
      </w:r>
      <w:r w:rsidR="0058200B">
        <w:t>.</w:t>
      </w:r>
      <w:r w:rsidR="00762631">
        <w:t xml:space="preserve"> </w:t>
      </w:r>
      <w:r>
        <w:t>Filters and replacement units for the mainline commercial fleet should be available on a schedule that would permit the work to be largely completed by July 2023. After that time, the wireless companies expect to operate their networks in urban areas with minimal restrictions.”</w:t>
      </w:r>
    </w:p>
    <w:bookmarkEnd w:id="89"/>
    <w:p w14:paraId="30BAAAC5" w14:textId="2189A6DB" w:rsidR="00301039" w:rsidRPr="00C537FE" w:rsidRDefault="007F357B" w:rsidP="00077BB0">
      <w:pPr>
        <w:pStyle w:val="Numberedparagraph"/>
      </w:pPr>
      <w:r>
        <w:t xml:space="preserve">Subsequent to the FAA statement, the </w:t>
      </w:r>
      <w:r w:rsidRPr="007F357B">
        <w:t>International Air Transport Association (IATA)</w:t>
      </w:r>
      <w:r>
        <w:t xml:space="preserve"> </w:t>
      </w:r>
      <w:hyperlink r:id="rId127" w:history="1">
        <w:r w:rsidRPr="007F357B">
          <w:rPr>
            <w:rStyle w:val="Hyperlink"/>
          </w:rPr>
          <w:t>expressed</w:t>
        </w:r>
      </w:hyperlink>
      <w:r>
        <w:t xml:space="preserve"> strong disappointment with the decision, labelling it “</w:t>
      </w:r>
      <w:r w:rsidRPr="007F357B">
        <w:t>almost impossible to achieve.</w:t>
      </w:r>
      <w:r>
        <w:t>”</w:t>
      </w:r>
    </w:p>
    <w:p w14:paraId="04722616" w14:textId="083AC3DC" w:rsidR="0011460D" w:rsidRDefault="0011460D">
      <w:pPr>
        <w:spacing w:after="0" w:line="240" w:lineRule="auto"/>
        <w:rPr>
          <w:rFonts w:cs="Arial"/>
          <w:b/>
          <w:bCs/>
          <w:iCs/>
          <w:sz w:val="28"/>
          <w:szCs w:val="28"/>
        </w:rPr>
      </w:pPr>
    </w:p>
    <w:p w14:paraId="664FB71D" w14:textId="13216D7E" w:rsidR="0069032C" w:rsidRDefault="0069032C" w:rsidP="0069032C">
      <w:pPr>
        <w:pStyle w:val="Heading2"/>
      </w:pPr>
      <w:bookmarkStart w:id="90" w:name="_Toc116041902"/>
      <w:r>
        <w:t>Japa</w:t>
      </w:r>
      <w:r w:rsidR="00A84446">
        <w:t>n</w:t>
      </w:r>
      <w:bookmarkEnd w:id="90"/>
    </w:p>
    <w:p w14:paraId="7CC4A29C" w14:textId="14CEED1E" w:rsidR="00A84446" w:rsidRDefault="0069032C" w:rsidP="00A84446">
      <w:pPr>
        <w:pStyle w:val="Numberedparagraph"/>
      </w:pPr>
      <w:r>
        <w:t xml:space="preserve">From </w:t>
      </w:r>
      <w:r w:rsidR="00A84446">
        <w:t xml:space="preserve">the </w:t>
      </w:r>
      <w:r>
        <w:t>various references</w:t>
      </w:r>
      <w:r w:rsidR="00A84446">
        <w:t xml:space="preserve"> mentioned in the </w:t>
      </w:r>
      <w:r w:rsidR="00A84446" w:rsidRPr="00D77F80">
        <w:rPr>
          <w:i/>
          <w:iCs/>
        </w:rPr>
        <w:fldChar w:fldCharType="begin"/>
      </w:r>
      <w:r w:rsidR="00A84446" w:rsidRPr="00D77F80">
        <w:rPr>
          <w:i/>
          <w:iCs/>
        </w:rPr>
        <w:instrText xml:space="preserve"> REF _Ref106280008 \h </w:instrText>
      </w:r>
      <w:r w:rsidR="00A84446">
        <w:rPr>
          <w:i/>
          <w:iCs/>
        </w:rPr>
        <w:instrText xml:space="preserve"> \* MERGEFORMAT </w:instrText>
      </w:r>
      <w:r w:rsidR="00A84446" w:rsidRPr="00D77F80">
        <w:rPr>
          <w:i/>
          <w:iCs/>
        </w:rPr>
      </w:r>
      <w:r w:rsidR="00A84446" w:rsidRPr="00D77F80">
        <w:rPr>
          <w:i/>
          <w:iCs/>
        </w:rPr>
        <w:fldChar w:fldCharType="separate"/>
      </w:r>
      <w:r w:rsidR="009C0E98" w:rsidRPr="00695A13">
        <w:rPr>
          <w:i/>
          <w:iCs/>
        </w:rPr>
        <w:t>Coexistence evaluation</w:t>
      </w:r>
      <w:r w:rsidR="00A84446" w:rsidRPr="00D77F80">
        <w:rPr>
          <w:i/>
          <w:iCs/>
        </w:rPr>
        <w:fldChar w:fldCharType="end"/>
      </w:r>
      <w:r w:rsidR="00A84446">
        <w:t xml:space="preserve"> section for Japan studies, it was concluded that the Ministry of Internal Affairs and Communications (MIC) implemented the following mitigations:</w:t>
      </w:r>
    </w:p>
    <w:p w14:paraId="1E79E6E7" w14:textId="75E7863A" w:rsidR="0069032C" w:rsidRDefault="0069032C" w:rsidP="0069032C">
      <w:pPr>
        <w:pStyle w:val="Numberedparagraph"/>
        <w:numPr>
          <w:ilvl w:val="2"/>
          <w:numId w:val="13"/>
        </w:numPr>
      </w:pPr>
      <w:r>
        <w:t>A 100 MHz guard band from the 4200 MHz lower edge of the radio altimeter band.</w:t>
      </w:r>
      <w:r w:rsidR="00A84446">
        <w:t xml:space="preserve"> (</w:t>
      </w:r>
      <w:r w:rsidR="005F5C0B">
        <w:t>i.e.</w:t>
      </w:r>
      <w:r w:rsidR="00A84446">
        <w:t xml:space="preserve"> 4100</w:t>
      </w:r>
      <w:r w:rsidR="001C5F78">
        <w:t>-</w:t>
      </w:r>
      <w:r w:rsidR="00A84446">
        <w:t>4200 MHz)</w:t>
      </w:r>
    </w:p>
    <w:p w14:paraId="459C00BD" w14:textId="558014CE" w:rsidR="0069032C" w:rsidRDefault="0069032C" w:rsidP="0069032C">
      <w:pPr>
        <w:pStyle w:val="Numberedparagraph"/>
        <w:numPr>
          <w:ilvl w:val="2"/>
          <w:numId w:val="13"/>
        </w:numPr>
      </w:pPr>
      <w:r>
        <w:t xml:space="preserve">For stations operating </w:t>
      </w:r>
      <w:r w:rsidR="005F5C0B">
        <w:t xml:space="preserve">in the </w:t>
      </w:r>
      <w:r>
        <w:t xml:space="preserve">100 MHz adjacent to the guard band (4000-4100 </w:t>
      </w:r>
      <w:r w:rsidR="00A84446">
        <w:t>MHz) there</w:t>
      </w:r>
      <w:r>
        <w:t xml:space="preserve"> is a 200 m separation of high power 5G base stations from an aircraft approach route, which is an area of about 1 km separation from an airport</w:t>
      </w:r>
      <w:r w:rsidR="00EB288F">
        <w:t xml:space="preserve"> runway</w:t>
      </w:r>
      <w:r>
        <w:t>.</w:t>
      </w:r>
    </w:p>
    <w:p w14:paraId="0CD51DD1" w14:textId="77777777" w:rsidR="0069032C" w:rsidRDefault="0069032C" w:rsidP="0069032C">
      <w:pPr>
        <w:pStyle w:val="Numberedparagraph"/>
        <w:numPr>
          <w:ilvl w:val="2"/>
          <w:numId w:val="13"/>
        </w:numPr>
      </w:pPr>
      <w:r>
        <w:t>For helicopter aerodromes, 5G base stations should have a separation distance of 50m for macro-cell and 20m for small-cell stations.</w:t>
      </w:r>
    </w:p>
    <w:p w14:paraId="66E59585" w14:textId="77777777" w:rsidR="0069032C" w:rsidRDefault="0069032C" w:rsidP="0069032C">
      <w:pPr>
        <w:pStyle w:val="Numberedparagraph"/>
        <w:numPr>
          <w:ilvl w:val="2"/>
          <w:numId w:val="13"/>
        </w:numPr>
      </w:pPr>
      <w:r>
        <w:t xml:space="preserve">More stringent base station spurious emissions were proposed than typical in 3GPP specifications. For stations between 4000 and 4100 MHz, base stations in this frequency range are required to reduce unwanted emissions into the radio altimeter band to -39 dBm/MHz, or -46 dBm/MHz for base stations with an EIRP of 25 dBm/MHz or less. </w:t>
      </w:r>
    </w:p>
    <w:p w14:paraId="6AAC507F" w14:textId="09FAF360" w:rsidR="00EB288F" w:rsidRDefault="00EB288F" w:rsidP="0069032C">
      <w:pPr>
        <w:pStyle w:val="Numberedparagraph"/>
      </w:pPr>
      <w:r>
        <w:t>Further information from stakeholders in Japan indicates that:</w:t>
      </w:r>
    </w:p>
    <w:p w14:paraId="482DB25C" w14:textId="5D8449DE" w:rsidR="0069032C" w:rsidRDefault="00EB288F" w:rsidP="00EB288F">
      <w:pPr>
        <w:pStyle w:val="Numberedparagraph"/>
        <w:numPr>
          <w:ilvl w:val="2"/>
          <w:numId w:val="13"/>
        </w:numPr>
      </w:pPr>
      <w:r>
        <w:t xml:space="preserve">There is no specific EIRP to protect </w:t>
      </w:r>
      <w:r w:rsidR="00D4562C">
        <w:t>RAs</w:t>
      </w:r>
      <w:r>
        <w:t xml:space="preserve"> but there is an overall EIRP limit of 60.3 dBm/MHz. This is a theoretical limit and actual deployments are likely to be smaller.</w:t>
      </w:r>
    </w:p>
    <w:p w14:paraId="107FB4F3" w14:textId="2D9DD534" w:rsidR="00EB288F" w:rsidRDefault="00EB288F" w:rsidP="00D379F3">
      <w:pPr>
        <w:pStyle w:val="Numberedparagraph"/>
        <w:numPr>
          <w:ilvl w:val="2"/>
          <w:numId w:val="13"/>
        </w:numPr>
      </w:pPr>
      <w:r>
        <w:t>There is no down-tilt requirement.</w:t>
      </w:r>
    </w:p>
    <w:p w14:paraId="1C203EE1" w14:textId="77777777" w:rsidR="0069032C" w:rsidRDefault="0069032C" w:rsidP="0069032C">
      <w:pPr>
        <w:pStyle w:val="Heading2"/>
      </w:pPr>
      <w:bookmarkStart w:id="91" w:name="_Toc116041903"/>
      <w:r>
        <w:t>UK</w:t>
      </w:r>
      <w:bookmarkEnd w:id="91"/>
    </w:p>
    <w:p w14:paraId="02344702" w14:textId="1FD1921D" w:rsidR="00420ACB" w:rsidRDefault="00420ACB" w:rsidP="0069032C">
      <w:pPr>
        <w:pStyle w:val="Numberedparagraph"/>
      </w:pPr>
      <w:r>
        <w:t xml:space="preserve">Ofcom in the UK awarded spectrum in the 3.6-3.8 GHz range in </w:t>
      </w:r>
      <w:hyperlink r:id="rId128" w:history="1">
        <w:r w:rsidRPr="00420ACB">
          <w:rPr>
            <w:rStyle w:val="Hyperlink"/>
          </w:rPr>
          <w:t>2020</w:t>
        </w:r>
      </w:hyperlink>
      <w:r>
        <w:t xml:space="preserve">. Coexistence issues were discussed in a published </w:t>
      </w:r>
      <w:hyperlink r:id="rId129" w:history="1">
        <w:r w:rsidRPr="00420ACB">
          <w:rPr>
            <w:rStyle w:val="Hyperlink"/>
          </w:rPr>
          <w:t>annex</w:t>
        </w:r>
      </w:hyperlink>
      <w:r>
        <w:t xml:space="preserve"> at A8.  The analysis did not </w:t>
      </w:r>
      <w:r w:rsidR="00A84446">
        <w:t>include</w:t>
      </w:r>
      <w:r>
        <w:t xml:space="preserve"> the coexistence with RAs.</w:t>
      </w:r>
      <w:r w:rsidR="00A84446">
        <w:t xml:space="preserve"> Consequently, there were no specific mitigations</w:t>
      </w:r>
    </w:p>
    <w:p w14:paraId="193E9111" w14:textId="796A038A" w:rsidR="00420ACB" w:rsidRDefault="00C9682F" w:rsidP="00420ACB">
      <w:pPr>
        <w:pStyle w:val="Numberedparagraph"/>
        <w:numPr>
          <w:ilvl w:val="0"/>
          <w:numId w:val="0"/>
        </w:numPr>
      </w:pPr>
      <w:r>
        <w:t>Operating parameter limits for deployment in 3.6-3.8 GHz were also in that same annex at A10, with the following relevant maximum mean transmit powers:</w:t>
      </w:r>
    </w:p>
    <w:p w14:paraId="73F7BA9F" w14:textId="77777777" w:rsidR="00C9682F" w:rsidRPr="00D379F3" w:rsidRDefault="00C9682F" w:rsidP="00D379F3">
      <w:pPr>
        <w:pStyle w:val="Numberedparagraph"/>
        <w:numPr>
          <w:ilvl w:val="0"/>
          <w:numId w:val="0"/>
        </w:numPr>
        <w:ind w:left="1080"/>
        <w:rPr>
          <w:u w:val="single"/>
        </w:rPr>
      </w:pPr>
      <w:r w:rsidRPr="00D379F3">
        <w:rPr>
          <w:u w:val="single"/>
        </w:rPr>
        <w:t>Non-AAS base station transmit</w:t>
      </w:r>
    </w:p>
    <w:p w14:paraId="01BF6BF6" w14:textId="77777777" w:rsidR="00C9682F" w:rsidRDefault="00C9682F" w:rsidP="00D379F3">
      <w:pPr>
        <w:pStyle w:val="Numberedparagraph"/>
        <w:numPr>
          <w:ilvl w:val="0"/>
          <w:numId w:val="0"/>
        </w:numPr>
        <w:ind w:left="1080"/>
      </w:pPr>
      <w:r w:rsidRPr="00D379F3">
        <w:rPr>
          <w:u w:val="single"/>
        </w:rPr>
        <w:t>Repeater downlink transmit</w:t>
      </w:r>
    </w:p>
    <w:p w14:paraId="279D7C22" w14:textId="77777777" w:rsidR="00C9682F" w:rsidRDefault="00C9682F" w:rsidP="00D379F3">
      <w:pPr>
        <w:pStyle w:val="Numberedparagraph"/>
        <w:numPr>
          <w:ilvl w:val="0"/>
          <w:numId w:val="0"/>
        </w:numPr>
        <w:ind w:left="1080"/>
      </w:pPr>
      <w:r>
        <w:t xml:space="preserve">65 dBm / 5 MHz EIRP per cell </w:t>
      </w:r>
    </w:p>
    <w:p w14:paraId="5FAFEDEF" w14:textId="77777777" w:rsidR="00C9682F" w:rsidRPr="00D379F3" w:rsidRDefault="00C9682F" w:rsidP="00D379F3">
      <w:pPr>
        <w:pStyle w:val="Numberedparagraph"/>
        <w:numPr>
          <w:ilvl w:val="0"/>
          <w:numId w:val="0"/>
        </w:numPr>
        <w:ind w:left="1080"/>
        <w:rPr>
          <w:u w:val="single"/>
        </w:rPr>
      </w:pPr>
      <w:r w:rsidRPr="00D379F3">
        <w:rPr>
          <w:u w:val="single"/>
        </w:rPr>
        <w:t>AAS base station transmit</w:t>
      </w:r>
    </w:p>
    <w:p w14:paraId="7B47C289" w14:textId="77777777" w:rsidR="00C9682F" w:rsidRDefault="00C9682F" w:rsidP="00D379F3">
      <w:pPr>
        <w:pStyle w:val="Numberedparagraph"/>
        <w:numPr>
          <w:ilvl w:val="0"/>
          <w:numId w:val="0"/>
        </w:numPr>
        <w:ind w:left="1080"/>
      </w:pPr>
      <w:r>
        <w:t>44 dBm / 5 MHz TRP per cell</w:t>
      </w:r>
    </w:p>
    <w:p w14:paraId="0AFF0460" w14:textId="77777777" w:rsidR="00C9682F" w:rsidRPr="00D379F3" w:rsidRDefault="00C9682F" w:rsidP="00D379F3">
      <w:pPr>
        <w:pStyle w:val="Numberedparagraph"/>
        <w:numPr>
          <w:ilvl w:val="0"/>
          <w:numId w:val="0"/>
        </w:numPr>
        <w:ind w:left="1080"/>
        <w:rPr>
          <w:u w:val="single"/>
        </w:rPr>
      </w:pPr>
      <w:r w:rsidRPr="00D379F3">
        <w:rPr>
          <w:u w:val="single"/>
        </w:rPr>
        <w:t xml:space="preserve">Mobile or nomadic repeater </w:t>
      </w:r>
    </w:p>
    <w:p w14:paraId="74577B10" w14:textId="77777777" w:rsidR="00C9682F" w:rsidRPr="00D379F3" w:rsidRDefault="00C9682F" w:rsidP="00D379F3">
      <w:pPr>
        <w:pStyle w:val="Numberedparagraph"/>
        <w:numPr>
          <w:ilvl w:val="0"/>
          <w:numId w:val="0"/>
        </w:numPr>
        <w:ind w:left="1080"/>
        <w:rPr>
          <w:u w:val="single"/>
        </w:rPr>
      </w:pPr>
      <w:r w:rsidRPr="00D379F3">
        <w:rPr>
          <w:u w:val="single"/>
        </w:rPr>
        <w:t>uplink transmit</w:t>
      </w:r>
    </w:p>
    <w:p w14:paraId="5B190AC0" w14:textId="77777777" w:rsidR="00C9682F" w:rsidRDefault="00C9682F" w:rsidP="00D379F3">
      <w:pPr>
        <w:pStyle w:val="Numberedparagraph"/>
        <w:numPr>
          <w:ilvl w:val="0"/>
          <w:numId w:val="0"/>
        </w:numPr>
        <w:ind w:left="1080"/>
      </w:pPr>
      <w:r>
        <w:t>28 dBm TRP *</w:t>
      </w:r>
    </w:p>
    <w:p w14:paraId="6ABE3DFD" w14:textId="77777777" w:rsidR="00C9682F" w:rsidRPr="00D379F3" w:rsidRDefault="00C9682F" w:rsidP="00D379F3">
      <w:pPr>
        <w:pStyle w:val="Numberedparagraph"/>
        <w:numPr>
          <w:ilvl w:val="0"/>
          <w:numId w:val="0"/>
        </w:numPr>
        <w:ind w:left="1080"/>
        <w:rPr>
          <w:u w:val="single"/>
        </w:rPr>
      </w:pPr>
      <w:r w:rsidRPr="00D379F3">
        <w:rPr>
          <w:u w:val="single"/>
        </w:rPr>
        <w:t xml:space="preserve">Fixed or installed terminal stations or </w:t>
      </w:r>
    </w:p>
    <w:p w14:paraId="1F5D15BD" w14:textId="77777777" w:rsidR="00C9682F" w:rsidRPr="00D379F3" w:rsidRDefault="00C9682F" w:rsidP="00D379F3">
      <w:pPr>
        <w:pStyle w:val="Numberedparagraph"/>
        <w:numPr>
          <w:ilvl w:val="0"/>
          <w:numId w:val="0"/>
        </w:numPr>
        <w:ind w:left="1080"/>
        <w:rPr>
          <w:u w:val="single"/>
        </w:rPr>
      </w:pPr>
      <w:r w:rsidRPr="00D379F3">
        <w:rPr>
          <w:u w:val="single"/>
        </w:rPr>
        <w:t>repeaters uplink transmit</w:t>
      </w:r>
    </w:p>
    <w:p w14:paraId="5117ACAE" w14:textId="77777777" w:rsidR="00C9682F" w:rsidRDefault="00C9682F" w:rsidP="00D379F3">
      <w:pPr>
        <w:pStyle w:val="Numberedparagraph"/>
        <w:numPr>
          <w:ilvl w:val="0"/>
          <w:numId w:val="0"/>
        </w:numPr>
        <w:ind w:left="1080"/>
      </w:pPr>
      <w:r>
        <w:t>35 dBm / 5 MHz EIRP *</w:t>
      </w:r>
    </w:p>
    <w:p w14:paraId="6188E841" w14:textId="77777777" w:rsidR="00464D8C" w:rsidRDefault="00C9682F" w:rsidP="00464D8C">
      <w:pPr>
        <w:pStyle w:val="Numberedparagraph"/>
        <w:numPr>
          <w:ilvl w:val="0"/>
          <w:numId w:val="0"/>
        </w:numPr>
        <w:spacing w:after="120"/>
        <w:ind w:left="1080"/>
        <w:rPr>
          <w:sz w:val="16"/>
          <w:szCs w:val="16"/>
        </w:rPr>
      </w:pPr>
      <w:r w:rsidRPr="00D379F3">
        <w:rPr>
          <w:sz w:val="16"/>
          <w:szCs w:val="16"/>
        </w:rPr>
        <w:t>* The maximum mean power relates to the EIRP or TRP</w:t>
      </w:r>
    </w:p>
    <w:p w14:paraId="3A433A44" w14:textId="20AE809E" w:rsidR="00C9682F" w:rsidRPr="00D379F3" w:rsidRDefault="00C9682F" w:rsidP="00D379F3">
      <w:pPr>
        <w:pStyle w:val="Numberedparagraph"/>
        <w:numPr>
          <w:ilvl w:val="0"/>
          <w:numId w:val="0"/>
        </w:numPr>
        <w:spacing w:after="120"/>
        <w:ind w:left="1080"/>
        <w:rPr>
          <w:sz w:val="16"/>
          <w:szCs w:val="16"/>
        </w:rPr>
      </w:pPr>
      <w:r w:rsidRPr="00D379F3">
        <w:rPr>
          <w:sz w:val="16"/>
          <w:szCs w:val="16"/>
        </w:rPr>
        <w:t>of a specific piece of Radio Equipment irrespective of</w:t>
      </w:r>
    </w:p>
    <w:p w14:paraId="7316B2AD" w14:textId="3834B762" w:rsidR="00C9682F" w:rsidRDefault="00C9682F" w:rsidP="00464D8C">
      <w:pPr>
        <w:pStyle w:val="Numberedparagraph"/>
        <w:numPr>
          <w:ilvl w:val="0"/>
          <w:numId w:val="0"/>
        </w:numPr>
        <w:spacing w:after="120"/>
        <w:ind w:left="872" w:firstLine="264"/>
        <w:rPr>
          <w:sz w:val="16"/>
          <w:szCs w:val="16"/>
        </w:rPr>
      </w:pPr>
      <w:r w:rsidRPr="00D379F3">
        <w:rPr>
          <w:sz w:val="16"/>
          <w:szCs w:val="16"/>
        </w:rPr>
        <w:t>the number of transmit antennas</w:t>
      </w:r>
    </w:p>
    <w:p w14:paraId="596BFEE5" w14:textId="26268EEB" w:rsidR="00F61688" w:rsidRDefault="00F61688" w:rsidP="00F61688">
      <w:pPr>
        <w:pStyle w:val="Numberedparagraph"/>
        <w:numPr>
          <w:ilvl w:val="0"/>
          <w:numId w:val="0"/>
        </w:numPr>
        <w:spacing w:after="120"/>
        <w:rPr>
          <w:szCs w:val="20"/>
        </w:rPr>
      </w:pPr>
      <w:r>
        <w:rPr>
          <w:szCs w:val="20"/>
        </w:rPr>
        <w:t xml:space="preserve">While not </w:t>
      </w:r>
      <w:r w:rsidR="00005505">
        <w:rPr>
          <w:szCs w:val="20"/>
        </w:rPr>
        <w:t>covered in the Annex, awarded licences have the following emission mask requirements:</w:t>
      </w:r>
    </w:p>
    <w:p w14:paraId="3045906F" w14:textId="2FE9ECB5" w:rsidR="00005505" w:rsidRDefault="00005505" w:rsidP="00F61688">
      <w:pPr>
        <w:pStyle w:val="Numberedparagraph"/>
        <w:numPr>
          <w:ilvl w:val="0"/>
          <w:numId w:val="0"/>
        </w:numPr>
        <w:spacing w:after="120"/>
        <w:rPr>
          <w:szCs w:val="20"/>
        </w:rPr>
      </w:pPr>
      <w:r w:rsidRPr="00005505">
        <w:rPr>
          <w:noProof/>
          <w:szCs w:val="20"/>
        </w:rPr>
        <w:drawing>
          <wp:inline distT="0" distB="0" distL="0" distR="0" wp14:anchorId="0E32A7ED" wp14:editId="6D1EBD48">
            <wp:extent cx="4871085" cy="396621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871085" cy="3966210"/>
                    </a:xfrm>
                    <a:prstGeom prst="rect">
                      <a:avLst/>
                    </a:prstGeom>
                  </pic:spPr>
                </pic:pic>
              </a:graphicData>
            </a:graphic>
          </wp:inline>
        </w:drawing>
      </w:r>
    </w:p>
    <w:p w14:paraId="3C2AA243" w14:textId="3DBD9F24" w:rsidR="00005505" w:rsidRDefault="00005505" w:rsidP="00F61688">
      <w:pPr>
        <w:pStyle w:val="Numberedparagraph"/>
        <w:numPr>
          <w:ilvl w:val="0"/>
          <w:numId w:val="0"/>
        </w:numPr>
        <w:spacing w:after="120"/>
        <w:rPr>
          <w:szCs w:val="20"/>
        </w:rPr>
      </w:pPr>
      <w:r w:rsidRPr="00005505">
        <w:rPr>
          <w:noProof/>
          <w:szCs w:val="20"/>
        </w:rPr>
        <w:drawing>
          <wp:inline distT="0" distB="0" distL="0" distR="0" wp14:anchorId="0CC65A07" wp14:editId="53E371EB">
            <wp:extent cx="4871085" cy="1908175"/>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871085" cy="1908175"/>
                    </a:xfrm>
                    <a:prstGeom prst="rect">
                      <a:avLst/>
                    </a:prstGeom>
                  </pic:spPr>
                </pic:pic>
              </a:graphicData>
            </a:graphic>
          </wp:inline>
        </w:drawing>
      </w:r>
    </w:p>
    <w:p w14:paraId="2E8EF2C8" w14:textId="7C5757E6" w:rsidR="00005505" w:rsidRDefault="00005505" w:rsidP="00F61688">
      <w:pPr>
        <w:pStyle w:val="Numberedparagraph"/>
        <w:numPr>
          <w:ilvl w:val="0"/>
          <w:numId w:val="0"/>
        </w:numPr>
        <w:spacing w:after="120"/>
        <w:rPr>
          <w:szCs w:val="20"/>
        </w:rPr>
      </w:pPr>
      <w:r>
        <w:rPr>
          <w:szCs w:val="20"/>
        </w:rPr>
        <w:t>(Frame structure A is the “preferred frame structure” and frame structure B is the “compatible frame structure”)</w:t>
      </w:r>
    </w:p>
    <w:p w14:paraId="3DD4178E" w14:textId="17AC17F4" w:rsidR="00DC2A85" w:rsidRPr="00444F6D" w:rsidRDefault="00DC2A85" w:rsidP="00D379F3">
      <w:pPr>
        <w:pStyle w:val="Numberedparagraph"/>
        <w:numPr>
          <w:ilvl w:val="0"/>
          <w:numId w:val="0"/>
        </w:numPr>
        <w:spacing w:after="120"/>
        <w:rPr>
          <w:szCs w:val="20"/>
        </w:rPr>
      </w:pPr>
      <w:r w:rsidRPr="00DC2A85">
        <w:rPr>
          <w:noProof/>
          <w:szCs w:val="20"/>
        </w:rPr>
        <w:drawing>
          <wp:inline distT="0" distB="0" distL="0" distR="0" wp14:anchorId="401FADBA" wp14:editId="026E5526">
            <wp:extent cx="4871085" cy="311086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71085" cy="3110865"/>
                    </a:xfrm>
                    <a:prstGeom prst="rect">
                      <a:avLst/>
                    </a:prstGeom>
                  </pic:spPr>
                </pic:pic>
              </a:graphicData>
            </a:graphic>
          </wp:inline>
        </w:drawing>
      </w:r>
    </w:p>
    <w:p w14:paraId="1C18EDD8" w14:textId="616B4F92" w:rsidR="0069032C" w:rsidRDefault="009120A9" w:rsidP="0069032C">
      <w:pPr>
        <w:pStyle w:val="Numberedparagraph"/>
      </w:pPr>
      <w:r>
        <w:t xml:space="preserve">As previously discussed in the </w:t>
      </w:r>
      <w:r w:rsidRPr="00D379F3">
        <w:rPr>
          <w:i/>
          <w:iCs/>
        </w:rPr>
        <w:fldChar w:fldCharType="begin"/>
      </w:r>
      <w:r w:rsidRPr="00D379F3">
        <w:rPr>
          <w:i/>
          <w:iCs/>
        </w:rPr>
        <w:instrText xml:space="preserve"> REF _Ref106280008 \h </w:instrText>
      </w:r>
      <w:r>
        <w:rPr>
          <w:i/>
          <w:iCs/>
        </w:rPr>
        <w:instrText xml:space="preserve"> \* MERGEFORMAT </w:instrText>
      </w:r>
      <w:r w:rsidRPr="00D379F3">
        <w:rPr>
          <w:i/>
          <w:iCs/>
        </w:rPr>
      </w:r>
      <w:r w:rsidRPr="00D379F3">
        <w:rPr>
          <w:i/>
          <w:iCs/>
        </w:rPr>
        <w:fldChar w:fldCharType="separate"/>
      </w:r>
      <w:r w:rsidR="009C0E98" w:rsidRPr="00695A13">
        <w:rPr>
          <w:i/>
          <w:iCs/>
        </w:rPr>
        <w:t>Coexistence evaluation</w:t>
      </w:r>
      <w:r w:rsidRPr="00D379F3">
        <w:rPr>
          <w:i/>
          <w:iCs/>
        </w:rPr>
        <w:fldChar w:fldCharType="end"/>
      </w:r>
      <w:r>
        <w:t xml:space="preserve"> section, Ofcom considered coexistence with RAs as part of their </w:t>
      </w:r>
      <w:hyperlink r:id="rId133" w:history="1">
        <w:r w:rsidRPr="009120A9">
          <w:rPr>
            <w:rStyle w:val="Hyperlink"/>
          </w:rPr>
          <w:t>3.8 GHz to 4.2 GHz band: Opportunities for Innovation</w:t>
        </w:r>
      </w:hyperlink>
      <w:r>
        <w:t xml:space="preserve"> series of consultations and decisions. They concluded that no mitigations were required for their proposed plans for medium and low power WBB deployment.</w:t>
      </w:r>
    </w:p>
    <w:p w14:paraId="5457ED45" w14:textId="33FD76E8" w:rsidR="009120A9" w:rsidRDefault="009120A9" w:rsidP="00077BB0">
      <w:pPr>
        <w:pStyle w:val="Numberedparagraph"/>
      </w:pPr>
      <w:r>
        <w:t xml:space="preserve">A shared access licence guidance </w:t>
      </w:r>
      <w:hyperlink r:id="rId134" w:history="1">
        <w:r w:rsidRPr="009120A9">
          <w:rPr>
            <w:rStyle w:val="Hyperlink"/>
          </w:rPr>
          <w:t>document</w:t>
        </w:r>
      </w:hyperlink>
      <w:r>
        <w:t xml:space="preserve"> indicates the scope of the medium and lower power deployments permitted under 3.12 for low power and 4 for medium power.</w:t>
      </w:r>
    </w:p>
    <w:p w14:paraId="1DC782B7" w14:textId="45DF3050" w:rsidR="009120A9" w:rsidRDefault="009120A9" w:rsidP="009120A9">
      <w:pPr>
        <w:pStyle w:val="Numberedparagraph"/>
        <w:numPr>
          <w:ilvl w:val="0"/>
          <w:numId w:val="43"/>
        </w:numPr>
      </w:pPr>
      <w:r>
        <w:t xml:space="preserve">Medium power is </w:t>
      </w:r>
      <w:r w:rsidR="00A84446">
        <w:t>permitted</w:t>
      </w:r>
      <w:r>
        <w:t xml:space="preserve"> in rural areas only with a maximum EIRP of 42dBm/carrier for carriers&lt;=20 MHz and 36dBm/5 MHz for carriers &gt; 20 MHz.</w:t>
      </w:r>
    </w:p>
    <w:p w14:paraId="1A86A623" w14:textId="260E8581" w:rsidR="009120A9" w:rsidRDefault="00962CBE" w:rsidP="009120A9">
      <w:pPr>
        <w:pStyle w:val="Numberedparagraph"/>
        <w:numPr>
          <w:ilvl w:val="0"/>
          <w:numId w:val="43"/>
        </w:numPr>
      </w:pPr>
      <w:r>
        <w:t>Medium power b</w:t>
      </w:r>
      <w:r w:rsidR="009120A9">
        <w:t xml:space="preserve">ase station </w:t>
      </w:r>
      <w:r>
        <w:t xml:space="preserve">relevant </w:t>
      </w:r>
      <w:r w:rsidR="009120A9">
        <w:t xml:space="preserve">out of band emission limits are in </w:t>
      </w:r>
      <w:r w:rsidR="00805E82">
        <w:t xml:space="preserve">Table </w:t>
      </w:r>
      <w:r w:rsidR="009120A9">
        <w:t xml:space="preserve">14: </w:t>
      </w:r>
    </w:p>
    <w:p w14:paraId="7C59B911" w14:textId="23227FA7" w:rsidR="009120A9" w:rsidRDefault="009120A9" w:rsidP="009120A9">
      <w:pPr>
        <w:pStyle w:val="Numberedparagraph"/>
        <w:numPr>
          <w:ilvl w:val="0"/>
          <w:numId w:val="0"/>
        </w:numPr>
      </w:pPr>
      <w:r w:rsidRPr="009120A9">
        <w:rPr>
          <w:noProof/>
        </w:rPr>
        <w:drawing>
          <wp:inline distT="0" distB="0" distL="0" distR="0" wp14:anchorId="7FCA3671" wp14:editId="4DA50F51">
            <wp:extent cx="4871085" cy="1770380"/>
            <wp:effectExtent l="0" t="0" r="571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71085" cy="1770380"/>
                    </a:xfrm>
                    <a:prstGeom prst="rect">
                      <a:avLst/>
                    </a:prstGeom>
                  </pic:spPr>
                </pic:pic>
              </a:graphicData>
            </a:graphic>
          </wp:inline>
        </w:drawing>
      </w:r>
    </w:p>
    <w:p w14:paraId="1E930F32" w14:textId="51F1D664" w:rsidR="00962CBE" w:rsidRDefault="00962CBE" w:rsidP="00962CBE">
      <w:pPr>
        <w:pStyle w:val="Numberedparagraph"/>
        <w:numPr>
          <w:ilvl w:val="0"/>
          <w:numId w:val="43"/>
        </w:numPr>
      </w:pPr>
      <w:r>
        <w:t>Low power is permitted outdoor with antennas limited to 10m heigh above ground and with a maximum base station power of a maximum EIRP of 24dBm/carrier for carriers&lt;=20 MHz and 18dBm/5 MHz for carriers &gt; 20 MHz.</w:t>
      </w:r>
    </w:p>
    <w:p w14:paraId="37AD6EDA" w14:textId="162471FE" w:rsidR="00962CBE" w:rsidRDefault="00962CBE" w:rsidP="00962CBE">
      <w:pPr>
        <w:pStyle w:val="Numberedparagraph"/>
        <w:numPr>
          <w:ilvl w:val="0"/>
          <w:numId w:val="43"/>
        </w:numPr>
      </w:pPr>
      <w:r>
        <w:t xml:space="preserve">Low power base station relevant out of band emission limits are in </w:t>
      </w:r>
      <w:r w:rsidR="00192BCE">
        <w:t xml:space="preserve">Table </w:t>
      </w:r>
      <w:r>
        <w:t xml:space="preserve">7: </w:t>
      </w:r>
    </w:p>
    <w:p w14:paraId="7D87DF03" w14:textId="2A9FA785" w:rsidR="00962CBE" w:rsidRDefault="00962CBE">
      <w:pPr>
        <w:pStyle w:val="Numberedparagraph"/>
        <w:numPr>
          <w:ilvl w:val="0"/>
          <w:numId w:val="0"/>
        </w:numPr>
      </w:pPr>
      <w:r w:rsidRPr="00962CBE">
        <w:rPr>
          <w:noProof/>
        </w:rPr>
        <w:drawing>
          <wp:inline distT="0" distB="0" distL="0" distR="0" wp14:anchorId="49EA58EE" wp14:editId="762AF734">
            <wp:extent cx="4871085" cy="192722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71085" cy="1927225"/>
                    </a:xfrm>
                    <a:prstGeom prst="rect">
                      <a:avLst/>
                    </a:prstGeom>
                  </pic:spPr>
                </pic:pic>
              </a:graphicData>
            </a:graphic>
          </wp:inline>
        </w:drawing>
      </w:r>
    </w:p>
    <w:p w14:paraId="1B3B1AA7" w14:textId="3F6CF47A" w:rsidR="009F62EC" w:rsidRDefault="00995CB4" w:rsidP="00695A13">
      <w:pPr>
        <w:pStyle w:val="Numberedparagraph"/>
      </w:pPr>
      <w:r>
        <w:t xml:space="preserve">The UK Civil Aviation Authority (CAA) issued a </w:t>
      </w:r>
      <w:hyperlink r:id="rId137" w:history="1">
        <w:r w:rsidRPr="00995CB4">
          <w:rPr>
            <w:rStyle w:val="Hyperlink"/>
          </w:rPr>
          <w:t>Safety Notice</w:t>
        </w:r>
      </w:hyperlink>
      <w:r>
        <w:t xml:space="preserve"> in January 2022 about “Potential Interference Risk to Radio Altimeters from 5G mobile Technology”.</w:t>
      </w:r>
      <w:r w:rsidR="009F62EC">
        <w:t xml:space="preserve"> It notes</w:t>
      </w:r>
      <w:r w:rsidR="00BB2651">
        <w:t>, among others,</w:t>
      </w:r>
      <w:r w:rsidR="009F62EC">
        <w:t xml:space="preserve"> that:</w:t>
      </w:r>
    </w:p>
    <w:p w14:paraId="01C44FD4" w14:textId="3712A25D" w:rsidR="009120A9" w:rsidRDefault="009F62EC" w:rsidP="009F62EC">
      <w:pPr>
        <w:pStyle w:val="Numberedparagraph"/>
        <w:numPr>
          <w:ilvl w:val="0"/>
          <w:numId w:val="0"/>
        </w:numPr>
        <w:ind w:left="568"/>
      </w:pPr>
      <w:r>
        <w:t>“Conversations with other NAAs has established that there have been no confirmed instances where 5G interference has resulted in aircraft system malfunction or unexpected behaviour. It should be noted that in some states 5G infrastructure is not yet in place and that past performance is not a guarantee for future applications.”</w:t>
      </w:r>
      <w:r w:rsidR="00BB2651">
        <w:t xml:space="preserve"> And:</w:t>
      </w:r>
    </w:p>
    <w:p w14:paraId="29808576" w14:textId="4891D298" w:rsidR="00BB2651" w:rsidRPr="00AE109E" w:rsidRDefault="00BB2651" w:rsidP="00077BB0">
      <w:pPr>
        <w:pStyle w:val="Numberedparagraph"/>
        <w:numPr>
          <w:ilvl w:val="0"/>
          <w:numId w:val="0"/>
        </w:numPr>
        <w:ind w:left="568"/>
      </w:pPr>
      <w:r>
        <w:t>“Flight crew experiencing radio altimeter or autoflight malfunctions should not assume that this has been caused by 5G interference and should follow normal operating procedures for any malfunctions or failures. Although flight crew should be aware of the possibility of 5G interference, any malfunctions observed may well be caused by other factors such as radio altimeter and associated antenna technical failures.”</w:t>
      </w:r>
    </w:p>
    <w:p w14:paraId="54A0D2BA" w14:textId="77777777" w:rsidR="00037ACE" w:rsidRDefault="00037ACE">
      <w:pPr>
        <w:spacing w:after="0" w:line="240" w:lineRule="auto"/>
        <w:rPr>
          <w:rFonts w:cs="Arial"/>
          <w:b/>
          <w:bCs/>
          <w:iCs/>
          <w:sz w:val="28"/>
          <w:szCs w:val="28"/>
        </w:rPr>
      </w:pPr>
      <w:bookmarkStart w:id="92" w:name="_Hlk108005591"/>
      <w:r>
        <w:br w:type="page"/>
      </w:r>
    </w:p>
    <w:p w14:paraId="0369427A" w14:textId="71869F79" w:rsidR="0069032C" w:rsidRDefault="0069032C" w:rsidP="0069032C">
      <w:pPr>
        <w:pStyle w:val="Heading2"/>
      </w:pPr>
      <w:bookmarkStart w:id="93" w:name="_Toc116041904"/>
      <w:r>
        <w:t>France</w:t>
      </w:r>
      <w:bookmarkEnd w:id="93"/>
    </w:p>
    <w:p w14:paraId="7827EEF9" w14:textId="4D2ADB70" w:rsidR="0069032C" w:rsidRDefault="0069032C" w:rsidP="0069032C">
      <w:pPr>
        <w:pStyle w:val="Numberedparagraph"/>
      </w:pPr>
      <w:r>
        <w:t xml:space="preserve">From information contained in the ICAO FSMP meeting WG11 input </w:t>
      </w:r>
      <w:hyperlink r:id="rId138" w:history="1">
        <w:r w:rsidRPr="00762631">
          <w:rPr>
            <w:rStyle w:val="Hyperlink"/>
          </w:rPr>
          <w:t>document</w:t>
        </w:r>
      </w:hyperlink>
      <w:r>
        <w:t>, mitigations in France included, in the range 3400-3800 MHz:</w:t>
      </w:r>
    </w:p>
    <w:p w14:paraId="12F10F39" w14:textId="12B43266" w:rsidR="00BD407A" w:rsidRDefault="00BD407A" w:rsidP="00BD407A">
      <w:pPr>
        <w:pStyle w:val="Bulletlevel1"/>
      </w:pPr>
      <w:r w:rsidRPr="003179CB">
        <w:t>Operators must implement only downward tilt</w:t>
      </w:r>
      <w:r>
        <w:t xml:space="preserve"> (</w:t>
      </w:r>
      <w:r w:rsidR="00F50041">
        <w:t xml:space="preserve">largely </w:t>
      </w:r>
      <w:r>
        <w:t>removed in Mar 2021)</w:t>
      </w:r>
    </w:p>
    <w:p w14:paraId="44E1ABCA" w14:textId="77777777" w:rsidR="00BD407A" w:rsidRDefault="00BD407A" w:rsidP="00BD407A">
      <w:pPr>
        <w:pStyle w:val="Bulletlevel1"/>
      </w:pPr>
      <w:r>
        <w:t>Operators have to take measures to avoid grating lobes as far as practicable.</w:t>
      </w:r>
    </w:p>
    <w:p w14:paraId="2088330F" w14:textId="77777777" w:rsidR="00BD407A" w:rsidRDefault="00BD407A" w:rsidP="00BD407A">
      <w:pPr>
        <w:pStyle w:val="Bulletlevel1"/>
      </w:pPr>
      <w:r w:rsidRPr="007F68A0">
        <w:rPr>
          <w:u w:val="single"/>
        </w:rPr>
        <w:t>Protection Zones</w:t>
      </w:r>
      <w:r>
        <w:t xml:space="preserve"> (the safety and precaution zones below) around IFR aerodromes.</w:t>
      </w:r>
    </w:p>
    <w:p w14:paraId="241B95A7" w14:textId="77777777" w:rsidR="00BD407A" w:rsidRDefault="00BD407A" w:rsidP="00BD407A">
      <w:pPr>
        <w:pStyle w:val="Bulletlevel1"/>
      </w:pPr>
      <w:r w:rsidRPr="007F68A0">
        <w:rPr>
          <w:u w:val="single"/>
        </w:rPr>
        <w:t>Safety zone</w:t>
      </w:r>
      <w:r>
        <w:t>:</w:t>
      </w:r>
    </w:p>
    <w:p w14:paraId="5148DAEB" w14:textId="77777777" w:rsidR="00BD407A" w:rsidRDefault="00BD407A" w:rsidP="00BD407A">
      <w:pPr>
        <w:pStyle w:val="Bulletlevel2"/>
      </w:pPr>
      <w:r>
        <w:t>Applied to all IFR aerodromes and some helicopter platforms.</w:t>
      </w:r>
    </w:p>
    <w:p w14:paraId="73034C80" w14:textId="77777777" w:rsidR="00BD407A" w:rsidRDefault="00BD407A" w:rsidP="00BD407A">
      <w:pPr>
        <w:pStyle w:val="Bulletlevel2"/>
      </w:pPr>
      <w:r>
        <w:t>Extends 910 m from the width edge of the runway and 2100 m from the ends where 5G base stations not allowed to transmit.</w:t>
      </w:r>
    </w:p>
    <w:p w14:paraId="609AB040" w14:textId="77777777" w:rsidR="00BD407A" w:rsidRDefault="00BD407A" w:rsidP="00BD407A">
      <w:pPr>
        <w:pStyle w:val="Bulletlevel2"/>
      </w:pPr>
      <w:r>
        <w:t>To protect where the aircraft is at or below 61 m.</w:t>
      </w:r>
    </w:p>
    <w:p w14:paraId="29687ADE" w14:textId="77777777" w:rsidR="00BD407A" w:rsidRPr="007F68A0" w:rsidRDefault="00BD407A" w:rsidP="00BD407A">
      <w:pPr>
        <w:pStyle w:val="Bulletlevel1"/>
        <w:rPr>
          <w:u w:val="single"/>
        </w:rPr>
      </w:pPr>
      <w:r w:rsidRPr="007F68A0">
        <w:rPr>
          <w:u w:val="single"/>
        </w:rPr>
        <w:t>Precaution zone:</w:t>
      </w:r>
    </w:p>
    <w:p w14:paraId="283E548A" w14:textId="77777777" w:rsidR="00BD407A" w:rsidRDefault="00BD407A" w:rsidP="00BD407A">
      <w:pPr>
        <w:pStyle w:val="Bulletlevel2"/>
      </w:pPr>
      <w:r>
        <w:t>Either side of the safety zones.</w:t>
      </w:r>
    </w:p>
    <w:p w14:paraId="7A3E0D51" w14:textId="77777777" w:rsidR="00BD407A" w:rsidRDefault="00BD407A" w:rsidP="00BD407A">
      <w:pPr>
        <w:pStyle w:val="Bulletlevel2"/>
      </w:pPr>
      <w:r>
        <w:t>To protect where the aircraft is below 305 m.</w:t>
      </w:r>
    </w:p>
    <w:p w14:paraId="3991DECD" w14:textId="77777777" w:rsidR="00BD407A" w:rsidRDefault="00BD407A" w:rsidP="00BD407A">
      <w:pPr>
        <w:pStyle w:val="Bulletlevel2"/>
      </w:pPr>
      <w:r>
        <w:t>5G base stations are coordinated (there isn’t further information on what this means).</w:t>
      </w:r>
    </w:p>
    <w:p w14:paraId="2C1D3A69" w14:textId="77777777" w:rsidR="00BD407A" w:rsidRDefault="00BD407A" w:rsidP="00BD407A">
      <w:pPr>
        <w:pStyle w:val="Bulletlevel2"/>
      </w:pPr>
      <w:r>
        <w:t>800 m wide and 6100 m from the ends of the exclusion zone.</w:t>
      </w:r>
    </w:p>
    <w:p w14:paraId="7856A31C" w14:textId="77777777" w:rsidR="00BD407A" w:rsidRDefault="00BD407A" w:rsidP="00BD407A">
      <w:pPr>
        <w:pStyle w:val="Bulletlevel2"/>
      </w:pPr>
      <w:r w:rsidRPr="00673574">
        <w:t>The precaution zone does not apply in the case where calculations based on the antenna gain envelope provided by the operator and worst-case location of BS outside the safety zone show that the Radio altimeters remains protected under the above assumptions.</w:t>
      </w:r>
    </w:p>
    <w:p w14:paraId="2EBC68A0" w14:textId="77777777" w:rsidR="00BD407A" w:rsidRDefault="00BD407A" w:rsidP="00BD407A">
      <w:pPr>
        <w:pStyle w:val="Bulletlevel2"/>
        <w:numPr>
          <w:ilvl w:val="0"/>
          <w:numId w:val="0"/>
        </w:numPr>
      </w:pPr>
    </w:p>
    <w:p w14:paraId="0D069AEB" w14:textId="77777777" w:rsidR="00BD407A" w:rsidRDefault="00BD407A" w:rsidP="00BD407A">
      <w:pPr>
        <w:pStyle w:val="Bulletlevel2"/>
        <w:numPr>
          <w:ilvl w:val="0"/>
          <w:numId w:val="0"/>
        </w:numPr>
      </w:pPr>
      <w:r w:rsidRPr="00426C17">
        <w:t>Regarding helicopter platforms, a circular safety zone with a radius of 1 km was also applied for some heliports to accommodate states aircraft that are under the responsibility of the “Ministère de l’intérieur” (Department Homeland Security).</w:t>
      </w:r>
    </w:p>
    <w:p w14:paraId="5171E636" w14:textId="5FB1FFBB" w:rsidR="00BD407A" w:rsidRPr="00D379F3" w:rsidRDefault="00BD407A" w:rsidP="00D379F3">
      <w:pPr>
        <w:rPr>
          <w:b/>
          <w:i/>
        </w:rPr>
      </w:pPr>
      <w:r w:rsidRPr="00444F6D">
        <w:t>Concerning unwanted emissions, “It was concluded that the US problematic for the unwanted emissions of the frequency band 3.7-3.98 GHz into</w:t>
      </w:r>
      <w:r w:rsidRPr="00D379F3">
        <w:t xml:space="preserve"> the Radio altimeter frequency band 4.2-4.4 GHz is totally different and not applicable to the European context. DGAC therefore did not take into account the unwanted emission assessment of the RTCA report. “</w:t>
      </w:r>
    </w:p>
    <w:p w14:paraId="75ED81B6" w14:textId="21BB0336" w:rsidR="00BD407A" w:rsidRDefault="00BD407A" w:rsidP="00D379F3">
      <w:r>
        <w:t xml:space="preserve">Zone sizes are only a representative example, based on their technical study for a BS EIRP of 78 dBm/100 MHz. The intent is that </w:t>
      </w:r>
      <w:r w:rsidR="00F50041">
        <w:t xml:space="preserve">the zone sizes </w:t>
      </w:r>
      <w:r>
        <w:t>vary with BS deployment EIRP.</w:t>
      </w:r>
    </w:p>
    <w:p w14:paraId="25922AF3" w14:textId="77777777" w:rsidR="002A7A89" w:rsidRDefault="002A7A89" w:rsidP="002A7A89">
      <w:pPr>
        <w:pStyle w:val="Numberedparagraph"/>
      </w:pPr>
      <w:r>
        <w:t xml:space="preserve">In February 2022, the ANFR </w:t>
      </w:r>
      <w:hyperlink r:id="rId139" w:history="1">
        <w:r w:rsidRPr="00C927F7">
          <w:rPr>
            <w:rStyle w:val="Hyperlink"/>
          </w:rPr>
          <w:t>announced</w:t>
        </w:r>
      </w:hyperlink>
      <w:r>
        <w:t xml:space="preserve"> certain changes to the mitigations (Google translation):</w:t>
      </w:r>
    </w:p>
    <w:p w14:paraId="73866898" w14:textId="2D0A6306" w:rsidR="002A7A89" w:rsidRDefault="002A7A89" w:rsidP="002A7A89">
      <w:pPr>
        <w:pStyle w:val="Numberedparagraph"/>
        <w:numPr>
          <w:ilvl w:val="2"/>
          <w:numId w:val="13"/>
        </w:numPr>
      </w:pPr>
      <w:r>
        <w:t>In the first quarter of 2021, the stress zones (</w:t>
      </w:r>
      <w:r>
        <w:rPr>
          <w:i/>
          <w:iCs/>
        </w:rPr>
        <w:t xml:space="preserve">i.e. the exclusion and restricted zones) </w:t>
      </w:r>
      <w:r>
        <w:t>were lightened to limit them to the 17 French airports where low visibility landings are allowed, as well as to 10 helipads. The scoring (</w:t>
      </w:r>
      <w:r>
        <w:rPr>
          <w:i/>
          <w:iCs/>
        </w:rPr>
        <w:t xml:space="preserve">i.e. the downtilt) </w:t>
      </w:r>
      <w:r>
        <w:t>constraint has been restricted only to areas close to these airports and certain helipads.</w:t>
      </w:r>
    </w:p>
    <w:bookmarkEnd w:id="92"/>
    <w:p w14:paraId="6047DDD5" w14:textId="77777777" w:rsidR="00037ACE" w:rsidRDefault="00037ACE">
      <w:pPr>
        <w:spacing w:after="0" w:line="240" w:lineRule="auto"/>
        <w:rPr>
          <w:rFonts w:cs="Arial"/>
          <w:b/>
          <w:bCs/>
          <w:iCs/>
          <w:sz w:val="28"/>
          <w:szCs w:val="28"/>
        </w:rPr>
      </w:pPr>
      <w:r>
        <w:br w:type="page"/>
      </w:r>
    </w:p>
    <w:p w14:paraId="16B711AC" w14:textId="38C10775" w:rsidR="004A2FB9" w:rsidRDefault="004A2FB9" w:rsidP="004A2FB9">
      <w:pPr>
        <w:pStyle w:val="Heading2"/>
      </w:pPr>
      <w:bookmarkStart w:id="94" w:name="_Toc116041905"/>
      <w:r>
        <w:t>Denmark</w:t>
      </w:r>
      <w:bookmarkEnd w:id="94"/>
    </w:p>
    <w:p w14:paraId="082DC370" w14:textId="331D5188" w:rsidR="004A2FB9" w:rsidRDefault="004A2FB9" w:rsidP="004A2FB9">
      <w:pPr>
        <w:pStyle w:val="Numberedparagraph"/>
      </w:pPr>
      <w:r>
        <w:t>The regulator in Denmark (</w:t>
      </w:r>
      <w:hyperlink r:id="rId140" w:history="1">
        <w:r>
          <w:rPr>
            <w:rStyle w:val="Hyperlink"/>
          </w:rPr>
          <w:t>http://www.ens.dk</w:t>
        </w:r>
      </w:hyperlink>
      <w:r>
        <w:t>) allocated spectrum in their 3.5 GHz band (3410-3800 MHz) in 2021.</w:t>
      </w:r>
    </w:p>
    <w:p w14:paraId="07127E02" w14:textId="472430B4" w:rsidR="00BD407A" w:rsidRDefault="004A2FB9" w:rsidP="0069032C">
      <w:pPr>
        <w:pStyle w:val="Numberedparagraph"/>
      </w:pPr>
      <w:r>
        <w:t xml:space="preserve">An information </w:t>
      </w:r>
      <w:hyperlink r:id="rId141" w:history="1">
        <w:r w:rsidRPr="004A2FB9">
          <w:rPr>
            <w:rStyle w:val="Hyperlink"/>
          </w:rPr>
          <w:t>memorandum</w:t>
        </w:r>
      </w:hyperlink>
      <w:r>
        <w:t xml:space="preserve"> gives an overview of the auction and related auction processes.</w:t>
      </w:r>
    </w:p>
    <w:p w14:paraId="509E4BB6" w14:textId="051BBCA5" w:rsidR="004A2FB9" w:rsidRDefault="009C479C" w:rsidP="00695A13">
      <w:pPr>
        <w:pStyle w:val="Numberedparagraph"/>
      </w:pPr>
      <w:hyperlink r:id="rId142" w:history="1">
        <w:r w:rsidR="004A2FB9" w:rsidRPr="004A2FB9">
          <w:rPr>
            <w:rStyle w:val="Hyperlink"/>
          </w:rPr>
          <w:t>Annex F</w:t>
        </w:r>
      </w:hyperlink>
      <w:r w:rsidR="004A2FB9">
        <w:t xml:space="preserve"> to the memorandum gives specific licence conditions for their 3.5 GHz band.</w:t>
      </w:r>
      <w:r w:rsidR="00060D63">
        <w:t xml:space="preserve"> </w:t>
      </w:r>
      <w:r w:rsidR="004A2FB9">
        <w:t xml:space="preserve">There appear to be no specific mitigations for </w:t>
      </w:r>
      <w:r w:rsidR="00D4562C">
        <w:t>RAs</w:t>
      </w:r>
      <w:r w:rsidR="004A2FB9">
        <w:t>.</w:t>
      </w:r>
      <w:r w:rsidR="00060D63">
        <w:t xml:space="preserve"> </w:t>
      </w:r>
      <w:r w:rsidR="004A2FB9">
        <w:t>EIRP is limited to 61</w:t>
      </w:r>
      <w:r w:rsidR="00060D63">
        <w:t> </w:t>
      </w:r>
      <w:r w:rsidR="004A2FB9">
        <w:t>dBm/MHz for non-AAS base stations and TRP is limited to 41</w:t>
      </w:r>
      <w:r w:rsidR="00093499">
        <w:t> </w:t>
      </w:r>
      <w:r w:rsidR="004A2FB9">
        <w:t>dBm/MHz for AAS base stations</w:t>
      </w:r>
      <w:r w:rsidR="00093499">
        <w:t xml:space="preserve"> (approximately 64-66 dBm/MHz EIRP typically)</w:t>
      </w:r>
      <w:r w:rsidR="004A2FB9">
        <w:t>.</w:t>
      </w:r>
    </w:p>
    <w:p w14:paraId="16809B51" w14:textId="5E44CA39" w:rsidR="004A2FB9" w:rsidRDefault="004A2FB9" w:rsidP="0069032C">
      <w:pPr>
        <w:pStyle w:val="Numberedparagraph"/>
      </w:pPr>
      <w:r>
        <w:t xml:space="preserve">TDC net in Denmark </w:t>
      </w:r>
      <w:hyperlink r:id="rId143" w:history="1">
        <w:r w:rsidRPr="00093499">
          <w:rPr>
            <w:rStyle w:val="Hyperlink"/>
          </w:rPr>
          <w:t>claim</w:t>
        </w:r>
      </w:hyperlink>
      <w:r>
        <w:t xml:space="preserve"> an overall 5G coverage of 99.3%</w:t>
      </w:r>
      <w:r w:rsidR="00093499">
        <w:t xml:space="preserve"> (area or population basis is not stated).  </w:t>
      </w:r>
    </w:p>
    <w:p w14:paraId="253C53FE" w14:textId="4A0491CD" w:rsidR="00B92BA6" w:rsidRDefault="00B92BA6" w:rsidP="00B92BA6">
      <w:pPr>
        <w:pStyle w:val="Heading2"/>
      </w:pPr>
      <w:bookmarkStart w:id="95" w:name="_Toc116041906"/>
      <w:r>
        <w:t>Switzerland</w:t>
      </w:r>
      <w:bookmarkEnd w:id="95"/>
    </w:p>
    <w:p w14:paraId="166F1037" w14:textId="17F0D583" w:rsidR="00B92BA6" w:rsidRDefault="00B92BA6" w:rsidP="00B92BA6">
      <w:pPr>
        <w:pStyle w:val="Numberedparagraph"/>
      </w:pPr>
      <w:bookmarkStart w:id="96" w:name="_Ref106867950"/>
      <w:r>
        <w:t xml:space="preserve">Switzerland have a useful </w:t>
      </w:r>
      <w:hyperlink r:id="rId144" w:history="1">
        <w:r w:rsidRPr="003F260C">
          <w:rPr>
            <w:rStyle w:val="Hyperlink"/>
          </w:rPr>
          <w:t>page</w:t>
        </w:r>
      </w:hyperlink>
      <w:r>
        <w:t xml:space="preserve"> on </w:t>
      </w:r>
      <w:r w:rsidR="003F260C">
        <w:t xml:space="preserve">the radio altimeter issue. It appears that the Swiss OFCOM </w:t>
      </w:r>
      <w:r w:rsidR="00A273B3">
        <w:t xml:space="preserve">regulator </w:t>
      </w:r>
      <w:r w:rsidR="003F260C">
        <w:t>do perform some analysis to consider the issue but conclude there is not an issue currently.</w:t>
      </w:r>
      <w:bookmarkEnd w:id="96"/>
    </w:p>
    <w:bookmarkStart w:id="97" w:name="_Ref106868332"/>
    <w:p w14:paraId="100EDCE1" w14:textId="52FBA7A2" w:rsidR="00B92BA6" w:rsidRPr="00447576" w:rsidRDefault="003F260C" w:rsidP="0069032C">
      <w:pPr>
        <w:pStyle w:val="Numberedparagraph"/>
      </w:pPr>
      <w:r>
        <w:fldChar w:fldCharType="begin"/>
      </w:r>
      <w:r>
        <w:instrText xml:space="preserve"> HYPERLINK "https://www.bakom.admin.ch/bakom/en/homepage/frequencies-and-antennas/award-of-mobile-telephony-frequencies/starting-signal-for-new-award-of-mobile-radio-frequencies.html" </w:instrText>
      </w:r>
      <w:r>
        <w:fldChar w:fldCharType="separate"/>
      </w:r>
      <w:r w:rsidRPr="003F260C">
        <w:rPr>
          <w:rStyle w:val="Hyperlink"/>
        </w:rPr>
        <w:t>Auctions</w:t>
      </w:r>
      <w:r>
        <w:fldChar w:fldCharType="end"/>
      </w:r>
      <w:r>
        <w:t xml:space="preserve"> for 5G occurred in early 2019 for the 700 MHz and 3.5</w:t>
      </w:r>
      <w:r w:rsidR="00A273B3">
        <w:t xml:space="preserve">-3.8 </w:t>
      </w:r>
      <w:r>
        <w:t>GHz bands.</w:t>
      </w:r>
      <w:r w:rsidR="00AE2754">
        <w:t xml:space="preserve"> Technical conditions such as power limits are not specifically referenced in the tender </w:t>
      </w:r>
      <w:hyperlink r:id="rId145" w:history="1">
        <w:r w:rsidR="00AE2754" w:rsidRPr="00AE2754">
          <w:rPr>
            <w:rStyle w:val="Hyperlink"/>
          </w:rPr>
          <w:t>document</w:t>
        </w:r>
      </w:hyperlink>
      <w:r w:rsidR="00AE2754">
        <w:t xml:space="preserve">, but refer to CEPT documents and recommendations. However, no specific mitigations appear to be required for </w:t>
      </w:r>
      <w:r w:rsidR="00D4562C">
        <w:t>RAs</w:t>
      </w:r>
      <w:r w:rsidR="00AE2754">
        <w:t xml:space="preserve">, excepting the note at </w:t>
      </w:r>
      <w:r w:rsidR="00AE2754" w:rsidRPr="00077BB0">
        <w:rPr>
          <w:i/>
          <w:iCs/>
        </w:rPr>
        <w:fldChar w:fldCharType="begin"/>
      </w:r>
      <w:r w:rsidR="00AE2754" w:rsidRPr="005B51FD">
        <w:rPr>
          <w:i/>
          <w:iCs/>
        </w:rPr>
        <w:instrText xml:space="preserve"> REF _Ref106867950 \r \h </w:instrText>
      </w:r>
      <w:r w:rsidR="00AE2754">
        <w:rPr>
          <w:i/>
          <w:iCs/>
        </w:rPr>
        <w:instrText xml:space="preserve"> \* MERGEFORMAT </w:instrText>
      </w:r>
      <w:r w:rsidR="00AE2754" w:rsidRPr="00077BB0">
        <w:rPr>
          <w:i/>
          <w:iCs/>
        </w:rPr>
      </w:r>
      <w:r w:rsidR="00AE2754" w:rsidRPr="00077BB0">
        <w:rPr>
          <w:i/>
          <w:iCs/>
        </w:rPr>
        <w:fldChar w:fldCharType="separate"/>
      </w:r>
      <w:r w:rsidR="009C0E98">
        <w:rPr>
          <w:i/>
          <w:iCs/>
        </w:rPr>
        <w:t>7.34</w:t>
      </w:r>
      <w:r w:rsidR="00AE2754" w:rsidRPr="00077BB0">
        <w:rPr>
          <w:i/>
          <w:iCs/>
        </w:rPr>
        <w:fldChar w:fldCharType="end"/>
      </w:r>
      <w:r w:rsidR="00AE2754" w:rsidRPr="005B51FD">
        <w:rPr>
          <w:i/>
          <w:iCs/>
        </w:rPr>
        <w:t xml:space="preserve"> </w:t>
      </w:r>
      <w:r w:rsidR="00AE2754">
        <w:t>above.</w:t>
      </w:r>
      <w:bookmarkEnd w:id="97"/>
    </w:p>
    <w:p w14:paraId="643B70B7" w14:textId="77777777" w:rsidR="0069032C" w:rsidRDefault="0069032C" w:rsidP="0069032C">
      <w:pPr>
        <w:pStyle w:val="Heading2"/>
      </w:pPr>
      <w:bookmarkStart w:id="98" w:name="_Toc116041907"/>
      <w:bookmarkStart w:id="99" w:name="_Hlk108007770"/>
      <w:r>
        <w:t>Canada</w:t>
      </w:r>
      <w:bookmarkEnd w:id="98"/>
    </w:p>
    <w:p w14:paraId="4D48C4D7" w14:textId="0D30747C" w:rsidR="00897A17" w:rsidRDefault="00897A17" w:rsidP="004D3483">
      <w:pPr>
        <w:pStyle w:val="Numberedparagraph"/>
      </w:pPr>
      <w:r>
        <w:t xml:space="preserve">The Canadian regulator, the Department of </w:t>
      </w:r>
      <w:r w:rsidRPr="00327060">
        <w:t>Innovation, Science and Economic Development</w:t>
      </w:r>
      <w:r>
        <w:t xml:space="preserve"> (ISED), made </w:t>
      </w:r>
      <w:hyperlink r:id="rId146" w:history="1">
        <w:r w:rsidRPr="00445B86">
          <w:rPr>
            <w:rStyle w:val="Hyperlink"/>
          </w:rPr>
          <w:t>decisions</w:t>
        </w:r>
      </w:hyperlink>
      <w:r>
        <w:t>, updated after consultation, in June 2021 about introducing WBB into the 3700-</w:t>
      </w:r>
      <w:r w:rsidR="007037A0">
        <w:t xml:space="preserve">3900 </w:t>
      </w:r>
      <w:r>
        <w:t>MHz and in 3450-3650 MHz</w:t>
      </w:r>
      <w:r w:rsidRPr="00646841">
        <w:t xml:space="preserve"> </w:t>
      </w:r>
      <w:r>
        <w:t xml:space="preserve">frequency ranges. They have been </w:t>
      </w:r>
      <w:hyperlink r:id="rId147" w:history="1">
        <w:r w:rsidRPr="0044582D">
          <w:rPr>
            <w:rStyle w:val="Hyperlink"/>
          </w:rPr>
          <w:t>monitoring</w:t>
        </w:r>
      </w:hyperlink>
      <w:r>
        <w:t xml:space="preserve"> the radio altimeter issue in the latter range and extended a </w:t>
      </w:r>
      <w:hyperlink r:id="rId148" w:history="1">
        <w:r w:rsidRPr="0044582D">
          <w:rPr>
            <w:rStyle w:val="Hyperlink"/>
          </w:rPr>
          <w:t>consultation</w:t>
        </w:r>
      </w:hyperlink>
      <w:r>
        <w:t xml:space="preserve"> on </w:t>
      </w:r>
      <w:r w:rsidRPr="007F68A0">
        <w:t>revised</w:t>
      </w:r>
      <w:r>
        <w:t xml:space="preserve"> proposed technical operations. ISED conducted their own studies and looked at the international situation. After review, they proposed an approach, similar to France, of </w:t>
      </w:r>
      <w:hyperlink r:id="rId149" w:history="1">
        <w:r w:rsidRPr="003E307F">
          <w:rPr>
            <w:rStyle w:val="Hyperlink"/>
          </w:rPr>
          <w:t>exclusion</w:t>
        </w:r>
      </w:hyperlink>
      <w:r>
        <w:t xml:space="preserve"> zones and </w:t>
      </w:r>
      <w:hyperlink r:id="rId150" w:history="1">
        <w:r w:rsidRPr="003E307F">
          <w:rPr>
            <w:rStyle w:val="Hyperlink"/>
          </w:rPr>
          <w:t>protection</w:t>
        </w:r>
      </w:hyperlink>
      <w:r>
        <w:t xml:space="preserve"> zones, the latter with a specified PFD limit to apply. This is initially in the range 3450-3650 MHz, and they are still </w:t>
      </w:r>
      <w:hyperlink r:id="rId151" w:history="1">
        <w:r w:rsidRPr="003E0103">
          <w:rPr>
            <w:rStyle w:val="Hyperlink"/>
          </w:rPr>
          <w:t>consulting</w:t>
        </w:r>
      </w:hyperlink>
      <w:r>
        <w:t xml:space="preserve"> on </w:t>
      </w:r>
      <w:r w:rsidR="002A7A89">
        <w:t>their 3.8 GHz band (</w:t>
      </w:r>
      <w:r>
        <w:t>3650-39</w:t>
      </w:r>
      <w:r w:rsidR="002A7A89">
        <w:t>0</w:t>
      </w:r>
      <w:r>
        <w:t>0 MHz</w:t>
      </w:r>
      <w:r w:rsidR="002A7A89">
        <w:t>)</w:t>
      </w:r>
      <w:r>
        <w:t>, but are proposing to extend the mitigations up to 3900 MHz. Indoor stations are exempt from the mitigation requirements. To further manage issues with military and emergency service helicopters, with insufficient information of their altimeter fleets at this time, ISED has proposed a national antenna down-tilt/vertical scan requirement. They are currently scheduled to auction the 3800 MHz band in Q1 2023.</w:t>
      </w:r>
    </w:p>
    <w:p w14:paraId="5B1D300A" w14:textId="2B888E49" w:rsidR="00430AC3" w:rsidRDefault="00430AC3">
      <w:pPr>
        <w:pStyle w:val="Numberedparagraph"/>
      </w:pPr>
      <w:r>
        <w:t>The revised “</w:t>
      </w:r>
      <w:hyperlink r:id="rId152" w:history="1">
        <w:r w:rsidRPr="001B71F1">
          <w:rPr>
            <w:rStyle w:val="Hyperlink"/>
          </w:rPr>
          <w:t>SRSP-520</w:t>
        </w:r>
      </w:hyperlink>
      <w:r w:rsidRPr="00B342B5">
        <w:t xml:space="preserve"> — Technical Requirements for Fixed and/or Mobile Systems, Including Flexible Use Broadband Systems, in the Band 3450-3650 MHz</w:t>
      </w:r>
      <w:r>
        <w:t xml:space="preserve">” was </w:t>
      </w:r>
      <w:hyperlink r:id="rId153" w:history="1">
        <w:r w:rsidRPr="001116C9">
          <w:rPr>
            <w:rStyle w:val="Hyperlink"/>
          </w:rPr>
          <w:t>published</w:t>
        </w:r>
      </w:hyperlink>
      <w:r>
        <w:t xml:space="preserve"> in November 2021.</w:t>
      </w:r>
    </w:p>
    <w:p w14:paraId="30C745AF" w14:textId="448950B1" w:rsidR="007037A0" w:rsidRDefault="007037A0">
      <w:pPr>
        <w:pStyle w:val="Numberedparagraph"/>
      </w:pPr>
      <w:r>
        <w:t xml:space="preserve">In August 2022 ISED commenced a </w:t>
      </w:r>
      <w:hyperlink r:id="rId154" w:history="1">
        <w:r>
          <w:rPr>
            <w:rStyle w:val="Hyperlink"/>
          </w:rPr>
          <w:t>consultation</w:t>
        </w:r>
      </w:hyperlink>
      <w:r>
        <w:t xml:space="preserve"> on a non-competitive local licensing (NCL) framework for the 3900-3980 MHz band. In the consultation it proposes, in the interim, to extend the mitigations proposed for 3450-3650 MHz and 3700-3900 MHz segments to the 3900-3980 MHz NCL segment.</w:t>
      </w:r>
    </w:p>
    <w:p w14:paraId="373DB5A7" w14:textId="3CA7B10F" w:rsidR="003B3EDE" w:rsidRPr="00D379F3" w:rsidRDefault="003B3EDE" w:rsidP="003B3EDE">
      <w:pPr>
        <w:pStyle w:val="Numberedparagraph"/>
        <w:rPr>
          <w:u w:val="single"/>
        </w:rPr>
      </w:pPr>
      <w:r w:rsidRPr="00D379F3">
        <w:rPr>
          <w:u w:val="single"/>
        </w:rPr>
        <w:t>General restrictions</w:t>
      </w:r>
      <w:r w:rsidR="00430AC3">
        <w:rPr>
          <w:u w:val="single"/>
        </w:rPr>
        <w:t xml:space="preserve"> for radio altimeters</w:t>
      </w:r>
    </w:p>
    <w:p w14:paraId="19DE9167" w14:textId="77777777" w:rsidR="00430AC3" w:rsidRDefault="00430AC3" w:rsidP="00430AC3">
      <w:pPr>
        <w:pStyle w:val="Numberedparagraph"/>
      </w:pPr>
      <w:r>
        <w:t xml:space="preserve">Outdoor non-AAS and AAS </w:t>
      </w:r>
      <w:r w:rsidRPr="004771AD">
        <w:rPr>
          <w:i/>
          <w:iCs/>
        </w:rPr>
        <w:t>fixed point-to-point and point-to-multipoint stations</w:t>
      </w:r>
      <w:r>
        <w:t xml:space="preserve"> operating with a positive angle with reference to the horizon (i.e. above) shall not exceed a maximum EIRP of 55 dBm/5 MHz. </w:t>
      </w:r>
      <w:r w:rsidRPr="004B3CC3">
        <w:t>For stations with a channel bandwidth less than 5 MHz, the maximum e.i.r.p. shall not exceed 48 dBm/MHz. The e.i.r.p. of AAS fixed point-to-point and point-to-multipoint stations shall be calculated as follows:</w:t>
      </w:r>
    </w:p>
    <w:p w14:paraId="0A7CE627" w14:textId="77777777" w:rsidR="00430AC3" w:rsidRDefault="00430AC3" w:rsidP="00430AC3">
      <w:pPr>
        <w:pStyle w:val="Numberedparagraph"/>
        <w:numPr>
          <w:ilvl w:val="0"/>
          <w:numId w:val="0"/>
        </w:numPr>
        <w:jc w:val="center"/>
      </w:pPr>
      <w:r w:rsidRPr="00EF5904">
        <w:rPr>
          <w:noProof/>
        </w:rPr>
        <w:drawing>
          <wp:inline distT="0" distB="0" distL="0" distR="0" wp14:anchorId="74960F73" wp14:editId="3BDBB234">
            <wp:extent cx="2828925" cy="317807"/>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871203" cy="322557"/>
                    </a:xfrm>
                    <a:prstGeom prst="rect">
                      <a:avLst/>
                    </a:prstGeom>
                  </pic:spPr>
                </pic:pic>
              </a:graphicData>
            </a:graphic>
          </wp:inline>
        </w:drawing>
      </w:r>
    </w:p>
    <w:p w14:paraId="0D9EC7C7" w14:textId="77777777" w:rsidR="003B3EDE" w:rsidRDefault="003B3EDE" w:rsidP="003B3EDE">
      <w:pPr>
        <w:pStyle w:val="Numberedparagraph"/>
      </w:pPr>
      <w:r>
        <w:t>Outdoor non-AAS and AAS base stations are required to operate their antenna systems at a negative elevation angle with reference to the horizon. Operators of AAS base stations are prohibited from vertical scanning (i.e., directing energy from antenna elements to form beams) at positive elevation angles with reference to the horizon.</w:t>
      </w:r>
    </w:p>
    <w:p w14:paraId="1F62C934" w14:textId="77777777" w:rsidR="003B3EDE" w:rsidRDefault="003B3EDE" w:rsidP="003B3EDE">
      <w:pPr>
        <w:pStyle w:val="Numberedparagraph"/>
      </w:pPr>
      <w:r>
        <w:t>No licensee may operate a station within an exclusion zone.</w:t>
      </w:r>
    </w:p>
    <w:p w14:paraId="2BCD944D" w14:textId="77777777" w:rsidR="003B3EDE" w:rsidRDefault="003B3EDE" w:rsidP="003B3EDE">
      <w:pPr>
        <w:pStyle w:val="Numberedparagraph"/>
      </w:pPr>
      <w:r>
        <w:t>The provisions do not apply to indoor stations.</w:t>
      </w:r>
    </w:p>
    <w:p w14:paraId="08BF2199" w14:textId="77777777" w:rsidR="003B3EDE" w:rsidRPr="00D379F3" w:rsidRDefault="003B3EDE" w:rsidP="003B3EDE">
      <w:pPr>
        <w:pStyle w:val="Numberedparagraph"/>
        <w:rPr>
          <w:u w:val="single"/>
        </w:rPr>
      </w:pPr>
      <w:r w:rsidRPr="00D379F3">
        <w:rPr>
          <w:u w:val="single"/>
        </w:rPr>
        <w:t>Exclusion zone definition</w:t>
      </w:r>
    </w:p>
    <w:p w14:paraId="277892F8" w14:textId="77777777" w:rsidR="003B3EDE" w:rsidRDefault="003B3EDE" w:rsidP="003B3EDE">
      <w:pPr>
        <w:pStyle w:val="Numberedparagraph"/>
      </w:pPr>
      <w:r>
        <w:t>The exclusion zones are rectangular areas around airport runways where automated landing is authorized in Canada. The exclusion zones extend 910 metres on either side of the runway edge and 2100 metres from the runway thresholds.</w:t>
      </w:r>
    </w:p>
    <w:p w14:paraId="57AB0A43" w14:textId="77777777" w:rsidR="003B3EDE" w:rsidRPr="00D379F3" w:rsidRDefault="003B3EDE" w:rsidP="003B3EDE">
      <w:pPr>
        <w:pStyle w:val="Numberedparagraph"/>
        <w:rPr>
          <w:u w:val="single"/>
        </w:rPr>
      </w:pPr>
      <w:r w:rsidRPr="00D379F3">
        <w:rPr>
          <w:u w:val="single"/>
        </w:rPr>
        <w:t>Protected zone definition</w:t>
      </w:r>
    </w:p>
    <w:p w14:paraId="57B581D5" w14:textId="77777777" w:rsidR="003B3EDE" w:rsidRDefault="003B3EDE" w:rsidP="003B3EDE">
      <w:pPr>
        <w:pStyle w:val="Numberedparagraph"/>
      </w:pPr>
      <w:r>
        <w:t>The protection zones are rectangular areas that extend from the edge of the exclusion zones. For each runway there are two protection zones, each extending from either end of an exclusion zone. A protection zone is 1000 metres wide and extends 6100 metres from each end of an exclusion zone.</w:t>
      </w:r>
    </w:p>
    <w:p w14:paraId="6942ABE2" w14:textId="77777777" w:rsidR="003B3EDE" w:rsidRPr="00D379F3" w:rsidRDefault="003B3EDE" w:rsidP="003B3EDE">
      <w:pPr>
        <w:pStyle w:val="Numberedparagraph"/>
        <w:rPr>
          <w:u w:val="single"/>
        </w:rPr>
      </w:pPr>
      <w:r w:rsidRPr="00D379F3">
        <w:rPr>
          <w:u w:val="single"/>
        </w:rPr>
        <w:t>Technical and operational requirements in protection zones</w:t>
      </w:r>
    </w:p>
    <w:p w14:paraId="3DC8DF55" w14:textId="77777777" w:rsidR="003B3EDE" w:rsidRDefault="003B3EDE" w:rsidP="003B3EDE">
      <w:pPr>
        <w:pStyle w:val="Numberedparagraph"/>
      </w:pPr>
      <w:r>
        <w:t>All outdoor fixed (wireless access) and base stations operating within the protection zones must not exceed a PFD limit of -38.80 dBW/m</w:t>
      </w:r>
      <w:r w:rsidRPr="00257BC6">
        <w:rPr>
          <w:vertAlign w:val="superscript"/>
        </w:rPr>
        <w:t>2</w:t>
      </w:r>
      <w:r>
        <w:t xml:space="preserve"> in 1 MHz at a height of 91.44 metres (300 feet) above ground. The PFD limit shall be satisfied 100% of the time and be evaluated for all combinations of elevation and azimuth angles above the horizon relative to the location of the fixed or base station.</w:t>
      </w:r>
    </w:p>
    <w:p w14:paraId="57600980" w14:textId="34743B3F" w:rsidR="0069032C" w:rsidRDefault="003B3EDE" w:rsidP="003B3EDE">
      <w:pPr>
        <w:pStyle w:val="Numberedparagraph"/>
      </w:pPr>
      <w:r>
        <w:t>In cases of overlap between the exclusion zone and the protection zone, the exclusion zone takes precedence.</w:t>
      </w:r>
    </w:p>
    <w:p w14:paraId="74251041" w14:textId="0FE3AEC3" w:rsidR="00430AC3" w:rsidRPr="00D379F3" w:rsidRDefault="00430AC3" w:rsidP="00430AC3">
      <w:pPr>
        <w:pStyle w:val="Numberedparagraph"/>
        <w:rPr>
          <w:u w:val="single"/>
        </w:rPr>
      </w:pPr>
      <w:r>
        <w:rPr>
          <w:u w:val="single"/>
        </w:rPr>
        <w:t>Other t</w:t>
      </w:r>
      <w:r w:rsidRPr="00D379F3">
        <w:rPr>
          <w:u w:val="single"/>
        </w:rPr>
        <w:t xml:space="preserve">echnical </w:t>
      </w:r>
      <w:r>
        <w:rPr>
          <w:u w:val="single"/>
        </w:rPr>
        <w:t>limits for non-AAS systems unrelated to radio altimeters (not complete, see the SRSP)</w:t>
      </w:r>
    </w:p>
    <w:p w14:paraId="6A119E13" w14:textId="27F1CBF2" w:rsidR="00430AC3" w:rsidRDefault="00430AC3" w:rsidP="003B3EDE">
      <w:pPr>
        <w:pStyle w:val="Numberedparagraph"/>
      </w:pPr>
      <w:r w:rsidRPr="00430AC3">
        <w:t>For fixed point-to-point (P-P) stations and flexible use base stations transmitting in accordance with section 6 of this SRSP within the frequency range 3450-3650 MHz with a channel bandwidth equal to or greater than 5 MHz, the maximum permissible e.i.r.p. is 68 dBm/5 MHz (i.e. no more than 68 dBm e.i.r.p. in any 5 MHz band segment) for stations with an antenna height above average terrain (HAAT) of up to 305 metres. For stations with a channel bandwidth less than 5 MHz, the maximum permissible e.i.r.p. is 61 dBm/MHz.</w:t>
      </w:r>
    </w:p>
    <w:p w14:paraId="0229D710" w14:textId="02F1AAE6" w:rsidR="00430AC3" w:rsidRDefault="00430AC3" w:rsidP="003B3EDE">
      <w:pPr>
        <w:pStyle w:val="Numberedparagraph"/>
      </w:pPr>
      <w:r w:rsidRPr="00430AC3">
        <w:t>For all installations with an antenna HAAT of more than 305 metres, a corresponding reduction in e.i.r.p. according to the following formula shall be applied:</w:t>
      </w:r>
    </w:p>
    <w:p w14:paraId="0C35E325" w14:textId="182AC0CD" w:rsidR="00430AC3" w:rsidRPr="00077BB0" w:rsidRDefault="00430AC3" w:rsidP="00430AC3">
      <w:pPr>
        <w:pStyle w:val="Numberedparagraph"/>
        <w:numPr>
          <w:ilvl w:val="0"/>
          <w:numId w:val="0"/>
        </w:numPr>
        <w:ind w:left="-567" w:firstLine="567"/>
        <w:jc w:val="center"/>
        <w:rPr>
          <w:rStyle w:val="mi"/>
          <w:rFonts w:ascii="MathJax_Math-italic" w:hAnsi="MathJax_Math-italic" w:cs="Noto Sans"/>
          <w:color w:val="333333"/>
          <w:sz w:val="31"/>
          <w:szCs w:val="28"/>
          <w:bdr w:val="none" w:sz="0" w:space="0" w:color="auto" w:frame="1"/>
          <w:shd w:val="clear" w:color="auto" w:fill="FFFFFF"/>
        </w:rPr>
      </w:pPr>
      <w:r w:rsidRPr="00077BB0">
        <w:rPr>
          <w:rStyle w:val="mi"/>
          <w:rFonts w:ascii="MathJax_Math-italic" w:hAnsi="MathJax_Math-italic" w:cs="Noto Sans"/>
          <w:color w:val="333333"/>
          <w:sz w:val="31"/>
          <w:szCs w:val="28"/>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i</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r</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Cs w:val="20"/>
          <w:bdr w:val="none" w:sz="0" w:space="0" w:color="auto" w:frame="1"/>
          <w:shd w:val="clear" w:color="auto" w:fill="FFFFFF"/>
        </w:rPr>
        <w:t>reduction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20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HAAT</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305</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dB</w:t>
      </w:r>
    </w:p>
    <w:p w14:paraId="4A240755" w14:textId="20FAA9AF" w:rsidR="00430AC3" w:rsidRDefault="00430AC3" w:rsidP="00430AC3">
      <w:pPr>
        <w:pStyle w:val="Numberedparagraph"/>
        <w:rPr>
          <w:u w:val="single"/>
        </w:rPr>
      </w:pPr>
      <w:r>
        <w:rPr>
          <w:u w:val="single"/>
        </w:rPr>
        <w:t>Other t</w:t>
      </w:r>
      <w:r w:rsidRPr="00D379F3">
        <w:rPr>
          <w:u w:val="single"/>
        </w:rPr>
        <w:t xml:space="preserve">echnical </w:t>
      </w:r>
      <w:r>
        <w:rPr>
          <w:u w:val="single"/>
        </w:rPr>
        <w:t>limits for AAS systems unrelated to radio altimeters (not complete, see the SRSP)</w:t>
      </w:r>
    </w:p>
    <w:p w14:paraId="477D14DE" w14:textId="6E760DF7" w:rsidR="00430AC3" w:rsidRDefault="0088715D" w:rsidP="00430AC3">
      <w:pPr>
        <w:pStyle w:val="Numberedparagraph"/>
      </w:pPr>
      <w:r w:rsidRPr="00077BB0">
        <w:t>For flexible use base stations transmitting in accordance with section 6 of this SRSP within the frequency range 3450-3650 MHz with a channel bandwidth equal to or greater than 5 MHz, the maximum permissible TRP is 47 dBm/5 MHz (i.e. no more than 47 dBm TRP in any 5 MHz band segment). For stations with a channel bandwidth less than 5 MHz, the maximum permissible TRP is 40 dBm/MHz.</w:t>
      </w:r>
    </w:p>
    <w:p w14:paraId="3D0590D9" w14:textId="663EBBE9" w:rsidR="0088715D" w:rsidRDefault="0088715D" w:rsidP="0088715D">
      <w:pPr>
        <w:pStyle w:val="Numberedparagraph"/>
      </w:pPr>
      <w:r>
        <w:t>Antenna height limits shall apply based on equivalent e.i.r.p. of the AAS antenna system. The equivalent e.i.r.p. in dBm/5 MHz shall be calculated as follows.</w:t>
      </w:r>
    </w:p>
    <w:p w14:paraId="0FBBD834" w14:textId="5C201B0A" w:rsidR="0088715D" w:rsidRPr="00077BB0" w:rsidRDefault="0088715D" w:rsidP="00077BB0">
      <w:pPr>
        <w:pStyle w:val="Numberedparagraph"/>
        <w:numPr>
          <w:ilvl w:val="0"/>
          <w:numId w:val="0"/>
        </w:numPr>
        <w:ind w:left="-567"/>
        <w:jc w:val="center"/>
        <w:rPr>
          <w:sz w:val="14"/>
          <w:szCs w:val="18"/>
        </w:rPr>
      </w:pP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i</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r</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Cs w:val="20"/>
          <w:bdr w:val="none" w:sz="0" w:space="0" w:color="auto" w:frame="1"/>
          <w:shd w:val="clear" w:color="auto" w:fill="FFFFFF"/>
        </w:rPr>
        <w:t>eq</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TRP</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G</w:t>
      </w:r>
      <w:r w:rsidRPr="00077BB0">
        <w:rPr>
          <w:rStyle w:val="mi"/>
          <w:rFonts w:ascii="MathJax_Math-italic" w:hAnsi="MathJax_Math-italic" w:cs="Noto Sans"/>
          <w:color w:val="333333"/>
          <w:szCs w:val="20"/>
          <w:bdr w:val="none" w:sz="0" w:space="0" w:color="auto" w:frame="1"/>
          <w:shd w:val="clear" w:color="auto" w:fill="FFFFFF"/>
        </w:rPr>
        <w:t>e</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10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min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N</w:t>
      </w:r>
      <w:r w:rsidRPr="00077BB0">
        <w:rPr>
          <w:rStyle w:val="mi"/>
          <w:rFonts w:ascii="MathJax_Math-italic" w:hAnsi="MathJax_Math-italic" w:cs="Noto Sans"/>
          <w:color w:val="333333"/>
          <w:szCs w:val="20"/>
          <w:bdr w:val="none" w:sz="0" w:space="0" w:color="auto" w:frame="1"/>
          <w:shd w:val="clear" w:color="auto" w:fill="FFFFFF"/>
        </w:rPr>
        <w:t>Tx</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8</w:t>
      </w:r>
      <w:r w:rsidRPr="00077BB0">
        <w:rPr>
          <w:rStyle w:val="mo"/>
          <w:rFonts w:ascii="MathJax_Main" w:hAnsi="MathJax_Main" w:cs="Noto Sans"/>
          <w:color w:val="333333"/>
          <w:sz w:val="31"/>
          <w:szCs w:val="28"/>
          <w:bdr w:val="none" w:sz="0" w:space="0" w:color="auto" w:frame="1"/>
          <w:shd w:val="clear" w:color="auto" w:fill="FFFFFF"/>
        </w:rPr>
        <w:t>))</w:t>
      </w:r>
    </w:p>
    <w:p w14:paraId="6180E6F6" w14:textId="270EAA0C" w:rsidR="0088715D" w:rsidRDefault="0088715D" w:rsidP="0088715D">
      <w:pPr>
        <w:pStyle w:val="Numberedparagraph"/>
      </w:pPr>
      <w:r>
        <w:t>where Ge is the gain of one antenna element in dBi, NTX is the number of transmit antenna elements and TRP is measured in dBm/5 MHz. An equivalent e.i.r.p. of 68</w:t>
      </w:r>
      <w:r w:rsidR="008833A9">
        <w:t> </w:t>
      </w:r>
      <w:r>
        <w:t>dBm/5 MHz applies to an antenna installation with a HAAT of 305 metres or lower.</w:t>
      </w:r>
    </w:p>
    <w:p w14:paraId="336724DA" w14:textId="47E1A4CB" w:rsidR="0088715D" w:rsidRDefault="0088715D" w:rsidP="0088715D">
      <w:pPr>
        <w:pStyle w:val="Numberedparagraph"/>
      </w:pPr>
      <w:r>
        <w:t>For any installation with a HAAT above 305 metres, TRP shall be reduced according to the following formula:</w:t>
      </w:r>
    </w:p>
    <w:p w14:paraId="4202BCEF" w14:textId="1CD13EC3" w:rsidR="0088715D" w:rsidRPr="00077BB0" w:rsidRDefault="0088715D" w:rsidP="00077BB0">
      <w:pPr>
        <w:pStyle w:val="Numberedparagraph"/>
        <w:numPr>
          <w:ilvl w:val="0"/>
          <w:numId w:val="0"/>
        </w:numPr>
        <w:ind w:left="-567"/>
        <w:jc w:val="center"/>
        <w:rPr>
          <w:rStyle w:val="mi"/>
          <w:sz w:val="14"/>
          <w:szCs w:val="18"/>
        </w:rPr>
      </w:pPr>
      <w:r w:rsidRPr="00077BB0">
        <w:rPr>
          <w:rStyle w:val="mi"/>
          <w:rFonts w:ascii="MathJax_Math-italic" w:hAnsi="MathJax_Math-italic" w:cs="Noto Sans"/>
          <w:color w:val="333333"/>
          <w:sz w:val="31"/>
          <w:szCs w:val="28"/>
          <w:bdr w:val="none" w:sz="0" w:space="0" w:color="auto" w:frame="1"/>
          <w:shd w:val="clear" w:color="auto" w:fill="FFFFFF"/>
        </w:rPr>
        <w:t>TRP</w:t>
      </w:r>
      <w:r w:rsidRPr="00077BB0">
        <w:rPr>
          <w:rStyle w:val="mi"/>
          <w:rFonts w:ascii="MathJax_Math-italic" w:hAnsi="MathJax_Math-italic" w:cs="Noto Sans"/>
          <w:color w:val="333333"/>
          <w:szCs w:val="20"/>
          <w:bdr w:val="none" w:sz="0" w:space="0" w:color="auto" w:frame="1"/>
          <w:shd w:val="clear" w:color="auto" w:fill="FFFFFF"/>
        </w:rPr>
        <w:t>reduction</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20</w:t>
      </w:r>
      <w:r w:rsidRPr="00077BB0">
        <w:rPr>
          <w:rStyle w:val="mi"/>
          <w:rFonts w:ascii="MathJax_Math-italic" w:hAnsi="MathJax_Math-italic" w:cs="Noto Sans"/>
          <w:color w:val="333333"/>
          <w:sz w:val="31"/>
          <w:szCs w:val="28"/>
          <w:bdr w:val="none" w:sz="0" w:space="0" w:color="auto" w:frame="1"/>
          <w:shd w:val="clear" w:color="auto" w:fill="FFFFFF"/>
        </w:rPr>
        <w:t>log</w:t>
      </w:r>
      <w:r w:rsidRPr="00077BB0">
        <w:rPr>
          <w:rStyle w:val="mn"/>
          <w:rFonts w:ascii="MathJax_Main" w:hAnsi="MathJax_Main" w:cs="Noto Sans"/>
          <w:color w:val="333333"/>
          <w:szCs w:val="20"/>
          <w:bdr w:val="none" w:sz="0" w:space="0" w:color="auto" w:frame="1"/>
          <w:shd w:val="clear" w:color="auto" w:fill="FFFFFF"/>
        </w:rPr>
        <w:t>10</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HAAT</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n"/>
          <w:rFonts w:ascii="MathJax_Main" w:hAnsi="MathJax_Main" w:cs="Noto Sans"/>
          <w:color w:val="333333"/>
          <w:sz w:val="31"/>
          <w:szCs w:val="28"/>
          <w:bdr w:val="none" w:sz="0" w:space="0" w:color="auto" w:frame="1"/>
          <w:shd w:val="clear" w:color="auto" w:fill="FFFFFF"/>
        </w:rPr>
        <w:t>305</w:t>
      </w:r>
      <w:r w:rsidRPr="00077BB0">
        <w:rPr>
          <w:rStyle w:val="mo"/>
          <w:rFonts w:ascii="MathJax_Main" w:hAnsi="MathJax_Main" w:cs="Noto Sans"/>
          <w:color w:val="333333"/>
          <w:sz w:val="31"/>
          <w:szCs w:val="28"/>
          <w:bdr w:val="none" w:sz="0" w:space="0" w:color="auto" w:frame="1"/>
          <w:shd w:val="clear" w:color="auto" w:fill="FFFFFF"/>
        </w:rPr>
        <w:t>)</w:t>
      </w:r>
      <w:r w:rsidRPr="00077BB0">
        <w:rPr>
          <w:rStyle w:val="mi"/>
          <w:rFonts w:ascii="MathJax_Math-italic" w:hAnsi="MathJax_Math-italic" w:cs="Noto Sans"/>
          <w:color w:val="333333"/>
          <w:sz w:val="31"/>
          <w:szCs w:val="28"/>
          <w:bdr w:val="none" w:sz="0" w:space="0" w:color="auto" w:frame="1"/>
          <w:shd w:val="clear" w:color="auto" w:fill="FFFFFF"/>
        </w:rPr>
        <w:t>dB</w:t>
      </w:r>
    </w:p>
    <w:p w14:paraId="22618281" w14:textId="02FAD42F" w:rsidR="00DE7D88" w:rsidRPr="00077BB0" w:rsidRDefault="00DE7D88">
      <w:pPr>
        <w:pStyle w:val="Numberedparagraph"/>
      </w:pPr>
      <w:r>
        <w:t xml:space="preserve">Unwanted emissions limits are documented in Tables 2 and 3 of </w:t>
      </w:r>
      <w:hyperlink r:id="rId156" w:history="1">
        <w:r w:rsidRPr="00DE7D88">
          <w:rPr>
            <w:rStyle w:val="Hyperlink"/>
          </w:rPr>
          <w:t>RS-192</w:t>
        </w:r>
      </w:hyperlink>
      <w:r>
        <w:t>:</w:t>
      </w:r>
      <w:r w:rsidR="00EB6634" w:rsidRPr="00EB6634">
        <w:rPr>
          <w:noProof/>
        </w:rPr>
        <w:t xml:space="preserve"> </w:t>
      </w:r>
      <w:r w:rsidR="00EB6634" w:rsidRPr="00EB6634">
        <w:rPr>
          <w:noProof/>
        </w:rPr>
        <w:drawing>
          <wp:inline distT="0" distB="0" distL="0" distR="0" wp14:anchorId="53F319D5" wp14:editId="11C3679E">
            <wp:extent cx="4871085" cy="3248660"/>
            <wp:effectExtent l="0" t="0" r="5715"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871085" cy="3248660"/>
                    </a:xfrm>
                    <a:prstGeom prst="rect">
                      <a:avLst/>
                    </a:prstGeom>
                  </pic:spPr>
                </pic:pic>
              </a:graphicData>
            </a:graphic>
          </wp:inline>
        </w:drawing>
      </w:r>
      <w:r w:rsidR="00EB6634" w:rsidRPr="00EB6634">
        <w:rPr>
          <w:noProof/>
        </w:rPr>
        <w:drawing>
          <wp:inline distT="0" distB="0" distL="0" distR="0" wp14:anchorId="6BAAD08F" wp14:editId="21122D40">
            <wp:extent cx="4871085" cy="1465580"/>
            <wp:effectExtent l="0" t="0" r="5715"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871085" cy="1465580"/>
                    </a:xfrm>
                    <a:prstGeom prst="rect">
                      <a:avLst/>
                    </a:prstGeom>
                  </pic:spPr>
                </pic:pic>
              </a:graphicData>
            </a:graphic>
          </wp:inline>
        </w:drawing>
      </w:r>
    </w:p>
    <w:p w14:paraId="0A841D38" w14:textId="77777777" w:rsidR="00897A17" w:rsidRDefault="00897A17" w:rsidP="00D379F3">
      <w:pPr>
        <w:pStyle w:val="Heading2"/>
      </w:pPr>
      <w:bookmarkStart w:id="100" w:name="_Toc94603269"/>
      <w:bookmarkStart w:id="101" w:name="_Toc116041908"/>
      <w:bookmarkEnd w:id="99"/>
      <w:r>
        <w:t>Belgium</w:t>
      </w:r>
      <w:bookmarkEnd w:id="100"/>
      <w:bookmarkEnd w:id="101"/>
    </w:p>
    <w:p w14:paraId="18AEF1EF" w14:textId="2B8D4281" w:rsidR="00897A17" w:rsidRDefault="00897A17">
      <w:pPr>
        <w:pStyle w:val="Numberedparagraph"/>
      </w:pPr>
      <w:r>
        <w:t xml:space="preserve">The Belgian regulator, the </w:t>
      </w:r>
      <w:r w:rsidRPr="00327060">
        <w:t>Institute for Postal Services and Telecommunications</w:t>
      </w:r>
      <w:r>
        <w:t xml:space="preserve"> (</w:t>
      </w:r>
      <w:r w:rsidR="002A24EA">
        <w:t>BI</w:t>
      </w:r>
      <w:r>
        <w:t xml:space="preserve">PT), </w:t>
      </w:r>
      <w:hyperlink r:id="rId159" w:history="1">
        <w:r w:rsidRPr="00077BB0">
          <w:rPr>
            <w:color w:val="0070C0"/>
            <w:u w:val="single"/>
          </w:rPr>
          <w:t>consulted</w:t>
        </w:r>
      </w:hyperlink>
      <w:r w:rsidRPr="00077BB0">
        <w:rPr>
          <w:color w:val="0070C0"/>
        </w:rPr>
        <w:t xml:space="preserve"> </w:t>
      </w:r>
      <w:r w:rsidRPr="00D379F3">
        <w:footnoteReference w:id="17"/>
      </w:r>
      <w:r>
        <w:t xml:space="preserve"> in April 2021 on a draft decision on revised technical conditions for the 3400-3800 MHz band. It is silent on coexistence with </w:t>
      </w:r>
      <w:r w:rsidR="00D4562C">
        <w:t>RAs</w:t>
      </w:r>
      <w:r>
        <w:t>.</w:t>
      </w:r>
    </w:p>
    <w:p w14:paraId="7AB68B4A" w14:textId="355EA639" w:rsidR="00782FD6" w:rsidRDefault="00782FD6">
      <w:pPr>
        <w:pStyle w:val="Numberedparagraph"/>
      </w:pPr>
      <w:r>
        <w:t xml:space="preserve">Note that, in Belgium, a station </w:t>
      </w:r>
      <w:hyperlink r:id="rId160" w:history="1">
        <w:r w:rsidRPr="00782FD6">
          <w:rPr>
            <w:rStyle w:val="Hyperlink"/>
          </w:rPr>
          <w:t>authorisation</w:t>
        </w:r>
      </w:hyperlink>
      <w:r>
        <w:t xml:space="preserve"> is required in order to operate a radio altimeter.</w:t>
      </w:r>
    </w:p>
    <w:p w14:paraId="3C75E662" w14:textId="7152C7D6" w:rsidR="00520432" w:rsidRDefault="00520432" w:rsidP="00520432">
      <w:pPr>
        <w:pStyle w:val="Heading2"/>
      </w:pPr>
      <w:bookmarkStart w:id="102" w:name="_Toc116041909"/>
      <w:r>
        <w:t>Cze</w:t>
      </w:r>
      <w:r w:rsidR="00454046">
        <w:t>ch</w:t>
      </w:r>
      <w:r>
        <w:t>ia</w:t>
      </w:r>
      <w:bookmarkEnd w:id="102"/>
    </w:p>
    <w:p w14:paraId="0B1B96D3" w14:textId="042E5958" w:rsidR="00520432" w:rsidRDefault="00520432">
      <w:pPr>
        <w:pStyle w:val="Numberedparagraph"/>
      </w:pPr>
      <w:r>
        <w:t xml:space="preserve">In </w:t>
      </w:r>
      <w:r w:rsidR="00062ED4">
        <w:t xml:space="preserve">a </w:t>
      </w:r>
      <w:r w:rsidRPr="00520432">
        <w:t xml:space="preserve">November 2021 Safety </w:t>
      </w:r>
      <w:hyperlink r:id="rId161" w:history="1">
        <w:r w:rsidRPr="00520432">
          <w:rPr>
            <w:rStyle w:val="Hyperlink"/>
          </w:rPr>
          <w:t>Brief</w:t>
        </w:r>
      </w:hyperlink>
      <w:r>
        <w:t xml:space="preserve">, the Prague airport </w:t>
      </w:r>
      <w:r w:rsidR="005D5103">
        <w:t xml:space="preserve">said that they </w:t>
      </w:r>
      <w:r>
        <w:t>would respect the French safety and precaution zones, keeping them free of 5G transmitters.</w:t>
      </w:r>
    </w:p>
    <w:p w14:paraId="2FF1792B" w14:textId="2AC9109C" w:rsidR="00701509" w:rsidRDefault="00701509" w:rsidP="00701509">
      <w:pPr>
        <w:pStyle w:val="Heading2"/>
      </w:pPr>
      <w:bookmarkStart w:id="103" w:name="_Toc116041910"/>
      <w:r>
        <w:t>Saudi Arabia</w:t>
      </w:r>
      <w:bookmarkEnd w:id="103"/>
    </w:p>
    <w:p w14:paraId="5DC23BD0" w14:textId="0126263E" w:rsidR="00701509" w:rsidRDefault="00701509" w:rsidP="00701509">
      <w:pPr>
        <w:pStyle w:val="Numberedparagraph"/>
      </w:pPr>
      <w:r>
        <w:t xml:space="preserve">The Saudi regulator, CITC, </w:t>
      </w:r>
      <w:hyperlink r:id="rId162" w:history="1">
        <w:r w:rsidRPr="00701509">
          <w:rPr>
            <w:rStyle w:val="Hyperlink"/>
          </w:rPr>
          <w:t>consulted</w:t>
        </w:r>
      </w:hyperlink>
      <w:r>
        <w:t xml:space="preserve"> in April  2022 on the allocation of WBB in 3500-3800 MHz and 3800-4000 MHz ranges. While most proposed technical limits are unknown at this point:</w:t>
      </w:r>
    </w:p>
    <w:p w14:paraId="6E88A61E" w14:textId="5D2228E6" w:rsidR="00701509" w:rsidRDefault="00835D40" w:rsidP="00695A13">
      <w:pPr>
        <w:pStyle w:val="Numberedparagraph"/>
        <w:numPr>
          <w:ilvl w:val="0"/>
          <w:numId w:val="50"/>
        </w:numPr>
      </w:pPr>
      <w:r>
        <w:t>“</w:t>
      </w:r>
      <w:r w:rsidR="00701509">
        <w:t>There is an ongoing global discussion about the potential for IMT in 3800 – 4000 MHz to interfere with radio altimeters. CITC proposes to monitor the deployment of 3800 – 4000 MHz spectrum near airports. License holders are required to get approval from CITC of any planned deployments in the vicinity (Proposed: 200m) of runways as well as the approach and landing routes (Proposed:1km either side of a runway). Usage of the spectrum in these areas will be subject to specific protection parameters set by CITC, and that proposed vicinity distances are subject to change in the final IM based on ongoing co-existence studies. These approval distances are subject to change in future consultations.</w:t>
      </w:r>
      <w:r>
        <w:t>”</w:t>
      </w:r>
    </w:p>
    <w:p w14:paraId="21C04857" w14:textId="250D405C" w:rsidR="00EF668F" w:rsidRDefault="00EF668F" w:rsidP="00EF668F">
      <w:pPr>
        <w:pStyle w:val="Heading2"/>
      </w:pPr>
      <w:bookmarkStart w:id="104" w:name="_Toc116041911"/>
      <w:r>
        <w:t>Brazil</w:t>
      </w:r>
      <w:bookmarkEnd w:id="104"/>
    </w:p>
    <w:p w14:paraId="68A3F796" w14:textId="68E76C27" w:rsidR="00EF668F" w:rsidRDefault="00EF668F" w:rsidP="00EF668F">
      <w:pPr>
        <w:pStyle w:val="Numberedparagraph"/>
      </w:pPr>
      <w:r>
        <w:t xml:space="preserve">The Belgian regulator, Anatel, made a new </w:t>
      </w:r>
      <w:hyperlink r:id="rId163" w:history="1">
        <w:r w:rsidRPr="00EF668F">
          <w:rPr>
            <w:rStyle w:val="Hyperlink"/>
          </w:rPr>
          <w:t>act</w:t>
        </w:r>
      </w:hyperlink>
      <w:r w:rsidR="00CB08C0">
        <w:t xml:space="preserve"> in 2021</w:t>
      </w:r>
      <w:r>
        <w:t xml:space="preserve"> for the </w:t>
      </w:r>
      <w:r w:rsidR="00CB08C0" w:rsidRPr="00CB08C0">
        <w:t>TECHNICAL AND OPERATIONAL REQUIREMENTS OF USE OF THE RANGE FROM 3,300 MH</w:t>
      </w:r>
      <w:r w:rsidR="00CB08C0">
        <w:t>z</w:t>
      </w:r>
      <w:r w:rsidR="00CB08C0" w:rsidRPr="00CB08C0">
        <w:t xml:space="preserve"> TO 3,700 MH</w:t>
      </w:r>
      <w:r w:rsidR="00CB08C0">
        <w:t>z.</w:t>
      </w:r>
      <w:r w:rsidR="00EC7306">
        <w:t xml:space="preserve"> This established the basic relevant technical limits of:</w:t>
      </w:r>
    </w:p>
    <w:p w14:paraId="5AD27743" w14:textId="16BCD3D3" w:rsidR="00EC7306" w:rsidRDefault="00EC7306" w:rsidP="00EC7306">
      <w:pPr>
        <w:pStyle w:val="Numberedparagraph"/>
        <w:numPr>
          <w:ilvl w:val="0"/>
          <w:numId w:val="50"/>
        </w:numPr>
      </w:pPr>
      <w:r>
        <w:t>For base stations, an EIRP limit of 65 dBm/10 MHz per plane of polarisation.</w:t>
      </w:r>
    </w:p>
    <w:p w14:paraId="7391B688" w14:textId="629EFD44" w:rsidR="00EC7306" w:rsidRDefault="00EC7306" w:rsidP="00EC7306">
      <w:pPr>
        <w:pStyle w:val="Numberedparagraph"/>
        <w:numPr>
          <w:ilvl w:val="0"/>
          <w:numId w:val="50"/>
        </w:numPr>
      </w:pPr>
      <w:r>
        <w:t xml:space="preserve">Relevant spurious emission limits for non-AAS base stations of </w:t>
      </w:r>
      <w:r w:rsidRPr="00EC7306">
        <w:t xml:space="preserve">at most </w:t>
      </w:r>
      <w:r w:rsidR="00663521">
        <w:noBreakHyphen/>
      </w:r>
      <w:r w:rsidRPr="00EC7306">
        <w:t>30</w:t>
      </w:r>
      <w:r w:rsidR="0014474B">
        <w:t> </w:t>
      </w:r>
      <w:r w:rsidRPr="00EC7306">
        <w:t>dBm/MHz per port in the frequency range from 1 GHz to 18.5 GHz, except for frequency bands from 3.74 GHz to 4.2 GHz and 4.5 GHz to 4.8 GHz which should be at a maximum of -52 dBm/MHz per port.</w:t>
      </w:r>
    </w:p>
    <w:p w14:paraId="725D16E2" w14:textId="4E402C2E" w:rsidR="00EC7306" w:rsidRDefault="00EC7306" w:rsidP="00257BC6">
      <w:pPr>
        <w:pStyle w:val="Numberedparagraph"/>
        <w:numPr>
          <w:ilvl w:val="0"/>
          <w:numId w:val="50"/>
        </w:numPr>
      </w:pPr>
      <w:r>
        <w:t xml:space="preserve">Relevant spurious emission limits for AAS base stations of </w:t>
      </w:r>
      <w:r w:rsidRPr="00EC7306">
        <w:t>a maximum of -21 dBm/MHz TRP (English, Total Radiated Power) in the frequency range from 1 GHz to 18.5 GHz, except in frequency bands from 3.74 GHz to 4.2 GHz and 4.5 GHz to 4.8 GHz which should be at most -43 dBm/MHz TRP.</w:t>
      </w:r>
    </w:p>
    <w:p w14:paraId="50E0E22B" w14:textId="77777777" w:rsidR="00640CA1" w:rsidRDefault="00CB08C0" w:rsidP="00EF668F">
      <w:pPr>
        <w:pStyle w:val="Numberedparagraph"/>
      </w:pPr>
      <w:r>
        <w:t xml:space="preserve">In May 2022, Anatel started </w:t>
      </w:r>
      <w:hyperlink r:id="rId164" w:history="1">
        <w:r w:rsidRPr="00CB08C0">
          <w:rPr>
            <w:rStyle w:val="Hyperlink"/>
          </w:rPr>
          <w:t>consultation</w:t>
        </w:r>
      </w:hyperlink>
      <w:r>
        <w:t xml:space="preserve"> on the </w:t>
      </w:r>
      <w:r w:rsidRPr="00CB08C0">
        <w:t>installation of antennas near airports</w:t>
      </w:r>
      <w:r>
        <w:t xml:space="preserve"> in the 3300-3700 MHz range.</w:t>
      </w:r>
      <w:r w:rsidR="00640CA1">
        <w:t xml:space="preserve"> They </w:t>
      </w:r>
      <w:hyperlink r:id="rId165" w:history="1">
        <w:r w:rsidR="00640CA1" w:rsidRPr="00640CA1">
          <w:rPr>
            <w:rStyle w:val="Hyperlink"/>
          </w:rPr>
          <w:t>proposed</w:t>
        </w:r>
      </w:hyperlink>
      <w:r w:rsidR="00640CA1">
        <w:t xml:space="preserve"> to:</w:t>
      </w:r>
    </w:p>
    <w:p w14:paraId="5240B7E9" w14:textId="77777777" w:rsidR="00640CA1" w:rsidRDefault="00640CA1" w:rsidP="00640CA1">
      <w:pPr>
        <w:pStyle w:val="Numberedparagraph"/>
        <w:numPr>
          <w:ilvl w:val="0"/>
          <w:numId w:val="50"/>
        </w:numPr>
      </w:pPr>
      <w:r>
        <w:t>Establish Attention zones on a provisional and precautionary basis where</w:t>
      </w:r>
      <w:r w:rsidRPr="00640CA1">
        <w:t xml:space="preserve"> the main beams of the antennas used in base, nodal or repeater station operating in the subband 3,300 MHz and 3,700 MHz, installed in Attention Zones, have their pointing limited between the horizon line and below.</w:t>
      </w:r>
    </w:p>
    <w:p w14:paraId="0731D1C7" w14:textId="77777777" w:rsidR="00640CA1" w:rsidRDefault="00640CA1" w:rsidP="00640CA1">
      <w:pPr>
        <w:pStyle w:val="Numberedparagraph"/>
        <w:numPr>
          <w:ilvl w:val="0"/>
          <w:numId w:val="50"/>
        </w:numPr>
      </w:pPr>
      <w:r>
        <w:t xml:space="preserve"> The Attention Zone is defined by the area near certain aerodromes corresponding to the rectangle comprised of the following distances:</w:t>
      </w:r>
    </w:p>
    <w:p w14:paraId="23BF5885" w14:textId="77777777" w:rsidR="00640CA1" w:rsidRDefault="00640CA1" w:rsidP="00D379F3">
      <w:pPr>
        <w:pStyle w:val="Numberedparagraph"/>
        <w:numPr>
          <w:ilvl w:val="1"/>
          <w:numId w:val="50"/>
        </w:numPr>
      </w:pPr>
      <w:r>
        <w:t>I - 2100 meters from the ends of the runway; and</w:t>
      </w:r>
    </w:p>
    <w:p w14:paraId="4CFCFCF3" w14:textId="77777777" w:rsidR="00640CA1" w:rsidRDefault="00640CA1" w:rsidP="00D379F3">
      <w:pPr>
        <w:pStyle w:val="Numberedparagraph"/>
        <w:numPr>
          <w:ilvl w:val="1"/>
          <w:numId w:val="50"/>
        </w:numPr>
      </w:pPr>
      <w:r>
        <w:t>II - 910 meters on each side of the central axis of the track.</w:t>
      </w:r>
    </w:p>
    <w:p w14:paraId="09A2D63A" w14:textId="3E4D6F77" w:rsidR="00640CA1" w:rsidRDefault="00640CA1" w:rsidP="00640CA1">
      <w:pPr>
        <w:pStyle w:val="Numberedparagraph"/>
        <w:numPr>
          <w:ilvl w:val="0"/>
          <w:numId w:val="50"/>
        </w:numPr>
      </w:pPr>
      <w:r>
        <w:t>The limit of the note provided in the caput applies to both AAS and non-AAS antennas and refers to the direction of the pointing of the main beam of the antenna, whether static or dynamic.</w:t>
      </w:r>
    </w:p>
    <w:p w14:paraId="5BD49C6C" w14:textId="33C30B69" w:rsidR="00CB08C0" w:rsidRDefault="00640CA1" w:rsidP="00D379F3">
      <w:pPr>
        <w:pStyle w:val="Numberedparagraph"/>
        <w:numPr>
          <w:ilvl w:val="0"/>
          <w:numId w:val="50"/>
        </w:numPr>
      </w:pPr>
      <w:r>
        <w:t>The location of a base station, nodal or repeater shall be referenced from the geographical coordinate of the base of the antenna support infrastructure.</w:t>
      </w:r>
    </w:p>
    <w:p w14:paraId="308B3AC1" w14:textId="1C180A49" w:rsidR="003601EF" w:rsidRDefault="003601EF" w:rsidP="003601EF">
      <w:pPr>
        <w:pStyle w:val="Heading2"/>
      </w:pPr>
      <w:bookmarkStart w:id="105" w:name="_Toc116041912"/>
      <w:r>
        <w:t>CEPT/ECC</w:t>
      </w:r>
      <w:bookmarkEnd w:id="105"/>
    </w:p>
    <w:p w14:paraId="6FF5BC75" w14:textId="42C0FE7A" w:rsidR="00934A95" w:rsidRDefault="00FF0A71" w:rsidP="00FB1E03">
      <w:pPr>
        <w:pStyle w:val="Numberedparagraph"/>
      </w:pPr>
      <w:r>
        <w:t xml:space="preserve">As discussed in the various consultation papers, the EU previously made a </w:t>
      </w:r>
      <w:hyperlink r:id="rId166" w:history="1">
        <w:r w:rsidRPr="00FF0A71">
          <w:rPr>
            <w:rStyle w:val="Hyperlink"/>
          </w:rPr>
          <w:t>decision</w:t>
        </w:r>
      </w:hyperlink>
      <w:r>
        <w:t xml:space="preserve"> in 2019 to </w:t>
      </w:r>
      <w:r w:rsidR="00567176">
        <w:t>require</w:t>
      </w:r>
      <w:r>
        <w:t xml:space="preserve"> member states to make the 3400-3800 MHz available for terrestrial 5G services. This decision includes required technical compliance including</w:t>
      </w:r>
      <w:r w:rsidR="00934A95">
        <w:t xml:space="preserve"> a “Block Edge Mask” which helps describe unwanted emission limits but no specific limits on in-band power.</w:t>
      </w:r>
    </w:p>
    <w:p w14:paraId="55B98FF8" w14:textId="1E09F6E7" w:rsidR="001575EF" w:rsidRDefault="001575EF" w:rsidP="00FB1E03">
      <w:pPr>
        <w:pStyle w:val="Numberedparagraph"/>
      </w:pPr>
      <w:r>
        <w:t xml:space="preserve">No relevant current CEPT </w:t>
      </w:r>
      <w:hyperlink r:id="rId167" w:history="1">
        <w:r w:rsidRPr="00AF34B5">
          <w:rPr>
            <w:rStyle w:val="Hyperlink"/>
          </w:rPr>
          <w:t>document</w:t>
        </w:r>
      </w:hyperlink>
      <w:r>
        <w:t xml:space="preserve"> appears to apply in-band power limits or any specific </w:t>
      </w:r>
      <w:r w:rsidR="00AF34B5">
        <w:t>mitigations</w:t>
      </w:r>
      <w:r>
        <w:t xml:space="preserve"> for RAs.</w:t>
      </w:r>
    </w:p>
    <w:p w14:paraId="7F51CF4F" w14:textId="6E236AA7" w:rsidR="00884227" w:rsidRDefault="00884227">
      <w:pPr>
        <w:pStyle w:val="Numberedparagraph"/>
      </w:pPr>
      <w:r>
        <w:t xml:space="preserve">The current implementation status for each EC country can be found via </w:t>
      </w:r>
      <w:hyperlink r:id="rId168" w:history="1">
        <w:r w:rsidRPr="00884227">
          <w:rPr>
            <w:rStyle w:val="Hyperlink"/>
          </w:rPr>
          <w:t>CEPT</w:t>
        </w:r>
      </w:hyperlink>
      <w:r>
        <w:t>, but appears incomplete</w:t>
      </w:r>
      <w:r w:rsidR="00D924A3">
        <w:t xml:space="preserve"> (31 countries have provided no information)</w:t>
      </w:r>
      <w:r>
        <w:t>.</w:t>
      </w:r>
    </w:p>
    <w:p w14:paraId="709F6144" w14:textId="7218AB28" w:rsidR="0069032C" w:rsidRDefault="00D7213F" w:rsidP="00D379F3">
      <w:pPr>
        <w:pStyle w:val="Numberedparagraph"/>
      </w:pPr>
      <w:r>
        <w:t xml:space="preserve">The </w:t>
      </w:r>
      <w:hyperlink r:id="rId169" w:history="1">
        <w:r w:rsidRPr="00D379F3">
          <w:t>minutes</w:t>
        </w:r>
      </w:hyperlink>
      <w:r>
        <w:t xml:space="preserve"> of </w:t>
      </w:r>
      <w:r w:rsidR="003601EF">
        <w:t xml:space="preserve">the European Communication Committee (ECC) Project Team One (PT1) on IMT matters </w:t>
      </w:r>
      <w:r>
        <w:t>meeting #69 in January 2021 agreed to a new work item “</w:t>
      </w:r>
      <w:r w:rsidRPr="00D7213F">
        <w:t>for an ECC Report containing a compatibility studies between MFCN 5G BS operating in the frequency band 3400-3800 MHz and radio altimeters (RA) operating in the frequency band 4200-4400 MHz.</w:t>
      </w:r>
      <w:r>
        <w:t xml:space="preserve">” </w:t>
      </w:r>
      <w:r w:rsidRPr="00D379F3">
        <w:t xml:space="preserve">The meeting agreed to propose a target date of July 2022. The ECC PT1 Chair was requested to highlight to </w:t>
      </w:r>
      <w:r w:rsidR="00456B59" w:rsidRPr="00D379F3">
        <w:t xml:space="preserve">the </w:t>
      </w:r>
      <w:r w:rsidRPr="00D379F3">
        <w:t>ECC that urgent input from aeronautical stakeholders on radio altimeter receiver characteristics is needed in order to progress this work.</w:t>
      </w:r>
    </w:p>
    <w:p w14:paraId="2D634F1D" w14:textId="086711AB" w:rsidR="0069032C" w:rsidRDefault="0069032C" w:rsidP="0069032C">
      <w:pPr>
        <w:pStyle w:val="Numberedparagraph"/>
      </w:pPr>
      <w:r>
        <w:t xml:space="preserve">ECC PT1 meetings #68 and #69 were held in April and September 2021. Documents relevant to </w:t>
      </w:r>
      <w:r w:rsidR="00D4562C">
        <w:t>RAs</w:t>
      </w:r>
      <w:r>
        <w:t xml:space="preserve"> include ECC PT1(21)117, ECC PT1(21)115, ECC PT1(21)184, ECC PT1(21)188, ECC PT1(21)192, ECC PT1(210234 ANNEX VIII-14.  The latter is a skeleton working document for an EC report on the Compatibility between WBB operating in 3400-3800 MHz and Radio Altimeters (RA) operating in 4200-4400 MHz.  The draft meeting minutes noted the lack of progress in obtaining accurate radio altimeter parameters and what to do in their absence.</w:t>
      </w:r>
    </w:p>
    <w:p w14:paraId="6A452A8A" w14:textId="7E489CD2" w:rsidR="006E6191" w:rsidRDefault="00162F55" w:rsidP="0069032C">
      <w:pPr>
        <w:pStyle w:val="Numberedparagraph"/>
      </w:pPr>
      <w:r>
        <w:t>The ECC PT1</w:t>
      </w:r>
      <w:r w:rsidR="00D5267C">
        <w:t xml:space="preserve"> also</w:t>
      </w:r>
      <w:r>
        <w:t xml:space="preserve"> </w:t>
      </w:r>
      <w:r w:rsidR="00D5267C">
        <w:t>established</w:t>
      </w:r>
      <w:r>
        <w:t xml:space="preserve"> a </w:t>
      </w:r>
      <w:hyperlink r:id="rId170" w:history="1">
        <w:r w:rsidR="00D5267C" w:rsidRPr="00C062A6">
          <w:rPr>
            <w:rStyle w:val="Hyperlink"/>
          </w:rPr>
          <w:t>correspondence</w:t>
        </w:r>
        <w:r w:rsidRPr="00C062A6">
          <w:rPr>
            <w:rStyle w:val="Hyperlink"/>
          </w:rPr>
          <w:t xml:space="preserve"> group</w:t>
        </w:r>
      </w:hyperlink>
      <w:r>
        <w:t xml:space="preserve"> </w:t>
      </w:r>
      <w:r w:rsidR="00D5267C">
        <w:t xml:space="preserve">in </w:t>
      </w:r>
      <w:r w:rsidR="00D7213F">
        <w:t xml:space="preserve">at meeting #70 in </w:t>
      </w:r>
      <w:r w:rsidR="00D5267C">
        <w:t xml:space="preserve">January 2022 </w:t>
      </w:r>
      <w:r>
        <w:t>“</w:t>
      </w:r>
      <w:hyperlink r:id="rId171" w:history="1">
        <w:r w:rsidRPr="00162F55">
          <w:rPr>
            <w:rStyle w:val="Hyperlink"/>
          </w:rPr>
          <w:t>CG RADIO ALTIMETERS 4.2-4.4 GHz”</w:t>
        </w:r>
      </w:hyperlink>
      <w:r>
        <w:t xml:space="preserve"> </w:t>
      </w:r>
      <w:r w:rsidR="00D5267C">
        <w:t xml:space="preserve">. </w:t>
      </w:r>
      <w:r w:rsidR="00236BB5">
        <w:t>This includes correspondence on the development of “long term MFCN parameters for MOPS”</w:t>
      </w:r>
      <w:r w:rsidR="00651A90">
        <w:t xml:space="preserve"> i.e. a draft compilation of WBB parameters and deployments that the RTCA/EUROCAE could take into account when redeveloping the RA performance standards.</w:t>
      </w:r>
    </w:p>
    <w:p w14:paraId="18437291" w14:textId="6D4BE367" w:rsidR="00C062A6" w:rsidRDefault="00C062A6" w:rsidP="00C062A6">
      <w:pPr>
        <w:pStyle w:val="Numberedparagraph"/>
        <w:numPr>
          <w:ilvl w:val="0"/>
          <w:numId w:val="0"/>
        </w:numPr>
      </w:pPr>
      <w:r>
        <w:t xml:space="preserve">The January meeting draft </w:t>
      </w:r>
      <w:hyperlink r:id="rId172" w:history="1">
        <w:r w:rsidRPr="00C062A6">
          <w:rPr>
            <w:rStyle w:val="Hyperlink"/>
          </w:rPr>
          <w:t>minutes</w:t>
        </w:r>
      </w:hyperlink>
      <w:r>
        <w:t xml:space="preserve"> noted the following:</w:t>
      </w:r>
    </w:p>
    <w:p w14:paraId="07A5CC8B" w14:textId="77777777" w:rsidR="00C062A6" w:rsidRPr="00FA73CE" w:rsidRDefault="00C062A6" w:rsidP="00C062A6">
      <w:r>
        <w:t>“</w:t>
      </w:r>
      <w:r w:rsidRPr="00FA73CE">
        <w:rPr>
          <w:rFonts w:cs="Arial"/>
          <w:szCs w:val="20"/>
        </w:rPr>
        <w:t>continued developing the draft ECC Report on compatibility between MFCN operating in 3400-3800 MHz and Radio Altimeters (RA) operating in 4200-4400 MHz (</w:t>
      </w:r>
      <w:r w:rsidRPr="00FA73CE">
        <w:rPr>
          <w:rFonts w:cs="Arial"/>
          <w:b/>
          <w:szCs w:val="20"/>
        </w:rPr>
        <w:t>SWG C TEMP 11 / ANNEX VIII-27</w:t>
      </w:r>
      <w:r w:rsidRPr="00FA73CE">
        <w:rPr>
          <w:rFonts w:cs="Arial"/>
          <w:bCs/>
          <w:szCs w:val="20"/>
        </w:rPr>
        <w:t>)</w:t>
      </w:r>
      <w:r w:rsidRPr="00FA73CE">
        <w:t xml:space="preserve">. Material from relevant input documents was included in appropriate places into the working document but there was not sufficient time to discuss it, so it was inserted with square brackets and further considerations are required. Questions by the mobile industry were raised on whether received parameters for RA were the most appropriate and </w:t>
      </w:r>
      <w:r>
        <w:t>a</w:t>
      </w:r>
      <w:r w:rsidRPr="00FA73CE">
        <w:t xml:space="preserve"> list of clarifying questions was drafted. ASRI kindly agreed to work on responses to these questions. Recognising that there is a range of RA performance, participants stressed the need to agree first on realistic assumptions and scenarios before starting any compatibility studies. It was also highlighted that assumptions should represent the CEPT situation.</w:t>
      </w:r>
    </w:p>
    <w:p w14:paraId="7EA4A76A" w14:textId="77777777" w:rsidR="00C062A6" w:rsidRPr="00FA73CE" w:rsidRDefault="00C062A6" w:rsidP="00C062A6">
      <w:r w:rsidRPr="00FA73CE">
        <w:t>During the discussions it was pointed out that there are still missing parameters required for the simulations. AVSI informed the meeting that additional parameters are intended to be published in March this year. It was highlighted that a reply to Eurocae/RTCA on received RA parameters and questions regarding 5G performance would be helpful.</w:t>
      </w:r>
    </w:p>
    <w:p w14:paraId="0DB7932F" w14:textId="77777777" w:rsidR="00C062A6" w:rsidRPr="00FA73CE" w:rsidRDefault="00C062A6" w:rsidP="00C062A6">
      <w:pPr>
        <w:rPr>
          <w:rFonts w:cs="Arial"/>
          <w:szCs w:val="20"/>
        </w:rPr>
      </w:pPr>
      <w:r w:rsidRPr="00FA73CE">
        <w:rPr>
          <w:rFonts w:cs="Arial"/>
          <w:szCs w:val="20"/>
        </w:rPr>
        <w:t xml:space="preserve">It was agreed to establish a Correspondence Group until the next ECC PT1 meeting (with the Terms of Reference in </w:t>
      </w:r>
      <w:r w:rsidRPr="00FA73CE">
        <w:rPr>
          <w:rFonts w:cs="Arial"/>
          <w:b/>
          <w:szCs w:val="20"/>
        </w:rPr>
        <w:t>SWG C TEMP 12r1 / ANNEX VIII-28</w:t>
      </w:r>
      <w:r w:rsidRPr="00FA73CE">
        <w:rPr>
          <w:rFonts w:cs="Arial"/>
          <w:szCs w:val="20"/>
        </w:rPr>
        <w:t xml:space="preserve">). The </w:t>
      </w:r>
      <w:r w:rsidRPr="00FA73CE">
        <w:t>CG convener should provide an update to ECC PT1 chairman on the progress of CG activity one week prior upcoming ECC meeting in order for PT1 chairman to inform ECC accordingly.</w:t>
      </w:r>
    </w:p>
    <w:p w14:paraId="135FD2D8" w14:textId="52D64025" w:rsidR="00C062A6" w:rsidRPr="00444F6D" w:rsidRDefault="00C062A6" w:rsidP="00D379F3">
      <w:pPr>
        <w:rPr>
          <w:szCs w:val="20"/>
        </w:rPr>
      </w:pPr>
      <w:r w:rsidRPr="00FA73CE">
        <w:t xml:space="preserve">The draft ECC Report had been scheduled to be finalised </w:t>
      </w:r>
      <w:r w:rsidRPr="00FA73CE">
        <w:rPr>
          <w:rFonts w:cs="Arial"/>
          <w:szCs w:val="20"/>
        </w:rPr>
        <w:t xml:space="preserve">for submission to ECC for approval for public consultation from this ECC PT1 meeting but this was the first time the group received information regarding radio altimeter characteristics, therefore more time is needed to progress the work and an extension to the deadline by 3 additional ECC PT1 meetings to work item </w:t>
      </w:r>
      <w:hyperlink r:id="rId173" w:history="1">
        <w:r w:rsidRPr="00FA73CE">
          <w:rPr>
            <w:rStyle w:val="Hyperlink"/>
          </w:rPr>
          <w:t>PT1_40</w:t>
        </w:r>
      </w:hyperlink>
      <w:r w:rsidRPr="00FA73CE">
        <w:rPr>
          <w:rFonts w:cs="Arial"/>
          <w:szCs w:val="20"/>
        </w:rPr>
        <w:t xml:space="preserve"> will be requested from ECC (draft report for public consultation to be approved at ECC PT1 #73 in January 2023 for submission to ECC #61 in March 2023; resolution of public consultation comments at ECC PT1 #74 in April/May 2023 and final approval at ECC #62 in June/July 2023).</w:t>
      </w:r>
      <w:r>
        <w:rPr>
          <w:rFonts w:cs="Arial"/>
          <w:szCs w:val="20"/>
        </w:rPr>
        <w:t>”</w:t>
      </w:r>
    </w:p>
    <w:p w14:paraId="639875CF" w14:textId="38DACF1D" w:rsidR="005B05D6" w:rsidRDefault="005B05D6">
      <w:pPr>
        <w:pStyle w:val="Numberedparagraph"/>
      </w:pPr>
      <w:r>
        <w:t>In the</w:t>
      </w:r>
      <w:r w:rsidR="00C062A6">
        <w:t xml:space="preserve"> draft</w:t>
      </w:r>
      <w:r>
        <w:t xml:space="preserve"> </w:t>
      </w:r>
      <w:hyperlink r:id="rId174" w:history="1">
        <w:r w:rsidRPr="00C062A6">
          <w:rPr>
            <w:rStyle w:val="Hyperlink"/>
          </w:rPr>
          <w:t>minutes</w:t>
        </w:r>
      </w:hyperlink>
      <w:r>
        <w:t xml:space="preserve"> </w:t>
      </w:r>
      <w:r w:rsidR="0043328C">
        <w:t xml:space="preserve">of </w:t>
      </w:r>
      <w:r>
        <w:t>the</w:t>
      </w:r>
      <w:r w:rsidR="0043328C">
        <w:t xml:space="preserve"> ECC PT1 meeting #</w:t>
      </w:r>
      <w:hyperlink r:id="rId175" w:history="1">
        <w:r w:rsidR="0043328C" w:rsidRPr="005B05D6">
          <w:rPr>
            <w:rStyle w:val="Hyperlink"/>
          </w:rPr>
          <w:t>71</w:t>
        </w:r>
      </w:hyperlink>
      <w:r w:rsidR="0043328C">
        <w:t xml:space="preserve"> in May 2022, the </w:t>
      </w:r>
      <w:hyperlink r:id="rId176" w:history="1">
        <w:r w:rsidRPr="005B05D6">
          <w:rPr>
            <w:rStyle w:val="Hyperlink"/>
          </w:rPr>
          <w:t>ToR CG on radio altimeters</w:t>
        </w:r>
      </w:hyperlink>
      <w:r>
        <w:t xml:space="preserve"> indicates that the long term MFCN parameters for MOPS needs to be finalised before 14 June 2022 for consideration of approval by the ECC. Various other input and output documents are relevant to RAs from this meeting.</w:t>
      </w:r>
    </w:p>
    <w:p w14:paraId="448362CE" w14:textId="2D37360A" w:rsidR="0043328C" w:rsidRDefault="0043328C">
      <w:pPr>
        <w:pStyle w:val="Numberedparagraph"/>
      </w:pPr>
      <w:r>
        <w:t xml:space="preserve">A “crossover” </w:t>
      </w:r>
      <w:hyperlink r:id="rId177" w:history="1">
        <w:r w:rsidRPr="00DE1A56">
          <w:rPr>
            <w:rStyle w:val="Hyperlink"/>
          </w:rPr>
          <w:t>meeting</w:t>
        </w:r>
      </w:hyperlink>
      <w:r>
        <w:t xml:space="preserve"> </w:t>
      </w:r>
      <w:r w:rsidR="00DE1A56">
        <w:t xml:space="preserve">on radio altimeters </w:t>
      </w:r>
      <w:r>
        <w:t>was held on 17 June 2022 to finalise the MFCN parameters work.</w:t>
      </w:r>
      <w:r w:rsidR="00DE1A56">
        <w:t xml:space="preserve"> Draft text was developed for laison satements to the RTCA, EUROCAE and EASA.</w:t>
      </w:r>
    </w:p>
    <w:p w14:paraId="6FBFCA71" w14:textId="4134F5D1" w:rsidR="0043328C" w:rsidRDefault="00DE1A56">
      <w:pPr>
        <w:pStyle w:val="Numberedparagraph"/>
      </w:pPr>
      <w:r>
        <w:t xml:space="preserve"> The d</w:t>
      </w:r>
      <w:r w:rsidR="0043328C">
        <w:t xml:space="preserve">raft liaison statements relating to the MFCN parameters for MOPS were sent to the </w:t>
      </w:r>
      <w:hyperlink r:id="rId178" w:history="1">
        <w:r w:rsidR="0043328C" w:rsidRPr="0043328C">
          <w:rPr>
            <w:rStyle w:val="Hyperlink"/>
          </w:rPr>
          <w:t>RTCA and EUROCAE</w:t>
        </w:r>
      </w:hyperlink>
      <w:r w:rsidR="0043328C">
        <w:t xml:space="preserve"> and </w:t>
      </w:r>
      <w:hyperlink r:id="rId179" w:history="1">
        <w:r w:rsidR="0043328C" w:rsidRPr="0043328C">
          <w:rPr>
            <w:rStyle w:val="Hyperlink"/>
          </w:rPr>
          <w:t>EASA</w:t>
        </w:r>
      </w:hyperlink>
      <w:r w:rsidR="0043328C">
        <w:t xml:space="preserve"> </w:t>
      </w:r>
      <w:r>
        <w:t xml:space="preserve">after approval </w:t>
      </w:r>
      <w:r w:rsidR="0043328C">
        <w:t>at the 59</w:t>
      </w:r>
      <w:r w:rsidR="0043328C" w:rsidRPr="00077BB0">
        <w:rPr>
          <w:vertAlign w:val="superscript"/>
        </w:rPr>
        <w:t>th</w:t>
      </w:r>
      <w:r w:rsidR="0043328C">
        <w:t xml:space="preserve"> ECC </w:t>
      </w:r>
      <w:hyperlink r:id="rId180" w:history="1">
        <w:r w:rsidR="0043328C" w:rsidRPr="0043328C">
          <w:rPr>
            <w:rStyle w:val="Hyperlink"/>
          </w:rPr>
          <w:t>Plenary</w:t>
        </w:r>
      </w:hyperlink>
      <w:r w:rsidR="0043328C">
        <w:t xml:space="preserve">.  The </w:t>
      </w:r>
      <w:hyperlink r:id="rId181" w:history="1">
        <w:r w:rsidR="0043328C" w:rsidRPr="0043328C">
          <w:rPr>
            <w:rStyle w:val="Hyperlink"/>
          </w:rPr>
          <w:t>minutes</w:t>
        </w:r>
      </w:hyperlink>
      <w:r w:rsidR="0043328C">
        <w:t xml:space="preserve"> stated that:</w:t>
      </w:r>
    </w:p>
    <w:p w14:paraId="6FD86AFF" w14:textId="77777777" w:rsidR="0043328C" w:rsidRPr="00077BB0" w:rsidRDefault="0043328C" w:rsidP="00077BB0">
      <w:pPr>
        <w:pStyle w:val="Numberedparagraph"/>
        <w:numPr>
          <w:ilvl w:val="0"/>
          <w:numId w:val="0"/>
        </w:numPr>
        <w:ind w:left="1080"/>
        <w:rPr>
          <w:b/>
          <w:bCs/>
          <w:i/>
          <w:iCs/>
        </w:rPr>
      </w:pPr>
      <w:r w:rsidRPr="00077BB0">
        <w:rPr>
          <w:b/>
          <w:bCs/>
          <w:i/>
          <w:iCs/>
        </w:rPr>
        <w:t>Radio altimeters 4200-4400 MHz coexistence with MFCN in 3400 - 3800 MHz</w:t>
      </w:r>
    </w:p>
    <w:p w14:paraId="5C8DB83D" w14:textId="77777777" w:rsidR="0043328C" w:rsidRPr="00077BB0" w:rsidRDefault="0043328C" w:rsidP="00077BB0">
      <w:pPr>
        <w:pStyle w:val="Numberedparagraph"/>
        <w:numPr>
          <w:ilvl w:val="0"/>
          <w:numId w:val="0"/>
        </w:numPr>
        <w:ind w:left="1080"/>
        <w:rPr>
          <w:i/>
          <w:iCs/>
        </w:rPr>
      </w:pPr>
      <w:r w:rsidRPr="00077BB0">
        <w:rPr>
          <w:i/>
          <w:iCs/>
        </w:rPr>
        <w:t>ECC PT1 has continued developing the draft ECC Report on compatibility between MFCN operating in 3400-3800 MHz and Radio Altimeters operating in 4200-4400 MHz.</w:t>
      </w:r>
    </w:p>
    <w:p w14:paraId="43E1E2E3" w14:textId="77777777" w:rsidR="0043328C" w:rsidRPr="00077BB0" w:rsidRDefault="0043328C" w:rsidP="00077BB0">
      <w:pPr>
        <w:pStyle w:val="Numberedparagraph"/>
        <w:numPr>
          <w:ilvl w:val="0"/>
          <w:numId w:val="0"/>
        </w:numPr>
        <w:ind w:left="1080"/>
        <w:rPr>
          <w:i/>
          <w:iCs/>
        </w:rPr>
      </w:pPr>
      <w:r w:rsidRPr="00077BB0">
        <w:rPr>
          <w:i/>
          <w:iCs/>
        </w:rPr>
        <w:t>The ECC PT1 Chair presented text for ECC to consider for inclusion in a liaison statement to the RTCA and EUROCAE Joint Working Group which is developing minimum operational performance specifications (MOPS) for radio altimeters (ECC(22)036 Annex 13). ECC PT1 agreed on the need for a liaison statement to provide information on MFCN technical characteristics so that the MOPS are more compatible with current and future use of spectrum in adjacent frequency bands; however, there had been some diverging views on some of the elements that had been proposed for inclusion in the liaison statement, as described in Section 2 of the document.</w:t>
      </w:r>
    </w:p>
    <w:p w14:paraId="4BC9F96D" w14:textId="77777777" w:rsidR="0043328C" w:rsidRPr="00077BB0" w:rsidRDefault="0043328C" w:rsidP="00077BB0">
      <w:pPr>
        <w:pStyle w:val="Numberedparagraph"/>
        <w:numPr>
          <w:ilvl w:val="0"/>
          <w:numId w:val="0"/>
        </w:numPr>
        <w:ind w:left="1080"/>
        <w:rPr>
          <w:i/>
          <w:iCs/>
        </w:rPr>
      </w:pPr>
      <w:r w:rsidRPr="00077BB0">
        <w:rPr>
          <w:i/>
          <w:iCs/>
        </w:rPr>
        <w:t>ECC also considered document ECC(22)037 (GSA).</w:t>
      </w:r>
    </w:p>
    <w:p w14:paraId="1E72B812" w14:textId="77777777" w:rsidR="0043328C" w:rsidRPr="00077BB0" w:rsidRDefault="0043328C" w:rsidP="00077BB0">
      <w:pPr>
        <w:pStyle w:val="Numberedparagraph"/>
        <w:numPr>
          <w:ilvl w:val="0"/>
          <w:numId w:val="0"/>
        </w:numPr>
        <w:ind w:left="1080"/>
        <w:rPr>
          <w:i/>
          <w:iCs/>
        </w:rPr>
      </w:pPr>
      <w:r w:rsidRPr="00077BB0">
        <w:rPr>
          <w:i/>
          <w:iCs/>
        </w:rPr>
        <w:t>ECC discussed the possible text and concluded that</w:t>
      </w:r>
    </w:p>
    <w:p w14:paraId="320C4C7A" w14:textId="77777777" w:rsidR="0043328C" w:rsidRPr="00077BB0" w:rsidRDefault="0043328C" w:rsidP="00077BB0">
      <w:pPr>
        <w:pStyle w:val="Numberedparagraph"/>
        <w:numPr>
          <w:ilvl w:val="0"/>
          <w:numId w:val="0"/>
        </w:numPr>
        <w:ind w:left="1080"/>
        <w:rPr>
          <w:i/>
          <w:iCs/>
        </w:rPr>
      </w:pPr>
      <w:r w:rsidRPr="00077BB0">
        <w:rPr>
          <w:i/>
          <w:iCs/>
        </w:rPr>
        <w:t>•</w:t>
      </w:r>
      <w:r w:rsidRPr="00077BB0">
        <w:rPr>
          <w:i/>
          <w:iCs/>
        </w:rPr>
        <w:tab/>
        <w:t>The liaison statement would include factual information on the base station power levels for current deployments in some CEPT countries and to mention that higher power levels were possible in the future but ECC decided not to suggest a possible upper limit on base station power. Denmark stated that it was important not to prejudge what base station development could be 30 to 40 years ahead. France was of the view that studies on the use of higher transmit powers could imply restrictions in specific areas, e.g. preventing particular pointing angle, restrictions in scanning angle or requirement to avoid beam steering above the horizon, but there was opposition from some administrations to including this view.</w:t>
      </w:r>
    </w:p>
    <w:p w14:paraId="1CDEB82B" w14:textId="77777777" w:rsidR="0043328C" w:rsidRPr="00077BB0" w:rsidRDefault="0043328C" w:rsidP="00077BB0">
      <w:pPr>
        <w:pStyle w:val="Numberedparagraph"/>
        <w:numPr>
          <w:ilvl w:val="0"/>
          <w:numId w:val="0"/>
        </w:numPr>
        <w:ind w:left="1080"/>
        <w:rPr>
          <w:i/>
          <w:iCs/>
        </w:rPr>
      </w:pPr>
      <w:r w:rsidRPr="00077BB0">
        <w:rPr>
          <w:i/>
          <w:iCs/>
        </w:rPr>
        <w:t>•</w:t>
      </w:r>
      <w:r w:rsidRPr="00077BB0">
        <w:rPr>
          <w:i/>
          <w:iCs/>
        </w:rPr>
        <w:tab/>
        <w:t>It would include information on countries outside CEPT where this was known but this should be separate from the CEPT information and attached to a suitable disclaimer.</w:t>
      </w:r>
    </w:p>
    <w:p w14:paraId="274C06EA" w14:textId="77777777" w:rsidR="0043328C" w:rsidRPr="00077BB0" w:rsidRDefault="0043328C" w:rsidP="00077BB0">
      <w:pPr>
        <w:pStyle w:val="Numberedparagraph"/>
        <w:numPr>
          <w:ilvl w:val="0"/>
          <w:numId w:val="0"/>
        </w:numPr>
        <w:ind w:left="1080"/>
        <w:rPr>
          <w:i/>
          <w:iCs/>
        </w:rPr>
      </w:pPr>
      <w:r w:rsidRPr="00077BB0">
        <w:rPr>
          <w:i/>
          <w:iCs/>
        </w:rPr>
        <w:t>•</w:t>
      </w:r>
      <w:r w:rsidRPr="00077BB0">
        <w:rPr>
          <w:i/>
          <w:iCs/>
        </w:rPr>
        <w:tab/>
        <w:t>It would request a view on critical coexistence scenarios</w:t>
      </w:r>
    </w:p>
    <w:p w14:paraId="26BB785C" w14:textId="039AE6AF" w:rsidR="0043328C" w:rsidRPr="00077BB0" w:rsidRDefault="0043328C" w:rsidP="00077BB0">
      <w:pPr>
        <w:pStyle w:val="Numberedparagraph"/>
        <w:numPr>
          <w:ilvl w:val="0"/>
          <w:numId w:val="0"/>
        </w:numPr>
        <w:ind w:left="1980"/>
        <w:rPr>
          <w:i/>
          <w:iCs/>
        </w:rPr>
      </w:pPr>
      <w:r w:rsidRPr="00077BB0">
        <w:rPr>
          <w:i/>
          <w:iCs/>
        </w:rPr>
        <w:t>A similar liaison statement would also be sent to EASA”</w:t>
      </w:r>
    </w:p>
    <w:p w14:paraId="55DEC41B" w14:textId="77777777" w:rsidR="0069032C" w:rsidRDefault="0069032C" w:rsidP="0069032C">
      <w:pPr>
        <w:pStyle w:val="Heading2"/>
      </w:pPr>
      <w:bookmarkStart w:id="106" w:name="_Toc116041913"/>
      <w:r>
        <w:t>ICAO/FSMP</w:t>
      </w:r>
      <w:bookmarkEnd w:id="106"/>
    </w:p>
    <w:p w14:paraId="1F3BD170" w14:textId="5251D721" w:rsidR="00C45C89" w:rsidRDefault="00C45C89" w:rsidP="00C45C89">
      <w:pPr>
        <w:pStyle w:val="Numberedparagraph"/>
      </w:pPr>
      <w:r w:rsidRPr="00D379F3">
        <w:t xml:space="preserve">The </w:t>
      </w:r>
      <w:hyperlink r:id="rId182" w:history="1">
        <w:r w:rsidRPr="00D379F3">
          <w:rPr>
            <w:rStyle w:val="Hyperlink"/>
          </w:rPr>
          <w:t>ICAO</w:t>
        </w:r>
      </w:hyperlink>
      <w:r w:rsidRPr="00D379F3">
        <w:t xml:space="preserve"> is a United Nations specialised agency </w:t>
      </w:r>
      <w:r w:rsidRPr="004D3483">
        <w:t>to support diplomacy and cooperation i</w:t>
      </w:r>
      <w:r w:rsidRPr="00C45C89">
        <w:t xml:space="preserve">n air transport by signatory states to the </w:t>
      </w:r>
      <w:hyperlink r:id="rId183" w:history="1">
        <w:r w:rsidRPr="004D3483">
          <w:rPr>
            <w:rStyle w:val="Hyperlink"/>
          </w:rPr>
          <w:t>Chicago Convention (1944).</w:t>
        </w:r>
      </w:hyperlink>
      <w:r>
        <w:t xml:space="preserve"> Its core function is to maintain an administrative and expert bureaucracy (the ICAO Secretariat) supporting these diplomatic interactions, and to research new air transport policy and standardization innovations as directed and endorsed by governments through the ICAO Assembly, or by the ICAO Council which the assembly elects.</w:t>
      </w:r>
    </w:p>
    <w:p w14:paraId="5E161EF7" w14:textId="3B08B101" w:rsidR="0069032C" w:rsidRPr="00D379F3" w:rsidRDefault="00C45C89" w:rsidP="00695A13">
      <w:pPr>
        <w:pStyle w:val="Numberedparagraph"/>
      </w:pPr>
      <w:r>
        <w:t>The ICAO Frequency Spectrum Management Panel (</w:t>
      </w:r>
      <w:hyperlink r:id="rId184" w:history="1">
        <w:r w:rsidRPr="00C45C89">
          <w:rPr>
            <w:rStyle w:val="Hyperlink"/>
          </w:rPr>
          <w:t>FSMP</w:t>
        </w:r>
      </w:hyperlink>
      <w:r>
        <w:t xml:space="preserve">) </w:t>
      </w:r>
      <w:r w:rsidR="00ED0097" w:rsidRPr="00ED0097">
        <w:t>was established in 2015 to manage aeronautical frequency spectrum in order to ensure sufficient access to the resource for the provision of aeronautical communication, navigation and surveillance services (CNS) in an efficient and safe manner.</w:t>
      </w:r>
    </w:p>
    <w:p w14:paraId="45CFDA4D" w14:textId="1A0621C4" w:rsidR="003A6F64" w:rsidRDefault="003A6F64" w:rsidP="00695A13">
      <w:pPr>
        <w:pStyle w:val="Numberedparagraph"/>
      </w:pPr>
      <w:r>
        <w:t xml:space="preserve">The ICAO FSMP WG/10 </w:t>
      </w:r>
      <w:hyperlink r:id="rId185" w:history="1">
        <w:r w:rsidRPr="001408E6">
          <w:rPr>
            <w:rStyle w:val="Hyperlink"/>
          </w:rPr>
          <w:t>meeting</w:t>
        </w:r>
      </w:hyperlink>
      <w:r>
        <w:t xml:space="preserve"> was held in August 2020. There were several working and information papers presented to the meeting related to the radio altimeter issue, including a </w:t>
      </w:r>
      <w:hyperlink r:id="rId186" w:history="1">
        <w:r w:rsidRPr="003A6F64">
          <w:rPr>
            <w:rStyle w:val="Hyperlink"/>
          </w:rPr>
          <w:t>history</w:t>
        </w:r>
      </w:hyperlink>
      <w:r>
        <w:t xml:space="preserve"> at the time of activity in the US, as well as a </w:t>
      </w:r>
      <w:hyperlink r:id="rId187" w:history="1">
        <w:r w:rsidRPr="003A6F64">
          <w:rPr>
            <w:rStyle w:val="Hyperlink"/>
          </w:rPr>
          <w:t>report</w:t>
        </w:r>
      </w:hyperlink>
      <w:r>
        <w:t xml:space="preserve"> on the ACMA release of the 3700-4200 MHz options paper. </w:t>
      </w:r>
    </w:p>
    <w:p w14:paraId="11AEDDCC" w14:textId="0EF55FD5" w:rsidR="0069032C" w:rsidRDefault="004D3483" w:rsidP="0069032C">
      <w:pPr>
        <w:pStyle w:val="Numberedparagraph"/>
      </w:pPr>
      <w:r>
        <w:t>The ICAO FSMP</w:t>
      </w:r>
      <w:r w:rsidR="0069032C">
        <w:t xml:space="preserve"> WG/11 </w:t>
      </w:r>
      <w:hyperlink r:id="rId188" w:history="1">
        <w:r w:rsidR="0069032C" w:rsidRPr="001408E6">
          <w:rPr>
            <w:rStyle w:val="Hyperlink"/>
          </w:rPr>
          <w:t>meeting</w:t>
        </w:r>
      </w:hyperlink>
      <w:r w:rsidR="0069032C">
        <w:t xml:space="preserve"> was held in March 2021. There were several working and information papers presented to the meeting related to radio altimeter performance and coexistence with WBB like services under Agenda item 3. </w:t>
      </w:r>
    </w:p>
    <w:p w14:paraId="7610DD12" w14:textId="7387CB22" w:rsidR="00796BD7" w:rsidRDefault="00796BD7" w:rsidP="00B36766">
      <w:pPr>
        <w:pStyle w:val="Numberedparagraph"/>
        <w:numPr>
          <w:ilvl w:val="0"/>
          <w:numId w:val="0"/>
        </w:numPr>
      </w:pPr>
      <w:r>
        <w:t xml:space="preserve">WG/11 included a </w:t>
      </w:r>
      <w:hyperlink r:id="rId189" w:history="1">
        <w:r w:rsidRPr="00796BD7">
          <w:rPr>
            <w:rStyle w:val="Hyperlink"/>
          </w:rPr>
          <w:t>problem statement</w:t>
        </w:r>
      </w:hyperlink>
      <w:r>
        <w:t xml:space="preserve"> on the issue. The only example given of autopilot failure due to RF interference was due to the operation of the “iron dome” RF jamming system near Tel Aviv airport, which is not likely to be representative of the potential interference from WBB systems.</w:t>
      </w:r>
    </w:p>
    <w:p w14:paraId="2B8918AF" w14:textId="2D78C3F9" w:rsidR="007F1FFA" w:rsidRDefault="00C64252" w:rsidP="00B36766">
      <w:pPr>
        <w:pStyle w:val="Numberedparagraph"/>
        <w:numPr>
          <w:ilvl w:val="0"/>
          <w:numId w:val="0"/>
        </w:numPr>
      </w:pPr>
      <w:r>
        <w:t xml:space="preserve">The meeting final </w:t>
      </w:r>
      <w:hyperlink r:id="rId190" w:history="1">
        <w:r w:rsidRPr="00C64252">
          <w:rPr>
            <w:rStyle w:val="Hyperlink"/>
          </w:rPr>
          <w:t>report</w:t>
        </w:r>
      </w:hyperlink>
      <w:r>
        <w:t xml:space="preserve"> </w:t>
      </w:r>
      <w:r w:rsidR="007F1FFA">
        <w:t>reported the ACMA outcomes paper and “</w:t>
      </w:r>
      <w:r w:rsidR="007F1FFA" w:rsidRPr="007F1FFA">
        <w:t>an action item was generated (AI 11-01) to provide comments to the Australian Panel member by 31 March, 2021 to support his participating in the TLG</w:t>
      </w:r>
      <w:r w:rsidR="007F1FFA">
        <w:t xml:space="preserve">”. </w:t>
      </w:r>
    </w:p>
    <w:p w14:paraId="0D0300DA" w14:textId="05F936F6" w:rsidR="007F1FFA" w:rsidRDefault="007F1FFA" w:rsidP="00B36766">
      <w:pPr>
        <w:pStyle w:val="Numberedparagraph"/>
        <w:numPr>
          <w:ilvl w:val="0"/>
          <w:numId w:val="0"/>
        </w:numPr>
      </w:pPr>
      <w:r w:rsidRPr="007F1FFA">
        <w:t>The meeting agreed an action to provide any comments on the RTCA Report to the authors.</w:t>
      </w:r>
    </w:p>
    <w:p w14:paraId="44BE2A33" w14:textId="35F480F2" w:rsidR="007F1FFA" w:rsidRPr="00D379F3" w:rsidRDefault="007F1FFA" w:rsidP="00B36766">
      <w:pPr>
        <w:pStyle w:val="Numberedparagraph"/>
        <w:numPr>
          <w:ilvl w:val="0"/>
          <w:numId w:val="0"/>
        </w:numPr>
        <w:rPr>
          <w:szCs w:val="20"/>
        </w:rPr>
      </w:pPr>
      <w:r w:rsidRPr="00444F6D">
        <w:rPr>
          <w:szCs w:val="20"/>
        </w:rPr>
        <w:t>The meeting also agreed:</w:t>
      </w:r>
    </w:p>
    <w:p w14:paraId="5D93BC02" w14:textId="22FAFB3D"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Elements for a proposed State Letter on possible interference to radio altimeters were drafted.</w:t>
      </w:r>
    </w:p>
    <w:p w14:paraId="07A07411" w14:textId="38454269"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A correspondence group on radio altimeters (CG-RA) was formed to collect information on a number of topics related to 5G/altimeter compatibility (AI 11-04).</w:t>
      </w:r>
    </w:p>
    <w:p w14:paraId="319173C3" w14:textId="77777777"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Membership was asked to provide any technical studies on radio altimeter compatibility with other services operating in nearby frequency ranges to the CG-RA.</w:t>
      </w:r>
    </w:p>
    <w:p w14:paraId="3412D389" w14:textId="77777777"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Noting that a work item on the subject “Compatibility between MFCN operating in 3400-3800 MHz and Radio Altimeters (RA) operating in 4200-4400 MHz” had been agreed by the European Conference of Posts and Telecommunications Administrations (CEPT) Electronic Communications Committee (ECC) project team 1 (PT1), aeronautical experts from member countries were encouraged to participate in the effort to ensure aviation equities were represented. The effort is to start March 2021 and terminate in July 2022.</w:t>
      </w:r>
    </w:p>
    <w:p w14:paraId="514A047D" w14:textId="77777777"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The meeting noted that the use of “/octave” can be interpreted in more than one way. The meeting agreed that in the context of Recommendation ITU-R M.2059, the frequency to be used in the filter rejection in terms of “/octave” was the absolute frequency and not the emission or allocated bandwidth. It was noted by several members that this resulted in a relatively poor rejection level which should be addressed by the ongoing specification work for future radio altimeters.</w:t>
      </w:r>
    </w:p>
    <w:p w14:paraId="1F9B0175" w14:textId="77777777"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It was noted that in other ITU-R Recommendations and in some countries, the frequency reference in designation of “/octave” is the emission bandwidth. These are for transmitter characteristics however.</w:t>
      </w:r>
    </w:p>
    <w:p w14:paraId="1893BB60" w14:textId="77777777" w:rsidR="007F1FFA" w:rsidRPr="00D379F3" w:rsidRDefault="007F1FFA" w:rsidP="007F1FFA">
      <w:pPr>
        <w:pStyle w:val="ListParagraph"/>
        <w:widowControl w:val="0"/>
        <w:numPr>
          <w:ilvl w:val="0"/>
          <w:numId w:val="45"/>
        </w:numPr>
        <w:autoSpaceDE w:val="0"/>
        <w:autoSpaceDN w:val="0"/>
        <w:adjustRightInd w:val="0"/>
        <w:spacing w:after="0" w:line="240" w:lineRule="auto"/>
        <w:rPr>
          <w:rFonts w:ascii="Arial" w:hAnsi="Arial" w:cs="Arial"/>
          <w:sz w:val="20"/>
          <w:szCs w:val="20"/>
        </w:rPr>
      </w:pPr>
      <w:r w:rsidRPr="00D379F3">
        <w:rPr>
          <w:rFonts w:ascii="Arial" w:hAnsi="Arial" w:cs="Arial"/>
          <w:sz w:val="20"/>
          <w:szCs w:val="20"/>
        </w:rPr>
        <w:t>It was noted that technical means to reduce transmitted emission levels at a given offset frequency may be less complex than the technical means necessary to reject interference at that same offset frequency. In particular it may difficult to achieve relevant rejection in the receiver at the frequencies in adjacent bands in which high power emissions are transmitted while still maintaining receiver performance (e.g., signal distortion, group delay, etc) and reasonable size, weight and cost.</w:t>
      </w:r>
    </w:p>
    <w:p w14:paraId="000384E2" w14:textId="77777777" w:rsidR="007F1FFA" w:rsidRDefault="007F1FFA" w:rsidP="00B36766">
      <w:pPr>
        <w:pStyle w:val="Numberedparagraph"/>
        <w:numPr>
          <w:ilvl w:val="0"/>
          <w:numId w:val="0"/>
        </w:numPr>
      </w:pPr>
    </w:p>
    <w:p w14:paraId="737A9D14" w14:textId="2E1BD05A" w:rsidR="007F1FFA" w:rsidRDefault="007F1FFA" w:rsidP="00695A13">
      <w:pPr>
        <w:pStyle w:val="Numberedparagraph"/>
      </w:pPr>
      <w:r>
        <w:t xml:space="preserve">ICAO issued a state </w:t>
      </w:r>
      <w:hyperlink r:id="rId191" w:history="1">
        <w:r w:rsidRPr="007F1FFA">
          <w:rPr>
            <w:rStyle w:val="Hyperlink"/>
          </w:rPr>
          <w:t>letter</w:t>
        </w:r>
      </w:hyperlink>
      <w:r>
        <w:t xml:space="preserve"> in March 2021 </w:t>
      </w:r>
      <w:r w:rsidR="001D6CEE">
        <w:t xml:space="preserve">to </w:t>
      </w:r>
      <w:r w:rsidR="00E9179C">
        <w:t xml:space="preserve">highlight the issue to ICAO states and to </w:t>
      </w:r>
      <w:r w:rsidR="001D6CEE">
        <w:t>“encourage you and your Administration to consider as a priority, public and aviation safety when deciding how to enable cellular broadband/5G services in radio frequency bands near the bands used by radio altimeters.”</w:t>
      </w:r>
      <w:r w:rsidR="00452A38">
        <w:t xml:space="preserve"> The ACMA also received this state letter via Airservices Australia in April 2021.</w:t>
      </w:r>
    </w:p>
    <w:p w14:paraId="66A93F95" w14:textId="77777777" w:rsidR="007F1FFA" w:rsidRDefault="007F1FFA" w:rsidP="00B36766">
      <w:pPr>
        <w:pStyle w:val="Numberedparagraph"/>
        <w:numPr>
          <w:ilvl w:val="0"/>
          <w:numId w:val="0"/>
        </w:numPr>
      </w:pPr>
    </w:p>
    <w:p w14:paraId="7C7F9C72" w14:textId="7A15D203" w:rsidR="0069032C" w:rsidRDefault="009C479C" w:rsidP="0069032C">
      <w:pPr>
        <w:pStyle w:val="Numberedparagraph"/>
      </w:pPr>
      <w:hyperlink r:id="rId192" w:history="1">
        <w:r w:rsidR="0069032C" w:rsidRPr="004D3483">
          <w:rPr>
            <w:rStyle w:val="Hyperlink"/>
          </w:rPr>
          <w:t>WG/12</w:t>
        </w:r>
      </w:hyperlink>
      <w:r w:rsidR="0069032C">
        <w:t xml:space="preserve"> was held in October 2021 where, again, radio altimeter issues were covered under Agenda item 3. The draft report indicated that the Radio altimeter Standards and Recommended Practices (SARPS) job card was reviewed and agreed to review the text of the job card and for participants to see if generic guidance could be developed to assist aviation authorities to analyse potential 5G impacts given local implementations.</w:t>
      </w:r>
    </w:p>
    <w:p w14:paraId="46A1AA3D" w14:textId="5394D6D2" w:rsidR="0069032C" w:rsidRDefault="0069032C" w:rsidP="00D379F3">
      <w:pPr>
        <w:pStyle w:val="Numberedparagraph"/>
        <w:numPr>
          <w:ilvl w:val="0"/>
          <w:numId w:val="0"/>
        </w:numPr>
      </w:pPr>
      <w:r>
        <w:t xml:space="preserve">Relevant input documents to the meeting included a </w:t>
      </w:r>
      <w:hyperlink r:id="rId193" w:history="1">
        <w:r w:rsidRPr="0096523C">
          <w:rPr>
            <w:rStyle w:val="Hyperlink"/>
          </w:rPr>
          <w:t>summary</w:t>
        </w:r>
      </w:hyperlink>
      <w:r>
        <w:t xml:space="preserve"> of the Status on replanning the 3700–4200 MHz band in Australia (Airservices Australia) and a </w:t>
      </w:r>
      <w:hyperlink r:id="rId194" w:history="1">
        <w:r w:rsidRPr="0096523C">
          <w:rPr>
            <w:rStyle w:val="Hyperlink"/>
          </w:rPr>
          <w:t>presentation</w:t>
        </w:r>
      </w:hyperlink>
      <w:r>
        <w:t xml:space="preserve"> on the Interference Susceptibility Evaluations of Pulsed Radio Altimeters Due to 5G Mobile Base Station Signal (Electronic Navigation Research Institute, Japan). The latter recorded the test results differences between these tests with two sample units of the same model as tested by the Ministry of Internal Affairs and Communications (MIC).</w:t>
      </w:r>
    </w:p>
    <w:p w14:paraId="39AA60FF" w14:textId="2FC2D70D" w:rsidR="004D3483" w:rsidRDefault="009C479C" w:rsidP="0069032C">
      <w:pPr>
        <w:pStyle w:val="Numberedparagraph"/>
      </w:pPr>
      <w:hyperlink r:id="rId195" w:history="1">
        <w:r w:rsidR="004D3483" w:rsidRPr="004D3483">
          <w:rPr>
            <w:rStyle w:val="Hyperlink"/>
          </w:rPr>
          <w:t>WG/13</w:t>
        </w:r>
      </w:hyperlink>
      <w:r w:rsidR="004D3483">
        <w:t xml:space="preserve"> from February 2022 continued to update the CG-RA </w:t>
      </w:r>
      <w:hyperlink r:id="rId196" w:history="1">
        <w:r w:rsidR="004D3483" w:rsidRPr="004D3483">
          <w:rPr>
            <w:rStyle w:val="Hyperlink"/>
          </w:rPr>
          <w:t>report</w:t>
        </w:r>
      </w:hyperlink>
      <w:r w:rsidR="004D3483">
        <w:t xml:space="preserve">, </w:t>
      </w:r>
      <w:hyperlink r:id="rId197" w:history="1">
        <w:r w:rsidR="004D3483" w:rsidRPr="004D3483">
          <w:rPr>
            <w:rStyle w:val="Hyperlink"/>
          </w:rPr>
          <w:t>briefed</w:t>
        </w:r>
      </w:hyperlink>
      <w:r w:rsidR="004D3483">
        <w:t xml:space="preserve"> the ICAO Secretariat on the issue and included an information </w:t>
      </w:r>
      <w:hyperlink r:id="rId198" w:history="1">
        <w:r w:rsidR="004D3483" w:rsidRPr="004D3483">
          <w:rPr>
            <w:rStyle w:val="Hyperlink"/>
          </w:rPr>
          <w:t>paper</w:t>
        </w:r>
      </w:hyperlink>
      <w:r w:rsidR="004D3483">
        <w:t xml:space="preserve"> on the radio altimeter interference path loss on a specific helicopter.</w:t>
      </w:r>
    </w:p>
    <w:p w14:paraId="60C0E7B6" w14:textId="0D863CA1" w:rsidR="004D3483" w:rsidRDefault="004D3483" w:rsidP="004D3483">
      <w:pPr>
        <w:pStyle w:val="Numberedparagraph"/>
        <w:numPr>
          <w:ilvl w:val="0"/>
          <w:numId w:val="0"/>
        </w:numPr>
      </w:pPr>
      <w:r>
        <w:t xml:space="preserve">The meeting included a working </w:t>
      </w:r>
      <w:hyperlink r:id="rId199" w:history="1">
        <w:r w:rsidRPr="004D3483">
          <w:rPr>
            <w:rStyle w:val="Hyperlink"/>
          </w:rPr>
          <w:t>paper</w:t>
        </w:r>
      </w:hyperlink>
      <w:r>
        <w:t xml:space="preserve"> on radioaltimeter work in France. This is, in effect, a </w:t>
      </w:r>
      <w:r w:rsidR="00766483">
        <w:t xml:space="preserve">summary </w:t>
      </w:r>
      <w:r>
        <w:t>report to the FSMP on the French helicopter trial already discussed.</w:t>
      </w:r>
    </w:p>
    <w:p w14:paraId="71D0A79B" w14:textId="4BDC0FEE" w:rsidR="00766483" w:rsidRDefault="00766483" w:rsidP="00695A13">
      <w:pPr>
        <w:pStyle w:val="Numberedparagraph"/>
        <w:numPr>
          <w:ilvl w:val="0"/>
          <w:numId w:val="0"/>
        </w:numPr>
      </w:pPr>
      <w:r>
        <w:t>Another working paper suggested the need to develop the ICAO material to “</w:t>
      </w:r>
      <w:r>
        <w:rPr>
          <w:szCs w:val="22"/>
        </w:rPr>
        <w:t>assist States in developing and putting in place an appropriate set of mitigations to address the potential risks to flight safety caused by 5G C-band deployments” and to</w:t>
      </w:r>
      <w:r>
        <w:tab/>
        <w:t>form an ad-hoc group within the FSMP to further progress this activity.</w:t>
      </w:r>
    </w:p>
    <w:p w14:paraId="522610DB" w14:textId="2E3D8D6D" w:rsidR="004D3483" w:rsidRDefault="00766483" w:rsidP="00D379F3">
      <w:pPr>
        <w:pStyle w:val="Numberedparagraph"/>
        <w:numPr>
          <w:ilvl w:val="0"/>
          <w:numId w:val="0"/>
        </w:numPr>
      </w:pPr>
      <w:r>
        <w:t xml:space="preserve">The meeting draft </w:t>
      </w:r>
      <w:hyperlink r:id="rId200" w:history="1">
        <w:r w:rsidRPr="00766483">
          <w:rPr>
            <w:rStyle w:val="Hyperlink"/>
          </w:rPr>
          <w:t>report</w:t>
        </w:r>
      </w:hyperlink>
      <w:r>
        <w:t xml:space="preserve"> considered the documents and “</w:t>
      </w:r>
      <w:r w:rsidRPr="00766483">
        <w:t>resulted in an action item to national spectrum regulators that were contributors to the work of the FSMP to provide examples of standards/systems for adjacent-band signal rejection that could be provided to the next FSMP meeting</w:t>
      </w:r>
      <w:r>
        <w:t>.”</w:t>
      </w:r>
    </w:p>
    <w:p w14:paraId="2CF2159F" w14:textId="11B5E28B" w:rsidR="004D3483" w:rsidRDefault="009C479C" w:rsidP="0069032C">
      <w:pPr>
        <w:pStyle w:val="Numberedparagraph"/>
      </w:pPr>
      <w:hyperlink r:id="rId201" w:history="1">
        <w:r w:rsidR="004D3483" w:rsidRPr="001D7F00">
          <w:rPr>
            <w:rStyle w:val="Hyperlink"/>
          </w:rPr>
          <w:t>WG/14</w:t>
        </w:r>
      </w:hyperlink>
      <w:r w:rsidR="004D3483">
        <w:t xml:space="preserve"> (April 2022) continued to update the CG-RA </w:t>
      </w:r>
      <w:hyperlink r:id="rId202" w:history="1">
        <w:r w:rsidR="004D3483" w:rsidRPr="004D3483">
          <w:rPr>
            <w:rStyle w:val="Hyperlink"/>
          </w:rPr>
          <w:t>report</w:t>
        </w:r>
      </w:hyperlink>
      <w:r w:rsidR="004D3483">
        <w:t>.</w:t>
      </w:r>
      <w:r w:rsidR="00766483">
        <w:t xml:space="preserve"> The meeting draft </w:t>
      </w:r>
      <w:hyperlink r:id="rId203" w:history="1">
        <w:r w:rsidR="00766483" w:rsidRPr="00766483">
          <w:rPr>
            <w:rStyle w:val="Hyperlink"/>
          </w:rPr>
          <w:t>report</w:t>
        </w:r>
      </w:hyperlink>
      <w:r w:rsidR="00766483">
        <w:t xml:space="preserve"> asked that the CG-RA to continue to compile it’s informative report on  </w:t>
      </w:r>
      <w:r w:rsidR="00766483" w:rsidRPr="00766483">
        <w:t>“5G” broadband mobile terrestrial interference to radar altimeters</w:t>
      </w:r>
      <w:r w:rsidR="00766483">
        <w:t xml:space="preserve"> and noted that” </w:t>
      </w:r>
      <w:r w:rsidR="00766483" w:rsidRPr="00766483">
        <w:t>ECC PT-1 had begun work on an interference assessment of 5G systems in 3.4-3.8 GHz and radar altimeters in 4.2-4.4 GHz, WP13* proposed a liaison statement to ECC to inform them of relevant ICAO material that might be of assistance in their deliberations. After discussion and small modifications, the meeting agreed</w:t>
      </w:r>
      <w:r w:rsidR="00766483">
        <w:t>.”</w:t>
      </w:r>
    </w:p>
    <w:p w14:paraId="09C0A92B" w14:textId="76475D87" w:rsidR="001D7F00" w:rsidRDefault="009C479C" w:rsidP="0069032C">
      <w:pPr>
        <w:pStyle w:val="Numberedparagraph"/>
      </w:pPr>
      <w:hyperlink r:id="rId204" w:history="1">
        <w:r w:rsidR="001D7F00" w:rsidRPr="001D7F00">
          <w:rPr>
            <w:rStyle w:val="Hyperlink"/>
          </w:rPr>
          <w:t>WG/15</w:t>
        </w:r>
      </w:hyperlink>
      <w:r w:rsidR="001D7F00">
        <w:t xml:space="preserve"> (August 2022) again had a number of documents related to RAs.</w:t>
      </w:r>
    </w:p>
    <w:p w14:paraId="2ADBEE25" w14:textId="214DBF42" w:rsidR="001D7F00" w:rsidRDefault="00A55008" w:rsidP="001D7F00">
      <w:pPr>
        <w:pStyle w:val="Numberedparagraph"/>
        <w:numPr>
          <w:ilvl w:val="2"/>
          <w:numId w:val="13"/>
        </w:numPr>
      </w:pPr>
      <w:r>
        <w:t xml:space="preserve">As noted in the studies section, </w:t>
      </w:r>
      <w:hyperlink r:id="rId205" w:history="1">
        <w:r w:rsidR="001D7F00" w:rsidRPr="001D7F00">
          <w:rPr>
            <w:rStyle w:val="Hyperlink"/>
          </w:rPr>
          <w:t>IP03</w:t>
        </w:r>
      </w:hyperlink>
      <w:r w:rsidR="001D7F00">
        <w:t xml:space="preserve"> presented test results of RA interference susceptibility in Japanese 5G conditions in both 3.7-4.1 GHz and 4.5-4.6 GHz ranges.  It’s conclusions in terms of characteristics were noted in the conclusion to be similar to the RTCA ITM values.</w:t>
      </w:r>
    </w:p>
    <w:p w14:paraId="04196104" w14:textId="09FCE513" w:rsidR="0056216C" w:rsidRDefault="009C479C" w:rsidP="001D7F00">
      <w:pPr>
        <w:pStyle w:val="Numberedparagraph"/>
        <w:numPr>
          <w:ilvl w:val="2"/>
          <w:numId w:val="13"/>
        </w:numPr>
      </w:pPr>
      <w:hyperlink r:id="rId206" w:history="1">
        <w:r w:rsidR="0056216C" w:rsidRPr="0056216C">
          <w:rPr>
            <w:rStyle w:val="Hyperlink"/>
          </w:rPr>
          <w:t>IP07</w:t>
        </w:r>
      </w:hyperlink>
      <w:r w:rsidR="0056216C">
        <w:t xml:space="preserve">, </w:t>
      </w:r>
      <w:r w:rsidR="0056216C" w:rsidRPr="00B824FF">
        <w:rPr>
          <w:i/>
          <w:iCs/>
        </w:rPr>
        <w:t>Receiver Performance Analysis: Systems Operating in the 3.7 – 4.4 GHz band</w:t>
      </w:r>
      <w:r w:rsidR="0056216C">
        <w:t xml:space="preserve">, </w:t>
      </w:r>
      <w:r w:rsidR="007B1260">
        <w:t>was a comparison, based on available data, of the performance of 5G and radio altimeter receivers.  It would have little value in the context of their coexistence.</w:t>
      </w:r>
    </w:p>
    <w:p w14:paraId="45ECBBF4" w14:textId="02AC824B" w:rsidR="007B1260" w:rsidRDefault="009C479C" w:rsidP="001D7F00">
      <w:pPr>
        <w:pStyle w:val="Numberedparagraph"/>
        <w:numPr>
          <w:ilvl w:val="2"/>
          <w:numId w:val="13"/>
        </w:numPr>
      </w:pPr>
      <w:hyperlink r:id="rId207" w:history="1">
        <w:r w:rsidR="00096D7C" w:rsidRPr="00096D7C">
          <w:rPr>
            <w:rStyle w:val="Hyperlink"/>
          </w:rPr>
          <w:t>IP08</w:t>
        </w:r>
      </w:hyperlink>
      <w:r w:rsidR="00096D7C">
        <w:t xml:space="preserve"> was another updated to the CG-RA report.  It reported the outputs of the ECC Plenary in relation to the MFCN operational parameters in detail. It notes action in France in relation to the desire of the </w:t>
      </w:r>
      <w:r w:rsidR="00096D7C" w:rsidRPr="00096D7C">
        <w:t>Fédération Française des Télécom</w:t>
      </w:r>
      <w:r w:rsidR="00096D7C">
        <w:t xml:space="preserve"> to have a similar RA retrofit timetable to that in the US in order to remove the “</w:t>
      </w:r>
      <w:r w:rsidR="00096D7C" w:rsidRPr="00096D7C">
        <w:t>severe and unprecedented constraints imposed on the use of frequencies in the 3.4-3.8G</w:t>
      </w:r>
      <w:r w:rsidR="000A5526">
        <w:t>H</w:t>
      </w:r>
      <w:r w:rsidR="00096D7C" w:rsidRPr="00096D7C">
        <w:t>z frequency band.</w:t>
      </w:r>
      <w:r w:rsidR="000A5526">
        <w:t>”</w:t>
      </w:r>
    </w:p>
    <w:p w14:paraId="2F0F1DB0" w14:textId="791C165F" w:rsidR="00B068A3" w:rsidRDefault="009C479C" w:rsidP="001D7F00">
      <w:pPr>
        <w:pStyle w:val="Numberedparagraph"/>
        <w:numPr>
          <w:ilvl w:val="2"/>
          <w:numId w:val="13"/>
        </w:numPr>
      </w:pPr>
      <w:hyperlink r:id="rId208" w:history="1">
        <w:r w:rsidR="00B068A3" w:rsidRPr="00B068A3">
          <w:rPr>
            <w:rStyle w:val="Hyperlink"/>
          </w:rPr>
          <w:t>IP09</w:t>
        </w:r>
      </w:hyperlink>
      <w:r w:rsidR="00B068A3">
        <w:t xml:space="preserve">, </w:t>
      </w:r>
      <w:r w:rsidR="00B068A3" w:rsidRPr="00B824FF">
        <w:rPr>
          <w:i/>
          <w:iCs/>
        </w:rPr>
        <w:t>ICAO MID Draft Guidance on Safeguarding measures to protect Radio Altimeter from potential harmful interference from Cellular 5G Communications</w:t>
      </w:r>
      <w:r w:rsidR="00B068A3">
        <w:t xml:space="preserve">, </w:t>
      </w:r>
      <w:r w:rsidR="00192D8B">
        <w:t>is a document similar in scope to this one</w:t>
      </w:r>
      <w:r w:rsidR="00822961">
        <w:t>,</w:t>
      </w:r>
      <w:r w:rsidR="00192D8B">
        <w:t xml:space="preserve"> that:</w:t>
      </w:r>
    </w:p>
    <w:p w14:paraId="228303D0" w14:textId="19041608" w:rsidR="00192D8B" w:rsidRDefault="00192D8B" w:rsidP="00192D8B">
      <w:pPr>
        <w:pStyle w:val="Numberedparagraph"/>
        <w:numPr>
          <w:ilvl w:val="3"/>
          <w:numId w:val="13"/>
        </w:numPr>
      </w:pPr>
      <w:r>
        <w:t>Summarises the issues</w:t>
      </w:r>
    </w:p>
    <w:p w14:paraId="4CCDF5EA" w14:textId="72E70DC9" w:rsidR="00192D8B" w:rsidRDefault="00192D8B" w:rsidP="00192D8B">
      <w:pPr>
        <w:pStyle w:val="Numberedparagraph"/>
        <w:numPr>
          <w:ilvl w:val="3"/>
          <w:numId w:val="13"/>
        </w:numPr>
      </w:pPr>
      <w:r>
        <w:t xml:space="preserve">Outlines </w:t>
      </w:r>
      <w:r w:rsidR="00822961">
        <w:t xml:space="preserve">the 5G implementations and </w:t>
      </w:r>
      <w:r>
        <w:t>short term and long term safeguarding measures adopted in various countries</w:t>
      </w:r>
    </w:p>
    <w:p w14:paraId="3F234106" w14:textId="136E3350" w:rsidR="00192D8B" w:rsidRDefault="00192D8B" w:rsidP="00192D8B">
      <w:pPr>
        <w:pStyle w:val="Numberedparagraph"/>
        <w:numPr>
          <w:ilvl w:val="3"/>
          <w:numId w:val="13"/>
        </w:numPr>
      </w:pPr>
      <w:r>
        <w:t xml:space="preserve">Proposes a number of recommended minimum </w:t>
      </w:r>
      <w:r w:rsidRPr="00192D8B">
        <w:t>regulatory actions and measures that need to be taken to protect Radio Altimeters</w:t>
      </w:r>
      <w:r>
        <w:t>, by both aviation and spectrum management authorities.</w:t>
      </w:r>
    </w:p>
    <w:p w14:paraId="05B330E0" w14:textId="592A23C2" w:rsidR="00A90925" w:rsidRDefault="00A90925" w:rsidP="00A90925">
      <w:pPr>
        <w:pStyle w:val="Numberedparagraph"/>
        <w:numPr>
          <w:ilvl w:val="0"/>
          <w:numId w:val="0"/>
        </w:numPr>
        <w:ind w:left="1080"/>
      </w:pPr>
      <w:r>
        <w:t>The ACMA note that our proposed interim, reviewable mitigations largely align with the desired requirements.</w:t>
      </w:r>
      <w:r w:rsidR="0074661B">
        <w:t xml:space="preserve"> </w:t>
      </w:r>
    </w:p>
    <w:p w14:paraId="40AAA33E" w14:textId="0EEBC8A4" w:rsidR="0074661B" w:rsidRDefault="0074661B" w:rsidP="00A90925">
      <w:pPr>
        <w:pStyle w:val="Numberedparagraph"/>
        <w:numPr>
          <w:ilvl w:val="0"/>
          <w:numId w:val="0"/>
        </w:numPr>
        <w:ind w:left="1080"/>
      </w:pPr>
      <w:r>
        <w:t xml:space="preserve">We note that Appendix A - </w:t>
      </w:r>
      <w:r w:rsidRPr="0074661B">
        <w:t>French Methodology to set the dimensions of Special Protection Zones around airports</w:t>
      </w:r>
      <w:r>
        <w:t xml:space="preserve"> in that document has an incorrect reference</w:t>
      </w:r>
      <w:r w:rsidR="002B3ECD">
        <w:t>,</w:t>
      </w:r>
      <w:r>
        <w:t xml:space="preserve"> that might give the interpretation that France based </w:t>
      </w:r>
      <w:r w:rsidR="002B3ECD">
        <w:t>their</w:t>
      </w:r>
      <w:r>
        <w:t xml:space="preserve"> mitigations on RTCA usage category 2, not 1 as they did.  There is a reference to RTCA </w:t>
      </w:r>
      <w:r w:rsidR="00820DE6">
        <w:t>T</w:t>
      </w:r>
      <w:r>
        <w:t>able 7-2.  This is a table to demonstrate that the test setup did not produce significant spurious levels that would cause errors.  It is not the place in the report to obtain the concluded ITMs for the usage categories.</w:t>
      </w:r>
    </w:p>
    <w:p w14:paraId="6567B880" w14:textId="1AC7EFE2" w:rsidR="005F6C5E" w:rsidRPr="00B824FF" w:rsidRDefault="005F6C5E">
      <w:pPr>
        <w:pStyle w:val="Numberedparagraph"/>
        <w:numPr>
          <w:ilvl w:val="2"/>
          <w:numId w:val="13"/>
        </w:numPr>
        <w:rPr>
          <w:rStyle w:val="Hyperlink"/>
          <w:color w:val="auto"/>
        </w:rPr>
      </w:pPr>
      <w:r w:rsidRPr="00B824FF">
        <w:rPr>
          <w:rStyle w:val="Hyperlink"/>
          <w:color w:val="auto"/>
          <w:u w:val="none"/>
        </w:rPr>
        <w:t xml:space="preserve">The draft </w:t>
      </w:r>
      <w:hyperlink r:id="rId209" w:history="1">
        <w:r w:rsidRPr="00B824FF">
          <w:rPr>
            <w:rStyle w:val="Hyperlink"/>
          </w:rPr>
          <w:t>report</w:t>
        </w:r>
      </w:hyperlink>
      <w:r w:rsidRPr="00B824FF">
        <w:rPr>
          <w:rStyle w:val="Hyperlink"/>
          <w:color w:val="auto"/>
          <w:u w:val="none"/>
        </w:rPr>
        <w:t xml:space="preserve"> </w:t>
      </w:r>
      <w:r>
        <w:rPr>
          <w:rStyle w:val="Hyperlink"/>
          <w:color w:val="auto"/>
          <w:u w:val="none"/>
        </w:rPr>
        <w:t xml:space="preserve">discussed the above inputs in relation to </w:t>
      </w:r>
      <w:r w:rsidR="002E39A2">
        <w:rPr>
          <w:rStyle w:val="Hyperlink"/>
          <w:color w:val="auto"/>
          <w:u w:val="none"/>
        </w:rPr>
        <w:t>Agenda Item 4.</w:t>
      </w:r>
    </w:p>
    <w:p w14:paraId="2CA8A1CF" w14:textId="4A774ED0" w:rsidR="009C6FAE" w:rsidRDefault="009C6FAE" w:rsidP="00695A13">
      <w:pPr>
        <w:pStyle w:val="Numberedparagraph"/>
      </w:pPr>
      <w:r>
        <w:t xml:space="preserve">ICAO released an </w:t>
      </w:r>
      <w:hyperlink r:id="rId210" w:history="1">
        <w:r w:rsidRPr="009C6FAE">
          <w:rPr>
            <w:rStyle w:val="Hyperlink"/>
          </w:rPr>
          <w:t>invitation</w:t>
        </w:r>
      </w:hyperlink>
      <w:r>
        <w:t xml:space="preserve"> on 1 September for the Twelfth Meeting of the Regional Aviation Safety Group – Asia and Pacific Regions.  Scheduled for 17-18 November 2022, its theme will be “Raising awareness on potential safety hazards due to 5G interference and promoting best practices in Asia Pacific”.</w:t>
      </w:r>
    </w:p>
    <w:p w14:paraId="3A46ED66" w14:textId="1BE8D988" w:rsidR="00102750" w:rsidRDefault="00102750" w:rsidP="00102750">
      <w:pPr>
        <w:pStyle w:val="Heading2"/>
      </w:pPr>
      <w:bookmarkStart w:id="107" w:name="_Toc116041914"/>
      <w:r>
        <w:t>IATA</w:t>
      </w:r>
      <w:bookmarkEnd w:id="107"/>
    </w:p>
    <w:p w14:paraId="4E0E4449" w14:textId="7D248180" w:rsidR="00102750" w:rsidRDefault="00102750" w:rsidP="00102750">
      <w:pPr>
        <w:pStyle w:val="Numberedparagraph"/>
      </w:pPr>
      <w:r w:rsidRPr="00D379F3">
        <w:t xml:space="preserve">The </w:t>
      </w:r>
      <w:r w:rsidRPr="00102750">
        <w:t>International Air Transport Association (</w:t>
      </w:r>
      <w:hyperlink r:id="rId211" w:history="1">
        <w:r w:rsidRPr="00102750">
          <w:rPr>
            <w:rStyle w:val="Hyperlink"/>
          </w:rPr>
          <w:t>IATA</w:t>
        </w:r>
      </w:hyperlink>
      <w:r w:rsidRPr="00102750">
        <w:t>)</w:t>
      </w:r>
      <w:r>
        <w:t xml:space="preserve"> is an organisation that is “</w:t>
      </w:r>
      <w:r w:rsidRPr="00102750">
        <w:t xml:space="preserve"> the prime vehicle for inter-airline cooperation in promoting safe, reliable, secure and economical air services </w:t>
      </w:r>
      <w:r>
        <w:t xml:space="preserve">“. They have an aviation and 5G </w:t>
      </w:r>
      <w:hyperlink r:id="rId212" w:history="1">
        <w:r w:rsidRPr="00102750">
          <w:rPr>
            <w:rStyle w:val="Hyperlink"/>
          </w:rPr>
          <w:t>webpage</w:t>
        </w:r>
      </w:hyperlink>
      <w:r>
        <w:t xml:space="preserve"> which includes their position on the issue and a global 5G status dashboard.</w:t>
      </w:r>
    </w:p>
    <w:p w14:paraId="430CC47F" w14:textId="77777777" w:rsidR="0069032C" w:rsidRDefault="0069032C" w:rsidP="0069032C">
      <w:pPr>
        <w:pStyle w:val="Heading2"/>
      </w:pPr>
      <w:bookmarkStart w:id="108" w:name="_Toc116041915"/>
      <w:r>
        <w:t>RTCA/AVSI</w:t>
      </w:r>
      <w:bookmarkEnd w:id="108"/>
    </w:p>
    <w:p w14:paraId="5BDB09E9" w14:textId="13662312" w:rsidR="0069032C" w:rsidRDefault="007A2158" w:rsidP="0069032C">
      <w:pPr>
        <w:pStyle w:val="Numberedparagraph"/>
      </w:pPr>
      <w:r>
        <w:t>The “</w:t>
      </w:r>
      <w:r w:rsidRPr="007A2158">
        <w:t>RTCA is a private, not-for-profit association founded in 1935 as the Radio Technical Commission for Aeronautics, now referred to simply as “RTCA”.</w:t>
      </w:r>
      <w:r>
        <w:t xml:space="preserve"> </w:t>
      </w:r>
      <w:r w:rsidRPr="007A2158">
        <w:t>RTCA products serve as the basis for government certification of equipment used by the tens of thousands of aircraft flying daily through the world’s airspace. A Standards Development Organization (SDO), RTCA works with the Federal Aviation Administration (FAA) to develop comprehensive, industry-vetted and endorsed standards that can be used as means of compliance with FAA regulations.</w:t>
      </w:r>
    </w:p>
    <w:p w14:paraId="423D1BBC" w14:textId="6D927E10" w:rsidR="00833556" w:rsidRPr="00624B73" w:rsidRDefault="00833556" w:rsidP="003660D1">
      <w:pPr>
        <w:pStyle w:val="Numberedparagraph"/>
      </w:pPr>
      <w:r w:rsidRPr="00624B73">
        <w:t xml:space="preserve">As described before, the RTCA </w:t>
      </w:r>
      <w:hyperlink r:id="rId213" w:history="1">
        <w:r w:rsidR="000B12B9">
          <w:rPr>
            <w:rStyle w:val="Hyperlink"/>
          </w:rPr>
          <w:t>established</w:t>
        </w:r>
      </w:hyperlink>
      <w:r w:rsidRPr="00624B73">
        <w:t xml:space="preserve"> SC-239 to:</w:t>
      </w:r>
    </w:p>
    <w:p w14:paraId="3D5DC135" w14:textId="77777777" w:rsidR="00833556" w:rsidRDefault="00833556" w:rsidP="00833556">
      <w:pPr>
        <w:pStyle w:val="Numberedparagraph"/>
        <w:numPr>
          <w:ilvl w:val="0"/>
          <w:numId w:val="0"/>
        </w:numPr>
      </w:pPr>
      <w:r>
        <w:t xml:space="preserve">“produce a report assessing the potential interference impact on radar altimeters of 5G telecommunication signals transmitted on frequencies near to the 4200-4400 MHz band. The report may include recommendations for needed mitigations to protect existing radar altimeters in operational service from such interference sources. </w:t>
      </w:r>
    </w:p>
    <w:p w14:paraId="50C9D3C9" w14:textId="77777777" w:rsidR="00833556" w:rsidRDefault="00833556" w:rsidP="003660D1">
      <w:pPr>
        <w:pStyle w:val="Numberedparagraph"/>
      </w:pPr>
      <w:r>
        <w:t>RTCA SC-239 shall update equipment standard MOPS DO-155 for Low Range Radar Altimeters to guarantee the robustness of future Radar Altimeters against existing and planned IN BAND and OUT OF BAND interferences (WAIC, 5G, EAN, etc.)”.</w:t>
      </w:r>
    </w:p>
    <w:p w14:paraId="69CEB570" w14:textId="77777777" w:rsidR="00833556" w:rsidRDefault="00833556" w:rsidP="003660D1">
      <w:pPr>
        <w:pStyle w:val="Numberedparagraph"/>
      </w:pPr>
      <w:r>
        <w:t xml:space="preserve">The initial output was </w:t>
      </w:r>
      <w:hyperlink r:id="rId214" w:history="1">
        <w:r w:rsidRPr="00D415A6">
          <w:rPr>
            <w:rStyle w:val="Hyperlink"/>
          </w:rPr>
          <w:t>RTCA Paper No. 274-20/PMC-2073 (October 2020)</w:t>
        </w:r>
      </w:hyperlink>
      <w:r>
        <w:t xml:space="preserve">, with an </w:t>
      </w:r>
      <w:hyperlink r:id="rId215" w:history="1">
        <w:r w:rsidRPr="00D415A6">
          <w:rPr>
            <w:rStyle w:val="Hyperlink"/>
          </w:rPr>
          <w:t>errata</w:t>
        </w:r>
      </w:hyperlink>
      <w:r>
        <w:t xml:space="preserve"> in 2021.</w:t>
      </w:r>
    </w:p>
    <w:p w14:paraId="505C2243" w14:textId="77777777" w:rsidR="00833556" w:rsidRDefault="00833556" w:rsidP="00D379F3">
      <w:pPr>
        <w:pStyle w:val="Numberedparagraph"/>
        <w:numPr>
          <w:ilvl w:val="0"/>
          <w:numId w:val="0"/>
        </w:numPr>
      </w:pPr>
    </w:p>
    <w:p w14:paraId="32E309C1" w14:textId="3A136759" w:rsidR="008E3B8B" w:rsidRPr="00D379F3" w:rsidRDefault="008E3B8B" w:rsidP="0069032C">
      <w:pPr>
        <w:pStyle w:val="Numberedparagraph"/>
        <w:rPr>
          <w:szCs w:val="20"/>
        </w:rPr>
      </w:pPr>
      <w:r w:rsidRPr="005F752E">
        <w:t xml:space="preserve">The aerospace vehicle systems </w:t>
      </w:r>
      <w:r w:rsidR="005F752E" w:rsidRPr="005F752E">
        <w:t xml:space="preserve">institute (AVSI) is a cooperative research environment comprised of major aerospace companies and government organizations working </w:t>
      </w:r>
      <w:r w:rsidR="005F752E" w:rsidRPr="00444F6D">
        <w:rPr>
          <w:szCs w:val="20"/>
        </w:rPr>
        <w:t>along with academia to solve problems common to its members</w:t>
      </w:r>
      <w:r w:rsidR="005F752E" w:rsidRPr="00D379F3">
        <w:rPr>
          <w:szCs w:val="20"/>
        </w:rPr>
        <w:t xml:space="preserve">. </w:t>
      </w:r>
      <w:r w:rsidR="005F752E" w:rsidRPr="00D379F3">
        <w:rPr>
          <w:szCs w:val="20"/>
          <w:shd w:val="clear" w:color="auto" w:fill="FFFFFF"/>
        </w:rPr>
        <w:t>The </w:t>
      </w:r>
      <w:hyperlink r:id="rId216" w:history="1">
        <w:r w:rsidR="005F752E" w:rsidRPr="00D379F3">
          <w:rPr>
            <w:rStyle w:val="Hyperlink"/>
            <w:color w:val="auto"/>
            <w:szCs w:val="20"/>
            <w:shd w:val="clear" w:color="auto" w:fill="FFFFFF"/>
          </w:rPr>
          <w:t>Wireless Avionics Intra-Communication</w:t>
        </w:r>
      </w:hyperlink>
      <w:r w:rsidR="005F752E" w:rsidRPr="00D379F3">
        <w:rPr>
          <w:szCs w:val="20"/>
          <w:shd w:val="clear" w:color="auto" w:fill="FFFFFF"/>
        </w:rPr>
        <w:t> (WAIC) project provided ITU-R with working papers that formed the basis for a WRC-15 agenda item to secure a specific spectrum allocation that satisfies the needs of WAIC systems. </w:t>
      </w:r>
    </w:p>
    <w:p w14:paraId="15709D1F" w14:textId="149BE06B" w:rsidR="00833556" w:rsidRDefault="00833556" w:rsidP="003660D1">
      <w:pPr>
        <w:pStyle w:val="Numberedparagraph"/>
        <w:rPr>
          <w:szCs w:val="20"/>
        </w:rPr>
      </w:pPr>
      <w:r>
        <w:rPr>
          <w:szCs w:val="20"/>
        </w:rPr>
        <w:t xml:space="preserve">The AVSI setup a project to conduct </w:t>
      </w:r>
      <w:r w:rsidRPr="00833556">
        <w:rPr>
          <w:szCs w:val="20"/>
        </w:rPr>
        <w:t>studies investigating RF interference with the operation of radar altimeters (RAs), for both interference sources that originate in the RA band (4.2 – 4.4 GHz) and source that originate outside the RA band. The WAIC Project AFE 76s1 focused on coexistence between WAIC systems and RAs operating in the RA Band. The related project AFE 76s2 Out-of-band Interference with Radio Altimeters is focused on out-of-band interference (OOBI).</w:t>
      </w:r>
    </w:p>
    <w:p w14:paraId="3AFD2E41" w14:textId="251DBE24" w:rsidR="00833556" w:rsidRDefault="009C479C" w:rsidP="003660D1">
      <w:pPr>
        <w:pStyle w:val="Numberedparagraph"/>
        <w:rPr>
          <w:szCs w:val="20"/>
        </w:rPr>
      </w:pPr>
      <w:hyperlink r:id="rId217" w:history="1">
        <w:r w:rsidR="00833556" w:rsidRPr="00833556">
          <w:rPr>
            <w:rStyle w:val="Hyperlink"/>
            <w:szCs w:val="20"/>
          </w:rPr>
          <w:t>AFE 76s2</w:t>
        </w:r>
      </w:hyperlink>
      <w:r w:rsidR="00833556">
        <w:rPr>
          <w:szCs w:val="20"/>
        </w:rPr>
        <w:t xml:space="preserve"> had the following objectives:</w:t>
      </w:r>
    </w:p>
    <w:p w14:paraId="64AB7701" w14:textId="77777777" w:rsidR="00833556" w:rsidRPr="00833556" w:rsidRDefault="00833556" w:rsidP="00D379F3">
      <w:pPr>
        <w:pStyle w:val="Numberedparagraph"/>
        <w:numPr>
          <w:ilvl w:val="2"/>
          <w:numId w:val="13"/>
        </w:numPr>
        <w:rPr>
          <w:szCs w:val="20"/>
        </w:rPr>
      </w:pPr>
      <w:r w:rsidRPr="00833556">
        <w:rPr>
          <w:szCs w:val="20"/>
        </w:rPr>
        <w:t>Characterize the interference power level at which altitude reported by a set of representative RAs is noticeably affected, goes outside DO-155 or ARINC 707- 7b specified accuracy, and/or is not able to compute an altitude (NCD).</w:t>
      </w:r>
    </w:p>
    <w:p w14:paraId="21013D74" w14:textId="6FDB6B8F" w:rsidR="00833556" w:rsidRPr="00833556" w:rsidRDefault="00833556" w:rsidP="00D379F3">
      <w:pPr>
        <w:pStyle w:val="Numberedparagraph"/>
        <w:numPr>
          <w:ilvl w:val="2"/>
          <w:numId w:val="13"/>
        </w:numPr>
        <w:rPr>
          <w:szCs w:val="20"/>
        </w:rPr>
      </w:pPr>
      <w:r w:rsidRPr="00833556">
        <w:rPr>
          <w:szCs w:val="20"/>
        </w:rPr>
        <w:t>Characterize</w:t>
      </w:r>
      <w:r>
        <w:rPr>
          <w:szCs w:val="20"/>
        </w:rPr>
        <w:t xml:space="preserve"> </w:t>
      </w:r>
      <w:r w:rsidRPr="00833556">
        <w:rPr>
          <w:szCs w:val="20"/>
        </w:rPr>
        <w:t>the</w:t>
      </w:r>
      <w:r>
        <w:rPr>
          <w:szCs w:val="20"/>
        </w:rPr>
        <w:t xml:space="preserve"> </w:t>
      </w:r>
      <w:r w:rsidRPr="00833556">
        <w:rPr>
          <w:szCs w:val="20"/>
        </w:rPr>
        <w:t>interference</w:t>
      </w:r>
      <w:r>
        <w:rPr>
          <w:szCs w:val="20"/>
        </w:rPr>
        <w:t xml:space="preserve"> </w:t>
      </w:r>
      <w:r w:rsidRPr="00833556">
        <w:rPr>
          <w:szCs w:val="20"/>
        </w:rPr>
        <w:t>signal</w:t>
      </w:r>
      <w:r>
        <w:rPr>
          <w:szCs w:val="20"/>
        </w:rPr>
        <w:t xml:space="preserve"> </w:t>
      </w:r>
      <w:r w:rsidRPr="00833556">
        <w:rPr>
          <w:szCs w:val="20"/>
        </w:rPr>
        <w:t>bandwidth</w:t>
      </w:r>
      <w:r>
        <w:rPr>
          <w:szCs w:val="20"/>
        </w:rPr>
        <w:t xml:space="preserve"> </w:t>
      </w:r>
      <w:r w:rsidRPr="00833556">
        <w:rPr>
          <w:szCs w:val="20"/>
        </w:rPr>
        <w:t>(equivalent</w:t>
      </w:r>
      <w:r>
        <w:rPr>
          <w:szCs w:val="20"/>
        </w:rPr>
        <w:t xml:space="preserve"> </w:t>
      </w:r>
      <w:r w:rsidRPr="00833556">
        <w:rPr>
          <w:szCs w:val="20"/>
        </w:rPr>
        <w:t>to</w:t>
      </w:r>
      <w:r>
        <w:rPr>
          <w:szCs w:val="20"/>
        </w:rPr>
        <w:t xml:space="preserve"> </w:t>
      </w:r>
      <w:r w:rsidRPr="00833556">
        <w:rPr>
          <w:szCs w:val="20"/>
        </w:rPr>
        <w:t>multiple</w:t>
      </w:r>
      <w:r>
        <w:rPr>
          <w:szCs w:val="20"/>
        </w:rPr>
        <w:t xml:space="preserve"> </w:t>
      </w:r>
      <w:r w:rsidRPr="00833556">
        <w:rPr>
          <w:szCs w:val="20"/>
        </w:rPr>
        <w:t>emitters</w:t>
      </w:r>
      <w:r>
        <w:rPr>
          <w:szCs w:val="20"/>
        </w:rPr>
        <w:t xml:space="preserve"> </w:t>
      </w:r>
      <w:r w:rsidRPr="00833556">
        <w:rPr>
          <w:szCs w:val="20"/>
        </w:rPr>
        <w:t>on adjacent channels) at which altitude reported by a set of representative RAs is noticeably affected.</w:t>
      </w:r>
    </w:p>
    <w:p w14:paraId="479F47AF" w14:textId="77777777" w:rsidR="00833556" w:rsidRPr="00833556" w:rsidRDefault="00833556" w:rsidP="00D379F3">
      <w:pPr>
        <w:pStyle w:val="Numberedparagraph"/>
        <w:numPr>
          <w:ilvl w:val="2"/>
          <w:numId w:val="13"/>
        </w:numPr>
        <w:rPr>
          <w:szCs w:val="20"/>
        </w:rPr>
      </w:pPr>
      <w:r w:rsidRPr="00833556">
        <w:rPr>
          <w:szCs w:val="20"/>
        </w:rPr>
        <w:t>Characterize the effect of interference signal frequency separation from the 4200 – 4400 MHz the band edge.</w:t>
      </w:r>
    </w:p>
    <w:p w14:paraId="42ABCADF" w14:textId="571A75B5" w:rsidR="00833556" w:rsidRDefault="00833556" w:rsidP="003660D1">
      <w:pPr>
        <w:pStyle w:val="Numberedparagraph"/>
        <w:rPr>
          <w:szCs w:val="20"/>
        </w:rPr>
      </w:pPr>
      <w:r w:rsidRPr="00833556">
        <w:rPr>
          <w:szCs w:val="20"/>
        </w:rPr>
        <w:t xml:space="preserve">Note that these out-of-band interference (OOBI) tests </w:t>
      </w:r>
      <w:r>
        <w:rPr>
          <w:szCs w:val="20"/>
        </w:rPr>
        <w:t>(w</w:t>
      </w:r>
      <w:r w:rsidR="00ED26D8">
        <w:rPr>
          <w:szCs w:val="20"/>
        </w:rPr>
        <w:t>e</w:t>
      </w:r>
      <w:r>
        <w:rPr>
          <w:szCs w:val="20"/>
        </w:rPr>
        <w:t>re)</w:t>
      </w:r>
      <w:r w:rsidRPr="00833556">
        <w:rPr>
          <w:szCs w:val="20"/>
        </w:rPr>
        <w:t xml:space="preserve"> be conducted on a standardized laboratory bench for static platform conditions and at benign environmental conditions.</w:t>
      </w:r>
    </w:p>
    <w:p w14:paraId="35CA89F9" w14:textId="696496AC" w:rsidR="00833556" w:rsidRDefault="00833556" w:rsidP="003660D1">
      <w:pPr>
        <w:pStyle w:val="Numberedparagraph"/>
        <w:rPr>
          <w:szCs w:val="20"/>
        </w:rPr>
      </w:pPr>
      <w:r>
        <w:rPr>
          <w:szCs w:val="20"/>
        </w:rPr>
        <w:t>The results of these tests were summarised in the RTCA report and released separate</w:t>
      </w:r>
      <w:r w:rsidR="00DB799D">
        <w:rPr>
          <w:szCs w:val="20"/>
        </w:rPr>
        <w:t>ly</w:t>
      </w:r>
      <w:r>
        <w:rPr>
          <w:szCs w:val="20"/>
        </w:rPr>
        <w:t xml:space="preserve"> in three volumes as already </w:t>
      </w:r>
      <w:r w:rsidR="00537826">
        <w:rPr>
          <w:szCs w:val="20"/>
        </w:rPr>
        <w:t>mentioned in this paper</w:t>
      </w:r>
      <w:r>
        <w:rPr>
          <w:szCs w:val="20"/>
        </w:rPr>
        <w:t>.</w:t>
      </w:r>
      <w:r w:rsidR="00E862C2">
        <w:rPr>
          <w:szCs w:val="20"/>
        </w:rPr>
        <w:t xml:space="preserve"> The volumes, while still anonymising RA models, breaks down measured performance by RA model, where the RTCA report grouped performance into worst-performing usage categories.</w:t>
      </w:r>
    </w:p>
    <w:p w14:paraId="0AAC57B0" w14:textId="10ACA3C7" w:rsidR="004A3407" w:rsidRDefault="004A3407">
      <w:pPr>
        <w:spacing w:after="0" w:line="240" w:lineRule="auto"/>
        <w:rPr>
          <w:rFonts w:cs="Arial"/>
          <w:szCs w:val="20"/>
        </w:rPr>
      </w:pPr>
      <w:r>
        <w:rPr>
          <w:szCs w:val="20"/>
        </w:rPr>
        <w:br w:type="page"/>
      </w:r>
    </w:p>
    <w:p w14:paraId="723503A0" w14:textId="7D776D26" w:rsidR="004A3407" w:rsidRDefault="004A3407" w:rsidP="004A3407">
      <w:pPr>
        <w:pStyle w:val="Heading1"/>
      </w:pPr>
      <w:bookmarkStart w:id="109" w:name="_Ref106371120"/>
      <w:bookmarkStart w:id="110" w:name="_Ref106619720"/>
      <w:bookmarkStart w:id="111" w:name="_Ref106622191"/>
      <w:bookmarkStart w:id="112" w:name="_Toc116041916"/>
      <w:r>
        <w:t xml:space="preserve">Appendix D: </w:t>
      </w:r>
      <w:r w:rsidR="00CD44D9">
        <w:t>D</w:t>
      </w:r>
      <w:r w:rsidR="00FC1315">
        <w:t>evelopment</w:t>
      </w:r>
      <w:r>
        <w:t xml:space="preserve"> of proposed </w:t>
      </w:r>
      <w:r w:rsidR="004B3713">
        <w:t xml:space="preserve">interim </w:t>
      </w:r>
      <w:r>
        <w:t>mitigations</w:t>
      </w:r>
      <w:bookmarkEnd w:id="109"/>
      <w:bookmarkEnd w:id="110"/>
      <w:bookmarkEnd w:id="111"/>
      <w:bookmarkEnd w:id="112"/>
    </w:p>
    <w:p w14:paraId="08E08840" w14:textId="6BA39585" w:rsidR="00F27EEF" w:rsidRDefault="00F27EEF" w:rsidP="00F27EEF">
      <w:pPr>
        <w:pStyle w:val="Heading2"/>
      </w:pPr>
      <w:bookmarkStart w:id="113" w:name="_Toc116041917"/>
      <w:r>
        <w:t>Summary</w:t>
      </w:r>
      <w:bookmarkEnd w:id="113"/>
    </w:p>
    <w:p w14:paraId="28D7A743" w14:textId="7C4063DB" w:rsidR="00F27EEF" w:rsidRPr="005926BF" w:rsidRDefault="00F27EEF" w:rsidP="00F27EEF">
      <w:pPr>
        <w:pStyle w:val="Numberedparagraph"/>
      </w:pPr>
      <w:r w:rsidRPr="005926BF">
        <w:t xml:space="preserve">This appendix discusses the development of possible interim </w:t>
      </w:r>
      <w:r w:rsidR="00F00C19">
        <w:t xml:space="preserve">additional </w:t>
      </w:r>
      <w:r w:rsidRPr="005926BF">
        <w:t xml:space="preserve">mitigations to support </w:t>
      </w:r>
      <w:r w:rsidR="00D86B3F">
        <w:t xml:space="preserve">the </w:t>
      </w:r>
      <w:r w:rsidRPr="005926BF">
        <w:t xml:space="preserve">coexistence between radio altimeters and WBB deployments. The </w:t>
      </w:r>
      <w:r w:rsidR="00F00C19">
        <w:t>‘</w:t>
      </w:r>
      <w:r w:rsidRPr="005926BF">
        <w:t>additional</w:t>
      </w:r>
      <w:r w:rsidR="00F00C19">
        <w:t>’</w:t>
      </w:r>
      <w:r w:rsidRPr="005926BF">
        <w:t xml:space="preserve"> mitigations are based on an adapted French/Canadian approach </w:t>
      </w:r>
      <w:r w:rsidR="00037ACE">
        <w:t>applied at specified runway approaches</w:t>
      </w:r>
      <w:r w:rsidRPr="005926BF">
        <w:t>, along with general mitigations applicable at all locations.</w:t>
      </w:r>
    </w:p>
    <w:p w14:paraId="74388F07" w14:textId="308E0537" w:rsidR="00F27EEF" w:rsidRDefault="00F27EEF" w:rsidP="00F27EEF">
      <w:pPr>
        <w:pStyle w:val="Numberedparagraph"/>
      </w:pPr>
      <w:r>
        <w:t xml:space="preserve">The French method of calculating exclusion and restricted zone sizes and </w:t>
      </w:r>
      <w:r w:rsidR="00D640D4">
        <w:t xml:space="preserve">the </w:t>
      </w:r>
      <w:r>
        <w:t xml:space="preserve">Canadian method of calculating the power flux density (PFD) limit in restricted zones is summarised. These methods are then applied </w:t>
      </w:r>
      <w:r w:rsidR="00F00C19">
        <w:t>in</w:t>
      </w:r>
      <w:r>
        <w:t xml:space="preserve"> an Australian context to develop proposed mitigations</w:t>
      </w:r>
      <w:r w:rsidR="007A1452">
        <w:t>, i</w:t>
      </w:r>
      <w:r w:rsidR="00D55A14">
        <w:t xml:space="preserve">ncluding </w:t>
      </w:r>
      <w:r w:rsidR="00520AD8">
        <w:t xml:space="preserve">an additional </w:t>
      </w:r>
      <w:r w:rsidR="00D55A14">
        <w:t xml:space="preserve">consideration of </w:t>
      </w:r>
      <w:r w:rsidR="006D5CAF">
        <w:t xml:space="preserve">the </w:t>
      </w:r>
      <w:r w:rsidR="00D55A14">
        <w:t>reduced EIRP in proposed restricted cell areas in metro and regional areas</w:t>
      </w:r>
      <w:r w:rsidR="00520AD8">
        <w:t>.</w:t>
      </w:r>
    </w:p>
    <w:p w14:paraId="38D3E9A4" w14:textId="536AE3E0" w:rsidR="00F27EEF" w:rsidRPr="00206DBA" w:rsidRDefault="00F27EEF" w:rsidP="00695A13">
      <w:pPr>
        <w:pStyle w:val="Numberedparagraph"/>
      </w:pPr>
      <w:r>
        <w:t xml:space="preserve">The use of an unwanted emissions limit as an additional general mitigation is summarised. This calculation is </w:t>
      </w:r>
      <w:r w:rsidR="00520AD8">
        <w:t xml:space="preserve">based on a </w:t>
      </w:r>
      <w:r>
        <w:t xml:space="preserve">similar </w:t>
      </w:r>
      <w:r w:rsidR="00520AD8">
        <w:t>methodology used in</w:t>
      </w:r>
      <w:r>
        <w:t xml:space="preserve"> </w:t>
      </w:r>
      <w:r w:rsidR="00520AD8">
        <w:t xml:space="preserve">determining </w:t>
      </w:r>
      <w:r>
        <w:t>the zone size</w:t>
      </w:r>
      <w:r w:rsidR="00520AD8">
        <w:t>s</w:t>
      </w:r>
      <w:r w:rsidR="006D5CAF">
        <w:t>,</w:t>
      </w:r>
      <w:r w:rsidR="00520AD8">
        <w:t xml:space="preserve"> but</w:t>
      </w:r>
      <w:r>
        <w:t xml:space="preserve"> </w:t>
      </w:r>
      <w:r w:rsidR="00520AD8">
        <w:t>applicable to</w:t>
      </w:r>
      <w:r>
        <w:t xml:space="preserve"> the </w:t>
      </w:r>
      <w:r w:rsidR="00520AD8">
        <w:t xml:space="preserve">unwanted emissions </w:t>
      </w:r>
      <w:r>
        <w:t xml:space="preserve">case. </w:t>
      </w:r>
    </w:p>
    <w:p w14:paraId="34B71A36" w14:textId="77777777" w:rsidR="00F27EEF" w:rsidRDefault="00F27EEF" w:rsidP="00F27EEF">
      <w:pPr>
        <w:pStyle w:val="Heading2"/>
      </w:pPr>
      <w:bookmarkStart w:id="114" w:name="_Toc116041918"/>
      <w:r>
        <w:t>Airport Mitigations</w:t>
      </w:r>
      <w:bookmarkEnd w:id="114"/>
    </w:p>
    <w:p w14:paraId="6F755717" w14:textId="77777777" w:rsidR="00F27EEF" w:rsidRPr="001D301C" w:rsidRDefault="00F27EEF" w:rsidP="00F27EEF">
      <w:pPr>
        <w:pStyle w:val="Heading2"/>
        <w:rPr>
          <w:sz w:val="24"/>
          <w:szCs w:val="24"/>
        </w:rPr>
      </w:pPr>
      <w:bookmarkStart w:id="115" w:name="_Toc116041919"/>
      <w:r w:rsidRPr="001D301C">
        <w:rPr>
          <w:sz w:val="24"/>
          <w:szCs w:val="24"/>
        </w:rPr>
        <w:t>Overview</w:t>
      </w:r>
      <w:bookmarkEnd w:id="115"/>
      <w:r w:rsidRPr="001D301C">
        <w:rPr>
          <w:sz w:val="24"/>
          <w:szCs w:val="24"/>
        </w:rPr>
        <w:t xml:space="preserve"> </w:t>
      </w:r>
    </w:p>
    <w:p w14:paraId="039B0685" w14:textId="11CC4C97" w:rsidR="00F27EEF" w:rsidRDefault="00F27EEF" w:rsidP="00F27EEF">
      <w:pPr>
        <w:pStyle w:val="Numberedparagraph"/>
      </w:pPr>
      <w:r>
        <w:t xml:space="preserve">The overall approach to mitigations </w:t>
      </w:r>
      <w:r w:rsidR="00520AD8">
        <w:t xml:space="preserve">for airports </w:t>
      </w:r>
      <w:r>
        <w:t>is based on the creation of zones around certain airport</w:t>
      </w:r>
      <w:r w:rsidR="00520AD8">
        <w:t xml:space="preserve"> runway</w:t>
      </w:r>
      <w:r>
        <w:t xml:space="preserve">s where additional limitations are placed on WBB deployments. The approach is summarised in the </w:t>
      </w:r>
      <w:r w:rsidRPr="00D13C5A">
        <w:t>diagram</w:t>
      </w:r>
      <w:r>
        <w:t xml:space="preserve"> and table below.</w:t>
      </w:r>
      <w:r w:rsidRPr="00CC7BED">
        <w:rPr>
          <w:noProof/>
        </w:rPr>
        <w:t xml:space="preserve"> </w:t>
      </w:r>
    </w:p>
    <w:p w14:paraId="6D55C4DA" w14:textId="77777777" w:rsidR="00F27EEF" w:rsidRDefault="00F27EEF" w:rsidP="00F27EEF">
      <w:pPr>
        <w:pStyle w:val="Figureheading"/>
      </w:pPr>
      <w:r>
        <w:t>Mitigation</w:t>
      </w:r>
      <w:r w:rsidRPr="00CC7BED">
        <w:t xml:space="preserve"> zones around certain airport</w:t>
      </w:r>
      <w:r>
        <w:t xml:space="preserve"> runways (not to scale)</w:t>
      </w:r>
    </w:p>
    <w:p w14:paraId="0E6DC34E" w14:textId="77777777" w:rsidR="00F27EEF" w:rsidRDefault="00F27EEF" w:rsidP="00F27EEF">
      <w:pPr>
        <w:pStyle w:val="Paragraph"/>
      </w:pPr>
      <w:r w:rsidRPr="0024581F">
        <w:rPr>
          <w:noProof/>
        </w:rPr>
        <w:drawing>
          <wp:inline distT="0" distB="0" distL="0" distR="0" wp14:anchorId="5A184CAE" wp14:editId="7142A5F8">
            <wp:extent cx="4871085" cy="69215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871085" cy="692150"/>
                    </a:xfrm>
                    <a:prstGeom prst="rect">
                      <a:avLst/>
                    </a:prstGeom>
                  </pic:spPr>
                </pic:pic>
              </a:graphicData>
            </a:graphic>
          </wp:inline>
        </w:drawing>
      </w:r>
    </w:p>
    <w:p w14:paraId="23EA2E3A" w14:textId="77777777" w:rsidR="00F27EEF" w:rsidRDefault="00F27EEF" w:rsidP="00F27EEF">
      <w:pPr>
        <w:pStyle w:val="ACMATableHeader"/>
      </w:pPr>
      <w:r w:rsidRPr="00CC7BED">
        <w:t>Summary of mitigation zones around certain airport</w:t>
      </w:r>
      <w:r>
        <w:t xml:space="preserve"> runways</w:t>
      </w:r>
    </w:p>
    <w:tbl>
      <w:tblPr>
        <w:tblStyle w:val="ACMAtablestyle"/>
        <w:tblW w:w="0" w:type="auto"/>
        <w:tblLook w:val="04A0" w:firstRow="1" w:lastRow="0" w:firstColumn="1" w:lastColumn="0" w:noHBand="0" w:noVBand="1"/>
      </w:tblPr>
      <w:tblGrid>
        <w:gridCol w:w="1555"/>
        <w:gridCol w:w="5811"/>
      </w:tblGrid>
      <w:tr w:rsidR="00F27EEF" w14:paraId="170E3F9A" w14:textId="77777777" w:rsidTr="00695A13">
        <w:trPr>
          <w:cnfStyle w:val="100000000000" w:firstRow="1" w:lastRow="0" w:firstColumn="0" w:lastColumn="0" w:oddVBand="0" w:evenVBand="0" w:oddHBand="0" w:evenHBand="0" w:firstRowFirstColumn="0" w:firstRowLastColumn="0" w:lastRowFirstColumn="0" w:lastRowLastColumn="0"/>
        </w:trPr>
        <w:tc>
          <w:tcPr>
            <w:tcW w:w="1555" w:type="dxa"/>
          </w:tcPr>
          <w:p w14:paraId="69FC24F5" w14:textId="77777777" w:rsidR="00F27EEF" w:rsidRDefault="00F27EEF" w:rsidP="00695A13">
            <w:pPr>
              <w:pStyle w:val="Tableheaderrow"/>
            </w:pPr>
            <w:r>
              <w:t xml:space="preserve">Zone </w:t>
            </w:r>
          </w:p>
        </w:tc>
        <w:tc>
          <w:tcPr>
            <w:tcW w:w="5811" w:type="dxa"/>
          </w:tcPr>
          <w:p w14:paraId="0922CC8F" w14:textId="77777777" w:rsidR="00F27EEF" w:rsidRDefault="00F27EEF" w:rsidP="00695A13">
            <w:pPr>
              <w:pStyle w:val="Tableheaderrow"/>
            </w:pPr>
            <w:r>
              <w:t>Definition</w:t>
            </w:r>
          </w:p>
        </w:tc>
      </w:tr>
      <w:tr w:rsidR="00F27EEF" w14:paraId="05EDAC9D" w14:textId="77777777" w:rsidTr="00695A13">
        <w:trPr>
          <w:cnfStyle w:val="000000100000" w:firstRow="0" w:lastRow="0" w:firstColumn="0" w:lastColumn="0" w:oddVBand="0" w:evenVBand="0" w:oddHBand="1" w:evenHBand="0" w:firstRowFirstColumn="0" w:firstRowLastColumn="0" w:lastRowFirstColumn="0" w:lastRowLastColumn="0"/>
        </w:trPr>
        <w:tc>
          <w:tcPr>
            <w:tcW w:w="1555" w:type="dxa"/>
          </w:tcPr>
          <w:p w14:paraId="18AAAC86" w14:textId="77777777" w:rsidR="00F27EEF" w:rsidRDefault="00F27EEF" w:rsidP="00695A13">
            <w:pPr>
              <w:pStyle w:val="TableBody"/>
            </w:pPr>
            <w:r>
              <w:t xml:space="preserve">Exclusion zone </w:t>
            </w:r>
          </w:p>
        </w:tc>
        <w:tc>
          <w:tcPr>
            <w:tcW w:w="5811" w:type="dxa"/>
          </w:tcPr>
          <w:p w14:paraId="66A93F48" w14:textId="77777777" w:rsidR="00F27EEF" w:rsidRDefault="00F27EEF" w:rsidP="00695A13">
            <w:pPr>
              <w:pStyle w:val="TableBody"/>
            </w:pPr>
            <w:r>
              <w:t>Area within which WBB base stations cannot operate.</w:t>
            </w:r>
          </w:p>
        </w:tc>
      </w:tr>
      <w:tr w:rsidR="00F27EEF" w14:paraId="351A5C5F" w14:textId="77777777" w:rsidTr="00695A13">
        <w:trPr>
          <w:cnfStyle w:val="000000010000" w:firstRow="0" w:lastRow="0" w:firstColumn="0" w:lastColumn="0" w:oddVBand="0" w:evenVBand="0" w:oddHBand="0" w:evenHBand="1" w:firstRowFirstColumn="0" w:firstRowLastColumn="0" w:lastRowFirstColumn="0" w:lastRowLastColumn="0"/>
        </w:trPr>
        <w:tc>
          <w:tcPr>
            <w:tcW w:w="1555" w:type="dxa"/>
          </w:tcPr>
          <w:p w14:paraId="0A03B564" w14:textId="77777777" w:rsidR="00F27EEF" w:rsidRDefault="00F27EEF" w:rsidP="00695A13">
            <w:pPr>
              <w:pStyle w:val="TableBody"/>
            </w:pPr>
            <w:r>
              <w:t xml:space="preserve">Restricted zone </w:t>
            </w:r>
          </w:p>
        </w:tc>
        <w:tc>
          <w:tcPr>
            <w:tcW w:w="5811" w:type="dxa"/>
          </w:tcPr>
          <w:p w14:paraId="4B527334" w14:textId="549B8E5D" w:rsidR="00F27EEF" w:rsidRDefault="00F27EEF" w:rsidP="00695A13">
            <w:pPr>
              <w:pStyle w:val="TableBody"/>
            </w:pPr>
            <w:r>
              <w:rPr>
                <w:rFonts w:eastAsiaTheme="minorHAnsi" w:cs="Arial"/>
                <w:szCs w:val="20"/>
                <w:lang w:eastAsia="en-US"/>
              </w:rPr>
              <w:t xml:space="preserve">Area within which WBB base stations can operate but must meet a defined PFD level at a certain height. </w:t>
            </w:r>
          </w:p>
        </w:tc>
      </w:tr>
    </w:tbl>
    <w:p w14:paraId="4F56711E" w14:textId="77777777" w:rsidR="00F27EEF" w:rsidRDefault="00F27EEF" w:rsidP="00F27EEF">
      <w:pPr>
        <w:pStyle w:val="Spaceaftertable"/>
      </w:pPr>
    </w:p>
    <w:p w14:paraId="423E661D" w14:textId="38FD8F8E" w:rsidR="00F27EEF" w:rsidRDefault="00F27EEF" w:rsidP="00F27EEF">
      <w:pPr>
        <w:pStyle w:val="Numberedparagraph"/>
      </w:pPr>
      <w:r>
        <w:t xml:space="preserve">Zone size calculations are based on the methodology that the French regulator (ANFR) adopted. This </w:t>
      </w:r>
      <w:bookmarkStart w:id="116" w:name="_Hlk114212534"/>
      <w:r>
        <w:t xml:space="preserve">methodology is then applied to Australian specific conditions (such as EIRP limits) to determine </w:t>
      </w:r>
      <w:bookmarkEnd w:id="116"/>
      <w:r>
        <w:t xml:space="preserve">the size </w:t>
      </w:r>
      <w:r w:rsidR="00520AD8">
        <w:t xml:space="preserve">of the zones </w:t>
      </w:r>
      <w:r w:rsidR="00D6083B">
        <w:t>for</w:t>
      </w:r>
      <w:r>
        <w:t xml:space="preserve"> Australia.  </w:t>
      </w:r>
    </w:p>
    <w:p w14:paraId="6EE034AF" w14:textId="24FBDC43" w:rsidR="00F27EEF" w:rsidRDefault="00F27EEF" w:rsidP="00F27EEF">
      <w:pPr>
        <w:pStyle w:val="Numberedparagraph"/>
      </w:pPr>
      <w:r>
        <w:t xml:space="preserve">The PFD limit applicable to WBB deployments in restricted zones is calculated based on the Canadian regulator’s (ISED) method, adapted to </w:t>
      </w:r>
      <w:r w:rsidR="007D1A28">
        <w:t xml:space="preserve">the </w:t>
      </w:r>
      <w:r>
        <w:t xml:space="preserve">Australian </w:t>
      </w:r>
      <w:r w:rsidR="007D1A28">
        <w:t>scenario</w:t>
      </w:r>
      <w:r>
        <w:t>.</w:t>
      </w:r>
    </w:p>
    <w:p w14:paraId="2A5208B9" w14:textId="77777777" w:rsidR="00F27EEF" w:rsidRPr="008C634A" w:rsidRDefault="00F27EEF" w:rsidP="00F27EEF">
      <w:pPr>
        <w:pStyle w:val="Heading2"/>
        <w:rPr>
          <w:sz w:val="24"/>
          <w:szCs w:val="24"/>
        </w:rPr>
      </w:pPr>
      <w:bookmarkStart w:id="117" w:name="_Toc116041920"/>
      <w:r w:rsidRPr="008C634A">
        <w:rPr>
          <w:sz w:val="24"/>
          <w:szCs w:val="24"/>
        </w:rPr>
        <w:t>Methodology</w:t>
      </w:r>
      <w:bookmarkEnd w:id="117"/>
    </w:p>
    <w:p w14:paraId="28257175" w14:textId="77777777" w:rsidR="00F27EEF" w:rsidRPr="008C634A" w:rsidRDefault="00F27EEF" w:rsidP="00F27EEF">
      <w:pPr>
        <w:pStyle w:val="Heading3"/>
      </w:pPr>
      <w:r>
        <w:t xml:space="preserve">Determination of zone sizes </w:t>
      </w:r>
    </w:p>
    <w:p w14:paraId="3F7E5D96" w14:textId="1BA29CCF" w:rsidR="00F27EEF" w:rsidRDefault="00F27EEF" w:rsidP="00F27EEF">
      <w:pPr>
        <w:pStyle w:val="Numberedparagraph"/>
      </w:pPr>
      <w:r w:rsidRPr="00206DBA">
        <w:t>The method the ANFR used to determine the appropriate size of their zones</w:t>
      </w:r>
      <w:r>
        <w:rPr>
          <w:rStyle w:val="FootnoteReference"/>
        </w:rPr>
        <w:footnoteReference w:id="18"/>
      </w:r>
      <w:r w:rsidRPr="00206DBA">
        <w:t xml:space="preserve"> is available on their </w:t>
      </w:r>
      <w:hyperlink r:id="rId219" w:history="1">
        <w:r w:rsidRPr="00EC63BA">
          <w:rPr>
            <w:rStyle w:val="Hyperlink"/>
          </w:rPr>
          <w:t>website</w:t>
        </w:r>
      </w:hyperlink>
      <w:r w:rsidRPr="00206DBA">
        <w:t xml:space="preserve"> and detailed in an ICAO meeting </w:t>
      </w:r>
      <w:hyperlink r:id="rId220" w:history="1">
        <w:r w:rsidRPr="00EC63BA">
          <w:rPr>
            <w:rStyle w:val="Hyperlink"/>
          </w:rPr>
          <w:t>input paper</w:t>
        </w:r>
      </w:hyperlink>
      <w:r w:rsidRPr="00206DBA">
        <w:t xml:space="preserve">. </w:t>
      </w:r>
      <w:r>
        <w:t>This approach is</w:t>
      </w:r>
      <w:r w:rsidRPr="00206DBA">
        <w:t xml:space="preserve"> based on the use of the Interference Tolerance Masks (ITM) for aircraft </w:t>
      </w:r>
      <w:r>
        <w:t>U</w:t>
      </w:r>
      <w:r w:rsidRPr="00206DBA">
        <w:t xml:space="preserve">sage </w:t>
      </w:r>
      <w:r>
        <w:t>C</w:t>
      </w:r>
      <w:r w:rsidRPr="00206DBA">
        <w:t>ategory 1</w:t>
      </w:r>
      <w:r>
        <w:t xml:space="preserve"> (UC 1) RA protection requirements included in the </w:t>
      </w:r>
      <w:r w:rsidRPr="00206DBA">
        <w:t xml:space="preserve">RTCA </w:t>
      </w:r>
      <w:r>
        <w:t>R</w:t>
      </w:r>
      <w:r w:rsidRPr="00206DBA">
        <w:t>eport</w:t>
      </w:r>
      <w:r w:rsidR="00573354">
        <w:t>. B</w:t>
      </w:r>
      <w:r>
        <w:t xml:space="preserve">asic free space loss calculations </w:t>
      </w:r>
      <w:r w:rsidR="00573354">
        <w:t xml:space="preserve">are then used </w:t>
      </w:r>
      <w:r>
        <w:t xml:space="preserve">to determine distances where emissions from WBB deployments meet the protection requirement at specific heights in aircraft </w:t>
      </w:r>
      <w:r w:rsidRPr="007B200D">
        <w:t>approach and take-off</w:t>
      </w:r>
      <w:r w:rsidR="00573354">
        <w:t xml:space="preserve"> path</w:t>
      </w:r>
      <w:r w:rsidRPr="007B200D">
        <w:t>. As outlined in Figure</w:t>
      </w:r>
      <w:r w:rsidR="00900E7B" w:rsidRPr="007B200D">
        <w:t xml:space="preserve"> </w:t>
      </w:r>
      <w:r w:rsidR="00530354" w:rsidRPr="007B200D">
        <w:t>6</w:t>
      </w:r>
      <w:r w:rsidRPr="007B200D">
        <w:t>, different geometries are used to</w:t>
      </w:r>
      <w:r>
        <w:t xml:space="preserve"> calculate the different zone sizes.</w:t>
      </w:r>
    </w:p>
    <w:p w14:paraId="6DD9134A" w14:textId="3FE4D092" w:rsidR="00F27EEF" w:rsidRDefault="00F27EEF" w:rsidP="00F27EEF">
      <w:pPr>
        <w:pStyle w:val="Figureheading"/>
      </w:pPr>
      <w:r>
        <w:t>Outline of zone sizes</w:t>
      </w:r>
      <w:r w:rsidR="007E7E71">
        <w:t xml:space="preserve"> definitions</w:t>
      </w:r>
      <w:r w:rsidR="005614A2">
        <w:rPr>
          <w:rStyle w:val="FootnoteReference"/>
        </w:rPr>
        <w:footnoteReference w:id="19"/>
      </w:r>
      <w:r w:rsidR="007E7E71">
        <w:t xml:space="preserve"> – where both approaches to a runway require mitigations</w:t>
      </w:r>
    </w:p>
    <w:p w14:paraId="3BC5E8E2" w14:textId="6BA78A7E" w:rsidR="00F27EEF" w:rsidRDefault="00D94859" w:rsidP="00F27EEF">
      <w:pPr>
        <w:pStyle w:val="Paragraph"/>
      </w:pPr>
      <w:r w:rsidRPr="00D94859">
        <w:rPr>
          <w:noProof/>
        </w:rPr>
        <w:drawing>
          <wp:inline distT="0" distB="0" distL="0" distR="0" wp14:anchorId="6B72E9FF" wp14:editId="3287DC24">
            <wp:extent cx="4871085" cy="1092200"/>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871085" cy="1092200"/>
                    </a:xfrm>
                    <a:prstGeom prst="rect">
                      <a:avLst/>
                    </a:prstGeom>
                  </pic:spPr>
                </pic:pic>
              </a:graphicData>
            </a:graphic>
          </wp:inline>
        </w:drawing>
      </w:r>
      <w:r w:rsidRPr="00D94859">
        <w:rPr>
          <w:noProof/>
        </w:rPr>
        <w:t xml:space="preserve"> </w:t>
      </w:r>
    </w:p>
    <w:p w14:paraId="72F42711" w14:textId="77777777" w:rsidR="007E7E71" w:rsidRDefault="007E7E71">
      <w:pPr>
        <w:spacing w:after="0" w:line="240" w:lineRule="auto"/>
        <w:rPr>
          <w:b/>
          <w:bCs/>
          <w:color w:val="323232"/>
          <w:szCs w:val="20"/>
        </w:rPr>
      </w:pPr>
      <w:r>
        <w:br w:type="page"/>
      </w:r>
    </w:p>
    <w:p w14:paraId="3283E844" w14:textId="77777777" w:rsidR="00F27EEF" w:rsidRDefault="00F27EEF" w:rsidP="00F27EEF">
      <w:pPr>
        <w:pStyle w:val="ACMAFigureHeader"/>
      </w:pPr>
      <w:r>
        <w:t>Calculation method dimensions for half-width of zones</w:t>
      </w:r>
    </w:p>
    <w:p w14:paraId="09723B18" w14:textId="77777777" w:rsidR="00F27EEF" w:rsidRPr="00206DBA" w:rsidRDefault="00F27EEF" w:rsidP="00257BC6">
      <w:pPr>
        <w:pStyle w:val="Numberedparagraphbeforelist"/>
        <w:numPr>
          <w:ilvl w:val="0"/>
          <w:numId w:val="0"/>
        </w:numPr>
        <w:jc w:val="center"/>
      </w:pPr>
      <w:r w:rsidRPr="00D44C08">
        <w:rPr>
          <w:noProof/>
        </w:rPr>
        <w:drawing>
          <wp:inline distT="0" distB="0" distL="0" distR="0" wp14:anchorId="1253FF20" wp14:editId="2961A788">
            <wp:extent cx="4783643" cy="41338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801992" cy="4149706"/>
                    </a:xfrm>
                    <a:prstGeom prst="rect">
                      <a:avLst/>
                    </a:prstGeom>
                  </pic:spPr>
                </pic:pic>
              </a:graphicData>
            </a:graphic>
          </wp:inline>
        </w:drawing>
      </w:r>
    </w:p>
    <w:p w14:paraId="7E51B8A5" w14:textId="2C360983" w:rsidR="00F27EEF" w:rsidRPr="008C634A" w:rsidRDefault="00F27EEF" w:rsidP="00F27EEF">
      <w:pPr>
        <w:pStyle w:val="Heading4"/>
      </w:pPr>
      <w:r w:rsidRPr="008C634A">
        <w:t xml:space="preserve">Exclusion zone </w:t>
      </w:r>
      <w:r w:rsidR="00372E14">
        <w:t xml:space="preserve">(half) </w:t>
      </w:r>
      <w:r w:rsidRPr="008C634A">
        <w:t>width</w:t>
      </w:r>
    </w:p>
    <w:p w14:paraId="2025833C" w14:textId="1F80E903" w:rsidR="00F27EEF" w:rsidRDefault="00F27EEF" w:rsidP="00F27EEF">
      <w:pPr>
        <w:pStyle w:val="Numberedparagraph"/>
      </w:pPr>
      <w:r w:rsidRPr="00206DBA">
        <w:t xml:space="preserve">The half-width of the exclusion zone is calculated </w:t>
      </w:r>
      <w:r w:rsidR="007231AC">
        <w:t>using</w:t>
      </w:r>
      <w:r w:rsidRPr="00206DBA">
        <w:t xml:space="preserve"> the RTCA </w:t>
      </w:r>
      <w:r>
        <w:t>UC</w:t>
      </w:r>
      <w:r w:rsidRPr="00206DBA">
        <w:t xml:space="preserve"> 1 ITM at 200 ft (RTCA Figure 9-1) with an additional 6 dB safety margin</w:t>
      </w:r>
      <w:r>
        <w:t xml:space="preserve"> applied</w:t>
      </w:r>
      <w:r w:rsidRPr="00206DBA">
        <w:t>.</w:t>
      </w:r>
      <w:r w:rsidR="005B1FFD">
        <w:t xml:space="preserve"> This safety margin is used in the ANFR study and is an aviation safety factor.</w:t>
      </w:r>
      <w:r w:rsidRPr="00206DBA">
        <w:t xml:space="preserve"> </w:t>
      </w:r>
      <w:r>
        <w:t xml:space="preserve">In this scenario the WBB base station is assumed to be at roughly the same height and pointing directly at </w:t>
      </w:r>
      <w:r w:rsidRPr="007B200D">
        <w:t xml:space="preserve">the RA hence </w:t>
      </w:r>
      <w:r w:rsidR="00047D7D" w:rsidRPr="007B200D">
        <w:t xml:space="preserve">the </w:t>
      </w:r>
      <w:r w:rsidRPr="007B200D">
        <w:t xml:space="preserve">maximum EIRP is used (see Figure </w:t>
      </w:r>
      <w:r w:rsidR="00530354" w:rsidRPr="007B200D">
        <w:t>6</w:t>
      </w:r>
      <w:r w:rsidRPr="007B200D">
        <w:t>). The distance required in free</w:t>
      </w:r>
      <w:r w:rsidRPr="00206DBA">
        <w:t xml:space="preserve"> space to reduce the </w:t>
      </w:r>
      <w:r>
        <w:t xml:space="preserve">maximum </w:t>
      </w:r>
      <w:r w:rsidRPr="00206DBA">
        <w:t xml:space="preserve">operating EIRP </w:t>
      </w:r>
      <w:r>
        <w:t xml:space="preserve">of the WBB base station </w:t>
      </w:r>
      <w:r w:rsidRPr="00206DBA">
        <w:t>to</w:t>
      </w:r>
      <w:r>
        <w:t xml:space="preserve"> the required ITM</w:t>
      </w:r>
      <w:r w:rsidRPr="00206DBA">
        <w:t xml:space="preserve"> is </w:t>
      </w:r>
      <w:r>
        <w:t xml:space="preserve">then </w:t>
      </w:r>
      <w:r w:rsidRPr="00206DBA">
        <w:t>determined</w:t>
      </w:r>
      <w:r>
        <w:t xml:space="preserve"> as the half-width of the exclusion zone</w:t>
      </w:r>
      <w:r w:rsidRPr="00206DBA">
        <w:t>.</w:t>
      </w:r>
    </w:p>
    <w:p w14:paraId="413D5C39" w14:textId="18D6F84C" w:rsidR="004C6416" w:rsidRDefault="004C6416" w:rsidP="004C6416">
      <w:pPr>
        <w:pStyle w:val="Numberedparagraph"/>
      </w:pPr>
      <w:r>
        <w:t>Link Budget for calculation</w:t>
      </w:r>
      <w:r w:rsidR="009D5B82">
        <w:t xml:space="preserve"> of exclusion zone </w:t>
      </w:r>
      <w:r w:rsidR="00372E14">
        <w:t xml:space="preserve">(half) </w:t>
      </w:r>
      <w:r w:rsidR="009D5B82">
        <w:t>width</w:t>
      </w:r>
      <w:r>
        <w:t xml:space="preserve">: </w:t>
      </w:r>
    </w:p>
    <w:p w14:paraId="6A07BBB7" w14:textId="77777777" w:rsidR="004C6416" w:rsidRPr="00347534" w:rsidRDefault="004C6416" w:rsidP="004C6416">
      <w:pPr>
        <w:pStyle w:val="Paragraph"/>
        <w:jc w:val="center"/>
      </w:pPr>
      <m:oMath>
        <m:r>
          <w:rPr>
            <w:rFonts w:ascii="Cambria Math" w:hAnsi="Cambria Math"/>
          </w:rPr>
          <m:t>Path</m:t>
        </m:r>
        <m:r>
          <m:rPr>
            <m:sty m:val="p"/>
          </m:rPr>
          <w:rPr>
            <w:rFonts w:ascii="Cambria Math" w:hAnsi="Cambria Math"/>
          </w:rPr>
          <m:t xml:space="preserve"> </m:t>
        </m:r>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w:r>
        <w:t xml:space="preserve">       (Equation 1)</w:t>
      </w:r>
    </w:p>
    <w:p w14:paraId="45B9407C" w14:textId="77777777" w:rsidR="004C6416" w:rsidRDefault="004C6416" w:rsidP="004C6416">
      <w:pPr>
        <w:pStyle w:val="Paragraph"/>
      </w:pPr>
      <m:oMath>
        <m:r>
          <w:rPr>
            <w:rFonts w:ascii="Cambria Math" w:hAnsi="Cambria Math"/>
          </w:rPr>
          <m:t>Path</m:t>
        </m:r>
        <m:r>
          <m:rPr>
            <m:sty m:val="p"/>
          </m:rPr>
          <w:rPr>
            <w:rFonts w:ascii="Cambria Math" w:hAnsi="Cambria Math"/>
          </w:rPr>
          <m:t xml:space="preserve"> </m:t>
        </m:r>
        <m:r>
          <w:rPr>
            <w:rFonts w:ascii="Cambria Math" w:hAnsi="Cambria Math"/>
          </w:rPr>
          <m:t>Loss</m:t>
        </m:r>
      </m:oMath>
      <w:r>
        <w:t xml:space="preserve"> (dB) – free space path loss required to meet protection requirement</w:t>
      </w:r>
    </w:p>
    <w:p w14:paraId="6EEBA930" w14:textId="77777777" w:rsidR="004C6416" w:rsidRDefault="009C479C" w:rsidP="004C6416">
      <w:pPr>
        <w:pStyle w:val="Paragraph"/>
      </w:pPr>
      <m:oMath>
        <m:sSub>
          <m:sSubPr>
            <m:ctrlPr>
              <w:rPr>
                <w:rFonts w:ascii="Cambria Math" w:hAnsi="Cambria Math"/>
              </w:rPr>
            </m:ctrlPr>
          </m:sSubPr>
          <m:e>
            <m:r>
              <w:rPr>
                <w:rFonts w:ascii="Cambria Math" w:hAnsi="Cambria Math"/>
              </w:rPr>
              <m:t>P</m:t>
            </m:r>
          </m:e>
          <m:sub>
            <m:r>
              <w:rPr>
                <w:rFonts w:ascii="Cambria Math" w:hAnsi="Cambria Math"/>
              </w:rPr>
              <m:t>Tx</m:t>
            </m:r>
          </m:sub>
        </m:sSub>
      </m:oMath>
      <w:r w:rsidR="004C6416">
        <w:t xml:space="preserve"> (dBm/MHz) – power into the antenna of the WBB base station</w:t>
      </w:r>
    </w:p>
    <w:p w14:paraId="61C695F7" w14:textId="3F8B1A7A" w:rsidR="004C6416" w:rsidRDefault="009C479C" w:rsidP="004C6416">
      <w:pPr>
        <w:pStyle w:val="Paragraph"/>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4C6416">
        <w:t xml:space="preserve"> (dBi) – gain of the WBB antenna in direction of the RA. For the exclusion zone </w:t>
      </w:r>
      <w:r w:rsidR="009D5B82" w:rsidRPr="007B200D">
        <w:t xml:space="preserve">width </w:t>
      </w:r>
      <w:r w:rsidR="004C6416" w:rsidRPr="007B200D">
        <w:t xml:space="preserve">scenario, it is assumed this is maximum gain of the antenna (see Figure </w:t>
      </w:r>
      <w:r w:rsidR="00875915" w:rsidRPr="007B200D">
        <w:t>6</w:t>
      </w:r>
      <w:r w:rsidR="004C6416" w:rsidRPr="007B200D">
        <w:t>)</w:t>
      </w:r>
      <w:r w:rsidR="004C6416">
        <w:t xml:space="preserve"> </w:t>
      </w:r>
    </w:p>
    <w:p w14:paraId="1A740491" w14:textId="77777777" w:rsidR="004C6416" w:rsidRPr="00803C9B" w:rsidRDefault="009C479C" w:rsidP="004C6416">
      <w:pPr>
        <w:pStyle w:val="Paragraph"/>
      </w:pPr>
      <m:oMath>
        <m:sSub>
          <m:sSubPr>
            <m:ctrlPr>
              <w:rPr>
                <w:rFonts w:ascii="Cambria Math" w:hAnsi="Cambria Math"/>
              </w:rPr>
            </m:ctrlPr>
          </m:sSubPr>
          <m:e>
            <m:r>
              <w:rPr>
                <w:rFonts w:ascii="Cambria Math" w:hAnsi="Cambria Math"/>
              </w:rPr>
              <m:t>G</m:t>
            </m:r>
          </m:e>
          <m:sub>
            <m:r>
              <w:rPr>
                <w:rFonts w:ascii="Cambria Math" w:hAnsi="Cambria Math"/>
              </w:rPr>
              <m:t>Rx</m:t>
            </m:r>
          </m:sub>
        </m:sSub>
      </m:oMath>
      <w:r w:rsidR="004C6416">
        <w:t xml:space="preserve"> (dBi) – RA antenna gain in direction of WBB base station (assumed to 0 dBi)</w:t>
      </w:r>
    </w:p>
    <w:p w14:paraId="6FDFEE5D" w14:textId="77777777" w:rsidR="004C6416" w:rsidRDefault="004C6416" w:rsidP="004C6416">
      <w:pPr>
        <w:pStyle w:val="Paragraph"/>
      </w:pPr>
      <m:oMath>
        <m:r>
          <w:rPr>
            <w:rFonts w:ascii="Cambria Math" w:hAnsi="Cambria Math"/>
          </w:rPr>
          <m:t>Margin</m:t>
        </m:r>
      </m:oMath>
      <w:r>
        <w:t xml:space="preserve"> (dB) – safety margin (6 dB)</w:t>
      </w:r>
    </w:p>
    <w:p w14:paraId="16E25F7C" w14:textId="1DBF9605" w:rsidR="00AA6525" w:rsidRDefault="009C479C" w:rsidP="00257BC6">
      <w:pPr>
        <w:pStyle w:val="Paragraph"/>
        <w:rPr>
          <w:b/>
          <w:i/>
        </w:rPr>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4C6416">
        <w:t xml:space="preserve"> (dBm/MHz) – Interference Threshold Mask (ITM) value for UC 1 at 200 ft.</w:t>
      </w:r>
      <w:r w:rsidR="00AA6525">
        <w:br w:type="page"/>
      </w:r>
    </w:p>
    <w:p w14:paraId="7B4F579A" w14:textId="014388C3" w:rsidR="00F83766" w:rsidRDefault="00F83766" w:rsidP="00F83766">
      <w:pPr>
        <w:pStyle w:val="Heading4"/>
      </w:pPr>
      <w:r w:rsidRPr="00C102E0">
        <w:t xml:space="preserve">Exclusion </w:t>
      </w:r>
      <w:r>
        <w:t>z</w:t>
      </w:r>
      <w:r w:rsidRPr="00C102E0">
        <w:t>one</w:t>
      </w:r>
      <w:r w:rsidR="007E7E71">
        <w:t xml:space="preserve"> extension</w:t>
      </w:r>
      <w:r w:rsidRPr="00C102E0">
        <w:t xml:space="preserve"> </w:t>
      </w:r>
      <w:r>
        <w:t>l</w:t>
      </w:r>
      <w:r w:rsidRPr="00C102E0">
        <w:t>ength</w:t>
      </w:r>
    </w:p>
    <w:p w14:paraId="7EB91C7A" w14:textId="285C77B5" w:rsidR="007A1452" w:rsidRPr="00206DBA" w:rsidRDefault="00F83766" w:rsidP="007A1452">
      <w:pPr>
        <w:pStyle w:val="Numberedparagraph"/>
      </w:pPr>
      <w:r>
        <w:t xml:space="preserve">The </w:t>
      </w:r>
      <w:r w:rsidR="007E7E71">
        <w:t xml:space="preserve">extension </w:t>
      </w:r>
      <w:r>
        <w:t xml:space="preserve">length of the exclusion zone is calculated </w:t>
      </w:r>
      <w:r w:rsidR="00112C99">
        <w:t>using</w:t>
      </w:r>
      <w:r>
        <w:t xml:space="preserve"> the </w:t>
      </w:r>
      <w:r w:rsidR="006B4E69">
        <w:t>half-</w:t>
      </w:r>
      <w:r>
        <w:t xml:space="preserve">width of the exclusion zone. It is the half-width of the zone plus a margin of 1130 m. This margin of 1130 m is determined by the distance when an aircraft </w:t>
      </w:r>
      <w:r w:rsidR="00EC4DDA">
        <w:t>is at</w:t>
      </w:r>
      <w:r>
        <w:t xml:space="preserve"> an altitude of 200 ft (61 m)</w:t>
      </w:r>
      <w:r w:rsidR="007A1452">
        <w:t>.</w:t>
      </w:r>
      <w:r>
        <w:t xml:space="preserve"> </w:t>
      </w:r>
      <w:r w:rsidR="007A1452" w:rsidRPr="00206DBA">
        <w:t>The aircraft approach angle</w:t>
      </w:r>
      <w:r w:rsidR="007A1452">
        <w:t xml:space="preserve"> used by the A</w:t>
      </w:r>
      <w:r w:rsidR="00226068">
        <w:t>NFR study</w:t>
      </w:r>
      <w:r w:rsidR="007A1452" w:rsidRPr="00206DBA">
        <w:t xml:space="preserve"> is 3 degrees with 0.375 degree</w:t>
      </w:r>
      <w:r w:rsidR="00F22463">
        <w:t>s</w:t>
      </w:r>
      <w:r w:rsidR="007A1452" w:rsidRPr="00206DBA">
        <w:t xml:space="preserve"> margin which is</w:t>
      </w:r>
      <w:r w:rsidR="00226068">
        <w:t xml:space="preserve"> in the worst case</w:t>
      </w:r>
      <w:r w:rsidR="007A1452" w:rsidRPr="00206DBA">
        <w:t xml:space="preserve"> 2.625 degrees</w:t>
      </w:r>
      <w:r w:rsidR="007A1452">
        <w:t>. 200 metres is subtracted from this horizontal distance to account for the touchdown distance, the distance from the end of the runway to where the aircraft lands (See Figure 7).</w:t>
      </w:r>
    </w:p>
    <w:p w14:paraId="20B48AA8" w14:textId="248F42D7" w:rsidR="00F83766" w:rsidRPr="00347534" w:rsidRDefault="00264628" w:rsidP="00F83766">
      <w:pPr>
        <w:pStyle w:val="Paragraph"/>
      </w:pPr>
      <m:oMath>
        <m:r>
          <w:rPr>
            <w:rFonts w:ascii="Cambria Math" w:hAnsi="Cambria Math"/>
          </w:rPr>
          <m:t>Exclusion</m:t>
        </m:r>
        <m:r>
          <m:rPr>
            <m:sty m:val="p"/>
          </m:rPr>
          <w:rPr>
            <w:rFonts w:ascii="Cambria Math" w:hAnsi="Cambria Math"/>
          </w:rPr>
          <m:t xml:space="preserve"> </m:t>
        </m:r>
        <m:r>
          <w:rPr>
            <w:rFonts w:ascii="Cambria Math" w:hAnsi="Cambria Math"/>
          </w:rPr>
          <m:t>zone extension length</m:t>
        </m:r>
        <m:r>
          <m:rPr>
            <m:sty m:val="p"/>
          </m:rPr>
          <w:rPr>
            <w:rFonts w:ascii="Cambria Math" w:hAnsi="Cambria Math"/>
          </w:rPr>
          <m:t xml:space="preserve"> </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Exclusion</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half width</m:t>
        </m:r>
        <m:r>
          <m:rPr>
            <m:sty m:val="p"/>
          </m:rPr>
          <w:rPr>
            <w:rFonts w:ascii="Cambria Math" w:hAnsi="Cambria Math"/>
          </w:rPr>
          <m:t>+1130 m</m:t>
        </m:r>
      </m:oMath>
      <w:r w:rsidR="00F83766">
        <w:t xml:space="preserve"> (Equation 2)</w:t>
      </w:r>
    </w:p>
    <w:p w14:paraId="1F5C603D" w14:textId="636B8F55" w:rsidR="00F125FA" w:rsidRDefault="00F125FA" w:rsidP="00F125FA">
      <w:pPr>
        <w:pStyle w:val="Heading4"/>
      </w:pPr>
      <w:r>
        <w:t>Restricted</w:t>
      </w:r>
      <w:r w:rsidRPr="00C102E0">
        <w:t xml:space="preserve"> zone </w:t>
      </w:r>
      <w:r w:rsidR="00372E14">
        <w:t xml:space="preserve">(half) </w:t>
      </w:r>
      <w:r>
        <w:t>width</w:t>
      </w:r>
    </w:p>
    <w:p w14:paraId="35E4C7BF" w14:textId="12F31E3B" w:rsidR="00F125FA" w:rsidRDefault="00F125FA" w:rsidP="00F125FA">
      <w:pPr>
        <w:pStyle w:val="Numberedparagraph"/>
      </w:pPr>
      <w:r>
        <w:t xml:space="preserve">The half-width of the restricted zone is calculated </w:t>
      </w:r>
      <w:r w:rsidR="007231AC">
        <w:t>using</w:t>
      </w:r>
      <w:r>
        <w:t xml:space="preserve"> the RTCA </w:t>
      </w:r>
      <w:r w:rsidR="007231AC">
        <w:t>UC</w:t>
      </w:r>
      <w:r>
        <w:t>1 ITM at 1000 ft (RTCA Figure 9-1), with no additional safety margin.</w:t>
      </w:r>
      <w:r w:rsidRPr="00206DBA">
        <w:t xml:space="preserve"> </w:t>
      </w:r>
      <w:r>
        <w:t>In this scenario the WBB base station is assumed to be well below the RA</w:t>
      </w:r>
      <w:r w:rsidR="007231AC">
        <w:t xml:space="preserve"> </w:t>
      </w:r>
      <w:r w:rsidR="007231AC" w:rsidRPr="007B200D">
        <w:t>(see Figure 6)</w:t>
      </w:r>
      <w:r>
        <w:t xml:space="preserve">. The base station gain to the RA is therefore determined by </w:t>
      </w:r>
      <w:r w:rsidR="00B22D1C">
        <w:t xml:space="preserve">worst-case </w:t>
      </w:r>
      <w:r>
        <w:t>grating lobes bas</w:t>
      </w:r>
      <w:r w:rsidR="007231AC">
        <w:t>ed on an assumed</w:t>
      </w:r>
      <w:r>
        <w:t xml:space="preserve"> general </w:t>
      </w:r>
      <w:r w:rsidRPr="007B200D">
        <w:t xml:space="preserve">limitation on the WBB base station </w:t>
      </w:r>
      <w:r w:rsidR="007231AC">
        <w:t xml:space="preserve">that it is </w:t>
      </w:r>
      <w:r w:rsidRPr="007B200D">
        <w:t>not to scan above the horizon. The</w:t>
      </w:r>
      <w:r w:rsidRPr="00206DBA">
        <w:t xml:space="preserve"> distance required in free space to reduce the </w:t>
      </w:r>
      <w:r>
        <w:t xml:space="preserve">maximum </w:t>
      </w:r>
      <w:r w:rsidRPr="00206DBA">
        <w:t xml:space="preserve">operating EIRP </w:t>
      </w:r>
      <w:r>
        <w:t xml:space="preserve">of the WBB base station </w:t>
      </w:r>
      <w:r w:rsidRPr="00206DBA">
        <w:t>to</w:t>
      </w:r>
      <w:r>
        <w:t xml:space="preserve"> </w:t>
      </w:r>
      <w:r w:rsidR="007231AC">
        <w:t xml:space="preserve">meet </w:t>
      </w:r>
      <w:r>
        <w:t>the required ITM</w:t>
      </w:r>
      <w:r w:rsidRPr="00206DBA">
        <w:t xml:space="preserve"> is </w:t>
      </w:r>
      <w:r>
        <w:t xml:space="preserve">then </w:t>
      </w:r>
      <w:r w:rsidRPr="00206DBA">
        <w:t>determined</w:t>
      </w:r>
      <w:r>
        <w:t xml:space="preserve"> as the half-width of the restricted zone</w:t>
      </w:r>
      <w:r w:rsidRPr="00206DBA">
        <w:t>.</w:t>
      </w:r>
      <w:r>
        <w:t xml:space="preserve"> This distance is </w:t>
      </w:r>
      <w:r w:rsidR="00B22D1C">
        <w:t>assumed</w:t>
      </w:r>
      <w:r>
        <w:t xml:space="preserve"> to be at 45 degrees to the ground because the aircraft altitude is much higher than the base station with the zone width being the horizontal distance in the French method</w:t>
      </w:r>
      <w:r w:rsidR="008A69C4">
        <w:t xml:space="preserve"> (See Figure 6)</w:t>
      </w:r>
      <w:r>
        <w:t>.</w:t>
      </w:r>
    </w:p>
    <w:p w14:paraId="24CFBE15" w14:textId="13DB7050" w:rsidR="00F125FA" w:rsidRDefault="00F125FA" w:rsidP="00F125FA">
      <w:pPr>
        <w:pStyle w:val="Numberedparagraph"/>
      </w:pPr>
      <w:r>
        <w:t>The link budget for this equation is th</w:t>
      </w:r>
      <w:r w:rsidR="007231AC">
        <w:t>e</w:t>
      </w:r>
      <w:r>
        <w:t xml:space="preserve"> same as for the exclusion zone </w:t>
      </w:r>
      <w:r w:rsidR="00372E14">
        <w:t xml:space="preserve">width </w:t>
      </w:r>
      <w:r>
        <w:t>(Equation 1) but with the following parameter changes:</w:t>
      </w:r>
    </w:p>
    <w:p w14:paraId="50BC0159" w14:textId="4AF35777" w:rsidR="00F125FA" w:rsidRDefault="009C479C" w:rsidP="00F125FA">
      <w:pPr>
        <w:pStyle w:val="Paragraph"/>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F125FA">
        <w:t xml:space="preserve"> (dBi) – gain of the WBB antenna in direction of the RA. For the restricted zone </w:t>
      </w:r>
      <w:r w:rsidR="00F125FA" w:rsidRPr="007B200D">
        <w:t xml:space="preserve">scenario, this is assumed to be a grating lobe </w:t>
      </w:r>
      <w:r w:rsidR="007231AC">
        <w:t xml:space="preserve">with a gain </w:t>
      </w:r>
      <w:r w:rsidR="00F125FA" w:rsidRPr="007B200D">
        <w:t xml:space="preserve">of 18 dBi (see Figure </w:t>
      </w:r>
      <w:r w:rsidR="00785F34" w:rsidRPr="007B200D">
        <w:t>6</w:t>
      </w:r>
      <w:r w:rsidR="00F125FA" w:rsidRPr="007B200D">
        <w:t>)</w:t>
      </w:r>
      <w:r w:rsidR="00F125FA">
        <w:t xml:space="preserve"> </w:t>
      </w:r>
    </w:p>
    <w:p w14:paraId="578C8561" w14:textId="77777777" w:rsidR="00F125FA" w:rsidRDefault="00F125FA" w:rsidP="00F125FA">
      <w:pPr>
        <w:pStyle w:val="Paragraph"/>
      </w:pPr>
      <m:oMath>
        <m:r>
          <w:rPr>
            <w:rFonts w:ascii="Cambria Math" w:hAnsi="Cambria Math"/>
          </w:rPr>
          <m:t>Margin</m:t>
        </m:r>
      </m:oMath>
      <w:r>
        <w:t xml:space="preserve"> (dB) – none (0 dB)</w:t>
      </w:r>
    </w:p>
    <w:p w14:paraId="44E5B01B" w14:textId="77777777" w:rsidR="00F125FA" w:rsidRDefault="009C479C" w:rsidP="00F125FA">
      <w:pPr>
        <w:pStyle w:val="Paragraph"/>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F125FA">
        <w:t xml:space="preserve"> (dBm/MHz) – Interference Threshold Mask (ITM) value for UC 1 at 1000 ft.</w:t>
      </w:r>
    </w:p>
    <w:p w14:paraId="777AC331" w14:textId="77777777" w:rsidR="0033252F" w:rsidRDefault="0033252F" w:rsidP="0033252F">
      <w:pPr>
        <w:pStyle w:val="Heading4"/>
      </w:pPr>
      <w:r w:rsidRPr="00C102E0">
        <w:t xml:space="preserve">Restricted </w:t>
      </w:r>
      <w:r>
        <w:t>z</w:t>
      </w:r>
      <w:r w:rsidRPr="00C102E0">
        <w:t xml:space="preserve">one </w:t>
      </w:r>
      <w:r>
        <w:t>l</w:t>
      </w:r>
      <w:r w:rsidRPr="00C102E0">
        <w:t>ength</w:t>
      </w:r>
    </w:p>
    <w:p w14:paraId="3B9F1B4C" w14:textId="64706D59" w:rsidR="0033252F" w:rsidRPr="00206DBA" w:rsidRDefault="0033252F" w:rsidP="0033252F">
      <w:pPr>
        <w:pStyle w:val="Numberedparagraph"/>
      </w:pPr>
      <w:r w:rsidRPr="00206DBA">
        <w:t xml:space="preserve">The length of the restricted zone is </w:t>
      </w:r>
      <w:r w:rsidR="0086798B">
        <w:t xml:space="preserve">the horizontal distance </w:t>
      </w:r>
      <w:r w:rsidRPr="00206DBA">
        <w:t xml:space="preserve">when an aircraft </w:t>
      </w:r>
      <w:r w:rsidR="00715B5D">
        <w:t>is at</w:t>
      </w:r>
      <w:r w:rsidRPr="00206DBA">
        <w:t xml:space="preserve"> an altitude of 1000 ft</w:t>
      </w:r>
      <w:r w:rsidR="007D6C1C">
        <w:t xml:space="preserve"> (305m)</w:t>
      </w:r>
      <w:r w:rsidRPr="00206DBA">
        <w:t xml:space="preserve"> </w:t>
      </w:r>
      <w:r w:rsidR="006C5AA3">
        <w:t>with an additional</w:t>
      </w:r>
      <w:r w:rsidRPr="00206DBA">
        <w:t xml:space="preserve"> 80m margin</w:t>
      </w:r>
      <w:r w:rsidR="00DB00D2">
        <w:t xml:space="preserve"> </w:t>
      </w:r>
      <w:r w:rsidR="006C5AA3">
        <w:t xml:space="preserve">to account </w:t>
      </w:r>
      <w:r w:rsidRPr="00206DBA">
        <w:t>for uneven terrain and base station height</w:t>
      </w:r>
      <w:r w:rsidR="009476E5">
        <w:t>.</w:t>
      </w:r>
      <w:r w:rsidR="00DB00D2">
        <w:t xml:space="preserve"> </w:t>
      </w:r>
      <w:r w:rsidRPr="00206DBA">
        <w:t>The aircraft approach angle is 3 degrees with 0.375 degree</w:t>
      </w:r>
      <w:r w:rsidR="00F22463">
        <w:t>s</w:t>
      </w:r>
      <w:r w:rsidRPr="00206DBA">
        <w:t xml:space="preserve"> margin which is 2.625 degrees worst case</w:t>
      </w:r>
      <w:r w:rsidR="00DB00D2">
        <w:t>.</w:t>
      </w:r>
      <w:r w:rsidR="00C857C7">
        <w:t xml:space="preserve"> 200 metres is subtracted from this horizontal distance to account for the touchdown distance</w:t>
      </w:r>
      <w:r w:rsidR="008A69C4">
        <w:t>.</w:t>
      </w:r>
    </w:p>
    <w:p w14:paraId="61E70D0C" w14:textId="77777777" w:rsidR="0033252F" w:rsidRPr="000A2AAD" w:rsidRDefault="0033252F" w:rsidP="0033252F">
      <w:pPr>
        <w:pStyle w:val="Numberedparagraph"/>
      </w:pPr>
      <w:r>
        <w:t>As the length is defined as the distance from the edge of the exclusion zone (not the runway) the restricted zone length decreases as the exclusion zone length increases.</w:t>
      </w:r>
    </w:p>
    <w:p w14:paraId="77EC6869" w14:textId="77777777" w:rsidR="0033252F" w:rsidRDefault="0033252F" w:rsidP="0033252F">
      <w:pPr>
        <w:pStyle w:val="Paragraph"/>
      </w:pPr>
      <m:oMath>
        <m:r>
          <w:rPr>
            <w:rFonts w:ascii="Cambria Math" w:hAnsi="Cambria Math"/>
          </w:rPr>
          <m:t>Restricted</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Length</m:t>
        </m:r>
        <m:r>
          <m:rPr>
            <m:sty m:val="p"/>
          </m:rPr>
          <w:rPr>
            <w:rFonts w:ascii="Cambria Math" w:hAnsi="Cambria Math"/>
          </w:rPr>
          <m:t xml:space="preserve"> </m:t>
        </m:r>
        <m:d>
          <m:dPr>
            <m:ctrlPr>
              <w:rPr>
                <w:rFonts w:ascii="Cambria Math" w:hAnsi="Cambria Math"/>
              </w:rPr>
            </m:ctrlPr>
          </m:dPr>
          <m:e>
            <m:r>
              <w:rPr>
                <w:rFonts w:ascii="Cambria Math" w:hAnsi="Cambria Math"/>
              </w:rPr>
              <m:t>m</m:t>
            </m:r>
          </m:e>
        </m:d>
        <m:r>
          <m:rPr>
            <m:sty m:val="p"/>
          </m:rPr>
          <w:rPr>
            <w:rFonts w:ascii="Cambria Math" w:hAnsi="Cambria Math"/>
          </w:rPr>
          <m:t>=8200 m-</m:t>
        </m:r>
        <m:r>
          <w:rPr>
            <w:rFonts w:ascii="Cambria Math" w:hAnsi="Cambria Math"/>
          </w:rPr>
          <m:t>Exclusion</m:t>
        </m:r>
        <m:r>
          <m:rPr>
            <m:sty m:val="p"/>
          </m:rPr>
          <w:rPr>
            <w:rFonts w:ascii="Cambria Math" w:hAnsi="Cambria Math"/>
          </w:rPr>
          <m:t xml:space="preserve"> </m:t>
        </m:r>
        <m:r>
          <w:rPr>
            <w:rFonts w:ascii="Cambria Math" w:hAnsi="Cambria Math"/>
          </w:rPr>
          <m:t>Zone</m:t>
        </m:r>
        <m:r>
          <m:rPr>
            <m:sty m:val="p"/>
          </m:rPr>
          <w:rPr>
            <w:rFonts w:ascii="Cambria Math" w:hAnsi="Cambria Math"/>
          </w:rPr>
          <m:t xml:space="preserve"> </m:t>
        </m:r>
        <m:r>
          <w:rPr>
            <w:rFonts w:ascii="Cambria Math" w:hAnsi="Cambria Math"/>
          </w:rPr>
          <m:t>Length</m:t>
        </m:r>
      </m:oMath>
      <w:r>
        <w:t xml:space="preserve"> (Equation 3)</w:t>
      </w:r>
    </w:p>
    <w:p w14:paraId="12333AAF" w14:textId="77777777" w:rsidR="00AA6525" w:rsidRDefault="00AA6525">
      <w:pPr>
        <w:spacing w:after="0" w:line="240" w:lineRule="auto"/>
        <w:rPr>
          <w:b/>
          <w:bCs/>
          <w:color w:val="323232"/>
          <w:szCs w:val="20"/>
        </w:rPr>
      </w:pPr>
      <w:r>
        <w:br w:type="page"/>
      </w:r>
    </w:p>
    <w:p w14:paraId="436E894B" w14:textId="64B6FABB" w:rsidR="0033252F" w:rsidRDefault="0033252F" w:rsidP="0033252F">
      <w:pPr>
        <w:pStyle w:val="Tableheading"/>
      </w:pPr>
      <w:r>
        <w:t>Summary of zone sizes</w:t>
      </w:r>
      <w:r w:rsidR="00CE4D9F">
        <w:t xml:space="preserve"> and their definitions</w:t>
      </w:r>
    </w:p>
    <w:tbl>
      <w:tblPr>
        <w:tblStyle w:val="ACMAtablestyle"/>
        <w:tblW w:w="0" w:type="auto"/>
        <w:tblLook w:val="04A0" w:firstRow="1" w:lastRow="0" w:firstColumn="1" w:lastColumn="0" w:noHBand="0" w:noVBand="1"/>
      </w:tblPr>
      <w:tblGrid>
        <w:gridCol w:w="1555"/>
        <w:gridCol w:w="2551"/>
        <w:gridCol w:w="3555"/>
      </w:tblGrid>
      <w:tr w:rsidR="0033252F" w14:paraId="6D3217EA" w14:textId="77777777" w:rsidTr="00695A13">
        <w:trPr>
          <w:cnfStyle w:val="100000000000" w:firstRow="1" w:lastRow="0" w:firstColumn="0" w:lastColumn="0" w:oddVBand="0" w:evenVBand="0" w:oddHBand="0" w:evenHBand="0" w:firstRowFirstColumn="0" w:firstRowLastColumn="0" w:lastRowFirstColumn="0" w:lastRowLastColumn="0"/>
        </w:trPr>
        <w:tc>
          <w:tcPr>
            <w:tcW w:w="1555" w:type="dxa"/>
          </w:tcPr>
          <w:p w14:paraId="0295D38C" w14:textId="77777777" w:rsidR="0033252F" w:rsidRDefault="0033252F" w:rsidP="00695A13">
            <w:pPr>
              <w:pStyle w:val="Tableheaderrow"/>
            </w:pPr>
            <w:r>
              <w:t>Zone size</w:t>
            </w:r>
          </w:p>
        </w:tc>
        <w:tc>
          <w:tcPr>
            <w:tcW w:w="2551" w:type="dxa"/>
          </w:tcPr>
          <w:p w14:paraId="48E15868" w14:textId="77777777" w:rsidR="0033252F" w:rsidRDefault="0033252F" w:rsidP="00695A13">
            <w:pPr>
              <w:pStyle w:val="Tableheaderrow"/>
            </w:pPr>
            <w:r>
              <w:t>Definition</w:t>
            </w:r>
          </w:p>
        </w:tc>
        <w:tc>
          <w:tcPr>
            <w:tcW w:w="3555" w:type="dxa"/>
          </w:tcPr>
          <w:p w14:paraId="0809709E" w14:textId="77777777" w:rsidR="0033252F" w:rsidRDefault="0033252F" w:rsidP="00695A13">
            <w:pPr>
              <w:pStyle w:val="Tableheaderrow"/>
            </w:pPr>
            <w:r>
              <w:t>Calculation method</w:t>
            </w:r>
          </w:p>
        </w:tc>
      </w:tr>
      <w:tr w:rsidR="0033252F" w14:paraId="660D4A68"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35CC66E4" w14:textId="77777777" w:rsidR="0033252F" w:rsidRDefault="0033252F" w:rsidP="00695A13">
            <w:pPr>
              <w:pStyle w:val="TableBody"/>
            </w:pPr>
            <w:r>
              <w:t>Exclusion zone half-width</w:t>
            </w:r>
          </w:p>
        </w:tc>
        <w:tc>
          <w:tcPr>
            <w:tcW w:w="0" w:type="dxa"/>
          </w:tcPr>
          <w:p w14:paraId="7D940E78" w14:textId="65B9F74E" w:rsidR="0033252F" w:rsidRDefault="0033252F" w:rsidP="00695A13">
            <w:pPr>
              <w:pStyle w:val="TableBody"/>
            </w:pPr>
            <w:r>
              <w:t>Distance</w:t>
            </w:r>
            <w:r w:rsidRPr="00A86BA8">
              <w:rPr>
                <w:rFonts w:eastAsiaTheme="minorHAnsi" w:cs="Arial"/>
                <w:szCs w:val="20"/>
                <w:lang w:eastAsia="en-US"/>
              </w:rPr>
              <w:t xml:space="preserve"> laterally either side of a runway centreline</w:t>
            </w:r>
            <w:r w:rsidR="00A44307">
              <w:rPr>
                <w:rFonts w:eastAsiaTheme="minorHAnsi" w:cs="Arial"/>
                <w:szCs w:val="20"/>
                <w:lang w:eastAsia="en-US"/>
              </w:rPr>
              <w:t>, and beyond the opposite end of the landing end of a runway</w:t>
            </w:r>
            <w:r>
              <w:rPr>
                <w:rFonts w:eastAsiaTheme="minorHAnsi" w:cs="Arial"/>
                <w:szCs w:val="20"/>
                <w:lang w:eastAsia="en-US"/>
              </w:rPr>
              <w:t>.</w:t>
            </w:r>
          </w:p>
        </w:tc>
        <w:tc>
          <w:tcPr>
            <w:tcW w:w="0" w:type="dxa"/>
          </w:tcPr>
          <w:p w14:paraId="33FC0309" w14:textId="77777777" w:rsidR="0033252F" w:rsidRDefault="0033252F" w:rsidP="00695A13">
            <w:pPr>
              <w:pStyle w:val="TableBody"/>
            </w:pPr>
            <w:r>
              <w:t>Free space path loss calculation based on maximum power limit and frequency.</w:t>
            </w:r>
          </w:p>
        </w:tc>
      </w:tr>
      <w:tr w:rsidR="0033252F" w14:paraId="56027108" w14:textId="77777777" w:rsidTr="00695A13">
        <w:trPr>
          <w:cnfStyle w:val="000000010000" w:firstRow="0" w:lastRow="0" w:firstColumn="0" w:lastColumn="0" w:oddVBand="0" w:evenVBand="0" w:oddHBand="0" w:evenHBand="1" w:firstRowFirstColumn="0" w:firstRowLastColumn="0" w:lastRowFirstColumn="0" w:lastRowLastColumn="0"/>
        </w:trPr>
        <w:tc>
          <w:tcPr>
            <w:tcW w:w="0" w:type="dxa"/>
          </w:tcPr>
          <w:p w14:paraId="26EC6554" w14:textId="618554D8" w:rsidR="0033252F" w:rsidRDefault="0033252F" w:rsidP="00695A13">
            <w:pPr>
              <w:pStyle w:val="TableBody"/>
            </w:pPr>
            <w:r>
              <w:t xml:space="preserve">Exclusion zone </w:t>
            </w:r>
            <w:r w:rsidR="007E7E71">
              <w:t xml:space="preserve">extension </w:t>
            </w:r>
            <w:r>
              <w:t>length</w:t>
            </w:r>
          </w:p>
        </w:tc>
        <w:tc>
          <w:tcPr>
            <w:tcW w:w="0" w:type="dxa"/>
          </w:tcPr>
          <w:p w14:paraId="55F8106B" w14:textId="48F12FBE" w:rsidR="0033252F" w:rsidRDefault="0033252F" w:rsidP="00695A13">
            <w:pPr>
              <w:pStyle w:val="TableBody"/>
            </w:pPr>
            <w:r>
              <w:rPr>
                <w:rFonts w:eastAsiaTheme="minorHAnsi" w:cs="Arial"/>
                <w:szCs w:val="20"/>
                <w:lang w:eastAsia="en-US"/>
              </w:rPr>
              <w:t xml:space="preserve">Distance </w:t>
            </w:r>
            <w:r w:rsidRPr="00A86BA8">
              <w:rPr>
                <w:rFonts w:eastAsiaTheme="minorHAnsi" w:cs="Arial"/>
                <w:szCs w:val="20"/>
                <w:lang w:eastAsia="en-US"/>
              </w:rPr>
              <w:t xml:space="preserve">beyond the </w:t>
            </w:r>
            <w:r w:rsidR="007B580E">
              <w:rPr>
                <w:rFonts w:eastAsiaTheme="minorHAnsi" w:cs="Arial"/>
                <w:szCs w:val="20"/>
                <w:lang w:eastAsia="en-US"/>
              </w:rPr>
              <w:t>end of the runway</w:t>
            </w:r>
            <w:r w:rsidR="005C1F3D">
              <w:rPr>
                <w:rFonts w:eastAsiaTheme="minorHAnsi" w:cs="Arial"/>
                <w:szCs w:val="20"/>
                <w:lang w:eastAsia="en-US"/>
              </w:rPr>
              <w:t xml:space="preserve"> landing end</w:t>
            </w:r>
            <w:r w:rsidRPr="00A86BA8">
              <w:rPr>
                <w:rFonts w:eastAsiaTheme="minorHAnsi" w:cs="Arial"/>
                <w:szCs w:val="20"/>
                <w:lang w:eastAsia="en-US"/>
              </w:rPr>
              <w:t>.</w:t>
            </w:r>
          </w:p>
        </w:tc>
        <w:tc>
          <w:tcPr>
            <w:tcW w:w="0" w:type="dxa"/>
          </w:tcPr>
          <w:p w14:paraId="289ACEF6" w14:textId="77777777" w:rsidR="0033252F" w:rsidRDefault="0033252F" w:rsidP="00695A13">
            <w:pPr>
              <w:pStyle w:val="TableBody"/>
            </w:pPr>
            <w:r>
              <w:t>Dependent on the exclusion zone half-width.</w:t>
            </w:r>
          </w:p>
        </w:tc>
      </w:tr>
      <w:tr w:rsidR="0033252F" w14:paraId="5C1D9739"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36B72C8E" w14:textId="77777777" w:rsidR="0033252F" w:rsidRDefault="0033252F" w:rsidP="00695A13">
            <w:pPr>
              <w:pStyle w:val="TableBody"/>
            </w:pPr>
            <w:r>
              <w:t>Restricted zone half-width</w:t>
            </w:r>
          </w:p>
        </w:tc>
        <w:tc>
          <w:tcPr>
            <w:tcW w:w="0" w:type="dxa"/>
          </w:tcPr>
          <w:p w14:paraId="2C350599" w14:textId="77777777" w:rsidR="0033252F" w:rsidRDefault="0033252F" w:rsidP="00695A13">
            <w:pPr>
              <w:pStyle w:val="TableBody"/>
            </w:pPr>
            <w:r>
              <w:t>Distance</w:t>
            </w:r>
            <w:r w:rsidRPr="00A86BA8">
              <w:rPr>
                <w:rFonts w:eastAsiaTheme="minorHAnsi" w:cs="Arial"/>
                <w:szCs w:val="20"/>
                <w:lang w:eastAsia="en-US"/>
              </w:rPr>
              <w:t xml:space="preserve"> laterally either side of a runway centreline</w:t>
            </w:r>
            <w:r>
              <w:rPr>
                <w:rFonts w:eastAsiaTheme="minorHAnsi" w:cs="Arial"/>
                <w:szCs w:val="20"/>
                <w:lang w:eastAsia="en-US"/>
              </w:rPr>
              <w:t>.</w:t>
            </w:r>
          </w:p>
        </w:tc>
        <w:tc>
          <w:tcPr>
            <w:tcW w:w="0" w:type="dxa"/>
          </w:tcPr>
          <w:p w14:paraId="09249966" w14:textId="77777777" w:rsidR="0033252F" w:rsidRDefault="0033252F" w:rsidP="00695A13">
            <w:pPr>
              <w:pStyle w:val="TableBody"/>
            </w:pPr>
            <w:r>
              <w:t>Free space path loss calculation based on maximum power limit and frequency.</w:t>
            </w:r>
          </w:p>
        </w:tc>
      </w:tr>
      <w:tr w:rsidR="0033252F" w14:paraId="66C8A6B7" w14:textId="77777777" w:rsidTr="00695A13">
        <w:trPr>
          <w:cnfStyle w:val="000000010000" w:firstRow="0" w:lastRow="0" w:firstColumn="0" w:lastColumn="0" w:oddVBand="0" w:evenVBand="0" w:oddHBand="0" w:evenHBand="1" w:firstRowFirstColumn="0" w:firstRowLastColumn="0" w:lastRowFirstColumn="0" w:lastRowLastColumn="0"/>
        </w:trPr>
        <w:tc>
          <w:tcPr>
            <w:tcW w:w="0" w:type="dxa"/>
          </w:tcPr>
          <w:p w14:paraId="763F563F" w14:textId="77777777" w:rsidR="0033252F" w:rsidRDefault="0033252F" w:rsidP="00695A13">
            <w:pPr>
              <w:pStyle w:val="TableBody"/>
            </w:pPr>
            <w:r>
              <w:t>Restricted zone length</w:t>
            </w:r>
          </w:p>
        </w:tc>
        <w:tc>
          <w:tcPr>
            <w:tcW w:w="0" w:type="dxa"/>
          </w:tcPr>
          <w:p w14:paraId="76DCA858" w14:textId="64F55902" w:rsidR="0033252F" w:rsidRDefault="0033252F" w:rsidP="00695A13">
            <w:pPr>
              <w:pStyle w:val="TableBody"/>
            </w:pPr>
            <w:r>
              <w:rPr>
                <w:rFonts w:eastAsiaTheme="minorHAnsi" w:cs="Arial"/>
                <w:szCs w:val="20"/>
                <w:lang w:eastAsia="en-US"/>
              </w:rPr>
              <w:t xml:space="preserve">Distance </w:t>
            </w:r>
            <w:r w:rsidRPr="00A86BA8">
              <w:rPr>
                <w:rFonts w:eastAsiaTheme="minorHAnsi" w:cs="Arial"/>
                <w:szCs w:val="20"/>
                <w:lang w:eastAsia="en-US"/>
              </w:rPr>
              <w:t>beyond the end of the exclusion zone</w:t>
            </w:r>
            <w:r w:rsidR="00047D7D">
              <w:rPr>
                <w:rFonts w:eastAsiaTheme="minorHAnsi" w:cs="Arial"/>
                <w:szCs w:val="20"/>
                <w:lang w:eastAsia="en-US"/>
              </w:rPr>
              <w:t xml:space="preserve"> landing end</w:t>
            </w:r>
            <w:r w:rsidRPr="00A86BA8">
              <w:rPr>
                <w:rFonts w:eastAsiaTheme="minorHAnsi" w:cs="Arial"/>
                <w:szCs w:val="20"/>
                <w:lang w:eastAsia="en-US"/>
              </w:rPr>
              <w:t>.</w:t>
            </w:r>
          </w:p>
        </w:tc>
        <w:tc>
          <w:tcPr>
            <w:tcW w:w="0" w:type="dxa"/>
          </w:tcPr>
          <w:p w14:paraId="0A3322BF" w14:textId="77777777" w:rsidR="0033252F" w:rsidRDefault="0033252F" w:rsidP="00695A13">
            <w:pPr>
              <w:pStyle w:val="TableBody"/>
            </w:pPr>
            <w:r>
              <w:t>Dependent on the exclusion zone length.</w:t>
            </w:r>
          </w:p>
        </w:tc>
      </w:tr>
    </w:tbl>
    <w:p w14:paraId="3AB0B690" w14:textId="77777777" w:rsidR="0033252F" w:rsidRPr="000A2AAD" w:rsidRDefault="0033252F" w:rsidP="0033252F">
      <w:pPr>
        <w:pStyle w:val="Spaceaftertable"/>
      </w:pPr>
    </w:p>
    <w:p w14:paraId="5CC83779" w14:textId="77777777" w:rsidR="00F87EC3" w:rsidRPr="008C634A" w:rsidRDefault="00F87EC3" w:rsidP="00F87EC3">
      <w:pPr>
        <w:pStyle w:val="Heading3"/>
      </w:pPr>
      <w:r>
        <w:t>Determination WBB power flux density (PFD) limit in restricted zones</w:t>
      </w:r>
    </w:p>
    <w:p w14:paraId="08050BA1" w14:textId="558280F8" w:rsidR="00F87EC3" w:rsidRPr="00674AEE" w:rsidRDefault="00F87EC3" w:rsidP="00F87EC3">
      <w:pPr>
        <w:pStyle w:val="Numberedparagraph"/>
      </w:pPr>
      <w:r w:rsidRPr="00674AEE">
        <w:t xml:space="preserve">The method ISED used to calculate the power flux density limit in their protection zones is available on their </w:t>
      </w:r>
      <w:hyperlink r:id="rId223" w:history="1">
        <w:r w:rsidRPr="00EE0697">
          <w:rPr>
            <w:rStyle w:val="Hyperlink"/>
          </w:rPr>
          <w:t>website</w:t>
        </w:r>
      </w:hyperlink>
      <w:r w:rsidRPr="00674AEE">
        <w:t xml:space="preserve">. Their calculations are based on the use of the RTCA report ITM for </w:t>
      </w:r>
      <w:r w:rsidR="00E14ADD">
        <w:t>UC</w:t>
      </w:r>
      <w:r w:rsidR="00E14ADD" w:rsidRPr="00674AEE">
        <w:t xml:space="preserve"> 1</w:t>
      </w:r>
      <w:r w:rsidR="00E14ADD">
        <w:t xml:space="preserve"> </w:t>
      </w:r>
      <w:r w:rsidRPr="00674AEE">
        <w:t>aircraft, converting the power spectral density of the ITM at the aircraft altitude on the boundary of the restricted and exclusion zones to a power flux density limit.</w:t>
      </w:r>
    </w:p>
    <w:p w14:paraId="449BDDD4" w14:textId="1FCAF023" w:rsidR="00F87EC3" w:rsidRDefault="00F87EC3" w:rsidP="00F87EC3">
      <w:pPr>
        <w:pStyle w:val="Numberedparagraph"/>
      </w:pPr>
      <w:r w:rsidRPr="00674AEE">
        <w:t>The altitude of the aircraft at the boundary between the exclusion and restricted zones is calculated</w:t>
      </w:r>
      <w:r w:rsidR="004032FB">
        <w:t>,</w:t>
      </w:r>
      <w:r>
        <w:t xml:space="preserve"> </w:t>
      </w:r>
      <w:r w:rsidR="004032FB">
        <w:t xml:space="preserve">similar to the French method, </w:t>
      </w:r>
      <w:r>
        <w:t xml:space="preserve">using </w:t>
      </w:r>
      <w:r w:rsidRPr="00B205AA">
        <w:t>an aircraft approach angle of 3 degrees with 0.375 degree</w:t>
      </w:r>
      <w:r w:rsidR="00F22463">
        <w:t>s</w:t>
      </w:r>
      <w:r w:rsidRPr="00B205AA">
        <w:t xml:space="preserve"> margin </w:t>
      </w:r>
      <w:r w:rsidRPr="007B200D">
        <w:t xml:space="preserve">resulting in 2.625 degrees as the worst case (See Figure </w:t>
      </w:r>
      <w:r w:rsidR="00DB4BE9" w:rsidRPr="007B200D">
        <w:t>7</w:t>
      </w:r>
      <w:r w:rsidRPr="007B200D">
        <w:t xml:space="preserve"> below). </w:t>
      </w:r>
      <w:r w:rsidR="00784FD8" w:rsidRPr="007B200D">
        <w:t>The</w:t>
      </w:r>
      <w:r w:rsidR="00784FD8">
        <w:t xml:space="preserve"> horizontal distance includes a </w:t>
      </w:r>
      <w:r w:rsidR="0033442B">
        <w:t>touchdown distance</w:t>
      </w:r>
      <w:r w:rsidR="00784FD8">
        <w:t xml:space="preserve"> of 200 metres.</w:t>
      </w:r>
    </w:p>
    <w:p w14:paraId="2A99ECA7" w14:textId="77777777" w:rsidR="00F87EC3" w:rsidRDefault="00F87EC3" w:rsidP="00F87EC3">
      <w:pPr>
        <w:pStyle w:val="ACMAFigureHeader"/>
      </w:pPr>
      <w:r>
        <w:t>Aircraft altitude at boundary of exclusion and restricted zone</w:t>
      </w:r>
    </w:p>
    <w:p w14:paraId="6E1885F3" w14:textId="331D04B0" w:rsidR="00F87EC3" w:rsidRDefault="002C512A" w:rsidP="00F87EC3">
      <w:pPr>
        <w:pStyle w:val="Numberedparagraphbeforelist"/>
        <w:numPr>
          <w:ilvl w:val="0"/>
          <w:numId w:val="0"/>
        </w:numPr>
      </w:pPr>
      <w:r w:rsidRPr="002C512A">
        <w:rPr>
          <w:noProof/>
        </w:rPr>
        <w:drawing>
          <wp:inline distT="0" distB="0" distL="0" distR="0" wp14:anchorId="34829DBF" wp14:editId="636FBDB3">
            <wp:extent cx="4871085" cy="3746500"/>
            <wp:effectExtent l="0" t="0" r="5715"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871085" cy="3746500"/>
                    </a:xfrm>
                    <a:prstGeom prst="rect">
                      <a:avLst/>
                    </a:prstGeom>
                  </pic:spPr>
                </pic:pic>
              </a:graphicData>
            </a:graphic>
          </wp:inline>
        </w:drawing>
      </w:r>
    </w:p>
    <w:p w14:paraId="3DD7BFD3" w14:textId="01598A94" w:rsidR="00F87EC3" w:rsidRPr="008C634A" w:rsidRDefault="00F87EC3" w:rsidP="00F87EC3">
      <w:pPr>
        <w:pStyle w:val="Numberedparagraph"/>
      </w:pPr>
      <w:r w:rsidRPr="00674AEE">
        <w:t xml:space="preserve">This </w:t>
      </w:r>
      <w:r>
        <w:t xml:space="preserve">calculated </w:t>
      </w:r>
      <w:r w:rsidRPr="00674AEE">
        <w:t xml:space="preserve">altitude </w:t>
      </w:r>
      <w:r>
        <w:t xml:space="preserve">is used to determine </w:t>
      </w:r>
      <w:r w:rsidR="00931B90">
        <w:t>the</w:t>
      </w:r>
      <w:r w:rsidRPr="00674AEE">
        <w:t xml:space="preserve"> interpolated ITM</w:t>
      </w:r>
      <w:r w:rsidR="0086798B">
        <w:t xml:space="preserve"> value</w:t>
      </w:r>
      <w:r w:rsidRPr="00674AEE">
        <w:t xml:space="preserve"> in the RTCA report for </w:t>
      </w:r>
      <w:r>
        <w:t>UC</w:t>
      </w:r>
      <w:r w:rsidRPr="00674AEE">
        <w:t xml:space="preserve"> 1 (RTCA Figure 9-1).</w:t>
      </w:r>
    </w:p>
    <w:p w14:paraId="22B46BC9" w14:textId="77777777" w:rsidR="009C6EC5" w:rsidRDefault="009C6EC5" w:rsidP="009C6EC5">
      <w:pPr>
        <w:pStyle w:val="Paragraphbeforelist"/>
        <w:numPr>
          <w:ilvl w:val="1"/>
          <w:numId w:val="13"/>
        </w:numPr>
      </w:pPr>
      <w:r>
        <w:t>The ITM power spectral density value (PSD) is converted to a power flux density value) using the calculation:</w:t>
      </w:r>
    </w:p>
    <w:p w14:paraId="7E97BA55" w14:textId="77777777" w:rsidR="009C6EC5" w:rsidRDefault="009C6EC5" w:rsidP="009C6EC5">
      <w:pPr>
        <w:pStyle w:val="Paragraphbeforelist"/>
      </w:pPr>
    </w:p>
    <w:p w14:paraId="1DD4578D" w14:textId="77777777" w:rsidR="009C6EC5" w:rsidRPr="00D84640" w:rsidRDefault="009C6EC5" w:rsidP="009C6EC5">
      <w:pPr>
        <w:pStyle w:val="Paragraph"/>
        <w:jc w:val="center"/>
      </w:pPr>
      <m:oMath>
        <m:r>
          <w:rPr>
            <w:rFonts w:ascii="Cambria Math" w:hAnsi="Cambria Math"/>
          </w:rPr>
          <m:t>pfd=ITM-30-10</m:t>
        </m:r>
        <m:sSub>
          <m:sSubPr>
            <m:ctrlPr>
              <w:rPr>
                <w:rFonts w:ascii="Cambria Math" w:hAnsi="Cambria Math"/>
                <w:i/>
              </w:rPr>
            </m:ctrlPr>
          </m:sSubPr>
          <m:e>
            <m:r>
              <w:rPr>
                <w:rFonts w:ascii="Cambria Math" w:hAnsi="Cambria Math"/>
              </w:rPr>
              <m:t>log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m:t>
        </m:r>
      </m:oMath>
      <w:r>
        <w:t xml:space="preserve">               (Equation 4)</w:t>
      </w:r>
    </w:p>
    <w:p w14:paraId="762F7BAF" w14:textId="77777777" w:rsidR="009C6EC5" w:rsidRDefault="009C479C" w:rsidP="009C6EC5">
      <w:pPr>
        <w:pStyle w:val="Paragraph"/>
        <w:jc w:val="center"/>
      </w:pPr>
      <m:oMath>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den>
        </m:f>
      </m:oMath>
      <w:r w:rsidR="009C6EC5">
        <w:t xml:space="preserve">               (Equation 5)</w:t>
      </w:r>
    </w:p>
    <w:p w14:paraId="16A8E303" w14:textId="77777777" w:rsidR="009C6EC5" w:rsidRDefault="009C479C" w:rsidP="009C6EC5">
      <w:pPr>
        <w:pStyle w:val="Paragraph"/>
        <w:rPr>
          <w:bCs/>
        </w:rPr>
      </w:pPr>
      <m:oMath>
        <m:sSub>
          <m:sSubPr>
            <m:ctrlPr>
              <w:rPr>
                <w:rFonts w:ascii="Cambria Math" w:hAnsi="Cambria Math"/>
                <w:bCs/>
                <w:i/>
              </w:rPr>
            </m:ctrlPr>
          </m:sSubPr>
          <m:e>
            <m:r>
              <w:rPr>
                <w:rFonts w:ascii="Cambria Math" w:hAnsi="Cambria Math"/>
              </w:rPr>
              <m:t>A</m:t>
            </m:r>
          </m:e>
          <m:sub>
            <m:r>
              <w:rPr>
                <w:rFonts w:ascii="Cambria Math" w:hAnsi="Cambria Math"/>
              </w:rPr>
              <m:t>r</m:t>
            </m:r>
          </m:sub>
        </m:sSub>
      </m:oMath>
      <w:r w:rsidR="009C6EC5">
        <w:rPr>
          <w:bCs/>
        </w:rPr>
        <w:t xml:space="preserve"> (m</w:t>
      </w:r>
      <w:r w:rsidR="009C6EC5" w:rsidRPr="00583461">
        <w:rPr>
          <w:bCs/>
          <w:vertAlign w:val="superscript"/>
        </w:rPr>
        <w:t>2</w:t>
      </w:r>
      <w:r w:rsidR="009C6EC5">
        <w:rPr>
          <w:bCs/>
        </w:rPr>
        <w:t>) – the effective aperture of the receiver antenna</w:t>
      </w:r>
    </w:p>
    <w:p w14:paraId="68199612" w14:textId="77777777" w:rsidR="009C6EC5" w:rsidRDefault="009C6EC5" w:rsidP="009C6EC5">
      <w:pPr>
        <w:pStyle w:val="Paragraph"/>
      </w:pPr>
      <m:oMath>
        <m:r>
          <w:rPr>
            <w:rFonts w:ascii="Cambria Math" w:hAnsi="Cambria Math"/>
          </w:rPr>
          <m:t>c</m:t>
        </m:r>
      </m:oMath>
      <w:r>
        <w:t xml:space="preserve"> (m/s) – the speed of light, </w:t>
      </w:r>
      <w:r w:rsidRPr="00D84640">
        <w:t>3.0 x 10</w:t>
      </w:r>
      <w:r w:rsidRPr="00D84640">
        <w:rPr>
          <w:vertAlign w:val="superscript"/>
        </w:rPr>
        <w:t>8</w:t>
      </w:r>
      <w:r w:rsidRPr="00D84640">
        <w:t xml:space="preserve"> m/s</w:t>
      </w:r>
    </w:p>
    <w:p w14:paraId="389F2248" w14:textId="60E6D838" w:rsidR="009C6EC5" w:rsidRDefault="009C6EC5" w:rsidP="009C6EC5">
      <w:pPr>
        <w:pStyle w:val="Paragraph"/>
      </w:pPr>
      <m:oMath>
        <m:r>
          <w:rPr>
            <w:rFonts w:ascii="Cambria Math" w:hAnsi="Cambria Math"/>
          </w:rPr>
          <m:t>f</m:t>
        </m:r>
      </m:oMath>
      <w:r>
        <w:t xml:space="preserve"> (Hz) – the centre frequency of the base station</w:t>
      </w:r>
    </w:p>
    <w:p w14:paraId="4BF2F3A8" w14:textId="77777777" w:rsidR="009C6EC5" w:rsidRPr="00B754DF" w:rsidRDefault="009C6EC5" w:rsidP="009C6EC5">
      <w:pPr>
        <w:pStyle w:val="Paragraph"/>
      </w:pPr>
      <m:oMath>
        <m:r>
          <w:rPr>
            <w:rFonts w:ascii="Cambria Math" w:hAnsi="Cambria Math"/>
          </w:rPr>
          <m:t>ITM</m:t>
        </m:r>
      </m:oMath>
      <w:r>
        <w:t xml:space="preserve"> (dBm/MHz) – the power spectral density value from the ITM</w:t>
      </w:r>
    </w:p>
    <w:p w14:paraId="427A4328" w14:textId="3CE74469" w:rsidR="009C6EC5" w:rsidRDefault="009C6EC5" w:rsidP="009C6EC5">
      <w:pPr>
        <w:pStyle w:val="Numberedparagraph"/>
      </w:pPr>
      <w:r>
        <w:t xml:space="preserve">The PFD limit applies </w:t>
      </w:r>
      <w:r w:rsidR="0086798B">
        <w:t xml:space="preserve">at and </w:t>
      </w:r>
      <w:r>
        <w:t>above the altitude of the aircraft at the boundary between the exclusion and restricted zones.</w:t>
      </w:r>
    </w:p>
    <w:p w14:paraId="579379B4" w14:textId="77777777" w:rsidR="00311CC0" w:rsidRPr="00D13C5A" w:rsidRDefault="00311CC0" w:rsidP="00311CC0">
      <w:pPr>
        <w:pStyle w:val="Heading2"/>
        <w:rPr>
          <w:sz w:val="24"/>
          <w:szCs w:val="24"/>
        </w:rPr>
      </w:pPr>
      <w:bookmarkStart w:id="118" w:name="_Toc116041921"/>
      <w:r w:rsidRPr="00D13C5A">
        <w:rPr>
          <w:sz w:val="24"/>
          <w:szCs w:val="24"/>
        </w:rPr>
        <w:t>Application of methodology to the Australian environment</w:t>
      </w:r>
      <w:bookmarkEnd w:id="118"/>
    </w:p>
    <w:p w14:paraId="4FB0CE60" w14:textId="7B76FD38" w:rsidR="00311CC0" w:rsidRDefault="00311CC0" w:rsidP="00311CC0">
      <w:pPr>
        <w:pStyle w:val="Numberedparagraph"/>
      </w:pPr>
      <w:r>
        <w:t xml:space="preserve">The values for these mitigations adopted for France and Canada </w:t>
      </w:r>
      <w:r w:rsidR="00AC0D1C">
        <w:t>cannot directly</w:t>
      </w:r>
      <w:r>
        <w:t xml:space="preserve"> apply to the Australian operating environment due to differences in </w:t>
      </w:r>
      <w:r w:rsidR="00AC0D1C">
        <w:t xml:space="preserve">some </w:t>
      </w:r>
      <w:r>
        <w:t xml:space="preserve">parameters such as WBB maximum EIRP and operating frequency. This section </w:t>
      </w:r>
      <w:r w:rsidR="00AC0D1C">
        <w:t>applies</w:t>
      </w:r>
      <w:r>
        <w:t xml:space="preserve"> the methodology </w:t>
      </w:r>
      <w:r w:rsidR="00315923">
        <w:t xml:space="preserve">described </w:t>
      </w:r>
      <w:r>
        <w:t>above using parameters relevant to the Australian environment</w:t>
      </w:r>
      <w:r w:rsidR="00AC0D1C">
        <w:t xml:space="preserve"> to determine appropriate Australian mitigation values</w:t>
      </w:r>
      <w:r>
        <w:t xml:space="preserve">. </w:t>
      </w:r>
    </w:p>
    <w:p w14:paraId="298E0788" w14:textId="09CEF121" w:rsidR="00883E96" w:rsidRDefault="00883E96">
      <w:pPr>
        <w:pStyle w:val="Numberedparagraph"/>
      </w:pPr>
      <w:r>
        <w:t>For example, the zone sizes used by ANFR are calculated at an operating frequency of 3700 MHz and ISED’s PFD calculations are for base stations operating at 3650</w:t>
      </w:r>
      <w:r w:rsidR="00AC0D1C">
        <w:t> </w:t>
      </w:r>
      <w:r>
        <w:t>MHz. In Australia WBB is planned to be permitted to operate up to 4000 MHz at various EIRP levels.</w:t>
      </w:r>
    </w:p>
    <w:p w14:paraId="74BDA401" w14:textId="3857A7FB" w:rsidR="00EE5520" w:rsidRDefault="00EE5520" w:rsidP="00257BC6">
      <w:pPr>
        <w:pStyle w:val="Heading3"/>
      </w:pPr>
      <w:r>
        <w:t>Runways that require protection from only one direction</w:t>
      </w:r>
    </w:p>
    <w:p w14:paraId="2E71149E" w14:textId="7F6112AF" w:rsidR="00883E96" w:rsidRDefault="00EE5520" w:rsidP="00311CC0">
      <w:pPr>
        <w:pStyle w:val="Numberedparagraph"/>
      </w:pPr>
      <w:r>
        <w:t>France and Canada</w:t>
      </w:r>
      <w:r w:rsidR="00883E96">
        <w:t xml:space="preserve"> example</w:t>
      </w:r>
      <w:r>
        <w:t xml:space="preserve"> cases always assume that a runway require</w:t>
      </w:r>
      <w:r w:rsidR="00AC0D1C">
        <w:t>s</w:t>
      </w:r>
      <w:r>
        <w:t xml:space="preserve"> protection for landing approaches from either end.  This is not always the case.</w:t>
      </w:r>
      <w:r w:rsidR="00883E96">
        <w:t xml:space="preserve"> For this case, the ACMA considers the following geometry appropriate:</w:t>
      </w:r>
    </w:p>
    <w:p w14:paraId="4D0A7952" w14:textId="1EDD5112" w:rsidR="00EE5520" w:rsidRPr="008C634A" w:rsidRDefault="00216DBF" w:rsidP="00257BC6">
      <w:pPr>
        <w:pStyle w:val="Numberedparagraph"/>
        <w:numPr>
          <w:ilvl w:val="0"/>
          <w:numId w:val="0"/>
        </w:numPr>
      </w:pPr>
      <w:r w:rsidRPr="00216DBF">
        <w:rPr>
          <w:noProof/>
        </w:rPr>
        <w:drawing>
          <wp:inline distT="0" distB="0" distL="0" distR="0" wp14:anchorId="0F1EC578" wp14:editId="55D06C56">
            <wp:extent cx="4871085" cy="1849120"/>
            <wp:effectExtent l="0" t="0" r="571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871085" cy="1849120"/>
                    </a:xfrm>
                    <a:prstGeom prst="rect">
                      <a:avLst/>
                    </a:prstGeom>
                  </pic:spPr>
                </pic:pic>
              </a:graphicData>
            </a:graphic>
          </wp:inline>
        </w:drawing>
      </w:r>
      <w:r w:rsidR="00EE5520">
        <w:t xml:space="preserve"> </w:t>
      </w:r>
    </w:p>
    <w:p w14:paraId="657C91A3" w14:textId="77777777" w:rsidR="00883E96" w:rsidRPr="00206DBA" w:rsidRDefault="00883E96" w:rsidP="00883E96">
      <w:pPr>
        <w:pStyle w:val="Numberedparagraph"/>
      </w:pPr>
      <w:r>
        <w:t xml:space="preserve">For an approach/runway requiring protection in only one landing direction, the </w:t>
      </w:r>
      <w:r>
        <w:rPr>
          <w:i/>
          <w:iCs/>
        </w:rPr>
        <w:t>exclusion zone half-width</w:t>
      </w:r>
      <w:r>
        <w:t xml:space="preserve"> is also appropriate at the far end of the runway, so that ground-level protection is provided during taxiing and pre-flights checks for take-off.</w:t>
      </w:r>
    </w:p>
    <w:p w14:paraId="49083D3B" w14:textId="77777777" w:rsidR="00311CC0" w:rsidRDefault="00311CC0" w:rsidP="00311CC0">
      <w:pPr>
        <w:pStyle w:val="Heading3"/>
      </w:pPr>
      <w:r>
        <w:t>Australian proposed EIRP limits</w:t>
      </w:r>
    </w:p>
    <w:p w14:paraId="5C21ED61" w14:textId="77777777" w:rsidR="00311CC0" w:rsidRDefault="00311CC0" w:rsidP="00311CC0">
      <w:pPr>
        <w:pStyle w:val="Numberedparagraph"/>
      </w:pPr>
      <w:r>
        <w:t>In calculating the exclusion zone size, ANFR used an example EIRP of 58 dBm/MHz because it is the maximum base station power allowed in the band under their proposed regulations. The ACMA has proposed a maximum EIRP density limit of 62 dBm/MHz.</w:t>
      </w:r>
    </w:p>
    <w:p w14:paraId="378237B9" w14:textId="48AB5A13" w:rsidR="00F27EEF" w:rsidRPr="007B200D" w:rsidRDefault="00642680" w:rsidP="00257BC6">
      <w:pPr>
        <w:pStyle w:val="Numberedparagraphbeforelist"/>
        <w:rPr>
          <w:rFonts w:cs="Times New Roman"/>
        </w:rPr>
      </w:pPr>
      <w:r>
        <w:t xml:space="preserve">In metro and regional areas, the 3950-4000 band is allocated for restricted cell use. The proposed maximum EIRP limit in this band is 17 dBm/MHz, with a maximum 34 dBm overall EIRP limit. Due to the significantly lower powers the zone calculations will </w:t>
      </w:r>
      <w:r w:rsidRPr="007B200D">
        <w:t>need to be adjusted. This case is discussed further in section</w:t>
      </w:r>
      <w:r w:rsidRPr="00257BC6">
        <w:t xml:space="preserve"> </w:t>
      </w:r>
      <w:r w:rsidR="00C51D91" w:rsidRPr="00257BC6">
        <w:rPr>
          <w:i/>
          <w:iCs/>
        </w:rPr>
        <w:t>Restricted cell use in the 3950-4000 MHz range</w:t>
      </w:r>
      <w:r w:rsidRPr="00257BC6">
        <w:rPr>
          <w:i/>
          <w:iCs/>
        </w:rPr>
        <w:t xml:space="preserve"> </w:t>
      </w:r>
      <w:r w:rsidRPr="007B200D">
        <w:t>below.</w:t>
      </w:r>
    </w:p>
    <w:p w14:paraId="60DF668E" w14:textId="77777777" w:rsidR="00BF6EBD" w:rsidRPr="008C634A" w:rsidRDefault="00BF6EBD" w:rsidP="00BF6EBD">
      <w:pPr>
        <w:pStyle w:val="Heading4"/>
      </w:pPr>
      <w:r>
        <w:t xml:space="preserve">Example Australian </w:t>
      </w:r>
      <w:r w:rsidRPr="008C634A">
        <w:t>zone size</w:t>
      </w:r>
      <w:r>
        <w:t xml:space="preserve"> calculations at 3750 MHz</w:t>
      </w:r>
    </w:p>
    <w:p w14:paraId="756E3591" w14:textId="77777777" w:rsidR="00BF6EBD" w:rsidRPr="008C634A" w:rsidRDefault="00BF6EBD" w:rsidP="00BF6EBD">
      <w:pPr>
        <w:pStyle w:val="Numberedparagraph"/>
      </w:pPr>
      <w:r>
        <w:t>The following worked example uses a base station operating at 3750 MHz, a frequency with measured RTCA ITM values, using Australian EIRP limits.</w:t>
      </w:r>
    </w:p>
    <w:p w14:paraId="2009EFAB" w14:textId="77777777" w:rsidR="00BF6EBD" w:rsidRPr="008C634A" w:rsidRDefault="00BF6EBD" w:rsidP="00BF6EBD">
      <w:pPr>
        <w:pStyle w:val="Tableheading"/>
      </w:pPr>
      <w:r w:rsidRPr="008C634A">
        <w:t xml:space="preserve">Calculation </w:t>
      </w:r>
      <w:r>
        <w:t>example</w:t>
      </w:r>
      <w:r w:rsidRPr="008C634A">
        <w:t xml:space="preserve"> for exclusion zone half-width</w:t>
      </w:r>
      <w:r>
        <w:t xml:space="preserve"> (3750 MHz)</w:t>
      </w:r>
    </w:p>
    <w:tbl>
      <w:tblPr>
        <w:tblStyle w:val="ACMAtablestyle"/>
        <w:tblW w:w="7600" w:type="dxa"/>
        <w:tblLook w:val="04A0" w:firstRow="1" w:lastRow="0" w:firstColumn="1" w:lastColumn="0" w:noHBand="0" w:noVBand="1"/>
      </w:tblPr>
      <w:tblGrid>
        <w:gridCol w:w="1532"/>
        <w:gridCol w:w="2268"/>
        <w:gridCol w:w="1532"/>
        <w:gridCol w:w="2268"/>
      </w:tblGrid>
      <w:tr w:rsidR="00BF6EBD" w14:paraId="1667A66E" w14:textId="77777777" w:rsidTr="00695A13">
        <w:trPr>
          <w:cnfStyle w:val="100000000000" w:firstRow="1" w:lastRow="0" w:firstColumn="0" w:lastColumn="0" w:oddVBand="0" w:evenVBand="0" w:oddHBand="0" w:evenHBand="0" w:firstRowFirstColumn="0" w:firstRowLastColumn="0" w:lastRowFirstColumn="0" w:lastRowLastColumn="0"/>
        </w:trPr>
        <w:tc>
          <w:tcPr>
            <w:tcW w:w="1532" w:type="dxa"/>
          </w:tcPr>
          <w:p w14:paraId="383C2D7E" w14:textId="77777777" w:rsidR="00BF6EBD" w:rsidRDefault="00BF6EBD" w:rsidP="00695A13">
            <w:pPr>
              <w:pStyle w:val="Tableheaderrow"/>
            </w:pPr>
            <w:r>
              <w:t>Parameter</w:t>
            </w:r>
          </w:p>
        </w:tc>
        <w:tc>
          <w:tcPr>
            <w:tcW w:w="2268" w:type="dxa"/>
          </w:tcPr>
          <w:p w14:paraId="77AA015A" w14:textId="77777777" w:rsidR="00BF6EBD" w:rsidRDefault="00BF6EBD" w:rsidP="00695A13">
            <w:pPr>
              <w:pStyle w:val="Tableheaderrow"/>
            </w:pPr>
            <w:r>
              <w:t>Variable</w:t>
            </w:r>
          </w:p>
        </w:tc>
        <w:tc>
          <w:tcPr>
            <w:tcW w:w="1532" w:type="dxa"/>
          </w:tcPr>
          <w:p w14:paraId="5002DDF1" w14:textId="77777777" w:rsidR="00BF6EBD" w:rsidRDefault="00BF6EBD" w:rsidP="00695A13">
            <w:pPr>
              <w:pStyle w:val="Tableheaderrow"/>
            </w:pPr>
            <w:r>
              <w:t>Value</w:t>
            </w:r>
          </w:p>
        </w:tc>
        <w:tc>
          <w:tcPr>
            <w:tcW w:w="2268" w:type="dxa"/>
          </w:tcPr>
          <w:p w14:paraId="19095752" w14:textId="77777777" w:rsidR="00BF6EBD" w:rsidRDefault="00BF6EBD" w:rsidP="00695A13">
            <w:pPr>
              <w:pStyle w:val="Tableheaderrow"/>
            </w:pPr>
            <w:r>
              <w:t>Notes</w:t>
            </w:r>
          </w:p>
        </w:tc>
      </w:tr>
      <w:tr w:rsidR="00BF6EBD" w14:paraId="64CD4146"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216881EF" w14:textId="77777777" w:rsidR="00BF6EBD" w:rsidRDefault="00BF6EBD" w:rsidP="00695A13">
            <w:pPr>
              <w:pStyle w:val="TableBody"/>
            </w:pPr>
            <w:r>
              <w:t>EIRP (in 100 MHz)</w:t>
            </w:r>
          </w:p>
        </w:tc>
        <w:tc>
          <w:tcPr>
            <w:tcW w:w="2268" w:type="dxa"/>
          </w:tcPr>
          <w:p w14:paraId="414D7B9A" w14:textId="77777777" w:rsidR="00BF6EBD" w:rsidRDefault="009C479C" w:rsidP="00695A13">
            <w:pPr>
              <w:pStyle w:val="TableBody"/>
              <w:jc w:val="center"/>
            </w:pPr>
            <m:oMathPara>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0" w:type="dxa"/>
          </w:tcPr>
          <w:p w14:paraId="548B8B40" w14:textId="77777777" w:rsidR="00BF6EBD" w:rsidRDefault="00BF6EBD" w:rsidP="00695A13">
            <w:pPr>
              <w:pStyle w:val="TableBody"/>
            </w:pPr>
            <w:r>
              <w:t>82 dBm EIRP</w:t>
            </w:r>
          </w:p>
        </w:tc>
        <w:tc>
          <w:tcPr>
            <w:tcW w:w="2268" w:type="dxa"/>
          </w:tcPr>
          <w:p w14:paraId="0869FAF5" w14:textId="77777777" w:rsidR="00BF6EBD" w:rsidRDefault="00BF6EBD" w:rsidP="00695A13">
            <w:pPr>
              <w:pStyle w:val="TableBody"/>
            </w:pPr>
            <w:r>
              <w:t>ACMA temporary, reviewable mitigation (ix).</w:t>
            </w:r>
          </w:p>
        </w:tc>
      </w:tr>
      <w:tr w:rsidR="00BF6EBD" w14:paraId="57F200E3" w14:textId="77777777" w:rsidTr="00695A13">
        <w:trPr>
          <w:cnfStyle w:val="000000010000" w:firstRow="0" w:lastRow="0" w:firstColumn="0" w:lastColumn="0" w:oddVBand="0" w:evenVBand="0" w:oddHBand="0" w:evenHBand="1" w:firstRowFirstColumn="0" w:firstRowLastColumn="0" w:lastRowFirstColumn="0" w:lastRowLastColumn="0"/>
        </w:trPr>
        <w:tc>
          <w:tcPr>
            <w:tcW w:w="1532" w:type="dxa"/>
          </w:tcPr>
          <w:p w14:paraId="314E0414" w14:textId="77777777" w:rsidR="00BF6EBD" w:rsidRDefault="00BF6EBD" w:rsidP="00695A13">
            <w:pPr>
              <w:pStyle w:val="TableBody"/>
            </w:pPr>
            <w:r>
              <w:t xml:space="preserve">Radio altimeter gain </w:t>
            </w:r>
          </w:p>
        </w:tc>
        <w:tc>
          <w:tcPr>
            <w:tcW w:w="2268" w:type="dxa"/>
          </w:tcPr>
          <w:p w14:paraId="18FF5174" w14:textId="77777777" w:rsidR="00BF6EBD" w:rsidRDefault="009C479C" w:rsidP="00695A13">
            <w:pPr>
              <w:pStyle w:val="TableBody"/>
            </w:pP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532" w:type="dxa"/>
          </w:tcPr>
          <w:p w14:paraId="15E48EFC" w14:textId="77777777" w:rsidR="00BF6EBD" w:rsidRDefault="00BF6EBD" w:rsidP="00695A13">
            <w:pPr>
              <w:pStyle w:val="TableBody"/>
            </w:pPr>
            <w:r>
              <w:t>0 dBi</w:t>
            </w:r>
          </w:p>
        </w:tc>
        <w:tc>
          <w:tcPr>
            <w:tcW w:w="2268" w:type="dxa"/>
          </w:tcPr>
          <w:p w14:paraId="7C4E03BA" w14:textId="77777777" w:rsidR="00BF6EBD" w:rsidRDefault="00BF6EBD" w:rsidP="00695A13">
            <w:pPr>
              <w:pStyle w:val="TableBody"/>
            </w:pPr>
            <w:r>
              <w:t>ANFR study refers to RTCA report 0 dBi.</w:t>
            </w:r>
          </w:p>
        </w:tc>
      </w:tr>
      <w:tr w:rsidR="00BF6EBD" w14:paraId="11E69D34"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7A18EA4A" w14:textId="77777777" w:rsidR="00BF6EBD" w:rsidRDefault="00BF6EBD" w:rsidP="00695A13">
            <w:pPr>
              <w:pStyle w:val="TableBody"/>
            </w:pPr>
            <w:r>
              <w:t>Margin</w:t>
            </w:r>
          </w:p>
        </w:tc>
        <w:tc>
          <w:tcPr>
            <w:tcW w:w="2268" w:type="dxa"/>
          </w:tcPr>
          <w:p w14:paraId="28E11351" w14:textId="77777777" w:rsidR="00BF6EBD" w:rsidRDefault="00BF6EBD" w:rsidP="00695A13">
            <w:pPr>
              <w:pStyle w:val="TableBody"/>
            </w:pPr>
            <m:oMathPara>
              <m:oMath>
                <m:r>
                  <w:rPr>
                    <w:rFonts w:ascii="Cambria Math" w:hAnsi="Cambria Math"/>
                  </w:rPr>
                  <m:t>Margin</m:t>
                </m:r>
              </m:oMath>
            </m:oMathPara>
          </w:p>
        </w:tc>
        <w:tc>
          <w:tcPr>
            <w:tcW w:w="0" w:type="dxa"/>
          </w:tcPr>
          <w:p w14:paraId="5DAEDCC5" w14:textId="77777777" w:rsidR="00BF6EBD" w:rsidRDefault="00BF6EBD" w:rsidP="00695A13">
            <w:pPr>
              <w:pStyle w:val="TableBody"/>
            </w:pPr>
            <w:r>
              <w:t>6 dB</w:t>
            </w:r>
          </w:p>
        </w:tc>
        <w:tc>
          <w:tcPr>
            <w:tcW w:w="2268" w:type="dxa"/>
          </w:tcPr>
          <w:p w14:paraId="1858634F" w14:textId="0ADA6DD2" w:rsidR="00BF6EBD" w:rsidRDefault="00BF6EBD" w:rsidP="00695A13">
            <w:pPr>
              <w:pStyle w:val="TableBody"/>
            </w:pPr>
            <w:r>
              <w:t>ANFR study used the 6</w:t>
            </w:r>
            <w:r w:rsidR="000160DF">
              <w:t xml:space="preserve"> </w:t>
            </w:r>
            <w:r>
              <w:t>dB aviation safety factor.</w:t>
            </w:r>
          </w:p>
        </w:tc>
      </w:tr>
      <w:tr w:rsidR="00BF6EBD" w14:paraId="5988C330" w14:textId="77777777" w:rsidTr="00695A13">
        <w:trPr>
          <w:cnfStyle w:val="000000010000" w:firstRow="0" w:lastRow="0" w:firstColumn="0" w:lastColumn="0" w:oddVBand="0" w:evenVBand="0" w:oddHBand="0" w:evenHBand="1" w:firstRowFirstColumn="0" w:firstRowLastColumn="0" w:lastRowFirstColumn="0" w:lastRowLastColumn="0"/>
        </w:trPr>
        <w:tc>
          <w:tcPr>
            <w:tcW w:w="1532" w:type="dxa"/>
          </w:tcPr>
          <w:p w14:paraId="57297CA7" w14:textId="77777777" w:rsidR="00BF6EBD" w:rsidRDefault="00BF6EBD" w:rsidP="00695A13">
            <w:pPr>
              <w:pStyle w:val="TableBody"/>
            </w:pPr>
            <w:r>
              <w:t>ITM Threshold (in 100 MHz)</w:t>
            </w:r>
          </w:p>
          <w:p w14:paraId="6D9FE550" w14:textId="77777777" w:rsidR="00BF6EBD" w:rsidRDefault="00BF6EBD" w:rsidP="00695A13">
            <w:pPr>
              <w:pStyle w:val="TableBody"/>
            </w:pPr>
            <w:r>
              <w:t xml:space="preserve"> </w:t>
            </w:r>
          </w:p>
        </w:tc>
        <w:tc>
          <w:tcPr>
            <w:tcW w:w="2268" w:type="dxa"/>
          </w:tcPr>
          <w:p w14:paraId="2A2D1551" w14:textId="77777777" w:rsidR="00BF6EBD" w:rsidRDefault="009C479C" w:rsidP="00695A13">
            <w:pPr>
              <w:pStyle w:val="TableBody"/>
            </w:pP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532" w:type="dxa"/>
          </w:tcPr>
          <w:p w14:paraId="1E978398" w14:textId="77777777" w:rsidR="00BF6EBD" w:rsidRDefault="00BF6EBD" w:rsidP="00695A13">
            <w:pPr>
              <w:pStyle w:val="TableBody"/>
            </w:pPr>
            <w:r>
              <w:t>-19 dBm</w:t>
            </w:r>
          </w:p>
        </w:tc>
        <w:tc>
          <w:tcPr>
            <w:tcW w:w="2268" w:type="dxa"/>
          </w:tcPr>
          <w:p w14:paraId="35A0166A" w14:textId="77777777" w:rsidR="00BF6EBD" w:rsidRDefault="00BF6EBD" w:rsidP="00695A13">
            <w:pPr>
              <w:pStyle w:val="TableBody"/>
            </w:pPr>
            <w:r>
              <w:t>RTCA Fundamental emissions -39 dBm/MHz at 200 feet. UC 1 3750 MHz.</w:t>
            </w:r>
          </w:p>
        </w:tc>
      </w:tr>
      <w:tr w:rsidR="00BF6EBD" w14:paraId="38B11640"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6EB4EABE" w14:textId="77777777" w:rsidR="00BF6EBD" w:rsidRDefault="00BF6EBD" w:rsidP="00695A13">
            <w:pPr>
              <w:pStyle w:val="TableBody"/>
            </w:pPr>
            <w:r>
              <w:t>Required Path Loss</w:t>
            </w:r>
          </w:p>
        </w:tc>
        <w:tc>
          <w:tcPr>
            <w:tcW w:w="2268" w:type="dxa"/>
          </w:tcPr>
          <w:p w14:paraId="2D9E60DA" w14:textId="77777777" w:rsidR="00BF6EBD" w:rsidRDefault="00BF6EBD" w:rsidP="00695A13">
            <w:pPr>
              <w:pStyle w:val="TableBody"/>
            </w:pPr>
            <m:oMathPara>
              <m:oMath>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0" w:type="dxa"/>
          </w:tcPr>
          <w:p w14:paraId="2FF65F57" w14:textId="77777777" w:rsidR="00BF6EBD" w:rsidRDefault="00BF6EBD" w:rsidP="00695A13">
            <w:pPr>
              <w:pStyle w:val="TableBody"/>
            </w:pPr>
            <w:r>
              <w:t>107 dB</w:t>
            </w:r>
          </w:p>
        </w:tc>
        <w:tc>
          <w:tcPr>
            <w:tcW w:w="2268" w:type="dxa"/>
          </w:tcPr>
          <w:p w14:paraId="19B465C6" w14:textId="77777777" w:rsidR="00BF6EBD" w:rsidRDefault="00BF6EBD" w:rsidP="00695A13">
            <w:pPr>
              <w:pStyle w:val="TableBody"/>
            </w:pPr>
            <w:r>
              <w:t>Free Space Path Loss Model</w:t>
            </w:r>
          </w:p>
        </w:tc>
      </w:tr>
      <w:tr w:rsidR="00BF6EBD" w14:paraId="4782D17E" w14:textId="77777777" w:rsidTr="00695A13">
        <w:trPr>
          <w:cnfStyle w:val="000000010000" w:firstRow="0" w:lastRow="0" w:firstColumn="0" w:lastColumn="0" w:oddVBand="0" w:evenVBand="0" w:oddHBand="0" w:evenHBand="1" w:firstRowFirstColumn="0" w:firstRowLastColumn="0" w:lastRowFirstColumn="0" w:lastRowLastColumn="0"/>
        </w:trPr>
        <w:tc>
          <w:tcPr>
            <w:tcW w:w="1532" w:type="dxa"/>
          </w:tcPr>
          <w:p w14:paraId="7CAF6D5D" w14:textId="77777777" w:rsidR="00BF6EBD" w:rsidRDefault="00BF6EBD" w:rsidP="00695A13">
            <w:pPr>
              <w:pStyle w:val="TableBody"/>
            </w:pPr>
            <w:r>
              <w:t>Exclusion zone half-width (Equivalent distance to achieve path loss)</w:t>
            </w:r>
          </w:p>
        </w:tc>
        <w:tc>
          <w:tcPr>
            <w:tcW w:w="2268" w:type="dxa"/>
          </w:tcPr>
          <w:p w14:paraId="71037A00" w14:textId="77777777" w:rsidR="00BF6EBD" w:rsidRPr="008E3897" w:rsidRDefault="00BF6EBD" w:rsidP="00695A13">
            <w:pPr>
              <w:rPr>
                <w:iCs/>
              </w:rPr>
            </w:pPr>
            <m:oMathPara>
              <m:oMath>
                <m:r>
                  <w:rPr>
                    <w:rFonts w:ascii="Cambria Math" w:hAnsi="Cambria Math"/>
                  </w:rPr>
                  <m:t>Path Loss=32.4+20</m:t>
                </m:r>
                <m:func>
                  <m:funcPr>
                    <m:ctrlPr>
                      <w:rPr>
                        <w:rFonts w:ascii="Cambria Math" w:hAnsi="Cambria Math"/>
                        <w:i/>
                      </w:rPr>
                    </m:ctrlPr>
                  </m:funcPr>
                  <m:fName>
                    <m:r>
                      <m:rPr>
                        <m:sty m:val="p"/>
                      </m:rPr>
                      <w:rPr>
                        <w:rFonts w:ascii="Cambria Math" w:hAnsi="Cambria Math"/>
                      </w:rPr>
                      <m:t>log</m:t>
                    </m:r>
                  </m:fName>
                  <m:e>
                    <m:r>
                      <w:rPr>
                        <w:rFonts w:ascii="Cambria Math" w:hAnsi="Cambria Math"/>
                      </w:rPr>
                      <m:t>f</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d</m:t>
                    </m:r>
                  </m:e>
                </m:func>
                <m:r>
                  <w:rPr>
                    <w:rFonts w:ascii="Cambria Math" w:hAnsi="Cambria Math"/>
                  </w:rPr>
                  <m:t xml:space="preserve">  </m:t>
                </m:r>
                <m:r>
                  <m:rPr>
                    <m:sty m:val="p"/>
                  </m:rPr>
                  <w:rPr>
                    <w:rFonts w:ascii="Cambria Math" w:hAnsi="Cambria Math"/>
                  </w:rPr>
                  <m:t xml:space="preserve">   dB</m:t>
                </m:r>
              </m:oMath>
            </m:oMathPara>
          </w:p>
          <w:p w14:paraId="2D6C3D86" w14:textId="77777777" w:rsidR="00BF6EBD" w:rsidRPr="008E3897" w:rsidRDefault="00BF6EBD" w:rsidP="00695A13">
            <m:oMathPara>
              <m:oMathParaPr>
                <m:jc m:val="center"/>
              </m:oMathParaPr>
              <m:oMath>
                <m:r>
                  <w:rPr>
                    <w:rFonts w:ascii="Cambria Math" w:hAnsi="Cambria Math"/>
                  </w:rPr>
                  <m:t>f:</m:t>
                </m:r>
                <m:r>
                  <m:rPr>
                    <m:sty m:val="p"/>
                  </m:rPr>
                  <w:rPr>
                    <w:rFonts w:ascii="Cambria Math" w:hAnsi="Cambria Math"/>
                  </w:rPr>
                  <m:t xml:space="preserve">frequency </m:t>
                </m:r>
                <m:d>
                  <m:dPr>
                    <m:ctrlPr>
                      <w:rPr>
                        <w:rFonts w:ascii="Cambria Math" w:hAnsi="Cambria Math"/>
                      </w:rPr>
                    </m:ctrlPr>
                  </m:dPr>
                  <m:e>
                    <m:r>
                      <m:rPr>
                        <m:sty m:val="p"/>
                      </m:rPr>
                      <w:rPr>
                        <w:rFonts w:ascii="Cambria Math" w:hAnsi="Cambria Math"/>
                      </w:rPr>
                      <m:t>MHz</m:t>
                    </m:r>
                  </m:e>
                </m:d>
              </m:oMath>
            </m:oMathPara>
          </w:p>
          <w:p w14:paraId="2C810A55" w14:textId="77777777" w:rsidR="00BF6EBD" w:rsidRDefault="00BF6EBD" w:rsidP="00695A13">
            <m:oMathPara>
              <m:oMath>
                <m:r>
                  <w:rPr>
                    <w:rFonts w:ascii="Cambria Math" w:hAnsi="Cambria Math"/>
                  </w:rPr>
                  <m:t>d:</m:t>
                </m:r>
                <m:r>
                  <m:rPr>
                    <m:sty m:val="p"/>
                  </m:rPr>
                  <w:rPr>
                    <w:rFonts w:ascii="Cambria Math" w:hAnsi="Cambria Math"/>
                  </w:rPr>
                  <m:t>distance (km)</m:t>
                </m:r>
              </m:oMath>
            </m:oMathPara>
          </w:p>
        </w:tc>
        <w:tc>
          <w:tcPr>
            <w:tcW w:w="1532" w:type="dxa"/>
          </w:tcPr>
          <w:p w14:paraId="6D7631BF" w14:textId="77777777" w:rsidR="00BF6EBD" w:rsidRDefault="00BF6EBD" w:rsidP="00695A13">
            <w:pPr>
              <w:pStyle w:val="TableBody"/>
            </w:pPr>
            <w:r>
              <w:t>1432 m (Rounded up to 1440 m)</w:t>
            </w:r>
          </w:p>
        </w:tc>
        <w:tc>
          <w:tcPr>
            <w:tcW w:w="2268" w:type="dxa"/>
          </w:tcPr>
          <w:p w14:paraId="6A5F688A" w14:textId="77777777" w:rsidR="00BF6EBD" w:rsidRDefault="00BF6EBD" w:rsidP="00695A13">
            <w:pPr>
              <w:pStyle w:val="TableBody"/>
            </w:pPr>
            <w:r>
              <w:t>Setting the required path loss to path loss and solving for distance.</w:t>
            </w:r>
          </w:p>
          <w:p w14:paraId="693A7595" w14:textId="77777777" w:rsidR="00BF6EBD" w:rsidRDefault="00BF6EBD" w:rsidP="00695A13">
            <w:pPr>
              <w:pStyle w:val="TableBody"/>
            </w:pPr>
          </w:p>
          <w:p w14:paraId="02BDD436" w14:textId="77777777" w:rsidR="00BF6EBD" w:rsidRDefault="00BF6EBD" w:rsidP="00695A13">
            <w:pPr>
              <w:pStyle w:val="TableBody"/>
            </w:pPr>
            <w:r w:rsidRPr="0001135F">
              <w:t>Recommendation ITU-R P.525-4</w:t>
            </w:r>
            <w:r>
              <w:t xml:space="preserve"> equation (4)</w:t>
            </w:r>
          </w:p>
        </w:tc>
      </w:tr>
    </w:tbl>
    <w:p w14:paraId="00AB9942" w14:textId="77777777" w:rsidR="00BF6EBD" w:rsidRPr="008C634A" w:rsidRDefault="00BF6EBD" w:rsidP="00BF6EBD">
      <w:pPr>
        <w:pStyle w:val="Spaceaftertable"/>
      </w:pPr>
    </w:p>
    <w:p w14:paraId="52233239" w14:textId="77777777" w:rsidR="00BF6EBD" w:rsidRPr="008C634A" w:rsidRDefault="00BF6EBD" w:rsidP="00BF6EBD">
      <w:pPr>
        <w:pStyle w:val="Tableheading"/>
      </w:pPr>
      <w:r w:rsidRPr="008C634A">
        <w:t xml:space="preserve">Calculation </w:t>
      </w:r>
      <w:r>
        <w:t>example</w:t>
      </w:r>
      <w:r w:rsidRPr="008C634A">
        <w:t xml:space="preserve"> for restricted zone half-width</w:t>
      </w:r>
      <w:r>
        <w:t xml:space="preserve"> (3750 MHz)</w:t>
      </w:r>
    </w:p>
    <w:tbl>
      <w:tblPr>
        <w:tblStyle w:val="ACMAtablestyle"/>
        <w:tblW w:w="7599" w:type="dxa"/>
        <w:tblLook w:val="04A0" w:firstRow="1" w:lastRow="0" w:firstColumn="1" w:lastColumn="0" w:noHBand="0" w:noVBand="1"/>
      </w:tblPr>
      <w:tblGrid>
        <w:gridCol w:w="1531"/>
        <w:gridCol w:w="2268"/>
        <w:gridCol w:w="1532"/>
        <w:gridCol w:w="2268"/>
      </w:tblGrid>
      <w:tr w:rsidR="00BF6EBD" w14:paraId="26C75B4B" w14:textId="77777777" w:rsidTr="00695A13">
        <w:trPr>
          <w:cnfStyle w:val="100000000000" w:firstRow="1" w:lastRow="0" w:firstColumn="0" w:lastColumn="0" w:oddVBand="0" w:evenVBand="0" w:oddHBand="0" w:evenHBand="0" w:firstRowFirstColumn="0" w:firstRowLastColumn="0" w:lastRowFirstColumn="0" w:lastRowLastColumn="0"/>
        </w:trPr>
        <w:tc>
          <w:tcPr>
            <w:tcW w:w="1531" w:type="dxa"/>
          </w:tcPr>
          <w:p w14:paraId="2B4A85DB" w14:textId="77777777" w:rsidR="00BF6EBD" w:rsidRDefault="00BF6EBD" w:rsidP="00695A13">
            <w:pPr>
              <w:pStyle w:val="Tableheaderrow"/>
            </w:pPr>
            <w:r>
              <w:t>Parameter</w:t>
            </w:r>
          </w:p>
        </w:tc>
        <w:tc>
          <w:tcPr>
            <w:tcW w:w="2268" w:type="dxa"/>
          </w:tcPr>
          <w:p w14:paraId="64FDFCFF" w14:textId="77777777" w:rsidR="00BF6EBD" w:rsidRDefault="00BF6EBD" w:rsidP="00695A13">
            <w:pPr>
              <w:pStyle w:val="Tableheaderrow"/>
            </w:pPr>
            <w:r>
              <w:t>Variable</w:t>
            </w:r>
          </w:p>
        </w:tc>
        <w:tc>
          <w:tcPr>
            <w:tcW w:w="1532" w:type="dxa"/>
          </w:tcPr>
          <w:p w14:paraId="7EDFA5B0" w14:textId="77777777" w:rsidR="00BF6EBD" w:rsidRDefault="00BF6EBD" w:rsidP="00695A13">
            <w:pPr>
              <w:pStyle w:val="Tableheaderrow"/>
            </w:pPr>
            <w:r>
              <w:t>Value</w:t>
            </w:r>
          </w:p>
        </w:tc>
        <w:tc>
          <w:tcPr>
            <w:tcW w:w="2268" w:type="dxa"/>
          </w:tcPr>
          <w:p w14:paraId="64E45615" w14:textId="77777777" w:rsidR="00BF6EBD" w:rsidRDefault="00BF6EBD" w:rsidP="00695A13">
            <w:pPr>
              <w:pStyle w:val="Tableheaderrow"/>
            </w:pPr>
            <w:r>
              <w:t>Notes</w:t>
            </w:r>
          </w:p>
        </w:tc>
      </w:tr>
      <w:tr w:rsidR="00BF6EBD" w14:paraId="638001DC" w14:textId="77777777" w:rsidTr="00695A13">
        <w:trPr>
          <w:cnfStyle w:val="000000100000" w:firstRow="0" w:lastRow="0" w:firstColumn="0" w:lastColumn="0" w:oddVBand="0" w:evenVBand="0" w:oddHBand="1" w:evenHBand="0" w:firstRowFirstColumn="0" w:firstRowLastColumn="0" w:lastRowFirstColumn="0" w:lastRowLastColumn="0"/>
        </w:trPr>
        <w:tc>
          <w:tcPr>
            <w:tcW w:w="1531" w:type="dxa"/>
          </w:tcPr>
          <w:p w14:paraId="490602CB" w14:textId="77777777" w:rsidR="00BF6EBD" w:rsidRPr="00434CF6" w:rsidRDefault="00BF6EBD" w:rsidP="00695A13">
            <w:pPr>
              <w:pStyle w:val="TableBody"/>
            </w:pPr>
            <w:r>
              <w:t xml:space="preserve">Maximum TRP </w:t>
            </w:r>
            <w:r w:rsidRPr="00434CF6">
              <w:t>(in 100 MHz)</w:t>
            </w:r>
          </w:p>
        </w:tc>
        <w:tc>
          <w:tcPr>
            <w:tcW w:w="2268" w:type="dxa"/>
          </w:tcPr>
          <w:p w14:paraId="06A60895" w14:textId="77777777" w:rsidR="00BF6EBD" w:rsidRPr="00434CF6" w:rsidRDefault="009C479C" w:rsidP="00695A13">
            <w:pPr>
              <w:pStyle w:val="TableBody"/>
            </w:pP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1532" w:type="dxa"/>
          </w:tcPr>
          <w:p w14:paraId="2AA3DFA6" w14:textId="77777777" w:rsidR="00BF6EBD" w:rsidRPr="00434CF6" w:rsidRDefault="00BF6EBD" w:rsidP="00695A13">
            <w:pPr>
              <w:pStyle w:val="TableBody"/>
            </w:pPr>
            <w:r w:rsidRPr="00434CF6">
              <w:t>5</w:t>
            </w:r>
            <w:r>
              <w:t>7</w:t>
            </w:r>
            <w:r w:rsidRPr="00434CF6">
              <w:t xml:space="preserve"> dBm</w:t>
            </w:r>
          </w:p>
        </w:tc>
        <w:tc>
          <w:tcPr>
            <w:tcW w:w="2268" w:type="dxa"/>
          </w:tcPr>
          <w:p w14:paraId="6BC79A86" w14:textId="77777777" w:rsidR="00BF6EBD" w:rsidRPr="00434CF6" w:rsidRDefault="00BF6EBD" w:rsidP="00695A13">
            <w:pPr>
              <w:pStyle w:val="TableBody"/>
            </w:pPr>
            <w:r>
              <w:t>ACMA temporary, reviewable mitigation (ix) minus</w:t>
            </w:r>
            <w:r w:rsidRPr="00434CF6">
              <w:t xml:space="preserve"> </w:t>
            </w:r>
            <w:r>
              <w:t>ANFR</w:t>
            </w:r>
            <w:r w:rsidRPr="00434CF6">
              <w:t xml:space="preserve"> antenna gain of 2</w:t>
            </w:r>
            <w:r>
              <w:t>5</w:t>
            </w:r>
            <w:r w:rsidRPr="00434CF6">
              <w:t xml:space="preserve"> dBi.</w:t>
            </w:r>
          </w:p>
        </w:tc>
      </w:tr>
      <w:tr w:rsidR="00BF6EBD" w14:paraId="1CC8C981" w14:textId="77777777" w:rsidTr="00695A13">
        <w:trPr>
          <w:cnfStyle w:val="000000010000" w:firstRow="0" w:lastRow="0" w:firstColumn="0" w:lastColumn="0" w:oddVBand="0" w:evenVBand="0" w:oddHBand="0" w:evenHBand="1" w:firstRowFirstColumn="0" w:firstRowLastColumn="0" w:lastRowFirstColumn="0" w:lastRowLastColumn="0"/>
        </w:trPr>
        <w:tc>
          <w:tcPr>
            <w:tcW w:w="1531" w:type="dxa"/>
          </w:tcPr>
          <w:p w14:paraId="40D44670" w14:textId="77777777" w:rsidR="00BF6EBD" w:rsidRPr="00434CF6" w:rsidRDefault="00BF6EBD" w:rsidP="00695A13">
            <w:pPr>
              <w:pStyle w:val="TableBody"/>
            </w:pPr>
            <w:r>
              <w:t xml:space="preserve">Base station antenna </w:t>
            </w:r>
            <w:r w:rsidRPr="00434CF6">
              <w:t>gain</w:t>
            </w:r>
          </w:p>
        </w:tc>
        <w:tc>
          <w:tcPr>
            <w:tcW w:w="2268" w:type="dxa"/>
          </w:tcPr>
          <w:p w14:paraId="2A9F17A5" w14:textId="77777777" w:rsidR="00BF6EBD" w:rsidRPr="00434CF6" w:rsidRDefault="009C479C" w:rsidP="00695A13">
            <w:pPr>
              <w:pStyle w:val="TableBody"/>
            </w:pPr>
            <m:oMathPara>
              <m:oMath>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1532" w:type="dxa"/>
          </w:tcPr>
          <w:p w14:paraId="345AF06E" w14:textId="77777777" w:rsidR="00BF6EBD" w:rsidRPr="00434CF6" w:rsidRDefault="00BF6EBD" w:rsidP="00695A13">
            <w:pPr>
              <w:pStyle w:val="TableBody"/>
            </w:pPr>
            <w:r w:rsidRPr="00434CF6">
              <w:t>18 dBi</w:t>
            </w:r>
          </w:p>
        </w:tc>
        <w:tc>
          <w:tcPr>
            <w:tcW w:w="2268" w:type="dxa"/>
          </w:tcPr>
          <w:p w14:paraId="1FC67D7C" w14:textId="77777777" w:rsidR="00BF6EBD" w:rsidRPr="00434CF6" w:rsidRDefault="00BF6EBD" w:rsidP="00695A13">
            <w:pPr>
              <w:pStyle w:val="TableBody"/>
            </w:pPr>
            <w:r>
              <w:t>Maximum assumed gain of grating lobes for high elevation angles.</w:t>
            </w:r>
          </w:p>
        </w:tc>
      </w:tr>
      <w:tr w:rsidR="00BF6EBD" w14:paraId="146E5820" w14:textId="77777777" w:rsidTr="00695A13">
        <w:trPr>
          <w:cnfStyle w:val="000000100000" w:firstRow="0" w:lastRow="0" w:firstColumn="0" w:lastColumn="0" w:oddVBand="0" w:evenVBand="0" w:oddHBand="1" w:evenHBand="0" w:firstRowFirstColumn="0" w:firstRowLastColumn="0" w:lastRowFirstColumn="0" w:lastRowLastColumn="0"/>
        </w:trPr>
        <w:tc>
          <w:tcPr>
            <w:tcW w:w="1531" w:type="dxa"/>
          </w:tcPr>
          <w:p w14:paraId="5DE709F7" w14:textId="77777777" w:rsidR="00BF6EBD" w:rsidRPr="00434CF6" w:rsidRDefault="00BF6EBD" w:rsidP="00695A13">
            <w:pPr>
              <w:pStyle w:val="TableBody"/>
            </w:pPr>
            <w:r w:rsidRPr="00434CF6">
              <w:t>Radio altimeter</w:t>
            </w:r>
            <w:r>
              <w:t xml:space="preserve"> antenna </w:t>
            </w:r>
            <w:r w:rsidRPr="00434CF6">
              <w:t>gain</w:t>
            </w:r>
          </w:p>
        </w:tc>
        <w:tc>
          <w:tcPr>
            <w:tcW w:w="2268" w:type="dxa"/>
          </w:tcPr>
          <w:p w14:paraId="03763A1A" w14:textId="77777777" w:rsidR="00BF6EBD" w:rsidRPr="00434CF6" w:rsidRDefault="009C479C" w:rsidP="00695A13">
            <w:pPr>
              <w:pStyle w:val="TableBody"/>
            </w:pP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532" w:type="dxa"/>
          </w:tcPr>
          <w:p w14:paraId="699FA41A" w14:textId="77777777" w:rsidR="00BF6EBD" w:rsidRPr="00434CF6" w:rsidRDefault="00BF6EBD" w:rsidP="00695A13">
            <w:pPr>
              <w:pStyle w:val="TableBody"/>
            </w:pPr>
            <w:r w:rsidRPr="00434CF6">
              <w:t>0 dBi</w:t>
            </w:r>
          </w:p>
        </w:tc>
        <w:tc>
          <w:tcPr>
            <w:tcW w:w="2268" w:type="dxa"/>
          </w:tcPr>
          <w:p w14:paraId="2C675D2D" w14:textId="77777777" w:rsidR="00BF6EBD" w:rsidRPr="00434CF6" w:rsidRDefault="00BF6EBD" w:rsidP="00695A13">
            <w:pPr>
              <w:pStyle w:val="TableBody"/>
            </w:pPr>
            <w:r>
              <w:t>ANFR</w:t>
            </w:r>
            <w:r w:rsidRPr="00434CF6">
              <w:t xml:space="preserve"> study refers to RTCA report </w:t>
            </w:r>
            <w:r>
              <w:t xml:space="preserve">use of </w:t>
            </w:r>
            <w:r w:rsidRPr="00434CF6">
              <w:t>0 dBi.</w:t>
            </w:r>
          </w:p>
        </w:tc>
      </w:tr>
      <w:tr w:rsidR="00BF6EBD" w14:paraId="5D358EC3" w14:textId="77777777" w:rsidTr="00695A13">
        <w:trPr>
          <w:cnfStyle w:val="000000010000" w:firstRow="0" w:lastRow="0" w:firstColumn="0" w:lastColumn="0" w:oddVBand="0" w:evenVBand="0" w:oddHBand="0" w:evenHBand="1" w:firstRowFirstColumn="0" w:firstRowLastColumn="0" w:lastRowFirstColumn="0" w:lastRowLastColumn="0"/>
        </w:trPr>
        <w:tc>
          <w:tcPr>
            <w:tcW w:w="1531" w:type="dxa"/>
          </w:tcPr>
          <w:p w14:paraId="68376FC1" w14:textId="77777777" w:rsidR="00BF6EBD" w:rsidRPr="00434CF6" w:rsidRDefault="00BF6EBD" w:rsidP="00695A13">
            <w:pPr>
              <w:pStyle w:val="TableBody"/>
            </w:pPr>
            <w:r w:rsidRPr="00434CF6">
              <w:t>Margin</w:t>
            </w:r>
          </w:p>
        </w:tc>
        <w:tc>
          <w:tcPr>
            <w:tcW w:w="2268" w:type="dxa"/>
          </w:tcPr>
          <w:p w14:paraId="31C73ECB" w14:textId="77777777" w:rsidR="00BF6EBD" w:rsidRPr="00434CF6" w:rsidRDefault="00BF6EBD" w:rsidP="00695A13">
            <w:pPr>
              <w:pStyle w:val="TableBody"/>
            </w:pPr>
            <m:oMathPara>
              <m:oMath>
                <m:r>
                  <w:rPr>
                    <w:rFonts w:ascii="Cambria Math" w:hAnsi="Cambria Math"/>
                  </w:rPr>
                  <m:t>Margin</m:t>
                </m:r>
              </m:oMath>
            </m:oMathPara>
          </w:p>
        </w:tc>
        <w:tc>
          <w:tcPr>
            <w:tcW w:w="1532" w:type="dxa"/>
          </w:tcPr>
          <w:p w14:paraId="43C0B901" w14:textId="77777777" w:rsidR="00BF6EBD" w:rsidRPr="00434CF6" w:rsidRDefault="00BF6EBD" w:rsidP="00695A13">
            <w:pPr>
              <w:pStyle w:val="TableBody"/>
            </w:pPr>
            <w:r w:rsidRPr="00434CF6">
              <w:t>0 dB</w:t>
            </w:r>
          </w:p>
        </w:tc>
        <w:tc>
          <w:tcPr>
            <w:tcW w:w="2268" w:type="dxa"/>
          </w:tcPr>
          <w:p w14:paraId="53862B3C" w14:textId="77777777" w:rsidR="00BF6EBD" w:rsidRPr="00434CF6" w:rsidRDefault="00BF6EBD" w:rsidP="00695A13">
            <w:pPr>
              <w:pStyle w:val="TableBody"/>
            </w:pPr>
            <w:r w:rsidRPr="00434CF6">
              <w:t xml:space="preserve">None </w:t>
            </w:r>
            <w:r>
              <w:t xml:space="preserve">used by ANFR </w:t>
            </w:r>
            <w:r w:rsidRPr="00434CF6">
              <w:t>for restricted zone.</w:t>
            </w:r>
          </w:p>
        </w:tc>
      </w:tr>
      <w:tr w:rsidR="00BF6EBD" w14:paraId="0164A5DC" w14:textId="77777777" w:rsidTr="00695A13">
        <w:trPr>
          <w:cnfStyle w:val="000000100000" w:firstRow="0" w:lastRow="0" w:firstColumn="0" w:lastColumn="0" w:oddVBand="0" w:evenVBand="0" w:oddHBand="1" w:evenHBand="0" w:firstRowFirstColumn="0" w:firstRowLastColumn="0" w:lastRowFirstColumn="0" w:lastRowLastColumn="0"/>
        </w:trPr>
        <w:tc>
          <w:tcPr>
            <w:tcW w:w="1531" w:type="dxa"/>
          </w:tcPr>
          <w:p w14:paraId="6AB2B33E" w14:textId="77777777" w:rsidR="00BF6EBD" w:rsidRPr="00434CF6" w:rsidRDefault="00BF6EBD" w:rsidP="00695A13">
            <w:pPr>
              <w:pStyle w:val="TableBody"/>
            </w:pPr>
            <w:r w:rsidRPr="00434CF6">
              <w:t>ITM Threshold</w:t>
            </w:r>
            <w:r>
              <w:t xml:space="preserve"> (in 100 MHz)</w:t>
            </w:r>
          </w:p>
        </w:tc>
        <w:tc>
          <w:tcPr>
            <w:tcW w:w="2268" w:type="dxa"/>
          </w:tcPr>
          <w:p w14:paraId="64933AA5" w14:textId="77777777" w:rsidR="00BF6EBD" w:rsidRPr="00434CF6" w:rsidRDefault="009C479C" w:rsidP="00695A13">
            <w:pPr>
              <w:pStyle w:val="TableBody"/>
            </w:pP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532" w:type="dxa"/>
          </w:tcPr>
          <w:p w14:paraId="7F3DC612" w14:textId="77777777" w:rsidR="00BF6EBD" w:rsidRPr="00434CF6" w:rsidRDefault="00BF6EBD" w:rsidP="00695A13">
            <w:pPr>
              <w:pStyle w:val="TableBody"/>
            </w:pPr>
            <w:r w:rsidRPr="00434CF6">
              <w:t>-26 dB</w:t>
            </w:r>
            <w:r>
              <w:t>m</w:t>
            </w:r>
          </w:p>
        </w:tc>
        <w:tc>
          <w:tcPr>
            <w:tcW w:w="2268" w:type="dxa"/>
          </w:tcPr>
          <w:p w14:paraId="7FE4A396" w14:textId="77777777" w:rsidR="00BF6EBD" w:rsidRPr="00434CF6" w:rsidRDefault="00BF6EBD" w:rsidP="00695A13">
            <w:pPr>
              <w:pStyle w:val="TableBody"/>
            </w:pPr>
            <w:r w:rsidRPr="00434CF6">
              <w:t>RTCA -46 dBm/MHz at 1000 feet</w:t>
            </w:r>
            <w:r>
              <w:t xml:space="preserve"> UC</w:t>
            </w:r>
            <w:r w:rsidRPr="00434CF6">
              <w:t xml:space="preserve"> 1 3750 MHz.</w:t>
            </w:r>
          </w:p>
        </w:tc>
      </w:tr>
      <w:tr w:rsidR="00BF6EBD" w14:paraId="09CCA91A" w14:textId="77777777" w:rsidTr="00695A13">
        <w:trPr>
          <w:cnfStyle w:val="000000010000" w:firstRow="0" w:lastRow="0" w:firstColumn="0" w:lastColumn="0" w:oddVBand="0" w:evenVBand="0" w:oddHBand="0" w:evenHBand="1" w:firstRowFirstColumn="0" w:firstRowLastColumn="0" w:lastRowFirstColumn="0" w:lastRowLastColumn="0"/>
        </w:trPr>
        <w:tc>
          <w:tcPr>
            <w:tcW w:w="1531" w:type="dxa"/>
          </w:tcPr>
          <w:p w14:paraId="0D3B9FD9" w14:textId="77777777" w:rsidR="00BF6EBD" w:rsidRPr="00434CF6" w:rsidRDefault="00BF6EBD" w:rsidP="00695A13">
            <w:pPr>
              <w:pStyle w:val="TableBody"/>
            </w:pPr>
            <w:r w:rsidRPr="00434CF6">
              <w:t>Required Path Loss</w:t>
            </w:r>
          </w:p>
        </w:tc>
        <w:tc>
          <w:tcPr>
            <w:tcW w:w="2268" w:type="dxa"/>
          </w:tcPr>
          <w:p w14:paraId="437000C7" w14:textId="77777777" w:rsidR="00BF6EBD" w:rsidRDefault="00BF6EBD" w:rsidP="00695A13">
            <w:pPr>
              <w:pStyle w:val="TableBody"/>
            </w:pPr>
            <m:oMathPara>
              <m:oMath>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532" w:type="dxa"/>
          </w:tcPr>
          <w:p w14:paraId="3ADAB96F" w14:textId="77777777" w:rsidR="00BF6EBD" w:rsidRPr="00434CF6" w:rsidRDefault="00BF6EBD" w:rsidP="00695A13">
            <w:pPr>
              <w:pStyle w:val="TableBody"/>
            </w:pPr>
            <w:r>
              <w:t>101</w:t>
            </w:r>
            <w:r w:rsidRPr="00434CF6">
              <w:t xml:space="preserve"> dB</w:t>
            </w:r>
          </w:p>
        </w:tc>
        <w:tc>
          <w:tcPr>
            <w:tcW w:w="2268" w:type="dxa"/>
          </w:tcPr>
          <w:p w14:paraId="74089F1A" w14:textId="77777777" w:rsidR="00BF6EBD" w:rsidRPr="00434CF6" w:rsidRDefault="00BF6EBD" w:rsidP="00695A13">
            <w:pPr>
              <w:pStyle w:val="TableBody"/>
            </w:pPr>
            <w:r>
              <w:t>Free Space Path Loss Model</w:t>
            </w:r>
          </w:p>
        </w:tc>
      </w:tr>
      <w:tr w:rsidR="00BF6EBD" w14:paraId="1C57CE54" w14:textId="77777777" w:rsidTr="00695A13">
        <w:trPr>
          <w:cnfStyle w:val="000000100000" w:firstRow="0" w:lastRow="0" w:firstColumn="0" w:lastColumn="0" w:oddVBand="0" w:evenVBand="0" w:oddHBand="1" w:evenHBand="0" w:firstRowFirstColumn="0" w:firstRowLastColumn="0" w:lastRowFirstColumn="0" w:lastRowLastColumn="0"/>
        </w:trPr>
        <w:tc>
          <w:tcPr>
            <w:tcW w:w="1531" w:type="dxa"/>
          </w:tcPr>
          <w:p w14:paraId="0B7FF947" w14:textId="77777777" w:rsidR="00BF6EBD" w:rsidRPr="00434CF6" w:rsidRDefault="00BF6EBD" w:rsidP="00695A13">
            <w:pPr>
              <w:pStyle w:val="TableBody"/>
            </w:pPr>
            <w:r>
              <w:t>Equivalent distance to achieve path loss</w:t>
            </w:r>
          </w:p>
        </w:tc>
        <w:tc>
          <w:tcPr>
            <w:tcW w:w="2268" w:type="dxa"/>
          </w:tcPr>
          <w:p w14:paraId="478AE06D" w14:textId="77777777" w:rsidR="00BF6EBD" w:rsidRPr="008E3897" w:rsidRDefault="00BF6EBD" w:rsidP="00695A13">
            <w:pPr>
              <w:rPr>
                <w:iCs/>
              </w:rPr>
            </w:pPr>
            <m:oMathPara>
              <m:oMath>
                <m:r>
                  <w:rPr>
                    <w:rFonts w:ascii="Cambria Math" w:hAnsi="Cambria Math"/>
                  </w:rPr>
                  <m:t>Path Loss=32.4+20</m:t>
                </m:r>
                <m:func>
                  <m:funcPr>
                    <m:ctrlPr>
                      <w:rPr>
                        <w:rFonts w:ascii="Cambria Math" w:hAnsi="Cambria Math"/>
                        <w:i/>
                      </w:rPr>
                    </m:ctrlPr>
                  </m:funcPr>
                  <m:fName>
                    <m:r>
                      <m:rPr>
                        <m:sty m:val="p"/>
                      </m:rPr>
                      <w:rPr>
                        <w:rFonts w:ascii="Cambria Math" w:hAnsi="Cambria Math"/>
                      </w:rPr>
                      <m:t>log</m:t>
                    </m:r>
                  </m:fName>
                  <m:e>
                    <m:r>
                      <w:rPr>
                        <w:rFonts w:ascii="Cambria Math" w:hAnsi="Cambria Math"/>
                      </w:rPr>
                      <m:t>f</m:t>
                    </m:r>
                  </m:e>
                </m:func>
                <m:r>
                  <w:rPr>
                    <w:rFonts w:ascii="Cambria Math" w:hAnsi="Cambria Math"/>
                  </w:rPr>
                  <m:t>+20</m:t>
                </m:r>
                <m:func>
                  <m:funcPr>
                    <m:ctrlPr>
                      <w:rPr>
                        <w:rFonts w:ascii="Cambria Math" w:hAnsi="Cambria Math"/>
                        <w:i/>
                      </w:rPr>
                    </m:ctrlPr>
                  </m:funcPr>
                  <m:fName>
                    <m:r>
                      <m:rPr>
                        <m:sty m:val="p"/>
                      </m:rPr>
                      <w:rPr>
                        <w:rFonts w:ascii="Cambria Math" w:hAnsi="Cambria Math"/>
                      </w:rPr>
                      <m:t>log</m:t>
                    </m:r>
                  </m:fName>
                  <m:e>
                    <m:r>
                      <w:rPr>
                        <w:rFonts w:ascii="Cambria Math" w:hAnsi="Cambria Math"/>
                      </w:rPr>
                      <m:t>d</m:t>
                    </m:r>
                  </m:e>
                </m:func>
                <m:r>
                  <w:rPr>
                    <w:rFonts w:ascii="Cambria Math" w:hAnsi="Cambria Math"/>
                  </w:rPr>
                  <m:t xml:space="preserve">  </m:t>
                </m:r>
                <m:r>
                  <m:rPr>
                    <m:sty m:val="p"/>
                  </m:rPr>
                  <w:rPr>
                    <w:rFonts w:ascii="Cambria Math" w:hAnsi="Cambria Math"/>
                  </w:rPr>
                  <m:t xml:space="preserve">   dB</m:t>
                </m:r>
              </m:oMath>
            </m:oMathPara>
          </w:p>
          <w:p w14:paraId="35D081F3" w14:textId="77777777" w:rsidR="00BF6EBD" w:rsidRPr="008E3897" w:rsidRDefault="00BF6EBD" w:rsidP="00695A13">
            <m:oMathPara>
              <m:oMathParaPr>
                <m:jc m:val="center"/>
              </m:oMathParaPr>
              <m:oMath>
                <m:r>
                  <w:rPr>
                    <w:rFonts w:ascii="Cambria Math" w:hAnsi="Cambria Math"/>
                  </w:rPr>
                  <m:t>f:</m:t>
                </m:r>
                <m:r>
                  <m:rPr>
                    <m:sty m:val="p"/>
                  </m:rPr>
                  <w:rPr>
                    <w:rFonts w:ascii="Cambria Math" w:hAnsi="Cambria Math"/>
                  </w:rPr>
                  <m:t xml:space="preserve">frequency </m:t>
                </m:r>
                <m:d>
                  <m:dPr>
                    <m:ctrlPr>
                      <w:rPr>
                        <w:rFonts w:ascii="Cambria Math" w:hAnsi="Cambria Math"/>
                      </w:rPr>
                    </m:ctrlPr>
                  </m:dPr>
                  <m:e>
                    <m:r>
                      <m:rPr>
                        <m:sty m:val="p"/>
                      </m:rPr>
                      <w:rPr>
                        <w:rFonts w:ascii="Cambria Math" w:hAnsi="Cambria Math"/>
                      </w:rPr>
                      <m:t>MHz</m:t>
                    </m:r>
                  </m:e>
                </m:d>
              </m:oMath>
            </m:oMathPara>
          </w:p>
          <w:p w14:paraId="1B1624A4" w14:textId="77777777" w:rsidR="00BF6EBD" w:rsidRDefault="00BF6EBD" w:rsidP="00695A13">
            <w:pPr>
              <w:pStyle w:val="TableBody"/>
            </w:pPr>
            <m:oMathPara>
              <m:oMath>
                <m:r>
                  <w:rPr>
                    <w:rFonts w:ascii="Cambria Math" w:hAnsi="Cambria Math"/>
                  </w:rPr>
                  <m:t>d:</m:t>
                </m:r>
                <m:r>
                  <m:rPr>
                    <m:sty m:val="p"/>
                  </m:rPr>
                  <w:rPr>
                    <w:rFonts w:ascii="Cambria Math" w:hAnsi="Cambria Math"/>
                  </w:rPr>
                  <m:t>distance (km)</m:t>
                </m:r>
              </m:oMath>
            </m:oMathPara>
          </w:p>
        </w:tc>
        <w:tc>
          <w:tcPr>
            <w:tcW w:w="1532" w:type="dxa"/>
          </w:tcPr>
          <w:p w14:paraId="3B88677E" w14:textId="77777777" w:rsidR="00BF6EBD" w:rsidRDefault="00BF6EBD" w:rsidP="00695A13">
            <w:pPr>
              <w:pStyle w:val="TableBody"/>
            </w:pPr>
            <w:r>
              <w:t>717.7 m</w:t>
            </w:r>
          </w:p>
        </w:tc>
        <w:tc>
          <w:tcPr>
            <w:tcW w:w="2268" w:type="dxa"/>
          </w:tcPr>
          <w:p w14:paraId="7AF72449" w14:textId="77777777" w:rsidR="00BF6EBD" w:rsidRDefault="00BF6EBD" w:rsidP="00695A13">
            <w:pPr>
              <w:pStyle w:val="TableBody"/>
            </w:pPr>
            <w:r>
              <w:t>Setting the required path loss to path loss and solving for distance.</w:t>
            </w:r>
          </w:p>
          <w:p w14:paraId="76380AB7" w14:textId="77777777" w:rsidR="00BF6EBD" w:rsidRDefault="00BF6EBD" w:rsidP="00695A13">
            <w:pPr>
              <w:pStyle w:val="TableBody"/>
            </w:pPr>
          </w:p>
          <w:p w14:paraId="5EFFF49B" w14:textId="77777777" w:rsidR="00BF6EBD" w:rsidRDefault="00BF6EBD" w:rsidP="00695A13">
            <w:pPr>
              <w:pStyle w:val="TableBody"/>
            </w:pPr>
            <w:r w:rsidRPr="0001135F">
              <w:t>Recommendation ITU-R P.525-4</w:t>
            </w:r>
            <w:r>
              <w:t xml:space="preserve"> equation (4)</w:t>
            </w:r>
          </w:p>
        </w:tc>
      </w:tr>
      <w:tr w:rsidR="00BF6EBD" w14:paraId="7A27FE40" w14:textId="77777777" w:rsidTr="00695A13">
        <w:trPr>
          <w:cnfStyle w:val="000000010000" w:firstRow="0" w:lastRow="0" w:firstColumn="0" w:lastColumn="0" w:oddVBand="0" w:evenVBand="0" w:oddHBand="0" w:evenHBand="1" w:firstRowFirstColumn="0" w:firstRowLastColumn="0" w:lastRowFirstColumn="0" w:lastRowLastColumn="0"/>
        </w:trPr>
        <w:tc>
          <w:tcPr>
            <w:tcW w:w="1531" w:type="dxa"/>
          </w:tcPr>
          <w:p w14:paraId="6F933532" w14:textId="77777777" w:rsidR="00BF6EBD" w:rsidRDefault="00BF6EBD" w:rsidP="00695A13">
            <w:pPr>
              <w:pStyle w:val="TableBody"/>
            </w:pPr>
            <w:r>
              <w:t>Restricted zone half-width</w:t>
            </w:r>
          </w:p>
        </w:tc>
        <w:tc>
          <w:tcPr>
            <w:tcW w:w="2268" w:type="dxa"/>
          </w:tcPr>
          <w:p w14:paraId="7D6CA058" w14:textId="77777777" w:rsidR="00BF6EBD" w:rsidRDefault="00BF6EBD" w:rsidP="00695A13">
            <w:pPr>
              <w:pStyle w:val="TableBody"/>
            </w:pPr>
            <m:oMathPara>
              <m:oMath>
                <m:r>
                  <w:rPr>
                    <w:rFonts w:ascii="Cambria Math" w:hAnsi="Cambria Math"/>
                  </w:rPr>
                  <m:t>=d×</m:t>
                </m:r>
                <m:func>
                  <m:funcPr>
                    <m:ctrlPr>
                      <w:rPr>
                        <w:rFonts w:ascii="Cambria Math" w:hAnsi="Cambria Math"/>
                        <w:i/>
                      </w:rPr>
                    </m:ctrlPr>
                  </m:funcPr>
                  <m:fName>
                    <m:r>
                      <m:rPr>
                        <m:sty m:val="p"/>
                      </m:rPr>
                      <w:rPr>
                        <w:rFonts w:ascii="Cambria Math" w:hAnsi="Cambria Math"/>
                      </w:rPr>
                      <m:t>cos</m:t>
                    </m:r>
                  </m:fName>
                  <m:e>
                    <m:r>
                      <w:rPr>
                        <w:rFonts w:ascii="Cambria Math" w:hAnsi="Cambria Math"/>
                      </w:rPr>
                      <m:t>45°</m:t>
                    </m:r>
                  </m:e>
                </m:func>
              </m:oMath>
            </m:oMathPara>
          </w:p>
        </w:tc>
        <w:tc>
          <w:tcPr>
            <w:tcW w:w="1532" w:type="dxa"/>
          </w:tcPr>
          <w:p w14:paraId="4B504070" w14:textId="77777777" w:rsidR="00BF6EBD" w:rsidRDefault="00BF6EBD" w:rsidP="00695A13">
            <w:pPr>
              <w:pStyle w:val="TableBody"/>
            </w:pPr>
            <w:r>
              <w:t>507.5 m (Rounded up to 510 m)</w:t>
            </w:r>
          </w:p>
        </w:tc>
        <w:tc>
          <w:tcPr>
            <w:tcW w:w="2268" w:type="dxa"/>
          </w:tcPr>
          <w:p w14:paraId="60C4D4E3" w14:textId="77777777" w:rsidR="00BF6EBD" w:rsidRDefault="00BF6EBD" w:rsidP="00695A13">
            <w:pPr>
              <w:pStyle w:val="TableBody"/>
            </w:pPr>
            <w:r>
              <w:t>Path loss distance 45 degrees angle from the horizontal.</w:t>
            </w:r>
          </w:p>
        </w:tc>
      </w:tr>
    </w:tbl>
    <w:p w14:paraId="6B51CBC4" w14:textId="77777777" w:rsidR="00BF6EBD" w:rsidRPr="008C634A" w:rsidRDefault="00BF6EBD" w:rsidP="00BF6EBD">
      <w:pPr>
        <w:pStyle w:val="Spaceaftertable"/>
      </w:pPr>
    </w:p>
    <w:p w14:paraId="3C031B69" w14:textId="5696C4B7" w:rsidR="00BF6EBD" w:rsidRDefault="00BF6EBD" w:rsidP="00BF6EBD">
      <w:pPr>
        <w:pStyle w:val="Numberedparagraph"/>
      </w:pPr>
      <w:r>
        <w:t xml:space="preserve">Using the ACMA proposed EIRP limits, the size of the exclusion zone at 3750 MHz would be 2570 m from the end of the runway </w:t>
      </w:r>
      <w:r w:rsidR="00A44307">
        <w:t xml:space="preserve">(extension length) </w:t>
      </w:r>
      <w:r>
        <w:t xml:space="preserve">and a width of 1440 m from the centre line </w:t>
      </w:r>
      <w:r w:rsidR="00A44307">
        <w:t xml:space="preserve">(half-width) </w:t>
      </w:r>
      <w:r>
        <w:t>(rounded up from 2562 m and 1432 m). The size of the restricted zone would be 5630 m from the end of the exclusion zone and 510 m from the centre line (rounded up from 507 m).</w:t>
      </w:r>
    </w:p>
    <w:p w14:paraId="035462E9" w14:textId="77777777" w:rsidR="0007033D" w:rsidRPr="003A0124" w:rsidRDefault="0007033D" w:rsidP="0007033D">
      <w:pPr>
        <w:pStyle w:val="Heading4"/>
      </w:pPr>
      <w:r w:rsidRPr="003A0124">
        <w:t>Example power flux density limit in restricted zones</w:t>
      </w:r>
      <w:r w:rsidRPr="00107D1C">
        <w:t xml:space="preserve"> calculation</w:t>
      </w:r>
      <w:r w:rsidRPr="008D62BF">
        <w:t xml:space="preserve"> </w:t>
      </w:r>
      <w:r>
        <w:t>at 3750 MHz</w:t>
      </w:r>
    </w:p>
    <w:p w14:paraId="576339D8" w14:textId="53930372" w:rsidR="0007033D" w:rsidRDefault="0007033D" w:rsidP="0007033D">
      <w:pPr>
        <w:pStyle w:val="Numberedparagraph"/>
      </w:pPr>
      <w:r>
        <w:t xml:space="preserve">This example uses a base station operating at 3750 MHz with the Australian exclusion zone </w:t>
      </w:r>
      <w:r w:rsidR="007E7E71">
        <w:t xml:space="preserve">extension </w:t>
      </w:r>
      <w:r>
        <w:t xml:space="preserve">length in the previous example. </w:t>
      </w:r>
      <w:r w:rsidRPr="00B205AA">
        <w:t xml:space="preserve">Note that </w:t>
      </w:r>
      <w:r>
        <w:t>this</w:t>
      </w:r>
      <w:r w:rsidRPr="00B205AA">
        <w:t xml:space="preserve"> calculation uses the unrounded exclusion zone length (2562 m).</w:t>
      </w:r>
    </w:p>
    <w:p w14:paraId="14AEEBF7" w14:textId="63864CD2" w:rsidR="0007033D" w:rsidRDefault="0007033D" w:rsidP="0007033D">
      <w:pPr>
        <w:pStyle w:val="Numberedparagraph"/>
      </w:pPr>
      <w:r w:rsidRPr="00B205AA">
        <w:t>The altitude of the aircraft at the boundary between the exclusion and restricted zones is calculated via the French method (an aircraft approach angle of 3 degrees with 0.375 degree margin so 2.625 degrees worst case)</w:t>
      </w:r>
      <w:r w:rsidR="003D2BED">
        <w:t xml:space="preserve"> including a 200m </w:t>
      </w:r>
      <w:r w:rsidR="0033442B">
        <w:t>touchdown distance</w:t>
      </w:r>
      <w:r w:rsidRPr="00B205AA">
        <w:t xml:space="preserve">. </w:t>
      </w:r>
    </w:p>
    <w:p w14:paraId="159F1AB4" w14:textId="319AC013" w:rsidR="0007033D" w:rsidRDefault="0007033D" w:rsidP="0007033D">
      <w:pPr>
        <w:pStyle w:val="Numberedparagraph"/>
      </w:pPr>
      <w:r>
        <w:t xml:space="preserve">The height of the aircraft is </w:t>
      </w:r>
      <w:r w:rsidR="003D2BED">
        <w:t>126.6</w:t>
      </w:r>
      <w:r>
        <w:t xml:space="preserve"> metres (</w:t>
      </w:r>
      <w:r w:rsidR="003D2BED">
        <w:t>415</w:t>
      </w:r>
      <w:r>
        <w:t xml:space="preserve"> ft) at the exclusion/restricted zone boundary, which corresponds to an interpolated Power Spectral Density (PSD) of </w:t>
      </w:r>
      <w:r>
        <w:noBreakHyphen/>
        <w:t>4</w:t>
      </w:r>
      <w:r w:rsidR="003D2BED">
        <w:t>2</w:t>
      </w:r>
      <w:r>
        <w:t>.</w:t>
      </w:r>
      <w:r w:rsidR="003D2BED">
        <w:t>2</w:t>
      </w:r>
      <w:r>
        <w:t> dBm/MHz for the ITM in the RTCA report for UC 1 at a 3750 MHz centre frequency (RTCA Figure 9-1).</w:t>
      </w:r>
    </w:p>
    <w:p w14:paraId="13D0392B" w14:textId="027AC25C" w:rsidR="0007033D" w:rsidRDefault="0007033D" w:rsidP="0007033D">
      <w:pPr>
        <w:pStyle w:val="Numberedparagraph"/>
      </w:pPr>
      <w:r w:rsidRPr="00345F73">
        <w:t>A PFD limit value of -3</w:t>
      </w:r>
      <w:r w:rsidR="003D2BED">
        <w:t>9</w:t>
      </w:r>
      <w:r w:rsidRPr="00345F73">
        <w:t>.</w:t>
      </w:r>
      <w:r w:rsidR="003D2BED">
        <w:t>25</w:t>
      </w:r>
      <w:r w:rsidRPr="00345F73">
        <w:t xml:space="preserve"> dBW/m</w:t>
      </w:r>
      <w:r w:rsidRPr="008C634A">
        <w:rPr>
          <w:vertAlign w:val="superscript"/>
        </w:rPr>
        <w:t>2</w:t>
      </w:r>
      <w:r w:rsidRPr="00345F73">
        <w:t>/MHz at a height 1</w:t>
      </w:r>
      <w:r w:rsidR="003D2BED">
        <w:t>26</w:t>
      </w:r>
      <w:r w:rsidRPr="00345F73">
        <w:t>.</w:t>
      </w:r>
      <w:r w:rsidR="003D2BED">
        <w:t>6</w:t>
      </w:r>
      <w:r w:rsidRPr="00345F73">
        <w:t xml:space="preserve"> metres above ground is calculated for the ACMA proposed case at 3750 MHz.</w:t>
      </w:r>
    </w:p>
    <w:p w14:paraId="362DEEEE" w14:textId="77777777" w:rsidR="0007033D" w:rsidRDefault="0007033D" w:rsidP="0007033D">
      <w:pPr>
        <w:pStyle w:val="Tableheading"/>
      </w:pPr>
      <w:r>
        <w:t>Calculation example for power flux density limit (3750 MHz)</w:t>
      </w:r>
    </w:p>
    <w:tbl>
      <w:tblPr>
        <w:tblStyle w:val="ACMAtablestyle"/>
        <w:tblW w:w="5107" w:type="dxa"/>
        <w:jc w:val="center"/>
        <w:tblLook w:val="04A0" w:firstRow="1" w:lastRow="0" w:firstColumn="1" w:lastColumn="0" w:noHBand="0" w:noVBand="1"/>
      </w:tblPr>
      <w:tblGrid>
        <w:gridCol w:w="2324"/>
        <w:gridCol w:w="2783"/>
      </w:tblGrid>
      <w:tr w:rsidR="0007033D" w14:paraId="3AF01E75" w14:textId="77777777" w:rsidTr="00952813">
        <w:trPr>
          <w:cnfStyle w:val="100000000000" w:firstRow="1" w:lastRow="0" w:firstColumn="0" w:lastColumn="0" w:oddVBand="0" w:evenVBand="0" w:oddHBand="0" w:evenHBand="0" w:firstRowFirstColumn="0" w:firstRowLastColumn="0" w:lastRowFirstColumn="0" w:lastRowLastColumn="0"/>
          <w:jc w:val="center"/>
        </w:trPr>
        <w:tc>
          <w:tcPr>
            <w:tcW w:w="0" w:type="dxa"/>
          </w:tcPr>
          <w:p w14:paraId="1B33DECE" w14:textId="77777777" w:rsidR="0007033D" w:rsidRDefault="0007033D" w:rsidP="00695A13">
            <w:pPr>
              <w:pStyle w:val="Tableheaderrow"/>
            </w:pPr>
            <w:r>
              <w:t>Parameter</w:t>
            </w:r>
          </w:p>
        </w:tc>
        <w:tc>
          <w:tcPr>
            <w:tcW w:w="0" w:type="dxa"/>
          </w:tcPr>
          <w:p w14:paraId="2FF73D1C" w14:textId="77777777" w:rsidR="0007033D" w:rsidRDefault="0007033D" w:rsidP="00695A13">
            <w:pPr>
              <w:pStyle w:val="Tableheaderrow"/>
            </w:pPr>
            <w:r>
              <w:t>Value</w:t>
            </w:r>
          </w:p>
        </w:tc>
      </w:tr>
      <w:tr w:rsidR="0007033D" w14:paraId="1B074FA1" w14:textId="77777777" w:rsidTr="00952813">
        <w:trPr>
          <w:cnfStyle w:val="000000100000" w:firstRow="0" w:lastRow="0" w:firstColumn="0" w:lastColumn="0" w:oddVBand="0" w:evenVBand="0" w:oddHBand="1" w:evenHBand="0" w:firstRowFirstColumn="0" w:firstRowLastColumn="0" w:lastRowFirstColumn="0" w:lastRowLastColumn="0"/>
          <w:jc w:val="center"/>
        </w:trPr>
        <w:tc>
          <w:tcPr>
            <w:tcW w:w="0" w:type="dxa"/>
          </w:tcPr>
          <w:p w14:paraId="28CD4CB1" w14:textId="12789AC1" w:rsidR="0007033D" w:rsidRDefault="003D2BED" w:rsidP="00695A13">
            <w:pPr>
              <w:pStyle w:val="TableBody"/>
            </w:pPr>
            <w:r>
              <w:t>Distance from aircraft landing point to boundary between exclusion and restricted zones</w:t>
            </w:r>
          </w:p>
        </w:tc>
        <w:tc>
          <w:tcPr>
            <w:tcW w:w="0" w:type="dxa"/>
          </w:tcPr>
          <w:p w14:paraId="6703E223" w14:textId="18547BBD" w:rsidR="0007033D" w:rsidRDefault="0007033D" w:rsidP="00695A13">
            <w:pPr>
              <w:pStyle w:val="TableBody"/>
            </w:pPr>
            <w:r>
              <w:t>2562 metres</w:t>
            </w:r>
            <w:r w:rsidR="003D2BED">
              <w:t xml:space="preserve"> + 200 metres</w:t>
            </w:r>
          </w:p>
        </w:tc>
      </w:tr>
      <w:tr w:rsidR="0007033D" w14:paraId="4F83B70C" w14:textId="77777777" w:rsidTr="00952813">
        <w:trPr>
          <w:cnfStyle w:val="000000010000" w:firstRow="0" w:lastRow="0" w:firstColumn="0" w:lastColumn="0" w:oddVBand="0" w:evenVBand="0" w:oddHBand="0" w:evenHBand="1" w:firstRowFirstColumn="0" w:firstRowLastColumn="0" w:lastRowFirstColumn="0" w:lastRowLastColumn="0"/>
          <w:jc w:val="center"/>
        </w:trPr>
        <w:tc>
          <w:tcPr>
            <w:tcW w:w="0" w:type="dxa"/>
          </w:tcPr>
          <w:p w14:paraId="02869115" w14:textId="77777777" w:rsidR="0007033D" w:rsidRDefault="0007033D" w:rsidP="00695A13">
            <w:pPr>
              <w:pStyle w:val="TableBody"/>
            </w:pPr>
            <w:r>
              <w:t>Aircraft height at boundary/ Power flux density limit restriction height</w:t>
            </w:r>
          </w:p>
        </w:tc>
        <w:tc>
          <w:tcPr>
            <w:tcW w:w="0" w:type="dxa"/>
          </w:tcPr>
          <w:p w14:paraId="7F7891F1" w14:textId="21F5B329" w:rsidR="0007033D" w:rsidRDefault="003D2BED" w:rsidP="00695A13">
            <w:pPr>
              <w:pStyle w:val="TableBody"/>
            </w:pPr>
            <w:r>
              <w:t>126.6</w:t>
            </w:r>
            <w:r w:rsidR="0007033D">
              <w:t xml:space="preserve"> metres (</w:t>
            </w:r>
            <w:r>
              <w:t>415</w:t>
            </w:r>
            <w:r w:rsidR="0007033D">
              <w:t xml:space="preserve"> ft)</w:t>
            </w:r>
          </w:p>
        </w:tc>
      </w:tr>
      <w:tr w:rsidR="0007033D" w14:paraId="4C8AFA5E" w14:textId="77777777" w:rsidTr="00952813">
        <w:trPr>
          <w:cnfStyle w:val="000000100000" w:firstRow="0" w:lastRow="0" w:firstColumn="0" w:lastColumn="0" w:oddVBand="0" w:evenVBand="0" w:oddHBand="1" w:evenHBand="0" w:firstRowFirstColumn="0" w:firstRowLastColumn="0" w:lastRowFirstColumn="0" w:lastRowLastColumn="0"/>
          <w:jc w:val="center"/>
        </w:trPr>
        <w:tc>
          <w:tcPr>
            <w:tcW w:w="0" w:type="dxa"/>
          </w:tcPr>
          <w:p w14:paraId="0B1238E1" w14:textId="77777777" w:rsidR="0007033D" w:rsidRPr="00D13C5A" w:rsidRDefault="0007033D" w:rsidP="00695A13">
            <w:pPr>
              <w:pStyle w:val="Paragraph"/>
              <w:rPr>
                <w:bCs/>
              </w:rPr>
            </w:pPr>
            <w:r>
              <w:rPr>
                <w:bCs/>
              </w:rPr>
              <w:t xml:space="preserve">Effective aperture of the receiver antenna </w:t>
            </w:r>
            <m:oMath>
              <m:sSub>
                <m:sSubPr>
                  <m:ctrlPr>
                    <w:rPr>
                      <w:rFonts w:ascii="Cambria Math" w:hAnsi="Cambria Math"/>
                      <w:bCs/>
                      <w:i/>
                    </w:rPr>
                  </m:ctrlPr>
                </m:sSubPr>
                <m:e>
                  <m:r>
                    <w:rPr>
                      <w:rFonts w:ascii="Cambria Math" w:hAnsi="Cambria Math"/>
                    </w:rPr>
                    <m:t>A</m:t>
                  </m:r>
                </m:e>
                <m:sub>
                  <m:r>
                    <w:rPr>
                      <w:rFonts w:ascii="Cambria Math" w:hAnsi="Cambria Math"/>
                    </w:rPr>
                    <m:t>r</m:t>
                  </m:r>
                </m:sub>
              </m:sSub>
            </m:oMath>
          </w:p>
        </w:tc>
        <w:tc>
          <w:tcPr>
            <w:tcW w:w="0" w:type="dxa"/>
          </w:tcPr>
          <w:p w14:paraId="551CCA55" w14:textId="77777777" w:rsidR="0007033D" w:rsidRPr="00D13C5A" w:rsidRDefault="0007033D" w:rsidP="00695A13">
            <w:pPr>
              <w:pStyle w:val="TableBody"/>
              <w:rPr>
                <w:vertAlign w:val="superscript"/>
              </w:rPr>
            </w:pPr>
            <w:r>
              <w:t>5.09 x 10</w:t>
            </w:r>
            <w:r>
              <w:rPr>
                <w:vertAlign w:val="superscript"/>
              </w:rPr>
              <w:t>-4</w:t>
            </w:r>
            <w:r>
              <w:t xml:space="preserve"> m</w:t>
            </w:r>
            <w:r>
              <w:rPr>
                <w:vertAlign w:val="superscript"/>
              </w:rPr>
              <w:t>2</w:t>
            </w:r>
          </w:p>
        </w:tc>
      </w:tr>
      <w:tr w:rsidR="0007033D" w14:paraId="4F6ABBA7" w14:textId="77777777" w:rsidTr="00952813">
        <w:trPr>
          <w:cnfStyle w:val="000000010000" w:firstRow="0" w:lastRow="0" w:firstColumn="0" w:lastColumn="0" w:oddVBand="0" w:evenVBand="0" w:oddHBand="0" w:evenHBand="1" w:firstRowFirstColumn="0" w:firstRowLastColumn="0" w:lastRowFirstColumn="0" w:lastRowLastColumn="0"/>
          <w:jc w:val="center"/>
        </w:trPr>
        <w:tc>
          <w:tcPr>
            <w:tcW w:w="0" w:type="dxa"/>
          </w:tcPr>
          <w:p w14:paraId="0AB3B9AD" w14:textId="77777777" w:rsidR="0007033D" w:rsidRDefault="0007033D" w:rsidP="00695A13">
            <w:pPr>
              <w:pStyle w:val="TableBody"/>
            </w:pPr>
            <w:r>
              <w:t xml:space="preserve">ITM threshold value </w:t>
            </w:r>
            <m:oMath>
              <m:r>
                <w:rPr>
                  <w:rFonts w:ascii="Cambria Math" w:hAnsi="Cambria Math"/>
                </w:rPr>
                <m:t>PSD</m:t>
              </m:r>
            </m:oMath>
          </w:p>
        </w:tc>
        <w:tc>
          <w:tcPr>
            <w:tcW w:w="0" w:type="dxa"/>
          </w:tcPr>
          <w:p w14:paraId="2BE6C6F0" w14:textId="7C7FD3C5" w:rsidR="0007033D" w:rsidRDefault="0007033D" w:rsidP="00695A13">
            <w:pPr>
              <w:pStyle w:val="TableBody"/>
            </w:pPr>
            <w:r>
              <w:t>-4</w:t>
            </w:r>
            <w:r w:rsidR="003D2BED">
              <w:t>2</w:t>
            </w:r>
            <w:r>
              <w:t>.</w:t>
            </w:r>
            <w:r w:rsidR="003D2BED">
              <w:t>18</w:t>
            </w:r>
            <w:r>
              <w:t xml:space="preserve"> dBm/MHz</w:t>
            </w:r>
          </w:p>
        </w:tc>
      </w:tr>
      <w:tr w:rsidR="0007033D" w14:paraId="7ADB559C" w14:textId="77777777" w:rsidTr="00952813">
        <w:trPr>
          <w:cnfStyle w:val="000000100000" w:firstRow="0" w:lastRow="0" w:firstColumn="0" w:lastColumn="0" w:oddVBand="0" w:evenVBand="0" w:oddHBand="1" w:evenHBand="0" w:firstRowFirstColumn="0" w:firstRowLastColumn="0" w:lastRowFirstColumn="0" w:lastRowLastColumn="0"/>
          <w:jc w:val="center"/>
        </w:trPr>
        <w:tc>
          <w:tcPr>
            <w:tcW w:w="0" w:type="dxa"/>
          </w:tcPr>
          <w:p w14:paraId="4CADE709" w14:textId="77777777" w:rsidR="0007033D" w:rsidRDefault="0007033D" w:rsidP="00695A13">
            <w:pPr>
              <w:pStyle w:val="TableBody"/>
            </w:pPr>
            <w:r>
              <w:t xml:space="preserve">Centre frequency </w:t>
            </w:r>
            <m:oMath>
              <m:r>
                <w:rPr>
                  <w:rFonts w:ascii="Cambria Math" w:hAnsi="Cambria Math"/>
                </w:rPr>
                <m:t>f</m:t>
              </m:r>
            </m:oMath>
          </w:p>
        </w:tc>
        <w:tc>
          <w:tcPr>
            <w:tcW w:w="0" w:type="dxa"/>
          </w:tcPr>
          <w:p w14:paraId="4685174A" w14:textId="77777777" w:rsidR="0007033D" w:rsidRDefault="0007033D" w:rsidP="00695A13">
            <w:pPr>
              <w:pStyle w:val="TableBody"/>
            </w:pPr>
            <w:r>
              <w:t>3750 MHz</w:t>
            </w:r>
          </w:p>
        </w:tc>
      </w:tr>
      <w:tr w:rsidR="0007033D" w14:paraId="587858B8" w14:textId="77777777" w:rsidTr="00952813">
        <w:trPr>
          <w:cnfStyle w:val="000000010000" w:firstRow="0" w:lastRow="0" w:firstColumn="0" w:lastColumn="0" w:oddVBand="0" w:evenVBand="0" w:oddHBand="0" w:evenHBand="1" w:firstRowFirstColumn="0" w:firstRowLastColumn="0" w:lastRowFirstColumn="0" w:lastRowLastColumn="0"/>
          <w:jc w:val="center"/>
        </w:trPr>
        <w:tc>
          <w:tcPr>
            <w:tcW w:w="0" w:type="dxa"/>
          </w:tcPr>
          <w:p w14:paraId="4B7038CF" w14:textId="77777777" w:rsidR="0007033D" w:rsidRDefault="0007033D" w:rsidP="00695A13">
            <w:pPr>
              <w:pStyle w:val="TableBody"/>
            </w:pPr>
            <w:r>
              <w:t>Power flux density limit</w:t>
            </w:r>
          </w:p>
        </w:tc>
        <w:tc>
          <w:tcPr>
            <w:tcW w:w="0" w:type="dxa"/>
          </w:tcPr>
          <w:p w14:paraId="2B402FD9" w14:textId="75C4757B" w:rsidR="0007033D" w:rsidRPr="00D84640" w:rsidRDefault="0007033D" w:rsidP="00695A13">
            <w:pPr>
              <w:pStyle w:val="TableBody"/>
            </w:pPr>
            <w:r w:rsidRPr="00D84640">
              <w:t>-3</w:t>
            </w:r>
            <w:r w:rsidR="003D2BED">
              <w:t>9</w:t>
            </w:r>
            <w:r w:rsidRPr="00D84640">
              <w:t>.</w:t>
            </w:r>
            <w:r w:rsidR="003D2BED">
              <w:t>25</w:t>
            </w:r>
            <w:r w:rsidRPr="00D84640">
              <w:t xml:space="preserve"> dBW/m</w:t>
            </w:r>
            <w:r w:rsidRPr="00D84640">
              <w:rPr>
                <w:vertAlign w:val="superscript"/>
              </w:rPr>
              <w:t>2</w:t>
            </w:r>
            <w:r>
              <w:t>/MHz</w:t>
            </w:r>
          </w:p>
        </w:tc>
      </w:tr>
    </w:tbl>
    <w:p w14:paraId="1BF07039" w14:textId="77777777" w:rsidR="0007033D" w:rsidRDefault="0007033D" w:rsidP="0007033D">
      <w:pPr>
        <w:pStyle w:val="Spaceaftertable"/>
      </w:pPr>
    </w:p>
    <w:p w14:paraId="720E0B54" w14:textId="77777777" w:rsidR="0007033D" w:rsidRDefault="0007033D" w:rsidP="0007033D">
      <w:pPr>
        <w:pStyle w:val="Heading3"/>
      </w:pPr>
      <w:r>
        <w:t>Australian operating frequencies</w:t>
      </w:r>
    </w:p>
    <w:p w14:paraId="1FD58071" w14:textId="0FF5F65B" w:rsidR="0007033D" w:rsidRDefault="0007033D" w:rsidP="0007033D">
      <w:pPr>
        <w:pStyle w:val="Numberedparagraph"/>
      </w:pPr>
      <w:r w:rsidRPr="00345F73">
        <w:t xml:space="preserve">The </w:t>
      </w:r>
      <w:r>
        <w:t>methodology</w:t>
      </w:r>
      <w:r w:rsidRPr="00345F73">
        <w:t xml:space="preserve"> in</w:t>
      </w:r>
      <w:r>
        <w:t xml:space="preserve"> the</w:t>
      </w:r>
      <w:r w:rsidRPr="00345F73">
        <w:t xml:space="preserve"> </w:t>
      </w:r>
      <w:r>
        <w:t xml:space="preserve">preceding </w:t>
      </w:r>
      <w:r w:rsidRPr="00345F73">
        <w:t xml:space="preserve">sections </w:t>
      </w:r>
      <w:r>
        <w:t xml:space="preserve">uses </w:t>
      </w:r>
      <w:r w:rsidRPr="00345F73">
        <w:t xml:space="preserve">a specific ITM </w:t>
      </w:r>
      <w:r>
        <w:t xml:space="preserve">value </w:t>
      </w:r>
      <w:r w:rsidRPr="00345F73">
        <w:t xml:space="preserve">for a </w:t>
      </w:r>
      <w:r>
        <w:t xml:space="preserve">WBB </w:t>
      </w:r>
      <w:r w:rsidRPr="00345F73">
        <w:t>base station operating at 3750 MHz</w:t>
      </w:r>
      <w:r w:rsidR="007B200D">
        <w:t xml:space="preserve">, </w:t>
      </w:r>
      <w:r w:rsidR="00810031">
        <w:t>to allow</w:t>
      </w:r>
      <w:r w:rsidR="007B200D">
        <w:t xml:space="preserve"> for close comparison with French and Canadian examples</w:t>
      </w:r>
      <w:r>
        <w:t>. For base stations operating at other frequencies the ITM values will require interpolation</w:t>
      </w:r>
      <w:r w:rsidR="00952813">
        <w:t>,</w:t>
      </w:r>
      <w:r>
        <w:t xml:space="preserve"> up to 4000 MHz</w:t>
      </w:r>
      <w:r w:rsidR="00952813">
        <w:t>,</w:t>
      </w:r>
      <w:r>
        <w:t xml:space="preserve"> </w:t>
      </w:r>
      <w:r w:rsidR="00952813">
        <w:t>so</w:t>
      </w:r>
      <w:r>
        <w:t xml:space="preserve"> mitigations appropriately reflect the operating frequency of the base station.</w:t>
      </w:r>
    </w:p>
    <w:p w14:paraId="5CAD2A51" w14:textId="69F8CDEF" w:rsidR="0007033D" w:rsidRDefault="0007033D" w:rsidP="0007033D">
      <w:pPr>
        <w:pStyle w:val="Numberedparagraph"/>
      </w:pPr>
      <w:r>
        <w:t>Changing the</w:t>
      </w:r>
      <w:r w:rsidRPr="00345F73">
        <w:t xml:space="preserve"> </w:t>
      </w:r>
      <w:r>
        <w:t xml:space="preserve">operating </w:t>
      </w:r>
      <w:r w:rsidRPr="00345F73">
        <w:t>frequency alters</w:t>
      </w:r>
      <w:r>
        <w:t xml:space="preserve"> both the ITM protection value and</w:t>
      </w:r>
      <w:r w:rsidRPr="00345F73">
        <w:t xml:space="preserve"> the path loss calculation</w:t>
      </w:r>
      <w:r>
        <w:t>s</w:t>
      </w:r>
      <w:r w:rsidRPr="00345F73">
        <w:t>. The zone dimensions</w:t>
      </w:r>
      <w:r>
        <w:t xml:space="preserve"> and restricted zone PFD value</w:t>
      </w:r>
      <w:r w:rsidRPr="00345F73">
        <w:t xml:space="preserve"> therefore change with the</w:t>
      </w:r>
      <w:r>
        <w:t xml:space="preserve"> operating frequency of the base station.</w:t>
      </w:r>
      <w:r w:rsidRPr="00282BDC">
        <w:t xml:space="preserve"> </w:t>
      </w:r>
      <w:r w:rsidRPr="00345F73">
        <w:t xml:space="preserve">The </w:t>
      </w:r>
      <w:r w:rsidR="00810031">
        <w:t>PFD</w:t>
      </w:r>
      <w:r w:rsidRPr="00345F73">
        <w:t xml:space="preserve"> limits are</w:t>
      </w:r>
      <w:r>
        <w:t xml:space="preserve"> also</w:t>
      </w:r>
      <w:r w:rsidRPr="00345F73">
        <w:t xml:space="preserve"> directly dependent on the ITM value at the operating frequency.</w:t>
      </w:r>
    </w:p>
    <w:p w14:paraId="7A3D5943" w14:textId="7AB84D1E" w:rsidR="0007033D" w:rsidRPr="00345F73" w:rsidRDefault="007B200D" w:rsidP="0007033D">
      <w:pPr>
        <w:pStyle w:val="Numberedparagraph"/>
      </w:pPr>
      <w:r>
        <w:t xml:space="preserve">The </w:t>
      </w:r>
      <w:r w:rsidR="00810031">
        <w:t>PFD</w:t>
      </w:r>
      <w:r w:rsidR="0007033D" w:rsidRPr="00345F73">
        <w:t xml:space="preserve"> limit </w:t>
      </w:r>
      <w:r w:rsidR="0007033D">
        <w:t>is</w:t>
      </w:r>
      <w:r w:rsidR="0007033D" w:rsidRPr="00345F73">
        <w:t xml:space="preserve"> calculated </w:t>
      </w:r>
      <w:r>
        <w:t>using</w:t>
      </w:r>
      <w:r w:rsidR="0007033D" w:rsidRPr="00345F73">
        <w:t xml:space="preserve"> the altitude of the aircraft at the exclusion zone boundary</w:t>
      </w:r>
      <w:r>
        <w:t>. A</w:t>
      </w:r>
      <w:r w:rsidR="0007033D" w:rsidRPr="00345F73">
        <w:t>s a result</w:t>
      </w:r>
      <w:r>
        <w:t>,</w:t>
      </w:r>
      <w:r w:rsidR="0007033D" w:rsidRPr="00345F73">
        <w:t xml:space="preserve"> </w:t>
      </w:r>
      <w:r w:rsidR="0007033D">
        <w:t>it is</w:t>
      </w:r>
      <w:r w:rsidR="0007033D" w:rsidRPr="00345F73">
        <w:t xml:space="preserve"> dependent on the frequency of operation as it affects the zone sizes and therefore at what altitude the aircraft crosses the boundary (which changes </w:t>
      </w:r>
      <w:r w:rsidR="00810031">
        <w:t>the</w:t>
      </w:r>
      <w:r w:rsidR="0007033D" w:rsidRPr="00345F73">
        <w:t xml:space="preserve"> free space loss calculations).</w:t>
      </w:r>
    </w:p>
    <w:p w14:paraId="1E965880" w14:textId="77777777" w:rsidR="0007033D" w:rsidRDefault="0007033D" w:rsidP="0007033D">
      <w:pPr>
        <w:pStyle w:val="ACMATableHeader"/>
      </w:pPr>
      <w:r>
        <w:t>Summary of the mitigation calculations and their dependencies on frequency</w:t>
      </w:r>
    </w:p>
    <w:tbl>
      <w:tblPr>
        <w:tblStyle w:val="ACMAtablestyle"/>
        <w:tblW w:w="0" w:type="auto"/>
        <w:tblLook w:val="04A0" w:firstRow="1" w:lastRow="0" w:firstColumn="1" w:lastColumn="0" w:noHBand="0" w:noVBand="1"/>
      </w:tblPr>
      <w:tblGrid>
        <w:gridCol w:w="1696"/>
        <w:gridCol w:w="2977"/>
        <w:gridCol w:w="2988"/>
      </w:tblGrid>
      <w:tr w:rsidR="0007033D" w14:paraId="6CA677B1" w14:textId="77777777" w:rsidTr="00695A13">
        <w:trPr>
          <w:cnfStyle w:val="100000000000" w:firstRow="1" w:lastRow="0" w:firstColumn="0" w:lastColumn="0" w:oddVBand="0" w:evenVBand="0" w:oddHBand="0" w:evenHBand="0" w:firstRowFirstColumn="0" w:firstRowLastColumn="0" w:lastRowFirstColumn="0" w:lastRowLastColumn="0"/>
        </w:trPr>
        <w:tc>
          <w:tcPr>
            <w:tcW w:w="1696" w:type="dxa"/>
          </w:tcPr>
          <w:p w14:paraId="08CDF567" w14:textId="77777777" w:rsidR="0007033D" w:rsidRDefault="0007033D" w:rsidP="00695A13">
            <w:pPr>
              <w:pStyle w:val="Tableheaderrow"/>
            </w:pPr>
            <w:r>
              <w:t>Mitigation</w:t>
            </w:r>
          </w:p>
        </w:tc>
        <w:tc>
          <w:tcPr>
            <w:tcW w:w="2977" w:type="dxa"/>
          </w:tcPr>
          <w:p w14:paraId="604C2E28" w14:textId="77777777" w:rsidR="0007033D" w:rsidRDefault="0007033D" w:rsidP="00695A13">
            <w:pPr>
              <w:pStyle w:val="Tableheaderrow"/>
            </w:pPr>
            <w:r>
              <w:t>ITM value</w:t>
            </w:r>
          </w:p>
        </w:tc>
        <w:tc>
          <w:tcPr>
            <w:tcW w:w="2988" w:type="dxa"/>
          </w:tcPr>
          <w:p w14:paraId="6593A825" w14:textId="77777777" w:rsidR="0007033D" w:rsidRDefault="0007033D" w:rsidP="00695A13">
            <w:pPr>
              <w:pStyle w:val="Tableheaderrow"/>
            </w:pPr>
            <w:r>
              <w:t>Path Loss calculation</w:t>
            </w:r>
          </w:p>
        </w:tc>
      </w:tr>
      <w:tr w:rsidR="0007033D" w14:paraId="5EC6D8A9" w14:textId="77777777" w:rsidTr="00695A13">
        <w:trPr>
          <w:cnfStyle w:val="000000100000" w:firstRow="0" w:lastRow="0" w:firstColumn="0" w:lastColumn="0" w:oddVBand="0" w:evenVBand="0" w:oddHBand="1" w:evenHBand="0" w:firstRowFirstColumn="0" w:firstRowLastColumn="0" w:lastRowFirstColumn="0" w:lastRowLastColumn="0"/>
        </w:trPr>
        <w:tc>
          <w:tcPr>
            <w:tcW w:w="1696" w:type="dxa"/>
          </w:tcPr>
          <w:p w14:paraId="494AC2DA" w14:textId="77777777" w:rsidR="0007033D" w:rsidRDefault="0007033D" w:rsidP="00695A13">
            <w:pPr>
              <w:pStyle w:val="TableBody"/>
            </w:pPr>
            <w:r>
              <w:t>Exclusion zone dimensions</w:t>
            </w:r>
          </w:p>
        </w:tc>
        <w:tc>
          <w:tcPr>
            <w:tcW w:w="2977" w:type="dxa"/>
          </w:tcPr>
          <w:p w14:paraId="54220148" w14:textId="77777777" w:rsidR="0007033D" w:rsidRDefault="0007033D" w:rsidP="00695A13">
            <w:pPr>
              <w:pStyle w:val="TableBody"/>
            </w:pPr>
            <w:r>
              <w:t>Changes with frequency</w:t>
            </w:r>
          </w:p>
        </w:tc>
        <w:tc>
          <w:tcPr>
            <w:tcW w:w="2988" w:type="dxa"/>
          </w:tcPr>
          <w:p w14:paraId="37980A10" w14:textId="77777777" w:rsidR="0007033D" w:rsidRDefault="0007033D" w:rsidP="00695A13">
            <w:pPr>
              <w:pStyle w:val="TableBody"/>
            </w:pPr>
            <w:r>
              <w:t>Changes with frequency</w:t>
            </w:r>
          </w:p>
        </w:tc>
      </w:tr>
      <w:tr w:rsidR="0007033D" w14:paraId="1A77C4C3" w14:textId="77777777" w:rsidTr="00695A13">
        <w:trPr>
          <w:cnfStyle w:val="000000010000" w:firstRow="0" w:lastRow="0" w:firstColumn="0" w:lastColumn="0" w:oddVBand="0" w:evenVBand="0" w:oddHBand="0" w:evenHBand="1" w:firstRowFirstColumn="0" w:firstRowLastColumn="0" w:lastRowFirstColumn="0" w:lastRowLastColumn="0"/>
        </w:trPr>
        <w:tc>
          <w:tcPr>
            <w:tcW w:w="1696" w:type="dxa"/>
          </w:tcPr>
          <w:p w14:paraId="0D72A4DD" w14:textId="77777777" w:rsidR="0007033D" w:rsidRDefault="0007033D" w:rsidP="00695A13">
            <w:pPr>
              <w:pStyle w:val="TableBody"/>
            </w:pPr>
            <w:r>
              <w:t>Restricted zone dimensions</w:t>
            </w:r>
          </w:p>
        </w:tc>
        <w:tc>
          <w:tcPr>
            <w:tcW w:w="2977" w:type="dxa"/>
          </w:tcPr>
          <w:p w14:paraId="022B611F" w14:textId="77777777" w:rsidR="0007033D" w:rsidRDefault="0007033D" w:rsidP="00695A13">
            <w:pPr>
              <w:pStyle w:val="TableBody"/>
            </w:pPr>
            <w:r>
              <w:t>Changes with frequency</w:t>
            </w:r>
          </w:p>
        </w:tc>
        <w:tc>
          <w:tcPr>
            <w:tcW w:w="2988" w:type="dxa"/>
          </w:tcPr>
          <w:p w14:paraId="55398387" w14:textId="77777777" w:rsidR="0007033D" w:rsidRDefault="0007033D" w:rsidP="00695A13">
            <w:pPr>
              <w:pStyle w:val="TableBody"/>
            </w:pPr>
            <w:r>
              <w:t>Changes with frequency</w:t>
            </w:r>
          </w:p>
        </w:tc>
      </w:tr>
      <w:tr w:rsidR="0007033D" w14:paraId="0C8B0CF7" w14:textId="77777777" w:rsidTr="00695A13">
        <w:trPr>
          <w:cnfStyle w:val="000000100000" w:firstRow="0" w:lastRow="0" w:firstColumn="0" w:lastColumn="0" w:oddVBand="0" w:evenVBand="0" w:oddHBand="1" w:evenHBand="0" w:firstRowFirstColumn="0" w:firstRowLastColumn="0" w:lastRowFirstColumn="0" w:lastRowLastColumn="0"/>
        </w:trPr>
        <w:tc>
          <w:tcPr>
            <w:tcW w:w="1696" w:type="dxa"/>
          </w:tcPr>
          <w:p w14:paraId="7FC43AD6" w14:textId="77777777" w:rsidR="0007033D" w:rsidRDefault="0007033D" w:rsidP="00695A13">
            <w:pPr>
              <w:pStyle w:val="TableBody"/>
            </w:pPr>
            <w:r>
              <w:t>Power flux density limit</w:t>
            </w:r>
          </w:p>
        </w:tc>
        <w:tc>
          <w:tcPr>
            <w:tcW w:w="2977" w:type="dxa"/>
          </w:tcPr>
          <w:p w14:paraId="26122751" w14:textId="77777777" w:rsidR="0007033D" w:rsidRDefault="0007033D" w:rsidP="00695A13">
            <w:pPr>
              <w:pStyle w:val="TableBody"/>
            </w:pPr>
            <w:r>
              <w:t>Changes with frequency and altitude (because of the zone dimensions)</w:t>
            </w:r>
          </w:p>
        </w:tc>
        <w:tc>
          <w:tcPr>
            <w:tcW w:w="2988" w:type="dxa"/>
          </w:tcPr>
          <w:p w14:paraId="217B26C5" w14:textId="77777777" w:rsidR="0007033D" w:rsidRDefault="0007033D" w:rsidP="00695A13">
            <w:pPr>
              <w:pStyle w:val="TableBody"/>
            </w:pPr>
            <w:r>
              <w:t>Does not have a path loss calculation.</w:t>
            </w:r>
          </w:p>
        </w:tc>
      </w:tr>
    </w:tbl>
    <w:p w14:paraId="4D7D1873" w14:textId="77777777" w:rsidR="0007033D" w:rsidRDefault="0007033D" w:rsidP="0007033D">
      <w:pPr>
        <w:pStyle w:val="Spaceaftertable"/>
      </w:pPr>
    </w:p>
    <w:p w14:paraId="531FE0DF" w14:textId="77777777" w:rsidR="0007033D" w:rsidRDefault="0007033D" w:rsidP="0007033D">
      <w:pPr>
        <w:pStyle w:val="Heading4"/>
      </w:pPr>
      <w:r>
        <w:t>Interpolating the ITM</w:t>
      </w:r>
    </w:p>
    <w:p w14:paraId="0902B6D6" w14:textId="1A996DD3" w:rsidR="0007033D" w:rsidRDefault="0007033D" w:rsidP="0007033D">
      <w:pPr>
        <w:pStyle w:val="Numberedparagraph"/>
      </w:pPr>
      <w:r w:rsidRPr="00345F73">
        <w:t xml:space="preserve">The zone sizes calculations are dependent on ITM values at </w:t>
      </w:r>
      <w:r>
        <w:t xml:space="preserve">the </w:t>
      </w:r>
      <w:r w:rsidRPr="00345F73">
        <w:t>frequency of operation</w:t>
      </w:r>
      <w:r>
        <w:t xml:space="preserve"> (RTCA Section 9)</w:t>
      </w:r>
      <w:r w:rsidRPr="00345F73">
        <w:t xml:space="preserve">, however the RTCA report only contains measured ITM values at three frequencies (3750 MHz, 3850 MHz and 3930 MHz). </w:t>
      </w:r>
      <w:r>
        <w:t>If necessary, t</w:t>
      </w:r>
      <w:r w:rsidRPr="00345F73">
        <w:t xml:space="preserve">he value at </w:t>
      </w:r>
      <w:r>
        <w:t xml:space="preserve">other </w:t>
      </w:r>
      <w:r w:rsidRPr="00345F73">
        <w:t xml:space="preserve">frequencies can be </w:t>
      </w:r>
      <w:r w:rsidR="00810031">
        <w:t xml:space="preserve">interpolated or </w:t>
      </w:r>
      <w:r w:rsidRPr="00345F73">
        <w:t>extrapolated to present the full possible operating range. The values at frequencies between 3700 – 4000 MHz</w:t>
      </w:r>
      <w:r>
        <w:t>, for example,</w:t>
      </w:r>
      <w:r w:rsidRPr="00345F73">
        <w:t xml:space="preserve"> can be approximated with linear piece-wise interpolation.</w:t>
      </w:r>
    </w:p>
    <w:p w14:paraId="482CF1D4" w14:textId="77777777" w:rsidR="0007033D" w:rsidRPr="00345F73" w:rsidRDefault="0007033D" w:rsidP="0007033D">
      <w:pPr>
        <w:pStyle w:val="Figureheading"/>
      </w:pPr>
      <w:r>
        <w:t>Plot of interpolated ITM values</w:t>
      </w:r>
    </w:p>
    <w:p w14:paraId="7F4633CB" w14:textId="77777777" w:rsidR="0007033D" w:rsidRDefault="0007033D" w:rsidP="0007033D">
      <w:r>
        <w:rPr>
          <w:noProof/>
        </w:rPr>
        <w:drawing>
          <wp:inline distT="0" distB="0" distL="0" distR="0" wp14:anchorId="58656216" wp14:editId="5A2B4A2F">
            <wp:extent cx="4486275" cy="336105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488322" cy="3362584"/>
                    </a:xfrm>
                    <a:prstGeom prst="rect">
                      <a:avLst/>
                    </a:prstGeom>
                    <a:noFill/>
                    <a:ln>
                      <a:noFill/>
                    </a:ln>
                  </pic:spPr>
                </pic:pic>
              </a:graphicData>
            </a:graphic>
          </wp:inline>
        </w:drawing>
      </w:r>
    </w:p>
    <w:p w14:paraId="433DF486" w14:textId="26D29476" w:rsidR="0007033D" w:rsidRDefault="0007033D" w:rsidP="0007033D">
      <w:pPr>
        <w:pStyle w:val="Numberedparagraph"/>
      </w:pPr>
      <w:r w:rsidRPr="00345F73">
        <w:t>Note, as indicated in response to questions in the RTCA report, the ITMs do not consider any out-of-band receiver antenna performance</w:t>
      </w:r>
      <w:r w:rsidR="007B200D">
        <w:t xml:space="preserve"> changes</w:t>
      </w:r>
      <w:r w:rsidRPr="00345F73">
        <w:t>, as the AVSI considered it to have minimal effect.</w:t>
      </w:r>
    </w:p>
    <w:p w14:paraId="3ADA833C" w14:textId="77777777" w:rsidR="0007033D" w:rsidRPr="00C102E0" w:rsidRDefault="0007033D" w:rsidP="0007033D">
      <w:pPr>
        <w:pStyle w:val="Heading4"/>
      </w:pPr>
      <w:r>
        <w:t>Zone sizes at different frequencies</w:t>
      </w:r>
    </w:p>
    <w:p w14:paraId="6BE9645E" w14:textId="77777777" w:rsidR="0007033D" w:rsidRPr="00345F73" w:rsidRDefault="0007033D" w:rsidP="0007033D">
      <w:pPr>
        <w:pStyle w:val="Numberedparagraph"/>
      </w:pPr>
      <w:r w:rsidRPr="00345F73">
        <w:t xml:space="preserve">To reduce the complexity of calculating the mitigations while allowing for flexible use of the band the </w:t>
      </w:r>
      <w:r>
        <w:t>zone sizes</w:t>
      </w:r>
      <w:r w:rsidRPr="00345F73">
        <w:t xml:space="preserve"> can be grouped into segments. The size of the segments is to be determined. The following table provides an example of 50 MHz segments.</w:t>
      </w:r>
    </w:p>
    <w:p w14:paraId="73BC669A" w14:textId="77777777" w:rsidR="0007033D" w:rsidRDefault="0007033D" w:rsidP="0007033D">
      <w:pPr>
        <w:pStyle w:val="Tableheading"/>
      </w:pPr>
      <w:r>
        <w:t>Example table of zone sizes in a frequency range</w:t>
      </w:r>
    </w:p>
    <w:tbl>
      <w:tblPr>
        <w:tblStyle w:val="ACMAtablestyle"/>
        <w:tblW w:w="5978" w:type="dxa"/>
        <w:jc w:val="center"/>
        <w:tblLook w:val="04A0" w:firstRow="1" w:lastRow="0" w:firstColumn="1" w:lastColumn="0" w:noHBand="0" w:noVBand="1"/>
      </w:tblPr>
      <w:tblGrid>
        <w:gridCol w:w="1483"/>
        <w:gridCol w:w="1513"/>
        <w:gridCol w:w="1467"/>
        <w:gridCol w:w="1515"/>
      </w:tblGrid>
      <w:tr w:rsidR="00DF2A57" w:rsidRPr="005D5435" w14:paraId="428C5C23" w14:textId="77777777" w:rsidTr="00257BC6">
        <w:trPr>
          <w:cnfStyle w:val="100000000000" w:firstRow="1" w:lastRow="0" w:firstColumn="0" w:lastColumn="0" w:oddVBand="0" w:evenVBand="0" w:oddHBand="0" w:evenHBand="0" w:firstRowFirstColumn="0" w:firstRowLastColumn="0" w:lastRowFirstColumn="0" w:lastRowLastColumn="0"/>
          <w:trHeight w:val="629"/>
          <w:jc w:val="center"/>
        </w:trPr>
        <w:tc>
          <w:tcPr>
            <w:tcW w:w="1483" w:type="dxa"/>
          </w:tcPr>
          <w:p w14:paraId="1DB916E9" w14:textId="78B3D2D9" w:rsidR="0007033D" w:rsidRPr="00DE7273" w:rsidRDefault="0007033D" w:rsidP="00695A13">
            <w:pPr>
              <w:pStyle w:val="Tableheaderrow"/>
            </w:pPr>
            <w:r w:rsidRPr="00DE7273">
              <w:t>Base station frequency (MHz)</w:t>
            </w:r>
          </w:p>
        </w:tc>
        <w:tc>
          <w:tcPr>
            <w:tcW w:w="1513" w:type="dxa"/>
          </w:tcPr>
          <w:p w14:paraId="75813EFA" w14:textId="6FF057CA" w:rsidR="0007033D" w:rsidRPr="00DE7273" w:rsidRDefault="0007033D" w:rsidP="00695A13">
            <w:pPr>
              <w:pStyle w:val="Tableheaderrow"/>
            </w:pPr>
            <w:r w:rsidRPr="00DE7273">
              <w:t xml:space="preserve">Exclusion zone </w:t>
            </w:r>
            <w:r w:rsidR="007E7E71">
              <w:t>extension length</w:t>
            </w:r>
            <w:r w:rsidRPr="00DE7273">
              <w:t xml:space="preserve"> (m)</w:t>
            </w:r>
          </w:p>
        </w:tc>
        <w:tc>
          <w:tcPr>
            <w:tcW w:w="1467" w:type="dxa"/>
          </w:tcPr>
          <w:p w14:paraId="605B9C1C" w14:textId="630B39F8" w:rsidR="007E7E71" w:rsidRDefault="005C1F3D" w:rsidP="00695A13">
            <w:pPr>
              <w:pStyle w:val="Tableheaderrow"/>
            </w:pPr>
            <w:r>
              <w:t>Exclusion</w:t>
            </w:r>
            <w:r w:rsidR="007E7E71">
              <w:t xml:space="preserve"> zone half-width (m)</w:t>
            </w:r>
          </w:p>
        </w:tc>
        <w:tc>
          <w:tcPr>
            <w:tcW w:w="1515" w:type="dxa"/>
          </w:tcPr>
          <w:p w14:paraId="7A5A01D1" w14:textId="77777777" w:rsidR="0007033D" w:rsidRPr="00DE7273" w:rsidRDefault="0007033D" w:rsidP="00695A13">
            <w:pPr>
              <w:pStyle w:val="Tableheaderrow"/>
            </w:pPr>
            <w:r w:rsidRPr="00DE7273">
              <w:t xml:space="preserve">Restricted zone </w:t>
            </w:r>
            <w:r>
              <w:t>size</w:t>
            </w:r>
            <w:r w:rsidRPr="00DE7273">
              <w:t xml:space="preserve"> (m)</w:t>
            </w:r>
          </w:p>
          <w:p w14:paraId="6A0498A6" w14:textId="77777777" w:rsidR="0007033D" w:rsidRPr="00DE7273" w:rsidRDefault="0007033D" w:rsidP="00695A13">
            <w:pPr>
              <w:pStyle w:val="Tableheaderrow"/>
            </w:pPr>
            <w:r w:rsidRPr="00DE7273">
              <w:t xml:space="preserve">(Length x </w:t>
            </w:r>
            <w:r>
              <w:t>half-width</w:t>
            </w:r>
            <w:r w:rsidRPr="00DE7273">
              <w:t>)</w:t>
            </w:r>
          </w:p>
        </w:tc>
      </w:tr>
      <w:tr w:rsidR="00DF2A57" w:rsidRPr="00273707" w14:paraId="08F3BDB7" w14:textId="77777777" w:rsidTr="00257BC6">
        <w:trPr>
          <w:cnfStyle w:val="000000100000" w:firstRow="0" w:lastRow="0" w:firstColumn="0" w:lastColumn="0" w:oddVBand="0" w:evenVBand="0" w:oddHBand="1" w:evenHBand="0" w:firstRowFirstColumn="0" w:firstRowLastColumn="0" w:lastRowFirstColumn="0" w:lastRowLastColumn="0"/>
          <w:trHeight w:val="156"/>
          <w:jc w:val="center"/>
        </w:trPr>
        <w:tc>
          <w:tcPr>
            <w:tcW w:w="1483" w:type="dxa"/>
          </w:tcPr>
          <w:p w14:paraId="1112F102" w14:textId="77777777" w:rsidR="0007033D" w:rsidRPr="00F9796E" w:rsidRDefault="0007033D" w:rsidP="00695A13">
            <w:pPr>
              <w:pStyle w:val="TableBody"/>
              <w:jc w:val="center"/>
              <w:rPr>
                <w:rFonts w:cs="Arial"/>
              </w:rPr>
            </w:pPr>
            <w:r w:rsidRPr="00F9796E">
              <w:rPr>
                <w:rFonts w:cs="Arial"/>
              </w:rPr>
              <w:t>(3800, 3850]</w:t>
            </w:r>
          </w:p>
        </w:tc>
        <w:tc>
          <w:tcPr>
            <w:tcW w:w="1513" w:type="dxa"/>
          </w:tcPr>
          <w:p w14:paraId="1EB493F3" w14:textId="629DBA3E" w:rsidR="0007033D" w:rsidRPr="000A7BED" w:rsidRDefault="0007033D" w:rsidP="00695A13">
            <w:pPr>
              <w:pStyle w:val="TableBody"/>
              <w:jc w:val="center"/>
              <w:rPr>
                <w:rFonts w:cs="Arial"/>
              </w:rPr>
            </w:pPr>
            <w:r w:rsidRPr="000A7BED">
              <w:rPr>
                <w:rFonts w:cs="Arial"/>
              </w:rPr>
              <w:t>2890</w:t>
            </w:r>
          </w:p>
        </w:tc>
        <w:tc>
          <w:tcPr>
            <w:tcW w:w="1467" w:type="dxa"/>
          </w:tcPr>
          <w:p w14:paraId="293A167B" w14:textId="0C197E58" w:rsidR="007E7E71" w:rsidRDefault="007E7E71" w:rsidP="00695A13">
            <w:pPr>
              <w:pStyle w:val="TableBody"/>
              <w:jc w:val="center"/>
              <w:rPr>
                <w:rFonts w:cs="Arial"/>
              </w:rPr>
            </w:pPr>
            <w:r>
              <w:rPr>
                <w:rFonts w:cs="Arial"/>
              </w:rPr>
              <w:t>1760</w:t>
            </w:r>
          </w:p>
        </w:tc>
        <w:tc>
          <w:tcPr>
            <w:tcW w:w="1515" w:type="dxa"/>
          </w:tcPr>
          <w:p w14:paraId="109C89ED" w14:textId="77777777" w:rsidR="0007033D" w:rsidRPr="00273707" w:rsidRDefault="0007033D" w:rsidP="00695A13">
            <w:pPr>
              <w:pStyle w:val="TableBody"/>
              <w:jc w:val="center"/>
              <w:rPr>
                <w:rFonts w:cs="Arial"/>
              </w:rPr>
            </w:pPr>
            <w:r w:rsidRPr="00273707">
              <w:rPr>
                <w:rFonts w:cs="Arial"/>
              </w:rPr>
              <w:t>5310 x 560</w:t>
            </w:r>
          </w:p>
        </w:tc>
      </w:tr>
      <w:tr w:rsidR="008569DF" w:rsidRPr="00273707" w14:paraId="504F3696" w14:textId="77777777" w:rsidTr="00257BC6">
        <w:trPr>
          <w:cnfStyle w:val="000000010000" w:firstRow="0" w:lastRow="0" w:firstColumn="0" w:lastColumn="0" w:oddVBand="0" w:evenVBand="0" w:oddHBand="0" w:evenHBand="1" w:firstRowFirstColumn="0" w:firstRowLastColumn="0" w:lastRowFirstColumn="0" w:lastRowLastColumn="0"/>
          <w:trHeight w:val="156"/>
          <w:jc w:val="center"/>
        </w:trPr>
        <w:tc>
          <w:tcPr>
            <w:tcW w:w="1483" w:type="dxa"/>
          </w:tcPr>
          <w:p w14:paraId="78B4CFDD" w14:textId="77777777" w:rsidR="0007033D" w:rsidRPr="00F9796E" w:rsidRDefault="0007033D" w:rsidP="00695A13">
            <w:pPr>
              <w:pStyle w:val="TableBody"/>
              <w:jc w:val="center"/>
              <w:rPr>
                <w:rFonts w:cs="Arial"/>
              </w:rPr>
            </w:pPr>
            <w:r w:rsidRPr="00F9796E">
              <w:rPr>
                <w:rFonts w:cs="Arial"/>
              </w:rPr>
              <w:t>(3850, 3900]</w:t>
            </w:r>
          </w:p>
        </w:tc>
        <w:tc>
          <w:tcPr>
            <w:tcW w:w="1513" w:type="dxa"/>
          </w:tcPr>
          <w:p w14:paraId="4B97395C" w14:textId="57FED322" w:rsidR="0007033D" w:rsidRPr="000A7BED" w:rsidRDefault="0007033D" w:rsidP="00695A13">
            <w:pPr>
              <w:pStyle w:val="TableBody"/>
              <w:jc w:val="center"/>
              <w:rPr>
                <w:rFonts w:cs="Arial"/>
              </w:rPr>
            </w:pPr>
            <w:r w:rsidRPr="000A7BED">
              <w:rPr>
                <w:rFonts w:cs="Arial"/>
              </w:rPr>
              <w:t>3000</w:t>
            </w:r>
          </w:p>
        </w:tc>
        <w:tc>
          <w:tcPr>
            <w:tcW w:w="1467" w:type="dxa"/>
          </w:tcPr>
          <w:p w14:paraId="6D84A13F" w14:textId="2CDE3810" w:rsidR="007E7E71" w:rsidRDefault="007E7E71" w:rsidP="00695A13">
            <w:pPr>
              <w:pStyle w:val="TableBody"/>
              <w:jc w:val="center"/>
              <w:rPr>
                <w:rFonts w:cs="Arial"/>
              </w:rPr>
            </w:pPr>
            <w:r>
              <w:rPr>
                <w:rFonts w:cs="Arial"/>
              </w:rPr>
              <w:t>1870</w:t>
            </w:r>
          </w:p>
        </w:tc>
        <w:tc>
          <w:tcPr>
            <w:tcW w:w="1515" w:type="dxa"/>
          </w:tcPr>
          <w:p w14:paraId="038063CE" w14:textId="77777777" w:rsidR="0007033D" w:rsidRPr="00273707" w:rsidRDefault="0007033D" w:rsidP="00695A13">
            <w:pPr>
              <w:pStyle w:val="TableBody"/>
              <w:jc w:val="center"/>
              <w:rPr>
                <w:rFonts w:cs="Arial"/>
              </w:rPr>
            </w:pPr>
            <w:r w:rsidRPr="00273707">
              <w:rPr>
                <w:rFonts w:cs="Arial"/>
              </w:rPr>
              <w:t>5200 x 680</w:t>
            </w:r>
          </w:p>
        </w:tc>
      </w:tr>
      <w:tr w:rsidR="00DF2A57" w:rsidRPr="00273707" w14:paraId="4ADF5007" w14:textId="77777777" w:rsidTr="00257BC6">
        <w:trPr>
          <w:cnfStyle w:val="000000100000" w:firstRow="0" w:lastRow="0" w:firstColumn="0" w:lastColumn="0" w:oddVBand="0" w:evenVBand="0" w:oddHBand="1" w:evenHBand="0" w:firstRowFirstColumn="0" w:firstRowLastColumn="0" w:lastRowFirstColumn="0" w:lastRowLastColumn="0"/>
          <w:trHeight w:val="149"/>
          <w:jc w:val="center"/>
        </w:trPr>
        <w:tc>
          <w:tcPr>
            <w:tcW w:w="1483" w:type="dxa"/>
          </w:tcPr>
          <w:p w14:paraId="561C03A4" w14:textId="77777777" w:rsidR="0007033D" w:rsidRPr="00F9796E" w:rsidRDefault="0007033D" w:rsidP="00695A13">
            <w:pPr>
              <w:pStyle w:val="TableBody"/>
              <w:jc w:val="center"/>
              <w:rPr>
                <w:rFonts w:cs="Arial"/>
              </w:rPr>
            </w:pPr>
            <w:r w:rsidRPr="00F9796E">
              <w:rPr>
                <w:rFonts w:cs="Arial"/>
              </w:rPr>
              <w:t>(3900, 3950]</w:t>
            </w:r>
          </w:p>
        </w:tc>
        <w:tc>
          <w:tcPr>
            <w:tcW w:w="1513" w:type="dxa"/>
          </w:tcPr>
          <w:p w14:paraId="0BC48C37" w14:textId="65F6ADCB" w:rsidR="0007033D" w:rsidRPr="000A7BED" w:rsidRDefault="0007033D" w:rsidP="00695A13">
            <w:pPr>
              <w:pStyle w:val="TableBody"/>
              <w:jc w:val="center"/>
              <w:rPr>
                <w:rFonts w:cs="Arial"/>
              </w:rPr>
            </w:pPr>
            <w:r w:rsidRPr="000A7BED">
              <w:rPr>
                <w:rFonts w:cs="Arial"/>
              </w:rPr>
              <w:t>3110</w:t>
            </w:r>
          </w:p>
        </w:tc>
        <w:tc>
          <w:tcPr>
            <w:tcW w:w="1467" w:type="dxa"/>
          </w:tcPr>
          <w:p w14:paraId="7C6833B7" w14:textId="0416408A" w:rsidR="007E7E71" w:rsidRDefault="007E7E71" w:rsidP="00695A13">
            <w:pPr>
              <w:pStyle w:val="TableBody"/>
              <w:jc w:val="center"/>
              <w:rPr>
                <w:rFonts w:cs="Arial"/>
              </w:rPr>
            </w:pPr>
            <w:r>
              <w:rPr>
                <w:rFonts w:cs="Arial"/>
              </w:rPr>
              <w:t>1980</w:t>
            </w:r>
          </w:p>
        </w:tc>
        <w:tc>
          <w:tcPr>
            <w:tcW w:w="1515" w:type="dxa"/>
          </w:tcPr>
          <w:p w14:paraId="0E43C119" w14:textId="77777777" w:rsidR="0007033D" w:rsidRPr="00273707" w:rsidRDefault="0007033D" w:rsidP="00695A13">
            <w:pPr>
              <w:pStyle w:val="TableBody"/>
              <w:jc w:val="center"/>
              <w:rPr>
                <w:rFonts w:cs="Arial"/>
              </w:rPr>
            </w:pPr>
            <w:r w:rsidRPr="00273707">
              <w:rPr>
                <w:rFonts w:cs="Arial"/>
              </w:rPr>
              <w:t>5090 x 840</w:t>
            </w:r>
          </w:p>
        </w:tc>
      </w:tr>
      <w:tr w:rsidR="008569DF" w:rsidRPr="00273707" w14:paraId="5B9C4EE9" w14:textId="77777777" w:rsidTr="00257BC6">
        <w:trPr>
          <w:cnfStyle w:val="000000010000" w:firstRow="0" w:lastRow="0" w:firstColumn="0" w:lastColumn="0" w:oddVBand="0" w:evenVBand="0" w:oddHBand="0" w:evenHBand="1" w:firstRowFirstColumn="0" w:firstRowLastColumn="0" w:lastRowFirstColumn="0" w:lastRowLastColumn="0"/>
          <w:trHeight w:val="156"/>
          <w:jc w:val="center"/>
        </w:trPr>
        <w:tc>
          <w:tcPr>
            <w:tcW w:w="1483" w:type="dxa"/>
          </w:tcPr>
          <w:p w14:paraId="17A8FEC8" w14:textId="2CA3236A" w:rsidR="00D244CB" w:rsidRPr="0050513C" w:rsidRDefault="00D244CB" w:rsidP="00D244CB">
            <w:pPr>
              <w:pStyle w:val="TableBody"/>
              <w:jc w:val="center"/>
              <w:rPr>
                <w:rFonts w:cs="Arial"/>
                <w:vertAlign w:val="superscript"/>
              </w:rPr>
            </w:pPr>
            <w:r w:rsidRPr="00977438">
              <w:t>(3950, 4000]</w:t>
            </w:r>
            <w:r w:rsidR="00A765FF">
              <w:rPr>
                <w:rStyle w:val="FootnoteReference"/>
              </w:rPr>
              <w:footnoteReference w:id="20"/>
            </w:r>
          </w:p>
        </w:tc>
        <w:tc>
          <w:tcPr>
            <w:tcW w:w="1513" w:type="dxa"/>
          </w:tcPr>
          <w:p w14:paraId="4942F56E" w14:textId="43763AE8" w:rsidR="00D244CB" w:rsidRPr="000A7BED" w:rsidRDefault="00D244CB" w:rsidP="00D244CB">
            <w:pPr>
              <w:pStyle w:val="TableBody"/>
              <w:jc w:val="center"/>
              <w:rPr>
                <w:rFonts w:cs="Arial"/>
              </w:rPr>
            </w:pPr>
            <w:r w:rsidRPr="00977438">
              <w:t>3230</w:t>
            </w:r>
          </w:p>
        </w:tc>
        <w:tc>
          <w:tcPr>
            <w:tcW w:w="1467" w:type="dxa"/>
          </w:tcPr>
          <w:p w14:paraId="73303EB0" w14:textId="121DB50D" w:rsidR="007E7E71" w:rsidRDefault="007E7E71" w:rsidP="00D244CB">
            <w:pPr>
              <w:pStyle w:val="TableBody"/>
              <w:jc w:val="center"/>
            </w:pPr>
            <w:r>
              <w:t>2100</w:t>
            </w:r>
          </w:p>
        </w:tc>
        <w:tc>
          <w:tcPr>
            <w:tcW w:w="1515" w:type="dxa"/>
          </w:tcPr>
          <w:p w14:paraId="28CE4E56" w14:textId="5A64F317" w:rsidR="00D244CB" w:rsidRPr="00273707" w:rsidRDefault="00D244CB" w:rsidP="00D244CB">
            <w:pPr>
              <w:pStyle w:val="TableBody"/>
              <w:jc w:val="center"/>
              <w:rPr>
                <w:rFonts w:cs="Arial"/>
              </w:rPr>
            </w:pPr>
            <w:r w:rsidRPr="00977438">
              <w:t>4970 x 1030</w:t>
            </w:r>
          </w:p>
        </w:tc>
      </w:tr>
    </w:tbl>
    <w:p w14:paraId="4CCA4F2F" w14:textId="77777777" w:rsidR="0007033D" w:rsidRPr="008C634A" w:rsidRDefault="0007033D" w:rsidP="0007033D">
      <w:pPr>
        <w:pStyle w:val="Spaceaftertable"/>
      </w:pPr>
    </w:p>
    <w:p w14:paraId="084CAEB2" w14:textId="77777777" w:rsidR="0007033D" w:rsidRPr="008C634A" w:rsidRDefault="0007033D" w:rsidP="0007033D">
      <w:pPr>
        <w:pStyle w:val="Numberedparagraph"/>
      </w:pPr>
      <w:r w:rsidRPr="008C634A">
        <w:t>The zone dimensions</w:t>
      </w:r>
      <w:r>
        <w:t xml:space="preserve"> for each segment are the values</w:t>
      </w:r>
      <w:r w:rsidRPr="008C634A">
        <w:t xml:space="preserve"> at the highest frequency in the range. The sizes have been rounded up to the nearest 10m.</w:t>
      </w:r>
    </w:p>
    <w:p w14:paraId="00D6965E" w14:textId="10EE1F47" w:rsidR="0007033D" w:rsidRDefault="0007033D" w:rsidP="0007033D">
      <w:pPr>
        <w:pStyle w:val="Numberedparagraph"/>
      </w:pPr>
      <w:r w:rsidRPr="00345F73">
        <w:t xml:space="preserve">It would be proposed that the appropriate </w:t>
      </w:r>
      <w:r>
        <w:t>zone size</w:t>
      </w:r>
      <w:r w:rsidRPr="00345F73">
        <w:t xml:space="preserve"> for a base station would be the </w:t>
      </w:r>
      <w:r>
        <w:t>size</w:t>
      </w:r>
      <w:r w:rsidRPr="00345F73">
        <w:t xml:space="preserve"> for the highest operating frequency of the licence.</w:t>
      </w:r>
    </w:p>
    <w:p w14:paraId="1A32B253" w14:textId="571F3881" w:rsidR="001642B5" w:rsidRDefault="001642B5" w:rsidP="0007033D">
      <w:pPr>
        <w:pStyle w:val="Numberedparagraph"/>
      </w:pPr>
      <w:r>
        <w:t xml:space="preserve">The figures below are </w:t>
      </w:r>
      <w:r w:rsidR="001D4D92">
        <w:t xml:space="preserve">zones for the </w:t>
      </w:r>
      <w:r w:rsidR="00D543D9">
        <w:t xml:space="preserve">3900-3950 MHz </w:t>
      </w:r>
      <w:r w:rsidR="001D4D92">
        <w:t>frequency range</w:t>
      </w:r>
      <w:r>
        <w:t xml:space="preserve"> over some airports. Note that in metro and regional areas </w:t>
      </w:r>
      <w:r w:rsidR="00D543D9">
        <w:t xml:space="preserve">these are the </w:t>
      </w:r>
      <w:r w:rsidR="007B200D">
        <w:t>worst-case</w:t>
      </w:r>
      <w:r w:rsidR="00D543D9">
        <w:t xml:space="preserve"> zone </w:t>
      </w:r>
      <w:r w:rsidR="001D4D92">
        <w:t xml:space="preserve">sizes </w:t>
      </w:r>
      <w:r w:rsidR="00D543D9">
        <w:t>because 3950-4000 MHz is</w:t>
      </w:r>
      <w:r>
        <w:t xml:space="preserve"> allocated for restricted cell </w:t>
      </w:r>
      <w:r w:rsidR="00D543D9">
        <w:t>usage</w:t>
      </w:r>
      <w:r>
        <w:t>.</w:t>
      </w:r>
    </w:p>
    <w:p w14:paraId="4479FB4B" w14:textId="77777777" w:rsidR="007E7E71" w:rsidRDefault="007E7E71">
      <w:pPr>
        <w:spacing w:after="0" w:line="240" w:lineRule="auto"/>
        <w:rPr>
          <w:b/>
          <w:bCs/>
          <w:color w:val="323232"/>
          <w:szCs w:val="20"/>
          <w:highlight w:val="lightGray"/>
        </w:rPr>
      </w:pPr>
      <w:r>
        <w:rPr>
          <w:highlight w:val="lightGray"/>
        </w:rPr>
        <w:br w:type="page"/>
      </w:r>
    </w:p>
    <w:p w14:paraId="1F3F48B1" w14:textId="560A7A3D" w:rsidR="001642B5" w:rsidRDefault="001642B5">
      <w:pPr>
        <w:pStyle w:val="ACMAFigureHeader"/>
      </w:pPr>
      <w:r>
        <w:t>Example of 39</w:t>
      </w:r>
      <w:r w:rsidR="001D7D09">
        <w:t>00</w:t>
      </w:r>
      <w:r>
        <w:t>-3950 MHz zones over Sydney Airport</w:t>
      </w:r>
    </w:p>
    <w:p w14:paraId="0161B03A" w14:textId="4EBCB77F" w:rsidR="001642B5" w:rsidRDefault="005E14C2" w:rsidP="00257BC6">
      <w:pPr>
        <w:pStyle w:val="Paragraph"/>
      </w:pPr>
      <w:r w:rsidRPr="005E14C2">
        <w:rPr>
          <w:noProof/>
        </w:rPr>
        <w:drawing>
          <wp:inline distT="0" distB="0" distL="0" distR="0" wp14:anchorId="09AAC0EB" wp14:editId="7AAF9024">
            <wp:extent cx="4871085" cy="4979035"/>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871085" cy="4979035"/>
                    </a:xfrm>
                    <a:prstGeom prst="rect">
                      <a:avLst/>
                    </a:prstGeom>
                  </pic:spPr>
                </pic:pic>
              </a:graphicData>
            </a:graphic>
          </wp:inline>
        </w:drawing>
      </w:r>
    </w:p>
    <w:p w14:paraId="3C0E3561" w14:textId="5637181D" w:rsidR="00670D23" w:rsidRDefault="00670D23" w:rsidP="00257BC6">
      <w:pPr>
        <w:pStyle w:val="Numberedparagraph"/>
      </w:pPr>
      <w:r>
        <w:t xml:space="preserve">At Melbourne Airport only runway 16 is </w:t>
      </w:r>
      <w:r w:rsidR="00C5247D">
        <w:t>an identified runway</w:t>
      </w:r>
      <w:r>
        <w:t xml:space="preserve">, therefore the zones only apply to the </w:t>
      </w:r>
      <w:r w:rsidR="00C5247D">
        <w:t xml:space="preserve">aircraft </w:t>
      </w:r>
      <w:r>
        <w:t xml:space="preserve">landing from the northward direction. </w:t>
      </w:r>
    </w:p>
    <w:p w14:paraId="1F15B73C" w14:textId="77777777" w:rsidR="007E7E71" w:rsidRDefault="007E7E71">
      <w:pPr>
        <w:spacing w:after="0" w:line="240" w:lineRule="auto"/>
        <w:rPr>
          <w:b/>
          <w:bCs/>
          <w:color w:val="323232"/>
          <w:szCs w:val="20"/>
        </w:rPr>
      </w:pPr>
      <w:r>
        <w:br w:type="page"/>
      </w:r>
    </w:p>
    <w:p w14:paraId="2B6386DA" w14:textId="3645EE01" w:rsidR="001642B5" w:rsidRDefault="001642B5" w:rsidP="001642B5">
      <w:pPr>
        <w:pStyle w:val="ACMAFigureHeader"/>
      </w:pPr>
      <w:r>
        <w:t xml:space="preserve">Example of </w:t>
      </w:r>
      <w:r w:rsidR="001D7D09">
        <w:t>3900-</w:t>
      </w:r>
      <w:r>
        <w:t xml:space="preserve">3950 MHz </w:t>
      </w:r>
      <w:r w:rsidR="001D7D09">
        <w:t xml:space="preserve">zones </w:t>
      </w:r>
      <w:r>
        <w:t>over Melbourne Airport</w:t>
      </w:r>
    </w:p>
    <w:p w14:paraId="249BA270" w14:textId="160F1000" w:rsidR="001642B5" w:rsidRDefault="005E14C2" w:rsidP="00257BC6">
      <w:pPr>
        <w:pStyle w:val="Paragraph"/>
      </w:pPr>
      <w:r w:rsidRPr="005E14C2">
        <w:rPr>
          <w:noProof/>
        </w:rPr>
        <w:drawing>
          <wp:inline distT="0" distB="0" distL="0" distR="0" wp14:anchorId="747E31E9" wp14:editId="29F998BC">
            <wp:extent cx="4871085" cy="5050790"/>
            <wp:effectExtent l="0" t="0" r="571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871085" cy="5050790"/>
                    </a:xfrm>
                    <a:prstGeom prst="rect">
                      <a:avLst/>
                    </a:prstGeom>
                  </pic:spPr>
                </pic:pic>
              </a:graphicData>
            </a:graphic>
          </wp:inline>
        </w:drawing>
      </w:r>
    </w:p>
    <w:p w14:paraId="237D4A12" w14:textId="77777777" w:rsidR="007E7E71" w:rsidRDefault="007E7E71">
      <w:pPr>
        <w:spacing w:after="0" w:line="240" w:lineRule="auto"/>
        <w:rPr>
          <w:b/>
          <w:bCs/>
          <w:color w:val="323232"/>
          <w:szCs w:val="20"/>
        </w:rPr>
      </w:pPr>
      <w:r>
        <w:br w:type="page"/>
      </w:r>
    </w:p>
    <w:p w14:paraId="3268C106" w14:textId="2116A2F9" w:rsidR="001642B5" w:rsidRDefault="001642B5" w:rsidP="001642B5">
      <w:pPr>
        <w:pStyle w:val="ACMAFigureHeader"/>
      </w:pPr>
      <w:r>
        <w:t xml:space="preserve">Example of </w:t>
      </w:r>
      <w:r w:rsidR="001D7D09">
        <w:t>3900-</w:t>
      </w:r>
      <w:r>
        <w:t xml:space="preserve">3950 MHz </w:t>
      </w:r>
      <w:r w:rsidR="001D7D09">
        <w:t xml:space="preserve">zones </w:t>
      </w:r>
      <w:r>
        <w:t>over Perth Airport</w:t>
      </w:r>
    </w:p>
    <w:p w14:paraId="5B51A495" w14:textId="7494A8C2" w:rsidR="001642B5" w:rsidRDefault="005E14C2" w:rsidP="00257BC6">
      <w:pPr>
        <w:pStyle w:val="Paragraph"/>
      </w:pPr>
      <w:r w:rsidRPr="005E14C2">
        <w:rPr>
          <w:noProof/>
        </w:rPr>
        <w:drawing>
          <wp:inline distT="0" distB="0" distL="0" distR="0" wp14:anchorId="2D952256" wp14:editId="27CBB684">
            <wp:extent cx="4871085" cy="4728845"/>
            <wp:effectExtent l="0" t="0" r="571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871085" cy="4728845"/>
                    </a:xfrm>
                    <a:prstGeom prst="rect">
                      <a:avLst/>
                    </a:prstGeom>
                  </pic:spPr>
                </pic:pic>
              </a:graphicData>
            </a:graphic>
          </wp:inline>
        </w:drawing>
      </w:r>
    </w:p>
    <w:p w14:paraId="4C884A97" w14:textId="77777777" w:rsidR="007E7E71" w:rsidRDefault="007E7E71">
      <w:pPr>
        <w:spacing w:after="0" w:line="240" w:lineRule="auto"/>
        <w:rPr>
          <w:rFonts w:cs="Arial"/>
          <w:b/>
          <w:i/>
        </w:rPr>
      </w:pPr>
      <w:r>
        <w:br w:type="page"/>
      </w:r>
    </w:p>
    <w:p w14:paraId="4353545D" w14:textId="77777777" w:rsidR="0007033D" w:rsidRPr="005926BF" w:rsidRDefault="0007033D" w:rsidP="0007033D">
      <w:pPr>
        <w:pStyle w:val="Heading4"/>
      </w:pPr>
      <w:r w:rsidRPr="005926BF">
        <w:t>The PFD limit at different frequencies</w:t>
      </w:r>
    </w:p>
    <w:p w14:paraId="6ED840CF" w14:textId="369C46C7" w:rsidR="0007033D" w:rsidRPr="00345F73" w:rsidRDefault="0007033D" w:rsidP="0007033D">
      <w:pPr>
        <w:pStyle w:val="Numberedparagraph"/>
      </w:pPr>
      <w:r w:rsidRPr="00345F73">
        <w:t xml:space="preserve">To reduce the complexity of calculating the </w:t>
      </w:r>
      <w:r>
        <w:t>PFD limit</w:t>
      </w:r>
      <w:r w:rsidR="007B200D">
        <w:t>,</w:t>
      </w:r>
      <w:r w:rsidRPr="00345F73">
        <w:t xml:space="preserve"> while allowing for flexible use of the band</w:t>
      </w:r>
      <w:r w:rsidR="007B200D">
        <w:t>,</w:t>
      </w:r>
      <w:r w:rsidRPr="00345F73">
        <w:t xml:space="preserve"> the </w:t>
      </w:r>
      <w:r>
        <w:t>PFD limit</w:t>
      </w:r>
      <w:r w:rsidRPr="00345F73">
        <w:t xml:space="preserve"> can be grouped into segments. The following table provides an example </w:t>
      </w:r>
      <w:r w:rsidR="007B200D">
        <w:t>using</w:t>
      </w:r>
      <w:r w:rsidRPr="00345F73">
        <w:t xml:space="preserve"> 50 MHz segments.</w:t>
      </w:r>
    </w:p>
    <w:p w14:paraId="793B465F" w14:textId="77777777" w:rsidR="0007033D" w:rsidRDefault="0007033D" w:rsidP="0007033D">
      <w:pPr>
        <w:pStyle w:val="Tableheading"/>
      </w:pPr>
      <w:r>
        <w:t>Example table of mitigations in a frequency range</w:t>
      </w:r>
    </w:p>
    <w:tbl>
      <w:tblPr>
        <w:tblStyle w:val="ACMAtablestyle"/>
        <w:tblW w:w="5807" w:type="dxa"/>
        <w:jc w:val="center"/>
        <w:tblLook w:val="04A0" w:firstRow="1" w:lastRow="0" w:firstColumn="1" w:lastColumn="0" w:noHBand="0" w:noVBand="1"/>
      </w:tblPr>
      <w:tblGrid>
        <w:gridCol w:w="1838"/>
        <w:gridCol w:w="1630"/>
        <w:gridCol w:w="2339"/>
      </w:tblGrid>
      <w:tr w:rsidR="0007033D" w:rsidRPr="005D5435" w14:paraId="5CE09149" w14:textId="77777777" w:rsidTr="005765C0">
        <w:trPr>
          <w:cnfStyle w:val="100000000000" w:firstRow="1" w:lastRow="0" w:firstColumn="0" w:lastColumn="0" w:oddVBand="0" w:evenVBand="0" w:oddHBand="0" w:evenHBand="0" w:firstRowFirstColumn="0" w:firstRowLastColumn="0" w:lastRowFirstColumn="0" w:lastRowLastColumn="0"/>
          <w:trHeight w:val="629"/>
          <w:jc w:val="center"/>
        </w:trPr>
        <w:tc>
          <w:tcPr>
            <w:tcW w:w="1838" w:type="dxa"/>
          </w:tcPr>
          <w:p w14:paraId="7207B068" w14:textId="73C14891" w:rsidR="0007033D" w:rsidRPr="00DE7273" w:rsidRDefault="0007033D" w:rsidP="00695A13">
            <w:pPr>
              <w:pStyle w:val="Tableheaderrow"/>
            </w:pPr>
            <w:r w:rsidRPr="00DE7273">
              <w:t>Base station frequency (MHz)</w:t>
            </w:r>
          </w:p>
        </w:tc>
        <w:tc>
          <w:tcPr>
            <w:tcW w:w="1630" w:type="dxa"/>
          </w:tcPr>
          <w:p w14:paraId="2C077666" w14:textId="77777777" w:rsidR="0007033D" w:rsidRPr="00DE7273" w:rsidRDefault="0007033D" w:rsidP="00695A13">
            <w:pPr>
              <w:pStyle w:val="Tableheaderrow"/>
            </w:pPr>
            <w:r w:rsidRPr="00DE7273">
              <w:t>Power flux density limit (</w:t>
            </w:r>
            <w:bookmarkStart w:id="119" w:name="_Hlk114653061"/>
            <w:r w:rsidRPr="00DE7273">
              <w:t>dBW/m</w:t>
            </w:r>
            <w:r w:rsidRPr="00FA714F">
              <w:rPr>
                <w:vertAlign w:val="superscript"/>
              </w:rPr>
              <w:t>2</w:t>
            </w:r>
            <w:r w:rsidRPr="00DE7273">
              <w:t>/MHz</w:t>
            </w:r>
            <w:bookmarkEnd w:id="119"/>
            <w:r w:rsidRPr="00DE7273">
              <w:t>)</w:t>
            </w:r>
          </w:p>
        </w:tc>
        <w:tc>
          <w:tcPr>
            <w:tcW w:w="2339" w:type="dxa"/>
          </w:tcPr>
          <w:p w14:paraId="35560132" w14:textId="41F495C2" w:rsidR="0007033D" w:rsidRDefault="0007033D" w:rsidP="00695A13">
            <w:pPr>
              <w:pStyle w:val="Tableheaderrow"/>
            </w:pPr>
            <w:r>
              <w:t>Power flux density limit restriction height (m)</w:t>
            </w:r>
          </w:p>
        </w:tc>
      </w:tr>
      <w:tr w:rsidR="008D77F7" w:rsidRPr="00273707" w14:paraId="555ABB39" w14:textId="77777777" w:rsidTr="005765C0">
        <w:trPr>
          <w:cnfStyle w:val="000000100000" w:firstRow="0" w:lastRow="0" w:firstColumn="0" w:lastColumn="0" w:oddVBand="0" w:evenVBand="0" w:oddHBand="1" w:evenHBand="0" w:firstRowFirstColumn="0" w:firstRowLastColumn="0" w:lastRowFirstColumn="0" w:lastRowLastColumn="0"/>
          <w:trHeight w:val="156"/>
          <w:jc w:val="center"/>
        </w:trPr>
        <w:tc>
          <w:tcPr>
            <w:tcW w:w="1838" w:type="dxa"/>
          </w:tcPr>
          <w:p w14:paraId="37886BF0" w14:textId="77777777" w:rsidR="008D77F7" w:rsidRPr="00F9796E" w:rsidRDefault="008D77F7" w:rsidP="008D77F7">
            <w:pPr>
              <w:pStyle w:val="TableBody"/>
              <w:jc w:val="center"/>
              <w:rPr>
                <w:rFonts w:cs="Arial"/>
              </w:rPr>
            </w:pPr>
            <w:r w:rsidRPr="00F9796E">
              <w:rPr>
                <w:rFonts w:cs="Arial"/>
              </w:rPr>
              <w:t>(3800, 3850]</w:t>
            </w:r>
          </w:p>
        </w:tc>
        <w:tc>
          <w:tcPr>
            <w:tcW w:w="1630" w:type="dxa"/>
          </w:tcPr>
          <w:p w14:paraId="07A1A876" w14:textId="4ACC99C5" w:rsidR="008D77F7" w:rsidRPr="00273707" w:rsidRDefault="008D77F7" w:rsidP="008D77F7">
            <w:pPr>
              <w:pStyle w:val="TableBody"/>
              <w:jc w:val="center"/>
              <w:rPr>
                <w:rFonts w:cs="Arial"/>
              </w:rPr>
            </w:pPr>
            <w:r w:rsidRPr="00EF4208">
              <w:t>-41</w:t>
            </w:r>
          </w:p>
        </w:tc>
        <w:tc>
          <w:tcPr>
            <w:tcW w:w="2339" w:type="dxa"/>
          </w:tcPr>
          <w:p w14:paraId="5FC87B46" w14:textId="3148560F" w:rsidR="008D77F7" w:rsidRDefault="008D77F7" w:rsidP="008D77F7">
            <w:pPr>
              <w:pStyle w:val="TableBody"/>
              <w:jc w:val="center"/>
              <w:rPr>
                <w:rFonts w:cs="Arial"/>
              </w:rPr>
            </w:pPr>
            <w:r w:rsidRPr="00EF4208">
              <w:t>140</w:t>
            </w:r>
          </w:p>
        </w:tc>
      </w:tr>
      <w:tr w:rsidR="00C21BEA" w:rsidRPr="00273707" w14:paraId="6FE2E00A" w14:textId="77777777" w:rsidTr="005765C0">
        <w:trPr>
          <w:cnfStyle w:val="000000010000" w:firstRow="0" w:lastRow="0" w:firstColumn="0" w:lastColumn="0" w:oddVBand="0" w:evenVBand="0" w:oddHBand="0" w:evenHBand="1" w:firstRowFirstColumn="0" w:firstRowLastColumn="0" w:lastRowFirstColumn="0" w:lastRowLastColumn="0"/>
          <w:trHeight w:val="156"/>
          <w:jc w:val="center"/>
        </w:trPr>
        <w:tc>
          <w:tcPr>
            <w:tcW w:w="1838" w:type="dxa"/>
          </w:tcPr>
          <w:p w14:paraId="6A847F41" w14:textId="77777777" w:rsidR="008D77F7" w:rsidRPr="00F9796E" w:rsidRDefault="008D77F7" w:rsidP="008D77F7">
            <w:pPr>
              <w:pStyle w:val="TableBody"/>
              <w:jc w:val="center"/>
              <w:rPr>
                <w:rFonts w:cs="Arial"/>
              </w:rPr>
            </w:pPr>
            <w:r w:rsidRPr="00F9796E">
              <w:rPr>
                <w:rFonts w:cs="Arial"/>
              </w:rPr>
              <w:t>(3850, 3900]</w:t>
            </w:r>
          </w:p>
        </w:tc>
        <w:tc>
          <w:tcPr>
            <w:tcW w:w="1630" w:type="dxa"/>
          </w:tcPr>
          <w:p w14:paraId="7812DD24" w14:textId="198FB359" w:rsidR="008D77F7" w:rsidRPr="00273707" w:rsidRDefault="008D77F7" w:rsidP="008D77F7">
            <w:pPr>
              <w:pStyle w:val="TableBody"/>
              <w:jc w:val="center"/>
              <w:rPr>
                <w:rFonts w:cs="Arial"/>
              </w:rPr>
            </w:pPr>
            <w:r w:rsidRPr="00EF4208">
              <w:t>-42.4</w:t>
            </w:r>
          </w:p>
        </w:tc>
        <w:tc>
          <w:tcPr>
            <w:tcW w:w="2339" w:type="dxa"/>
          </w:tcPr>
          <w:p w14:paraId="06BAA9F0" w14:textId="0ADFB99C" w:rsidR="008D77F7" w:rsidRDefault="008D77F7" w:rsidP="008D77F7">
            <w:pPr>
              <w:pStyle w:val="TableBody"/>
              <w:jc w:val="center"/>
              <w:rPr>
                <w:rFonts w:cs="Arial"/>
              </w:rPr>
            </w:pPr>
            <w:r w:rsidRPr="00EF4208">
              <w:t>145</w:t>
            </w:r>
          </w:p>
        </w:tc>
      </w:tr>
      <w:tr w:rsidR="008D77F7" w:rsidRPr="00273707" w14:paraId="080E53E8" w14:textId="77777777" w:rsidTr="005765C0">
        <w:trPr>
          <w:cnfStyle w:val="000000100000" w:firstRow="0" w:lastRow="0" w:firstColumn="0" w:lastColumn="0" w:oddVBand="0" w:evenVBand="0" w:oddHBand="1" w:evenHBand="0" w:firstRowFirstColumn="0" w:firstRowLastColumn="0" w:lastRowFirstColumn="0" w:lastRowLastColumn="0"/>
          <w:trHeight w:val="149"/>
          <w:jc w:val="center"/>
        </w:trPr>
        <w:tc>
          <w:tcPr>
            <w:tcW w:w="1838" w:type="dxa"/>
          </w:tcPr>
          <w:p w14:paraId="64D96D9E" w14:textId="77777777" w:rsidR="008D77F7" w:rsidRPr="00F9796E" w:rsidRDefault="008D77F7" w:rsidP="008D77F7">
            <w:pPr>
              <w:pStyle w:val="TableBody"/>
              <w:jc w:val="center"/>
              <w:rPr>
                <w:rFonts w:cs="Arial"/>
              </w:rPr>
            </w:pPr>
            <w:r w:rsidRPr="00F9796E">
              <w:rPr>
                <w:rFonts w:cs="Arial"/>
              </w:rPr>
              <w:t>(3900, 3950]</w:t>
            </w:r>
          </w:p>
        </w:tc>
        <w:tc>
          <w:tcPr>
            <w:tcW w:w="1630" w:type="dxa"/>
          </w:tcPr>
          <w:p w14:paraId="044F2124" w14:textId="10A1EE9D" w:rsidR="008D77F7" w:rsidRPr="00273707" w:rsidRDefault="008D77F7" w:rsidP="008D77F7">
            <w:pPr>
              <w:pStyle w:val="TableBody"/>
              <w:jc w:val="center"/>
              <w:rPr>
                <w:rFonts w:cs="Arial"/>
              </w:rPr>
            </w:pPr>
            <w:r w:rsidRPr="00EF4208">
              <w:t>-43.7</w:t>
            </w:r>
          </w:p>
        </w:tc>
        <w:tc>
          <w:tcPr>
            <w:tcW w:w="2339" w:type="dxa"/>
          </w:tcPr>
          <w:p w14:paraId="6AB71447" w14:textId="08A501E6" w:rsidR="008D77F7" w:rsidRDefault="008D77F7" w:rsidP="008D77F7">
            <w:pPr>
              <w:pStyle w:val="TableBody"/>
              <w:jc w:val="center"/>
              <w:rPr>
                <w:rFonts w:cs="Arial"/>
              </w:rPr>
            </w:pPr>
            <w:r w:rsidRPr="00EF4208">
              <w:t>150</w:t>
            </w:r>
          </w:p>
        </w:tc>
      </w:tr>
      <w:tr w:rsidR="00C21BEA" w:rsidRPr="00273707" w14:paraId="34E1D1A3" w14:textId="77777777" w:rsidTr="005765C0">
        <w:trPr>
          <w:cnfStyle w:val="000000010000" w:firstRow="0" w:lastRow="0" w:firstColumn="0" w:lastColumn="0" w:oddVBand="0" w:evenVBand="0" w:oddHBand="0" w:evenHBand="1" w:firstRowFirstColumn="0" w:firstRowLastColumn="0" w:lastRowFirstColumn="0" w:lastRowLastColumn="0"/>
          <w:trHeight w:val="156"/>
          <w:jc w:val="center"/>
        </w:trPr>
        <w:tc>
          <w:tcPr>
            <w:tcW w:w="1838" w:type="dxa"/>
          </w:tcPr>
          <w:p w14:paraId="52C34739" w14:textId="7D59C2FB" w:rsidR="008D77F7" w:rsidRPr="00F9796E" w:rsidRDefault="008D77F7" w:rsidP="008D77F7">
            <w:pPr>
              <w:pStyle w:val="TableBody"/>
              <w:jc w:val="center"/>
              <w:rPr>
                <w:rFonts w:cs="Arial"/>
              </w:rPr>
            </w:pPr>
            <w:r w:rsidRPr="001A0CD4">
              <w:t>(3950, 4000]</w:t>
            </w:r>
            <w:r>
              <w:rPr>
                <w:rStyle w:val="FootnoteReference"/>
              </w:rPr>
              <w:footnoteReference w:id="21"/>
            </w:r>
          </w:p>
        </w:tc>
        <w:tc>
          <w:tcPr>
            <w:tcW w:w="1630" w:type="dxa"/>
          </w:tcPr>
          <w:p w14:paraId="289043EE" w14:textId="576FDA79" w:rsidR="008D77F7" w:rsidRPr="00273707" w:rsidRDefault="008D77F7" w:rsidP="008D77F7">
            <w:pPr>
              <w:pStyle w:val="TableBody"/>
              <w:jc w:val="center"/>
              <w:rPr>
                <w:rFonts w:cs="Arial"/>
              </w:rPr>
            </w:pPr>
            <w:r w:rsidRPr="00EF4208">
              <w:t>-45.2</w:t>
            </w:r>
          </w:p>
        </w:tc>
        <w:tc>
          <w:tcPr>
            <w:tcW w:w="2339" w:type="dxa"/>
          </w:tcPr>
          <w:p w14:paraId="418ABC5B" w14:textId="6F280024" w:rsidR="008D77F7" w:rsidRDefault="008D77F7" w:rsidP="008D77F7">
            <w:pPr>
              <w:pStyle w:val="TableBody"/>
              <w:jc w:val="center"/>
              <w:rPr>
                <w:rFonts w:cs="Arial"/>
              </w:rPr>
            </w:pPr>
            <w:r w:rsidRPr="00EF4208">
              <w:t>155</w:t>
            </w:r>
          </w:p>
        </w:tc>
      </w:tr>
    </w:tbl>
    <w:p w14:paraId="079CC07E" w14:textId="77777777" w:rsidR="0007033D" w:rsidRDefault="0007033D" w:rsidP="0007033D">
      <w:pPr>
        <w:pStyle w:val="Spaceaftertable"/>
      </w:pPr>
    </w:p>
    <w:p w14:paraId="2391485E" w14:textId="77777777" w:rsidR="0007033D" w:rsidRDefault="0007033D" w:rsidP="0007033D">
      <w:pPr>
        <w:pStyle w:val="Numberedparagraph"/>
      </w:pPr>
      <w:r w:rsidRPr="00345F73">
        <w:t>The limits in the restricted zones are the worst-case value in each range</w:t>
      </w:r>
      <w:r>
        <w:t xml:space="preserve"> which </w:t>
      </w:r>
      <w:r w:rsidRPr="00345F73">
        <w:t>is at the highest frequency in the range.</w:t>
      </w:r>
      <w:r>
        <w:t xml:space="preserve"> The PFD </w:t>
      </w:r>
      <w:r w:rsidRPr="00345F73">
        <w:t xml:space="preserve">limits have been rounded down to the nearest 0.1 and the restriction heights rounded down to the nearest 5m. </w:t>
      </w:r>
    </w:p>
    <w:p w14:paraId="1791F72A" w14:textId="3CBDB8B9" w:rsidR="0007033D" w:rsidRDefault="0007033D" w:rsidP="0007033D">
      <w:pPr>
        <w:pStyle w:val="Numberedparagraph"/>
      </w:pPr>
      <w:r w:rsidRPr="00345F73">
        <w:t>It would be proposed that the appropriate limit for a base station would be the limit for the highest operating frequency of the licence.</w:t>
      </w:r>
    </w:p>
    <w:p w14:paraId="09DB6C7B" w14:textId="364CB364" w:rsidR="001F3E88" w:rsidRDefault="001F3E88" w:rsidP="00257BC6">
      <w:pPr>
        <w:pStyle w:val="Heading3"/>
        <w:jc w:val="both"/>
      </w:pPr>
      <w:r>
        <w:t xml:space="preserve">Restricted cell use in </w:t>
      </w:r>
      <w:r w:rsidR="000A1A66">
        <w:t xml:space="preserve">the </w:t>
      </w:r>
      <w:r>
        <w:t>3950-4000 MHz</w:t>
      </w:r>
      <w:r w:rsidR="000A1A66">
        <w:t xml:space="preserve"> range</w:t>
      </w:r>
      <w:r>
        <w:t xml:space="preserve"> (Metro and regional areas</w:t>
      </w:r>
      <w:r w:rsidR="000A1A66">
        <w:t xml:space="preserve"> only</w:t>
      </w:r>
      <w:r>
        <w:t>)</w:t>
      </w:r>
    </w:p>
    <w:p w14:paraId="41DD674D" w14:textId="24B358EF" w:rsidR="001F3E88" w:rsidRDefault="001F3E88" w:rsidP="001F3E88">
      <w:pPr>
        <w:pStyle w:val="Numberedparagraph"/>
      </w:pPr>
      <w:r w:rsidRPr="006578F2">
        <w:t xml:space="preserve">In metro and regional areas, the 3950-4000 band is </w:t>
      </w:r>
      <w:r w:rsidR="00CE38A4">
        <w:t xml:space="preserve">proposed to be </w:t>
      </w:r>
      <w:r w:rsidRPr="006578F2">
        <w:t xml:space="preserve">allocated for restricted cell use. The </w:t>
      </w:r>
      <w:r w:rsidR="00CE38A4">
        <w:t xml:space="preserve">current </w:t>
      </w:r>
      <w:r w:rsidRPr="006578F2">
        <w:t>proposed maximum EIRP</w:t>
      </w:r>
      <w:r w:rsidR="00CE38A4">
        <w:t xml:space="preserve"> density</w:t>
      </w:r>
      <w:r w:rsidRPr="006578F2">
        <w:t xml:space="preserve"> limit in this band is 17 dBm/MHz, with a maximum 34 dBm overall EIRP limit</w:t>
      </w:r>
      <w:r w:rsidR="00CE38A4">
        <w:t xml:space="preserve"> for a transmitter</w:t>
      </w:r>
      <w:r w:rsidRPr="006578F2">
        <w:t>.</w:t>
      </w:r>
    </w:p>
    <w:p w14:paraId="65D0CCC9" w14:textId="3C058AB7" w:rsidR="001F3E88" w:rsidRDefault="001F3E88" w:rsidP="001F3E88">
      <w:pPr>
        <w:pStyle w:val="Numberedparagraph"/>
      </w:pPr>
      <w:r>
        <w:t xml:space="preserve">Calculating the exclusion zone required path loss and equivalent distance with the restricted cell EIRP limit results in </w:t>
      </w:r>
      <w:r w:rsidR="007C1A1C">
        <w:t>a</w:t>
      </w:r>
      <w:r>
        <w:t xml:space="preserve"> worst case (at 4000 MHz) path loss of 65.88 dB</w:t>
      </w:r>
      <w:r w:rsidR="005D5EAC">
        <w:t>,</w:t>
      </w:r>
      <w:r>
        <w:t xml:space="preserve"> or a distance of 12 metres.</w:t>
      </w:r>
    </w:p>
    <w:p w14:paraId="164D36BB" w14:textId="3E464C8A" w:rsidR="001F3E88" w:rsidRDefault="001F3E88" w:rsidP="001F3E88">
      <w:pPr>
        <w:pStyle w:val="Numberedparagraph"/>
      </w:pPr>
      <w:r>
        <w:t xml:space="preserve">In previous cases the </w:t>
      </w:r>
      <w:r w:rsidR="007E7E71">
        <w:t xml:space="preserve">extension </w:t>
      </w:r>
      <w:r>
        <w:t xml:space="preserve">length of the exclusion zone is the path loss distance with an additional 1130 metres, calculated from when the horizontal distance of the aircraft </w:t>
      </w:r>
      <w:r w:rsidR="009F463B">
        <w:t>is at</w:t>
      </w:r>
      <w:r>
        <w:t xml:space="preserve"> 200 ft</w:t>
      </w:r>
      <w:r w:rsidR="009F463B">
        <w:t xml:space="preserve"> altitude</w:t>
      </w:r>
      <w:r>
        <w:t>. However, this assumes that the aircraft will enter the exclusion zone at 200 ft or above. The path loss distance in this case is less than 200 ft (61m).</w:t>
      </w:r>
    </w:p>
    <w:p w14:paraId="2B395324" w14:textId="3BA75597" w:rsidR="001F3E88" w:rsidRDefault="001F3E88" w:rsidP="001F3E88">
      <w:pPr>
        <w:pStyle w:val="Numberedparagraph"/>
      </w:pPr>
      <w:r>
        <w:t>For this shorter distance, the exclusion zone</w:t>
      </w:r>
      <w:r w:rsidR="007E7E71">
        <w:t xml:space="preserve"> extension </w:t>
      </w:r>
      <w:r>
        <w:t xml:space="preserve">length can be determined by when the aircraft approaches within 12 metres of a base station. The highest altitude in which this could happen would be when the base station is directly underneath the aircraft. An aircraft </w:t>
      </w:r>
      <w:r w:rsidR="009F463B">
        <w:t>is at</w:t>
      </w:r>
      <w:r>
        <w:t xml:space="preserve"> the altitude of 37 metres (25m base station + 12m path loss distance) at 810 metres from the landing point with an approach slope of </w:t>
      </w:r>
      <w:r w:rsidRPr="00206DBA">
        <w:t>2.625</w:t>
      </w:r>
      <w:r>
        <w:t xml:space="preserve"> degrees. Subtracting 200 metres for the touchdown distance results in an exclusion zone</w:t>
      </w:r>
      <w:r w:rsidR="007E7E71">
        <w:t xml:space="preserve"> extension</w:t>
      </w:r>
      <w:r>
        <w:t xml:space="preserve"> length of 610 metres from the runway edge.</w:t>
      </w:r>
    </w:p>
    <w:p w14:paraId="51375030" w14:textId="02B49698" w:rsidR="001F3E88" w:rsidRDefault="001F3E88" w:rsidP="001F3E88">
      <w:pPr>
        <w:pStyle w:val="Numberedparagraph"/>
      </w:pPr>
      <w:r>
        <w:t xml:space="preserve">The exclusion zone </w:t>
      </w:r>
      <w:r w:rsidR="005C1F3D">
        <w:t xml:space="preserve">half-width </w:t>
      </w:r>
      <w:r>
        <w:t>of 12 metres can be less than the half-width of the physical runway. Therefore, if the physical width of a runway is greater than 24 metres the width of the exclusion zone is increased to the width of the runway.</w:t>
      </w:r>
    </w:p>
    <w:p w14:paraId="520C1F8C" w14:textId="35390140" w:rsidR="001F3E88" w:rsidRDefault="001F3E88" w:rsidP="001F3E88">
      <w:pPr>
        <w:pStyle w:val="Numberedparagraph"/>
      </w:pPr>
      <w:r>
        <w:t>The restricted zone required path loss for restricted cell use is a worst case (at 4000 MHz) path loss of -52.63 dB</w:t>
      </w:r>
      <w:r w:rsidR="00D9503F">
        <w:t>,</w:t>
      </w:r>
      <w:r>
        <w:t xml:space="preserve"> equal to a distance of 9 metres. The highest altitude when this could first occur is when a base station is directly under the aircraft. However, this can only occur within the exclusion zone defined above, where base stations are not allowed. For the rest of the aircraft landing from 1000 ft altitude and 8200 metres horizontally from the runway (the range that the restricted zone is calculated to protect) the base station EIRP level should not meet the ITM threshold. As a result, an exclusion zone is not required for restricted cell use.</w:t>
      </w:r>
    </w:p>
    <w:p w14:paraId="36231D18" w14:textId="77777777" w:rsidR="001F3E88" w:rsidRDefault="001F3E88" w:rsidP="001F3E88">
      <w:pPr>
        <w:pStyle w:val="Numberedparagraph"/>
      </w:pPr>
      <w:r>
        <w:t>In summary, for restricted cell use in 3950-4000 MHz around identified runways, there are temporary reviewable mitigations:</w:t>
      </w:r>
    </w:p>
    <w:p w14:paraId="7C1FF662" w14:textId="77777777" w:rsidR="001F3E88" w:rsidRDefault="001F3E88" w:rsidP="001F3E88">
      <w:pPr>
        <w:pStyle w:val="Numberedparagraph"/>
        <w:numPr>
          <w:ilvl w:val="2"/>
          <w:numId w:val="13"/>
        </w:numPr>
      </w:pPr>
      <w:r>
        <w:t>Exclusion zones, where no WBB services are permitted.</w:t>
      </w:r>
    </w:p>
    <w:p w14:paraId="713C178B" w14:textId="0EA654CA" w:rsidR="001F3E88" w:rsidRDefault="001F3E88" w:rsidP="001F3E88">
      <w:pPr>
        <w:pStyle w:val="Numberedparagraph"/>
        <w:numPr>
          <w:ilvl w:val="3"/>
          <w:numId w:val="13"/>
        </w:numPr>
      </w:pPr>
      <w:r w:rsidRPr="00A01A11">
        <w:t xml:space="preserve">An “exclusion zone” </w:t>
      </w:r>
      <w:r w:rsidR="00D90A19">
        <w:t>with an extension length of 610m and an extension zone half-width of 12m.</w:t>
      </w:r>
      <w:r w:rsidRPr="00A01A11">
        <w:t xml:space="preserve"> </w:t>
      </w:r>
    </w:p>
    <w:p w14:paraId="296018C6" w14:textId="55803B36" w:rsidR="001F3E88" w:rsidRPr="00142F50" w:rsidRDefault="001F3E88" w:rsidP="001F3E88">
      <w:pPr>
        <w:pStyle w:val="Numberedparagraph"/>
        <w:numPr>
          <w:ilvl w:val="3"/>
          <w:numId w:val="13"/>
        </w:numPr>
      </w:pPr>
      <w:r>
        <w:t>If the runway width is greater than 24m then the</w:t>
      </w:r>
      <w:r w:rsidR="00D90A19">
        <w:t xml:space="preserve"> exclusion zone half-</w:t>
      </w:r>
      <w:r>
        <w:t>width of the area is equal to</w:t>
      </w:r>
      <w:r w:rsidR="00D90A19">
        <w:t xml:space="preserve"> half the </w:t>
      </w:r>
      <w:r>
        <w:t>width of the runway.</w:t>
      </w:r>
    </w:p>
    <w:p w14:paraId="55C3B340" w14:textId="77777777" w:rsidR="0007033D" w:rsidRDefault="0007033D" w:rsidP="0007033D">
      <w:pPr>
        <w:pStyle w:val="Heading2"/>
        <w:rPr>
          <w:sz w:val="24"/>
          <w:szCs w:val="24"/>
        </w:rPr>
      </w:pPr>
      <w:bookmarkStart w:id="120" w:name="_Toc116041922"/>
      <w:r>
        <w:rPr>
          <w:sz w:val="24"/>
          <w:szCs w:val="24"/>
        </w:rPr>
        <w:t>Comparison with French and Canadian results</w:t>
      </w:r>
      <w:bookmarkEnd w:id="120"/>
    </w:p>
    <w:p w14:paraId="4FC08E28" w14:textId="77777777" w:rsidR="0007033D" w:rsidRPr="00D13C5A" w:rsidRDefault="0007033D" w:rsidP="0007033D">
      <w:pPr>
        <w:pStyle w:val="Heading3"/>
      </w:pPr>
      <w:r>
        <w:t>Zone size comparisons</w:t>
      </w:r>
    </w:p>
    <w:p w14:paraId="291A65E8" w14:textId="6595A747" w:rsidR="0007033D" w:rsidRDefault="0007033D" w:rsidP="0007033D">
      <w:pPr>
        <w:pStyle w:val="Paragraph"/>
        <w:numPr>
          <w:ilvl w:val="1"/>
          <w:numId w:val="13"/>
        </w:numPr>
      </w:pPr>
      <w:r>
        <w:t>The figures below compare the sizes of the French zones to the ACMA example 3750 MHz zone.</w:t>
      </w:r>
      <w:r w:rsidR="005614A2">
        <w:t xml:space="preserve"> Note we are not proposing zones to apply below 3800 MHz and the 3750 MHz is for comparative purposes only.</w:t>
      </w:r>
    </w:p>
    <w:p w14:paraId="74C432CB" w14:textId="77777777" w:rsidR="0007033D" w:rsidRDefault="0007033D" w:rsidP="0007033D">
      <w:pPr>
        <w:spacing w:after="0" w:line="240" w:lineRule="auto"/>
        <w:rPr>
          <w:rFonts w:cs="Arial"/>
        </w:rPr>
      </w:pPr>
    </w:p>
    <w:p w14:paraId="25DD9AD2" w14:textId="77777777" w:rsidR="0007033D" w:rsidRDefault="0007033D" w:rsidP="0007033D">
      <w:pPr>
        <w:pStyle w:val="ACMAFigureHeader"/>
      </w:pPr>
      <w:r>
        <w:t>ANFR Zone sizes</w:t>
      </w:r>
    </w:p>
    <w:p w14:paraId="4189348B" w14:textId="77777777" w:rsidR="0007033D" w:rsidRDefault="0007033D" w:rsidP="0007033D">
      <w:pPr>
        <w:pStyle w:val="ACMAFigureHeader"/>
        <w:numPr>
          <w:ilvl w:val="0"/>
          <w:numId w:val="0"/>
        </w:numPr>
      </w:pPr>
      <w:r w:rsidRPr="00F048B3">
        <w:rPr>
          <w:noProof/>
        </w:rPr>
        <w:drawing>
          <wp:inline distT="0" distB="0" distL="0" distR="0" wp14:anchorId="386752EB" wp14:editId="6EE4C7F3">
            <wp:extent cx="4871085" cy="962025"/>
            <wp:effectExtent l="0" t="0" r="571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871085" cy="962025"/>
                    </a:xfrm>
                    <a:prstGeom prst="rect">
                      <a:avLst/>
                    </a:prstGeom>
                  </pic:spPr>
                </pic:pic>
              </a:graphicData>
            </a:graphic>
          </wp:inline>
        </w:drawing>
      </w:r>
    </w:p>
    <w:p w14:paraId="47B1928F" w14:textId="77777777" w:rsidR="0007033D" w:rsidRDefault="0007033D" w:rsidP="0007033D">
      <w:pPr>
        <w:pStyle w:val="ACMAFigureHeader"/>
        <w:numPr>
          <w:ilvl w:val="0"/>
          <w:numId w:val="0"/>
        </w:numPr>
      </w:pPr>
    </w:p>
    <w:p w14:paraId="02505E88" w14:textId="77777777" w:rsidR="0007033D" w:rsidRDefault="0007033D" w:rsidP="0007033D">
      <w:pPr>
        <w:pStyle w:val="ACMAFigureHeader"/>
      </w:pPr>
      <w:r>
        <w:t>ACMA example zone sizes at 3750 MHz (not to scale)</w:t>
      </w:r>
    </w:p>
    <w:p w14:paraId="60472E11" w14:textId="77777777" w:rsidR="0007033D" w:rsidRPr="00F048B3" w:rsidRDefault="0007033D" w:rsidP="0007033D">
      <w:pPr>
        <w:pStyle w:val="ACMAFigureHeader"/>
        <w:numPr>
          <w:ilvl w:val="0"/>
          <w:numId w:val="0"/>
        </w:numPr>
      </w:pPr>
    </w:p>
    <w:p w14:paraId="25BF37E4" w14:textId="3496F9B4" w:rsidR="0007033D" w:rsidRDefault="007D5855" w:rsidP="0007033D">
      <w:r w:rsidRPr="007D5855">
        <w:rPr>
          <w:rFonts w:cs="Arial"/>
          <w:noProof/>
          <w:szCs w:val="20"/>
        </w:rPr>
        <w:drawing>
          <wp:inline distT="0" distB="0" distL="0" distR="0" wp14:anchorId="3B503CA1" wp14:editId="1032C5BB">
            <wp:extent cx="4871085" cy="782320"/>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871085" cy="782320"/>
                    </a:xfrm>
                    <a:prstGeom prst="rect">
                      <a:avLst/>
                    </a:prstGeom>
                  </pic:spPr>
                </pic:pic>
              </a:graphicData>
            </a:graphic>
          </wp:inline>
        </w:drawing>
      </w:r>
      <w:r w:rsidRPr="007D5855">
        <w:rPr>
          <w:rFonts w:cs="Arial"/>
          <w:noProof/>
          <w:szCs w:val="20"/>
        </w:rPr>
        <w:t xml:space="preserve"> </w:t>
      </w:r>
    </w:p>
    <w:p w14:paraId="33CFFE05" w14:textId="77777777" w:rsidR="0007033D" w:rsidRDefault="0007033D" w:rsidP="0007033D">
      <w:pPr>
        <w:spacing w:after="0" w:line="240" w:lineRule="auto"/>
        <w:rPr>
          <w:rFonts w:cs="Arial"/>
          <w:b/>
          <w:bCs/>
          <w:iCs/>
          <w:sz w:val="28"/>
          <w:szCs w:val="28"/>
        </w:rPr>
      </w:pPr>
    </w:p>
    <w:p w14:paraId="4D50D7A3" w14:textId="77777777" w:rsidR="0007033D" w:rsidRDefault="0007033D" w:rsidP="0007033D">
      <w:pPr>
        <w:pStyle w:val="Numberedparagraph"/>
      </w:pPr>
      <w:r>
        <w:t>Key factors which result in differing zone sizes are:</w:t>
      </w:r>
    </w:p>
    <w:p w14:paraId="316D6F8B" w14:textId="766DF22E" w:rsidR="0007033D" w:rsidRPr="009D33B1" w:rsidRDefault="0007033D" w:rsidP="0007033D">
      <w:pPr>
        <w:pStyle w:val="Numberedparagraph"/>
        <w:numPr>
          <w:ilvl w:val="2"/>
          <w:numId w:val="13"/>
        </w:numPr>
      </w:pPr>
      <w:r>
        <w:t xml:space="preserve">The ANFR zone sizes are calculated at 3700 MHz while the ACMA example </w:t>
      </w:r>
      <w:r w:rsidRPr="009D33B1">
        <w:t>zone size is at 3750 MHz.</w:t>
      </w:r>
    </w:p>
    <w:p w14:paraId="4E5CED7B" w14:textId="77777777" w:rsidR="0007033D" w:rsidRDefault="0007033D" w:rsidP="0007033D">
      <w:pPr>
        <w:pStyle w:val="Numberedparagraph"/>
        <w:numPr>
          <w:ilvl w:val="3"/>
          <w:numId w:val="13"/>
        </w:numPr>
      </w:pPr>
      <w:r>
        <w:t>Lower WBB BS operating frequencies require greater distances to achieve the same path loss requirement.</w:t>
      </w:r>
    </w:p>
    <w:p w14:paraId="5E0F542F" w14:textId="77777777" w:rsidR="0007033D" w:rsidRDefault="0007033D" w:rsidP="0007033D">
      <w:pPr>
        <w:pStyle w:val="Numberedparagraph"/>
        <w:numPr>
          <w:ilvl w:val="3"/>
          <w:numId w:val="13"/>
        </w:numPr>
      </w:pPr>
      <w:r>
        <w:t>However, the change in distance is small, for example with a fixed ITM threshold value a change in operating frequency between 3700 MHz and 3750 MHz results in a decrease of ~12 metres.</w:t>
      </w:r>
    </w:p>
    <w:p w14:paraId="0D1D7A60" w14:textId="77777777" w:rsidR="0007033D" w:rsidRDefault="0007033D" w:rsidP="0007033D">
      <w:pPr>
        <w:pStyle w:val="Numberedparagraph"/>
        <w:numPr>
          <w:ilvl w:val="2"/>
          <w:numId w:val="13"/>
        </w:numPr>
      </w:pPr>
      <w:r>
        <w:t>The maximum EIRP used in the ANFR calculations is 58 dBm/MHz EIRP while the proposed maximum EIRP density in Australia is 62 dBm/MHz EIRP.</w:t>
      </w:r>
    </w:p>
    <w:p w14:paraId="3EEC6C8C" w14:textId="77777777" w:rsidR="0007033D" w:rsidRDefault="0007033D" w:rsidP="0007033D">
      <w:pPr>
        <w:pStyle w:val="Numberedparagraph"/>
        <w:numPr>
          <w:ilvl w:val="3"/>
          <w:numId w:val="13"/>
        </w:numPr>
      </w:pPr>
      <w:r>
        <w:t>Higher operating WBB BS power requires greater path loss which requires greater distances.</w:t>
      </w:r>
    </w:p>
    <w:p w14:paraId="0F0D0F21" w14:textId="77777777" w:rsidR="0007033D" w:rsidRDefault="0007033D" w:rsidP="0007033D">
      <w:pPr>
        <w:pStyle w:val="Numberedparagraph"/>
        <w:numPr>
          <w:ilvl w:val="3"/>
          <w:numId w:val="13"/>
        </w:numPr>
      </w:pPr>
      <w:r>
        <w:t>This difference contributes more to the different zone sizes, at 3700 MHz with a fixed ITM threshold value the difference between 58 dBm/MHz EIRP and 62 dBm/MHz EIRP is ~500 metres.</w:t>
      </w:r>
    </w:p>
    <w:p w14:paraId="030A176B" w14:textId="77777777" w:rsidR="0007033D" w:rsidRDefault="0007033D" w:rsidP="0007033D">
      <w:pPr>
        <w:pStyle w:val="Numberedparagraph"/>
        <w:numPr>
          <w:ilvl w:val="2"/>
          <w:numId w:val="13"/>
        </w:numPr>
      </w:pPr>
      <w:r>
        <w:t>The ITM threshold value is interpolated at different frequencies in the ACMA calculation.</w:t>
      </w:r>
    </w:p>
    <w:p w14:paraId="353120B7" w14:textId="18787221" w:rsidR="0007033D" w:rsidRDefault="0007033D" w:rsidP="0007033D">
      <w:pPr>
        <w:pStyle w:val="Numberedparagraph"/>
        <w:numPr>
          <w:ilvl w:val="3"/>
          <w:numId w:val="13"/>
        </w:numPr>
      </w:pPr>
      <w:r>
        <w:t xml:space="preserve">The </w:t>
      </w:r>
      <w:r w:rsidRPr="00345F73">
        <w:t>linear piece-wise interpolation</w:t>
      </w:r>
      <w:r>
        <w:t xml:space="preserve"> of the ITM thresholds at 3750 MHz, </w:t>
      </w:r>
      <w:r w:rsidRPr="007B200D">
        <w:t xml:space="preserve">3850 MHz and 3930 MHz to in-between frequencies in Figure </w:t>
      </w:r>
      <w:r w:rsidR="00B77467" w:rsidRPr="007B200D">
        <w:t>8</w:t>
      </w:r>
      <w:r w:rsidRPr="007B200D">
        <w:t xml:space="preserve"> show</w:t>
      </w:r>
      <w:r>
        <w:t xml:space="preserve"> a decreasing ITM threshold as frequency increases. A lower threshold requires greater path loss and therefore greater distances.</w:t>
      </w:r>
    </w:p>
    <w:p w14:paraId="23D65B5E" w14:textId="77777777" w:rsidR="004E78F7" w:rsidRDefault="004E78F7" w:rsidP="004E78F7">
      <w:pPr>
        <w:pStyle w:val="Numberedparagraph"/>
        <w:numPr>
          <w:ilvl w:val="3"/>
          <w:numId w:val="13"/>
        </w:numPr>
      </w:pPr>
      <w:r>
        <w:t>This contributes significantly to the distances, between 3700 MHz and 3850 MHz the ITM threshold increases the required path loss by ~1 dB per 50 MHz.</w:t>
      </w:r>
    </w:p>
    <w:p w14:paraId="717BE7AF" w14:textId="77777777" w:rsidR="004E78F7" w:rsidRDefault="004E78F7" w:rsidP="004E78F7">
      <w:pPr>
        <w:pStyle w:val="ACMATableHeader"/>
      </w:pPr>
      <w:r>
        <w:t>Comparison between ANFR and ACMA calculations (Exclusion Zone)</w:t>
      </w:r>
    </w:p>
    <w:tbl>
      <w:tblPr>
        <w:tblStyle w:val="ACMAtablestyle"/>
        <w:tblW w:w="4957" w:type="dxa"/>
        <w:jc w:val="center"/>
        <w:tblLook w:val="04A0" w:firstRow="1" w:lastRow="0" w:firstColumn="1" w:lastColumn="0" w:noHBand="0" w:noVBand="1"/>
      </w:tblPr>
      <w:tblGrid>
        <w:gridCol w:w="1575"/>
        <w:gridCol w:w="1681"/>
        <w:gridCol w:w="1701"/>
      </w:tblGrid>
      <w:tr w:rsidR="005614A2" w14:paraId="21280C62" w14:textId="77777777" w:rsidTr="00257BC6">
        <w:trPr>
          <w:cnfStyle w:val="100000000000" w:firstRow="1" w:lastRow="0" w:firstColumn="0" w:lastColumn="0" w:oddVBand="0" w:evenVBand="0" w:oddHBand="0" w:evenHBand="0" w:firstRowFirstColumn="0" w:firstRowLastColumn="0" w:lastRowFirstColumn="0" w:lastRowLastColumn="0"/>
          <w:jc w:val="center"/>
        </w:trPr>
        <w:tc>
          <w:tcPr>
            <w:tcW w:w="1575" w:type="dxa"/>
          </w:tcPr>
          <w:p w14:paraId="397409CE" w14:textId="77777777" w:rsidR="004E78F7" w:rsidRDefault="004E78F7" w:rsidP="00695A13">
            <w:pPr>
              <w:pStyle w:val="Tableheaderrow"/>
            </w:pPr>
            <w:r>
              <w:t>Parameter</w:t>
            </w:r>
          </w:p>
        </w:tc>
        <w:tc>
          <w:tcPr>
            <w:tcW w:w="1681" w:type="dxa"/>
          </w:tcPr>
          <w:p w14:paraId="33A8E699" w14:textId="539ACB35" w:rsidR="004E78F7" w:rsidRDefault="004E78F7" w:rsidP="00695A13">
            <w:pPr>
              <w:pStyle w:val="Tableheaderrow"/>
            </w:pPr>
            <w:r>
              <w:t xml:space="preserve">ANFR </w:t>
            </w:r>
            <w:r w:rsidR="00D9503F">
              <w:t xml:space="preserve">example </w:t>
            </w:r>
            <w:r>
              <w:t>Value</w:t>
            </w:r>
          </w:p>
        </w:tc>
        <w:tc>
          <w:tcPr>
            <w:tcW w:w="1701" w:type="dxa"/>
          </w:tcPr>
          <w:p w14:paraId="71A34F59" w14:textId="7B827E1E" w:rsidR="004E78F7" w:rsidRDefault="004E78F7" w:rsidP="00695A13">
            <w:pPr>
              <w:pStyle w:val="Tableheaderrow"/>
            </w:pPr>
            <w:r>
              <w:t xml:space="preserve">ACMA </w:t>
            </w:r>
            <w:r w:rsidR="00D9503F">
              <w:t xml:space="preserve">example </w:t>
            </w:r>
            <w:r>
              <w:t>Value</w:t>
            </w:r>
          </w:p>
        </w:tc>
      </w:tr>
      <w:tr w:rsidR="005614A2" w14:paraId="1AA67EC6"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575" w:type="dxa"/>
          </w:tcPr>
          <w:p w14:paraId="186FD99B" w14:textId="77777777" w:rsidR="004E78F7" w:rsidRDefault="004E78F7" w:rsidP="00695A13">
            <w:pPr>
              <w:pStyle w:val="TableBody"/>
            </w:pPr>
            <w:r>
              <w:t>WBB BS Frequency</w:t>
            </w:r>
          </w:p>
        </w:tc>
        <w:tc>
          <w:tcPr>
            <w:tcW w:w="1681" w:type="dxa"/>
          </w:tcPr>
          <w:p w14:paraId="15FBC629" w14:textId="77777777" w:rsidR="004E78F7" w:rsidRDefault="004E78F7" w:rsidP="00695A13">
            <w:pPr>
              <w:pStyle w:val="TableBody"/>
            </w:pPr>
            <w:r>
              <w:t>3700 MHz</w:t>
            </w:r>
          </w:p>
        </w:tc>
        <w:tc>
          <w:tcPr>
            <w:tcW w:w="1701" w:type="dxa"/>
          </w:tcPr>
          <w:p w14:paraId="76EDC4DE" w14:textId="77777777" w:rsidR="004E78F7" w:rsidRDefault="004E78F7" w:rsidP="00695A13">
            <w:pPr>
              <w:pStyle w:val="TableBody"/>
            </w:pPr>
            <w:r>
              <w:t>3750 MHz</w:t>
            </w:r>
          </w:p>
        </w:tc>
      </w:tr>
      <w:tr w:rsidR="004E78F7" w14:paraId="6757D39D"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575" w:type="dxa"/>
          </w:tcPr>
          <w:p w14:paraId="005A2ACE" w14:textId="678DC4ED" w:rsidR="004E78F7" w:rsidRDefault="004E78F7" w:rsidP="00695A13">
            <w:pPr>
              <w:pStyle w:val="TableBody"/>
            </w:pPr>
            <w:r>
              <w:t>EIRP (in 100 MHz)</w:t>
            </w:r>
            <w:r>
              <w:rPr>
                <w:rFonts w:ascii="Cambria Math" w:hAnsi="Cambria Math"/>
              </w:rPr>
              <w:br/>
            </w:r>
            <m:oMathPara>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1681" w:type="dxa"/>
          </w:tcPr>
          <w:p w14:paraId="1E28CF25" w14:textId="77777777" w:rsidR="004E78F7" w:rsidRDefault="004E78F7" w:rsidP="00695A13">
            <w:pPr>
              <w:pStyle w:val="TableBody"/>
            </w:pPr>
            <w:r>
              <w:t>78 dBm EIRP</w:t>
            </w:r>
          </w:p>
        </w:tc>
        <w:tc>
          <w:tcPr>
            <w:tcW w:w="1701" w:type="dxa"/>
          </w:tcPr>
          <w:p w14:paraId="1E9F7BA9" w14:textId="77777777" w:rsidR="004E78F7" w:rsidRDefault="004E78F7" w:rsidP="00695A13">
            <w:pPr>
              <w:pStyle w:val="TableBody"/>
            </w:pPr>
            <w:r>
              <w:t>82 dBm EIRP</w:t>
            </w:r>
          </w:p>
        </w:tc>
      </w:tr>
      <w:tr w:rsidR="005614A2" w14:paraId="23EA8040"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575" w:type="dxa"/>
          </w:tcPr>
          <w:p w14:paraId="2F5E2A58" w14:textId="0CFAEA66" w:rsidR="004E78F7" w:rsidRDefault="004E78F7" w:rsidP="00695A13">
            <w:pPr>
              <w:pStyle w:val="TableBody"/>
            </w:pPr>
            <w:r>
              <w:t xml:space="preserve">Radio altimeter gain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681" w:type="dxa"/>
          </w:tcPr>
          <w:p w14:paraId="4A8B328E" w14:textId="77777777" w:rsidR="004E78F7" w:rsidRDefault="004E78F7" w:rsidP="00695A13">
            <w:pPr>
              <w:pStyle w:val="TableBody"/>
            </w:pPr>
            <w:r>
              <w:t>0 dBi</w:t>
            </w:r>
          </w:p>
        </w:tc>
        <w:tc>
          <w:tcPr>
            <w:tcW w:w="1701" w:type="dxa"/>
          </w:tcPr>
          <w:p w14:paraId="591F6174" w14:textId="77777777" w:rsidR="004E78F7" w:rsidRDefault="004E78F7" w:rsidP="00695A13">
            <w:pPr>
              <w:pStyle w:val="TableBody"/>
            </w:pPr>
            <w:r>
              <w:t>0 dBi</w:t>
            </w:r>
          </w:p>
        </w:tc>
      </w:tr>
      <w:tr w:rsidR="004E78F7" w14:paraId="71456B26"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575" w:type="dxa"/>
          </w:tcPr>
          <w:p w14:paraId="7646DA4F" w14:textId="77777777" w:rsidR="004E78F7" w:rsidRDefault="004E78F7" w:rsidP="00695A13">
            <w:pPr>
              <w:pStyle w:val="TableBody"/>
            </w:pPr>
            <w:r>
              <w:t>Margin</w:t>
            </w:r>
          </w:p>
        </w:tc>
        <w:tc>
          <w:tcPr>
            <w:tcW w:w="1681" w:type="dxa"/>
          </w:tcPr>
          <w:p w14:paraId="1731F858" w14:textId="77777777" w:rsidR="004E78F7" w:rsidRDefault="004E78F7" w:rsidP="00695A13">
            <w:pPr>
              <w:pStyle w:val="TableBody"/>
            </w:pPr>
            <w:r>
              <w:t>6 dB</w:t>
            </w:r>
          </w:p>
        </w:tc>
        <w:tc>
          <w:tcPr>
            <w:tcW w:w="1701" w:type="dxa"/>
          </w:tcPr>
          <w:p w14:paraId="73111451" w14:textId="77777777" w:rsidR="004E78F7" w:rsidRDefault="004E78F7" w:rsidP="00695A13">
            <w:pPr>
              <w:pStyle w:val="TableBody"/>
            </w:pPr>
            <w:r>
              <w:t>6 dB</w:t>
            </w:r>
          </w:p>
        </w:tc>
      </w:tr>
      <w:tr w:rsidR="005614A2" w14:paraId="5E796899"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575" w:type="dxa"/>
          </w:tcPr>
          <w:p w14:paraId="0F2C773C" w14:textId="77777777" w:rsidR="004E78F7" w:rsidRDefault="004E78F7" w:rsidP="00695A13">
            <w:pPr>
              <w:pStyle w:val="TableBody"/>
            </w:pPr>
            <w:r>
              <w:t>ITM Threshold (in 100 MHz)</w:t>
            </w:r>
          </w:p>
          <w:p w14:paraId="37E6F7F6" w14:textId="3E5C357E" w:rsidR="004E78F7" w:rsidRDefault="004E78F7" w:rsidP="00695A13">
            <w:pPr>
              <w:pStyle w:val="TableBody"/>
            </w:pPr>
            <w:r>
              <w:t xml:space="preserve"> </w:t>
            </w:r>
            <w:r>
              <w:rPr>
                <w:rFonts w:ascii="Cambria Math" w:hAnsi="Cambria Math"/>
              </w:rPr>
              <w:br/>
            </w: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681" w:type="dxa"/>
          </w:tcPr>
          <w:p w14:paraId="32C376EE" w14:textId="77777777" w:rsidR="004E78F7" w:rsidRDefault="004E78F7" w:rsidP="00695A13">
            <w:pPr>
              <w:pStyle w:val="TableBody"/>
            </w:pPr>
            <w:r>
              <w:t>-19 dBm</w:t>
            </w:r>
          </w:p>
        </w:tc>
        <w:tc>
          <w:tcPr>
            <w:tcW w:w="1701" w:type="dxa"/>
          </w:tcPr>
          <w:p w14:paraId="0FB644C8" w14:textId="77777777" w:rsidR="004E78F7" w:rsidRDefault="004E78F7" w:rsidP="00695A13">
            <w:pPr>
              <w:pStyle w:val="TableBody"/>
            </w:pPr>
            <w:r>
              <w:t>-19 dBm</w:t>
            </w:r>
          </w:p>
        </w:tc>
      </w:tr>
      <w:tr w:rsidR="004E78F7" w14:paraId="495E48E5"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575" w:type="dxa"/>
          </w:tcPr>
          <w:p w14:paraId="72AE9B68" w14:textId="77777777" w:rsidR="004E78F7" w:rsidRDefault="004E78F7" w:rsidP="00695A13">
            <w:pPr>
              <w:pStyle w:val="TableBody"/>
            </w:pPr>
            <w:r>
              <w:t>Required Path Loss</w:t>
            </w:r>
          </w:p>
        </w:tc>
        <w:tc>
          <w:tcPr>
            <w:tcW w:w="1681" w:type="dxa"/>
          </w:tcPr>
          <w:p w14:paraId="2F8CDF37" w14:textId="77777777" w:rsidR="004E78F7" w:rsidRDefault="004E78F7" w:rsidP="00695A13">
            <w:pPr>
              <w:pStyle w:val="TableBody"/>
            </w:pPr>
            <w:r>
              <w:t>103 dB</w:t>
            </w:r>
          </w:p>
        </w:tc>
        <w:tc>
          <w:tcPr>
            <w:tcW w:w="1701" w:type="dxa"/>
          </w:tcPr>
          <w:p w14:paraId="4A5C1354" w14:textId="77777777" w:rsidR="004E78F7" w:rsidRDefault="004E78F7" w:rsidP="00695A13">
            <w:pPr>
              <w:pStyle w:val="TableBody"/>
            </w:pPr>
            <w:r>
              <w:t>107 dB</w:t>
            </w:r>
          </w:p>
        </w:tc>
      </w:tr>
      <w:tr w:rsidR="005614A2" w14:paraId="779B374E"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575" w:type="dxa"/>
          </w:tcPr>
          <w:p w14:paraId="411F48B1" w14:textId="77777777" w:rsidR="004E78F7" w:rsidRDefault="004E78F7" w:rsidP="00695A13">
            <w:pPr>
              <w:pStyle w:val="TableBody"/>
            </w:pPr>
            <w:r>
              <w:t>Exclusion zone half-width (Equivalent distance to achieve path loss)</w:t>
            </w:r>
          </w:p>
        </w:tc>
        <w:tc>
          <w:tcPr>
            <w:tcW w:w="1681" w:type="dxa"/>
          </w:tcPr>
          <w:p w14:paraId="68347D6C" w14:textId="77777777" w:rsidR="004E78F7" w:rsidRDefault="004E78F7" w:rsidP="00695A13">
            <w:pPr>
              <w:pStyle w:val="TableBody"/>
            </w:pPr>
            <w:r>
              <w:t>903.6 m</w:t>
            </w:r>
          </w:p>
          <w:p w14:paraId="40BC913E" w14:textId="77777777" w:rsidR="004E78F7" w:rsidRDefault="004E78F7" w:rsidP="00695A13">
            <w:r>
              <w:t>(Rounded up to 910 m)</w:t>
            </w:r>
          </w:p>
        </w:tc>
        <w:tc>
          <w:tcPr>
            <w:tcW w:w="1701" w:type="dxa"/>
          </w:tcPr>
          <w:p w14:paraId="1D1CDEC7" w14:textId="77777777" w:rsidR="004E78F7" w:rsidRDefault="004E78F7" w:rsidP="00695A13">
            <w:pPr>
              <w:pStyle w:val="TableBody"/>
            </w:pPr>
            <w:r>
              <w:t>1432 m (Rounded up to 1440 m)</w:t>
            </w:r>
          </w:p>
        </w:tc>
      </w:tr>
    </w:tbl>
    <w:p w14:paraId="18A5A253" w14:textId="77777777" w:rsidR="004E78F7" w:rsidRDefault="004E78F7" w:rsidP="004E78F7">
      <w:pPr>
        <w:pStyle w:val="Spaceaftertable"/>
      </w:pPr>
    </w:p>
    <w:p w14:paraId="25510EB7" w14:textId="77777777" w:rsidR="004E78F7" w:rsidRDefault="004E78F7" w:rsidP="004E78F7">
      <w:pPr>
        <w:pStyle w:val="ACMATableHeader"/>
      </w:pPr>
      <w:r>
        <w:t>Comparison between ANFR and ACMA calculations (Restricted Zone)</w:t>
      </w:r>
    </w:p>
    <w:tbl>
      <w:tblPr>
        <w:tblStyle w:val="ACMAtablestyle"/>
        <w:tblW w:w="4594" w:type="dxa"/>
        <w:jc w:val="center"/>
        <w:tblLook w:val="04A0" w:firstRow="1" w:lastRow="0" w:firstColumn="1" w:lastColumn="0" w:noHBand="0" w:noVBand="1"/>
      </w:tblPr>
      <w:tblGrid>
        <w:gridCol w:w="1392"/>
        <w:gridCol w:w="1580"/>
        <w:gridCol w:w="1622"/>
      </w:tblGrid>
      <w:tr w:rsidR="004E78F7" w14:paraId="315EF645" w14:textId="77777777" w:rsidTr="00257BC6">
        <w:trPr>
          <w:cnfStyle w:val="100000000000" w:firstRow="1" w:lastRow="0" w:firstColumn="0" w:lastColumn="0" w:oddVBand="0" w:evenVBand="0" w:oddHBand="0" w:evenHBand="0" w:firstRowFirstColumn="0" w:firstRowLastColumn="0" w:lastRowFirstColumn="0" w:lastRowLastColumn="0"/>
          <w:jc w:val="center"/>
        </w:trPr>
        <w:tc>
          <w:tcPr>
            <w:tcW w:w="1392" w:type="dxa"/>
          </w:tcPr>
          <w:p w14:paraId="31AE3DAD" w14:textId="77777777" w:rsidR="004E78F7" w:rsidRDefault="004E78F7" w:rsidP="00695A13">
            <w:pPr>
              <w:pStyle w:val="Tableheaderrow"/>
            </w:pPr>
            <w:r>
              <w:t>Parameter</w:t>
            </w:r>
          </w:p>
        </w:tc>
        <w:tc>
          <w:tcPr>
            <w:tcW w:w="1580" w:type="dxa"/>
          </w:tcPr>
          <w:p w14:paraId="0480DC5C" w14:textId="2AF992D8" w:rsidR="004E78F7" w:rsidRDefault="004E78F7" w:rsidP="00695A13">
            <w:pPr>
              <w:pStyle w:val="Tableheaderrow"/>
            </w:pPr>
            <w:r>
              <w:t xml:space="preserve">ANFR </w:t>
            </w:r>
            <w:r w:rsidR="00D9503F">
              <w:t xml:space="preserve">example </w:t>
            </w:r>
            <w:r>
              <w:t>Value</w:t>
            </w:r>
          </w:p>
        </w:tc>
        <w:tc>
          <w:tcPr>
            <w:tcW w:w="1622" w:type="dxa"/>
          </w:tcPr>
          <w:p w14:paraId="5E9265F9" w14:textId="2A1AAC46" w:rsidR="004E78F7" w:rsidRDefault="004E78F7" w:rsidP="00695A13">
            <w:pPr>
              <w:pStyle w:val="Tableheaderrow"/>
            </w:pPr>
            <w:r>
              <w:t xml:space="preserve">ACMA </w:t>
            </w:r>
            <w:r w:rsidR="00D9503F">
              <w:t xml:space="preserve">example </w:t>
            </w:r>
            <w:r>
              <w:t>Value</w:t>
            </w:r>
          </w:p>
        </w:tc>
      </w:tr>
      <w:tr w:rsidR="004E78F7" w:rsidRPr="00434CF6" w14:paraId="1AAFC896"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392" w:type="dxa"/>
          </w:tcPr>
          <w:p w14:paraId="231A95BA" w14:textId="77777777" w:rsidR="004E78F7" w:rsidRDefault="004E78F7" w:rsidP="00695A13">
            <w:pPr>
              <w:pStyle w:val="TableBody"/>
            </w:pPr>
            <w:r>
              <w:t>WBB BS Frequency</w:t>
            </w:r>
          </w:p>
        </w:tc>
        <w:tc>
          <w:tcPr>
            <w:tcW w:w="1580" w:type="dxa"/>
          </w:tcPr>
          <w:p w14:paraId="4DEEC02F" w14:textId="77777777" w:rsidR="004E78F7" w:rsidRPr="00434CF6" w:rsidRDefault="004E78F7" w:rsidP="00695A13">
            <w:pPr>
              <w:pStyle w:val="TableBody"/>
            </w:pPr>
            <w:r>
              <w:t>3700 MHz</w:t>
            </w:r>
          </w:p>
        </w:tc>
        <w:tc>
          <w:tcPr>
            <w:tcW w:w="1622" w:type="dxa"/>
          </w:tcPr>
          <w:p w14:paraId="5B4FAD14" w14:textId="77777777" w:rsidR="004E78F7" w:rsidRPr="00434CF6" w:rsidRDefault="004E78F7" w:rsidP="00695A13">
            <w:pPr>
              <w:pStyle w:val="TableBody"/>
            </w:pPr>
            <w:r>
              <w:t>3750 MHz</w:t>
            </w:r>
          </w:p>
        </w:tc>
      </w:tr>
      <w:tr w:rsidR="004E78F7" w:rsidRPr="00434CF6" w14:paraId="37C9F671"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392" w:type="dxa"/>
          </w:tcPr>
          <w:p w14:paraId="64AEE0AE" w14:textId="3372C436" w:rsidR="004E78F7" w:rsidRPr="00434CF6" w:rsidRDefault="004E78F7" w:rsidP="00695A13">
            <w:pPr>
              <w:pStyle w:val="TableBody"/>
            </w:pPr>
            <w:r>
              <w:t xml:space="preserve">Maximum TRP </w:t>
            </w:r>
            <w:r w:rsidRPr="00434CF6">
              <w:t>(in 100 MHz)</w:t>
            </w:r>
            <w:r>
              <w:t xml:space="preserve"> </w:t>
            </w:r>
            <w:r>
              <w:rPr>
                <w:rFonts w:ascii="Cambria Math" w:hAnsi="Cambria Math"/>
              </w:rPr>
              <w:br/>
            </w: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1580" w:type="dxa"/>
          </w:tcPr>
          <w:p w14:paraId="23EE6A46" w14:textId="77777777" w:rsidR="004E78F7" w:rsidRPr="00434CF6" w:rsidRDefault="004E78F7" w:rsidP="00695A13">
            <w:pPr>
              <w:pStyle w:val="TableBody"/>
            </w:pPr>
            <w:r w:rsidRPr="00434CF6">
              <w:t>53 dBm</w:t>
            </w:r>
          </w:p>
        </w:tc>
        <w:tc>
          <w:tcPr>
            <w:tcW w:w="1622" w:type="dxa"/>
          </w:tcPr>
          <w:p w14:paraId="0C6FCAF6" w14:textId="77777777" w:rsidR="004E78F7" w:rsidRPr="00434CF6" w:rsidRDefault="004E78F7" w:rsidP="00695A13">
            <w:pPr>
              <w:pStyle w:val="TableBody"/>
            </w:pPr>
            <w:r w:rsidRPr="00434CF6">
              <w:t>5</w:t>
            </w:r>
            <w:r>
              <w:t>7</w:t>
            </w:r>
            <w:r w:rsidRPr="00434CF6">
              <w:t xml:space="preserve"> dBm</w:t>
            </w:r>
          </w:p>
        </w:tc>
      </w:tr>
      <w:tr w:rsidR="004E78F7" w:rsidRPr="00434CF6" w14:paraId="3210DAC1"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392" w:type="dxa"/>
          </w:tcPr>
          <w:p w14:paraId="5A0013EF" w14:textId="3C163FC0" w:rsidR="004E78F7" w:rsidRPr="00434CF6" w:rsidRDefault="004E78F7" w:rsidP="00695A13">
            <w:pPr>
              <w:pStyle w:val="TableBody"/>
            </w:pPr>
            <w:r>
              <w:t xml:space="preserve">Base station antenna </w:t>
            </w:r>
            <w:r w:rsidRPr="00434CF6">
              <w:t>gain</w:t>
            </w:r>
            <w:r>
              <w:t xml:space="preserve">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Tx</m:t>
                    </m:r>
                  </m:sub>
                </m:sSub>
              </m:oMath>
            </m:oMathPara>
          </w:p>
        </w:tc>
        <w:tc>
          <w:tcPr>
            <w:tcW w:w="1580" w:type="dxa"/>
          </w:tcPr>
          <w:p w14:paraId="50098B38" w14:textId="77777777" w:rsidR="004E78F7" w:rsidRPr="00434CF6" w:rsidRDefault="004E78F7" w:rsidP="00695A13">
            <w:pPr>
              <w:pStyle w:val="TableBody"/>
            </w:pPr>
            <w:r w:rsidRPr="00434CF6">
              <w:t>18 dBi</w:t>
            </w:r>
          </w:p>
        </w:tc>
        <w:tc>
          <w:tcPr>
            <w:tcW w:w="1622" w:type="dxa"/>
          </w:tcPr>
          <w:p w14:paraId="192EC38E" w14:textId="77777777" w:rsidR="004E78F7" w:rsidRPr="00434CF6" w:rsidRDefault="004E78F7" w:rsidP="00695A13">
            <w:pPr>
              <w:pStyle w:val="TableBody"/>
            </w:pPr>
            <w:r w:rsidRPr="00434CF6">
              <w:t>18 dBi</w:t>
            </w:r>
          </w:p>
        </w:tc>
      </w:tr>
      <w:tr w:rsidR="004E78F7" w:rsidRPr="00434CF6" w14:paraId="0F75D491"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392" w:type="dxa"/>
          </w:tcPr>
          <w:p w14:paraId="4BA4F27B" w14:textId="239B29DF" w:rsidR="004E78F7" w:rsidRPr="00434CF6" w:rsidRDefault="004E78F7" w:rsidP="00695A13">
            <w:pPr>
              <w:pStyle w:val="TableBody"/>
            </w:pPr>
            <w:r w:rsidRPr="00434CF6">
              <w:t>Radio altimeter</w:t>
            </w:r>
            <w:r>
              <w:t xml:space="preserve"> antenna </w:t>
            </w:r>
            <w:r w:rsidRPr="00434CF6">
              <w:t>gain</w:t>
            </w:r>
            <w:r>
              <w:t xml:space="preserve"> </w:t>
            </w:r>
            <w:r>
              <w:rPr>
                <w:rFonts w:ascii="Cambria Math" w:hAnsi="Cambria Math"/>
              </w:rPr>
              <w:br/>
            </w:r>
            <m:oMathPara>
              <m:oMath>
                <m:sSub>
                  <m:sSubPr>
                    <m:ctrlPr>
                      <w:rPr>
                        <w:rFonts w:ascii="Cambria Math" w:hAnsi="Cambria Math"/>
                      </w:rPr>
                    </m:ctrlPr>
                  </m:sSubPr>
                  <m:e>
                    <m:r>
                      <w:rPr>
                        <w:rFonts w:ascii="Cambria Math" w:hAnsi="Cambria Math"/>
                      </w:rPr>
                      <m:t>G</m:t>
                    </m:r>
                  </m:e>
                  <m:sub>
                    <m:r>
                      <w:rPr>
                        <w:rFonts w:ascii="Cambria Math" w:hAnsi="Cambria Math"/>
                      </w:rPr>
                      <m:t>Rx</m:t>
                    </m:r>
                  </m:sub>
                </m:sSub>
              </m:oMath>
            </m:oMathPara>
          </w:p>
        </w:tc>
        <w:tc>
          <w:tcPr>
            <w:tcW w:w="1580" w:type="dxa"/>
          </w:tcPr>
          <w:p w14:paraId="11F746C2" w14:textId="77777777" w:rsidR="004E78F7" w:rsidRPr="00434CF6" w:rsidRDefault="004E78F7" w:rsidP="00695A13">
            <w:pPr>
              <w:pStyle w:val="TableBody"/>
            </w:pPr>
            <w:r w:rsidRPr="00434CF6">
              <w:t>0 dBi</w:t>
            </w:r>
          </w:p>
        </w:tc>
        <w:tc>
          <w:tcPr>
            <w:tcW w:w="1622" w:type="dxa"/>
          </w:tcPr>
          <w:p w14:paraId="56622D6F" w14:textId="77777777" w:rsidR="004E78F7" w:rsidRPr="00434CF6" w:rsidRDefault="004E78F7" w:rsidP="00695A13">
            <w:pPr>
              <w:pStyle w:val="TableBody"/>
            </w:pPr>
            <w:r w:rsidRPr="00434CF6">
              <w:t>0 dBi</w:t>
            </w:r>
          </w:p>
        </w:tc>
      </w:tr>
      <w:tr w:rsidR="004E78F7" w:rsidRPr="00434CF6" w14:paraId="1D84810A"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392" w:type="dxa"/>
          </w:tcPr>
          <w:p w14:paraId="36687EF7" w14:textId="77777777" w:rsidR="004E78F7" w:rsidRPr="00434CF6" w:rsidRDefault="004E78F7" w:rsidP="00695A13">
            <w:pPr>
              <w:pStyle w:val="TableBody"/>
            </w:pPr>
            <w:r w:rsidRPr="00434CF6">
              <w:t>Margin</w:t>
            </w:r>
            <w:r>
              <w:t xml:space="preserve"> </w:t>
            </w:r>
            <w:r>
              <w:rPr>
                <w:rFonts w:ascii="Cambria Math" w:hAnsi="Cambria Math"/>
                <w:i/>
              </w:rPr>
              <w:br/>
            </w:r>
          </w:p>
        </w:tc>
        <w:tc>
          <w:tcPr>
            <w:tcW w:w="1580" w:type="dxa"/>
          </w:tcPr>
          <w:p w14:paraId="61DB9DB9" w14:textId="77777777" w:rsidR="004E78F7" w:rsidRPr="00434CF6" w:rsidRDefault="004E78F7" w:rsidP="00695A13">
            <w:pPr>
              <w:pStyle w:val="TableBody"/>
            </w:pPr>
            <w:r w:rsidRPr="00434CF6">
              <w:t>0 dB</w:t>
            </w:r>
          </w:p>
        </w:tc>
        <w:tc>
          <w:tcPr>
            <w:tcW w:w="1622" w:type="dxa"/>
          </w:tcPr>
          <w:p w14:paraId="413EB3CC" w14:textId="77777777" w:rsidR="004E78F7" w:rsidRPr="00434CF6" w:rsidRDefault="004E78F7" w:rsidP="00695A13">
            <w:pPr>
              <w:pStyle w:val="TableBody"/>
            </w:pPr>
            <w:r w:rsidRPr="00434CF6">
              <w:t>0 dB</w:t>
            </w:r>
          </w:p>
        </w:tc>
      </w:tr>
      <w:tr w:rsidR="004E78F7" w:rsidRPr="00434CF6" w14:paraId="01B6F555"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392" w:type="dxa"/>
          </w:tcPr>
          <w:p w14:paraId="7F570DA2" w14:textId="1DA1A5E3" w:rsidR="004E78F7" w:rsidRPr="00434CF6" w:rsidRDefault="004E78F7" w:rsidP="00695A13">
            <w:pPr>
              <w:pStyle w:val="TableBody"/>
            </w:pPr>
            <w:r w:rsidRPr="00434CF6">
              <w:t>ITM Threshold</w:t>
            </w:r>
            <w:r>
              <w:t xml:space="preserve"> (in 100 MHz) </w:t>
            </w:r>
            <w:r>
              <w:rPr>
                <w:rFonts w:ascii="Cambria Math" w:hAnsi="Cambria Math"/>
              </w:rPr>
              <w:br/>
            </w:r>
            <m:oMathPara>
              <m:oMath>
                <m:sSub>
                  <m:sSubPr>
                    <m:ctrlPr>
                      <w:rPr>
                        <w:rFonts w:ascii="Cambria Math" w:hAnsi="Cambria Math"/>
                      </w:rPr>
                    </m:ctrlPr>
                  </m:sSubPr>
                  <m:e>
                    <m:r>
                      <w:rPr>
                        <w:rFonts w:ascii="Cambria Math" w:hAnsi="Cambria Math"/>
                      </w:rPr>
                      <m:t>ITM</m:t>
                    </m:r>
                  </m:e>
                  <m:sub>
                    <m:r>
                      <w:rPr>
                        <w:rFonts w:ascii="Cambria Math" w:hAnsi="Cambria Math"/>
                      </w:rPr>
                      <m:t>thres</m:t>
                    </m:r>
                  </m:sub>
                </m:sSub>
              </m:oMath>
            </m:oMathPara>
          </w:p>
        </w:tc>
        <w:tc>
          <w:tcPr>
            <w:tcW w:w="1580" w:type="dxa"/>
          </w:tcPr>
          <w:p w14:paraId="49B2F81C" w14:textId="77777777" w:rsidR="004E78F7" w:rsidRPr="00434CF6" w:rsidRDefault="004E78F7" w:rsidP="00695A13">
            <w:pPr>
              <w:pStyle w:val="TableBody"/>
            </w:pPr>
            <w:r w:rsidRPr="00434CF6">
              <w:t>-26 dB</w:t>
            </w:r>
            <w:r>
              <w:t>m</w:t>
            </w:r>
          </w:p>
        </w:tc>
        <w:tc>
          <w:tcPr>
            <w:tcW w:w="1622" w:type="dxa"/>
          </w:tcPr>
          <w:p w14:paraId="71E5388A" w14:textId="77777777" w:rsidR="004E78F7" w:rsidRPr="00434CF6" w:rsidRDefault="004E78F7" w:rsidP="00695A13">
            <w:pPr>
              <w:pStyle w:val="TableBody"/>
            </w:pPr>
            <w:r w:rsidRPr="00434CF6">
              <w:t>-26 dB</w:t>
            </w:r>
            <w:r>
              <w:t>m</w:t>
            </w:r>
          </w:p>
        </w:tc>
      </w:tr>
      <w:tr w:rsidR="004E78F7" w:rsidRPr="00434CF6" w14:paraId="52E09471"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392" w:type="dxa"/>
          </w:tcPr>
          <w:p w14:paraId="62EE6045" w14:textId="77777777" w:rsidR="004E78F7" w:rsidRPr="00434CF6" w:rsidRDefault="004E78F7" w:rsidP="00695A13">
            <w:pPr>
              <w:pStyle w:val="TableBody"/>
            </w:pPr>
            <w:r w:rsidRPr="00434CF6">
              <w:t>Required Path Loss</w:t>
            </w:r>
          </w:p>
        </w:tc>
        <w:tc>
          <w:tcPr>
            <w:tcW w:w="1580" w:type="dxa"/>
          </w:tcPr>
          <w:p w14:paraId="6DF01F37" w14:textId="77777777" w:rsidR="004E78F7" w:rsidRDefault="004E78F7" w:rsidP="00695A13">
            <w:pPr>
              <w:pStyle w:val="TableBody"/>
            </w:pPr>
            <w:r w:rsidRPr="00434CF6">
              <w:t>97 dB</w:t>
            </w:r>
          </w:p>
        </w:tc>
        <w:tc>
          <w:tcPr>
            <w:tcW w:w="1622" w:type="dxa"/>
          </w:tcPr>
          <w:p w14:paraId="2FEA8442" w14:textId="77777777" w:rsidR="004E78F7" w:rsidRPr="00434CF6" w:rsidRDefault="004E78F7" w:rsidP="00695A13">
            <w:pPr>
              <w:pStyle w:val="TableBody"/>
            </w:pPr>
            <w:r>
              <w:t>101</w:t>
            </w:r>
            <w:r w:rsidRPr="00434CF6">
              <w:t xml:space="preserve"> dB</w:t>
            </w:r>
          </w:p>
        </w:tc>
      </w:tr>
      <w:tr w:rsidR="004E78F7" w14:paraId="45A6C8AE"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1392" w:type="dxa"/>
          </w:tcPr>
          <w:p w14:paraId="0CABA34C" w14:textId="77777777" w:rsidR="004E78F7" w:rsidRPr="00434CF6" w:rsidRDefault="004E78F7" w:rsidP="00695A13">
            <w:pPr>
              <w:pStyle w:val="TableBody"/>
            </w:pPr>
            <w:r>
              <w:t>Equivalent distance to achieve path loss</w:t>
            </w:r>
          </w:p>
        </w:tc>
        <w:tc>
          <w:tcPr>
            <w:tcW w:w="1580" w:type="dxa"/>
          </w:tcPr>
          <w:p w14:paraId="2FA451D5" w14:textId="77777777" w:rsidR="004E78F7" w:rsidRDefault="004E78F7" w:rsidP="00695A13">
            <w:pPr>
              <w:pStyle w:val="TableBody"/>
            </w:pPr>
            <w:r>
              <w:t>452.9 m</w:t>
            </w:r>
          </w:p>
        </w:tc>
        <w:tc>
          <w:tcPr>
            <w:tcW w:w="1622" w:type="dxa"/>
          </w:tcPr>
          <w:p w14:paraId="4DE42D32" w14:textId="77777777" w:rsidR="004E78F7" w:rsidRDefault="004E78F7" w:rsidP="00695A13">
            <w:pPr>
              <w:pStyle w:val="TableBody"/>
            </w:pPr>
            <w:r>
              <w:t>717.7 m</w:t>
            </w:r>
          </w:p>
        </w:tc>
      </w:tr>
      <w:tr w:rsidR="004E78F7" w14:paraId="75CC101D"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392" w:type="dxa"/>
          </w:tcPr>
          <w:p w14:paraId="2A6D9C2B" w14:textId="77777777" w:rsidR="004E78F7" w:rsidRDefault="004E78F7" w:rsidP="00695A13">
            <w:pPr>
              <w:pStyle w:val="TableBody"/>
            </w:pPr>
            <w:r>
              <w:t>Restricted zone half-width</w:t>
            </w:r>
          </w:p>
        </w:tc>
        <w:tc>
          <w:tcPr>
            <w:tcW w:w="1580" w:type="dxa"/>
          </w:tcPr>
          <w:p w14:paraId="4A0CF91C" w14:textId="77777777" w:rsidR="004E78F7" w:rsidRDefault="004E78F7" w:rsidP="00695A13">
            <w:pPr>
              <w:pStyle w:val="TableBody"/>
            </w:pPr>
            <w:r>
              <w:t>320.2 m (Rounded up to 400 m)</w:t>
            </w:r>
          </w:p>
        </w:tc>
        <w:tc>
          <w:tcPr>
            <w:tcW w:w="1622" w:type="dxa"/>
          </w:tcPr>
          <w:p w14:paraId="6EBD78B1" w14:textId="77777777" w:rsidR="004E78F7" w:rsidRDefault="004E78F7" w:rsidP="00695A13">
            <w:pPr>
              <w:pStyle w:val="TableBody"/>
            </w:pPr>
            <w:r>
              <w:t>507.5 m (Rounded up to 510 m)</w:t>
            </w:r>
          </w:p>
        </w:tc>
      </w:tr>
    </w:tbl>
    <w:p w14:paraId="5ADA5FD7" w14:textId="77777777" w:rsidR="001D31D8" w:rsidRDefault="001D31D8" w:rsidP="00257BC6">
      <w:pPr>
        <w:pStyle w:val="Spaceaftertable"/>
      </w:pPr>
    </w:p>
    <w:p w14:paraId="0B03A0ED" w14:textId="77777777" w:rsidR="007E7E71" w:rsidRDefault="007E7E71">
      <w:pPr>
        <w:spacing w:after="0" w:line="240" w:lineRule="auto"/>
        <w:rPr>
          <w:rFonts w:cs="Arial"/>
          <w:b/>
          <w:bCs/>
          <w:szCs w:val="26"/>
        </w:rPr>
      </w:pPr>
      <w:r>
        <w:br w:type="page"/>
      </w:r>
    </w:p>
    <w:p w14:paraId="235C192D" w14:textId="5D888EC7" w:rsidR="006E06F0" w:rsidRDefault="006E06F0" w:rsidP="006E06F0">
      <w:pPr>
        <w:pStyle w:val="Heading3"/>
      </w:pPr>
      <w:r>
        <w:t>PFD limit comparison</w:t>
      </w:r>
    </w:p>
    <w:p w14:paraId="1F3E931D" w14:textId="3D2D2768" w:rsidR="006E06F0" w:rsidRDefault="006E06F0" w:rsidP="006E06F0">
      <w:pPr>
        <w:pStyle w:val="Numberedparagraphbeforelist"/>
        <w:spacing w:after="240"/>
      </w:pPr>
      <w:r>
        <w:t xml:space="preserve">ISED established a PFD limit of -38.80 </w:t>
      </w:r>
      <w:r w:rsidRPr="00DE7273">
        <w:t>dBW/m</w:t>
      </w:r>
      <w:r w:rsidRPr="00FA714F">
        <w:rPr>
          <w:vertAlign w:val="superscript"/>
        </w:rPr>
        <w:t>2</w:t>
      </w:r>
      <w:r w:rsidRPr="00DE7273">
        <w:t>/MHz</w:t>
      </w:r>
      <w:r>
        <w:t xml:space="preserve"> at 91.44 metres above ground and the ACMA example 3750 MHz PFD limit is </w:t>
      </w:r>
      <w:r w:rsidR="00CF1900" w:rsidRPr="00D84640">
        <w:t>-3</w:t>
      </w:r>
      <w:r w:rsidR="00CF1900">
        <w:t>9</w:t>
      </w:r>
      <w:r w:rsidR="00CF1900" w:rsidRPr="00D84640">
        <w:t>.</w:t>
      </w:r>
      <w:r w:rsidR="00CF1900">
        <w:t>25</w:t>
      </w:r>
      <w:r w:rsidR="00CF1900" w:rsidRPr="00D84640">
        <w:t xml:space="preserve"> </w:t>
      </w:r>
      <w:r w:rsidRPr="00DE7273">
        <w:t>dBW/m</w:t>
      </w:r>
      <w:r w:rsidRPr="00FA714F">
        <w:rPr>
          <w:vertAlign w:val="superscript"/>
        </w:rPr>
        <w:t>2</w:t>
      </w:r>
      <w:r w:rsidRPr="00DE7273">
        <w:t>/MHz</w:t>
      </w:r>
      <w:r>
        <w:t xml:space="preserve"> </w:t>
      </w:r>
      <w:r w:rsidR="00CF1900">
        <w:t xml:space="preserve">126.6 </w:t>
      </w:r>
      <w:r>
        <w:t>metres above ground (unrounded).</w:t>
      </w:r>
    </w:p>
    <w:p w14:paraId="3E9E891D" w14:textId="77777777" w:rsidR="006E06F0" w:rsidRDefault="006E06F0" w:rsidP="006E06F0">
      <w:pPr>
        <w:pStyle w:val="Numberedparagraphbeforelist"/>
        <w:spacing w:after="240"/>
      </w:pPr>
      <w:r>
        <w:t>The differences in the Australian scenario are:</w:t>
      </w:r>
    </w:p>
    <w:p w14:paraId="62FF059C" w14:textId="3858C50F" w:rsidR="006E06F0" w:rsidRDefault="006E06F0" w:rsidP="006E06F0">
      <w:pPr>
        <w:pStyle w:val="Numberedparagraphbeforelist"/>
        <w:numPr>
          <w:ilvl w:val="2"/>
          <w:numId w:val="13"/>
        </w:numPr>
        <w:spacing w:after="240"/>
      </w:pPr>
      <w:r>
        <w:t xml:space="preserve">The aircraft height at the boundary of the exclusion and restricted zones is related to the length of the exclusion zone. The ISED limit is calculated at 91.44 metres (300 ft) whereas the ACMA altitude at 3700 MHz is </w:t>
      </w:r>
      <w:r w:rsidR="00CF1900">
        <w:t>126.6 metres (415 ft).</w:t>
      </w:r>
    </w:p>
    <w:p w14:paraId="6C8716F9" w14:textId="32EBE146" w:rsidR="006E06F0" w:rsidRDefault="006E06F0" w:rsidP="006E06F0">
      <w:pPr>
        <w:pStyle w:val="Numberedparagraphbeforelist"/>
        <w:numPr>
          <w:ilvl w:val="3"/>
          <w:numId w:val="13"/>
        </w:numPr>
        <w:spacing w:after="240"/>
      </w:pPr>
      <w:r>
        <w:t>The longer the exclusion zone</w:t>
      </w:r>
      <w:r w:rsidR="007E7E71">
        <w:t xml:space="preserve"> extension</w:t>
      </w:r>
      <w:r>
        <w:t xml:space="preserve"> length the higher the altitude of the aircraft. The altitude of the aircraft adjusts the interpolation value of the ITM PSD interference threshold. Between 200 ft and 5000 ft the UC 1 ITM (Figure 9-1) has a decreasing threshold as altitude increases.</w:t>
      </w:r>
    </w:p>
    <w:p w14:paraId="15893E7A" w14:textId="5C4FB3CC" w:rsidR="006E06F0" w:rsidRDefault="006E06F0" w:rsidP="006E06F0">
      <w:pPr>
        <w:pStyle w:val="Numberedparagraphbeforelist"/>
        <w:numPr>
          <w:ilvl w:val="3"/>
          <w:numId w:val="13"/>
        </w:numPr>
        <w:spacing w:after="240"/>
      </w:pPr>
      <w:r w:rsidRPr="007B200D">
        <w:t xml:space="preserve">For base stations operating between </w:t>
      </w:r>
      <w:r w:rsidRPr="00257BC6">
        <w:t>3800-4000</w:t>
      </w:r>
      <w:r w:rsidRPr="007B200D">
        <w:t xml:space="preserve"> MHz, the aircraft</w:t>
      </w:r>
      <w:r>
        <w:t xml:space="preserve"> height will increase as frequency increases. As the frequency increases, the exclusion zone </w:t>
      </w:r>
      <w:r w:rsidR="007E7E71">
        <w:t>extension</w:t>
      </w:r>
      <w:r w:rsidR="00D9503F">
        <w:t xml:space="preserve"> </w:t>
      </w:r>
      <w:r>
        <w:t>length increases which will increase the aircraft height at the boundary.</w:t>
      </w:r>
    </w:p>
    <w:p w14:paraId="4D2E9713" w14:textId="60FFFDAC" w:rsidR="006E06F0" w:rsidRPr="007B200D" w:rsidRDefault="006E06F0" w:rsidP="006E06F0">
      <w:pPr>
        <w:pStyle w:val="Numberedparagraphbeforelist"/>
        <w:numPr>
          <w:ilvl w:val="2"/>
          <w:numId w:val="13"/>
        </w:numPr>
        <w:spacing w:after="240"/>
      </w:pPr>
      <w:r>
        <w:t>The centre frequency of the WBB base station in the ISED case is 3650 MHz, the ACMA example uses 3750 MHz</w:t>
      </w:r>
      <w:r w:rsidR="00E72D4C">
        <w:t>.</w:t>
      </w:r>
    </w:p>
    <w:p w14:paraId="0F669C0E" w14:textId="77777777" w:rsidR="006E06F0" w:rsidRPr="00D13C5A" w:rsidRDefault="006E06F0" w:rsidP="006E06F0">
      <w:pPr>
        <w:pStyle w:val="Numberedparagraphbeforelist"/>
        <w:numPr>
          <w:ilvl w:val="3"/>
          <w:numId w:val="13"/>
        </w:numPr>
        <w:spacing w:after="240"/>
      </w:pPr>
      <w:r>
        <w:t xml:space="preserve">This adjusts the </w:t>
      </w:r>
      <w:r>
        <w:rPr>
          <w:bCs/>
        </w:rPr>
        <w:t>effective aperture of the receiver antenna, which decreases the PFD limit as frequencies increase.</w:t>
      </w:r>
    </w:p>
    <w:p w14:paraId="6E7D8AFE" w14:textId="351E7F2F" w:rsidR="006E06F0" w:rsidRPr="00D13C5A" w:rsidRDefault="006E06F0" w:rsidP="006E06F0">
      <w:pPr>
        <w:pStyle w:val="Numberedparagraphbeforelist"/>
        <w:numPr>
          <w:ilvl w:val="3"/>
          <w:numId w:val="13"/>
        </w:numPr>
        <w:spacing w:after="240"/>
      </w:pPr>
      <w:r>
        <w:rPr>
          <w:bCs/>
        </w:rPr>
        <w:t>However</w:t>
      </w:r>
      <w:r w:rsidR="00EE0BD9">
        <w:rPr>
          <w:bCs/>
        </w:rPr>
        <w:t>,</w:t>
      </w:r>
      <w:r>
        <w:rPr>
          <w:bCs/>
        </w:rPr>
        <w:t xml:space="preserve"> the change in the PFD limit is small, with less than a dB between 3700</w:t>
      </w:r>
      <w:r w:rsidRPr="0009227A">
        <w:rPr>
          <w:bCs/>
        </w:rPr>
        <w:t xml:space="preserve"> </w:t>
      </w:r>
      <w:r>
        <w:rPr>
          <w:bCs/>
        </w:rPr>
        <w:t>MHz and 4000 MHz.</w:t>
      </w:r>
    </w:p>
    <w:p w14:paraId="614A1E2B" w14:textId="77777777" w:rsidR="006E06F0" w:rsidRDefault="006E06F0" w:rsidP="006E06F0">
      <w:pPr>
        <w:pStyle w:val="Numberedparagraph"/>
        <w:numPr>
          <w:ilvl w:val="2"/>
          <w:numId w:val="13"/>
        </w:numPr>
      </w:pPr>
      <w:r>
        <w:t>The ITM threshold value is interpolated at different frequencies and altitudes in the ACMA calculation.</w:t>
      </w:r>
    </w:p>
    <w:p w14:paraId="73744709" w14:textId="6B9451A7" w:rsidR="006E06F0" w:rsidRDefault="006E06F0" w:rsidP="006E06F0">
      <w:pPr>
        <w:pStyle w:val="Numberedparagraph"/>
        <w:numPr>
          <w:ilvl w:val="3"/>
          <w:numId w:val="13"/>
        </w:numPr>
      </w:pPr>
      <w:r>
        <w:t xml:space="preserve">The </w:t>
      </w:r>
      <w:r w:rsidRPr="00345F73">
        <w:t>linear piece-wise interpolation</w:t>
      </w:r>
      <w:r>
        <w:t xml:space="preserve"> of the ITM thresholds at 3750 MHz, </w:t>
      </w:r>
      <w:r w:rsidRPr="007B200D">
        <w:t xml:space="preserve">3850 MHz and 3930 MHz to in-between frequencies in Figure </w:t>
      </w:r>
      <w:r w:rsidR="00B77467" w:rsidRPr="007B200D">
        <w:t>8</w:t>
      </w:r>
      <w:r w:rsidRPr="007B200D">
        <w:t xml:space="preserve"> show</w:t>
      </w:r>
      <w:r>
        <w:t xml:space="preserve"> a decreasing ITM threshold as frequency increases.</w:t>
      </w:r>
    </w:p>
    <w:p w14:paraId="4ED6284B" w14:textId="77777777" w:rsidR="006E06F0" w:rsidRDefault="006E06F0" w:rsidP="006E06F0">
      <w:pPr>
        <w:pStyle w:val="Numberedparagraph"/>
        <w:numPr>
          <w:ilvl w:val="3"/>
          <w:numId w:val="13"/>
        </w:numPr>
      </w:pPr>
      <w:r>
        <w:t>An addition to interpolation between frequencies the interpolation between aircraft altitude also shows a decreasing ITM threshold as frequency increases. A lower threshold requires greater path loss and therefore greater distances.</w:t>
      </w:r>
    </w:p>
    <w:p w14:paraId="08D4A130" w14:textId="77777777" w:rsidR="006E06F0" w:rsidRDefault="006E06F0" w:rsidP="006E06F0">
      <w:pPr>
        <w:pStyle w:val="ACMATableHeader"/>
      </w:pPr>
      <w:r>
        <w:t>Comparison between ANFR and ACMA calculations</w:t>
      </w:r>
    </w:p>
    <w:tbl>
      <w:tblPr>
        <w:tblStyle w:val="ACMAtablestyle"/>
        <w:tblW w:w="5727" w:type="dxa"/>
        <w:jc w:val="center"/>
        <w:tblLook w:val="04A0" w:firstRow="1" w:lastRow="0" w:firstColumn="1" w:lastColumn="0" w:noHBand="0" w:noVBand="1"/>
      </w:tblPr>
      <w:tblGrid>
        <w:gridCol w:w="1687"/>
        <w:gridCol w:w="2020"/>
        <w:gridCol w:w="2020"/>
      </w:tblGrid>
      <w:tr w:rsidR="00B56F13" w14:paraId="25753319" w14:textId="77777777" w:rsidTr="007E7E71">
        <w:trPr>
          <w:cnfStyle w:val="100000000000" w:firstRow="1" w:lastRow="0" w:firstColumn="0" w:lastColumn="0" w:oddVBand="0" w:evenVBand="0" w:oddHBand="0" w:evenHBand="0" w:firstRowFirstColumn="0" w:firstRowLastColumn="0" w:lastRowFirstColumn="0" w:lastRowLastColumn="0"/>
          <w:jc w:val="center"/>
        </w:trPr>
        <w:tc>
          <w:tcPr>
            <w:tcW w:w="0" w:type="dxa"/>
          </w:tcPr>
          <w:p w14:paraId="60385D0B" w14:textId="77777777" w:rsidR="006E06F0" w:rsidRDefault="006E06F0" w:rsidP="00695A13">
            <w:pPr>
              <w:pStyle w:val="Tableheaderrow"/>
            </w:pPr>
            <w:r>
              <w:t>Parameter</w:t>
            </w:r>
          </w:p>
        </w:tc>
        <w:tc>
          <w:tcPr>
            <w:tcW w:w="0" w:type="dxa"/>
          </w:tcPr>
          <w:p w14:paraId="6D564815" w14:textId="78FEF431" w:rsidR="006E06F0" w:rsidRDefault="006E06F0" w:rsidP="00695A13">
            <w:pPr>
              <w:pStyle w:val="Tableheaderrow"/>
            </w:pPr>
            <w:r>
              <w:t xml:space="preserve">ISED </w:t>
            </w:r>
            <w:r w:rsidR="00D9503F">
              <w:t xml:space="preserve">example </w:t>
            </w:r>
            <w:r>
              <w:t>Value</w:t>
            </w:r>
          </w:p>
        </w:tc>
        <w:tc>
          <w:tcPr>
            <w:tcW w:w="0" w:type="dxa"/>
          </w:tcPr>
          <w:p w14:paraId="22184CB6" w14:textId="31083CCC" w:rsidR="006E06F0" w:rsidRDefault="006E06F0" w:rsidP="00695A13">
            <w:pPr>
              <w:pStyle w:val="Tableheaderrow"/>
            </w:pPr>
            <w:r>
              <w:t xml:space="preserve">ACMA </w:t>
            </w:r>
            <w:r w:rsidR="00D9503F">
              <w:t xml:space="preserve">example </w:t>
            </w:r>
            <w:r>
              <w:t>Value</w:t>
            </w:r>
          </w:p>
        </w:tc>
      </w:tr>
      <w:tr w:rsidR="00B56F13" w14:paraId="48048818" w14:textId="77777777" w:rsidTr="007E7E71">
        <w:trPr>
          <w:cnfStyle w:val="000000100000" w:firstRow="0" w:lastRow="0" w:firstColumn="0" w:lastColumn="0" w:oddVBand="0" w:evenVBand="0" w:oddHBand="1" w:evenHBand="0" w:firstRowFirstColumn="0" w:firstRowLastColumn="0" w:lastRowFirstColumn="0" w:lastRowLastColumn="0"/>
          <w:jc w:val="center"/>
        </w:trPr>
        <w:tc>
          <w:tcPr>
            <w:tcW w:w="0" w:type="dxa"/>
          </w:tcPr>
          <w:p w14:paraId="512AB5C0" w14:textId="77777777" w:rsidR="006E06F0" w:rsidRDefault="006E06F0" w:rsidP="00695A13">
            <w:pPr>
              <w:pStyle w:val="TableBody"/>
            </w:pPr>
            <w:r>
              <w:t xml:space="preserve">Centre frequency </w:t>
            </w:r>
            <m:oMath>
              <m:r>
                <w:rPr>
                  <w:rFonts w:ascii="Cambria Math" w:hAnsi="Cambria Math"/>
                </w:rPr>
                <m:t>f</m:t>
              </m:r>
            </m:oMath>
          </w:p>
        </w:tc>
        <w:tc>
          <w:tcPr>
            <w:tcW w:w="0" w:type="dxa"/>
          </w:tcPr>
          <w:p w14:paraId="6E8B75B7" w14:textId="77777777" w:rsidR="006E06F0" w:rsidRPr="00C102E0" w:rsidRDefault="006E06F0" w:rsidP="00695A13">
            <w:pPr>
              <w:pStyle w:val="TableBody"/>
            </w:pPr>
            <w:r w:rsidRPr="00C102E0">
              <w:t>3650 MHz</w:t>
            </w:r>
          </w:p>
        </w:tc>
        <w:tc>
          <w:tcPr>
            <w:tcW w:w="0" w:type="dxa"/>
          </w:tcPr>
          <w:p w14:paraId="772FEE0E" w14:textId="77777777" w:rsidR="006E06F0" w:rsidRDefault="006E06F0" w:rsidP="00695A13">
            <w:pPr>
              <w:pStyle w:val="TableBody"/>
            </w:pPr>
            <w:r>
              <w:t>3750 MHz</w:t>
            </w:r>
          </w:p>
        </w:tc>
      </w:tr>
      <w:tr w:rsidR="006E06F0" w14:paraId="508522C0" w14:textId="77777777" w:rsidTr="007E7E71">
        <w:trPr>
          <w:cnfStyle w:val="000000010000" w:firstRow="0" w:lastRow="0" w:firstColumn="0" w:lastColumn="0" w:oddVBand="0" w:evenVBand="0" w:oddHBand="0" w:evenHBand="1" w:firstRowFirstColumn="0" w:firstRowLastColumn="0" w:lastRowFirstColumn="0" w:lastRowLastColumn="0"/>
          <w:jc w:val="center"/>
        </w:trPr>
        <w:tc>
          <w:tcPr>
            <w:tcW w:w="0" w:type="dxa"/>
          </w:tcPr>
          <w:p w14:paraId="34E16FCE" w14:textId="1F1515F3" w:rsidR="006E06F0" w:rsidRDefault="006E06F0" w:rsidP="00695A13">
            <w:pPr>
              <w:pStyle w:val="TableBody"/>
            </w:pPr>
            <w:r>
              <w:t>Exclusion zone</w:t>
            </w:r>
            <w:r w:rsidR="007E7E71">
              <w:t xml:space="preserve"> extension</w:t>
            </w:r>
            <w:r>
              <w:t xml:space="preserve"> length from end of runway</w:t>
            </w:r>
          </w:p>
        </w:tc>
        <w:tc>
          <w:tcPr>
            <w:tcW w:w="0" w:type="dxa"/>
          </w:tcPr>
          <w:p w14:paraId="478B08E7" w14:textId="77777777" w:rsidR="006E06F0" w:rsidRDefault="006E06F0" w:rsidP="00695A13">
            <w:pPr>
              <w:pStyle w:val="TableBody"/>
            </w:pPr>
            <w:r w:rsidRPr="00C102E0">
              <w:t>2100 metres</w:t>
            </w:r>
          </w:p>
        </w:tc>
        <w:tc>
          <w:tcPr>
            <w:tcW w:w="0" w:type="dxa"/>
          </w:tcPr>
          <w:p w14:paraId="3BE1624E" w14:textId="77777777" w:rsidR="006E06F0" w:rsidRDefault="006E06F0" w:rsidP="00695A13">
            <w:pPr>
              <w:pStyle w:val="TableBody"/>
            </w:pPr>
            <w:r>
              <w:t>2562 metres</w:t>
            </w:r>
          </w:p>
        </w:tc>
      </w:tr>
      <w:tr w:rsidR="00B56F13" w14:paraId="25B0935A" w14:textId="77777777" w:rsidTr="007E7E71">
        <w:trPr>
          <w:cnfStyle w:val="000000100000" w:firstRow="0" w:lastRow="0" w:firstColumn="0" w:lastColumn="0" w:oddVBand="0" w:evenVBand="0" w:oddHBand="1" w:evenHBand="0" w:firstRowFirstColumn="0" w:firstRowLastColumn="0" w:lastRowFirstColumn="0" w:lastRowLastColumn="0"/>
          <w:jc w:val="center"/>
        </w:trPr>
        <w:tc>
          <w:tcPr>
            <w:tcW w:w="0" w:type="dxa"/>
          </w:tcPr>
          <w:p w14:paraId="1E93067B" w14:textId="77777777" w:rsidR="006E06F0" w:rsidRDefault="006E06F0" w:rsidP="00695A13">
            <w:pPr>
              <w:pStyle w:val="TableBody"/>
            </w:pPr>
            <w:r>
              <w:t>Aircraft height at boundary/ Power flux density limit restriction height</w:t>
            </w:r>
          </w:p>
        </w:tc>
        <w:tc>
          <w:tcPr>
            <w:tcW w:w="0" w:type="dxa"/>
          </w:tcPr>
          <w:p w14:paraId="096C5149" w14:textId="77777777" w:rsidR="006E06F0" w:rsidRDefault="006E06F0" w:rsidP="00695A13">
            <w:pPr>
              <w:pStyle w:val="TableBody"/>
            </w:pPr>
            <w:r w:rsidRPr="00C102E0">
              <w:t>91.44 metres (300 ft)</w:t>
            </w:r>
          </w:p>
        </w:tc>
        <w:tc>
          <w:tcPr>
            <w:tcW w:w="0" w:type="dxa"/>
          </w:tcPr>
          <w:p w14:paraId="1B7724A1" w14:textId="222D24AE" w:rsidR="006E06F0" w:rsidRDefault="00827271" w:rsidP="00695A13">
            <w:pPr>
              <w:pStyle w:val="TableBody"/>
            </w:pPr>
            <w:r w:rsidRPr="00827271">
              <w:t>126.6 metres (415 ft)</w:t>
            </w:r>
          </w:p>
        </w:tc>
      </w:tr>
      <w:tr w:rsidR="006E06F0" w14:paraId="200C6E92" w14:textId="77777777" w:rsidTr="007E7E71">
        <w:trPr>
          <w:cnfStyle w:val="000000010000" w:firstRow="0" w:lastRow="0" w:firstColumn="0" w:lastColumn="0" w:oddVBand="0" w:evenVBand="0" w:oddHBand="0" w:evenHBand="1" w:firstRowFirstColumn="0" w:firstRowLastColumn="0" w:lastRowFirstColumn="0" w:lastRowLastColumn="0"/>
          <w:jc w:val="center"/>
        </w:trPr>
        <w:tc>
          <w:tcPr>
            <w:tcW w:w="0" w:type="dxa"/>
          </w:tcPr>
          <w:p w14:paraId="532E8771" w14:textId="77777777" w:rsidR="006E06F0" w:rsidRPr="00D13C5A" w:rsidRDefault="006E06F0" w:rsidP="00695A13">
            <w:pPr>
              <w:pStyle w:val="Paragraph"/>
              <w:rPr>
                <w:bCs/>
              </w:rPr>
            </w:pPr>
            <w:r>
              <w:rPr>
                <w:bCs/>
              </w:rPr>
              <w:t xml:space="preserve">Effective aperture of the receiver antenna </w:t>
            </w:r>
            <m:oMath>
              <m:sSub>
                <m:sSubPr>
                  <m:ctrlPr>
                    <w:rPr>
                      <w:rFonts w:ascii="Cambria Math" w:hAnsi="Cambria Math"/>
                      <w:bCs/>
                      <w:i/>
                    </w:rPr>
                  </m:ctrlPr>
                </m:sSubPr>
                <m:e>
                  <m:r>
                    <w:rPr>
                      <w:rFonts w:ascii="Cambria Math" w:hAnsi="Cambria Math"/>
                    </w:rPr>
                    <m:t>A</m:t>
                  </m:r>
                </m:e>
                <m:sub>
                  <m:r>
                    <w:rPr>
                      <w:rFonts w:ascii="Cambria Math" w:hAnsi="Cambria Math"/>
                    </w:rPr>
                    <m:t>r</m:t>
                  </m:r>
                </m:sub>
              </m:sSub>
            </m:oMath>
          </w:p>
        </w:tc>
        <w:tc>
          <w:tcPr>
            <w:tcW w:w="0" w:type="dxa"/>
          </w:tcPr>
          <w:p w14:paraId="3B0EDDB5" w14:textId="77777777" w:rsidR="006E06F0" w:rsidRDefault="006E06F0" w:rsidP="00695A13">
            <w:pPr>
              <w:pStyle w:val="TableBody"/>
            </w:pPr>
            <w:r>
              <w:t>5.38 x 10</w:t>
            </w:r>
            <w:r>
              <w:rPr>
                <w:vertAlign w:val="superscript"/>
              </w:rPr>
              <w:t>-4</w:t>
            </w:r>
            <w:r>
              <w:t xml:space="preserve"> m</w:t>
            </w:r>
            <w:r>
              <w:rPr>
                <w:vertAlign w:val="superscript"/>
              </w:rPr>
              <w:t>2</w:t>
            </w:r>
          </w:p>
        </w:tc>
        <w:tc>
          <w:tcPr>
            <w:tcW w:w="0" w:type="dxa"/>
          </w:tcPr>
          <w:p w14:paraId="445C328F" w14:textId="77777777" w:rsidR="006E06F0" w:rsidRPr="00D13C5A" w:rsidRDefault="006E06F0" w:rsidP="00695A13">
            <w:pPr>
              <w:pStyle w:val="TableBody"/>
              <w:rPr>
                <w:vertAlign w:val="superscript"/>
              </w:rPr>
            </w:pPr>
            <w:r>
              <w:t>5.09 x 10</w:t>
            </w:r>
            <w:r>
              <w:rPr>
                <w:vertAlign w:val="superscript"/>
              </w:rPr>
              <w:t>-4</w:t>
            </w:r>
            <w:r>
              <w:t xml:space="preserve"> m</w:t>
            </w:r>
            <w:r>
              <w:rPr>
                <w:vertAlign w:val="superscript"/>
              </w:rPr>
              <w:t>2</w:t>
            </w:r>
          </w:p>
        </w:tc>
      </w:tr>
      <w:tr w:rsidR="00B56F13" w14:paraId="0E0A9201" w14:textId="77777777" w:rsidTr="007E7E71">
        <w:trPr>
          <w:cnfStyle w:val="000000100000" w:firstRow="0" w:lastRow="0" w:firstColumn="0" w:lastColumn="0" w:oddVBand="0" w:evenVBand="0" w:oddHBand="1" w:evenHBand="0" w:firstRowFirstColumn="0" w:firstRowLastColumn="0" w:lastRowFirstColumn="0" w:lastRowLastColumn="0"/>
          <w:jc w:val="center"/>
        </w:trPr>
        <w:tc>
          <w:tcPr>
            <w:tcW w:w="0" w:type="dxa"/>
          </w:tcPr>
          <w:p w14:paraId="17FA899E" w14:textId="77777777" w:rsidR="006E06F0" w:rsidRDefault="006E06F0" w:rsidP="00695A13">
            <w:pPr>
              <w:pStyle w:val="TableBody"/>
            </w:pPr>
            <w:r>
              <w:t xml:space="preserve">ITM threshold value </w:t>
            </w:r>
            <m:oMath>
              <m:r>
                <w:rPr>
                  <w:rFonts w:ascii="Cambria Math" w:hAnsi="Cambria Math"/>
                </w:rPr>
                <m:t>PSD</m:t>
              </m:r>
            </m:oMath>
          </w:p>
        </w:tc>
        <w:tc>
          <w:tcPr>
            <w:tcW w:w="0" w:type="dxa"/>
          </w:tcPr>
          <w:p w14:paraId="017E3D2E" w14:textId="77777777" w:rsidR="006E06F0" w:rsidRDefault="006E06F0" w:rsidP="00695A13">
            <w:pPr>
              <w:pStyle w:val="TableBody"/>
            </w:pPr>
            <w:r w:rsidRPr="00C102E0">
              <w:t>-41.5 dBm/MHz</w:t>
            </w:r>
          </w:p>
        </w:tc>
        <w:tc>
          <w:tcPr>
            <w:tcW w:w="0" w:type="dxa"/>
          </w:tcPr>
          <w:p w14:paraId="62FDCBD3" w14:textId="185D784F" w:rsidR="006E06F0" w:rsidRDefault="00827271" w:rsidP="00695A13">
            <w:pPr>
              <w:pStyle w:val="TableBody"/>
            </w:pPr>
            <w:r w:rsidRPr="00827271">
              <w:t>-42.18 dBm/MHz</w:t>
            </w:r>
          </w:p>
        </w:tc>
      </w:tr>
      <w:tr w:rsidR="006E06F0" w14:paraId="7C1C1A2D" w14:textId="77777777" w:rsidTr="007E7E71">
        <w:trPr>
          <w:cnfStyle w:val="000000010000" w:firstRow="0" w:lastRow="0" w:firstColumn="0" w:lastColumn="0" w:oddVBand="0" w:evenVBand="0" w:oddHBand="0" w:evenHBand="1" w:firstRowFirstColumn="0" w:firstRowLastColumn="0" w:lastRowFirstColumn="0" w:lastRowLastColumn="0"/>
          <w:jc w:val="center"/>
        </w:trPr>
        <w:tc>
          <w:tcPr>
            <w:tcW w:w="0" w:type="dxa"/>
          </w:tcPr>
          <w:p w14:paraId="24907380" w14:textId="77777777" w:rsidR="006E06F0" w:rsidRDefault="006E06F0" w:rsidP="00695A13">
            <w:pPr>
              <w:pStyle w:val="TableBody"/>
            </w:pPr>
            <w:r>
              <w:t>Power flux density limit</w:t>
            </w:r>
          </w:p>
        </w:tc>
        <w:tc>
          <w:tcPr>
            <w:tcW w:w="0" w:type="dxa"/>
          </w:tcPr>
          <w:p w14:paraId="54ABCA8B" w14:textId="77777777" w:rsidR="006E06F0" w:rsidRPr="00D84640" w:rsidRDefault="006E06F0" w:rsidP="00695A13">
            <w:pPr>
              <w:pStyle w:val="TableBody"/>
            </w:pPr>
            <w:r w:rsidRPr="00C102E0">
              <w:t>-38.80 dBW/m</w:t>
            </w:r>
            <w:r w:rsidRPr="00C102E0">
              <w:rPr>
                <w:vertAlign w:val="superscript"/>
              </w:rPr>
              <w:t>2</w:t>
            </w:r>
            <w:r w:rsidRPr="00C102E0">
              <w:t>/MHz</w:t>
            </w:r>
          </w:p>
        </w:tc>
        <w:tc>
          <w:tcPr>
            <w:tcW w:w="0" w:type="dxa"/>
          </w:tcPr>
          <w:p w14:paraId="5D86168D" w14:textId="0D08A453" w:rsidR="006E06F0" w:rsidRPr="00D84640" w:rsidRDefault="00827271" w:rsidP="00695A13">
            <w:pPr>
              <w:pStyle w:val="TableBody"/>
            </w:pPr>
            <w:r w:rsidRPr="00827271">
              <w:t>-39.25 dBW/m</w:t>
            </w:r>
            <w:r w:rsidR="00E72D4C" w:rsidRPr="00C102E0">
              <w:rPr>
                <w:vertAlign w:val="superscript"/>
              </w:rPr>
              <w:t>2</w:t>
            </w:r>
            <w:r w:rsidRPr="00827271">
              <w:t>/MHz</w:t>
            </w:r>
          </w:p>
        </w:tc>
      </w:tr>
    </w:tbl>
    <w:p w14:paraId="5D253352" w14:textId="77777777" w:rsidR="006E06F0" w:rsidRDefault="006E06F0" w:rsidP="006E06F0">
      <w:pPr>
        <w:pStyle w:val="Paragraph"/>
      </w:pPr>
    </w:p>
    <w:p w14:paraId="772EBE1B" w14:textId="77777777" w:rsidR="006E06F0" w:rsidRDefault="006E06F0" w:rsidP="006E06F0">
      <w:pPr>
        <w:pStyle w:val="Spaceaftertable"/>
        <w:rPr>
          <w:sz w:val="28"/>
          <w:szCs w:val="28"/>
        </w:rPr>
      </w:pPr>
      <w:r>
        <w:br w:type="page"/>
      </w:r>
    </w:p>
    <w:p w14:paraId="57401289" w14:textId="77777777" w:rsidR="006E06F0" w:rsidRPr="00727058" w:rsidRDefault="006E06F0" w:rsidP="006E06F0">
      <w:pPr>
        <w:pStyle w:val="Heading2"/>
        <w:rPr>
          <w:b w:val="0"/>
          <w:bCs w:val="0"/>
          <w:iCs w:val="0"/>
        </w:rPr>
      </w:pPr>
      <w:bookmarkStart w:id="121" w:name="_Toc116041923"/>
      <w:r>
        <w:t>General mitigations</w:t>
      </w:r>
      <w:bookmarkEnd w:id="121"/>
    </w:p>
    <w:p w14:paraId="5013EE01" w14:textId="4CCB9974" w:rsidR="006E06F0" w:rsidRDefault="006E06F0" w:rsidP="006E06F0">
      <w:pPr>
        <w:pStyle w:val="ListContinue"/>
        <w:numPr>
          <w:ilvl w:val="1"/>
          <w:numId w:val="13"/>
        </w:numPr>
      </w:pPr>
      <w:r>
        <w:t>In addition to specific mitigations around airports, general mitigations have been identified</w:t>
      </w:r>
      <w:r w:rsidR="00D9503F">
        <w:t xml:space="preserve"> which are proposed to apply everywhere</w:t>
      </w:r>
      <w:r>
        <w:t xml:space="preserve">. </w:t>
      </w:r>
    </w:p>
    <w:p w14:paraId="279E8D35" w14:textId="77777777" w:rsidR="006E06F0" w:rsidRDefault="006E06F0" w:rsidP="006E06F0">
      <w:pPr>
        <w:pStyle w:val="Heading3"/>
      </w:pPr>
      <w:r>
        <w:t xml:space="preserve">WBB base station unwanted emission limits </w:t>
      </w:r>
    </w:p>
    <w:p w14:paraId="089BF2DD" w14:textId="0F19EF5E" w:rsidR="006E06F0" w:rsidRPr="00345F73" w:rsidRDefault="006E06F0" w:rsidP="006E06F0">
      <w:pPr>
        <w:pStyle w:val="ListContinue"/>
        <w:numPr>
          <w:ilvl w:val="1"/>
          <w:numId w:val="13"/>
        </w:numPr>
        <w:rPr>
          <w:rFonts w:cs="Arial"/>
        </w:rPr>
      </w:pPr>
      <w:r w:rsidRPr="00345F73">
        <w:rPr>
          <w:rFonts w:cs="Arial"/>
        </w:rPr>
        <w:t xml:space="preserve">A potential </w:t>
      </w:r>
      <w:r w:rsidR="00E8539F">
        <w:rPr>
          <w:rFonts w:cs="Arial"/>
        </w:rPr>
        <w:t>unwanted emissions</w:t>
      </w:r>
      <w:r w:rsidRPr="00345F73">
        <w:rPr>
          <w:rFonts w:cs="Arial"/>
        </w:rPr>
        <w:t xml:space="preserve"> limit</w:t>
      </w:r>
      <w:r w:rsidR="007B200D">
        <w:rPr>
          <w:rFonts w:cs="Arial"/>
        </w:rPr>
        <w:t xml:space="preserve">, based on </w:t>
      </w:r>
      <w:r>
        <w:rPr>
          <w:rFonts w:cs="Arial"/>
        </w:rPr>
        <w:t xml:space="preserve">using </w:t>
      </w:r>
      <w:r w:rsidR="00864D51">
        <w:rPr>
          <w:rFonts w:cs="Arial"/>
        </w:rPr>
        <w:t xml:space="preserve">RTCA </w:t>
      </w:r>
      <w:r w:rsidR="00B505B2">
        <w:rPr>
          <w:rFonts w:cs="Arial"/>
        </w:rPr>
        <w:t>UC</w:t>
      </w:r>
      <w:r w:rsidR="00E50A36">
        <w:rPr>
          <w:rFonts w:cs="Arial"/>
        </w:rPr>
        <w:t xml:space="preserve"> </w:t>
      </w:r>
      <w:r>
        <w:rPr>
          <w:rFonts w:cs="Arial"/>
        </w:rPr>
        <w:t xml:space="preserve">1 </w:t>
      </w:r>
      <w:r w:rsidR="00E50A36">
        <w:rPr>
          <w:rFonts w:cs="Arial"/>
        </w:rPr>
        <w:t xml:space="preserve">5G spurious emissions </w:t>
      </w:r>
      <w:r>
        <w:rPr>
          <w:rFonts w:cs="Arial"/>
        </w:rPr>
        <w:t>ITM values</w:t>
      </w:r>
      <w:r w:rsidR="007B200D">
        <w:rPr>
          <w:rFonts w:cs="Arial"/>
        </w:rPr>
        <w:t>, can be</w:t>
      </w:r>
      <w:r w:rsidRPr="00345F73">
        <w:rPr>
          <w:rFonts w:cs="Arial"/>
        </w:rPr>
        <w:t xml:space="preserve"> calculated </w:t>
      </w:r>
      <w:r w:rsidR="00B505B2">
        <w:rPr>
          <w:rFonts w:cs="Arial"/>
        </w:rPr>
        <w:t>using</w:t>
      </w:r>
      <w:r w:rsidRPr="00345F73">
        <w:rPr>
          <w:rFonts w:cs="Arial"/>
        </w:rPr>
        <w:t xml:space="preserve"> a similar method to the exclusion zone path loss calculations</w:t>
      </w:r>
      <w:r>
        <w:rPr>
          <w:rFonts w:cs="Arial"/>
        </w:rPr>
        <w:t>,</w:t>
      </w:r>
      <w:r w:rsidRPr="00345F73">
        <w:rPr>
          <w:rFonts w:cs="Arial"/>
        </w:rPr>
        <w:t xml:space="preserve"> but considering relevant factors for the </w:t>
      </w:r>
      <w:r w:rsidR="00864D51">
        <w:rPr>
          <w:rFonts w:cs="Arial"/>
        </w:rPr>
        <w:t>unwanted emission</w:t>
      </w:r>
      <w:r w:rsidR="007B200D">
        <w:rPr>
          <w:rFonts w:cs="Arial"/>
        </w:rPr>
        <w:t>s</w:t>
      </w:r>
      <w:r w:rsidR="00E50A36">
        <w:rPr>
          <w:rFonts w:cs="Arial"/>
        </w:rPr>
        <w:t>,</w:t>
      </w:r>
      <w:r w:rsidRPr="00345F73">
        <w:rPr>
          <w:rFonts w:cs="Arial"/>
        </w:rPr>
        <w:t xml:space="preserve"> rather than overload case:</w:t>
      </w:r>
    </w:p>
    <w:p w14:paraId="61C0BC22" w14:textId="77777777" w:rsidR="006E06F0" w:rsidRPr="00347534" w:rsidRDefault="006E06F0" w:rsidP="006E06F0">
      <w:pPr>
        <w:pStyle w:val="Paragraph"/>
        <w:jc w:val="center"/>
      </w:pPr>
      <w:r w:rsidRPr="00070442">
        <w:rPr>
          <w:rFonts w:ascii="Cambria Math" w:hAnsi="Cambria Math"/>
          <w:i/>
        </w:rPr>
        <w:br/>
      </w:r>
      <m:oMath>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r>
          <w:rPr>
            <w:rFonts w:ascii="Cambria Math" w:hAnsi="Cambria Math"/>
          </w:rPr>
          <m:t>Path</m:t>
        </m:r>
        <m:r>
          <m:rPr>
            <m:sty m:val="p"/>
          </m:rPr>
          <w:rPr>
            <w:rFonts w:ascii="Cambria Math" w:hAnsi="Cambria Math"/>
          </w:rPr>
          <m:t xml:space="preserve"> </m:t>
        </m:r>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Rx</m:t>
            </m:r>
          </m:sub>
        </m:sSub>
        <m:r>
          <m:rPr>
            <m:sty m:val="p"/>
          </m:rPr>
          <w:rPr>
            <w:rFonts w:ascii="Cambria Math" w:hAnsi="Cambria Math"/>
          </w:rPr>
          <m:t>-</m:t>
        </m:r>
        <m:r>
          <w:rPr>
            <w:rFonts w:ascii="Cambria Math" w:hAnsi="Cambria Math"/>
          </w:rPr>
          <m:t>Margin</m:t>
        </m:r>
        <m:r>
          <m:rPr>
            <m:sty m:val="p"/>
          </m:rPr>
          <w:rPr>
            <w:rFonts w:ascii="Cambria Math" w:hAnsi="Cambria Math"/>
          </w:rPr>
          <m:t>+</m:t>
        </m:r>
        <m:sSub>
          <m:sSubPr>
            <m:ctrlPr>
              <w:rPr>
                <w:rFonts w:ascii="Cambria Math" w:hAnsi="Cambria Math"/>
              </w:rPr>
            </m:ctrlPr>
          </m:sSubPr>
          <m:e>
            <m:r>
              <w:rPr>
                <w:rFonts w:ascii="Cambria Math" w:hAnsi="Cambria Math"/>
              </w:rPr>
              <m:t>ITM</m:t>
            </m:r>
          </m:e>
          <m:sub>
            <m:r>
              <w:rPr>
                <w:rFonts w:ascii="Cambria Math" w:hAnsi="Cambria Math"/>
              </w:rPr>
              <m:t>thres</m:t>
            </m:r>
          </m:sub>
        </m:sSub>
      </m:oMath>
      <w:r>
        <w:t xml:space="preserve">               </w:t>
      </w:r>
      <w:r w:rsidRPr="00D13C5A">
        <w:rPr>
          <w:iCs/>
        </w:rPr>
        <w:t>(Equation 6)</w:t>
      </w:r>
    </w:p>
    <w:p w14:paraId="39FE58DE" w14:textId="77777777" w:rsidR="006E06F0" w:rsidRDefault="006E06F0" w:rsidP="006E06F0">
      <w:pPr>
        <w:pStyle w:val="Paragraph"/>
      </w:pPr>
      <m:oMath>
        <m:r>
          <w:rPr>
            <w:rFonts w:ascii="Cambria Math" w:hAnsi="Cambria Math"/>
          </w:rPr>
          <m:t>Path</m:t>
        </m:r>
        <m:r>
          <m:rPr>
            <m:sty m:val="p"/>
          </m:rPr>
          <w:rPr>
            <w:rFonts w:ascii="Cambria Math" w:hAnsi="Cambria Math"/>
          </w:rPr>
          <m:t xml:space="preserve"> </m:t>
        </m:r>
        <m:r>
          <w:rPr>
            <w:rFonts w:ascii="Cambria Math" w:hAnsi="Cambria Math"/>
          </w:rPr>
          <m:t>Loss</m:t>
        </m:r>
      </m:oMath>
      <w:r>
        <w:t xml:space="preserve"> (dB) – free space path loss between the WBB base station and the RA</w:t>
      </w:r>
    </w:p>
    <w:p w14:paraId="6DA4016E" w14:textId="77777777" w:rsidR="006E06F0" w:rsidRDefault="009C479C" w:rsidP="006E06F0">
      <w:pPr>
        <w:pStyle w:val="Paragraph"/>
      </w:pPr>
      <m:oMath>
        <m:sSub>
          <m:sSubPr>
            <m:ctrlPr>
              <w:rPr>
                <w:rFonts w:ascii="Cambria Math" w:hAnsi="Cambria Math"/>
              </w:rPr>
            </m:ctrlPr>
          </m:sSubPr>
          <m:e>
            <m:r>
              <w:rPr>
                <w:rFonts w:ascii="Cambria Math" w:hAnsi="Cambria Math"/>
              </w:rPr>
              <m:t>P</m:t>
            </m:r>
          </m:e>
          <m:sub>
            <m:r>
              <w:rPr>
                <w:rFonts w:ascii="Cambria Math" w:hAnsi="Cambria Math"/>
              </w:rPr>
              <m:t>Tx</m:t>
            </m:r>
          </m:sub>
        </m:sSub>
      </m:oMath>
      <w:r w:rsidR="006E06F0">
        <w:t xml:space="preserve"> (dBm/MHz) – power into the antenna of the WBB base station</w:t>
      </w:r>
    </w:p>
    <w:p w14:paraId="47D7CF6C" w14:textId="77777777" w:rsidR="006E06F0" w:rsidRDefault="009C479C" w:rsidP="006E06F0">
      <w:pPr>
        <w:pStyle w:val="Paragraph"/>
      </w:pPr>
      <m:oMath>
        <m:sSub>
          <m:sSubPr>
            <m:ctrlPr>
              <w:rPr>
                <w:rFonts w:ascii="Cambria Math" w:hAnsi="Cambria Math"/>
              </w:rPr>
            </m:ctrlPr>
          </m:sSubPr>
          <m:e>
            <m:r>
              <w:rPr>
                <w:rFonts w:ascii="Cambria Math" w:hAnsi="Cambria Math"/>
              </w:rPr>
              <m:t>G</m:t>
            </m:r>
          </m:e>
          <m:sub>
            <m:r>
              <w:rPr>
                <w:rFonts w:ascii="Cambria Math" w:hAnsi="Cambria Math"/>
              </w:rPr>
              <m:t>Tx</m:t>
            </m:r>
          </m:sub>
        </m:sSub>
      </m:oMath>
      <w:r w:rsidR="006E06F0">
        <w:t xml:space="preserve"> (dBi) – gain of the WBB antenna in direction of the RA.</w:t>
      </w:r>
    </w:p>
    <w:p w14:paraId="3D3D42D1" w14:textId="77777777" w:rsidR="006E06F0" w:rsidRDefault="009C479C" w:rsidP="006E06F0">
      <w:pPr>
        <w:pStyle w:val="Paragraph"/>
      </w:pPr>
      <m:oMath>
        <m:sSub>
          <m:sSubPr>
            <m:ctrlPr>
              <w:rPr>
                <w:rFonts w:ascii="Cambria Math" w:hAnsi="Cambria Math"/>
              </w:rPr>
            </m:ctrlPr>
          </m:sSubPr>
          <m:e>
            <m:r>
              <w:rPr>
                <w:rFonts w:ascii="Cambria Math" w:hAnsi="Cambria Math"/>
              </w:rPr>
              <m:t>G</m:t>
            </m:r>
          </m:e>
          <m:sub>
            <m:r>
              <w:rPr>
                <w:rFonts w:ascii="Cambria Math" w:hAnsi="Cambria Math"/>
              </w:rPr>
              <m:t>Rx</m:t>
            </m:r>
          </m:sub>
        </m:sSub>
      </m:oMath>
      <w:r w:rsidR="006E06F0">
        <w:t xml:space="preserve"> (dBi) – RA antenna gain in direction of WBB base </w:t>
      </w:r>
      <w:r w:rsidR="006E06F0" w:rsidRPr="00257BC6">
        <w:rPr>
          <w:sz w:val="18"/>
          <w:szCs w:val="22"/>
        </w:rPr>
        <w:t>station</w:t>
      </w:r>
      <w:r w:rsidR="006E06F0">
        <w:t>, this is 5 dBi from the RTCA figure 6-12 of ~8dBi plus AVSI use of 3 dB cable loss.</w:t>
      </w:r>
    </w:p>
    <w:p w14:paraId="72392AEF" w14:textId="77777777" w:rsidR="006E06F0" w:rsidRDefault="006E06F0" w:rsidP="006E06F0">
      <w:pPr>
        <w:pStyle w:val="Paragraph"/>
      </w:pPr>
      <m:oMath>
        <m:r>
          <w:rPr>
            <w:rFonts w:ascii="Cambria Math" w:hAnsi="Cambria Math"/>
          </w:rPr>
          <m:t>Margin</m:t>
        </m:r>
      </m:oMath>
      <w:r>
        <w:t xml:space="preserve"> (dB) – none (0 dB)</w:t>
      </w:r>
    </w:p>
    <w:p w14:paraId="1630F8F4" w14:textId="2A0035D0" w:rsidR="006E06F0" w:rsidRDefault="009C479C" w:rsidP="006E06F0">
      <w:pPr>
        <w:pStyle w:val="Paragraph"/>
      </w:pPr>
      <m:oMath>
        <m:sSub>
          <m:sSubPr>
            <m:ctrlPr>
              <w:rPr>
                <w:rFonts w:ascii="Cambria Math" w:hAnsi="Cambria Math"/>
              </w:rPr>
            </m:ctrlPr>
          </m:sSubPr>
          <m:e>
            <m:r>
              <w:rPr>
                <w:rFonts w:ascii="Cambria Math" w:hAnsi="Cambria Math"/>
              </w:rPr>
              <m:t>ITM</m:t>
            </m:r>
          </m:e>
          <m:sub>
            <m:r>
              <w:rPr>
                <w:rFonts w:ascii="Cambria Math" w:hAnsi="Cambria Math"/>
              </w:rPr>
              <m:t>thres</m:t>
            </m:r>
          </m:sub>
        </m:sSub>
      </m:oMath>
      <w:r w:rsidR="006E06F0">
        <w:t xml:space="preserve"> (dBm/MHz) – Interference Threshold Mask (ITM) value for UC 1 spurious emissions (</w:t>
      </w:r>
      <w:r w:rsidR="00B817E5">
        <w:t xml:space="preserve">RTCA report </w:t>
      </w:r>
      <w:r w:rsidR="006E06F0">
        <w:t>Figure 9-10</w:t>
      </w:r>
      <w:r w:rsidR="00B817E5">
        <w:t>, reproduced below</w:t>
      </w:r>
      <w:r w:rsidR="006E06F0">
        <w:t>).</w:t>
      </w:r>
    </w:p>
    <w:p w14:paraId="651D2DC0" w14:textId="579FF27A" w:rsidR="00B817E5" w:rsidRPr="00A06A2A" w:rsidRDefault="00B817E5" w:rsidP="006E06F0">
      <w:pPr>
        <w:pStyle w:val="Paragraph"/>
      </w:pPr>
      <w:r w:rsidRPr="00B817E5">
        <w:rPr>
          <w:noProof/>
        </w:rPr>
        <w:drawing>
          <wp:inline distT="0" distB="0" distL="0" distR="0" wp14:anchorId="2E261B4C" wp14:editId="48D2ABB5">
            <wp:extent cx="4871085" cy="2654300"/>
            <wp:effectExtent l="0" t="0" r="571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871085" cy="2654300"/>
                    </a:xfrm>
                    <a:prstGeom prst="rect">
                      <a:avLst/>
                    </a:prstGeom>
                  </pic:spPr>
                </pic:pic>
              </a:graphicData>
            </a:graphic>
          </wp:inline>
        </w:drawing>
      </w:r>
    </w:p>
    <w:p w14:paraId="6FCB724B" w14:textId="6C452D9B" w:rsidR="006E06F0" w:rsidRPr="009D33B1" w:rsidRDefault="006E06F0" w:rsidP="006E06F0">
      <w:pPr>
        <w:pStyle w:val="ListContinue"/>
        <w:numPr>
          <w:ilvl w:val="1"/>
          <w:numId w:val="13"/>
        </w:numPr>
        <w:rPr>
          <w:rFonts w:cs="Arial"/>
        </w:rPr>
      </w:pPr>
      <w:r w:rsidRPr="009D33B1">
        <w:rPr>
          <w:rFonts w:cs="Arial"/>
        </w:rPr>
        <w:t xml:space="preserve">Two cases are </w:t>
      </w:r>
      <w:r w:rsidR="00203739" w:rsidRPr="009D33B1">
        <w:rPr>
          <w:rFonts w:cs="Arial"/>
        </w:rPr>
        <w:t xml:space="preserve">initially </w:t>
      </w:r>
      <w:r w:rsidRPr="009D33B1">
        <w:rPr>
          <w:rFonts w:cs="Arial"/>
        </w:rPr>
        <w:t xml:space="preserve">considered as the </w:t>
      </w:r>
      <w:r w:rsidR="00203739" w:rsidRPr="009D33B1">
        <w:rPr>
          <w:rFonts w:cs="Arial"/>
        </w:rPr>
        <w:t>ITM varies</w:t>
      </w:r>
      <w:r w:rsidRPr="009D33B1">
        <w:rPr>
          <w:rFonts w:cs="Arial"/>
        </w:rPr>
        <w:t xml:space="preserve"> with height</w:t>
      </w:r>
      <w:r w:rsidR="00203739" w:rsidRPr="009D33B1">
        <w:rPr>
          <w:rFonts w:cs="Arial"/>
        </w:rPr>
        <w:t xml:space="preserve"> at an example 3750</w:t>
      </w:r>
      <w:r w:rsidR="007B200D">
        <w:rPr>
          <w:rFonts w:cs="Arial"/>
        </w:rPr>
        <w:t> </w:t>
      </w:r>
      <w:r w:rsidR="00203739" w:rsidRPr="009D33B1">
        <w:rPr>
          <w:rFonts w:cs="Arial"/>
        </w:rPr>
        <w:t>MHz for the purposes of calculation of zone sizes</w:t>
      </w:r>
      <w:r w:rsidRPr="009D33B1">
        <w:rPr>
          <w:rFonts w:cs="Arial"/>
        </w:rPr>
        <w:t>.</w:t>
      </w:r>
    </w:p>
    <w:p w14:paraId="6AEC964A" w14:textId="77777777" w:rsidR="006E06F0" w:rsidRDefault="006E06F0" w:rsidP="006E06F0">
      <w:pPr>
        <w:pStyle w:val="Heading4"/>
      </w:pPr>
      <w:r>
        <w:t>At the exclusion zone and restricted zone boundary</w:t>
      </w:r>
    </w:p>
    <w:p w14:paraId="114E7638" w14:textId="3C67AC99" w:rsidR="006E06F0" w:rsidRPr="00345F73" w:rsidRDefault="006E06F0" w:rsidP="006E06F0">
      <w:pPr>
        <w:pStyle w:val="Numberedparagraph"/>
      </w:pPr>
      <w:r w:rsidRPr="00345F73">
        <w:t xml:space="preserve">The altitude of the aircraft </w:t>
      </w:r>
      <w:r>
        <w:t>at</w:t>
      </w:r>
      <w:r w:rsidRPr="00345F73">
        <w:t xml:space="preserve"> the boundary between the exclusion and restricted zones is calculated via the French method (an aircraft approach angle of 3 degrees with 0.375 degree margin)</w:t>
      </w:r>
      <w:r w:rsidR="008F2BD5" w:rsidRPr="008F2BD5">
        <w:t xml:space="preserve"> </w:t>
      </w:r>
      <w:r w:rsidR="008F2BD5">
        <w:t xml:space="preserve">including a 200m </w:t>
      </w:r>
      <w:r w:rsidR="0033442B">
        <w:t>touchdown distance</w:t>
      </w:r>
      <w:r w:rsidRPr="00345F73">
        <w:t xml:space="preserve">. The height of the aircraft is then </w:t>
      </w:r>
      <w:r w:rsidR="008F2BD5">
        <w:t>126.6 metres (415 ft).</w:t>
      </w:r>
    </w:p>
    <w:p w14:paraId="0A19F406" w14:textId="2F971199" w:rsidR="006E06F0" w:rsidRPr="00345F73" w:rsidRDefault="006E06F0" w:rsidP="006E06F0">
      <w:pPr>
        <w:pStyle w:val="Numberedparagraph"/>
      </w:pPr>
      <w:r w:rsidRPr="00345F73">
        <w:t xml:space="preserve">A worst-case base station location w.r.t. path loss would be directly underneath the aircraft radio altimeter, with an assumed 25 m high base station the minimum distance between the base station and the radio altimeter is </w:t>
      </w:r>
      <w:r>
        <w:t xml:space="preserve">then </w:t>
      </w:r>
      <w:r w:rsidR="00B360F6">
        <w:t>101.6</w:t>
      </w:r>
      <w:r w:rsidRPr="00345F73">
        <w:t xml:space="preserve"> metres.</w:t>
      </w:r>
    </w:p>
    <w:p w14:paraId="20B34E11" w14:textId="4109C0AD" w:rsidR="006E06F0" w:rsidRPr="00345F73" w:rsidRDefault="006E06F0" w:rsidP="006E06F0">
      <w:pPr>
        <w:pStyle w:val="Numberedparagraph"/>
      </w:pPr>
      <w:r w:rsidRPr="00345F73">
        <w:t xml:space="preserve">For a distance of </w:t>
      </w:r>
      <w:r w:rsidR="00B360F6">
        <w:t>101.6</w:t>
      </w:r>
      <w:r w:rsidRPr="00345F73">
        <w:t xml:space="preserve"> metres and frequency of </w:t>
      </w:r>
      <w:r>
        <w:t>4200.5</w:t>
      </w:r>
      <w:r w:rsidRPr="00345F73">
        <w:t xml:space="preserve"> MHz the path loss is 8</w:t>
      </w:r>
      <w:r w:rsidR="008F2BD5">
        <w:t>5</w:t>
      </w:r>
      <w:r w:rsidRPr="00345F73">
        <w:t xml:space="preserve"> dB.</w:t>
      </w:r>
    </w:p>
    <w:p w14:paraId="19C6AB62" w14:textId="5B092252" w:rsidR="006E06F0" w:rsidRDefault="006E06F0" w:rsidP="006E06F0">
      <w:pPr>
        <w:pStyle w:val="Numberedparagraph"/>
      </w:pPr>
      <w:r w:rsidRPr="00345F73">
        <w:t xml:space="preserve">At an altitude of </w:t>
      </w:r>
      <w:r w:rsidR="008F2BD5">
        <w:t xml:space="preserve">126.6 metres (415 ft) </w:t>
      </w:r>
      <w:r w:rsidRPr="00345F73">
        <w:t xml:space="preserve">the ITM Spurious emissions for </w:t>
      </w:r>
      <w:r>
        <w:t>UC</w:t>
      </w:r>
      <w:r w:rsidRPr="00345F73">
        <w:t xml:space="preserve"> 1 corresponds to -82</w:t>
      </w:r>
      <w:r w:rsidR="00B360F6">
        <w:t>.3</w:t>
      </w:r>
      <w:r w:rsidRPr="00345F73">
        <w:t xml:space="preserve"> dBm/MHz.</w:t>
      </w:r>
    </w:p>
    <w:p w14:paraId="75A993D5" w14:textId="5ABDDA20" w:rsidR="006E06F0" w:rsidRPr="00345F73" w:rsidRDefault="006E06F0" w:rsidP="006E06F0">
      <w:pPr>
        <w:pStyle w:val="Tableheading"/>
      </w:pPr>
      <w:r>
        <w:t xml:space="preserve">Calculation summary (at </w:t>
      </w:r>
      <w:r w:rsidR="00E97F91">
        <w:t xml:space="preserve">exclusion zone/restricted zone </w:t>
      </w:r>
      <w:r>
        <w:t>boundary)</w:t>
      </w:r>
    </w:p>
    <w:tbl>
      <w:tblPr>
        <w:tblStyle w:val="ACMAtablestyle"/>
        <w:tblW w:w="7370" w:type="dxa"/>
        <w:tblLook w:val="04A0" w:firstRow="1" w:lastRow="0" w:firstColumn="1" w:lastColumn="0" w:noHBand="0" w:noVBand="1"/>
      </w:tblPr>
      <w:tblGrid>
        <w:gridCol w:w="2551"/>
        <w:gridCol w:w="1701"/>
        <w:gridCol w:w="3118"/>
      </w:tblGrid>
      <w:tr w:rsidR="006E06F0" w14:paraId="20BB595F" w14:textId="77777777" w:rsidTr="00695A13">
        <w:trPr>
          <w:cnfStyle w:val="100000000000" w:firstRow="1" w:lastRow="0" w:firstColumn="0" w:lastColumn="0" w:oddVBand="0" w:evenVBand="0" w:oddHBand="0" w:evenHBand="0" w:firstRowFirstColumn="0" w:firstRowLastColumn="0" w:lastRowFirstColumn="0" w:lastRowLastColumn="0"/>
        </w:trPr>
        <w:tc>
          <w:tcPr>
            <w:tcW w:w="2551" w:type="dxa"/>
          </w:tcPr>
          <w:p w14:paraId="05994C4B" w14:textId="77777777" w:rsidR="006E06F0" w:rsidRDefault="006E06F0" w:rsidP="00695A13">
            <w:pPr>
              <w:pStyle w:val="Tableheaderrow"/>
            </w:pPr>
            <w:r>
              <w:t>Parameter</w:t>
            </w:r>
          </w:p>
        </w:tc>
        <w:tc>
          <w:tcPr>
            <w:tcW w:w="1701" w:type="dxa"/>
          </w:tcPr>
          <w:p w14:paraId="65107ABD" w14:textId="77777777" w:rsidR="006E06F0" w:rsidRDefault="006E06F0" w:rsidP="00695A13">
            <w:pPr>
              <w:pStyle w:val="Tableheaderrow"/>
            </w:pPr>
            <w:r>
              <w:t>Value</w:t>
            </w:r>
          </w:p>
        </w:tc>
        <w:tc>
          <w:tcPr>
            <w:tcW w:w="3118" w:type="dxa"/>
          </w:tcPr>
          <w:p w14:paraId="444185EB" w14:textId="77777777" w:rsidR="006E06F0" w:rsidRDefault="006E06F0" w:rsidP="00695A13">
            <w:pPr>
              <w:pStyle w:val="Tableheaderrow"/>
            </w:pPr>
            <w:r>
              <w:t>Notes</w:t>
            </w:r>
          </w:p>
        </w:tc>
      </w:tr>
      <w:tr w:rsidR="006E06F0" w:rsidRPr="00434CF6" w14:paraId="216FF13F"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4E60528D" w14:textId="77777777" w:rsidR="006E06F0" w:rsidRPr="00434CF6" w:rsidRDefault="006E06F0" w:rsidP="00695A13">
            <w:pPr>
              <w:pStyle w:val="TableBody"/>
            </w:pPr>
            <w:r w:rsidRPr="00434CF6">
              <w:t>Path Loss</w:t>
            </w:r>
          </w:p>
        </w:tc>
        <w:tc>
          <w:tcPr>
            <w:tcW w:w="1701" w:type="dxa"/>
          </w:tcPr>
          <w:p w14:paraId="604BB82C" w14:textId="1BE4C71F" w:rsidR="006E06F0" w:rsidRPr="00434CF6" w:rsidRDefault="00B360F6" w:rsidP="00695A13">
            <w:pPr>
              <w:pStyle w:val="TableBody"/>
            </w:pPr>
            <w:r w:rsidRPr="00345F73">
              <w:t>8</w:t>
            </w:r>
            <w:r>
              <w:t>5</w:t>
            </w:r>
            <w:r w:rsidRPr="00345F73">
              <w:t xml:space="preserve"> </w:t>
            </w:r>
            <w:r w:rsidR="006E06F0" w:rsidRPr="00434CF6">
              <w:t>dB</w:t>
            </w:r>
          </w:p>
        </w:tc>
        <w:tc>
          <w:tcPr>
            <w:tcW w:w="3118" w:type="dxa"/>
          </w:tcPr>
          <w:p w14:paraId="53E55EBA" w14:textId="77777777" w:rsidR="006E06F0" w:rsidRPr="00434CF6" w:rsidRDefault="006E06F0" w:rsidP="00695A13">
            <w:pPr>
              <w:pStyle w:val="TableBody"/>
            </w:pPr>
            <w:r w:rsidRPr="0001135F">
              <w:t>Recommendation ITU-R P.525-4</w:t>
            </w:r>
            <w:r>
              <w:t xml:space="preserve"> equation (4) with distance 92.5 metres from top of base station to aircraft at boundary and frequency 4200.5 MHz.</w:t>
            </w:r>
          </w:p>
        </w:tc>
      </w:tr>
      <w:tr w:rsidR="006E06F0" w:rsidRPr="00434CF6" w14:paraId="12B52C65"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5E86B209" w14:textId="77777777" w:rsidR="006E06F0" w:rsidRPr="00434CF6" w:rsidRDefault="006E06F0" w:rsidP="00695A13">
            <w:pPr>
              <w:pStyle w:val="TableBody"/>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1701" w:type="dxa"/>
          </w:tcPr>
          <w:p w14:paraId="7068ED4A" w14:textId="77777777" w:rsidR="006E06F0" w:rsidRPr="00434CF6" w:rsidRDefault="006E06F0" w:rsidP="00695A13">
            <w:pPr>
              <w:pStyle w:val="TableBody"/>
            </w:pPr>
            <w:r w:rsidRPr="00434CF6">
              <w:t>18 dBi</w:t>
            </w:r>
          </w:p>
        </w:tc>
        <w:tc>
          <w:tcPr>
            <w:tcW w:w="3118" w:type="dxa"/>
          </w:tcPr>
          <w:p w14:paraId="046430EA" w14:textId="77777777" w:rsidR="006E06F0" w:rsidRPr="00434CF6" w:rsidRDefault="006E06F0" w:rsidP="00695A13">
            <w:pPr>
              <w:pStyle w:val="TableBody"/>
            </w:pPr>
            <w:r>
              <w:t>Maximum gain of grating lobes for high elevation angles, worst case assuming any antenna is still correlated at the radio altimeter frequencies and has the same gain.</w:t>
            </w:r>
          </w:p>
        </w:tc>
      </w:tr>
      <w:tr w:rsidR="006E06F0" w:rsidRPr="00434CF6" w14:paraId="70073014"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4B74D8AF" w14:textId="3AF1A269" w:rsidR="006E06F0" w:rsidRPr="00434CF6" w:rsidRDefault="006E06F0" w:rsidP="00695A13">
            <w:pPr>
              <w:pStyle w:val="TableBody"/>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1701" w:type="dxa"/>
          </w:tcPr>
          <w:p w14:paraId="5CA9A20A" w14:textId="77777777" w:rsidR="006E06F0" w:rsidRPr="00434CF6" w:rsidRDefault="006E06F0" w:rsidP="00695A13">
            <w:pPr>
              <w:pStyle w:val="TableBody"/>
            </w:pPr>
            <w:r>
              <w:t>5</w:t>
            </w:r>
            <w:r w:rsidRPr="00434CF6">
              <w:t xml:space="preserve"> dBi</w:t>
            </w:r>
          </w:p>
        </w:tc>
        <w:tc>
          <w:tcPr>
            <w:tcW w:w="3118" w:type="dxa"/>
          </w:tcPr>
          <w:p w14:paraId="72BA4C1F" w14:textId="1FFCC263" w:rsidR="006E06F0" w:rsidRPr="00434CF6" w:rsidRDefault="00A92487" w:rsidP="00695A13">
            <w:pPr>
              <w:pStyle w:val="TableBody"/>
            </w:pPr>
            <w:r>
              <w:t>RTCA figure 6-12 of ~8dBi less AVSI use of 3 dB cable loss</w:t>
            </w:r>
          </w:p>
        </w:tc>
      </w:tr>
      <w:tr w:rsidR="006E06F0" w:rsidRPr="00434CF6" w14:paraId="03C72E57"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5ECC61FB" w14:textId="77777777" w:rsidR="006E06F0" w:rsidRPr="00C102E0" w:rsidRDefault="006E06F0" w:rsidP="00695A13">
            <w:pPr>
              <w:pStyle w:val="TableBody"/>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1701" w:type="dxa"/>
          </w:tcPr>
          <w:p w14:paraId="61D7B79E" w14:textId="6958C35A" w:rsidR="006E06F0" w:rsidRPr="00C102E0" w:rsidRDefault="00B360F6" w:rsidP="00695A13">
            <w:pPr>
              <w:pStyle w:val="TableBody"/>
            </w:pPr>
            <w:r w:rsidRPr="00345F73">
              <w:t>-82</w:t>
            </w:r>
            <w:r>
              <w:t>.3</w:t>
            </w:r>
            <w:r w:rsidRPr="00345F73">
              <w:t xml:space="preserve"> </w:t>
            </w:r>
            <w:r w:rsidR="006E06F0" w:rsidRPr="00C102E0">
              <w:t>dBm/MHz</w:t>
            </w:r>
          </w:p>
        </w:tc>
        <w:tc>
          <w:tcPr>
            <w:tcW w:w="3118" w:type="dxa"/>
          </w:tcPr>
          <w:p w14:paraId="2BAC15A5" w14:textId="47C9DD8E" w:rsidR="006E06F0" w:rsidRPr="00206E43" w:rsidRDefault="006E06F0" w:rsidP="00695A13">
            <w:pPr>
              <w:pStyle w:val="TableBody"/>
            </w:pPr>
            <w:r w:rsidRPr="00C102E0">
              <w:t xml:space="preserve">RTCA Cat 1 4.2-4.4 GHz band spurious limit at </w:t>
            </w:r>
            <w:r w:rsidR="00FB45B6">
              <w:t>415</w:t>
            </w:r>
            <w:r w:rsidRPr="00C102E0">
              <w:t xml:space="preserve"> ft.</w:t>
            </w:r>
          </w:p>
        </w:tc>
      </w:tr>
      <w:tr w:rsidR="006E06F0" w:rsidRPr="00434CF6" w14:paraId="5F2A843E"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0B497974" w14:textId="34F38427" w:rsidR="006E06F0" w:rsidRDefault="006E06F0" w:rsidP="00695A13">
            <w:pPr>
              <w:pStyle w:val="TableBody"/>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1701" w:type="dxa"/>
          </w:tcPr>
          <w:p w14:paraId="1CC5134F" w14:textId="18B9EB76" w:rsidR="006E06F0" w:rsidRDefault="006E06F0" w:rsidP="00695A13">
            <w:pPr>
              <w:pStyle w:val="TableBody"/>
            </w:pPr>
            <w:r>
              <w:t>-20.</w:t>
            </w:r>
            <w:r w:rsidR="00B360F6">
              <w:t>3</w:t>
            </w:r>
            <w:r>
              <w:t xml:space="preserve"> dBm/MHz</w:t>
            </w:r>
          </w:p>
        </w:tc>
        <w:tc>
          <w:tcPr>
            <w:tcW w:w="3118" w:type="dxa"/>
          </w:tcPr>
          <w:p w14:paraId="4F829211" w14:textId="77777777" w:rsidR="006E06F0" w:rsidRPr="00434CF6" w:rsidRDefault="006E06F0" w:rsidP="00695A13">
            <w:pPr>
              <w:pStyle w:val="TableBody"/>
            </w:pPr>
          </w:p>
        </w:tc>
      </w:tr>
    </w:tbl>
    <w:p w14:paraId="7D203834" w14:textId="77777777" w:rsidR="006E06F0" w:rsidRDefault="006E06F0" w:rsidP="006E06F0">
      <w:pPr>
        <w:pStyle w:val="Paragraph"/>
      </w:pPr>
    </w:p>
    <w:p w14:paraId="5819227E" w14:textId="7D2194EC" w:rsidR="006E06F0" w:rsidRDefault="006E06F0" w:rsidP="006E06F0">
      <w:pPr>
        <w:pStyle w:val="Heading4"/>
      </w:pPr>
      <w:r>
        <w:t xml:space="preserve">A second calculation is also performed at the far </w:t>
      </w:r>
      <w:r w:rsidR="00E97F91">
        <w:t>end</w:t>
      </w:r>
      <w:r>
        <w:t xml:space="preserve"> of the restricted zone</w:t>
      </w:r>
    </w:p>
    <w:p w14:paraId="574D2280" w14:textId="006ED240" w:rsidR="006E06F0" w:rsidRPr="00345F73" w:rsidRDefault="006E06F0" w:rsidP="006E06F0">
      <w:pPr>
        <w:pStyle w:val="Numberedparagraph"/>
      </w:pPr>
      <w:r w:rsidRPr="00345F73">
        <w:t xml:space="preserve">The altitude of the aircraft </w:t>
      </w:r>
      <w:r>
        <w:t>at</w:t>
      </w:r>
      <w:r w:rsidRPr="00345F73">
        <w:t xml:space="preserve"> the far </w:t>
      </w:r>
      <w:r>
        <w:t>end</w:t>
      </w:r>
      <w:r w:rsidRPr="00345F73">
        <w:t xml:space="preserve"> of the restricted zone (8200m from runway) is calculated via the French method (an aircraft approach angle of 3 degrees with 0.375 degree margin)</w:t>
      </w:r>
      <w:r w:rsidR="00B360F6">
        <w:t xml:space="preserve"> including a 200m </w:t>
      </w:r>
      <w:r w:rsidR="0033442B">
        <w:t>touchdown distance</w:t>
      </w:r>
      <w:r w:rsidRPr="00345F73">
        <w:t>. The height of the aircraft is then 3</w:t>
      </w:r>
      <w:r w:rsidR="001557B9">
        <w:t>85</w:t>
      </w:r>
      <w:r w:rsidRPr="00345F73">
        <w:t>.</w:t>
      </w:r>
      <w:r w:rsidR="001557B9">
        <w:t>1</w:t>
      </w:r>
      <w:r w:rsidRPr="00345F73">
        <w:t xml:space="preserve"> metres (12</w:t>
      </w:r>
      <w:r w:rsidR="001557B9">
        <w:t>64</w:t>
      </w:r>
      <w:r w:rsidRPr="00345F73">
        <w:t xml:space="preserve"> ft).</w:t>
      </w:r>
    </w:p>
    <w:p w14:paraId="45316377" w14:textId="43A407A0" w:rsidR="006E06F0" w:rsidRPr="00345F73" w:rsidRDefault="006E06F0" w:rsidP="006E06F0">
      <w:pPr>
        <w:pStyle w:val="Numberedparagraph"/>
      </w:pPr>
      <w:r w:rsidRPr="00345F73">
        <w:t>A worst-case base station location w.r.t. path loss would be directly underneath the aircraft radio altimeter, with a 25 m high base station the minimum distance between the base station and the radio altimeter is 3</w:t>
      </w:r>
      <w:r w:rsidR="001557B9">
        <w:t>60</w:t>
      </w:r>
      <w:r w:rsidRPr="00345F73">
        <w:t>.</w:t>
      </w:r>
      <w:r w:rsidR="001557B9">
        <w:t>1</w:t>
      </w:r>
      <w:r w:rsidRPr="00345F73">
        <w:t xml:space="preserve"> metres.</w:t>
      </w:r>
    </w:p>
    <w:p w14:paraId="12C19357" w14:textId="6FC6F0A2" w:rsidR="006E06F0" w:rsidRPr="00345F73" w:rsidRDefault="006E06F0" w:rsidP="006E06F0">
      <w:pPr>
        <w:pStyle w:val="Numberedparagraph"/>
      </w:pPr>
      <w:r w:rsidRPr="00345F73">
        <w:t xml:space="preserve">For a distance of </w:t>
      </w:r>
      <w:r w:rsidR="001557B9" w:rsidRPr="00345F73">
        <w:t>3</w:t>
      </w:r>
      <w:r w:rsidR="001557B9">
        <w:t>60</w:t>
      </w:r>
      <w:r w:rsidR="001557B9" w:rsidRPr="00345F73">
        <w:t>.</w:t>
      </w:r>
      <w:r w:rsidR="001557B9">
        <w:t>1</w:t>
      </w:r>
      <w:r w:rsidR="001557B9" w:rsidRPr="00345F73">
        <w:t xml:space="preserve"> </w:t>
      </w:r>
      <w:r w:rsidRPr="00345F73">
        <w:t xml:space="preserve">metres and frequency of </w:t>
      </w:r>
      <w:r>
        <w:t>4200.5</w:t>
      </w:r>
      <w:r w:rsidRPr="00345F73">
        <w:t xml:space="preserve"> MHz the path loss is </w:t>
      </w:r>
      <w:r>
        <w:t>95.</w:t>
      </w:r>
      <w:r w:rsidR="001557B9">
        <w:t>99</w:t>
      </w:r>
      <w:r w:rsidRPr="00345F73">
        <w:t> dB.</w:t>
      </w:r>
    </w:p>
    <w:p w14:paraId="273E328B" w14:textId="0203E537" w:rsidR="006E06F0" w:rsidRDefault="006E06F0" w:rsidP="006E06F0">
      <w:pPr>
        <w:pStyle w:val="Numberedparagraph"/>
      </w:pPr>
      <w:r w:rsidRPr="00345F73">
        <w:t xml:space="preserve">At an altitude of </w:t>
      </w:r>
      <w:r w:rsidR="001557B9" w:rsidRPr="00345F73">
        <w:t>3</w:t>
      </w:r>
      <w:r w:rsidR="001557B9">
        <w:t>85</w:t>
      </w:r>
      <w:r w:rsidR="001557B9" w:rsidRPr="00345F73">
        <w:t>.</w:t>
      </w:r>
      <w:r w:rsidR="001557B9">
        <w:t>1</w:t>
      </w:r>
      <w:r w:rsidR="001557B9" w:rsidRPr="00345F73">
        <w:t xml:space="preserve"> metres (12</w:t>
      </w:r>
      <w:r w:rsidR="001557B9">
        <w:t>64</w:t>
      </w:r>
      <w:r w:rsidR="001557B9" w:rsidRPr="00345F73">
        <w:t xml:space="preserve"> ft)</w:t>
      </w:r>
      <w:r w:rsidR="001557B9">
        <w:t xml:space="preserve"> </w:t>
      </w:r>
      <w:r w:rsidRPr="00345F73">
        <w:t xml:space="preserve">metres the ITM Spurious emissions for </w:t>
      </w:r>
      <w:r>
        <w:t>UC</w:t>
      </w:r>
      <w:r w:rsidRPr="00345F73">
        <w:t xml:space="preserve"> 1 corresponds to -88</w:t>
      </w:r>
      <w:r w:rsidR="001557B9">
        <w:t>.2</w:t>
      </w:r>
      <w:r w:rsidRPr="00345F73">
        <w:t xml:space="preserve"> dBm/MHz.</w:t>
      </w:r>
    </w:p>
    <w:p w14:paraId="1825D258" w14:textId="0C5B09E3" w:rsidR="006E06F0" w:rsidRPr="00345F73" w:rsidRDefault="006E06F0" w:rsidP="006E06F0">
      <w:pPr>
        <w:pStyle w:val="Tableheading"/>
      </w:pPr>
      <w:r>
        <w:t xml:space="preserve">Calculation summary (at far </w:t>
      </w:r>
      <w:r w:rsidR="00E97F91">
        <w:t>end of restricted zone</w:t>
      </w:r>
      <w:r>
        <w:t>)</w:t>
      </w:r>
    </w:p>
    <w:tbl>
      <w:tblPr>
        <w:tblStyle w:val="ACMAtablestyle"/>
        <w:tblW w:w="7370" w:type="dxa"/>
        <w:tblLook w:val="04A0" w:firstRow="1" w:lastRow="0" w:firstColumn="1" w:lastColumn="0" w:noHBand="0" w:noVBand="1"/>
      </w:tblPr>
      <w:tblGrid>
        <w:gridCol w:w="2551"/>
        <w:gridCol w:w="1701"/>
        <w:gridCol w:w="3118"/>
      </w:tblGrid>
      <w:tr w:rsidR="006E06F0" w14:paraId="44C41943" w14:textId="77777777" w:rsidTr="00695A13">
        <w:trPr>
          <w:cnfStyle w:val="100000000000" w:firstRow="1" w:lastRow="0" w:firstColumn="0" w:lastColumn="0" w:oddVBand="0" w:evenVBand="0" w:oddHBand="0" w:evenHBand="0" w:firstRowFirstColumn="0" w:firstRowLastColumn="0" w:lastRowFirstColumn="0" w:lastRowLastColumn="0"/>
        </w:trPr>
        <w:tc>
          <w:tcPr>
            <w:tcW w:w="2551" w:type="dxa"/>
          </w:tcPr>
          <w:p w14:paraId="7E033742" w14:textId="77777777" w:rsidR="006E06F0" w:rsidRDefault="006E06F0" w:rsidP="00695A13">
            <w:pPr>
              <w:pStyle w:val="Tableheaderrow"/>
            </w:pPr>
            <w:r>
              <w:t>Parameter</w:t>
            </w:r>
          </w:p>
        </w:tc>
        <w:tc>
          <w:tcPr>
            <w:tcW w:w="1701" w:type="dxa"/>
          </w:tcPr>
          <w:p w14:paraId="5C6BCF25" w14:textId="77777777" w:rsidR="006E06F0" w:rsidRDefault="006E06F0" w:rsidP="00695A13">
            <w:pPr>
              <w:pStyle w:val="Tableheaderrow"/>
            </w:pPr>
            <w:r>
              <w:t>Value</w:t>
            </w:r>
          </w:p>
        </w:tc>
        <w:tc>
          <w:tcPr>
            <w:tcW w:w="3118" w:type="dxa"/>
          </w:tcPr>
          <w:p w14:paraId="2EF69523" w14:textId="77777777" w:rsidR="006E06F0" w:rsidRDefault="006E06F0" w:rsidP="00695A13">
            <w:pPr>
              <w:pStyle w:val="Tableheaderrow"/>
            </w:pPr>
            <w:r>
              <w:t>Notes</w:t>
            </w:r>
          </w:p>
        </w:tc>
      </w:tr>
      <w:tr w:rsidR="006E06F0" w:rsidRPr="00434CF6" w14:paraId="57A4D597"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3209E600" w14:textId="77777777" w:rsidR="006E06F0" w:rsidRPr="00434CF6" w:rsidRDefault="006E06F0" w:rsidP="00695A13">
            <w:pPr>
              <w:pStyle w:val="TableBody"/>
            </w:pPr>
            <w:r w:rsidRPr="00434CF6">
              <w:t>Path Loss</w:t>
            </w:r>
          </w:p>
        </w:tc>
        <w:tc>
          <w:tcPr>
            <w:tcW w:w="1701" w:type="dxa"/>
          </w:tcPr>
          <w:p w14:paraId="40C94C7E" w14:textId="4F94DC67" w:rsidR="006E06F0" w:rsidRPr="00434CF6" w:rsidRDefault="001557B9" w:rsidP="00695A13">
            <w:pPr>
              <w:pStyle w:val="TableBody"/>
            </w:pPr>
            <w:r>
              <w:t>95.99</w:t>
            </w:r>
            <w:r w:rsidRPr="00345F73">
              <w:t> </w:t>
            </w:r>
            <w:r w:rsidR="006E06F0" w:rsidRPr="00434CF6">
              <w:t>dB</w:t>
            </w:r>
          </w:p>
        </w:tc>
        <w:tc>
          <w:tcPr>
            <w:tcW w:w="3118" w:type="dxa"/>
          </w:tcPr>
          <w:p w14:paraId="058843FC" w14:textId="77777777" w:rsidR="006E06F0" w:rsidRPr="00434CF6" w:rsidRDefault="006E06F0" w:rsidP="00695A13">
            <w:pPr>
              <w:pStyle w:val="TableBody"/>
            </w:pPr>
            <w:r w:rsidRPr="0001135F">
              <w:t>Recommendation ITU-R P.525-4</w:t>
            </w:r>
            <w:r>
              <w:t xml:space="preserve"> equation (4) with distance 351 metres from top of base station to aircraft at boundary and frequency 4200.5 MHz.</w:t>
            </w:r>
          </w:p>
        </w:tc>
      </w:tr>
      <w:tr w:rsidR="006E06F0" w:rsidRPr="00434CF6" w14:paraId="6DF9E3DD"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69A2E0CA" w14:textId="77777777" w:rsidR="006E06F0" w:rsidRPr="00434CF6" w:rsidRDefault="006E06F0" w:rsidP="00695A13">
            <w:pPr>
              <w:pStyle w:val="TableBody"/>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1701" w:type="dxa"/>
          </w:tcPr>
          <w:p w14:paraId="2896848B" w14:textId="77777777" w:rsidR="006E06F0" w:rsidRPr="00434CF6" w:rsidRDefault="006E06F0" w:rsidP="00695A13">
            <w:pPr>
              <w:pStyle w:val="TableBody"/>
            </w:pPr>
            <w:r w:rsidRPr="00434CF6">
              <w:t>18 dBi</w:t>
            </w:r>
          </w:p>
        </w:tc>
        <w:tc>
          <w:tcPr>
            <w:tcW w:w="3118" w:type="dxa"/>
          </w:tcPr>
          <w:p w14:paraId="31679633" w14:textId="77777777" w:rsidR="006E06F0" w:rsidRPr="00434CF6" w:rsidRDefault="006E06F0" w:rsidP="00695A13">
            <w:pPr>
              <w:pStyle w:val="TableBody"/>
            </w:pPr>
            <w:r>
              <w:t>Maximum gain of grating lobes for high elevation angles, worst case assuming any antenna is still correlated at the radio altimeter frequencies and has the same gain.</w:t>
            </w:r>
          </w:p>
        </w:tc>
      </w:tr>
      <w:tr w:rsidR="006E06F0" w:rsidRPr="00434CF6" w14:paraId="7F8879AB"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26A77E1D" w14:textId="4A84E8B5" w:rsidR="006E06F0" w:rsidRPr="00434CF6" w:rsidRDefault="006E06F0" w:rsidP="00695A13">
            <w:pPr>
              <w:pStyle w:val="TableBody"/>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1701" w:type="dxa"/>
          </w:tcPr>
          <w:p w14:paraId="029DD683" w14:textId="77777777" w:rsidR="006E06F0" w:rsidRPr="00434CF6" w:rsidRDefault="006E06F0" w:rsidP="00695A13">
            <w:pPr>
              <w:pStyle w:val="TableBody"/>
            </w:pPr>
            <w:r>
              <w:t>5</w:t>
            </w:r>
            <w:r w:rsidRPr="00434CF6">
              <w:t xml:space="preserve"> dBi</w:t>
            </w:r>
          </w:p>
        </w:tc>
        <w:tc>
          <w:tcPr>
            <w:tcW w:w="3118" w:type="dxa"/>
          </w:tcPr>
          <w:p w14:paraId="7C3B0700" w14:textId="35C39605" w:rsidR="006E06F0" w:rsidRPr="00434CF6" w:rsidRDefault="00A92487" w:rsidP="00695A13">
            <w:pPr>
              <w:pStyle w:val="TableBody"/>
            </w:pPr>
            <w:r>
              <w:t>RTCA figure 6-12 of ~8</w:t>
            </w:r>
            <w:r w:rsidR="005765C0">
              <w:t xml:space="preserve"> </w:t>
            </w:r>
            <w:r>
              <w:t>dBi less AVSI use of 3 dB cable loss</w:t>
            </w:r>
          </w:p>
        </w:tc>
      </w:tr>
      <w:tr w:rsidR="006E06F0" w:rsidRPr="00434CF6" w14:paraId="63159BF2"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31B090D4" w14:textId="77777777" w:rsidR="006E06F0" w:rsidRPr="00C102E0" w:rsidRDefault="006E06F0" w:rsidP="00695A13">
            <w:pPr>
              <w:pStyle w:val="TableBody"/>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1701" w:type="dxa"/>
          </w:tcPr>
          <w:p w14:paraId="5DB0EAA8" w14:textId="5294CDD1" w:rsidR="006E06F0" w:rsidRPr="00C102E0" w:rsidRDefault="001557B9" w:rsidP="00695A13">
            <w:pPr>
              <w:pStyle w:val="TableBody"/>
            </w:pPr>
            <w:r w:rsidRPr="00345F73">
              <w:t>-88</w:t>
            </w:r>
            <w:r>
              <w:t>.2</w:t>
            </w:r>
            <w:r w:rsidRPr="00345F73">
              <w:t xml:space="preserve"> </w:t>
            </w:r>
            <w:r w:rsidR="006E06F0" w:rsidRPr="00C102E0">
              <w:t>dBm/MHz</w:t>
            </w:r>
          </w:p>
        </w:tc>
        <w:tc>
          <w:tcPr>
            <w:tcW w:w="3118" w:type="dxa"/>
          </w:tcPr>
          <w:p w14:paraId="67272078" w14:textId="77777777" w:rsidR="006E06F0" w:rsidRPr="00206E43" w:rsidRDefault="006E06F0" w:rsidP="00695A13">
            <w:pPr>
              <w:pStyle w:val="TableBody"/>
            </w:pPr>
            <w:r w:rsidRPr="00C102E0">
              <w:t>RTCA Cat 1 3750 MHz spurious limit at 12</w:t>
            </w:r>
            <w:r>
              <w:t>34</w:t>
            </w:r>
            <w:r w:rsidRPr="00C102E0">
              <w:t xml:space="preserve"> ft.</w:t>
            </w:r>
          </w:p>
        </w:tc>
      </w:tr>
      <w:tr w:rsidR="006E06F0" w:rsidRPr="00434CF6" w14:paraId="436942FC"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4F0C7286" w14:textId="1B970F86" w:rsidR="006E06F0" w:rsidRDefault="006E06F0" w:rsidP="00695A13">
            <w:pPr>
              <w:pStyle w:val="TableBody"/>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1701" w:type="dxa"/>
          </w:tcPr>
          <w:p w14:paraId="2B924FD4" w14:textId="77777777" w:rsidR="006E06F0" w:rsidRDefault="006E06F0" w:rsidP="00695A13">
            <w:pPr>
              <w:pStyle w:val="TableBody"/>
            </w:pPr>
            <w:r>
              <w:t>-15.2 dBm/MHz</w:t>
            </w:r>
          </w:p>
        </w:tc>
        <w:tc>
          <w:tcPr>
            <w:tcW w:w="3118" w:type="dxa"/>
          </w:tcPr>
          <w:p w14:paraId="270D46FE" w14:textId="77777777" w:rsidR="006E06F0" w:rsidRPr="00434CF6" w:rsidRDefault="006E06F0" w:rsidP="00695A13">
            <w:pPr>
              <w:pStyle w:val="TableBody"/>
            </w:pPr>
          </w:p>
        </w:tc>
      </w:tr>
    </w:tbl>
    <w:p w14:paraId="383B86AD" w14:textId="77777777" w:rsidR="006E06F0" w:rsidRDefault="006E06F0" w:rsidP="006E06F0">
      <w:pPr>
        <w:pStyle w:val="Paragraph"/>
      </w:pPr>
    </w:p>
    <w:p w14:paraId="5EAA7F7A" w14:textId="0D3B5B27" w:rsidR="006E06F0" w:rsidRDefault="006E06F0" w:rsidP="006E06F0">
      <w:pPr>
        <w:pStyle w:val="Heading4"/>
      </w:pPr>
      <w:r>
        <w:t xml:space="preserve">An EIRP limit for </w:t>
      </w:r>
      <w:r w:rsidR="00E8539F">
        <w:t>unwanted emissions</w:t>
      </w:r>
      <w:r>
        <w:t xml:space="preserve"> rather than TRP</w:t>
      </w:r>
    </w:p>
    <w:p w14:paraId="4DE942FC" w14:textId="3924A7FB" w:rsidR="006E06F0" w:rsidRPr="00345F73" w:rsidRDefault="006E06F0" w:rsidP="006E06F0">
      <w:pPr>
        <w:pStyle w:val="Numberedparagraph"/>
      </w:pPr>
      <w:r w:rsidRPr="00345F73">
        <w:t xml:space="preserve">An EIRP limit for </w:t>
      </w:r>
      <w:r w:rsidR="00E8539F">
        <w:t>unwanted emissions</w:t>
      </w:r>
      <w:r w:rsidRPr="00345F73">
        <w:t xml:space="preserve"> would be desirable as a TRP limit is based upon assumptions around antenna gain and sidelobes. In this case, however, use of an EIRP limit raises the following issues:</w:t>
      </w:r>
    </w:p>
    <w:p w14:paraId="08BBAB52" w14:textId="4E4D2698" w:rsidR="006E06F0" w:rsidRDefault="006E06F0" w:rsidP="006E06F0">
      <w:pPr>
        <w:pStyle w:val="Paragraph"/>
        <w:numPr>
          <w:ilvl w:val="0"/>
          <w:numId w:val="117"/>
        </w:numPr>
        <w:rPr>
          <w:szCs w:val="26"/>
        </w:rPr>
      </w:pPr>
      <w:r>
        <w:rPr>
          <w:bCs/>
          <w:szCs w:val="26"/>
        </w:rPr>
        <w:t xml:space="preserve">Sidelobe antenna performance is the influencing factor for the geometry within the restricted zone but outside of the restricted zone, peak antenna gain is </w:t>
      </w:r>
      <w:r w:rsidR="00864D51">
        <w:rPr>
          <w:bCs/>
          <w:szCs w:val="26"/>
        </w:rPr>
        <w:t>may be more relevant</w:t>
      </w:r>
      <w:r>
        <w:rPr>
          <w:bCs/>
          <w:szCs w:val="26"/>
        </w:rPr>
        <w:t>.</w:t>
      </w:r>
    </w:p>
    <w:p w14:paraId="22A8203D" w14:textId="4BD45661" w:rsidR="006E06F0" w:rsidRPr="00345F73" w:rsidRDefault="006E06F0" w:rsidP="006E06F0">
      <w:pPr>
        <w:pStyle w:val="Numberedparagraph"/>
      </w:pPr>
      <w:r w:rsidRPr="00345F73">
        <w:t>Consequently, a third case calculation could be done at the edge of the restricted zone half</w:t>
      </w:r>
      <w:r>
        <w:t>-</w:t>
      </w:r>
      <w:r w:rsidRPr="00345F73">
        <w:t xml:space="preserve">width, assuming that the aircraft is in-line with the base station peak EIRP and determining a third possible TRP limit. The TRP/antenna combination that protects the aircraft the most </w:t>
      </w:r>
      <w:r w:rsidR="00864D51">
        <w:t xml:space="preserve">out of the three test cases </w:t>
      </w:r>
      <w:r w:rsidRPr="00345F73">
        <w:t>could then be used to determine an overall spurious EIRP limit.</w:t>
      </w:r>
    </w:p>
    <w:p w14:paraId="26E98786" w14:textId="77777777" w:rsidR="006E06F0" w:rsidRDefault="006E06F0" w:rsidP="006E06F0">
      <w:pPr>
        <w:pStyle w:val="Heading4"/>
      </w:pPr>
      <w:r>
        <w:t>At the edge of the restricted zone half-width</w:t>
      </w:r>
    </w:p>
    <w:p w14:paraId="6800DE78" w14:textId="77777777" w:rsidR="006E06F0" w:rsidRPr="00345F73" w:rsidRDefault="006E06F0" w:rsidP="006E06F0">
      <w:pPr>
        <w:pStyle w:val="Numberedparagraph"/>
      </w:pPr>
      <w:r w:rsidRPr="00345F73">
        <w:t xml:space="preserve">This case considers a base station operating at the edge of the restricted zone half-width. </w:t>
      </w:r>
    </w:p>
    <w:p w14:paraId="046383AE" w14:textId="52594A9F" w:rsidR="006E06F0" w:rsidRDefault="00307FEC" w:rsidP="006E06F0">
      <w:pPr>
        <w:pStyle w:val="ACMAFigureHeader"/>
      </w:pPr>
      <w:r>
        <w:t>Test b</w:t>
      </w:r>
      <w:r w:rsidR="006E06F0">
        <w:t>ase station locations</w:t>
      </w:r>
    </w:p>
    <w:p w14:paraId="78BF54C4" w14:textId="4BA80F7B" w:rsidR="006E06F0" w:rsidRPr="00AD55F5" w:rsidRDefault="005D6995" w:rsidP="006E06F0">
      <w:r w:rsidRPr="005D6995">
        <w:rPr>
          <w:noProof/>
        </w:rPr>
        <w:drawing>
          <wp:inline distT="0" distB="0" distL="0" distR="0" wp14:anchorId="0F1060B5" wp14:editId="3FB1AB88">
            <wp:extent cx="4871085" cy="3397885"/>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871085" cy="3397885"/>
                    </a:xfrm>
                    <a:prstGeom prst="rect">
                      <a:avLst/>
                    </a:prstGeom>
                  </pic:spPr>
                </pic:pic>
              </a:graphicData>
            </a:graphic>
          </wp:inline>
        </w:drawing>
      </w:r>
    </w:p>
    <w:p w14:paraId="5F23E9FF" w14:textId="68C2E7D9" w:rsidR="006E06F0" w:rsidRPr="00345F73" w:rsidRDefault="006E06F0" w:rsidP="006E06F0">
      <w:pPr>
        <w:pStyle w:val="Numberedparagraph"/>
      </w:pPr>
      <w:r w:rsidRPr="00345F73">
        <w:t>The altitude of the aircraft on the boundary between the exclusion and restricted zones is calculated via the French method (an aircraft approach angle of 3 degrees with 0.375 degree margin)</w:t>
      </w:r>
      <w:r w:rsidR="00CF22F2">
        <w:t xml:space="preserve"> with a 200m </w:t>
      </w:r>
      <w:r w:rsidR="0033442B">
        <w:t>touchdown distance</w:t>
      </w:r>
      <w:r w:rsidRPr="00345F73">
        <w:t xml:space="preserve">. The height of the aircraft is then </w:t>
      </w:r>
      <w:r w:rsidR="00CF22F2">
        <w:t>126.6</w:t>
      </w:r>
      <w:r w:rsidRPr="00345F73">
        <w:t xml:space="preserve"> metres (</w:t>
      </w:r>
      <w:r w:rsidR="00CF22F2">
        <w:t>415</w:t>
      </w:r>
      <w:r w:rsidRPr="00345F73">
        <w:t xml:space="preserve"> ft).</w:t>
      </w:r>
    </w:p>
    <w:p w14:paraId="7FD4D325" w14:textId="1C9A6D78" w:rsidR="006E06F0" w:rsidRDefault="006E06F0" w:rsidP="006E06F0">
      <w:pPr>
        <w:pStyle w:val="Numberedparagraph"/>
      </w:pPr>
      <w:r w:rsidRPr="00345F73">
        <w:t xml:space="preserve">With a 25 m high base station the vertical distance between the base station and the radio altimeter is </w:t>
      </w:r>
      <w:r w:rsidR="00CF22F2">
        <w:t>101.6</w:t>
      </w:r>
      <w:r w:rsidRPr="00345F73">
        <w:t xml:space="preserve"> metres. The horizontal distance of the base station from the aircraft will be the half-width of the restricted zone which is 510 metres. The </w:t>
      </w:r>
      <w:r w:rsidR="00EF3B58">
        <w:t xml:space="preserve">overall </w:t>
      </w:r>
      <w:r w:rsidRPr="00345F73">
        <w:t xml:space="preserve">distance between the aircraft and base station is </w:t>
      </w:r>
      <w:r w:rsidR="009B153C">
        <w:t xml:space="preserve">then </w:t>
      </w:r>
      <w:r w:rsidRPr="00345F73">
        <w:t>5</w:t>
      </w:r>
      <w:r w:rsidR="00CF22F2">
        <w:t>20</w:t>
      </w:r>
      <w:r w:rsidRPr="00345F73">
        <w:t xml:space="preserve"> metres.</w:t>
      </w:r>
    </w:p>
    <w:p w14:paraId="22B527C8" w14:textId="2A1526B6" w:rsidR="006E06F0" w:rsidRPr="00345F73" w:rsidRDefault="006E06F0" w:rsidP="006E06F0">
      <w:pPr>
        <w:pStyle w:val="Tableheading"/>
      </w:pPr>
      <w:r>
        <w:t xml:space="preserve">Calculation summary </w:t>
      </w:r>
      <w:r w:rsidR="00E97F91">
        <w:t>(at restricted zone half-width edge)</w:t>
      </w:r>
    </w:p>
    <w:tbl>
      <w:tblPr>
        <w:tblStyle w:val="ACMAtablestyle"/>
        <w:tblW w:w="7370" w:type="dxa"/>
        <w:tblLook w:val="04A0" w:firstRow="1" w:lastRow="0" w:firstColumn="1" w:lastColumn="0" w:noHBand="0" w:noVBand="1"/>
      </w:tblPr>
      <w:tblGrid>
        <w:gridCol w:w="2551"/>
        <w:gridCol w:w="1701"/>
        <w:gridCol w:w="3118"/>
      </w:tblGrid>
      <w:tr w:rsidR="006E06F0" w14:paraId="4241AE4E" w14:textId="77777777" w:rsidTr="00695A13">
        <w:trPr>
          <w:cnfStyle w:val="100000000000" w:firstRow="1" w:lastRow="0" w:firstColumn="0" w:lastColumn="0" w:oddVBand="0" w:evenVBand="0" w:oddHBand="0" w:evenHBand="0" w:firstRowFirstColumn="0" w:firstRowLastColumn="0" w:lastRowFirstColumn="0" w:lastRowLastColumn="0"/>
        </w:trPr>
        <w:tc>
          <w:tcPr>
            <w:tcW w:w="2551" w:type="dxa"/>
          </w:tcPr>
          <w:p w14:paraId="1AC3E885" w14:textId="77777777" w:rsidR="006E06F0" w:rsidRDefault="006E06F0" w:rsidP="00695A13">
            <w:pPr>
              <w:pStyle w:val="Tableheaderrow"/>
            </w:pPr>
            <w:r>
              <w:t>Parameter</w:t>
            </w:r>
          </w:p>
        </w:tc>
        <w:tc>
          <w:tcPr>
            <w:tcW w:w="1701" w:type="dxa"/>
          </w:tcPr>
          <w:p w14:paraId="68BBE705" w14:textId="77777777" w:rsidR="006E06F0" w:rsidRDefault="006E06F0" w:rsidP="00695A13">
            <w:pPr>
              <w:pStyle w:val="Tableheaderrow"/>
            </w:pPr>
            <w:r>
              <w:t>Value</w:t>
            </w:r>
          </w:p>
        </w:tc>
        <w:tc>
          <w:tcPr>
            <w:tcW w:w="3118" w:type="dxa"/>
          </w:tcPr>
          <w:p w14:paraId="0B9A8735" w14:textId="77777777" w:rsidR="006E06F0" w:rsidRDefault="006E06F0" w:rsidP="00695A13">
            <w:pPr>
              <w:pStyle w:val="Tableheaderrow"/>
            </w:pPr>
            <w:r>
              <w:t>Notes</w:t>
            </w:r>
          </w:p>
        </w:tc>
      </w:tr>
      <w:tr w:rsidR="006E06F0" w:rsidRPr="00434CF6" w14:paraId="049EC72D"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6CC8CD0F" w14:textId="77777777" w:rsidR="006E06F0" w:rsidRPr="007B200D" w:rsidRDefault="006E06F0" w:rsidP="00695A13">
            <w:pPr>
              <w:pStyle w:val="TableBody"/>
            </w:pPr>
            <w:r w:rsidRPr="007B200D">
              <w:t>Path Loss</w:t>
            </w:r>
          </w:p>
        </w:tc>
        <w:tc>
          <w:tcPr>
            <w:tcW w:w="1701" w:type="dxa"/>
          </w:tcPr>
          <w:p w14:paraId="6E6FB9C6" w14:textId="087ADD67" w:rsidR="006E06F0" w:rsidRPr="007B200D" w:rsidRDefault="00C85031" w:rsidP="00695A13">
            <w:pPr>
              <w:pStyle w:val="TableBody"/>
            </w:pPr>
            <w:r w:rsidRPr="00257BC6">
              <w:t>99.1</w:t>
            </w:r>
            <w:r w:rsidR="006E06F0" w:rsidRPr="007B200D">
              <w:t xml:space="preserve"> dB</w:t>
            </w:r>
          </w:p>
        </w:tc>
        <w:tc>
          <w:tcPr>
            <w:tcW w:w="3118" w:type="dxa"/>
          </w:tcPr>
          <w:p w14:paraId="4F36CE8D" w14:textId="45E3AE29" w:rsidR="006E06F0" w:rsidRPr="00434CF6" w:rsidRDefault="006E06F0" w:rsidP="00695A13">
            <w:pPr>
              <w:pStyle w:val="TableBody"/>
            </w:pPr>
            <w:r w:rsidRPr="007B200D">
              <w:t>Distance 5</w:t>
            </w:r>
            <w:r w:rsidR="008C0CEA" w:rsidRPr="007B200D">
              <w:t>20</w:t>
            </w:r>
            <w:r w:rsidRPr="007B200D">
              <w:t xml:space="preserve"> metres from top of base station to aircraft at boundary and frequency 4200.5 MHz</w:t>
            </w:r>
          </w:p>
        </w:tc>
      </w:tr>
      <w:tr w:rsidR="006E06F0" w:rsidRPr="00434CF6" w14:paraId="0B2B600E"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5A4BB58E" w14:textId="77777777" w:rsidR="006E06F0" w:rsidRPr="00434CF6" w:rsidRDefault="006E06F0" w:rsidP="00695A13">
            <w:pPr>
              <w:pStyle w:val="TableBody"/>
            </w:pPr>
            <w:r w:rsidRPr="00434CF6">
              <w:t>Transmitter 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Tx</m:t>
                  </m:r>
                </m:sub>
              </m:sSub>
            </m:oMath>
          </w:p>
        </w:tc>
        <w:tc>
          <w:tcPr>
            <w:tcW w:w="1701" w:type="dxa"/>
          </w:tcPr>
          <w:p w14:paraId="2580E8DF" w14:textId="77777777" w:rsidR="006E06F0" w:rsidRPr="00434CF6" w:rsidRDefault="006E06F0" w:rsidP="00695A13">
            <w:pPr>
              <w:pStyle w:val="TableBody"/>
            </w:pPr>
            <w:r>
              <w:t>25</w:t>
            </w:r>
            <w:r w:rsidRPr="00434CF6">
              <w:t xml:space="preserve"> dBi</w:t>
            </w:r>
          </w:p>
        </w:tc>
        <w:tc>
          <w:tcPr>
            <w:tcW w:w="3118" w:type="dxa"/>
          </w:tcPr>
          <w:p w14:paraId="5D727625" w14:textId="09BF1E86" w:rsidR="006E06F0" w:rsidRPr="00434CF6" w:rsidRDefault="006E06F0" w:rsidP="00695A13">
            <w:pPr>
              <w:pStyle w:val="TableBody"/>
            </w:pPr>
            <w:r>
              <w:t xml:space="preserve">Maximum </w:t>
            </w:r>
            <w:r w:rsidR="00B61028">
              <w:t xml:space="preserve">assumed </w:t>
            </w:r>
            <w:r>
              <w:t>gain of operating antenna.</w:t>
            </w:r>
          </w:p>
        </w:tc>
      </w:tr>
      <w:tr w:rsidR="006E06F0" w:rsidRPr="00434CF6" w14:paraId="64FB422C"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1A10C12B" w14:textId="71B6DD6A" w:rsidR="006E06F0" w:rsidRPr="00434CF6" w:rsidRDefault="006E06F0" w:rsidP="00695A13">
            <w:pPr>
              <w:pStyle w:val="TableBody"/>
            </w:pPr>
            <w:r w:rsidRPr="00434CF6">
              <w:t xml:space="preserve">Radio altimeter </w:t>
            </w:r>
            <w:r w:rsidR="001356A8">
              <w:t xml:space="preserve">net </w:t>
            </w:r>
            <w:r w:rsidRPr="00434CF6">
              <w:t>gain</w:t>
            </w:r>
            <w:r>
              <w:t xml:space="preserve">, </w:t>
            </w:r>
            <m:oMath>
              <m:sSub>
                <m:sSubPr>
                  <m:ctrlPr>
                    <w:rPr>
                      <w:rFonts w:ascii="Cambria Math" w:hAnsi="Cambria Math"/>
                    </w:rPr>
                  </m:ctrlPr>
                </m:sSubPr>
                <m:e>
                  <m:r>
                    <w:rPr>
                      <w:rFonts w:ascii="Cambria Math" w:hAnsi="Cambria Math"/>
                    </w:rPr>
                    <m:t>G</m:t>
                  </m:r>
                </m:e>
                <m:sub>
                  <m:r>
                    <w:rPr>
                      <w:rFonts w:ascii="Cambria Math" w:hAnsi="Cambria Math"/>
                    </w:rPr>
                    <m:t>Rx</m:t>
                  </m:r>
                </m:sub>
              </m:sSub>
            </m:oMath>
          </w:p>
        </w:tc>
        <w:tc>
          <w:tcPr>
            <w:tcW w:w="1701" w:type="dxa"/>
          </w:tcPr>
          <w:p w14:paraId="0FCF5E6C" w14:textId="77777777" w:rsidR="006E06F0" w:rsidRPr="00434CF6" w:rsidRDefault="006E06F0" w:rsidP="00695A13">
            <w:pPr>
              <w:pStyle w:val="TableBody"/>
            </w:pPr>
            <w:r>
              <w:t>5</w:t>
            </w:r>
            <w:r w:rsidRPr="00434CF6">
              <w:t xml:space="preserve"> dBi</w:t>
            </w:r>
          </w:p>
        </w:tc>
        <w:tc>
          <w:tcPr>
            <w:tcW w:w="3118" w:type="dxa"/>
          </w:tcPr>
          <w:p w14:paraId="216619DF" w14:textId="6C8C5E41" w:rsidR="006E06F0" w:rsidRPr="00434CF6" w:rsidRDefault="006E06F0" w:rsidP="00695A13">
            <w:pPr>
              <w:pStyle w:val="TableBody"/>
            </w:pPr>
            <w:r>
              <w:t>RTCA figure 6-12 of ~8</w:t>
            </w:r>
            <w:r w:rsidR="005765C0">
              <w:t xml:space="preserve"> </w:t>
            </w:r>
            <w:r>
              <w:t xml:space="preserve">dBi </w:t>
            </w:r>
            <w:r w:rsidR="00A92487">
              <w:t>less</w:t>
            </w:r>
            <w:r>
              <w:t xml:space="preserve"> AVSI use of 3 dB cable loss</w:t>
            </w:r>
          </w:p>
        </w:tc>
      </w:tr>
      <w:tr w:rsidR="006E06F0" w:rsidRPr="00434CF6" w14:paraId="1C658713" w14:textId="77777777" w:rsidTr="00695A13">
        <w:trPr>
          <w:cnfStyle w:val="000000010000" w:firstRow="0" w:lastRow="0" w:firstColumn="0" w:lastColumn="0" w:oddVBand="0" w:evenVBand="0" w:oddHBand="0" w:evenHBand="1" w:firstRowFirstColumn="0" w:firstRowLastColumn="0" w:lastRowFirstColumn="0" w:lastRowLastColumn="0"/>
        </w:trPr>
        <w:tc>
          <w:tcPr>
            <w:tcW w:w="2551" w:type="dxa"/>
          </w:tcPr>
          <w:p w14:paraId="16267ABD" w14:textId="77777777" w:rsidR="006E06F0" w:rsidRPr="00AD55F5" w:rsidRDefault="006E06F0" w:rsidP="00695A13">
            <w:pPr>
              <w:pStyle w:val="TableBody"/>
            </w:pPr>
            <w:r w:rsidRPr="00C102E0">
              <w:t>ITM Threshold (in 1MHz)</w:t>
            </w:r>
            <w:r>
              <w:t xml:space="preserve">, </w:t>
            </w:r>
            <m:oMath>
              <m:sSub>
                <m:sSubPr>
                  <m:ctrlPr>
                    <w:rPr>
                      <w:rFonts w:ascii="Cambria Math" w:hAnsi="Cambria Math"/>
                    </w:rPr>
                  </m:ctrlPr>
                </m:sSubPr>
                <m:e>
                  <m:r>
                    <w:rPr>
                      <w:rFonts w:ascii="Cambria Math" w:hAnsi="Cambria Math"/>
                    </w:rPr>
                    <m:t>ITM</m:t>
                  </m:r>
                </m:e>
                <m:sub>
                  <m:r>
                    <w:rPr>
                      <w:rFonts w:ascii="Cambria Math" w:hAnsi="Cambria Math"/>
                    </w:rPr>
                    <m:t>thres</m:t>
                  </m:r>
                </m:sub>
              </m:sSub>
            </m:oMath>
          </w:p>
        </w:tc>
        <w:tc>
          <w:tcPr>
            <w:tcW w:w="1701" w:type="dxa"/>
          </w:tcPr>
          <w:p w14:paraId="5D3F5596" w14:textId="08CAD2BF" w:rsidR="006E06F0" w:rsidRPr="00AD55F5" w:rsidRDefault="006E06F0" w:rsidP="00695A13">
            <w:pPr>
              <w:pStyle w:val="TableBody"/>
            </w:pPr>
            <w:r w:rsidRPr="00AD55F5">
              <w:t>-82</w:t>
            </w:r>
            <w:r w:rsidR="00FB45B6" w:rsidRPr="00351961">
              <w:t>.3</w:t>
            </w:r>
            <w:r w:rsidRPr="00AD55F5">
              <w:t xml:space="preserve"> dBm/MHz</w:t>
            </w:r>
          </w:p>
        </w:tc>
        <w:tc>
          <w:tcPr>
            <w:tcW w:w="3118" w:type="dxa"/>
          </w:tcPr>
          <w:p w14:paraId="61C34CC8" w14:textId="6B3E77A1" w:rsidR="006E06F0" w:rsidRPr="00AD55F5" w:rsidRDefault="006E06F0" w:rsidP="00695A13">
            <w:pPr>
              <w:pStyle w:val="TableBody"/>
            </w:pPr>
            <w:r w:rsidRPr="00AD55F5">
              <w:t xml:space="preserve">RTCA Cat 1 4.2-4.4 GHz band spurious limit at </w:t>
            </w:r>
            <w:r w:rsidR="00FB45B6" w:rsidRPr="00351961">
              <w:t>415</w:t>
            </w:r>
            <w:r w:rsidRPr="00AD55F5">
              <w:t xml:space="preserve"> ft.</w:t>
            </w:r>
          </w:p>
        </w:tc>
      </w:tr>
      <w:tr w:rsidR="006E06F0" w:rsidRPr="00434CF6" w14:paraId="140F6E49" w14:textId="77777777" w:rsidTr="00695A13">
        <w:trPr>
          <w:cnfStyle w:val="000000100000" w:firstRow="0" w:lastRow="0" w:firstColumn="0" w:lastColumn="0" w:oddVBand="0" w:evenVBand="0" w:oddHBand="1" w:evenHBand="0" w:firstRowFirstColumn="0" w:firstRowLastColumn="0" w:lastRowFirstColumn="0" w:lastRowLastColumn="0"/>
        </w:trPr>
        <w:tc>
          <w:tcPr>
            <w:tcW w:w="2551" w:type="dxa"/>
          </w:tcPr>
          <w:p w14:paraId="7DFBA563" w14:textId="6008D966" w:rsidR="006E06F0" w:rsidRDefault="006E06F0" w:rsidP="00695A13">
            <w:pPr>
              <w:pStyle w:val="TableBody"/>
            </w:pPr>
            <w:r>
              <w:t xml:space="preserve">Maximum Tx </w:t>
            </w:r>
            <w:r w:rsidR="00E8539F">
              <w:t>unwanted emissions</w:t>
            </w:r>
            <w:r>
              <w:t xml:space="preserve"> power/TRP to meet requirement per MHz, </w:t>
            </w:r>
            <m:oMath>
              <m:sSub>
                <m:sSubPr>
                  <m:ctrlPr>
                    <w:rPr>
                      <w:rFonts w:ascii="Cambria Math" w:hAnsi="Cambria Math"/>
                    </w:rPr>
                  </m:ctrlPr>
                </m:sSubPr>
                <m:e>
                  <m:r>
                    <w:rPr>
                      <w:rFonts w:ascii="Cambria Math" w:hAnsi="Cambria Math"/>
                    </w:rPr>
                    <m:t>P</m:t>
                  </m:r>
                </m:e>
                <m:sub>
                  <m:r>
                    <w:rPr>
                      <w:rFonts w:ascii="Cambria Math" w:hAnsi="Cambria Math"/>
                    </w:rPr>
                    <m:t>Tx</m:t>
                  </m:r>
                </m:sub>
              </m:sSub>
            </m:oMath>
          </w:p>
        </w:tc>
        <w:tc>
          <w:tcPr>
            <w:tcW w:w="1701" w:type="dxa"/>
          </w:tcPr>
          <w:p w14:paraId="3A04BDBA" w14:textId="4E890C93" w:rsidR="006E06F0" w:rsidRDefault="00C85031" w:rsidP="00695A13">
            <w:pPr>
              <w:pStyle w:val="TableBody"/>
            </w:pPr>
            <w:r>
              <w:t>-13.2</w:t>
            </w:r>
            <w:r w:rsidR="006E06F0">
              <w:t xml:space="preserve"> dBm/MHz</w:t>
            </w:r>
          </w:p>
        </w:tc>
        <w:tc>
          <w:tcPr>
            <w:tcW w:w="3118" w:type="dxa"/>
          </w:tcPr>
          <w:p w14:paraId="62EF5EA9" w14:textId="77777777" w:rsidR="006E06F0" w:rsidRPr="00434CF6" w:rsidRDefault="006E06F0" w:rsidP="00695A13">
            <w:pPr>
              <w:pStyle w:val="TableBody"/>
            </w:pPr>
          </w:p>
        </w:tc>
      </w:tr>
    </w:tbl>
    <w:p w14:paraId="2F06A7C9" w14:textId="77777777" w:rsidR="006E06F0" w:rsidRPr="00345F73" w:rsidRDefault="006E06F0" w:rsidP="006E06F0">
      <w:pPr>
        <w:pStyle w:val="ListContinue"/>
        <w:ind w:left="-567"/>
        <w:rPr>
          <w:rFonts w:cs="Arial"/>
        </w:rPr>
      </w:pPr>
    </w:p>
    <w:p w14:paraId="2D5F8584" w14:textId="02641B9F" w:rsidR="006E06F0" w:rsidRPr="00345F73" w:rsidRDefault="006E06F0" w:rsidP="006E06F0">
      <w:pPr>
        <w:pStyle w:val="ListContinue"/>
        <w:numPr>
          <w:ilvl w:val="1"/>
          <w:numId w:val="13"/>
        </w:numPr>
        <w:rPr>
          <w:rFonts w:cs="Arial"/>
        </w:rPr>
      </w:pPr>
      <w:r w:rsidRPr="00345F73">
        <w:rPr>
          <w:rFonts w:cs="Arial"/>
        </w:rPr>
        <w:t xml:space="preserve">With worst case peak antenna gain of 25 dBi, the potential </w:t>
      </w:r>
      <w:r w:rsidR="0025671B">
        <w:rPr>
          <w:rFonts w:cs="Arial"/>
        </w:rPr>
        <w:t xml:space="preserve">unwanted emissions </w:t>
      </w:r>
      <w:r w:rsidRPr="00345F73">
        <w:rPr>
          <w:rFonts w:cs="Arial"/>
        </w:rPr>
        <w:t>EIRP limits for the three cases are:</w:t>
      </w:r>
    </w:p>
    <w:tbl>
      <w:tblPr>
        <w:tblStyle w:val="ACMAtablestyle"/>
        <w:tblW w:w="5665" w:type="dxa"/>
        <w:jc w:val="center"/>
        <w:tblLook w:val="04A0" w:firstRow="1" w:lastRow="0" w:firstColumn="1" w:lastColumn="0" w:noHBand="0" w:noVBand="1"/>
      </w:tblPr>
      <w:tblGrid>
        <w:gridCol w:w="1421"/>
        <w:gridCol w:w="2118"/>
        <w:gridCol w:w="2126"/>
      </w:tblGrid>
      <w:tr w:rsidR="0025671B" w14:paraId="3361E0DD" w14:textId="77777777" w:rsidTr="00257BC6">
        <w:trPr>
          <w:cnfStyle w:val="100000000000" w:firstRow="1" w:lastRow="0" w:firstColumn="0" w:lastColumn="0" w:oddVBand="0" w:evenVBand="0" w:oddHBand="0" w:evenHBand="0" w:firstRowFirstColumn="0" w:firstRowLastColumn="0" w:lastRowFirstColumn="0" w:lastRowLastColumn="0"/>
          <w:jc w:val="center"/>
        </w:trPr>
        <w:tc>
          <w:tcPr>
            <w:tcW w:w="1421" w:type="dxa"/>
          </w:tcPr>
          <w:p w14:paraId="4491D4F9" w14:textId="77777777" w:rsidR="006E06F0" w:rsidRDefault="006E06F0" w:rsidP="00695A13">
            <w:pPr>
              <w:pStyle w:val="Tableheaderrow"/>
            </w:pPr>
            <w:r>
              <w:t>Case</w:t>
            </w:r>
          </w:p>
        </w:tc>
        <w:tc>
          <w:tcPr>
            <w:tcW w:w="2118" w:type="dxa"/>
          </w:tcPr>
          <w:p w14:paraId="29A41AE4" w14:textId="1D18B1EE" w:rsidR="006E06F0" w:rsidRDefault="0025671B" w:rsidP="00695A13">
            <w:pPr>
              <w:pStyle w:val="Tableheaderrow"/>
            </w:pPr>
            <w:r>
              <w:t xml:space="preserve">Unwanted emissions </w:t>
            </w:r>
            <w:r w:rsidR="006E06F0">
              <w:t>TRP limit</w:t>
            </w:r>
          </w:p>
        </w:tc>
        <w:tc>
          <w:tcPr>
            <w:tcW w:w="2126" w:type="dxa"/>
          </w:tcPr>
          <w:p w14:paraId="17A86CC8" w14:textId="7AB43A2B" w:rsidR="006E06F0" w:rsidRDefault="0025671B" w:rsidP="00695A13">
            <w:pPr>
              <w:pStyle w:val="Tableheaderrow"/>
            </w:pPr>
            <w:r>
              <w:t>Unwanted emissions</w:t>
            </w:r>
            <w:r w:rsidR="006E06F0">
              <w:t xml:space="preserve"> EIRP limit</w:t>
            </w:r>
          </w:p>
        </w:tc>
      </w:tr>
      <w:tr w:rsidR="0025671B" w:rsidRPr="00434CF6" w14:paraId="39F6E5AA"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421" w:type="dxa"/>
          </w:tcPr>
          <w:p w14:paraId="4CFC5E91" w14:textId="77777777" w:rsidR="006E06F0" w:rsidRPr="00434CF6" w:rsidRDefault="006E06F0" w:rsidP="00695A13">
            <w:pPr>
              <w:pStyle w:val="TableBody"/>
            </w:pPr>
            <w:r>
              <w:t>Restricted zone near edge</w:t>
            </w:r>
          </w:p>
        </w:tc>
        <w:tc>
          <w:tcPr>
            <w:tcW w:w="2118" w:type="dxa"/>
          </w:tcPr>
          <w:p w14:paraId="08C4CA2E" w14:textId="635DE2A6" w:rsidR="006E06F0" w:rsidRPr="00434CF6" w:rsidRDefault="006E06F0" w:rsidP="00695A13">
            <w:pPr>
              <w:pStyle w:val="TableBody"/>
            </w:pPr>
            <w:r>
              <w:t>-20.</w:t>
            </w:r>
            <w:r w:rsidR="00186632">
              <w:t>3</w:t>
            </w:r>
            <w:r>
              <w:t xml:space="preserve"> dBm/MHz</w:t>
            </w:r>
          </w:p>
        </w:tc>
        <w:tc>
          <w:tcPr>
            <w:tcW w:w="2126" w:type="dxa"/>
          </w:tcPr>
          <w:p w14:paraId="008CF09A" w14:textId="05B0ED12" w:rsidR="006E06F0" w:rsidRPr="00434CF6" w:rsidRDefault="006E06F0" w:rsidP="00695A13">
            <w:pPr>
              <w:pStyle w:val="TableBody"/>
            </w:pPr>
            <w:r>
              <w:t>4.</w:t>
            </w:r>
            <w:r w:rsidR="00186632">
              <w:t>7</w:t>
            </w:r>
            <w:r>
              <w:t xml:space="preserve"> dBm/MHz</w:t>
            </w:r>
          </w:p>
        </w:tc>
      </w:tr>
      <w:tr w:rsidR="0025671B" w:rsidRPr="00434CF6" w14:paraId="592EA8B0" w14:textId="77777777" w:rsidTr="0025671B">
        <w:trPr>
          <w:cnfStyle w:val="000000010000" w:firstRow="0" w:lastRow="0" w:firstColumn="0" w:lastColumn="0" w:oddVBand="0" w:evenVBand="0" w:oddHBand="0" w:evenHBand="1" w:firstRowFirstColumn="0" w:firstRowLastColumn="0" w:lastRowFirstColumn="0" w:lastRowLastColumn="0"/>
          <w:jc w:val="center"/>
        </w:trPr>
        <w:tc>
          <w:tcPr>
            <w:tcW w:w="1421" w:type="dxa"/>
          </w:tcPr>
          <w:p w14:paraId="4FD57A8F" w14:textId="77777777" w:rsidR="006E06F0" w:rsidRDefault="006E06F0" w:rsidP="00695A13">
            <w:pPr>
              <w:pStyle w:val="TableBody"/>
            </w:pPr>
            <w:r>
              <w:t>Restricted zone far edge</w:t>
            </w:r>
          </w:p>
        </w:tc>
        <w:tc>
          <w:tcPr>
            <w:tcW w:w="2118" w:type="dxa"/>
          </w:tcPr>
          <w:p w14:paraId="4BCB900C" w14:textId="77777777" w:rsidR="006E06F0" w:rsidRDefault="006E06F0" w:rsidP="00695A13">
            <w:pPr>
              <w:pStyle w:val="TableBody"/>
            </w:pPr>
            <w:r>
              <w:t>-15.2 dBm/MHz</w:t>
            </w:r>
          </w:p>
        </w:tc>
        <w:tc>
          <w:tcPr>
            <w:tcW w:w="2126" w:type="dxa"/>
          </w:tcPr>
          <w:p w14:paraId="5B61FCDE" w14:textId="77777777" w:rsidR="006E06F0" w:rsidRDefault="006E06F0" w:rsidP="00695A13">
            <w:pPr>
              <w:pStyle w:val="TableBody"/>
            </w:pPr>
            <w:r>
              <w:t>9.8 dBm/MHz</w:t>
            </w:r>
          </w:p>
        </w:tc>
      </w:tr>
      <w:tr w:rsidR="0025671B" w:rsidRPr="00434CF6" w14:paraId="5D1478C3"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1421" w:type="dxa"/>
          </w:tcPr>
          <w:p w14:paraId="6E0A522F" w14:textId="77777777" w:rsidR="006E06F0" w:rsidRDefault="006E06F0" w:rsidP="00695A13">
            <w:pPr>
              <w:pStyle w:val="TableBody"/>
            </w:pPr>
            <w:r>
              <w:t>Restricted zone half-width edge</w:t>
            </w:r>
          </w:p>
        </w:tc>
        <w:tc>
          <w:tcPr>
            <w:tcW w:w="2118" w:type="dxa"/>
          </w:tcPr>
          <w:p w14:paraId="1CFFC4A5" w14:textId="7C8A731C" w:rsidR="006E06F0" w:rsidRDefault="00C85031" w:rsidP="00695A13">
            <w:pPr>
              <w:pStyle w:val="TableBody"/>
            </w:pPr>
            <w:r>
              <w:t xml:space="preserve">-13.2 </w:t>
            </w:r>
            <w:r w:rsidR="006E06F0">
              <w:t>dBm/MHz</w:t>
            </w:r>
          </w:p>
        </w:tc>
        <w:tc>
          <w:tcPr>
            <w:tcW w:w="2126" w:type="dxa"/>
          </w:tcPr>
          <w:p w14:paraId="1B27B341" w14:textId="666EE571" w:rsidR="006E06F0" w:rsidRDefault="00C85031" w:rsidP="00695A13">
            <w:pPr>
              <w:pStyle w:val="TableBody"/>
            </w:pPr>
            <w:r>
              <w:t>11.8</w:t>
            </w:r>
            <w:r w:rsidR="006E06F0">
              <w:t xml:space="preserve"> dBm/MHz</w:t>
            </w:r>
          </w:p>
        </w:tc>
      </w:tr>
    </w:tbl>
    <w:p w14:paraId="7569BADC" w14:textId="77777777" w:rsidR="006E06F0" w:rsidRDefault="006E06F0" w:rsidP="006E06F0">
      <w:pPr>
        <w:pStyle w:val="Paragraph"/>
        <w:rPr>
          <w:szCs w:val="26"/>
        </w:rPr>
      </w:pPr>
    </w:p>
    <w:p w14:paraId="74328AF2" w14:textId="47650C06" w:rsidR="006E06F0" w:rsidRPr="00345F73" w:rsidRDefault="006E06F0" w:rsidP="006E06F0">
      <w:pPr>
        <w:pStyle w:val="ListContinue"/>
        <w:numPr>
          <w:ilvl w:val="1"/>
          <w:numId w:val="13"/>
        </w:numPr>
        <w:rPr>
          <w:rFonts w:cs="Arial"/>
        </w:rPr>
      </w:pPr>
      <w:r w:rsidRPr="00345F73">
        <w:rPr>
          <w:rFonts w:cs="Arial"/>
        </w:rPr>
        <w:t>Consequently, the worst case</w:t>
      </w:r>
      <w:r w:rsidR="00C85031">
        <w:rPr>
          <w:rFonts w:cs="Arial"/>
        </w:rPr>
        <w:t xml:space="preserve"> (lowest value)</w:t>
      </w:r>
      <w:r w:rsidRPr="00345F73">
        <w:rPr>
          <w:rFonts w:cs="Arial"/>
        </w:rPr>
        <w:t xml:space="preserve"> </w:t>
      </w:r>
      <w:r w:rsidR="0025671B">
        <w:rPr>
          <w:rFonts w:cs="Arial"/>
        </w:rPr>
        <w:t xml:space="preserve">unwanted emissions </w:t>
      </w:r>
      <w:r w:rsidRPr="00345F73">
        <w:rPr>
          <w:rFonts w:cs="Arial"/>
        </w:rPr>
        <w:t>EIRP limit is 4.</w:t>
      </w:r>
      <w:r w:rsidR="00203739">
        <w:rPr>
          <w:rFonts w:cs="Arial"/>
        </w:rPr>
        <w:t>7</w:t>
      </w:r>
      <w:r w:rsidRPr="00345F73">
        <w:rPr>
          <w:rFonts w:cs="Arial"/>
        </w:rPr>
        <w:t xml:space="preserve"> dBm/MHz in the 4200 – 4400 MHz range</w:t>
      </w:r>
      <w:r w:rsidR="00C85031">
        <w:rPr>
          <w:rFonts w:cs="Arial"/>
        </w:rPr>
        <w:t>,</w:t>
      </w:r>
      <w:r>
        <w:rPr>
          <w:rFonts w:cs="Arial"/>
        </w:rPr>
        <w:t xml:space="preserve"> for the example 3750 MHz frequency</w:t>
      </w:r>
      <w:r w:rsidRPr="00345F73">
        <w:rPr>
          <w:rFonts w:cs="Arial"/>
        </w:rPr>
        <w:t>. This assumes that a downtilt requirement is in place so that the peak EIRP within the restricted zone is not directed upwards to the aircraft.</w:t>
      </w:r>
    </w:p>
    <w:p w14:paraId="52095E06" w14:textId="14462E6F" w:rsidR="006E06F0" w:rsidRDefault="006E06F0" w:rsidP="006E06F0">
      <w:pPr>
        <w:pStyle w:val="Heading4"/>
      </w:pPr>
      <w:r>
        <w:t xml:space="preserve">Comparison with the draft AWL LCD </w:t>
      </w:r>
      <w:r w:rsidR="00D65082">
        <w:t xml:space="preserve">unwanted </w:t>
      </w:r>
      <w:r w:rsidR="00C85031">
        <w:t>emission</w:t>
      </w:r>
      <w:r>
        <w:t xml:space="preserve"> limits</w:t>
      </w:r>
    </w:p>
    <w:p w14:paraId="4C68EC9D" w14:textId="4AFDFC71" w:rsidR="006E06F0" w:rsidRPr="00345F73" w:rsidRDefault="006E06F0" w:rsidP="006E06F0">
      <w:pPr>
        <w:pStyle w:val="Numberedparagraph"/>
      </w:pPr>
      <w:r w:rsidRPr="00345F73">
        <w:t xml:space="preserve">The draft Area-Wide Licence Conditions Amendment Determination 2022 </w:t>
      </w:r>
      <w:r w:rsidR="00E8539F">
        <w:t>defines different unwanted emissions limits, depending on the frequency offset from the base station. This is, effectively, to define different limits to the “out-of-band” and the “</w:t>
      </w:r>
      <w:r w:rsidRPr="00345F73">
        <w:t>spurious</w:t>
      </w:r>
      <w:r w:rsidR="00E8539F">
        <w:t>”</w:t>
      </w:r>
      <w:r w:rsidRPr="00345F73">
        <w:t xml:space="preserve"> domain</w:t>
      </w:r>
      <w:r w:rsidR="00E8539F">
        <w:t>s.</w:t>
      </w:r>
      <w:r w:rsidRPr="00345F73">
        <w:t xml:space="preserve"> The </w:t>
      </w:r>
      <w:r w:rsidR="00E8539F">
        <w:t>unwanted</w:t>
      </w:r>
      <w:r w:rsidRPr="00345F73">
        <w:t xml:space="preserve"> emissions limit determined above can then be potentially applied at the 4200 MHz boundary to better protect the radio altimeter operating band.</w:t>
      </w:r>
    </w:p>
    <w:p w14:paraId="704A141B" w14:textId="505F040D" w:rsidR="006E06F0" w:rsidRDefault="006E06F0" w:rsidP="006E06F0">
      <w:pPr>
        <w:pStyle w:val="Numberedparagraph"/>
      </w:pPr>
      <w:r w:rsidRPr="00345F73">
        <w:t xml:space="preserve">To compare limits </w:t>
      </w:r>
      <w:r w:rsidR="00D65082">
        <w:t xml:space="preserve">interpreted as EIRP limits, </w:t>
      </w:r>
      <w:r w:rsidRPr="00345F73">
        <w:t>an antenna gain of 25 dBi has been applied.</w:t>
      </w:r>
      <w:r>
        <w:t xml:space="preserve"> </w:t>
      </w:r>
      <w:r w:rsidR="005D3AB3">
        <w:t>(</w:t>
      </w:r>
      <w:r>
        <w:t>For the non-AAS base station</w:t>
      </w:r>
      <w:r w:rsidR="00586B04">
        <w:t>, the total EIRP</w:t>
      </w:r>
      <w:r>
        <w:t xml:space="preserve"> assumes a 19 dBi antenna gain operating with 4 </w:t>
      </w:r>
      <w:r w:rsidR="005D3AB3">
        <w:t>ports</w:t>
      </w:r>
      <w:r w:rsidR="009C3DCB">
        <w:t xml:space="preserve"> so 19 dBi + 6dB = 25 dBi</w:t>
      </w:r>
      <w:r w:rsidR="005D3AB3">
        <w:t>)</w:t>
      </w:r>
    </w:p>
    <w:p w14:paraId="31FE9BDB" w14:textId="77777777" w:rsidR="00B80C38" w:rsidRDefault="00B80C38" w:rsidP="00257BC6">
      <w:pPr>
        <w:pStyle w:val="ACMATableHeader"/>
      </w:pPr>
      <w:r>
        <w:t>Unwanted emissions limits above 4200 MHz in draft AWL LCD</w:t>
      </w:r>
    </w:p>
    <w:tbl>
      <w:tblPr>
        <w:tblStyle w:val="ACMAtablestyle"/>
        <w:tblW w:w="0" w:type="auto"/>
        <w:tblLook w:val="04A0" w:firstRow="1" w:lastRow="0" w:firstColumn="1" w:lastColumn="0" w:noHBand="0" w:noVBand="1"/>
      </w:tblPr>
      <w:tblGrid>
        <w:gridCol w:w="2006"/>
        <w:gridCol w:w="1885"/>
        <w:gridCol w:w="1885"/>
        <w:gridCol w:w="1885"/>
      </w:tblGrid>
      <w:tr w:rsidR="00B80C38" w14:paraId="5D8D517C" w14:textId="77777777" w:rsidTr="00695A13">
        <w:trPr>
          <w:cnfStyle w:val="100000000000" w:firstRow="1" w:lastRow="0" w:firstColumn="0" w:lastColumn="0" w:oddVBand="0" w:evenVBand="0" w:oddHBand="0" w:evenHBand="0" w:firstRowFirstColumn="0" w:firstRowLastColumn="0" w:lastRowFirstColumn="0" w:lastRowLastColumn="0"/>
        </w:trPr>
        <w:tc>
          <w:tcPr>
            <w:tcW w:w="2006" w:type="dxa"/>
          </w:tcPr>
          <w:p w14:paraId="462B794C" w14:textId="77777777" w:rsidR="00B80C38" w:rsidRPr="00C53ADC" w:rsidRDefault="00B80C38" w:rsidP="00695A13">
            <w:pPr>
              <w:pStyle w:val="Tableheaderrow"/>
            </w:pPr>
          </w:p>
        </w:tc>
        <w:tc>
          <w:tcPr>
            <w:tcW w:w="1885" w:type="dxa"/>
          </w:tcPr>
          <w:p w14:paraId="0CD938F8" w14:textId="77777777" w:rsidR="00B80C38" w:rsidRPr="00C53ADC" w:rsidRDefault="00B80C38" w:rsidP="00695A13">
            <w:pPr>
              <w:pStyle w:val="Tableheaderrow"/>
            </w:pPr>
            <w:r w:rsidRPr="00C53ADC">
              <w:t>4200-4210</w:t>
            </w:r>
          </w:p>
        </w:tc>
        <w:tc>
          <w:tcPr>
            <w:tcW w:w="1885" w:type="dxa"/>
          </w:tcPr>
          <w:p w14:paraId="046B4C34" w14:textId="77777777" w:rsidR="00B80C38" w:rsidRPr="00C53ADC" w:rsidRDefault="00B80C38" w:rsidP="00695A13">
            <w:pPr>
              <w:pStyle w:val="Tableheaderrow"/>
            </w:pPr>
            <w:r w:rsidRPr="00C53ADC">
              <w:t>4210-4240</w:t>
            </w:r>
          </w:p>
        </w:tc>
        <w:tc>
          <w:tcPr>
            <w:tcW w:w="1885" w:type="dxa"/>
          </w:tcPr>
          <w:p w14:paraId="23570CA8" w14:textId="77777777" w:rsidR="00B80C38" w:rsidRPr="00C53ADC" w:rsidRDefault="00B80C38" w:rsidP="00695A13">
            <w:pPr>
              <w:pStyle w:val="Tableheaderrow"/>
            </w:pPr>
            <w:r w:rsidRPr="00C53ADC">
              <w:t>&gt;4240</w:t>
            </w:r>
          </w:p>
        </w:tc>
      </w:tr>
      <w:tr w:rsidR="00B80C38" w14:paraId="1D5508FA" w14:textId="77777777" w:rsidTr="00695A13">
        <w:trPr>
          <w:cnfStyle w:val="000000100000" w:firstRow="0" w:lastRow="0" w:firstColumn="0" w:lastColumn="0" w:oddVBand="0" w:evenVBand="0" w:oddHBand="1" w:evenHBand="0" w:firstRowFirstColumn="0" w:firstRowLastColumn="0" w:lastRowFirstColumn="0" w:lastRowLastColumn="0"/>
        </w:trPr>
        <w:tc>
          <w:tcPr>
            <w:tcW w:w="2006" w:type="dxa"/>
          </w:tcPr>
          <w:p w14:paraId="117BF4B1" w14:textId="77777777" w:rsidR="00B80C38" w:rsidRPr="00C53ADC" w:rsidRDefault="00B80C38" w:rsidP="00695A13">
            <w:pPr>
              <w:pStyle w:val="TableBody"/>
            </w:pPr>
            <w:r>
              <w:t>3GPP/AWL LCD</w:t>
            </w:r>
          </w:p>
        </w:tc>
        <w:tc>
          <w:tcPr>
            <w:tcW w:w="1885" w:type="dxa"/>
          </w:tcPr>
          <w:p w14:paraId="5B66DA54" w14:textId="77777777" w:rsidR="00B80C38" w:rsidRDefault="00B80C38" w:rsidP="00695A13">
            <w:pPr>
              <w:pStyle w:val="TableBody"/>
            </w:pPr>
            <w:r>
              <w:t xml:space="preserve">3 </w:t>
            </w:r>
            <w:r w:rsidRPr="00C53ADC">
              <w:t xml:space="preserve">to -4 dBm/MHz mean power per antenna port </w:t>
            </w:r>
            <w:r>
              <w:t xml:space="preserve">    </w:t>
            </w:r>
            <w:r w:rsidRPr="00C53ADC">
              <w:t>non-AAS</w:t>
            </w:r>
          </w:p>
          <w:p w14:paraId="13D2B2EB" w14:textId="77777777" w:rsidR="00B80C38" w:rsidRPr="00C53ADC" w:rsidRDefault="00B80C38" w:rsidP="00695A13">
            <w:pPr>
              <w:pStyle w:val="TableBody"/>
            </w:pPr>
          </w:p>
          <w:p w14:paraId="15269227" w14:textId="77777777" w:rsidR="00B80C38" w:rsidRPr="00C53ADC" w:rsidRDefault="00B80C38" w:rsidP="00695A13">
            <w:pPr>
              <w:pStyle w:val="TableBody"/>
            </w:pPr>
            <w:r>
              <w:t>12</w:t>
            </w:r>
            <w:r w:rsidRPr="00C53ADC">
              <w:t xml:space="preserve"> to </w:t>
            </w:r>
            <w:r>
              <w:t>5</w:t>
            </w:r>
            <w:r w:rsidRPr="00C53ADC">
              <w:t xml:space="preserve"> dBm/MHz TRP AAS</w:t>
            </w:r>
          </w:p>
        </w:tc>
        <w:tc>
          <w:tcPr>
            <w:tcW w:w="1885" w:type="dxa"/>
          </w:tcPr>
          <w:p w14:paraId="03C19F2A" w14:textId="77777777" w:rsidR="00B80C38" w:rsidRDefault="00B80C38" w:rsidP="00695A13">
            <w:pPr>
              <w:pStyle w:val="TableBody"/>
            </w:pPr>
            <w:r w:rsidRPr="00C53ADC">
              <w:t xml:space="preserve">-15 dBm/MHz mean power per antenna port </w:t>
            </w:r>
            <w:r>
              <w:t xml:space="preserve">    </w:t>
            </w:r>
            <w:r w:rsidRPr="00C53ADC">
              <w:t>non-AAS</w:t>
            </w:r>
          </w:p>
          <w:p w14:paraId="3603BC31" w14:textId="77777777" w:rsidR="00B80C38" w:rsidRPr="00C53ADC" w:rsidRDefault="00B80C38" w:rsidP="00695A13">
            <w:pPr>
              <w:pStyle w:val="TableBody"/>
            </w:pPr>
          </w:p>
          <w:p w14:paraId="4857648A" w14:textId="77777777" w:rsidR="00B80C38" w:rsidRPr="00C53ADC" w:rsidRDefault="00B80C38" w:rsidP="00695A13">
            <w:pPr>
              <w:pStyle w:val="TableBody"/>
            </w:pPr>
            <w:r w:rsidRPr="00C53ADC">
              <w:t>-6 dBm/MHz TRP AAS</w:t>
            </w:r>
          </w:p>
        </w:tc>
        <w:tc>
          <w:tcPr>
            <w:tcW w:w="1885" w:type="dxa"/>
          </w:tcPr>
          <w:p w14:paraId="5BB8D993" w14:textId="77777777" w:rsidR="00B80C38" w:rsidRDefault="00B80C38" w:rsidP="00695A13">
            <w:pPr>
              <w:pStyle w:val="TableBody"/>
            </w:pPr>
            <w:r w:rsidRPr="00C53ADC">
              <w:t xml:space="preserve">-30 dBm/MHz mean power per antenna port </w:t>
            </w:r>
            <w:r>
              <w:t xml:space="preserve">    </w:t>
            </w:r>
            <w:r w:rsidRPr="00C53ADC">
              <w:t>non-AAS</w:t>
            </w:r>
          </w:p>
          <w:p w14:paraId="5D7FB544" w14:textId="77777777" w:rsidR="00B80C38" w:rsidRPr="00C53ADC" w:rsidRDefault="00B80C38" w:rsidP="00695A13">
            <w:pPr>
              <w:pStyle w:val="TableBody"/>
            </w:pPr>
          </w:p>
          <w:p w14:paraId="0759DBE1" w14:textId="77777777" w:rsidR="00B80C38" w:rsidRPr="00C53ADC" w:rsidRDefault="00B80C38" w:rsidP="00695A13">
            <w:pPr>
              <w:pStyle w:val="TableBody"/>
            </w:pPr>
            <w:r w:rsidRPr="00C53ADC">
              <w:t>-21 dBm/MHz TRP AAS</w:t>
            </w:r>
          </w:p>
        </w:tc>
      </w:tr>
      <w:tr w:rsidR="00B80C38" w14:paraId="255FCE9F" w14:textId="77777777" w:rsidTr="00695A13">
        <w:trPr>
          <w:cnfStyle w:val="000000010000" w:firstRow="0" w:lastRow="0" w:firstColumn="0" w:lastColumn="0" w:oddVBand="0" w:evenVBand="0" w:oddHBand="0" w:evenHBand="1" w:firstRowFirstColumn="0" w:firstRowLastColumn="0" w:lastRowFirstColumn="0" w:lastRowLastColumn="0"/>
        </w:trPr>
        <w:tc>
          <w:tcPr>
            <w:tcW w:w="2006" w:type="dxa"/>
          </w:tcPr>
          <w:p w14:paraId="6246282C" w14:textId="77777777" w:rsidR="00B80C38" w:rsidRPr="00C53ADC" w:rsidRDefault="00B80C38" w:rsidP="00695A13">
            <w:pPr>
              <w:pStyle w:val="TableBody"/>
            </w:pPr>
            <w:r>
              <w:t xml:space="preserve">Based on </w:t>
            </w:r>
            <w:r w:rsidRPr="00C53ADC">
              <w:t>restricted zone</w:t>
            </w:r>
            <w:r>
              <w:t xml:space="preserve"> calculations</w:t>
            </w:r>
          </w:p>
        </w:tc>
        <w:tc>
          <w:tcPr>
            <w:tcW w:w="5655" w:type="dxa"/>
            <w:gridSpan w:val="3"/>
          </w:tcPr>
          <w:p w14:paraId="38801985" w14:textId="2A6189D7" w:rsidR="00B80C38" w:rsidRPr="00C53ADC" w:rsidRDefault="00B80C38" w:rsidP="00695A13">
            <w:pPr>
              <w:pStyle w:val="TableBody"/>
              <w:jc w:val="center"/>
            </w:pPr>
            <w:r w:rsidRPr="00C53ADC">
              <w:t>-</w:t>
            </w:r>
            <w:r>
              <w:t>20</w:t>
            </w:r>
            <w:r w:rsidRPr="00C53ADC">
              <w:t>.</w:t>
            </w:r>
            <w:r>
              <w:t>3</w:t>
            </w:r>
            <w:r w:rsidRPr="00C53ADC">
              <w:t xml:space="preserve"> dBm/MHz TRP</w:t>
            </w:r>
            <w:r>
              <w:t xml:space="preserve"> or total mean power into all antenna ports.</w:t>
            </w:r>
          </w:p>
        </w:tc>
      </w:tr>
    </w:tbl>
    <w:p w14:paraId="213B041B" w14:textId="77777777" w:rsidR="009C3DCB" w:rsidRPr="00345F73" w:rsidRDefault="009C3DCB" w:rsidP="00257BC6">
      <w:pPr>
        <w:pStyle w:val="Numberedparagraph"/>
        <w:numPr>
          <w:ilvl w:val="0"/>
          <w:numId w:val="0"/>
        </w:numPr>
        <w:ind w:left="-567"/>
      </w:pPr>
    </w:p>
    <w:p w14:paraId="64F23E2D" w14:textId="77777777" w:rsidR="006E06F0" w:rsidRDefault="006E06F0" w:rsidP="006E06F0">
      <w:pPr>
        <w:pStyle w:val="ACMATableHeader"/>
      </w:pPr>
      <w:r>
        <w:t>Unwanted emissions limits above 4200 MHz in draft AWL LCD (converted to EIRP)</w:t>
      </w:r>
    </w:p>
    <w:tbl>
      <w:tblPr>
        <w:tblStyle w:val="ACMAtablestyle"/>
        <w:tblW w:w="0" w:type="auto"/>
        <w:tblLook w:val="04A0" w:firstRow="1" w:lastRow="0" w:firstColumn="1" w:lastColumn="0" w:noHBand="0" w:noVBand="1"/>
      </w:tblPr>
      <w:tblGrid>
        <w:gridCol w:w="2006"/>
        <w:gridCol w:w="1885"/>
        <w:gridCol w:w="1885"/>
        <w:gridCol w:w="1885"/>
      </w:tblGrid>
      <w:tr w:rsidR="006E06F0" w14:paraId="210ADF6C" w14:textId="77777777" w:rsidTr="00695A13">
        <w:trPr>
          <w:cnfStyle w:val="100000000000" w:firstRow="1" w:lastRow="0" w:firstColumn="0" w:lastColumn="0" w:oddVBand="0" w:evenVBand="0" w:oddHBand="0" w:evenHBand="0" w:firstRowFirstColumn="0" w:firstRowLastColumn="0" w:lastRowFirstColumn="0" w:lastRowLastColumn="0"/>
        </w:trPr>
        <w:tc>
          <w:tcPr>
            <w:tcW w:w="2006" w:type="dxa"/>
          </w:tcPr>
          <w:p w14:paraId="3C48339E" w14:textId="77777777" w:rsidR="006E06F0" w:rsidRPr="00C53ADC" w:rsidRDefault="006E06F0" w:rsidP="00695A13">
            <w:pPr>
              <w:pStyle w:val="Tableheaderrow"/>
            </w:pPr>
          </w:p>
        </w:tc>
        <w:tc>
          <w:tcPr>
            <w:tcW w:w="1885" w:type="dxa"/>
          </w:tcPr>
          <w:p w14:paraId="38F1041F" w14:textId="77777777" w:rsidR="006E06F0" w:rsidRPr="00C53ADC" w:rsidRDefault="006E06F0" w:rsidP="00695A13">
            <w:pPr>
              <w:pStyle w:val="Tableheaderrow"/>
            </w:pPr>
            <w:r w:rsidRPr="00C53ADC">
              <w:t>4200-4210</w:t>
            </w:r>
          </w:p>
        </w:tc>
        <w:tc>
          <w:tcPr>
            <w:tcW w:w="1885" w:type="dxa"/>
          </w:tcPr>
          <w:p w14:paraId="1137FD4B" w14:textId="77777777" w:rsidR="006E06F0" w:rsidRPr="00C53ADC" w:rsidRDefault="006E06F0" w:rsidP="00695A13">
            <w:pPr>
              <w:pStyle w:val="Tableheaderrow"/>
            </w:pPr>
            <w:r w:rsidRPr="00C53ADC">
              <w:t>4210-4240</w:t>
            </w:r>
          </w:p>
        </w:tc>
        <w:tc>
          <w:tcPr>
            <w:tcW w:w="1885" w:type="dxa"/>
          </w:tcPr>
          <w:p w14:paraId="2BFCEC88" w14:textId="77777777" w:rsidR="006E06F0" w:rsidRPr="00C53ADC" w:rsidRDefault="006E06F0" w:rsidP="00695A13">
            <w:pPr>
              <w:pStyle w:val="Tableheaderrow"/>
            </w:pPr>
            <w:r w:rsidRPr="00C53ADC">
              <w:t>&gt;4240</w:t>
            </w:r>
          </w:p>
        </w:tc>
      </w:tr>
      <w:tr w:rsidR="006E06F0" w14:paraId="7DD03374" w14:textId="77777777" w:rsidTr="00695A13">
        <w:trPr>
          <w:cnfStyle w:val="000000100000" w:firstRow="0" w:lastRow="0" w:firstColumn="0" w:lastColumn="0" w:oddVBand="0" w:evenVBand="0" w:oddHBand="1" w:evenHBand="0" w:firstRowFirstColumn="0" w:firstRowLastColumn="0" w:lastRowFirstColumn="0" w:lastRowLastColumn="0"/>
        </w:trPr>
        <w:tc>
          <w:tcPr>
            <w:tcW w:w="2006" w:type="dxa"/>
          </w:tcPr>
          <w:p w14:paraId="3929E6AF" w14:textId="77777777" w:rsidR="006E06F0" w:rsidRPr="00C53ADC" w:rsidRDefault="006E06F0" w:rsidP="00695A13">
            <w:pPr>
              <w:pStyle w:val="TableBody"/>
            </w:pPr>
            <w:r>
              <w:t>3GPP/AWL LCD</w:t>
            </w:r>
          </w:p>
        </w:tc>
        <w:tc>
          <w:tcPr>
            <w:tcW w:w="1885" w:type="dxa"/>
          </w:tcPr>
          <w:p w14:paraId="1783A71C" w14:textId="77777777" w:rsidR="006E06F0" w:rsidRDefault="006E06F0" w:rsidP="00695A13">
            <w:pPr>
              <w:pStyle w:val="TableBody"/>
            </w:pPr>
            <w:r>
              <w:t xml:space="preserve">28 </w:t>
            </w:r>
            <w:r w:rsidRPr="00C53ADC">
              <w:t xml:space="preserve">to </w:t>
            </w:r>
            <w:r>
              <w:t>21</w:t>
            </w:r>
            <w:r w:rsidRPr="00C53ADC">
              <w:t xml:space="preserve"> dBm/MHz </w:t>
            </w:r>
            <w:r>
              <w:t>EIRP</w:t>
            </w:r>
            <w:r w:rsidRPr="00C53ADC">
              <w:t xml:space="preserve"> non-AAS</w:t>
            </w:r>
          </w:p>
          <w:p w14:paraId="30AEA75A" w14:textId="77777777" w:rsidR="006E06F0" w:rsidRPr="00C53ADC" w:rsidRDefault="006E06F0" w:rsidP="00695A13">
            <w:pPr>
              <w:pStyle w:val="TableBody"/>
            </w:pPr>
          </w:p>
          <w:p w14:paraId="3756FACB" w14:textId="77777777" w:rsidR="006E06F0" w:rsidRPr="00C53ADC" w:rsidRDefault="006E06F0" w:rsidP="00695A13">
            <w:pPr>
              <w:pStyle w:val="TableBody"/>
            </w:pPr>
            <w:r>
              <w:t>37</w:t>
            </w:r>
            <w:r w:rsidRPr="00C53ADC">
              <w:t xml:space="preserve"> to </w:t>
            </w:r>
            <w:r>
              <w:t>30</w:t>
            </w:r>
            <w:r w:rsidRPr="00C53ADC">
              <w:t xml:space="preserve"> dBm/MHz </w:t>
            </w:r>
            <w:r>
              <w:t>EIRP</w:t>
            </w:r>
            <w:r w:rsidRPr="00C53ADC">
              <w:t xml:space="preserve"> AAS</w:t>
            </w:r>
          </w:p>
        </w:tc>
        <w:tc>
          <w:tcPr>
            <w:tcW w:w="1885" w:type="dxa"/>
          </w:tcPr>
          <w:p w14:paraId="1EE00215" w14:textId="77777777" w:rsidR="006E06F0" w:rsidRDefault="006E06F0" w:rsidP="00695A13">
            <w:pPr>
              <w:pStyle w:val="TableBody"/>
            </w:pPr>
            <w:r>
              <w:t>10</w:t>
            </w:r>
            <w:r w:rsidRPr="00C53ADC">
              <w:t xml:space="preserve"> dBm/MHz </w:t>
            </w:r>
            <w:r>
              <w:t>EIRP</w:t>
            </w:r>
            <w:r w:rsidRPr="00C53ADC">
              <w:t xml:space="preserve"> </w:t>
            </w:r>
            <w:r>
              <w:t xml:space="preserve">    </w:t>
            </w:r>
            <w:r w:rsidRPr="00C53ADC">
              <w:t>non-AAS</w:t>
            </w:r>
          </w:p>
          <w:p w14:paraId="12BCAC49" w14:textId="77777777" w:rsidR="006E06F0" w:rsidRPr="00C53ADC" w:rsidRDefault="006E06F0" w:rsidP="00695A13">
            <w:pPr>
              <w:pStyle w:val="TableBody"/>
            </w:pPr>
          </w:p>
          <w:p w14:paraId="6B2A1906" w14:textId="77777777" w:rsidR="006E06F0" w:rsidRPr="00C53ADC" w:rsidRDefault="006E06F0" w:rsidP="00695A13">
            <w:pPr>
              <w:pStyle w:val="TableBody"/>
            </w:pPr>
            <w:r>
              <w:t>19</w:t>
            </w:r>
            <w:r w:rsidRPr="00C53ADC">
              <w:t xml:space="preserve"> dBm/MHz </w:t>
            </w:r>
            <w:r>
              <w:t>EIRP</w:t>
            </w:r>
            <w:r w:rsidRPr="00C53ADC">
              <w:t xml:space="preserve"> AAS</w:t>
            </w:r>
          </w:p>
        </w:tc>
        <w:tc>
          <w:tcPr>
            <w:tcW w:w="1885" w:type="dxa"/>
          </w:tcPr>
          <w:p w14:paraId="490EF756" w14:textId="77777777" w:rsidR="006E06F0" w:rsidRDefault="006E06F0" w:rsidP="00695A13">
            <w:pPr>
              <w:pStyle w:val="TableBody"/>
            </w:pPr>
            <w:r w:rsidRPr="00C53ADC">
              <w:t>-</w:t>
            </w:r>
            <w:r>
              <w:t>5</w:t>
            </w:r>
            <w:r w:rsidRPr="00C53ADC">
              <w:t xml:space="preserve"> dBm/MHz</w:t>
            </w:r>
            <w:r>
              <w:t xml:space="preserve"> EIRP </w:t>
            </w:r>
            <w:r w:rsidRPr="00C53ADC">
              <w:t>non-AAS</w:t>
            </w:r>
          </w:p>
          <w:p w14:paraId="5E337755" w14:textId="77777777" w:rsidR="006E06F0" w:rsidRPr="00C53ADC" w:rsidRDefault="006E06F0" w:rsidP="00695A13">
            <w:pPr>
              <w:pStyle w:val="TableBody"/>
            </w:pPr>
          </w:p>
          <w:p w14:paraId="7775D097" w14:textId="77777777" w:rsidR="006E06F0" w:rsidRPr="00C53ADC" w:rsidRDefault="006E06F0" w:rsidP="00695A13">
            <w:pPr>
              <w:pStyle w:val="TableBody"/>
            </w:pPr>
            <w:r>
              <w:t>4</w:t>
            </w:r>
            <w:r w:rsidRPr="00C53ADC">
              <w:t xml:space="preserve"> dBm/MHz </w:t>
            </w:r>
            <w:r>
              <w:t>EIRP</w:t>
            </w:r>
            <w:r w:rsidRPr="00C53ADC">
              <w:t xml:space="preserve"> AAS</w:t>
            </w:r>
          </w:p>
        </w:tc>
      </w:tr>
      <w:tr w:rsidR="006E06F0" w14:paraId="6CC23924" w14:textId="77777777" w:rsidTr="00695A13">
        <w:trPr>
          <w:cnfStyle w:val="000000010000" w:firstRow="0" w:lastRow="0" w:firstColumn="0" w:lastColumn="0" w:oddVBand="0" w:evenVBand="0" w:oddHBand="0" w:evenHBand="1" w:firstRowFirstColumn="0" w:firstRowLastColumn="0" w:lastRowFirstColumn="0" w:lastRowLastColumn="0"/>
        </w:trPr>
        <w:tc>
          <w:tcPr>
            <w:tcW w:w="2006" w:type="dxa"/>
          </w:tcPr>
          <w:p w14:paraId="3752DA0F" w14:textId="77777777" w:rsidR="006E06F0" w:rsidRPr="00C53ADC" w:rsidRDefault="006E06F0" w:rsidP="00695A13">
            <w:pPr>
              <w:pStyle w:val="TableBody"/>
            </w:pPr>
            <w:r>
              <w:t xml:space="preserve">Based on </w:t>
            </w:r>
            <w:r w:rsidRPr="00C53ADC">
              <w:t>restricted zone</w:t>
            </w:r>
            <w:r>
              <w:t xml:space="preserve"> calculations</w:t>
            </w:r>
          </w:p>
        </w:tc>
        <w:tc>
          <w:tcPr>
            <w:tcW w:w="5655" w:type="dxa"/>
            <w:gridSpan w:val="3"/>
          </w:tcPr>
          <w:p w14:paraId="0084411A" w14:textId="1B029284" w:rsidR="006E06F0" w:rsidRPr="00C53ADC" w:rsidRDefault="006E06F0" w:rsidP="00695A13">
            <w:pPr>
              <w:pStyle w:val="TableBody"/>
              <w:jc w:val="center"/>
            </w:pPr>
            <w:r>
              <w:t>4.</w:t>
            </w:r>
            <w:r w:rsidR="00186632">
              <w:t>7</w:t>
            </w:r>
            <w:r>
              <w:t xml:space="preserve"> </w:t>
            </w:r>
            <w:r w:rsidRPr="00C53ADC">
              <w:t xml:space="preserve">dBm/MHz </w:t>
            </w:r>
            <w:r w:rsidR="009C3DCB">
              <w:t xml:space="preserve">total </w:t>
            </w:r>
            <w:r>
              <w:t xml:space="preserve">EIRP for </w:t>
            </w:r>
            <w:r w:rsidR="009C3DCB">
              <w:t>AAS or non-AAS</w:t>
            </w:r>
            <w:r w:rsidR="00C3605A">
              <w:t>.</w:t>
            </w:r>
          </w:p>
        </w:tc>
      </w:tr>
    </w:tbl>
    <w:p w14:paraId="72170AD8" w14:textId="77777777" w:rsidR="006E06F0" w:rsidRDefault="006E06F0" w:rsidP="006E06F0"/>
    <w:p w14:paraId="0066B675" w14:textId="77777777" w:rsidR="006E06F0" w:rsidRDefault="006E06F0" w:rsidP="006E06F0"/>
    <w:p w14:paraId="7F724E70" w14:textId="2F2120CA" w:rsidR="006E06F0" w:rsidRPr="00345F73" w:rsidRDefault="006E06F0" w:rsidP="006E06F0">
      <w:pPr>
        <w:pStyle w:val="Numberedparagraph"/>
      </w:pPr>
      <w:r w:rsidRPr="00345F73">
        <w:t>We expect that WBB systems will easily be able to comply with th</w:t>
      </w:r>
      <w:r w:rsidR="0025671B">
        <w:t>e</w:t>
      </w:r>
      <w:r w:rsidRPr="00345F73">
        <w:t xml:space="preserve"> unwanted emissions limit, either applied specifically to the restricted zones or generally.</w:t>
      </w:r>
    </w:p>
    <w:p w14:paraId="5F3817C6" w14:textId="77777777" w:rsidR="006E06F0" w:rsidRDefault="006E06F0" w:rsidP="006E06F0">
      <w:pPr>
        <w:pStyle w:val="Numberedparagraph"/>
      </w:pPr>
      <w:r w:rsidRPr="00345F73">
        <w:t xml:space="preserve">This aspect of WBB system performance has been examined in the US through their </w:t>
      </w:r>
      <w:r>
        <w:t>C</w:t>
      </w:r>
      <w:r w:rsidRPr="00345F73">
        <w:t xml:space="preserve">-band allocation process, see FCC docket </w:t>
      </w:r>
      <w:hyperlink r:id="rId234" w:history="1">
        <w:r w:rsidRPr="00345F73">
          <w:t>18-122</w:t>
        </w:r>
      </w:hyperlink>
      <w:r w:rsidRPr="00345F73">
        <w:t xml:space="preserve">. In a Verizon </w:t>
      </w:r>
      <w:hyperlink r:id="rId235" w:history="1">
        <w:r w:rsidRPr="00345F73">
          <w:t>letter</w:t>
        </w:r>
      </w:hyperlink>
      <w:r w:rsidRPr="00345F73">
        <w:t xml:space="preserve"> to the Secretary of the Department of Transport on January 2 2022, it was stated that “Leading equipment vendors have stated on the record that C-Band transmissions will be </w:t>
      </w:r>
      <w:r w:rsidRPr="00345F73">
        <w:noBreakHyphen/>
        <w:t>30 dBm/MHz or less at 4.2 GHz”</w:t>
      </w:r>
      <w:r>
        <w:t>.</w:t>
      </w:r>
      <w:r w:rsidRPr="00345F73" w:rsidDel="00F83F7D">
        <w:t xml:space="preserve"> </w:t>
      </w:r>
    </w:p>
    <w:p w14:paraId="05F4DD2D" w14:textId="342174B8" w:rsidR="006E06F0" w:rsidRPr="00C102E0" w:rsidRDefault="006E06F0" w:rsidP="006E06F0">
      <w:pPr>
        <w:pStyle w:val="Heading4"/>
      </w:pPr>
      <w:r>
        <w:t xml:space="preserve">The </w:t>
      </w:r>
      <w:r w:rsidR="0025671B">
        <w:t xml:space="preserve">unwanted </w:t>
      </w:r>
      <w:r>
        <w:t>emissions limit at different frequencies</w:t>
      </w:r>
    </w:p>
    <w:p w14:paraId="1DD5BD73" w14:textId="028785AC" w:rsidR="006E06F0" w:rsidRPr="00345F73" w:rsidRDefault="006E06F0" w:rsidP="006E06F0">
      <w:pPr>
        <w:pStyle w:val="Numberedparagraph"/>
      </w:pPr>
      <w:r w:rsidRPr="00345F73">
        <w:t xml:space="preserve">The </w:t>
      </w:r>
      <w:r w:rsidR="0025671B">
        <w:t>unwanted</w:t>
      </w:r>
      <w:r w:rsidRPr="00345F73">
        <w:t xml:space="preserve"> emissions limit </w:t>
      </w:r>
      <w:r>
        <w:t>is</w:t>
      </w:r>
      <w:r w:rsidRPr="00345F73">
        <w:t xml:space="preserve"> calculated with the altitude of the aircraft at the exclusion zone boundary, as a result </w:t>
      </w:r>
      <w:r>
        <w:t>it is</w:t>
      </w:r>
      <w:r w:rsidRPr="00345F73">
        <w:t xml:space="preserve"> dependent on the frequency of operation as it affects the zone sizes and therefore at what altitude the aircraft crosses the boundary (which changes free space loss calculations).</w:t>
      </w:r>
    </w:p>
    <w:p w14:paraId="2BD19DCD" w14:textId="77777777" w:rsidR="006E06F0" w:rsidRPr="00345F73" w:rsidRDefault="006E06F0" w:rsidP="006E06F0">
      <w:pPr>
        <w:pStyle w:val="ListContinue"/>
        <w:numPr>
          <w:ilvl w:val="1"/>
          <w:numId w:val="13"/>
        </w:numPr>
        <w:rPr>
          <w:rFonts w:cs="Arial"/>
        </w:rPr>
      </w:pPr>
      <w:r w:rsidRPr="00345F73">
        <w:rPr>
          <w:rFonts w:cs="Arial"/>
        </w:rPr>
        <w:t>To reduce the complexity of calculating the mitigations while allowing for flexible use of the band the mitigations can be grouped into segments. The size of the segments is to be determined. The following table provides an example of 50 MHz segments.</w:t>
      </w:r>
    </w:p>
    <w:p w14:paraId="30134945" w14:textId="77777777" w:rsidR="007C47DE" w:rsidRDefault="007C47DE">
      <w:pPr>
        <w:spacing w:after="0" w:line="240" w:lineRule="auto"/>
        <w:rPr>
          <w:b/>
          <w:bCs/>
          <w:color w:val="323232"/>
          <w:szCs w:val="20"/>
        </w:rPr>
      </w:pPr>
      <w:r>
        <w:br w:type="page"/>
      </w:r>
    </w:p>
    <w:p w14:paraId="239F7DB8" w14:textId="77777777" w:rsidR="006E06F0" w:rsidRDefault="006E06F0" w:rsidP="006E06F0">
      <w:pPr>
        <w:pStyle w:val="Tableheading"/>
      </w:pPr>
      <w:r>
        <w:t>Example table of mitigations in a frequency range</w:t>
      </w:r>
    </w:p>
    <w:tbl>
      <w:tblPr>
        <w:tblStyle w:val="ACMAtablestyle"/>
        <w:tblW w:w="3088" w:type="dxa"/>
        <w:jc w:val="center"/>
        <w:tblLayout w:type="fixed"/>
        <w:tblLook w:val="04A0" w:firstRow="1" w:lastRow="0" w:firstColumn="1" w:lastColumn="0" w:noHBand="0" w:noVBand="1"/>
      </w:tblPr>
      <w:tblGrid>
        <w:gridCol w:w="1555"/>
        <w:gridCol w:w="1533"/>
      </w:tblGrid>
      <w:tr w:rsidR="006E06F0" w:rsidRPr="005D5435" w14:paraId="65D20411" w14:textId="77777777" w:rsidTr="00257BC6">
        <w:trPr>
          <w:cnfStyle w:val="100000000000" w:firstRow="1" w:lastRow="0" w:firstColumn="0" w:lastColumn="0" w:oddVBand="0" w:evenVBand="0" w:oddHBand="0" w:evenHBand="0" w:firstRowFirstColumn="0" w:firstRowLastColumn="0" w:lastRowFirstColumn="0" w:lastRowLastColumn="0"/>
          <w:trHeight w:val="629"/>
          <w:jc w:val="center"/>
        </w:trPr>
        <w:tc>
          <w:tcPr>
            <w:tcW w:w="1555" w:type="dxa"/>
          </w:tcPr>
          <w:p w14:paraId="38A6B0D2" w14:textId="18F705C9" w:rsidR="006E06F0" w:rsidRPr="00DE7273" w:rsidRDefault="006E06F0" w:rsidP="00695A13">
            <w:pPr>
              <w:pStyle w:val="Tableheaderrow"/>
            </w:pPr>
            <w:r w:rsidRPr="00DE7273">
              <w:t>Base station frequency (MHz)</w:t>
            </w:r>
          </w:p>
        </w:tc>
        <w:tc>
          <w:tcPr>
            <w:tcW w:w="1533" w:type="dxa"/>
          </w:tcPr>
          <w:p w14:paraId="6DDA2BDF" w14:textId="241FCE42" w:rsidR="006E06F0" w:rsidRPr="00DE7273" w:rsidRDefault="0025671B" w:rsidP="00695A13">
            <w:pPr>
              <w:pStyle w:val="Tableheaderrow"/>
            </w:pPr>
            <w:r>
              <w:t>Unwanted</w:t>
            </w:r>
            <w:r w:rsidR="006E06F0" w:rsidRPr="00DE7273">
              <w:t xml:space="preserve"> emissions limit EIRP (dBm/MHz)</w:t>
            </w:r>
          </w:p>
        </w:tc>
      </w:tr>
      <w:tr w:rsidR="006E06F0" w:rsidRPr="00273707" w14:paraId="10506059" w14:textId="77777777" w:rsidTr="00257BC6">
        <w:trPr>
          <w:cnfStyle w:val="000000100000" w:firstRow="0" w:lastRow="0" w:firstColumn="0" w:lastColumn="0" w:oddVBand="0" w:evenVBand="0" w:oddHBand="1" w:evenHBand="0" w:firstRowFirstColumn="0" w:firstRowLastColumn="0" w:lastRowFirstColumn="0" w:lastRowLastColumn="0"/>
          <w:trHeight w:val="156"/>
          <w:jc w:val="center"/>
        </w:trPr>
        <w:tc>
          <w:tcPr>
            <w:tcW w:w="1555" w:type="dxa"/>
          </w:tcPr>
          <w:p w14:paraId="5FE15960" w14:textId="77777777" w:rsidR="006E06F0" w:rsidRPr="00F9796E" w:rsidRDefault="006E06F0" w:rsidP="00695A13">
            <w:pPr>
              <w:pStyle w:val="TableBody"/>
              <w:jc w:val="center"/>
              <w:rPr>
                <w:rFonts w:cs="Arial"/>
              </w:rPr>
            </w:pPr>
            <w:r w:rsidRPr="00F9796E">
              <w:rPr>
                <w:rFonts w:cs="Arial"/>
              </w:rPr>
              <w:t>(3800, 3850]</w:t>
            </w:r>
          </w:p>
        </w:tc>
        <w:tc>
          <w:tcPr>
            <w:tcW w:w="1533" w:type="dxa"/>
          </w:tcPr>
          <w:p w14:paraId="632EAA83" w14:textId="019ED7DD" w:rsidR="006E06F0" w:rsidRPr="00273707" w:rsidRDefault="006E06F0" w:rsidP="00695A13">
            <w:pPr>
              <w:pStyle w:val="TableBody"/>
              <w:jc w:val="center"/>
              <w:rPr>
                <w:rFonts w:cs="Arial"/>
                <w:color w:val="FF0000"/>
              </w:rPr>
            </w:pPr>
            <w:r>
              <w:t>5.</w:t>
            </w:r>
            <w:r w:rsidR="00973BE9" w:rsidRPr="00D7053E">
              <w:t>1</w:t>
            </w:r>
          </w:p>
        </w:tc>
      </w:tr>
      <w:tr w:rsidR="006E06F0" w:rsidRPr="00273707" w14:paraId="22505D51" w14:textId="77777777" w:rsidTr="00257BC6">
        <w:trPr>
          <w:cnfStyle w:val="000000010000" w:firstRow="0" w:lastRow="0" w:firstColumn="0" w:lastColumn="0" w:oddVBand="0" w:evenVBand="0" w:oddHBand="0" w:evenHBand="1" w:firstRowFirstColumn="0" w:firstRowLastColumn="0" w:lastRowFirstColumn="0" w:lastRowLastColumn="0"/>
          <w:trHeight w:val="156"/>
          <w:jc w:val="center"/>
        </w:trPr>
        <w:tc>
          <w:tcPr>
            <w:tcW w:w="1555" w:type="dxa"/>
          </w:tcPr>
          <w:p w14:paraId="768CFA5D" w14:textId="77777777" w:rsidR="006E06F0" w:rsidRPr="00F9796E" w:rsidRDefault="006E06F0" w:rsidP="00695A13">
            <w:pPr>
              <w:pStyle w:val="TableBody"/>
              <w:jc w:val="center"/>
              <w:rPr>
                <w:rFonts w:cs="Arial"/>
              </w:rPr>
            </w:pPr>
            <w:r w:rsidRPr="00F9796E">
              <w:rPr>
                <w:rFonts w:cs="Arial"/>
              </w:rPr>
              <w:t>(3850, 3900]</w:t>
            </w:r>
          </w:p>
        </w:tc>
        <w:tc>
          <w:tcPr>
            <w:tcW w:w="1533" w:type="dxa"/>
          </w:tcPr>
          <w:p w14:paraId="196DBF4B" w14:textId="3B2727F0" w:rsidR="006E06F0" w:rsidRPr="00273707" w:rsidRDefault="006E06F0" w:rsidP="00695A13">
            <w:pPr>
              <w:pStyle w:val="TableBody"/>
              <w:jc w:val="center"/>
              <w:rPr>
                <w:rFonts w:cs="Arial"/>
                <w:color w:val="FF0000"/>
              </w:rPr>
            </w:pPr>
            <w:r>
              <w:t>5.</w:t>
            </w:r>
            <w:r w:rsidR="00973BE9" w:rsidRPr="00D7053E">
              <w:t>5</w:t>
            </w:r>
          </w:p>
        </w:tc>
      </w:tr>
      <w:tr w:rsidR="006E06F0" w:rsidRPr="00273707" w14:paraId="16CA802C" w14:textId="77777777" w:rsidTr="00257BC6">
        <w:trPr>
          <w:cnfStyle w:val="000000100000" w:firstRow="0" w:lastRow="0" w:firstColumn="0" w:lastColumn="0" w:oddVBand="0" w:evenVBand="0" w:oddHBand="1" w:evenHBand="0" w:firstRowFirstColumn="0" w:firstRowLastColumn="0" w:lastRowFirstColumn="0" w:lastRowLastColumn="0"/>
          <w:trHeight w:val="149"/>
          <w:jc w:val="center"/>
        </w:trPr>
        <w:tc>
          <w:tcPr>
            <w:tcW w:w="1555" w:type="dxa"/>
          </w:tcPr>
          <w:p w14:paraId="0018A154" w14:textId="77777777" w:rsidR="006E06F0" w:rsidRPr="00F9796E" w:rsidRDefault="006E06F0" w:rsidP="00695A13">
            <w:pPr>
              <w:pStyle w:val="TableBody"/>
              <w:jc w:val="center"/>
              <w:rPr>
                <w:rFonts w:cs="Arial"/>
              </w:rPr>
            </w:pPr>
            <w:r w:rsidRPr="00F9796E">
              <w:rPr>
                <w:rFonts w:cs="Arial"/>
              </w:rPr>
              <w:t>(3900, 3950]</w:t>
            </w:r>
          </w:p>
        </w:tc>
        <w:tc>
          <w:tcPr>
            <w:tcW w:w="1533" w:type="dxa"/>
          </w:tcPr>
          <w:p w14:paraId="4BF1D022" w14:textId="2A4A8D65" w:rsidR="006E06F0" w:rsidRPr="00273707" w:rsidRDefault="006E06F0" w:rsidP="00695A13">
            <w:pPr>
              <w:pStyle w:val="TableBody"/>
              <w:jc w:val="center"/>
              <w:rPr>
                <w:rFonts w:cs="Arial"/>
                <w:color w:val="FF0000"/>
              </w:rPr>
            </w:pPr>
            <w:r>
              <w:t>5.</w:t>
            </w:r>
            <w:r w:rsidR="00973BE9" w:rsidRPr="00D7053E">
              <w:t>8</w:t>
            </w:r>
          </w:p>
        </w:tc>
      </w:tr>
      <w:tr w:rsidR="00E31DBF" w:rsidRPr="00273707" w14:paraId="253DE12F" w14:textId="77777777" w:rsidTr="00257BC6">
        <w:trPr>
          <w:cnfStyle w:val="000000010000" w:firstRow="0" w:lastRow="0" w:firstColumn="0" w:lastColumn="0" w:oddVBand="0" w:evenVBand="0" w:oddHBand="0" w:evenHBand="1" w:firstRowFirstColumn="0" w:firstRowLastColumn="0" w:lastRowFirstColumn="0" w:lastRowLastColumn="0"/>
          <w:trHeight w:val="156"/>
          <w:jc w:val="center"/>
        </w:trPr>
        <w:tc>
          <w:tcPr>
            <w:tcW w:w="1555" w:type="dxa"/>
          </w:tcPr>
          <w:p w14:paraId="71A3D499" w14:textId="69516201" w:rsidR="00E31DBF" w:rsidRPr="00F9796E" w:rsidRDefault="00E31DBF" w:rsidP="00E31DBF">
            <w:pPr>
              <w:pStyle w:val="TableBody"/>
              <w:jc w:val="center"/>
              <w:rPr>
                <w:rFonts w:cs="Arial"/>
              </w:rPr>
            </w:pPr>
            <w:r w:rsidRPr="001B1F6D">
              <w:t>(3950, 4000]</w:t>
            </w:r>
            <w:r w:rsidR="00A765FF">
              <w:rPr>
                <w:rStyle w:val="FootnoteReference"/>
              </w:rPr>
              <w:footnoteReference w:id="22"/>
            </w:r>
          </w:p>
        </w:tc>
        <w:tc>
          <w:tcPr>
            <w:tcW w:w="1533" w:type="dxa"/>
          </w:tcPr>
          <w:p w14:paraId="351FEFC3" w14:textId="08C66897" w:rsidR="00E31DBF" w:rsidRPr="00273707" w:rsidRDefault="00973BE9" w:rsidP="00E31DBF">
            <w:pPr>
              <w:pStyle w:val="TableBody"/>
              <w:jc w:val="center"/>
              <w:rPr>
                <w:rFonts w:cs="Arial"/>
                <w:color w:val="FF0000"/>
              </w:rPr>
            </w:pPr>
            <w:r w:rsidRPr="00D7053E">
              <w:t>6</w:t>
            </w:r>
          </w:p>
        </w:tc>
      </w:tr>
    </w:tbl>
    <w:p w14:paraId="51F49DA4" w14:textId="77777777" w:rsidR="006E06F0" w:rsidRDefault="006E06F0" w:rsidP="006E06F0">
      <w:pPr>
        <w:pStyle w:val="Paragraphbeforelist"/>
      </w:pPr>
    </w:p>
    <w:p w14:paraId="3050870D" w14:textId="5306FDA0" w:rsidR="006E06F0" w:rsidRDefault="006E06F0" w:rsidP="006E06F0">
      <w:pPr>
        <w:pStyle w:val="Numberedparagraph"/>
      </w:pPr>
      <w:r w:rsidRPr="00345F73">
        <w:t>The limits in the restricted zones are the worst-case value in each range</w:t>
      </w:r>
      <w:r>
        <w:t xml:space="preserve"> which</w:t>
      </w:r>
      <w:r w:rsidRPr="00345F73">
        <w:t xml:space="preserve"> the </w:t>
      </w:r>
      <w:r w:rsidR="0025671B">
        <w:t>unwanted</w:t>
      </w:r>
      <w:r w:rsidRPr="00345F73">
        <w:t xml:space="preserve"> emissions limit it is at the lowest frequency in the range. </w:t>
      </w:r>
      <w:r>
        <w:t>They have been rounded down to the nearest 0.1.</w:t>
      </w:r>
    </w:p>
    <w:p w14:paraId="1C59DBD6" w14:textId="013CF809" w:rsidR="006E06F0" w:rsidRDefault="006E06F0" w:rsidP="006E06F0">
      <w:pPr>
        <w:pStyle w:val="Numberedparagraph"/>
      </w:pPr>
      <w:r w:rsidRPr="00345F73">
        <w:t xml:space="preserve">It would be proposed that the appropriate limit for a base station would be the limit for the </w:t>
      </w:r>
      <w:r w:rsidR="00204F94">
        <w:t>lowest</w:t>
      </w:r>
      <w:r w:rsidRPr="00345F73">
        <w:t xml:space="preserve"> operating frequency of the licence.</w:t>
      </w:r>
    </w:p>
    <w:p w14:paraId="3E53599D" w14:textId="77777777" w:rsidR="006E06F0" w:rsidRDefault="006E06F0" w:rsidP="006E06F0">
      <w:pPr>
        <w:pStyle w:val="Heading2"/>
      </w:pPr>
      <w:r>
        <w:br w:type="page"/>
      </w:r>
      <w:bookmarkStart w:id="122" w:name="_Toc116041924"/>
      <w:r>
        <w:t>Summary of determined mitigations</w:t>
      </w:r>
      <w:bookmarkEnd w:id="122"/>
    </w:p>
    <w:p w14:paraId="1EA1B0B5" w14:textId="7337F85F" w:rsidR="006E06F0" w:rsidRDefault="006E06F0" w:rsidP="006E06F0">
      <w:pPr>
        <w:pStyle w:val="Numberedparagraph"/>
      </w:pPr>
      <w:r>
        <w:t>Based on the considerations in preceding sections, we propose precautionary mitigations as follows:</w:t>
      </w:r>
    </w:p>
    <w:p w14:paraId="3C04CCF9" w14:textId="77777777" w:rsidR="006E06F0" w:rsidRPr="002C4653" w:rsidRDefault="006E06F0" w:rsidP="006E06F0">
      <w:pPr>
        <w:pStyle w:val="Numberedparagraph"/>
      </w:pPr>
      <w:r w:rsidRPr="008C634A">
        <w:t>Permanent mitigations</w:t>
      </w:r>
      <w:r w:rsidRPr="002C4653">
        <w:t>:</w:t>
      </w:r>
    </w:p>
    <w:tbl>
      <w:tblPr>
        <w:tblStyle w:val="ACMAtablestyle"/>
        <w:tblW w:w="7792" w:type="dxa"/>
        <w:jc w:val="center"/>
        <w:tblLook w:val="04A0" w:firstRow="1" w:lastRow="0" w:firstColumn="1" w:lastColumn="0" w:noHBand="0" w:noVBand="1"/>
      </w:tblPr>
      <w:tblGrid>
        <w:gridCol w:w="4737"/>
        <w:gridCol w:w="3055"/>
      </w:tblGrid>
      <w:tr w:rsidR="006E06F0" w14:paraId="152CDE1D" w14:textId="77777777" w:rsidTr="00257BC6">
        <w:trPr>
          <w:cnfStyle w:val="100000000000" w:firstRow="1" w:lastRow="0" w:firstColumn="0" w:lastColumn="0" w:oddVBand="0" w:evenVBand="0" w:oddHBand="0" w:evenHBand="0" w:firstRowFirstColumn="0" w:firstRowLastColumn="0" w:lastRowFirstColumn="0" w:lastRowLastColumn="0"/>
          <w:jc w:val="center"/>
        </w:trPr>
        <w:tc>
          <w:tcPr>
            <w:tcW w:w="4737" w:type="dxa"/>
          </w:tcPr>
          <w:p w14:paraId="1F382F4C" w14:textId="77777777" w:rsidR="006E06F0" w:rsidRDefault="006E06F0" w:rsidP="00695A13">
            <w:pPr>
              <w:pStyle w:val="Tableheaderrow"/>
            </w:pPr>
            <w:r>
              <w:t>Mitigation</w:t>
            </w:r>
          </w:p>
        </w:tc>
        <w:tc>
          <w:tcPr>
            <w:tcW w:w="3055" w:type="dxa"/>
          </w:tcPr>
          <w:p w14:paraId="497B2AFC" w14:textId="77777777" w:rsidR="006E06F0" w:rsidRDefault="006E06F0" w:rsidP="00695A13">
            <w:pPr>
              <w:pStyle w:val="Tableheaderrow"/>
            </w:pPr>
            <w:r>
              <w:t>Purpose</w:t>
            </w:r>
          </w:p>
        </w:tc>
      </w:tr>
      <w:tr w:rsidR="006E06F0" w14:paraId="591A9D16" w14:textId="77777777" w:rsidTr="00257BC6">
        <w:trPr>
          <w:cnfStyle w:val="000000100000" w:firstRow="0" w:lastRow="0" w:firstColumn="0" w:lastColumn="0" w:oddVBand="0" w:evenVBand="0" w:oddHBand="1" w:evenHBand="0" w:firstRowFirstColumn="0" w:firstRowLastColumn="0" w:lastRowFirstColumn="0" w:lastRowLastColumn="0"/>
          <w:jc w:val="center"/>
        </w:trPr>
        <w:tc>
          <w:tcPr>
            <w:tcW w:w="4737" w:type="dxa"/>
          </w:tcPr>
          <w:p w14:paraId="7551CCD5" w14:textId="77777777" w:rsidR="006E06F0" w:rsidRDefault="006E06F0" w:rsidP="00695A13">
            <w:pPr>
              <w:pStyle w:val="TableBody"/>
            </w:pPr>
            <w:r>
              <w:t>200 MHz guard band in 4000-4200 MHz.</w:t>
            </w:r>
          </w:p>
        </w:tc>
        <w:tc>
          <w:tcPr>
            <w:tcW w:w="3055" w:type="dxa"/>
          </w:tcPr>
          <w:p w14:paraId="5E2C0076" w14:textId="77777777" w:rsidR="006E06F0" w:rsidRDefault="006E06F0" w:rsidP="00695A13">
            <w:pPr>
              <w:pStyle w:val="TableBody"/>
            </w:pPr>
            <w:r>
              <w:t>Already determined as a reasonable guard band and to provide exclusive use by incumbent service types.</w:t>
            </w:r>
          </w:p>
        </w:tc>
      </w:tr>
      <w:tr w:rsidR="006E06F0" w14:paraId="78C3865C" w14:textId="77777777" w:rsidTr="00257BC6">
        <w:trPr>
          <w:cnfStyle w:val="000000010000" w:firstRow="0" w:lastRow="0" w:firstColumn="0" w:lastColumn="0" w:oddVBand="0" w:evenVBand="0" w:oddHBand="0" w:evenHBand="1" w:firstRowFirstColumn="0" w:firstRowLastColumn="0" w:lastRowFirstColumn="0" w:lastRowLastColumn="0"/>
          <w:jc w:val="center"/>
        </w:trPr>
        <w:tc>
          <w:tcPr>
            <w:tcW w:w="4737" w:type="dxa"/>
          </w:tcPr>
          <w:p w14:paraId="6D09363F" w14:textId="4C7B0AC8" w:rsidR="006E06F0" w:rsidRDefault="009D3470" w:rsidP="00695A13">
            <w:pPr>
              <w:pStyle w:val="TableBody"/>
            </w:pPr>
            <w:r>
              <w:t>F</w:t>
            </w:r>
            <w:r w:rsidR="00F5300C" w:rsidRPr="00F5300C">
              <w:t>or all WBB licensees</w:t>
            </w:r>
            <w:r w:rsidR="00F5300C">
              <w:t xml:space="preserve"> in 3400 – 4000 MHz</w:t>
            </w:r>
            <w:r w:rsidR="00F5300C" w:rsidRPr="00F5300C">
              <w:t xml:space="preserve">, it is recommended when planning and deploying their networks, to take note of the co-existence issues that may arise due to aeronautical radio-navigation services, typically radio altimeters on aircraft, that may operate in the 4200 – 4400 MHz band. It is also recommended that affected licensees seek to coordinate with airports, heliports and aircraft operators to help </w:t>
            </w:r>
            <w:r>
              <w:t xml:space="preserve">prevent, </w:t>
            </w:r>
            <w:r w:rsidR="00F5300C" w:rsidRPr="00F5300C">
              <w:t>manage and resolve interference that may arise to aeronautical radio-navigation stations.</w:t>
            </w:r>
          </w:p>
        </w:tc>
        <w:tc>
          <w:tcPr>
            <w:tcW w:w="3055" w:type="dxa"/>
          </w:tcPr>
          <w:p w14:paraId="39C09637" w14:textId="77777777" w:rsidR="006E06F0" w:rsidRDefault="006E06F0" w:rsidP="00695A13">
            <w:pPr>
              <w:pStyle w:val="TableBody"/>
            </w:pPr>
            <w:r>
              <w:t>A general requirement to consider potential interference even where no specific mitigations apply.</w:t>
            </w:r>
            <w:r w:rsidR="009D3470">
              <w:t xml:space="preserve"> This is based on similar requirements in the </w:t>
            </w:r>
            <w:hyperlink r:id="rId236" w:history="1">
              <w:r w:rsidR="009D3470" w:rsidRPr="009D3470">
                <w:rPr>
                  <w:rStyle w:val="Hyperlink"/>
                </w:rPr>
                <w:t>1800 MHz RAG tx</w:t>
              </w:r>
            </w:hyperlink>
            <w:r w:rsidR="009D3470">
              <w:t xml:space="preserve"> to coordinate spectrum licences with rail services.</w:t>
            </w:r>
          </w:p>
          <w:p w14:paraId="03EE6E12" w14:textId="77777777" w:rsidR="002C7217" w:rsidRDefault="002C7217" w:rsidP="00695A13">
            <w:pPr>
              <w:pStyle w:val="TableBody"/>
            </w:pPr>
          </w:p>
          <w:p w14:paraId="6D014B61" w14:textId="27597386" w:rsidR="002C7217" w:rsidRPr="00B728C9" w:rsidRDefault="00B505B2" w:rsidP="00257BC6">
            <w:pPr>
              <w:pStyle w:val="Numberedparagraph"/>
              <w:numPr>
                <w:ilvl w:val="0"/>
                <w:numId w:val="0"/>
              </w:numPr>
            </w:pPr>
            <w:r>
              <w:t>T</w:t>
            </w:r>
            <w:r w:rsidR="002C7217">
              <w:t xml:space="preserve">his permanent mitigation is proposed to be implemented by a clause in </w:t>
            </w:r>
            <w:r w:rsidR="005B0B82">
              <w:t xml:space="preserve">RALI MS47 and </w:t>
            </w:r>
            <w:r w:rsidR="002C7217">
              <w:t xml:space="preserve">an amended </w:t>
            </w:r>
            <w:hyperlink r:id="rId237" w:history="1">
              <w:r w:rsidR="002C7217" w:rsidRPr="00DF7FEE">
                <w:rPr>
                  <w:rStyle w:val="Hyperlink"/>
                </w:rPr>
                <w:t>Radiocommunications Advisory Guidelines (Managing Interference from Spectrum Licensed Transmitters — 3.4 GHz Band</w:t>
              </w:r>
            </w:hyperlink>
            <w:r w:rsidR="002C7217" w:rsidRPr="00DF7FEE">
              <w:t>)</w:t>
            </w:r>
          </w:p>
          <w:p w14:paraId="15730640" w14:textId="2C4F9406" w:rsidR="002C7217" w:rsidRDefault="002C7217" w:rsidP="00695A13">
            <w:pPr>
              <w:pStyle w:val="TableBody"/>
            </w:pPr>
          </w:p>
        </w:tc>
      </w:tr>
    </w:tbl>
    <w:p w14:paraId="000671B6" w14:textId="77777777" w:rsidR="006E06F0" w:rsidRDefault="006E06F0" w:rsidP="006E06F0">
      <w:pPr>
        <w:pStyle w:val="Spaceaftertable"/>
      </w:pPr>
    </w:p>
    <w:p w14:paraId="1244F104" w14:textId="77777777" w:rsidR="006E06F0" w:rsidRPr="002C4653" w:rsidRDefault="006E06F0" w:rsidP="006E06F0">
      <w:pPr>
        <w:pStyle w:val="Numberedparagraph"/>
      </w:pPr>
      <w:r w:rsidRPr="008C634A">
        <w:t>Temporary, reviewable mitigations</w:t>
      </w:r>
      <w:r w:rsidRPr="002C4653">
        <w:t>:</w:t>
      </w:r>
    </w:p>
    <w:p w14:paraId="79DEEC22" w14:textId="77777777" w:rsidR="006E06F0" w:rsidRDefault="006E06F0" w:rsidP="006E06F0">
      <w:pPr>
        <w:pStyle w:val="Numberedparagraph"/>
        <w:numPr>
          <w:ilvl w:val="2"/>
          <w:numId w:val="13"/>
        </w:numPr>
      </w:pPr>
      <w:r w:rsidRPr="00373E6C">
        <w:t xml:space="preserve">For deployments above </w:t>
      </w:r>
      <w:r w:rsidRPr="008C634A">
        <w:t>3800</w:t>
      </w:r>
      <w:r w:rsidRPr="00373E6C">
        <w:t xml:space="preserve"> MHz around identified runways:</w:t>
      </w:r>
    </w:p>
    <w:p w14:paraId="7815DF5C" w14:textId="77777777" w:rsidR="006E06F0" w:rsidRPr="00373E6C" w:rsidRDefault="006E06F0" w:rsidP="006E06F0">
      <w:pPr>
        <w:pStyle w:val="Numberedparagraph"/>
        <w:numPr>
          <w:ilvl w:val="0"/>
          <w:numId w:val="0"/>
        </w:numPr>
        <w:ind w:left="1080"/>
      </w:pPr>
      <w:r w:rsidRPr="00D553EB">
        <w:t>An “identified runway” is one identified by CASA as requiring the protection of radio altimeters due to safety and/or important operational requirements.</w:t>
      </w:r>
    </w:p>
    <w:tbl>
      <w:tblPr>
        <w:tblStyle w:val="ACMAtablestyle"/>
        <w:tblW w:w="7937" w:type="dxa"/>
        <w:tblLook w:val="04A0" w:firstRow="1" w:lastRow="0" w:firstColumn="1" w:lastColumn="0" w:noHBand="0" w:noVBand="1"/>
      </w:tblPr>
      <w:tblGrid>
        <w:gridCol w:w="2097"/>
        <w:gridCol w:w="2405"/>
        <w:gridCol w:w="3435"/>
      </w:tblGrid>
      <w:tr w:rsidR="00C05EC5" w14:paraId="092AB9B5" w14:textId="77777777" w:rsidTr="00695A13">
        <w:trPr>
          <w:cnfStyle w:val="100000000000" w:firstRow="1" w:lastRow="0" w:firstColumn="0" w:lastColumn="0" w:oddVBand="0" w:evenVBand="0" w:oddHBand="0" w:evenHBand="0" w:firstRowFirstColumn="0" w:firstRowLastColumn="0" w:lastRowFirstColumn="0" w:lastRowLastColumn="0"/>
        </w:trPr>
        <w:tc>
          <w:tcPr>
            <w:tcW w:w="0" w:type="dxa"/>
          </w:tcPr>
          <w:p w14:paraId="7A26C2BB" w14:textId="77777777" w:rsidR="006E06F0" w:rsidRDefault="006E06F0" w:rsidP="00695A13">
            <w:pPr>
              <w:pStyle w:val="Tableheaderrow"/>
            </w:pPr>
            <w:r>
              <w:t>Mitigation</w:t>
            </w:r>
          </w:p>
        </w:tc>
        <w:tc>
          <w:tcPr>
            <w:tcW w:w="0" w:type="dxa"/>
          </w:tcPr>
          <w:p w14:paraId="3C0978F1" w14:textId="77777777" w:rsidR="006E06F0" w:rsidRDefault="006E06F0" w:rsidP="00695A13">
            <w:pPr>
              <w:pStyle w:val="Tableheaderrow"/>
            </w:pPr>
            <w:r>
              <w:t>Purpose</w:t>
            </w:r>
          </w:p>
        </w:tc>
        <w:tc>
          <w:tcPr>
            <w:tcW w:w="0" w:type="dxa"/>
          </w:tcPr>
          <w:p w14:paraId="52719CE0" w14:textId="77777777" w:rsidR="006E06F0" w:rsidRDefault="006E06F0" w:rsidP="00695A13">
            <w:pPr>
              <w:pStyle w:val="Tableheaderrow"/>
            </w:pPr>
            <w:r>
              <w:t>Definition</w:t>
            </w:r>
          </w:p>
        </w:tc>
      </w:tr>
      <w:tr w:rsidR="00C05EC5" w14:paraId="185066B2"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60F96AB5" w14:textId="77777777" w:rsidR="006E06F0" w:rsidRPr="003603AA" w:rsidRDefault="006E06F0" w:rsidP="00695A13">
            <w:pPr>
              <w:pStyle w:val="TableBody"/>
            </w:pPr>
            <w:r w:rsidRPr="003603AA">
              <w:t>Exclusion zones, where no WBB services are permitted.</w:t>
            </w:r>
          </w:p>
        </w:tc>
        <w:tc>
          <w:tcPr>
            <w:tcW w:w="0" w:type="dxa"/>
          </w:tcPr>
          <w:p w14:paraId="5B7F8D20" w14:textId="3D5A2C68" w:rsidR="006E06F0" w:rsidRPr="003603AA" w:rsidRDefault="006E06F0" w:rsidP="00695A13">
            <w:pPr>
              <w:pStyle w:val="TableBody"/>
            </w:pPr>
            <w:r w:rsidRPr="003603AA">
              <w:t>Zone size based on the French derivation which uses the RTCA ITM for UC 1 plus a 6dB safety margin.  Size adapted to EIRPs necessary in Australia and the frequency ranges of allocation. Designed to protect aircraft landings</w:t>
            </w:r>
            <w:r w:rsidR="007C47DE" w:rsidRPr="003603AA">
              <w:t xml:space="preserve"> and pre-flight activities</w:t>
            </w:r>
            <w:r w:rsidRPr="003603AA">
              <w:t>.</w:t>
            </w:r>
          </w:p>
        </w:tc>
        <w:tc>
          <w:tcPr>
            <w:tcW w:w="0" w:type="dxa"/>
          </w:tcPr>
          <w:p w14:paraId="5BD2135E" w14:textId="12406703" w:rsidR="004024AF" w:rsidRPr="003603AA" w:rsidRDefault="006E06F0" w:rsidP="00695A13">
            <w:pPr>
              <w:pStyle w:val="TableBody"/>
            </w:pPr>
            <w:r w:rsidRPr="003603AA">
              <w:t xml:space="preserve">An “exclusion zone” is </w:t>
            </w:r>
            <w:r w:rsidR="004024AF" w:rsidRPr="003603AA">
              <w:t>comprised of three segments:</w:t>
            </w:r>
          </w:p>
          <w:p w14:paraId="7CDFE4F6" w14:textId="427CC955" w:rsidR="004024AF" w:rsidRPr="003603AA" w:rsidRDefault="004024AF" w:rsidP="004024AF">
            <w:pPr>
              <w:pStyle w:val="TableBody"/>
              <w:numPr>
                <w:ilvl w:val="0"/>
                <w:numId w:val="128"/>
              </w:numPr>
            </w:pPr>
            <w:r w:rsidRPr="003603AA">
              <w:t>A segment of length “exclusion zone extension length” from the landing end of an identified runway.</w:t>
            </w:r>
          </w:p>
          <w:p w14:paraId="214D2A5E" w14:textId="273FEF37" w:rsidR="004024AF" w:rsidRPr="003603AA" w:rsidRDefault="004024AF" w:rsidP="004024AF">
            <w:pPr>
              <w:pStyle w:val="TableBody"/>
              <w:numPr>
                <w:ilvl w:val="0"/>
                <w:numId w:val="128"/>
              </w:numPr>
            </w:pPr>
            <w:r w:rsidRPr="003603AA">
              <w:t>A segment of length “exclusion zone half-width” at the opposite end of the landing end of an identified runway”</w:t>
            </w:r>
          </w:p>
          <w:p w14:paraId="6486C5AE" w14:textId="03509484" w:rsidR="004024AF" w:rsidRPr="003603AA" w:rsidRDefault="004024AF" w:rsidP="004024AF">
            <w:pPr>
              <w:pStyle w:val="TableBody"/>
              <w:numPr>
                <w:ilvl w:val="0"/>
                <w:numId w:val="128"/>
              </w:numPr>
            </w:pPr>
            <w:r w:rsidRPr="003603AA">
              <w:t>A segment the length of the runway.</w:t>
            </w:r>
          </w:p>
          <w:p w14:paraId="455E4A38" w14:textId="580D9AD8" w:rsidR="004024AF" w:rsidRPr="003603AA" w:rsidRDefault="004024AF" w:rsidP="00257BC6">
            <w:pPr>
              <w:pStyle w:val="TableBody"/>
            </w:pPr>
            <w:r w:rsidRPr="003603AA">
              <w:t>The width of each segment is the “exclusion zone half-width” either side of the identified runway</w:t>
            </w:r>
            <w:r w:rsidR="005D38CE" w:rsidRPr="003603AA">
              <w:t>’s</w:t>
            </w:r>
            <w:r w:rsidRPr="003603AA">
              <w:t xml:space="preserve"> centre-line.</w:t>
            </w:r>
          </w:p>
          <w:p w14:paraId="4755E9A1" w14:textId="1F709396" w:rsidR="006E06F0" w:rsidRDefault="004024AF">
            <w:pPr>
              <w:pStyle w:val="TableBody"/>
            </w:pPr>
            <w:r w:rsidRPr="003603AA">
              <w:t>Dimensions are</w:t>
            </w:r>
            <w:r w:rsidR="006E06F0" w:rsidRPr="003603AA">
              <w:t xml:space="preserve"> the applicable maximum operating frequency row in </w:t>
            </w:r>
            <w:r w:rsidR="006E06F0" w:rsidRPr="00257BC6">
              <w:t>Table 1</w:t>
            </w:r>
            <w:r w:rsidR="007C47DE" w:rsidRPr="00257BC6">
              <w:t>9</w:t>
            </w:r>
            <w:r w:rsidR="006E06F0" w:rsidRPr="003603AA">
              <w:t xml:space="preserve"> column</w:t>
            </w:r>
            <w:r w:rsidR="00E43505" w:rsidRPr="003603AA">
              <w:t>s</w:t>
            </w:r>
            <w:r w:rsidR="006E06F0" w:rsidRPr="003603AA">
              <w:t xml:space="preserve"> B</w:t>
            </w:r>
            <w:r w:rsidRPr="003603AA">
              <w:t xml:space="preserve"> and C</w:t>
            </w:r>
            <w:r w:rsidR="006E06F0" w:rsidRPr="003603AA">
              <w:t>.</w:t>
            </w:r>
          </w:p>
        </w:tc>
      </w:tr>
      <w:tr w:rsidR="006E06F0" w14:paraId="2E44AB95" w14:textId="77777777" w:rsidTr="00695A13">
        <w:trPr>
          <w:cnfStyle w:val="000000010000" w:firstRow="0" w:lastRow="0" w:firstColumn="0" w:lastColumn="0" w:oddVBand="0" w:evenVBand="0" w:oddHBand="0" w:evenHBand="1" w:firstRowFirstColumn="0" w:firstRowLastColumn="0" w:lastRowFirstColumn="0" w:lastRowLastColumn="0"/>
        </w:trPr>
        <w:tc>
          <w:tcPr>
            <w:tcW w:w="0" w:type="dxa"/>
          </w:tcPr>
          <w:p w14:paraId="3A42B504" w14:textId="77777777" w:rsidR="006E06F0" w:rsidRPr="003603AA" w:rsidRDefault="006E06F0" w:rsidP="00695A13">
            <w:pPr>
              <w:pStyle w:val="TableBody"/>
            </w:pPr>
            <w:r w:rsidRPr="003603AA">
              <w:t>Restricted zones with a PFD limit in the restricted zones.</w:t>
            </w:r>
          </w:p>
        </w:tc>
        <w:tc>
          <w:tcPr>
            <w:tcW w:w="0" w:type="dxa"/>
          </w:tcPr>
          <w:p w14:paraId="2C273A23" w14:textId="77777777" w:rsidR="006E06F0" w:rsidRPr="003603AA" w:rsidRDefault="006E06F0" w:rsidP="00695A13">
            <w:pPr>
              <w:pStyle w:val="TableBody"/>
            </w:pPr>
            <w:r w:rsidRPr="003603AA">
              <w:t>Zone size based on the French derivation which uses the RTCA ITM for UC 1 but with no safety margin.  Size adapted to EIRPs necessary in Australia and range of allocation. PFD limit calculation the same as the Canadian method but adapted to EIRPs necessary in Australia and range of allocation. Designed to protect aircraft landing approaches.</w:t>
            </w:r>
          </w:p>
        </w:tc>
        <w:tc>
          <w:tcPr>
            <w:tcW w:w="0" w:type="dxa"/>
          </w:tcPr>
          <w:p w14:paraId="77EE28D4" w14:textId="2C23D6A4" w:rsidR="006E06F0" w:rsidRPr="003603AA" w:rsidRDefault="006E06F0" w:rsidP="00695A13">
            <w:pPr>
              <w:pStyle w:val="TableBody"/>
            </w:pPr>
            <w:r w:rsidRPr="003603AA">
              <w:t xml:space="preserve">A “restricted zone” is an area extending lengthwise from each end of the exclusion zone, and horizontally from an identified runway centerline. The dimensions apply using the maximum operating frequency row in </w:t>
            </w:r>
            <w:r w:rsidRPr="00257BC6">
              <w:t>Table 1</w:t>
            </w:r>
            <w:r w:rsidR="007C47DE" w:rsidRPr="00257BC6">
              <w:t>9</w:t>
            </w:r>
            <w:r w:rsidRPr="003603AA">
              <w:t xml:space="preserve"> column </w:t>
            </w:r>
            <w:r w:rsidR="004024AF" w:rsidRPr="003603AA">
              <w:t>D</w:t>
            </w:r>
            <w:r w:rsidRPr="003603AA">
              <w:t>.</w:t>
            </w:r>
          </w:p>
          <w:p w14:paraId="06A13E3C" w14:textId="77777777" w:rsidR="006E06F0" w:rsidRPr="003603AA" w:rsidRDefault="006E06F0" w:rsidP="00695A13">
            <w:pPr>
              <w:pStyle w:val="TableBody"/>
            </w:pPr>
          </w:p>
          <w:p w14:paraId="72DD48F4" w14:textId="57833CA8" w:rsidR="006E06F0" w:rsidRDefault="006E06F0" w:rsidP="00695A13">
            <w:pPr>
              <w:pStyle w:val="TableBody"/>
            </w:pPr>
            <w:r w:rsidRPr="003603AA">
              <w:t xml:space="preserve">The “PFD limit” value is defined in Table 15 column </w:t>
            </w:r>
            <w:r w:rsidR="004024AF" w:rsidRPr="003603AA">
              <w:t>F</w:t>
            </w:r>
            <w:r w:rsidRPr="003603AA">
              <w:t xml:space="preserve"> for the maximum operating frequency row. The PFD cannot exceed that value at a height above the ground of the corresponding column </w:t>
            </w:r>
            <w:r w:rsidR="004024AF" w:rsidRPr="003603AA">
              <w:t>G</w:t>
            </w:r>
            <w:r w:rsidRPr="003603AA">
              <w:t xml:space="preserve"> of </w:t>
            </w:r>
            <w:r w:rsidRPr="00257BC6">
              <w:t>Table 1</w:t>
            </w:r>
            <w:r w:rsidR="007C47DE" w:rsidRPr="00257BC6">
              <w:t>9</w:t>
            </w:r>
            <w:r w:rsidRPr="003603AA">
              <w:t xml:space="preserve">, for any percentage of the time for all combinations of elevation and azimuth angles above the horizon, </w:t>
            </w:r>
            <w:r w:rsidR="00606EDD">
              <w:t xml:space="preserve">for deployments </w:t>
            </w:r>
            <w:r w:rsidRPr="003603AA">
              <w:t>in the restricted zone.</w:t>
            </w:r>
          </w:p>
        </w:tc>
      </w:tr>
    </w:tbl>
    <w:p w14:paraId="1B773F2F" w14:textId="77777777" w:rsidR="006E06F0" w:rsidRPr="00373E6C" w:rsidRDefault="006E06F0" w:rsidP="006E06F0">
      <w:pPr>
        <w:pStyle w:val="Spaceaftertable"/>
      </w:pPr>
    </w:p>
    <w:p w14:paraId="48BFAF90" w14:textId="77777777" w:rsidR="006E06F0" w:rsidRPr="00373E6C" w:rsidRDefault="006E06F0" w:rsidP="006E06F0">
      <w:pPr>
        <w:pStyle w:val="Numberedparagraph"/>
        <w:numPr>
          <w:ilvl w:val="2"/>
          <w:numId w:val="13"/>
        </w:numPr>
      </w:pPr>
      <w:r w:rsidRPr="00373E6C">
        <w:t xml:space="preserve">For deployments everywhere above </w:t>
      </w:r>
      <w:r w:rsidRPr="008C634A">
        <w:t>3800 MHz</w:t>
      </w:r>
      <w:r w:rsidRPr="00373E6C">
        <w:t>:</w:t>
      </w:r>
    </w:p>
    <w:tbl>
      <w:tblPr>
        <w:tblStyle w:val="ACMAtablestyle"/>
        <w:tblW w:w="7938" w:type="dxa"/>
        <w:tblLook w:val="04A0" w:firstRow="1" w:lastRow="0" w:firstColumn="1" w:lastColumn="0" w:noHBand="0" w:noVBand="1"/>
      </w:tblPr>
      <w:tblGrid>
        <w:gridCol w:w="2470"/>
        <w:gridCol w:w="2710"/>
        <w:gridCol w:w="2758"/>
      </w:tblGrid>
      <w:tr w:rsidR="006E06F0" w14:paraId="26643FD1" w14:textId="77777777" w:rsidTr="00695A13">
        <w:trPr>
          <w:cnfStyle w:val="100000000000" w:firstRow="1" w:lastRow="0" w:firstColumn="0" w:lastColumn="0" w:oddVBand="0" w:evenVBand="0" w:oddHBand="0" w:evenHBand="0" w:firstRowFirstColumn="0" w:firstRowLastColumn="0" w:lastRowFirstColumn="0" w:lastRowLastColumn="0"/>
        </w:trPr>
        <w:tc>
          <w:tcPr>
            <w:tcW w:w="0" w:type="dxa"/>
          </w:tcPr>
          <w:p w14:paraId="7CBEF7B5" w14:textId="77777777" w:rsidR="006E06F0" w:rsidRDefault="006E06F0" w:rsidP="00695A13">
            <w:pPr>
              <w:pStyle w:val="Tableheaderrow"/>
            </w:pPr>
            <w:r>
              <w:t>Mitigation</w:t>
            </w:r>
          </w:p>
        </w:tc>
        <w:tc>
          <w:tcPr>
            <w:tcW w:w="0" w:type="dxa"/>
          </w:tcPr>
          <w:p w14:paraId="4531D723" w14:textId="77777777" w:rsidR="006E06F0" w:rsidRDefault="006E06F0" w:rsidP="00695A13">
            <w:pPr>
              <w:pStyle w:val="Tableheaderrow"/>
            </w:pPr>
            <w:r>
              <w:t>Purpose</w:t>
            </w:r>
          </w:p>
        </w:tc>
        <w:tc>
          <w:tcPr>
            <w:tcW w:w="0" w:type="dxa"/>
          </w:tcPr>
          <w:p w14:paraId="24172146" w14:textId="77777777" w:rsidR="006E06F0" w:rsidRDefault="006E06F0" w:rsidP="00695A13">
            <w:pPr>
              <w:pStyle w:val="Tableheaderrow"/>
            </w:pPr>
            <w:r>
              <w:t>Definition</w:t>
            </w:r>
          </w:p>
        </w:tc>
      </w:tr>
      <w:tr w:rsidR="006E06F0" w14:paraId="67BF324B"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6EF0F00B" w14:textId="77777777" w:rsidR="006E06F0" w:rsidRPr="003603AA" w:rsidRDefault="006E06F0" w:rsidP="00695A13">
            <w:pPr>
              <w:pStyle w:val="TableBody"/>
            </w:pPr>
            <w:r w:rsidRPr="003603AA">
              <w:t>Unwanted emission limits in 4200-4400 MHz</w:t>
            </w:r>
          </w:p>
        </w:tc>
        <w:tc>
          <w:tcPr>
            <w:tcW w:w="0" w:type="dxa"/>
          </w:tcPr>
          <w:p w14:paraId="2C35BBE6" w14:textId="77777777" w:rsidR="006E06F0" w:rsidRPr="003603AA" w:rsidRDefault="006E06F0" w:rsidP="00695A13">
            <w:pPr>
              <w:pStyle w:val="TableBody"/>
            </w:pPr>
            <w:r w:rsidRPr="003603AA">
              <w:t>These have been based on the use of RTCA ITMs for UC 1 with no margin and are designed to protect aircraft landing approaches, plus also providing generally reduced risk of potential issues for all flight cases.</w:t>
            </w:r>
          </w:p>
        </w:tc>
        <w:tc>
          <w:tcPr>
            <w:tcW w:w="0" w:type="dxa"/>
          </w:tcPr>
          <w:p w14:paraId="24764198" w14:textId="7B60995C" w:rsidR="006E06F0" w:rsidRDefault="006E06F0" w:rsidP="00695A13">
            <w:pPr>
              <w:pStyle w:val="TableBody"/>
            </w:pPr>
            <w:r w:rsidRPr="003603AA">
              <w:t xml:space="preserve">The “Additional unwanted emission limits” in 4200-4400 MHz are at most the value for the minimum operating frequency row from </w:t>
            </w:r>
            <w:r w:rsidRPr="00257BC6">
              <w:t>Table 1</w:t>
            </w:r>
            <w:r w:rsidR="007C47DE" w:rsidRPr="00257BC6">
              <w:t>9</w:t>
            </w:r>
            <w:r w:rsidRPr="003603AA">
              <w:t xml:space="preserve"> column </w:t>
            </w:r>
            <w:r w:rsidR="004024AF" w:rsidRPr="003603AA">
              <w:t>E</w:t>
            </w:r>
            <w:r w:rsidRPr="003603AA">
              <w:t>, anywhere in the 4200-4400 MHz range.</w:t>
            </w:r>
          </w:p>
        </w:tc>
      </w:tr>
      <w:tr w:rsidR="00EE3ABC" w14:paraId="1D1D13A3" w14:textId="77777777" w:rsidTr="00695A13">
        <w:trPr>
          <w:cnfStyle w:val="000000010000" w:firstRow="0" w:lastRow="0" w:firstColumn="0" w:lastColumn="0" w:oddVBand="0" w:evenVBand="0" w:oddHBand="0" w:evenHBand="1" w:firstRowFirstColumn="0" w:firstRowLastColumn="0" w:lastRowFirstColumn="0" w:lastRowLastColumn="0"/>
        </w:trPr>
        <w:tc>
          <w:tcPr>
            <w:tcW w:w="0" w:type="dxa"/>
          </w:tcPr>
          <w:p w14:paraId="2CF94B6D" w14:textId="77777777" w:rsidR="006E06F0" w:rsidRDefault="006E06F0" w:rsidP="00695A13">
            <w:pPr>
              <w:pStyle w:val="TableBody"/>
            </w:pPr>
            <w:r>
              <w:t>Maximum EIRP density limits</w:t>
            </w:r>
          </w:p>
        </w:tc>
        <w:tc>
          <w:tcPr>
            <w:tcW w:w="0" w:type="dxa"/>
          </w:tcPr>
          <w:p w14:paraId="72CF68D0" w14:textId="77777777" w:rsidR="006E06F0" w:rsidRDefault="006E06F0" w:rsidP="00695A13">
            <w:pPr>
              <w:pStyle w:val="TableBody"/>
            </w:pPr>
            <w:r>
              <w:t xml:space="preserve">Integral to the other calculations, but a reasonable limit to permit macro WBB deployments while </w:t>
            </w:r>
            <w:r w:rsidRPr="000854E8">
              <w:t>also providing generally reduced risk of potential issues for all flight cases</w:t>
            </w:r>
            <w:r>
              <w:t>.</w:t>
            </w:r>
          </w:p>
        </w:tc>
        <w:tc>
          <w:tcPr>
            <w:tcW w:w="0" w:type="dxa"/>
          </w:tcPr>
          <w:p w14:paraId="19F4FA10" w14:textId="30E3DCD2" w:rsidR="006E06F0" w:rsidRDefault="006E06F0" w:rsidP="00695A13">
            <w:pPr>
              <w:pStyle w:val="TableBody"/>
            </w:pPr>
            <w:r w:rsidRPr="00080499">
              <w:t>The “maximum EIRP density limit” is 62</w:t>
            </w:r>
            <w:r w:rsidR="0025671B">
              <w:t> </w:t>
            </w:r>
            <w:r w:rsidRPr="00080499">
              <w:t>dBm/MH</w:t>
            </w:r>
            <w:r w:rsidR="0025671B">
              <w:t>z outside of metro and regional restricted cell areas</w:t>
            </w:r>
            <w:r w:rsidRPr="00080499">
              <w:t>.</w:t>
            </w:r>
          </w:p>
        </w:tc>
      </w:tr>
      <w:tr w:rsidR="006E06F0" w14:paraId="038F3CD8" w14:textId="77777777" w:rsidTr="00695A13">
        <w:trPr>
          <w:cnfStyle w:val="000000100000" w:firstRow="0" w:lastRow="0" w:firstColumn="0" w:lastColumn="0" w:oddVBand="0" w:evenVBand="0" w:oddHBand="1" w:evenHBand="0" w:firstRowFirstColumn="0" w:firstRowLastColumn="0" w:lastRowFirstColumn="0" w:lastRowLastColumn="0"/>
        </w:trPr>
        <w:tc>
          <w:tcPr>
            <w:tcW w:w="0" w:type="dxa"/>
          </w:tcPr>
          <w:p w14:paraId="71794473" w14:textId="77777777" w:rsidR="006E06F0" w:rsidRDefault="006E06F0" w:rsidP="00695A13">
            <w:pPr>
              <w:pStyle w:val="TableBody"/>
            </w:pPr>
            <w:r>
              <w:t>Restricting any WBB antenna system to point maximum power or scan any beam below the horizon only.</w:t>
            </w:r>
          </w:p>
        </w:tc>
        <w:tc>
          <w:tcPr>
            <w:tcW w:w="0" w:type="dxa"/>
          </w:tcPr>
          <w:p w14:paraId="5443D95A" w14:textId="77777777" w:rsidR="006E06F0" w:rsidRDefault="006E06F0" w:rsidP="00695A13">
            <w:pPr>
              <w:pStyle w:val="TableBody"/>
            </w:pPr>
            <w:r>
              <w:t>T</w:t>
            </w:r>
            <w:r w:rsidRPr="00F32327">
              <w:t>o ensure that antenna systems do not scan to handsets located on aircraft and also providing generally reduced risk of potential issues for all flight cases.</w:t>
            </w:r>
          </w:p>
        </w:tc>
        <w:tc>
          <w:tcPr>
            <w:tcW w:w="0" w:type="dxa"/>
          </w:tcPr>
          <w:p w14:paraId="49F628FD" w14:textId="77777777" w:rsidR="006E06F0" w:rsidRDefault="006E06F0" w:rsidP="00695A13">
            <w:pPr>
              <w:pStyle w:val="TableBody"/>
            </w:pPr>
          </w:p>
        </w:tc>
      </w:tr>
      <w:tr w:rsidR="00EE3ABC" w14:paraId="29F77CAF" w14:textId="77777777" w:rsidTr="00695A13">
        <w:trPr>
          <w:cnfStyle w:val="000000010000" w:firstRow="0" w:lastRow="0" w:firstColumn="0" w:lastColumn="0" w:oddVBand="0" w:evenVBand="0" w:oddHBand="0" w:evenHBand="1" w:firstRowFirstColumn="0" w:firstRowLastColumn="0" w:lastRowFirstColumn="0" w:lastRowLastColumn="0"/>
        </w:trPr>
        <w:tc>
          <w:tcPr>
            <w:tcW w:w="0" w:type="dxa"/>
          </w:tcPr>
          <w:p w14:paraId="291DD029" w14:textId="77777777" w:rsidR="006E06F0" w:rsidRDefault="006E06F0" w:rsidP="00695A13">
            <w:pPr>
              <w:pStyle w:val="TableBody"/>
            </w:pPr>
            <w:r>
              <w:t>Grating lobes of WBB antenna systems should be minimised as much as is practicable.</w:t>
            </w:r>
          </w:p>
        </w:tc>
        <w:tc>
          <w:tcPr>
            <w:tcW w:w="0" w:type="dxa"/>
          </w:tcPr>
          <w:p w14:paraId="77C77661" w14:textId="77777777" w:rsidR="006E06F0" w:rsidRDefault="006E06F0" w:rsidP="00695A13">
            <w:pPr>
              <w:pStyle w:val="TableBody"/>
            </w:pPr>
            <w:r>
              <w:t xml:space="preserve">To ensure unwanted power from the base station is minimised in the potential directions of aircraft, to </w:t>
            </w:r>
            <w:r w:rsidRPr="000854E8">
              <w:t>generally reduced risk of potential issues for all flight cases</w:t>
            </w:r>
            <w:r>
              <w:t>.</w:t>
            </w:r>
          </w:p>
        </w:tc>
        <w:tc>
          <w:tcPr>
            <w:tcW w:w="0" w:type="dxa"/>
          </w:tcPr>
          <w:p w14:paraId="3A155E00" w14:textId="77777777" w:rsidR="006E06F0" w:rsidRDefault="006E06F0" w:rsidP="00695A13">
            <w:pPr>
              <w:pStyle w:val="TableBody"/>
            </w:pPr>
          </w:p>
        </w:tc>
      </w:tr>
    </w:tbl>
    <w:p w14:paraId="37213499" w14:textId="371030EB" w:rsidR="00062AB1" w:rsidRDefault="00062AB1">
      <w:pPr>
        <w:spacing w:after="0" w:line="240" w:lineRule="auto"/>
        <w:rPr>
          <w:b/>
          <w:bCs/>
          <w:color w:val="323232"/>
          <w:szCs w:val="20"/>
        </w:rPr>
      </w:pPr>
    </w:p>
    <w:p w14:paraId="0E427927" w14:textId="05D42878" w:rsidR="006E06F0" w:rsidRPr="00387196" w:rsidRDefault="006E06F0" w:rsidP="006E06F0">
      <w:pPr>
        <w:pStyle w:val="Tableheading"/>
      </w:pPr>
      <w:r w:rsidRPr="00387196">
        <w:t>Example table of mitigations in a frequency range</w:t>
      </w:r>
    </w:p>
    <w:tbl>
      <w:tblPr>
        <w:tblStyle w:val="ACMAtablestyle"/>
        <w:tblW w:w="10034" w:type="dxa"/>
        <w:tblLook w:val="04A0" w:firstRow="1" w:lastRow="0" w:firstColumn="1" w:lastColumn="0" w:noHBand="0" w:noVBand="1"/>
      </w:tblPr>
      <w:tblGrid>
        <w:gridCol w:w="1294"/>
        <w:gridCol w:w="1320"/>
        <w:gridCol w:w="1280"/>
        <w:gridCol w:w="1322"/>
        <w:gridCol w:w="1713"/>
        <w:gridCol w:w="1783"/>
        <w:gridCol w:w="1322"/>
      </w:tblGrid>
      <w:tr w:rsidR="00C21BEA" w:rsidRPr="005D5435" w14:paraId="5097166C" w14:textId="77777777" w:rsidTr="009D3470">
        <w:trPr>
          <w:cnfStyle w:val="100000000000" w:firstRow="1" w:lastRow="0" w:firstColumn="0" w:lastColumn="0" w:oddVBand="0" w:evenVBand="0" w:oddHBand="0" w:evenHBand="0" w:firstRowFirstColumn="0" w:firstRowLastColumn="0" w:lastRowFirstColumn="0" w:lastRowLastColumn="0"/>
          <w:trHeight w:val="300"/>
        </w:trPr>
        <w:tc>
          <w:tcPr>
            <w:tcW w:w="1294" w:type="dxa"/>
          </w:tcPr>
          <w:p w14:paraId="272E88AA" w14:textId="77777777" w:rsidR="006E06F0" w:rsidRPr="00DE7273" w:rsidRDefault="006E06F0" w:rsidP="00695A13">
            <w:pPr>
              <w:pStyle w:val="Tableheaderrow"/>
              <w:jc w:val="center"/>
            </w:pPr>
            <w:r>
              <w:t>A</w:t>
            </w:r>
          </w:p>
        </w:tc>
        <w:tc>
          <w:tcPr>
            <w:tcW w:w="1320" w:type="dxa"/>
          </w:tcPr>
          <w:p w14:paraId="3F3D9DC7" w14:textId="77777777" w:rsidR="006E06F0" w:rsidRPr="00DE7273" w:rsidRDefault="006E06F0" w:rsidP="00695A13">
            <w:pPr>
              <w:pStyle w:val="Tableheaderrow"/>
              <w:jc w:val="center"/>
            </w:pPr>
            <w:r>
              <w:t>B</w:t>
            </w:r>
          </w:p>
        </w:tc>
        <w:tc>
          <w:tcPr>
            <w:tcW w:w="1280" w:type="dxa"/>
          </w:tcPr>
          <w:p w14:paraId="385E6AD5" w14:textId="4A22A3F4" w:rsidR="004024AF" w:rsidRDefault="004024AF" w:rsidP="00695A13">
            <w:pPr>
              <w:pStyle w:val="Tableheaderrow"/>
              <w:jc w:val="center"/>
            </w:pPr>
            <w:r>
              <w:t>C</w:t>
            </w:r>
          </w:p>
        </w:tc>
        <w:tc>
          <w:tcPr>
            <w:tcW w:w="1322" w:type="dxa"/>
          </w:tcPr>
          <w:p w14:paraId="39DAA1BA" w14:textId="035CFFDA" w:rsidR="006E06F0" w:rsidRPr="00DE7273" w:rsidRDefault="004024AF" w:rsidP="00695A13">
            <w:pPr>
              <w:pStyle w:val="Tableheaderrow"/>
              <w:jc w:val="center"/>
            </w:pPr>
            <w:r>
              <w:t>D</w:t>
            </w:r>
          </w:p>
        </w:tc>
        <w:tc>
          <w:tcPr>
            <w:tcW w:w="1713" w:type="dxa"/>
          </w:tcPr>
          <w:p w14:paraId="137B2C86" w14:textId="21CFF888" w:rsidR="006E06F0" w:rsidRPr="00DE7273" w:rsidRDefault="004024AF" w:rsidP="00695A13">
            <w:pPr>
              <w:pStyle w:val="Tableheaderrow"/>
              <w:jc w:val="center"/>
            </w:pPr>
            <w:r>
              <w:t>E</w:t>
            </w:r>
          </w:p>
        </w:tc>
        <w:tc>
          <w:tcPr>
            <w:tcW w:w="1783" w:type="dxa"/>
          </w:tcPr>
          <w:p w14:paraId="7767BCE2" w14:textId="427E44EF" w:rsidR="006E06F0" w:rsidRPr="00DE7273" w:rsidRDefault="004024AF" w:rsidP="00695A13">
            <w:pPr>
              <w:pStyle w:val="Tableheaderrow"/>
              <w:jc w:val="center"/>
            </w:pPr>
            <w:r>
              <w:t>F</w:t>
            </w:r>
          </w:p>
        </w:tc>
        <w:tc>
          <w:tcPr>
            <w:tcW w:w="1322" w:type="dxa"/>
          </w:tcPr>
          <w:p w14:paraId="61C630BF" w14:textId="01276244" w:rsidR="006E06F0" w:rsidRDefault="004024AF" w:rsidP="00695A13">
            <w:pPr>
              <w:pStyle w:val="Tableheaderrow"/>
              <w:jc w:val="center"/>
            </w:pPr>
            <w:r>
              <w:t>G</w:t>
            </w:r>
          </w:p>
        </w:tc>
      </w:tr>
      <w:tr w:rsidR="00C21BEA" w:rsidRPr="005D5435" w14:paraId="2CA473CC" w14:textId="77777777" w:rsidTr="009D3470">
        <w:trPr>
          <w:cnfStyle w:val="000000100000" w:firstRow="0" w:lastRow="0" w:firstColumn="0" w:lastColumn="0" w:oddVBand="0" w:evenVBand="0" w:oddHBand="1" w:evenHBand="0" w:firstRowFirstColumn="0" w:firstRowLastColumn="0" w:lastRowFirstColumn="0" w:lastRowLastColumn="0"/>
          <w:trHeight w:val="629"/>
        </w:trPr>
        <w:tc>
          <w:tcPr>
            <w:tcW w:w="1294" w:type="dxa"/>
          </w:tcPr>
          <w:p w14:paraId="0983CC96" w14:textId="5EF16B38" w:rsidR="006E06F0" w:rsidRPr="00DE7273" w:rsidRDefault="006E06F0" w:rsidP="00695A13">
            <w:pPr>
              <w:pStyle w:val="Tableheaderrow"/>
            </w:pPr>
            <w:r w:rsidRPr="00DE7273">
              <w:t xml:space="preserve">Base station </w:t>
            </w:r>
            <w:r w:rsidR="00AA45D3">
              <w:t>operating</w:t>
            </w:r>
            <w:r w:rsidRPr="00DE7273">
              <w:t xml:space="preserve"> frequency (MHz)</w:t>
            </w:r>
          </w:p>
        </w:tc>
        <w:tc>
          <w:tcPr>
            <w:tcW w:w="1320" w:type="dxa"/>
          </w:tcPr>
          <w:p w14:paraId="2C36E451" w14:textId="3BF0A7B0" w:rsidR="006E06F0" w:rsidRPr="00DE7273" w:rsidRDefault="006E06F0" w:rsidP="00695A13">
            <w:pPr>
              <w:pStyle w:val="Tableheaderrow"/>
            </w:pPr>
            <w:r w:rsidRPr="00DE7273">
              <w:t xml:space="preserve">Exclusion zone </w:t>
            </w:r>
            <w:r w:rsidR="004024AF">
              <w:t>extension length</w:t>
            </w:r>
            <w:r w:rsidRPr="00DE7273">
              <w:t xml:space="preserve"> (m)</w:t>
            </w:r>
          </w:p>
        </w:tc>
        <w:tc>
          <w:tcPr>
            <w:tcW w:w="1280" w:type="dxa"/>
          </w:tcPr>
          <w:p w14:paraId="5FB07241" w14:textId="3477C318" w:rsidR="004024AF" w:rsidRDefault="004024AF" w:rsidP="00695A13">
            <w:pPr>
              <w:pStyle w:val="Tableheaderrow"/>
            </w:pPr>
            <w:r>
              <w:t>Exclusion zone half-width (m)</w:t>
            </w:r>
          </w:p>
        </w:tc>
        <w:tc>
          <w:tcPr>
            <w:tcW w:w="1322" w:type="dxa"/>
          </w:tcPr>
          <w:p w14:paraId="50E1B88A" w14:textId="77777777" w:rsidR="006E06F0" w:rsidRPr="00DE7273" w:rsidRDefault="006E06F0" w:rsidP="00695A13">
            <w:pPr>
              <w:pStyle w:val="Tableheaderrow"/>
            </w:pPr>
            <w:r w:rsidRPr="00DE7273">
              <w:t xml:space="preserve">Restricted zone </w:t>
            </w:r>
            <w:r>
              <w:t>size</w:t>
            </w:r>
            <w:r w:rsidRPr="00DE7273">
              <w:t xml:space="preserve"> (m)</w:t>
            </w:r>
          </w:p>
          <w:p w14:paraId="7E715A0D" w14:textId="77777777" w:rsidR="006E06F0" w:rsidRPr="00DE7273" w:rsidRDefault="006E06F0" w:rsidP="00695A13">
            <w:pPr>
              <w:pStyle w:val="Tableheaderrow"/>
            </w:pPr>
            <w:r w:rsidRPr="00DE7273">
              <w:t xml:space="preserve">(Length x </w:t>
            </w:r>
            <w:r>
              <w:t>half-width</w:t>
            </w:r>
            <w:r w:rsidRPr="00DE7273">
              <w:t>)</w:t>
            </w:r>
          </w:p>
        </w:tc>
        <w:tc>
          <w:tcPr>
            <w:tcW w:w="1713" w:type="dxa"/>
          </w:tcPr>
          <w:p w14:paraId="5D988F58" w14:textId="1A5DEF0B" w:rsidR="006E06F0" w:rsidRPr="00DE7273" w:rsidRDefault="0025671B" w:rsidP="00695A13">
            <w:pPr>
              <w:pStyle w:val="Tableheaderrow"/>
            </w:pPr>
            <w:r>
              <w:t>Unwanted</w:t>
            </w:r>
            <w:r w:rsidR="006E06F0" w:rsidRPr="00DE7273">
              <w:t xml:space="preserve"> emissions limit EIRP (dBm/MHz)</w:t>
            </w:r>
          </w:p>
        </w:tc>
        <w:tc>
          <w:tcPr>
            <w:tcW w:w="1783" w:type="dxa"/>
          </w:tcPr>
          <w:p w14:paraId="40C00F17" w14:textId="77777777" w:rsidR="006E06F0" w:rsidRPr="00DE7273" w:rsidRDefault="006E06F0" w:rsidP="00695A13">
            <w:pPr>
              <w:pStyle w:val="Tableheaderrow"/>
            </w:pPr>
            <w:r w:rsidRPr="00DE7273">
              <w:t>Power flux density limit (dBW/m</w:t>
            </w:r>
            <w:r w:rsidRPr="00A25C8D">
              <w:rPr>
                <w:vertAlign w:val="superscript"/>
              </w:rPr>
              <w:t>2</w:t>
            </w:r>
            <w:r w:rsidRPr="00DE7273">
              <w:t>/MHz)</w:t>
            </w:r>
          </w:p>
        </w:tc>
        <w:tc>
          <w:tcPr>
            <w:tcW w:w="1322" w:type="dxa"/>
          </w:tcPr>
          <w:p w14:paraId="230FC351" w14:textId="77777777" w:rsidR="006E06F0" w:rsidRDefault="006E06F0" w:rsidP="00695A13">
            <w:pPr>
              <w:pStyle w:val="Tableheaderrow"/>
            </w:pPr>
            <w:r>
              <w:t>Power flux density limit restriction height (m)</w:t>
            </w:r>
          </w:p>
        </w:tc>
      </w:tr>
      <w:tr w:rsidR="007C1A1C" w:rsidRPr="00273707" w14:paraId="0945FB7C" w14:textId="77777777" w:rsidTr="007C47DE">
        <w:trPr>
          <w:cnfStyle w:val="000000010000" w:firstRow="0" w:lastRow="0" w:firstColumn="0" w:lastColumn="0" w:oddVBand="0" w:evenVBand="0" w:oddHBand="0" w:evenHBand="1" w:firstRowFirstColumn="0" w:firstRowLastColumn="0" w:lastRowFirstColumn="0" w:lastRowLastColumn="0"/>
          <w:trHeight w:val="156"/>
        </w:trPr>
        <w:tc>
          <w:tcPr>
            <w:tcW w:w="1294" w:type="dxa"/>
          </w:tcPr>
          <w:p w14:paraId="47B540E9" w14:textId="77777777" w:rsidR="006E06F0" w:rsidRPr="00F9796E" w:rsidRDefault="006E06F0" w:rsidP="00695A13">
            <w:pPr>
              <w:pStyle w:val="TableBody"/>
              <w:jc w:val="center"/>
              <w:rPr>
                <w:rFonts w:cs="Arial"/>
              </w:rPr>
            </w:pPr>
            <w:r w:rsidRPr="00F9796E">
              <w:rPr>
                <w:rFonts w:cs="Arial"/>
              </w:rPr>
              <w:t>(</w:t>
            </w:r>
            <w:r>
              <w:rPr>
                <w:rFonts w:cs="Arial"/>
              </w:rPr>
              <w:t>&gt;</w:t>
            </w:r>
            <w:r w:rsidRPr="00F9796E">
              <w:rPr>
                <w:rFonts w:cs="Arial"/>
              </w:rPr>
              <w:t>3800, 3850]</w:t>
            </w:r>
          </w:p>
        </w:tc>
        <w:tc>
          <w:tcPr>
            <w:tcW w:w="1320" w:type="dxa"/>
          </w:tcPr>
          <w:p w14:paraId="0F87FD12" w14:textId="79275A82" w:rsidR="006E06F0" w:rsidRPr="000A7BED" w:rsidRDefault="006E06F0" w:rsidP="00695A13">
            <w:pPr>
              <w:pStyle w:val="TableBody"/>
              <w:jc w:val="center"/>
              <w:rPr>
                <w:rFonts w:cs="Arial"/>
              </w:rPr>
            </w:pPr>
            <w:r w:rsidRPr="000A7BED">
              <w:rPr>
                <w:rFonts w:cs="Arial"/>
              </w:rPr>
              <w:t>2890</w:t>
            </w:r>
          </w:p>
        </w:tc>
        <w:tc>
          <w:tcPr>
            <w:tcW w:w="1280" w:type="dxa"/>
          </w:tcPr>
          <w:p w14:paraId="17CCA5AE" w14:textId="29F35A6C" w:rsidR="004024AF" w:rsidRDefault="004024AF" w:rsidP="00695A13">
            <w:pPr>
              <w:pStyle w:val="TableBody"/>
              <w:jc w:val="center"/>
              <w:rPr>
                <w:rFonts w:cs="Arial"/>
              </w:rPr>
            </w:pPr>
            <w:r>
              <w:rPr>
                <w:rFonts w:cs="Arial"/>
              </w:rPr>
              <w:t>1760</w:t>
            </w:r>
          </w:p>
        </w:tc>
        <w:tc>
          <w:tcPr>
            <w:tcW w:w="1322" w:type="dxa"/>
          </w:tcPr>
          <w:p w14:paraId="6F044785" w14:textId="77777777" w:rsidR="006E06F0" w:rsidRPr="00273707" w:rsidRDefault="006E06F0" w:rsidP="00695A13">
            <w:pPr>
              <w:pStyle w:val="TableBody"/>
              <w:jc w:val="center"/>
              <w:rPr>
                <w:rFonts w:cs="Arial"/>
              </w:rPr>
            </w:pPr>
            <w:r w:rsidRPr="00273707">
              <w:rPr>
                <w:rFonts w:cs="Arial"/>
              </w:rPr>
              <w:t>5310 x 560</w:t>
            </w:r>
          </w:p>
        </w:tc>
        <w:tc>
          <w:tcPr>
            <w:tcW w:w="1713" w:type="dxa"/>
          </w:tcPr>
          <w:p w14:paraId="1238AB10" w14:textId="38826424" w:rsidR="006E06F0" w:rsidRPr="00273707" w:rsidRDefault="006E06F0" w:rsidP="00695A13">
            <w:pPr>
              <w:pStyle w:val="TableBody"/>
              <w:jc w:val="center"/>
              <w:rPr>
                <w:rFonts w:cs="Arial"/>
                <w:color w:val="FF0000"/>
              </w:rPr>
            </w:pPr>
            <w:r>
              <w:t>5.</w:t>
            </w:r>
            <w:r w:rsidR="00C414FD" w:rsidRPr="00D05583">
              <w:t>1</w:t>
            </w:r>
          </w:p>
        </w:tc>
        <w:tc>
          <w:tcPr>
            <w:tcW w:w="1783" w:type="dxa"/>
          </w:tcPr>
          <w:p w14:paraId="23072E1A" w14:textId="07893FDE" w:rsidR="006E06F0" w:rsidRPr="00273707" w:rsidRDefault="00C414FD" w:rsidP="00695A13">
            <w:pPr>
              <w:pStyle w:val="TableBody"/>
              <w:jc w:val="center"/>
              <w:rPr>
                <w:rFonts w:cs="Arial"/>
              </w:rPr>
            </w:pPr>
            <w:r w:rsidRPr="001640D5">
              <w:t>-41</w:t>
            </w:r>
          </w:p>
        </w:tc>
        <w:tc>
          <w:tcPr>
            <w:tcW w:w="1322" w:type="dxa"/>
          </w:tcPr>
          <w:p w14:paraId="65805224" w14:textId="0E1C1DD1" w:rsidR="006E06F0" w:rsidRDefault="00C414FD" w:rsidP="00695A13">
            <w:pPr>
              <w:pStyle w:val="TableBody"/>
              <w:jc w:val="center"/>
              <w:rPr>
                <w:rFonts w:cs="Arial"/>
              </w:rPr>
            </w:pPr>
            <w:r w:rsidRPr="001640D5">
              <w:t>140</w:t>
            </w:r>
          </w:p>
        </w:tc>
      </w:tr>
      <w:tr w:rsidR="00E14ADD" w:rsidRPr="00273707" w14:paraId="31C91FF7" w14:textId="77777777" w:rsidTr="009D3470">
        <w:trPr>
          <w:cnfStyle w:val="000000100000" w:firstRow="0" w:lastRow="0" w:firstColumn="0" w:lastColumn="0" w:oddVBand="0" w:evenVBand="0" w:oddHBand="1" w:evenHBand="0" w:firstRowFirstColumn="0" w:firstRowLastColumn="0" w:lastRowFirstColumn="0" w:lastRowLastColumn="0"/>
          <w:trHeight w:val="156"/>
        </w:trPr>
        <w:tc>
          <w:tcPr>
            <w:tcW w:w="1294" w:type="dxa"/>
          </w:tcPr>
          <w:p w14:paraId="45BE8978" w14:textId="77777777" w:rsidR="004024AF" w:rsidRPr="00F9796E" w:rsidRDefault="004024AF" w:rsidP="00695A13">
            <w:pPr>
              <w:pStyle w:val="TableBody"/>
              <w:jc w:val="center"/>
              <w:rPr>
                <w:rFonts w:cs="Arial"/>
              </w:rPr>
            </w:pPr>
            <w:r w:rsidRPr="00F9796E">
              <w:rPr>
                <w:rFonts w:cs="Arial"/>
              </w:rPr>
              <w:t>(</w:t>
            </w:r>
            <w:r>
              <w:rPr>
                <w:rFonts w:cs="Arial"/>
              </w:rPr>
              <w:t>&gt;</w:t>
            </w:r>
            <w:r w:rsidRPr="00F9796E">
              <w:rPr>
                <w:rFonts w:cs="Arial"/>
              </w:rPr>
              <w:t>3850, 3900]</w:t>
            </w:r>
          </w:p>
        </w:tc>
        <w:tc>
          <w:tcPr>
            <w:tcW w:w="1320" w:type="dxa"/>
          </w:tcPr>
          <w:p w14:paraId="39AC9EEE" w14:textId="75C825DC" w:rsidR="004024AF" w:rsidRPr="000A7BED" w:rsidRDefault="004024AF" w:rsidP="00695A13">
            <w:pPr>
              <w:pStyle w:val="TableBody"/>
              <w:jc w:val="center"/>
              <w:rPr>
                <w:rFonts w:cs="Arial"/>
              </w:rPr>
            </w:pPr>
            <w:r w:rsidRPr="000A7BED">
              <w:rPr>
                <w:rFonts w:cs="Arial"/>
              </w:rPr>
              <w:t>3000</w:t>
            </w:r>
          </w:p>
        </w:tc>
        <w:tc>
          <w:tcPr>
            <w:tcW w:w="1280" w:type="dxa"/>
          </w:tcPr>
          <w:p w14:paraId="762097C0" w14:textId="79017E79" w:rsidR="004024AF" w:rsidRPr="00273707" w:rsidRDefault="004024AF" w:rsidP="00695A13">
            <w:pPr>
              <w:pStyle w:val="TableBody"/>
              <w:jc w:val="center"/>
              <w:rPr>
                <w:rFonts w:cs="Arial"/>
              </w:rPr>
            </w:pPr>
            <w:r>
              <w:rPr>
                <w:rFonts w:cs="Arial"/>
              </w:rPr>
              <w:t>1870</w:t>
            </w:r>
          </w:p>
        </w:tc>
        <w:tc>
          <w:tcPr>
            <w:tcW w:w="1322" w:type="dxa"/>
          </w:tcPr>
          <w:p w14:paraId="2E59DE3D" w14:textId="77777777" w:rsidR="004024AF" w:rsidRPr="00273707" w:rsidRDefault="004024AF" w:rsidP="00695A13">
            <w:pPr>
              <w:pStyle w:val="TableBody"/>
              <w:jc w:val="center"/>
              <w:rPr>
                <w:rFonts w:cs="Arial"/>
              </w:rPr>
            </w:pPr>
            <w:r w:rsidRPr="00273707">
              <w:rPr>
                <w:rFonts w:cs="Arial"/>
              </w:rPr>
              <w:t>5200 x 680</w:t>
            </w:r>
          </w:p>
        </w:tc>
        <w:tc>
          <w:tcPr>
            <w:tcW w:w="1713" w:type="dxa"/>
          </w:tcPr>
          <w:p w14:paraId="48AF9277" w14:textId="6202CC85" w:rsidR="004024AF" w:rsidRPr="00273707" w:rsidRDefault="004024AF" w:rsidP="00695A13">
            <w:pPr>
              <w:pStyle w:val="TableBody"/>
              <w:jc w:val="center"/>
              <w:rPr>
                <w:rFonts w:cs="Arial"/>
                <w:color w:val="FF0000"/>
              </w:rPr>
            </w:pPr>
            <w:r>
              <w:t>5.</w:t>
            </w:r>
            <w:r w:rsidRPr="00D05583">
              <w:t>5</w:t>
            </w:r>
          </w:p>
        </w:tc>
        <w:tc>
          <w:tcPr>
            <w:tcW w:w="1783" w:type="dxa"/>
          </w:tcPr>
          <w:p w14:paraId="1292C3F0" w14:textId="60624D26" w:rsidR="004024AF" w:rsidRPr="00273707" w:rsidRDefault="004024AF" w:rsidP="00695A13">
            <w:pPr>
              <w:pStyle w:val="TableBody"/>
              <w:jc w:val="center"/>
              <w:rPr>
                <w:rFonts w:cs="Arial"/>
              </w:rPr>
            </w:pPr>
            <w:r w:rsidRPr="001640D5">
              <w:t>-42.4</w:t>
            </w:r>
          </w:p>
        </w:tc>
        <w:tc>
          <w:tcPr>
            <w:tcW w:w="1322" w:type="dxa"/>
          </w:tcPr>
          <w:p w14:paraId="23738676" w14:textId="67545F8A" w:rsidR="004024AF" w:rsidRDefault="004024AF" w:rsidP="00695A13">
            <w:pPr>
              <w:pStyle w:val="TableBody"/>
              <w:jc w:val="center"/>
              <w:rPr>
                <w:rFonts w:cs="Arial"/>
              </w:rPr>
            </w:pPr>
            <w:r w:rsidRPr="001640D5">
              <w:t>145</w:t>
            </w:r>
          </w:p>
        </w:tc>
      </w:tr>
      <w:tr w:rsidR="007C1A1C" w:rsidRPr="00273707" w14:paraId="1BDAAA6F" w14:textId="77777777" w:rsidTr="007C47DE">
        <w:trPr>
          <w:cnfStyle w:val="000000010000" w:firstRow="0" w:lastRow="0" w:firstColumn="0" w:lastColumn="0" w:oddVBand="0" w:evenVBand="0" w:oddHBand="0" w:evenHBand="1" w:firstRowFirstColumn="0" w:firstRowLastColumn="0" w:lastRowFirstColumn="0" w:lastRowLastColumn="0"/>
          <w:trHeight w:val="149"/>
        </w:trPr>
        <w:tc>
          <w:tcPr>
            <w:tcW w:w="1294" w:type="dxa"/>
          </w:tcPr>
          <w:p w14:paraId="13B0565B" w14:textId="77777777" w:rsidR="006E06F0" w:rsidRPr="00F9796E" w:rsidRDefault="006E06F0" w:rsidP="00695A13">
            <w:pPr>
              <w:pStyle w:val="TableBody"/>
              <w:jc w:val="center"/>
              <w:rPr>
                <w:rFonts w:cs="Arial"/>
              </w:rPr>
            </w:pPr>
            <w:r w:rsidRPr="00F9796E">
              <w:rPr>
                <w:rFonts w:cs="Arial"/>
              </w:rPr>
              <w:t>(</w:t>
            </w:r>
            <w:r>
              <w:rPr>
                <w:rFonts w:cs="Arial"/>
              </w:rPr>
              <w:t>&gt;</w:t>
            </w:r>
            <w:r w:rsidRPr="00F9796E">
              <w:rPr>
                <w:rFonts w:cs="Arial"/>
              </w:rPr>
              <w:t>3900, 3950]</w:t>
            </w:r>
          </w:p>
        </w:tc>
        <w:tc>
          <w:tcPr>
            <w:tcW w:w="1320" w:type="dxa"/>
          </w:tcPr>
          <w:p w14:paraId="6EEDA0E5" w14:textId="1A6153D9" w:rsidR="006E06F0" w:rsidRPr="000A7BED" w:rsidRDefault="006E06F0" w:rsidP="00695A13">
            <w:pPr>
              <w:pStyle w:val="TableBody"/>
              <w:jc w:val="center"/>
              <w:rPr>
                <w:rFonts w:cs="Arial"/>
              </w:rPr>
            </w:pPr>
            <w:r w:rsidRPr="000A7BED">
              <w:rPr>
                <w:rFonts w:cs="Arial"/>
              </w:rPr>
              <w:t>3110</w:t>
            </w:r>
          </w:p>
        </w:tc>
        <w:tc>
          <w:tcPr>
            <w:tcW w:w="1280" w:type="dxa"/>
          </w:tcPr>
          <w:p w14:paraId="119D3CD7" w14:textId="541E8F53" w:rsidR="004024AF" w:rsidRDefault="004024AF" w:rsidP="00695A13">
            <w:pPr>
              <w:pStyle w:val="TableBody"/>
              <w:jc w:val="center"/>
              <w:rPr>
                <w:rFonts w:cs="Arial"/>
              </w:rPr>
            </w:pPr>
            <w:r>
              <w:rPr>
                <w:rFonts w:cs="Arial"/>
              </w:rPr>
              <w:t>1980</w:t>
            </w:r>
          </w:p>
        </w:tc>
        <w:tc>
          <w:tcPr>
            <w:tcW w:w="1322" w:type="dxa"/>
          </w:tcPr>
          <w:p w14:paraId="2D42681B" w14:textId="77777777" w:rsidR="006E06F0" w:rsidRPr="00273707" w:rsidRDefault="006E06F0" w:rsidP="00695A13">
            <w:pPr>
              <w:pStyle w:val="TableBody"/>
              <w:jc w:val="center"/>
              <w:rPr>
                <w:rFonts w:cs="Arial"/>
              </w:rPr>
            </w:pPr>
            <w:r w:rsidRPr="00273707">
              <w:rPr>
                <w:rFonts w:cs="Arial"/>
              </w:rPr>
              <w:t>5090 x 840</w:t>
            </w:r>
          </w:p>
        </w:tc>
        <w:tc>
          <w:tcPr>
            <w:tcW w:w="1713" w:type="dxa"/>
          </w:tcPr>
          <w:p w14:paraId="67A09179" w14:textId="0D59DA1E" w:rsidR="006E06F0" w:rsidRPr="00273707" w:rsidRDefault="006E06F0" w:rsidP="00695A13">
            <w:pPr>
              <w:pStyle w:val="TableBody"/>
              <w:jc w:val="center"/>
              <w:rPr>
                <w:rFonts w:cs="Arial"/>
                <w:color w:val="FF0000"/>
              </w:rPr>
            </w:pPr>
            <w:r>
              <w:t>5.</w:t>
            </w:r>
            <w:r w:rsidR="00C414FD" w:rsidRPr="00D05583">
              <w:t>8</w:t>
            </w:r>
          </w:p>
        </w:tc>
        <w:tc>
          <w:tcPr>
            <w:tcW w:w="1783" w:type="dxa"/>
          </w:tcPr>
          <w:p w14:paraId="15F9BB9B" w14:textId="3ECB6D1C" w:rsidR="006E06F0" w:rsidRPr="00273707" w:rsidRDefault="006E06F0" w:rsidP="00695A13">
            <w:pPr>
              <w:pStyle w:val="TableBody"/>
              <w:jc w:val="center"/>
              <w:rPr>
                <w:rFonts w:cs="Arial"/>
              </w:rPr>
            </w:pPr>
            <w:r w:rsidRPr="001640D5">
              <w:t>-43.</w:t>
            </w:r>
            <w:r w:rsidR="00C414FD" w:rsidRPr="001640D5">
              <w:t>7</w:t>
            </w:r>
          </w:p>
        </w:tc>
        <w:tc>
          <w:tcPr>
            <w:tcW w:w="1322" w:type="dxa"/>
          </w:tcPr>
          <w:p w14:paraId="289EEB52" w14:textId="4774BE8E" w:rsidR="006E06F0" w:rsidRDefault="00C414FD" w:rsidP="00695A13">
            <w:pPr>
              <w:pStyle w:val="TableBody"/>
              <w:jc w:val="center"/>
              <w:rPr>
                <w:rFonts w:cs="Arial"/>
              </w:rPr>
            </w:pPr>
            <w:r w:rsidRPr="001640D5">
              <w:t>150</w:t>
            </w:r>
          </w:p>
        </w:tc>
      </w:tr>
      <w:tr w:rsidR="00E14ADD" w:rsidRPr="00273707" w14:paraId="510139EF" w14:textId="77777777" w:rsidTr="009D3470">
        <w:trPr>
          <w:cnfStyle w:val="000000100000" w:firstRow="0" w:lastRow="0" w:firstColumn="0" w:lastColumn="0" w:oddVBand="0" w:evenVBand="0" w:oddHBand="1" w:evenHBand="0" w:firstRowFirstColumn="0" w:firstRowLastColumn="0" w:lastRowFirstColumn="0" w:lastRowLastColumn="0"/>
          <w:trHeight w:val="156"/>
        </w:trPr>
        <w:tc>
          <w:tcPr>
            <w:tcW w:w="1294" w:type="dxa"/>
          </w:tcPr>
          <w:p w14:paraId="05AF60CC" w14:textId="77777777" w:rsidR="004024AF" w:rsidRDefault="004024AF" w:rsidP="00E31DBF">
            <w:pPr>
              <w:pStyle w:val="TableBody"/>
              <w:jc w:val="center"/>
            </w:pPr>
            <w:r w:rsidRPr="006B2166">
              <w:t>(&gt;3950, 4000]</w:t>
            </w:r>
            <w:r>
              <w:rPr>
                <w:rStyle w:val="FootnoteReference"/>
              </w:rPr>
              <w:footnoteReference w:id="23"/>
            </w:r>
          </w:p>
          <w:p w14:paraId="3BE38A7B" w14:textId="67C34F88" w:rsidR="004024AF" w:rsidRPr="00F9796E" w:rsidRDefault="004024AF" w:rsidP="00E31DBF">
            <w:pPr>
              <w:pStyle w:val="TableBody"/>
              <w:jc w:val="center"/>
              <w:rPr>
                <w:rFonts w:cs="Arial"/>
              </w:rPr>
            </w:pPr>
            <w:r>
              <w:rPr>
                <w:rFonts w:cs="Arial"/>
              </w:rPr>
              <w:t>Remote areas</w:t>
            </w:r>
          </w:p>
        </w:tc>
        <w:tc>
          <w:tcPr>
            <w:tcW w:w="1320" w:type="dxa"/>
          </w:tcPr>
          <w:p w14:paraId="23445AF1" w14:textId="22DA671A" w:rsidR="004024AF" w:rsidRPr="000A7BED" w:rsidRDefault="004024AF" w:rsidP="00E31DBF">
            <w:pPr>
              <w:pStyle w:val="TableBody"/>
              <w:jc w:val="center"/>
              <w:rPr>
                <w:rFonts w:cs="Arial"/>
              </w:rPr>
            </w:pPr>
            <w:r w:rsidRPr="006B2166">
              <w:t>3230</w:t>
            </w:r>
          </w:p>
        </w:tc>
        <w:tc>
          <w:tcPr>
            <w:tcW w:w="1280" w:type="dxa"/>
          </w:tcPr>
          <w:p w14:paraId="1CB81ECE" w14:textId="29E0982F" w:rsidR="004024AF" w:rsidRPr="006B2166" w:rsidRDefault="004024AF" w:rsidP="00E31DBF">
            <w:pPr>
              <w:pStyle w:val="TableBody"/>
              <w:jc w:val="center"/>
            </w:pPr>
            <w:r>
              <w:t>2100</w:t>
            </w:r>
          </w:p>
        </w:tc>
        <w:tc>
          <w:tcPr>
            <w:tcW w:w="1322" w:type="dxa"/>
          </w:tcPr>
          <w:p w14:paraId="10618341" w14:textId="4F599345" w:rsidR="004024AF" w:rsidRPr="00273707" w:rsidRDefault="004024AF" w:rsidP="00E31DBF">
            <w:pPr>
              <w:pStyle w:val="TableBody"/>
              <w:jc w:val="center"/>
              <w:rPr>
                <w:rFonts w:cs="Arial"/>
              </w:rPr>
            </w:pPr>
            <w:r w:rsidRPr="006B2166">
              <w:t>4970 x 1030</w:t>
            </w:r>
          </w:p>
        </w:tc>
        <w:tc>
          <w:tcPr>
            <w:tcW w:w="1713" w:type="dxa"/>
          </w:tcPr>
          <w:p w14:paraId="07F514D5" w14:textId="78C56032" w:rsidR="004024AF" w:rsidRPr="00273707" w:rsidRDefault="004024AF" w:rsidP="00E31DBF">
            <w:pPr>
              <w:pStyle w:val="TableBody"/>
              <w:jc w:val="center"/>
              <w:rPr>
                <w:rFonts w:cs="Arial"/>
                <w:color w:val="FF0000"/>
              </w:rPr>
            </w:pPr>
            <w:r w:rsidRPr="00D05583">
              <w:t>6</w:t>
            </w:r>
          </w:p>
        </w:tc>
        <w:tc>
          <w:tcPr>
            <w:tcW w:w="1783" w:type="dxa"/>
          </w:tcPr>
          <w:p w14:paraId="602CD60A" w14:textId="16077EE0" w:rsidR="004024AF" w:rsidRPr="00273707" w:rsidRDefault="004024AF" w:rsidP="00E31DBF">
            <w:pPr>
              <w:pStyle w:val="TableBody"/>
              <w:jc w:val="center"/>
              <w:rPr>
                <w:rFonts w:cs="Arial"/>
              </w:rPr>
            </w:pPr>
            <w:r w:rsidRPr="001640D5">
              <w:t>-45.2</w:t>
            </w:r>
          </w:p>
        </w:tc>
        <w:tc>
          <w:tcPr>
            <w:tcW w:w="1322" w:type="dxa"/>
          </w:tcPr>
          <w:p w14:paraId="331C3359" w14:textId="2E442725" w:rsidR="004024AF" w:rsidRDefault="004024AF" w:rsidP="00E31DBF">
            <w:pPr>
              <w:pStyle w:val="TableBody"/>
              <w:jc w:val="center"/>
              <w:rPr>
                <w:rFonts w:cs="Arial"/>
              </w:rPr>
            </w:pPr>
            <w:r w:rsidRPr="001640D5">
              <w:t>155</w:t>
            </w:r>
          </w:p>
        </w:tc>
      </w:tr>
      <w:tr w:rsidR="00810031" w:rsidRPr="00273707" w14:paraId="172AF142" w14:textId="77777777" w:rsidTr="009D3470">
        <w:trPr>
          <w:cnfStyle w:val="000000010000" w:firstRow="0" w:lastRow="0" w:firstColumn="0" w:lastColumn="0" w:oddVBand="0" w:evenVBand="0" w:oddHBand="0" w:evenHBand="1" w:firstRowFirstColumn="0" w:firstRowLastColumn="0" w:lastRowFirstColumn="0" w:lastRowLastColumn="0"/>
          <w:trHeight w:val="156"/>
        </w:trPr>
        <w:tc>
          <w:tcPr>
            <w:tcW w:w="1294" w:type="dxa"/>
          </w:tcPr>
          <w:p w14:paraId="00D00A77" w14:textId="77777777" w:rsidR="004024AF" w:rsidRDefault="004024AF" w:rsidP="00E31DBF">
            <w:pPr>
              <w:pStyle w:val="TableBody"/>
              <w:jc w:val="center"/>
            </w:pPr>
            <w:bookmarkStart w:id="123" w:name="_Hlk115422539"/>
            <w:r w:rsidRPr="006B2166">
              <w:t>(&gt;3950, 4000]</w:t>
            </w:r>
            <w:r>
              <w:rPr>
                <w:rStyle w:val="FootnoteReference"/>
              </w:rPr>
              <w:footnoteReference w:id="24"/>
            </w:r>
          </w:p>
          <w:p w14:paraId="327514AC" w14:textId="6A84C16E" w:rsidR="004024AF" w:rsidRPr="006B2166" w:rsidRDefault="004024AF" w:rsidP="00E31DBF">
            <w:pPr>
              <w:pStyle w:val="TableBody"/>
              <w:jc w:val="center"/>
            </w:pPr>
            <w:r>
              <w:t>Restricted cell areas</w:t>
            </w:r>
          </w:p>
        </w:tc>
        <w:tc>
          <w:tcPr>
            <w:tcW w:w="1320" w:type="dxa"/>
          </w:tcPr>
          <w:p w14:paraId="50A6C9A6" w14:textId="3FC16369" w:rsidR="004024AF" w:rsidRPr="006B2166" w:rsidRDefault="004024AF" w:rsidP="00E31DBF">
            <w:pPr>
              <w:pStyle w:val="TableBody"/>
              <w:jc w:val="center"/>
            </w:pPr>
            <w:r>
              <w:t xml:space="preserve">610 </w:t>
            </w:r>
          </w:p>
        </w:tc>
        <w:tc>
          <w:tcPr>
            <w:tcW w:w="1280" w:type="dxa"/>
          </w:tcPr>
          <w:p w14:paraId="7CC3248D" w14:textId="1CE1862D" w:rsidR="004024AF" w:rsidRDefault="004024AF" w:rsidP="00E31DBF">
            <w:pPr>
              <w:pStyle w:val="TableBody"/>
              <w:jc w:val="center"/>
            </w:pPr>
            <w:r>
              <w:t>12</w:t>
            </w:r>
            <w:r>
              <w:rPr>
                <w:rStyle w:val="FootnoteReference"/>
              </w:rPr>
              <w:footnoteReference w:id="25"/>
            </w:r>
          </w:p>
        </w:tc>
        <w:tc>
          <w:tcPr>
            <w:tcW w:w="1322" w:type="dxa"/>
          </w:tcPr>
          <w:p w14:paraId="2992C3DE" w14:textId="42AA259A" w:rsidR="004024AF" w:rsidRPr="006B2166" w:rsidRDefault="004024AF" w:rsidP="00E31DBF">
            <w:pPr>
              <w:pStyle w:val="TableBody"/>
              <w:jc w:val="center"/>
            </w:pPr>
            <w:r>
              <w:t>N/A</w:t>
            </w:r>
          </w:p>
        </w:tc>
        <w:tc>
          <w:tcPr>
            <w:tcW w:w="1713" w:type="dxa"/>
          </w:tcPr>
          <w:p w14:paraId="7E70D7F6" w14:textId="6EE52584" w:rsidR="004024AF" w:rsidRPr="00D05583" w:rsidRDefault="004024AF" w:rsidP="00E31DBF">
            <w:pPr>
              <w:pStyle w:val="TableBody"/>
              <w:jc w:val="center"/>
            </w:pPr>
            <w:r>
              <w:t>-36.4</w:t>
            </w:r>
          </w:p>
        </w:tc>
        <w:tc>
          <w:tcPr>
            <w:tcW w:w="1783" w:type="dxa"/>
          </w:tcPr>
          <w:p w14:paraId="4A1A0109" w14:textId="73F35F6F" w:rsidR="004024AF" w:rsidRPr="001640D5" w:rsidRDefault="004024AF" w:rsidP="00E31DBF">
            <w:pPr>
              <w:pStyle w:val="TableBody"/>
              <w:jc w:val="center"/>
            </w:pPr>
            <w:r>
              <w:t>N/A</w:t>
            </w:r>
          </w:p>
        </w:tc>
        <w:tc>
          <w:tcPr>
            <w:tcW w:w="1322" w:type="dxa"/>
          </w:tcPr>
          <w:p w14:paraId="62A69C18" w14:textId="7CC7BD5A" w:rsidR="004024AF" w:rsidRPr="001640D5" w:rsidRDefault="004024AF" w:rsidP="00E31DBF">
            <w:pPr>
              <w:pStyle w:val="TableBody"/>
              <w:jc w:val="center"/>
            </w:pPr>
            <w:r>
              <w:t>N/A</w:t>
            </w:r>
          </w:p>
        </w:tc>
      </w:tr>
      <w:bookmarkEnd w:id="123"/>
    </w:tbl>
    <w:p w14:paraId="52D02F34" w14:textId="77777777" w:rsidR="006E06F0" w:rsidRPr="00D553EB" w:rsidRDefault="006E06F0" w:rsidP="006E06F0">
      <w:pPr>
        <w:pStyle w:val="Spaceaftertable"/>
      </w:pPr>
    </w:p>
    <w:p w14:paraId="17AFC465" w14:textId="69247D0D" w:rsidR="006E06F0" w:rsidRDefault="006E06F0" w:rsidP="006E06F0">
      <w:pPr>
        <w:pStyle w:val="Numberedparagraph"/>
      </w:pPr>
      <w:r w:rsidRPr="003A26CD">
        <w:t xml:space="preserve">It </w:t>
      </w:r>
      <w:r w:rsidRPr="00406EEF">
        <w:t xml:space="preserve">should be noted that </w:t>
      </w:r>
      <w:r w:rsidR="00897BEE">
        <w:t>the list of identified runways</w:t>
      </w:r>
      <w:r w:rsidRPr="00406EEF">
        <w:t xml:space="preserve"> may need to change as airport runways are re-developed or upgraded to improved landing systems. These planning timeframes are expected to be in the order of 5 to 10 years. </w:t>
      </w:r>
    </w:p>
    <w:p w14:paraId="4D0E1CC0" w14:textId="37DE5C4D" w:rsidR="006E06F0" w:rsidRPr="00257BC6" w:rsidRDefault="006E06F0" w:rsidP="00257BC6">
      <w:pPr>
        <w:pStyle w:val="Paragraph"/>
        <w:numPr>
          <w:ilvl w:val="1"/>
          <w:numId w:val="13"/>
        </w:numPr>
      </w:pPr>
      <w:r w:rsidRPr="00D553EB">
        <w:t>RTCA</w:t>
      </w:r>
      <w:r>
        <w:t xml:space="preserve"> UC 1 is </w:t>
      </w:r>
      <w:r w:rsidRPr="00201D30">
        <w:t>defined</w:t>
      </w:r>
      <w:r>
        <w:t xml:space="preserve"> as </w:t>
      </w:r>
      <w:r w:rsidRPr="00201D30">
        <w:rPr>
          <w:i/>
          <w:iCs/>
        </w:rPr>
        <w:t>Commercial Air Transport Aircraft</w:t>
      </w:r>
      <w:r>
        <w:t xml:space="preserve"> in the RTCA report, being “commercial air transport airplanes, both single-aisle and wide-body”. The RTCA discusses the relationship of their usage categories and Instrument Landing System categories. They consider that CAT II/III approaches are critical and are a common occurrence for UC </w:t>
      </w:r>
      <w:r w:rsidR="00376DDB">
        <w:t>1</w:t>
      </w:r>
      <w:r>
        <w:t xml:space="preserve">.  Consequently, similar to approaches </w:t>
      </w:r>
      <w:r w:rsidRPr="00345F73">
        <w:t xml:space="preserve">in France, Canada and the USA, the mitigations have been designed to primarily protect </w:t>
      </w:r>
      <w:r>
        <w:t>UC</w:t>
      </w:r>
      <w:r w:rsidRPr="00345F73">
        <w:t xml:space="preserve"> 1 landings, but with some consideration to other flight scenarios and categories.</w:t>
      </w:r>
      <w:r w:rsidRPr="00D553EB">
        <w:t xml:space="preserve"> </w:t>
      </w:r>
      <w:r>
        <w:br w:type="page"/>
      </w:r>
    </w:p>
    <w:p w14:paraId="3171C539" w14:textId="77777777" w:rsidR="006E06F0" w:rsidRPr="00D553EB" w:rsidRDefault="006E06F0" w:rsidP="006E06F0">
      <w:pPr>
        <w:pStyle w:val="Heading2"/>
      </w:pPr>
      <w:bookmarkStart w:id="124" w:name="_Toc116041925"/>
      <w:r w:rsidRPr="00D553EB">
        <w:t>Frequency Boundary for mitigations</w:t>
      </w:r>
      <w:bookmarkEnd w:id="124"/>
    </w:p>
    <w:p w14:paraId="74A7DC84" w14:textId="77777777" w:rsidR="006E06F0" w:rsidRPr="00345F73" w:rsidRDefault="006E06F0" w:rsidP="006E06F0">
      <w:pPr>
        <w:pStyle w:val="Numberedparagraph"/>
      </w:pPr>
      <w:r w:rsidRPr="00345F73">
        <w:t>This section considers a possible appropriate lower frequency boundary for</w:t>
      </w:r>
      <w:r w:rsidRPr="00345F73" w:rsidDel="00D24F32">
        <w:t xml:space="preserve"> </w:t>
      </w:r>
      <w:r w:rsidRPr="00345F73">
        <w:t>mitigations.</w:t>
      </w:r>
    </w:p>
    <w:p w14:paraId="66C3B8B9" w14:textId="77777777" w:rsidR="006E06F0" w:rsidRPr="00345F73" w:rsidRDefault="006E06F0" w:rsidP="006E06F0">
      <w:pPr>
        <w:pStyle w:val="Numberedparagraph"/>
      </w:pPr>
      <w:r w:rsidRPr="00345F73">
        <w:t xml:space="preserve">The replanning of the 3700 – 4200 MHz band </w:t>
      </w:r>
      <w:hyperlink r:id="rId238" w:history="1">
        <w:r w:rsidRPr="00345F73">
          <w:t>outcomes</w:t>
        </w:r>
      </w:hyperlink>
      <w:r w:rsidRPr="00345F73">
        <w:t xml:space="preserve"> published in January 2021 considered the 3700 – 4200 MHz range only, but it was noted that “During the implementation of the outcomes of the 3700 – 4200 MHz band, we will consider technical, regulatory and timing synergies to promote holistic treatment across the 3400 – 4200 MHz range.”</w:t>
      </w:r>
    </w:p>
    <w:p w14:paraId="7D928C50" w14:textId="77777777" w:rsidR="006E06F0" w:rsidRPr="00345F73" w:rsidRDefault="006E06F0" w:rsidP="006E06F0">
      <w:pPr>
        <w:pStyle w:val="Numberedparagraph"/>
      </w:pPr>
      <w:r w:rsidRPr="00345F73">
        <w:t xml:space="preserve">The “Approach B” possible mitigations discussed in the </w:t>
      </w:r>
      <w:hyperlink r:id="rId239" w:history="1">
        <w:r w:rsidRPr="00345F73">
          <w:t>TLG paper</w:t>
        </w:r>
      </w:hyperlink>
      <w:r w:rsidRPr="00345F73">
        <w:t xml:space="preserve"> and the Allocation of AWLs in the 3.4 – 4.0 GHz band in remote Australia </w:t>
      </w:r>
      <w:hyperlink r:id="rId240" w:history="1">
        <w:r w:rsidRPr="00345F73">
          <w:t>consultation</w:t>
        </w:r>
      </w:hyperlink>
      <w:r w:rsidRPr="00345F73">
        <w:t xml:space="preserve"> again also only considered possible mitigations above 3700 MHz.</w:t>
      </w:r>
    </w:p>
    <w:p w14:paraId="7A1DC39B" w14:textId="77777777" w:rsidR="006E06F0" w:rsidRPr="00345F73" w:rsidRDefault="006E06F0" w:rsidP="006E06F0">
      <w:pPr>
        <w:pStyle w:val="Numberedparagraph"/>
      </w:pPr>
      <w:r w:rsidRPr="00345F73">
        <w:t>As</w:t>
      </w:r>
      <w:r w:rsidRPr="00345F73" w:rsidDel="007255E3">
        <w:t xml:space="preserve"> </w:t>
      </w:r>
      <w:r w:rsidRPr="00345F73">
        <w:t xml:space="preserve">discussed in </w:t>
      </w:r>
      <w:r w:rsidRPr="008C634A">
        <w:rPr>
          <w:i/>
          <w:iCs/>
        </w:rPr>
        <w:t>Appendix E Historical Australian WBB deployments</w:t>
      </w:r>
      <w:r w:rsidRPr="00345F73">
        <w:t>, there have been extensive deployments of WBB services up to 3700 MHz in Australia near major airports for many years and there have been no events with an identified causal link to a WBB service.</w:t>
      </w:r>
    </w:p>
    <w:p w14:paraId="62E61CE6" w14:textId="72E77413" w:rsidR="006E06F0" w:rsidRPr="00345F73" w:rsidRDefault="006E06F0" w:rsidP="006E06F0">
      <w:pPr>
        <w:pStyle w:val="Numberedparagraph"/>
      </w:pPr>
      <w:r w:rsidRPr="00345F73">
        <w:t xml:space="preserve">Overseas, there are also extensive WBB deployments up to 3800 MHz in many European countries without specific mitigations (e.g., UK) and there are also no specific mitigations in Japan up to 4000 MHz. It is noted, however, that the examination of overseas deployments has some limitations due to the availability of information: In most cases base station locations, power or exact signal levels are not readily available.  While </w:t>
      </w:r>
      <w:r w:rsidRPr="008C634A">
        <w:rPr>
          <w:i/>
          <w:iCs/>
        </w:rPr>
        <w:t>Appendix F</w:t>
      </w:r>
      <w:r w:rsidRPr="00345F73">
        <w:t xml:space="preserve"> suggests that there are many deployments where there are likely to be theoretical RA issues, the information limitations mean calculation estimates are not currently practicable. </w:t>
      </w:r>
    </w:p>
    <w:p w14:paraId="30EF8CAE" w14:textId="77777777" w:rsidR="006E06F0" w:rsidRPr="00345F73" w:rsidRDefault="006E06F0" w:rsidP="006E06F0">
      <w:pPr>
        <w:pStyle w:val="Numberedparagraph"/>
      </w:pPr>
      <w:r w:rsidRPr="00345F73">
        <w:t>With theoretical coexistence studies indicating that there is little difference in risk between any selected frequency boundary in the 3400 – 4000 MHz range, this implies that if mitigations are required above 3700 MHz it is then likely they should also be required down to 3400 MHz.</w:t>
      </w:r>
    </w:p>
    <w:p w14:paraId="70F4C2FA" w14:textId="77777777" w:rsidR="006E06F0" w:rsidRPr="00345F73" w:rsidRDefault="006E06F0" w:rsidP="006E06F0">
      <w:pPr>
        <w:pStyle w:val="Numberedparagraph"/>
      </w:pPr>
      <w:r w:rsidRPr="00345F73">
        <w:t>However, given there have been no events because of Australian or overseas deployments confirmed to cause interference to RAs, this is considered stronger evidence than that of theoretical studies or semi-empirical studies (such as RTCA studies supported by AVSI RA measurements). i.e., the contrary is also true in that if there is no evidence of issues from actual deployments up to 3700 or 3800 MHz, then the level of risk in the 3800 – 4000 MHz range is also likely to be low.</w:t>
      </w:r>
    </w:p>
    <w:p w14:paraId="78E8F3DE" w14:textId="77777777" w:rsidR="006E06F0" w:rsidRDefault="006E06F0" w:rsidP="006E06F0">
      <w:pPr>
        <w:pStyle w:val="Numberedparagraph"/>
      </w:pPr>
      <w:r w:rsidRPr="00AA3510">
        <w:t>However, given the safety nature of this issue, we propose to be precautionary and can consider that a mitigation boundary of 3800 MHz, based on domestic and European deployments, is likely appropriate. While</w:t>
      </w:r>
      <w:r w:rsidRPr="00AA3510" w:rsidDel="006B32F8">
        <w:t xml:space="preserve"> </w:t>
      </w:r>
      <w:r w:rsidRPr="00AA3510">
        <w:t xml:space="preserve">we acknowledge the limitations around information available for overseas deployments, the fact that there are many deployments up to 3800 MHz without specific mitigations indicate that this risk has been considered low by those administrations. </w:t>
      </w:r>
    </w:p>
    <w:p w14:paraId="53F6AFBE" w14:textId="7B2886E4" w:rsidR="00F36348" w:rsidRDefault="00F36348" w:rsidP="00F36348">
      <w:pPr>
        <w:pStyle w:val="Heading1"/>
      </w:pPr>
      <w:bookmarkStart w:id="125" w:name="_Toc115343796"/>
      <w:bookmarkStart w:id="126" w:name="_Toc115780707"/>
      <w:bookmarkStart w:id="127" w:name="_Toc115856180"/>
      <w:bookmarkStart w:id="128" w:name="_Toc115859217"/>
      <w:bookmarkStart w:id="129" w:name="_Toc115343797"/>
      <w:bookmarkStart w:id="130" w:name="_Toc115780708"/>
      <w:bookmarkStart w:id="131" w:name="_Toc115856181"/>
      <w:bookmarkStart w:id="132" w:name="_Toc115859218"/>
      <w:bookmarkStart w:id="133" w:name="_Toc115343798"/>
      <w:bookmarkStart w:id="134" w:name="_Toc115780709"/>
      <w:bookmarkStart w:id="135" w:name="_Toc115856182"/>
      <w:bookmarkStart w:id="136" w:name="_Toc115859219"/>
      <w:bookmarkStart w:id="137" w:name="_Toc115343799"/>
      <w:bookmarkStart w:id="138" w:name="_Toc115780710"/>
      <w:bookmarkStart w:id="139" w:name="_Toc115856183"/>
      <w:bookmarkStart w:id="140" w:name="_Toc115859220"/>
      <w:bookmarkStart w:id="141" w:name="_Toc115343800"/>
      <w:bookmarkStart w:id="142" w:name="_Toc115780711"/>
      <w:bookmarkStart w:id="143" w:name="_Toc115856184"/>
      <w:bookmarkStart w:id="144" w:name="_Toc115859221"/>
      <w:bookmarkStart w:id="145" w:name="_Toc115343801"/>
      <w:bookmarkStart w:id="146" w:name="_Toc115780712"/>
      <w:bookmarkStart w:id="147" w:name="_Toc115856185"/>
      <w:bookmarkStart w:id="148" w:name="_Toc115859222"/>
      <w:bookmarkStart w:id="149" w:name="_Toc115343802"/>
      <w:bookmarkStart w:id="150" w:name="_Toc115780713"/>
      <w:bookmarkStart w:id="151" w:name="_Toc115856186"/>
      <w:bookmarkStart w:id="152" w:name="_Toc115859223"/>
      <w:bookmarkStart w:id="153" w:name="_Toc115343803"/>
      <w:bookmarkStart w:id="154" w:name="_Toc115780714"/>
      <w:bookmarkStart w:id="155" w:name="_Toc115856187"/>
      <w:bookmarkStart w:id="156" w:name="_Toc115859224"/>
      <w:bookmarkStart w:id="157" w:name="_Toc115343804"/>
      <w:bookmarkStart w:id="158" w:name="_Toc115780715"/>
      <w:bookmarkStart w:id="159" w:name="_Toc115856188"/>
      <w:bookmarkStart w:id="160" w:name="_Toc115859225"/>
      <w:bookmarkStart w:id="161" w:name="_Toc115343805"/>
      <w:bookmarkStart w:id="162" w:name="_Toc115780716"/>
      <w:bookmarkStart w:id="163" w:name="_Toc115856189"/>
      <w:bookmarkStart w:id="164" w:name="_Toc115859226"/>
      <w:bookmarkStart w:id="165" w:name="_Toc115343806"/>
      <w:bookmarkStart w:id="166" w:name="_Toc115780717"/>
      <w:bookmarkStart w:id="167" w:name="_Toc115856190"/>
      <w:bookmarkStart w:id="168" w:name="_Toc115859227"/>
      <w:bookmarkStart w:id="169" w:name="_Toc115343807"/>
      <w:bookmarkStart w:id="170" w:name="_Toc115780718"/>
      <w:bookmarkStart w:id="171" w:name="_Toc115856191"/>
      <w:bookmarkStart w:id="172" w:name="_Toc115859228"/>
      <w:bookmarkStart w:id="173" w:name="_Toc115343808"/>
      <w:bookmarkStart w:id="174" w:name="_Toc115780719"/>
      <w:bookmarkStart w:id="175" w:name="_Toc115856192"/>
      <w:bookmarkStart w:id="176" w:name="_Toc115859229"/>
      <w:bookmarkStart w:id="177" w:name="_Toc115343809"/>
      <w:bookmarkStart w:id="178" w:name="_Toc115780720"/>
      <w:bookmarkStart w:id="179" w:name="_Toc115856193"/>
      <w:bookmarkStart w:id="180" w:name="_Toc115859230"/>
      <w:bookmarkStart w:id="181" w:name="_Toc115343810"/>
      <w:bookmarkStart w:id="182" w:name="_Toc115780721"/>
      <w:bookmarkStart w:id="183" w:name="_Toc115856194"/>
      <w:bookmarkStart w:id="184" w:name="_Toc115859231"/>
      <w:bookmarkStart w:id="185" w:name="_Toc115343811"/>
      <w:bookmarkStart w:id="186" w:name="_Toc115780722"/>
      <w:bookmarkStart w:id="187" w:name="_Toc115856195"/>
      <w:bookmarkStart w:id="188" w:name="_Toc115859232"/>
      <w:bookmarkStart w:id="189" w:name="_Toc115343812"/>
      <w:bookmarkStart w:id="190" w:name="_Toc115780723"/>
      <w:bookmarkStart w:id="191" w:name="_Toc115856196"/>
      <w:bookmarkStart w:id="192" w:name="_Toc115859233"/>
      <w:bookmarkStart w:id="193" w:name="_Toc115343813"/>
      <w:bookmarkStart w:id="194" w:name="_Toc115780724"/>
      <w:bookmarkStart w:id="195" w:name="_Toc115856197"/>
      <w:bookmarkStart w:id="196" w:name="_Toc115859234"/>
      <w:bookmarkStart w:id="197" w:name="_Toc115343814"/>
      <w:bookmarkStart w:id="198" w:name="_Toc115780725"/>
      <w:bookmarkStart w:id="199" w:name="_Toc115856198"/>
      <w:bookmarkStart w:id="200" w:name="_Toc115859235"/>
      <w:bookmarkStart w:id="201" w:name="_Toc115343815"/>
      <w:bookmarkStart w:id="202" w:name="_Toc115780726"/>
      <w:bookmarkStart w:id="203" w:name="_Toc115856199"/>
      <w:bookmarkStart w:id="204" w:name="_Toc115859236"/>
      <w:bookmarkStart w:id="205" w:name="_Toc115343816"/>
      <w:bookmarkStart w:id="206" w:name="_Toc115780727"/>
      <w:bookmarkStart w:id="207" w:name="_Toc115856200"/>
      <w:bookmarkStart w:id="208" w:name="_Toc115859237"/>
      <w:bookmarkStart w:id="209" w:name="_Toc115343817"/>
      <w:bookmarkStart w:id="210" w:name="_Toc115780728"/>
      <w:bookmarkStart w:id="211" w:name="_Toc115856201"/>
      <w:bookmarkStart w:id="212" w:name="_Toc115859238"/>
      <w:bookmarkStart w:id="213" w:name="_Toc115343818"/>
      <w:bookmarkStart w:id="214" w:name="_Toc115780729"/>
      <w:bookmarkStart w:id="215" w:name="_Toc115856202"/>
      <w:bookmarkStart w:id="216" w:name="_Toc115859239"/>
      <w:bookmarkStart w:id="217" w:name="_Toc115343819"/>
      <w:bookmarkStart w:id="218" w:name="_Toc115780730"/>
      <w:bookmarkStart w:id="219" w:name="_Toc115856203"/>
      <w:bookmarkStart w:id="220" w:name="_Toc115859240"/>
      <w:bookmarkStart w:id="221" w:name="_Toc115343836"/>
      <w:bookmarkStart w:id="222" w:name="_Toc115780747"/>
      <w:bookmarkStart w:id="223" w:name="_Toc115856220"/>
      <w:bookmarkStart w:id="224" w:name="_Toc115859257"/>
      <w:bookmarkStart w:id="225" w:name="_Toc115343837"/>
      <w:bookmarkStart w:id="226" w:name="_Toc115780748"/>
      <w:bookmarkStart w:id="227" w:name="_Toc115856221"/>
      <w:bookmarkStart w:id="228" w:name="_Toc115859258"/>
      <w:bookmarkStart w:id="229" w:name="_Toc115343838"/>
      <w:bookmarkStart w:id="230" w:name="_Toc115780749"/>
      <w:bookmarkStart w:id="231" w:name="_Toc115856222"/>
      <w:bookmarkStart w:id="232" w:name="_Toc115859259"/>
      <w:bookmarkStart w:id="233" w:name="_Toc115343839"/>
      <w:bookmarkStart w:id="234" w:name="_Toc115780750"/>
      <w:bookmarkStart w:id="235" w:name="_Toc115856223"/>
      <w:bookmarkStart w:id="236" w:name="_Toc115859260"/>
      <w:bookmarkStart w:id="237" w:name="_Toc115343864"/>
      <w:bookmarkStart w:id="238" w:name="_Toc115780775"/>
      <w:bookmarkStart w:id="239" w:name="_Toc115856248"/>
      <w:bookmarkStart w:id="240" w:name="_Toc115859285"/>
      <w:bookmarkStart w:id="241" w:name="_Toc115343865"/>
      <w:bookmarkStart w:id="242" w:name="_Toc115780776"/>
      <w:bookmarkStart w:id="243" w:name="_Toc115856249"/>
      <w:bookmarkStart w:id="244" w:name="_Toc115859286"/>
      <w:bookmarkStart w:id="245" w:name="_Toc115343866"/>
      <w:bookmarkStart w:id="246" w:name="_Toc115780777"/>
      <w:bookmarkStart w:id="247" w:name="_Toc115856250"/>
      <w:bookmarkStart w:id="248" w:name="_Toc115859287"/>
      <w:bookmarkStart w:id="249" w:name="_Toc115343867"/>
      <w:bookmarkStart w:id="250" w:name="_Toc115780778"/>
      <w:bookmarkStart w:id="251" w:name="_Toc115856251"/>
      <w:bookmarkStart w:id="252" w:name="_Toc115859288"/>
      <w:bookmarkStart w:id="253" w:name="_Toc115343868"/>
      <w:bookmarkStart w:id="254" w:name="_Toc115780779"/>
      <w:bookmarkStart w:id="255" w:name="_Toc115856252"/>
      <w:bookmarkStart w:id="256" w:name="_Toc115859289"/>
      <w:bookmarkStart w:id="257" w:name="_Toc115343869"/>
      <w:bookmarkStart w:id="258" w:name="_Toc115780780"/>
      <w:bookmarkStart w:id="259" w:name="_Toc115856253"/>
      <w:bookmarkStart w:id="260" w:name="_Toc115859290"/>
      <w:bookmarkStart w:id="261" w:name="_Toc115343870"/>
      <w:bookmarkStart w:id="262" w:name="_Toc115780781"/>
      <w:bookmarkStart w:id="263" w:name="_Toc115856254"/>
      <w:bookmarkStart w:id="264" w:name="_Toc115859291"/>
      <w:bookmarkStart w:id="265" w:name="_Toc115343871"/>
      <w:bookmarkStart w:id="266" w:name="_Toc115780782"/>
      <w:bookmarkStart w:id="267" w:name="_Toc115856255"/>
      <w:bookmarkStart w:id="268" w:name="_Toc115859292"/>
      <w:bookmarkStart w:id="269" w:name="_Toc115343872"/>
      <w:bookmarkStart w:id="270" w:name="_Toc115780783"/>
      <w:bookmarkStart w:id="271" w:name="_Toc115856256"/>
      <w:bookmarkStart w:id="272" w:name="_Toc115859293"/>
      <w:bookmarkStart w:id="273" w:name="_Toc115343873"/>
      <w:bookmarkStart w:id="274" w:name="_Toc115780784"/>
      <w:bookmarkStart w:id="275" w:name="_Toc115856257"/>
      <w:bookmarkStart w:id="276" w:name="_Toc115859294"/>
      <w:bookmarkStart w:id="277" w:name="_Toc115343874"/>
      <w:bookmarkStart w:id="278" w:name="_Toc115780785"/>
      <w:bookmarkStart w:id="279" w:name="_Toc115856258"/>
      <w:bookmarkStart w:id="280" w:name="_Toc115859295"/>
      <w:bookmarkStart w:id="281" w:name="_Toc115343903"/>
      <w:bookmarkStart w:id="282" w:name="_Toc115780814"/>
      <w:bookmarkStart w:id="283" w:name="_Toc115856287"/>
      <w:bookmarkStart w:id="284" w:name="_Toc115859324"/>
      <w:bookmarkStart w:id="285" w:name="_Toc115343904"/>
      <w:bookmarkStart w:id="286" w:name="_Toc115780815"/>
      <w:bookmarkStart w:id="287" w:name="_Toc115856288"/>
      <w:bookmarkStart w:id="288" w:name="_Toc115859325"/>
      <w:bookmarkStart w:id="289" w:name="_Toc115343905"/>
      <w:bookmarkStart w:id="290" w:name="_Toc115780816"/>
      <w:bookmarkStart w:id="291" w:name="_Toc115856289"/>
      <w:bookmarkStart w:id="292" w:name="_Toc115859326"/>
      <w:bookmarkStart w:id="293" w:name="_Toc115343906"/>
      <w:bookmarkStart w:id="294" w:name="_Toc115780817"/>
      <w:bookmarkStart w:id="295" w:name="_Toc115856290"/>
      <w:bookmarkStart w:id="296" w:name="_Toc115859327"/>
      <w:bookmarkStart w:id="297" w:name="_Toc115343907"/>
      <w:bookmarkStart w:id="298" w:name="_Toc115780818"/>
      <w:bookmarkStart w:id="299" w:name="_Toc115856291"/>
      <w:bookmarkStart w:id="300" w:name="_Toc115859328"/>
      <w:bookmarkStart w:id="301" w:name="_Toc115343908"/>
      <w:bookmarkStart w:id="302" w:name="_Toc115780819"/>
      <w:bookmarkStart w:id="303" w:name="_Toc115856292"/>
      <w:bookmarkStart w:id="304" w:name="_Toc115859329"/>
      <w:bookmarkStart w:id="305" w:name="_Toc115343909"/>
      <w:bookmarkStart w:id="306" w:name="_Toc115780820"/>
      <w:bookmarkStart w:id="307" w:name="_Toc115856293"/>
      <w:bookmarkStart w:id="308" w:name="_Toc115859330"/>
      <w:bookmarkStart w:id="309" w:name="_Toc115343938"/>
      <w:bookmarkStart w:id="310" w:name="_Toc115780849"/>
      <w:bookmarkStart w:id="311" w:name="_Toc115856322"/>
      <w:bookmarkStart w:id="312" w:name="_Toc115859359"/>
      <w:bookmarkStart w:id="313" w:name="_Toc115343939"/>
      <w:bookmarkStart w:id="314" w:name="_Toc115780850"/>
      <w:bookmarkStart w:id="315" w:name="_Toc115856323"/>
      <w:bookmarkStart w:id="316" w:name="_Toc115859360"/>
      <w:bookmarkStart w:id="317" w:name="_Toc115343940"/>
      <w:bookmarkStart w:id="318" w:name="_Toc115780851"/>
      <w:bookmarkStart w:id="319" w:name="_Toc115856324"/>
      <w:bookmarkStart w:id="320" w:name="_Toc115859361"/>
      <w:bookmarkStart w:id="321" w:name="_Toc115343941"/>
      <w:bookmarkStart w:id="322" w:name="_Toc115780852"/>
      <w:bookmarkStart w:id="323" w:name="_Toc115856325"/>
      <w:bookmarkStart w:id="324" w:name="_Toc115859362"/>
      <w:bookmarkStart w:id="325" w:name="_Toc115343942"/>
      <w:bookmarkStart w:id="326" w:name="_Toc115780853"/>
      <w:bookmarkStart w:id="327" w:name="_Toc115856326"/>
      <w:bookmarkStart w:id="328" w:name="_Toc115859363"/>
      <w:bookmarkStart w:id="329" w:name="_Toc115343943"/>
      <w:bookmarkStart w:id="330" w:name="_Toc115780854"/>
      <w:bookmarkStart w:id="331" w:name="_Toc115856327"/>
      <w:bookmarkStart w:id="332" w:name="_Toc115859364"/>
      <w:bookmarkStart w:id="333" w:name="_Toc115343944"/>
      <w:bookmarkStart w:id="334" w:name="_Toc115780855"/>
      <w:bookmarkStart w:id="335" w:name="_Toc115856328"/>
      <w:bookmarkStart w:id="336" w:name="_Toc115859365"/>
      <w:bookmarkStart w:id="337" w:name="_Toc115343945"/>
      <w:bookmarkStart w:id="338" w:name="_Toc115780856"/>
      <w:bookmarkStart w:id="339" w:name="_Toc115856329"/>
      <w:bookmarkStart w:id="340" w:name="_Toc115859366"/>
      <w:bookmarkStart w:id="341" w:name="_Toc115343946"/>
      <w:bookmarkStart w:id="342" w:name="_Toc115780857"/>
      <w:bookmarkStart w:id="343" w:name="_Toc115856330"/>
      <w:bookmarkStart w:id="344" w:name="_Toc115859367"/>
      <w:bookmarkStart w:id="345" w:name="_Toc115343947"/>
      <w:bookmarkStart w:id="346" w:name="_Toc115780858"/>
      <w:bookmarkStart w:id="347" w:name="_Toc115856331"/>
      <w:bookmarkStart w:id="348" w:name="_Toc115859368"/>
      <w:bookmarkStart w:id="349" w:name="_Toc115343948"/>
      <w:bookmarkStart w:id="350" w:name="_Toc115780859"/>
      <w:bookmarkStart w:id="351" w:name="_Toc115856332"/>
      <w:bookmarkStart w:id="352" w:name="_Toc115859369"/>
      <w:bookmarkStart w:id="353" w:name="_Toc115343949"/>
      <w:bookmarkStart w:id="354" w:name="_Toc115780860"/>
      <w:bookmarkStart w:id="355" w:name="_Toc115856333"/>
      <w:bookmarkStart w:id="356" w:name="_Toc115859370"/>
      <w:bookmarkStart w:id="357" w:name="_Toc115343978"/>
      <w:bookmarkStart w:id="358" w:name="_Toc115780889"/>
      <w:bookmarkStart w:id="359" w:name="_Toc115856362"/>
      <w:bookmarkStart w:id="360" w:name="_Toc115859399"/>
      <w:bookmarkStart w:id="361" w:name="_Toc115343979"/>
      <w:bookmarkStart w:id="362" w:name="_Toc115780890"/>
      <w:bookmarkStart w:id="363" w:name="_Toc115856363"/>
      <w:bookmarkStart w:id="364" w:name="_Toc115859400"/>
      <w:bookmarkStart w:id="365" w:name="_Toc115343996"/>
      <w:bookmarkStart w:id="366" w:name="_Toc115780907"/>
      <w:bookmarkStart w:id="367" w:name="_Toc115856380"/>
      <w:bookmarkStart w:id="368" w:name="_Toc115859417"/>
      <w:bookmarkStart w:id="369" w:name="_Toc115343997"/>
      <w:bookmarkStart w:id="370" w:name="_Toc115780908"/>
      <w:bookmarkStart w:id="371" w:name="_Toc115856381"/>
      <w:bookmarkStart w:id="372" w:name="_Toc115859418"/>
      <w:bookmarkStart w:id="373" w:name="_Toc115343998"/>
      <w:bookmarkStart w:id="374" w:name="_Toc115780909"/>
      <w:bookmarkStart w:id="375" w:name="_Toc115856382"/>
      <w:bookmarkStart w:id="376" w:name="_Toc115859419"/>
      <w:bookmarkStart w:id="377" w:name="_Toc115343999"/>
      <w:bookmarkStart w:id="378" w:name="_Toc115780910"/>
      <w:bookmarkStart w:id="379" w:name="_Toc115856383"/>
      <w:bookmarkStart w:id="380" w:name="_Toc115859420"/>
      <w:bookmarkStart w:id="381" w:name="_Toc115344000"/>
      <w:bookmarkStart w:id="382" w:name="_Toc115780911"/>
      <w:bookmarkStart w:id="383" w:name="_Toc115856384"/>
      <w:bookmarkStart w:id="384" w:name="_Toc115859421"/>
      <w:bookmarkStart w:id="385" w:name="_Toc115344001"/>
      <w:bookmarkStart w:id="386" w:name="_Toc115780912"/>
      <w:bookmarkStart w:id="387" w:name="_Toc115856385"/>
      <w:bookmarkStart w:id="388" w:name="_Toc115859422"/>
      <w:bookmarkStart w:id="389" w:name="_Toc115344002"/>
      <w:bookmarkStart w:id="390" w:name="_Toc115780913"/>
      <w:bookmarkStart w:id="391" w:name="_Toc115856386"/>
      <w:bookmarkStart w:id="392" w:name="_Toc115859423"/>
      <w:bookmarkStart w:id="393" w:name="_Toc115344003"/>
      <w:bookmarkStart w:id="394" w:name="_Toc115780914"/>
      <w:bookmarkStart w:id="395" w:name="_Toc115856387"/>
      <w:bookmarkStart w:id="396" w:name="_Toc115859424"/>
      <w:bookmarkStart w:id="397" w:name="_Toc115344022"/>
      <w:bookmarkStart w:id="398" w:name="_Toc115780933"/>
      <w:bookmarkStart w:id="399" w:name="_Toc115856406"/>
      <w:bookmarkStart w:id="400" w:name="_Toc115859443"/>
      <w:bookmarkStart w:id="401" w:name="_Toc115344023"/>
      <w:bookmarkStart w:id="402" w:name="_Toc115780934"/>
      <w:bookmarkStart w:id="403" w:name="_Toc115856407"/>
      <w:bookmarkStart w:id="404" w:name="_Toc115859444"/>
      <w:bookmarkStart w:id="405" w:name="_Toc115344024"/>
      <w:bookmarkStart w:id="406" w:name="_Toc115780935"/>
      <w:bookmarkStart w:id="407" w:name="_Toc115856408"/>
      <w:bookmarkStart w:id="408" w:name="_Toc115859445"/>
      <w:bookmarkStart w:id="409" w:name="_Toc115344043"/>
      <w:bookmarkStart w:id="410" w:name="_Toc115780954"/>
      <w:bookmarkStart w:id="411" w:name="_Toc115856427"/>
      <w:bookmarkStart w:id="412" w:name="_Toc115859464"/>
      <w:bookmarkStart w:id="413" w:name="_Toc115344044"/>
      <w:bookmarkStart w:id="414" w:name="_Toc115780955"/>
      <w:bookmarkStart w:id="415" w:name="_Toc115856428"/>
      <w:bookmarkStart w:id="416" w:name="_Toc115859465"/>
      <w:bookmarkStart w:id="417" w:name="_Toc115344045"/>
      <w:bookmarkStart w:id="418" w:name="_Toc115780956"/>
      <w:bookmarkStart w:id="419" w:name="_Toc115856429"/>
      <w:bookmarkStart w:id="420" w:name="_Toc115859466"/>
      <w:bookmarkStart w:id="421" w:name="_Toc115344046"/>
      <w:bookmarkStart w:id="422" w:name="_Toc115780957"/>
      <w:bookmarkStart w:id="423" w:name="_Toc115856430"/>
      <w:bookmarkStart w:id="424" w:name="_Toc115859467"/>
      <w:bookmarkStart w:id="425" w:name="_Toc115344047"/>
      <w:bookmarkStart w:id="426" w:name="_Toc115780958"/>
      <w:bookmarkStart w:id="427" w:name="_Toc115856431"/>
      <w:bookmarkStart w:id="428" w:name="_Toc115859468"/>
      <w:bookmarkStart w:id="429" w:name="_Toc115344048"/>
      <w:bookmarkStart w:id="430" w:name="_Toc115780959"/>
      <w:bookmarkStart w:id="431" w:name="_Toc115856432"/>
      <w:bookmarkStart w:id="432" w:name="_Toc115859469"/>
      <w:bookmarkStart w:id="433" w:name="_Toc115344049"/>
      <w:bookmarkStart w:id="434" w:name="_Toc115780960"/>
      <w:bookmarkStart w:id="435" w:name="_Toc115856433"/>
      <w:bookmarkStart w:id="436" w:name="_Toc115859470"/>
      <w:bookmarkStart w:id="437" w:name="_Toc115344050"/>
      <w:bookmarkStart w:id="438" w:name="_Toc115780961"/>
      <w:bookmarkStart w:id="439" w:name="_Toc115856434"/>
      <w:bookmarkStart w:id="440" w:name="_Toc115859471"/>
      <w:bookmarkStart w:id="441" w:name="_Toc115344051"/>
      <w:bookmarkStart w:id="442" w:name="_Toc115780962"/>
      <w:bookmarkStart w:id="443" w:name="_Toc115856435"/>
      <w:bookmarkStart w:id="444" w:name="_Toc115859472"/>
      <w:bookmarkStart w:id="445" w:name="_Toc115344052"/>
      <w:bookmarkStart w:id="446" w:name="_Toc115780963"/>
      <w:bookmarkStart w:id="447" w:name="_Toc115856436"/>
      <w:bookmarkStart w:id="448" w:name="_Toc115859473"/>
      <w:bookmarkStart w:id="449" w:name="_Toc115344053"/>
      <w:bookmarkStart w:id="450" w:name="_Toc115780964"/>
      <w:bookmarkStart w:id="451" w:name="_Toc115856437"/>
      <w:bookmarkStart w:id="452" w:name="_Toc115859474"/>
      <w:bookmarkStart w:id="453" w:name="_Toc115344054"/>
      <w:bookmarkStart w:id="454" w:name="_Toc115780965"/>
      <w:bookmarkStart w:id="455" w:name="_Toc115856438"/>
      <w:bookmarkStart w:id="456" w:name="_Toc115859475"/>
      <w:bookmarkStart w:id="457" w:name="_Toc115344055"/>
      <w:bookmarkStart w:id="458" w:name="_Toc115780966"/>
      <w:bookmarkStart w:id="459" w:name="_Toc115856439"/>
      <w:bookmarkStart w:id="460" w:name="_Toc115859476"/>
      <w:bookmarkStart w:id="461" w:name="_Toc115344056"/>
      <w:bookmarkStart w:id="462" w:name="_Toc115780967"/>
      <w:bookmarkStart w:id="463" w:name="_Toc115856440"/>
      <w:bookmarkStart w:id="464" w:name="_Toc115859477"/>
      <w:bookmarkStart w:id="465" w:name="_Toc115344057"/>
      <w:bookmarkStart w:id="466" w:name="_Toc115780968"/>
      <w:bookmarkStart w:id="467" w:name="_Toc115856441"/>
      <w:bookmarkStart w:id="468" w:name="_Toc115859478"/>
      <w:bookmarkStart w:id="469" w:name="_Toc115344058"/>
      <w:bookmarkStart w:id="470" w:name="_Toc115780969"/>
      <w:bookmarkStart w:id="471" w:name="_Toc115856442"/>
      <w:bookmarkStart w:id="472" w:name="_Toc115859479"/>
      <w:bookmarkStart w:id="473" w:name="_Toc115344079"/>
      <w:bookmarkStart w:id="474" w:name="_Toc115780990"/>
      <w:bookmarkStart w:id="475" w:name="_Toc115856463"/>
      <w:bookmarkStart w:id="476" w:name="_Toc115859500"/>
      <w:bookmarkStart w:id="477" w:name="_Toc115344080"/>
      <w:bookmarkStart w:id="478" w:name="_Toc115780991"/>
      <w:bookmarkStart w:id="479" w:name="_Toc115856464"/>
      <w:bookmarkStart w:id="480" w:name="_Toc115859501"/>
      <w:bookmarkStart w:id="481" w:name="_Toc115344081"/>
      <w:bookmarkStart w:id="482" w:name="_Toc115780992"/>
      <w:bookmarkStart w:id="483" w:name="_Toc115856465"/>
      <w:bookmarkStart w:id="484" w:name="_Toc115859502"/>
      <w:bookmarkStart w:id="485" w:name="_Toc115344082"/>
      <w:bookmarkStart w:id="486" w:name="_Toc115780993"/>
      <w:bookmarkStart w:id="487" w:name="_Toc115856466"/>
      <w:bookmarkStart w:id="488" w:name="_Toc115859503"/>
      <w:bookmarkStart w:id="489" w:name="_Toc115344141"/>
      <w:bookmarkStart w:id="490" w:name="_Toc115781052"/>
      <w:bookmarkStart w:id="491" w:name="_Toc115856525"/>
      <w:bookmarkStart w:id="492" w:name="_Toc115859562"/>
      <w:bookmarkStart w:id="493" w:name="_Toc115344142"/>
      <w:bookmarkStart w:id="494" w:name="_Toc115781053"/>
      <w:bookmarkStart w:id="495" w:name="_Toc115856526"/>
      <w:bookmarkStart w:id="496" w:name="_Toc115859563"/>
      <w:bookmarkStart w:id="497" w:name="_Toc115344143"/>
      <w:bookmarkStart w:id="498" w:name="_Toc115781054"/>
      <w:bookmarkStart w:id="499" w:name="_Toc115856527"/>
      <w:bookmarkStart w:id="500" w:name="_Toc115859564"/>
      <w:bookmarkStart w:id="501" w:name="_Toc115344144"/>
      <w:bookmarkStart w:id="502" w:name="_Toc115781055"/>
      <w:bookmarkStart w:id="503" w:name="_Toc115856528"/>
      <w:bookmarkStart w:id="504" w:name="_Toc115859565"/>
      <w:bookmarkStart w:id="505" w:name="_Toc115344145"/>
      <w:bookmarkStart w:id="506" w:name="_Toc115781056"/>
      <w:bookmarkStart w:id="507" w:name="_Toc115856529"/>
      <w:bookmarkStart w:id="508" w:name="_Toc115859566"/>
      <w:bookmarkStart w:id="509" w:name="_Toc115344146"/>
      <w:bookmarkStart w:id="510" w:name="_Toc115781057"/>
      <w:bookmarkStart w:id="511" w:name="_Toc115856530"/>
      <w:bookmarkStart w:id="512" w:name="_Toc115859567"/>
      <w:bookmarkStart w:id="513" w:name="_Toc115344147"/>
      <w:bookmarkStart w:id="514" w:name="_Toc115781058"/>
      <w:bookmarkStart w:id="515" w:name="_Toc115856531"/>
      <w:bookmarkStart w:id="516" w:name="_Toc115859568"/>
      <w:bookmarkStart w:id="517" w:name="_Toc115344148"/>
      <w:bookmarkStart w:id="518" w:name="_Toc115781059"/>
      <w:bookmarkStart w:id="519" w:name="_Toc115856532"/>
      <w:bookmarkStart w:id="520" w:name="_Toc115859569"/>
      <w:bookmarkStart w:id="521" w:name="_Toc115344149"/>
      <w:bookmarkStart w:id="522" w:name="_Toc115781060"/>
      <w:bookmarkStart w:id="523" w:name="_Toc115856533"/>
      <w:bookmarkStart w:id="524" w:name="_Toc115859570"/>
      <w:bookmarkStart w:id="525" w:name="_Toc115344150"/>
      <w:bookmarkStart w:id="526" w:name="_Toc115781061"/>
      <w:bookmarkStart w:id="527" w:name="_Toc115856534"/>
      <w:bookmarkStart w:id="528" w:name="_Toc115859571"/>
      <w:bookmarkStart w:id="529" w:name="_Toc115344151"/>
      <w:bookmarkStart w:id="530" w:name="_Toc115781062"/>
      <w:bookmarkStart w:id="531" w:name="_Toc115856535"/>
      <w:bookmarkStart w:id="532" w:name="_Toc115859572"/>
      <w:bookmarkStart w:id="533" w:name="_Toc115344152"/>
      <w:bookmarkStart w:id="534" w:name="_Toc115781063"/>
      <w:bookmarkStart w:id="535" w:name="_Toc115856536"/>
      <w:bookmarkStart w:id="536" w:name="_Toc115859573"/>
      <w:bookmarkStart w:id="537" w:name="_Toc115344153"/>
      <w:bookmarkStart w:id="538" w:name="_Toc115781064"/>
      <w:bookmarkStart w:id="539" w:name="_Toc115856537"/>
      <w:bookmarkStart w:id="540" w:name="_Toc115859574"/>
      <w:bookmarkStart w:id="541" w:name="_Toc115344154"/>
      <w:bookmarkStart w:id="542" w:name="_Toc115781065"/>
      <w:bookmarkStart w:id="543" w:name="_Toc115856538"/>
      <w:bookmarkStart w:id="544" w:name="_Toc115859575"/>
      <w:bookmarkStart w:id="545" w:name="_Toc115344155"/>
      <w:bookmarkStart w:id="546" w:name="_Toc115781066"/>
      <w:bookmarkStart w:id="547" w:name="_Toc115856539"/>
      <w:bookmarkStart w:id="548" w:name="_Toc115859576"/>
      <w:bookmarkStart w:id="549" w:name="_Toc115344156"/>
      <w:bookmarkStart w:id="550" w:name="_Toc115781067"/>
      <w:bookmarkStart w:id="551" w:name="_Toc115856540"/>
      <w:bookmarkStart w:id="552" w:name="_Toc115859577"/>
      <w:bookmarkStart w:id="553" w:name="_Toc115344157"/>
      <w:bookmarkStart w:id="554" w:name="_Toc115781068"/>
      <w:bookmarkStart w:id="555" w:name="_Toc115856541"/>
      <w:bookmarkStart w:id="556" w:name="_Toc115859578"/>
      <w:bookmarkStart w:id="557" w:name="_Toc115344158"/>
      <w:bookmarkStart w:id="558" w:name="_Toc115781069"/>
      <w:bookmarkStart w:id="559" w:name="_Toc115856542"/>
      <w:bookmarkStart w:id="560" w:name="_Toc115859579"/>
      <w:bookmarkStart w:id="561" w:name="_Toc115344159"/>
      <w:bookmarkStart w:id="562" w:name="_Toc115781070"/>
      <w:bookmarkStart w:id="563" w:name="_Toc115856543"/>
      <w:bookmarkStart w:id="564" w:name="_Toc115859580"/>
      <w:bookmarkStart w:id="565" w:name="_Toc115344160"/>
      <w:bookmarkStart w:id="566" w:name="_Toc115781071"/>
      <w:bookmarkStart w:id="567" w:name="_Toc115856544"/>
      <w:bookmarkStart w:id="568" w:name="_Toc115859581"/>
      <w:bookmarkStart w:id="569" w:name="_Toc115344161"/>
      <w:bookmarkStart w:id="570" w:name="_Toc115781072"/>
      <w:bookmarkStart w:id="571" w:name="_Toc115856545"/>
      <w:bookmarkStart w:id="572" w:name="_Toc115859582"/>
      <w:bookmarkStart w:id="573" w:name="_Toc115344162"/>
      <w:bookmarkStart w:id="574" w:name="_Toc115781073"/>
      <w:bookmarkStart w:id="575" w:name="_Toc115856546"/>
      <w:bookmarkStart w:id="576" w:name="_Toc115859583"/>
      <w:bookmarkStart w:id="577" w:name="_Toc115344163"/>
      <w:bookmarkStart w:id="578" w:name="_Toc115781074"/>
      <w:bookmarkStart w:id="579" w:name="_Toc115856547"/>
      <w:bookmarkStart w:id="580" w:name="_Toc115859584"/>
      <w:bookmarkStart w:id="581" w:name="_Toc115344164"/>
      <w:bookmarkStart w:id="582" w:name="_Toc115781075"/>
      <w:bookmarkStart w:id="583" w:name="_Toc115856548"/>
      <w:bookmarkStart w:id="584" w:name="_Toc115859585"/>
      <w:bookmarkStart w:id="585" w:name="_Toc115344165"/>
      <w:bookmarkStart w:id="586" w:name="_Toc115781076"/>
      <w:bookmarkStart w:id="587" w:name="_Toc115856549"/>
      <w:bookmarkStart w:id="588" w:name="_Toc115859586"/>
      <w:bookmarkStart w:id="589" w:name="_Toc115344166"/>
      <w:bookmarkStart w:id="590" w:name="_Toc115781077"/>
      <w:bookmarkStart w:id="591" w:name="_Toc115856550"/>
      <w:bookmarkStart w:id="592" w:name="_Toc115859587"/>
      <w:bookmarkStart w:id="593" w:name="_Toc115344167"/>
      <w:bookmarkStart w:id="594" w:name="_Toc115781078"/>
      <w:bookmarkStart w:id="595" w:name="_Toc115856551"/>
      <w:bookmarkStart w:id="596" w:name="_Toc115859588"/>
      <w:bookmarkStart w:id="597" w:name="_Toc115344168"/>
      <w:bookmarkStart w:id="598" w:name="_Toc115781079"/>
      <w:bookmarkStart w:id="599" w:name="_Toc115856552"/>
      <w:bookmarkStart w:id="600" w:name="_Toc115859589"/>
      <w:bookmarkStart w:id="601" w:name="_Toc115344169"/>
      <w:bookmarkStart w:id="602" w:name="_Toc115781080"/>
      <w:bookmarkStart w:id="603" w:name="_Toc115856553"/>
      <w:bookmarkStart w:id="604" w:name="_Toc115859590"/>
      <w:bookmarkStart w:id="605" w:name="_Toc115344170"/>
      <w:bookmarkStart w:id="606" w:name="_Toc115781081"/>
      <w:bookmarkStart w:id="607" w:name="_Toc115856554"/>
      <w:bookmarkStart w:id="608" w:name="_Toc115859591"/>
      <w:bookmarkStart w:id="609" w:name="_Toc115344171"/>
      <w:bookmarkStart w:id="610" w:name="_Toc115781082"/>
      <w:bookmarkStart w:id="611" w:name="_Toc115856555"/>
      <w:bookmarkStart w:id="612" w:name="_Toc115859592"/>
      <w:bookmarkStart w:id="613" w:name="_Toc115344172"/>
      <w:bookmarkStart w:id="614" w:name="_Toc115781083"/>
      <w:bookmarkStart w:id="615" w:name="_Toc115856556"/>
      <w:bookmarkStart w:id="616" w:name="_Toc115859593"/>
      <w:bookmarkStart w:id="617" w:name="_Toc115344173"/>
      <w:bookmarkStart w:id="618" w:name="_Toc115781084"/>
      <w:bookmarkStart w:id="619" w:name="_Toc115856557"/>
      <w:bookmarkStart w:id="620" w:name="_Toc115859594"/>
      <w:bookmarkStart w:id="621" w:name="_Toc115344174"/>
      <w:bookmarkStart w:id="622" w:name="_Toc115781085"/>
      <w:bookmarkStart w:id="623" w:name="_Toc115856558"/>
      <w:bookmarkStart w:id="624" w:name="_Toc115859595"/>
      <w:bookmarkStart w:id="625" w:name="_Toc115344175"/>
      <w:bookmarkStart w:id="626" w:name="_Toc115781086"/>
      <w:bookmarkStart w:id="627" w:name="_Toc115856559"/>
      <w:bookmarkStart w:id="628" w:name="_Toc115859596"/>
      <w:bookmarkStart w:id="629" w:name="_Toc115344176"/>
      <w:bookmarkStart w:id="630" w:name="_Toc115781087"/>
      <w:bookmarkStart w:id="631" w:name="_Toc115856560"/>
      <w:bookmarkStart w:id="632" w:name="_Toc115859597"/>
      <w:bookmarkStart w:id="633" w:name="_Toc115344177"/>
      <w:bookmarkStart w:id="634" w:name="_Toc115781088"/>
      <w:bookmarkStart w:id="635" w:name="_Toc115856561"/>
      <w:bookmarkStart w:id="636" w:name="_Toc115859598"/>
      <w:bookmarkStart w:id="637" w:name="_Toc115344236"/>
      <w:bookmarkStart w:id="638" w:name="_Toc115781147"/>
      <w:bookmarkStart w:id="639" w:name="_Toc115856620"/>
      <w:bookmarkStart w:id="640" w:name="_Toc115859657"/>
      <w:bookmarkStart w:id="641" w:name="_Toc115344237"/>
      <w:bookmarkStart w:id="642" w:name="_Toc115781148"/>
      <w:bookmarkStart w:id="643" w:name="_Toc115856621"/>
      <w:bookmarkStart w:id="644" w:name="_Toc115859658"/>
      <w:bookmarkStart w:id="645" w:name="_Toc115344238"/>
      <w:bookmarkStart w:id="646" w:name="_Toc115781149"/>
      <w:bookmarkStart w:id="647" w:name="_Toc115856622"/>
      <w:bookmarkStart w:id="648" w:name="_Toc115859659"/>
      <w:bookmarkStart w:id="649" w:name="_Toc115344239"/>
      <w:bookmarkStart w:id="650" w:name="_Toc115781150"/>
      <w:bookmarkStart w:id="651" w:name="_Toc115856623"/>
      <w:bookmarkStart w:id="652" w:name="_Toc115859660"/>
      <w:bookmarkStart w:id="653" w:name="_Toc115344240"/>
      <w:bookmarkStart w:id="654" w:name="_Toc115781151"/>
      <w:bookmarkStart w:id="655" w:name="_Toc115856624"/>
      <w:bookmarkStart w:id="656" w:name="_Toc115859661"/>
      <w:bookmarkStart w:id="657" w:name="_Toc115344241"/>
      <w:bookmarkStart w:id="658" w:name="_Toc115781152"/>
      <w:bookmarkStart w:id="659" w:name="_Toc115856625"/>
      <w:bookmarkStart w:id="660" w:name="_Toc115859662"/>
      <w:bookmarkStart w:id="661" w:name="_Toc115344242"/>
      <w:bookmarkStart w:id="662" w:name="_Toc115781153"/>
      <w:bookmarkStart w:id="663" w:name="_Toc115856626"/>
      <w:bookmarkStart w:id="664" w:name="_Toc115859663"/>
      <w:bookmarkStart w:id="665" w:name="_Toc115344243"/>
      <w:bookmarkStart w:id="666" w:name="_Toc115781154"/>
      <w:bookmarkStart w:id="667" w:name="_Toc115856627"/>
      <w:bookmarkStart w:id="668" w:name="_Toc115859664"/>
      <w:bookmarkStart w:id="669" w:name="_Toc115344244"/>
      <w:bookmarkStart w:id="670" w:name="_Toc115781155"/>
      <w:bookmarkStart w:id="671" w:name="_Toc115856628"/>
      <w:bookmarkStart w:id="672" w:name="_Toc115859665"/>
      <w:bookmarkStart w:id="673" w:name="_Toc115344245"/>
      <w:bookmarkStart w:id="674" w:name="_Toc115781156"/>
      <w:bookmarkStart w:id="675" w:name="_Toc115856629"/>
      <w:bookmarkStart w:id="676" w:name="_Toc115859666"/>
      <w:bookmarkStart w:id="677" w:name="_Toc115344246"/>
      <w:bookmarkStart w:id="678" w:name="_Toc115781157"/>
      <w:bookmarkStart w:id="679" w:name="_Toc115856630"/>
      <w:bookmarkStart w:id="680" w:name="_Toc115859667"/>
      <w:bookmarkStart w:id="681" w:name="_Toc115344247"/>
      <w:bookmarkStart w:id="682" w:name="_Toc115781158"/>
      <w:bookmarkStart w:id="683" w:name="_Toc115856631"/>
      <w:bookmarkStart w:id="684" w:name="_Toc115859668"/>
      <w:bookmarkStart w:id="685" w:name="_Toc115344248"/>
      <w:bookmarkStart w:id="686" w:name="_Toc115781159"/>
      <w:bookmarkStart w:id="687" w:name="_Toc115856632"/>
      <w:bookmarkStart w:id="688" w:name="_Toc115859669"/>
      <w:bookmarkStart w:id="689" w:name="_Toc115344249"/>
      <w:bookmarkStart w:id="690" w:name="_Toc115781160"/>
      <w:bookmarkStart w:id="691" w:name="_Toc115856633"/>
      <w:bookmarkStart w:id="692" w:name="_Toc115859670"/>
      <w:bookmarkStart w:id="693" w:name="_Toc115344250"/>
      <w:bookmarkStart w:id="694" w:name="_Toc115781161"/>
      <w:bookmarkStart w:id="695" w:name="_Toc115856634"/>
      <w:bookmarkStart w:id="696" w:name="_Toc115859671"/>
      <w:bookmarkStart w:id="697" w:name="_Toc107819855"/>
      <w:bookmarkStart w:id="698" w:name="_Toc107819999"/>
      <w:bookmarkStart w:id="699" w:name="_Toc107909406"/>
      <w:bookmarkStart w:id="700" w:name="_Toc106373563"/>
      <w:bookmarkStart w:id="701" w:name="_Toc106608884"/>
      <w:bookmarkStart w:id="702" w:name="_Toc106373564"/>
      <w:bookmarkStart w:id="703" w:name="_Toc106608885"/>
      <w:bookmarkStart w:id="704" w:name="_Toc106373565"/>
      <w:bookmarkStart w:id="705" w:name="_Toc106608886"/>
      <w:bookmarkStart w:id="706" w:name="_Toc106373566"/>
      <w:bookmarkStart w:id="707" w:name="_Toc106608887"/>
      <w:bookmarkStart w:id="708" w:name="_Toc106373567"/>
      <w:bookmarkStart w:id="709" w:name="_Toc106608888"/>
      <w:bookmarkStart w:id="710" w:name="_Toc106373614"/>
      <w:bookmarkStart w:id="711" w:name="_Toc106608935"/>
      <w:bookmarkStart w:id="712" w:name="_Toc106373615"/>
      <w:bookmarkStart w:id="713" w:name="_Toc106608936"/>
      <w:bookmarkStart w:id="714" w:name="_Toc106373616"/>
      <w:bookmarkStart w:id="715" w:name="_Toc106608937"/>
      <w:bookmarkStart w:id="716" w:name="_Toc106373617"/>
      <w:bookmarkStart w:id="717" w:name="_Toc106608938"/>
      <w:bookmarkStart w:id="718" w:name="_Toc106373618"/>
      <w:bookmarkStart w:id="719" w:name="_Toc106608939"/>
      <w:bookmarkStart w:id="720" w:name="_Toc106373619"/>
      <w:bookmarkStart w:id="721" w:name="_Toc106608940"/>
      <w:bookmarkStart w:id="722" w:name="_Toc106373620"/>
      <w:bookmarkStart w:id="723" w:name="_Toc106608941"/>
      <w:bookmarkStart w:id="724" w:name="_Toc106373637"/>
      <w:bookmarkStart w:id="725" w:name="_Toc106608958"/>
      <w:bookmarkStart w:id="726" w:name="_Toc106373665"/>
      <w:bookmarkStart w:id="727" w:name="_Toc106608986"/>
      <w:bookmarkStart w:id="728" w:name="_Toc106373685"/>
      <w:bookmarkStart w:id="729" w:name="_Toc106609006"/>
      <w:bookmarkStart w:id="730" w:name="_Toc106373709"/>
      <w:bookmarkStart w:id="731" w:name="_Toc106609030"/>
      <w:bookmarkStart w:id="732" w:name="_Toc106373753"/>
      <w:bookmarkStart w:id="733" w:name="_Toc106609074"/>
      <w:bookmarkStart w:id="734" w:name="_Toc106373797"/>
      <w:bookmarkStart w:id="735" w:name="_Toc106609118"/>
      <w:bookmarkStart w:id="736" w:name="_Toc106373817"/>
      <w:bookmarkStart w:id="737" w:name="_Toc106609138"/>
      <w:bookmarkStart w:id="738" w:name="_Toc106373857"/>
      <w:bookmarkStart w:id="739" w:name="_Toc106609178"/>
      <w:bookmarkStart w:id="740" w:name="_Toc106373897"/>
      <w:bookmarkStart w:id="741" w:name="_Toc106609218"/>
      <w:bookmarkStart w:id="742" w:name="_Toc106373937"/>
      <w:bookmarkStart w:id="743" w:name="_Toc106609258"/>
      <w:bookmarkStart w:id="744" w:name="_Toc106373989"/>
      <w:bookmarkStart w:id="745" w:name="_Toc106609310"/>
      <w:bookmarkStart w:id="746" w:name="_Toc106373990"/>
      <w:bookmarkStart w:id="747" w:name="_Toc106609311"/>
      <w:bookmarkStart w:id="748" w:name="_Toc106373991"/>
      <w:bookmarkStart w:id="749" w:name="_Toc106609312"/>
      <w:bookmarkStart w:id="750" w:name="_Toc106373992"/>
      <w:bookmarkStart w:id="751" w:name="_Toc106609313"/>
      <w:bookmarkStart w:id="752" w:name="_Toc106373993"/>
      <w:bookmarkStart w:id="753" w:name="_Toc106609314"/>
      <w:bookmarkStart w:id="754" w:name="_Toc106373994"/>
      <w:bookmarkStart w:id="755" w:name="_Toc106609315"/>
      <w:bookmarkStart w:id="756" w:name="_Toc106373995"/>
      <w:bookmarkStart w:id="757" w:name="_Toc106609316"/>
      <w:bookmarkStart w:id="758" w:name="_Toc106373996"/>
      <w:bookmarkStart w:id="759" w:name="_Toc106609317"/>
      <w:bookmarkStart w:id="760" w:name="_Toc106373997"/>
      <w:bookmarkStart w:id="761" w:name="_Toc106609318"/>
      <w:bookmarkStart w:id="762" w:name="_Toc106373998"/>
      <w:bookmarkStart w:id="763" w:name="_Toc106609319"/>
      <w:bookmarkStart w:id="764" w:name="_Toc106373999"/>
      <w:bookmarkStart w:id="765" w:name="_Toc106609320"/>
      <w:bookmarkStart w:id="766" w:name="_Toc106374000"/>
      <w:bookmarkStart w:id="767" w:name="_Toc106609321"/>
      <w:bookmarkStart w:id="768" w:name="_Toc106374001"/>
      <w:bookmarkStart w:id="769" w:name="_Toc106609322"/>
      <w:bookmarkStart w:id="770" w:name="_Toc106374018"/>
      <w:bookmarkStart w:id="771" w:name="_Toc106609339"/>
      <w:bookmarkStart w:id="772" w:name="_Toc106374074"/>
      <w:bookmarkStart w:id="773" w:name="_Toc106609395"/>
      <w:bookmarkStart w:id="774" w:name="_Toc106374114"/>
      <w:bookmarkStart w:id="775" w:name="_Toc106609435"/>
      <w:bookmarkStart w:id="776" w:name="_Toc106374150"/>
      <w:bookmarkStart w:id="777" w:name="_Toc106609471"/>
      <w:bookmarkStart w:id="778" w:name="_Toc106374166"/>
      <w:bookmarkStart w:id="779" w:name="_Toc106609487"/>
      <w:bookmarkStart w:id="780" w:name="_Toc106374206"/>
      <w:bookmarkStart w:id="781" w:name="_Toc106609527"/>
      <w:bookmarkStart w:id="782" w:name="_Toc106374238"/>
      <w:bookmarkStart w:id="783" w:name="_Toc106609559"/>
      <w:bookmarkStart w:id="784" w:name="_Toc106374282"/>
      <w:bookmarkStart w:id="785" w:name="_Toc106609603"/>
      <w:bookmarkStart w:id="786" w:name="_Toc106374283"/>
      <w:bookmarkStart w:id="787" w:name="_Toc106609604"/>
      <w:bookmarkStart w:id="788" w:name="_Toc106374296"/>
      <w:bookmarkStart w:id="789" w:name="_Toc106609617"/>
      <w:bookmarkStart w:id="790" w:name="_Toc106374297"/>
      <w:bookmarkStart w:id="791" w:name="_Toc106609618"/>
      <w:bookmarkStart w:id="792" w:name="_Toc106374318"/>
      <w:bookmarkStart w:id="793" w:name="_Toc106609639"/>
      <w:bookmarkStart w:id="794" w:name="_Toc106374319"/>
      <w:bookmarkStart w:id="795" w:name="_Toc106609640"/>
      <w:bookmarkStart w:id="796" w:name="_Toc106374350"/>
      <w:bookmarkStart w:id="797" w:name="_Toc106609671"/>
      <w:bookmarkStart w:id="798" w:name="_Toc106374351"/>
      <w:bookmarkStart w:id="799" w:name="_Toc106609672"/>
      <w:bookmarkStart w:id="800" w:name="_Toc106374352"/>
      <w:bookmarkStart w:id="801" w:name="_Toc106609673"/>
      <w:bookmarkStart w:id="802" w:name="_Toc106374388"/>
      <w:bookmarkStart w:id="803" w:name="_Toc106609709"/>
      <w:bookmarkStart w:id="804" w:name="_Toc106374389"/>
      <w:bookmarkStart w:id="805" w:name="_Toc106609710"/>
      <w:bookmarkStart w:id="806" w:name="_Toc106374425"/>
      <w:bookmarkStart w:id="807" w:name="_Toc106609746"/>
      <w:bookmarkStart w:id="808" w:name="_Toc106374426"/>
      <w:bookmarkStart w:id="809" w:name="_Toc106609747"/>
      <w:bookmarkStart w:id="810" w:name="_Toc106374462"/>
      <w:bookmarkStart w:id="811" w:name="_Toc106609783"/>
      <w:bookmarkStart w:id="812" w:name="_Toc106374463"/>
      <w:bookmarkStart w:id="813" w:name="_Toc106609784"/>
      <w:bookmarkStart w:id="814" w:name="_Toc106374464"/>
      <w:bookmarkStart w:id="815" w:name="_Toc106609785"/>
      <w:bookmarkStart w:id="816" w:name="_Toc106374505"/>
      <w:bookmarkStart w:id="817" w:name="_Toc106609826"/>
      <w:bookmarkStart w:id="818" w:name="_Toc106374506"/>
      <w:bookmarkStart w:id="819" w:name="_Toc106609827"/>
      <w:bookmarkStart w:id="820" w:name="_Toc106374507"/>
      <w:bookmarkStart w:id="821" w:name="_Toc106609828"/>
      <w:bookmarkStart w:id="822" w:name="_Toc106374543"/>
      <w:bookmarkStart w:id="823" w:name="_Toc106609864"/>
      <w:bookmarkStart w:id="824" w:name="_Toc106374544"/>
      <w:bookmarkStart w:id="825" w:name="_Toc106609865"/>
      <w:bookmarkStart w:id="826" w:name="_Toc106374545"/>
      <w:bookmarkStart w:id="827" w:name="_Toc106609866"/>
      <w:bookmarkStart w:id="828" w:name="_Toc115344251"/>
      <w:bookmarkStart w:id="829" w:name="_Toc115781162"/>
      <w:bookmarkStart w:id="830" w:name="_Toc115856635"/>
      <w:bookmarkStart w:id="831" w:name="_Toc115859672"/>
      <w:bookmarkStart w:id="832" w:name="_Ref106619600"/>
      <w:bookmarkStart w:id="833" w:name="_Toc116041926"/>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r>
        <w:t>Appendix E: Historical Australian WBB deployments</w:t>
      </w:r>
      <w:bookmarkEnd w:id="832"/>
      <w:bookmarkEnd w:id="833"/>
    </w:p>
    <w:p w14:paraId="52074CF0" w14:textId="3721FC8F" w:rsidR="00F36348" w:rsidRDefault="00F36348" w:rsidP="00077BB0">
      <w:pPr>
        <w:pStyle w:val="Heading2"/>
      </w:pPr>
      <w:bookmarkStart w:id="834" w:name="_Toc116041927"/>
      <w:r>
        <w:t>Summary</w:t>
      </w:r>
      <w:bookmarkEnd w:id="834"/>
      <w:r>
        <w:t xml:space="preserve"> </w:t>
      </w:r>
    </w:p>
    <w:p w14:paraId="7D1F72DE" w14:textId="176C795E" w:rsidR="00F36348" w:rsidRDefault="00F36348" w:rsidP="00D77F80">
      <w:pPr>
        <w:pStyle w:val="Numberedparagraph"/>
      </w:pPr>
      <w:r w:rsidRPr="003603AA">
        <w:t xml:space="preserve">Table </w:t>
      </w:r>
      <w:r w:rsidR="00B77467" w:rsidRPr="003603AA">
        <w:t>20</w:t>
      </w:r>
      <w:r w:rsidRPr="003603AA">
        <w:t xml:space="preserve"> is a</w:t>
      </w:r>
      <w:r w:rsidR="00DD13D1" w:rsidRPr="003603AA">
        <w:t>n overall</w:t>
      </w:r>
      <w:r w:rsidRPr="003603AA">
        <w:t xml:space="preserve"> summary of deployment statistics </w:t>
      </w:r>
      <w:r w:rsidR="00DD13D1" w:rsidRPr="003603AA">
        <w:t xml:space="preserve">for </w:t>
      </w:r>
      <w:r w:rsidR="009D6AA7" w:rsidRPr="003603AA">
        <w:t>several</w:t>
      </w:r>
      <w:r w:rsidR="00DD13D1" w:rsidRPr="003603AA">
        <w:t xml:space="preserve"> historical WBB</w:t>
      </w:r>
      <w:r w:rsidR="00DD13D1">
        <w:t xml:space="preserve"> networks</w:t>
      </w:r>
      <w:r>
        <w:t>. The most common parameter</w:t>
      </w:r>
      <w:r w:rsidR="00DD13D1">
        <w:t>s</w:t>
      </w:r>
      <w:r>
        <w:t xml:space="preserve"> </w:t>
      </w:r>
      <w:r w:rsidR="00DD13D1">
        <w:t>are</w:t>
      </w:r>
      <w:r>
        <w:t xml:space="preserve"> listed and some similar values have been grouped together.</w:t>
      </w:r>
    </w:p>
    <w:p w14:paraId="3A86AD21" w14:textId="583B67C3" w:rsidR="00F36348" w:rsidRPr="001D2FC7" w:rsidRDefault="00F36348" w:rsidP="00F36348">
      <w:pPr>
        <w:pStyle w:val="Tableheading"/>
      </w:pPr>
      <w:r>
        <w:t>Summary of most common parameters from different historic</w:t>
      </w:r>
      <w:r w:rsidR="00DD13D1">
        <w:t xml:space="preserve">al WBB </w:t>
      </w:r>
      <w:r>
        <w:t>deployments</w:t>
      </w:r>
    </w:p>
    <w:tbl>
      <w:tblPr>
        <w:tblStyle w:val="ACMAtablestyle"/>
        <w:tblW w:w="0" w:type="auto"/>
        <w:tblLook w:val="04A0" w:firstRow="1" w:lastRow="0" w:firstColumn="1" w:lastColumn="0" w:noHBand="0" w:noVBand="1"/>
      </w:tblPr>
      <w:tblGrid>
        <w:gridCol w:w="1915"/>
        <w:gridCol w:w="1915"/>
        <w:gridCol w:w="1915"/>
        <w:gridCol w:w="1916"/>
      </w:tblGrid>
      <w:tr w:rsidR="00F36348" w:rsidRPr="00BC3D53" w14:paraId="256FE9FB" w14:textId="77777777" w:rsidTr="00695A13">
        <w:trPr>
          <w:cnfStyle w:val="100000000000" w:firstRow="1" w:lastRow="0" w:firstColumn="0" w:lastColumn="0" w:oddVBand="0" w:evenVBand="0" w:oddHBand="0" w:evenHBand="0" w:firstRowFirstColumn="0" w:firstRowLastColumn="0" w:lastRowFirstColumn="0" w:lastRowLastColumn="0"/>
        </w:trPr>
        <w:tc>
          <w:tcPr>
            <w:tcW w:w="1915" w:type="dxa"/>
          </w:tcPr>
          <w:p w14:paraId="5BAC95D7" w14:textId="77777777" w:rsidR="00F36348" w:rsidRPr="00BC3D53" w:rsidRDefault="00F36348" w:rsidP="00695A13">
            <w:pPr>
              <w:pStyle w:val="Tableheaderrow"/>
            </w:pPr>
          </w:p>
        </w:tc>
        <w:tc>
          <w:tcPr>
            <w:tcW w:w="1915" w:type="dxa"/>
          </w:tcPr>
          <w:p w14:paraId="06FD448E" w14:textId="77777777" w:rsidR="00F36348" w:rsidRPr="00BC3D53" w:rsidRDefault="00F36348" w:rsidP="00695A13">
            <w:pPr>
              <w:pStyle w:val="Tableheaderrow"/>
            </w:pPr>
            <w:r w:rsidRPr="00BC3D53">
              <w:t>Nov 2021 NBN and 5G</w:t>
            </w:r>
          </w:p>
        </w:tc>
        <w:tc>
          <w:tcPr>
            <w:tcW w:w="1915" w:type="dxa"/>
          </w:tcPr>
          <w:p w14:paraId="3D3BC132" w14:textId="77777777" w:rsidR="00F36348" w:rsidRPr="00BC3D53" w:rsidRDefault="00F36348" w:rsidP="00695A13">
            <w:pPr>
              <w:pStyle w:val="Tableheaderrow"/>
            </w:pPr>
            <w:r w:rsidRPr="00BC3D53">
              <w:t>2017 NBN</w:t>
            </w:r>
          </w:p>
        </w:tc>
        <w:tc>
          <w:tcPr>
            <w:tcW w:w="1916" w:type="dxa"/>
          </w:tcPr>
          <w:p w14:paraId="386F6B30" w14:textId="77777777" w:rsidR="00F36348" w:rsidRPr="00BC3D53" w:rsidRDefault="00F36348" w:rsidP="00695A13">
            <w:pPr>
              <w:pStyle w:val="Tableheaderrow"/>
            </w:pPr>
            <w:r w:rsidRPr="00BC3D53">
              <w:t>2010 Unwired Network</w:t>
            </w:r>
          </w:p>
        </w:tc>
      </w:tr>
      <w:tr w:rsidR="00F36348" w:rsidRPr="00BC3D53" w14:paraId="4BAB9A8A" w14:textId="77777777" w:rsidTr="00695A13">
        <w:trPr>
          <w:cnfStyle w:val="000000100000" w:firstRow="0" w:lastRow="0" w:firstColumn="0" w:lastColumn="0" w:oddVBand="0" w:evenVBand="0" w:oddHBand="1" w:evenHBand="0" w:firstRowFirstColumn="0" w:firstRowLastColumn="0" w:lastRowFirstColumn="0" w:lastRowLastColumn="0"/>
        </w:trPr>
        <w:tc>
          <w:tcPr>
            <w:tcW w:w="1915" w:type="dxa"/>
          </w:tcPr>
          <w:p w14:paraId="516FF7FB" w14:textId="77777777" w:rsidR="00F36348" w:rsidRPr="00BC3D53" w:rsidRDefault="00F36348" w:rsidP="00695A13">
            <w:pPr>
              <w:pStyle w:val="Tableheaderrow"/>
            </w:pPr>
            <w:r w:rsidRPr="00BC3D53">
              <w:t>Bandwidths</w:t>
            </w:r>
            <w:r>
              <w:t xml:space="preserve"> (</w:t>
            </w:r>
            <w:r w:rsidRPr="00BC3D53">
              <w:t>MHz</w:t>
            </w:r>
            <w:r>
              <w:t>)</w:t>
            </w:r>
          </w:p>
        </w:tc>
        <w:tc>
          <w:tcPr>
            <w:tcW w:w="1915" w:type="dxa"/>
          </w:tcPr>
          <w:p w14:paraId="4F89420F" w14:textId="77777777" w:rsidR="00F36348" w:rsidRPr="00BC3D53" w:rsidRDefault="00F36348" w:rsidP="00695A13">
            <w:pPr>
              <w:pStyle w:val="TableBody"/>
            </w:pPr>
            <w:r w:rsidRPr="00BC3D53">
              <w:t>20 MHz (45%)</w:t>
            </w:r>
          </w:p>
          <w:p w14:paraId="5FB8062D" w14:textId="77777777" w:rsidR="00F36348" w:rsidRPr="00BC3D53" w:rsidRDefault="00F36348" w:rsidP="00695A13">
            <w:pPr>
              <w:pStyle w:val="TableBody"/>
            </w:pPr>
            <w:r w:rsidRPr="00BC3D53">
              <w:t>60 MHz (39%)</w:t>
            </w:r>
          </w:p>
        </w:tc>
        <w:tc>
          <w:tcPr>
            <w:tcW w:w="1915" w:type="dxa"/>
          </w:tcPr>
          <w:p w14:paraId="31D1C630" w14:textId="77777777" w:rsidR="00F36348" w:rsidRPr="00BC3D53" w:rsidRDefault="00F36348" w:rsidP="00695A13">
            <w:pPr>
              <w:pStyle w:val="TableBody"/>
            </w:pPr>
            <w:r w:rsidRPr="00BC3D53">
              <w:t>20 MHz (100%)</w:t>
            </w:r>
          </w:p>
        </w:tc>
        <w:tc>
          <w:tcPr>
            <w:tcW w:w="1916" w:type="dxa"/>
          </w:tcPr>
          <w:p w14:paraId="57ACF11C" w14:textId="77777777" w:rsidR="00F36348" w:rsidRPr="00BC3D53" w:rsidRDefault="00F36348" w:rsidP="00695A13">
            <w:pPr>
              <w:pStyle w:val="TableBody"/>
            </w:pPr>
            <w:r w:rsidRPr="00BC3D53">
              <w:t>5 MHz (92.6%)</w:t>
            </w:r>
          </w:p>
          <w:p w14:paraId="20AA9890" w14:textId="77777777" w:rsidR="00F36348" w:rsidRPr="00BC3D53" w:rsidRDefault="00F36348" w:rsidP="00695A13">
            <w:pPr>
              <w:pStyle w:val="TableBody"/>
            </w:pPr>
            <w:r w:rsidRPr="00BC3D53">
              <w:t>2 MHz (7.4%)</w:t>
            </w:r>
          </w:p>
        </w:tc>
      </w:tr>
      <w:tr w:rsidR="00F36348" w:rsidRPr="00BC3D53" w14:paraId="6A9974CD" w14:textId="77777777" w:rsidTr="00695A13">
        <w:trPr>
          <w:cnfStyle w:val="000000010000" w:firstRow="0" w:lastRow="0" w:firstColumn="0" w:lastColumn="0" w:oddVBand="0" w:evenVBand="0" w:oddHBand="0" w:evenHBand="1" w:firstRowFirstColumn="0" w:firstRowLastColumn="0" w:lastRowFirstColumn="0" w:lastRowLastColumn="0"/>
        </w:trPr>
        <w:tc>
          <w:tcPr>
            <w:tcW w:w="1915" w:type="dxa"/>
          </w:tcPr>
          <w:p w14:paraId="11546BE3" w14:textId="6A283419" w:rsidR="00F36348" w:rsidRPr="00BC3D53" w:rsidRDefault="00DD13D1" w:rsidP="00695A13">
            <w:pPr>
              <w:pStyle w:val="Tableheaderrow"/>
            </w:pPr>
            <w:r>
              <w:t>Transmitter p</w:t>
            </w:r>
            <w:r w:rsidR="00F36348" w:rsidRPr="00BC3D53">
              <w:t>ower</w:t>
            </w:r>
            <w:r w:rsidR="00F36348">
              <w:t xml:space="preserve"> (W)</w:t>
            </w:r>
          </w:p>
        </w:tc>
        <w:tc>
          <w:tcPr>
            <w:tcW w:w="1915" w:type="dxa"/>
          </w:tcPr>
          <w:p w14:paraId="6EBBAF71" w14:textId="77777777" w:rsidR="00F36348" w:rsidRPr="00BC3D53" w:rsidRDefault="00F36348" w:rsidP="00695A13">
            <w:pPr>
              <w:pStyle w:val="TableBody"/>
            </w:pPr>
            <w:r w:rsidRPr="00BC3D53">
              <w:t>200 W (45%)</w:t>
            </w:r>
          </w:p>
          <w:p w14:paraId="314662EF" w14:textId="77777777" w:rsidR="00F36348" w:rsidRPr="00BC3D53" w:rsidRDefault="00F36348" w:rsidP="00695A13">
            <w:pPr>
              <w:pStyle w:val="TableBody"/>
            </w:pPr>
            <w:r w:rsidRPr="00BC3D53">
              <w:t>160 W (39%)</w:t>
            </w:r>
          </w:p>
        </w:tc>
        <w:tc>
          <w:tcPr>
            <w:tcW w:w="1915" w:type="dxa"/>
          </w:tcPr>
          <w:p w14:paraId="744E3F6A" w14:textId="77777777" w:rsidR="00F36348" w:rsidRPr="00BC3D53" w:rsidRDefault="00F36348" w:rsidP="00695A13">
            <w:pPr>
              <w:pStyle w:val="TableBody"/>
            </w:pPr>
            <w:r w:rsidRPr="00BC3D53">
              <w:t>160 W (99.8%)</w:t>
            </w:r>
          </w:p>
        </w:tc>
        <w:tc>
          <w:tcPr>
            <w:tcW w:w="1916" w:type="dxa"/>
          </w:tcPr>
          <w:p w14:paraId="78E3C87B" w14:textId="77777777" w:rsidR="00F36348" w:rsidRPr="00BC3D53" w:rsidRDefault="00F36348" w:rsidP="00695A13">
            <w:pPr>
              <w:pStyle w:val="TableBody"/>
            </w:pPr>
            <w:r w:rsidRPr="00BC3D53">
              <w:t>0.8 W (20.7%)</w:t>
            </w:r>
          </w:p>
          <w:p w14:paraId="558F0401" w14:textId="77777777" w:rsidR="00F36348" w:rsidRPr="00BC3D53" w:rsidRDefault="00F36348" w:rsidP="00695A13">
            <w:pPr>
              <w:pStyle w:val="TableBody"/>
            </w:pPr>
            <w:r w:rsidRPr="00BC3D53">
              <w:t>All less than 1 W</w:t>
            </w:r>
          </w:p>
        </w:tc>
      </w:tr>
      <w:tr w:rsidR="00F36348" w:rsidRPr="00BC3D53" w14:paraId="314CD066" w14:textId="77777777" w:rsidTr="00695A13">
        <w:trPr>
          <w:cnfStyle w:val="000000100000" w:firstRow="0" w:lastRow="0" w:firstColumn="0" w:lastColumn="0" w:oddVBand="0" w:evenVBand="0" w:oddHBand="1" w:evenHBand="0" w:firstRowFirstColumn="0" w:firstRowLastColumn="0" w:lastRowFirstColumn="0" w:lastRowLastColumn="0"/>
        </w:trPr>
        <w:tc>
          <w:tcPr>
            <w:tcW w:w="1915" w:type="dxa"/>
          </w:tcPr>
          <w:p w14:paraId="1C22BF88" w14:textId="77777777" w:rsidR="00F36348" w:rsidRPr="00BC3D53" w:rsidRDefault="00F36348" w:rsidP="00695A13">
            <w:pPr>
              <w:pStyle w:val="Tableheaderrow"/>
            </w:pPr>
            <w:r w:rsidRPr="00BC3D53">
              <w:t>Total power into the antenna</w:t>
            </w:r>
            <w:r>
              <w:t xml:space="preserve"> (dBm/MHz)</w:t>
            </w:r>
          </w:p>
        </w:tc>
        <w:tc>
          <w:tcPr>
            <w:tcW w:w="1915" w:type="dxa"/>
          </w:tcPr>
          <w:p w14:paraId="7C1A7CD3" w14:textId="0C91D975" w:rsidR="00F36348" w:rsidRPr="00BC3D53" w:rsidRDefault="00F36348" w:rsidP="00695A13">
            <w:pPr>
              <w:pStyle w:val="TableBody"/>
            </w:pPr>
            <w:r w:rsidRPr="00BC3D53">
              <w:t>(35</w:t>
            </w:r>
            <w:r w:rsidR="00D379F3">
              <w:t xml:space="preserve"> - </w:t>
            </w:r>
            <w:r w:rsidRPr="00BC3D53">
              <w:t>40] (83.5%)</w:t>
            </w:r>
          </w:p>
        </w:tc>
        <w:tc>
          <w:tcPr>
            <w:tcW w:w="1915" w:type="dxa"/>
          </w:tcPr>
          <w:p w14:paraId="1F33A23D" w14:textId="349328D2" w:rsidR="00F36348" w:rsidRPr="00BC3D53" w:rsidRDefault="00F36348" w:rsidP="00695A13">
            <w:pPr>
              <w:pStyle w:val="TableBody"/>
            </w:pPr>
            <w:r>
              <w:t>(8</w:t>
            </w:r>
            <w:r w:rsidR="00D379F3">
              <w:t xml:space="preserve"> - </w:t>
            </w:r>
            <w:r>
              <w:t>9] (99.9%)</w:t>
            </w:r>
          </w:p>
        </w:tc>
        <w:tc>
          <w:tcPr>
            <w:tcW w:w="1916" w:type="dxa"/>
          </w:tcPr>
          <w:p w14:paraId="1AE3D41B" w14:textId="67B56290" w:rsidR="00F36348" w:rsidRPr="00BC3D53" w:rsidRDefault="00F36348" w:rsidP="00695A13">
            <w:pPr>
              <w:pStyle w:val="TableBody"/>
            </w:pPr>
            <w:r w:rsidRPr="00BC3D53">
              <w:t>(20</w:t>
            </w:r>
            <w:r w:rsidR="00D379F3">
              <w:t xml:space="preserve"> - </w:t>
            </w:r>
            <w:r w:rsidRPr="00BC3D53">
              <w:t>25] (65%)</w:t>
            </w:r>
          </w:p>
        </w:tc>
      </w:tr>
      <w:tr w:rsidR="00F36348" w:rsidRPr="00BC3D53" w14:paraId="3AB6EEF0" w14:textId="77777777" w:rsidTr="00695A13">
        <w:trPr>
          <w:cnfStyle w:val="000000010000" w:firstRow="0" w:lastRow="0" w:firstColumn="0" w:lastColumn="0" w:oddVBand="0" w:evenVBand="0" w:oddHBand="0" w:evenHBand="1" w:firstRowFirstColumn="0" w:firstRowLastColumn="0" w:lastRowFirstColumn="0" w:lastRowLastColumn="0"/>
        </w:trPr>
        <w:tc>
          <w:tcPr>
            <w:tcW w:w="1915" w:type="dxa"/>
          </w:tcPr>
          <w:p w14:paraId="6AE3A28F" w14:textId="77777777" w:rsidR="00F36348" w:rsidRPr="00BC3D53" w:rsidRDefault="00F36348" w:rsidP="00695A13">
            <w:pPr>
              <w:pStyle w:val="Tableheaderrow"/>
            </w:pPr>
            <w:r w:rsidRPr="00BC3D53">
              <w:t>Antenna gain</w:t>
            </w:r>
            <w:r>
              <w:t xml:space="preserve"> (dBi)</w:t>
            </w:r>
          </w:p>
        </w:tc>
        <w:tc>
          <w:tcPr>
            <w:tcW w:w="1915" w:type="dxa"/>
          </w:tcPr>
          <w:p w14:paraId="39E0290F" w14:textId="77777777" w:rsidR="00F36348" w:rsidRPr="00BC3D53" w:rsidRDefault="00F36348" w:rsidP="00695A13">
            <w:pPr>
              <w:pStyle w:val="TableBody"/>
            </w:pPr>
            <w:r w:rsidRPr="00BC3D53">
              <w:t>23.7 dBi (39%)</w:t>
            </w:r>
          </w:p>
          <w:p w14:paraId="6793E782" w14:textId="77777777" w:rsidR="00F36348" w:rsidRPr="00BC3D53" w:rsidRDefault="00F36348" w:rsidP="00695A13">
            <w:pPr>
              <w:pStyle w:val="TableBody"/>
            </w:pPr>
            <w:r w:rsidRPr="00BC3D53">
              <w:t>17.5 dBi (29%)</w:t>
            </w:r>
          </w:p>
        </w:tc>
        <w:tc>
          <w:tcPr>
            <w:tcW w:w="1915" w:type="dxa"/>
          </w:tcPr>
          <w:p w14:paraId="302555DF" w14:textId="77777777" w:rsidR="00F36348" w:rsidRPr="00BC3D53" w:rsidRDefault="00F36348" w:rsidP="00695A13">
            <w:pPr>
              <w:pStyle w:val="TableBody"/>
            </w:pPr>
            <w:r w:rsidRPr="00BC3D53">
              <w:t>17.5 dBi (74.7%)</w:t>
            </w:r>
          </w:p>
          <w:p w14:paraId="235C1837" w14:textId="77777777" w:rsidR="00F36348" w:rsidRPr="00BC3D53" w:rsidRDefault="00F36348" w:rsidP="00695A13">
            <w:pPr>
              <w:pStyle w:val="TableBody"/>
            </w:pPr>
            <w:r w:rsidRPr="00BC3D53">
              <w:t>19.6 dBi (25.3%)</w:t>
            </w:r>
          </w:p>
        </w:tc>
        <w:tc>
          <w:tcPr>
            <w:tcW w:w="1916" w:type="dxa"/>
          </w:tcPr>
          <w:p w14:paraId="1F19C568" w14:textId="77777777" w:rsidR="00F36348" w:rsidRPr="00BC3D53" w:rsidRDefault="00F36348" w:rsidP="00695A13">
            <w:pPr>
              <w:pStyle w:val="TableBody"/>
            </w:pPr>
            <w:r w:rsidRPr="00BC3D53">
              <w:t>16 dBi (100%)</w:t>
            </w:r>
          </w:p>
        </w:tc>
      </w:tr>
      <w:tr w:rsidR="00F36348" w:rsidRPr="00BC3D53" w14:paraId="27AD2353" w14:textId="77777777" w:rsidTr="00695A13">
        <w:trPr>
          <w:cnfStyle w:val="000000100000" w:firstRow="0" w:lastRow="0" w:firstColumn="0" w:lastColumn="0" w:oddVBand="0" w:evenVBand="0" w:oddHBand="1" w:evenHBand="0" w:firstRowFirstColumn="0" w:firstRowLastColumn="0" w:lastRowFirstColumn="0" w:lastRowLastColumn="0"/>
        </w:trPr>
        <w:tc>
          <w:tcPr>
            <w:tcW w:w="1915" w:type="dxa"/>
          </w:tcPr>
          <w:p w14:paraId="16F943F5" w14:textId="77777777" w:rsidR="00F36348" w:rsidRPr="00BC3D53" w:rsidRDefault="00F36348" w:rsidP="00695A13">
            <w:pPr>
              <w:pStyle w:val="Tableheaderrow"/>
            </w:pPr>
            <w:r w:rsidRPr="00BC3D53">
              <w:t>EIRP</w:t>
            </w:r>
            <w:r>
              <w:t xml:space="preserve"> (</w:t>
            </w:r>
            <w:r w:rsidRPr="00BC3D53">
              <w:t>dBm/MHz</w:t>
            </w:r>
            <w:r>
              <w:t>)</w:t>
            </w:r>
          </w:p>
        </w:tc>
        <w:tc>
          <w:tcPr>
            <w:tcW w:w="1915" w:type="dxa"/>
          </w:tcPr>
          <w:p w14:paraId="73B0CE84" w14:textId="0B3F23B8" w:rsidR="00F36348" w:rsidRPr="00BC3D53" w:rsidRDefault="00F36348" w:rsidP="00695A13">
            <w:pPr>
              <w:pStyle w:val="TableBody"/>
            </w:pPr>
            <w:r w:rsidRPr="00BC3D53">
              <w:t>(50</w:t>
            </w:r>
            <w:r w:rsidR="00D379F3">
              <w:t xml:space="preserve"> -</w:t>
            </w:r>
            <w:r w:rsidRPr="00BC3D53">
              <w:t xml:space="preserve"> 55] 10.6%</w:t>
            </w:r>
          </w:p>
          <w:p w14:paraId="60EF86DA" w14:textId="45272EE7" w:rsidR="00F36348" w:rsidRPr="00BC3D53" w:rsidRDefault="00F36348" w:rsidP="00695A13">
            <w:pPr>
              <w:pStyle w:val="TableBody"/>
            </w:pPr>
            <w:r w:rsidRPr="00BC3D53">
              <w:t>(55</w:t>
            </w:r>
            <w:r w:rsidR="00D379F3">
              <w:t xml:space="preserve"> - </w:t>
            </w:r>
            <w:r w:rsidRPr="00BC3D53">
              <w:t>60] 81.4%</w:t>
            </w:r>
          </w:p>
        </w:tc>
        <w:tc>
          <w:tcPr>
            <w:tcW w:w="1915" w:type="dxa"/>
          </w:tcPr>
          <w:p w14:paraId="60153E6C" w14:textId="77777777" w:rsidR="00F36348" w:rsidRPr="00BC3D53" w:rsidRDefault="00F36348" w:rsidP="00695A13">
            <w:pPr>
              <w:pStyle w:val="TableBody"/>
            </w:pPr>
            <w:r w:rsidRPr="00BC3D53">
              <w:t>56 (72.8%)</w:t>
            </w:r>
          </w:p>
        </w:tc>
        <w:tc>
          <w:tcPr>
            <w:tcW w:w="1916" w:type="dxa"/>
          </w:tcPr>
          <w:p w14:paraId="2A089E49" w14:textId="233C87B9" w:rsidR="00F36348" w:rsidRPr="00BC3D53" w:rsidRDefault="00F36348" w:rsidP="00695A13">
            <w:pPr>
              <w:pStyle w:val="TableBody"/>
            </w:pPr>
            <w:r w:rsidRPr="00BC3D53">
              <w:t>(35</w:t>
            </w:r>
            <w:r w:rsidR="00D379F3">
              <w:t xml:space="preserve"> - </w:t>
            </w:r>
            <w:r w:rsidRPr="00BC3D53">
              <w:t>40] (65%)</w:t>
            </w:r>
          </w:p>
        </w:tc>
      </w:tr>
      <w:tr w:rsidR="00F36348" w:rsidRPr="00BC3D53" w14:paraId="5D4FD55F" w14:textId="77777777" w:rsidTr="00695A13">
        <w:trPr>
          <w:cnfStyle w:val="000000010000" w:firstRow="0" w:lastRow="0" w:firstColumn="0" w:lastColumn="0" w:oddVBand="0" w:evenVBand="0" w:oddHBand="0" w:evenHBand="1" w:firstRowFirstColumn="0" w:firstRowLastColumn="0" w:lastRowFirstColumn="0" w:lastRowLastColumn="0"/>
        </w:trPr>
        <w:tc>
          <w:tcPr>
            <w:tcW w:w="1915" w:type="dxa"/>
          </w:tcPr>
          <w:p w14:paraId="3830E199" w14:textId="77777777" w:rsidR="00F36348" w:rsidRPr="00BC3D53" w:rsidRDefault="00F36348" w:rsidP="00695A13">
            <w:pPr>
              <w:pStyle w:val="Tableheaderrow"/>
            </w:pPr>
            <w:r w:rsidRPr="00BC3D53">
              <w:t>Antenna Height Distributions</w:t>
            </w:r>
            <w:r>
              <w:t xml:space="preserve"> (m)</w:t>
            </w:r>
          </w:p>
        </w:tc>
        <w:tc>
          <w:tcPr>
            <w:tcW w:w="1915" w:type="dxa"/>
          </w:tcPr>
          <w:p w14:paraId="464B7822" w14:textId="7F1CB537" w:rsidR="00F36348" w:rsidRPr="00BC3D53" w:rsidRDefault="00F36348" w:rsidP="00695A13">
            <w:pPr>
              <w:pStyle w:val="TableBody"/>
            </w:pPr>
            <w:r w:rsidRPr="00BC3D53">
              <w:t>(20</w:t>
            </w:r>
            <w:r w:rsidR="00D379F3">
              <w:t xml:space="preserve"> -</w:t>
            </w:r>
            <w:r w:rsidRPr="00BC3D53">
              <w:t xml:space="preserve"> 30] m (33%)</w:t>
            </w:r>
          </w:p>
          <w:p w14:paraId="584C8A1D" w14:textId="788042B9" w:rsidR="00F36348" w:rsidRPr="00BC3D53" w:rsidRDefault="00F36348" w:rsidP="00695A13">
            <w:pPr>
              <w:pStyle w:val="TableBody"/>
            </w:pPr>
            <w:r w:rsidRPr="00BC3D53">
              <w:t>(30</w:t>
            </w:r>
            <w:r w:rsidR="00D379F3">
              <w:t xml:space="preserve"> - </w:t>
            </w:r>
            <w:r w:rsidRPr="00BC3D53">
              <w:t>40] m (38%)</w:t>
            </w:r>
          </w:p>
          <w:p w14:paraId="0B5B6B9B" w14:textId="77777777" w:rsidR="00F36348" w:rsidRPr="00BC3D53" w:rsidRDefault="00F36348" w:rsidP="00695A13">
            <w:pPr>
              <w:pStyle w:val="TableBody"/>
            </w:pPr>
          </w:p>
        </w:tc>
        <w:tc>
          <w:tcPr>
            <w:tcW w:w="1915" w:type="dxa"/>
          </w:tcPr>
          <w:p w14:paraId="4D3BD075" w14:textId="63C9FB57" w:rsidR="00F36348" w:rsidRPr="00BC3D53" w:rsidRDefault="00F36348" w:rsidP="00695A13">
            <w:pPr>
              <w:pStyle w:val="TableBody"/>
            </w:pPr>
            <w:r w:rsidRPr="00BC3D53">
              <w:t>(20</w:t>
            </w:r>
            <w:r w:rsidR="00D379F3">
              <w:t xml:space="preserve"> - </w:t>
            </w:r>
            <w:r w:rsidRPr="00BC3D53">
              <w:t>30] m (18.2%)</w:t>
            </w:r>
          </w:p>
          <w:p w14:paraId="0AB8E65C" w14:textId="31D7D253" w:rsidR="00F36348" w:rsidRPr="00BC3D53" w:rsidRDefault="00F36348" w:rsidP="00695A13">
            <w:pPr>
              <w:pStyle w:val="TableBody"/>
            </w:pPr>
            <w:r w:rsidRPr="00BC3D53">
              <w:t>(30</w:t>
            </w:r>
            <w:r w:rsidR="00D379F3">
              <w:t xml:space="preserve"> - </w:t>
            </w:r>
            <w:r w:rsidRPr="00BC3D53">
              <w:t>40] m (52.3%)</w:t>
            </w:r>
          </w:p>
          <w:p w14:paraId="726A0054" w14:textId="21CE5B8A" w:rsidR="00F36348" w:rsidRPr="00BC3D53" w:rsidRDefault="00F36348" w:rsidP="00695A13">
            <w:pPr>
              <w:pStyle w:val="TableBody"/>
            </w:pPr>
            <w:r w:rsidRPr="00BC3D53">
              <w:t>(40</w:t>
            </w:r>
            <w:r w:rsidR="00D379F3">
              <w:t xml:space="preserve"> - </w:t>
            </w:r>
            <w:r w:rsidRPr="00BC3D53">
              <w:t>50] m (23.6%)</w:t>
            </w:r>
          </w:p>
        </w:tc>
        <w:tc>
          <w:tcPr>
            <w:tcW w:w="1916" w:type="dxa"/>
          </w:tcPr>
          <w:p w14:paraId="679B9D76" w14:textId="3CFED3C4" w:rsidR="00F36348" w:rsidRPr="00BC3D53" w:rsidRDefault="00F36348" w:rsidP="00695A13">
            <w:pPr>
              <w:pStyle w:val="TableBody"/>
            </w:pPr>
            <w:r w:rsidRPr="00BC3D53">
              <w:t>(</w:t>
            </w:r>
            <w:r>
              <w:t>0</w:t>
            </w:r>
            <w:r w:rsidR="00D379F3">
              <w:t xml:space="preserve"> - </w:t>
            </w:r>
            <w:r w:rsidRPr="00BC3D53">
              <w:t>25] m (21%)</w:t>
            </w:r>
          </w:p>
          <w:p w14:paraId="57F496F3" w14:textId="5D357AD0" w:rsidR="00F36348" w:rsidRPr="00BC3D53" w:rsidRDefault="00F36348" w:rsidP="00695A13">
            <w:pPr>
              <w:pStyle w:val="TableBody"/>
            </w:pPr>
            <w:r w:rsidRPr="00BC3D53">
              <w:t>(25</w:t>
            </w:r>
            <w:r w:rsidR="00D379F3">
              <w:t xml:space="preserve"> - </w:t>
            </w:r>
            <w:r w:rsidRPr="00BC3D53">
              <w:t>50] m (57.6%)</w:t>
            </w:r>
          </w:p>
        </w:tc>
      </w:tr>
    </w:tbl>
    <w:p w14:paraId="5AB98955" w14:textId="77777777" w:rsidR="00F36348" w:rsidRPr="001D2FC7" w:rsidRDefault="00F36348" w:rsidP="00F36348"/>
    <w:p w14:paraId="1AD66A55" w14:textId="77777777" w:rsidR="00F36348" w:rsidRDefault="00F36348" w:rsidP="00077BB0">
      <w:pPr>
        <w:pStyle w:val="Heading2"/>
      </w:pPr>
      <w:bookmarkStart w:id="835" w:name="_Toc116041928"/>
      <w:r>
        <w:t>NBN Fixed Wireless Access</w:t>
      </w:r>
      <w:bookmarkEnd w:id="835"/>
    </w:p>
    <w:p w14:paraId="2EB9FA4C" w14:textId="525016D3" w:rsidR="00F36348" w:rsidRPr="00DA309A" w:rsidRDefault="00F36348" w:rsidP="00D77F80">
      <w:pPr>
        <w:pStyle w:val="Numberedparagraph"/>
      </w:pPr>
      <w:r>
        <w:t xml:space="preserve">There are 3250 registrations from a 2017 database search of all NBN licence holdings. The </w:t>
      </w:r>
      <w:r w:rsidRPr="00DA309A">
        <w:t>registrations</w:t>
      </w:r>
      <w:r>
        <w:t xml:space="preserve"> are</w:t>
      </w:r>
      <w:r w:rsidRPr="00DA309A">
        <w:t xml:space="preserve"> between 3400</w:t>
      </w:r>
      <w:r w:rsidRPr="008471C7">
        <w:t>–</w:t>
      </w:r>
      <w:r w:rsidRPr="00DA309A">
        <w:t>3600 MHz.</w:t>
      </w:r>
    </w:p>
    <w:p w14:paraId="2FC41106" w14:textId="77777777" w:rsidR="00F36348" w:rsidRDefault="00F36348" w:rsidP="00F36348">
      <w:pPr>
        <w:pStyle w:val="Paragraph"/>
      </w:pPr>
      <w:r w:rsidRPr="00DA309A">
        <w:t>Note: TPA refers to calculated total power into antenna and power refers to reported power values.</w:t>
      </w:r>
    </w:p>
    <w:p w14:paraId="0FCDDDBD" w14:textId="77777777" w:rsidR="00F36348" w:rsidRPr="00DA309A" w:rsidRDefault="00F36348" w:rsidP="00F36348">
      <w:pPr>
        <w:pStyle w:val="ACMAFigureHeader"/>
      </w:pPr>
      <w:r>
        <w:t>Location of NBN deployments in 2017</w:t>
      </w:r>
    </w:p>
    <w:p w14:paraId="67C044DE" w14:textId="77777777" w:rsidR="00F36348" w:rsidRDefault="00F36348" w:rsidP="00F36348">
      <w:pPr>
        <w:pStyle w:val="Paragraph"/>
        <w:rPr>
          <w:shd w:val="clear" w:color="auto" w:fill="FFFFFF"/>
        </w:rPr>
      </w:pPr>
      <w:r>
        <w:rPr>
          <w:noProof/>
          <w:shd w:val="clear" w:color="auto" w:fill="FFFFFF"/>
        </w:rPr>
        <w:drawing>
          <wp:inline distT="0" distB="0" distL="0" distR="0" wp14:anchorId="5E9CF9A9" wp14:editId="4722A9E0">
            <wp:extent cx="4871085" cy="342900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871085" cy="3429000"/>
                    </a:xfrm>
                    <a:prstGeom prst="rect">
                      <a:avLst/>
                    </a:prstGeom>
                    <a:noFill/>
                    <a:ln>
                      <a:noFill/>
                    </a:ln>
                  </pic:spPr>
                </pic:pic>
              </a:graphicData>
            </a:graphic>
          </wp:inline>
        </w:drawing>
      </w:r>
    </w:p>
    <w:p w14:paraId="561EF51A" w14:textId="77777777" w:rsidR="00F36348" w:rsidRDefault="00F36348" w:rsidP="00F36348">
      <w:pPr>
        <w:pStyle w:val="ACMATableHeader"/>
        <w:rPr>
          <w:shd w:val="clear" w:color="auto" w:fill="FFFFFF"/>
        </w:rPr>
      </w:pPr>
      <w:r>
        <w:rPr>
          <w:shd w:val="clear" w:color="auto" w:fill="FFFFFF"/>
        </w:rPr>
        <w:t>Deployment statistics for NBN FWA</w:t>
      </w:r>
    </w:p>
    <w:tbl>
      <w:tblPr>
        <w:tblW w:w="4320" w:type="dxa"/>
        <w:tblLook w:val="04A0" w:firstRow="1" w:lastRow="0" w:firstColumn="1" w:lastColumn="0" w:noHBand="0" w:noVBand="1"/>
      </w:tblPr>
      <w:tblGrid>
        <w:gridCol w:w="2800"/>
        <w:gridCol w:w="605"/>
        <w:gridCol w:w="1164"/>
      </w:tblGrid>
      <w:tr w:rsidR="00F36348" w:rsidRPr="007A2346" w14:paraId="1295FE19" w14:textId="77777777" w:rsidTr="00695A13">
        <w:trPr>
          <w:trHeight w:val="315"/>
        </w:trPr>
        <w:tc>
          <w:tcPr>
            <w:tcW w:w="2800" w:type="dxa"/>
            <w:tcBorders>
              <w:top w:val="nil"/>
              <w:left w:val="nil"/>
              <w:bottom w:val="nil"/>
              <w:right w:val="nil"/>
            </w:tcBorders>
            <w:shd w:val="clear" w:color="auto" w:fill="auto"/>
            <w:noWrap/>
            <w:vAlign w:val="center"/>
            <w:hideMark/>
          </w:tcPr>
          <w:p w14:paraId="7CADDB54"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Bandwidth Table</w:t>
            </w:r>
          </w:p>
        </w:tc>
        <w:tc>
          <w:tcPr>
            <w:tcW w:w="460" w:type="dxa"/>
            <w:tcBorders>
              <w:top w:val="nil"/>
              <w:left w:val="nil"/>
              <w:bottom w:val="nil"/>
              <w:right w:val="nil"/>
            </w:tcBorders>
            <w:shd w:val="clear" w:color="auto" w:fill="auto"/>
            <w:noWrap/>
            <w:vAlign w:val="bottom"/>
            <w:hideMark/>
          </w:tcPr>
          <w:p w14:paraId="34C43381"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65F8BDCB" w14:textId="77777777" w:rsidR="00F36348" w:rsidRPr="007A2346" w:rsidRDefault="00F36348" w:rsidP="00695A13">
            <w:pPr>
              <w:spacing w:after="0" w:line="240" w:lineRule="auto"/>
              <w:rPr>
                <w:rFonts w:ascii="Times New Roman" w:hAnsi="Times New Roman"/>
                <w:szCs w:val="20"/>
              </w:rPr>
            </w:pPr>
          </w:p>
        </w:tc>
      </w:tr>
      <w:tr w:rsidR="00F36348" w:rsidRPr="007A2346" w14:paraId="2988968B" w14:textId="77777777" w:rsidTr="00695A13">
        <w:trPr>
          <w:trHeight w:val="480"/>
        </w:trPr>
        <w:tc>
          <w:tcPr>
            <w:tcW w:w="2800" w:type="dxa"/>
            <w:tcBorders>
              <w:top w:val="nil"/>
              <w:left w:val="nil"/>
              <w:bottom w:val="nil"/>
              <w:right w:val="nil"/>
            </w:tcBorders>
            <w:shd w:val="clear" w:color="auto" w:fill="auto"/>
            <w:vAlign w:val="center"/>
            <w:hideMark/>
          </w:tcPr>
          <w:p w14:paraId="1F41C76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B</w:t>
            </w:r>
            <w:r>
              <w:rPr>
                <w:rFonts w:ascii="Segoe UI" w:hAnsi="Segoe UI" w:cs="Segoe UI"/>
                <w:b/>
                <w:bCs/>
                <w:color w:val="000000"/>
                <w:sz w:val="18"/>
                <w:szCs w:val="18"/>
              </w:rPr>
              <w:t>andwidth</w:t>
            </w:r>
            <w:r w:rsidRPr="007A2346">
              <w:rPr>
                <w:rFonts w:ascii="Segoe UI" w:hAnsi="Segoe UI" w:cs="Segoe UI"/>
                <w:b/>
                <w:bCs/>
                <w:color w:val="000000"/>
                <w:sz w:val="18"/>
                <w:szCs w:val="18"/>
              </w:rPr>
              <w:t xml:space="preserve"> (MHz)</w:t>
            </w:r>
          </w:p>
        </w:tc>
        <w:tc>
          <w:tcPr>
            <w:tcW w:w="460" w:type="dxa"/>
            <w:tcBorders>
              <w:top w:val="nil"/>
              <w:left w:val="nil"/>
              <w:bottom w:val="nil"/>
              <w:right w:val="nil"/>
            </w:tcBorders>
            <w:shd w:val="clear" w:color="auto" w:fill="auto"/>
            <w:noWrap/>
            <w:vAlign w:val="bottom"/>
            <w:hideMark/>
          </w:tcPr>
          <w:p w14:paraId="398B3E04"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2DD6EE8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6EE830E9" w14:textId="77777777" w:rsidTr="00695A13">
        <w:trPr>
          <w:trHeight w:val="300"/>
        </w:trPr>
        <w:tc>
          <w:tcPr>
            <w:tcW w:w="2800" w:type="dxa"/>
            <w:tcBorders>
              <w:top w:val="nil"/>
              <w:left w:val="nil"/>
              <w:bottom w:val="nil"/>
              <w:right w:val="nil"/>
            </w:tcBorders>
            <w:shd w:val="clear" w:color="auto" w:fill="auto"/>
            <w:vAlign w:val="center"/>
            <w:hideMark/>
          </w:tcPr>
          <w:p w14:paraId="7804178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19.9</w:t>
            </w:r>
          </w:p>
        </w:tc>
        <w:tc>
          <w:tcPr>
            <w:tcW w:w="460" w:type="dxa"/>
            <w:tcBorders>
              <w:top w:val="nil"/>
              <w:left w:val="nil"/>
              <w:bottom w:val="nil"/>
              <w:right w:val="nil"/>
            </w:tcBorders>
            <w:shd w:val="clear" w:color="auto" w:fill="auto"/>
            <w:vAlign w:val="center"/>
            <w:hideMark/>
          </w:tcPr>
          <w:p w14:paraId="500694D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952</w:t>
            </w:r>
          </w:p>
        </w:tc>
        <w:tc>
          <w:tcPr>
            <w:tcW w:w="1060" w:type="dxa"/>
            <w:tcBorders>
              <w:top w:val="nil"/>
              <w:left w:val="nil"/>
              <w:bottom w:val="nil"/>
              <w:right w:val="nil"/>
            </w:tcBorders>
            <w:shd w:val="clear" w:color="auto" w:fill="auto"/>
            <w:vAlign w:val="center"/>
            <w:hideMark/>
          </w:tcPr>
          <w:p w14:paraId="2789DCC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29.29</w:t>
            </w:r>
          </w:p>
        </w:tc>
      </w:tr>
      <w:tr w:rsidR="00F36348" w:rsidRPr="007A2346" w14:paraId="5836FBBA" w14:textId="77777777" w:rsidTr="00695A13">
        <w:trPr>
          <w:trHeight w:val="300"/>
        </w:trPr>
        <w:tc>
          <w:tcPr>
            <w:tcW w:w="2800" w:type="dxa"/>
            <w:tcBorders>
              <w:top w:val="nil"/>
              <w:left w:val="nil"/>
              <w:bottom w:val="nil"/>
              <w:right w:val="nil"/>
            </w:tcBorders>
            <w:shd w:val="clear" w:color="auto" w:fill="auto"/>
            <w:vAlign w:val="center"/>
            <w:hideMark/>
          </w:tcPr>
          <w:p w14:paraId="5CA93A5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w:t>
            </w:r>
          </w:p>
        </w:tc>
        <w:tc>
          <w:tcPr>
            <w:tcW w:w="460" w:type="dxa"/>
            <w:tcBorders>
              <w:top w:val="nil"/>
              <w:left w:val="nil"/>
              <w:bottom w:val="nil"/>
              <w:right w:val="nil"/>
            </w:tcBorders>
            <w:shd w:val="clear" w:color="auto" w:fill="auto"/>
            <w:vAlign w:val="center"/>
            <w:hideMark/>
          </w:tcPr>
          <w:p w14:paraId="632F80B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2298</w:t>
            </w:r>
          </w:p>
        </w:tc>
        <w:tc>
          <w:tcPr>
            <w:tcW w:w="1060" w:type="dxa"/>
            <w:tcBorders>
              <w:top w:val="nil"/>
              <w:left w:val="nil"/>
              <w:bottom w:val="nil"/>
              <w:right w:val="nil"/>
            </w:tcBorders>
            <w:shd w:val="clear" w:color="auto" w:fill="auto"/>
            <w:vAlign w:val="center"/>
            <w:hideMark/>
          </w:tcPr>
          <w:p w14:paraId="3069719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70.71</w:t>
            </w:r>
          </w:p>
        </w:tc>
      </w:tr>
      <w:tr w:rsidR="00F36348" w:rsidRPr="007A2346" w14:paraId="1EDF2FBD" w14:textId="77777777" w:rsidTr="00695A13">
        <w:trPr>
          <w:trHeight w:val="315"/>
        </w:trPr>
        <w:tc>
          <w:tcPr>
            <w:tcW w:w="2800" w:type="dxa"/>
            <w:tcBorders>
              <w:top w:val="nil"/>
              <w:left w:val="nil"/>
              <w:bottom w:val="nil"/>
              <w:right w:val="nil"/>
            </w:tcBorders>
            <w:shd w:val="clear" w:color="auto" w:fill="auto"/>
            <w:vAlign w:val="center"/>
            <w:hideMark/>
          </w:tcPr>
          <w:p w14:paraId="5063FAEA"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vAlign w:val="center"/>
            <w:hideMark/>
          </w:tcPr>
          <w:p w14:paraId="269DD5E0"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vAlign w:val="center"/>
            <w:hideMark/>
          </w:tcPr>
          <w:p w14:paraId="1022B750" w14:textId="77777777" w:rsidR="00F36348" w:rsidRPr="007A2346" w:rsidRDefault="00F36348" w:rsidP="00695A13">
            <w:pPr>
              <w:spacing w:after="0" w:line="240" w:lineRule="auto"/>
              <w:rPr>
                <w:rFonts w:ascii="Times New Roman" w:hAnsi="Times New Roman"/>
                <w:szCs w:val="20"/>
              </w:rPr>
            </w:pPr>
          </w:p>
        </w:tc>
      </w:tr>
      <w:tr w:rsidR="00F36348" w:rsidRPr="007A2346" w14:paraId="387D5CE6" w14:textId="77777777" w:rsidTr="00695A13">
        <w:trPr>
          <w:trHeight w:val="315"/>
        </w:trPr>
        <w:tc>
          <w:tcPr>
            <w:tcW w:w="2800" w:type="dxa"/>
            <w:tcBorders>
              <w:top w:val="nil"/>
              <w:left w:val="nil"/>
              <w:bottom w:val="nil"/>
              <w:right w:val="nil"/>
            </w:tcBorders>
            <w:shd w:val="clear" w:color="auto" w:fill="auto"/>
            <w:noWrap/>
            <w:vAlign w:val="center"/>
            <w:hideMark/>
          </w:tcPr>
          <w:p w14:paraId="7337178F"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Bandwidth Distribution</w:t>
            </w:r>
          </w:p>
        </w:tc>
        <w:tc>
          <w:tcPr>
            <w:tcW w:w="460" w:type="dxa"/>
            <w:tcBorders>
              <w:top w:val="nil"/>
              <w:left w:val="nil"/>
              <w:bottom w:val="nil"/>
              <w:right w:val="nil"/>
            </w:tcBorders>
            <w:shd w:val="clear" w:color="auto" w:fill="auto"/>
            <w:noWrap/>
            <w:vAlign w:val="bottom"/>
            <w:hideMark/>
          </w:tcPr>
          <w:p w14:paraId="238FC81B"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5DFC70B9" w14:textId="77777777" w:rsidR="00F36348" w:rsidRPr="007A2346" w:rsidRDefault="00F36348" w:rsidP="00695A13">
            <w:pPr>
              <w:spacing w:after="0" w:line="240" w:lineRule="auto"/>
              <w:rPr>
                <w:rFonts w:ascii="Times New Roman" w:hAnsi="Times New Roman"/>
                <w:szCs w:val="20"/>
              </w:rPr>
            </w:pPr>
          </w:p>
        </w:tc>
      </w:tr>
      <w:tr w:rsidR="00F36348" w:rsidRPr="007A2346" w14:paraId="1AD41DCD" w14:textId="77777777" w:rsidTr="00695A13">
        <w:trPr>
          <w:trHeight w:val="480"/>
        </w:trPr>
        <w:tc>
          <w:tcPr>
            <w:tcW w:w="2800" w:type="dxa"/>
            <w:tcBorders>
              <w:top w:val="nil"/>
              <w:left w:val="nil"/>
              <w:bottom w:val="nil"/>
              <w:right w:val="nil"/>
            </w:tcBorders>
            <w:shd w:val="clear" w:color="auto" w:fill="auto"/>
            <w:vAlign w:val="center"/>
            <w:hideMark/>
          </w:tcPr>
          <w:p w14:paraId="3C61A86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B</w:t>
            </w:r>
            <w:r>
              <w:rPr>
                <w:rFonts w:ascii="Segoe UI" w:hAnsi="Segoe UI" w:cs="Segoe UI"/>
                <w:b/>
                <w:bCs/>
                <w:color w:val="000000"/>
                <w:sz w:val="18"/>
                <w:szCs w:val="18"/>
              </w:rPr>
              <w:t>andwidth</w:t>
            </w:r>
            <w:r w:rsidRPr="007A2346">
              <w:rPr>
                <w:rFonts w:ascii="Segoe UI" w:hAnsi="Segoe UI" w:cs="Segoe UI"/>
                <w:b/>
                <w:bCs/>
                <w:color w:val="000000"/>
                <w:sz w:val="18"/>
                <w:szCs w:val="18"/>
              </w:rPr>
              <w:t xml:space="preserve"> (MHz)</w:t>
            </w:r>
          </w:p>
        </w:tc>
        <w:tc>
          <w:tcPr>
            <w:tcW w:w="460" w:type="dxa"/>
            <w:tcBorders>
              <w:top w:val="nil"/>
              <w:left w:val="nil"/>
              <w:bottom w:val="nil"/>
              <w:right w:val="nil"/>
            </w:tcBorders>
            <w:shd w:val="clear" w:color="auto" w:fill="auto"/>
            <w:noWrap/>
            <w:vAlign w:val="bottom"/>
            <w:hideMark/>
          </w:tcPr>
          <w:p w14:paraId="0986C194"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11BD00C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DC1BF39" w14:textId="77777777" w:rsidTr="00695A13">
        <w:trPr>
          <w:trHeight w:val="480"/>
        </w:trPr>
        <w:tc>
          <w:tcPr>
            <w:tcW w:w="2800" w:type="dxa"/>
            <w:tcBorders>
              <w:top w:val="nil"/>
              <w:left w:val="nil"/>
              <w:bottom w:val="nil"/>
              <w:right w:val="nil"/>
            </w:tcBorders>
            <w:shd w:val="clear" w:color="auto" w:fill="auto"/>
            <w:vAlign w:val="center"/>
            <w:hideMark/>
          </w:tcPr>
          <w:p w14:paraId="568801D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5.0]</w:t>
            </w:r>
          </w:p>
        </w:tc>
        <w:tc>
          <w:tcPr>
            <w:tcW w:w="460" w:type="dxa"/>
            <w:tcBorders>
              <w:top w:val="nil"/>
              <w:left w:val="nil"/>
              <w:bottom w:val="nil"/>
              <w:right w:val="nil"/>
            </w:tcBorders>
            <w:shd w:val="clear" w:color="auto" w:fill="auto"/>
            <w:vAlign w:val="center"/>
            <w:hideMark/>
          </w:tcPr>
          <w:p w14:paraId="3ABB49B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3E076BD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r>
      <w:tr w:rsidR="00F36348" w:rsidRPr="007A2346" w14:paraId="3AB6711D" w14:textId="77777777" w:rsidTr="00695A13">
        <w:trPr>
          <w:trHeight w:val="300"/>
        </w:trPr>
        <w:tc>
          <w:tcPr>
            <w:tcW w:w="2800" w:type="dxa"/>
            <w:tcBorders>
              <w:top w:val="nil"/>
              <w:left w:val="nil"/>
              <w:bottom w:val="nil"/>
              <w:right w:val="nil"/>
            </w:tcBorders>
            <w:shd w:val="clear" w:color="auto" w:fill="auto"/>
            <w:vAlign w:val="center"/>
            <w:hideMark/>
          </w:tcPr>
          <w:p w14:paraId="4CD1C18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 10.0]</w:t>
            </w:r>
          </w:p>
        </w:tc>
        <w:tc>
          <w:tcPr>
            <w:tcW w:w="460" w:type="dxa"/>
            <w:tcBorders>
              <w:top w:val="nil"/>
              <w:left w:val="nil"/>
              <w:bottom w:val="nil"/>
              <w:right w:val="nil"/>
            </w:tcBorders>
            <w:shd w:val="clear" w:color="auto" w:fill="auto"/>
            <w:vAlign w:val="center"/>
            <w:hideMark/>
          </w:tcPr>
          <w:p w14:paraId="25FB21E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2E4F7E8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r>
      <w:tr w:rsidR="00F36348" w:rsidRPr="007A2346" w14:paraId="20D3B60B" w14:textId="77777777" w:rsidTr="00695A13">
        <w:trPr>
          <w:trHeight w:val="480"/>
        </w:trPr>
        <w:tc>
          <w:tcPr>
            <w:tcW w:w="2800" w:type="dxa"/>
            <w:tcBorders>
              <w:top w:val="nil"/>
              <w:left w:val="nil"/>
              <w:bottom w:val="nil"/>
              <w:right w:val="nil"/>
            </w:tcBorders>
            <w:shd w:val="clear" w:color="auto" w:fill="auto"/>
            <w:vAlign w:val="center"/>
            <w:hideMark/>
          </w:tcPr>
          <w:p w14:paraId="041E3E7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15.0]</w:t>
            </w:r>
          </w:p>
        </w:tc>
        <w:tc>
          <w:tcPr>
            <w:tcW w:w="460" w:type="dxa"/>
            <w:tcBorders>
              <w:top w:val="nil"/>
              <w:left w:val="nil"/>
              <w:bottom w:val="nil"/>
              <w:right w:val="nil"/>
            </w:tcBorders>
            <w:shd w:val="clear" w:color="auto" w:fill="auto"/>
            <w:vAlign w:val="center"/>
            <w:hideMark/>
          </w:tcPr>
          <w:p w14:paraId="174F991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63B1388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r>
      <w:tr w:rsidR="00F36348" w:rsidRPr="007A2346" w14:paraId="1143A506" w14:textId="77777777" w:rsidTr="00695A13">
        <w:trPr>
          <w:trHeight w:val="480"/>
        </w:trPr>
        <w:tc>
          <w:tcPr>
            <w:tcW w:w="2800" w:type="dxa"/>
            <w:tcBorders>
              <w:top w:val="nil"/>
              <w:left w:val="nil"/>
              <w:bottom w:val="nil"/>
              <w:right w:val="nil"/>
            </w:tcBorders>
            <w:shd w:val="clear" w:color="auto" w:fill="auto"/>
            <w:vAlign w:val="center"/>
            <w:hideMark/>
          </w:tcPr>
          <w:p w14:paraId="74FB93A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(15.0, 20.0]</w:t>
            </w:r>
          </w:p>
        </w:tc>
        <w:tc>
          <w:tcPr>
            <w:tcW w:w="460" w:type="dxa"/>
            <w:tcBorders>
              <w:top w:val="nil"/>
              <w:left w:val="nil"/>
              <w:bottom w:val="nil"/>
              <w:right w:val="nil"/>
            </w:tcBorders>
            <w:shd w:val="clear" w:color="auto" w:fill="auto"/>
            <w:vAlign w:val="center"/>
            <w:hideMark/>
          </w:tcPr>
          <w:p w14:paraId="725BFE0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3250</w:t>
            </w:r>
          </w:p>
        </w:tc>
        <w:tc>
          <w:tcPr>
            <w:tcW w:w="1060" w:type="dxa"/>
            <w:tcBorders>
              <w:top w:val="nil"/>
              <w:left w:val="nil"/>
              <w:bottom w:val="nil"/>
              <w:right w:val="nil"/>
            </w:tcBorders>
            <w:shd w:val="clear" w:color="auto" w:fill="auto"/>
            <w:vAlign w:val="center"/>
            <w:hideMark/>
          </w:tcPr>
          <w:p w14:paraId="4E2C36E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100</w:t>
            </w:r>
          </w:p>
        </w:tc>
      </w:tr>
      <w:tr w:rsidR="00F36348" w:rsidRPr="007A2346" w14:paraId="0065897A" w14:textId="77777777" w:rsidTr="00695A13">
        <w:trPr>
          <w:trHeight w:val="315"/>
        </w:trPr>
        <w:tc>
          <w:tcPr>
            <w:tcW w:w="2800" w:type="dxa"/>
            <w:tcBorders>
              <w:top w:val="nil"/>
              <w:left w:val="nil"/>
              <w:bottom w:val="nil"/>
              <w:right w:val="nil"/>
            </w:tcBorders>
            <w:shd w:val="clear" w:color="auto" w:fill="auto"/>
            <w:noWrap/>
            <w:vAlign w:val="bottom"/>
            <w:hideMark/>
          </w:tcPr>
          <w:p w14:paraId="6B1E8DE0"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0E35BB25"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3E593C27" w14:textId="77777777" w:rsidR="00F36348" w:rsidRPr="007A2346" w:rsidRDefault="00F36348" w:rsidP="00695A13">
            <w:pPr>
              <w:spacing w:after="0" w:line="240" w:lineRule="auto"/>
              <w:rPr>
                <w:rFonts w:ascii="Times New Roman" w:hAnsi="Times New Roman"/>
                <w:szCs w:val="20"/>
              </w:rPr>
            </w:pPr>
          </w:p>
        </w:tc>
      </w:tr>
      <w:tr w:rsidR="00F36348" w:rsidRPr="007A2346" w14:paraId="326B9AF5" w14:textId="77777777" w:rsidTr="00695A13">
        <w:trPr>
          <w:trHeight w:val="315"/>
        </w:trPr>
        <w:tc>
          <w:tcPr>
            <w:tcW w:w="2800" w:type="dxa"/>
            <w:tcBorders>
              <w:top w:val="nil"/>
              <w:left w:val="nil"/>
              <w:bottom w:val="nil"/>
              <w:right w:val="nil"/>
            </w:tcBorders>
            <w:shd w:val="clear" w:color="auto" w:fill="auto"/>
            <w:noWrap/>
            <w:vAlign w:val="center"/>
            <w:hideMark/>
          </w:tcPr>
          <w:p w14:paraId="5257B09C"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Power Table</w:t>
            </w:r>
          </w:p>
        </w:tc>
        <w:tc>
          <w:tcPr>
            <w:tcW w:w="460" w:type="dxa"/>
            <w:tcBorders>
              <w:top w:val="nil"/>
              <w:left w:val="nil"/>
              <w:bottom w:val="nil"/>
              <w:right w:val="nil"/>
            </w:tcBorders>
            <w:shd w:val="clear" w:color="auto" w:fill="auto"/>
            <w:noWrap/>
            <w:vAlign w:val="bottom"/>
            <w:hideMark/>
          </w:tcPr>
          <w:p w14:paraId="091F3FB9"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0EDC3F0D" w14:textId="77777777" w:rsidR="00F36348" w:rsidRPr="007A2346" w:rsidRDefault="00F36348" w:rsidP="00695A13">
            <w:pPr>
              <w:spacing w:after="0" w:line="240" w:lineRule="auto"/>
              <w:rPr>
                <w:rFonts w:ascii="Times New Roman" w:hAnsi="Times New Roman"/>
                <w:szCs w:val="20"/>
              </w:rPr>
            </w:pPr>
          </w:p>
        </w:tc>
      </w:tr>
      <w:tr w:rsidR="00F36348" w:rsidRPr="007A2346" w14:paraId="391A38CA" w14:textId="77777777" w:rsidTr="00695A13">
        <w:trPr>
          <w:trHeight w:val="480"/>
        </w:trPr>
        <w:tc>
          <w:tcPr>
            <w:tcW w:w="2800" w:type="dxa"/>
            <w:tcBorders>
              <w:top w:val="nil"/>
              <w:left w:val="nil"/>
              <w:bottom w:val="nil"/>
              <w:right w:val="nil"/>
            </w:tcBorders>
            <w:shd w:val="clear" w:color="auto" w:fill="auto"/>
            <w:vAlign w:val="center"/>
            <w:hideMark/>
          </w:tcPr>
          <w:p w14:paraId="65247C8C" w14:textId="77777777" w:rsidR="00F36348" w:rsidRPr="007A2346" w:rsidRDefault="00F36348" w:rsidP="00695A13">
            <w:pPr>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Power (W)</w:t>
            </w:r>
          </w:p>
        </w:tc>
        <w:tc>
          <w:tcPr>
            <w:tcW w:w="460" w:type="dxa"/>
            <w:tcBorders>
              <w:top w:val="nil"/>
              <w:left w:val="nil"/>
              <w:bottom w:val="nil"/>
              <w:right w:val="nil"/>
            </w:tcBorders>
            <w:shd w:val="clear" w:color="auto" w:fill="auto"/>
            <w:noWrap/>
            <w:vAlign w:val="bottom"/>
            <w:hideMark/>
          </w:tcPr>
          <w:p w14:paraId="43CAF501"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5C2601A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4D2AD395" w14:textId="77777777" w:rsidTr="00695A13">
        <w:trPr>
          <w:trHeight w:val="300"/>
        </w:trPr>
        <w:tc>
          <w:tcPr>
            <w:tcW w:w="2800" w:type="dxa"/>
            <w:tcBorders>
              <w:top w:val="nil"/>
              <w:left w:val="nil"/>
              <w:bottom w:val="nil"/>
              <w:right w:val="nil"/>
            </w:tcBorders>
            <w:shd w:val="clear" w:color="auto" w:fill="auto"/>
            <w:vAlign w:val="center"/>
            <w:hideMark/>
          </w:tcPr>
          <w:p w14:paraId="3E015E0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160</w:t>
            </w:r>
          </w:p>
        </w:tc>
        <w:tc>
          <w:tcPr>
            <w:tcW w:w="460" w:type="dxa"/>
            <w:tcBorders>
              <w:top w:val="nil"/>
              <w:left w:val="nil"/>
              <w:bottom w:val="nil"/>
              <w:right w:val="nil"/>
            </w:tcBorders>
            <w:shd w:val="clear" w:color="auto" w:fill="auto"/>
            <w:vAlign w:val="center"/>
            <w:hideMark/>
          </w:tcPr>
          <w:p w14:paraId="5581C2D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3243</w:t>
            </w:r>
          </w:p>
        </w:tc>
        <w:tc>
          <w:tcPr>
            <w:tcW w:w="1060" w:type="dxa"/>
            <w:tcBorders>
              <w:top w:val="nil"/>
              <w:left w:val="nil"/>
              <w:bottom w:val="nil"/>
              <w:right w:val="nil"/>
            </w:tcBorders>
            <w:shd w:val="clear" w:color="auto" w:fill="auto"/>
            <w:vAlign w:val="center"/>
            <w:hideMark/>
          </w:tcPr>
          <w:p w14:paraId="6E1C425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99.78</w:t>
            </w:r>
          </w:p>
        </w:tc>
      </w:tr>
      <w:tr w:rsidR="00F36348" w:rsidRPr="007A2346" w14:paraId="1CCC55AA" w14:textId="77777777" w:rsidTr="00695A13">
        <w:trPr>
          <w:trHeight w:val="300"/>
        </w:trPr>
        <w:tc>
          <w:tcPr>
            <w:tcW w:w="2800" w:type="dxa"/>
            <w:tcBorders>
              <w:top w:val="nil"/>
              <w:left w:val="nil"/>
              <w:bottom w:val="nil"/>
              <w:right w:val="nil"/>
            </w:tcBorders>
            <w:shd w:val="clear" w:color="auto" w:fill="auto"/>
            <w:vAlign w:val="center"/>
            <w:hideMark/>
          </w:tcPr>
          <w:p w14:paraId="7F03E73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80</w:t>
            </w:r>
          </w:p>
        </w:tc>
        <w:tc>
          <w:tcPr>
            <w:tcW w:w="460" w:type="dxa"/>
            <w:tcBorders>
              <w:top w:val="nil"/>
              <w:left w:val="nil"/>
              <w:bottom w:val="nil"/>
              <w:right w:val="nil"/>
            </w:tcBorders>
            <w:shd w:val="clear" w:color="auto" w:fill="auto"/>
            <w:vAlign w:val="center"/>
            <w:hideMark/>
          </w:tcPr>
          <w:p w14:paraId="53CB603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w:t>
            </w:r>
          </w:p>
        </w:tc>
        <w:tc>
          <w:tcPr>
            <w:tcW w:w="1060" w:type="dxa"/>
            <w:tcBorders>
              <w:top w:val="nil"/>
              <w:left w:val="nil"/>
              <w:bottom w:val="nil"/>
              <w:right w:val="nil"/>
            </w:tcBorders>
            <w:shd w:val="clear" w:color="auto" w:fill="auto"/>
            <w:vAlign w:val="center"/>
            <w:hideMark/>
          </w:tcPr>
          <w:p w14:paraId="3C36C91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0.22</w:t>
            </w:r>
          </w:p>
        </w:tc>
      </w:tr>
      <w:tr w:rsidR="00F36348" w:rsidRPr="007A2346" w14:paraId="43B684CD" w14:textId="77777777" w:rsidTr="00695A13">
        <w:trPr>
          <w:trHeight w:val="315"/>
        </w:trPr>
        <w:tc>
          <w:tcPr>
            <w:tcW w:w="2800" w:type="dxa"/>
            <w:tcBorders>
              <w:top w:val="nil"/>
              <w:left w:val="nil"/>
              <w:bottom w:val="nil"/>
              <w:right w:val="nil"/>
            </w:tcBorders>
            <w:shd w:val="clear" w:color="auto" w:fill="auto"/>
            <w:noWrap/>
            <w:vAlign w:val="bottom"/>
            <w:hideMark/>
          </w:tcPr>
          <w:p w14:paraId="65FF0EFB"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04EEA42E"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521D28E4" w14:textId="77777777" w:rsidR="00F36348" w:rsidRPr="007A2346" w:rsidRDefault="00F36348" w:rsidP="00695A13">
            <w:pPr>
              <w:spacing w:after="0" w:line="240" w:lineRule="auto"/>
              <w:rPr>
                <w:rFonts w:ascii="Times New Roman" w:hAnsi="Times New Roman"/>
                <w:szCs w:val="20"/>
              </w:rPr>
            </w:pPr>
          </w:p>
        </w:tc>
      </w:tr>
      <w:tr w:rsidR="00F36348" w:rsidRPr="007A2346" w14:paraId="15DD9D90" w14:textId="77777777" w:rsidTr="00695A13">
        <w:trPr>
          <w:trHeight w:val="315"/>
        </w:trPr>
        <w:tc>
          <w:tcPr>
            <w:tcW w:w="2800" w:type="dxa"/>
            <w:tcBorders>
              <w:top w:val="nil"/>
              <w:left w:val="nil"/>
              <w:bottom w:val="nil"/>
              <w:right w:val="nil"/>
            </w:tcBorders>
            <w:shd w:val="clear" w:color="auto" w:fill="auto"/>
            <w:noWrap/>
            <w:vAlign w:val="center"/>
            <w:hideMark/>
          </w:tcPr>
          <w:p w14:paraId="4C117B5F"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Power Table (dBm/MHz)</w:t>
            </w:r>
          </w:p>
        </w:tc>
        <w:tc>
          <w:tcPr>
            <w:tcW w:w="460" w:type="dxa"/>
            <w:tcBorders>
              <w:top w:val="nil"/>
              <w:left w:val="nil"/>
              <w:bottom w:val="nil"/>
              <w:right w:val="nil"/>
            </w:tcBorders>
            <w:shd w:val="clear" w:color="auto" w:fill="auto"/>
            <w:noWrap/>
            <w:vAlign w:val="bottom"/>
            <w:hideMark/>
          </w:tcPr>
          <w:p w14:paraId="55B6CF9D"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6147ADA6" w14:textId="77777777" w:rsidR="00F36348" w:rsidRPr="007A2346" w:rsidRDefault="00F36348" w:rsidP="00695A13">
            <w:pPr>
              <w:spacing w:after="0" w:line="240" w:lineRule="auto"/>
              <w:rPr>
                <w:rFonts w:ascii="Times New Roman" w:hAnsi="Times New Roman"/>
                <w:szCs w:val="20"/>
              </w:rPr>
            </w:pPr>
          </w:p>
        </w:tc>
      </w:tr>
      <w:tr w:rsidR="00F36348" w:rsidRPr="007A2346" w14:paraId="28E24346" w14:textId="77777777" w:rsidTr="00695A13">
        <w:trPr>
          <w:trHeight w:val="720"/>
        </w:trPr>
        <w:tc>
          <w:tcPr>
            <w:tcW w:w="2800" w:type="dxa"/>
            <w:tcBorders>
              <w:top w:val="nil"/>
              <w:left w:val="nil"/>
              <w:bottom w:val="nil"/>
              <w:right w:val="nil"/>
            </w:tcBorders>
            <w:shd w:val="clear" w:color="auto" w:fill="auto"/>
            <w:vAlign w:val="center"/>
            <w:hideMark/>
          </w:tcPr>
          <w:p w14:paraId="71F2522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Power (dBm/MHz)</w:t>
            </w:r>
          </w:p>
        </w:tc>
        <w:tc>
          <w:tcPr>
            <w:tcW w:w="460" w:type="dxa"/>
            <w:tcBorders>
              <w:top w:val="nil"/>
              <w:left w:val="nil"/>
              <w:bottom w:val="nil"/>
              <w:right w:val="nil"/>
            </w:tcBorders>
            <w:shd w:val="clear" w:color="auto" w:fill="auto"/>
            <w:noWrap/>
            <w:vAlign w:val="bottom"/>
            <w:hideMark/>
          </w:tcPr>
          <w:p w14:paraId="7845E4B9"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2C648F8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67A23F7" w14:textId="77777777" w:rsidTr="00695A13">
        <w:trPr>
          <w:trHeight w:val="300"/>
        </w:trPr>
        <w:tc>
          <w:tcPr>
            <w:tcW w:w="2800" w:type="dxa"/>
            <w:tcBorders>
              <w:top w:val="nil"/>
              <w:left w:val="nil"/>
              <w:bottom w:val="nil"/>
              <w:right w:val="nil"/>
            </w:tcBorders>
            <w:shd w:val="clear" w:color="auto" w:fill="auto"/>
            <w:vAlign w:val="center"/>
            <w:hideMark/>
          </w:tcPr>
          <w:p w14:paraId="0B3B8E2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39.03</w:t>
            </w:r>
          </w:p>
        </w:tc>
        <w:tc>
          <w:tcPr>
            <w:tcW w:w="460" w:type="dxa"/>
            <w:tcBorders>
              <w:top w:val="nil"/>
              <w:left w:val="nil"/>
              <w:bottom w:val="nil"/>
              <w:right w:val="nil"/>
            </w:tcBorders>
            <w:shd w:val="clear" w:color="auto" w:fill="auto"/>
            <w:vAlign w:val="center"/>
            <w:hideMark/>
          </w:tcPr>
          <w:p w14:paraId="06C8363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2298</w:t>
            </w:r>
          </w:p>
        </w:tc>
        <w:tc>
          <w:tcPr>
            <w:tcW w:w="1060" w:type="dxa"/>
            <w:tcBorders>
              <w:top w:val="nil"/>
              <w:left w:val="nil"/>
              <w:bottom w:val="nil"/>
              <w:right w:val="nil"/>
            </w:tcBorders>
            <w:shd w:val="clear" w:color="auto" w:fill="auto"/>
            <w:vAlign w:val="center"/>
            <w:hideMark/>
          </w:tcPr>
          <w:p w14:paraId="49D4DEF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70.71</w:t>
            </w:r>
          </w:p>
        </w:tc>
      </w:tr>
      <w:tr w:rsidR="00F36348" w:rsidRPr="007A2346" w14:paraId="16D7FC0F" w14:textId="77777777" w:rsidTr="00695A13">
        <w:trPr>
          <w:trHeight w:val="300"/>
        </w:trPr>
        <w:tc>
          <w:tcPr>
            <w:tcW w:w="2800" w:type="dxa"/>
            <w:tcBorders>
              <w:top w:val="nil"/>
              <w:left w:val="nil"/>
              <w:bottom w:val="nil"/>
              <w:right w:val="nil"/>
            </w:tcBorders>
            <w:shd w:val="clear" w:color="auto" w:fill="auto"/>
            <w:vAlign w:val="center"/>
            <w:hideMark/>
          </w:tcPr>
          <w:p w14:paraId="16C26EB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39.05</w:t>
            </w:r>
          </w:p>
        </w:tc>
        <w:tc>
          <w:tcPr>
            <w:tcW w:w="460" w:type="dxa"/>
            <w:tcBorders>
              <w:top w:val="nil"/>
              <w:left w:val="nil"/>
              <w:bottom w:val="nil"/>
              <w:right w:val="nil"/>
            </w:tcBorders>
            <w:shd w:val="clear" w:color="auto" w:fill="auto"/>
            <w:vAlign w:val="center"/>
            <w:hideMark/>
          </w:tcPr>
          <w:p w14:paraId="3C1ED80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945</w:t>
            </w:r>
          </w:p>
        </w:tc>
        <w:tc>
          <w:tcPr>
            <w:tcW w:w="1060" w:type="dxa"/>
            <w:tcBorders>
              <w:top w:val="nil"/>
              <w:left w:val="nil"/>
              <w:bottom w:val="nil"/>
              <w:right w:val="nil"/>
            </w:tcBorders>
            <w:shd w:val="clear" w:color="auto" w:fill="auto"/>
            <w:vAlign w:val="center"/>
            <w:hideMark/>
          </w:tcPr>
          <w:p w14:paraId="06521AB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29.08</w:t>
            </w:r>
          </w:p>
        </w:tc>
      </w:tr>
      <w:tr w:rsidR="00F36348" w:rsidRPr="007A2346" w14:paraId="5CD62D16" w14:textId="77777777" w:rsidTr="00695A13">
        <w:trPr>
          <w:trHeight w:val="300"/>
        </w:trPr>
        <w:tc>
          <w:tcPr>
            <w:tcW w:w="2800" w:type="dxa"/>
            <w:tcBorders>
              <w:top w:val="nil"/>
              <w:left w:val="nil"/>
              <w:bottom w:val="nil"/>
              <w:right w:val="nil"/>
            </w:tcBorders>
            <w:shd w:val="clear" w:color="auto" w:fill="auto"/>
            <w:vAlign w:val="center"/>
            <w:hideMark/>
          </w:tcPr>
          <w:p w14:paraId="76ED7E8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36.04</w:t>
            </w:r>
          </w:p>
        </w:tc>
        <w:tc>
          <w:tcPr>
            <w:tcW w:w="460" w:type="dxa"/>
            <w:tcBorders>
              <w:top w:val="nil"/>
              <w:left w:val="nil"/>
              <w:bottom w:val="nil"/>
              <w:right w:val="nil"/>
            </w:tcBorders>
            <w:shd w:val="clear" w:color="auto" w:fill="auto"/>
            <w:vAlign w:val="center"/>
            <w:hideMark/>
          </w:tcPr>
          <w:p w14:paraId="101CBC6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w:t>
            </w:r>
          </w:p>
        </w:tc>
        <w:tc>
          <w:tcPr>
            <w:tcW w:w="1060" w:type="dxa"/>
            <w:tcBorders>
              <w:top w:val="nil"/>
              <w:left w:val="nil"/>
              <w:bottom w:val="nil"/>
              <w:right w:val="nil"/>
            </w:tcBorders>
            <w:shd w:val="clear" w:color="auto" w:fill="auto"/>
            <w:vAlign w:val="center"/>
            <w:hideMark/>
          </w:tcPr>
          <w:p w14:paraId="39751C9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0.22</w:t>
            </w:r>
          </w:p>
        </w:tc>
      </w:tr>
      <w:tr w:rsidR="00F36348" w:rsidRPr="007A2346" w14:paraId="222E9C37" w14:textId="77777777" w:rsidTr="00695A13">
        <w:trPr>
          <w:trHeight w:val="315"/>
        </w:trPr>
        <w:tc>
          <w:tcPr>
            <w:tcW w:w="2800" w:type="dxa"/>
            <w:tcBorders>
              <w:top w:val="nil"/>
              <w:left w:val="nil"/>
              <w:bottom w:val="nil"/>
              <w:right w:val="nil"/>
            </w:tcBorders>
            <w:shd w:val="clear" w:color="auto" w:fill="auto"/>
            <w:noWrap/>
            <w:vAlign w:val="bottom"/>
            <w:hideMark/>
          </w:tcPr>
          <w:p w14:paraId="1F8C7E3C"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6BD38415"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2C7F13FD" w14:textId="77777777" w:rsidR="00F36348" w:rsidRPr="007A2346" w:rsidRDefault="00F36348" w:rsidP="00695A13">
            <w:pPr>
              <w:spacing w:after="0" w:line="240" w:lineRule="auto"/>
              <w:rPr>
                <w:rFonts w:ascii="Times New Roman" w:hAnsi="Times New Roman"/>
                <w:szCs w:val="20"/>
              </w:rPr>
            </w:pPr>
          </w:p>
        </w:tc>
      </w:tr>
      <w:tr w:rsidR="00F36348" w:rsidRPr="007A2346" w14:paraId="01409FBD" w14:textId="77777777" w:rsidTr="00695A13">
        <w:trPr>
          <w:trHeight w:val="315"/>
        </w:trPr>
        <w:tc>
          <w:tcPr>
            <w:tcW w:w="2800" w:type="dxa"/>
            <w:tcBorders>
              <w:top w:val="nil"/>
              <w:left w:val="nil"/>
              <w:bottom w:val="nil"/>
              <w:right w:val="nil"/>
            </w:tcBorders>
            <w:shd w:val="clear" w:color="auto" w:fill="auto"/>
            <w:noWrap/>
            <w:vAlign w:val="center"/>
            <w:hideMark/>
          </w:tcPr>
          <w:p w14:paraId="712BB282"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Table</w:t>
            </w:r>
          </w:p>
        </w:tc>
        <w:tc>
          <w:tcPr>
            <w:tcW w:w="460" w:type="dxa"/>
            <w:tcBorders>
              <w:top w:val="nil"/>
              <w:left w:val="nil"/>
              <w:bottom w:val="nil"/>
              <w:right w:val="nil"/>
            </w:tcBorders>
            <w:shd w:val="clear" w:color="auto" w:fill="auto"/>
            <w:noWrap/>
            <w:vAlign w:val="bottom"/>
            <w:hideMark/>
          </w:tcPr>
          <w:p w14:paraId="346C1ED6"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32E7CA17" w14:textId="77777777" w:rsidR="00F36348" w:rsidRPr="007A2346" w:rsidRDefault="00F36348" w:rsidP="00695A13">
            <w:pPr>
              <w:spacing w:after="0" w:line="240" w:lineRule="auto"/>
              <w:rPr>
                <w:rFonts w:ascii="Times New Roman" w:hAnsi="Times New Roman"/>
                <w:szCs w:val="20"/>
              </w:rPr>
            </w:pPr>
          </w:p>
        </w:tc>
      </w:tr>
      <w:tr w:rsidR="00F36348" w:rsidRPr="007A2346" w14:paraId="3DEF817D" w14:textId="77777777" w:rsidTr="00695A13">
        <w:trPr>
          <w:trHeight w:val="480"/>
        </w:trPr>
        <w:tc>
          <w:tcPr>
            <w:tcW w:w="2800" w:type="dxa"/>
            <w:tcBorders>
              <w:top w:val="nil"/>
              <w:left w:val="nil"/>
              <w:bottom w:val="nil"/>
              <w:right w:val="nil"/>
            </w:tcBorders>
            <w:shd w:val="clear" w:color="auto" w:fill="auto"/>
            <w:vAlign w:val="center"/>
            <w:hideMark/>
          </w:tcPr>
          <w:p w14:paraId="273CBECC" w14:textId="77777777" w:rsidR="00F36348" w:rsidRPr="007A2346" w:rsidRDefault="00F36348" w:rsidP="00695A13">
            <w:pPr>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Total Power into Antenna (W)</w:t>
            </w:r>
          </w:p>
        </w:tc>
        <w:tc>
          <w:tcPr>
            <w:tcW w:w="460" w:type="dxa"/>
            <w:tcBorders>
              <w:top w:val="nil"/>
              <w:left w:val="nil"/>
              <w:bottom w:val="nil"/>
              <w:right w:val="nil"/>
            </w:tcBorders>
            <w:shd w:val="clear" w:color="auto" w:fill="auto"/>
            <w:noWrap/>
            <w:vAlign w:val="bottom"/>
            <w:hideMark/>
          </w:tcPr>
          <w:p w14:paraId="6070673C"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533546F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76ACCCB5" w14:textId="77777777" w:rsidTr="00695A13">
        <w:trPr>
          <w:trHeight w:val="300"/>
        </w:trPr>
        <w:tc>
          <w:tcPr>
            <w:tcW w:w="2800" w:type="dxa"/>
            <w:tcBorders>
              <w:top w:val="nil"/>
              <w:left w:val="nil"/>
              <w:bottom w:val="nil"/>
              <w:right w:val="nil"/>
            </w:tcBorders>
            <w:shd w:val="clear" w:color="auto" w:fill="auto"/>
            <w:vAlign w:val="center"/>
            <w:hideMark/>
          </w:tcPr>
          <w:p w14:paraId="28476E8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142.60</w:t>
            </w:r>
          </w:p>
        </w:tc>
        <w:tc>
          <w:tcPr>
            <w:tcW w:w="460" w:type="dxa"/>
            <w:tcBorders>
              <w:top w:val="nil"/>
              <w:left w:val="nil"/>
              <w:bottom w:val="nil"/>
              <w:right w:val="nil"/>
            </w:tcBorders>
            <w:shd w:val="clear" w:color="auto" w:fill="auto"/>
            <w:vAlign w:val="center"/>
            <w:hideMark/>
          </w:tcPr>
          <w:p w14:paraId="5767196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1728</w:t>
            </w:r>
          </w:p>
        </w:tc>
        <w:tc>
          <w:tcPr>
            <w:tcW w:w="1060" w:type="dxa"/>
            <w:tcBorders>
              <w:top w:val="nil"/>
              <w:left w:val="nil"/>
              <w:bottom w:val="nil"/>
              <w:right w:val="nil"/>
            </w:tcBorders>
            <w:shd w:val="clear" w:color="auto" w:fill="auto"/>
            <w:vAlign w:val="center"/>
            <w:hideMark/>
          </w:tcPr>
          <w:p w14:paraId="2945D29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53.17</w:t>
            </w:r>
          </w:p>
        </w:tc>
      </w:tr>
      <w:tr w:rsidR="00F36348" w:rsidRPr="007A2346" w14:paraId="5944F064" w14:textId="77777777" w:rsidTr="00695A13">
        <w:trPr>
          <w:trHeight w:val="300"/>
        </w:trPr>
        <w:tc>
          <w:tcPr>
            <w:tcW w:w="2800" w:type="dxa"/>
            <w:tcBorders>
              <w:top w:val="nil"/>
              <w:left w:val="nil"/>
              <w:bottom w:val="nil"/>
              <w:right w:val="nil"/>
            </w:tcBorders>
            <w:shd w:val="clear" w:color="auto" w:fill="auto"/>
            <w:vAlign w:val="center"/>
            <w:hideMark/>
          </w:tcPr>
          <w:p w14:paraId="5E36447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152.80</w:t>
            </w:r>
          </w:p>
        </w:tc>
        <w:tc>
          <w:tcPr>
            <w:tcW w:w="460" w:type="dxa"/>
            <w:tcBorders>
              <w:top w:val="nil"/>
              <w:left w:val="nil"/>
              <w:bottom w:val="nil"/>
              <w:right w:val="nil"/>
            </w:tcBorders>
            <w:shd w:val="clear" w:color="auto" w:fill="auto"/>
            <w:vAlign w:val="center"/>
            <w:hideMark/>
          </w:tcPr>
          <w:p w14:paraId="62EEA90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637</w:t>
            </w:r>
          </w:p>
        </w:tc>
        <w:tc>
          <w:tcPr>
            <w:tcW w:w="1060" w:type="dxa"/>
            <w:tcBorders>
              <w:top w:val="nil"/>
              <w:left w:val="nil"/>
              <w:bottom w:val="nil"/>
              <w:right w:val="nil"/>
            </w:tcBorders>
            <w:shd w:val="clear" w:color="auto" w:fill="auto"/>
            <w:vAlign w:val="center"/>
            <w:hideMark/>
          </w:tcPr>
          <w:p w14:paraId="78D688A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19.60</w:t>
            </w:r>
          </w:p>
        </w:tc>
      </w:tr>
      <w:tr w:rsidR="00F36348" w:rsidRPr="007A2346" w14:paraId="73BFC517" w14:textId="77777777" w:rsidTr="00695A13">
        <w:trPr>
          <w:trHeight w:val="300"/>
        </w:trPr>
        <w:tc>
          <w:tcPr>
            <w:tcW w:w="2800" w:type="dxa"/>
            <w:tcBorders>
              <w:top w:val="nil"/>
              <w:left w:val="nil"/>
              <w:bottom w:val="nil"/>
              <w:right w:val="nil"/>
            </w:tcBorders>
            <w:shd w:val="clear" w:color="auto" w:fill="auto"/>
            <w:vAlign w:val="center"/>
            <w:hideMark/>
          </w:tcPr>
          <w:p w14:paraId="44C70D10"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142.60</w:t>
            </w:r>
          </w:p>
        </w:tc>
        <w:tc>
          <w:tcPr>
            <w:tcW w:w="460" w:type="dxa"/>
            <w:tcBorders>
              <w:top w:val="nil"/>
              <w:left w:val="nil"/>
              <w:bottom w:val="nil"/>
              <w:right w:val="nil"/>
            </w:tcBorders>
            <w:shd w:val="clear" w:color="auto" w:fill="auto"/>
            <w:vAlign w:val="center"/>
            <w:hideMark/>
          </w:tcPr>
          <w:p w14:paraId="234CE56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569</w:t>
            </w:r>
          </w:p>
        </w:tc>
        <w:tc>
          <w:tcPr>
            <w:tcW w:w="1060" w:type="dxa"/>
            <w:tcBorders>
              <w:top w:val="nil"/>
              <w:left w:val="nil"/>
              <w:bottom w:val="nil"/>
              <w:right w:val="nil"/>
            </w:tcBorders>
            <w:shd w:val="clear" w:color="auto" w:fill="auto"/>
            <w:vAlign w:val="center"/>
            <w:hideMark/>
          </w:tcPr>
          <w:p w14:paraId="5809319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17.51</w:t>
            </w:r>
          </w:p>
        </w:tc>
      </w:tr>
      <w:tr w:rsidR="00F36348" w:rsidRPr="007A2346" w14:paraId="499382C0" w14:textId="77777777" w:rsidTr="00695A13">
        <w:trPr>
          <w:trHeight w:val="300"/>
        </w:trPr>
        <w:tc>
          <w:tcPr>
            <w:tcW w:w="2800" w:type="dxa"/>
            <w:tcBorders>
              <w:top w:val="nil"/>
              <w:left w:val="nil"/>
              <w:bottom w:val="nil"/>
              <w:right w:val="nil"/>
            </w:tcBorders>
            <w:shd w:val="clear" w:color="auto" w:fill="auto"/>
            <w:vAlign w:val="center"/>
            <w:hideMark/>
          </w:tcPr>
          <w:p w14:paraId="1EF90AC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139.35</w:t>
            </w:r>
          </w:p>
        </w:tc>
        <w:tc>
          <w:tcPr>
            <w:tcW w:w="460" w:type="dxa"/>
            <w:tcBorders>
              <w:top w:val="nil"/>
              <w:left w:val="nil"/>
              <w:bottom w:val="nil"/>
              <w:right w:val="nil"/>
            </w:tcBorders>
            <w:shd w:val="clear" w:color="auto" w:fill="auto"/>
            <w:vAlign w:val="center"/>
            <w:hideMark/>
          </w:tcPr>
          <w:p w14:paraId="531E4A4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251</w:t>
            </w:r>
          </w:p>
        </w:tc>
        <w:tc>
          <w:tcPr>
            <w:tcW w:w="1060" w:type="dxa"/>
            <w:tcBorders>
              <w:top w:val="nil"/>
              <w:left w:val="nil"/>
              <w:bottom w:val="nil"/>
              <w:right w:val="nil"/>
            </w:tcBorders>
            <w:shd w:val="clear" w:color="auto" w:fill="auto"/>
            <w:vAlign w:val="center"/>
            <w:hideMark/>
          </w:tcPr>
          <w:p w14:paraId="4C14808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7.72</w:t>
            </w:r>
          </w:p>
        </w:tc>
      </w:tr>
      <w:tr w:rsidR="00F36348" w:rsidRPr="007A2346" w14:paraId="0BEC31EA" w14:textId="77777777" w:rsidTr="00695A13">
        <w:trPr>
          <w:trHeight w:val="300"/>
        </w:trPr>
        <w:tc>
          <w:tcPr>
            <w:tcW w:w="2800" w:type="dxa"/>
            <w:tcBorders>
              <w:top w:val="nil"/>
              <w:left w:val="nil"/>
              <w:bottom w:val="nil"/>
              <w:right w:val="nil"/>
            </w:tcBorders>
            <w:shd w:val="clear" w:color="auto" w:fill="auto"/>
            <w:vAlign w:val="center"/>
            <w:hideMark/>
          </w:tcPr>
          <w:p w14:paraId="3B0BD31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152.81</w:t>
            </w:r>
          </w:p>
        </w:tc>
        <w:tc>
          <w:tcPr>
            <w:tcW w:w="460" w:type="dxa"/>
            <w:tcBorders>
              <w:top w:val="nil"/>
              <w:left w:val="nil"/>
              <w:bottom w:val="nil"/>
              <w:right w:val="nil"/>
            </w:tcBorders>
            <w:shd w:val="clear" w:color="auto" w:fill="auto"/>
            <w:vAlign w:val="center"/>
            <w:hideMark/>
          </w:tcPr>
          <w:p w14:paraId="4FAD32C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060" w:type="dxa"/>
            <w:tcBorders>
              <w:top w:val="nil"/>
              <w:left w:val="nil"/>
              <w:bottom w:val="nil"/>
              <w:right w:val="nil"/>
            </w:tcBorders>
            <w:shd w:val="clear" w:color="auto" w:fill="auto"/>
            <w:vAlign w:val="center"/>
            <w:hideMark/>
          </w:tcPr>
          <w:p w14:paraId="4281E2F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w:t>
            </w:r>
          </w:p>
        </w:tc>
      </w:tr>
      <w:tr w:rsidR="00F36348" w:rsidRPr="007A2346" w14:paraId="523DBB5A" w14:textId="77777777" w:rsidTr="00695A13">
        <w:trPr>
          <w:trHeight w:val="300"/>
        </w:trPr>
        <w:tc>
          <w:tcPr>
            <w:tcW w:w="2800" w:type="dxa"/>
            <w:tcBorders>
              <w:top w:val="nil"/>
              <w:left w:val="nil"/>
              <w:bottom w:val="nil"/>
              <w:right w:val="nil"/>
            </w:tcBorders>
            <w:shd w:val="clear" w:color="auto" w:fill="auto"/>
            <w:vAlign w:val="center"/>
            <w:hideMark/>
          </w:tcPr>
          <w:p w14:paraId="7F4382D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76.40</w:t>
            </w:r>
          </w:p>
        </w:tc>
        <w:tc>
          <w:tcPr>
            <w:tcW w:w="460" w:type="dxa"/>
            <w:tcBorders>
              <w:top w:val="nil"/>
              <w:left w:val="nil"/>
              <w:bottom w:val="nil"/>
              <w:right w:val="nil"/>
            </w:tcBorders>
            <w:shd w:val="clear" w:color="auto" w:fill="auto"/>
            <w:vAlign w:val="center"/>
            <w:hideMark/>
          </w:tcPr>
          <w:p w14:paraId="5C008CF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w:t>
            </w:r>
          </w:p>
        </w:tc>
        <w:tc>
          <w:tcPr>
            <w:tcW w:w="1060" w:type="dxa"/>
            <w:tcBorders>
              <w:top w:val="nil"/>
              <w:left w:val="nil"/>
              <w:bottom w:val="nil"/>
              <w:right w:val="nil"/>
            </w:tcBorders>
            <w:shd w:val="clear" w:color="auto" w:fill="auto"/>
            <w:vAlign w:val="center"/>
            <w:hideMark/>
          </w:tcPr>
          <w:p w14:paraId="1C2BAAA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0.09</w:t>
            </w:r>
          </w:p>
        </w:tc>
      </w:tr>
      <w:tr w:rsidR="00F36348" w:rsidRPr="007A2346" w14:paraId="59D5EB7A" w14:textId="77777777" w:rsidTr="00695A13">
        <w:trPr>
          <w:trHeight w:val="300"/>
        </w:trPr>
        <w:tc>
          <w:tcPr>
            <w:tcW w:w="2800" w:type="dxa"/>
            <w:tcBorders>
              <w:top w:val="nil"/>
              <w:left w:val="nil"/>
              <w:bottom w:val="nil"/>
              <w:right w:val="nil"/>
            </w:tcBorders>
            <w:shd w:val="clear" w:color="auto" w:fill="auto"/>
            <w:vAlign w:val="center"/>
            <w:hideMark/>
          </w:tcPr>
          <w:p w14:paraId="254955D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139.35</w:t>
            </w:r>
          </w:p>
        </w:tc>
        <w:tc>
          <w:tcPr>
            <w:tcW w:w="460" w:type="dxa"/>
            <w:tcBorders>
              <w:top w:val="nil"/>
              <w:left w:val="nil"/>
              <w:bottom w:val="nil"/>
              <w:right w:val="nil"/>
            </w:tcBorders>
            <w:shd w:val="clear" w:color="auto" w:fill="auto"/>
            <w:vAlign w:val="center"/>
            <w:hideMark/>
          </w:tcPr>
          <w:p w14:paraId="09700E4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w:t>
            </w:r>
          </w:p>
        </w:tc>
        <w:tc>
          <w:tcPr>
            <w:tcW w:w="1060" w:type="dxa"/>
            <w:tcBorders>
              <w:top w:val="nil"/>
              <w:left w:val="nil"/>
              <w:bottom w:val="nil"/>
              <w:right w:val="nil"/>
            </w:tcBorders>
            <w:shd w:val="clear" w:color="auto" w:fill="auto"/>
            <w:vAlign w:val="center"/>
            <w:hideMark/>
          </w:tcPr>
          <w:p w14:paraId="2ADF769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0.06</w:t>
            </w:r>
          </w:p>
        </w:tc>
      </w:tr>
      <w:tr w:rsidR="00F36348" w:rsidRPr="007A2346" w14:paraId="264169E2" w14:textId="77777777" w:rsidTr="00695A13">
        <w:trPr>
          <w:trHeight w:val="300"/>
        </w:trPr>
        <w:tc>
          <w:tcPr>
            <w:tcW w:w="2800" w:type="dxa"/>
            <w:tcBorders>
              <w:top w:val="nil"/>
              <w:left w:val="nil"/>
              <w:bottom w:val="nil"/>
              <w:right w:val="nil"/>
            </w:tcBorders>
            <w:shd w:val="clear" w:color="auto" w:fill="auto"/>
            <w:vAlign w:val="center"/>
            <w:hideMark/>
          </w:tcPr>
          <w:p w14:paraId="7EB798F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87.93</w:t>
            </w:r>
          </w:p>
        </w:tc>
        <w:tc>
          <w:tcPr>
            <w:tcW w:w="460" w:type="dxa"/>
            <w:tcBorders>
              <w:top w:val="nil"/>
              <w:left w:val="nil"/>
              <w:bottom w:val="nil"/>
              <w:right w:val="nil"/>
            </w:tcBorders>
            <w:shd w:val="clear" w:color="auto" w:fill="auto"/>
            <w:vAlign w:val="center"/>
            <w:hideMark/>
          </w:tcPr>
          <w:p w14:paraId="6474EA7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060" w:type="dxa"/>
            <w:tcBorders>
              <w:top w:val="nil"/>
              <w:left w:val="nil"/>
              <w:bottom w:val="nil"/>
              <w:right w:val="nil"/>
            </w:tcBorders>
            <w:shd w:val="clear" w:color="auto" w:fill="auto"/>
            <w:vAlign w:val="center"/>
            <w:hideMark/>
          </w:tcPr>
          <w:p w14:paraId="7452C44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0.03</w:t>
            </w:r>
          </w:p>
        </w:tc>
      </w:tr>
      <w:tr w:rsidR="00F36348" w:rsidRPr="007A2346" w14:paraId="496ADAB9" w14:textId="77777777" w:rsidTr="00695A13">
        <w:trPr>
          <w:trHeight w:val="315"/>
        </w:trPr>
        <w:tc>
          <w:tcPr>
            <w:tcW w:w="2800" w:type="dxa"/>
            <w:tcBorders>
              <w:top w:val="nil"/>
              <w:left w:val="nil"/>
              <w:bottom w:val="nil"/>
              <w:right w:val="nil"/>
            </w:tcBorders>
            <w:shd w:val="clear" w:color="auto" w:fill="auto"/>
            <w:noWrap/>
            <w:vAlign w:val="bottom"/>
            <w:hideMark/>
          </w:tcPr>
          <w:p w14:paraId="3687C7A9"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12037FF4"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2B507A26" w14:textId="77777777" w:rsidR="00F36348" w:rsidRPr="007A2346" w:rsidRDefault="00F36348" w:rsidP="00695A13">
            <w:pPr>
              <w:spacing w:after="0" w:line="240" w:lineRule="auto"/>
              <w:rPr>
                <w:rFonts w:ascii="Times New Roman" w:hAnsi="Times New Roman"/>
                <w:szCs w:val="20"/>
              </w:rPr>
            </w:pPr>
          </w:p>
        </w:tc>
      </w:tr>
      <w:tr w:rsidR="00F36348" w:rsidRPr="007A2346" w14:paraId="0C5FD604" w14:textId="77777777" w:rsidTr="00695A13">
        <w:trPr>
          <w:trHeight w:val="315"/>
        </w:trPr>
        <w:tc>
          <w:tcPr>
            <w:tcW w:w="2800" w:type="dxa"/>
            <w:tcBorders>
              <w:top w:val="nil"/>
              <w:left w:val="nil"/>
              <w:bottom w:val="nil"/>
              <w:right w:val="nil"/>
            </w:tcBorders>
            <w:shd w:val="clear" w:color="auto" w:fill="auto"/>
            <w:noWrap/>
            <w:vAlign w:val="center"/>
            <w:hideMark/>
          </w:tcPr>
          <w:p w14:paraId="2355B9A9"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Distribution (dBm/MHz)</w:t>
            </w:r>
          </w:p>
        </w:tc>
        <w:tc>
          <w:tcPr>
            <w:tcW w:w="460" w:type="dxa"/>
            <w:tcBorders>
              <w:top w:val="nil"/>
              <w:left w:val="nil"/>
              <w:bottom w:val="nil"/>
              <w:right w:val="nil"/>
            </w:tcBorders>
            <w:shd w:val="clear" w:color="auto" w:fill="auto"/>
            <w:noWrap/>
            <w:vAlign w:val="bottom"/>
            <w:hideMark/>
          </w:tcPr>
          <w:p w14:paraId="2AC042B1"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2CCB3FEB" w14:textId="77777777" w:rsidR="00F36348" w:rsidRPr="007A2346" w:rsidRDefault="00F36348" w:rsidP="00695A13">
            <w:pPr>
              <w:spacing w:after="0" w:line="240" w:lineRule="auto"/>
              <w:rPr>
                <w:rFonts w:ascii="Times New Roman" w:hAnsi="Times New Roman"/>
                <w:szCs w:val="20"/>
              </w:rPr>
            </w:pPr>
          </w:p>
        </w:tc>
      </w:tr>
      <w:tr w:rsidR="00F36348" w:rsidRPr="007A2346" w14:paraId="18795F15" w14:textId="77777777" w:rsidTr="00695A13">
        <w:trPr>
          <w:trHeight w:val="480"/>
        </w:trPr>
        <w:tc>
          <w:tcPr>
            <w:tcW w:w="2800" w:type="dxa"/>
            <w:tcBorders>
              <w:top w:val="nil"/>
              <w:left w:val="nil"/>
              <w:bottom w:val="nil"/>
              <w:right w:val="nil"/>
            </w:tcBorders>
            <w:shd w:val="clear" w:color="auto" w:fill="auto"/>
            <w:vAlign w:val="center"/>
            <w:hideMark/>
          </w:tcPr>
          <w:p w14:paraId="53A22168" w14:textId="77777777" w:rsidR="00F36348" w:rsidRPr="007A2346" w:rsidRDefault="00F36348" w:rsidP="00695A13">
            <w:pPr>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Total Power into Antenna (dBm/MHz)</w:t>
            </w:r>
          </w:p>
        </w:tc>
        <w:tc>
          <w:tcPr>
            <w:tcW w:w="460" w:type="dxa"/>
            <w:tcBorders>
              <w:top w:val="nil"/>
              <w:left w:val="nil"/>
              <w:bottom w:val="nil"/>
              <w:right w:val="nil"/>
            </w:tcBorders>
            <w:shd w:val="clear" w:color="auto" w:fill="auto"/>
            <w:noWrap/>
            <w:vAlign w:val="bottom"/>
            <w:hideMark/>
          </w:tcPr>
          <w:p w14:paraId="0DE87757"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2A36EEF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42F940DD" w14:textId="77777777" w:rsidTr="00695A13">
        <w:trPr>
          <w:trHeight w:val="300"/>
        </w:trPr>
        <w:tc>
          <w:tcPr>
            <w:tcW w:w="2800" w:type="dxa"/>
            <w:tcBorders>
              <w:top w:val="nil"/>
              <w:left w:val="nil"/>
              <w:bottom w:val="nil"/>
              <w:right w:val="nil"/>
            </w:tcBorders>
            <w:shd w:val="clear" w:color="auto" w:fill="auto"/>
            <w:vAlign w:val="center"/>
            <w:hideMark/>
          </w:tcPr>
          <w:p w14:paraId="03415FB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8.53</w:t>
            </w:r>
          </w:p>
        </w:tc>
        <w:tc>
          <w:tcPr>
            <w:tcW w:w="460" w:type="dxa"/>
            <w:tcBorders>
              <w:top w:val="nil"/>
              <w:left w:val="nil"/>
              <w:bottom w:val="nil"/>
              <w:right w:val="nil"/>
            </w:tcBorders>
            <w:shd w:val="clear" w:color="auto" w:fill="auto"/>
            <w:vAlign w:val="center"/>
            <w:hideMark/>
          </w:tcPr>
          <w:p w14:paraId="7E01434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1728</w:t>
            </w:r>
          </w:p>
        </w:tc>
        <w:tc>
          <w:tcPr>
            <w:tcW w:w="1060" w:type="dxa"/>
            <w:tcBorders>
              <w:top w:val="nil"/>
              <w:left w:val="nil"/>
              <w:bottom w:val="nil"/>
              <w:right w:val="nil"/>
            </w:tcBorders>
            <w:shd w:val="clear" w:color="auto" w:fill="auto"/>
            <w:vAlign w:val="center"/>
            <w:hideMark/>
          </w:tcPr>
          <w:p w14:paraId="117EA7D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53.17</w:t>
            </w:r>
          </w:p>
        </w:tc>
      </w:tr>
      <w:tr w:rsidR="00F36348" w:rsidRPr="007A2346" w14:paraId="300EA315" w14:textId="77777777" w:rsidTr="00695A13">
        <w:trPr>
          <w:trHeight w:val="300"/>
        </w:trPr>
        <w:tc>
          <w:tcPr>
            <w:tcW w:w="2800" w:type="dxa"/>
            <w:tcBorders>
              <w:top w:val="nil"/>
              <w:left w:val="nil"/>
              <w:bottom w:val="nil"/>
              <w:right w:val="nil"/>
            </w:tcBorders>
            <w:shd w:val="clear" w:color="auto" w:fill="auto"/>
            <w:vAlign w:val="center"/>
            <w:hideMark/>
          </w:tcPr>
          <w:p w14:paraId="6F3A37B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8.85</w:t>
            </w:r>
          </w:p>
        </w:tc>
        <w:tc>
          <w:tcPr>
            <w:tcW w:w="460" w:type="dxa"/>
            <w:tcBorders>
              <w:top w:val="nil"/>
              <w:left w:val="nil"/>
              <w:bottom w:val="nil"/>
              <w:right w:val="nil"/>
            </w:tcBorders>
            <w:shd w:val="clear" w:color="auto" w:fill="auto"/>
            <w:vAlign w:val="center"/>
            <w:hideMark/>
          </w:tcPr>
          <w:p w14:paraId="277995F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637</w:t>
            </w:r>
          </w:p>
        </w:tc>
        <w:tc>
          <w:tcPr>
            <w:tcW w:w="1060" w:type="dxa"/>
            <w:tcBorders>
              <w:top w:val="nil"/>
              <w:left w:val="nil"/>
              <w:bottom w:val="nil"/>
              <w:right w:val="nil"/>
            </w:tcBorders>
            <w:shd w:val="clear" w:color="auto" w:fill="auto"/>
            <w:vAlign w:val="center"/>
            <w:hideMark/>
          </w:tcPr>
          <w:p w14:paraId="7E7A2C9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19.60</w:t>
            </w:r>
          </w:p>
        </w:tc>
      </w:tr>
      <w:tr w:rsidR="00F36348" w:rsidRPr="007A2346" w14:paraId="72208A65" w14:textId="77777777" w:rsidTr="00695A13">
        <w:trPr>
          <w:trHeight w:val="300"/>
        </w:trPr>
        <w:tc>
          <w:tcPr>
            <w:tcW w:w="2800" w:type="dxa"/>
            <w:tcBorders>
              <w:top w:val="nil"/>
              <w:left w:val="nil"/>
              <w:bottom w:val="nil"/>
              <w:right w:val="nil"/>
            </w:tcBorders>
            <w:shd w:val="clear" w:color="auto" w:fill="auto"/>
            <w:vAlign w:val="center"/>
            <w:hideMark/>
          </w:tcPr>
          <w:p w14:paraId="3C9335D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8.53</w:t>
            </w:r>
          </w:p>
        </w:tc>
        <w:tc>
          <w:tcPr>
            <w:tcW w:w="460" w:type="dxa"/>
            <w:tcBorders>
              <w:top w:val="nil"/>
              <w:left w:val="nil"/>
              <w:bottom w:val="nil"/>
              <w:right w:val="nil"/>
            </w:tcBorders>
            <w:shd w:val="clear" w:color="auto" w:fill="auto"/>
            <w:vAlign w:val="center"/>
            <w:hideMark/>
          </w:tcPr>
          <w:p w14:paraId="76866C4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569</w:t>
            </w:r>
          </w:p>
        </w:tc>
        <w:tc>
          <w:tcPr>
            <w:tcW w:w="1060" w:type="dxa"/>
            <w:tcBorders>
              <w:top w:val="nil"/>
              <w:left w:val="nil"/>
              <w:bottom w:val="nil"/>
              <w:right w:val="nil"/>
            </w:tcBorders>
            <w:shd w:val="clear" w:color="auto" w:fill="auto"/>
            <w:vAlign w:val="center"/>
            <w:hideMark/>
          </w:tcPr>
          <w:p w14:paraId="1DF599F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17.51</w:t>
            </w:r>
          </w:p>
        </w:tc>
      </w:tr>
      <w:tr w:rsidR="00F36348" w:rsidRPr="007A2346" w14:paraId="61F61D3B" w14:textId="77777777" w:rsidTr="00695A13">
        <w:trPr>
          <w:trHeight w:val="300"/>
        </w:trPr>
        <w:tc>
          <w:tcPr>
            <w:tcW w:w="2800" w:type="dxa"/>
            <w:tcBorders>
              <w:top w:val="nil"/>
              <w:left w:val="nil"/>
              <w:bottom w:val="nil"/>
              <w:right w:val="nil"/>
            </w:tcBorders>
            <w:shd w:val="clear" w:color="auto" w:fill="auto"/>
            <w:vAlign w:val="center"/>
            <w:hideMark/>
          </w:tcPr>
          <w:p w14:paraId="656A339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8.45</w:t>
            </w:r>
          </w:p>
        </w:tc>
        <w:tc>
          <w:tcPr>
            <w:tcW w:w="460" w:type="dxa"/>
            <w:tcBorders>
              <w:top w:val="nil"/>
              <w:left w:val="nil"/>
              <w:bottom w:val="nil"/>
              <w:right w:val="nil"/>
            </w:tcBorders>
            <w:shd w:val="clear" w:color="auto" w:fill="auto"/>
            <w:vAlign w:val="center"/>
            <w:hideMark/>
          </w:tcPr>
          <w:p w14:paraId="3649D4B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251</w:t>
            </w:r>
          </w:p>
        </w:tc>
        <w:tc>
          <w:tcPr>
            <w:tcW w:w="1060" w:type="dxa"/>
            <w:tcBorders>
              <w:top w:val="nil"/>
              <w:left w:val="nil"/>
              <w:bottom w:val="nil"/>
              <w:right w:val="nil"/>
            </w:tcBorders>
            <w:shd w:val="clear" w:color="auto" w:fill="auto"/>
            <w:vAlign w:val="center"/>
            <w:hideMark/>
          </w:tcPr>
          <w:p w14:paraId="497328E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7.72</w:t>
            </w:r>
          </w:p>
        </w:tc>
      </w:tr>
      <w:tr w:rsidR="00F36348" w:rsidRPr="007A2346" w14:paraId="5B45761A" w14:textId="77777777" w:rsidTr="00695A13">
        <w:trPr>
          <w:trHeight w:val="300"/>
        </w:trPr>
        <w:tc>
          <w:tcPr>
            <w:tcW w:w="2800" w:type="dxa"/>
            <w:tcBorders>
              <w:top w:val="nil"/>
              <w:left w:val="nil"/>
              <w:bottom w:val="nil"/>
              <w:right w:val="nil"/>
            </w:tcBorders>
            <w:shd w:val="clear" w:color="auto" w:fill="auto"/>
            <w:vAlign w:val="center"/>
            <w:hideMark/>
          </w:tcPr>
          <w:p w14:paraId="39CC5A6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8.85</w:t>
            </w:r>
          </w:p>
        </w:tc>
        <w:tc>
          <w:tcPr>
            <w:tcW w:w="460" w:type="dxa"/>
            <w:tcBorders>
              <w:top w:val="nil"/>
              <w:left w:val="nil"/>
              <w:bottom w:val="nil"/>
              <w:right w:val="nil"/>
            </w:tcBorders>
            <w:shd w:val="clear" w:color="auto" w:fill="auto"/>
            <w:vAlign w:val="center"/>
            <w:hideMark/>
          </w:tcPr>
          <w:p w14:paraId="6FB5899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060" w:type="dxa"/>
            <w:tcBorders>
              <w:top w:val="nil"/>
              <w:left w:val="nil"/>
              <w:bottom w:val="nil"/>
              <w:right w:val="nil"/>
            </w:tcBorders>
            <w:shd w:val="clear" w:color="auto" w:fill="auto"/>
            <w:vAlign w:val="center"/>
            <w:hideMark/>
          </w:tcPr>
          <w:p w14:paraId="226D6EE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w:t>
            </w:r>
          </w:p>
        </w:tc>
      </w:tr>
      <w:tr w:rsidR="00F36348" w:rsidRPr="007A2346" w14:paraId="4D3305E6" w14:textId="77777777" w:rsidTr="00695A13">
        <w:trPr>
          <w:trHeight w:val="300"/>
        </w:trPr>
        <w:tc>
          <w:tcPr>
            <w:tcW w:w="2800" w:type="dxa"/>
            <w:tcBorders>
              <w:top w:val="nil"/>
              <w:left w:val="nil"/>
              <w:bottom w:val="nil"/>
              <w:right w:val="nil"/>
            </w:tcBorders>
            <w:shd w:val="clear" w:color="auto" w:fill="auto"/>
            <w:vAlign w:val="center"/>
            <w:hideMark/>
          </w:tcPr>
          <w:p w14:paraId="12D0B4E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5.84</w:t>
            </w:r>
          </w:p>
        </w:tc>
        <w:tc>
          <w:tcPr>
            <w:tcW w:w="460" w:type="dxa"/>
            <w:tcBorders>
              <w:top w:val="nil"/>
              <w:left w:val="nil"/>
              <w:bottom w:val="nil"/>
              <w:right w:val="nil"/>
            </w:tcBorders>
            <w:shd w:val="clear" w:color="auto" w:fill="auto"/>
            <w:vAlign w:val="center"/>
            <w:hideMark/>
          </w:tcPr>
          <w:p w14:paraId="6BB8427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w:t>
            </w:r>
          </w:p>
        </w:tc>
        <w:tc>
          <w:tcPr>
            <w:tcW w:w="1060" w:type="dxa"/>
            <w:tcBorders>
              <w:top w:val="nil"/>
              <w:left w:val="nil"/>
              <w:bottom w:val="nil"/>
              <w:right w:val="nil"/>
            </w:tcBorders>
            <w:shd w:val="clear" w:color="auto" w:fill="auto"/>
            <w:vAlign w:val="center"/>
            <w:hideMark/>
          </w:tcPr>
          <w:p w14:paraId="16DA3BC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0.09</w:t>
            </w:r>
          </w:p>
        </w:tc>
      </w:tr>
      <w:tr w:rsidR="00F36348" w:rsidRPr="007A2346" w14:paraId="7760622C" w14:textId="77777777" w:rsidTr="00695A13">
        <w:trPr>
          <w:trHeight w:val="300"/>
        </w:trPr>
        <w:tc>
          <w:tcPr>
            <w:tcW w:w="2800" w:type="dxa"/>
            <w:tcBorders>
              <w:top w:val="nil"/>
              <w:left w:val="nil"/>
              <w:bottom w:val="nil"/>
              <w:right w:val="nil"/>
            </w:tcBorders>
            <w:shd w:val="clear" w:color="auto" w:fill="auto"/>
            <w:vAlign w:val="center"/>
            <w:hideMark/>
          </w:tcPr>
          <w:p w14:paraId="3976178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8.45</w:t>
            </w:r>
          </w:p>
        </w:tc>
        <w:tc>
          <w:tcPr>
            <w:tcW w:w="460" w:type="dxa"/>
            <w:tcBorders>
              <w:top w:val="nil"/>
              <w:left w:val="nil"/>
              <w:bottom w:val="nil"/>
              <w:right w:val="nil"/>
            </w:tcBorders>
            <w:shd w:val="clear" w:color="auto" w:fill="auto"/>
            <w:vAlign w:val="center"/>
            <w:hideMark/>
          </w:tcPr>
          <w:p w14:paraId="0271811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w:t>
            </w:r>
          </w:p>
        </w:tc>
        <w:tc>
          <w:tcPr>
            <w:tcW w:w="1060" w:type="dxa"/>
            <w:tcBorders>
              <w:top w:val="nil"/>
              <w:left w:val="nil"/>
              <w:bottom w:val="nil"/>
              <w:right w:val="nil"/>
            </w:tcBorders>
            <w:shd w:val="clear" w:color="auto" w:fill="auto"/>
            <w:vAlign w:val="center"/>
            <w:hideMark/>
          </w:tcPr>
          <w:p w14:paraId="5773250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0.06</w:t>
            </w:r>
          </w:p>
        </w:tc>
      </w:tr>
      <w:tr w:rsidR="00F36348" w:rsidRPr="007A2346" w14:paraId="43A7D0FB" w14:textId="77777777" w:rsidTr="00695A13">
        <w:trPr>
          <w:trHeight w:val="300"/>
        </w:trPr>
        <w:tc>
          <w:tcPr>
            <w:tcW w:w="2800" w:type="dxa"/>
            <w:tcBorders>
              <w:top w:val="nil"/>
              <w:left w:val="nil"/>
              <w:bottom w:val="nil"/>
              <w:right w:val="nil"/>
            </w:tcBorders>
            <w:shd w:val="clear" w:color="auto" w:fill="auto"/>
            <w:vAlign w:val="center"/>
            <w:hideMark/>
          </w:tcPr>
          <w:p w14:paraId="47A320A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6.43</w:t>
            </w:r>
          </w:p>
        </w:tc>
        <w:tc>
          <w:tcPr>
            <w:tcW w:w="460" w:type="dxa"/>
            <w:tcBorders>
              <w:top w:val="nil"/>
              <w:left w:val="nil"/>
              <w:bottom w:val="nil"/>
              <w:right w:val="nil"/>
            </w:tcBorders>
            <w:shd w:val="clear" w:color="auto" w:fill="auto"/>
            <w:vAlign w:val="center"/>
            <w:hideMark/>
          </w:tcPr>
          <w:p w14:paraId="58288B7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060" w:type="dxa"/>
            <w:tcBorders>
              <w:top w:val="nil"/>
              <w:left w:val="nil"/>
              <w:bottom w:val="nil"/>
              <w:right w:val="nil"/>
            </w:tcBorders>
            <w:shd w:val="clear" w:color="auto" w:fill="auto"/>
            <w:vAlign w:val="center"/>
            <w:hideMark/>
          </w:tcPr>
          <w:p w14:paraId="267A7A0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0.03</w:t>
            </w:r>
          </w:p>
        </w:tc>
      </w:tr>
      <w:tr w:rsidR="00F36348" w:rsidRPr="007A2346" w14:paraId="3D90CB7E" w14:textId="77777777" w:rsidTr="00695A13">
        <w:trPr>
          <w:trHeight w:val="315"/>
        </w:trPr>
        <w:tc>
          <w:tcPr>
            <w:tcW w:w="2800" w:type="dxa"/>
            <w:tcBorders>
              <w:top w:val="nil"/>
              <w:left w:val="nil"/>
              <w:bottom w:val="nil"/>
              <w:right w:val="nil"/>
            </w:tcBorders>
            <w:shd w:val="clear" w:color="auto" w:fill="auto"/>
            <w:noWrap/>
            <w:vAlign w:val="bottom"/>
            <w:hideMark/>
          </w:tcPr>
          <w:p w14:paraId="18090BBF"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2E145AB5"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5DE88DB2" w14:textId="77777777" w:rsidR="00F36348" w:rsidRPr="007A2346" w:rsidRDefault="00F36348" w:rsidP="00695A13">
            <w:pPr>
              <w:spacing w:after="0" w:line="240" w:lineRule="auto"/>
              <w:rPr>
                <w:rFonts w:ascii="Times New Roman" w:hAnsi="Times New Roman"/>
                <w:szCs w:val="20"/>
              </w:rPr>
            </w:pPr>
          </w:p>
        </w:tc>
      </w:tr>
      <w:tr w:rsidR="00F36348" w:rsidRPr="007A2346" w14:paraId="0DB708ED" w14:textId="77777777" w:rsidTr="00695A13">
        <w:trPr>
          <w:trHeight w:val="315"/>
        </w:trPr>
        <w:tc>
          <w:tcPr>
            <w:tcW w:w="2800" w:type="dxa"/>
            <w:tcBorders>
              <w:top w:val="nil"/>
              <w:left w:val="nil"/>
              <w:bottom w:val="nil"/>
              <w:right w:val="nil"/>
            </w:tcBorders>
            <w:shd w:val="clear" w:color="auto" w:fill="auto"/>
            <w:noWrap/>
            <w:vAlign w:val="center"/>
            <w:hideMark/>
          </w:tcPr>
          <w:p w14:paraId="76DB74D7"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Gains</w:t>
            </w:r>
          </w:p>
        </w:tc>
        <w:tc>
          <w:tcPr>
            <w:tcW w:w="460" w:type="dxa"/>
            <w:tcBorders>
              <w:top w:val="nil"/>
              <w:left w:val="nil"/>
              <w:bottom w:val="nil"/>
              <w:right w:val="nil"/>
            </w:tcBorders>
            <w:shd w:val="clear" w:color="auto" w:fill="auto"/>
            <w:noWrap/>
            <w:vAlign w:val="bottom"/>
            <w:hideMark/>
          </w:tcPr>
          <w:p w14:paraId="5C1E54AA"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12A2E1A4" w14:textId="77777777" w:rsidR="00F36348" w:rsidRPr="007A2346" w:rsidRDefault="00F36348" w:rsidP="00695A13">
            <w:pPr>
              <w:spacing w:after="0" w:line="240" w:lineRule="auto"/>
              <w:rPr>
                <w:rFonts w:ascii="Times New Roman" w:hAnsi="Times New Roman"/>
                <w:szCs w:val="20"/>
              </w:rPr>
            </w:pPr>
          </w:p>
        </w:tc>
      </w:tr>
      <w:tr w:rsidR="00F36348" w:rsidRPr="007A2346" w14:paraId="7CF6EF1C" w14:textId="77777777" w:rsidTr="00695A13">
        <w:trPr>
          <w:trHeight w:val="480"/>
        </w:trPr>
        <w:tc>
          <w:tcPr>
            <w:tcW w:w="2800" w:type="dxa"/>
            <w:tcBorders>
              <w:top w:val="nil"/>
              <w:left w:val="nil"/>
              <w:bottom w:val="nil"/>
              <w:right w:val="nil"/>
            </w:tcBorders>
            <w:shd w:val="clear" w:color="auto" w:fill="auto"/>
            <w:vAlign w:val="center"/>
            <w:hideMark/>
          </w:tcPr>
          <w:p w14:paraId="41DE365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Antenna Gain (dBi)</w:t>
            </w:r>
          </w:p>
        </w:tc>
        <w:tc>
          <w:tcPr>
            <w:tcW w:w="460" w:type="dxa"/>
            <w:tcBorders>
              <w:top w:val="nil"/>
              <w:left w:val="nil"/>
              <w:bottom w:val="nil"/>
              <w:right w:val="nil"/>
            </w:tcBorders>
            <w:shd w:val="clear" w:color="auto" w:fill="auto"/>
            <w:noWrap/>
            <w:vAlign w:val="bottom"/>
            <w:hideMark/>
          </w:tcPr>
          <w:p w14:paraId="04D7F4C3"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6BD59D0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24AE3FB" w14:textId="77777777" w:rsidTr="00695A13">
        <w:trPr>
          <w:trHeight w:val="300"/>
        </w:trPr>
        <w:tc>
          <w:tcPr>
            <w:tcW w:w="2800" w:type="dxa"/>
            <w:tcBorders>
              <w:top w:val="nil"/>
              <w:left w:val="nil"/>
              <w:bottom w:val="nil"/>
              <w:right w:val="nil"/>
            </w:tcBorders>
            <w:shd w:val="clear" w:color="auto" w:fill="auto"/>
            <w:vAlign w:val="center"/>
            <w:hideMark/>
          </w:tcPr>
          <w:p w14:paraId="283FFAE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17.5</w:t>
            </w:r>
          </w:p>
        </w:tc>
        <w:tc>
          <w:tcPr>
            <w:tcW w:w="460" w:type="dxa"/>
            <w:tcBorders>
              <w:top w:val="nil"/>
              <w:left w:val="nil"/>
              <w:bottom w:val="nil"/>
              <w:right w:val="nil"/>
            </w:tcBorders>
            <w:shd w:val="clear" w:color="auto" w:fill="auto"/>
            <w:vAlign w:val="center"/>
            <w:hideMark/>
          </w:tcPr>
          <w:p w14:paraId="398897B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2427</w:t>
            </w:r>
          </w:p>
        </w:tc>
        <w:tc>
          <w:tcPr>
            <w:tcW w:w="1060" w:type="dxa"/>
            <w:tcBorders>
              <w:top w:val="nil"/>
              <w:left w:val="nil"/>
              <w:bottom w:val="nil"/>
              <w:right w:val="nil"/>
            </w:tcBorders>
            <w:shd w:val="clear" w:color="auto" w:fill="auto"/>
            <w:vAlign w:val="center"/>
            <w:hideMark/>
          </w:tcPr>
          <w:p w14:paraId="48319C6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74.68</w:t>
            </w:r>
          </w:p>
        </w:tc>
      </w:tr>
      <w:tr w:rsidR="00F36348" w:rsidRPr="007A2346" w14:paraId="675E4D12" w14:textId="77777777" w:rsidTr="00695A13">
        <w:trPr>
          <w:trHeight w:val="300"/>
        </w:trPr>
        <w:tc>
          <w:tcPr>
            <w:tcW w:w="2800" w:type="dxa"/>
            <w:tcBorders>
              <w:top w:val="nil"/>
              <w:left w:val="nil"/>
              <w:bottom w:val="nil"/>
              <w:right w:val="nil"/>
            </w:tcBorders>
            <w:shd w:val="clear" w:color="auto" w:fill="auto"/>
            <w:vAlign w:val="center"/>
            <w:hideMark/>
          </w:tcPr>
          <w:p w14:paraId="7E18DA9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19.6</w:t>
            </w:r>
          </w:p>
        </w:tc>
        <w:tc>
          <w:tcPr>
            <w:tcW w:w="460" w:type="dxa"/>
            <w:tcBorders>
              <w:top w:val="nil"/>
              <w:left w:val="nil"/>
              <w:bottom w:val="nil"/>
              <w:right w:val="nil"/>
            </w:tcBorders>
            <w:shd w:val="clear" w:color="auto" w:fill="auto"/>
            <w:vAlign w:val="center"/>
            <w:hideMark/>
          </w:tcPr>
          <w:p w14:paraId="1A87AF5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823</w:t>
            </w:r>
          </w:p>
        </w:tc>
        <w:tc>
          <w:tcPr>
            <w:tcW w:w="1060" w:type="dxa"/>
            <w:tcBorders>
              <w:top w:val="nil"/>
              <w:left w:val="nil"/>
              <w:bottom w:val="nil"/>
              <w:right w:val="nil"/>
            </w:tcBorders>
            <w:shd w:val="clear" w:color="auto" w:fill="auto"/>
            <w:vAlign w:val="center"/>
            <w:hideMark/>
          </w:tcPr>
          <w:p w14:paraId="625EBBF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25.32</w:t>
            </w:r>
          </w:p>
        </w:tc>
      </w:tr>
      <w:tr w:rsidR="00F36348" w:rsidRPr="007A2346" w14:paraId="33F9DDCC" w14:textId="77777777" w:rsidTr="00695A13">
        <w:trPr>
          <w:trHeight w:val="315"/>
        </w:trPr>
        <w:tc>
          <w:tcPr>
            <w:tcW w:w="2800" w:type="dxa"/>
            <w:tcBorders>
              <w:top w:val="nil"/>
              <w:left w:val="nil"/>
              <w:bottom w:val="nil"/>
              <w:right w:val="nil"/>
            </w:tcBorders>
            <w:shd w:val="clear" w:color="auto" w:fill="auto"/>
            <w:noWrap/>
            <w:vAlign w:val="bottom"/>
            <w:hideMark/>
          </w:tcPr>
          <w:p w14:paraId="27BF90EB"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7B2757FE"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2F679633" w14:textId="77777777" w:rsidR="00F36348" w:rsidRPr="007A2346" w:rsidRDefault="00F36348" w:rsidP="00695A13">
            <w:pPr>
              <w:spacing w:after="0" w:line="240" w:lineRule="auto"/>
              <w:rPr>
                <w:rFonts w:ascii="Times New Roman" w:hAnsi="Times New Roman"/>
                <w:szCs w:val="20"/>
              </w:rPr>
            </w:pPr>
          </w:p>
        </w:tc>
      </w:tr>
      <w:tr w:rsidR="00F36348" w:rsidRPr="007A2346" w14:paraId="1E5DEAE4" w14:textId="77777777" w:rsidTr="00695A13">
        <w:trPr>
          <w:trHeight w:val="315"/>
        </w:trPr>
        <w:tc>
          <w:tcPr>
            <w:tcW w:w="2800" w:type="dxa"/>
            <w:tcBorders>
              <w:top w:val="nil"/>
              <w:left w:val="nil"/>
              <w:bottom w:val="nil"/>
              <w:right w:val="nil"/>
            </w:tcBorders>
            <w:shd w:val="clear" w:color="auto" w:fill="auto"/>
            <w:noWrap/>
            <w:vAlign w:val="center"/>
            <w:hideMark/>
          </w:tcPr>
          <w:p w14:paraId="13BEA897"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xml:space="preserve"># EIRP </w:t>
            </w:r>
          </w:p>
        </w:tc>
        <w:tc>
          <w:tcPr>
            <w:tcW w:w="460" w:type="dxa"/>
            <w:tcBorders>
              <w:top w:val="nil"/>
              <w:left w:val="nil"/>
              <w:bottom w:val="nil"/>
              <w:right w:val="nil"/>
            </w:tcBorders>
            <w:shd w:val="clear" w:color="auto" w:fill="auto"/>
            <w:noWrap/>
            <w:vAlign w:val="bottom"/>
            <w:hideMark/>
          </w:tcPr>
          <w:p w14:paraId="1456554A"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4F12C6B5" w14:textId="77777777" w:rsidR="00F36348" w:rsidRPr="007A2346" w:rsidRDefault="00F36348" w:rsidP="00695A13">
            <w:pPr>
              <w:spacing w:after="0" w:line="240" w:lineRule="auto"/>
              <w:rPr>
                <w:rFonts w:ascii="Times New Roman" w:hAnsi="Times New Roman"/>
                <w:szCs w:val="20"/>
              </w:rPr>
            </w:pPr>
          </w:p>
        </w:tc>
      </w:tr>
      <w:tr w:rsidR="00F36348" w:rsidRPr="007A2346" w14:paraId="55D18E07" w14:textId="77777777" w:rsidTr="00695A13">
        <w:trPr>
          <w:trHeight w:val="480"/>
        </w:trPr>
        <w:tc>
          <w:tcPr>
            <w:tcW w:w="2800" w:type="dxa"/>
            <w:tcBorders>
              <w:top w:val="nil"/>
              <w:left w:val="nil"/>
              <w:bottom w:val="nil"/>
              <w:right w:val="nil"/>
            </w:tcBorders>
            <w:shd w:val="clear" w:color="auto" w:fill="auto"/>
            <w:vAlign w:val="center"/>
            <w:hideMark/>
          </w:tcPr>
          <w:p w14:paraId="1408FE3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(W)</w:t>
            </w:r>
          </w:p>
        </w:tc>
        <w:tc>
          <w:tcPr>
            <w:tcW w:w="460" w:type="dxa"/>
            <w:tcBorders>
              <w:top w:val="nil"/>
              <w:left w:val="nil"/>
              <w:bottom w:val="nil"/>
              <w:right w:val="nil"/>
            </w:tcBorders>
            <w:shd w:val="clear" w:color="auto" w:fill="auto"/>
            <w:noWrap/>
            <w:vAlign w:val="bottom"/>
            <w:hideMark/>
          </w:tcPr>
          <w:p w14:paraId="380CCE68"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5E574A7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5E512A1F" w14:textId="77777777" w:rsidTr="00695A13">
        <w:trPr>
          <w:trHeight w:val="300"/>
        </w:trPr>
        <w:tc>
          <w:tcPr>
            <w:tcW w:w="2800" w:type="dxa"/>
            <w:tcBorders>
              <w:top w:val="nil"/>
              <w:left w:val="nil"/>
              <w:bottom w:val="nil"/>
              <w:right w:val="nil"/>
            </w:tcBorders>
            <w:shd w:val="clear" w:color="auto" w:fill="auto"/>
            <w:vAlign w:val="center"/>
            <w:hideMark/>
          </w:tcPr>
          <w:p w14:paraId="63427C9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8019</w:t>
            </w:r>
          </w:p>
        </w:tc>
        <w:tc>
          <w:tcPr>
            <w:tcW w:w="460" w:type="dxa"/>
            <w:tcBorders>
              <w:top w:val="nil"/>
              <w:left w:val="nil"/>
              <w:bottom w:val="nil"/>
              <w:right w:val="nil"/>
            </w:tcBorders>
            <w:shd w:val="clear" w:color="auto" w:fill="auto"/>
            <w:vAlign w:val="center"/>
            <w:hideMark/>
          </w:tcPr>
          <w:p w14:paraId="08B32CE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1729</w:t>
            </w:r>
          </w:p>
        </w:tc>
        <w:tc>
          <w:tcPr>
            <w:tcW w:w="1060" w:type="dxa"/>
            <w:tcBorders>
              <w:top w:val="nil"/>
              <w:left w:val="nil"/>
              <w:bottom w:val="nil"/>
              <w:right w:val="nil"/>
            </w:tcBorders>
            <w:shd w:val="clear" w:color="auto" w:fill="auto"/>
            <w:vAlign w:val="center"/>
            <w:hideMark/>
          </w:tcPr>
          <w:p w14:paraId="5CCDCD7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53.20</w:t>
            </w:r>
          </w:p>
        </w:tc>
      </w:tr>
      <w:tr w:rsidR="00F36348" w:rsidRPr="007A2346" w14:paraId="46F88616" w14:textId="77777777" w:rsidTr="00695A13">
        <w:trPr>
          <w:trHeight w:val="300"/>
        </w:trPr>
        <w:tc>
          <w:tcPr>
            <w:tcW w:w="2800" w:type="dxa"/>
            <w:tcBorders>
              <w:top w:val="nil"/>
              <w:left w:val="nil"/>
              <w:bottom w:val="nil"/>
              <w:right w:val="nil"/>
            </w:tcBorders>
            <w:shd w:val="clear" w:color="auto" w:fill="auto"/>
            <w:vAlign w:val="center"/>
            <w:hideMark/>
          </w:tcPr>
          <w:p w14:paraId="6AC9CEC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8593</w:t>
            </w:r>
          </w:p>
        </w:tc>
        <w:tc>
          <w:tcPr>
            <w:tcW w:w="460" w:type="dxa"/>
            <w:tcBorders>
              <w:top w:val="nil"/>
              <w:left w:val="nil"/>
              <w:bottom w:val="nil"/>
              <w:right w:val="nil"/>
            </w:tcBorders>
            <w:shd w:val="clear" w:color="auto" w:fill="auto"/>
            <w:vAlign w:val="center"/>
            <w:hideMark/>
          </w:tcPr>
          <w:p w14:paraId="5B0FDC7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637</w:t>
            </w:r>
          </w:p>
        </w:tc>
        <w:tc>
          <w:tcPr>
            <w:tcW w:w="1060" w:type="dxa"/>
            <w:tcBorders>
              <w:top w:val="nil"/>
              <w:left w:val="nil"/>
              <w:bottom w:val="nil"/>
              <w:right w:val="nil"/>
            </w:tcBorders>
            <w:shd w:val="clear" w:color="auto" w:fill="auto"/>
            <w:vAlign w:val="center"/>
            <w:hideMark/>
          </w:tcPr>
          <w:p w14:paraId="0A890E5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19.60</w:t>
            </w:r>
          </w:p>
        </w:tc>
      </w:tr>
      <w:tr w:rsidR="00F36348" w:rsidRPr="007A2346" w14:paraId="06AEEA61" w14:textId="77777777" w:rsidTr="00695A13">
        <w:trPr>
          <w:trHeight w:val="300"/>
        </w:trPr>
        <w:tc>
          <w:tcPr>
            <w:tcW w:w="2800" w:type="dxa"/>
            <w:tcBorders>
              <w:top w:val="nil"/>
              <w:left w:val="nil"/>
              <w:bottom w:val="nil"/>
              <w:right w:val="nil"/>
            </w:tcBorders>
            <w:shd w:val="clear" w:color="auto" w:fill="auto"/>
            <w:vAlign w:val="center"/>
            <w:hideMark/>
          </w:tcPr>
          <w:p w14:paraId="473CC95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13005</w:t>
            </w:r>
          </w:p>
        </w:tc>
        <w:tc>
          <w:tcPr>
            <w:tcW w:w="460" w:type="dxa"/>
            <w:tcBorders>
              <w:top w:val="nil"/>
              <w:left w:val="nil"/>
              <w:bottom w:val="nil"/>
              <w:right w:val="nil"/>
            </w:tcBorders>
            <w:shd w:val="clear" w:color="auto" w:fill="auto"/>
            <w:vAlign w:val="center"/>
            <w:hideMark/>
          </w:tcPr>
          <w:p w14:paraId="0204F62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569</w:t>
            </w:r>
          </w:p>
        </w:tc>
        <w:tc>
          <w:tcPr>
            <w:tcW w:w="1060" w:type="dxa"/>
            <w:tcBorders>
              <w:top w:val="nil"/>
              <w:left w:val="nil"/>
              <w:bottom w:val="nil"/>
              <w:right w:val="nil"/>
            </w:tcBorders>
            <w:shd w:val="clear" w:color="auto" w:fill="auto"/>
            <w:vAlign w:val="center"/>
            <w:hideMark/>
          </w:tcPr>
          <w:p w14:paraId="1364376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17.51</w:t>
            </w:r>
          </w:p>
        </w:tc>
      </w:tr>
      <w:tr w:rsidR="00F36348" w:rsidRPr="007A2346" w14:paraId="66C0C5D6" w14:textId="77777777" w:rsidTr="00695A13">
        <w:trPr>
          <w:trHeight w:val="300"/>
        </w:trPr>
        <w:tc>
          <w:tcPr>
            <w:tcW w:w="2800" w:type="dxa"/>
            <w:tcBorders>
              <w:top w:val="nil"/>
              <w:left w:val="nil"/>
              <w:bottom w:val="nil"/>
              <w:right w:val="nil"/>
            </w:tcBorders>
            <w:shd w:val="clear" w:color="auto" w:fill="auto"/>
            <w:vAlign w:val="center"/>
            <w:hideMark/>
          </w:tcPr>
          <w:p w14:paraId="7F6241E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12709</w:t>
            </w:r>
          </w:p>
        </w:tc>
        <w:tc>
          <w:tcPr>
            <w:tcW w:w="460" w:type="dxa"/>
            <w:tcBorders>
              <w:top w:val="nil"/>
              <w:left w:val="nil"/>
              <w:bottom w:val="nil"/>
              <w:right w:val="nil"/>
            </w:tcBorders>
            <w:shd w:val="clear" w:color="auto" w:fill="auto"/>
            <w:vAlign w:val="center"/>
            <w:hideMark/>
          </w:tcPr>
          <w:p w14:paraId="77885E9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251</w:t>
            </w:r>
          </w:p>
        </w:tc>
        <w:tc>
          <w:tcPr>
            <w:tcW w:w="1060" w:type="dxa"/>
            <w:tcBorders>
              <w:top w:val="nil"/>
              <w:left w:val="nil"/>
              <w:bottom w:val="nil"/>
              <w:right w:val="nil"/>
            </w:tcBorders>
            <w:shd w:val="clear" w:color="auto" w:fill="auto"/>
            <w:vAlign w:val="center"/>
            <w:hideMark/>
          </w:tcPr>
          <w:p w14:paraId="45A1AEE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7.72</w:t>
            </w:r>
          </w:p>
        </w:tc>
      </w:tr>
      <w:tr w:rsidR="00F36348" w:rsidRPr="007A2346" w14:paraId="3382F163" w14:textId="77777777" w:rsidTr="00695A13">
        <w:trPr>
          <w:trHeight w:val="300"/>
        </w:trPr>
        <w:tc>
          <w:tcPr>
            <w:tcW w:w="2800" w:type="dxa"/>
            <w:tcBorders>
              <w:top w:val="nil"/>
              <w:left w:val="nil"/>
              <w:bottom w:val="nil"/>
              <w:right w:val="nil"/>
            </w:tcBorders>
            <w:shd w:val="clear" w:color="auto" w:fill="auto"/>
            <w:vAlign w:val="center"/>
            <w:hideMark/>
          </w:tcPr>
          <w:p w14:paraId="0C7299B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8593</w:t>
            </w:r>
          </w:p>
        </w:tc>
        <w:tc>
          <w:tcPr>
            <w:tcW w:w="460" w:type="dxa"/>
            <w:tcBorders>
              <w:top w:val="nil"/>
              <w:left w:val="nil"/>
              <w:bottom w:val="nil"/>
              <w:right w:val="nil"/>
            </w:tcBorders>
            <w:shd w:val="clear" w:color="auto" w:fill="auto"/>
            <w:vAlign w:val="center"/>
            <w:hideMark/>
          </w:tcPr>
          <w:p w14:paraId="23805F7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060" w:type="dxa"/>
            <w:tcBorders>
              <w:top w:val="nil"/>
              <w:left w:val="nil"/>
              <w:bottom w:val="nil"/>
              <w:right w:val="nil"/>
            </w:tcBorders>
            <w:shd w:val="clear" w:color="auto" w:fill="auto"/>
            <w:vAlign w:val="center"/>
            <w:hideMark/>
          </w:tcPr>
          <w:p w14:paraId="0EDC465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w:t>
            </w:r>
          </w:p>
        </w:tc>
      </w:tr>
      <w:tr w:rsidR="00F36348" w:rsidRPr="007A2346" w14:paraId="6A1823DD" w14:textId="77777777" w:rsidTr="00695A13">
        <w:trPr>
          <w:trHeight w:val="300"/>
        </w:trPr>
        <w:tc>
          <w:tcPr>
            <w:tcW w:w="2800" w:type="dxa"/>
            <w:tcBorders>
              <w:top w:val="nil"/>
              <w:left w:val="nil"/>
              <w:bottom w:val="nil"/>
              <w:right w:val="nil"/>
            </w:tcBorders>
            <w:shd w:val="clear" w:color="auto" w:fill="auto"/>
            <w:vAlign w:val="center"/>
            <w:hideMark/>
          </w:tcPr>
          <w:p w14:paraId="417339E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4296</w:t>
            </w:r>
          </w:p>
        </w:tc>
        <w:tc>
          <w:tcPr>
            <w:tcW w:w="460" w:type="dxa"/>
            <w:tcBorders>
              <w:top w:val="nil"/>
              <w:left w:val="nil"/>
              <w:bottom w:val="nil"/>
              <w:right w:val="nil"/>
            </w:tcBorders>
            <w:shd w:val="clear" w:color="auto" w:fill="auto"/>
            <w:vAlign w:val="center"/>
            <w:hideMark/>
          </w:tcPr>
          <w:p w14:paraId="7C80618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w:t>
            </w:r>
          </w:p>
        </w:tc>
        <w:tc>
          <w:tcPr>
            <w:tcW w:w="1060" w:type="dxa"/>
            <w:tcBorders>
              <w:top w:val="nil"/>
              <w:left w:val="nil"/>
              <w:bottom w:val="nil"/>
              <w:right w:val="nil"/>
            </w:tcBorders>
            <w:shd w:val="clear" w:color="auto" w:fill="auto"/>
            <w:vAlign w:val="center"/>
            <w:hideMark/>
          </w:tcPr>
          <w:p w14:paraId="642B3EE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0.09</w:t>
            </w:r>
          </w:p>
        </w:tc>
      </w:tr>
      <w:tr w:rsidR="00F36348" w:rsidRPr="007A2346" w14:paraId="4B06130A" w14:textId="77777777" w:rsidTr="00695A13">
        <w:trPr>
          <w:trHeight w:val="300"/>
        </w:trPr>
        <w:tc>
          <w:tcPr>
            <w:tcW w:w="2800" w:type="dxa"/>
            <w:tcBorders>
              <w:top w:val="nil"/>
              <w:left w:val="nil"/>
              <w:bottom w:val="nil"/>
              <w:right w:val="nil"/>
            </w:tcBorders>
            <w:shd w:val="clear" w:color="auto" w:fill="auto"/>
            <w:vAlign w:val="center"/>
            <w:hideMark/>
          </w:tcPr>
          <w:p w14:paraId="3B24C53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12709</w:t>
            </w:r>
          </w:p>
        </w:tc>
        <w:tc>
          <w:tcPr>
            <w:tcW w:w="460" w:type="dxa"/>
            <w:tcBorders>
              <w:top w:val="nil"/>
              <w:left w:val="nil"/>
              <w:bottom w:val="nil"/>
              <w:right w:val="nil"/>
            </w:tcBorders>
            <w:shd w:val="clear" w:color="auto" w:fill="auto"/>
            <w:vAlign w:val="center"/>
            <w:hideMark/>
          </w:tcPr>
          <w:p w14:paraId="0CAF2A2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w:t>
            </w:r>
          </w:p>
        </w:tc>
        <w:tc>
          <w:tcPr>
            <w:tcW w:w="1060" w:type="dxa"/>
            <w:tcBorders>
              <w:top w:val="nil"/>
              <w:left w:val="nil"/>
              <w:bottom w:val="nil"/>
              <w:right w:val="nil"/>
            </w:tcBorders>
            <w:shd w:val="clear" w:color="auto" w:fill="auto"/>
            <w:vAlign w:val="center"/>
            <w:hideMark/>
          </w:tcPr>
          <w:p w14:paraId="36F0B2B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0.06</w:t>
            </w:r>
          </w:p>
        </w:tc>
      </w:tr>
      <w:tr w:rsidR="00F36348" w:rsidRPr="007A2346" w14:paraId="350DAF59" w14:textId="77777777" w:rsidTr="00695A13">
        <w:trPr>
          <w:trHeight w:val="315"/>
        </w:trPr>
        <w:tc>
          <w:tcPr>
            <w:tcW w:w="2800" w:type="dxa"/>
            <w:tcBorders>
              <w:top w:val="nil"/>
              <w:left w:val="nil"/>
              <w:bottom w:val="nil"/>
              <w:right w:val="nil"/>
            </w:tcBorders>
            <w:shd w:val="clear" w:color="auto" w:fill="auto"/>
            <w:noWrap/>
            <w:vAlign w:val="bottom"/>
            <w:hideMark/>
          </w:tcPr>
          <w:p w14:paraId="431555AD"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2484AF08"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113B8FF0" w14:textId="77777777" w:rsidR="00F36348" w:rsidRPr="007A2346" w:rsidRDefault="00F36348" w:rsidP="00695A13">
            <w:pPr>
              <w:spacing w:after="0" w:line="240" w:lineRule="auto"/>
              <w:rPr>
                <w:rFonts w:ascii="Times New Roman" w:hAnsi="Times New Roman"/>
                <w:szCs w:val="20"/>
              </w:rPr>
            </w:pPr>
          </w:p>
        </w:tc>
      </w:tr>
      <w:tr w:rsidR="00F36348" w:rsidRPr="007A2346" w14:paraId="0167F793" w14:textId="77777777" w:rsidTr="00695A13">
        <w:trPr>
          <w:trHeight w:val="315"/>
        </w:trPr>
        <w:tc>
          <w:tcPr>
            <w:tcW w:w="2800" w:type="dxa"/>
            <w:tcBorders>
              <w:top w:val="nil"/>
              <w:left w:val="nil"/>
              <w:bottom w:val="nil"/>
              <w:right w:val="nil"/>
            </w:tcBorders>
            <w:shd w:val="clear" w:color="auto" w:fill="auto"/>
            <w:noWrap/>
            <w:vAlign w:val="center"/>
            <w:hideMark/>
          </w:tcPr>
          <w:p w14:paraId="690CB5E8"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w:t>
            </w:r>
          </w:p>
        </w:tc>
        <w:tc>
          <w:tcPr>
            <w:tcW w:w="460" w:type="dxa"/>
            <w:tcBorders>
              <w:top w:val="nil"/>
              <w:left w:val="nil"/>
              <w:bottom w:val="nil"/>
              <w:right w:val="nil"/>
            </w:tcBorders>
            <w:shd w:val="clear" w:color="auto" w:fill="auto"/>
            <w:noWrap/>
            <w:vAlign w:val="bottom"/>
            <w:hideMark/>
          </w:tcPr>
          <w:p w14:paraId="27AB778C"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78160FC5" w14:textId="77777777" w:rsidR="00F36348" w:rsidRPr="007A2346" w:rsidRDefault="00F36348" w:rsidP="00695A13">
            <w:pPr>
              <w:spacing w:after="0" w:line="240" w:lineRule="auto"/>
              <w:rPr>
                <w:rFonts w:ascii="Times New Roman" w:hAnsi="Times New Roman"/>
                <w:szCs w:val="20"/>
              </w:rPr>
            </w:pPr>
          </w:p>
        </w:tc>
      </w:tr>
      <w:tr w:rsidR="00F36348" w:rsidRPr="007A2346" w14:paraId="2965C104" w14:textId="77777777" w:rsidTr="00695A13">
        <w:trPr>
          <w:trHeight w:val="480"/>
        </w:trPr>
        <w:tc>
          <w:tcPr>
            <w:tcW w:w="2800" w:type="dxa"/>
            <w:tcBorders>
              <w:top w:val="nil"/>
              <w:left w:val="nil"/>
              <w:bottom w:val="nil"/>
              <w:right w:val="nil"/>
            </w:tcBorders>
            <w:shd w:val="clear" w:color="auto" w:fill="auto"/>
            <w:vAlign w:val="center"/>
            <w:hideMark/>
          </w:tcPr>
          <w:p w14:paraId="0C91716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w:t>
            </w:r>
          </w:p>
        </w:tc>
        <w:tc>
          <w:tcPr>
            <w:tcW w:w="460" w:type="dxa"/>
            <w:tcBorders>
              <w:top w:val="nil"/>
              <w:left w:val="nil"/>
              <w:bottom w:val="nil"/>
              <w:right w:val="nil"/>
            </w:tcBorders>
            <w:shd w:val="clear" w:color="auto" w:fill="auto"/>
            <w:noWrap/>
            <w:vAlign w:val="bottom"/>
            <w:hideMark/>
          </w:tcPr>
          <w:p w14:paraId="42B7922C"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176F7199"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13B44A4E" w14:textId="77777777" w:rsidTr="00695A13">
        <w:trPr>
          <w:trHeight w:val="300"/>
        </w:trPr>
        <w:tc>
          <w:tcPr>
            <w:tcW w:w="2800" w:type="dxa"/>
            <w:tcBorders>
              <w:top w:val="nil"/>
              <w:left w:val="nil"/>
              <w:bottom w:val="nil"/>
              <w:right w:val="nil"/>
            </w:tcBorders>
            <w:shd w:val="clear" w:color="auto" w:fill="auto"/>
            <w:vAlign w:val="center"/>
            <w:hideMark/>
          </w:tcPr>
          <w:p w14:paraId="3FAA866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69.04</w:t>
            </w:r>
          </w:p>
        </w:tc>
        <w:tc>
          <w:tcPr>
            <w:tcW w:w="460" w:type="dxa"/>
            <w:tcBorders>
              <w:top w:val="nil"/>
              <w:left w:val="nil"/>
              <w:bottom w:val="nil"/>
              <w:right w:val="nil"/>
            </w:tcBorders>
            <w:shd w:val="clear" w:color="auto" w:fill="auto"/>
            <w:vAlign w:val="center"/>
            <w:hideMark/>
          </w:tcPr>
          <w:p w14:paraId="0BF2EFF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1729</w:t>
            </w:r>
          </w:p>
        </w:tc>
        <w:tc>
          <w:tcPr>
            <w:tcW w:w="1060" w:type="dxa"/>
            <w:tcBorders>
              <w:top w:val="nil"/>
              <w:left w:val="nil"/>
              <w:bottom w:val="nil"/>
              <w:right w:val="nil"/>
            </w:tcBorders>
            <w:shd w:val="clear" w:color="auto" w:fill="auto"/>
            <w:vAlign w:val="center"/>
            <w:hideMark/>
          </w:tcPr>
          <w:p w14:paraId="01ED9D3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53.20</w:t>
            </w:r>
          </w:p>
        </w:tc>
      </w:tr>
      <w:tr w:rsidR="00F36348" w:rsidRPr="007A2346" w14:paraId="6850FB24" w14:textId="77777777" w:rsidTr="00695A13">
        <w:trPr>
          <w:trHeight w:val="300"/>
        </w:trPr>
        <w:tc>
          <w:tcPr>
            <w:tcW w:w="2800" w:type="dxa"/>
            <w:tcBorders>
              <w:top w:val="nil"/>
              <w:left w:val="nil"/>
              <w:bottom w:val="nil"/>
              <w:right w:val="nil"/>
            </w:tcBorders>
            <w:shd w:val="clear" w:color="auto" w:fill="auto"/>
            <w:vAlign w:val="center"/>
            <w:hideMark/>
          </w:tcPr>
          <w:p w14:paraId="06933C3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69.34</w:t>
            </w:r>
          </w:p>
        </w:tc>
        <w:tc>
          <w:tcPr>
            <w:tcW w:w="460" w:type="dxa"/>
            <w:tcBorders>
              <w:top w:val="nil"/>
              <w:left w:val="nil"/>
              <w:bottom w:val="nil"/>
              <w:right w:val="nil"/>
            </w:tcBorders>
            <w:shd w:val="clear" w:color="auto" w:fill="auto"/>
            <w:vAlign w:val="center"/>
            <w:hideMark/>
          </w:tcPr>
          <w:p w14:paraId="597A35C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637</w:t>
            </w:r>
          </w:p>
        </w:tc>
        <w:tc>
          <w:tcPr>
            <w:tcW w:w="1060" w:type="dxa"/>
            <w:tcBorders>
              <w:top w:val="nil"/>
              <w:left w:val="nil"/>
              <w:bottom w:val="nil"/>
              <w:right w:val="nil"/>
            </w:tcBorders>
            <w:shd w:val="clear" w:color="auto" w:fill="auto"/>
            <w:vAlign w:val="center"/>
            <w:hideMark/>
          </w:tcPr>
          <w:p w14:paraId="406E737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19.60</w:t>
            </w:r>
          </w:p>
        </w:tc>
      </w:tr>
      <w:tr w:rsidR="00F36348" w:rsidRPr="007A2346" w14:paraId="209C10BB" w14:textId="77777777" w:rsidTr="00695A13">
        <w:trPr>
          <w:trHeight w:val="300"/>
        </w:trPr>
        <w:tc>
          <w:tcPr>
            <w:tcW w:w="2800" w:type="dxa"/>
            <w:tcBorders>
              <w:top w:val="nil"/>
              <w:left w:val="nil"/>
              <w:bottom w:val="nil"/>
              <w:right w:val="nil"/>
            </w:tcBorders>
            <w:shd w:val="clear" w:color="auto" w:fill="auto"/>
            <w:vAlign w:val="center"/>
            <w:hideMark/>
          </w:tcPr>
          <w:p w14:paraId="05BF7C8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71.14</w:t>
            </w:r>
          </w:p>
        </w:tc>
        <w:tc>
          <w:tcPr>
            <w:tcW w:w="460" w:type="dxa"/>
            <w:tcBorders>
              <w:top w:val="nil"/>
              <w:left w:val="nil"/>
              <w:bottom w:val="nil"/>
              <w:right w:val="nil"/>
            </w:tcBorders>
            <w:shd w:val="clear" w:color="auto" w:fill="auto"/>
            <w:vAlign w:val="center"/>
            <w:hideMark/>
          </w:tcPr>
          <w:p w14:paraId="1E1928D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569</w:t>
            </w:r>
          </w:p>
        </w:tc>
        <w:tc>
          <w:tcPr>
            <w:tcW w:w="1060" w:type="dxa"/>
            <w:tcBorders>
              <w:top w:val="nil"/>
              <w:left w:val="nil"/>
              <w:bottom w:val="nil"/>
              <w:right w:val="nil"/>
            </w:tcBorders>
            <w:shd w:val="clear" w:color="auto" w:fill="auto"/>
            <w:vAlign w:val="center"/>
            <w:hideMark/>
          </w:tcPr>
          <w:p w14:paraId="4640021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17.51</w:t>
            </w:r>
          </w:p>
        </w:tc>
      </w:tr>
      <w:tr w:rsidR="00F36348" w:rsidRPr="007A2346" w14:paraId="2B006EB1" w14:textId="77777777" w:rsidTr="00695A13">
        <w:trPr>
          <w:trHeight w:val="300"/>
        </w:trPr>
        <w:tc>
          <w:tcPr>
            <w:tcW w:w="2800" w:type="dxa"/>
            <w:tcBorders>
              <w:top w:val="nil"/>
              <w:left w:val="nil"/>
              <w:bottom w:val="nil"/>
              <w:right w:val="nil"/>
            </w:tcBorders>
            <w:shd w:val="clear" w:color="auto" w:fill="auto"/>
            <w:vAlign w:val="center"/>
            <w:hideMark/>
          </w:tcPr>
          <w:p w14:paraId="1E3AA58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71.04</w:t>
            </w:r>
          </w:p>
        </w:tc>
        <w:tc>
          <w:tcPr>
            <w:tcW w:w="460" w:type="dxa"/>
            <w:tcBorders>
              <w:top w:val="nil"/>
              <w:left w:val="nil"/>
              <w:bottom w:val="nil"/>
              <w:right w:val="nil"/>
            </w:tcBorders>
            <w:shd w:val="clear" w:color="auto" w:fill="auto"/>
            <w:vAlign w:val="center"/>
            <w:hideMark/>
          </w:tcPr>
          <w:p w14:paraId="4AEC425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251</w:t>
            </w:r>
          </w:p>
        </w:tc>
        <w:tc>
          <w:tcPr>
            <w:tcW w:w="1060" w:type="dxa"/>
            <w:tcBorders>
              <w:top w:val="nil"/>
              <w:left w:val="nil"/>
              <w:bottom w:val="nil"/>
              <w:right w:val="nil"/>
            </w:tcBorders>
            <w:shd w:val="clear" w:color="auto" w:fill="auto"/>
            <w:vAlign w:val="center"/>
            <w:hideMark/>
          </w:tcPr>
          <w:p w14:paraId="64B9125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7.72</w:t>
            </w:r>
          </w:p>
        </w:tc>
      </w:tr>
      <w:tr w:rsidR="00F36348" w:rsidRPr="007A2346" w14:paraId="5E9B282E" w14:textId="77777777" w:rsidTr="00695A13">
        <w:trPr>
          <w:trHeight w:val="300"/>
        </w:trPr>
        <w:tc>
          <w:tcPr>
            <w:tcW w:w="2800" w:type="dxa"/>
            <w:tcBorders>
              <w:top w:val="nil"/>
              <w:left w:val="nil"/>
              <w:bottom w:val="nil"/>
              <w:right w:val="nil"/>
            </w:tcBorders>
            <w:shd w:val="clear" w:color="auto" w:fill="auto"/>
            <w:vAlign w:val="center"/>
            <w:hideMark/>
          </w:tcPr>
          <w:p w14:paraId="4AA337C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69.34</w:t>
            </w:r>
          </w:p>
        </w:tc>
        <w:tc>
          <w:tcPr>
            <w:tcW w:w="460" w:type="dxa"/>
            <w:tcBorders>
              <w:top w:val="nil"/>
              <w:left w:val="nil"/>
              <w:bottom w:val="nil"/>
              <w:right w:val="nil"/>
            </w:tcBorders>
            <w:shd w:val="clear" w:color="auto" w:fill="auto"/>
            <w:vAlign w:val="center"/>
            <w:hideMark/>
          </w:tcPr>
          <w:p w14:paraId="72A0492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060" w:type="dxa"/>
            <w:tcBorders>
              <w:top w:val="nil"/>
              <w:left w:val="nil"/>
              <w:bottom w:val="nil"/>
              <w:right w:val="nil"/>
            </w:tcBorders>
            <w:shd w:val="clear" w:color="auto" w:fill="auto"/>
            <w:vAlign w:val="center"/>
            <w:hideMark/>
          </w:tcPr>
          <w:p w14:paraId="0A223D6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w:t>
            </w:r>
          </w:p>
        </w:tc>
      </w:tr>
      <w:tr w:rsidR="00F36348" w:rsidRPr="007A2346" w14:paraId="771ED400" w14:textId="77777777" w:rsidTr="00695A13">
        <w:trPr>
          <w:trHeight w:val="300"/>
        </w:trPr>
        <w:tc>
          <w:tcPr>
            <w:tcW w:w="2800" w:type="dxa"/>
            <w:tcBorders>
              <w:top w:val="nil"/>
              <w:left w:val="nil"/>
              <w:bottom w:val="nil"/>
              <w:right w:val="nil"/>
            </w:tcBorders>
            <w:shd w:val="clear" w:color="auto" w:fill="auto"/>
            <w:vAlign w:val="center"/>
            <w:hideMark/>
          </w:tcPr>
          <w:p w14:paraId="016165A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66.33</w:t>
            </w:r>
          </w:p>
        </w:tc>
        <w:tc>
          <w:tcPr>
            <w:tcW w:w="460" w:type="dxa"/>
            <w:tcBorders>
              <w:top w:val="nil"/>
              <w:left w:val="nil"/>
              <w:bottom w:val="nil"/>
              <w:right w:val="nil"/>
            </w:tcBorders>
            <w:shd w:val="clear" w:color="auto" w:fill="auto"/>
            <w:vAlign w:val="center"/>
            <w:hideMark/>
          </w:tcPr>
          <w:p w14:paraId="10854B3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w:t>
            </w:r>
          </w:p>
        </w:tc>
        <w:tc>
          <w:tcPr>
            <w:tcW w:w="1060" w:type="dxa"/>
            <w:tcBorders>
              <w:top w:val="nil"/>
              <w:left w:val="nil"/>
              <w:bottom w:val="nil"/>
              <w:right w:val="nil"/>
            </w:tcBorders>
            <w:shd w:val="clear" w:color="auto" w:fill="auto"/>
            <w:vAlign w:val="center"/>
            <w:hideMark/>
          </w:tcPr>
          <w:p w14:paraId="64A3B33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0.09</w:t>
            </w:r>
          </w:p>
        </w:tc>
      </w:tr>
      <w:tr w:rsidR="00F36348" w:rsidRPr="007A2346" w14:paraId="1D40CBF5" w14:textId="77777777" w:rsidTr="00695A13">
        <w:trPr>
          <w:trHeight w:val="300"/>
        </w:trPr>
        <w:tc>
          <w:tcPr>
            <w:tcW w:w="2800" w:type="dxa"/>
            <w:tcBorders>
              <w:top w:val="nil"/>
              <w:left w:val="nil"/>
              <w:bottom w:val="nil"/>
              <w:right w:val="nil"/>
            </w:tcBorders>
            <w:shd w:val="clear" w:color="auto" w:fill="auto"/>
            <w:vAlign w:val="center"/>
            <w:hideMark/>
          </w:tcPr>
          <w:p w14:paraId="74B8012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71.04</w:t>
            </w:r>
          </w:p>
        </w:tc>
        <w:tc>
          <w:tcPr>
            <w:tcW w:w="460" w:type="dxa"/>
            <w:tcBorders>
              <w:top w:val="nil"/>
              <w:left w:val="nil"/>
              <w:bottom w:val="nil"/>
              <w:right w:val="nil"/>
            </w:tcBorders>
            <w:shd w:val="clear" w:color="auto" w:fill="auto"/>
            <w:vAlign w:val="center"/>
            <w:hideMark/>
          </w:tcPr>
          <w:p w14:paraId="5210360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w:t>
            </w:r>
          </w:p>
        </w:tc>
        <w:tc>
          <w:tcPr>
            <w:tcW w:w="1060" w:type="dxa"/>
            <w:tcBorders>
              <w:top w:val="nil"/>
              <w:left w:val="nil"/>
              <w:bottom w:val="nil"/>
              <w:right w:val="nil"/>
            </w:tcBorders>
            <w:shd w:val="clear" w:color="auto" w:fill="auto"/>
            <w:vAlign w:val="center"/>
            <w:hideMark/>
          </w:tcPr>
          <w:p w14:paraId="52F5080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0.06</w:t>
            </w:r>
          </w:p>
        </w:tc>
      </w:tr>
      <w:tr w:rsidR="00F36348" w:rsidRPr="007A2346" w14:paraId="5D61A30A" w14:textId="77777777" w:rsidTr="00695A13">
        <w:trPr>
          <w:trHeight w:val="315"/>
        </w:trPr>
        <w:tc>
          <w:tcPr>
            <w:tcW w:w="2800" w:type="dxa"/>
            <w:tcBorders>
              <w:top w:val="nil"/>
              <w:left w:val="nil"/>
              <w:bottom w:val="nil"/>
              <w:right w:val="nil"/>
            </w:tcBorders>
            <w:shd w:val="clear" w:color="auto" w:fill="auto"/>
            <w:noWrap/>
            <w:vAlign w:val="bottom"/>
            <w:hideMark/>
          </w:tcPr>
          <w:p w14:paraId="59DD3551"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165350ED"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1554482D" w14:textId="77777777" w:rsidR="00F36348" w:rsidRPr="007A2346" w:rsidRDefault="00F36348" w:rsidP="00695A13">
            <w:pPr>
              <w:spacing w:after="0" w:line="240" w:lineRule="auto"/>
              <w:rPr>
                <w:rFonts w:ascii="Times New Roman" w:hAnsi="Times New Roman"/>
                <w:szCs w:val="20"/>
              </w:rPr>
            </w:pPr>
          </w:p>
        </w:tc>
      </w:tr>
      <w:tr w:rsidR="00F36348" w:rsidRPr="007A2346" w14:paraId="3D0E4359" w14:textId="77777777" w:rsidTr="00695A13">
        <w:trPr>
          <w:trHeight w:val="315"/>
        </w:trPr>
        <w:tc>
          <w:tcPr>
            <w:tcW w:w="2800" w:type="dxa"/>
            <w:tcBorders>
              <w:top w:val="nil"/>
              <w:left w:val="nil"/>
              <w:bottom w:val="nil"/>
              <w:right w:val="nil"/>
            </w:tcBorders>
            <w:shd w:val="clear" w:color="auto" w:fill="auto"/>
            <w:noWrap/>
            <w:vAlign w:val="center"/>
            <w:hideMark/>
          </w:tcPr>
          <w:p w14:paraId="05B8956C"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dBm/MHz</w:t>
            </w:r>
          </w:p>
        </w:tc>
        <w:tc>
          <w:tcPr>
            <w:tcW w:w="460" w:type="dxa"/>
            <w:tcBorders>
              <w:top w:val="nil"/>
              <w:left w:val="nil"/>
              <w:bottom w:val="nil"/>
              <w:right w:val="nil"/>
            </w:tcBorders>
            <w:shd w:val="clear" w:color="auto" w:fill="auto"/>
            <w:noWrap/>
            <w:vAlign w:val="bottom"/>
            <w:hideMark/>
          </w:tcPr>
          <w:p w14:paraId="1548FB19"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2BD59DAA" w14:textId="77777777" w:rsidR="00F36348" w:rsidRPr="007A2346" w:rsidRDefault="00F36348" w:rsidP="00695A13">
            <w:pPr>
              <w:spacing w:after="0" w:line="240" w:lineRule="auto"/>
              <w:rPr>
                <w:rFonts w:ascii="Times New Roman" w:hAnsi="Times New Roman"/>
                <w:szCs w:val="20"/>
              </w:rPr>
            </w:pPr>
          </w:p>
        </w:tc>
      </w:tr>
      <w:tr w:rsidR="00F36348" w:rsidRPr="007A2346" w14:paraId="3E33F342" w14:textId="77777777" w:rsidTr="00695A13">
        <w:trPr>
          <w:trHeight w:val="720"/>
        </w:trPr>
        <w:tc>
          <w:tcPr>
            <w:tcW w:w="2800" w:type="dxa"/>
            <w:tcBorders>
              <w:top w:val="nil"/>
              <w:left w:val="nil"/>
              <w:bottom w:val="nil"/>
              <w:right w:val="nil"/>
            </w:tcBorders>
            <w:shd w:val="clear" w:color="auto" w:fill="auto"/>
            <w:vAlign w:val="center"/>
            <w:hideMark/>
          </w:tcPr>
          <w:p w14:paraId="673A76D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(dBm/MHz)</w:t>
            </w:r>
          </w:p>
        </w:tc>
        <w:tc>
          <w:tcPr>
            <w:tcW w:w="460" w:type="dxa"/>
            <w:tcBorders>
              <w:top w:val="nil"/>
              <w:left w:val="nil"/>
              <w:bottom w:val="nil"/>
              <w:right w:val="nil"/>
            </w:tcBorders>
            <w:shd w:val="clear" w:color="auto" w:fill="auto"/>
            <w:noWrap/>
            <w:vAlign w:val="bottom"/>
            <w:hideMark/>
          </w:tcPr>
          <w:p w14:paraId="48EDD0D9"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6671FE4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181A96C8" w14:textId="77777777" w:rsidTr="00695A13">
        <w:trPr>
          <w:trHeight w:val="300"/>
        </w:trPr>
        <w:tc>
          <w:tcPr>
            <w:tcW w:w="2800" w:type="dxa"/>
            <w:tcBorders>
              <w:top w:val="nil"/>
              <w:left w:val="nil"/>
              <w:bottom w:val="nil"/>
              <w:right w:val="nil"/>
            </w:tcBorders>
            <w:shd w:val="clear" w:color="auto" w:fill="auto"/>
            <w:vAlign w:val="center"/>
            <w:hideMark/>
          </w:tcPr>
          <w:p w14:paraId="6A07F72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56.03</w:t>
            </w:r>
          </w:p>
        </w:tc>
        <w:tc>
          <w:tcPr>
            <w:tcW w:w="460" w:type="dxa"/>
            <w:tcBorders>
              <w:top w:val="nil"/>
              <w:left w:val="nil"/>
              <w:bottom w:val="nil"/>
              <w:right w:val="nil"/>
            </w:tcBorders>
            <w:shd w:val="clear" w:color="auto" w:fill="auto"/>
            <w:vAlign w:val="center"/>
            <w:hideMark/>
          </w:tcPr>
          <w:p w14:paraId="4EA26F2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1729</w:t>
            </w:r>
          </w:p>
        </w:tc>
        <w:tc>
          <w:tcPr>
            <w:tcW w:w="1060" w:type="dxa"/>
            <w:tcBorders>
              <w:top w:val="nil"/>
              <w:left w:val="nil"/>
              <w:bottom w:val="nil"/>
              <w:right w:val="nil"/>
            </w:tcBorders>
            <w:shd w:val="clear" w:color="auto" w:fill="auto"/>
            <w:vAlign w:val="center"/>
            <w:hideMark/>
          </w:tcPr>
          <w:p w14:paraId="488E59D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53.20</w:t>
            </w:r>
          </w:p>
        </w:tc>
      </w:tr>
      <w:tr w:rsidR="00F36348" w:rsidRPr="007A2346" w14:paraId="0A70218D" w14:textId="77777777" w:rsidTr="00695A13">
        <w:trPr>
          <w:trHeight w:val="300"/>
        </w:trPr>
        <w:tc>
          <w:tcPr>
            <w:tcW w:w="2800" w:type="dxa"/>
            <w:tcBorders>
              <w:top w:val="nil"/>
              <w:left w:val="nil"/>
              <w:bottom w:val="nil"/>
              <w:right w:val="nil"/>
            </w:tcBorders>
            <w:shd w:val="clear" w:color="auto" w:fill="auto"/>
            <w:vAlign w:val="center"/>
            <w:hideMark/>
          </w:tcPr>
          <w:p w14:paraId="4F17372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56.35</w:t>
            </w:r>
          </w:p>
        </w:tc>
        <w:tc>
          <w:tcPr>
            <w:tcW w:w="460" w:type="dxa"/>
            <w:tcBorders>
              <w:top w:val="nil"/>
              <w:left w:val="nil"/>
              <w:bottom w:val="nil"/>
              <w:right w:val="nil"/>
            </w:tcBorders>
            <w:shd w:val="clear" w:color="auto" w:fill="auto"/>
            <w:vAlign w:val="center"/>
            <w:hideMark/>
          </w:tcPr>
          <w:p w14:paraId="48AC558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637</w:t>
            </w:r>
          </w:p>
        </w:tc>
        <w:tc>
          <w:tcPr>
            <w:tcW w:w="1060" w:type="dxa"/>
            <w:tcBorders>
              <w:top w:val="nil"/>
              <w:left w:val="nil"/>
              <w:bottom w:val="nil"/>
              <w:right w:val="nil"/>
            </w:tcBorders>
            <w:shd w:val="clear" w:color="auto" w:fill="auto"/>
            <w:vAlign w:val="center"/>
            <w:hideMark/>
          </w:tcPr>
          <w:p w14:paraId="1659B48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19.60</w:t>
            </w:r>
          </w:p>
        </w:tc>
      </w:tr>
      <w:tr w:rsidR="00F36348" w:rsidRPr="007A2346" w14:paraId="047EA8D2" w14:textId="77777777" w:rsidTr="00695A13">
        <w:trPr>
          <w:trHeight w:val="300"/>
        </w:trPr>
        <w:tc>
          <w:tcPr>
            <w:tcW w:w="2800" w:type="dxa"/>
            <w:tcBorders>
              <w:top w:val="nil"/>
              <w:left w:val="nil"/>
              <w:bottom w:val="nil"/>
              <w:right w:val="nil"/>
            </w:tcBorders>
            <w:shd w:val="clear" w:color="auto" w:fill="auto"/>
            <w:vAlign w:val="center"/>
            <w:hideMark/>
          </w:tcPr>
          <w:p w14:paraId="0AC3C4A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58.13</w:t>
            </w:r>
          </w:p>
        </w:tc>
        <w:tc>
          <w:tcPr>
            <w:tcW w:w="460" w:type="dxa"/>
            <w:tcBorders>
              <w:top w:val="nil"/>
              <w:left w:val="nil"/>
              <w:bottom w:val="nil"/>
              <w:right w:val="nil"/>
            </w:tcBorders>
            <w:shd w:val="clear" w:color="auto" w:fill="auto"/>
            <w:vAlign w:val="center"/>
            <w:hideMark/>
          </w:tcPr>
          <w:p w14:paraId="135C683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569</w:t>
            </w:r>
          </w:p>
        </w:tc>
        <w:tc>
          <w:tcPr>
            <w:tcW w:w="1060" w:type="dxa"/>
            <w:tcBorders>
              <w:top w:val="nil"/>
              <w:left w:val="nil"/>
              <w:bottom w:val="nil"/>
              <w:right w:val="nil"/>
            </w:tcBorders>
            <w:shd w:val="clear" w:color="auto" w:fill="auto"/>
            <w:vAlign w:val="center"/>
            <w:hideMark/>
          </w:tcPr>
          <w:p w14:paraId="5B16607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17.51</w:t>
            </w:r>
          </w:p>
        </w:tc>
      </w:tr>
      <w:tr w:rsidR="00F36348" w:rsidRPr="007A2346" w14:paraId="298F1579" w14:textId="77777777" w:rsidTr="00695A13">
        <w:trPr>
          <w:trHeight w:val="300"/>
        </w:trPr>
        <w:tc>
          <w:tcPr>
            <w:tcW w:w="2800" w:type="dxa"/>
            <w:tcBorders>
              <w:top w:val="nil"/>
              <w:left w:val="nil"/>
              <w:bottom w:val="nil"/>
              <w:right w:val="nil"/>
            </w:tcBorders>
            <w:shd w:val="clear" w:color="auto" w:fill="auto"/>
            <w:vAlign w:val="center"/>
            <w:hideMark/>
          </w:tcPr>
          <w:p w14:paraId="0A1F24A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58.05</w:t>
            </w:r>
          </w:p>
        </w:tc>
        <w:tc>
          <w:tcPr>
            <w:tcW w:w="460" w:type="dxa"/>
            <w:tcBorders>
              <w:top w:val="nil"/>
              <w:left w:val="nil"/>
              <w:bottom w:val="nil"/>
              <w:right w:val="nil"/>
            </w:tcBorders>
            <w:shd w:val="clear" w:color="auto" w:fill="auto"/>
            <w:vAlign w:val="center"/>
            <w:hideMark/>
          </w:tcPr>
          <w:p w14:paraId="67CD11F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251</w:t>
            </w:r>
          </w:p>
        </w:tc>
        <w:tc>
          <w:tcPr>
            <w:tcW w:w="1060" w:type="dxa"/>
            <w:tcBorders>
              <w:top w:val="nil"/>
              <w:left w:val="nil"/>
              <w:bottom w:val="nil"/>
              <w:right w:val="nil"/>
            </w:tcBorders>
            <w:shd w:val="clear" w:color="auto" w:fill="auto"/>
            <w:vAlign w:val="center"/>
            <w:hideMark/>
          </w:tcPr>
          <w:p w14:paraId="413857D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7.72</w:t>
            </w:r>
          </w:p>
        </w:tc>
      </w:tr>
      <w:tr w:rsidR="00F36348" w:rsidRPr="007A2346" w14:paraId="5B1A7617" w14:textId="77777777" w:rsidTr="00695A13">
        <w:trPr>
          <w:trHeight w:val="300"/>
        </w:trPr>
        <w:tc>
          <w:tcPr>
            <w:tcW w:w="2800" w:type="dxa"/>
            <w:tcBorders>
              <w:top w:val="nil"/>
              <w:left w:val="nil"/>
              <w:bottom w:val="nil"/>
              <w:right w:val="nil"/>
            </w:tcBorders>
            <w:shd w:val="clear" w:color="auto" w:fill="auto"/>
            <w:vAlign w:val="center"/>
            <w:hideMark/>
          </w:tcPr>
          <w:p w14:paraId="71377D2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56.35</w:t>
            </w:r>
          </w:p>
        </w:tc>
        <w:tc>
          <w:tcPr>
            <w:tcW w:w="460" w:type="dxa"/>
            <w:tcBorders>
              <w:top w:val="nil"/>
              <w:left w:val="nil"/>
              <w:bottom w:val="nil"/>
              <w:right w:val="nil"/>
            </w:tcBorders>
            <w:shd w:val="clear" w:color="auto" w:fill="auto"/>
            <w:vAlign w:val="center"/>
            <w:hideMark/>
          </w:tcPr>
          <w:p w14:paraId="78CA065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060" w:type="dxa"/>
            <w:tcBorders>
              <w:top w:val="nil"/>
              <w:left w:val="nil"/>
              <w:bottom w:val="nil"/>
              <w:right w:val="nil"/>
            </w:tcBorders>
            <w:shd w:val="clear" w:color="auto" w:fill="auto"/>
            <w:vAlign w:val="center"/>
            <w:hideMark/>
          </w:tcPr>
          <w:p w14:paraId="7962B72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w:t>
            </w:r>
          </w:p>
        </w:tc>
      </w:tr>
      <w:tr w:rsidR="00F36348" w:rsidRPr="007A2346" w14:paraId="2CF9183D" w14:textId="77777777" w:rsidTr="00695A13">
        <w:trPr>
          <w:trHeight w:val="300"/>
        </w:trPr>
        <w:tc>
          <w:tcPr>
            <w:tcW w:w="2800" w:type="dxa"/>
            <w:tcBorders>
              <w:top w:val="nil"/>
              <w:left w:val="nil"/>
              <w:bottom w:val="nil"/>
              <w:right w:val="nil"/>
            </w:tcBorders>
            <w:shd w:val="clear" w:color="auto" w:fill="auto"/>
            <w:vAlign w:val="center"/>
            <w:hideMark/>
          </w:tcPr>
          <w:p w14:paraId="21313F7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53.34</w:t>
            </w:r>
          </w:p>
        </w:tc>
        <w:tc>
          <w:tcPr>
            <w:tcW w:w="460" w:type="dxa"/>
            <w:tcBorders>
              <w:top w:val="nil"/>
              <w:left w:val="nil"/>
              <w:bottom w:val="nil"/>
              <w:right w:val="nil"/>
            </w:tcBorders>
            <w:shd w:val="clear" w:color="auto" w:fill="auto"/>
            <w:vAlign w:val="center"/>
            <w:hideMark/>
          </w:tcPr>
          <w:p w14:paraId="795CED1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w:t>
            </w:r>
          </w:p>
        </w:tc>
        <w:tc>
          <w:tcPr>
            <w:tcW w:w="1060" w:type="dxa"/>
            <w:tcBorders>
              <w:top w:val="nil"/>
              <w:left w:val="nil"/>
              <w:bottom w:val="nil"/>
              <w:right w:val="nil"/>
            </w:tcBorders>
            <w:shd w:val="clear" w:color="auto" w:fill="auto"/>
            <w:vAlign w:val="center"/>
            <w:hideMark/>
          </w:tcPr>
          <w:p w14:paraId="7D01111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0.09</w:t>
            </w:r>
          </w:p>
        </w:tc>
      </w:tr>
      <w:tr w:rsidR="00F36348" w:rsidRPr="007A2346" w14:paraId="294F0F3E" w14:textId="77777777" w:rsidTr="00695A13">
        <w:trPr>
          <w:trHeight w:val="300"/>
        </w:trPr>
        <w:tc>
          <w:tcPr>
            <w:tcW w:w="2800" w:type="dxa"/>
            <w:tcBorders>
              <w:top w:val="nil"/>
              <w:left w:val="nil"/>
              <w:bottom w:val="nil"/>
              <w:right w:val="nil"/>
            </w:tcBorders>
            <w:shd w:val="clear" w:color="auto" w:fill="auto"/>
            <w:vAlign w:val="center"/>
            <w:hideMark/>
          </w:tcPr>
          <w:p w14:paraId="6B23AC4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58.05</w:t>
            </w:r>
          </w:p>
        </w:tc>
        <w:tc>
          <w:tcPr>
            <w:tcW w:w="460" w:type="dxa"/>
            <w:tcBorders>
              <w:top w:val="nil"/>
              <w:left w:val="nil"/>
              <w:bottom w:val="nil"/>
              <w:right w:val="nil"/>
            </w:tcBorders>
            <w:shd w:val="clear" w:color="auto" w:fill="auto"/>
            <w:vAlign w:val="center"/>
            <w:hideMark/>
          </w:tcPr>
          <w:p w14:paraId="5294407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w:t>
            </w:r>
          </w:p>
        </w:tc>
        <w:tc>
          <w:tcPr>
            <w:tcW w:w="1060" w:type="dxa"/>
            <w:tcBorders>
              <w:top w:val="nil"/>
              <w:left w:val="nil"/>
              <w:bottom w:val="nil"/>
              <w:right w:val="nil"/>
            </w:tcBorders>
            <w:shd w:val="clear" w:color="auto" w:fill="auto"/>
            <w:vAlign w:val="center"/>
            <w:hideMark/>
          </w:tcPr>
          <w:p w14:paraId="1C7AAD1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0.06</w:t>
            </w:r>
          </w:p>
        </w:tc>
      </w:tr>
      <w:tr w:rsidR="00F36348" w:rsidRPr="007A2346" w14:paraId="0B124B68" w14:textId="77777777" w:rsidTr="00695A13">
        <w:trPr>
          <w:trHeight w:val="315"/>
        </w:trPr>
        <w:tc>
          <w:tcPr>
            <w:tcW w:w="2800" w:type="dxa"/>
            <w:tcBorders>
              <w:top w:val="nil"/>
              <w:left w:val="nil"/>
              <w:bottom w:val="nil"/>
              <w:right w:val="nil"/>
            </w:tcBorders>
            <w:shd w:val="clear" w:color="auto" w:fill="auto"/>
            <w:noWrap/>
            <w:vAlign w:val="bottom"/>
            <w:hideMark/>
          </w:tcPr>
          <w:p w14:paraId="590886BA" w14:textId="77777777" w:rsidR="00F36348" w:rsidRPr="007A2346" w:rsidRDefault="00F36348" w:rsidP="00695A13">
            <w:pPr>
              <w:spacing w:after="0" w:line="240" w:lineRule="auto"/>
              <w:jc w:val="right"/>
              <w:rPr>
                <w:rFonts w:ascii="Segoe UI" w:hAnsi="Segoe UI" w:cs="Segoe UI"/>
                <w:color w:val="000000"/>
                <w:sz w:val="18"/>
                <w:szCs w:val="18"/>
              </w:rPr>
            </w:pPr>
          </w:p>
        </w:tc>
        <w:tc>
          <w:tcPr>
            <w:tcW w:w="460" w:type="dxa"/>
            <w:tcBorders>
              <w:top w:val="nil"/>
              <w:left w:val="nil"/>
              <w:bottom w:val="nil"/>
              <w:right w:val="nil"/>
            </w:tcBorders>
            <w:shd w:val="clear" w:color="auto" w:fill="auto"/>
            <w:noWrap/>
            <w:vAlign w:val="bottom"/>
            <w:hideMark/>
          </w:tcPr>
          <w:p w14:paraId="3725792B" w14:textId="77777777" w:rsidR="00F36348" w:rsidRPr="007A2346" w:rsidRDefault="00F36348" w:rsidP="00695A13">
            <w:pPr>
              <w:spacing w:after="0" w:line="240" w:lineRule="auto"/>
              <w:rPr>
                <w:rFonts w:ascii="Times New Roman" w:hAnsi="Times New Roman"/>
                <w:szCs w:val="20"/>
              </w:rPr>
            </w:pPr>
          </w:p>
        </w:tc>
        <w:tc>
          <w:tcPr>
            <w:tcW w:w="1060" w:type="dxa"/>
            <w:tcBorders>
              <w:top w:val="nil"/>
              <w:left w:val="nil"/>
              <w:bottom w:val="nil"/>
              <w:right w:val="nil"/>
            </w:tcBorders>
            <w:shd w:val="clear" w:color="auto" w:fill="auto"/>
            <w:noWrap/>
            <w:vAlign w:val="bottom"/>
            <w:hideMark/>
          </w:tcPr>
          <w:p w14:paraId="33A63A2B" w14:textId="77777777" w:rsidR="00F36348" w:rsidRPr="007A2346" w:rsidRDefault="00F36348" w:rsidP="00695A13">
            <w:pPr>
              <w:spacing w:after="0" w:line="240" w:lineRule="auto"/>
              <w:rPr>
                <w:rFonts w:ascii="Times New Roman" w:hAnsi="Times New Roman"/>
                <w:szCs w:val="20"/>
              </w:rPr>
            </w:pPr>
          </w:p>
        </w:tc>
      </w:tr>
      <w:tr w:rsidR="00F36348" w:rsidRPr="007A2346" w14:paraId="4A42561B" w14:textId="77777777" w:rsidTr="00695A13">
        <w:trPr>
          <w:trHeight w:val="315"/>
        </w:trPr>
        <w:tc>
          <w:tcPr>
            <w:tcW w:w="2800" w:type="dxa"/>
            <w:tcBorders>
              <w:top w:val="nil"/>
              <w:left w:val="nil"/>
              <w:bottom w:val="nil"/>
              <w:right w:val="nil"/>
            </w:tcBorders>
            <w:shd w:val="clear" w:color="auto" w:fill="auto"/>
            <w:noWrap/>
            <w:vAlign w:val="center"/>
            <w:hideMark/>
          </w:tcPr>
          <w:p w14:paraId="57E388B5"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Height Distributions</w:t>
            </w:r>
          </w:p>
        </w:tc>
        <w:tc>
          <w:tcPr>
            <w:tcW w:w="460" w:type="dxa"/>
            <w:tcBorders>
              <w:top w:val="nil"/>
              <w:left w:val="nil"/>
              <w:bottom w:val="nil"/>
              <w:right w:val="nil"/>
            </w:tcBorders>
            <w:shd w:val="clear" w:color="auto" w:fill="auto"/>
            <w:noWrap/>
            <w:vAlign w:val="bottom"/>
            <w:hideMark/>
          </w:tcPr>
          <w:p w14:paraId="4F005CDF" w14:textId="77777777" w:rsidR="00F36348" w:rsidRPr="007A2346" w:rsidRDefault="00F36348" w:rsidP="00695A13">
            <w:pPr>
              <w:spacing w:after="0" w:line="240" w:lineRule="auto"/>
              <w:rPr>
                <w:rFonts w:ascii="Times New Roman" w:hAnsi="Times New Roman"/>
                <w:i/>
                <w:iCs/>
                <w:color w:val="212121"/>
                <w:szCs w:val="20"/>
              </w:rPr>
            </w:pPr>
          </w:p>
        </w:tc>
        <w:tc>
          <w:tcPr>
            <w:tcW w:w="1060" w:type="dxa"/>
            <w:tcBorders>
              <w:top w:val="nil"/>
              <w:left w:val="nil"/>
              <w:bottom w:val="nil"/>
              <w:right w:val="nil"/>
            </w:tcBorders>
            <w:shd w:val="clear" w:color="auto" w:fill="auto"/>
            <w:noWrap/>
            <w:vAlign w:val="bottom"/>
            <w:hideMark/>
          </w:tcPr>
          <w:p w14:paraId="5BF7BE09" w14:textId="77777777" w:rsidR="00F36348" w:rsidRPr="007A2346" w:rsidRDefault="00F36348" w:rsidP="00695A13">
            <w:pPr>
              <w:spacing w:after="0" w:line="240" w:lineRule="auto"/>
              <w:rPr>
                <w:rFonts w:ascii="Times New Roman" w:hAnsi="Times New Roman"/>
                <w:szCs w:val="20"/>
              </w:rPr>
            </w:pPr>
          </w:p>
        </w:tc>
      </w:tr>
      <w:tr w:rsidR="00F36348" w:rsidRPr="007A2346" w14:paraId="3C04C65C" w14:textId="77777777" w:rsidTr="00695A13">
        <w:trPr>
          <w:trHeight w:val="720"/>
        </w:trPr>
        <w:tc>
          <w:tcPr>
            <w:tcW w:w="2800" w:type="dxa"/>
            <w:tcBorders>
              <w:top w:val="nil"/>
              <w:left w:val="nil"/>
              <w:bottom w:val="nil"/>
              <w:right w:val="nil"/>
            </w:tcBorders>
            <w:shd w:val="clear" w:color="auto" w:fill="auto"/>
            <w:vAlign w:val="center"/>
            <w:hideMark/>
          </w:tcPr>
          <w:p w14:paraId="6DEE26C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Deployment Height (M)</w:t>
            </w:r>
          </w:p>
        </w:tc>
        <w:tc>
          <w:tcPr>
            <w:tcW w:w="460" w:type="dxa"/>
            <w:tcBorders>
              <w:top w:val="nil"/>
              <w:left w:val="nil"/>
              <w:bottom w:val="nil"/>
              <w:right w:val="nil"/>
            </w:tcBorders>
            <w:shd w:val="clear" w:color="auto" w:fill="auto"/>
            <w:noWrap/>
            <w:vAlign w:val="bottom"/>
            <w:hideMark/>
          </w:tcPr>
          <w:p w14:paraId="6453238B"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060" w:type="dxa"/>
            <w:tcBorders>
              <w:top w:val="nil"/>
              <w:left w:val="nil"/>
              <w:bottom w:val="nil"/>
              <w:right w:val="nil"/>
            </w:tcBorders>
            <w:shd w:val="clear" w:color="auto" w:fill="auto"/>
            <w:vAlign w:val="center"/>
            <w:hideMark/>
          </w:tcPr>
          <w:p w14:paraId="6487779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150BB2CC" w14:textId="77777777" w:rsidTr="00695A13">
        <w:trPr>
          <w:trHeight w:val="300"/>
        </w:trPr>
        <w:tc>
          <w:tcPr>
            <w:tcW w:w="2800" w:type="dxa"/>
            <w:tcBorders>
              <w:top w:val="nil"/>
              <w:left w:val="nil"/>
              <w:bottom w:val="nil"/>
              <w:right w:val="nil"/>
            </w:tcBorders>
            <w:shd w:val="clear" w:color="auto" w:fill="auto"/>
            <w:vAlign w:val="center"/>
            <w:hideMark/>
          </w:tcPr>
          <w:p w14:paraId="1E3A88B9"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10.0]</w:t>
            </w:r>
          </w:p>
        </w:tc>
        <w:tc>
          <w:tcPr>
            <w:tcW w:w="460" w:type="dxa"/>
            <w:tcBorders>
              <w:top w:val="nil"/>
              <w:left w:val="nil"/>
              <w:bottom w:val="nil"/>
              <w:right w:val="nil"/>
            </w:tcBorders>
            <w:shd w:val="clear" w:color="auto" w:fill="auto"/>
            <w:vAlign w:val="center"/>
            <w:hideMark/>
          </w:tcPr>
          <w:p w14:paraId="469BD7C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4</w:t>
            </w:r>
          </w:p>
        </w:tc>
        <w:tc>
          <w:tcPr>
            <w:tcW w:w="1060" w:type="dxa"/>
            <w:tcBorders>
              <w:top w:val="nil"/>
              <w:left w:val="nil"/>
              <w:bottom w:val="nil"/>
              <w:right w:val="nil"/>
            </w:tcBorders>
            <w:shd w:val="clear" w:color="auto" w:fill="auto"/>
            <w:vAlign w:val="center"/>
            <w:hideMark/>
          </w:tcPr>
          <w:p w14:paraId="63B0E9F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0.12</w:t>
            </w:r>
          </w:p>
        </w:tc>
      </w:tr>
      <w:tr w:rsidR="00F36348" w:rsidRPr="007A2346" w14:paraId="5716C3AB" w14:textId="77777777" w:rsidTr="00695A13">
        <w:trPr>
          <w:trHeight w:val="300"/>
        </w:trPr>
        <w:tc>
          <w:tcPr>
            <w:tcW w:w="2800" w:type="dxa"/>
            <w:tcBorders>
              <w:top w:val="nil"/>
              <w:left w:val="nil"/>
              <w:bottom w:val="nil"/>
              <w:right w:val="nil"/>
            </w:tcBorders>
            <w:shd w:val="clear" w:color="auto" w:fill="auto"/>
            <w:vAlign w:val="center"/>
            <w:hideMark/>
          </w:tcPr>
          <w:p w14:paraId="7CD6F35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20.0]</w:t>
            </w:r>
          </w:p>
        </w:tc>
        <w:tc>
          <w:tcPr>
            <w:tcW w:w="460" w:type="dxa"/>
            <w:tcBorders>
              <w:top w:val="nil"/>
              <w:left w:val="nil"/>
              <w:bottom w:val="nil"/>
              <w:right w:val="nil"/>
            </w:tcBorders>
            <w:shd w:val="clear" w:color="auto" w:fill="auto"/>
            <w:vAlign w:val="center"/>
            <w:hideMark/>
          </w:tcPr>
          <w:p w14:paraId="5D41D8B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89</w:t>
            </w:r>
          </w:p>
        </w:tc>
        <w:tc>
          <w:tcPr>
            <w:tcW w:w="1060" w:type="dxa"/>
            <w:tcBorders>
              <w:top w:val="nil"/>
              <w:left w:val="nil"/>
              <w:bottom w:val="nil"/>
              <w:right w:val="nil"/>
            </w:tcBorders>
            <w:shd w:val="clear" w:color="auto" w:fill="auto"/>
            <w:vAlign w:val="center"/>
            <w:hideMark/>
          </w:tcPr>
          <w:p w14:paraId="4223162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2.74</w:t>
            </w:r>
          </w:p>
        </w:tc>
      </w:tr>
      <w:tr w:rsidR="00F36348" w:rsidRPr="007A2346" w14:paraId="6590E4DD" w14:textId="77777777" w:rsidTr="00695A13">
        <w:trPr>
          <w:trHeight w:val="300"/>
        </w:trPr>
        <w:tc>
          <w:tcPr>
            <w:tcW w:w="2800" w:type="dxa"/>
            <w:tcBorders>
              <w:top w:val="nil"/>
              <w:left w:val="nil"/>
              <w:bottom w:val="nil"/>
              <w:right w:val="nil"/>
            </w:tcBorders>
            <w:shd w:val="clear" w:color="auto" w:fill="auto"/>
            <w:vAlign w:val="center"/>
            <w:hideMark/>
          </w:tcPr>
          <w:p w14:paraId="1F5D529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30.0]</w:t>
            </w:r>
          </w:p>
        </w:tc>
        <w:tc>
          <w:tcPr>
            <w:tcW w:w="460" w:type="dxa"/>
            <w:tcBorders>
              <w:top w:val="nil"/>
              <w:left w:val="nil"/>
              <w:bottom w:val="nil"/>
              <w:right w:val="nil"/>
            </w:tcBorders>
            <w:shd w:val="clear" w:color="auto" w:fill="auto"/>
            <w:vAlign w:val="center"/>
            <w:hideMark/>
          </w:tcPr>
          <w:p w14:paraId="5A36FC3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592</w:t>
            </w:r>
          </w:p>
        </w:tc>
        <w:tc>
          <w:tcPr>
            <w:tcW w:w="1060" w:type="dxa"/>
            <w:tcBorders>
              <w:top w:val="nil"/>
              <w:left w:val="nil"/>
              <w:bottom w:val="nil"/>
              <w:right w:val="nil"/>
            </w:tcBorders>
            <w:shd w:val="clear" w:color="auto" w:fill="auto"/>
            <w:vAlign w:val="center"/>
            <w:hideMark/>
          </w:tcPr>
          <w:p w14:paraId="0A75D59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18.22</w:t>
            </w:r>
          </w:p>
        </w:tc>
      </w:tr>
      <w:tr w:rsidR="00F36348" w:rsidRPr="007A2346" w14:paraId="0CECAEE6" w14:textId="77777777" w:rsidTr="00695A13">
        <w:trPr>
          <w:trHeight w:val="300"/>
        </w:trPr>
        <w:tc>
          <w:tcPr>
            <w:tcW w:w="2800" w:type="dxa"/>
            <w:tcBorders>
              <w:top w:val="nil"/>
              <w:left w:val="nil"/>
              <w:bottom w:val="nil"/>
              <w:right w:val="nil"/>
            </w:tcBorders>
            <w:shd w:val="clear" w:color="auto" w:fill="auto"/>
            <w:vAlign w:val="center"/>
            <w:hideMark/>
          </w:tcPr>
          <w:p w14:paraId="02A8E3A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(30.0, 40.0]</w:t>
            </w:r>
          </w:p>
        </w:tc>
        <w:tc>
          <w:tcPr>
            <w:tcW w:w="460" w:type="dxa"/>
            <w:tcBorders>
              <w:top w:val="nil"/>
              <w:left w:val="nil"/>
              <w:bottom w:val="nil"/>
              <w:right w:val="nil"/>
            </w:tcBorders>
            <w:shd w:val="clear" w:color="auto" w:fill="auto"/>
            <w:vAlign w:val="center"/>
            <w:hideMark/>
          </w:tcPr>
          <w:p w14:paraId="243250B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1698</w:t>
            </w:r>
          </w:p>
        </w:tc>
        <w:tc>
          <w:tcPr>
            <w:tcW w:w="1060" w:type="dxa"/>
            <w:tcBorders>
              <w:top w:val="nil"/>
              <w:left w:val="nil"/>
              <w:bottom w:val="nil"/>
              <w:right w:val="nil"/>
            </w:tcBorders>
            <w:shd w:val="clear" w:color="auto" w:fill="auto"/>
            <w:vAlign w:val="center"/>
            <w:hideMark/>
          </w:tcPr>
          <w:p w14:paraId="394E53A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52.25</w:t>
            </w:r>
          </w:p>
        </w:tc>
      </w:tr>
      <w:tr w:rsidR="00F36348" w:rsidRPr="007A2346" w14:paraId="5CE60C09" w14:textId="77777777" w:rsidTr="00695A13">
        <w:trPr>
          <w:trHeight w:val="300"/>
        </w:trPr>
        <w:tc>
          <w:tcPr>
            <w:tcW w:w="2800" w:type="dxa"/>
            <w:tcBorders>
              <w:top w:val="nil"/>
              <w:left w:val="nil"/>
              <w:bottom w:val="nil"/>
              <w:right w:val="nil"/>
            </w:tcBorders>
            <w:shd w:val="clear" w:color="auto" w:fill="auto"/>
            <w:vAlign w:val="center"/>
            <w:hideMark/>
          </w:tcPr>
          <w:p w14:paraId="6EFE76F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(40.0, 50.0]</w:t>
            </w:r>
          </w:p>
        </w:tc>
        <w:tc>
          <w:tcPr>
            <w:tcW w:w="460" w:type="dxa"/>
            <w:tcBorders>
              <w:top w:val="nil"/>
              <w:left w:val="nil"/>
              <w:bottom w:val="nil"/>
              <w:right w:val="nil"/>
            </w:tcBorders>
            <w:shd w:val="clear" w:color="auto" w:fill="auto"/>
            <w:vAlign w:val="center"/>
            <w:hideMark/>
          </w:tcPr>
          <w:p w14:paraId="33277BB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766</w:t>
            </w:r>
          </w:p>
        </w:tc>
        <w:tc>
          <w:tcPr>
            <w:tcW w:w="1060" w:type="dxa"/>
            <w:tcBorders>
              <w:top w:val="nil"/>
              <w:left w:val="nil"/>
              <w:bottom w:val="nil"/>
              <w:right w:val="nil"/>
            </w:tcBorders>
            <w:shd w:val="clear" w:color="auto" w:fill="auto"/>
            <w:vAlign w:val="center"/>
            <w:hideMark/>
          </w:tcPr>
          <w:p w14:paraId="0CC0D63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23.57</w:t>
            </w:r>
          </w:p>
        </w:tc>
      </w:tr>
      <w:tr w:rsidR="00F36348" w:rsidRPr="007A2346" w14:paraId="7216D6D2" w14:textId="77777777" w:rsidTr="00695A13">
        <w:trPr>
          <w:trHeight w:val="300"/>
        </w:trPr>
        <w:tc>
          <w:tcPr>
            <w:tcW w:w="2800" w:type="dxa"/>
            <w:tcBorders>
              <w:top w:val="nil"/>
              <w:left w:val="nil"/>
              <w:bottom w:val="nil"/>
              <w:right w:val="nil"/>
            </w:tcBorders>
            <w:shd w:val="clear" w:color="auto" w:fill="auto"/>
            <w:vAlign w:val="center"/>
            <w:hideMark/>
          </w:tcPr>
          <w:p w14:paraId="0068A73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(50.0, 60.0]</w:t>
            </w:r>
          </w:p>
        </w:tc>
        <w:tc>
          <w:tcPr>
            <w:tcW w:w="460" w:type="dxa"/>
            <w:tcBorders>
              <w:top w:val="nil"/>
              <w:left w:val="nil"/>
              <w:bottom w:val="nil"/>
              <w:right w:val="nil"/>
            </w:tcBorders>
            <w:shd w:val="clear" w:color="auto" w:fill="auto"/>
            <w:vAlign w:val="center"/>
            <w:hideMark/>
          </w:tcPr>
          <w:p w14:paraId="49E48D3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89</w:t>
            </w:r>
          </w:p>
        </w:tc>
        <w:tc>
          <w:tcPr>
            <w:tcW w:w="1060" w:type="dxa"/>
            <w:tcBorders>
              <w:top w:val="nil"/>
              <w:left w:val="nil"/>
              <w:bottom w:val="nil"/>
              <w:right w:val="nil"/>
            </w:tcBorders>
            <w:shd w:val="clear" w:color="auto" w:fill="auto"/>
            <w:vAlign w:val="center"/>
            <w:hideMark/>
          </w:tcPr>
          <w:p w14:paraId="6009C6A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2.74</w:t>
            </w:r>
          </w:p>
        </w:tc>
      </w:tr>
      <w:tr w:rsidR="00F36348" w:rsidRPr="007A2346" w14:paraId="014FE08E" w14:textId="77777777" w:rsidTr="00695A13">
        <w:trPr>
          <w:trHeight w:val="300"/>
        </w:trPr>
        <w:tc>
          <w:tcPr>
            <w:tcW w:w="2800" w:type="dxa"/>
            <w:tcBorders>
              <w:top w:val="nil"/>
              <w:left w:val="nil"/>
              <w:bottom w:val="nil"/>
              <w:right w:val="nil"/>
            </w:tcBorders>
            <w:shd w:val="clear" w:color="auto" w:fill="auto"/>
            <w:vAlign w:val="center"/>
            <w:hideMark/>
          </w:tcPr>
          <w:p w14:paraId="713C348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(60.0, 70.0]</w:t>
            </w:r>
          </w:p>
        </w:tc>
        <w:tc>
          <w:tcPr>
            <w:tcW w:w="460" w:type="dxa"/>
            <w:tcBorders>
              <w:top w:val="nil"/>
              <w:left w:val="nil"/>
              <w:bottom w:val="nil"/>
              <w:right w:val="nil"/>
            </w:tcBorders>
            <w:shd w:val="clear" w:color="auto" w:fill="auto"/>
            <w:vAlign w:val="center"/>
            <w:hideMark/>
          </w:tcPr>
          <w:p w14:paraId="2DB894E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060" w:type="dxa"/>
            <w:tcBorders>
              <w:top w:val="nil"/>
              <w:left w:val="nil"/>
              <w:bottom w:val="nil"/>
              <w:right w:val="nil"/>
            </w:tcBorders>
            <w:shd w:val="clear" w:color="auto" w:fill="auto"/>
            <w:vAlign w:val="center"/>
            <w:hideMark/>
          </w:tcPr>
          <w:p w14:paraId="1D347A9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0.37</w:t>
            </w:r>
          </w:p>
        </w:tc>
      </w:tr>
      <w:tr w:rsidR="00F36348" w:rsidRPr="007A2346" w14:paraId="4B4FA6E3" w14:textId="77777777" w:rsidTr="00695A13">
        <w:trPr>
          <w:trHeight w:val="300"/>
        </w:trPr>
        <w:tc>
          <w:tcPr>
            <w:tcW w:w="2800" w:type="dxa"/>
            <w:tcBorders>
              <w:top w:val="nil"/>
              <w:left w:val="nil"/>
              <w:bottom w:val="nil"/>
              <w:right w:val="nil"/>
            </w:tcBorders>
            <w:shd w:val="clear" w:color="auto" w:fill="auto"/>
            <w:vAlign w:val="center"/>
            <w:hideMark/>
          </w:tcPr>
          <w:p w14:paraId="70665810"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(70.0, 80.0]</w:t>
            </w:r>
          </w:p>
        </w:tc>
        <w:tc>
          <w:tcPr>
            <w:tcW w:w="460" w:type="dxa"/>
            <w:tcBorders>
              <w:top w:val="nil"/>
              <w:left w:val="nil"/>
              <w:bottom w:val="nil"/>
              <w:right w:val="nil"/>
            </w:tcBorders>
            <w:shd w:val="clear" w:color="auto" w:fill="auto"/>
            <w:vAlign w:val="center"/>
            <w:hideMark/>
          </w:tcPr>
          <w:p w14:paraId="214D4BA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2D5C5C5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1380D064" w14:textId="77777777" w:rsidTr="00695A13">
        <w:trPr>
          <w:trHeight w:val="300"/>
        </w:trPr>
        <w:tc>
          <w:tcPr>
            <w:tcW w:w="2800" w:type="dxa"/>
            <w:tcBorders>
              <w:top w:val="nil"/>
              <w:left w:val="nil"/>
              <w:bottom w:val="nil"/>
              <w:right w:val="nil"/>
            </w:tcBorders>
            <w:shd w:val="clear" w:color="auto" w:fill="auto"/>
            <w:vAlign w:val="center"/>
            <w:hideMark/>
          </w:tcPr>
          <w:p w14:paraId="49C2232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(80.0, 90.0]</w:t>
            </w:r>
          </w:p>
        </w:tc>
        <w:tc>
          <w:tcPr>
            <w:tcW w:w="460" w:type="dxa"/>
            <w:tcBorders>
              <w:top w:val="nil"/>
              <w:left w:val="nil"/>
              <w:bottom w:val="nil"/>
              <w:right w:val="nil"/>
            </w:tcBorders>
            <w:shd w:val="clear" w:color="auto" w:fill="auto"/>
            <w:vAlign w:val="center"/>
            <w:hideMark/>
          </w:tcPr>
          <w:p w14:paraId="37CBCDC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20A2757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32117930" w14:textId="77777777" w:rsidTr="00695A13">
        <w:trPr>
          <w:trHeight w:val="300"/>
        </w:trPr>
        <w:tc>
          <w:tcPr>
            <w:tcW w:w="2800" w:type="dxa"/>
            <w:tcBorders>
              <w:top w:val="nil"/>
              <w:left w:val="nil"/>
              <w:bottom w:val="nil"/>
              <w:right w:val="nil"/>
            </w:tcBorders>
            <w:shd w:val="clear" w:color="auto" w:fill="auto"/>
            <w:vAlign w:val="center"/>
            <w:hideMark/>
          </w:tcPr>
          <w:p w14:paraId="4FC7395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(90.0, 100.0]</w:t>
            </w:r>
          </w:p>
        </w:tc>
        <w:tc>
          <w:tcPr>
            <w:tcW w:w="460" w:type="dxa"/>
            <w:tcBorders>
              <w:top w:val="nil"/>
              <w:left w:val="nil"/>
              <w:bottom w:val="nil"/>
              <w:right w:val="nil"/>
            </w:tcBorders>
            <w:shd w:val="clear" w:color="auto" w:fill="auto"/>
            <w:vAlign w:val="center"/>
            <w:hideMark/>
          </w:tcPr>
          <w:p w14:paraId="28F05EA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060" w:type="dxa"/>
            <w:tcBorders>
              <w:top w:val="nil"/>
              <w:left w:val="nil"/>
              <w:bottom w:val="nil"/>
              <w:right w:val="nil"/>
            </w:tcBorders>
            <w:shd w:val="clear" w:color="auto" w:fill="auto"/>
            <w:vAlign w:val="center"/>
            <w:hideMark/>
          </w:tcPr>
          <w:p w14:paraId="286B290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bl>
    <w:p w14:paraId="6362EE24" w14:textId="77777777" w:rsidR="00F36348" w:rsidRDefault="00F36348" w:rsidP="00F36348">
      <w:pPr>
        <w:pStyle w:val="Paragraph"/>
      </w:pPr>
    </w:p>
    <w:p w14:paraId="6556D4C2" w14:textId="45D41AD4" w:rsidR="00F36348" w:rsidRDefault="00F36348" w:rsidP="00077BB0">
      <w:pPr>
        <w:pStyle w:val="Heading2"/>
      </w:pPr>
      <w:bookmarkStart w:id="836" w:name="_Toc116041929"/>
      <w:r w:rsidRPr="001F3088">
        <w:t xml:space="preserve">Unwired </w:t>
      </w:r>
      <w:r>
        <w:t>n</w:t>
      </w:r>
      <w:r w:rsidRPr="001F3088">
        <w:t>etwork</w:t>
      </w:r>
      <w:bookmarkEnd w:id="836"/>
    </w:p>
    <w:p w14:paraId="4F2D1614" w14:textId="5E6A6FDB" w:rsidR="00F36348" w:rsidRDefault="00F36348" w:rsidP="00D77F80">
      <w:pPr>
        <w:pStyle w:val="Numberedparagraph"/>
      </w:pPr>
      <w:r>
        <w:t>There are 363 registrations from a 2010 database search of AKAL Pty Ltd licences</w:t>
      </w:r>
      <w:r w:rsidR="00D379F3">
        <w:t>, which is the appropriate licensee at the time</w:t>
      </w:r>
      <w:r>
        <w:t xml:space="preserve">. The registrations are between </w:t>
      </w:r>
      <w:r w:rsidRPr="008471C7">
        <w:t>3475–3575</w:t>
      </w:r>
      <w:r>
        <w:t xml:space="preserve"> MHz. These statistics do not include backhaul registrations.</w:t>
      </w:r>
      <w:r w:rsidR="009D3470">
        <w:t xml:space="preserve"> It is understood that this network used Ripwave MX8 and Cisco BWX8305 equipment and some statistics has been corrected to reflect this use.</w:t>
      </w:r>
    </w:p>
    <w:p w14:paraId="0FB4E3EC" w14:textId="032B8CCB" w:rsidR="00F36348" w:rsidRDefault="00F36348" w:rsidP="00F36348">
      <w:pPr>
        <w:pStyle w:val="Paragraph"/>
      </w:pPr>
      <w:r w:rsidRPr="00DA309A">
        <w:t xml:space="preserve">Note: TPA refers to calculated </w:t>
      </w:r>
      <w:r w:rsidR="004C22CA">
        <w:t>“</w:t>
      </w:r>
      <w:r w:rsidRPr="00DA309A">
        <w:t>total power into antenna</w:t>
      </w:r>
      <w:r w:rsidR="004C22CA">
        <w:t>”</w:t>
      </w:r>
      <w:r w:rsidRPr="00DA309A">
        <w:t xml:space="preserve"> and power refers to reported power values.</w:t>
      </w:r>
    </w:p>
    <w:p w14:paraId="6739C919" w14:textId="77777777" w:rsidR="00D379F3" w:rsidRDefault="00D379F3">
      <w:pPr>
        <w:spacing w:after="0" w:line="240" w:lineRule="auto"/>
        <w:rPr>
          <w:b/>
          <w:bCs/>
          <w:color w:val="323232"/>
          <w:szCs w:val="20"/>
        </w:rPr>
      </w:pPr>
      <w:r>
        <w:br w:type="page"/>
      </w:r>
    </w:p>
    <w:p w14:paraId="2998825E" w14:textId="27F7C47D" w:rsidR="00F36348" w:rsidRDefault="00F36348" w:rsidP="00F36348">
      <w:pPr>
        <w:pStyle w:val="ACMAFigureHeader"/>
      </w:pPr>
      <w:r>
        <w:t>Location of Melbourne Unwired Deployments in 2010</w:t>
      </w:r>
    </w:p>
    <w:p w14:paraId="5ACE1B60" w14:textId="77777777" w:rsidR="00F36348" w:rsidRDefault="00F36348" w:rsidP="00F36348">
      <w:r>
        <w:rPr>
          <w:noProof/>
        </w:rPr>
        <w:drawing>
          <wp:inline distT="0" distB="0" distL="0" distR="0" wp14:anchorId="17DBDC48" wp14:editId="689E6AD4">
            <wp:extent cx="4871085" cy="5688965"/>
            <wp:effectExtent l="0" t="0" r="5715" b="6985"/>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242"/>
                    <a:stretch>
                      <a:fillRect/>
                    </a:stretch>
                  </pic:blipFill>
                  <pic:spPr>
                    <a:xfrm>
                      <a:off x="0" y="0"/>
                      <a:ext cx="4871085" cy="5688965"/>
                    </a:xfrm>
                    <a:prstGeom prst="rect">
                      <a:avLst/>
                    </a:prstGeom>
                  </pic:spPr>
                </pic:pic>
              </a:graphicData>
            </a:graphic>
          </wp:inline>
        </w:drawing>
      </w:r>
    </w:p>
    <w:p w14:paraId="15FAFC58" w14:textId="77777777" w:rsidR="00D379F3" w:rsidRDefault="00D379F3">
      <w:pPr>
        <w:spacing w:after="0" w:line="240" w:lineRule="auto"/>
        <w:rPr>
          <w:b/>
          <w:bCs/>
          <w:color w:val="323232"/>
          <w:szCs w:val="20"/>
        </w:rPr>
      </w:pPr>
      <w:r>
        <w:br w:type="page"/>
      </w:r>
    </w:p>
    <w:p w14:paraId="2FFD19CD" w14:textId="2EE4AE2F" w:rsidR="00F36348" w:rsidRDefault="00F36348" w:rsidP="00F36348">
      <w:pPr>
        <w:pStyle w:val="ACMAFigureHeader"/>
      </w:pPr>
      <w:r>
        <w:t>Locations of airports and runways around Melbourne</w:t>
      </w:r>
    </w:p>
    <w:p w14:paraId="1BD3A4D7" w14:textId="77777777" w:rsidR="00F36348" w:rsidRPr="00267EA0" w:rsidRDefault="00F36348" w:rsidP="00F36348">
      <w:pPr>
        <w:pStyle w:val="ACMAFigureHeader"/>
        <w:numPr>
          <w:ilvl w:val="0"/>
          <w:numId w:val="0"/>
        </w:numPr>
      </w:pPr>
      <w:r w:rsidRPr="00563CAA">
        <w:rPr>
          <w:noProof/>
        </w:rPr>
        <w:drawing>
          <wp:inline distT="0" distB="0" distL="0" distR="0" wp14:anchorId="20753B75" wp14:editId="4C76B552">
            <wp:extent cx="4871085" cy="398653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871085" cy="3986530"/>
                    </a:xfrm>
                    <a:prstGeom prst="rect">
                      <a:avLst/>
                    </a:prstGeom>
                  </pic:spPr>
                </pic:pic>
              </a:graphicData>
            </a:graphic>
          </wp:inline>
        </w:drawing>
      </w:r>
    </w:p>
    <w:p w14:paraId="6138AD35" w14:textId="77777777" w:rsidR="00D379F3" w:rsidRDefault="00D379F3">
      <w:pPr>
        <w:spacing w:after="0" w:line="240" w:lineRule="auto"/>
        <w:rPr>
          <w:b/>
          <w:bCs/>
          <w:color w:val="323232"/>
          <w:szCs w:val="20"/>
        </w:rPr>
      </w:pPr>
      <w:r>
        <w:br w:type="page"/>
      </w:r>
    </w:p>
    <w:p w14:paraId="21679E01" w14:textId="58AF8972" w:rsidR="00F36348" w:rsidRDefault="00F36348" w:rsidP="00F36348">
      <w:pPr>
        <w:pStyle w:val="ACMAFigureHeader"/>
      </w:pPr>
      <w:r>
        <w:t>Location of Sydney Unwired deployments in 2010</w:t>
      </w:r>
    </w:p>
    <w:p w14:paraId="1F25544C" w14:textId="77777777" w:rsidR="00F36348" w:rsidRDefault="00F36348" w:rsidP="00F36348">
      <w:pPr>
        <w:pStyle w:val="Paragraph"/>
      </w:pPr>
      <w:r>
        <w:rPr>
          <w:noProof/>
        </w:rPr>
        <w:drawing>
          <wp:inline distT="0" distB="0" distL="0" distR="0" wp14:anchorId="0116DF03" wp14:editId="65762FDC">
            <wp:extent cx="4871085" cy="3324225"/>
            <wp:effectExtent l="0" t="0" r="5715" b="952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244"/>
                    <a:stretch>
                      <a:fillRect/>
                    </a:stretch>
                  </pic:blipFill>
                  <pic:spPr>
                    <a:xfrm>
                      <a:off x="0" y="0"/>
                      <a:ext cx="4871085" cy="3324225"/>
                    </a:xfrm>
                    <a:prstGeom prst="rect">
                      <a:avLst/>
                    </a:prstGeom>
                  </pic:spPr>
                </pic:pic>
              </a:graphicData>
            </a:graphic>
          </wp:inline>
        </w:drawing>
      </w:r>
    </w:p>
    <w:p w14:paraId="761FA978" w14:textId="77777777" w:rsidR="00F36348" w:rsidRDefault="00F36348" w:rsidP="00F36348">
      <w:pPr>
        <w:pStyle w:val="ACMAFigureHeader"/>
      </w:pPr>
      <w:r>
        <w:t>Locations of airports and runways around Sydney</w:t>
      </w:r>
    </w:p>
    <w:p w14:paraId="37B553D6" w14:textId="77777777" w:rsidR="00F36348" w:rsidRDefault="00F36348" w:rsidP="00F36348">
      <w:pPr>
        <w:pStyle w:val="Paragraph"/>
      </w:pPr>
      <w:r w:rsidRPr="00444290">
        <w:rPr>
          <w:noProof/>
        </w:rPr>
        <w:drawing>
          <wp:inline distT="0" distB="0" distL="0" distR="0" wp14:anchorId="0216E67D" wp14:editId="43950700">
            <wp:extent cx="4871085" cy="217551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871085" cy="2175510"/>
                    </a:xfrm>
                    <a:prstGeom prst="rect">
                      <a:avLst/>
                    </a:prstGeom>
                  </pic:spPr>
                </pic:pic>
              </a:graphicData>
            </a:graphic>
          </wp:inline>
        </w:drawing>
      </w:r>
    </w:p>
    <w:p w14:paraId="425DFA4E" w14:textId="77777777" w:rsidR="00F36348" w:rsidRPr="00C30756" w:rsidRDefault="00F36348" w:rsidP="00F36348">
      <w:pPr>
        <w:pStyle w:val="ACMATableHeader"/>
        <w:rPr>
          <w:shd w:val="clear" w:color="auto" w:fill="FFFFFF"/>
        </w:rPr>
      </w:pPr>
      <w:r>
        <w:rPr>
          <w:shd w:val="clear" w:color="auto" w:fill="FFFFFF"/>
        </w:rPr>
        <w:t>Deployment statistics for Unwired network</w:t>
      </w:r>
    </w:p>
    <w:tbl>
      <w:tblPr>
        <w:tblW w:w="4580" w:type="dxa"/>
        <w:tblLook w:val="04A0" w:firstRow="1" w:lastRow="0" w:firstColumn="1" w:lastColumn="0" w:noHBand="0" w:noVBand="1"/>
      </w:tblPr>
      <w:tblGrid>
        <w:gridCol w:w="2800"/>
        <w:gridCol w:w="508"/>
        <w:gridCol w:w="1400"/>
      </w:tblGrid>
      <w:tr w:rsidR="00F36348" w:rsidRPr="007A2346" w14:paraId="5A2AD9C9" w14:textId="77777777" w:rsidTr="00695A13">
        <w:trPr>
          <w:trHeight w:val="315"/>
        </w:trPr>
        <w:tc>
          <w:tcPr>
            <w:tcW w:w="2800" w:type="dxa"/>
            <w:tcBorders>
              <w:top w:val="nil"/>
              <w:left w:val="nil"/>
              <w:bottom w:val="nil"/>
              <w:right w:val="nil"/>
            </w:tcBorders>
            <w:shd w:val="clear" w:color="auto" w:fill="auto"/>
            <w:noWrap/>
            <w:vAlign w:val="center"/>
            <w:hideMark/>
          </w:tcPr>
          <w:p w14:paraId="2A5859B4"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Bandwidth Table</w:t>
            </w:r>
          </w:p>
        </w:tc>
        <w:tc>
          <w:tcPr>
            <w:tcW w:w="380" w:type="dxa"/>
            <w:tcBorders>
              <w:top w:val="nil"/>
              <w:left w:val="nil"/>
              <w:bottom w:val="nil"/>
              <w:right w:val="nil"/>
            </w:tcBorders>
            <w:shd w:val="clear" w:color="auto" w:fill="auto"/>
            <w:noWrap/>
            <w:vAlign w:val="bottom"/>
            <w:hideMark/>
          </w:tcPr>
          <w:p w14:paraId="1A76204A"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40C17ED0" w14:textId="77777777" w:rsidR="00F36348" w:rsidRPr="007A2346" w:rsidRDefault="00F36348" w:rsidP="00695A13">
            <w:pPr>
              <w:spacing w:after="0" w:line="240" w:lineRule="auto"/>
              <w:rPr>
                <w:rFonts w:ascii="Times New Roman" w:hAnsi="Times New Roman"/>
                <w:szCs w:val="20"/>
              </w:rPr>
            </w:pPr>
          </w:p>
        </w:tc>
      </w:tr>
      <w:tr w:rsidR="00F36348" w:rsidRPr="007A2346" w14:paraId="361C55A3" w14:textId="77777777" w:rsidTr="00695A13">
        <w:trPr>
          <w:trHeight w:val="480"/>
        </w:trPr>
        <w:tc>
          <w:tcPr>
            <w:tcW w:w="2800" w:type="dxa"/>
            <w:tcBorders>
              <w:top w:val="nil"/>
              <w:left w:val="nil"/>
              <w:bottom w:val="nil"/>
              <w:right w:val="nil"/>
            </w:tcBorders>
            <w:shd w:val="clear" w:color="auto" w:fill="auto"/>
            <w:vAlign w:val="center"/>
            <w:hideMark/>
          </w:tcPr>
          <w:p w14:paraId="38F1E74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B</w:t>
            </w:r>
            <w:r>
              <w:rPr>
                <w:rFonts w:ascii="Segoe UI" w:hAnsi="Segoe UI" w:cs="Segoe UI"/>
                <w:b/>
                <w:bCs/>
                <w:color w:val="000000"/>
                <w:sz w:val="18"/>
                <w:szCs w:val="18"/>
              </w:rPr>
              <w:t>andwidth</w:t>
            </w:r>
            <w:r w:rsidRPr="007A2346">
              <w:rPr>
                <w:rFonts w:ascii="Segoe UI" w:hAnsi="Segoe UI" w:cs="Segoe UI"/>
                <w:b/>
                <w:bCs/>
                <w:color w:val="000000"/>
                <w:sz w:val="18"/>
                <w:szCs w:val="18"/>
              </w:rPr>
              <w:t xml:space="preserve"> (MHz)</w:t>
            </w:r>
          </w:p>
        </w:tc>
        <w:tc>
          <w:tcPr>
            <w:tcW w:w="380" w:type="dxa"/>
            <w:tcBorders>
              <w:top w:val="nil"/>
              <w:left w:val="nil"/>
              <w:bottom w:val="nil"/>
              <w:right w:val="nil"/>
            </w:tcBorders>
            <w:shd w:val="clear" w:color="auto" w:fill="auto"/>
            <w:noWrap/>
            <w:vAlign w:val="bottom"/>
            <w:hideMark/>
          </w:tcPr>
          <w:p w14:paraId="3341B6C1"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7B0CD38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7610154" w14:textId="77777777" w:rsidTr="00695A13">
        <w:trPr>
          <w:trHeight w:val="300"/>
        </w:trPr>
        <w:tc>
          <w:tcPr>
            <w:tcW w:w="2800" w:type="dxa"/>
            <w:tcBorders>
              <w:top w:val="nil"/>
              <w:left w:val="nil"/>
              <w:bottom w:val="nil"/>
              <w:right w:val="nil"/>
            </w:tcBorders>
            <w:shd w:val="clear" w:color="auto" w:fill="auto"/>
            <w:vAlign w:val="center"/>
            <w:hideMark/>
          </w:tcPr>
          <w:p w14:paraId="780E157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w:t>
            </w:r>
          </w:p>
        </w:tc>
        <w:tc>
          <w:tcPr>
            <w:tcW w:w="380" w:type="dxa"/>
            <w:tcBorders>
              <w:top w:val="nil"/>
              <w:left w:val="nil"/>
              <w:bottom w:val="nil"/>
              <w:right w:val="nil"/>
            </w:tcBorders>
            <w:shd w:val="clear" w:color="auto" w:fill="auto"/>
            <w:vAlign w:val="center"/>
            <w:hideMark/>
          </w:tcPr>
          <w:p w14:paraId="4F5A92D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336</w:t>
            </w:r>
          </w:p>
        </w:tc>
        <w:tc>
          <w:tcPr>
            <w:tcW w:w="1400" w:type="dxa"/>
            <w:tcBorders>
              <w:top w:val="nil"/>
              <w:left w:val="nil"/>
              <w:bottom w:val="nil"/>
              <w:right w:val="nil"/>
            </w:tcBorders>
            <w:shd w:val="clear" w:color="auto" w:fill="auto"/>
            <w:vAlign w:val="center"/>
            <w:hideMark/>
          </w:tcPr>
          <w:p w14:paraId="60BFC12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92.56</w:t>
            </w:r>
          </w:p>
        </w:tc>
      </w:tr>
      <w:tr w:rsidR="00F36348" w:rsidRPr="007A2346" w14:paraId="3012C970" w14:textId="77777777" w:rsidTr="00695A13">
        <w:trPr>
          <w:trHeight w:val="300"/>
        </w:trPr>
        <w:tc>
          <w:tcPr>
            <w:tcW w:w="2800" w:type="dxa"/>
            <w:tcBorders>
              <w:top w:val="nil"/>
              <w:left w:val="nil"/>
              <w:bottom w:val="nil"/>
              <w:right w:val="nil"/>
            </w:tcBorders>
            <w:shd w:val="clear" w:color="auto" w:fill="auto"/>
            <w:vAlign w:val="center"/>
            <w:hideMark/>
          </w:tcPr>
          <w:p w14:paraId="1F7CD46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w:t>
            </w:r>
          </w:p>
        </w:tc>
        <w:tc>
          <w:tcPr>
            <w:tcW w:w="380" w:type="dxa"/>
            <w:tcBorders>
              <w:top w:val="nil"/>
              <w:left w:val="nil"/>
              <w:bottom w:val="nil"/>
              <w:right w:val="nil"/>
            </w:tcBorders>
            <w:shd w:val="clear" w:color="auto" w:fill="auto"/>
            <w:vAlign w:val="center"/>
            <w:hideMark/>
          </w:tcPr>
          <w:p w14:paraId="12ED219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w:t>
            </w:r>
          </w:p>
        </w:tc>
        <w:tc>
          <w:tcPr>
            <w:tcW w:w="1400" w:type="dxa"/>
            <w:tcBorders>
              <w:top w:val="nil"/>
              <w:left w:val="nil"/>
              <w:bottom w:val="nil"/>
              <w:right w:val="nil"/>
            </w:tcBorders>
            <w:shd w:val="clear" w:color="auto" w:fill="auto"/>
            <w:vAlign w:val="center"/>
            <w:hideMark/>
          </w:tcPr>
          <w:p w14:paraId="2E2DDA0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7.44</w:t>
            </w:r>
          </w:p>
        </w:tc>
      </w:tr>
      <w:tr w:rsidR="00F36348" w:rsidRPr="007A2346" w14:paraId="42CD99B8" w14:textId="77777777" w:rsidTr="00695A13">
        <w:trPr>
          <w:trHeight w:val="315"/>
        </w:trPr>
        <w:tc>
          <w:tcPr>
            <w:tcW w:w="2800" w:type="dxa"/>
            <w:tcBorders>
              <w:top w:val="nil"/>
              <w:left w:val="nil"/>
              <w:bottom w:val="nil"/>
              <w:right w:val="nil"/>
            </w:tcBorders>
            <w:shd w:val="clear" w:color="auto" w:fill="auto"/>
            <w:noWrap/>
            <w:vAlign w:val="bottom"/>
            <w:hideMark/>
          </w:tcPr>
          <w:p w14:paraId="5BC6A7AD"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6F1B7774"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0BC294A8" w14:textId="77777777" w:rsidR="00F36348" w:rsidRPr="007A2346" w:rsidRDefault="00F36348" w:rsidP="00695A13">
            <w:pPr>
              <w:spacing w:after="0" w:line="240" w:lineRule="auto"/>
              <w:rPr>
                <w:rFonts w:ascii="Times New Roman" w:hAnsi="Times New Roman"/>
                <w:szCs w:val="20"/>
              </w:rPr>
            </w:pPr>
          </w:p>
        </w:tc>
      </w:tr>
      <w:tr w:rsidR="00F36348" w:rsidRPr="007A2346" w14:paraId="2E2EC5B2" w14:textId="77777777" w:rsidTr="00695A13">
        <w:trPr>
          <w:trHeight w:val="315"/>
        </w:trPr>
        <w:tc>
          <w:tcPr>
            <w:tcW w:w="2800" w:type="dxa"/>
            <w:tcBorders>
              <w:top w:val="nil"/>
              <w:left w:val="nil"/>
              <w:bottom w:val="nil"/>
              <w:right w:val="nil"/>
            </w:tcBorders>
            <w:shd w:val="clear" w:color="auto" w:fill="auto"/>
            <w:noWrap/>
            <w:vAlign w:val="center"/>
            <w:hideMark/>
          </w:tcPr>
          <w:p w14:paraId="648EF385"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table</w:t>
            </w:r>
          </w:p>
        </w:tc>
        <w:tc>
          <w:tcPr>
            <w:tcW w:w="380" w:type="dxa"/>
            <w:tcBorders>
              <w:top w:val="nil"/>
              <w:left w:val="nil"/>
              <w:bottom w:val="nil"/>
              <w:right w:val="nil"/>
            </w:tcBorders>
            <w:shd w:val="clear" w:color="auto" w:fill="auto"/>
            <w:noWrap/>
            <w:vAlign w:val="bottom"/>
            <w:hideMark/>
          </w:tcPr>
          <w:p w14:paraId="5B2120B0"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20EFE4F1" w14:textId="77777777" w:rsidR="00F36348" w:rsidRPr="007A2346" w:rsidRDefault="00F36348" w:rsidP="00695A13">
            <w:pPr>
              <w:spacing w:after="0" w:line="240" w:lineRule="auto"/>
              <w:rPr>
                <w:rFonts w:ascii="Times New Roman" w:hAnsi="Times New Roman"/>
                <w:szCs w:val="20"/>
              </w:rPr>
            </w:pPr>
          </w:p>
        </w:tc>
      </w:tr>
      <w:tr w:rsidR="00F36348" w:rsidRPr="007A2346" w14:paraId="2F1DA74C" w14:textId="77777777" w:rsidTr="00695A13">
        <w:trPr>
          <w:trHeight w:val="480"/>
        </w:trPr>
        <w:tc>
          <w:tcPr>
            <w:tcW w:w="2800" w:type="dxa"/>
            <w:tcBorders>
              <w:top w:val="nil"/>
              <w:left w:val="nil"/>
              <w:bottom w:val="nil"/>
              <w:right w:val="nil"/>
            </w:tcBorders>
            <w:shd w:val="clear" w:color="auto" w:fill="auto"/>
            <w:vAlign w:val="center"/>
            <w:hideMark/>
          </w:tcPr>
          <w:p w14:paraId="536316D4" w14:textId="77777777" w:rsidR="00F36348" w:rsidRPr="007A2346" w:rsidRDefault="00F36348" w:rsidP="00695A13">
            <w:pPr>
              <w:spacing w:after="0" w:line="240" w:lineRule="auto"/>
              <w:jc w:val="right"/>
              <w:rPr>
                <w:rFonts w:ascii="Segoe UI" w:hAnsi="Segoe UI" w:cs="Segoe UI"/>
                <w:b/>
                <w:bCs/>
                <w:color w:val="000000"/>
                <w:sz w:val="18"/>
                <w:szCs w:val="18"/>
              </w:rPr>
            </w:pPr>
            <w:r>
              <w:rPr>
                <w:rFonts w:ascii="Segoe UI" w:hAnsi="Segoe UI" w:cs="Segoe UI"/>
                <w:b/>
                <w:bCs/>
                <w:color w:val="000000"/>
                <w:sz w:val="18"/>
                <w:szCs w:val="18"/>
              </w:rPr>
              <w:t>Total Power into Antenna (W)</w:t>
            </w:r>
          </w:p>
        </w:tc>
        <w:tc>
          <w:tcPr>
            <w:tcW w:w="380" w:type="dxa"/>
            <w:tcBorders>
              <w:top w:val="nil"/>
              <w:left w:val="nil"/>
              <w:bottom w:val="nil"/>
              <w:right w:val="nil"/>
            </w:tcBorders>
            <w:shd w:val="clear" w:color="auto" w:fill="auto"/>
            <w:noWrap/>
            <w:vAlign w:val="bottom"/>
            <w:hideMark/>
          </w:tcPr>
          <w:p w14:paraId="1B6FA2B4"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24C1852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B44D5AF" w14:textId="77777777" w:rsidTr="00695A13">
        <w:trPr>
          <w:trHeight w:val="300"/>
        </w:trPr>
        <w:tc>
          <w:tcPr>
            <w:tcW w:w="2800" w:type="dxa"/>
            <w:tcBorders>
              <w:top w:val="nil"/>
              <w:left w:val="nil"/>
              <w:bottom w:val="nil"/>
              <w:right w:val="nil"/>
            </w:tcBorders>
            <w:shd w:val="clear" w:color="auto" w:fill="auto"/>
            <w:vAlign w:val="center"/>
            <w:hideMark/>
          </w:tcPr>
          <w:p w14:paraId="1FA7D3B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0.80</w:t>
            </w:r>
          </w:p>
        </w:tc>
        <w:tc>
          <w:tcPr>
            <w:tcW w:w="380" w:type="dxa"/>
            <w:tcBorders>
              <w:top w:val="nil"/>
              <w:left w:val="nil"/>
              <w:bottom w:val="nil"/>
              <w:right w:val="nil"/>
            </w:tcBorders>
            <w:shd w:val="clear" w:color="auto" w:fill="auto"/>
            <w:vAlign w:val="center"/>
            <w:hideMark/>
          </w:tcPr>
          <w:p w14:paraId="0471194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75</w:t>
            </w:r>
          </w:p>
        </w:tc>
        <w:tc>
          <w:tcPr>
            <w:tcW w:w="1400" w:type="dxa"/>
            <w:tcBorders>
              <w:top w:val="nil"/>
              <w:left w:val="nil"/>
              <w:bottom w:val="nil"/>
              <w:right w:val="nil"/>
            </w:tcBorders>
            <w:shd w:val="clear" w:color="auto" w:fill="auto"/>
            <w:vAlign w:val="center"/>
            <w:hideMark/>
          </w:tcPr>
          <w:p w14:paraId="01E3627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20.66</w:t>
            </w:r>
          </w:p>
        </w:tc>
      </w:tr>
      <w:tr w:rsidR="00F36348" w:rsidRPr="007A2346" w14:paraId="60A87B20" w14:textId="77777777" w:rsidTr="00695A13">
        <w:trPr>
          <w:trHeight w:val="300"/>
        </w:trPr>
        <w:tc>
          <w:tcPr>
            <w:tcW w:w="2800" w:type="dxa"/>
            <w:tcBorders>
              <w:top w:val="nil"/>
              <w:left w:val="nil"/>
              <w:bottom w:val="nil"/>
              <w:right w:val="nil"/>
            </w:tcBorders>
            <w:shd w:val="clear" w:color="auto" w:fill="auto"/>
            <w:vAlign w:val="center"/>
            <w:hideMark/>
          </w:tcPr>
          <w:p w14:paraId="6AC6505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0.05</w:t>
            </w:r>
          </w:p>
        </w:tc>
        <w:tc>
          <w:tcPr>
            <w:tcW w:w="380" w:type="dxa"/>
            <w:tcBorders>
              <w:top w:val="nil"/>
              <w:left w:val="nil"/>
              <w:bottom w:val="nil"/>
              <w:right w:val="nil"/>
            </w:tcBorders>
            <w:shd w:val="clear" w:color="auto" w:fill="auto"/>
            <w:vAlign w:val="center"/>
            <w:hideMark/>
          </w:tcPr>
          <w:p w14:paraId="55064D6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400" w:type="dxa"/>
            <w:tcBorders>
              <w:top w:val="nil"/>
              <w:left w:val="nil"/>
              <w:bottom w:val="nil"/>
              <w:right w:val="nil"/>
            </w:tcBorders>
            <w:shd w:val="clear" w:color="auto" w:fill="auto"/>
            <w:vAlign w:val="center"/>
            <w:hideMark/>
          </w:tcPr>
          <w:p w14:paraId="6DD35D2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60D68C35" w14:textId="77777777" w:rsidTr="00695A13">
        <w:trPr>
          <w:trHeight w:val="300"/>
        </w:trPr>
        <w:tc>
          <w:tcPr>
            <w:tcW w:w="2800" w:type="dxa"/>
            <w:tcBorders>
              <w:top w:val="nil"/>
              <w:left w:val="nil"/>
              <w:bottom w:val="nil"/>
              <w:right w:val="nil"/>
            </w:tcBorders>
            <w:shd w:val="clear" w:color="auto" w:fill="auto"/>
            <w:vAlign w:val="center"/>
            <w:hideMark/>
          </w:tcPr>
          <w:p w14:paraId="3A88670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0.32</w:t>
            </w:r>
          </w:p>
        </w:tc>
        <w:tc>
          <w:tcPr>
            <w:tcW w:w="380" w:type="dxa"/>
            <w:tcBorders>
              <w:top w:val="nil"/>
              <w:left w:val="nil"/>
              <w:bottom w:val="nil"/>
              <w:right w:val="nil"/>
            </w:tcBorders>
            <w:shd w:val="clear" w:color="auto" w:fill="auto"/>
            <w:vAlign w:val="center"/>
            <w:hideMark/>
          </w:tcPr>
          <w:p w14:paraId="1DE60AD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35</w:t>
            </w:r>
          </w:p>
        </w:tc>
        <w:tc>
          <w:tcPr>
            <w:tcW w:w="1400" w:type="dxa"/>
            <w:tcBorders>
              <w:top w:val="nil"/>
              <w:left w:val="nil"/>
              <w:bottom w:val="nil"/>
              <w:right w:val="nil"/>
            </w:tcBorders>
            <w:shd w:val="clear" w:color="auto" w:fill="auto"/>
            <w:vAlign w:val="center"/>
            <w:hideMark/>
          </w:tcPr>
          <w:p w14:paraId="1D3A4E3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9.64</w:t>
            </w:r>
          </w:p>
        </w:tc>
      </w:tr>
      <w:tr w:rsidR="00F36348" w:rsidRPr="007A2346" w14:paraId="3ADF592C" w14:textId="77777777" w:rsidTr="00695A13">
        <w:trPr>
          <w:trHeight w:val="300"/>
        </w:trPr>
        <w:tc>
          <w:tcPr>
            <w:tcW w:w="2800" w:type="dxa"/>
            <w:tcBorders>
              <w:top w:val="nil"/>
              <w:left w:val="nil"/>
              <w:bottom w:val="nil"/>
              <w:right w:val="nil"/>
            </w:tcBorders>
            <w:shd w:val="clear" w:color="auto" w:fill="auto"/>
            <w:vAlign w:val="center"/>
            <w:hideMark/>
          </w:tcPr>
          <w:p w14:paraId="21CDC85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0.50</w:t>
            </w:r>
          </w:p>
        </w:tc>
        <w:tc>
          <w:tcPr>
            <w:tcW w:w="380" w:type="dxa"/>
            <w:tcBorders>
              <w:top w:val="nil"/>
              <w:left w:val="nil"/>
              <w:bottom w:val="nil"/>
              <w:right w:val="nil"/>
            </w:tcBorders>
            <w:shd w:val="clear" w:color="auto" w:fill="auto"/>
            <w:vAlign w:val="center"/>
            <w:hideMark/>
          </w:tcPr>
          <w:p w14:paraId="6E8C5BF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w:t>
            </w:r>
          </w:p>
        </w:tc>
        <w:tc>
          <w:tcPr>
            <w:tcW w:w="1400" w:type="dxa"/>
            <w:tcBorders>
              <w:top w:val="nil"/>
              <w:left w:val="nil"/>
              <w:bottom w:val="nil"/>
              <w:right w:val="nil"/>
            </w:tcBorders>
            <w:shd w:val="clear" w:color="auto" w:fill="auto"/>
            <w:vAlign w:val="center"/>
            <w:hideMark/>
          </w:tcPr>
          <w:p w14:paraId="19B11E2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24.24</w:t>
            </w:r>
          </w:p>
        </w:tc>
      </w:tr>
      <w:tr w:rsidR="00F36348" w:rsidRPr="007A2346" w14:paraId="30300B9A" w14:textId="77777777" w:rsidTr="00695A13">
        <w:trPr>
          <w:trHeight w:val="300"/>
        </w:trPr>
        <w:tc>
          <w:tcPr>
            <w:tcW w:w="2800" w:type="dxa"/>
            <w:tcBorders>
              <w:top w:val="nil"/>
              <w:left w:val="nil"/>
              <w:bottom w:val="nil"/>
              <w:right w:val="nil"/>
            </w:tcBorders>
            <w:shd w:val="clear" w:color="auto" w:fill="auto"/>
            <w:vAlign w:val="center"/>
            <w:hideMark/>
          </w:tcPr>
          <w:p w14:paraId="256CC900"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0.63</w:t>
            </w:r>
          </w:p>
        </w:tc>
        <w:tc>
          <w:tcPr>
            <w:tcW w:w="380" w:type="dxa"/>
            <w:tcBorders>
              <w:top w:val="nil"/>
              <w:left w:val="nil"/>
              <w:bottom w:val="nil"/>
              <w:right w:val="nil"/>
            </w:tcBorders>
            <w:shd w:val="clear" w:color="auto" w:fill="auto"/>
            <w:vAlign w:val="center"/>
            <w:hideMark/>
          </w:tcPr>
          <w:p w14:paraId="5967BA93"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46</w:t>
            </w:r>
          </w:p>
        </w:tc>
        <w:tc>
          <w:tcPr>
            <w:tcW w:w="1400" w:type="dxa"/>
            <w:tcBorders>
              <w:top w:val="nil"/>
              <w:left w:val="nil"/>
              <w:bottom w:val="nil"/>
              <w:right w:val="nil"/>
            </w:tcBorders>
            <w:shd w:val="clear" w:color="auto" w:fill="auto"/>
            <w:vAlign w:val="center"/>
            <w:hideMark/>
          </w:tcPr>
          <w:p w14:paraId="7B6D6E5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12.67</w:t>
            </w:r>
          </w:p>
        </w:tc>
      </w:tr>
      <w:tr w:rsidR="00F36348" w:rsidRPr="007A2346" w14:paraId="35CA80B0" w14:textId="77777777" w:rsidTr="00695A13">
        <w:trPr>
          <w:trHeight w:val="300"/>
        </w:trPr>
        <w:tc>
          <w:tcPr>
            <w:tcW w:w="2800" w:type="dxa"/>
            <w:tcBorders>
              <w:top w:val="nil"/>
              <w:left w:val="nil"/>
              <w:bottom w:val="nil"/>
              <w:right w:val="nil"/>
            </w:tcBorders>
            <w:shd w:val="clear" w:color="auto" w:fill="auto"/>
            <w:vAlign w:val="center"/>
            <w:hideMark/>
          </w:tcPr>
          <w:p w14:paraId="3E39EBB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0.13</w:t>
            </w:r>
          </w:p>
        </w:tc>
        <w:tc>
          <w:tcPr>
            <w:tcW w:w="380" w:type="dxa"/>
            <w:tcBorders>
              <w:top w:val="nil"/>
              <w:left w:val="nil"/>
              <w:bottom w:val="nil"/>
              <w:right w:val="nil"/>
            </w:tcBorders>
            <w:shd w:val="clear" w:color="auto" w:fill="auto"/>
            <w:vAlign w:val="center"/>
            <w:hideMark/>
          </w:tcPr>
          <w:p w14:paraId="4F156E8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400" w:type="dxa"/>
            <w:tcBorders>
              <w:top w:val="nil"/>
              <w:left w:val="nil"/>
              <w:bottom w:val="nil"/>
              <w:right w:val="nil"/>
            </w:tcBorders>
            <w:shd w:val="clear" w:color="auto" w:fill="auto"/>
            <w:vAlign w:val="center"/>
            <w:hideMark/>
          </w:tcPr>
          <w:p w14:paraId="043D113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4F672BF8" w14:textId="77777777" w:rsidTr="00695A13">
        <w:trPr>
          <w:trHeight w:val="300"/>
        </w:trPr>
        <w:tc>
          <w:tcPr>
            <w:tcW w:w="2800" w:type="dxa"/>
            <w:tcBorders>
              <w:top w:val="nil"/>
              <w:left w:val="nil"/>
              <w:bottom w:val="nil"/>
              <w:right w:val="nil"/>
            </w:tcBorders>
            <w:shd w:val="clear" w:color="auto" w:fill="auto"/>
            <w:vAlign w:val="center"/>
            <w:hideMark/>
          </w:tcPr>
          <w:p w14:paraId="34B7B6A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0.08</w:t>
            </w:r>
          </w:p>
        </w:tc>
        <w:tc>
          <w:tcPr>
            <w:tcW w:w="380" w:type="dxa"/>
            <w:tcBorders>
              <w:top w:val="nil"/>
              <w:left w:val="nil"/>
              <w:bottom w:val="nil"/>
              <w:right w:val="nil"/>
            </w:tcBorders>
            <w:shd w:val="clear" w:color="auto" w:fill="auto"/>
            <w:vAlign w:val="center"/>
            <w:hideMark/>
          </w:tcPr>
          <w:p w14:paraId="06E61E6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400" w:type="dxa"/>
            <w:tcBorders>
              <w:top w:val="nil"/>
              <w:left w:val="nil"/>
              <w:bottom w:val="nil"/>
              <w:right w:val="nil"/>
            </w:tcBorders>
            <w:shd w:val="clear" w:color="auto" w:fill="auto"/>
            <w:vAlign w:val="center"/>
            <w:hideMark/>
          </w:tcPr>
          <w:p w14:paraId="4528F5B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514474F6" w14:textId="77777777" w:rsidTr="00695A13">
        <w:trPr>
          <w:trHeight w:val="300"/>
        </w:trPr>
        <w:tc>
          <w:tcPr>
            <w:tcW w:w="2800" w:type="dxa"/>
            <w:tcBorders>
              <w:top w:val="nil"/>
              <w:left w:val="nil"/>
              <w:bottom w:val="nil"/>
              <w:right w:val="nil"/>
            </w:tcBorders>
            <w:shd w:val="clear" w:color="auto" w:fill="auto"/>
            <w:vAlign w:val="center"/>
            <w:hideMark/>
          </w:tcPr>
          <w:p w14:paraId="440EB5A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0.01</w:t>
            </w:r>
          </w:p>
        </w:tc>
        <w:tc>
          <w:tcPr>
            <w:tcW w:w="380" w:type="dxa"/>
            <w:tcBorders>
              <w:top w:val="nil"/>
              <w:left w:val="nil"/>
              <w:bottom w:val="nil"/>
              <w:right w:val="nil"/>
            </w:tcBorders>
            <w:shd w:val="clear" w:color="auto" w:fill="auto"/>
            <w:vAlign w:val="center"/>
            <w:hideMark/>
          </w:tcPr>
          <w:p w14:paraId="035C1C2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400" w:type="dxa"/>
            <w:tcBorders>
              <w:top w:val="nil"/>
              <w:left w:val="nil"/>
              <w:bottom w:val="nil"/>
              <w:right w:val="nil"/>
            </w:tcBorders>
            <w:shd w:val="clear" w:color="auto" w:fill="auto"/>
            <w:vAlign w:val="center"/>
            <w:hideMark/>
          </w:tcPr>
          <w:p w14:paraId="7FB1563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05D2CB32" w14:textId="77777777" w:rsidTr="00695A13">
        <w:trPr>
          <w:trHeight w:val="300"/>
        </w:trPr>
        <w:tc>
          <w:tcPr>
            <w:tcW w:w="2800" w:type="dxa"/>
            <w:tcBorders>
              <w:top w:val="nil"/>
              <w:left w:val="nil"/>
              <w:bottom w:val="nil"/>
              <w:right w:val="nil"/>
            </w:tcBorders>
            <w:shd w:val="clear" w:color="auto" w:fill="auto"/>
            <w:vAlign w:val="center"/>
            <w:hideMark/>
          </w:tcPr>
          <w:p w14:paraId="4A47CF3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0.25</w:t>
            </w:r>
          </w:p>
        </w:tc>
        <w:tc>
          <w:tcPr>
            <w:tcW w:w="380" w:type="dxa"/>
            <w:tcBorders>
              <w:top w:val="nil"/>
              <w:left w:val="nil"/>
              <w:bottom w:val="nil"/>
              <w:right w:val="nil"/>
            </w:tcBorders>
            <w:shd w:val="clear" w:color="auto" w:fill="auto"/>
            <w:vAlign w:val="center"/>
            <w:hideMark/>
          </w:tcPr>
          <w:p w14:paraId="3FE5669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400" w:type="dxa"/>
            <w:tcBorders>
              <w:top w:val="nil"/>
              <w:left w:val="nil"/>
              <w:bottom w:val="nil"/>
              <w:right w:val="nil"/>
            </w:tcBorders>
            <w:shd w:val="clear" w:color="auto" w:fill="auto"/>
            <w:vAlign w:val="center"/>
            <w:hideMark/>
          </w:tcPr>
          <w:p w14:paraId="5E9E9BF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4C2E870F" w14:textId="77777777" w:rsidTr="00695A13">
        <w:trPr>
          <w:trHeight w:val="300"/>
        </w:trPr>
        <w:tc>
          <w:tcPr>
            <w:tcW w:w="2800" w:type="dxa"/>
            <w:tcBorders>
              <w:top w:val="nil"/>
              <w:left w:val="nil"/>
              <w:bottom w:val="nil"/>
              <w:right w:val="nil"/>
            </w:tcBorders>
            <w:shd w:val="clear" w:color="auto" w:fill="auto"/>
            <w:vAlign w:val="center"/>
            <w:hideMark/>
          </w:tcPr>
          <w:p w14:paraId="02C9FCE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w:t>
            </w:r>
          </w:p>
        </w:tc>
        <w:tc>
          <w:tcPr>
            <w:tcW w:w="380" w:type="dxa"/>
            <w:tcBorders>
              <w:top w:val="nil"/>
              <w:left w:val="nil"/>
              <w:bottom w:val="nil"/>
              <w:right w:val="nil"/>
            </w:tcBorders>
            <w:shd w:val="clear" w:color="auto" w:fill="auto"/>
            <w:vAlign w:val="center"/>
            <w:hideMark/>
          </w:tcPr>
          <w:p w14:paraId="19F9000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400" w:type="dxa"/>
            <w:tcBorders>
              <w:top w:val="nil"/>
              <w:left w:val="nil"/>
              <w:bottom w:val="nil"/>
              <w:right w:val="nil"/>
            </w:tcBorders>
            <w:shd w:val="clear" w:color="auto" w:fill="auto"/>
            <w:vAlign w:val="center"/>
            <w:hideMark/>
          </w:tcPr>
          <w:p w14:paraId="008367B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6CC5DDCC" w14:textId="77777777" w:rsidTr="00695A13">
        <w:trPr>
          <w:trHeight w:val="300"/>
        </w:trPr>
        <w:tc>
          <w:tcPr>
            <w:tcW w:w="2800" w:type="dxa"/>
            <w:tcBorders>
              <w:top w:val="nil"/>
              <w:left w:val="nil"/>
              <w:bottom w:val="nil"/>
              <w:right w:val="nil"/>
            </w:tcBorders>
            <w:shd w:val="clear" w:color="auto" w:fill="auto"/>
            <w:vAlign w:val="center"/>
            <w:hideMark/>
          </w:tcPr>
          <w:p w14:paraId="3000316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0.32</w:t>
            </w:r>
          </w:p>
        </w:tc>
        <w:tc>
          <w:tcPr>
            <w:tcW w:w="380" w:type="dxa"/>
            <w:tcBorders>
              <w:top w:val="nil"/>
              <w:left w:val="nil"/>
              <w:bottom w:val="nil"/>
              <w:right w:val="nil"/>
            </w:tcBorders>
            <w:shd w:val="clear" w:color="auto" w:fill="auto"/>
            <w:vAlign w:val="center"/>
            <w:hideMark/>
          </w:tcPr>
          <w:p w14:paraId="1274116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27</w:t>
            </w:r>
          </w:p>
        </w:tc>
        <w:tc>
          <w:tcPr>
            <w:tcW w:w="1400" w:type="dxa"/>
            <w:tcBorders>
              <w:top w:val="nil"/>
              <w:left w:val="nil"/>
              <w:bottom w:val="nil"/>
              <w:right w:val="nil"/>
            </w:tcBorders>
            <w:shd w:val="clear" w:color="auto" w:fill="auto"/>
            <w:vAlign w:val="center"/>
            <w:hideMark/>
          </w:tcPr>
          <w:p w14:paraId="09CBDC0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7.44</w:t>
            </w:r>
          </w:p>
        </w:tc>
      </w:tr>
      <w:tr w:rsidR="00F36348" w:rsidRPr="007A2346" w14:paraId="218D546A" w14:textId="77777777" w:rsidTr="00695A13">
        <w:trPr>
          <w:trHeight w:val="315"/>
        </w:trPr>
        <w:tc>
          <w:tcPr>
            <w:tcW w:w="2800" w:type="dxa"/>
            <w:tcBorders>
              <w:top w:val="nil"/>
              <w:left w:val="nil"/>
              <w:bottom w:val="nil"/>
              <w:right w:val="nil"/>
            </w:tcBorders>
            <w:shd w:val="clear" w:color="auto" w:fill="auto"/>
            <w:noWrap/>
            <w:vAlign w:val="bottom"/>
            <w:hideMark/>
          </w:tcPr>
          <w:p w14:paraId="7DDADDB5"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507859AC"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3414EB22" w14:textId="77777777" w:rsidR="00F36348" w:rsidRPr="007A2346" w:rsidRDefault="00F36348" w:rsidP="00695A13">
            <w:pPr>
              <w:spacing w:after="0" w:line="240" w:lineRule="auto"/>
              <w:rPr>
                <w:rFonts w:ascii="Times New Roman" w:hAnsi="Times New Roman"/>
                <w:szCs w:val="20"/>
              </w:rPr>
            </w:pPr>
          </w:p>
        </w:tc>
      </w:tr>
      <w:tr w:rsidR="00F36348" w:rsidRPr="007A2346" w14:paraId="54027B91" w14:textId="77777777" w:rsidTr="00695A13">
        <w:trPr>
          <w:trHeight w:val="315"/>
        </w:trPr>
        <w:tc>
          <w:tcPr>
            <w:tcW w:w="2800" w:type="dxa"/>
            <w:tcBorders>
              <w:top w:val="nil"/>
              <w:left w:val="nil"/>
              <w:bottom w:val="nil"/>
              <w:right w:val="nil"/>
            </w:tcBorders>
            <w:shd w:val="clear" w:color="auto" w:fill="auto"/>
            <w:noWrap/>
            <w:vAlign w:val="center"/>
            <w:hideMark/>
          </w:tcPr>
          <w:p w14:paraId="45EC30E9"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Distribution (Watts)</w:t>
            </w:r>
          </w:p>
        </w:tc>
        <w:tc>
          <w:tcPr>
            <w:tcW w:w="380" w:type="dxa"/>
            <w:tcBorders>
              <w:top w:val="nil"/>
              <w:left w:val="nil"/>
              <w:bottom w:val="nil"/>
              <w:right w:val="nil"/>
            </w:tcBorders>
            <w:shd w:val="clear" w:color="auto" w:fill="auto"/>
            <w:noWrap/>
            <w:vAlign w:val="bottom"/>
            <w:hideMark/>
          </w:tcPr>
          <w:p w14:paraId="111D42A6"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2A929247" w14:textId="77777777" w:rsidR="00F36348" w:rsidRPr="007A2346" w:rsidRDefault="00F36348" w:rsidP="00695A13">
            <w:pPr>
              <w:spacing w:after="0" w:line="240" w:lineRule="auto"/>
              <w:rPr>
                <w:rFonts w:ascii="Times New Roman" w:hAnsi="Times New Roman"/>
                <w:szCs w:val="20"/>
              </w:rPr>
            </w:pPr>
          </w:p>
        </w:tc>
      </w:tr>
      <w:tr w:rsidR="00F36348" w:rsidRPr="007A2346" w14:paraId="050FC58D" w14:textId="77777777" w:rsidTr="00695A13">
        <w:trPr>
          <w:trHeight w:val="1200"/>
        </w:trPr>
        <w:tc>
          <w:tcPr>
            <w:tcW w:w="2800" w:type="dxa"/>
            <w:tcBorders>
              <w:top w:val="nil"/>
              <w:left w:val="nil"/>
              <w:bottom w:val="nil"/>
              <w:right w:val="nil"/>
            </w:tcBorders>
            <w:shd w:val="clear" w:color="auto" w:fill="auto"/>
            <w:vAlign w:val="center"/>
            <w:hideMark/>
          </w:tcPr>
          <w:p w14:paraId="7E4B585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Total Power into Antenna (W)</w:t>
            </w:r>
          </w:p>
        </w:tc>
        <w:tc>
          <w:tcPr>
            <w:tcW w:w="380" w:type="dxa"/>
            <w:tcBorders>
              <w:top w:val="nil"/>
              <w:left w:val="nil"/>
              <w:bottom w:val="nil"/>
              <w:right w:val="nil"/>
            </w:tcBorders>
            <w:shd w:val="clear" w:color="auto" w:fill="auto"/>
            <w:noWrap/>
            <w:vAlign w:val="bottom"/>
            <w:hideMark/>
          </w:tcPr>
          <w:p w14:paraId="2B890CAD"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43B8011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58F83BDB" w14:textId="77777777" w:rsidTr="00695A13">
        <w:trPr>
          <w:trHeight w:val="300"/>
        </w:trPr>
        <w:tc>
          <w:tcPr>
            <w:tcW w:w="2800" w:type="dxa"/>
            <w:tcBorders>
              <w:top w:val="nil"/>
              <w:left w:val="nil"/>
              <w:bottom w:val="nil"/>
              <w:right w:val="nil"/>
            </w:tcBorders>
            <w:shd w:val="clear" w:color="auto" w:fill="auto"/>
            <w:vAlign w:val="center"/>
            <w:hideMark/>
          </w:tcPr>
          <w:p w14:paraId="491A6A0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0.1]</w:t>
            </w:r>
          </w:p>
        </w:tc>
        <w:tc>
          <w:tcPr>
            <w:tcW w:w="380" w:type="dxa"/>
            <w:tcBorders>
              <w:top w:val="nil"/>
              <w:left w:val="nil"/>
              <w:bottom w:val="nil"/>
              <w:right w:val="nil"/>
            </w:tcBorders>
            <w:shd w:val="clear" w:color="auto" w:fill="auto"/>
            <w:vAlign w:val="center"/>
            <w:hideMark/>
          </w:tcPr>
          <w:p w14:paraId="15630E3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59</w:t>
            </w:r>
          </w:p>
        </w:tc>
        <w:tc>
          <w:tcPr>
            <w:tcW w:w="1400" w:type="dxa"/>
            <w:tcBorders>
              <w:top w:val="nil"/>
              <w:left w:val="nil"/>
              <w:bottom w:val="nil"/>
              <w:right w:val="nil"/>
            </w:tcBorders>
            <w:shd w:val="clear" w:color="auto" w:fill="auto"/>
            <w:vAlign w:val="center"/>
            <w:hideMark/>
          </w:tcPr>
          <w:p w14:paraId="14248B1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16.25</w:t>
            </w:r>
          </w:p>
        </w:tc>
      </w:tr>
      <w:tr w:rsidR="00F36348" w:rsidRPr="007A2346" w14:paraId="0489EFA2" w14:textId="77777777" w:rsidTr="00695A13">
        <w:trPr>
          <w:trHeight w:val="300"/>
        </w:trPr>
        <w:tc>
          <w:tcPr>
            <w:tcW w:w="2800" w:type="dxa"/>
            <w:tcBorders>
              <w:top w:val="nil"/>
              <w:left w:val="nil"/>
              <w:bottom w:val="nil"/>
              <w:right w:val="nil"/>
            </w:tcBorders>
            <w:shd w:val="clear" w:color="auto" w:fill="auto"/>
            <w:vAlign w:val="center"/>
            <w:hideMark/>
          </w:tcPr>
          <w:p w14:paraId="461D263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(0.1, 0.2]</w:t>
            </w:r>
          </w:p>
        </w:tc>
        <w:tc>
          <w:tcPr>
            <w:tcW w:w="380" w:type="dxa"/>
            <w:tcBorders>
              <w:top w:val="nil"/>
              <w:left w:val="nil"/>
              <w:bottom w:val="nil"/>
              <w:right w:val="nil"/>
            </w:tcBorders>
            <w:shd w:val="clear" w:color="auto" w:fill="auto"/>
            <w:vAlign w:val="center"/>
            <w:hideMark/>
          </w:tcPr>
          <w:p w14:paraId="6750B84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400" w:type="dxa"/>
            <w:tcBorders>
              <w:top w:val="nil"/>
              <w:left w:val="nil"/>
              <w:bottom w:val="nil"/>
              <w:right w:val="nil"/>
            </w:tcBorders>
            <w:shd w:val="clear" w:color="auto" w:fill="auto"/>
            <w:vAlign w:val="center"/>
            <w:hideMark/>
          </w:tcPr>
          <w:p w14:paraId="1EBAEFB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72258B9F" w14:textId="77777777" w:rsidTr="00695A13">
        <w:trPr>
          <w:trHeight w:val="300"/>
        </w:trPr>
        <w:tc>
          <w:tcPr>
            <w:tcW w:w="2800" w:type="dxa"/>
            <w:tcBorders>
              <w:top w:val="nil"/>
              <w:left w:val="nil"/>
              <w:bottom w:val="nil"/>
              <w:right w:val="nil"/>
            </w:tcBorders>
            <w:shd w:val="clear" w:color="auto" w:fill="auto"/>
            <w:vAlign w:val="center"/>
            <w:hideMark/>
          </w:tcPr>
          <w:p w14:paraId="3ABAD24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(0.2, 0.3]</w:t>
            </w:r>
          </w:p>
        </w:tc>
        <w:tc>
          <w:tcPr>
            <w:tcW w:w="380" w:type="dxa"/>
            <w:tcBorders>
              <w:top w:val="nil"/>
              <w:left w:val="nil"/>
              <w:bottom w:val="nil"/>
              <w:right w:val="nil"/>
            </w:tcBorders>
            <w:shd w:val="clear" w:color="auto" w:fill="auto"/>
            <w:vAlign w:val="center"/>
            <w:hideMark/>
          </w:tcPr>
          <w:p w14:paraId="2C2198A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w:t>
            </w:r>
          </w:p>
        </w:tc>
        <w:tc>
          <w:tcPr>
            <w:tcW w:w="1400" w:type="dxa"/>
            <w:tcBorders>
              <w:top w:val="nil"/>
              <w:left w:val="nil"/>
              <w:bottom w:val="nil"/>
              <w:right w:val="nil"/>
            </w:tcBorders>
            <w:shd w:val="clear" w:color="auto" w:fill="auto"/>
            <w:vAlign w:val="center"/>
            <w:hideMark/>
          </w:tcPr>
          <w:p w14:paraId="1FEA149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0.28</w:t>
            </w:r>
          </w:p>
        </w:tc>
      </w:tr>
      <w:tr w:rsidR="00F36348" w:rsidRPr="007A2346" w14:paraId="36F0F01D" w14:textId="77777777" w:rsidTr="00695A13">
        <w:trPr>
          <w:trHeight w:val="300"/>
        </w:trPr>
        <w:tc>
          <w:tcPr>
            <w:tcW w:w="2800" w:type="dxa"/>
            <w:tcBorders>
              <w:top w:val="nil"/>
              <w:left w:val="nil"/>
              <w:bottom w:val="nil"/>
              <w:right w:val="nil"/>
            </w:tcBorders>
            <w:shd w:val="clear" w:color="auto" w:fill="auto"/>
            <w:vAlign w:val="center"/>
            <w:hideMark/>
          </w:tcPr>
          <w:p w14:paraId="256A42A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(0.3, 0.4]</w:t>
            </w:r>
          </w:p>
        </w:tc>
        <w:tc>
          <w:tcPr>
            <w:tcW w:w="380" w:type="dxa"/>
            <w:tcBorders>
              <w:top w:val="nil"/>
              <w:left w:val="nil"/>
              <w:bottom w:val="nil"/>
              <w:right w:val="nil"/>
            </w:tcBorders>
            <w:shd w:val="clear" w:color="auto" w:fill="auto"/>
            <w:vAlign w:val="center"/>
            <w:hideMark/>
          </w:tcPr>
          <w:p w14:paraId="788AFBA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62</w:t>
            </w:r>
          </w:p>
        </w:tc>
        <w:tc>
          <w:tcPr>
            <w:tcW w:w="1400" w:type="dxa"/>
            <w:tcBorders>
              <w:top w:val="nil"/>
              <w:left w:val="nil"/>
              <w:bottom w:val="nil"/>
              <w:right w:val="nil"/>
            </w:tcBorders>
            <w:shd w:val="clear" w:color="auto" w:fill="auto"/>
            <w:vAlign w:val="center"/>
            <w:hideMark/>
          </w:tcPr>
          <w:p w14:paraId="06E5BF8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17.08</w:t>
            </w:r>
          </w:p>
        </w:tc>
      </w:tr>
      <w:tr w:rsidR="00F36348" w:rsidRPr="007A2346" w14:paraId="557EB396" w14:textId="77777777" w:rsidTr="00695A13">
        <w:trPr>
          <w:trHeight w:val="300"/>
        </w:trPr>
        <w:tc>
          <w:tcPr>
            <w:tcW w:w="2800" w:type="dxa"/>
            <w:tcBorders>
              <w:top w:val="nil"/>
              <w:left w:val="nil"/>
              <w:bottom w:val="nil"/>
              <w:right w:val="nil"/>
            </w:tcBorders>
            <w:shd w:val="clear" w:color="auto" w:fill="auto"/>
            <w:vAlign w:val="center"/>
            <w:hideMark/>
          </w:tcPr>
          <w:p w14:paraId="5438551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(0.4, 0.5]</w:t>
            </w:r>
          </w:p>
        </w:tc>
        <w:tc>
          <w:tcPr>
            <w:tcW w:w="380" w:type="dxa"/>
            <w:tcBorders>
              <w:top w:val="nil"/>
              <w:left w:val="nil"/>
              <w:bottom w:val="nil"/>
              <w:right w:val="nil"/>
            </w:tcBorders>
            <w:shd w:val="clear" w:color="auto" w:fill="auto"/>
            <w:vAlign w:val="center"/>
            <w:hideMark/>
          </w:tcPr>
          <w:p w14:paraId="1026057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400" w:type="dxa"/>
            <w:tcBorders>
              <w:top w:val="nil"/>
              <w:left w:val="nil"/>
              <w:bottom w:val="nil"/>
              <w:right w:val="nil"/>
            </w:tcBorders>
            <w:shd w:val="clear" w:color="auto" w:fill="auto"/>
            <w:vAlign w:val="center"/>
            <w:hideMark/>
          </w:tcPr>
          <w:p w14:paraId="1DAB739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53182FD6" w14:textId="77777777" w:rsidTr="00695A13">
        <w:trPr>
          <w:trHeight w:val="300"/>
        </w:trPr>
        <w:tc>
          <w:tcPr>
            <w:tcW w:w="2800" w:type="dxa"/>
            <w:tcBorders>
              <w:top w:val="nil"/>
              <w:left w:val="nil"/>
              <w:bottom w:val="nil"/>
              <w:right w:val="nil"/>
            </w:tcBorders>
            <w:shd w:val="clear" w:color="auto" w:fill="auto"/>
            <w:vAlign w:val="center"/>
            <w:hideMark/>
          </w:tcPr>
          <w:p w14:paraId="78BC56C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(0.5, 0.6]</w:t>
            </w:r>
          </w:p>
        </w:tc>
        <w:tc>
          <w:tcPr>
            <w:tcW w:w="380" w:type="dxa"/>
            <w:tcBorders>
              <w:top w:val="nil"/>
              <w:left w:val="nil"/>
              <w:bottom w:val="nil"/>
              <w:right w:val="nil"/>
            </w:tcBorders>
            <w:shd w:val="clear" w:color="auto" w:fill="auto"/>
            <w:vAlign w:val="center"/>
            <w:hideMark/>
          </w:tcPr>
          <w:p w14:paraId="6C59457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w:t>
            </w:r>
          </w:p>
        </w:tc>
        <w:tc>
          <w:tcPr>
            <w:tcW w:w="1400" w:type="dxa"/>
            <w:tcBorders>
              <w:top w:val="nil"/>
              <w:left w:val="nil"/>
              <w:bottom w:val="nil"/>
              <w:right w:val="nil"/>
            </w:tcBorders>
            <w:shd w:val="clear" w:color="auto" w:fill="auto"/>
            <w:vAlign w:val="center"/>
            <w:hideMark/>
          </w:tcPr>
          <w:p w14:paraId="37C9C85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24.24</w:t>
            </w:r>
          </w:p>
        </w:tc>
      </w:tr>
      <w:tr w:rsidR="00F36348" w:rsidRPr="007A2346" w14:paraId="155DCC59" w14:textId="77777777" w:rsidTr="00695A13">
        <w:trPr>
          <w:trHeight w:val="300"/>
        </w:trPr>
        <w:tc>
          <w:tcPr>
            <w:tcW w:w="2800" w:type="dxa"/>
            <w:tcBorders>
              <w:top w:val="nil"/>
              <w:left w:val="nil"/>
              <w:bottom w:val="nil"/>
              <w:right w:val="nil"/>
            </w:tcBorders>
            <w:shd w:val="clear" w:color="auto" w:fill="auto"/>
            <w:vAlign w:val="center"/>
            <w:hideMark/>
          </w:tcPr>
          <w:p w14:paraId="61F00A5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(0.6, 1.0]</w:t>
            </w:r>
          </w:p>
        </w:tc>
        <w:tc>
          <w:tcPr>
            <w:tcW w:w="380" w:type="dxa"/>
            <w:tcBorders>
              <w:top w:val="nil"/>
              <w:left w:val="nil"/>
              <w:bottom w:val="nil"/>
              <w:right w:val="nil"/>
            </w:tcBorders>
            <w:shd w:val="clear" w:color="auto" w:fill="auto"/>
            <w:vAlign w:val="center"/>
            <w:hideMark/>
          </w:tcPr>
          <w:p w14:paraId="50C9B77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121</w:t>
            </w:r>
          </w:p>
        </w:tc>
        <w:tc>
          <w:tcPr>
            <w:tcW w:w="1400" w:type="dxa"/>
            <w:tcBorders>
              <w:top w:val="nil"/>
              <w:left w:val="nil"/>
              <w:bottom w:val="nil"/>
              <w:right w:val="nil"/>
            </w:tcBorders>
            <w:shd w:val="clear" w:color="auto" w:fill="auto"/>
            <w:vAlign w:val="center"/>
            <w:hideMark/>
          </w:tcPr>
          <w:p w14:paraId="659161B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33.33</w:t>
            </w:r>
          </w:p>
        </w:tc>
      </w:tr>
      <w:tr w:rsidR="00F36348" w:rsidRPr="007A2346" w14:paraId="224D178F" w14:textId="77777777" w:rsidTr="00695A13">
        <w:trPr>
          <w:trHeight w:val="315"/>
        </w:trPr>
        <w:tc>
          <w:tcPr>
            <w:tcW w:w="2800" w:type="dxa"/>
            <w:tcBorders>
              <w:top w:val="nil"/>
              <w:left w:val="nil"/>
              <w:bottom w:val="nil"/>
              <w:right w:val="nil"/>
            </w:tcBorders>
            <w:shd w:val="clear" w:color="auto" w:fill="auto"/>
            <w:noWrap/>
            <w:vAlign w:val="bottom"/>
            <w:hideMark/>
          </w:tcPr>
          <w:p w14:paraId="4A752E46"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0C7D1943"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363ECD0C" w14:textId="77777777" w:rsidR="00F36348" w:rsidRPr="007A2346" w:rsidRDefault="00F36348" w:rsidP="00695A13">
            <w:pPr>
              <w:spacing w:after="0" w:line="240" w:lineRule="auto"/>
              <w:rPr>
                <w:rFonts w:ascii="Times New Roman" w:hAnsi="Times New Roman"/>
                <w:szCs w:val="20"/>
              </w:rPr>
            </w:pPr>
          </w:p>
        </w:tc>
      </w:tr>
      <w:tr w:rsidR="00F36348" w:rsidRPr="007A2346" w14:paraId="4CA293B1" w14:textId="77777777" w:rsidTr="00695A13">
        <w:trPr>
          <w:trHeight w:val="315"/>
        </w:trPr>
        <w:tc>
          <w:tcPr>
            <w:tcW w:w="2800" w:type="dxa"/>
            <w:tcBorders>
              <w:top w:val="nil"/>
              <w:left w:val="nil"/>
              <w:bottom w:val="nil"/>
              <w:right w:val="nil"/>
            </w:tcBorders>
            <w:shd w:val="clear" w:color="auto" w:fill="auto"/>
            <w:noWrap/>
            <w:vAlign w:val="center"/>
            <w:hideMark/>
          </w:tcPr>
          <w:p w14:paraId="028D8665"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TPA Distribution (dBm/MHz)</w:t>
            </w:r>
          </w:p>
        </w:tc>
        <w:tc>
          <w:tcPr>
            <w:tcW w:w="380" w:type="dxa"/>
            <w:tcBorders>
              <w:top w:val="nil"/>
              <w:left w:val="nil"/>
              <w:bottom w:val="nil"/>
              <w:right w:val="nil"/>
            </w:tcBorders>
            <w:shd w:val="clear" w:color="auto" w:fill="auto"/>
            <w:noWrap/>
            <w:vAlign w:val="bottom"/>
            <w:hideMark/>
          </w:tcPr>
          <w:p w14:paraId="0A698213"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0CAFBAEB" w14:textId="77777777" w:rsidR="00F36348" w:rsidRPr="007A2346" w:rsidRDefault="00F36348" w:rsidP="00695A13">
            <w:pPr>
              <w:spacing w:after="0" w:line="240" w:lineRule="auto"/>
              <w:rPr>
                <w:rFonts w:ascii="Times New Roman" w:hAnsi="Times New Roman"/>
                <w:szCs w:val="20"/>
              </w:rPr>
            </w:pPr>
          </w:p>
        </w:tc>
      </w:tr>
      <w:tr w:rsidR="00F36348" w:rsidRPr="007A2346" w14:paraId="036CD4B9" w14:textId="77777777" w:rsidTr="00695A13">
        <w:trPr>
          <w:trHeight w:val="480"/>
        </w:trPr>
        <w:tc>
          <w:tcPr>
            <w:tcW w:w="2800" w:type="dxa"/>
            <w:tcBorders>
              <w:top w:val="nil"/>
              <w:left w:val="nil"/>
              <w:bottom w:val="nil"/>
              <w:right w:val="nil"/>
            </w:tcBorders>
            <w:shd w:val="clear" w:color="auto" w:fill="auto"/>
            <w:vAlign w:val="center"/>
            <w:hideMark/>
          </w:tcPr>
          <w:p w14:paraId="1408BF1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T</w:t>
            </w:r>
            <w:r>
              <w:rPr>
                <w:rFonts w:ascii="Segoe UI" w:hAnsi="Segoe UI" w:cs="Segoe UI"/>
                <w:b/>
                <w:bCs/>
                <w:color w:val="000000"/>
                <w:sz w:val="18"/>
                <w:szCs w:val="18"/>
              </w:rPr>
              <w:t>otal Power into Antenna (</w:t>
            </w:r>
            <w:r w:rsidRPr="007A2346">
              <w:rPr>
                <w:rFonts w:ascii="Segoe UI" w:hAnsi="Segoe UI" w:cs="Segoe UI"/>
                <w:b/>
                <w:bCs/>
                <w:color w:val="000000"/>
                <w:sz w:val="18"/>
                <w:szCs w:val="18"/>
              </w:rPr>
              <w:t>dBm/MHz</w:t>
            </w:r>
            <w:r>
              <w:rPr>
                <w:rFonts w:ascii="Segoe UI" w:hAnsi="Segoe UI" w:cs="Segoe UI"/>
                <w:b/>
                <w:bCs/>
                <w:color w:val="000000"/>
                <w:sz w:val="18"/>
                <w:szCs w:val="18"/>
              </w:rPr>
              <w:t>)</w:t>
            </w:r>
          </w:p>
        </w:tc>
        <w:tc>
          <w:tcPr>
            <w:tcW w:w="380" w:type="dxa"/>
            <w:tcBorders>
              <w:top w:val="nil"/>
              <w:left w:val="nil"/>
              <w:bottom w:val="nil"/>
              <w:right w:val="nil"/>
            </w:tcBorders>
            <w:shd w:val="clear" w:color="auto" w:fill="auto"/>
            <w:noWrap/>
            <w:vAlign w:val="bottom"/>
            <w:hideMark/>
          </w:tcPr>
          <w:p w14:paraId="2E9723AE"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774093A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1E54803C" w14:textId="77777777" w:rsidTr="00695A13">
        <w:trPr>
          <w:trHeight w:val="300"/>
        </w:trPr>
        <w:tc>
          <w:tcPr>
            <w:tcW w:w="2800" w:type="dxa"/>
            <w:tcBorders>
              <w:top w:val="nil"/>
              <w:left w:val="nil"/>
              <w:bottom w:val="nil"/>
              <w:right w:val="nil"/>
            </w:tcBorders>
            <w:shd w:val="clear" w:color="auto" w:fill="auto"/>
            <w:vAlign w:val="center"/>
            <w:hideMark/>
          </w:tcPr>
          <w:p w14:paraId="01295E1B"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(-1.001, 0.0]</w:t>
            </w:r>
          </w:p>
        </w:tc>
        <w:tc>
          <w:tcPr>
            <w:tcW w:w="380" w:type="dxa"/>
            <w:tcBorders>
              <w:top w:val="nil"/>
              <w:left w:val="nil"/>
              <w:bottom w:val="nil"/>
              <w:right w:val="nil"/>
            </w:tcBorders>
            <w:shd w:val="clear" w:color="auto" w:fill="auto"/>
            <w:vAlign w:val="center"/>
            <w:hideMark/>
          </w:tcPr>
          <w:p w14:paraId="2B0BDB5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400" w:type="dxa"/>
            <w:tcBorders>
              <w:top w:val="nil"/>
              <w:left w:val="nil"/>
              <w:bottom w:val="nil"/>
              <w:right w:val="nil"/>
            </w:tcBorders>
            <w:shd w:val="clear" w:color="auto" w:fill="auto"/>
            <w:vAlign w:val="center"/>
            <w:hideMark/>
          </w:tcPr>
          <w:p w14:paraId="00E9A46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7C168930" w14:textId="77777777" w:rsidTr="00695A13">
        <w:trPr>
          <w:trHeight w:val="300"/>
        </w:trPr>
        <w:tc>
          <w:tcPr>
            <w:tcW w:w="2800" w:type="dxa"/>
            <w:tcBorders>
              <w:top w:val="nil"/>
              <w:left w:val="nil"/>
              <w:bottom w:val="nil"/>
              <w:right w:val="nil"/>
            </w:tcBorders>
            <w:shd w:val="clear" w:color="auto" w:fill="auto"/>
            <w:vAlign w:val="center"/>
            <w:hideMark/>
          </w:tcPr>
          <w:p w14:paraId="2AC84F3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 5.0]</w:t>
            </w:r>
          </w:p>
        </w:tc>
        <w:tc>
          <w:tcPr>
            <w:tcW w:w="380" w:type="dxa"/>
            <w:tcBorders>
              <w:top w:val="nil"/>
              <w:left w:val="nil"/>
              <w:bottom w:val="nil"/>
              <w:right w:val="nil"/>
            </w:tcBorders>
            <w:shd w:val="clear" w:color="auto" w:fill="auto"/>
            <w:vAlign w:val="center"/>
            <w:hideMark/>
          </w:tcPr>
          <w:p w14:paraId="619383F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400" w:type="dxa"/>
            <w:tcBorders>
              <w:top w:val="nil"/>
              <w:left w:val="nil"/>
              <w:bottom w:val="nil"/>
              <w:right w:val="nil"/>
            </w:tcBorders>
            <w:shd w:val="clear" w:color="auto" w:fill="auto"/>
            <w:vAlign w:val="center"/>
            <w:hideMark/>
          </w:tcPr>
          <w:p w14:paraId="7339664D"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1E0B1EBC" w14:textId="77777777" w:rsidTr="00695A13">
        <w:trPr>
          <w:trHeight w:val="300"/>
        </w:trPr>
        <w:tc>
          <w:tcPr>
            <w:tcW w:w="2800" w:type="dxa"/>
            <w:tcBorders>
              <w:top w:val="nil"/>
              <w:left w:val="nil"/>
              <w:bottom w:val="nil"/>
              <w:right w:val="nil"/>
            </w:tcBorders>
            <w:shd w:val="clear" w:color="auto" w:fill="auto"/>
            <w:vAlign w:val="center"/>
            <w:hideMark/>
          </w:tcPr>
          <w:p w14:paraId="0799E1F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 10.0]</w:t>
            </w:r>
          </w:p>
        </w:tc>
        <w:tc>
          <w:tcPr>
            <w:tcW w:w="380" w:type="dxa"/>
            <w:tcBorders>
              <w:top w:val="nil"/>
              <w:left w:val="nil"/>
              <w:bottom w:val="nil"/>
              <w:right w:val="nil"/>
            </w:tcBorders>
            <w:shd w:val="clear" w:color="auto" w:fill="auto"/>
            <w:vAlign w:val="center"/>
            <w:hideMark/>
          </w:tcPr>
          <w:p w14:paraId="357E670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400" w:type="dxa"/>
            <w:tcBorders>
              <w:top w:val="nil"/>
              <w:left w:val="nil"/>
              <w:bottom w:val="nil"/>
              <w:right w:val="nil"/>
            </w:tcBorders>
            <w:shd w:val="clear" w:color="auto" w:fill="auto"/>
            <w:vAlign w:val="center"/>
            <w:hideMark/>
          </w:tcPr>
          <w:p w14:paraId="4D42FDB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20DC563D" w14:textId="77777777" w:rsidTr="00695A13">
        <w:trPr>
          <w:trHeight w:val="300"/>
        </w:trPr>
        <w:tc>
          <w:tcPr>
            <w:tcW w:w="2800" w:type="dxa"/>
            <w:tcBorders>
              <w:top w:val="nil"/>
              <w:left w:val="nil"/>
              <w:bottom w:val="nil"/>
              <w:right w:val="nil"/>
            </w:tcBorders>
            <w:shd w:val="clear" w:color="auto" w:fill="auto"/>
            <w:vAlign w:val="center"/>
            <w:hideMark/>
          </w:tcPr>
          <w:p w14:paraId="2BA6C4F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15.0]</w:t>
            </w:r>
          </w:p>
        </w:tc>
        <w:tc>
          <w:tcPr>
            <w:tcW w:w="380" w:type="dxa"/>
            <w:tcBorders>
              <w:top w:val="nil"/>
              <w:left w:val="nil"/>
              <w:bottom w:val="nil"/>
              <w:right w:val="nil"/>
            </w:tcBorders>
            <w:shd w:val="clear" w:color="auto" w:fill="auto"/>
            <w:vAlign w:val="center"/>
            <w:hideMark/>
          </w:tcPr>
          <w:p w14:paraId="37DE700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w:t>
            </w:r>
          </w:p>
        </w:tc>
        <w:tc>
          <w:tcPr>
            <w:tcW w:w="1400" w:type="dxa"/>
            <w:tcBorders>
              <w:top w:val="nil"/>
              <w:left w:val="nil"/>
              <w:bottom w:val="nil"/>
              <w:right w:val="nil"/>
            </w:tcBorders>
            <w:shd w:val="clear" w:color="auto" w:fill="auto"/>
            <w:vAlign w:val="center"/>
            <w:hideMark/>
          </w:tcPr>
          <w:p w14:paraId="6B7C768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17.91</w:t>
            </w:r>
          </w:p>
        </w:tc>
      </w:tr>
      <w:tr w:rsidR="00F36348" w:rsidRPr="007A2346" w14:paraId="484662B2" w14:textId="77777777" w:rsidTr="00695A13">
        <w:trPr>
          <w:trHeight w:val="300"/>
        </w:trPr>
        <w:tc>
          <w:tcPr>
            <w:tcW w:w="2800" w:type="dxa"/>
            <w:tcBorders>
              <w:top w:val="nil"/>
              <w:left w:val="nil"/>
              <w:bottom w:val="nil"/>
              <w:right w:val="nil"/>
            </w:tcBorders>
            <w:shd w:val="clear" w:color="auto" w:fill="auto"/>
            <w:vAlign w:val="center"/>
            <w:hideMark/>
          </w:tcPr>
          <w:p w14:paraId="3FE52E5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(15.0, 20.0]</w:t>
            </w:r>
          </w:p>
        </w:tc>
        <w:tc>
          <w:tcPr>
            <w:tcW w:w="380" w:type="dxa"/>
            <w:tcBorders>
              <w:top w:val="nil"/>
              <w:left w:val="nil"/>
              <w:bottom w:val="nil"/>
              <w:right w:val="nil"/>
            </w:tcBorders>
            <w:shd w:val="clear" w:color="auto" w:fill="auto"/>
            <w:vAlign w:val="center"/>
            <w:hideMark/>
          </w:tcPr>
          <w:p w14:paraId="5630753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36</w:t>
            </w:r>
          </w:p>
        </w:tc>
        <w:tc>
          <w:tcPr>
            <w:tcW w:w="1400" w:type="dxa"/>
            <w:tcBorders>
              <w:top w:val="nil"/>
              <w:left w:val="nil"/>
              <w:bottom w:val="nil"/>
              <w:right w:val="nil"/>
            </w:tcBorders>
            <w:shd w:val="clear" w:color="auto" w:fill="auto"/>
            <w:vAlign w:val="center"/>
            <w:hideMark/>
          </w:tcPr>
          <w:p w14:paraId="1C0D60C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9.92</w:t>
            </w:r>
          </w:p>
        </w:tc>
      </w:tr>
      <w:tr w:rsidR="00F36348" w:rsidRPr="007A2346" w14:paraId="781D2966" w14:textId="77777777" w:rsidTr="00695A13">
        <w:trPr>
          <w:trHeight w:val="300"/>
        </w:trPr>
        <w:tc>
          <w:tcPr>
            <w:tcW w:w="2800" w:type="dxa"/>
            <w:tcBorders>
              <w:top w:val="nil"/>
              <w:left w:val="nil"/>
              <w:bottom w:val="nil"/>
              <w:right w:val="nil"/>
            </w:tcBorders>
            <w:shd w:val="clear" w:color="auto" w:fill="auto"/>
            <w:vAlign w:val="center"/>
            <w:hideMark/>
          </w:tcPr>
          <w:p w14:paraId="4F452D8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25.0]</w:t>
            </w:r>
          </w:p>
        </w:tc>
        <w:tc>
          <w:tcPr>
            <w:tcW w:w="380" w:type="dxa"/>
            <w:tcBorders>
              <w:top w:val="nil"/>
              <w:left w:val="nil"/>
              <w:bottom w:val="nil"/>
              <w:right w:val="nil"/>
            </w:tcBorders>
            <w:shd w:val="clear" w:color="auto" w:fill="auto"/>
            <w:vAlign w:val="center"/>
            <w:hideMark/>
          </w:tcPr>
          <w:p w14:paraId="2BF0F00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236</w:t>
            </w:r>
          </w:p>
        </w:tc>
        <w:tc>
          <w:tcPr>
            <w:tcW w:w="1400" w:type="dxa"/>
            <w:tcBorders>
              <w:top w:val="nil"/>
              <w:left w:val="nil"/>
              <w:bottom w:val="nil"/>
              <w:right w:val="nil"/>
            </w:tcBorders>
            <w:shd w:val="clear" w:color="auto" w:fill="auto"/>
            <w:vAlign w:val="center"/>
            <w:hideMark/>
          </w:tcPr>
          <w:p w14:paraId="5535482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65.01</w:t>
            </w:r>
          </w:p>
        </w:tc>
      </w:tr>
      <w:tr w:rsidR="00F36348" w:rsidRPr="007A2346" w14:paraId="0C119981" w14:textId="77777777" w:rsidTr="00695A13">
        <w:trPr>
          <w:trHeight w:val="315"/>
        </w:trPr>
        <w:tc>
          <w:tcPr>
            <w:tcW w:w="2800" w:type="dxa"/>
            <w:tcBorders>
              <w:top w:val="nil"/>
              <w:left w:val="nil"/>
              <w:bottom w:val="nil"/>
              <w:right w:val="nil"/>
            </w:tcBorders>
            <w:shd w:val="clear" w:color="auto" w:fill="auto"/>
            <w:noWrap/>
            <w:vAlign w:val="bottom"/>
            <w:hideMark/>
          </w:tcPr>
          <w:p w14:paraId="11CA2139"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1269423B"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6B1E7F96" w14:textId="77777777" w:rsidR="00F36348" w:rsidRPr="007A2346" w:rsidRDefault="00F36348" w:rsidP="00695A13">
            <w:pPr>
              <w:spacing w:after="0" w:line="240" w:lineRule="auto"/>
              <w:rPr>
                <w:rFonts w:ascii="Times New Roman" w:hAnsi="Times New Roman"/>
                <w:szCs w:val="20"/>
              </w:rPr>
            </w:pPr>
          </w:p>
        </w:tc>
      </w:tr>
      <w:tr w:rsidR="00F36348" w:rsidRPr="007A2346" w14:paraId="6085DE8E" w14:textId="77777777" w:rsidTr="00695A13">
        <w:trPr>
          <w:trHeight w:val="315"/>
        </w:trPr>
        <w:tc>
          <w:tcPr>
            <w:tcW w:w="2800" w:type="dxa"/>
            <w:tcBorders>
              <w:top w:val="nil"/>
              <w:left w:val="nil"/>
              <w:bottom w:val="nil"/>
              <w:right w:val="nil"/>
            </w:tcBorders>
            <w:shd w:val="clear" w:color="auto" w:fill="auto"/>
            <w:noWrap/>
            <w:vAlign w:val="center"/>
            <w:hideMark/>
          </w:tcPr>
          <w:p w14:paraId="1A3A8EA8"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Gains</w:t>
            </w:r>
          </w:p>
        </w:tc>
        <w:tc>
          <w:tcPr>
            <w:tcW w:w="380" w:type="dxa"/>
            <w:tcBorders>
              <w:top w:val="nil"/>
              <w:left w:val="nil"/>
              <w:bottom w:val="nil"/>
              <w:right w:val="nil"/>
            </w:tcBorders>
            <w:shd w:val="clear" w:color="auto" w:fill="auto"/>
            <w:noWrap/>
            <w:vAlign w:val="bottom"/>
            <w:hideMark/>
          </w:tcPr>
          <w:p w14:paraId="537F7DA0"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5D033E9C" w14:textId="77777777" w:rsidR="00F36348" w:rsidRPr="007A2346" w:rsidRDefault="00F36348" w:rsidP="00695A13">
            <w:pPr>
              <w:spacing w:after="0" w:line="240" w:lineRule="auto"/>
              <w:rPr>
                <w:rFonts w:ascii="Times New Roman" w:hAnsi="Times New Roman"/>
                <w:szCs w:val="20"/>
              </w:rPr>
            </w:pPr>
          </w:p>
        </w:tc>
      </w:tr>
      <w:tr w:rsidR="00F36348" w:rsidRPr="007A2346" w14:paraId="39CC899D" w14:textId="77777777" w:rsidTr="00695A13">
        <w:trPr>
          <w:trHeight w:val="480"/>
        </w:trPr>
        <w:tc>
          <w:tcPr>
            <w:tcW w:w="2800" w:type="dxa"/>
            <w:tcBorders>
              <w:top w:val="nil"/>
              <w:left w:val="nil"/>
              <w:bottom w:val="nil"/>
              <w:right w:val="nil"/>
            </w:tcBorders>
            <w:shd w:val="clear" w:color="auto" w:fill="auto"/>
            <w:vAlign w:val="center"/>
            <w:hideMark/>
          </w:tcPr>
          <w:p w14:paraId="0AB7DF6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Antenna Gain (dBi)</w:t>
            </w:r>
          </w:p>
        </w:tc>
        <w:tc>
          <w:tcPr>
            <w:tcW w:w="380" w:type="dxa"/>
            <w:tcBorders>
              <w:top w:val="nil"/>
              <w:left w:val="nil"/>
              <w:bottom w:val="nil"/>
              <w:right w:val="nil"/>
            </w:tcBorders>
            <w:shd w:val="clear" w:color="auto" w:fill="auto"/>
            <w:noWrap/>
            <w:vAlign w:val="bottom"/>
            <w:hideMark/>
          </w:tcPr>
          <w:p w14:paraId="4B0248E3"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31B2F778"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70AC138E" w14:textId="77777777" w:rsidTr="00695A13">
        <w:trPr>
          <w:trHeight w:val="300"/>
        </w:trPr>
        <w:tc>
          <w:tcPr>
            <w:tcW w:w="2800" w:type="dxa"/>
            <w:tcBorders>
              <w:top w:val="nil"/>
              <w:left w:val="nil"/>
              <w:bottom w:val="nil"/>
              <w:right w:val="nil"/>
            </w:tcBorders>
            <w:shd w:val="clear" w:color="auto" w:fill="auto"/>
            <w:vAlign w:val="center"/>
            <w:hideMark/>
          </w:tcPr>
          <w:p w14:paraId="76C82FC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16</w:t>
            </w:r>
          </w:p>
        </w:tc>
        <w:tc>
          <w:tcPr>
            <w:tcW w:w="380" w:type="dxa"/>
            <w:tcBorders>
              <w:top w:val="nil"/>
              <w:left w:val="nil"/>
              <w:bottom w:val="nil"/>
              <w:right w:val="nil"/>
            </w:tcBorders>
            <w:shd w:val="clear" w:color="auto" w:fill="auto"/>
            <w:vAlign w:val="center"/>
            <w:hideMark/>
          </w:tcPr>
          <w:p w14:paraId="78DD42F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363</w:t>
            </w:r>
          </w:p>
        </w:tc>
        <w:tc>
          <w:tcPr>
            <w:tcW w:w="1400" w:type="dxa"/>
            <w:tcBorders>
              <w:top w:val="nil"/>
              <w:left w:val="nil"/>
              <w:bottom w:val="nil"/>
              <w:right w:val="nil"/>
            </w:tcBorders>
            <w:shd w:val="clear" w:color="auto" w:fill="auto"/>
            <w:vAlign w:val="center"/>
            <w:hideMark/>
          </w:tcPr>
          <w:p w14:paraId="5B5F437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100</w:t>
            </w:r>
          </w:p>
        </w:tc>
      </w:tr>
      <w:tr w:rsidR="00F36348" w:rsidRPr="007A2346" w14:paraId="541AC398" w14:textId="77777777" w:rsidTr="00695A13">
        <w:trPr>
          <w:trHeight w:val="315"/>
        </w:trPr>
        <w:tc>
          <w:tcPr>
            <w:tcW w:w="2800" w:type="dxa"/>
            <w:tcBorders>
              <w:top w:val="nil"/>
              <w:left w:val="nil"/>
              <w:bottom w:val="nil"/>
              <w:right w:val="nil"/>
            </w:tcBorders>
            <w:shd w:val="clear" w:color="auto" w:fill="auto"/>
            <w:noWrap/>
            <w:vAlign w:val="bottom"/>
            <w:hideMark/>
          </w:tcPr>
          <w:p w14:paraId="14771AEF"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38510F7A"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18CB8E32" w14:textId="77777777" w:rsidR="00F36348" w:rsidRPr="007A2346" w:rsidRDefault="00F36348" w:rsidP="00695A13">
            <w:pPr>
              <w:spacing w:after="0" w:line="240" w:lineRule="auto"/>
              <w:rPr>
                <w:rFonts w:ascii="Times New Roman" w:hAnsi="Times New Roman"/>
                <w:szCs w:val="20"/>
              </w:rPr>
            </w:pPr>
          </w:p>
        </w:tc>
      </w:tr>
      <w:tr w:rsidR="00F36348" w:rsidRPr="007A2346" w14:paraId="5116D9A9" w14:textId="77777777" w:rsidTr="00695A13">
        <w:trPr>
          <w:trHeight w:val="315"/>
        </w:trPr>
        <w:tc>
          <w:tcPr>
            <w:tcW w:w="2800" w:type="dxa"/>
            <w:tcBorders>
              <w:top w:val="nil"/>
              <w:left w:val="nil"/>
              <w:bottom w:val="nil"/>
              <w:right w:val="nil"/>
            </w:tcBorders>
            <w:shd w:val="clear" w:color="auto" w:fill="auto"/>
            <w:noWrap/>
            <w:vAlign w:val="center"/>
            <w:hideMark/>
          </w:tcPr>
          <w:p w14:paraId="21CE773C"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w:t>
            </w:r>
          </w:p>
        </w:tc>
        <w:tc>
          <w:tcPr>
            <w:tcW w:w="380" w:type="dxa"/>
            <w:tcBorders>
              <w:top w:val="nil"/>
              <w:left w:val="nil"/>
              <w:bottom w:val="nil"/>
              <w:right w:val="nil"/>
            </w:tcBorders>
            <w:shd w:val="clear" w:color="auto" w:fill="auto"/>
            <w:noWrap/>
            <w:vAlign w:val="bottom"/>
            <w:hideMark/>
          </w:tcPr>
          <w:p w14:paraId="08C10A8C"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70BE56DA" w14:textId="77777777" w:rsidR="00F36348" w:rsidRPr="007A2346" w:rsidRDefault="00F36348" w:rsidP="00695A13">
            <w:pPr>
              <w:spacing w:after="0" w:line="240" w:lineRule="auto"/>
              <w:rPr>
                <w:rFonts w:ascii="Times New Roman" w:hAnsi="Times New Roman"/>
                <w:szCs w:val="20"/>
              </w:rPr>
            </w:pPr>
          </w:p>
        </w:tc>
      </w:tr>
      <w:tr w:rsidR="00F36348" w:rsidRPr="007A2346" w14:paraId="0F0C89B0" w14:textId="77777777" w:rsidTr="00695A13">
        <w:trPr>
          <w:trHeight w:val="480"/>
        </w:trPr>
        <w:tc>
          <w:tcPr>
            <w:tcW w:w="2800" w:type="dxa"/>
            <w:tcBorders>
              <w:top w:val="nil"/>
              <w:left w:val="nil"/>
              <w:bottom w:val="nil"/>
              <w:right w:val="nil"/>
            </w:tcBorders>
            <w:shd w:val="clear" w:color="auto" w:fill="auto"/>
            <w:vAlign w:val="center"/>
            <w:hideMark/>
          </w:tcPr>
          <w:p w14:paraId="74A91AF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w:t>
            </w:r>
          </w:p>
        </w:tc>
        <w:tc>
          <w:tcPr>
            <w:tcW w:w="380" w:type="dxa"/>
            <w:tcBorders>
              <w:top w:val="nil"/>
              <w:left w:val="nil"/>
              <w:bottom w:val="nil"/>
              <w:right w:val="nil"/>
            </w:tcBorders>
            <w:shd w:val="clear" w:color="auto" w:fill="auto"/>
            <w:noWrap/>
            <w:vAlign w:val="bottom"/>
            <w:hideMark/>
          </w:tcPr>
          <w:p w14:paraId="167C1ECB"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32B619E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FB2C8F5" w14:textId="77777777" w:rsidTr="00695A13">
        <w:trPr>
          <w:trHeight w:val="300"/>
        </w:trPr>
        <w:tc>
          <w:tcPr>
            <w:tcW w:w="2800" w:type="dxa"/>
            <w:tcBorders>
              <w:top w:val="nil"/>
              <w:left w:val="nil"/>
              <w:bottom w:val="nil"/>
              <w:right w:val="nil"/>
            </w:tcBorders>
            <w:shd w:val="clear" w:color="auto" w:fill="auto"/>
            <w:vAlign w:val="center"/>
            <w:hideMark/>
          </w:tcPr>
          <w:p w14:paraId="6F0AE57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20.0]</w:t>
            </w:r>
          </w:p>
        </w:tc>
        <w:tc>
          <w:tcPr>
            <w:tcW w:w="380" w:type="dxa"/>
            <w:tcBorders>
              <w:top w:val="nil"/>
              <w:left w:val="nil"/>
              <w:bottom w:val="nil"/>
              <w:right w:val="nil"/>
            </w:tcBorders>
            <w:shd w:val="clear" w:color="auto" w:fill="auto"/>
            <w:vAlign w:val="center"/>
            <w:hideMark/>
          </w:tcPr>
          <w:p w14:paraId="101155A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400" w:type="dxa"/>
            <w:tcBorders>
              <w:top w:val="nil"/>
              <w:left w:val="nil"/>
              <w:bottom w:val="nil"/>
              <w:right w:val="nil"/>
            </w:tcBorders>
            <w:shd w:val="clear" w:color="auto" w:fill="auto"/>
            <w:vAlign w:val="center"/>
            <w:hideMark/>
          </w:tcPr>
          <w:p w14:paraId="0410B31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02442CBA" w14:textId="77777777" w:rsidTr="00695A13">
        <w:trPr>
          <w:trHeight w:val="300"/>
        </w:trPr>
        <w:tc>
          <w:tcPr>
            <w:tcW w:w="2800" w:type="dxa"/>
            <w:tcBorders>
              <w:top w:val="nil"/>
              <w:left w:val="nil"/>
              <w:bottom w:val="nil"/>
              <w:right w:val="nil"/>
            </w:tcBorders>
            <w:shd w:val="clear" w:color="auto" w:fill="auto"/>
            <w:vAlign w:val="center"/>
            <w:hideMark/>
          </w:tcPr>
          <w:p w14:paraId="58D4057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25.0]</w:t>
            </w:r>
          </w:p>
        </w:tc>
        <w:tc>
          <w:tcPr>
            <w:tcW w:w="380" w:type="dxa"/>
            <w:tcBorders>
              <w:top w:val="nil"/>
              <w:left w:val="nil"/>
              <w:bottom w:val="nil"/>
              <w:right w:val="nil"/>
            </w:tcBorders>
            <w:shd w:val="clear" w:color="auto" w:fill="auto"/>
            <w:vAlign w:val="center"/>
            <w:hideMark/>
          </w:tcPr>
          <w:p w14:paraId="58E1A0D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400" w:type="dxa"/>
            <w:tcBorders>
              <w:top w:val="nil"/>
              <w:left w:val="nil"/>
              <w:bottom w:val="nil"/>
              <w:right w:val="nil"/>
            </w:tcBorders>
            <w:shd w:val="clear" w:color="auto" w:fill="auto"/>
            <w:vAlign w:val="center"/>
            <w:hideMark/>
          </w:tcPr>
          <w:p w14:paraId="62E4E57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04543A51" w14:textId="77777777" w:rsidTr="00695A13">
        <w:trPr>
          <w:trHeight w:val="300"/>
        </w:trPr>
        <w:tc>
          <w:tcPr>
            <w:tcW w:w="2800" w:type="dxa"/>
            <w:tcBorders>
              <w:top w:val="nil"/>
              <w:left w:val="nil"/>
              <w:bottom w:val="nil"/>
              <w:right w:val="nil"/>
            </w:tcBorders>
            <w:shd w:val="clear" w:color="auto" w:fill="auto"/>
            <w:vAlign w:val="center"/>
            <w:hideMark/>
          </w:tcPr>
          <w:p w14:paraId="0C747FEA"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(25.0, 30.0]</w:t>
            </w:r>
          </w:p>
        </w:tc>
        <w:tc>
          <w:tcPr>
            <w:tcW w:w="380" w:type="dxa"/>
            <w:tcBorders>
              <w:top w:val="nil"/>
              <w:left w:val="nil"/>
              <w:bottom w:val="nil"/>
              <w:right w:val="nil"/>
            </w:tcBorders>
            <w:shd w:val="clear" w:color="auto" w:fill="auto"/>
            <w:vAlign w:val="center"/>
            <w:hideMark/>
          </w:tcPr>
          <w:p w14:paraId="6C5BEB2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w:t>
            </w:r>
          </w:p>
        </w:tc>
        <w:tc>
          <w:tcPr>
            <w:tcW w:w="1400" w:type="dxa"/>
            <w:tcBorders>
              <w:top w:val="nil"/>
              <w:left w:val="nil"/>
              <w:bottom w:val="nil"/>
              <w:right w:val="nil"/>
            </w:tcBorders>
            <w:shd w:val="clear" w:color="auto" w:fill="auto"/>
            <w:vAlign w:val="center"/>
            <w:hideMark/>
          </w:tcPr>
          <w:p w14:paraId="1D59426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3.31</w:t>
            </w:r>
          </w:p>
        </w:tc>
      </w:tr>
      <w:tr w:rsidR="00F36348" w:rsidRPr="007A2346" w14:paraId="23A0FCD0" w14:textId="77777777" w:rsidTr="00695A13">
        <w:trPr>
          <w:trHeight w:val="300"/>
        </w:trPr>
        <w:tc>
          <w:tcPr>
            <w:tcW w:w="2800" w:type="dxa"/>
            <w:tcBorders>
              <w:top w:val="nil"/>
              <w:left w:val="nil"/>
              <w:bottom w:val="nil"/>
              <w:right w:val="nil"/>
            </w:tcBorders>
            <w:shd w:val="clear" w:color="auto" w:fill="auto"/>
            <w:vAlign w:val="center"/>
            <w:hideMark/>
          </w:tcPr>
          <w:p w14:paraId="2E4DD5F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(30.0, 35.0]</w:t>
            </w:r>
          </w:p>
        </w:tc>
        <w:tc>
          <w:tcPr>
            <w:tcW w:w="380" w:type="dxa"/>
            <w:tcBorders>
              <w:top w:val="nil"/>
              <w:left w:val="nil"/>
              <w:bottom w:val="nil"/>
              <w:right w:val="nil"/>
            </w:tcBorders>
            <w:shd w:val="clear" w:color="auto" w:fill="auto"/>
            <w:vAlign w:val="center"/>
            <w:hideMark/>
          </w:tcPr>
          <w:p w14:paraId="7B15784E"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32</w:t>
            </w:r>
          </w:p>
        </w:tc>
        <w:tc>
          <w:tcPr>
            <w:tcW w:w="1400" w:type="dxa"/>
            <w:tcBorders>
              <w:top w:val="nil"/>
              <w:left w:val="nil"/>
              <w:bottom w:val="nil"/>
              <w:right w:val="nil"/>
            </w:tcBorders>
            <w:shd w:val="clear" w:color="auto" w:fill="auto"/>
            <w:vAlign w:val="center"/>
            <w:hideMark/>
          </w:tcPr>
          <w:p w14:paraId="01B54EE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8.82</w:t>
            </w:r>
          </w:p>
        </w:tc>
      </w:tr>
      <w:tr w:rsidR="00F36348" w:rsidRPr="007A2346" w14:paraId="33A6A83F" w14:textId="77777777" w:rsidTr="00695A13">
        <w:trPr>
          <w:trHeight w:val="300"/>
        </w:trPr>
        <w:tc>
          <w:tcPr>
            <w:tcW w:w="2800" w:type="dxa"/>
            <w:tcBorders>
              <w:top w:val="nil"/>
              <w:left w:val="nil"/>
              <w:bottom w:val="nil"/>
              <w:right w:val="nil"/>
            </w:tcBorders>
            <w:shd w:val="clear" w:color="auto" w:fill="auto"/>
            <w:vAlign w:val="center"/>
            <w:hideMark/>
          </w:tcPr>
          <w:p w14:paraId="720F8BE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(35.0, 40.0]</w:t>
            </w:r>
          </w:p>
        </w:tc>
        <w:tc>
          <w:tcPr>
            <w:tcW w:w="380" w:type="dxa"/>
            <w:tcBorders>
              <w:top w:val="nil"/>
              <w:left w:val="nil"/>
              <w:bottom w:val="nil"/>
              <w:right w:val="nil"/>
            </w:tcBorders>
            <w:shd w:val="clear" w:color="auto" w:fill="auto"/>
            <w:vAlign w:val="center"/>
            <w:hideMark/>
          </w:tcPr>
          <w:p w14:paraId="59782E8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33</w:t>
            </w:r>
          </w:p>
        </w:tc>
        <w:tc>
          <w:tcPr>
            <w:tcW w:w="1400" w:type="dxa"/>
            <w:tcBorders>
              <w:top w:val="nil"/>
              <w:left w:val="nil"/>
              <w:bottom w:val="nil"/>
              <w:right w:val="nil"/>
            </w:tcBorders>
            <w:shd w:val="clear" w:color="auto" w:fill="auto"/>
            <w:vAlign w:val="center"/>
            <w:hideMark/>
          </w:tcPr>
          <w:p w14:paraId="729E080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9.09</w:t>
            </w:r>
          </w:p>
        </w:tc>
      </w:tr>
      <w:tr w:rsidR="00F36348" w:rsidRPr="007A2346" w14:paraId="6E98A44A" w14:textId="77777777" w:rsidTr="00695A13">
        <w:trPr>
          <w:trHeight w:val="300"/>
        </w:trPr>
        <w:tc>
          <w:tcPr>
            <w:tcW w:w="2800" w:type="dxa"/>
            <w:tcBorders>
              <w:top w:val="nil"/>
              <w:left w:val="nil"/>
              <w:bottom w:val="nil"/>
              <w:right w:val="nil"/>
            </w:tcBorders>
            <w:shd w:val="clear" w:color="auto" w:fill="auto"/>
            <w:vAlign w:val="center"/>
            <w:hideMark/>
          </w:tcPr>
          <w:p w14:paraId="1B91394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(40.0, 45.0]</w:t>
            </w:r>
          </w:p>
        </w:tc>
        <w:tc>
          <w:tcPr>
            <w:tcW w:w="380" w:type="dxa"/>
            <w:tcBorders>
              <w:top w:val="nil"/>
              <w:left w:val="nil"/>
              <w:bottom w:val="nil"/>
              <w:right w:val="nil"/>
            </w:tcBorders>
            <w:shd w:val="clear" w:color="auto" w:fill="auto"/>
            <w:vAlign w:val="center"/>
            <w:hideMark/>
          </w:tcPr>
          <w:p w14:paraId="2D4E273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197</w:t>
            </w:r>
          </w:p>
        </w:tc>
        <w:tc>
          <w:tcPr>
            <w:tcW w:w="1400" w:type="dxa"/>
            <w:tcBorders>
              <w:top w:val="nil"/>
              <w:left w:val="nil"/>
              <w:bottom w:val="nil"/>
              <w:right w:val="nil"/>
            </w:tcBorders>
            <w:shd w:val="clear" w:color="auto" w:fill="auto"/>
            <w:vAlign w:val="center"/>
            <w:hideMark/>
          </w:tcPr>
          <w:p w14:paraId="2A43301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54.27</w:t>
            </w:r>
          </w:p>
        </w:tc>
      </w:tr>
      <w:tr w:rsidR="00F36348" w:rsidRPr="007A2346" w14:paraId="59DAFC92" w14:textId="77777777" w:rsidTr="00695A13">
        <w:trPr>
          <w:trHeight w:val="300"/>
        </w:trPr>
        <w:tc>
          <w:tcPr>
            <w:tcW w:w="2800" w:type="dxa"/>
            <w:tcBorders>
              <w:top w:val="nil"/>
              <w:left w:val="nil"/>
              <w:bottom w:val="nil"/>
              <w:right w:val="nil"/>
            </w:tcBorders>
            <w:shd w:val="clear" w:color="auto" w:fill="auto"/>
            <w:vAlign w:val="center"/>
            <w:hideMark/>
          </w:tcPr>
          <w:p w14:paraId="70E3A517"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(45.0, 100.0]</w:t>
            </w:r>
          </w:p>
        </w:tc>
        <w:tc>
          <w:tcPr>
            <w:tcW w:w="380" w:type="dxa"/>
            <w:tcBorders>
              <w:top w:val="nil"/>
              <w:left w:val="nil"/>
              <w:bottom w:val="nil"/>
              <w:right w:val="nil"/>
            </w:tcBorders>
            <w:shd w:val="clear" w:color="auto" w:fill="auto"/>
            <w:vAlign w:val="center"/>
            <w:hideMark/>
          </w:tcPr>
          <w:p w14:paraId="68414715"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75</w:t>
            </w:r>
          </w:p>
        </w:tc>
        <w:tc>
          <w:tcPr>
            <w:tcW w:w="1400" w:type="dxa"/>
            <w:tcBorders>
              <w:top w:val="nil"/>
              <w:left w:val="nil"/>
              <w:bottom w:val="nil"/>
              <w:right w:val="nil"/>
            </w:tcBorders>
            <w:shd w:val="clear" w:color="auto" w:fill="auto"/>
            <w:vAlign w:val="center"/>
            <w:hideMark/>
          </w:tcPr>
          <w:p w14:paraId="2B50E7D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20.66</w:t>
            </w:r>
          </w:p>
        </w:tc>
      </w:tr>
      <w:tr w:rsidR="00F36348" w:rsidRPr="007A2346" w14:paraId="3DFDF96C" w14:textId="77777777" w:rsidTr="00695A13">
        <w:trPr>
          <w:trHeight w:val="315"/>
        </w:trPr>
        <w:tc>
          <w:tcPr>
            <w:tcW w:w="2800" w:type="dxa"/>
            <w:tcBorders>
              <w:top w:val="nil"/>
              <w:left w:val="nil"/>
              <w:bottom w:val="nil"/>
              <w:right w:val="nil"/>
            </w:tcBorders>
            <w:shd w:val="clear" w:color="auto" w:fill="auto"/>
            <w:noWrap/>
            <w:vAlign w:val="bottom"/>
            <w:hideMark/>
          </w:tcPr>
          <w:p w14:paraId="4118423C"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5AB1BF6D"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7009AB4F" w14:textId="77777777" w:rsidR="00F36348" w:rsidRPr="007A2346" w:rsidRDefault="00F36348" w:rsidP="00695A13">
            <w:pPr>
              <w:spacing w:after="0" w:line="240" w:lineRule="auto"/>
              <w:rPr>
                <w:rFonts w:ascii="Times New Roman" w:hAnsi="Times New Roman"/>
                <w:szCs w:val="20"/>
              </w:rPr>
            </w:pPr>
          </w:p>
        </w:tc>
      </w:tr>
      <w:tr w:rsidR="00F36348" w:rsidRPr="007A2346" w14:paraId="011A2C0A" w14:textId="77777777" w:rsidTr="00695A13">
        <w:trPr>
          <w:trHeight w:val="315"/>
        </w:trPr>
        <w:tc>
          <w:tcPr>
            <w:tcW w:w="2800" w:type="dxa"/>
            <w:tcBorders>
              <w:top w:val="nil"/>
              <w:left w:val="nil"/>
              <w:bottom w:val="nil"/>
              <w:right w:val="nil"/>
            </w:tcBorders>
            <w:shd w:val="clear" w:color="auto" w:fill="auto"/>
            <w:noWrap/>
            <w:vAlign w:val="center"/>
            <w:hideMark/>
          </w:tcPr>
          <w:p w14:paraId="53568AA9"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EIRP dBm/MHz</w:t>
            </w:r>
          </w:p>
        </w:tc>
        <w:tc>
          <w:tcPr>
            <w:tcW w:w="380" w:type="dxa"/>
            <w:tcBorders>
              <w:top w:val="nil"/>
              <w:left w:val="nil"/>
              <w:bottom w:val="nil"/>
              <w:right w:val="nil"/>
            </w:tcBorders>
            <w:shd w:val="clear" w:color="auto" w:fill="auto"/>
            <w:noWrap/>
            <w:vAlign w:val="bottom"/>
            <w:hideMark/>
          </w:tcPr>
          <w:p w14:paraId="3A125AD9"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6D340E6C" w14:textId="77777777" w:rsidR="00F36348" w:rsidRPr="007A2346" w:rsidRDefault="00F36348" w:rsidP="00695A13">
            <w:pPr>
              <w:spacing w:after="0" w:line="240" w:lineRule="auto"/>
              <w:rPr>
                <w:rFonts w:ascii="Times New Roman" w:hAnsi="Times New Roman"/>
                <w:szCs w:val="20"/>
              </w:rPr>
            </w:pPr>
          </w:p>
        </w:tc>
      </w:tr>
      <w:tr w:rsidR="00F36348" w:rsidRPr="007A2346" w14:paraId="3971A942" w14:textId="77777777" w:rsidTr="00695A13">
        <w:trPr>
          <w:trHeight w:val="720"/>
        </w:trPr>
        <w:tc>
          <w:tcPr>
            <w:tcW w:w="2800" w:type="dxa"/>
            <w:tcBorders>
              <w:top w:val="nil"/>
              <w:left w:val="nil"/>
              <w:bottom w:val="nil"/>
              <w:right w:val="nil"/>
            </w:tcBorders>
            <w:shd w:val="clear" w:color="auto" w:fill="auto"/>
            <w:vAlign w:val="center"/>
            <w:hideMark/>
          </w:tcPr>
          <w:p w14:paraId="6418373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EIRP (dBm/MHz)</w:t>
            </w:r>
          </w:p>
        </w:tc>
        <w:tc>
          <w:tcPr>
            <w:tcW w:w="380" w:type="dxa"/>
            <w:tcBorders>
              <w:top w:val="nil"/>
              <w:left w:val="nil"/>
              <w:bottom w:val="nil"/>
              <w:right w:val="nil"/>
            </w:tcBorders>
            <w:shd w:val="clear" w:color="auto" w:fill="auto"/>
            <w:noWrap/>
            <w:vAlign w:val="bottom"/>
            <w:hideMark/>
          </w:tcPr>
          <w:p w14:paraId="100A88E2"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7F31ED8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037CEF5D" w14:textId="77777777" w:rsidTr="00695A13">
        <w:trPr>
          <w:trHeight w:val="300"/>
        </w:trPr>
        <w:tc>
          <w:tcPr>
            <w:tcW w:w="2800" w:type="dxa"/>
            <w:tcBorders>
              <w:top w:val="nil"/>
              <w:left w:val="nil"/>
              <w:bottom w:val="nil"/>
              <w:right w:val="nil"/>
            </w:tcBorders>
            <w:shd w:val="clear" w:color="auto" w:fill="auto"/>
            <w:vAlign w:val="center"/>
            <w:hideMark/>
          </w:tcPr>
          <w:p w14:paraId="58772DC1"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10.0]</w:t>
            </w:r>
          </w:p>
        </w:tc>
        <w:tc>
          <w:tcPr>
            <w:tcW w:w="380" w:type="dxa"/>
            <w:tcBorders>
              <w:top w:val="nil"/>
              <w:left w:val="nil"/>
              <w:bottom w:val="nil"/>
              <w:right w:val="nil"/>
            </w:tcBorders>
            <w:shd w:val="clear" w:color="auto" w:fill="auto"/>
            <w:vAlign w:val="center"/>
            <w:hideMark/>
          </w:tcPr>
          <w:p w14:paraId="6F232AB7"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400" w:type="dxa"/>
            <w:tcBorders>
              <w:top w:val="nil"/>
              <w:left w:val="nil"/>
              <w:bottom w:val="nil"/>
              <w:right w:val="nil"/>
            </w:tcBorders>
            <w:shd w:val="clear" w:color="auto" w:fill="auto"/>
            <w:vAlign w:val="center"/>
            <w:hideMark/>
          </w:tcPr>
          <w:p w14:paraId="332A940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r w:rsidR="00F36348" w:rsidRPr="007A2346" w14:paraId="1688DD91" w14:textId="77777777" w:rsidTr="00695A13">
        <w:trPr>
          <w:trHeight w:val="300"/>
        </w:trPr>
        <w:tc>
          <w:tcPr>
            <w:tcW w:w="2800" w:type="dxa"/>
            <w:tcBorders>
              <w:top w:val="nil"/>
              <w:left w:val="nil"/>
              <w:bottom w:val="nil"/>
              <w:right w:val="nil"/>
            </w:tcBorders>
            <w:shd w:val="clear" w:color="auto" w:fill="auto"/>
            <w:vAlign w:val="center"/>
            <w:hideMark/>
          </w:tcPr>
          <w:p w14:paraId="6AF7861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 20.0]</w:t>
            </w:r>
          </w:p>
        </w:tc>
        <w:tc>
          <w:tcPr>
            <w:tcW w:w="380" w:type="dxa"/>
            <w:tcBorders>
              <w:top w:val="nil"/>
              <w:left w:val="nil"/>
              <w:bottom w:val="nil"/>
              <w:right w:val="nil"/>
            </w:tcBorders>
            <w:shd w:val="clear" w:color="auto" w:fill="auto"/>
            <w:vAlign w:val="center"/>
            <w:hideMark/>
          </w:tcPr>
          <w:p w14:paraId="34DF3EB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14</w:t>
            </w:r>
          </w:p>
        </w:tc>
        <w:tc>
          <w:tcPr>
            <w:tcW w:w="1400" w:type="dxa"/>
            <w:tcBorders>
              <w:top w:val="nil"/>
              <w:left w:val="nil"/>
              <w:bottom w:val="nil"/>
              <w:right w:val="nil"/>
            </w:tcBorders>
            <w:shd w:val="clear" w:color="auto" w:fill="auto"/>
            <w:vAlign w:val="center"/>
            <w:hideMark/>
          </w:tcPr>
          <w:p w14:paraId="7376257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3.86</w:t>
            </w:r>
          </w:p>
        </w:tc>
      </w:tr>
      <w:tr w:rsidR="00F36348" w:rsidRPr="007A2346" w14:paraId="008D5796" w14:textId="77777777" w:rsidTr="00695A13">
        <w:trPr>
          <w:trHeight w:val="300"/>
        </w:trPr>
        <w:tc>
          <w:tcPr>
            <w:tcW w:w="2800" w:type="dxa"/>
            <w:tcBorders>
              <w:top w:val="nil"/>
              <w:left w:val="nil"/>
              <w:bottom w:val="nil"/>
              <w:right w:val="nil"/>
            </w:tcBorders>
            <w:shd w:val="clear" w:color="auto" w:fill="auto"/>
            <w:vAlign w:val="center"/>
            <w:hideMark/>
          </w:tcPr>
          <w:p w14:paraId="1BA8BD2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(20.0, 30.0]</w:t>
            </w:r>
          </w:p>
        </w:tc>
        <w:tc>
          <w:tcPr>
            <w:tcW w:w="380" w:type="dxa"/>
            <w:tcBorders>
              <w:top w:val="nil"/>
              <w:left w:val="nil"/>
              <w:bottom w:val="nil"/>
              <w:right w:val="nil"/>
            </w:tcBorders>
            <w:shd w:val="clear" w:color="auto" w:fill="auto"/>
            <w:vAlign w:val="center"/>
            <w:hideMark/>
          </w:tcPr>
          <w:p w14:paraId="336D1A7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45</w:t>
            </w:r>
          </w:p>
        </w:tc>
        <w:tc>
          <w:tcPr>
            <w:tcW w:w="1400" w:type="dxa"/>
            <w:tcBorders>
              <w:top w:val="nil"/>
              <w:left w:val="nil"/>
              <w:bottom w:val="nil"/>
              <w:right w:val="nil"/>
            </w:tcBorders>
            <w:shd w:val="clear" w:color="auto" w:fill="auto"/>
            <w:vAlign w:val="center"/>
            <w:hideMark/>
          </w:tcPr>
          <w:p w14:paraId="7B9E3CB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12.40</w:t>
            </w:r>
          </w:p>
        </w:tc>
      </w:tr>
      <w:tr w:rsidR="00F36348" w:rsidRPr="007A2346" w14:paraId="786A12AA" w14:textId="77777777" w:rsidTr="00695A13">
        <w:trPr>
          <w:trHeight w:val="300"/>
        </w:trPr>
        <w:tc>
          <w:tcPr>
            <w:tcW w:w="2800" w:type="dxa"/>
            <w:tcBorders>
              <w:top w:val="nil"/>
              <w:left w:val="nil"/>
              <w:bottom w:val="nil"/>
              <w:right w:val="nil"/>
            </w:tcBorders>
            <w:shd w:val="clear" w:color="auto" w:fill="auto"/>
            <w:vAlign w:val="center"/>
            <w:hideMark/>
          </w:tcPr>
          <w:p w14:paraId="4965D40F"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(30.0, 35.0]</w:t>
            </w:r>
          </w:p>
        </w:tc>
        <w:tc>
          <w:tcPr>
            <w:tcW w:w="380" w:type="dxa"/>
            <w:tcBorders>
              <w:top w:val="nil"/>
              <w:left w:val="nil"/>
              <w:bottom w:val="nil"/>
              <w:right w:val="nil"/>
            </w:tcBorders>
            <w:shd w:val="clear" w:color="auto" w:fill="auto"/>
            <w:vAlign w:val="center"/>
            <w:hideMark/>
          </w:tcPr>
          <w:p w14:paraId="628510A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68</w:t>
            </w:r>
          </w:p>
        </w:tc>
        <w:tc>
          <w:tcPr>
            <w:tcW w:w="1400" w:type="dxa"/>
            <w:tcBorders>
              <w:top w:val="nil"/>
              <w:left w:val="nil"/>
              <w:bottom w:val="nil"/>
              <w:right w:val="nil"/>
            </w:tcBorders>
            <w:shd w:val="clear" w:color="auto" w:fill="auto"/>
            <w:vAlign w:val="center"/>
            <w:hideMark/>
          </w:tcPr>
          <w:p w14:paraId="25DBB2E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18.73</w:t>
            </w:r>
          </w:p>
        </w:tc>
      </w:tr>
      <w:tr w:rsidR="00F36348" w:rsidRPr="007A2346" w14:paraId="267C2735" w14:textId="77777777" w:rsidTr="00695A13">
        <w:trPr>
          <w:trHeight w:val="300"/>
        </w:trPr>
        <w:tc>
          <w:tcPr>
            <w:tcW w:w="2800" w:type="dxa"/>
            <w:tcBorders>
              <w:top w:val="nil"/>
              <w:left w:val="nil"/>
              <w:bottom w:val="nil"/>
              <w:right w:val="nil"/>
            </w:tcBorders>
            <w:shd w:val="clear" w:color="auto" w:fill="auto"/>
            <w:vAlign w:val="center"/>
            <w:hideMark/>
          </w:tcPr>
          <w:p w14:paraId="185AF50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(35.0, 40.0]</w:t>
            </w:r>
          </w:p>
        </w:tc>
        <w:tc>
          <w:tcPr>
            <w:tcW w:w="380" w:type="dxa"/>
            <w:tcBorders>
              <w:top w:val="nil"/>
              <w:left w:val="nil"/>
              <w:bottom w:val="nil"/>
              <w:right w:val="nil"/>
            </w:tcBorders>
            <w:shd w:val="clear" w:color="auto" w:fill="auto"/>
            <w:vAlign w:val="center"/>
            <w:hideMark/>
          </w:tcPr>
          <w:p w14:paraId="7477BFC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236</w:t>
            </w:r>
          </w:p>
        </w:tc>
        <w:tc>
          <w:tcPr>
            <w:tcW w:w="1400" w:type="dxa"/>
            <w:tcBorders>
              <w:top w:val="nil"/>
              <w:left w:val="nil"/>
              <w:bottom w:val="nil"/>
              <w:right w:val="nil"/>
            </w:tcBorders>
            <w:shd w:val="clear" w:color="auto" w:fill="auto"/>
            <w:vAlign w:val="center"/>
            <w:hideMark/>
          </w:tcPr>
          <w:p w14:paraId="3104F6C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65.01</w:t>
            </w:r>
          </w:p>
        </w:tc>
      </w:tr>
      <w:tr w:rsidR="00F36348" w:rsidRPr="007A2346" w14:paraId="04B2ADA1" w14:textId="77777777" w:rsidTr="00695A13">
        <w:trPr>
          <w:trHeight w:val="315"/>
        </w:trPr>
        <w:tc>
          <w:tcPr>
            <w:tcW w:w="2800" w:type="dxa"/>
            <w:tcBorders>
              <w:top w:val="nil"/>
              <w:left w:val="nil"/>
              <w:bottom w:val="nil"/>
              <w:right w:val="nil"/>
            </w:tcBorders>
            <w:shd w:val="clear" w:color="auto" w:fill="auto"/>
            <w:noWrap/>
            <w:vAlign w:val="bottom"/>
            <w:hideMark/>
          </w:tcPr>
          <w:p w14:paraId="03F8D9D9" w14:textId="77777777" w:rsidR="00F36348" w:rsidRPr="007A2346" w:rsidRDefault="00F36348" w:rsidP="00695A13">
            <w:pPr>
              <w:spacing w:after="0" w:line="240" w:lineRule="auto"/>
              <w:jc w:val="right"/>
              <w:rPr>
                <w:rFonts w:ascii="Segoe UI" w:hAnsi="Segoe UI" w:cs="Segoe UI"/>
                <w:color w:val="000000"/>
                <w:sz w:val="18"/>
                <w:szCs w:val="18"/>
              </w:rPr>
            </w:pPr>
          </w:p>
        </w:tc>
        <w:tc>
          <w:tcPr>
            <w:tcW w:w="380" w:type="dxa"/>
            <w:tcBorders>
              <w:top w:val="nil"/>
              <w:left w:val="nil"/>
              <w:bottom w:val="nil"/>
              <w:right w:val="nil"/>
            </w:tcBorders>
            <w:shd w:val="clear" w:color="auto" w:fill="auto"/>
            <w:noWrap/>
            <w:vAlign w:val="bottom"/>
            <w:hideMark/>
          </w:tcPr>
          <w:p w14:paraId="7CCA1925" w14:textId="77777777" w:rsidR="00F36348" w:rsidRPr="007A2346" w:rsidRDefault="00F36348" w:rsidP="00695A13">
            <w:pPr>
              <w:spacing w:after="0" w:line="240" w:lineRule="auto"/>
              <w:rPr>
                <w:rFonts w:ascii="Times New Roman" w:hAnsi="Times New Roman"/>
                <w:szCs w:val="20"/>
              </w:rPr>
            </w:pPr>
          </w:p>
        </w:tc>
        <w:tc>
          <w:tcPr>
            <w:tcW w:w="1400" w:type="dxa"/>
            <w:tcBorders>
              <w:top w:val="nil"/>
              <w:left w:val="nil"/>
              <w:bottom w:val="nil"/>
              <w:right w:val="nil"/>
            </w:tcBorders>
            <w:shd w:val="clear" w:color="auto" w:fill="auto"/>
            <w:noWrap/>
            <w:vAlign w:val="bottom"/>
            <w:hideMark/>
          </w:tcPr>
          <w:p w14:paraId="70338CEF" w14:textId="77777777" w:rsidR="00F36348" w:rsidRPr="007A2346" w:rsidRDefault="00F36348" w:rsidP="00695A13">
            <w:pPr>
              <w:spacing w:after="0" w:line="240" w:lineRule="auto"/>
              <w:rPr>
                <w:rFonts w:ascii="Times New Roman" w:hAnsi="Times New Roman"/>
                <w:szCs w:val="20"/>
              </w:rPr>
            </w:pPr>
          </w:p>
        </w:tc>
      </w:tr>
      <w:tr w:rsidR="00F36348" w:rsidRPr="007A2346" w14:paraId="5E846D91" w14:textId="77777777" w:rsidTr="00695A13">
        <w:trPr>
          <w:trHeight w:val="315"/>
        </w:trPr>
        <w:tc>
          <w:tcPr>
            <w:tcW w:w="2800" w:type="dxa"/>
            <w:tcBorders>
              <w:top w:val="nil"/>
              <w:left w:val="nil"/>
              <w:bottom w:val="nil"/>
              <w:right w:val="nil"/>
            </w:tcBorders>
            <w:shd w:val="clear" w:color="auto" w:fill="auto"/>
            <w:noWrap/>
            <w:vAlign w:val="center"/>
            <w:hideMark/>
          </w:tcPr>
          <w:p w14:paraId="55BBB641" w14:textId="77777777" w:rsidR="00F36348" w:rsidRPr="007A2346" w:rsidRDefault="00F36348" w:rsidP="00695A13">
            <w:pPr>
              <w:spacing w:after="0" w:line="240" w:lineRule="auto"/>
              <w:rPr>
                <w:rFonts w:ascii="Times New Roman" w:hAnsi="Times New Roman"/>
                <w:i/>
                <w:iCs/>
                <w:color w:val="212121"/>
                <w:szCs w:val="20"/>
              </w:rPr>
            </w:pPr>
            <w:r w:rsidRPr="007A2346">
              <w:rPr>
                <w:rFonts w:ascii="Times New Roman" w:hAnsi="Times New Roman"/>
                <w:i/>
                <w:iCs/>
                <w:color w:val="212121"/>
                <w:szCs w:val="20"/>
              </w:rPr>
              <w:t># Antenna Height Distributions</w:t>
            </w:r>
          </w:p>
        </w:tc>
        <w:tc>
          <w:tcPr>
            <w:tcW w:w="380" w:type="dxa"/>
            <w:tcBorders>
              <w:top w:val="nil"/>
              <w:left w:val="nil"/>
              <w:bottom w:val="nil"/>
              <w:right w:val="nil"/>
            </w:tcBorders>
            <w:shd w:val="clear" w:color="auto" w:fill="auto"/>
            <w:noWrap/>
            <w:vAlign w:val="bottom"/>
            <w:hideMark/>
          </w:tcPr>
          <w:p w14:paraId="1D4BC15E" w14:textId="77777777" w:rsidR="00F36348" w:rsidRPr="007A2346" w:rsidRDefault="00F36348" w:rsidP="00695A13">
            <w:pPr>
              <w:spacing w:after="0" w:line="240" w:lineRule="auto"/>
              <w:rPr>
                <w:rFonts w:ascii="Times New Roman" w:hAnsi="Times New Roman"/>
                <w:i/>
                <w:iCs/>
                <w:color w:val="212121"/>
                <w:szCs w:val="20"/>
              </w:rPr>
            </w:pPr>
          </w:p>
        </w:tc>
        <w:tc>
          <w:tcPr>
            <w:tcW w:w="1400" w:type="dxa"/>
            <w:tcBorders>
              <w:top w:val="nil"/>
              <w:left w:val="nil"/>
              <w:bottom w:val="nil"/>
              <w:right w:val="nil"/>
            </w:tcBorders>
            <w:shd w:val="clear" w:color="auto" w:fill="auto"/>
            <w:noWrap/>
            <w:vAlign w:val="bottom"/>
            <w:hideMark/>
          </w:tcPr>
          <w:p w14:paraId="7E46003F" w14:textId="77777777" w:rsidR="00F36348" w:rsidRPr="007A2346" w:rsidRDefault="00F36348" w:rsidP="00695A13">
            <w:pPr>
              <w:spacing w:after="0" w:line="240" w:lineRule="auto"/>
              <w:rPr>
                <w:rFonts w:ascii="Times New Roman" w:hAnsi="Times New Roman"/>
                <w:szCs w:val="20"/>
              </w:rPr>
            </w:pPr>
          </w:p>
        </w:tc>
      </w:tr>
      <w:tr w:rsidR="00F36348" w:rsidRPr="007A2346" w14:paraId="32CD5922" w14:textId="77777777" w:rsidTr="00695A13">
        <w:trPr>
          <w:trHeight w:val="720"/>
        </w:trPr>
        <w:tc>
          <w:tcPr>
            <w:tcW w:w="2800" w:type="dxa"/>
            <w:tcBorders>
              <w:top w:val="nil"/>
              <w:left w:val="nil"/>
              <w:bottom w:val="nil"/>
              <w:right w:val="nil"/>
            </w:tcBorders>
            <w:shd w:val="clear" w:color="auto" w:fill="auto"/>
            <w:vAlign w:val="center"/>
            <w:hideMark/>
          </w:tcPr>
          <w:p w14:paraId="196C371C"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Deployment Height (</w:t>
            </w:r>
            <w:r>
              <w:rPr>
                <w:rFonts w:ascii="Segoe UI" w:hAnsi="Segoe UI" w:cs="Segoe UI"/>
                <w:b/>
                <w:bCs/>
                <w:color w:val="000000"/>
                <w:sz w:val="18"/>
                <w:szCs w:val="18"/>
              </w:rPr>
              <w:t>m</w:t>
            </w:r>
            <w:r w:rsidRPr="007A2346">
              <w:rPr>
                <w:rFonts w:ascii="Segoe UI" w:hAnsi="Segoe UI" w:cs="Segoe UI"/>
                <w:b/>
                <w:bCs/>
                <w:color w:val="000000"/>
                <w:sz w:val="18"/>
                <w:szCs w:val="18"/>
              </w:rPr>
              <w:t>)</w:t>
            </w:r>
          </w:p>
        </w:tc>
        <w:tc>
          <w:tcPr>
            <w:tcW w:w="380" w:type="dxa"/>
            <w:tcBorders>
              <w:top w:val="nil"/>
              <w:left w:val="nil"/>
              <w:bottom w:val="nil"/>
              <w:right w:val="nil"/>
            </w:tcBorders>
            <w:shd w:val="clear" w:color="auto" w:fill="auto"/>
            <w:noWrap/>
            <w:vAlign w:val="bottom"/>
            <w:hideMark/>
          </w:tcPr>
          <w:p w14:paraId="678AE212" w14:textId="77777777" w:rsidR="00F36348" w:rsidRPr="007A2346" w:rsidRDefault="00F36348" w:rsidP="00695A13">
            <w:pPr>
              <w:spacing w:after="0" w:line="240" w:lineRule="auto"/>
              <w:jc w:val="right"/>
              <w:rPr>
                <w:rFonts w:ascii="Segoe UI" w:hAnsi="Segoe UI" w:cs="Segoe UI"/>
                <w:b/>
                <w:bCs/>
                <w:color w:val="000000"/>
                <w:sz w:val="18"/>
                <w:szCs w:val="18"/>
              </w:rPr>
            </w:pPr>
          </w:p>
        </w:tc>
        <w:tc>
          <w:tcPr>
            <w:tcW w:w="1400" w:type="dxa"/>
            <w:tcBorders>
              <w:top w:val="nil"/>
              <w:left w:val="nil"/>
              <w:bottom w:val="nil"/>
              <w:right w:val="nil"/>
            </w:tcBorders>
            <w:shd w:val="clear" w:color="auto" w:fill="auto"/>
            <w:vAlign w:val="center"/>
            <w:hideMark/>
          </w:tcPr>
          <w:p w14:paraId="560FAF8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Percentage (%)</w:t>
            </w:r>
          </w:p>
        </w:tc>
      </w:tr>
      <w:tr w:rsidR="00F36348" w:rsidRPr="007A2346" w14:paraId="3FB21B77" w14:textId="77777777" w:rsidTr="00695A13">
        <w:trPr>
          <w:trHeight w:val="300"/>
        </w:trPr>
        <w:tc>
          <w:tcPr>
            <w:tcW w:w="2800" w:type="dxa"/>
            <w:tcBorders>
              <w:top w:val="nil"/>
              <w:left w:val="nil"/>
              <w:bottom w:val="nil"/>
              <w:right w:val="nil"/>
            </w:tcBorders>
            <w:shd w:val="clear" w:color="auto" w:fill="auto"/>
            <w:vAlign w:val="center"/>
            <w:hideMark/>
          </w:tcPr>
          <w:p w14:paraId="0AE142B3"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(-0.001, 25.0]</w:t>
            </w:r>
          </w:p>
        </w:tc>
        <w:tc>
          <w:tcPr>
            <w:tcW w:w="380" w:type="dxa"/>
            <w:tcBorders>
              <w:top w:val="nil"/>
              <w:left w:val="nil"/>
              <w:bottom w:val="nil"/>
              <w:right w:val="nil"/>
            </w:tcBorders>
            <w:shd w:val="clear" w:color="auto" w:fill="auto"/>
            <w:vAlign w:val="center"/>
            <w:hideMark/>
          </w:tcPr>
          <w:p w14:paraId="7EC87C3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76</w:t>
            </w:r>
          </w:p>
        </w:tc>
        <w:tc>
          <w:tcPr>
            <w:tcW w:w="1400" w:type="dxa"/>
            <w:tcBorders>
              <w:top w:val="nil"/>
              <w:left w:val="nil"/>
              <w:bottom w:val="nil"/>
              <w:right w:val="nil"/>
            </w:tcBorders>
            <w:shd w:val="clear" w:color="auto" w:fill="auto"/>
            <w:vAlign w:val="center"/>
            <w:hideMark/>
          </w:tcPr>
          <w:p w14:paraId="6C52CDE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20.94</w:t>
            </w:r>
          </w:p>
        </w:tc>
      </w:tr>
      <w:tr w:rsidR="00F36348" w:rsidRPr="007A2346" w14:paraId="2723C39D" w14:textId="77777777" w:rsidTr="00695A13">
        <w:trPr>
          <w:trHeight w:val="300"/>
        </w:trPr>
        <w:tc>
          <w:tcPr>
            <w:tcW w:w="2800" w:type="dxa"/>
            <w:tcBorders>
              <w:top w:val="nil"/>
              <w:left w:val="nil"/>
              <w:bottom w:val="nil"/>
              <w:right w:val="nil"/>
            </w:tcBorders>
            <w:shd w:val="clear" w:color="auto" w:fill="auto"/>
            <w:vAlign w:val="center"/>
            <w:hideMark/>
          </w:tcPr>
          <w:p w14:paraId="2ED48A8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(25.0, 50.0]</w:t>
            </w:r>
          </w:p>
        </w:tc>
        <w:tc>
          <w:tcPr>
            <w:tcW w:w="380" w:type="dxa"/>
            <w:tcBorders>
              <w:top w:val="nil"/>
              <w:left w:val="nil"/>
              <w:bottom w:val="nil"/>
              <w:right w:val="nil"/>
            </w:tcBorders>
            <w:shd w:val="clear" w:color="auto" w:fill="auto"/>
            <w:vAlign w:val="center"/>
            <w:hideMark/>
          </w:tcPr>
          <w:p w14:paraId="2AD274BF"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209</w:t>
            </w:r>
          </w:p>
        </w:tc>
        <w:tc>
          <w:tcPr>
            <w:tcW w:w="1400" w:type="dxa"/>
            <w:tcBorders>
              <w:top w:val="nil"/>
              <w:left w:val="nil"/>
              <w:bottom w:val="nil"/>
              <w:right w:val="nil"/>
            </w:tcBorders>
            <w:shd w:val="clear" w:color="auto" w:fill="auto"/>
            <w:vAlign w:val="center"/>
            <w:hideMark/>
          </w:tcPr>
          <w:p w14:paraId="66D57CDB"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57.58</w:t>
            </w:r>
          </w:p>
        </w:tc>
      </w:tr>
      <w:tr w:rsidR="00F36348" w:rsidRPr="007A2346" w14:paraId="5B703431" w14:textId="77777777" w:rsidTr="00695A13">
        <w:trPr>
          <w:trHeight w:val="300"/>
        </w:trPr>
        <w:tc>
          <w:tcPr>
            <w:tcW w:w="2800" w:type="dxa"/>
            <w:tcBorders>
              <w:top w:val="nil"/>
              <w:left w:val="nil"/>
              <w:bottom w:val="nil"/>
              <w:right w:val="nil"/>
            </w:tcBorders>
            <w:shd w:val="clear" w:color="auto" w:fill="auto"/>
            <w:vAlign w:val="center"/>
            <w:hideMark/>
          </w:tcPr>
          <w:p w14:paraId="221420A6"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(50.0, 75.0]</w:t>
            </w:r>
          </w:p>
        </w:tc>
        <w:tc>
          <w:tcPr>
            <w:tcW w:w="380" w:type="dxa"/>
            <w:tcBorders>
              <w:top w:val="nil"/>
              <w:left w:val="nil"/>
              <w:bottom w:val="nil"/>
              <w:right w:val="nil"/>
            </w:tcBorders>
            <w:shd w:val="clear" w:color="auto" w:fill="auto"/>
            <w:vAlign w:val="center"/>
            <w:hideMark/>
          </w:tcPr>
          <w:p w14:paraId="7935462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22</w:t>
            </w:r>
          </w:p>
        </w:tc>
        <w:tc>
          <w:tcPr>
            <w:tcW w:w="1400" w:type="dxa"/>
            <w:tcBorders>
              <w:top w:val="nil"/>
              <w:left w:val="nil"/>
              <w:bottom w:val="nil"/>
              <w:right w:val="nil"/>
            </w:tcBorders>
            <w:shd w:val="clear" w:color="auto" w:fill="auto"/>
            <w:vAlign w:val="center"/>
            <w:hideMark/>
          </w:tcPr>
          <w:p w14:paraId="0BD091A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6.06</w:t>
            </w:r>
          </w:p>
        </w:tc>
      </w:tr>
      <w:tr w:rsidR="00F36348" w:rsidRPr="007A2346" w14:paraId="547F33DC" w14:textId="77777777" w:rsidTr="00695A13">
        <w:trPr>
          <w:trHeight w:val="300"/>
        </w:trPr>
        <w:tc>
          <w:tcPr>
            <w:tcW w:w="2800" w:type="dxa"/>
            <w:tcBorders>
              <w:top w:val="nil"/>
              <w:left w:val="nil"/>
              <w:bottom w:val="nil"/>
              <w:right w:val="nil"/>
            </w:tcBorders>
            <w:shd w:val="clear" w:color="auto" w:fill="auto"/>
            <w:vAlign w:val="center"/>
            <w:hideMark/>
          </w:tcPr>
          <w:p w14:paraId="7A8F200D"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(75.0, 100.0]</w:t>
            </w:r>
          </w:p>
        </w:tc>
        <w:tc>
          <w:tcPr>
            <w:tcW w:w="380" w:type="dxa"/>
            <w:tcBorders>
              <w:top w:val="nil"/>
              <w:left w:val="nil"/>
              <w:bottom w:val="nil"/>
              <w:right w:val="nil"/>
            </w:tcBorders>
            <w:shd w:val="clear" w:color="auto" w:fill="auto"/>
            <w:vAlign w:val="center"/>
            <w:hideMark/>
          </w:tcPr>
          <w:p w14:paraId="5FCD9446"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26</w:t>
            </w:r>
          </w:p>
        </w:tc>
        <w:tc>
          <w:tcPr>
            <w:tcW w:w="1400" w:type="dxa"/>
            <w:tcBorders>
              <w:top w:val="nil"/>
              <w:left w:val="nil"/>
              <w:bottom w:val="nil"/>
              <w:right w:val="nil"/>
            </w:tcBorders>
            <w:shd w:val="clear" w:color="auto" w:fill="auto"/>
            <w:vAlign w:val="center"/>
            <w:hideMark/>
          </w:tcPr>
          <w:p w14:paraId="6CBE1D84"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7.16</w:t>
            </w:r>
          </w:p>
        </w:tc>
      </w:tr>
      <w:tr w:rsidR="00F36348" w:rsidRPr="007A2346" w14:paraId="2F43B714" w14:textId="77777777" w:rsidTr="00695A13">
        <w:trPr>
          <w:trHeight w:val="300"/>
        </w:trPr>
        <w:tc>
          <w:tcPr>
            <w:tcW w:w="2800" w:type="dxa"/>
            <w:tcBorders>
              <w:top w:val="nil"/>
              <w:left w:val="nil"/>
              <w:bottom w:val="nil"/>
              <w:right w:val="nil"/>
            </w:tcBorders>
            <w:shd w:val="clear" w:color="auto" w:fill="auto"/>
            <w:vAlign w:val="center"/>
            <w:hideMark/>
          </w:tcPr>
          <w:p w14:paraId="2EF54FC5"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(100.0, 125.0]</w:t>
            </w:r>
          </w:p>
        </w:tc>
        <w:tc>
          <w:tcPr>
            <w:tcW w:w="380" w:type="dxa"/>
            <w:tcBorders>
              <w:top w:val="nil"/>
              <w:left w:val="nil"/>
              <w:bottom w:val="nil"/>
              <w:right w:val="nil"/>
            </w:tcBorders>
            <w:shd w:val="clear" w:color="auto" w:fill="auto"/>
            <w:vAlign w:val="center"/>
            <w:hideMark/>
          </w:tcPr>
          <w:p w14:paraId="14021209"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11</w:t>
            </w:r>
          </w:p>
        </w:tc>
        <w:tc>
          <w:tcPr>
            <w:tcW w:w="1400" w:type="dxa"/>
            <w:tcBorders>
              <w:top w:val="nil"/>
              <w:left w:val="nil"/>
              <w:bottom w:val="nil"/>
              <w:right w:val="nil"/>
            </w:tcBorders>
            <w:shd w:val="clear" w:color="auto" w:fill="auto"/>
            <w:vAlign w:val="center"/>
            <w:hideMark/>
          </w:tcPr>
          <w:p w14:paraId="2E7A921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3.03</w:t>
            </w:r>
          </w:p>
        </w:tc>
      </w:tr>
      <w:tr w:rsidR="00F36348" w:rsidRPr="007A2346" w14:paraId="579B93B4" w14:textId="77777777" w:rsidTr="00695A13">
        <w:trPr>
          <w:trHeight w:val="300"/>
        </w:trPr>
        <w:tc>
          <w:tcPr>
            <w:tcW w:w="2800" w:type="dxa"/>
            <w:tcBorders>
              <w:top w:val="nil"/>
              <w:left w:val="nil"/>
              <w:bottom w:val="nil"/>
              <w:right w:val="nil"/>
            </w:tcBorders>
            <w:shd w:val="clear" w:color="auto" w:fill="auto"/>
            <w:vAlign w:val="center"/>
            <w:hideMark/>
          </w:tcPr>
          <w:p w14:paraId="53D3469E"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(125.0, 150.0]</w:t>
            </w:r>
          </w:p>
        </w:tc>
        <w:tc>
          <w:tcPr>
            <w:tcW w:w="380" w:type="dxa"/>
            <w:tcBorders>
              <w:top w:val="nil"/>
              <w:left w:val="nil"/>
              <w:bottom w:val="nil"/>
              <w:right w:val="nil"/>
            </w:tcBorders>
            <w:shd w:val="clear" w:color="auto" w:fill="auto"/>
            <w:vAlign w:val="center"/>
            <w:hideMark/>
          </w:tcPr>
          <w:p w14:paraId="6B48F8C2"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6</w:t>
            </w:r>
          </w:p>
        </w:tc>
        <w:tc>
          <w:tcPr>
            <w:tcW w:w="1400" w:type="dxa"/>
            <w:tcBorders>
              <w:top w:val="nil"/>
              <w:left w:val="nil"/>
              <w:bottom w:val="nil"/>
              <w:right w:val="nil"/>
            </w:tcBorders>
            <w:shd w:val="clear" w:color="auto" w:fill="auto"/>
            <w:vAlign w:val="center"/>
            <w:hideMark/>
          </w:tcPr>
          <w:p w14:paraId="697C10C0"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1.65</w:t>
            </w:r>
          </w:p>
        </w:tc>
      </w:tr>
      <w:tr w:rsidR="00F36348" w:rsidRPr="007A2346" w14:paraId="1155A9D6" w14:textId="77777777" w:rsidTr="00695A13">
        <w:trPr>
          <w:trHeight w:val="300"/>
        </w:trPr>
        <w:tc>
          <w:tcPr>
            <w:tcW w:w="2800" w:type="dxa"/>
            <w:tcBorders>
              <w:top w:val="nil"/>
              <w:left w:val="nil"/>
              <w:bottom w:val="nil"/>
              <w:right w:val="nil"/>
            </w:tcBorders>
            <w:shd w:val="clear" w:color="auto" w:fill="auto"/>
            <w:vAlign w:val="center"/>
            <w:hideMark/>
          </w:tcPr>
          <w:p w14:paraId="067E4732"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(150.0, 175.0]</w:t>
            </w:r>
          </w:p>
        </w:tc>
        <w:tc>
          <w:tcPr>
            <w:tcW w:w="380" w:type="dxa"/>
            <w:tcBorders>
              <w:top w:val="nil"/>
              <w:left w:val="nil"/>
              <w:bottom w:val="nil"/>
              <w:right w:val="nil"/>
            </w:tcBorders>
            <w:shd w:val="clear" w:color="auto" w:fill="auto"/>
            <w:vAlign w:val="center"/>
            <w:hideMark/>
          </w:tcPr>
          <w:p w14:paraId="357E04BC"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13</w:t>
            </w:r>
          </w:p>
        </w:tc>
        <w:tc>
          <w:tcPr>
            <w:tcW w:w="1400" w:type="dxa"/>
            <w:tcBorders>
              <w:top w:val="nil"/>
              <w:left w:val="nil"/>
              <w:bottom w:val="nil"/>
              <w:right w:val="nil"/>
            </w:tcBorders>
            <w:shd w:val="clear" w:color="auto" w:fill="auto"/>
            <w:vAlign w:val="center"/>
            <w:hideMark/>
          </w:tcPr>
          <w:p w14:paraId="3E886348"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3.58</w:t>
            </w:r>
          </w:p>
        </w:tc>
      </w:tr>
      <w:tr w:rsidR="00F36348" w:rsidRPr="007A2346" w14:paraId="205B04F2" w14:textId="77777777" w:rsidTr="00695A13">
        <w:trPr>
          <w:trHeight w:val="300"/>
        </w:trPr>
        <w:tc>
          <w:tcPr>
            <w:tcW w:w="2800" w:type="dxa"/>
            <w:tcBorders>
              <w:top w:val="nil"/>
              <w:left w:val="nil"/>
              <w:bottom w:val="nil"/>
              <w:right w:val="nil"/>
            </w:tcBorders>
            <w:shd w:val="clear" w:color="auto" w:fill="auto"/>
            <w:vAlign w:val="center"/>
            <w:hideMark/>
          </w:tcPr>
          <w:p w14:paraId="1E6120B4" w14:textId="77777777" w:rsidR="00F36348" w:rsidRPr="007A2346" w:rsidRDefault="00F36348" w:rsidP="00695A13">
            <w:pPr>
              <w:spacing w:after="0" w:line="240" w:lineRule="auto"/>
              <w:jc w:val="right"/>
              <w:rPr>
                <w:rFonts w:ascii="Segoe UI" w:hAnsi="Segoe UI" w:cs="Segoe UI"/>
                <w:b/>
                <w:bCs/>
                <w:color w:val="000000"/>
                <w:sz w:val="18"/>
                <w:szCs w:val="18"/>
              </w:rPr>
            </w:pPr>
            <w:r w:rsidRPr="007A2346">
              <w:rPr>
                <w:rFonts w:ascii="Segoe UI" w:hAnsi="Segoe UI" w:cs="Segoe UI"/>
                <w:b/>
                <w:bCs/>
                <w:color w:val="000000"/>
                <w:sz w:val="18"/>
                <w:szCs w:val="18"/>
              </w:rPr>
              <w:t>(175.0, 1000.0]</w:t>
            </w:r>
          </w:p>
        </w:tc>
        <w:tc>
          <w:tcPr>
            <w:tcW w:w="380" w:type="dxa"/>
            <w:tcBorders>
              <w:top w:val="nil"/>
              <w:left w:val="nil"/>
              <w:bottom w:val="nil"/>
              <w:right w:val="nil"/>
            </w:tcBorders>
            <w:shd w:val="clear" w:color="auto" w:fill="auto"/>
            <w:vAlign w:val="center"/>
            <w:hideMark/>
          </w:tcPr>
          <w:p w14:paraId="0F306871"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w:t>
            </w:r>
          </w:p>
        </w:tc>
        <w:tc>
          <w:tcPr>
            <w:tcW w:w="1400" w:type="dxa"/>
            <w:tcBorders>
              <w:top w:val="nil"/>
              <w:left w:val="nil"/>
              <w:bottom w:val="nil"/>
              <w:right w:val="nil"/>
            </w:tcBorders>
            <w:shd w:val="clear" w:color="auto" w:fill="auto"/>
            <w:vAlign w:val="center"/>
            <w:hideMark/>
          </w:tcPr>
          <w:p w14:paraId="4F2382BA" w14:textId="77777777" w:rsidR="00F36348" w:rsidRPr="007A2346" w:rsidRDefault="00F36348" w:rsidP="00695A13">
            <w:pPr>
              <w:spacing w:after="0" w:line="240" w:lineRule="auto"/>
              <w:jc w:val="right"/>
              <w:rPr>
                <w:rFonts w:ascii="Segoe UI" w:hAnsi="Segoe UI" w:cs="Segoe UI"/>
                <w:color w:val="000000"/>
                <w:sz w:val="18"/>
                <w:szCs w:val="18"/>
              </w:rPr>
            </w:pPr>
            <w:r w:rsidRPr="007A2346">
              <w:rPr>
                <w:rFonts w:ascii="Segoe UI" w:hAnsi="Segoe UI" w:cs="Segoe UI"/>
                <w:color w:val="000000"/>
                <w:sz w:val="18"/>
                <w:szCs w:val="18"/>
              </w:rPr>
              <w:t>0.00</w:t>
            </w:r>
          </w:p>
        </w:tc>
      </w:tr>
    </w:tbl>
    <w:p w14:paraId="5ED9768D" w14:textId="77777777" w:rsidR="00F36348" w:rsidRDefault="00F36348" w:rsidP="00F36348">
      <w:pPr>
        <w:spacing w:after="0" w:line="240" w:lineRule="auto"/>
      </w:pPr>
      <w:r>
        <w:br w:type="page"/>
      </w:r>
    </w:p>
    <w:p w14:paraId="57A5F9BB" w14:textId="77777777" w:rsidR="00F36348" w:rsidRDefault="00F36348" w:rsidP="00077BB0">
      <w:pPr>
        <w:pStyle w:val="Heading2"/>
      </w:pPr>
      <w:bookmarkStart w:id="837" w:name="_Toc105656269"/>
      <w:bookmarkStart w:id="838" w:name="_Toc116041930"/>
      <w:r>
        <w:t>Summary of Australian 3.4 – 3.7 GHz deployments (November 2021)</w:t>
      </w:r>
      <w:bookmarkEnd w:id="837"/>
      <w:bookmarkEnd w:id="838"/>
    </w:p>
    <w:p w14:paraId="156A541A" w14:textId="13053BDB" w:rsidR="00F36348" w:rsidRDefault="00F36348" w:rsidP="0069086C">
      <w:pPr>
        <w:pStyle w:val="Numberedparagraph"/>
      </w:pPr>
      <w:r>
        <w:t>Only transmitters are included in the statistics. Transmitter types can be individual antenna sectors or groups of transmitters depending on the configuration</w:t>
      </w:r>
      <w:r w:rsidR="00D379F3">
        <w:t xml:space="preserve"> but</w:t>
      </w:r>
      <w:r>
        <w:t xml:space="preserve"> most will be individual sectors. These statistics include 4G and 5G technology operating in the band</w:t>
      </w:r>
      <w:r w:rsidR="00D379F3">
        <w:t xml:space="preserve"> from</w:t>
      </w:r>
      <w:r>
        <w:t xml:space="preserve"> 7139 unique sites.</w:t>
      </w:r>
    </w:p>
    <w:p w14:paraId="3BAA9305" w14:textId="1AF9144B" w:rsidR="00805369" w:rsidRPr="007512D0" w:rsidRDefault="00805369" w:rsidP="00D77F80">
      <w:pPr>
        <w:pStyle w:val="Numberedparagraph"/>
      </w:pPr>
      <w:r>
        <w:t>A map of sites is not presented as specific deployments near major Airports has already been discussed in the ACMA WBB and RA coexistence studies.</w:t>
      </w:r>
    </w:p>
    <w:tbl>
      <w:tblPr>
        <w:tblStyle w:val="ACMAtablestyle"/>
        <w:tblW w:w="4957" w:type="dxa"/>
        <w:tblLook w:val="04A0" w:firstRow="1" w:lastRow="0" w:firstColumn="1" w:lastColumn="0" w:noHBand="0" w:noVBand="1"/>
      </w:tblPr>
      <w:tblGrid>
        <w:gridCol w:w="1380"/>
        <w:gridCol w:w="1876"/>
        <w:gridCol w:w="1701"/>
      </w:tblGrid>
      <w:tr w:rsidR="00F36348" w:rsidRPr="00E363CE" w14:paraId="34579C07"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380" w:type="dxa"/>
            <w:noWrap/>
            <w:hideMark/>
          </w:tcPr>
          <w:p w14:paraId="2B2922C4" w14:textId="77777777" w:rsidR="00F36348" w:rsidRPr="00E363CE" w:rsidRDefault="00F36348" w:rsidP="00695A13">
            <w:pPr>
              <w:pStyle w:val="Tableheaderrow"/>
            </w:pPr>
            <w:r>
              <w:t>Area Description</w:t>
            </w:r>
          </w:p>
        </w:tc>
        <w:tc>
          <w:tcPr>
            <w:tcW w:w="1876" w:type="dxa"/>
          </w:tcPr>
          <w:p w14:paraId="64279151" w14:textId="77777777" w:rsidR="00F36348" w:rsidRDefault="00F36348" w:rsidP="00695A13">
            <w:pPr>
              <w:pStyle w:val="Tableheaderrow"/>
            </w:pPr>
            <w:r>
              <w:t>Sites</w:t>
            </w:r>
          </w:p>
        </w:tc>
        <w:tc>
          <w:tcPr>
            <w:tcW w:w="1701" w:type="dxa"/>
            <w:noWrap/>
            <w:hideMark/>
          </w:tcPr>
          <w:p w14:paraId="5CFEC1A4" w14:textId="77777777" w:rsidR="00F36348" w:rsidRPr="00E363CE" w:rsidRDefault="00F36348" w:rsidP="00695A13">
            <w:pPr>
              <w:pStyle w:val="Tableheaderrow"/>
            </w:pPr>
            <w:r>
              <w:t>Sites</w:t>
            </w:r>
          </w:p>
        </w:tc>
      </w:tr>
      <w:tr w:rsidR="00F36348" w:rsidRPr="00E363CE" w14:paraId="350310C5"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380" w:type="dxa"/>
            <w:noWrap/>
            <w:hideMark/>
          </w:tcPr>
          <w:p w14:paraId="20097E27" w14:textId="77777777" w:rsidR="00F36348" w:rsidRPr="00E363CE" w:rsidRDefault="00F36348" w:rsidP="00695A13">
            <w:pPr>
              <w:pStyle w:val="TableBody"/>
            </w:pPr>
            <w:r w:rsidRPr="00E363CE">
              <w:t>Metro</w:t>
            </w:r>
          </w:p>
        </w:tc>
        <w:tc>
          <w:tcPr>
            <w:tcW w:w="1876" w:type="dxa"/>
          </w:tcPr>
          <w:p w14:paraId="27396E31" w14:textId="77777777" w:rsidR="00F36348" w:rsidRPr="004D5153" w:rsidRDefault="00F36348" w:rsidP="00695A13">
            <w:pPr>
              <w:pStyle w:val="TableBody"/>
            </w:pPr>
            <w:r w:rsidRPr="004D5153">
              <w:t>5179</w:t>
            </w:r>
          </w:p>
        </w:tc>
        <w:tc>
          <w:tcPr>
            <w:tcW w:w="1701" w:type="dxa"/>
            <w:noWrap/>
            <w:hideMark/>
          </w:tcPr>
          <w:p w14:paraId="61452757" w14:textId="77777777" w:rsidR="00F36348" w:rsidRPr="00E363CE" w:rsidRDefault="00F36348" w:rsidP="00695A13">
            <w:pPr>
              <w:pStyle w:val="TableBody"/>
            </w:pPr>
            <w:r w:rsidRPr="00E363CE">
              <w:t>72.55%</w:t>
            </w:r>
          </w:p>
        </w:tc>
      </w:tr>
      <w:tr w:rsidR="00F36348" w:rsidRPr="00E363CE" w14:paraId="275D0C35"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380" w:type="dxa"/>
            <w:noWrap/>
            <w:hideMark/>
          </w:tcPr>
          <w:p w14:paraId="51A71913" w14:textId="77777777" w:rsidR="00F36348" w:rsidRPr="00E363CE" w:rsidRDefault="00F36348" w:rsidP="00695A13">
            <w:pPr>
              <w:pStyle w:val="TableBody"/>
            </w:pPr>
            <w:r w:rsidRPr="00E363CE">
              <w:t>Regional</w:t>
            </w:r>
          </w:p>
        </w:tc>
        <w:tc>
          <w:tcPr>
            <w:tcW w:w="1876" w:type="dxa"/>
          </w:tcPr>
          <w:p w14:paraId="1279E0FF" w14:textId="77777777" w:rsidR="00F36348" w:rsidRPr="004D5153" w:rsidRDefault="00F36348" w:rsidP="00695A13">
            <w:pPr>
              <w:pStyle w:val="TableBody"/>
            </w:pPr>
            <w:r w:rsidRPr="004D5153">
              <w:t>1960</w:t>
            </w:r>
          </w:p>
        </w:tc>
        <w:tc>
          <w:tcPr>
            <w:tcW w:w="1701" w:type="dxa"/>
            <w:noWrap/>
            <w:hideMark/>
          </w:tcPr>
          <w:p w14:paraId="68B94A1C" w14:textId="77777777" w:rsidR="00F36348" w:rsidRPr="00E363CE" w:rsidRDefault="00F36348" w:rsidP="00695A13">
            <w:pPr>
              <w:pStyle w:val="TableBody"/>
            </w:pPr>
            <w:r w:rsidRPr="00E363CE">
              <w:t>27.45%</w:t>
            </w:r>
          </w:p>
        </w:tc>
      </w:tr>
    </w:tbl>
    <w:p w14:paraId="37AA26A5" w14:textId="77777777" w:rsidR="00F36348" w:rsidRDefault="00F36348" w:rsidP="00365135">
      <w:pPr>
        <w:pStyle w:val="Heading4"/>
      </w:pPr>
      <w:r>
        <w:t>Licensed Bandwidths</w:t>
      </w:r>
    </w:p>
    <w:p w14:paraId="1599562B" w14:textId="77777777" w:rsidR="00F36348" w:rsidRPr="00360B23" w:rsidRDefault="00F36348" w:rsidP="00D77F80">
      <w:pPr>
        <w:pStyle w:val="Numberedparagraph"/>
      </w:pPr>
      <w:r>
        <w:t>The most common licensed bandwidths:</w:t>
      </w:r>
    </w:p>
    <w:tbl>
      <w:tblPr>
        <w:tblStyle w:val="ACMAtablestyle"/>
        <w:tblW w:w="5728" w:type="dxa"/>
        <w:tblLook w:val="04A0" w:firstRow="1" w:lastRow="0" w:firstColumn="1" w:lastColumn="0" w:noHBand="0" w:noVBand="1"/>
      </w:tblPr>
      <w:tblGrid>
        <w:gridCol w:w="1820"/>
        <w:gridCol w:w="1720"/>
        <w:gridCol w:w="1008"/>
        <w:gridCol w:w="1180"/>
      </w:tblGrid>
      <w:tr w:rsidR="00F36348" w:rsidRPr="00117555" w14:paraId="682FD8A9"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820" w:type="dxa"/>
            <w:noWrap/>
            <w:hideMark/>
          </w:tcPr>
          <w:p w14:paraId="368B7B60" w14:textId="77777777" w:rsidR="00F36348" w:rsidRPr="00117555" w:rsidRDefault="00F36348" w:rsidP="00695A13">
            <w:pPr>
              <w:pStyle w:val="Tableheaderrow"/>
              <w:rPr>
                <w:rFonts w:ascii="Calibri" w:hAnsi="Calibri" w:cs="Calibri"/>
                <w:bCs/>
                <w:color w:val="000000"/>
                <w:sz w:val="22"/>
                <w:szCs w:val="22"/>
              </w:rPr>
            </w:pPr>
            <w:r>
              <w:t>Licensed Bandwidth (MHz)</w:t>
            </w:r>
          </w:p>
        </w:tc>
        <w:tc>
          <w:tcPr>
            <w:tcW w:w="1720" w:type="dxa"/>
            <w:noWrap/>
            <w:hideMark/>
          </w:tcPr>
          <w:p w14:paraId="2008DDDB" w14:textId="77777777" w:rsidR="00F36348" w:rsidRPr="00117555" w:rsidRDefault="00F36348" w:rsidP="00695A13">
            <w:pPr>
              <w:pStyle w:val="Tableheaderrow"/>
              <w:rPr>
                <w:rFonts w:ascii="Calibri" w:hAnsi="Calibri" w:cs="Calibri"/>
                <w:bCs/>
                <w:color w:val="000000"/>
                <w:sz w:val="22"/>
                <w:szCs w:val="22"/>
              </w:rPr>
            </w:pPr>
            <w:r w:rsidRPr="0002404B">
              <w:t>Metro</w:t>
            </w:r>
          </w:p>
        </w:tc>
        <w:tc>
          <w:tcPr>
            <w:tcW w:w="1008" w:type="dxa"/>
            <w:noWrap/>
            <w:hideMark/>
          </w:tcPr>
          <w:p w14:paraId="0F33D515" w14:textId="77777777" w:rsidR="00F36348" w:rsidRPr="00117555" w:rsidRDefault="00F36348" w:rsidP="00695A13">
            <w:pPr>
              <w:pStyle w:val="Tableheaderrow"/>
              <w:rPr>
                <w:rFonts w:ascii="Calibri" w:hAnsi="Calibri" w:cs="Calibri"/>
                <w:bCs/>
                <w:color w:val="000000"/>
                <w:sz w:val="22"/>
                <w:szCs w:val="22"/>
              </w:rPr>
            </w:pPr>
            <w:r w:rsidRPr="0002404B">
              <w:t>Regional</w:t>
            </w:r>
          </w:p>
        </w:tc>
        <w:tc>
          <w:tcPr>
            <w:tcW w:w="1180" w:type="dxa"/>
            <w:noWrap/>
            <w:hideMark/>
          </w:tcPr>
          <w:p w14:paraId="528234C9" w14:textId="77777777" w:rsidR="00F36348" w:rsidRPr="00117555" w:rsidRDefault="00F36348" w:rsidP="00695A13">
            <w:pPr>
              <w:pStyle w:val="Tableheaderrow"/>
              <w:rPr>
                <w:rFonts w:ascii="Calibri" w:hAnsi="Calibri" w:cs="Calibri"/>
                <w:bCs/>
                <w:color w:val="000000"/>
                <w:sz w:val="22"/>
                <w:szCs w:val="22"/>
              </w:rPr>
            </w:pPr>
            <w:r w:rsidRPr="0002404B">
              <w:t>Total</w:t>
            </w:r>
          </w:p>
        </w:tc>
      </w:tr>
      <w:tr w:rsidR="00F36348" w:rsidRPr="00117555" w14:paraId="1B0659EB"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0" w:type="dxa"/>
            <w:noWrap/>
            <w:hideMark/>
          </w:tcPr>
          <w:p w14:paraId="0E97BCD7" w14:textId="77777777" w:rsidR="00F36348" w:rsidRPr="00117555" w:rsidRDefault="00F36348" w:rsidP="00695A13">
            <w:pPr>
              <w:pStyle w:val="TableBody"/>
            </w:pPr>
            <w:r>
              <w:t>20</w:t>
            </w:r>
            <w:r>
              <w:rPr>
                <w:rStyle w:val="FootnoteReference"/>
              </w:rPr>
              <w:footnoteReference w:id="26"/>
            </w:r>
          </w:p>
        </w:tc>
        <w:tc>
          <w:tcPr>
            <w:tcW w:w="0" w:type="dxa"/>
            <w:noWrap/>
            <w:hideMark/>
          </w:tcPr>
          <w:p w14:paraId="6E3437BB" w14:textId="77777777" w:rsidR="00F36348" w:rsidRPr="00117555" w:rsidRDefault="00F36348" w:rsidP="00695A13">
            <w:pPr>
              <w:pStyle w:val="TableBody"/>
            </w:pPr>
            <w:r w:rsidRPr="00117555">
              <w:t>22.22%</w:t>
            </w:r>
          </w:p>
        </w:tc>
        <w:tc>
          <w:tcPr>
            <w:tcW w:w="0" w:type="dxa"/>
            <w:noWrap/>
            <w:hideMark/>
          </w:tcPr>
          <w:p w14:paraId="644AE08A" w14:textId="77777777" w:rsidR="00F36348" w:rsidRPr="00117555" w:rsidRDefault="00F36348" w:rsidP="00695A13">
            <w:pPr>
              <w:pStyle w:val="TableBody"/>
            </w:pPr>
            <w:r w:rsidRPr="00117555">
              <w:t>80.00%</w:t>
            </w:r>
          </w:p>
        </w:tc>
        <w:tc>
          <w:tcPr>
            <w:tcW w:w="0" w:type="dxa"/>
            <w:noWrap/>
            <w:hideMark/>
          </w:tcPr>
          <w:p w14:paraId="279505A5" w14:textId="77777777" w:rsidR="00F36348" w:rsidRPr="002769B8" w:rsidRDefault="00F36348" w:rsidP="00695A13">
            <w:pPr>
              <w:pStyle w:val="TableBody"/>
              <w:rPr>
                <w:b/>
                <w:bCs/>
              </w:rPr>
            </w:pPr>
            <w:r w:rsidRPr="002769B8">
              <w:rPr>
                <w:b/>
                <w:bCs/>
              </w:rPr>
              <w:t>45.11%</w:t>
            </w:r>
          </w:p>
        </w:tc>
      </w:tr>
      <w:tr w:rsidR="00F36348" w:rsidRPr="00117555" w14:paraId="5A4E3CE0"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0" w:type="dxa"/>
            <w:noWrap/>
            <w:hideMark/>
          </w:tcPr>
          <w:p w14:paraId="5DB45114" w14:textId="77777777" w:rsidR="00F36348" w:rsidRPr="00117555" w:rsidRDefault="00F36348" w:rsidP="00695A13">
            <w:pPr>
              <w:pStyle w:val="TableBody"/>
            </w:pPr>
            <w:r w:rsidRPr="00117555">
              <w:t>60</w:t>
            </w:r>
          </w:p>
        </w:tc>
        <w:tc>
          <w:tcPr>
            <w:tcW w:w="0" w:type="dxa"/>
            <w:noWrap/>
            <w:hideMark/>
          </w:tcPr>
          <w:p w14:paraId="69975BC2" w14:textId="77777777" w:rsidR="00F36348" w:rsidRPr="00117555" w:rsidRDefault="00F36348" w:rsidP="00695A13">
            <w:pPr>
              <w:pStyle w:val="TableBody"/>
            </w:pPr>
            <w:r w:rsidRPr="00117555">
              <w:t>64.41%</w:t>
            </w:r>
          </w:p>
        </w:tc>
        <w:tc>
          <w:tcPr>
            <w:tcW w:w="0" w:type="dxa"/>
            <w:noWrap/>
            <w:hideMark/>
          </w:tcPr>
          <w:p w14:paraId="6EA8061A" w14:textId="77777777" w:rsidR="00F36348" w:rsidRPr="00117555" w:rsidRDefault="00F36348" w:rsidP="00695A13">
            <w:pPr>
              <w:pStyle w:val="TableBody"/>
            </w:pPr>
            <w:r w:rsidRPr="00117555">
              <w:t>0.09%</w:t>
            </w:r>
          </w:p>
        </w:tc>
        <w:tc>
          <w:tcPr>
            <w:tcW w:w="0" w:type="dxa"/>
            <w:noWrap/>
            <w:hideMark/>
          </w:tcPr>
          <w:p w14:paraId="3EFF117A" w14:textId="77777777" w:rsidR="00F36348" w:rsidRPr="002769B8" w:rsidRDefault="00F36348" w:rsidP="00695A13">
            <w:pPr>
              <w:pStyle w:val="TableBody"/>
              <w:rPr>
                <w:b/>
                <w:bCs/>
              </w:rPr>
            </w:pPr>
            <w:r w:rsidRPr="002769B8">
              <w:rPr>
                <w:b/>
                <w:bCs/>
              </w:rPr>
              <w:t>38.93%</w:t>
            </w:r>
          </w:p>
        </w:tc>
      </w:tr>
      <w:tr w:rsidR="00F36348" w:rsidRPr="00117555" w14:paraId="2F6394CB"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0" w:type="dxa"/>
            <w:noWrap/>
            <w:hideMark/>
          </w:tcPr>
          <w:p w14:paraId="06824920" w14:textId="77777777" w:rsidR="00F36348" w:rsidRPr="00117555" w:rsidRDefault="00F36348" w:rsidP="00695A13">
            <w:pPr>
              <w:pStyle w:val="TableBody"/>
            </w:pPr>
            <w:r>
              <w:t>Other</w:t>
            </w:r>
          </w:p>
        </w:tc>
        <w:tc>
          <w:tcPr>
            <w:tcW w:w="0" w:type="dxa"/>
            <w:noWrap/>
            <w:hideMark/>
          </w:tcPr>
          <w:p w14:paraId="4F3C0BBE" w14:textId="77777777" w:rsidR="00F36348" w:rsidRPr="00117555" w:rsidRDefault="00F36348" w:rsidP="00695A13">
            <w:pPr>
              <w:pStyle w:val="TableBody"/>
            </w:pPr>
            <w:r w:rsidRPr="00117555">
              <w:t>13.37%</w:t>
            </w:r>
          </w:p>
        </w:tc>
        <w:tc>
          <w:tcPr>
            <w:tcW w:w="0" w:type="dxa"/>
            <w:noWrap/>
            <w:hideMark/>
          </w:tcPr>
          <w:p w14:paraId="4D9B5DED" w14:textId="77777777" w:rsidR="00F36348" w:rsidRPr="00117555" w:rsidRDefault="00F36348" w:rsidP="00695A13">
            <w:pPr>
              <w:pStyle w:val="TableBody"/>
            </w:pPr>
            <w:r w:rsidRPr="00117555">
              <w:t>19.91%</w:t>
            </w:r>
          </w:p>
        </w:tc>
        <w:tc>
          <w:tcPr>
            <w:tcW w:w="0" w:type="dxa"/>
            <w:noWrap/>
            <w:hideMark/>
          </w:tcPr>
          <w:p w14:paraId="5C6F2822" w14:textId="77777777" w:rsidR="00F36348" w:rsidRPr="002769B8" w:rsidRDefault="00F36348" w:rsidP="00695A13">
            <w:pPr>
              <w:pStyle w:val="TableBody"/>
              <w:rPr>
                <w:b/>
                <w:bCs/>
              </w:rPr>
            </w:pPr>
            <w:r w:rsidRPr="002769B8">
              <w:rPr>
                <w:b/>
                <w:bCs/>
              </w:rPr>
              <w:t>15.96%</w:t>
            </w:r>
          </w:p>
        </w:tc>
      </w:tr>
    </w:tbl>
    <w:p w14:paraId="1A4FED91" w14:textId="77777777" w:rsidR="00F36348" w:rsidRPr="00117555" w:rsidRDefault="00F36348" w:rsidP="00F36348">
      <w:pPr>
        <w:pStyle w:val="Paragraph"/>
      </w:pPr>
    </w:p>
    <w:p w14:paraId="07598189" w14:textId="77777777" w:rsidR="00F36348" w:rsidRDefault="00F36348" w:rsidP="00D77F80">
      <w:pPr>
        <w:pStyle w:val="Numberedparagraph"/>
      </w:pPr>
      <w:r>
        <w:t>Distribution of licensed bandwidths:</w:t>
      </w:r>
    </w:p>
    <w:tbl>
      <w:tblPr>
        <w:tblStyle w:val="ACMAtablestyle"/>
        <w:tblW w:w="5728" w:type="dxa"/>
        <w:tblLook w:val="04A0" w:firstRow="1" w:lastRow="0" w:firstColumn="1" w:lastColumn="0" w:noHBand="0" w:noVBand="1"/>
      </w:tblPr>
      <w:tblGrid>
        <w:gridCol w:w="1820"/>
        <w:gridCol w:w="1720"/>
        <w:gridCol w:w="1008"/>
        <w:gridCol w:w="1180"/>
      </w:tblGrid>
      <w:tr w:rsidR="00F36348" w:rsidRPr="0002404B" w14:paraId="780DFDFF"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820" w:type="dxa"/>
            <w:noWrap/>
            <w:hideMark/>
          </w:tcPr>
          <w:p w14:paraId="0FCB1E8B" w14:textId="77777777" w:rsidR="00F36348" w:rsidRPr="0002404B" w:rsidRDefault="00F36348" w:rsidP="00695A13">
            <w:pPr>
              <w:pStyle w:val="Tableheaderrow"/>
            </w:pPr>
            <w:r>
              <w:t>Licensed Bandwidth (BW) (MHz)</w:t>
            </w:r>
          </w:p>
        </w:tc>
        <w:tc>
          <w:tcPr>
            <w:tcW w:w="1720" w:type="dxa"/>
            <w:noWrap/>
            <w:hideMark/>
          </w:tcPr>
          <w:p w14:paraId="7E5F6FB1" w14:textId="77777777" w:rsidR="00F36348" w:rsidRPr="0002404B" w:rsidRDefault="00F36348" w:rsidP="00695A13">
            <w:pPr>
              <w:pStyle w:val="Tableheaderrow"/>
            </w:pPr>
            <w:r w:rsidRPr="0002404B">
              <w:t>Metro</w:t>
            </w:r>
          </w:p>
        </w:tc>
        <w:tc>
          <w:tcPr>
            <w:tcW w:w="1008" w:type="dxa"/>
            <w:noWrap/>
            <w:hideMark/>
          </w:tcPr>
          <w:p w14:paraId="2E4CD828" w14:textId="77777777" w:rsidR="00F36348" w:rsidRPr="0002404B" w:rsidRDefault="00F36348" w:rsidP="00695A13">
            <w:pPr>
              <w:pStyle w:val="Tableheaderrow"/>
            </w:pPr>
            <w:r w:rsidRPr="0002404B">
              <w:t>Regional</w:t>
            </w:r>
          </w:p>
        </w:tc>
        <w:tc>
          <w:tcPr>
            <w:tcW w:w="1180" w:type="dxa"/>
            <w:noWrap/>
            <w:hideMark/>
          </w:tcPr>
          <w:p w14:paraId="550D3DF0" w14:textId="77777777" w:rsidR="00F36348" w:rsidRPr="0002404B" w:rsidRDefault="00F36348" w:rsidP="00695A13">
            <w:pPr>
              <w:pStyle w:val="Tableheaderrow"/>
            </w:pPr>
            <w:r w:rsidRPr="0002404B">
              <w:t>Total</w:t>
            </w:r>
          </w:p>
        </w:tc>
      </w:tr>
      <w:tr w:rsidR="00F36348" w:rsidRPr="00FE0887" w14:paraId="7E297B78"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4BD6095C" w14:textId="77777777" w:rsidR="00F36348" w:rsidRPr="00FE0887" w:rsidRDefault="00F36348" w:rsidP="00695A13">
            <w:pPr>
              <w:pStyle w:val="TableBody"/>
            </w:pPr>
            <w:r>
              <w:rPr>
                <w:rFonts w:cs="Arial"/>
              </w:rPr>
              <w:t>0 &lt; BW ≤ 20</w:t>
            </w:r>
          </w:p>
        </w:tc>
        <w:tc>
          <w:tcPr>
            <w:tcW w:w="1720" w:type="dxa"/>
            <w:noWrap/>
            <w:hideMark/>
          </w:tcPr>
          <w:p w14:paraId="6D31F3A6" w14:textId="77777777" w:rsidR="00F36348" w:rsidRPr="00FE0887" w:rsidRDefault="00F36348" w:rsidP="00695A13">
            <w:pPr>
              <w:pStyle w:val="TableBody"/>
            </w:pPr>
            <w:r w:rsidRPr="00CA467E">
              <w:t>22.22%</w:t>
            </w:r>
          </w:p>
        </w:tc>
        <w:tc>
          <w:tcPr>
            <w:tcW w:w="1008" w:type="dxa"/>
            <w:noWrap/>
            <w:hideMark/>
          </w:tcPr>
          <w:p w14:paraId="305D105B" w14:textId="77777777" w:rsidR="00F36348" w:rsidRPr="00FE0887" w:rsidRDefault="00F36348" w:rsidP="00695A13">
            <w:pPr>
              <w:pStyle w:val="TableBody"/>
            </w:pPr>
            <w:r w:rsidRPr="00CA467E">
              <w:t>80.11%</w:t>
            </w:r>
          </w:p>
        </w:tc>
        <w:tc>
          <w:tcPr>
            <w:tcW w:w="1180" w:type="dxa"/>
            <w:noWrap/>
            <w:hideMark/>
          </w:tcPr>
          <w:p w14:paraId="7D494002" w14:textId="77777777" w:rsidR="00F36348" w:rsidRPr="00436004" w:rsidRDefault="00F36348" w:rsidP="00695A13">
            <w:pPr>
              <w:pStyle w:val="TableBody"/>
              <w:rPr>
                <w:b/>
                <w:bCs/>
              </w:rPr>
            </w:pPr>
            <w:r w:rsidRPr="002769B8">
              <w:rPr>
                <w:b/>
                <w:bCs/>
              </w:rPr>
              <w:t>45.16%</w:t>
            </w:r>
          </w:p>
        </w:tc>
      </w:tr>
      <w:tr w:rsidR="00F36348" w:rsidRPr="00FE0887" w14:paraId="10970EE6"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1872966B" w14:textId="77777777" w:rsidR="00F36348" w:rsidRPr="00FE0887" w:rsidRDefault="00F36348" w:rsidP="00695A13">
            <w:pPr>
              <w:pStyle w:val="TableBody"/>
            </w:pPr>
            <w:r>
              <w:t xml:space="preserve">20 &lt; BW </w:t>
            </w:r>
            <w:r>
              <w:rPr>
                <w:rFonts w:cs="Arial"/>
              </w:rPr>
              <w:t>≤</w:t>
            </w:r>
            <w:r>
              <w:t xml:space="preserve"> 40</w:t>
            </w:r>
          </w:p>
        </w:tc>
        <w:tc>
          <w:tcPr>
            <w:tcW w:w="1720" w:type="dxa"/>
            <w:noWrap/>
            <w:hideMark/>
          </w:tcPr>
          <w:p w14:paraId="7F014907" w14:textId="77777777" w:rsidR="00F36348" w:rsidRPr="00FE0887" w:rsidRDefault="00F36348" w:rsidP="00695A13">
            <w:pPr>
              <w:pStyle w:val="TableBody"/>
            </w:pPr>
            <w:r w:rsidRPr="00CA467E">
              <w:t>8.31%</w:t>
            </w:r>
          </w:p>
        </w:tc>
        <w:tc>
          <w:tcPr>
            <w:tcW w:w="1008" w:type="dxa"/>
            <w:noWrap/>
            <w:hideMark/>
          </w:tcPr>
          <w:p w14:paraId="6F5BA0A7" w14:textId="77777777" w:rsidR="00F36348" w:rsidRPr="00FE0887" w:rsidRDefault="00F36348" w:rsidP="00695A13">
            <w:pPr>
              <w:pStyle w:val="TableBody"/>
            </w:pPr>
            <w:r w:rsidRPr="00CA467E">
              <w:t>2.91%</w:t>
            </w:r>
          </w:p>
        </w:tc>
        <w:tc>
          <w:tcPr>
            <w:tcW w:w="1180" w:type="dxa"/>
            <w:noWrap/>
            <w:hideMark/>
          </w:tcPr>
          <w:p w14:paraId="292F2479" w14:textId="77777777" w:rsidR="00F36348" w:rsidRPr="00436004" w:rsidRDefault="00F36348" w:rsidP="00695A13">
            <w:pPr>
              <w:pStyle w:val="TableBody"/>
              <w:rPr>
                <w:b/>
                <w:bCs/>
              </w:rPr>
            </w:pPr>
            <w:r w:rsidRPr="002769B8">
              <w:rPr>
                <w:b/>
                <w:bCs/>
              </w:rPr>
              <w:t>6.17%</w:t>
            </w:r>
          </w:p>
        </w:tc>
      </w:tr>
      <w:tr w:rsidR="00F36348" w:rsidRPr="00FE0887" w14:paraId="4CAC41FC"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0E235856" w14:textId="77777777" w:rsidR="00F36348" w:rsidRPr="00FE0887" w:rsidRDefault="00F36348" w:rsidP="00695A13">
            <w:pPr>
              <w:pStyle w:val="TableBody"/>
            </w:pPr>
            <w:r>
              <w:t xml:space="preserve">40 &lt; BW </w:t>
            </w:r>
            <w:r>
              <w:rPr>
                <w:rFonts w:cs="Arial"/>
              </w:rPr>
              <w:t>≤</w:t>
            </w:r>
            <w:r>
              <w:t xml:space="preserve"> 60</w:t>
            </w:r>
          </w:p>
        </w:tc>
        <w:tc>
          <w:tcPr>
            <w:tcW w:w="1720" w:type="dxa"/>
            <w:noWrap/>
            <w:hideMark/>
          </w:tcPr>
          <w:p w14:paraId="7D00995B" w14:textId="77777777" w:rsidR="00F36348" w:rsidRPr="00FE0887" w:rsidRDefault="00F36348" w:rsidP="00695A13">
            <w:pPr>
              <w:pStyle w:val="TableBody"/>
            </w:pPr>
            <w:r w:rsidRPr="00CA467E">
              <w:t>65.87%</w:t>
            </w:r>
          </w:p>
        </w:tc>
        <w:tc>
          <w:tcPr>
            <w:tcW w:w="1008" w:type="dxa"/>
            <w:noWrap/>
            <w:hideMark/>
          </w:tcPr>
          <w:p w14:paraId="1B082827" w14:textId="77777777" w:rsidR="00F36348" w:rsidRPr="00FE0887" w:rsidRDefault="00F36348" w:rsidP="00695A13">
            <w:pPr>
              <w:pStyle w:val="TableBody"/>
            </w:pPr>
            <w:r w:rsidRPr="00CA467E">
              <w:t>7.09%</w:t>
            </w:r>
          </w:p>
        </w:tc>
        <w:tc>
          <w:tcPr>
            <w:tcW w:w="1180" w:type="dxa"/>
            <w:noWrap/>
            <w:hideMark/>
          </w:tcPr>
          <w:p w14:paraId="22F92FD2" w14:textId="77777777" w:rsidR="00F36348" w:rsidRPr="00436004" w:rsidRDefault="00F36348" w:rsidP="00695A13">
            <w:pPr>
              <w:pStyle w:val="TableBody"/>
              <w:rPr>
                <w:b/>
                <w:bCs/>
              </w:rPr>
            </w:pPr>
            <w:r w:rsidRPr="002769B8">
              <w:rPr>
                <w:b/>
                <w:bCs/>
              </w:rPr>
              <w:t>42.58%</w:t>
            </w:r>
          </w:p>
        </w:tc>
      </w:tr>
      <w:tr w:rsidR="00F36348" w:rsidRPr="00FE0887" w14:paraId="6D4F3D6F"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076C5151" w14:textId="77777777" w:rsidR="00F36348" w:rsidRPr="00FE0887" w:rsidRDefault="00F36348" w:rsidP="00695A13">
            <w:pPr>
              <w:pStyle w:val="TableBody"/>
            </w:pPr>
            <w:r>
              <w:t xml:space="preserve">60 &lt; BW </w:t>
            </w:r>
            <w:r>
              <w:rPr>
                <w:rFonts w:cs="Arial"/>
              </w:rPr>
              <w:t>≤</w:t>
            </w:r>
            <w:r>
              <w:t xml:space="preserve"> 80</w:t>
            </w:r>
          </w:p>
        </w:tc>
        <w:tc>
          <w:tcPr>
            <w:tcW w:w="1720" w:type="dxa"/>
            <w:noWrap/>
            <w:hideMark/>
          </w:tcPr>
          <w:p w14:paraId="61785210" w14:textId="77777777" w:rsidR="00F36348" w:rsidRPr="00FE0887" w:rsidRDefault="00F36348" w:rsidP="00695A13">
            <w:pPr>
              <w:pStyle w:val="TableBody"/>
            </w:pPr>
            <w:r w:rsidRPr="00CA467E">
              <w:t>2.67%</w:t>
            </w:r>
          </w:p>
        </w:tc>
        <w:tc>
          <w:tcPr>
            <w:tcW w:w="1008" w:type="dxa"/>
            <w:noWrap/>
            <w:hideMark/>
          </w:tcPr>
          <w:p w14:paraId="5FF10E25" w14:textId="77777777" w:rsidR="00F36348" w:rsidRPr="00FE0887" w:rsidRDefault="00F36348" w:rsidP="00695A13">
            <w:pPr>
              <w:pStyle w:val="TableBody"/>
            </w:pPr>
            <w:r w:rsidRPr="00CA467E">
              <w:t>8.49%</w:t>
            </w:r>
          </w:p>
        </w:tc>
        <w:tc>
          <w:tcPr>
            <w:tcW w:w="1180" w:type="dxa"/>
            <w:noWrap/>
            <w:hideMark/>
          </w:tcPr>
          <w:p w14:paraId="3DB89595" w14:textId="77777777" w:rsidR="00F36348" w:rsidRPr="00436004" w:rsidRDefault="00F36348" w:rsidP="00695A13">
            <w:pPr>
              <w:pStyle w:val="TableBody"/>
              <w:rPr>
                <w:b/>
                <w:bCs/>
              </w:rPr>
            </w:pPr>
            <w:r w:rsidRPr="002769B8">
              <w:rPr>
                <w:b/>
                <w:bCs/>
              </w:rPr>
              <w:t>4.98%</w:t>
            </w:r>
          </w:p>
        </w:tc>
      </w:tr>
      <w:tr w:rsidR="00F36348" w:rsidRPr="00FE0887" w14:paraId="44DD087E"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13F4B008" w14:textId="77777777" w:rsidR="00F36348" w:rsidRPr="00FE0887" w:rsidRDefault="00F36348" w:rsidP="00695A13">
            <w:pPr>
              <w:pStyle w:val="TableBody"/>
            </w:pPr>
            <w:r>
              <w:t>BW &gt; 80</w:t>
            </w:r>
          </w:p>
        </w:tc>
        <w:tc>
          <w:tcPr>
            <w:tcW w:w="1720" w:type="dxa"/>
            <w:noWrap/>
            <w:hideMark/>
          </w:tcPr>
          <w:p w14:paraId="2D11DB2E" w14:textId="77777777" w:rsidR="00F36348" w:rsidRPr="00FE0887" w:rsidRDefault="00F36348" w:rsidP="00695A13">
            <w:pPr>
              <w:pStyle w:val="TableBody"/>
            </w:pPr>
            <w:r w:rsidRPr="00CA467E">
              <w:t>0.93%</w:t>
            </w:r>
          </w:p>
        </w:tc>
        <w:tc>
          <w:tcPr>
            <w:tcW w:w="1008" w:type="dxa"/>
            <w:noWrap/>
            <w:hideMark/>
          </w:tcPr>
          <w:p w14:paraId="21123700" w14:textId="77777777" w:rsidR="00F36348" w:rsidRPr="00FE0887" w:rsidRDefault="00F36348" w:rsidP="00695A13">
            <w:pPr>
              <w:pStyle w:val="TableBody"/>
            </w:pPr>
            <w:r w:rsidRPr="00CA467E">
              <w:t>1.40%</w:t>
            </w:r>
          </w:p>
        </w:tc>
        <w:tc>
          <w:tcPr>
            <w:tcW w:w="1180" w:type="dxa"/>
            <w:noWrap/>
            <w:hideMark/>
          </w:tcPr>
          <w:p w14:paraId="52D4B2D2" w14:textId="77777777" w:rsidR="00F36348" w:rsidRPr="00436004" w:rsidRDefault="00F36348" w:rsidP="00695A13">
            <w:pPr>
              <w:pStyle w:val="TableBody"/>
              <w:rPr>
                <w:b/>
                <w:bCs/>
              </w:rPr>
            </w:pPr>
            <w:r w:rsidRPr="002769B8">
              <w:rPr>
                <w:b/>
                <w:bCs/>
              </w:rPr>
              <w:t>1.12%</w:t>
            </w:r>
          </w:p>
        </w:tc>
      </w:tr>
    </w:tbl>
    <w:p w14:paraId="6E9B9A52" w14:textId="77777777" w:rsidR="00F36348" w:rsidRPr="006D508C" w:rsidRDefault="00F36348" w:rsidP="00F36348">
      <w:pPr>
        <w:pStyle w:val="Paragraph"/>
      </w:pPr>
    </w:p>
    <w:p w14:paraId="627C1FBE" w14:textId="77777777" w:rsidR="00F36348" w:rsidRDefault="00F36348" w:rsidP="00365135">
      <w:pPr>
        <w:pStyle w:val="Heading4"/>
      </w:pPr>
      <w:r>
        <w:t>Transmitter Power into Antenna</w:t>
      </w:r>
    </w:p>
    <w:p w14:paraId="4EDAA1DA" w14:textId="77777777" w:rsidR="00F36348" w:rsidRDefault="00F36348" w:rsidP="00D77F80">
      <w:pPr>
        <w:pStyle w:val="Numberedparagraph"/>
      </w:pPr>
      <w:r>
        <w:t>The most common transmitter power into antenna in watts:</w:t>
      </w:r>
    </w:p>
    <w:tbl>
      <w:tblPr>
        <w:tblStyle w:val="ACMAtablestyle"/>
        <w:tblW w:w="5819" w:type="dxa"/>
        <w:tblLook w:val="04A0" w:firstRow="1" w:lastRow="0" w:firstColumn="1" w:lastColumn="0" w:noHBand="0" w:noVBand="1"/>
      </w:tblPr>
      <w:tblGrid>
        <w:gridCol w:w="1960"/>
        <w:gridCol w:w="1720"/>
        <w:gridCol w:w="959"/>
        <w:gridCol w:w="1180"/>
      </w:tblGrid>
      <w:tr w:rsidR="00F36348" w:rsidRPr="00097255" w14:paraId="1CE6CFA3"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960" w:type="dxa"/>
            <w:noWrap/>
            <w:hideMark/>
          </w:tcPr>
          <w:p w14:paraId="347FFC44" w14:textId="77777777" w:rsidR="00F36348" w:rsidRPr="00097255" w:rsidRDefault="00F36348" w:rsidP="00695A13">
            <w:pPr>
              <w:pStyle w:val="Tableheaderrow"/>
            </w:pPr>
            <w:r>
              <w:t>Transmitter Power into antenna (TP) (W)</w:t>
            </w:r>
          </w:p>
        </w:tc>
        <w:tc>
          <w:tcPr>
            <w:tcW w:w="1720" w:type="dxa"/>
            <w:noWrap/>
            <w:hideMark/>
          </w:tcPr>
          <w:p w14:paraId="2CFD8EE7" w14:textId="77777777" w:rsidR="00F36348" w:rsidRPr="00097255" w:rsidRDefault="00F36348" w:rsidP="00695A13">
            <w:pPr>
              <w:pStyle w:val="Tableheaderrow"/>
            </w:pPr>
            <w:r w:rsidRPr="00097255">
              <w:t>Metro</w:t>
            </w:r>
          </w:p>
        </w:tc>
        <w:tc>
          <w:tcPr>
            <w:tcW w:w="959" w:type="dxa"/>
            <w:noWrap/>
            <w:hideMark/>
          </w:tcPr>
          <w:p w14:paraId="165FF15D" w14:textId="77777777" w:rsidR="00F36348" w:rsidRPr="00097255" w:rsidRDefault="00F36348" w:rsidP="00695A13">
            <w:pPr>
              <w:pStyle w:val="Tableheaderrow"/>
            </w:pPr>
            <w:r w:rsidRPr="00097255">
              <w:t>Regional</w:t>
            </w:r>
          </w:p>
        </w:tc>
        <w:tc>
          <w:tcPr>
            <w:tcW w:w="1180" w:type="dxa"/>
            <w:noWrap/>
            <w:hideMark/>
          </w:tcPr>
          <w:p w14:paraId="79BB2E29" w14:textId="77777777" w:rsidR="00F36348" w:rsidRPr="00097255" w:rsidRDefault="00F36348" w:rsidP="00695A13">
            <w:pPr>
              <w:pStyle w:val="Tableheaderrow"/>
            </w:pPr>
            <w:r>
              <w:t>Total</w:t>
            </w:r>
          </w:p>
        </w:tc>
      </w:tr>
      <w:tr w:rsidR="00F36348" w:rsidRPr="00097255" w14:paraId="341CD934"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960" w:type="dxa"/>
            <w:noWrap/>
            <w:hideMark/>
          </w:tcPr>
          <w:p w14:paraId="5DB853B0" w14:textId="77777777" w:rsidR="00F36348" w:rsidRPr="00097255" w:rsidRDefault="00F36348" w:rsidP="00695A13">
            <w:pPr>
              <w:pStyle w:val="TableBody"/>
            </w:pPr>
            <w:r w:rsidRPr="00097255">
              <w:t>200</w:t>
            </w:r>
          </w:p>
        </w:tc>
        <w:tc>
          <w:tcPr>
            <w:tcW w:w="1720" w:type="dxa"/>
            <w:noWrap/>
            <w:hideMark/>
          </w:tcPr>
          <w:p w14:paraId="036F7EFA" w14:textId="77777777" w:rsidR="00F36348" w:rsidRPr="00097255" w:rsidRDefault="00F36348" w:rsidP="00695A13">
            <w:pPr>
              <w:pStyle w:val="TableBody"/>
            </w:pPr>
            <w:r w:rsidRPr="00097255">
              <w:t>58.87%</w:t>
            </w:r>
          </w:p>
        </w:tc>
        <w:tc>
          <w:tcPr>
            <w:tcW w:w="959" w:type="dxa"/>
            <w:noWrap/>
            <w:hideMark/>
          </w:tcPr>
          <w:p w14:paraId="6766EFD8" w14:textId="77777777" w:rsidR="00F36348" w:rsidRPr="00097255" w:rsidRDefault="00F36348" w:rsidP="00695A13">
            <w:pPr>
              <w:pStyle w:val="TableBody"/>
            </w:pPr>
            <w:r w:rsidRPr="00097255">
              <w:t>15.59%</w:t>
            </w:r>
          </w:p>
        </w:tc>
        <w:tc>
          <w:tcPr>
            <w:tcW w:w="1180" w:type="dxa"/>
            <w:noWrap/>
            <w:hideMark/>
          </w:tcPr>
          <w:p w14:paraId="730C260E" w14:textId="77777777" w:rsidR="00F36348" w:rsidRPr="006D7FA4" w:rsidRDefault="00F36348" w:rsidP="00695A13">
            <w:pPr>
              <w:pStyle w:val="TableBody"/>
              <w:rPr>
                <w:b/>
                <w:bCs/>
              </w:rPr>
            </w:pPr>
            <w:r w:rsidRPr="006D7FA4">
              <w:rPr>
                <w:b/>
                <w:bCs/>
              </w:rPr>
              <w:t>41.73%</w:t>
            </w:r>
          </w:p>
        </w:tc>
      </w:tr>
      <w:tr w:rsidR="00F36348" w:rsidRPr="00097255" w14:paraId="2FCC2179"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960" w:type="dxa"/>
            <w:noWrap/>
            <w:hideMark/>
          </w:tcPr>
          <w:p w14:paraId="51C56BF1" w14:textId="77777777" w:rsidR="00F36348" w:rsidRPr="00097255" w:rsidRDefault="00F36348" w:rsidP="00695A13">
            <w:pPr>
              <w:pStyle w:val="TableBody"/>
            </w:pPr>
            <w:r w:rsidRPr="00097255">
              <w:t>160</w:t>
            </w:r>
          </w:p>
        </w:tc>
        <w:tc>
          <w:tcPr>
            <w:tcW w:w="1720" w:type="dxa"/>
            <w:noWrap/>
            <w:hideMark/>
          </w:tcPr>
          <w:p w14:paraId="1DCAE467" w14:textId="77777777" w:rsidR="00F36348" w:rsidRPr="00097255" w:rsidRDefault="00F36348" w:rsidP="00695A13">
            <w:pPr>
              <w:pStyle w:val="TableBody"/>
            </w:pPr>
            <w:r w:rsidRPr="00097255">
              <w:t>14.94%</w:t>
            </w:r>
          </w:p>
        </w:tc>
        <w:tc>
          <w:tcPr>
            <w:tcW w:w="959" w:type="dxa"/>
            <w:noWrap/>
            <w:hideMark/>
          </w:tcPr>
          <w:p w14:paraId="0BA913D2" w14:textId="77777777" w:rsidR="00F36348" w:rsidRPr="00097255" w:rsidRDefault="00F36348" w:rsidP="00695A13">
            <w:pPr>
              <w:pStyle w:val="TableBody"/>
            </w:pPr>
            <w:r w:rsidRPr="00097255">
              <w:t>74.95%</w:t>
            </w:r>
          </w:p>
        </w:tc>
        <w:tc>
          <w:tcPr>
            <w:tcW w:w="1180" w:type="dxa"/>
            <w:noWrap/>
            <w:hideMark/>
          </w:tcPr>
          <w:p w14:paraId="706A0EF1" w14:textId="77777777" w:rsidR="00F36348" w:rsidRPr="006D7FA4" w:rsidRDefault="00F36348" w:rsidP="00695A13">
            <w:pPr>
              <w:pStyle w:val="TableBody"/>
              <w:rPr>
                <w:b/>
                <w:bCs/>
              </w:rPr>
            </w:pPr>
            <w:r w:rsidRPr="006D7FA4">
              <w:rPr>
                <w:b/>
                <w:bCs/>
              </w:rPr>
              <w:t>38.72%</w:t>
            </w:r>
          </w:p>
        </w:tc>
      </w:tr>
      <w:tr w:rsidR="00F36348" w:rsidRPr="00097255" w14:paraId="46C0ACE1"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960" w:type="dxa"/>
            <w:noWrap/>
            <w:hideMark/>
          </w:tcPr>
          <w:p w14:paraId="452CE46A" w14:textId="77777777" w:rsidR="00F36348" w:rsidRPr="00097255" w:rsidRDefault="00F36348" w:rsidP="00695A13">
            <w:pPr>
              <w:pStyle w:val="TableBody"/>
            </w:pPr>
            <w:r w:rsidRPr="00097255">
              <w:t>199.53</w:t>
            </w:r>
          </w:p>
        </w:tc>
        <w:tc>
          <w:tcPr>
            <w:tcW w:w="1720" w:type="dxa"/>
            <w:noWrap/>
            <w:hideMark/>
          </w:tcPr>
          <w:p w14:paraId="66439EF5" w14:textId="77777777" w:rsidR="00F36348" w:rsidRPr="00097255" w:rsidRDefault="00F36348" w:rsidP="00695A13">
            <w:pPr>
              <w:pStyle w:val="TableBody"/>
            </w:pPr>
            <w:r w:rsidRPr="00097255">
              <w:t>6.26%</w:t>
            </w:r>
          </w:p>
        </w:tc>
        <w:tc>
          <w:tcPr>
            <w:tcW w:w="959" w:type="dxa"/>
            <w:noWrap/>
            <w:hideMark/>
          </w:tcPr>
          <w:p w14:paraId="4B35FEC9" w14:textId="77777777" w:rsidR="00F36348" w:rsidRPr="00097255" w:rsidRDefault="00F36348" w:rsidP="00695A13">
            <w:pPr>
              <w:pStyle w:val="TableBody"/>
            </w:pPr>
            <w:r w:rsidRPr="00097255">
              <w:t>0.04%</w:t>
            </w:r>
          </w:p>
        </w:tc>
        <w:tc>
          <w:tcPr>
            <w:tcW w:w="1180" w:type="dxa"/>
            <w:noWrap/>
            <w:hideMark/>
          </w:tcPr>
          <w:p w14:paraId="717C406E" w14:textId="77777777" w:rsidR="00F36348" w:rsidRPr="006D7FA4" w:rsidRDefault="00F36348" w:rsidP="00695A13">
            <w:pPr>
              <w:pStyle w:val="TableBody"/>
              <w:rPr>
                <w:b/>
                <w:bCs/>
              </w:rPr>
            </w:pPr>
            <w:r w:rsidRPr="006D7FA4">
              <w:rPr>
                <w:b/>
                <w:bCs/>
              </w:rPr>
              <w:t>3.79%</w:t>
            </w:r>
          </w:p>
        </w:tc>
      </w:tr>
      <w:tr w:rsidR="00F36348" w:rsidRPr="00097255" w14:paraId="4BA89D58"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960" w:type="dxa"/>
            <w:noWrap/>
            <w:hideMark/>
          </w:tcPr>
          <w:p w14:paraId="68B50363" w14:textId="77777777" w:rsidR="00F36348" w:rsidRPr="00097255" w:rsidRDefault="00F36348" w:rsidP="00695A13">
            <w:pPr>
              <w:pStyle w:val="TableBody"/>
            </w:pPr>
            <w:r w:rsidRPr="00097255">
              <w:t>120</w:t>
            </w:r>
          </w:p>
        </w:tc>
        <w:tc>
          <w:tcPr>
            <w:tcW w:w="1720" w:type="dxa"/>
            <w:noWrap/>
            <w:hideMark/>
          </w:tcPr>
          <w:p w14:paraId="034FCA08" w14:textId="77777777" w:rsidR="00F36348" w:rsidRPr="00097255" w:rsidRDefault="00F36348" w:rsidP="00695A13">
            <w:pPr>
              <w:pStyle w:val="TableBody"/>
            </w:pPr>
            <w:r w:rsidRPr="00097255">
              <w:t>3.32%</w:t>
            </w:r>
          </w:p>
        </w:tc>
        <w:tc>
          <w:tcPr>
            <w:tcW w:w="959" w:type="dxa"/>
            <w:noWrap/>
            <w:hideMark/>
          </w:tcPr>
          <w:p w14:paraId="270638F3" w14:textId="77777777" w:rsidR="00F36348" w:rsidRPr="00097255" w:rsidRDefault="00F36348" w:rsidP="00695A13">
            <w:pPr>
              <w:pStyle w:val="TableBody"/>
            </w:pPr>
            <w:r w:rsidRPr="00097255">
              <w:t>1.41%</w:t>
            </w:r>
          </w:p>
        </w:tc>
        <w:tc>
          <w:tcPr>
            <w:tcW w:w="1180" w:type="dxa"/>
            <w:noWrap/>
            <w:hideMark/>
          </w:tcPr>
          <w:p w14:paraId="34C383EB" w14:textId="77777777" w:rsidR="00F36348" w:rsidRPr="006D7FA4" w:rsidRDefault="00F36348" w:rsidP="00695A13">
            <w:pPr>
              <w:pStyle w:val="TableBody"/>
              <w:rPr>
                <w:b/>
                <w:bCs/>
              </w:rPr>
            </w:pPr>
            <w:r w:rsidRPr="006D7FA4">
              <w:rPr>
                <w:b/>
                <w:bCs/>
              </w:rPr>
              <w:t>2.56%</w:t>
            </w:r>
          </w:p>
        </w:tc>
      </w:tr>
      <w:tr w:rsidR="00F36348" w:rsidRPr="00097255" w14:paraId="4CCF7190"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960" w:type="dxa"/>
            <w:noWrap/>
            <w:hideMark/>
          </w:tcPr>
          <w:p w14:paraId="1EA9240B" w14:textId="77777777" w:rsidR="00F36348" w:rsidRPr="00097255" w:rsidRDefault="00F36348" w:rsidP="00695A13">
            <w:pPr>
              <w:pStyle w:val="TableBody"/>
            </w:pPr>
            <w:r w:rsidRPr="00097255">
              <w:t>30</w:t>
            </w:r>
          </w:p>
        </w:tc>
        <w:tc>
          <w:tcPr>
            <w:tcW w:w="1720" w:type="dxa"/>
            <w:noWrap/>
            <w:hideMark/>
          </w:tcPr>
          <w:p w14:paraId="59D88320" w14:textId="77777777" w:rsidR="00F36348" w:rsidRPr="00097255" w:rsidRDefault="00F36348" w:rsidP="00695A13">
            <w:pPr>
              <w:pStyle w:val="TableBody"/>
            </w:pPr>
            <w:r w:rsidRPr="00097255">
              <w:t>3.70%</w:t>
            </w:r>
          </w:p>
        </w:tc>
        <w:tc>
          <w:tcPr>
            <w:tcW w:w="959" w:type="dxa"/>
            <w:noWrap/>
            <w:hideMark/>
          </w:tcPr>
          <w:p w14:paraId="622B4740" w14:textId="77777777" w:rsidR="00F36348" w:rsidRPr="00097255" w:rsidRDefault="00F36348" w:rsidP="00695A13">
            <w:pPr>
              <w:pStyle w:val="TableBody"/>
            </w:pPr>
            <w:r w:rsidRPr="00097255">
              <w:t>0.73%</w:t>
            </w:r>
          </w:p>
        </w:tc>
        <w:tc>
          <w:tcPr>
            <w:tcW w:w="1180" w:type="dxa"/>
            <w:noWrap/>
            <w:hideMark/>
          </w:tcPr>
          <w:p w14:paraId="31596048" w14:textId="77777777" w:rsidR="00F36348" w:rsidRPr="006D7FA4" w:rsidRDefault="00F36348" w:rsidP="00695A13">
            <w:pPr>
              <w:pStyle w:val="TableBody"/>
              <w:rPr>
                <w:b/>
                <w:bCs/>
              </w:rPr>
            </w:pPr>
            <w:r w:rsidRPr="006D7FA4">
              <w:rPr>
                <w:b/>
                <w:bCs/>
              </w:rPr>
              <w:t>2.53%</w:t>
            </w:r>
          </w:p>
        </w:tc>
      </w:tr>
      <w:tr w:rsidR="00F36348" w:rsidRPr="00097255" w14:paraId="42762118"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960" w:type="dxa"/>
            <w:noWrap/>
          </w:tcPr>
          <w:p w14:paraId="4D447F1F" w14:textId="77777777" w:rsidR="00F36348" w:rsidRPr="00097255" w:rsidRDefault="00F36348" w:rsidP="00695A13">
            <w:pPr>
              <w:pStyle w:val="TableBody"/>
            </w:pPr>
            <w:r>
              <w:t>Other</w:t>
            </w:r>
          </w:p>
        </w:tc>
        <w:tc>
          <w:tcPr>
            <w:tcW w:w="1720" w:type="dxa"/>
            <w:noWrap/>
          </w:tcPr>
          <w:p w14:paraId="57CDB1FC" w14:textId="77777777" w:rsidR="00F36348" w:rsidRPr="00097255" w:rsidRDefault="00F36348" w:rsidP="00695A13">
            <w:pPr>
              <w:pStyle w:val="TableBody"/>
            </w:pPr>
            <w:r w:rsidRPr="00E6374D">
              <w:t>12.91%</w:t>
            </w:r>
          </w:p>
        </w:tc>
        <w:tc>
          <w:tcPr>
            <w:tcW w:w="959" w:type="dxa"/>
            <w:noWrap/>
          </w:tcPr>
          <w:p w14:paraId="0931F5B4" w14:textId="77777777" w:rsidR="00F36348" w:rsidRPr="00097255" w:rsidRDefault="00F36348" w:rsidP="00695A13">
            <w:pPr>
              <w:pStyle w:val="TableBody"/>
            </w:pPr>
            <w:r w:rsidRPr="00E6374D">
              <w:t>7.27%</w:t>
            </w:r>
          </w:p>
        </w:tc>
        <w:tc>
          <w:tcPr>
            <w:tcW w:w="1180" w:type="dxa"/>
            <w:noWrap/>
          </w:tcPr>
          <w:p w14:paraId="5CABB61B" w14:textId="77777777" w:rsidR="00F36348" w:rsidRPr="0053669A" w:rsidRDefault="00F36348" w:rsidP="00695A13">
            <w:pPr>
              <w:pStyle w:val="TableBody"/>
              <w:rPr>
                <w:b/>
                <w:bCs/>
              </w:rPr>
            </w:pPr>
            <w:r w:rsidRPr="0053669A">
              <w:rPr>
                <w:b/>
                <w:bCs/>
              </w:rPr>
              <w:t>10.68%</w:t>
            </w:r>
          </w:p>
        </w:tc>
      </w:tr>
    </w:tbl>
    <w:p w14:paraId="48E07627" w14:textId="77777777" w:rsidR="00F36348" w:rsidRDefault="00F36348" w:rsidP="00F36348">
      <w:pPr>
        <w:pStyle w:val="Paragraph"/>
      </w:pPr>
    </w:p>
    <w:p w14:paraId="6621873D" w14:textId="77777777" w:rsidR="00F36348" w:rsidRDefault="00F36348" w:rsidP="00D77F80">
      <w:pPr>
        <w:pStyle w:val="Numberedparagraph"/>
      </w:pPr>
      <w:r>
        <w:t>Distribution of transmitter power into antenna in watts:</w:t>
      </w:r>
    </w:p>
    <w:tbl>
      <w:tblPr>
        <w:tblStyle w:val="ACMAtablestyle"/>
        <w:tblW w:w="6038" w:type="dxa"/>
        <w:tblLook w:val="04A0" w:firstRow="1" w:lastRow="0" w:firstColumn="1" w:lastColumn="0" w:noHBand="0" w:noVBand="1"/>
      </w:tblPr>
      <w:tblGrid>
        <w:gridCol w:w="1555"/>
        <w:gridCol w:w="1277"/>
        <w:gridCol w:w="1603"/>
        <w:gridCol w:w="1603"/>
      </w:tblGrid>
      <w:tr w:rsidR="00F36348" w:rsidRPr="00097255" w14:paraId="5CCF2ACD"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555" w:type="dxa"/>
            <w:noWrap/>
            <w:hideMark/>
          </w:tcPr>
          <w:p w14:paraId="2F4E1D88" w14:textId="77777777" w:rsidR="00F36348" w:rsidRPr="00097255" w:rsidRDefault="00F36348" w:rsidP="00695A13">
            <w:pPr>
              <w:pStyle w:val="Tableheaderrow"/>
            </w:pPr>
            <w:r>
              <w:t>Transmitter Power into antenna (TP) (W)</w:t>
            </w:r>
          </w:p>
        </w:tc>
        <w:tc>
          <w:tcPr>
            <w:tcW w:w="1277" w:type="dxa"/>
            <w:noWrap/>
            <w:hideMark/>
          </w:tcPr>
          <w:p w14:paraId="62CFB33C" w14:textId="77777777" w:rsidR="00F36348" w:rsidRPr="00097255" w:rsidRDefault="00F36348" w:rsidP="00695A13">
            <w:pPr>
              <w:pStyle w:val="Tableheaderrow"/>
            </w:pPr>
            <w:r>
              <w:t>Metro</w:t>
            </w:r>
          </w:p>
        </w:tc>
        <w:tc>
          <w:tcPr>
            <w:tcW w:w="1603" w:type="dxa"/>
            <w:noWrap/>
            <w:hideMark/>
          </w:tcPr>
          <w:p w14:paraId="551BF3EA" w14:textId="77777777" w:rsidR="00F36348" w:rsidRPr="00097255" w:rsidRDefault="00F36348" w:rsidP="00695A13">
            <w:pPr>
              <w:pStyle w:val="Tableheaderrow"/>
            </w:pPr>
            <w:r>
              <w:t>Regional</w:t>
            </w:r>
          </w:p>
        </w:tc>
        <w:tc>
          <w:tcPr>
            <w:tcW w:w="1603" w:type="dxa"/>
            <w:noWrap/>
            <w:hideMark/>
          </w:tcPr>
          <w:p w14:paraId="2C694029" w14:textId="77777777" w:rsidR="00F36348" w:rsidRPr="00097255" w:rsidRDefault="00F36348" w:rsidP="00695A13">
            <w:pPr>
              <w:pStyle w:val="Tableheaderrow"/>
            </w:pPr>
            <w:r>
              <w:t>Total</w:t>
            </w:r>
          </w:p>
        </w:tc>
      </w:tr>
      <w:tr w:rsidR="00F36348" w:rsidRPr="00097255" w14:paraId="20D193F1"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555" w:type="dxa"/>
            <w:noWrap/>
            <w:hideMark/>
          </w:tcPr>
          <w:p w14:paraId="12A9E65F" w14:textId="77777777" w:rsidR="00F36348" w:rsidRPr="00097255" w:rsidRDefault="00F36348" w:rsidP="00695A13">
            <w:pPr>
              <w:pStyle w:val="TableBody"/>
            </w:pPr>
            <w:r>
              <w:t xml:space="preserve">TP </w:t>
            </w:r>
            <w:r>
              <w:rPr>
                <w:rFonts w:cs="Arial"/>
              </w:rPr>
              <w:t xml:space="preserve">≤ </w:t>
            </w:r>
            <w:r>
              <w:t>40</w:t>
            </w:r>
          </w:p>
        </w:tc>
        <w:tc>
          <w:tcPr>
            <w:tcW w:w="1277" w:type="dxa"/>
            <w:noWrap/>
            <w:hideMark/>
          </w:tcPr>
          <w:p w14:paraId="1AF79392" w14:textId="77777777" w:rsidR="00F36348" w:rsidRPr="00097255" w:rsidRDefault="00F36348" w:rsidP="00695A13">
            <w:pPr>
              <w:pStyle w:val="TableBody"/>
            </w:pPr>
            <w:r w:rsidRPr="00C85A8F">
              <w:t>9.10%</w:t>
            </w:r>
          </w:p>
        </w:tc>
        <w:tc>
          <w:tcPr>
            <w:tcW w:w="1603" w:type="dxa"/>
            <w:noWrap/>
            <w:hideMark/>
          </w:tcPr>
          <w:p w14:paraId="26E4FF57" w14:textId="77777777" w:rsidR="00F36348" w:rsidRPr="00097255" w:rsidRDefault="00F36348" w:rsidP="00695A13">
            <w:pPr>
              <w:pStyle w:val="TableBody"/>
            </w:pPr>
            <w:r w:rsidRPr="00C85A8F">
              <w:t>4.44%</w:t>
            </w:r>
          </w:p>
        </w:tc>
        <w:tc>
          <w:tcPr>
            <w:tcW w:w="1603" w:type="dxa"/>
            <w:noWrap/>
            <w:hideMark/>
          </w:tcPr>
          <w:p w14:paraId="3A246208" w14:textId="77777777" w:rsidR="00F36348" w:rsidRPr="000D393C" w:rsidRDefault="00F36348" w:rsidP="00695A13">
            <w:pPr>
              <w:pStyle w:val="TableBody"/>
              <w:rPr>
                <w:b/>
                <w:bCs/>
              </w:rPr>
            </w:pPr>
            <w:r w:rsidRPr="002769B8">
              <w:rPr>
                <w:b/>
                <w:bCs/>
              </w:rPr>
              <w:t>7.25%</w:t>
            </w:r>
          </w:p>
        </w:tc>
      </w:tr>
      <w:tr w:rsidR="00F36348" w:rsidRPr="00097255" w14:paraId="0E75FE51"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555" w:type="dxa"/>
            <w:noWrap/>
            <w:hideMark/>
          </w:tcPr>
          <w:p w14:paraId="23253F85" w14:textId="77777777" w:rsidR="00F36348" w:rsidRPr="00097255" w:rsidRDefault="00F36348" w:rsidP="00695A13">
            <w:pPr>
              <w:pStyle w:val="TableBody"/>
            </w:pPr>
            <w:r>
              <w:t xml:space="preserve">40 &lt; TP </w:t>
            </w:r>
            <w:r>
              <w:rPr>
                <w:rFonts w:cs="Arial"/>
              </w:rPr>
              <w:t xml:space="preserve">≤ </w:t>
            </w:r>
            <w:r>
              <w:t>80</w:t>
            </w:r>
          </w:p>
        </w:tc>
        <w:tc>
          <w:tcPr>
            <w:tcW w:w="1277" w:type="dxa"/>
            <w:noWrap/>
            <w:hideMark/>
          </w:tcPr>
          <w:p w14:paraId="6702A948" w14:textId="77777777" w:rsidR="00F36348" w:rsidRPr="00097255" w:rsidRDefault="00F36348" w:rsidP="00695A13">
            <w:pPr>
              <w:pStyle w:val="TableBody"/>
            </w:pPr>
            <w:r>
              <w:t>3.70%</w:t>
            </w:r>
          </w:p>
        </w:tc>
        <w:tc>
          <w:tcPr>
            <w:tcW w:w="1603" w:type="dxa"/>
            <w:noWrap/>
            <w:hideMark/>
          </w:tcPr>
          <w:p w14:paraId="6C25126F" w14:textId="77777777" w:rsidR="00F36348" w:rsidRPr="00097255" w:rsidRDefault="00F36348" w:rsidP="00695A13">
            <w:pPr>
              <w:pStyle w:val="TableBody"/>
            </w:pPr>
            <w:r>
              <w:t>2.69%</w:t>
            </w:r>
          </w:p>
        </w:tc>
        <w:tc>
          <w:tcPr>
            <w:tcW w:w="1603" w:type="dxa"/>
            <w:noWrap/>
            <w:hideMark/>
          </w:tcPr>
          <w:p w14:paraId="65412003" w14:textId="77777777" w:rsidR="00F36348" w:rsidRPr="006D7FA4" w:rsidRDefault="00F36348" w:rsidP="00695A13">
            <w:pPr>
              <w:pStyle w:val="TableBody"/>
              <w:rPr>
                <w:b/>
                <w:bCs/>
              </w:rPr>
            </w:pPr>
            <w:r w:rsidRPr="006D7FA4">
              <w:rPr>
                <w:b/>
                <w:bCs/>
              </w:rPr>
              <w:t>3.30%</w:t>
            </w:r>
          </w:p>
        </w:tc>
      </w:tr>
      <w:tr w:rsidR="00F36348" w:rsidRPr="00097255" w14:paraId="6EF7B7A2"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555" w:type="dxa"/>
            <w:noWrap/>
            <w:hideMark/>
          </w:tcPr>
          <w:p w14:paraId="5FAA1A21" w14:textId="77777777" w:rsidR="00F36348" w:rsidRPr="00097255" w:rsidRDefault="00F36348" w:rsidP="00695A13">
            <w:pPr>
              <w:pStyle w:val="TableBody"/>
            </w:pPr>
            <w:r>
              <w:t xml:space="preserve">80 &lt; TP </w:t>
            </w:r>
            <w:r>
              <w:rPr>
                <w:rFonts w:cs="Arial"/>
              </w:rPr>
              <w:t xml:space="preserve">≤ </w:t>
            </w:r>
            <w:r>
              <w:t>120</w:t>
            </w:r>
          </w:p>
        </w:tc>
        <w:tc>
          <w:tcPr>
            <w:tcW w:w="1277" w:type="dxa"/>
            <w:noWrap/>
            <w:hideMark/>
          </w:tcPr>
          <w:p w14:paraId="1BB94061" w14:textId="77777777" w:rsidR="00F36348" w:rsidRPr="00097255" w:rsidRDefault="00F36348" w:rsidP="00695A13">
            <w:pPr>
              <w:pStyle w:val="TableBody"/>
            </w:pPr>
            <w:r>
              <w:t>4.53%</w:t>
            </w:r>
          </w:p>
        </w:tc>
        <w:tc>
          <w:tcPr>
            <w:tcW w:w="1603" w:type="dxa"/>
            <w:noWrap/>
            <w:hideMark/>
          </w:tcPr>
          <w:p w14:paraId="2CE77B4B" w14:textId="77777777" w:rsidR="00F36348" w:rsidRPr="00097255" w:rsidRDefault="00F36348" w:rsidP="00695A13">
            <w:pPr>
              <w:pStyle w:val="TableBody"/>
            </w:pPr>
            <w:r>
              <w:t>1.83%</w:t>
            </w:r>
          </w:p>
        </w:tc>
        <w:tc>
          <w:tcPr>
            <w:tcW w:w="1603" w:type="dxa"/>
            <w:noWrap/>
            <w:hideMark/>
          </w:tcPr>
          <w:p w14:paraId="4771AC9C" w14:textId="77777777" w:rsidR="00F36348" w:rsidRPr="006D7FA4" w:rsidRDefault="00F36348" w:rsidP="00695A13">
            <w:pPr>
              <w:pStyle w:val="TableBody"/>
              <w:rPr>
                <w:b/>
                <w:bCs/>
              </w:rPr>
            </w:pPr>
            <w:r w:rsidRPr="006D7FA4">
              <w:rPr>
                <w:b/>
                <w:bCs/>
              </w:rPr>
              <w:t>3.46%</w:t>
            </w:r>
          </w:p>
        </w:tc>
      </w:tr>
      <w:tr w:rsidR="00F36348" w:rsidRPr="00097255" w14:paraId="140C5C16"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555" w:type="dxa"/>
            <w:noWrap/>
            <w:hideMark/>
          </w:tcPr>
          <w:p w14:paraId="304CAF53" w14:textId="77777777" w:rsidR="00F36348" w:rsidRPr="00097255" w:rsidRDefault="00F36348" w:rsidP="00695A13">
            <w:pPr>
              <w:pStyle w:val="TableBody"/>
            </w:pPr>
            <w:r>
              <w:t xml:space="preserve">120 &lt; TP </w:t>
            </w:r>
            <w:r>
              <w:rPr>
                <w:rFonts w:cs="Arial"/>
              </w:rPr>
              <w:t xml:space="preserve">≤ </w:t>
            </w:r>
            <w:r>
              <w:t>160</w:t>
            </w:r>
          </w:p>
        </w:tc>
        <w:tc>
          <w:tcPr>
            <w:tcW w:w="1277" w:type="dxa"/>
            <w:noWrap/>
            <w:hideMark/>
          </w:tcPr>
          <w:p w14:paraId="08EEC52B" w14:textId="77777777" w:rsidR="00F36348" w:rsidRPr="00097255" w:rsidRDefault="00F36348" w:rsidP="00695A13">
            <w:pPr>
              <w:pStyle w:val="TableBody"/>
            </w:pPr>
            <w:r>
              <w:t>15.45%</w:t>
            </w:r>
          </w:p>
        </w:tc>
        <w:tc>
          <w:tcPr>
            <w:tcW w:w="1603" w:type="dxa"/>
            <w:noWrap/>
            <w:hideMark/>
          </w:tcPr>
          <w:p w14:paraId="4B0EB712" w14:textId="77777777" w:rsidR="00F36348" w:rsidRPr="00097255" w:rsidRDefault="00F36348" w:rsidP="00695A13">
            <w:pPr>
              <w:pStyle w:val="TableBody"/>
            </w:pPr>
            <w:r>
              <w:t>75.33%</w:t>
            </w:r>
          </w:p>
        </w:tc>
        <w:tc>
          <w:tcPr>
            <w:tcW w:w="1603" w:type="dxa"/>
            <w:noWrap/>
            <w:hideMark/>
          </w:tcPr>
          <w:p w14:paraId="0E920D13" w14:textId="77777777" w:rsidR="00F36348" w:rsidRPr="006D7FA4" w:rsidRDefault="00F36348" w:rsidP="00695A13">
            <w:pPr>
              <w:pStyle w:val="TableBody"/>
              <w:rPr>
                <w:b/>
                <w:bCs/>
              </w:rPr>
            </w:pPr>
            <w:r w:rsidRPr="006D7FA4">
              <w:rPr>
                <w:b/>
                <w:bCs/>
              </w:rPr>
              <w:t>39.18%</w:t>
            </w:r>
          </w:p>
        </w:tc>
      </w:tr>
      <w:tr w:rsidR="00F36348" w:rsidRPr="00097255" w14:paraId="69A29C9B"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555" w:type="dxa"/>
            <w:noWrap/>
          </w:tcPr>
          <w:p w14:paraId="393564BA" w14:textId="77777777" w:rsidR="00F36348" w:rsidRDefault="00F36348" w:rsidP="00695A13">
            <w:pPr>
              <w:pStyle w:val="TableBody"/>
            </w:pPr>
            <w:r>
              <w:t xml:space="preserve">160 &lt; TP </w:t>
            </w:r>
            <w:r>
              <w:rPr>
                <w:rFonts w:cs="Arial"/>
              </w:rPr>
              <w:t xml:space="preserve">≤ </w:t>
            </w:r>
            <w:r>
              <w:t>200</w:t>
            </w:r>
          </w:p>
        </w:tc>
        <w:tc>
          <w:tcPr>
            <w:tcW w:w="1277" w:type="dxa"/>
            <w:noWrap/>
          </w:tcPr>
          <w:p w14:paraId="5065F7E7" w14:textId="77777777" w:rsidR="00F36348" w:rsidRDefault="00F36348" w:rsidP="00695A13">
            <w:pPr>
              <w:pStyle w:val="TableBody"/>
            </w:pPr>
            <w:r>
              <w:t>65.90%</w:t>
            </w:r>
          </w:p>
        </w:tc>
        <w:tc>
          <w:tcPr>
            <w:tcW w:w="1603" w:type="dxa"/>
            <w:noWrap/>
          </w:tcPr>
          <w:p w14:paraId="72E44BEE" w14:textId="77777777" w:rsidR="00F36348" w:rsidRDefault="00F36348" w:rsidP="00695A13">
            <w:pPr>
              <w:pStyle w:val="TableBody"/>
            </w:pPr>
            <w:r>
              <w:t>15.65%</w:t>
            </w:r>
          </w:p>
        </w:tc>
        <w:tc>
          <w:tcPr>
            <w:tcW w:w="1603" w:type="dxa"/>
            <w:noWrap/>
          </w:tcPr>
          <w:p w14:paraId="3B41E2B2" w14:textId="77777777" w:rsidR="00F36348" w:rsidRPr="006D7FA4" w:rsidRDefault="00F36348" w:rsidP="00695A13">
            <w:pPr>
              <w:pStyle w:val="TableBody"/>
              <w:rPr>
                <w:b/>
                <w:bCs/>
              </w:rPr>
            </w:pPr>
            <w:r w:rsidRPr="006D7FA4">
              <w:rPr>
                <w:b/>
                <w:bCs/>
              </w:rPr>
              <w:t>45.99%</w:t>
            </w:r>
          </w:p>
        </w:tc>
      </w:tr>
      <w:tr w:rsidR="00F36348" w:rsidRPr="00097255" w14:paraId="3AB1B14C"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555" w:type="dxa"/>
            <w:noWrap/>
            <w:hideMark/>
          </w:tcPr>
          <w:p w14:paraId="1E5ECD43" w14:textId="77777777" w:rsidR="00F36348" w:rsidRPr="00097255" w:rsidRDefault="00F36348" w:rsidP="00695A13">
            <w:pPr>
              <w:pStyle w:val="TableBody"/>
            </w:pPr>
            <w:r>
              <w:t>TP &gt; 200</w:t>
            </w:r>
          </w:p>
        </w:tc>
        <w:tc>
          <w:tcPr>
            <w:tcW w:w="1277" w:type="dxa"/>
            <w:noWrap/>
            <w:hideMark/>
          </w:tcPr>
          <w:p w14:paraId="35F54CD8" w14:textId="77777777" w:rsidR="00F36348" w:rsidRPr="00097255" w:rsidRDefault="00F36348" w:rsidP="00695A13">
            <w:pPr>
              <w:pStyle w:val="TableBody"/>
            </w:pPr>
            <w:r>
              <w:t>1.32%</w:t>
            </w:r>
          </w:p>
        </w:tc>
        <w:tc>
          <w:tcPr>
            <w:tcW w:w="1603" w:type="dxa"/>
            <w:noWrap/>
            <w:hideMark/>
          </w:tcPr>
          <w:p w14:paraId="1E91DB94" w14:textId="77777777" w:rsidR="00F36348" w:rsidRPr="00097255" w:rsidRDefault="00F36348" w:rsidP="00695A13">
            <w:pPr>
              <w:pStyle w:val="TableBody"/>
            </w:pPr>
            <w:r>
              <w:t>0.05%</w:t>
            </w:r>
          </w:p>
        </w:tc>
        <w:tc>
          <w:tcPr>
            <w:tcW w:w="1603" w:type="dxa"/>
            <w:noWrap/>
            <w:hideMark/>
          </w:tcPr>
          <w:p w14:paraId="5CA17FD3" w14:textId="77777777" w:rsidR="00F36348" w:rsidRPr="006D7FA4" w:rsidRDefault="00F36348" w:rsidP="00695A13">
            <w:pPr>
              <w:pStyle w:val="TableBody"/>
              <w:rPr>
                <w:b/>
                <w:bCs/>
              </w:rPr>
            </w:pPr>
            <w:r w:rsidRPr="006D7FA4">
              <w:rPr>
                <w:b/>
                <w:bCs/>
              </w:rPr>
              <w:t>0.82%</w:t>
            </w:r>
          </w:p>
        </w:tc>
      </w:tr>
    </w:tbl>
    <w:p w14:paraId="4DEB7CD0" w14:textId="77777777" w:rsidR="00F36348" w:rsidRDefault="00F36348" w:rsidP="00F36348">
      <w:pPr>
        <w:pStyle w:val="Paragraph"/>
      </w:pPr>
    </w:p>
    <w:p w14:paraId="5E2006FC" w14:textId="77777777" w:rsidR="00F36348" w:rsidRDefault="00F36348" w:rsidP="00D77F80">
      <w:pPr>
        <w:pStyle w:val="Numberedparagraph"/>
      </w:pPr>
      <w:r>
        <w:t>Distribution of transmitter power into antenna in dBm/MHz:</w:t>
      </w:r>
    </w:p>
    <w:tbl>
      <w:tblPr>
        <w:tblStyle w:val="ACMAtablestyle"/>
        <w:tblW w:w="5728" w:type="dxa"/>
        <w:tblLook w:val="04A0" w:firstRow="1" w:lastRow="0" w:firstColumn="1" w:lastColumn="0" w:noHBand="0" w:noVBand="1"/>
      </w:tblPr>
      <w:tblGrid>
        <w:gridCol w:w="1851"/>
        <w:gridCol w:w="1208"/>
        <w:gridCol w:w="1461"/>
        <w:gridCol w:w="1208"/>
      </w:tblGrid>
      <w:tr w:rsidR="00F36348" w:rsidRPr="00097255" w14:paraId="394F615E"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0" w:type="dxa"/>
            <w:noWrap/>
            <w:hideMark/>
          </w:tcPr>
          <w:p w14:paraId="0DB8E012" w14:textId="77777777" w:rsidR="00F36348" w:rsidRPr="00097255" w:rsidRDefault="00F36348" w:rsidP="00695A13">
            <w:pPr>
              <w:pStyle w:val="Tableheaderrow"/>
            </w:pPr>
            <w:r>
              <w:t>Transmitter Power into antenna (TP) (dBm/MHz)</w:t>
            </w:r>
          </w:p>
        </w:tc>
        <w:tc>
          <w:tcPr>
            <w:tcW w:w="0" w:type="dxa"/>
            <w:noWrap/>
            <w:hideMark/>
          </w:tcPr>
          <w:p w14:paraId="0878C2F2" w14:textId="77777777" w:rsidR="00F36348" w:rsidRPr="00097255" w:rsidRDefault="00F36348" w:rsidP="00695A13">
            <w:pPr>
              <w:pStyle w:val="Tableheaderrow"/>
            </w:pPr>
            <w:r>
              <w:t>Metro</w:t>
            </w:r>
          </w:p>
        </w:tc>
        <w:tc>
          <w:tcPr>
            <w:tcW w:w="0" w:type="dxa"/>
            <w:noWrap/>
            <w:hideMark/>
          </w:tcPr>
          <w:p w14:paraId="1BDB7E6E" w14:textId="77777777" w:rsidR="00F36348" w:rsidRPr="00097255" w:rsidRDefault="00F36348" w:rsidP="00695A13">
            <w:pPr>
              <w:pStyle w:val="Tableheaderrow"/>
            </w:pPr>
            <w:r>
              <w:t>Regional</w:t>
            </w:r>
          </w:p>
        </w:tc>
        <w:tc>
          <w:tcPr>
            <w:tcW w:w="0" w:type="dxa"/>
            <w:noWrap/>
            <w:hideMark/>
          </w:tcPr>
          <w:p w14:paraId="4E8E047F" w14:textId="77777777" w:rsidR="00F36348" w:rsidRPr="00097255" w:rsidRDefault="00F36348" w:rsidP="00695A13">
            <w:pPr>
              <w:pStyle w:val="Tableheaderrow"/>
            </w:pPr>
            <w:r>
              <w:t>Total</w:t>
            </w:r>
          </w:p>
        </w:tc>
      </w:tr>
      <w:tr w:rsidR="00F36348" w:rsidRPr="006D7FA4" w14:paraId="1595DF4F"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0" w:type="dxa"/>
            <w:noWrap/>
            <w:hideMark/>
          </w:tcPr>
          <w:p w14:paraId="355715D6" w14:textId="77777777" w:rsidR="00F36348" w:rsidRPr="00097255" w:rsidRDefault="00F36348" w:rsidP="00695A13">
            <w:pPr>
              <w:pStyle w:val="TableBody"/>
            </w:pPr>
            <w:r>
              <w:t xml:space="preserve">TP </w:t>
            </w:r>
            <w:r>
              <w:rPr>
                <w:rFonts w:cs="Arial"/>
              </w:rPr>
              <w:t>≤ 20</w:t>
            </w:r>
          </w:p>
        </w:tc>
        <w:tc>
          <w:tcPr>
            <w:tcW w:w="0" w:type="dxa"/>
            <w:noWrap/>
            <w:hideMark/>
          </w:tcPr>
          <w:p w14:paraId="68ED7F8B" w14:textId="77777777" w:rsidR="00F36348" w:rsidRPr="00097255" w:rsidRDefault="00F36348" w:rsidP="00695A13">
            <w:pPr>
              <w:pStyle w:val="TableBody"/>
            </w:pPr>
            <w:r w:rsidRPr="00985BD0">
              <w:t>0.20%</w:t>
            </w:r>
          </w:p>
        </w:tc>
        <w:tc>
          <w:tcPr>
            <w:tcW w:w="0" w:type="dxa"/>
            <w:noWrap/>
            <w:hideMark/>
          </w:tcPr>
          <w:p w14:paraId="7A42D84D" w14:textId="77777777" w:rsidR="00F36348" w:rsidRPr="00097255" w:rsidRDefault="00F36348" w:rsidP="00695A13">
            <w:pPr>
              <w:pStyle w:val="TableBody"/>
            </w:pPr>
            <w:r w:rsidRPr="00985BD0">
              <w:t>0.06%</w:t>
            </w:r>
          </w:p>
        </w:tc>
        <w:tc>
          <w:tcPr>
            <w:tcW w:w="0" w:type="dxa"/>
            <w:noWrap/>
            <w:hideMark/>
          </w:tcPr>
          <w:p w14:paraId="7170F5E2" w14:textId="77777777" w:rsidR="00F36348" w:rsidRPr="0004569C" w:rsidRDefault="00F36348" w:rsidP="00695A13">
            <w:pPr>
              <w:pStyle w:val="TableBody"/>
              <w:rPr>
                <w:b/>
                <w:bCs/>
              </w:rPr>
            </w:pPr>
            <w:r w:rsidRPr="002769B8">
              <w:rPr>
                <w:b/>
                <w:bCs/>
              </w:rPr>
              <w:t>0.14%</w:t>
            </w:r>
          </w:p>
        </w:tc>
      </w:tr>
      <w:tr w:rsidR="00F36348" w:rsidRPr="006D7FA4" w14:paraId="04BDCF97"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0" w:type="dxa"/>
            <w:noWrap/>
            <w:hideMark/>
          </w:tcPr>
          <w:p w14:paraId="31A48515" w14:textId="77777777" w:rsidR="00F36348" w:rsidRPr="00097255" w:rsidRDefault="00F36348" w:rsidP="00695A13">
            <w:pPr>
              <w:pStyle w:val="TableBody"/>
            </w:pPr>
            <w:r>
              <w:t xml:space="preserve">20 &lt; TP </w:t>
            </w:r>
            <w:r>
              <w:rPr>
                <w:rFonts w:cs="Arial"/>
              </w:rPr>
              <w:t>≤ 25</w:t>
            </w:r>
          </w:p>
        </w:tc>
        <w:tc>
          <w:tcPr>
            <w:tcW w:w="0" w:type="dxa"/>
            <w:noWrap/>
            <w:hideMark/>
          </w:tcPr>
          <w:p w14:paraId="0F9256FD" w14:textId="77777777" w:rsidR="00F36348" w:rsidRPr="00097255" w:rsidRDefault="00F36348" w:rsidP="00695A13">
            <w:pPr>
              <w:pStyle w:val="TableBody"/>
            </w:pPr>
            <w:r w:rsidRPr="00985BD0">
              <w:t>0.14%</w:t>
            </w:r>
          </w:p>
        </w:tc>
        <w:tc>
          <w:tcPr>
            <w:tcW w:w="0" w:type="dxa"/>
            <w:noWrap/>
            <w:hideMark/>
          </w:tcPr>
          <w:p w14:paraId="7C1FF203" w14:textId="77777777" w:rsidR="00F36348" w:rsidRPr="00097255" w:rsidRDefault="00F36348" w:rsidP="00695A13">
            <w:pPr>
              <w:pStyle w:val="TableBody"/>
            </w:pPr>
            <w:r w:rsidRPr="00985BD0">
              <w:t>0.14%</w:t>
            </w:r>
          </w:p>
        </w:tc>
        <w:tc>
          <w:tcPr>
            <w:tcW w:w="0" w:type="dxa"/>
            <w:noWrap/>
            <w:hideMark/>
          </w:tcPr>
          <w:p w14:paraId="70944F94" w14:textId="77777777" w:rsidR="00F36348" w:rsidRPr="0004569C" w:rsidRDefault="00F36348" w:rsidP="00695A13">
            <w:pPr>
              <w:pStyle w:val="TableBody"/>
              <w:rPr>
                <w:b/>
                <w:bCs/>
              </w:rPr>
            </w:pPr>
            <w:r w:rsidRPr="002769B8">
              <w:rPr>
                <w:b/>
                <w:bCs/>
              </w:rPr>
              <w:t>0.14%</w:t>
            </w:r>
          </w:p>
        </w:tc>
      </w:tr>
      <w:tr w:rsidR="00F36348" w:rsidRPr="006D7FA4" w14:paraId="7E9D1BA0"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0" w:type="dxa"/>
            <w:noWrap/>
            <w:hideMark/>
          </w:tcPr>
          <w:p w14:paraId="00D179D9" w14:textId="77777777" w:rsidR="00F36348" w:rsidRPr="00097255" w:rsidRDefault="00F36348" w:rsidP="00695A13">
            <w:pPr>
              <w:pStyle w:val="TableBody"/>
            </w:pPr>
            <w:r>
              <w:t xml:space="preserve">25 &lt; TP </w:t>
            </w:r>
            <w:r>
              <w:rPr>
                <w:rFonts w:cs="Arial"/>
              </w:rPr>
              <w:t>≤ 30</w:t>
            </w:r>
          </w:p>
        </w:tc>
        <w:tc>
          <w:tcPr>
            <w:tcW w:w="0" w:type="dxa"/>
            <w:noWrap/>
            <w:hideMark/>
          </w:tcPr>
          <w:p w14:paraId="7F3C30D3" w14:textId="77777777" w:rsidR="00F36348" w:rsidRPr="00097255" w:rsidRDefault="00F36348" w:rsidP="00695A13">
            <w:pPr>
              <w:pStyle w:val="TableBody"/>
            </w:pPr>
            <w:r w:rsidRPr="00985BD0">
              <w:t>6.60%</w:t>
            </w:r>
          </w:p>
        </w:tc>
        <w:tc>
          <w:tcPr>
            <w:tcW w:w="0" w:type="dxa"/>
            <w:noWrap/>
            <w:hideMark/>
          </w:tcPr>
          <w:p w14:paraId="432A1B4B" w14:textId="77777777" w:rsidR="00F36348" w:rsidRPr="00097255" w:rsidRDefault="00F36348" w:rsidP="00695A13">
            <w:pPr>
              <w:pStyle w:val="TableBody"/>
            </w:pPr>
            <w:r w:rsidRPr="00985BD0">
              <w:t>3.47%</w:t>
            </w:r>
          </w:p>
        </w:tc>
        <w:tc>
          <w:tcPr>
            <w:tcW w:w="0" w:type="dxa"/>
            <w:noWrap/>
            <w:hideMark/>
          </w:tcPr>
          <w:p w14:paraId="4165EF60" w14:textId="77777777" w:rsidR="00F36348" w:rsidRPr="0004569C" w:rsidRDefault="00F36348" w:rsidP="00695A13">
            <w:pPr>
              <w:pStyle w:val="TableBody"/>
              <w:rPr>
                <w:b/>
                <w:bCs/>
              </w:rPr>
            </w:pPr>
            <w:r w:rsidRPr="002769B8">
              <w:rPr>
                <w:b/>
                <w:bCs/>
              </w:rPr>
              <w:t>5.36%</w:t>
            </w:r>
          </w:p>
        </w:tc>
      </w:tr>
      <w:tr w:rsidR="00F36348" w:rsidRPr="006D7FA4" w14:paraId="7AC90D82"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0" w:type="dxa"/>
            <w:noWrap/>
            <w:hideMark/>
          </w:tcPr>
          <w:p w14:paraId="6C39BC96" w14:textId="77777777" w:rsidR="00F36348" w:rsidRPr="00097255" w:rsidRDefault="00F36348" w:rsidP="00695A13">
            <w:pPr>
              <w:pStyle w:val="TableBody"/>
            </w:pPr>
            <w:r>
              <w:t xml:space="preserve">30 &lt; TP </w:t>
            </w:r>
            <w:r>
              <w:rPr>
                <w:rFonts w:cs="Arial"/>
              </w:rPr>
              <w:t>≤ 35</w:t>
            </w:r>
          </w:p>
        </w:tc>
        <w:tc>
          <w:tcPr>
            <w:tcW w:w="0" w:type="dxa"/>
            <w:noWrap/>
            <w:hideMark/>
          </w:tcPr>
          <w:p w14:paraId="7E04C33F" w14:textId="77777777" w:rsidR="00F36348" w:rsidRPr="00097255" w:rsidRDefault="00F36348" w:rsidP="00695A13">
            <w:pPr>
              <w:pStyle w:val="TableBody"/>
            </w:pPr>
            <w:r w:rsidRPr="00985BD0">
              <w:t>9.59%</w:t>
            </w:r>
          </w:p>
        </w:tc>
        <w:tc>
          <w:tcPr>
            <w:tcW w:w="0" w:type="dxa"/>
            <w:noWrap/>
            <w:hideMark/>
          </w:tcPr>
          <w:p w14:paraId="17C3325D" w14:textId="77777777" w:rsidR="00F36348" w:rsidRPr="00097255" w:rsidRDefault="00F36348" w:rsidP="00695A13">
            <w:pPr>
              <w:pStyle w:val="TableBody"/>
            </w:pPr>
            <w:r w:rsidRPr="00985BD0">
              <w:t>12.47%</w:t>
            </w:r>
          </w:p>
        </w:tc>
        <w:tc>
          <w:tcPr>
            <w:tcW w:w="0" w:type="dxa"/>
            <w:noWrap/>
            <w:hideMark/>
          </w:tcPr>
          <w:p w14:paraId="366FD19C" w14:textId="77777777" w:rsidR="00F36348" w:rsidRPr="0004569C" w:rsidRDefault="00F36348" w:rsidP="00695A13">
            <w:pPr>
              <w:pStyle w:val="TableBody"/>
              <w:rPr>
                <w:b/>
                <w:bCs/>
              </w:rPr>
            </w:pPr>
            <w:r w:rsidRPr="002769B8">
              <w:rPr>
                <w:b/>
                <w:bCs/>
              </w:rPr>
              <w:t>10.73%</w:t>
            </w:r>
          </w:p>
        </w:tc>
      </w:tr>
      <w:tr w:rsidR="00F36348" w:rsidRPr="006D7FA4" w14:paraId="41535CF3"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0" w:type="dxa"/>
            <w:noWrap/>
            <w:hideMark/>
          </w:tcPr>
          <w:p w14:paraId="0E182B24" w14:textId="77777777" w:rsidR="00F36348" w:rsidRPr="00097255" w:rsidRDefault="00F36348" w:rsidP="00695A13">
            <w:pPr>
              <w:pStyle w:val="TableBody"/>
            </w:pPr>
            <w:r>
              <w:t xml:space="preserve">35 &lt; TP </w:t>
            </w:r>
            <w:r>
              <w:rPr>
                <w:rFonts w:cs="Arial"/>
              </w:rPr>
              <w:t>≤ 40</w:t>
            </w:r>
          </w:p>
        </w:tc>
        <w:tc>
          <w:tcPr>
            <w:tcW w:w="0" w:type="dxa"/>
            <w:noWrap/>
            <w:hideMark/>
          </w:tcPr>
          <w:p w14:paraId="503BC1BE" w14:textId="77777777" w:rsidR="00F36348" w:rsidRPr="00097255" w:rsidRDefault="00F36348" w:rsidP="00695A13">
            <w:pPr>
              <w:pStyle w:val="TableBody"/>
            </w:pPr>
            <w:r w:rsidRPr="00985BD0">
              <w:t>83.44%</w:t>
            </w:r>
          </w:p>
        </w:tc>
        <w:tc>
          <w:tcPr>
            <w:tcW w:w="0" w:type="dxa"/>
            <w:noWrap/>
            <w:hideMark/>
          </w:tcPr>
          <w:p w14:paraId="1F8482AC" w14:textId="77777777" w:rsidR="00F36348" w:rsidRPr="00097255" w:rsidRDefault="00F36348" w:rsidP="00695A13">
            <w:pPr>
              <w:pStyle w:val="TableBody"/>
            </w:pPr>
            <w:r w:rsidRPr="00985BD0">
              <w:t>83.69%</w:t>
            </w:r>
          </w:p>
        </w:tc>
        <w:tc>
          <w:tcPr>
            <w:tcW w:w="0" w:type="dxa"/>
            <w:noWrap/>
            <w:hideMark/>
          </w:tcPr>
          <w:p w14:paraId="3995C27F" w14:textId="77777777" w:rsidR="00F36348" w:rsidRPr="0004569C" w:rsidRDefault="00F36348" w:rsidP="00695A13">
            <w:pPr>
              <w:pStyle w:val="TableBody"/>
              <w:rPr>
                <w:b/>
                <w:bCs/>
              </w:rPr>
            </w:pPr>
            <w:r w:rsidRPr="002769B8">
              <w:rPr>
                <w:b/>
                <w:bCs/>
              </w:rPr>
              <w:t>83.54%</w:t>
            </w:r>
          </w:p>
        </w:tc>
      </w:tr>
      <w:tr w:rsidR="00F36348" w:rsidRPr="006D7FA4" w14:paraId="3A31193C"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0" w:type="dxa"/>
            <w:noWrap/>
          </w:tcPr>
          <w:p w14:paraId="3621B5D0" w14:textId="77777777" w:rsidR="00F36348" w:rsidRDefault="00F36348" w:rsidP="00695A13">
            <w:pPr>
              <w:pStyle w:val="TableBody"/>
            </w:pPr>
            <w:r>
              <w:t>TP &gt; 40</w:t>
            </w:r>
          </w:p>
        </w:tc>
        <w:tc>
          <w:tcPr>
            <w:tcW w:w="0" w:type="dxa"/>
            <w:noWrap/>
          </w:tcPr>
          <w:p w14:paraId="4648B6BE" w14:textId="77777777" w:rsidR="00F36348" w:rsidRDefault="00F36348" w:rsidP="00695A13">
            <w:pPr>
              <w:pStyle w:val="TableBody"/>
            </w:pPr>
            <w:r w:rsidRPr="00985BD0">
              <w:t>0.03%</w:t>
            </w:r>
          </w:p>
        </w:tc>
        <w:tc>
          <w:tcPr>
            <w:tcW w:w="0" w:type="dxa"/>
            <w:noWrap/>
          </w:tcPr>
          <w:p w14:paraId="6E976A1E" w14:textId="77777777" w:rsidR="00F36348" w:rsidRDefault="00F36348" w:rsidP="00695A13">
            <w:pPr>
              <w:pStyle w:val="TableBody"/>
            </w:pPr>
            <w:r w:rsidRPr="00985BD0">
              <w:t>0.16%</w:t>
            </w:r>
          </w:p>
        </w:tc>
        <w:tc>
          <w:tcPr>
            <w:tcW w:w="0" w:type="dxa"/>
            <w:noWrap/>
          </w:tcPr>
          <w:p w14:paraId="41CEEB99" w14:textId="77777777" w:rsidR="00F36348" w:rsidRPr="0004569C" w:rsidRDefault="00F36348" w:rsidP="00695A13">
            <w:pPr>
              <w:pStyle w:val="TableBody"/>
              <w:rPr>
                <w:b/>
                <w:bCs/>
              </w:rPr>
            </w:pPr>
            <w:r w:rsidRPr="002769B8">
              <w:rPr>
                <w:b/>
                <w:bCs/>
              </w:rPr>
              <w:t>0.08%</w:t>
            </w:r>
          </w:p>
        </w:tc>
      </w:tr>
    </w:tbl>
    <w:p w14:paraId="08A1E5AC" w14:textId="77777777" w:rsidR="00F36348" w:rsidRPr="006D5E2C" w:rsidRDefault="00F36348" w:rsidP="00F36348">
      <w:pPr>
        <w:pStyle w:val="Paragraph"/>
      </w:pPr>
    </w:p>
    <w:p w14:paraId="45F4A6EA" w14:textId="77777777" w:rsidR="00F36348" w:rsidRDefault="00F36348" w:rsidP="00365135">
      <w:pPr>
        <w:pStyle w:val="Heading4"/>
      </w:pPr>
      <w:r>
        <w:t>Antenna Gains</w:t>
      </w:r>
    </w:p>
    <w:p w14:paraId="55B43806" w14:textId="77777777" w:rsidR="00F36348" w:rsidRDefault="00F36348" w:rsidP="00D77F80">
      <w:pPr>
        <w:pStyle w:val="Numberedparagraph"/>
      </w:pPr>
      <w:r>
        <w:t>The most common antenna gains:</w:t>
      </w:r>
    </w:p>
    <w:tbl>
      <w:tblPr>
        <w:tblStyle w:val="ACMAtablestyle"/>
        <w:tblW w:w="5679" w:type="dxa"/>
        <w:tblLook w:val="04A0" w:firstRow="1" w:lastRow="0" w:firstColumn="1" w:lastColumn="0" w:noHBand="0" w:noVBand="1"/>
      </w:tblPr>
      <w:tblGrid>
        <w:gridCol w:w="1820"/>
        <w:gridCol w:w="1720"/>
        <w:gridCol w:w="959"/>
        <w:gridCol w:w="1180"/>
      </w:tblGrid>
      <w:tr w:rsidR="00F36348" w:rsidRPr="00C13F70" w14:paraId="0B99E5B7"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820" w:type="dxa"/>
            <w:noWrap/>
            <w:hideMark/>
          </w:tcPr>
          <w:p w14:paraId="7DD60FEC" w14:textId="77777777" w:rsidR="00F36348" w:rsidRPr="00C13F70" w:rsidRDefault="00F36348" w:rsidP="00695A13">
            <w:pPr>
              <w:pStyle w:val="Tableheaderrow"/>
            </w:pPr>
            <w:r>
              <w:t>Antenna Gain (dBi)</w:t>
            </w:r>
          </w:p>
        </w:tc>
        <w:tc>
          <w:tcPr>
            <w:tcW w:w="1720" w:type="dxa"/>
            <w:noWrap/>
            <w:hideMark/>
          </w:tcPr>
          <w:p w14:paraId="182DD775" w14:textId="77777777" w:rsidR="00F36348" w:rsidRPr="00C13F70" w:rsidRDefault="00F36348" w:rsidP="00695A13">
            <w:pPr>
              <w:pStyle w:val="Tableheaderrow"/>
            </w:pPr>
            <w:r w:rsidRPr="00C13F70">
              <w:t>Metro</w:t>
            </w:r>
          </w:p>
        </w:tc>
        <w:tc>
          <w:tcPr>
            <w:tcW w:w="959" w:type="dxa"/>
            <w:noWrap/>
            <w:hideMark/>
          </w:tcPr>
          <w:p w14:paraId="31AF6DC2" w14:textId="77777777" w:rsidR="00F36348" w:rsidRPr="00C13F70" w:rsidRDefault="00F36348" w:rsidP="00695A13">
            <w:pPr>
              <w:pStyle w:val="Tableheaderrow"/>
            </w:pPr>
            <w:r w:rsidRPr="00C13F70">
              <w:t>Regional</w:t>
            </w:r>
          </w:p>
        </w:tc>
        <w:tc>
          <w:tcPr>
            <w:tcW w:w="1180" w:type="dxa"/>
            <w:noWrap/>
            <w:hideMark/>
          </w:tcPr>
          <w:p w14:paraId="3212858B" w14:textId="77777777" w:rsidR="00F36348" w:rsidRPr="00C13F70" w:rsidRDefault="00F36348" w:rsidP="00695A13">
            <w:pPr>
              <w:pStyle w:val="Tableheaderrow"/>
            </w:pPr>
            <w:r>
              <w:t>Total</w:t>
            </w:r>
          </w:p>
        </w:tc>
      </w:tr>
      <w:tr w:rsidR="00F36348" w:rsidRPr="00C13F70" w14:paraId="5C472C14"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2A0E4425" w14:textId="77777777" w:rsidR="00F36348" w:rsidRPr="00C13F70" w:rsidRDefault="00F36348" w:rsidP="00695A13">
            <w:pPr>
              <w:pStyle w:val="TableBody"/>
            </w:pPr>
            <w:r w:rsidRPr="00C13F70">
              <w:t>23.7</w:t>
            </w:r>
          </w:p>
        </w:tc>
        <w:tc>
          <w:tcPr>
            <w:tcW w:w="1720" w:type="dxa"/>
            <w:noWrap/>
            <w:hideMark/>
          </w:tcPr>
          <w:p w14:paraId="00590ECB" w14:textId="77777777" w:rsidR="00F36348" w:rsidRPr="00C13F70" w:rsidRDefault="00F36348" w:rsidP="00695A13">
            <w:pPr>
              <w:pStyle w:val="TableBody"/>
            </w:pPr>
            <w:r w:rsidRPr="00C13F70">
              <w:t>51.39%</w:t>
            </w:r>
          </w:p>
        </w:tc>
        <w:tc>
          <w:tcPr>
            <w:tcW w:w="959" w:type="dxa"/>
            <w:noWrap/>
            <w:hideMark/>
          </w:tcPr>
          <w:p w14:paraId="739942EE" w14:textId="77777777" w:rsidR="00F36348" w:rsidRPr="00C13F70" w:rsidRDefault="00F36348" w:rsidP="00695A13">
            <w:pPr>
              <w:pStyle w:val="TableBody"/>
            </w:pPr>
            <w:r w:rsidRPr="00C13F70">
              <w:t>19.71%</w:t>
            </w:r>
          </w:p>
        </w:tc>
        <w:tc>
          <w:tcPr>
            <w:tcW w:w="1180" w:type="dxa"/>
            <w:noWrap/>
            <w:hideMark/>
          </w:tcPr>
          <w:p w14:paraId="59A9A5B6" w14:textId="77777777" w:rsidR="00F36348" w:rsidRPr="006D7FA4" w:rsidRDefault="00F36348" w:rsidP="00695A13">
            <w:pPr>
              <w:pStyle w:val="TableBody"/>
              <w:rPr>
                <w:b/>
                <w:bCs/>
              </w:rPr>
            </w:pPr>
            <w:r w:rsidRPr="006D7FA4">
              <w:rPr>
                <w:b/>
                <w:bCs/>
              </w:rPr>
              <w:t>38.84%</w:t>
            </w:r>
          </w:p>
        </w:tc>
      </w:tr>
      <w:tr w:rsidR="00F36348" w:rsidRPr="00C13F70" w14:paraId="17BB2FF5"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3172E9DC" w14:textId="77777777" w:rsidR="00F36348" w:rsidRPr="00C13F70" w:rsidRDefault="00F36348" w:rsidP="00695A13">
            <w:pPr>
              <w:pStyle w:val="TableBody"/>
            </w:pPr>
            <w:r w:rsidRPr="00C13F70">
              <w:t>17.5</w:t>
            </w:r>
          </w:p>
        </w:tc>
        <w:tc>
          <w:tcPr>
            <w:tcW w:w="1720" w:type="dxa"/>
            <w:noWrap/>
            <w:hideMark/>
          </w:tcPr>
          <w:p w14:paraId="20827AA9" w14:textId="77777777" w:rsidR="00F36348" w:rsidRPr="00C13F70" w:rsidRDefault="00F36348" w:rsidP="00695A13">
            <w:pPr>
              <w:pStyle w:val="TableBody"/>
            </w:pPr>
            <w:r w:rsidRPr="00C13F70">
              <w:t>11.07%</w:t>
            </w:r>
          </w:p>
        </w:tc>
        <w:tc>
          <w:tcPr>
            <w:tcW w:w="959" w:type="dxa"/>
            <w:noWrap/>
            <w:hideMark/>
          </w:tcPr>
          <w:p w14:paraId="48A861C9" w14:textId="77777777" w:rsidR="00F36348" w:rsidRPr="00C13F70" w:rsidRDefault="00F36348" w:rsidP="00695A13">
            <w:pPr>
              <w:pStyle w:val="TableBody"/>
            </w:pPr>
            <w:r w:rsidRPr="00C13F70">
              <w:t>56.94%</w:t>
            </w:r>
          </w:p>
        </w:tc>
        <w:tc>
          <w:tcPr>
            <w:tcW w:w="1180" w:type="dxa"/>
            <w:noWrap/>
            <w:hideMark/>
          </w:tcPr>
          <w:p w14:paraId="7EBC454A" w14:textId="77777777" w:rsidR="00F36348" w:rsidRPr="006D7FA4" w:rsidRDefault="00F36348" w:rsidP="00695A13">
            <w:pPr>
              <w:pStyle w:val="TableBody"/>
              <w:rPr>
                <w:b/>
                <w:bCs/>
              </w:rPr>
            </w:pPr>
            <w:r w:rsidRPr="006D7FA4">
              <w:rPr>
                <w:b/>
                <w:bCs/>
              </w:rPr>
              <w:t>29.24%</w:t>
            </w:r>
          </w:p>
        </w:tc>
      </w:tr>
      <w:tr w:rsidR="00F36348" w:rsidRPr="00C13F70" w14:paraId="516822EB"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032B7817" w14:textId="77777777" w:rsidR="00F36348" w:rsidRPr="00C13F70" w:rsidRDefault="00F36348" w:rsidP="00695A13">
            <w:pPr>
              <w:pStyle w:val="TableBody"/>
            </w:pPr>
            <w:r w:rsidRPr="00C13F70">
              <w:t>19.6</w:t>
            </w:r>
          </w:p>
        </w:tc>
        <w:tc>
          <w:tcPr>
            <w:tcW w:w="1720" w:type="dxa"/>
            <w:noWrap/>
            <w:hideMark/>
          </w:tcPr>
          <w:p w14:paraId="35AAB2AB" w14:textId="77777777" w:rsidR="00F36348" w:rsidRPr="00C13F70" w:rsidRDefault="00F36348" w:rsidP="00695A13">
            <w:pPr>
              <w:pStyle w:val="TableBody"/>
            </w:pPr>
            <w:r w:rsidRPr="00C13F70">
              <w:t>6.01%</w:t>
            </w:r>
          </w:p>
        </w:tc>
        <w:tc>
          <w:tcPr>
            <w:tcW w:w="959" w:type="dxa"/>
            <w:noWrap/>
            <w:hideMark/>
          </w:tcPr>
          <w:p w14:paraId="70951952" w14:textId="77777777" w:rsidR="00F36348" w:rsidRPr="00C13F70" w:rsidRDefault="00F36348" w:rsidP="00695A13">
            <w:pPr>
              <w:pStyle w:val="TableBody"/>
            </w:pPr>
            <w:r w:rsidRPr="00C13F70">
              <w:t>20.39%</w:t>
            </w:r>
          </w:p>
        </w:tc>
        <w:tc>
          <w:tcPr>
            <w:tcW w:w="1180" w:type="dxa"/>
            <w:noWrap/>
            <w:hideMark/>
          </w:tcPr>
          <w:p w14:paraId="22F94F69" w14:textId="77777777" w:rsidR="00F36348" w:rsidRPr="006D7FA4" w:rsidRDefault="00F36348" w:rsidP="00695A13">
            <w:pPr>
              <w:pStyle w:val="TableBody"/>
              <w:rPr>
                <w:b/>
                <w:bCs/>
              </w:rPr>
            </w:pPr>
            <w:r w:rsidRPr="006D7FA4">
              <w:rPr>
                <w:b/>
                <w:bCs/>
              </w:rPr>
              <w:t>11.71%</w:t>
            </w:r>
          </w:p>
        </w:tc>
      </w:tr>
      <w:tr w:rsidR="00F36348" w:rsidRPr="00C13F70" w14:paraId="3CDBD1D5"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23107EEB" w14:textId="77777777" w:rsidR="00F36348" w:rsidRPr="00C13F70" w:rsidRDefault="00F36348" w:rsidP="00695A13">
            <w:pPr>
              <w:pStyle w:val="TableBody"/>
            </w:pPr>
            <w:r w:rsidRPr="00C13F70">
              <w:t>23.5</w:t>
            </w:r>
          </w:p>
        </w:tc>
        <w:tc>
          <w:tcPr>
            <w:tcW w:w="1720" w:type="dxa"/>
            <w:noWrap/>
            <w:hideMark/>
          </w:tcPr>
          <w:p w14:paraId="4AE1C647" w14:textId="77777777" w:rsidR="00F36348" w:rsidRPr="00C13F70" w:rsidRDefault="00F36348" w:rsidP="00695A13">
            <w:pPr>
              <w:pStyle w:val="TableBody"/>
            </w:pPr>
            <w:r w:rsidRPr="00C13F70">
              <w:t>8.46%</w:t>
            </w:r>
          </w:p>
        </w:tc>
        <w:tc>
          <w:tcPr>
            <w:tcW w:w="959" w:type="dxa"/>
            <w:noWrap/>
            <w:hideMark/>
          </w:tcPr>
          <w:p w14:paraId="52806184" w14:textId="77777777" w:rsidR="00F36348" w:rsidRPr="00C13F70" w:rsidRDefault="00F36348" w:rsidP="00695A13">
            <w:pPr>
              <w:pStyle w:val="TableBody"/>
            </w:pPr>
            <w:r w:rsidRPr="00C13F70">
              <w:t>0.07%</w:t>
            </w:r>
          </w:p>
        </w:tc>
        <w:tc>
          <w:tcPr>
            <w:tcW w:w="1180" w:type="dxa"/>
            <w:noWrap/>
            <w:hideMark/>
          </w:tcPr>
          <w:p w14:paraId="2229E8FC" w14:textId="77777777" w:rsidR="00F36348" w:rsidRPr="006D7FA4" w:rsidRDefault="00F36348" w:rsidP="00695A13">
            <w:pPr>
              <w:pStyle w:val="TableBody"/>
              <w:rPr>
                <w:b/>
                <w:bCs/>
              </w:rPr>
            </w:pPr>
            <w:r w:rsidRPr="006D7FA4">
              <w:rPr>
                <w:b/>
                <w:bCs/>
              </w:rPr>
              <w:t>5.14%</w:t>
            </w:r>
          </w:p>
        </w:tc>
      </w:tr>
      <w:tr w:rsidR="00F36348" w:rsidRPr="00C13F70" w14:paraId="6D6BCF13"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580D9A64" w14:textId="77777777" w:rsidR="00F36348" w:rsidRPr="00C13F70" w:rsidRDefault="00F36348" w:rsidP="00695A13">
            <w:pPr>
              <w:pStyle w:val="TableBody"/>
            </w:pPr>
            <w:r w:rsidRPr="00C13F70">
              <w:t>24.8</w:t>
            </w:r>
          </w:p>
        </w:tc>
        <w:tc>
          <w:tcPr>
            <w:tcW w:w="1720" w:type="dxa"/>
            <w:noWrap/>
            <w:hideMark/>
          </w:tcPr>
          <w:p w14:paraId="1CE8C925" w14:textId="77777777" w:rsidR="00F36348" w:rsidRPr="00C13F70" w:rsidRDefault="00F36348" w:rsidP="00695A13">
            <w:pPr>
              <w:pStyle w:val="TableBody"/>
            </w:pPr>
            <w:r w:rsidRPr="00C13F70">
              <w:t>6.16%</w:t>
            </w:r>
          </w:p>
        </w:tc>
        <w:tc>
          <w:tcPr>
            <w:tcW w:w="959" w:type="dxa"/>
            <w:noWrap/>
            <w:hideMark/>
          </w:tcPr>
          <w:p w14:paraId="2979499D" w14:textId="77777777" w:rsidR="00F36348" w:rsidRPr="00C13F70" w:rsidRDefault="00F36348" w:rsidP="00695A13">
            <w:pPr>
              <w:pStyle w:val="TableBody"/>
            </w:pPr>
            <w:r w:rsidRPr="00C13F70">
              <w:t>0.02%</w:t>
            </w:r>
          </w:p>
        </w:tc>
        <w:tc>
          <w:tcPr>
            <w:tcW w:w="1180" w:type="dxa"/>
            <w:noWrap/>
            <w:hideMark/>
          </w:tcPr>
          <w:p w14:paraId="2D09D637" w14:textId="77777777" w:rsidR="00F36348" w:rsidRPr="006D7FA4" w:rsidRDefault="00F36348" w:rsidP="00695A13">
            <w:pPr>
              <w:pStyle w:val="TableBody"/>
              <w:rPr>
                <w:b/>
                <w:bCs/>
              </w:rPr>
            </w:pPr>
            <w:r w:rsidRPr="006D7FA4">
              <w:rPr>
                <w:b/>
                <w:bCs/>
              </w:rPr>
              <w:t>3.73%</w:t>
            </w:r>
          </w:p>
        </w:tc>
      </w:tr>
      <w:tr w:rsidR="00F36348" w:rsidRPr="00C13F70" w14:paraId="0DFF9AD8"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5BF3F699" w14:textId="77777777" w:rsidR="00F36348" w:rsidRPr="00C13F70" w:rsidRDefault="00F36348" w:rsidP="00695A13">
            <w:pPr>
              <w:pStyle w:val="TableBody"/>
            </w:pPr>
            <w:r w:rsidRPr="00C13F70">
              <w:t>24.5</w:t>
            </w:r>
          </w:p>
        </w:tc>
        <w:tc>
          <w:tcPr>
            <w:tcW w:w="1720" w:type="dxa"/>
            <w:noWrap/>
            <w:hideMark/>
          </w:tcPr>
          <w:p w14:paraId="39483E99" w14:textId="77777777" w:rsidR="00F36348" w:rsidRPr="00C13F70" w:rsidRDefault="00F36348" w:rsidP="00695A13">
            <w:pPr>
              <w:pStyle w:val="TableBody"/>
            </w:pPr>
            <w:r w:rsidRPr="00C13F70">
              <w:t>5.09%</w:t>
            </w:r>
          </w:p>
        </w:tc>
        <w:tc>
          <w:tcPr>
            <w:tcW w:w="959" w:type="dxa"/>
            <w:noWrap/>
            <w:hideMark/>
          </w:tcPr>
          <w:p w14:paraId="23964674" w14:textId="77777777" w:rsidR="00F36348" w:rsidRPr="00C13F70" w:rsidRDefault="00F36348" w:rsidP="00695A13">
            <w:pPr>
              <w:pStyle w:val="TableBody"/>
            </w:pPr>
            <w:r w:rsidRPr="00C13F70">
              <w:t>0.00%</w:t>
            </w:r>
          </w:p>
        </w:tc>
        <w:tc>
          <w:tcPr>
            <w:tcW w:w="1180" w:type="dxa"/>
            <w:noWrap/>
            <w:hideMark/>
          </w:tcPr>
          <w:p w14:paraId="5719A5EF" w14:textId="77777777" w:rsidR="00F36348" w:rsidRPr="006D7FA4" w:rsidRDefault="00F36348" w:rsidP="00695A13">
            <w:pPr>
              <w:pStyle w:val="TableBody"/>
              <w:rPr>
                <w:b/>
                <w:bCs/>
              </w:rPr>
            </w:pPr>
            <w:r w:rsidRPr="006D7FA4">
              <w:rPr>
                <w:b/>
                <w:bCs/>
              </w:rPr>
              <w:t>3.07%</w:t>
            </w:r>
          </w:p>
        </w:tc>
      </w:tr>
      <w:tr w:rsidR="00F36348" w:rsidRPr="00C13F70" w14:paraId="6477096A"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tcPr>
          <w:p w14:paraId="21E3FBDB" w14:textId="77777777" w:rsidR="00F36348" w:rsidRPr="00C13F70" w:rsidRDefault="00F36348" w:rsidP="00695A13">
            <w:pPr>
              <w:pStyle w:val="TableBody"/>
            </w:pPr>
            <w:r>
              <w:t>Other</w:t>
            </w:r>
          </w:p>
        </w:tc>
        <w:tc>
          <w:tcPr>
            <w:tcW w:w="1720" w:type="dxa"/>
            <w:noWrap/>
          </w:tcPr>
          <w:p w14:paraId="4241BA8E" w14:textId="77777777" w:rsidR="00F36348" w:rsidRPr="00C13F70" w:rsidRDefault="00F36348" w:rsidP="00695A13">
            <w:pPr>
              <w:pStyle w:val="TableBody"/>
            </w:pPr>
            <w:r w:rsidRPr="00965485">
              <w:t>11.82%</w:t>
            </w:r>
          </w:p>
        </w:tc>
        <w:tc>
          <w:tcPr>
            <w:tcW w:w="959" w:type="dxa"/>
            <w:noWrap/>
          </w:tcPr>
          <w:p w14:paraId="6E9EA3B0" w14:textId="77777777" w:rsidR="00F36348" w:rsidRPr="00C13F70" w:rsidRDefault="00F36348" w:rsidP="00695A13">
            <w:pPr>
              <w:pStyle w:val="TableBody"/>
            </w:pPr>
            <w:r w:rsidRPr="00965485">
              <w:t>2.87%</w:t>
            </w:r>
          </w:p>
        </w:tc>
        <w:tc>
          <w:tcPr>
            <w:tcW w:w="1180" w:type="dxa"/>
            <w:noWrap/>
          </w:tcPr>
          <w:p w14:paraId="56FA896D" w14:textId="77777777" w:rsidR="00F36348" w:rsidRPr="000453FD" w:rsidRDefault="00F36348" w:rsidP="00695A13">
            <w:pPr>
              <w:pStyle w:val="TableBody"/>
              <w:rPr>
                <w:b/>
                <w:bCs/>
              </w:rPr>
            </w:pPr>
            <w:r w:rsidRPr="000453FD">
              <w:rPr>
                <w:b/>
                <w:bCs/>
              </w:rPr>
              <w:t>8.28%</w:t>
            </w:r>
          </w:p>
        </w:tc>
      </w:tr>
    </w:tbl>
    <w:p w14:paraId="45B11A26" w14:textId="77777777" w:rsidR="00F36348" w:rsidRDefault="00F36348" w:rsidP="00F36348">
      <w:pPr>
        <w:pStyle w:val="Paragraph"/>
      </w:pPr>
    </w:p>
    <w:p w14:paraId="3644FA33" w14:textId="77777777" w:rsidR="00F36348" w:rsidRDefault="00F36348" w:rsidP="00365135">
      <w:pPr>
        <w:pStyle w:val="Heading4"/>
      </w:pPr>
      <w:r>
        <w:t>EIRP</w:t>
      </w:r>
    </w:p>
    <w:p w14:paraId="0F3F3A91" w14:textId="77777777" w:rsidR="00F36348" w:rsidRDefault="00F36348" w:rsidP="00D77F80">
      <w:pPr>
        <w:pStyle w:val="Numberedparagraph"/>
      </w:pPr>
      <w:r>
        <w:t>Distribution of EIRP in dBm/MHz:</w:t>
      </w:r>
    </w:p>
    <w:tbl>
      <w:tblPr>
        <w:tblStyle w:val="ACMAtablestyle"/>
        <w:tblW w:w="6127" w:type="dxa"/>
        <w:tblLook w:val="04A0" w:firstRow="1" w:lastRow="0" w:firstColumn="1" w:lastColumn="0" w:noHBand="0" w:noVBand="1"/>
      </w:tblPr>
      <w:tblGrid>
        <w:gridCol w:w="1820"/>
        <w:gridCol w:w="1720"/>
        <w:gridCol w:w="1238"/>
        <w:gridCol w:w="1349"/>
      </w:tblGrid>
      <w:tr w:rsidR="00F36348" w:rsidRPr="00BF7990" w14:paraId="2BA73633"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820" w:type="dxa"/>
            <w:noWrap/>
            <w:hideMark/>
          </w:tcPr>
          <w:p w14:paraId="07B67D75" w14:textId="77777777" w:rsidR="00F36348" w:rsidRPr="00BF7990" w:rsidRDefault="00F36348" w:rsidP="00695A13">
            <w:pPr>
              <w:pStyle w:val="Tableheaderrow"/>
            </w:pPr>
            <w:r>
              <w:t>EIRP (dBm/MHz)</w:t>
            </w:r>
          </w:p>
        </w:tc>
        <w:tc>
          <w:tcPr>
            <w:tcW w:w="1720" w:type="dxa"/>
            <w:noWrap/>
            <w:hideMark/>
          </w:tcPr>
          <w:p w14:paraId="7EF7AE7E" w14:textId="77777777" w:rsidR="00F36348" w:rsidRPr="00BF7990" w:rsidRDefault="00F36348" w:rsidP="00695A13">
            <w:pPr>
              <w:pStyle w:val="Tableheaderrow"/>
            </w:pPr>
            <w:r w:rsidRPr="00BF7990">
              <w:t>Metro</w:t>
            </w:r>
          </w:p>
        </w:tc>
        <w:tc>
          <w:tcPr>
            <w:tcW w:w="1238" w:type="dxa"/>
            <w:noWrap/>
            <w:hideMark/>
          </w:tcPr>
          <w:p w14:paraId="7EEE126D" w14:textId="77777777" w:rsidR="00F36348" w:rsidRPr="00BF7990" w:rsidRDefault="00F36348" w:rsidP="00695A13">
            <w:pPr>
              <w:pStyle w:val="Tableheaderrow"/>
            </w:pPr>
            <w:r w:rsidRPr="00BF7990">
              <w:t>Regional</w:t>
            </w:r>
          </w:p>
        </w:tc>
        <w:tc>
          <w:tcPr>
            <w:tcW w:w="1349" w:type="dxa"/>
            <w:noWrap/>
            <w:hideMark/>
          </w:tcPr>
          <w:p w14:paraId="0E45ED24" w14:textId="77777777" w:rsidR="00F36348" w:rsidRPr="00BF7990" w:rsidRDefault="00F36348" w:rsidP="00695A13">
            <w:pPr>
              <w:pStyle w:val="Tableheaderrow"/>
            </w:pPr>
            <w:r>
              <w:t>Total</w:t>
            </w:r>
          </w:p>
        </w:tc>
      </w:tr>
      <w:tr w:rsidR="00F36348" w:rsidRPr="00BF7990" w14:paraId="54D71168"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48D71E3D" w14:textId="77777777" w:rsidR="00F36348" w:rsidRPr="00BF7990" w:rsidRDefault="00F36348" w:rsidP="00695A13">
            <w:pPr>
              <w:pStyle w:val="TableBody"/>
            </w:pPr>
            <w:r>
              <w:t>EIRP &lt; 30</w:t>
            </w:r>
          </w:p>
        </w:tc>
        <w:tc>
          <w:tcPr>
            <w:tcW w:w="1720" w:type="dxa"/>
            <w:noWrap/>
            <w:hideMark/>
          </w:tcPr>
          <w:p w14:paraId="7FAFF095" w14:textId="77777777" w:rsidR="00F36348" w:rsidRPr="00BF7990" w:rsidRDefault="00F36348" w:rsidP="00695A13">
            <w:pPr>
              <w:pStyle w:val="TableBody"/>
            </w:pPr>
            <w:r w:rsidRPr="00BC3F16">
              <w:t>0.10%</w:t>
            </w:r>
          </w:p>
        </w:tc>
        <w:tc>
          <w:tcPr>
            <w:tcW w:w="1238" w:type="dxa"/>
            <w:noWrap/>
            <w:hideMark/>
          </w:tcPr>
          <w:p w14:paraId="1BAD8FF3" w14:textId="77777777" w:rsidR="00F36348" w:rsidRPr="00BF7990" w:rsidRDefault="00F36348" w:rsidP="00695A13">
            <w:pPr>
              <w:pStyle w:val="TableBody"/>
            </w:pPr>
            <w:r w:rsidRPr="00BC3F16">
              <w:t>0.00%</w:t>
            </w:r>
          </w:p>
        </w:tc>
        <w:tc>
          <w:tcPr>
            <w:tcW w:w="1349" w:type="dxa"/>
            <w:noWrap/>
            <w:hideMark/>
          </w:tcPr>
          <w:p w14:paraId="6C780EA7" w14:textId="77777777" w:rsidR="00F36348" w:rsidRPr="00436004" w:rsidRDefault="00F36348" w:rsidP="00695A13">
            <w:pPr>
              <w:pStyle w:val="TableBody"/>
              <w:rPr>
                <w:b/>
                <w:bCs/>
              </w:rPr>
            </w:pPr>
            <w:r w:rsidRPr="002769B8">
              <w:rPr>
                <w:b/>
                <w:bCs/>
              </w:rPr>
              <w:t>0.06%</w:t>
            </w:r>
          </w:p>
        </w:tc>
      </w:tr>
      <w:tr w:rsidR="00F36348" w:rsidRPr="00BF7990" w14:paraId="686B2581"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59C39C9E" w14:textId="77777777" w:rsidR="00F36348" w:rsidRPr="00BF7990" w:rsidRDefault="00F36348" w:rsidP="00695A13">
            <w:pPr>
              <w:pStyle w:val="TableBody"/>
            </w:pPr>
            <w:r>
              <w:t xml:space="preserve">30 &lt; EIRP </w:t>
            </w:r>
            <w:r>
              <w:rPr>
                <w:rFonts w:cs="Arial"/>
              </w:rPr>
              <w:t xml:space="preserve">≤ </w:t>
            </w:r>
            <w:r>
              <w:t>40</w:t>
            </w:r>
          </w:p>
        </w:tc>
        <w:tc>
          <w:tcPr>
            <w:tcW w:w="1720" w:type="dxa"/>
            <w:noWrap/>
            <w:hideMark/>
          </w:tcPr>
          <w:p w14:paraId="405C516F" w14:textId="77777777" w:rsidR="00F36348" w:rsidRPr="00BF7990" w:rsidRDefault="00F36348" w:rsidP="00695A13">
            <w:pPr>
              <w:pStyle w:val="TableBody"/>
            </w:pPr>
            <w:r w:rsidRPr="00BC3F16">
              <w:t>0.13%</w:t>
            </w:r>
          </w:p>
        </w:tc>
        <w:tc>
          <w:tcPr>
            <w:tcW w:w="1238" w:type="dxa"/>
            <w:noWrap/>
            <w:hideMark/>
          </w:tcPr>
          <w:p w14:paraId="30ACE8B7" w14:textId="77777777" w:rsidR="00F36348" w:rsidRPr="00BF7990" w:rsidRDefault="00F36348" w:rsidP="00695A13">
            <w:pPr>
              <w:pStyle w:val="TableBody"/>
            </w:pPr>
            <w:r w:rsidRPr="00BC3F16">
              <w:t>0.03%</w:t>
            </w:r>
          </w:p>
        </w:tc>
        <w:tc>
          <w:tcPr>
            <w:tcW w:w="1349" w:type="dxa"/>
            <w:noWrap/>
            <w:hideMark/>
          </w:tcPr>
          <w:p w14:paraId="746882B4" w14:textId="77777777" w:rsidR="00F36348" w:rsidRPr="00436004" w:rsidRDefault="00F36348" w:rsidP="00695A13">
            <w:pPr>
              <w:pStyle w:val="TableBody"/>
              <w:rPr>
                <w:b/>
                <w:bCs/>
              </w:rPr>
            </w:pPr>
            <w:r w:rsidRPr="002769B8">
              <w:rPr>
                <w:b/>
                <w:bCs/>
              </w:rPr>
              <w:t>0.09%</w:t>
            </w:r>
          </w:p>
        </w:tc>
      </w:tr>
      <w:tr w:rsidR="00F36348" w:rsidRPr="00BF7990" w14:paraId="23E5C156"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718AB847" w14:textId="77777777" w:rsidR="00F36348" w:rsidRPr="00BF7990" w:rsidRDefault="00F36348" w:rsidP="00695A13">
            <w:pPr>
              <w:pStyle w:val="TableBody"/>
            </w:pPr>
            <w:r>
              <w:t xml:space="preserve">40 &lt; EIRP </w:t>
            </w:r>
            <w:r>
              <w:rPr>
                <w:rFonts w:cs="Arial"/>
              </w:rPr>
              <w:t>≤ 5</w:t>
            </w:r>
            <w:r>
              <w:t>0</w:t>
            </w:r>
          </w:p>
        </w:tc>
        <w:tc>
          <w:tcPr>
            <w:tcW w:w="1720" w:type="dxa"/>
            <w:noWrap/>
            <w:hideMark/>
          </w:tcPr>
          <w:p w14:paraId="71CC63A4" w14:textId="77777777" w:rsidR="00F36348" w:rsidRPr="00BF7990" w:rsidRDefault="00F36348" w:rsidP="00695A13">
            <w:pPr>
              <w:pStyle w:val="TableBody"/>
            </w:pPr>
            <w:r w:rsidRPr="00BC3F16">
              <w:t>0.94%</w:t>
            </w:r>
          </w:p>
        </w:tc>
        <w:tc>
          <w:tcPr>
            <w:tcW w:w="1238" w:type="dxa"/>
            <w:noWrap/>
            <w:hideMark/>
          </w:tcPr>
          <w:p w14:paraId="4917817D" w14:textId="77777777" w:rsidR="00F36348" w:rsidRPr="00BF7990" w:rsidRDefault="00F36348" w:rsidP="00695A13">
            <w:pPr>
              <w:pStyle w:val="TableBody"/>
            </w:pPr>
            <w:r w:rsidRPr="00BC3F16">
              <w:t>0.63%</w:t>
            </w:r>
          </w:p>
        </w:tc>
        <w:tc>
          <w:tcPr>
            <w:tcW w:w="1349" w:type="dxa"/>
            <w:noWrap/>
            <w:hideMark/>
          </w:tcPr>
          <w:p w14:paraId="25CF7C71" w14:textId="77777777" w:rsidR="00F36348" w:rsidRPr="00436004" w:rsidRDefault="00F36348" w:rsidP="00695A13">
            <w:pPr>
              <w:pStyle w:val="TableBody"/>
              <w:rPr>
                <w:b/>
                <w:bCs/>
              </w:rPr>
            </w:pPr>
            <w:r w:rsidRPr="002769B8">
              <w:rPr>
                <w:b/>
                <w:bCs/>
              </w:rPr>
              <w:t>0.82%</w:t>
            </w:r>
          </w:p>
        </w:tc>
      </w:tr>
      <w:tr w:rsidR="00F36348" w:rsidRPr="00BF7990" w14:paraId="282F4581"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4036C241" w14:textId="77777777" w:rsidR="00F36348" w:rsidRPr="00BF7990" w:rsidRDefault="00F36348" w:rsidP="00695A13">
            <w:pPr>
              <w:pStyle w:val="TableBody"/>
            </w:pPr>
            <w:r>
              <w:t xml:space="preserve">50 &lt; EIRP </w:t>
            </w:r>
            <w:r>
              <w:rPr>
                <w:rFonts w:cs="Arial"/>
              </w:rPr>
              <w:t>≤ 55</w:t>
            </w:r>
          </w:p>
        </w:tc>
        <w:tc>
          <w:tcPr>
            <w:tcW w:w="1720" w:type="dxa"/>
            <w:noWrap/>
            <w:hideMark/>
          </w:tcPr>
          <w:p w14:paraId="0FC7126E" w14:textId="77777777" w:rsidR="00F36348" w:rsidRPr="00BF7990" w:rsidRDefault="00F36348" w:rsidP="00695A13">
            <w:pPr>
              <w:pStyle w:val="TableBody"/>
            </w:pPr>
            <w:r w:rsidRPr="00BC3F16">
              <w:t>12.95%</w:t>
            </w:r>
          </w:p>
        </w:tc>
        <w:tc>
          <w:tcPr>
            <w:tcW w:w="1238" w:type="dxa"/>
            <w:noWrap/>
            <w:hideMark/>
          </w:tcPr>
          <w:p w14:paraId="631ABF21" w14:textId="77777777" w:rsidR="00F36348" w:rsidRPr="00BF7990" w:rsidRDefault="00F36348" w:rsidP="00695A13">
            <w:pPr>
              <w:pStyle w:val="TableBody"/>
            </w:pPr>
            <w:r w:rsidRPr="00BC3F16">
              <w:t>7.08%</w:t>
            </w:r>
          </w:p>
        </w:tc>
        <w:tc>
          <w:tcPr>
            <w:tcW w:w="1349" w:type="dxa"/>
            <w:noWrap/>
            <w:hideMark/>
          </w:tcPr>
          <w:p w14:paraId="14234589" w14:textId="77777777" w:rsidR="00F36348" w:rsidRPr="00436004" w:rsidRDefault="00F36348" w:rsidP="00695A13">
            <w:pPr>
              <w:pStyle w:val="TableBody"/>
              <w:rPr>
                <w:b/>
                <w:bCs/>
              </w:rPr>
            </w:pPr>
            <w:r w:rsidRPr="002769B8">
              <w:rPr>
                <w:b/>
                <w:bCs/>
              </w:rPr>
              <w:t>10.62%</w:t>
            </w:r>
          </w:p>
        </w:tc>
      </w:tr>
      <w:tr w:rsidR="00F36348" w:rsidRPr="00BF7990" w14:paraId="2B0249C0"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388A2A33" w14:textId="77777777" w:rsidR="00F36348" w:rsidRPr="00BF7990" w:rsidRDefault="00F36348" w:rsidP="00695A13">
            <w:pPr>
              <w:pStyle w:val="TableBody"/>
            </w:pPr>
            <w:r>
              <w:t xml:space="preserve">55 &lt; EIRP </w:t>
            </w:r>
            <w:r>
              <w:rPr>
                <w:rFonts w:cs="Arial"/>
              </w:rPr>
              <w:t>≤ 60</w:t>
            </w:r>
          </w:p>
        </w:tc>
        <w:tc>
          <w:tcPr>
            <w:tcW w:w="1720" w:type="dxa"/>
            <w:noWrap/>
            <w:hideMark/>
          </w:tcPr>
          <w:p w14:paraId="2781B32E" w14:textId="77777777" w:rsidR="00F36348" w:rsidRPr="00BF7990" w:rsidRDefault="00F36348" w:rsidP="00695A13">
            <w:pPr>
              <w:pStyle w:val="TableBody"/>
            </w:pPr>
            <w:r w:rsidRPr="00BC3F16">
              <w:t>75.13%</w:t>
            </w:r>
          </w:p>
        </w:tc>
        <w:tc>
          <w:tcPr>
            <w:tcW w:w="1238" w:type="dxa"/>
            <w:noWrap/>
            <w:hideMark/>
          </w:tcPr>
          <w:p w14:paraId="35C3BE95" w14:textId="77777777" w:rsidR="00F36348" w:rsidRPr="00BF7990" w:rsidRDefault="00F36348" w:rsidP="00695A13">
            <w:pPr>
              <w:pStyle w:val="TableBody"/>
            </w:pPr>
            <w:r w:rsidRPr="00BC3F16">
              <w:t>90.84%</w:t>
            </w:r>
          </w:p>
        </w:tc>
        <w:tc>
          <w:tcPr>
            <w:tcW w:w="1349" w:type="dxa"/>
            <w:noWrap/>
            <w:hideMark/>
          </w:tcPr>
          <w:p w14:paraId="31732FEC" w14:textId="77777777" w:rsidR="00F36348" w:rsidRPr="00436004" w:rsidRDefault="00F36348" w:rsidP="00695A13">
            <w:pPr>
              <w:pStyle w:val="TableBody"/>
              <w:rPr>
                <w:b/>
                <w:bCs/>
              </w:rPr>
            </w:pPr>
            <w:r w:rsidRPr="002769B8">
              <w:rPr>
                <w:b/>
                <w:bCs/>
              </w:rPr>
              <w:t>81.35%</w:t>
            </w:r>
          </w:p>
        </w:tc>
      </w:tr>
      <w:tr w:rsidR="00F36348" w:rsidRPr="00BF7990" w14:paraId="43C41320"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11D41C80" w14:textId="77777777" w:rsidR="00F36348" w:rsidRPr="00BF7990" w:rsidRDefault="00F36348" w:rsidP="00695A13">
            <w:pPr>
              <w:pStyle w:val="TableBody"/>
            </w:pPr>
            <w:r>
              <w:t>EIRP &gt; 60</w:t>
            </w:r>
          </w:p>
        </w:tc>
        <w:tc>
          <w:tcPr>
            <w:tcW w:w="1720" w:type="dxa"/>
            <w:noWrap/>
            <w:hideMark/>
          </w:tcPr>
          <w:p w14:paraId="1156147F" w14:textId="77777777" w:rsidR="00F36348" w:rsidRPr="00BF7990" w:rsidRDefault="00F36348" w:rsidP="00695A13">
            <w:pPr>
              <w:pStyle w:val="TableBody"/>
            </w:pPr>
            <w:r w:rsidRPr="00BC3F16">
              <w:t>10.75%</w:t>
            </w:r>
          </w:p>
        </w:tc>
        <w:tc>
          <w:tcPr>
            <w:tcW w:w="1238" w:type="dxa"/>
            <w:noWrap/>
            <w:hideMark/>
          </w:tcPr>
          <w:p w14:paraId="2E5D163E" w14:textId="77777777" w:rsidR="00F36348" w:rsidRPr="00BF7990" w:rsidRDefault="00F36348" w:rsidP="00695A13">
            <w:pPr>
              <w:pStyle w:val="TableBody"/>
            </w:pPr>
            <w:r w:rsidRPr="00BC3F16">
              <w:t>1.42%</w:t>
            </w:r>
          </w:p>
        </w:tc>
        <w:tc>
          <w:tcPr>
            <w:tcW w:w="1349" w:type="dxa"/>
            <w:noWrap/>
            <w:hideMark/>
          </w:tcPr>
          <w:p w14:paraId="442B14A7" w14:textId="77777777" w:rsidR="00F36348" w:rsidRPr="00436004" w:rsidRDefault="00F36348" w:rsidP="00695A13">
            <w:pPr>
              <w:pStyle w:val="TableBody"/>
              <w:rPr>
                <w:b/>
                <w:bCs/>
              </w:rPr>
            </w:pPr>
            <w:r w:rsidRPr="002769B8">
              <w:rPr>
                <w:b/>
                <w:bCs/>
              </w:rPr>
              <w:t>7.05%</w:t>
            </w:r>
          </w:p>
        </w:tc>
      </w:tr>
    </w:tbl>
    <w:p w14:paraId="541E7EE7" w14:textId="77777777" w:rsidR="00F36348" w:rsidRPr="00E115DE" w:rsidRDefault="00F36348" w:rsidP="00F36348">
      <w:pPr>
        <w:pStyle w:val="Paragraph"/>
      </w:pPr>
    </w:p>
    <w:p w14:paraId="30F73A50" w14:textId="77777777" w:rsidR="00F36348" w:rsidRDefault="00F36348" w:rsidP="00365135">
      <w:pPr>
        <w:pStyle w:val="Heading4"/>
      </w:pPr>
      <w:r>
        <w:t>Deployment Heights</w:t>
      </w:r>
    </w:p>
    <w:p w14:paraId="1784D31A" w14:textId="77777777" w:rsidR="00F36348" w:rsidRDefault="00F36348" w:rsidP="00D77F80">
      <w:pPr>
        <w:pStyle w:val="Numberedparagraph"/>
      </w:pPr>
      <w:r>
        <w:t>Distribution of antenna heights:</w:t>
      </w:r>
    </w:p>
    <w:tbl>
      <w:tblPr>
        <w:tblStyle w:val="ACMAtablestyle"/>
        <w:tblW w:w="5679" w:type="dxa"/>
        <w:tblLook w:val="04A0" w:firstRow="1" w:lastRow="0" w:firstColumn="1" w:lastColumn="0" w:noHBand="0" w:noVBand="1"/>
      </w:tblPr>
      <w:tblGrid>
        <w:gridCol w:w="1820"/>
        <w:gridCol w:w="1720"/>
        <w:gridCol w:w="959"/>
        <w:gridCol w:w="1180"/>
      </w:tblGrid>
      <w:tr w:rsidR="00F36348" w:rsidRPr="00151392" w14:paraId="66352915" w14:textId="77777777" w:rsidTr="00695A13">
        <w:trPr>
          <w:cnfStyle w:val="100000000000" w:firstRow="1" w:lastRow="0" w:firstColumn="0" w:lastColumn="0" w:oddVBand="0" w:evenVBand="0" w:oddHBand="0" w:evenHBand="0" w:firstRowFirstColumn="0" w:firstRowLastColumn="0" w:lastRowFirstColumn="0" w:lastRowLastColumn="0"/>
          <w:trHeight w:val="300"/>
        </w:trPr>
        <w:tc>
          <w:tcPr>
            <w:tcW w:w="1820" w:type="dxa"/>
            <w:noWrap/>
            <w:hideMark/>
          </w:tcPr>
          <w:p w14:paraId="5DA33D39" w14:textId="77777777" w:rsidR="00F36348" w:rsidRPr="00151392" w:rsidRDefault="00F36348" w:rsidP="00695A13">
            <w:pPr>
              <w:pStyle w:val="Tableheaderrow"/>
            </w:pPr>
            <w:r>
              <w:t>Antenna heights (AH) (m)</w:t>
            </w:r>
          </w:p>
        </w:tc>
        <w:tc>
          <w:tcPr>
            <w:tcW w:w="1720" w:type="dxa"/>
            <w:noWrap/>
            <w:hideMark/>
          </w:tcPr>
          <w:p w14:paraId="5A709710" w14:textId="77777777" w:rsidR="00F36348" w:rsidRPr="00151392" w:rsidRDefault="00F36348" w:rsidP="00695A13">
            <w:pPr>
              <w:pStyle w:val="Tableheaderrow"/>
            </w:pPr>
            <w:r w:rsidRPr="00151392">
              <w:t>Metro</w:t>
            </w:r>
          </w:p>
        </w:tc>
        <w:tc>
          <w:tcPr>
            <w:tcW w:w="959" w:type="dxa"/>
            <w:noWrap/>
            <w:hideMark/>
          </w:tcPr>
          <w:p w14:paraId="2C60151C" w14:textId="77777777" w:rsidR="00F36348" w:rsidRPr="00151392" w:rsidRDefault="00F36348" w:rsidP="00695A13">
            <w:pPr>
              <w:pStyle w:val="Tableheaderrow"/>
            </w:pPr>
            <w:r w:rsidRPr="00151392">
              <w:t>Regional</w:t>
            </w:r>
          </w:p>
        </w:tc>
        <w:tc>
          <w:tcPr>
            <w:tcW w:w="1180" w:type="dxa"/>
            <w:noWrap/>
            <w:hideMark/>
          </w:tcPr>
          <w:p w14:paraId="7D1693E8" w14:textId="77777777" w:rsidR="00F36348" w:rsidRPr="00151392" w:rsidRDefault="00F36348" w:rsidP="00695A13">
            <w:pPr>
              <w:pStyle w:val="Tableheaderrow"/>
            </w:pPr>
            <w:r>
              <w:t>Total</w:t>
            </w:r>
          </w:p>
        </w:tc>
      </w:tr>
      <w:tr w:rsidR="00F36348" w:rsidRPr="00151392" w14:paraId="0CA7A10A"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207609EF" w14:textId="77777777" w:rsidR="00F36348" w:rsidRPr="00151392" w:rsidRDefault="00F36348" w:rsidP="00695A13">
            <w:pPr>
              <w:pStyle w:val="TableBody"/>
            </w:pPr>
            <w:r>
              <w:t xml:space="preserve">AH </w:t>
            </w:r>
            <w:r>
              <w:rPr>
                <w:rFonts w:cs="Arial"/>
              </w:rPr>
              <w:t>≤</w:t>
            </w:r>
            <w:r>
              <w:t xml:space="preserve"> 10</w:t>
            </w:r>
          </w:p>
        </w:tc>
        <w:tc>
          <w:tcPr>
            <w:tcW w:w="1720" w:type="dxa"/>
            <w:noWrap/>
            <w:hideMark/>
          </w:tcPr>
          <w:p w14:paraId="6B67E09A" w14:textId="77777777" w:rsidR="00F36348" w:rsidRPr="00151392" w:rsidRDefault="00F36348" w:rsidP="00695A13">
            <w:pPr>
              <w:pStyle w:val="TableBody"/>
            </w:pPr>
            <w:r w:rsidRPr="00151392">
              <w:t>0.77%</w:t>
            </w:r>
          </w:p>
        </w:tc>
        <w:tc>
          <w:tcPr>
            <w:tcW w:w="959" w:type="dxa"/>
            <w:noWrap/>
            <w:hideMark/>
          </w:tcPr>
          <w:p w14:paraId="0B20586D" w14:textId="77777777" w:rsidR="00F36348" w:rsidRPr="00151392" w:rsidRDefault="00F36348" w:rsidP="00695A13">
            <w:pPr>
              <w:pStyle w:val="TableBody"/>
            </w:pPr>
            <w:r w:rsidRPr="00151392">
              <w:t>0.14%</w:t>
            </w:r>
          </w:p>
        </w:tc>
        <w:tc>
          <w:tcPr>
            <w:tcW w:w="1180" w:type="dxa"/>
            <w:noWrap/>
            <w:hideMark/>
          </w:tcPr>
          <w:p w14:paraId="72ED1766" w14:textId="77777777" w:rsidR="00F36348" w:rsidRPr="006D7FA4" w:rsidRDefault="00F36348" w:rsidP="00695A13">
            <w:pPr>
              <w:pStyle w:val="TableBody"/>
              <w:rPr>
                <w:b/>
                <w:bCs/>
              </w:rPr>
            </w:pPr>
            <w:r w:rsidRPr="006D7FA4">
              <w:rPr>
                <w:b/>
                <w:bCs/>
              </w:rPr>
              <w:t>0.52%</w:t>
            </w:r>
          </w:p>
        </w:tc>
      </w:tr>
      <w:tr w:rsidR="00F36348" w:rsidRPr="00151392" w14:paraId="6EDE4120"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15D9AF36" w14:textId="77777777" w:rsidR="00F36348" w:rsidRPr="00151392" w:rsidRDefault="00F36348" w:rsidP="00695A13">
            <w:pPr>
              <w:pStyle w:val="TableBody"/>
            </w:pPr>
            <w:r>
              <w:t xml:space="preserve">10 &lt; AH </w:t>
            </w:r>
            <w:r>
              <w:rPr>
                <w:rFonts w:cs="Arial"/>
              </w:rPr>
              <w:t xml:space="preserve">≤ </w:t>
            </w:r>
            <w:r>
              <w:t>20</w:t>
            </w:r>
          </w:p>
        </w:tc>
        <w:tc>
          <w:tcPr>
            <w:tcW w:w="1720" w:type="dxa"/>
            <w:noWrap/>
            <w:hideMark/>
          </w:tcPr>
          <w:p w14:paraId="5B237565" w14:textId="77777777" w:rsidR="00F36348" w:rsidRPr="00151392" w:rsidRDefault="00F36348" w:rsidP="00695A13">
            <w:pPr>
              <w:pStyle w:val="TableBody"/>
            </w:pPr>
            <w:r w:rsidRPr="00151392">
              <w:t>15.55%</w:t>
            </w:r>
          </w:p>
        </w:tc>
        <w:tc>
          <w:tcPr>
            <w:tcW w:w="959" w:type="dxa"/>
            <w:noWrap/>
            <w:hideMark/>
          </w:tcPr>
          <w:p w14:paraId="7A5B882B" w14:textId="77777777" w:rsidR="00F36348" w:rsidRPr="00151392" w:rsidRDefault="00F36348" w:rsidP="00695A13">
            <w:pPr>
              <w:pStyle w:val="TableBody"/>
            </w:pPr>
            <w:r w:rsidRPr="00151392">
              <w:t>4.43%</w:t>
            </w:r>
          </w:p>
        </w:tc>
        <w:tc>
          <w:tcPr>
            <w:tcW w:w="1180" w:type="dxa"/>
            <w:noWrap/>
            <w:hideMark/>
          </w:tcPr>
          <w:p w14:paraId="2483C9B7" w14:textId="77777777" w:rsidR="00F36348" w:rsidRPr="006D7FA4" w:rsidRDefault="00F36348" w:rsidP="00695A13">
            <w:pPr>
              <w:pStyle w:val="TableBody"/>
              <w:rPr>
                <w:b/>
                <w:bCs/>
              </w:rPr>
            </w:pPr>
            <w:r w:rsidRPr="006D7FA4">
              <w:rPr>
                <w:b/>
                <w:bCs/>
              </w:rPr>
              <w:t>11.15%</w:t>
            </w:r>
          </w:p>
        </w:tc>
      </w:tr>
      <w:tr w:rsidR="00F36348" w:rsidRPr="00151392" w14:paraId="5478FD0C"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5F756C0C" w14:textId="77777777" w:rsidR="00F36348" w:rsidRPr="00151392" w:rsidRDefault="00F36348" w:rsidP="00695A13">
            <w:pPr>
              <w:pStyle w:val="TableBody"/>
            </w:pPr>
            <w:r>
              <w:t xml:space="preserve">20 &lt; AH </w:t>
            </w:r>
            <w:r>
              <w:rPr>
                <w:rFonts w:cs="Arial"/>
              </w:rPr>
              <w:t xml:space="preserve">≤ </w:t>
            </w:r>
            <w:r>
              <w:t>30</w:t>
            </w:r>
          </w:p>
        </w:tc>
        <w:tc>
          <w:tcPr>
            <w:tcW w:w="1720" w:type="dxa"/>
            <w:noWrap/>
            <w:hideMark/>
          </w:tcPr>
          <w:p w14:paraId="36BEF947" w14:textId="77777777" w:rsidR="00F36348" w:rsidRPr="00151392" w:rsidRDefault="00F36348" w:rsidP="00695A13">
            <w:pPr>
              <w:pStyle w:val="TableBody"/>
            </w:pPr>
            <w:r w:rsidRPr="00151392">
              <w:t>38.13%</w:t>
            </w:r>
          </w:p>
        </w:tc>
        <w:tc>
          <w:tcPr>
            <w:tcW w:w="959" w:type="dxa"/>
            <w:noWrap/>
            <w:hideMark/>
          </w:tcPr>
          <w:p w14:paraId="576DE85E" w14:textId="77777777" w:rsidR="00F36348" w:rsidRPr="00151392" w:rsidRDefault="00F36348" w:rsidP="00695A13">
            <w:pPr>
              <w:pStyle w:val="TableBody"/>
            </w:pPr>
            <w:r w:rsidRPr="00151392">
              <w:t>25.48%</w:t>
            </w:r>
          </w:p>
        </w:tc>
        <w:tc>
          <w:tcPr>
            <w:tcW w:w="1180" w:type="dxa"/>
            <w:noWrap/>
            <w:hideMark/>
          </w:tcPr>
          <w:p w14:paraId="2E78343E" w14:textId="77777777" w:rsidR="00F36348" w:rsidRPr="006D7FA4" w:rsidRDefault="00F36348" w:rsidP="00695A13">
            <w:pPr>
              <w:pStyle w:val="TableBody"/>
              <w:rPr>
                <w:b/>
                <w:bCs/>
              </w:rPr>
            </w:pPr>
            <w:r w:rsidRPr="006D7FA4">
              <w:rPr>
                <w:b/>
                <w:bCs/>
              </w:rPr>
              <w:t>33.12%</w:t>
            </w:r>
          </w:p>
        </w:tc>
      </w:tr>
      <w:tr w:rsidR="00F36348" w:rsidRPr="00151392" w14:paraId="0B71883C"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40909CFC" w14:textId="77777777" w:rsidR="00F36348" w:rsidRPr="00151392" w:rsidRDefault="00F36348" w:rsidP="00695A13">
            <w:pPr>
              <w:pStyle w:val="TableBody"/>
            </w:pPr>
            <w:r>
              <w:t xml:space="preserve">30 &lt; AH </w:t>
            </w:r>
            <w:r>
              <w:rPr>
                <w:rFonts w:cs="Arial"/>
              </w:rPr>
              <w:t xml:space="preserve">≤ </w:t>
            </w:r>
            <w:r>
              <w:t>40</w:t>
            </w:r>
          </w:p>
        </w:tc>
        <w:tc>
          <w:tcPr>
            <w:tcW w:w="1720" w:type="dxa"/>
            <w:noWrap/>
            <w:hideMark/>
          </w:tcPr>
          <w:p w14:paraId="06E35168" w14:textId="77777777" w:rsidR="00F36348" w:rsidRPr="00151392" w:rsidRDefault="00F36348" w:rsidP="00695A13">
            <w:pPr>
              <w:pStyle w:val="TableBody"/>
            </w:pPr>
            <w:r w:rsidRPr="00151392">
              <w:t>32.13%</w:t>
            </w:r>
          </w:p>
        </w:tc>
        <w:tc>
          <w:tcPr>
            <w:tcW w:w="959" w:type="dxa"/>
            <w:noWrap/>
            <w:hideMark/>
          </w:tcPr>
          <w:p w14:paraId="59B6BECC" w14:textId="77777777" w:rsidR="00F36348" w:rsidRPr="00151392" w:rsidRDefault="00F36348" w:rsidP="00695A13">
            <w:pPr>
              <w:pStyle w:val="TableBody"/>
            </w:pPr>
            <w:r w:rsidRPr="00151392">
              <w:t>46.86%</w:t>
            </w:r>
          </w:p>
        </w:tc>
        <w:tc>
          <w:tcPr>
            <w:tcW w:w="1180" w:type="dxa"/>
            <w:noWrap/>
            <w:hideMark/>
          </w:tcPr>
          <w:p w14:paraId="52C284E8" w14:textId="77777777" w:rsidR="00F36348" w:rsidRPr="006D7FA4" w:rsidRDefault="00F36348" w:rsidP="00695A13">
            <w:pPr>
              <w:pStyle w:val="TableBody"/>
              <w:rPr>
                <w:b/>
                <w:bCs/>
              </w:rPr>
            </w:pPr>
            <w:r w:rsidRPr="006D7FA4">
              <w:rPr>
                <w:b/>
                <w:bCs/>
              </w:rPr>
              <w:t>37.97%</w:t>
            </w:r>
          </w:p>
        </w:tc>
      </w:tr>
      <w:tr w:rsidR="00F36348" w:rsidRPr="00151392" w14:paraId="38268021"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1D841202" w14:textId="77777777" w:rsidR="00F36348" w:rsidRPr="00151392" w:rsidRDefault="00F36348" w:rsidP="00695A13">
            <w:pPr>
              <w:pStyle w:val="TableBody"/>
            </w:pPr>
            <w:r>
              <w:t xml:space="preserve">40 &lt; AH </w:t>
            </w:r>
            <w:r>
              <w:rPr>
                <w:rFonts w:cs="Arial"/>
              </w:rPr>
              <w:t xml:space="preserve">≤ </w:t>
            </w:r>
            <w:r>
              <w:t>50</w:t>
            </w:r>
          </w:p>
        </w:tc>
        <w:tc>
          <w:tcPr>
            <w:tcW w:w="1720" w:type="dxa"/>
            <w:noWrap/>
            <w:hideMark/>
          </w:tcPr>
          <w:p w14:paraId="6EB390A5" w14:textId="77777777" w:rsidR="00F36348" w:rsidRPr="00151392" w:rsidRDefault="00F36348" w:rsidP="00695A13">
            <w:pPr>
              <w:pStyle w:val="TableBody"/>
            </w:pPr>
            <w:r w:rsidRPr="00151392">
              <w:t>10.14%</w:t>
            </w:r>
          </w:p>
        </w:tc>
        <w:tc>
          <w:tcPr>
            <w:tcW w:w="959" w:type="dxa"/>
            <w:noWrap/>
            <w:hideMark/>
          </w:tcPr>
          <w:p w14:paraId="79C0F370" w14:textId="77777777" w:rsidR="00F36348" w:rsidRPr="00151392" w:rsidRDefault="00F36348" w:rsidP="00695A13">
            <w:pPr>
              <w:pStyle w:val="TableBody"/>
            </w:pPr>
            <w:r w:rsidRPr="00151392">
              <w:t>18.74%</w:t>
            </w:r>
          </w:p>
        </w:tc>
        <w:tc>
          <w:tcPr>
            <w:tcW w:w="1180" w:type="dxa"/>
            <w:noWrap/>
            <w:hideMark/>
          </w:tcPr>
          <w:p w14:paraId="7A48064C" w14:textId="77777777" w:rsidR="00F36348" w:rsidRPr="006D7FA4" w:rsidRDefault="00F36348" w:rsidP="00695A13">
            <w:pPr>
              <w:pStyle w:val="TableBody"/>
              <w:rPr>
                <w:b/>
                <w:bCs/>
              </w:rPr>
            </w:pPr>
            <w:r w:rsidRPr="006D7FA4">
              <w:rPr>
                <w:b/>
                <w:bCs/>
              </w:rPr>
              <w:t>13.55%</w:t>
            </w:r>
          </w:p>
        </w:tc>
      </w:tr>
      <w:tr w:rsidR="00F36348" w:rsidRPr="00151392" w14:paraId="5FE0DC04" w14:textId="77777777" w:rsidTr="00695A13">
        <w:trPr>
          <w:cnfStyle w:val="000000010000" w:firstRow="0" w:lastRow="0" w:firstColumn="0" w:lastColumn="0" w:oddVBand="0" w:evenVBand="0" w:oddHBand="0" w:evenHBand="1" w:firstRowFirstColumn="0" w:firstRowLastColumn="0" w:lastRowFirstColumn="0" w:lastRowLastColumn="0"/>
          <w:trHeight w:val="300"/>
        </w:trPr>
        <w:tc>
          <w:tcPr>
            <w:tcW w:w="1820" w:type="dxa"/>
            <w:noWrap/>
            <w:hideMark/>
          </w:tcPr>
          <w:p w14:paraId="380E48D5" w14:textId="77777777" w:rsidR="00F36348" w:rsidRPr="00151392" w:rsidRDefault="00F36348" w:rsidP="00695A13">
            <w:pPr>
              <w:pStyle w:val="TableBody"/>
            </w:pPr>
            <w:r>
              <w:t xml:space="preserve">50 &lt; AH </w:t>
            </w:r>
            <w:r>
              <w:rPr>
                <w:rFonts w:cs="Arial"/>
              </w:rPr>
              <w:t xml:space="preserve">≤ </w:t>
            </w:r>
            <w:r>
              <w:t>60</w:t>
            </w:r>
          </w:p>
        </w:tc>
        <w:tc>
          <w:tcPr>
            <w:tcW w:w="1720" w:type="dxa"/>
            <w:noWrap/>
            <w:hideMark/>
          </w:tcPr>
          <w:p w14:paraId="170CDADD" w14:textId="77777777" w:rsidR="00F36348" w:rsidRPr="00151392" w:rsidRDefault="00F36348" w:rsidP="00695A13">
            <w:pPr>
              <w:pStyle w:val="TableBody"/>
            </w:pPr>
            <w:r w:rsidRPr="00151392">
              <w:t>2.46%</w:t>
            </w:r>
          </w:p>
        </w:tc>
        <w:tc>
          <w:tcPr>
            <w:tcW w:w="959" w:type="dxa"/>
            <w:noWrap/>
            <w:hideMark/>
          </w:tcPr>
          <w:p w14:paraId="63350EB3" w14:textId="77777777" w:rsidR="00F36348" w:rsidRPr="00151392" w:rsidRDefault="00F36348" w:rsidP="00695A13">
            <w:pPr>
              <w:pStyle w:val="TableBody"/>
            </w:pPr>
            <w:r w:rsidRPr="00151392">
              <w:t>3.29%</w:t>
            </w:r>
          </w:p>
        </w:tc>
        <w:tc>
          <w:tcPr>
            <w:tcW w:w="1180" w:type="dxa"/>
            <w:noWrap/>
            <w:hideMark/>
          </w:tcPr>
          <w:p w14:paraId="0581CEA2" w14:textId="77777777" w:rsidR="00F36348" w:rsidRPr="006D7FA4" w:rsidRDefault="00F36348" w:rsidP="00695A13">
            <w:pPr>
              <w:pStyle w:val="TableBody"/>
              <w:rPr>
                <w:b/>
                <w:bCs/>
              </w:rPr>
            </w:pPr>
            <w:r w:rsidRPr="006D7FA4">
              <w:rPr>
                <w:b/>
                <w:bCs/>
              </w:rPr>
              <w:t>2.79%</w:t>
            </w:r>
          </w:p>
        </w:tc>
      </w:tr>
      <w:tr w:rsidR="00F36348" w:rsidRPr="00151392" w14:paraId="44E3482D" w14:textId="77777777" w:rsidTr="00695A13">
        <w:trPr>
          <w:cnfStyle w:val="000000100000" w:firstRow="0" w:lastRow="0" w:firstColumn="0" w:lastColumn="0" w:oddVBand="0" w:evenVBand="0" w:oddHBand="1" w:evenHBand="0" w:firstRowFirstColumn="0" w:firstRowLastColumn="0" w:lastRowFirstColumn="0" w:lastRowLastColumn="0"/>
          <w:trHeight w:val="300"/>
        </w:trPr>
        <w:tc>
          <w:tcPr>
            <w:tcW w:w="1820" w:type="dxa"/>
            <w:noWrap/>
            <w:hideMark/>
          </w:tcPr>
          <w:p w14:paraId="50656403" w14:textId="77777777" w:rsidR="00F36348" w:rsidRPr="00151392" w:rsidRDefault="00F36348" w:rsidP="00695A13">
            <w:pPr>
              <w:pStyle w:val="TableBody"/>
            </w:pPr>
            <w:r>
              <w:t>AH &gt; 60</w:t>
            </w:r>
          </w:p>
        </w:tc>
        <w:tc>
          <w:tcPr>
            <w:tcW w:w="1720" w:type="dxa"/>
            <w:noWrap/>
            <w:hideMark/>
          </w:tcPr>
          <w:p w14:paraId="5CBAA9C5" w14:textId="77777777" w:rsidR="00F36348" w:rsidRPr="00151392" w:rsidRDefault="00F36348" w:rsidP="00695A13">
            <w:pPr>
              <w:pStyle w:val="TableBody"/>
            </w:pPr>
            <w:r w:rsidRPr="00151392">
              <w:t>0.82%</w:t>
            </w:r>
          </w:p>
        </w:tc>
        <w:tc>
          <w:tcPr>
            <w:tcW w:w="959" w:type="dxa"/>
            <w:noWrap/>
            <w:hideMark/>
          </w:tcPr>
          <w:p w14:paraId="000FCCE0" w14:textId="77777777" w:rsidR="00F36348" w:rsidRPr="00151392" w:rsidRDefault="00F36348" w:rsidP="00695A13">
            <w:pPr>
              <w:pStyle w:val="TableBody"/>
            </w:pPr>
            <w:r w:rsidRPr="00151392">
              <w:t>1.04%</w:t>
            </w:r>
          </w:p>
        </w:tc>
        <w:tc>
          <w:tcPr>
            <w:tcW w:w="1180" w:type="dxa"/>
            <w:noWrap/>
            <w:hideMark/>
          </w:tcPr>
          <w:p w14:paraId="79336CD6" w14:textId="77777777" w:rsidR="00F36348" w:rsidRPr="006D7FA4" w:rsidRDefault="00F36348" w:rsidP="00695A13">
            <w:pPr>
              <w:pStyle w:val="TableBody"/>
              <w:rPr>
                <w:b/>
                <w:bCs/>
              </w:rPr>
            </w:pPr>
            <w:r w:rsidRPr="006D7FA4">
              <w:rPr>
                <w:b/>
                <w:bCs/>
              </w:rPr>
              <w:t>0.91%</w:t>
            </w:r>
          </w:p>
        </w:tc>
      </w:tr>
    </w:tbl>
    <w:p w14:paraId="5E54C654" w14:textId="77777777" w:rsidR="00F36348" w:rsidRDefault="00F36348" w:rsidP="00F36348">
      <w:pPr>
        <w:pStyle w:val="Paragraph"/>
      </w:pPr>
    </w:p>
    <w:p w14:paraId="75497880" w14:textId="77777777" w:rsidR="00F36348" w:rsidRDefault="00F36348" w:rsidP="00365135">
      <w:pPr>
        <w:pStyle w:val="Heading4"/>
      </w:pPr>
      <w:r>
        <w:t>Geographical Area Description</w:t>
      </w:r>
    </w:p>
    <w:p w14:paraId="1EA0CD99" w14:textId="77777777" w:rsidR="00F36348" w:rsidRPr="00EF2015" w:rsidRDefault="00F36348" w:rsidP="00F36348">
      <w:pPr>
        <w:pStyle w:val="ListBullet"/>
      </w:pPr>
      <w:r w:rsidRPr="00EF2015">
        <w:t xml:space="preserve">Metro—covers all capital cities (except Darwin and Hobart). </w:t>
      </w:r>
    </w:p>
    <w:p w14:paraId="19FC2D3E" w14:textId="77777777" w:rsidR="00F36348" w:rsidRPr="005C556D" w:rsidRDefault="00F36348" w:rsidP="00F36348">
      <w:pPr>
        <w:pStyle w:val="Paragraph"/>
      </w:pPr>
      <w:r>
        <w:rPr>
          <w:noProof/>
        </w:rPr>
        <w:drawing>
          <wp:inline distT="0" distB="0" distL="0" distR="0" wp14:anchorId="473A70AE" wp14:editId="2801A059">
            <wp:extent cx="4871085" cy="4145583"/>
            <wp:effectExtent l="0" t="0" r="5715" b="7620"/>
            <wp:docPr id="10" name="Picture 10" descr="Figure 15: 3700–4200 MHz band geographical area descri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4871085" cy="4145583"/>
                    </a:xfrm>
                    <a:prstGeom prst="rect">
                      <a:avLst/>
                    </a:prstGeom>
                  </pic:spPr>
                </pic:pic>
              </a:graphicData>
            </a:graphic>
          </wp:inline>
        </w:drawing>
      </w:r>
    </w:p>
    <w:p w14:paraId="08677B7E" w14:textId="0DF90946" w:rsidR="00135763" w:rsidRDefault="00135763" w:rsidP="00135763">
      <w:pPr>
        <w:pStyle w:val="Heading1"/>
      </w:pPr>
      <w:bookmarkStart w:id="839" w:name="_Toc106964633"/>
      <w:bookmarkStart w:id="840" w:name="_Toc106969898"/>
      <w:bookmarkStart w:id="841" w:name="_Toc106973434"/>
      <w:bookmarkStart w:id="842" w:name="_Toc106973683"/>
      <w:bookmarkStart w:id="843" w:name="_Toc106973750"/>
      <w:bookmarkStart w:id="844" w:name="_Toc107211795"/>
      <w:bookmarkStart w:id="845" w:name="_Toc107222527"/>
      <w:bookmarkStart w:id="846" w:name="_Toc107297842"/>
      <w:bookmarkStart w:id="847" w:name="_Toc107490077"/>
      <w:bookmarkStart w:id="848" w:name="_Toc107561530"/>
      <w:bookmarkStart w:id="849" w:name="_Toc107909388"/>
      <w:bookmarkStart w:id="850" w:name="_Toc112846301"/>
      <w:bookmarkStart w:id="851" w:name="_Ref106622073"/>
      <w:bookmarkStart w:id="852" w:name="_Toc116041931"/>
      <w:bookmarkEnd w:id="839"/>
      <w:bookmarkEnd w:id="840"/>
      <w:bookmarkEnd w:id="841"/>
      <w:bookmarkEnd w:id="842"/>
      <w:bookmarkEnd w:id="843"/>
      <w:bookmarkEnd w:id="844"/>
      <w:bookmarkEnd w:id="845"/>
      <w:bookmarkEnd w:id="846"/>
      <w:bookmarkEnd w:id="847"/>
      <w:bookmarkEnd w:id="848"/>
      <w:bookmarkEnd w:id="849"/>
      <w:bookmarkEnd w:id="850"/>
      <w:r>
        <w:t>Appendix F: Relevant overseas WBB deployments</w:t>
      </w:r>
      <w:bookmarkEnd w:id="851"/>
      <w:bookmarkEnd w:id="852"/>
    </w:p>
    <w:p w14:paraId="1FA1212D" w14:textId="560776B5" w:rsidR="0073793B" w:rsidRDefault="0073793B" w:rsidP="00D77F80">
      <w:pPr>
        <w:pStyle w:val="Numberedparagraph"/>
      </w:pPr>
      <w:r>
        <w:t xml:space="preserve">This section examines overseas WBB deployments in bands </w:t>
      </w:r>
      <w:r w:rsidR="00C74FC8">
        <w:t xml:space="preserve">near </w:t>
      </w:r>
      <w:r>
        <w:t>to the RA bands</w:t>
      </w:r>
      <w:r w:rsidR="00C639E4">
        <w:t>,</w:t>
      </w:r>
      <w:r>
        <w:t xml:space="preserve"> where </w:t>
      </w:r>
      <w:r w:rsidR="008E405B">
        <w:t xml:space="preserve">theoretical </w:t>
      </w:r>
      <w:r>
        <w:t xml:space="preserve">issues with RAs </w:t>
      </w:r>
      <w:r w:rsidR="00C639E4">
        <w:t xml:space="preserve">could </w:t>
      </w:r>
      <w:r>
        <w:t>be expected.</w:t>
      </w:r>
    </w:p>
    <w:p w14:paraId="099BF73E" w14:textId="31EE578A" w:rsidR="007D51DB" w:rsidRDefault="007D51DB" w:rsidP="00077BB0">
      <w:pPr>
        <w:pStyle w:val="Heading2"/>
      </w:pPr>
      <w:bookmarkStart w:id="853" w:name="_Toc116041932"/>
      <w:r>
        <w:t>Japan</w:t>
      </w:r>
      <w:bookmarkEnd w:id="853"/>
    </w:p>
    <w:p w14:paraId="4168CF44" w14:textId="1BDD1EB6" w:rsidR="009B4635" w:rsidRDefault="00B77467" w:rsidP="00D77F80">
      <w:pPr>
        <w:pStyle w:val="Numberedparagraph"/>
      </w:pPr>
      <w:r>
        <w:t>The following t</w:t>
      </w:r>
      <w:r w:rsidR="009B4635">
        <w:t>able summarises the frequency allocations in Japan in the bands adjacent to the RA band</w:t>
      </w:r>
      <w:r w:rsidR="00F65E6C">
        <w:t>:</w:t>
      </w:r>
    </w:p>
    <w:p w14:paraId="01317904" w14:textId="1058A151" w:rsidR="009B4635" w:rsidRDefault="009B4635" w:rsidP="007D51DB">
      <w:r w:rsidRPr="009B4635">
        <w:rPr>
          <w:noProof/>
        </w:rPr>
        <w:drawing>
          <wp:inline distT="0" distB="0" distL="0" distR="0" wp14:anchorId="0EC28684" wp14:editId="04E99729">
            <wp:extent cx="4871085" cy="1216660"/>
            <wp:effectExtent l="0" t="0" r="571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4871085" cy="1216660"/>
                    </a:xfrm>
                    <a:prstGeom prst="rect">
                      <a:avLst/>
                    </a:prstGeom>
                  </pic:spPr>
                </pic:pic>
              </a:graphicData>
            </a:graphic>
          </wp:inline>
        </w:drawing>
      </w:r>
      <w:r>
        <w:rPr>
          <w:rStyle w:val="FootnoteReference"/>
        </w:rPr>
        <w:footnoteReference w:id="27"/>
      </w:r>
    </w:p>
    <w:p w14:paraId="528F7BBA" w14:textId="63E2DCB4" w:rsidR="00696FFF" w:rsidRDefault="00696FFF" w:rsidP="00696FFF">
      <w:pPr>
        <w:pStyle w:val="Heading4"/>
      </w:pPr>
      <w:r>
        <w:t>Overall deployments</w:t>
      </w:r>
    </w:p>
    <w:p w14:paraId="26714E04" w14:textId="1700FE33" w:rsidR="009B4635" w:rsidRDefault="00696FFF" w:rsidP="00077BB0">
      <w:pPr>
        <w:pStyle w:val="Numberedparagraph"/>
      </w:pPr>
      <w:r>
        <w:t xml:space="preserve">Overall deployment statistics can be found </w:t>
      </w:r>
      <w:hyperlink r:id="rId248" w:history="1">
        <w:r w:rsidRPr="00696FFF">
          <w:rPr>
            <w:rStyle w:val="Hyperlink"/>
          </w:rPr>
          <w:t>online</w:t>
        </w:r>
      </w:hyperlink>
      <w:r>
        <w:t xml:space="preserve"> in Japanese. As of March 2021 there have been &gt;5600 outdoor base station deployments</w:t>
      </w:r>
      <w:r w:rsidR="006C5051">
        <w:t>, but this would have increased significantly since then.</w:t>
      </w:r>
    </w:p>
    <w:p w14:paraId="7089BB90" w14:textId="032DA351" w:rsidR="007D51DB" w:rsidRDefault="00D75590" w:rsidP="00365135">
      <w:pPr>
        <w:pStyle w:val="Heading4"/>
      </w:pPr>
      <w:r>
        <w:t xml:space="preserve">NTT </w:t>
      </w:r>
      <w:r w:rsidR="007D51DB">
        <w:t>Docomo</w:t>
      </w:r>
    </w:p>
    <w:p w14:paraId="27C6287F" w14:textId="76E661C9" w:rsidR="007D51DB" w:rsidRDefault="007D51DB" w:rsidP="007D51DB">
      <w:pPr>
        <w:pStyle w:val="Numberedparagraph"/>
      </w:pPr>
      <w:r>
        <w:t xml:space="preserve">Docomo have been allocated the </w:t>
      </w:r>
      <w:hyperlink r:id="rId249" w:anchor=":~:text=Three%20frequency%20bands%20have%20been,unallocated)%20(Table%201)." w:history="1">
        <w:r w:rsidRPr="00D75590">
          <w:rPr>
            <w:rStyle w:val="Hyperlink"/>
          </w:rPr>
          <w:t>3.6-3.7 GHz and 4.5-4.</w:t>
        </w:r>
        <w:r w:rsidR="00D75590" w:rsidRPr="00D75590">
          <w:rPr>
            <w:rStyle w:val="Hyperlink"/>
          </w:rPr>
          <w:t>6</w:t>
        </w:r>
        <w:r w:rsidRPr="00D75590">
          <w:rPr>
            <w:rStyle w:val="Hyperlink"/>
          </w:rPr>
          <w:t xml:space="preserve"> GHz</w:t>
        </w:r>
      </w:hyperlink>
      <w:r>
        <w:t xml:space="preserve"> frequency ranges.</w:t>
      </w:r>
      <w:r w:rsidR="0073793B">
        <w:t xml:space="preserve"> There are no specific mitigations in these frequency ranges.</w:t>
      </w:r>
      <w:r w:rsidR="0069533E">
        <w:t xml:space="preserve">  Coverage maps can be found on their </w:t>
      </w:r>
      <w:hyperlink r:id="rId250" w:history="1">
        <w:r w:rsidR="0069533E" w:rsidRPr="0069533E">
          <w:rPr>
            <w:rStyle w:val="Hyperlink"/>
          </w:rPr>
          <w:t>website</w:t>
        </w:r>
      </w:hyperlink>
      <w:r w:rsidR="0069533E">
        <w:t>.</w:t>
      </w:r>
    </w:p>
    <w:p w14:paraId="2FC72D4E" w14:textId="77777777" w:rsidR="006D5CAF" w:rsidRDefault="006D5CAF">
      <w:pPr>
        <w:spacing w:after="0" w:line="240" w:lineRule="auto"/>
        <w:rPr>
          <w:rFonts w:cs="Arial"/>
        </w:rPr>
      </w:pPr>
      <w:r>
        <w:br w:type="page"/>
      </w:r>
    </w:p>
    <w:p w14:paraId="7F42473D" w14:textId="2D80875F" w:rsidR="0069533E" w:rsidRDefault="0069533E" w:rsidP="007D51DB">
      <w:pPr>
        <w:pStyle w:val="Numberedparagraph"/>
      </w:pPr>
      <w:r>
        <w:t xml:space="preserve">Typical coverage is show below (taken from around Tokyo).  The dark pink colour is “sub 6 GHz” coverage which, for Docomo is </w:t>
      </w:r>
      <w:r w:rsidR="006D5CAF">
        <w:t xml:space="preserve">either </w:t>
      </w:r>
      <w:r>
        <w:t>the 3600-3700 MHz and 4500-4600 MHz ranges</w:t>
      </w:r>
      <w:r w:rsidR="006D5CAF">
        <w:t>, both with potential for interference to the RA 4200 – 4400 MHz range</w:t>
      </w:r>
      <w:r>
        <w:t>.</w:t>
      </w:r>
    </w:p>
    <w:p w14:paraId="51C421FD" w14:textId="5F6F0D7F" w:rsidR="0069533E" w:rsidRDefault="0069533E" w:rsidP="00365135">
      <w:pPr>
        <w:pStyle w:val="Numberedparagraph"/>
        <w:numPr>
          <w:ilvl w:val="0"/>
          <w:numId w:val="0"/>
        </w:numPr>
        <w:ind w:left="-567"/>
        <w:jc w:val="center"/>
      </w:pPr>
      <w:r w:rsidRPr="0069533E">
        <w:rPr>
          <w:noProof/>
        </w:rPr>
        <w:drawing>
          <wp:inline distT="0" distB="0" distL="0" distR="0" wp14:anchorId="42659EDF" wp14:editId="5B8E29FC">
            <wp:extent cx="4871085" cy="307467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4871085" cy="3074670"/>
                    </a:xfrm>
                    <a:prstGeom prst="rect">
                      <a:avLst/>
                    </a:prstGeom>
                  </pic:spPr>
                </pic:pic>
              </a:graphicData>
            </a:graphic>
          </wp:inline>
        </w:drawing>
      </w:r>
    </w:p>
    <w:p w14:paraId="14C5A4AE" w14:textId="77777777" w:rsidR="0073793B" w:rsidRDefault="0073793B">
      <w:pPr>
        <w:spacing w:after="0" w:line="240" w:lineRule="auto"/>
        <w:rPr>
          <w:rFonts w:cs="Arial"/>
        </w:rPr>
      </w:pPr>
      <w:r>
        <w:br w:type="page"/>
      </w:r>
    </w:p>
    <w:p w14:paraId="1AF588A9" w14:textId="4EA7A5BA" w:rsidR="007D51DB" w:rsidRPr="00D77F80" w:rsidRDefault="007D51DB" w:rsidP="00D77F80">
      <w:pPr>
        <w:pStyle w:val="Numberedparagraph"/>
      </w:pPr>
      <w:r w:rsidRPr="00D77F80">
        <w:t xml:space="preserve">5G coverage for these ranges near </w:t>
      </w:r>
      <w:r w:rsidR="005B5825">
        <w:t xml:space="preserve">Tokyo </w:t>
      </w:r>
      <w:r w:rsidRPr="00D77F80">
        <w:t>Narita Airport.</w:t>
      </w:r>
    </w:p>
    <w:p w14:paraId="77031A41" w14:textId="5A8B7A7E" w:rsidR="007D51DB" w:rsidRDefault="007D51DB" w:rsidP="007D51DB">
      <w:pPr>
        <w:pStyle w:val="Numberedparagraph"/>
        <w:numPr>
          <w:ilvl w:val="0"/>
          <w:numId w:val="0"/>
        </w:numPr>
        <w:ind w:left="-567"/>
      </w:pPr>
      <w:r w:rsidRPr="007D51DB">
        <w:rPr>
          <w:noProof/>
        </w:rPr>
        <w:drawing>
          <wp:inline distT="0" distB="0" distL="0" distR="0" wp14:anchorId="7CBF6BB2" wp14:editId="40802EEA">
            <wp:extent cx="4871085" cy="3171825"/>
            <wp:effectExtent l="0" t="0" r="571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871085" cy="3171825"/>
                    </a:xfrm>
                    <a:prstGeom prst="rect">
                      <a:avLst/>
                    </a:prstGeom>
                  </pic:spPr>
                </pic:pic>
              </a:graphicData>
            </a:graphic>
          </wp:inline>
        </w:drawing>
      </w:r>
    </w:p>
    <w:p w14:paraId="33E72285" w14:textId="1297FF35" w:rsidR="00553837" w:rsidRDefault="00553837" w:rsidP="007D51DB">
      <w:pPr>
        <w:pStyle w:val="Numberedparagraph"/>
        <w:numPr>
          <w:ilvl w:val="0"/>
          <w:numId w:val="0"/>
        </w:numPr>
        <w:ind w:left="-567"/>
      </w:pPr>
      <w:r>
        <w:t>The pink areas are the 3.7/4.5 GHz “sub 6GHz” coverage areas.</w:t>
      </w:r>
    </w:p>
    <w:p w14:paraId="13590223" w14:textId="331E0913" w:rsidR="007D51DB" w:rsidRDefault="007D51DB" w:rsidP="007D51DB">
      <w:pPr>
        <w:pStyle w:val="Numberedparagraph"/>
        <w:numPr>
          <w:ilvl w:val="0"/>
          <w:numId w:val="0"/>
        </w:numPr>
        <w:ind w:left="-567"/>
      </w:pPr>
    </w:p>
    <w:p w14:paraId="7EC6B173" w14:textId="77777777" w:rsidR="00BB029B" w:rsidRDefault="00BB029B">
      <w:pPr>
        <w:spacing w:after="0" w:line="240" w:lineRule="auto"/>
        <w:rPr>
          <w:rFonts w:cs="Arial"/>
        </w:rPr>
      </w:pPr>
      <w:r>
        <w:br w:type="page"/>
      </w:r>
    </w:p>
    <w:p w14:paraId="224EFD97" w14:textId="039C047E" w:rsidR="007D51DB" w:rsidRPr="00D77F80" w:rsidRDefault="007D51DB" w:rsidP="00D77F80">
      <w:pPr>
        <w:pStyle w:val="Numberedparagraph"/>
      </w:pPr>
      <w:r w:rsidRPr="00D77F80">
        <w:t>5G coverage for these ranges near Tokyo Haneda Airport.</w:t>
      </w:r>
    </w:p>
    <w:p w14:paraId="7F9651B2" w14:textId="0E3EDA84" w:rsidR="007D51DB" w:rsidRDefault="007D51DB" w:rsidP="007D51DB">
      <w:pPr>
        <w:pStyle w:val="Numberedparagraph"/>
        <w:numPr>
          <w:ilvl w:val="0"/>
          <w:numId w:val="0"/>
        </w:numPr>
        <w:ind w:left="-567"/>
      </w:pPr>
      <w:r w:rsidRPr="007D51DB">
        <w:rPr>
          <w:noProof/>
        </w:rPr>
        <w:drawing>
          <wp:inline distT="0" distB="0" distL="0" distR="0" wp14:anchorId="3AAA9F50" wp14:editId="68C2A4F3">
            <wp:extent cx="4871085" cy="360299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4871085" cy="3602990"/>
                    </a:xfrm>
                    <a:prstGeom prst="rect">
                      <a:avLst/>
                    </a:prstGeom>
                  </pic:spPr>
                </pic:pic>
              </a:graphicData>
            </a:graphic>
          </wp:inline>
        </w:drawing>
      </w:r>
    </w:p>
    <w:p w14:paraId="1C51C46F" w14:textId="436C6DC9" w:rsidR="007D51DB" w:rsidRDefault="007D51DB" w:rsidP="007D51DB">
      <w:pPr>
        <w:pStyle w:val="Numberedparagraph"/>
        <w:numPr>
          <w:ilvl w:val="0"/>
          <w:numId w:val="0"/>
        </w:numPr>
        <w:ind w:left="-567"/>
      </w:pPr>
    </w:p>
    <w:p w14:paraId="50D14D5D" w14:textId="77777777" w:rsidR="0073793B" w:rsidRDefault="0073793B">
      <w:pPr>
        <w:spacing w:after="0" w:line="240" w:lineRule="auto"/>
        <w:rPr>
          <w:rFonts w:cs="Arial"/>
        </w:rPr>
      </w:pPr>
      <w:r>
        <w:br w:type="page"/>
      </w:r>
    </w:p>
    <w:p w14:paraId="31BC881E" w14:textId="7292C4FD" w:rsidR="007D51DB" w:rsidRPr="00D77F80" w:rsidRDefault="007D51DB" w:rsidP="00D77F80">
      <w:pPr>
        <w:pStyle w:val="Numberedparagraph"/>
      </w:pPr>
      <w:r w:rsidRPr="00D77F80">
        <w:t>5G coverage for these ranges near Kansai Airport for Osaka.</w:t>
      </w:r>
    </w:p>
    <w:p w14:paraId="44BE421B" w14:textId="418F57F4" w:rsidR="007D51DB" w:rsidRDefault="007D51DB" w:rsidP="007D51DB">
      <w:pPr>
        <w:pStyle w:val="Numberedparagraph"/>
        <w:numPr>
          <w:ilvl w:val="0"/>
          <w:numId w:val="0"/>
        </w:numPr>
        <w:ind w:left="-567"/>
      </w:pPr>
      <w:r w:rsidRPr="007D51DB">
        <w:rPr>
          <w:noProof/>
        </w:rPr>
        <w:drawing>
          <wp:inline distT="0" distB="0" distL="0" distR="0" wp14:anchorId="3E6EDA41" wp14:editId="726397DC">
            <wp:extent cx="4871085" cy="2994025"/>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871085" cy="2994025"/>
                    </a:xfrm>
                    <a:prstGeom prst="rect">
                      <a:avLst/>
                    </a:prstGeom>
                  </pic:spPr>
                </pic:pic>
              </a:graphicData>
            </a:graphic>
          </wp:inline>
        </w:drawing>
      </w:r>
    </w:p>
    <w:p w14:paraId="332E009C" w14:textId="33249635" w:rsidR="007D51DB" w:rsidRDefault="007D51DB" w:rsidP="007D51DB">
      <w:pPr>
        <w:pStyle w:val="Numberedparagraph"/>
        <w:numPr>
          <w:ilvl w:val="0"/>
          <w:numId w:val="0"/>
        </w:numPr>
        <w:ind w:left="-567"/>
      </w:pPr>
    </w:p>
    <w:p w14:paraId="1DA33ED5" w14:textId="30456DD1" w:rsidR="007D51DB" w:rsidRPr="00D77F80" w:rsidRDefault="007D51DB" w:rsidP="00D77F80">
      <w:pPr>
        <w:pStyle w:val="Numberedparagraph"/>
      </w:pPr>
      <w:r w:rsidRPr="00D77F80">
        <w:t>5G coverage for these ranges near Fukuoka Airport.</w:t>
      </w:r>
    </w:p>
    <w:p w14:paraId="5D437DCC" w14:textId="0891D669" w:rsidR="007D51DB" w:rsidRDefault="007D51DB" w:rsidP="007D51DB">
      <w:pPr>
        <w:pStyle w:val="Numberedparagraph"/>
        <w:numPr>
          <w:ilvl w:val="0"/>
          <w:numId w:val="0"/>
        </w:numPr>
        <w:ind w:left="-567"/>
      </w:pPr>
      <w:r w:rsidRPr="007D51DB">
        <w:rPr>
          <w:noProof/>
        </w:rPr>
        <w:drawing>
          <wp:inline distT="0" distB="0" distL="0" distR="0" wp14:anchorId="42760C5A" wp14:editId="7F6771A8">
            <wp:extent cx="4871085" cy="3653155"/>
            <wp:effectExtent l="0" t="0" r="571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871085" cy="3653155"/>
                    </a:xfrm>
                    <a:prstGeom prst="rect">
                      <a:avLst/>
                    </a:prstGeom>
                  </pic:spPr>
                </pic:pic>
              </a:graphicData>
            </a:graphic>
          </wp:inline>
        </w:drawing>
      </w:r>
    </w:p>
    <w:p w14:paraId="5DDB23A7" w14:textId="7D74CF0D" w:rsidR="0073793B" w:rsidRDefault="0073793B" w:rsidP="00D77F80">
      <w:pPr>
        <w:pStyle w:val="Numberedparagraph"/>
      </w:pPr>
      <w:r>
        <w:t>In three of the four examples</w:t>
      </w:r>
      <w:r w:rsidR="00C639E4">
        <w:t xml:space="preserve"> (Haneda, Kansai, Fukuoka)</w:t>
      </w:r>
      <w:r>
        <w:t>, there are Docomo 3.6-3.7 or 4.5-4.6 GHz 5G base stations providing coverage across major airport runways.</w:t>
      </w:r>
      <w:r w:rsidR="00FA2CA8">
        <w:t xml:space="preserve"> While exact base station locations and signal levels are unknown, they would suggest potential theoretical problems for RAs.</w:t>
      </w:r>
    </w:p>
    <w:p w14:paraId="2DA13C66" w14:textId="6C87A64F" w:rsidR="007D51DB" w:rsidRDefault="007D51DB" w:rsidP="007D51DB">
      <w:pPr>
        <w:pStyle w:val="Numberedparagraph"/>
        <w:numPr>
          <w:ilvl w:val="0"/>
          <w:numId w:val="0"/>
        </w:numPr>
        <w:ind w:left="-567"/>
      </w:pPr>
    </w:p>
    <w:p w14:paraId="2B04202F" w14:textId="3895E32A" w:rsidR="007D51DB" w:rsidRDefault="00BB029B" w:rsidP="00365135">
      <w:pPr>
        <w:pStyle w:val="Heading4"/>
      </w:pPr>
      <w:r>
        <w:t>Softbank</w:t>
      </w:r>
    </w:p>
    <w:p w14:paraId="69388E28" w14:textId="0AC3ACBB" w:rsidR="00BB029B" w:rsidRDefault="00BB029B" w:rsidP="00BB029B">
      <w:pPr>
        <w:pStyle w:val="Numberedparagraph"/>
      </w:pPr>
      <w:r>
        <w:t>Similar maps are reproduced below for Softbank, who have the highest allocation without specific mitigations (3.9-4.0 GHz).</w:t>
      </w:r>
      <w:r w:rsidR="0069533E">
        <w:t xml:space="preserve">  Coverage maps can be found via their Japanese </w:t>
      </w:r>
      <w:hyperlink r:id="rId256" w:history="1">
        <w:r w:rsidR="0069533E" w:rsidRPr="0069533E">
          <w:rPr>
            <w:rStyle w:val="Hyperlink"/>
          </w:rPr>
          <w:t>website</w:t>
        </w:r>
      </w:hyperlink>
      <w:r w:rsidR="0069533E">
        <w:t>.</w:t>
      </w:r>
    </w:p>
    <w:p w14:paraId="0FC62B26" w14:textId="7193A057" w:rsidR="0069533E" w:rsidRDefault="0069533E" w:rsidP="0069533E">
      <w:pPr>
        <w:pStyle w:val="Numberedparagraph"/>
      </w:pPr>
      <w:r>
        <w:t xml:space="preserve">Typical coverage is show below (taken from around Tokyo).  The dark pink colour is </w:t>
      </w:r>
      <w:r w:rsidR="00775873">
        <w:t>for</w:t>
      </w:r>
      <w:r>
        <w:t xml:space="preserve"> the 3</w:t>
      </w:r>
      <w:r w:rsidR="00775873">
        <w:t>9</w:t>
      </w:r>
      <w:r>
        <w:t>00-</w:t>
      </w:r>
      <w:r w:rsidR="00775873">
        <w:t>40</w:t>
      </w:r>
      <w:r>
        <w:t>00 MHz</w:t>
      </w:r>
      <w:r w:rsidR="002C4494">
        <w:t>.</w:t>
      </w:r>
      <w:r w:rsidR="00775873">
        <w:t xml:space="preserve"> Softbank coverage in this range does not appear to be extensive.</w:t>
      </w:r>
    </w:p>
    <w:p w14:paraId="484EF86B" w14:textId="12BC44FD" w:rsidR="0069533E" w:rsidRDefault="002C4494" w:rsidP="00365135">
      <w:pPr>
        <w:pStyle w:val="Numberedparagraph"/>
        <w:numPr>
          <w:ilvl w:val="0"/>
          <w:numId w:val="0"/>
        </w:numPr>
        <w:ind w:left="-567"/>
      </w:pPr>
      <w:r w:rsidRPr="002C4494">
        <w:rPr>
          <w:noProof/>
        </w:rPr>
        <w:drawing>
          <wp:inline distT="0" distB="0" distL="0" distR="0" wp14:anchorId="5BAF4685" wp14:editId="675268D8">
            <wp:extent cx="5077669" cy="3152775"/>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086363" cy="3158173"/>
                    </a:xfrm>
                    <a:prstGeom prst="rect">
                      <a:avLst/>
                    </a:prstGeom>
                  </pic:spPr>
                </pic:pic>
              </a:graphicData>
            </a:graphic>
          </wp:inline>
        </w:drawing>
      </w:r>
    </w:p>
    <w:p w14:paraId="5EA1562A" w14:textId="77777777" w:rsidR="002C4494" w:rsidRDefault="002C4494">
      <w:pPr>
        <w:spacing w:after="0" w:line="240" w:lineRule="auto"/>
        <w:rPr>
          <w:rFonts w:cs="Arial"/>
        </w:rPr>
      </w:pPr>
      <w:r>
        <w:br w:type="page"/>
      </w:r>
    </w:p>
    <w:p w14:paraId="0F33E261" w14:textId="1AEBAEE5" w:rsidR="0026089D" w:rsidRDefault="0026089D" w:rsidP="0026089D">
      <w:pPr>
        <w:pStyle w:val="Numberedparagraph"/>
      </w:pPr>
      <w:r>
        <w:t>Softbank have no 3.7 GHz band coverage around Tokyo Narita Airport.</w:t>
      </w:r>
    </w:p>
    <w:p w14:paraId="548059C9" w14:textId="2F1CDF33" w:rsidR="0026089D" w:rsidRDefault="0026089D" w:rsidP="0026089D">
      <w:pPr>
        <w:pStyle w:val="Numberedparagraph"/>
        <w:numPr>
          <w:ilvl w:val="0"/>
          <w:numId w:val="0"/>
        </w:numPr>
        <w:ind w:left="-567"/>
      </w:pPr>
      <w:r w:rsidRPr="0026089D">
        <w:rPr>
          <w:noProof/>
        </w:rPr>
        <w:drawing>
          <wp:inline distT="0" distB="0" distL="0" distR="0" wp14:anchorId="01AB6293" wp14:editId="5AA31444">
            <wp:extent cx="5073200" cy="31718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078939" cy="3175413"/>
                    </a:xfrm>
                    <a:prstGeom prst="rect">
                      <a:avLst/>
                    </a:prstGeom>
                  </pic:spPr>
                </pic:pic>
              </a:graphicData>
            </a:graphic>
          </wp:inline>
        </w:drawing>
      </w:r>
    </w:p>
    <w:p w14:paraId="61B59C23" w14:textId="77777777" w:rsidR="0026089D" w:rsidRDefault="0026089D" w:rsidP="00D77F80">
      <w:pPr>
        <w:pStyle w:val="Numberedparagraph"/>
        <w:numPr>
          <w:ilvl w:val="0"/>
          <w:numId w:val="0"/>
        </w:numPr>
        <w:ind w:left="-567"/>
      </w:pPr>
    </w:p>
    <w:p w14:paraId="45501B41" w14:textId="4597CE3E" w:rsidR="00BB029B" w:rsidRDefault="00BB029B" w:rsidP="00D77F80">
      <w:pPr>
        <w:pStyle w:val="Numberedparagraph"/>
      </w:pPr>
      <w:r>
        <w:t>Around Tokyo Haneda</w:t>
      </w:r>
    </w:p>
    <w:p w14:paraId="6BCFF63D" w14:textId="4C48A92C" w:rsidR="00BB029B" w:rsidRDefault="0026089D" w:rsidP="00BB029B">
      <w:pPr>
        <w:pStyle w:val="Numberedparagraph"/>
        <w:numPr>
          <w:ilvl w:val="0"/>
          <w:numId w:val="0"/>
        </w:numPr>
        <w:ind w:left="-567"/>
      </w:pPr>
      <w:r w:rsidRPr="0026089D">
        <w:rPr>
          <w:noProof/>
        </w:rPr>
        <w:drawing>
          <wp:inline distT="0" distB="0" distL="0" distR="0" wp14:anchorId="1A8ECE36" wp14:editId="4D5B6AD3">
            <wp:extent cx="5181600" cy="341116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188631" cy="3415798"/>
                    </a:xfrm>
                    <a:prstGeom prst="rect">
                      <a:avLst/>
                    </a:prstGeom>
                  </pic:spPr>
                </pic:pic>
              </a:graphicData>
            </a:graphic>
          </wp:inline>
        </w:drawing>
      </w:r>
    </w:p>
    <w:p w14:paraId="33C98EF6" w14:textId="393A937D" w:rsidR="00BB029B" w:rsidRDefault="00BB029B" w:rsidP="00BB029B">
      <w:pPr>
        <w:pStyle w:val="Numberedparagraph"/>
        <w:numPr>
          <w:ilvl w:val="0"/>
          <w:numId w:val="0"/>
        </w:numPr>
        <w:ind w:left="-567"/>
      </w:pPr>
      <w:r>
        <w:t>Note the relevant colour is related to 5G</w:t>
      </w:r>
      <w:r w:rsidR="0018320C">
        <w:t xml:space="preserve"> </w:t>
      </w:r>
      <w:r>
        <w:t>&lt;3.7 GHz&gt; and the note translates as “as of end May 2022”.</w:t>
      </w:r>
    </w:p>
    <w:p w14:paraId="66500C3A" w14:textId="77777777" w:rsidR="002C4494" w:rsidRDefault="002C4494">
      <w:pPr>
        <w:spacing w:after="0" w:line="240" w:lineRule="auto"/>
        <w:rPr>
          <w:rFonts w:cs="Arial"/>
        </w:rPr>
      </w:pPr>
      <w:r>
        <w:br w:type="page"/>
      </w:r>
    </w:p>
    <w:p w14:paraId="1A220A16" w14:textId="70DAAB87" w:rsidR="0026089D" w:rsidRDefault="0026089D" w:rsidP="0026089D">
      <w:pPr>
        <w:pStyle w:val="Numberedparagraph"/>
      </w:pPr>
      <w:r>
        <w:t>Around Kansai</w:t>
      </w:r>
      <w:r w:rsidR="002C4494">
        <w:t xml:space="preserve"> Airport</w:t>
      </w:r>
    </w:p>
    <w:p w14:paraId="6839DBD9" w14:textId="35D287FC" w:rsidR="0026089D" w:rsidRDefault="0026089D" w:rsidP="0026089D">
      <w:pPr>
        <w:pStyle w:val="Numberedparagraph"/>
        <w:numPr>
          <w:ilvl w:val="0"/>
          <w:numId w:val="0"/>
        </w:numPr>
        <w:ind w:left="-567"/>
      </w:pPr>
      <w:r w:rsidRPr="0026089D">
        <w:rPr>
          <w:noProof/>
        </w:rPr>
        <w:drawing>
          <wp:inline distT="0" distB="0" distL="0" distR="0" wp14:anchorId="21798932" wp14:editId="105118BD">
            <wp:extent cx="5166764" cy="3228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170806" cy="3231501"/>
                    </a:xfrm>
                    <a:prstGeom prst="rect">
                      <a:avLst/>
                    </a:prstGeom>
                  </pic:spPr>
                </pic:pic>
              </a:graphicData>
            </a:graphic>
          </wp:inline>
        </w:drawing>
      </w:r>
    </w:p>
    <w:p w14:paraId="4D39B5B2" w14:textId="51BD68FE" w:rsidR="0026089D" w:rsidRDefault="0026089D">
      <w:pPr>
        <w:spacing w:after="0" w:line="240" w:lineRule="auto"/>
        <w:rPr>
          <w:rFonts w:cs="Arial"/>
          <w:bCs/>
          <w:highlight w:val="lightGray"/>
        </w:rPr>
      </w:pPr>
    </w:p>
    <w:p w14:paraId="169A2925" w14:textId="048684CC" w:rsidR="0026089D" w:rsidRDefault="0026089D" w:rsidP="0026089D">
      <w:pPr>
        <w:pStyle w:val="Numberedparagraph"/>
      </w:pPr>
      <w:r>
        <w:t>Softbank have no relevant coverage around Fukuoka Airport.</w:t>
      </w:r>
    </w:p>
    <w:p w14:paraId="37A12BB9" w14:textId="4BC5C6CF" w:rsidR="0026089D" w:rsidRDefault="0026089D" w:rsidP="00D77F80">
      <w:pPr>
        <w:pStyle w:val="Numberedparagraph"/>
        <w:numPr>
          <w:ilvl w:val="0"/>
          <w:numId w:val="0"/>
        </w:numPr>
        <w:ind w:left="-567"/>
      </w:pPr>
      <w:r w:rsidRPr="0026089D">
        <w:rPr>
          <w:noProof/>
        </w:rPr>
        <w:drawing>
          <wp:inline distT="0" distB="0" distL="0" distR="0" wp14:anchorId="7D68C64B" wp14:editId="3E916F2A">
            <wp:extent cx="5237562" cy="3267075"/>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240660" cy="3269007"/>
                    </a:xfrm>
                    <a:prstGeom prst="rect">
                      <a:avLst/>
                    </a:prstGeom>
                  </pic:spPr>
                </pic:pic>
              </a:graphicData>
            </a:graphic>
          </wp:inline>
        </w:drawing>
      </w:r>
    </w:p>
    <w:p w14:paraId="3A837C09" w14:textId="77777777" w:rsidR="0026089D" w:rsidRDefault="0026089D" w:rsidP="00D77F80">
      <w:pPr>
        <w:pStyle w:val="Numberedparagraph"/>
        <w:numPr>
          <w:ilvl w:val="0"/>
          <w:numId w:val="0"/>
        </w:numPr>
        <w:ind w:left="-567"/>
      </w:pPr>
    </w:p>
    <w:p w14:paraId="2149712D" w14:textId="37179ED0" w:rsidR="0026089D" w:rsidRDefault="0026089D" w:rsidP="0026089D">
      <w:pPr>
        <w:pStyle w:val="Numberedparagraph"/>
      </w:pPr>
      <w:r>
        <w:t>In two of the four examples</w:t>
      </w:r>
      <w:r w:rsidR="00775873">
        <w:t xml:space="preserve"> (Haneda, Kansai)</w:t>
      </w:r>
      <w:r>
        <w:t>, there are Softbank 3.9-4.0 5G base stations providing coverage across major airport runways.</w:t>
      </w:r>
    </w:p>
    <w:p w14:paraId="68B7A802" w14:textId="77777777" w:rsidR="0026089D" w:rsidRDefault="0026089D" w:rsidP="00D77F80">
      <w:pPr>
        <w:pStyle w:val="Numberedparagraph"/>
        <w:numPr>
          <w:ilvl w:val="0"/>
          <w:numId w:val="0"/>
        </w:numPr>
        <w:ind w:left="-567"/>
      </w:pPr>
    </w:p>
    <w:p w14:paraId="0E71EFFC" w14:textId="0D7B0BC8" w:rsidR="000C5515" w:rsidRDefault="000C5515" w:rsidP="00077BB0">
      <w:pPr>
        <w:pStyle w:val="Heading2"/>
      </w:pPr>
      <w:bookmarkStart w:id="854" w:name="_Toc116041933"/>
      <w:r>
        <w:t>Denmark</w:t>
      </w:r>
      <w:bookmarkEnd w:id="854"/>
    </w:p>
    <w:p w14:paraId="44105197" w14:textId="6CD86C4D" w:rsidR="000C5515" w:rsidRDefault="000C5515" w:rsidP="000C5515">
      <w:pPr>
        <w:pStyle w:val="Numberedparagraph"/>
      </w:pPr>
      <w:r>
        <w:t xml:space="preserve">The Yousee operator is the commercial arm of TDC Net in Denmark, discussed in </w:t>
      </w:r>
      <w:r w:rsidRPr="00365135">
        <w:rPr>
          <w:i/>
          <w:iCs/>
        </w:rPr>
        <w:fldChar w:fldCharType="begin"/>
      </w:r>
      <w:r w:rsidRPr="00365135">
        <w:rPr>
          <w:i/>
          <w:iCs/>
        </w:rPr>
        <w:instrText xml:space="preserve"> REF _Ref106278740 \h </w:instrText>
      </w:r>
      <w:r>
        <w:rPr>
          <w:i/>
          <w:iCs/>
        </w:rPr>
        <w:instrText xml:space="preserve"> \* MERGEFORMAT </w:instrText>
      </w:r>
      <w:r w:rsidRPr="00365135">
        <w:rPr>
          <w:i/>
          <w:iCs/>
        </w:rPr>
      </w:r>
      <w:r w:rsidRPr="00365135">
        <w:rPr>
          <w:i/>
          <w:iCs/>
        </w:rPr>
        <w:fldChar w:fldCharType="separate"/>
      </w:r>
      <w:r w:rsidR="009C0E98" w:rsidRPr="00695A13">
        <w:rPr>
          <w:i/>
          <w:iCs/>
        </w:rPr>
        <w:t>Appendix C: International developments and approaches</w:t>
      </w:r>
      <w:r w:rsidRPr="00365135">
        <w:rPr>
          <w:i/>
          <w:iCs/>
        </w:rPr>
        <w:fldChar w:fldCharType="end"/>
      </w:r>
      <w:r>
        <w:t xml:space="preserve">. While their publicly available coverage </w:t>
      </w:r>
      <w:hyperlink r:id="rId262" w:history="1">
        <w:r w:rsidRPr="003D26D0">
          <w:rPr>
            <w:rStyle w:val="Hyperlink"/>
          </w:rPr>
          <w:t>tool</w:t>
        </w:r>
      </w:hyperlink>
      <w:r>
        <w:t xml:space="preserve"> does not specifically identify the 3.5 GHz band, they expect users can obtain 200-500 Mbit/s around Copenhagen Airport. This suggests strong 3.5</w:t>
      </w:r>
      <w:r w:rsidR="003D26D0">
        <w:t> </w:t>
      </w:r>
      <w:r>
        <w:t>GHz 5G coverage there, which has no specific mitigations for radio altimeters.</w:t>
      </w:r>
    </w:p>
    <w:p w14:paraId="61692D02" w14:textId="70C5D06F" w:rsidR="000C5515" w:rsidRDefault="000C5515" w:rsidP="00365135">
      <w:pPr>
        <w:pStyle w:val="Numberedparagraph"/>
        <w:numPr>
          <w:ilvl w:val="0"/>
          <w:numId w:val="0"/>
        </w:numPr>
        <w:ind w:left="-567"/>
        <w:jc w:val="center"/>
      </w:pPr>
      <w:r w:rsidRPr="000C5515">
        <w:rPr>
          <w:noProof/>
        </w:rPr>
        <w:drawing>
          <wp:inline distT="0" distB="0" distL="0" distR="0" wp14:anchorId="6FDA28EF" wp14:editId="1952EAED">
            <wp:extent cx="4871085" cy="1917065"/>
            <wp:effectExtent l="0" t="0" r="5715"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4871085" cy="1917065"/>
                    </a:xfrm>
                    <a:prstGeom prst="rect">
                      <a:avLst/>
                    </a:prstGeom>
                  </pic:spPr>
                </pic:pic>
              </a:graphicData>
            </a:graphic>
          </wp:inline>
        </w:drawing>
      </w:r>
    </w:p>
    <w:p w14:paraId="669A4E11" w14:textId="6C0460A1" w:rsidR="000A7E0F" w:rsidRDefault="000A7E0F" w:rsidP="00077BB0">
      <w:pPr>
        <w:pStyle w:val="Heading2"/>
      </w:pPr>
      <w:bookmarkStart w:id="855" w:name="_Toc116041934"/>
      <w:r>
        <w:t>Finland</w:t>
      </w:r>
      <w:bookmarkEnd w:id="855"/>
    </w:p>
    <w:p w14:paraId="48B1BFE9" w14:textId="2BBD87E5" w:rsidR="000A7E0F" w:rsidRDefault="000A7E0F" w:rsidP="000A7E0F">
      <w:pPr>
        <w:pStyle w:val="Numberedparagraph"/>
      </w:pPr>
      <w:r>
        <w:t xml:space="preserve">Finland has </w:t>
      </w:r>
      <w:r w:rsidR="008272EE">
        <w:t xml:space="preserve">5G in </w:t>
      </w:r>
      <w:hyperlink r:id="rId264" w:history="1">
        <w:r w:rsidR="008272EE" w:rsidRPr="008272EE">
          <w:rPr>
            <w:rStyle w:val="Hyperlink"/>
          </w:rPr>
          <w:t>various</w:t>
        </w:r>
      </w:hyperlink>
      <w:r w:rsidR="008272EE">
        <w:t xml:space="preserve"> bands, including 700 MHz, 2 GHz, 2.6 GHz</w:t>
      </w:r>
      <w:r>
        <w:t xml:space="preserve"> 34</w:t>
      </w:r>
      <w:r w:rsidR="00DC55BF">
        <w:t>1</w:t>
      </w:r>
      <w:r>
        <w:t xml:space="preserve">0-3800 MHz and </w:t>
      </w:r>
      <w:r w:rsidR="008272EE">
        <w:t>26 GHz</w:t>
      </w:r>
      <w:r>
        <w:t xml:space="preserve">. </w:t>
      </w:r>
      <w:r w:rsidR="00365135">
        <w:t xml:space="preserve"> However, 700 and </w:t>
      </w:r>
      <w:r w:rsidR="008F7E26">
        <w:t>3410-3800 M</w:t>
      </w:r>
      <w:r w:rsidR="00365135">
        <w:t>Hz were there first 5G bands.</w:t>
      </w:r>
      <w:r>
        <w:t xml:space="preserve"> The regulator has a public interactive </w:t>
      </w:r>
      <w:hyperlink r:id="rId265" w:history="1">
        <w:r w:rsidRPr="000A7E0F">
          <w:rPr>
            <w:rStyle w:val="Hyperlink"/>
          </w:rPr>
          <w:t>map</w:t>
        </w:r>
      </w:hyperlink>
      <w:r>
        <w:t xml:space="preserve">. It indicates a 5G throughput of &gt; 300 Mbps being available around Helsinki Airport, again suggesting strong 3400-3800 MHz coverage </w:t>
      </w:r>
      <w:r w:rsidR="008272EE">
        <w:t xml:space="preserve">is likely </w:t>
      </w:r>
      <w:r>
        <w:t>there.</w:t>
      </w:r>
    </w:p>
    <w:p w14:paraId="5AC74B2E" w14:textId="538EDD73" w:rsidR="000A7E0F" w:rsidRDefault="000A7E0F" w:rsidP="000A7E0F">
      <w:pPr>
        <w:pStyle w:val="Numberedparagraph"/>
        <w:numPr>
          <w:ilvl w:val="0"/>
          <w:numId w:val="0"/>
        </w:numPr>
        <w:ind w:left="-567"/>
      </w:pPr>
      <w:r>
        <w:rPr>
          <w:noProof/>
        </w:rPr>
        <mc:AlternateContent>
          <mc:Choice Requires="wps">
            <w:drawing>
              <wp:anchor distT="0" distB="0" distL="114300" distR="114300" simplePos="0" relativeHeight="251658240" behindDoc="0" locked="0" layoutInCell="1" allowOverlap="1" wp14:anchorId="3E0698A2" wp14:editId="4DDA878C">
                <wp:simplePos x="0" y="0"/>
                <wp:positionH relativeFrom="column">
                  <wp:posOffset>1442085</wp:posOffset>
                </wp:positionH>
                <wp:positionV relativeFrom="paragraph">
                  <wp:posOffset>469900</wp:posOffset>
                </wp:positionV>
                <wp:extent cx="428625" cy="371475"/>
                <wp:effectExtent l="0" t="0" r="28575" b="28575"/>
                <wp:wrapNone/>
                <wp:docPr id="29" name="Oval 29"/>
                <wp:cNvGraphicFramePr/>
                <a:graphic xmlns:a="http://schemas.openxmlformats.org/drawingml/2006/main">
                  <a:graphicData uri="http://schemas.microsoft.com/office/word/2010/wordprocessingShape">
                    <wps:wsp>
                      <wps:cNvSpPr/>
                      <wps:spPr>
                        <a:xfrm>
                          <a:off x="0" y="0"/>
                          <a:ext cx="428625" cy="3714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35954AF">
              <v:oval id="Oval 29" style="position:absolute;margin-left:113.55pt;margin-top:37pt;width:33.75pt;height:29.25pt;z-index:25166080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2pt" w14:anchorId="26ADC1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"/>
            </w:pict>
          </mc:Fallback>
        </mc:AlternateContent>
      </w:r>
      <w:r w:rsidRPr="000A7E0F">
        <w:rPr>
          <w:noProof/>
        </w:rPr>
        <w:drawing>
          <wp:inline distT="0" distB="0" distL="0" distR="0" wp14:anchorId="17A9DB5C" wp14:editId="3F06AA59">
            <wp:extent cx="5189863" cy="1695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191700" cy="1696050"/>
                    </a:xfrm>
                    <a:prstGeom prst="rect">
                      <a:avLst/>
                    </a:prstGeom>
                  </pic:spPr>
                </pic:pic>
              </a:graphicData>
            </a:graphic>
          </wp:inline>
        </w:drawing>
      </w:r>
    </w:p>
    <w:p w14:paraId="2AD26B95" w14:textId="7B9EF254" w:rsidR="000A7E0F" w:rsidRDefault="000A7E0F" w:rsidP="00365135">
      <w:pPr>
        <w:pStyle w:val="Numberedparagraph"/>
        <w:numPr>
          <w:ilvl w:val="0"/>
          <w:numId w:val="0"/>
        </w:numPr>
        <w:ind w:left="-567"/>
      </w:pPr>
      <w:r>
        <w:tab/>
      </w:r>
      <w:r>
        <w:tab/>
        <w:t>Helsinki Airport is within the blue circle.</w:t>
      </w:r>
    </w:p>
    <w:p w14:paraId="5DCC1770" w14:textId="77777777" w:rsidR="00BB029B" w:rsidRDefault="00BB029B" w:rsidP="00D77F80">
      <w:pPr>
        <w:pStyle w:val="Numberedparagraph"/>
        <w:numPr>
          <w:ilvl w:val="0"/>
          <w:numId w:val="0"/>
        </w:numPr>
        <w:ind w:left="-567"/>
      </w:pPr>
    </w:p>
    <w:p w14:paraId="21E9D187" w14:textId="03FEBA7D" w:rsidR="00CE2A23" w:rsidRDefault="00CE2A23" w:rsidP="00077BB0">
      <w:pPr>
        <w:pStyle w:val="Heading2"/>
      </w:pPr>
      <w:bookmarkStart w:id="856" w:name="_Toc116041935"/>
      <w:r>
        <w:t>Switzerland</w:t>
      </w:r>
      <w:bookmarkEnd w:id="856"/>
    </w:p>
    <w:p w14:paraId="2217E76F" w14:textId="6C64BD09" w:rsidR="00CE2A23" w:rsidRDefault="00CE2A23" w:rsidP="00CE2A23">
      <w:pPr>
        <w:pStyle w:val="Numberedparagraph"/>
      </w:pPr>
      <w:r>
        <w:t xml:space="preserve">As per </w:t>
      </w:r>
      <w:r w:rsidRPr="00077BB0">
        <w:rPr>
          <w:i/>
          <w:iCs/>
        </w:rPr>
        <w:fldChar w:fldCharType="begin"/>
      </w:r>
      <w:r w:rsidRPr="00077BB0">
        <w:rPr>
          <w:i/>
          <w:iCs/>
        </w:rPr>
        <w:instrText xml:space="preserve"> REF _Ref106868332 \r \h </w:instrText>
      </w:r>
      <w:r>
        <w:rPr>
          <w:i/>
          <w:iCs/>
        </w:rPr>
        <w:instrText xml:space="preserve"> \* MERGEFORMAT </w:instrText>
      </w:r>
      <w:r w:rsidRPr="00077BB0">
        <w:rPr>
          <w:i/>
          <w:iCs/>
        </w:rPr>
      </w:r>
      <w:r w:rsidRPr="00077BB0">
        <w:rPr>
          <w:i/>
          <w:iCs/>
        </w:rPr>
        <w:fldChar w:fldCharType="separate"/>
      </w:r>
      <w:r w:rsidR="009C0E98">
        <w:rPr>
          <w:i/>
          <w:iCs/>
        </w:rPr>
        <w:t>7.35</w:t>
      </w:r>
      <w:r w:rsidRPr="00077BB0">
        <w:rPr>
          <w:i/>
          <w:iCs/>
        </w:rPr>
        <w:fldChar w:fldCharType="end"/>
      </w:r>
      <w:r>
        <w:t xml:space="preserve"> Switzerland has 5G in the 700 MHz and 3500 – 3800 MHz bands.  The regulator has a public </w:t>
      </w:r>
      <w:hyperlink r:id="rId267" w:history="1">
        <w:r w:rsidRPr="00CE2A23">
          <w:rPr>
            <w:rStyle w:val="Hyperlink"/>
          </w:rPr>
          <w:t>database</w:t>
        </w:r>
      </w:hyperlink>
      <w:r>
        <w:t xml:space="preserve"> with indicative information for base station location and approximate power level.  An example around Geneva airport</w:t>
      </w:r>
      <w:r w:rsidR="00171E5C">
        <w:t xml:space="preserve"> for 5G base stations</w:t>
      </w:r>
      <w:r>
        <w:t xml:space="preserve"> is below.</w:t>
      </w:r>
    </w:p>
    <w:p w14:paraId="4E07313A" w14:textId="69BBF4CE" w:rsidR="00CE2A23" w:rsidRDefault="00CE2A23" w:rsidP="00077BB0">
      <w:pPr>
        <w:pStyle w:val="Numberedparagraph"/>
        <w:numPr>
          <w:ilvl w:val="0"/>
          <w:numId w:val="0"/>
        </w:numPr>
        <w:ind w:left="-567"/>
        <w:jc w:val="center"/>
      </w:pPr>
      <w:r w:rsidRPr="00CE2A23">
        <w:rPr>
          <w:noProof/>
        </w:rPr>
        <w:drawing>
          <wp:inline distT="0" distB="0" distL="0" distR="0" wp14:anchorId="56BEB594" wp14:editId="4D163954">
            <wp:extent cx="5196372" cy="2809875"/>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5199347" cy="2811484"/>
                    </a:xfrm>
                    <a:prstGeom prst="rect">
                      <a:avLst/>
                    </a:prstGeom>
                  </pic:spPr>
                </pic:pic>
              </a:graphicData>
            </a:graphic>
          </wp:inline>
        </w:drawing>
      </w:r>
    </w:p>
    <w:p w14:paraId="6AAB6AAF" w14:textId="14D7DF34" w:rsidR="00CE2A23" w:rsidRDefault="00CE2A23" w:rsidP="00CE2A23">
      <w:pPr>
        <w:pStyle w:val="Numberedparagraph"/>
        <w:numPr>
          <w:ilvl w:val="0"/>
          <w:numId w:val="0"/>
        </w:numPr>
        <w:ind w:left="-567"/>
      </w:pPr>
      <w:r>
        <w:t xml:space="preserve">While the database does not indicate the exact frequency band, given there is 300 MHz available in 3500-3800 MHz compared with only 2 x 30 MHz UL/DL in the 700 MHz band, most </w:t>
      </w:r>
      <w:r w:rsidR="008F7E26">
        <w:t xml:space="preserve">base stations in urban areas </w:t>
      </w:r>
      <w:r>
        <w:t>would be expected to be operating in the 3500-3800 MHz range. The highlighted base station is one of several that is close to the runway</w:t>
      </w:r>
      <w:r w:rsidR="004D6C23">
        <w:t>,</w:t>
      </w:r>
      <w:r>
        <w:t xml:space="preserve"> and is in the “high” ERP </w:t>
      </w:r>
      <w:hyperlink r:id="rId269" w:history="1">
        <w:r w:rsidRPr="00CE2A23">
          <w:rPr>
            <w:rStyle w:val="Hyperlink"/>
          </w:rPr>
          <w:t>category</w:t>
        </w:r>
      </w:hyperlink>
      <w:r>
        <w:t xml:space="preserve"> which is &gt; 1kW. </w:t>
      </w:r>
    </w:p>
    <w:p w14:paraId="0BDDD5D8" w14:textId="5686B50E" w:rsidR="00000274" w:rsidRDefault="00000274" w:rsidP="00CE2A23">
      <w:pPr>
        <w:pStyle w:val="Numberedparagraph"/>
        <w:numPr>
          <w:ilvl w:val="0"/>
          <w:numId w:val="0"/>
        </w:numPr>
        <w:ind w:left="-567"/>
      </w:pPr>
      <w:r>
        <w:t>Similarly, Zurich Airport is below</w:t>
      </w:r>
      <w:r w:rsidR="00663241">
        <w:t xml:space="preserve">. Note that in both cases, the Swiss OFCOM </w:t>
      </w:r>
      <w:hyperlink r:id="rId270" w:history="1">
        <w:r w:rsidR="00663241" w:rsidRPr="00361068">
          <w:rPr>
            <w:rStyle w:val="Hyperlink"/>
          </w:rPr>
          <w:t>determined</w:t>
        </w:r>
      </w:hyperlink>
      <w:r w:rsidR="00663241">
        <w:t xml:space="preserve"> that</w:t>
      </w:r>
      <w:r w:rsidR="00361068">
        <w:t xml:space="preserve"> analysis indicated that none of these base stations presented a problem for radio altimeters.</w:t>
      </w:r>
      <w:r w:rsidR="00663241">
        <w:t xml:space="preserve"> </w:t>
      </w:r>
    </w:p>
    <w:p w14:paraId="4CC6F926" w14:textId="1007DACE" w:rsidR="00000274" w:rsidRDefault="00000274" w:rsidP="00000274">
      <w:pPr>
        <w:pStyle w:val="Numberedparagraph"/>
        <w:numPr>
          <w:ilvl w:val="0"/>
          <w:numId w:val="0"/>
        </w:numPr>
        <w:ind w:left="-567"/>
        <w:jc w:val="center"/>
      </w:pPr>
      <w:r w:rsidRPr="00000274">
        <w:rPr>
          <w:noProof/>
        </w:rPr>
        <w:drawing>
          <wp:inline distT="0" distB="0" distL="0" distR="0" wp14:anchorId="738EE6C3" wp14:editId="5B5CBE92">
            <wp:extent cx="5196218" cy="279082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198966" cy="2792301"/>
                    </a:xfrm>
                    <a:prstGeom prst="rect">
                      <a:avLst/>
                    </a:prstGeom>
                  </pic:spPr>
                </pic:pic>
              </a:graphicData>
            </a:graphic>
          </wp:inline>
        </w:drawing>
      </w:r>
    </w:p>
    <w:p w14:paraId="1861DCAB" w14:textId="77777777" w:rsidR="00000274" w:rsidRDefault="00000274" w:rsidP="00077BB0">
      <w:pPr>
        <w:pStyle w:val="Numberedparagraph"/>
        <w:numPr>
          <w:ilvl w:val="0"/>
          <w:numId w:val="0"/>
        </w:numPr>
        <w:ind w:left="-567"/>
      </w:pPr>
    </w:p>
    <w:p w14:paraId="422C8925" w14:textId="77777777" w:rsidR="00F83B51" w:rsidRDefault="00F83B51">
      <w:pPr>
        <w:spacing w:after="0" w:line="240" w:lineRule="auto"/>
        <w:rPr>
          <w:rFonts w:cs="Arial"/>
          <w:b/>
          <w:bCs/>
          <w:szCs w:val="26"/>
        </w:rPr>
      </w:pPr>
      <w:r>
        <w:br w:type="page"/>
      </w:r>
    </w:p>
    <w:p w14:paraId="2C0F2171" w14:textId="424091F7" w:rsidR="002A5582" w:rsidRDefault="002A5582" w:rsidP="00077BB0">
      <w:pPr>
        <w:pStyle w:val="Heading2"/>
      </w:pPr>
      <w:bookmarkStart w:id="857" w:name="_Toc116041936"/>
      <w:r>
        <w:t>Ireland</w:t>
      </w:r>
      <w:bookmarkEnd w:id="857"/>
    </w:p>
    <w:p w14:paraId="5B82A5BF" w14:textId="01AF4E69" w:rsidR="002A5582" w:rsidRDefault="002A5582" w:rsidP="002A5582">
      <w:pPr>
        <w:pStyle w:val="Numberedparagraph"/>
      </w:pPr>
      <w:r>
        <w:t xml:space="preserve">The Irish regulator has </w:t>
      </w:r>
      <w:hyperlink r:id="rId272" w:history="1">
        <w:r w:rsidRPr="002A5582">
          <w:rPr>
            <w:rStyle w:val="Hyperlink"/>
          </w:rPr>
          <w:t>allocated</w:t>
        </w:r>
      </w:hyperlink>
      <w:r>
        <w:t xml:space="preserve"> 3410-3435 MHz/3475  - 3800 MHz for 5G services and is in the process of considering the 700 MHz band and mmWave bands.  Consequently, the 3410-3800 MHz range is the only range currently used for 5G. </w:t>
      </w:r>
    </w:p>
    <w:p w14:paraId="3D5FBFC7" w14:textId="1D3DFE94" w:rsidR="002A5582" w:rsidRDefault="00AE68D6" w:rsidP="002A5582">
      <w:pPr>
        <w:pStyle w:val="Numberedparagraph"/>
      </w:pPr>
      <w:r>
        <w:t xml:space="preserve">The </w:t>
      </w:r>
      <w:hyperlink r:id="rId273" w:history="1">
        <w:r w:rsidRPr="00AE68D6">
          <w:rPr>
            <w:rStyle w:val="Hyperlink"/>
          </w:rPr>
          <w:t>information</w:t>
        </w:r>
      </w:hyperlink>
      <w:r>
        <w:t xml:space="preserve"> on the allocation, including technical conditions, does not appear to include any specific mitigations for radio altimeters.</w:t>
      </w:r>
    </w:p>
    <w:p w14:paraId="6ED55AC2" w14:textId="162FA09A" w:rsidR="001C26AE" w:rsidRDefault="001C26AE" w:rsidP="001C26AE">
      <w:pPr>
        <w:pStyle w:val="Heading4"/>
      </w:pPr>
      <w:r>
        <w:t>Three</w:t>
      </w:r>
    </w:p>
    <w:p w14:paraId="0A07B83F" w14:textId="6A8BCF5A" w:rsidR="001C26AE" w:rsidRDefault="001C26AE" w:rsidP="001C26AE">
      <w:pPr>
        <w:pStyle w:val="Numberedparagraph"/>
      </w:pPr>
      <w:r>
        <w:t xml:space="preserve">Three Ireland were </w:t>
      </w:r>
      <w:hyperlink r:id="rId274" w:history="1">
        <w:r w:rsidRPr="001C26AE">
          <w:rPr>
            <w:rStyle w:val="Hyperlink"/>
          </w:rPr>
          <w:t>allocated</w:t>
        </w:r>
      </w:hyperlink>
      <w:r>
        <w:t xml:space="preserve"> the 3700-3800 MHz range.</w:t>
      </w:r>
    </w:p>
    <w:p w14:paraId="109E99DF" w14:textId="38F7F7A6" w:rsidR="001C26AE" w:rsidRDefault="001C26AE" w:rsidP="001C26AE">
      <w:pPr>
        <w:pStyle w:val="Numberedparagraph"/>
      </w:pPr>
      <w:r>
        <w:t xml:space="preserve">There is some Three coverage around Dublin Airport, via their coverage </w:t>
      </w:r>
      <w:hyperlink r:id="rId275" w:history="1">
        <w:r w:rsidRPr="001C26AE">
          <w:rPr>
            <w:rStyle w:val="Hyperlink"/>
          </w:rPr>
          <w:t>tool</w:t>
        </w:r>
      </w:hyperlink>
      <w:r w:rsidR="000B7883">
        <w:t xml:space="preserve"> (note that the regulator coverage </w:t>
      </w:r>
      <w:hyperlink r:id="rId276" w:history="1">
        <w:r w:rsidR="000B7883" w:rsidRPr="000B7883">
          <w:rPr>
            <w:rStyle w:val="Hyperlink"/>
          </w:rPr>
          <w:t>tool</w:t>
        </w:r>
      </w:hyperlink>
      <w:r w:rsidR="000B7883">
        <w:t xml:space="preserve"> does not yet have 5G)</w:t>
      </w:r>
    </w:p>
    <w:p w14:paraId="2B5A6100" w14:textId="07E8CE2D" w:rsidR="001C26AE" w:rsidRDefault="001C26AE" w:rsidP="00077BB0">
      <w:pPr>
        <w:pStyle w:val="Numberedparagraph"/>
        <w:numPr>
          <w:ilvl w:val="0"/>
          <w:numId w:val="0"/>
        </w:numPr>
        <w:ind w:left="-567"/>
        <w:jc w:val="center"/>
      </w:pPr>
      <w:r w:rsidRPr="001C26AE">
        <w:rPr>
          <w:noProof/>
        </w:rPr>
        <w:drawing>
          <wp:inline distT="0" distB="0" distL="0" distR="0" wp14:anchorId="093A5AEF" wp14:editId="59BEA5BF">
            <wp:extent cx="5256932" cy="2597285"/>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5261912" cy="2599746"/>
                    </a:xfrm>
                    <a:prstGeom prst="rect">
                      <a:avLst/>
                    </a:prstGeom>
                  </pic:spPr>
                </pic:pic>
              </a:graphicData>
            </a:graphic>
          </wp:inline>
        </w:drawing>
      </w:r>
    </w:p>
    <w:p w14:paraId="6E5C2B49" w14:textId="2F15A9D4" w:rsidR="001C26AE" w:rsidRDefault="001C26AE" w:rsidP="002A5582">
      <w:pPr>
        <w:pStyle w:val="Numberedparagraph"/>
      </w:pPr>
      <w:r>
        <w:t>Cork Airport appears to be well covered by Three 5G:</w:t>
      </w:r>
    </w:p>
    <w:p w14:paraId="6D20FDB5" w14:textId="4B54225B" w:rsidR="001C26AE" w:rsidRDefault="001C26AE" w:rsidP="00077BB0">
      <w:pPr>
        <w:pStyle w:val="Numberedparagraph"/>
        <w:numPr>
          <w:ilvl w:val="0"/>
          <w:numId w:val="0"/>
        </w:numPr>
        <w:ind w:left="-567"/>
        <w:jc w:val="center"/>
      </w:pPr>
      <w:r w:rsidRPr="001C26AE">
        <w:rPr>
          <w:noProof/>
        </w:rPr>
        <w:drawing>
          <wp:inline distT="0" distB="0" distL="0" distR="0" wp14:anchorId="75B6E9ED" wp14:editId="337A53FE">
            <wp:extent cx="5127080" cy="2509736"/>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136868" cy="2514527"/>
                    </a:xfrm>
                    <a:prstGeom prst="rect">
                      <a:avLst/>
                    </a:prstGeom>
                  </pic:spPr>
                </pic:pic>
              </a:graphicData>
            </a:graphic>
          </wp:inline>
        </w:drawing>
      </w:r>
    </w:p>
    <w:p w14:paraId="0A67F122" w14:textId="77777777" w:rsidR="00BB029B" w:rsidRPr="00D77F80" w:rsidRDefault="00BB029B" w:rsidP="00365135">
      <w:pPr>
        <w:pStyle w:val="Numberedparagraphbeforelist"/>
        <w:numPr>
          <w:ilvl w:val="0"/>
          <w:numId w:val="0"/>
        </w:numPr>
        <w:ind w:left="-567"/>
      </w:pPr>
    </w:p>
    <w:p w14:paraId="29065CFE" w14:textId="0BA6C9EA" w:rsidR="000B7883" w:rsidRDefault="000B7883" w:rsidP="000B7883">
      <w:pPr>
        <w:pStyle w:val="Numberedparagraph"/>
      </w:pPr>
      <w:r>
        <w:t xml:space="preserve">The regulator does offer a site viewer </w:t>
      </w:r>
      <w:hyperlink r:id="rId279" w:anchor="site/CKCKA/51.8485461182/-8.4601823581/1/Site%20CKCKA" w:history="1">
        <w:r w:rsidRPr="000B7883">
          <w:rPr>
            <w:rStyle w:val="Hyperlink"/>
          </w:rPr>
          <w:t>tool</w:t>
        </w:r>
      </w:hyperlink>
      <w:r>
        <w:t>. While the tool does indicate 5G (“NR”) transmissions from some sites (e.g. site CKCKA in the link example near Cork Airport</w:t>
      </w:r>
      <w:r w:rsidR="00732578">
        <w:t xml:space="preserve"> for Vodaphone</w:t>
      </w:r>
      <w:r>
        <w:t xml:space="preserve"> or</w:t>
      </w:r>
      <w:r w:rsidRPr="000B7883">
        <w:t xml:space="preserve"> Site 3_CK0370</w:t>
      </w:r>
      <w:r>
        <w:t xml:space="preserve"> for Three) they are all at a fair distance from the runways.</w:t>
      </w:r>
    </w:p>
    <w:p w14:paraId="550987C4" w14:textId="67982EDB" w:rsidR="00967012" w:rsidRDefault="00967012" w:rsidP="00967012">
      <w:pPr>
        <w:pStyle w:val="Heading4"/>
      </w:pPr>
      <w:r>
        <w:t>Meteor (Eir Mobile)</w:t>
      </w:r>
    </w:p>
    <w:p w14:paraId="69AA48D6" w14:textId="541BE913" w:rsidR="00967012" w:rsidRDefault="00967012" w:rsidP="00967012">
      <w:pPr>
        <w:pStyle w:val="Numberedparagraph"/>
      </w:pPr>
      <w:r>
        <w:t xml:space="preserve">Meteor Ireland were </w:t>
      </w:r>
      <w:hyperlink r:id="rId280" w:history="1">
        <w:r w:rsidRPr="001C26AE">
          <w:rPr>
            <w:rStyle w:val="Hyperlink"/>
          </w:rPr>
          <w:t>allocated</w:t>
        </w:r>
      </w:hyperlink>
      <w:r>
        <w:t xml:space="preserve"> the 3620-3700 MHz range.</w:t>
      </w:r>
    </w:p>
    <w:p w14:paraId="189CDE51" w14:textId="0D4AEC4A" w:rsidR="00967012" w:rsidRDefault="00967012" w:rsidP="000B7883">
      <w:pPr>
        <w:pStyle w:val="Numberedparagraph"/>
      </w:pPr>
      <w:r>
        <w:t xml:space="preserve">While their coverage </w:t>
      </w:r>
      <w:hyperlink r:id="rId281" w:history="1">
        <w:r w:rsidRPr="00967012">
          <w:rPr>
            <w:rStyle w:val="Hyperlink"/>
          </w:rPr>
          <w:t>tool</w:t>
        </w:r>
      </w:hyperlink>
      <w:r>
        <w:t xml:space="preserve"> was non-functional at the time of query, the regulator site-</w:t>
      </w:r>
      <w:hyperlink r:id="rId282" w:anchor="site/DN_1606/53.4289743726/-6.2438201732/1/Site%20DN_1606" w:history="1">
        <w:r w:rsidR="002608C3" w:rsidRPr="002608C3">
          <w:rPr>
            <w:rStyle w:val="Hyperlink"/>
          </w:rPr>
          <w:t>viewer</w:t>
        </w:r>
      </w:hyperlink>
      <w:r>
        <w:t xml:space="preserve"> indicated a 5G base station at Dublin Airport:</w:t>
      </w:r>
    </w:p>
    <w:p w14:paraId="102C321A" w14:textId="79B13C5F" w:rsidR="00967012" w:rsidRDefault="00967012" w:rsidP="00077BB0">
      <w:pPr>
        <w:pStyle w:val="Numberedparagraph"/>
        <w:numPr>
          <w:ilvl w:val="0"/>
          <w:numId w:val="0"/>
        </w:numPr>
        <w:ind w:left="-567"/>
        <w:jc w:val="center"/>
      </w:pPr>
      <w:r w:rsidRPr="00967012">
        <w:rPr>
          <w:noProof/>
        </w:rPr>
        <w:drawing>
          <wp:inline distT="0" distB="0" distL="0" distR="0" wp14:anchorId="1F660F4F" wp14:editId="2758C015">
            <wp:extent cx="5282120" cy="2452733"/>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291974" cy="2457309"/>
                    </a:xfrm>
                    <a:prstGeom prst="rect">
                      <a:avLst/>
                    </a:prstGeom>
                  </pic:spPr>
                </pic:pic>
              </a:graphicData>
            </a:graphic>
          </wp:inline>
        </w:drawing>
      </w:r>
    </w:p>
    <w:p w14:paraId="54E05EA9" w14:textId="23A40326" w:rsidR="00DC5978" w:rsidRDefault="00DC5978" w:rsidP="00077BB0">
      <w:pPr>
        <w:pStyle w:val="Heading2"/>
      </w:pPr>
      <w:bookmarkStart w:id="858" w:name="_Toc116041937"/>
      <w:r>
        <w:t>UK</w:t>
      </w:r>
      <w:bookmarkEnd w:id="858"/>
    </w:p>
    <w:p w14:paraId="3E9C6D9C" w14:textId="09143D41" w:rsidR="00DC5978" w:rsidRDefault="00DC5978" w:rsidP="00DC5978">
      <w:pPr>
        <w:pStyle w:val="Numberedparagraph"/>
      </w:pPr>
      <w:r>
        <w:t xml:space="preserve">As previously discussed, Ofcom in the UK has allocated the 3.6-3.8 GHz range for 5G (as well as 700 MHz) and 3.8-4.2 GHz for medium/low power deployments.  </w:t>
      </w:r>
    </w:p>
    <w:p w14:paraId="687E9059" w14:textId="7448EA8B" w:rsidR="00DC5978" w:rsidRDefault="00DC5978" w:rsidP="00DC5978">
      <w:pPr>
        <w:pStyle w:val="Numberedparagraph"/>
      </w:pPr>
      <w:r>
        <w:t xml:space="preserve">Ofcom does not release transmission site location information for national security </w:t>
      </w:r>
      <w:hyperlink r:id="rId284" w:history="1">
        <w:r w:rsidRPr="00DC5978">
          <w:rPr>
            <w:rStyle w:val="Hyperlink"/>
          </w:rPr>
          <w:t>reasons</w:t>
        </w:r>
      </w:hyperlink>
      <w:r>
        <w:t xml:space="preserve"> but does offer a general mobile coverage </w:t>
      </w:r>
      <w:hyperlink r:id="rId285" w:anchor="pc=rh60np&amp;uprn=10034144506&amp;vw=map" w:history="1">
        <w:r w:rsidRPr="00DE47D8">
          <w:rPr>
            <w:rStyle w:val="Hyperlink"/>
          </w:rPr>
          <w:t>tool</w:t>
        </w:r>
      </w:hyperlink>
      <w:r>
        <w:t>.</w:t>
      </w:r>
      <w:r w:rsidR="00B668B2">
        <w:t xml:space="preserve"> Like in other examples, the coverage tool does not differentiate between 700 MHz and 3.6 GHz 5G, but in most urban areas it is expected that the 3.6 GHz is the predominant use.</w:t>
      </w:r>
    </w:p>
    <w:p w14:paraId="7622A67E" w14:textId="7E1D9C95" w:rsidR="00DC5978" w:rsidRDefault="00DC5978" w:rsidP="00DC5978">
      <w:pPr>
        <w:pStyle w:val="Heading4"/>
      </w:pPr>
      <w:r>
        <w:t>Vodaphone</w:t>
      </w:r>
    </w:p>
    <w:p w14:paraId="26CBC016" w14:textId="4E610E01" w:rsidR="00DC5978" w:rsidRDefault="00DC5978" w:rsidP="00DC5978">
      <w:pPr>
        <w:pStyle w:val="Numberedparagraph"/>
      </w:pPr>
      <w:r>
        <w:t xml:space="preserve">Vodaphone were </w:t>
      </w:r>
      <w:hyperlink r:id="rId286" w:history="1">
        <w:r w:rsidRPr="007C1965">
          <w:rPr>
            <w:rStyle w:val="Hyperlink"/>
          </w:rPr>
          <w:t>allocated</w:t>
        </w:r>
      </w:hyperlink>
      <w:r>
        <w:t xml:space="preserve"> </w:t>
      </w:r>
      <w:r w:rsidR="007C1965">
        <w:t>the 3720-3760 MHz frequency range.</w:t>
      </w:r>
    </w:p>
    <w:p w14:paraId="6F9DB5B8" w14:textId="77777777" w:rsidR="00D9410F" w:rsidRDefault="00D9410F">
      <w:pPr>
        <w:spacing w:after="0" w:line="240" w:lineRule="auto"/>
        <w:rPr>
          <w:rFonts w:cs="Arial"/>
        </w:rPr>
      </w:pPr>
      <w:r>
        <w:br w:type="page"/>
      </w:r>
    </w:p>
    <w:p w14:paraId="25987F20" w14:textId="1A19ECCA" w:rsidR="00DC5978" w:rsidRDefault="00DC5978" w:rsidP="00DC5978">
      <w:pPr>
        <w:pStyle w:val="Numberedparagraph"/>
      </w:pPr>
      <w:r>
        <w:t>Vodaphone coverage around Heathrow Airport:</w:t>
      </w:r>
    </w:p>
    <w:p w14:paraId="6EE25387" w14:textId="1DC9BA14" w:rsidR="00DC5978" w:rsidRDefault="00DC5978" w:rsidP="00077BB0">
      <w:pPr>
        <w:pStyle w:val="Numberedparagraph"/>
        <w:numPr>
          <w:ilvl w:val="0"/>
          <w:numId w:val="0"/>
        </w:numPr>
        <w:ind w:left="-567"/>
        <w:jc w:val="center"/>
      </w:pPr>
      <w:r w:rsidRPr="00DC5978">
        <w:rPr>
          <w:noProof/>
        </w:rPr>
        <w:drawing>
          <wp:inline distT="0" distB="0" distL="0" distR="0" wp14:anchorId="5EF46063" wp14:editId="10C9C017">
            <wp:extent cx="5463019" cy="4067175"/>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466852" cy="4070029"/>
                    </a:xfrm>
                    <a:prstGeom prst="rect">
                      <a:avLst/>
                    </a:prstGeom>
                  </pic:spPr>
                </pic:pic>
              </a:graphicData>
            </a:graphic>
          </wp:inline>
        </w:drawing>
      </w:r>
    </w:p>
    <w:p w14:paraId="19D9868E" w14:textId="7C6356BB" w:rsidR="00DC5978" w:rsidRDefault="00DC5978" w:rsidP="00DC5978">
      <w:pPr>
        <w:pStyle w:val="Numberedparagraph"/>
      </w:pPr>
      <w:r>
        <w:t xml:space="preserve">Vodaphone coverage around Gatwick Airport: </w:t>
      </w:r>
    </w:p>
    <w:p w14:paraId="0822266C" w14:textId="658D96C0" w:rsidR="0069032C" w:rsidRDefault="00DC5978" w:rsidP="00DC5978">
      <w:pPr>
        <w:pStyle w:val="Numberedparagraph"/>
        <w:numPr>
          <w:ilvl w:val="0"/>
          <w:numId w:val="0"/>
        </w:numPr>
        <w:jc w:val="center"/>
      </w:pPr>
      <w:r w:rsidRPr="00DC5978">
        <w:rPr>
          <w:noProof/>
        </w:rPr>
        <w:drawing>
          <wp:inline distT="0" distB="0" distL="0" distR="0" wp14:anchorId="6B676194" wp14:editId="0E95F857">
            <wp:extent cx="5057775" cy="371866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060119" cy="3720384"/>
                    </a:xfrm>
                    <a:prstGeom prst="rect">
                      <a:avLst/>
                    </a:prstGeom>
                  </pic:spPr>
                </pic:pic>
              </a:graphicData>
            </a:graphic>
          </wp:inline>
        </w:drawing>
      </w:r>
    </w:p>
    <w:p w14:paraId="3C6B642D" w14:textId="48C6B82F" w:rsidR="009B1326" w:rsidRDefault="009B1326" w:rsidP="009B1326">
      <w:pPr>
        <w:pStyle w:val="Numberedparagraph"/>
      </w:pPr>
      <w:r>
        <w:t xml:space="preserve">Vodaphone coverage around </w:t>
      </w:r>
      <w:r w:rsidR="00B668B2">
        <w:t>London City</w:t>
      </w:r>
      <w:r>
        <w:t xml:space="preserve"> Airport: </w:t>
      </w:r>
    </w:p>
    <w:p w14:paraId="03DD3A71" w14:textId="6E039EBF" w:rsidR="009B1326" w:rsidRDefault="00B668B2" w:rsidP="00DC5978">
      <w:pPr>
        <w:pStyle w:val="Numberedparagraph"/>
        <w:numPr>
          <w:ilvl w:val="0"/>
          <w:numId w:val="0"/>
        </w:numPr>
        <w:jc w:val="center"/>
      </w:pPr>
      <w:r w:rsidRPr="00B668B2">
        <w:rPr>
          <w:noProof/>
        </w:rPr>
        <w:drawing>
          <wp:inline distT="0" distB="0" distL="0" distR="0" wp14:anchorId="386C3364" wp14:editId="184D4443">
            <wp:extent cx="5210175" cy="3805581"/>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5211161" cy="3806301"/>
                    </a:xfrm>
                    <a:prstGeom prst="rect">
                      <a:avLst/>
                    </a:prstGeom>
                  </pic:spPr>
                </pic:pic>
              </a:graphicData>
            </a:graphic>
          </wp:inline>
        </w:drawing>
      </w:r>
    </w:p>
    <w:p w14:paraId="7FECD992" w14:textId="4C76E431" w:rsidR="00B668B2" w:rsidRDefault="00B668B2" w:rsidP="00B668B2">
      <w:pPr>
        <w:pStyle w:val="Numberedparagraph"/>
      </w:pPr>
      <w:r>
        <w:t xml:space="preserve">Vodaphone coverage around Manchester Airport: </w:t>
      </w:r>
    </w:p>
    <w:p w14:paraId="1BEDE838" w14:textId="42C1B321" w:rsidR="00B668B2" w:rsidRDefault="00B668B2">
      <w:pPr>
        <w:pStyle w:val="Numberedparagraph"/>
        <w:numPr>
          <w:ilvl w:val="0"/>
          <w:numId w:val="0"/>
        </w:numPr>
        <w:jc w:val="center"/>
      </w:pPr>
      <w:r w:rsidRPr="00B668B2">
        <w:rPr>
          <w:noProof/>
        </w:rPr>
        <w:drawing>
          <wp:inline distT="0" distB="0" distL="0" distR="0" wp14:anchorId="13D2E6CF" wp14:editId="7C61238D">
            <wp:extent cx="5067300" cy="373689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073417" cy="3741405"/>
                    </a:xfrm>
                    <a:prstGeom prst="rect">
                      <a:avLst/>
                    </a:prstGeom>
                  </pic:spPr>
                </pic:pic>
              </a:graphicData>
            </a:graphic>
          </wp:inline>
        </w:drawing>
      </w:r>
    </w:p>
    <w:p w14:paraId="1C01C126" w14:textId="7F719144" w:rsidR="00873166" w:rsidRDefault="00873166">
      <w:pPr>
        <w:spacing w:after="0" w:line="240" w:lineRule="auto"/>
        <w:rPr>
          <w:rFonts w:cs="Arial"/>
        </w:rPr>
      </w:pPr>
      <w:r>
        <w:br w:type="page"/>
      </w:r>
    </w:p>
    <w:p w14:paraId="7C470FC4" w14:textId="44F80724" w:rsidR="00873166" w:rsidRDefault="00873166" w:rsidP="00873166">
      <w:pPr>
        <w:pStyle w:val="Heading1"/>
      </w:pPr>
      <w:bookmarkStart w:id="859" w:name="_Ref116033610"/>
      <w:bookmarkStart w:id="860" w:name="_Toc116041938"/>
      <w:r>
        <w:t>Appendix G: Identified runways</w:t>
      </w:r>
      <w:bookmarkEnd w:id="859"/>
      <w:bookmarkEnd w:id="860"/>
    </w:p>
    <w:p w14:paraId="42DEE6BF" w14:textId="653D8DA5" w:rsidR="00873166" w:rsidRDefault="00873166" w:rsidP="00695A13">
      <w:pPr>
        <w:pStyle w:val="Numberedparagraph"/>
        <w:numPr>
          <w:ilvl w:val="0"/>
          <w:numId w:val="0"/>
        </w:numPr>
      </w:pPr>
      <w:r>
        <w:t xml:space="preserve">This section outlines a draft initial list where the temporary mitigations are </w:t>
      </w:r>
      <w:r w:rsidR="00467DC5">
        <w:t xml:space="preserve">proposed </w:t>
      </w:r>
      <w:r>
        <w:t>to apply.</w:t>
      </w:r>
      <w:r w:rsidR="0055155F">
        <w:t xml:space="preserve"> At this stage, only Broome, Mt Isa and Darwin are applicable for remote areas</w:t>
      </w:r>
      <w:r w:rsidR="00305766">
        <w:t>. Note</w:t>
      </w:r>
      <w:r w:rsidR="00467DC5">
        <w:t xml:space="preserve"> that Norfolk Island is not part any </w:t>
      </w:r>
      <w:r w:rsidR="00305766">
        <w:t xml:space="preserve">formal </w:t>
      </w:r>
      <w:r w:rsidR="00467DC5">
        <w:t>WBB allocation in the band</w:t>
      </w:r>
      <w:r w:rsidR="00305766">
        <w:t xml:space="preserve">, </w:t>
      </w:r>
      <w:r w:rsidR="005D0C92">
        <w:t>but point-to-multipoint (PMP)</w:t>
      </w:r>
      <w:r w:rsidR="00305766">
        <w:t xml:space="preserve"> apparatus licences are available upon application</w:t>
      </w:r>
      <w:r w:rsidR="0055155F">
        <w:t>.</w:t>
      </w:r>
      <w:r w:rsidR="003603AA">
        <w:t xml:space="preserve"> These have been provided by CASA and may be updated from time to time.</w:t>
      </w:r>
    </w:p>
    <w:p w14:paraId="13916698" w14:textId="66110BFA" w:rsidR="0055155F" w:rsidRPr="00D831F4" w:rsidRDefault="0055155F" w:rsidP="0055155F">
      <w:pPr>
        <w:jc w:val="center"/>
        <w:rPr>
          <w:rFonts w:asciiTheme="minorHAnsi" w:hAnsiTheme="minorHAnsi" w:cstheme="minorHAnsi"/>
          <w:b/>
          <w:bCs/>
          <w:u w:val="single"/>
        </w:rPr>
      </w:pPr>
      <w:r w:rsidRPr="00D831F4">
        <w:rPr>
          <w:rFonts w:asciiTheme="minorHAnsi" w:hAnsiTheme="minorHAnsi" w:cstheme="minorHAnsi"/>
          <w:b/>
          <w:bCs/>
          <w:u w:val="single"/>
        </w:rPr>
        <w:t>Instrument Approach Procedures (IAPs) that require radio altimeters</w:t>
      </w:r>
    </w:p>
    <w:p w14:paraId="4C198CBD" w14:textId="4D856A11" w:rsidR="0055155F" w:rsidRPr="00D831F4" w:rsidRDefault="0055155F" w:rsidP="0055155F">
      <w:pPr>
        <w:rPr>
          <w:rFonts w:asciiTheme="minorHAnsi" w:hAnsiTheme="minorHAnsi" w:cstheme="minorHAnsi"/>
        </w:rPr>
      </w:pPr>
      <w:r w:rsidRPr="00D831F4">
        <w:rPr>
          <w:rFonts w:asciiTheme="minorHAnsi" w:hAnsiTheme="minorHAnsi" w:cstheme="minorHAnsi"/>
        </w:rPr>
        <w:t xml:space="preserve">The details of the current locations (4) where an </w:t>
      </w:r>
      <w:r w:rsidR="00141FBD">
        <w:rPr>
          <w:rFonts w:asciiTheme="minorHAnsi" w:hAnsiTheme="minorHAnsi" w:cstheme="minorHAnsi"/>
        </w:rPr>
        <w:t>Instrument Landing System (</w:t>
      </w:r>
      <w:r w:rsidRPr="00D831F4">
        <w:rPr>
          <w:rFonts w:asciiTheme="minorHAnsi" w:hAnsiTheme="minorHAnsi" w:cstheme="minorHAnsi"/>
        </w:rPr>
        <w:t>ILS</w:t>
      </w:r>
      <w:r w:rsidR="00141FBD">
        <w:rPr>
          <w:rFonts w:asciiTheme="minorHAnsi" w:hAnsiTheme="minorHAnsi" w:cstheme="minorHAnsi"/>
        </w:rPr>
        <w:t>)</w:t>
      </w:r>
      <w:r w:rsidRPr="00D831F4">
        <w:rPr>
          <w:rFonts w:asciiTheme="minorHAnsi" w:hAnsiTheme="minorHAnsi" w:cstheme="minorHAnsi"/>
        </w:rPr>
        <w:t xml:space="preserve"> (8 runways with 20 IAPs) is installed that requires radio altimeter use are:</w:t>
      </w:r>
    </w:p>
    <w:tbl>
      <w:tblPr>
        <w:tblStyle w:val="TableGrid"/>
        <w:tblW w:w="0" w:type="auto"/>
        <w:tblLook w:val="04A0" w:firstRow="1" w:lastRow="0" w:firstColumn="1" w:lastColumn="0" w:noHBand="0" w:noVBand="1"/>
      </w:tblPr>
      <w:tblGrid>
        <w:gridCol w:w="1055"/>
        <w:gridCol w:w="1416"/>
        <w:gridCol w:w="952"/>
        <w:gridCol w:w="2930"/>
        <w:gridCol w:w="1308"/>
      </w:tblGrid>
      <w:tr w:rsidR="0055155F" w:rsidRPr="00D831F4" w14:paraId="2C3F69D7" w14:textId="77777777" w:rsidTr="00695A13">
        <w:tc>
          <w:tcPr>
            <w:tcW w:w="1095" w:type="dxa"/>
          </w:tcPr>
          <w:p w14:paraId="0B391F5B"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Identifier</w:t>
            </w:r>
          </w:p>
        </w:tc>
        <w:tc>
          <w:tcPr>
            <w:tcW w:w="1594" w:type="dxa"/>
          </w:tcPr>
          <w:p w14:paraId="2974A0BB"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Location</w:t>
            </w:r>
          </w:p>
        </w:tc>
        <w:tc>
          <w:tcPr>
            <w:tcW w:w="992" w:type="dxa"/>
          </w:tcPr>
          <w:p w14:paraId="7A46E206"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Runway</w:t>
            </w:r>
          </w:p>
        </w:tc>
        <w:tc>
          <w:tcPr>
            <w:tcW w:w="3969" w:type="dxa"/>
          </w:tcPr>
          <w:p w14:paraId="0C59F3F3"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Approach(s)</w:t>
            </w:r>
          </w:p>
        </w:tc>
        <w:tc>
          <w:tcPr>
            <w:tcW w:w="1559" w:type="dxa"/>
          </w:tcPr>
          <w:p w14:paraId="71F056D0"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Number of IAPs</w:t>
            </w:r>
          </w:p>
        </w:tc>
      </w:tr>
      <w:tr w:rsidR="0055155F" w:rsidRPr="00D831F4" w14:paraId="21DC5C8B" w14:textId="77777777" w:rsidTr="00695A13">
        <w:tc>
          <w:tcPr>
            <w:tcW w:w="1095" w:type="dxa"/>
          </w:tcPr>
          <w:p w14:paraId="17CC35C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YSCB</w:t>
            </w:r>
          </w:p>
        </w:tc>
        <w:tc>
          <w:tcPr>
            <w:tcW w:w="1594" w:type="dxa"/>
          </w:tcPr>
          <w:p w14:paraId="1036B5A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Canberra</w:t>
            </w:r>
          </w:p>
        </w:tc>
        <w:tc>
          <w:tcPr>
            <w:tcW w:w="992" w:type="dxa"/>
          </w:tcPr>
          <w:p w14:paraId="1DE3BCA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35</w:t>
            </w:r>
          </w:p>
        </w:tc>
        <w:tc>
          <w:tcPr>
            <w:tcW w:w="3969" w:type="dxa"/>
          </w:tcPr>
          <w:p w14:paraId="44C85B1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ILS-Z SA CAT I, ILS-Z SA CAT II, ILS-Z CAT II</w:t>
            </w:r>
          </w:p>
        </w:tc>
        <w:tc>
          <w:tcPr>
            <w:tcW w:w="1559" w:type="dxa"/>
          </w:tcPr>
          <w:p w14:paraId="555B125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270E8541" w14:textId="77777777" w:rsidTr="00695A13">
        <w:tc>
          <w:tcPr>
            <w:tcW w:w="1095" w:type="dxa"/>
          </w:tcPr>
          <w:p w14:paraId="1DD7036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YMML</w:t>
            </w:r>
          </w:p>
        </w:tc>
        <w:tc>
          <w:tcPr>
            <w:tcW w:w="1594" w:type="dxa"/>
          </w:tcPr>
          <w:p w14:paraId="5CAA8E7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Melbourne</w:t>
            </w:r>
          </w:p>
        </w:tc>
        <w:tc>
          <w:tcPr>
            <w:tcW w:w="992" w:type="dxa"/>
          </w:tcPr>
          <w:p w14:paraId="162925D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16</w:t>
            </w:r>
          </w:p>
        </w:tc>
        <w:tc>
          <w:tcPr>
            <w:tcW w:w="3969" w:type="dxa"/>
          </w:tcPr>
          <w:p w14:paraId="439E113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ILS-Z CAT II, ILS-Z CAT IIIa, ILS-Z CAT IIIb</w:t>
            </w:r>
          </w:p>
        </w:tc>
        <w:tc>
          <w:tcPr>
            <w:tcW w:w="1559" w:type="dxa"/>
          </w:tcPr>
          <w:p w14:paraId="2207FA0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6E6D9119" w14:textId="77777777" w:rsidTr="00695A13">
        <w:tc>
          <w:tcPr>
            <w:tcW w:w="1095" w:type="dxa"/>
          </w:tcPr>
          <w:p w14:paraId="731ACB6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YPPH</w:t>
            </w:r>
          </w:p>
        </w:tc>
        <w:tc>
          <w:tcPr>
            <w:tcW w:w="1594" w:type="dxa"/>
          </w:tcPr>
          <w:p w14:paraId="65F92DF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Perth</w:t>
            </w:r>
          </w:p>
        </w:tc>
        <w:tc>
          <w:tcPr>
            <w:tcW w:w="992" w:type="dxa"/>
          </w:tcPr>
          <w:p w14:paraId="2366368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03</w:t>
            </w:r>
          </w:p>
        </w:tc>
        <w:tc>
          <w:tcPr>
            <w:tcW w:w="3969" w:type="dxa"/>
          </w:tcPr>
          <w:p w14:paraId="234696F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ILS-Z SA CAT I</w:t>
            </w:r>
          </w:p>
        </w:tc>
        <w:tc>
          <w:tcPr>
            <w:tcW w:w="1559" w:type="dxa"/>
          </w:tcPr>
          <w:p w14:paraId="66192A0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5D9A0947" w14:textId="77777777" w:rsidTr="00695A13">
        <w:tc>
          <w:tcPr>
            <w:tcW w:w="1095" w:type="dxa"/>
          </w:tcPr>
          <w:p w14:paraId="7C646E6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YPPH</w:t>
            </w:r>
          </w:p>
        </w:tc>
        <w:tc>
          <w:tcPr>
            <w:tcW w:w="1594" w:type="dxa"/>
          </w:tcPr>
          <w:p w14:paraId="33EB7AA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Perth</w:t>
            </w:r>
          </w:p>
        </w:tc>
        <w:tc>
          <w:tcPr>
            <w:tcW w:w="992" w:type="dxa"/>
          </w:tcPr>
          <w:p w14:paraId="6BCCEC1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21</w:t>
            </w:r>
          </w:p>
        </w:tc>
        <w:tc>
          <w:tcPr>
            <w:tcW w:w="3969" w:type="dxa"/>
          </w:tcPr>
          <w:p w14:paraId="2F89707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ILS-Z SA CAT II, ILS-Z CAT II, ILS-Z CAT IIIb</w:t>
            </w:r>
          </w:p>
        </w:tc>
        <w:tc>
          <w:tcPr>
            <w:tcW w:w="1559" w:type="dxa"/>
          </w:tcPr>
          <w:p w14:paraId="46AC5DD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116FB91E" w14:textId="77777777" w:rsidTr="00695A13">
        <w:tc>
          <w:tcPr>
            <w:tcW w:w="1095" w:type="dxa"/>
          </w:tcPr>
          <w:p w14:paraId="7962DDC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YSSY</w:t>
            </w:r>
          </w:p>
        </w:tc>
        <w:tc>
          <w:tcPr>
            <w:tcW w:w="1594" w:type="dxa"/>
          </w:tcPr>
          <w:p w14:paraId="60E223B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Sydney</w:t>
            </w:r>
          </w:p>
        </w:tc>
        <w:tc>
          <w:tcPr>
            <w:tcW w:w="992" w:type="dxa"/>
          </w:tcPr>
          <w:p w14:paraId="5E80B47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16L</w:t>
            </w:r>
          </w:p>
        </w:tc>
        <w:tc>
          <w:tcPr>
            <w:tcW w:w="3969" w:type="dxa"/>
          </w:tcPr>
          <w:p w14:paraId="0A99022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 SA CAT II, ILS SA CAT II</w:t>
            </w:r>
          </w:p>
        </w:tc>
        <w:tc>
          <w:tcPr>
            <w:tcW w:w="1559" w:type="dxa"/>
          </w:tcPr>
          <w:p w14:paraId="2AF4EE8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64FC579D" w14:textId="77777777" w:rsidTr="00695A13">
        <w:tc>
          <w:tcPr>
            <w:tcW w:w="1095" w:type="dxa"/>
          </w:tcPr>
          <w:p w14:paraId="061D61F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YSSY</w:t>
            </w:r>
          </w:p>
        </w:tc>
        <w:tc>
          <w:tcPr>
            <w:tcW w:w="1594" w:type="dxa"/>
          </w:tcPr>
          <w:p w14:paraId="3044A8D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Sydney</w:t>
            </w:r>
          </w:p>
        </w:tc>
        <w:tc>
          <w:tcPr>
            <w:tcW w:w="992" w:type="dxa"/>
          </w:tcPr>
          <w:p w14:paraId="550ECF1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16R</w:t>
            </w:r>
          </w:p>
        </w:tc>
        <w:tc>
          <w:tcPr>
            <w:tcW w:w="3969" w:type="dxa"/>
          </w:tcPr>
          <w:p w14:paraId="342CB1E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 SA CAT I, ILS SA CAT II, ILS CAT II</w:t>
            </w:r>
          </w:p>
        </w:tc>
        <w:tc>
          <w:tcPr>
            <w:tcW w:w="1559" w:type="dxa"/>
          </w:tcPr>
          <w:p w14:paraId="31B0C18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3C600562" w14:textId="77777777" w:rsidTr="00695A13">
        <w:tc>
          <w:tcPr>
            <w:tcW w:w="1095" w:type="dxa"/>
          </w:tcPr>
          <w:p w14:paraId="3FBA158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YSSY</w:t>
            </w:r>
          </w:p>
        </w:tc>
        <w:tc>
          <w:tcPr>
            <w:tcW w:w="1594" w:type="dxa"/>
          </w:tcPr>
          <w:p w14:paraId="60D7A5D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Sydney</w:t>
            </w:r>
          </w:p>
        </w:tc>
        <w:tc>
          <w:tcPr>
            <w:tcW w:w="992" w:type="dxa"/>
          </w:tcPr>
          <w:p w14:paraId="4C01265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34L</w:t>
            </w:r>
          </w:p>
        </w:tc>
        <w:tc>
          <w:tcPr>
            <w:tcW w:w="3969" w:type="dxa"/>
          </w:tcPr>
          <w:p w14:paraId="63294C5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 SA CAT I, ILS SA CAT II, ILS CAT II</w:t>
            </w:r>
          </w:p>
        </w:tc>
        <w:tc>
          <w:tcPr>
            <w:tcW w:w="1559" w:type="dxa"/>
          </w:tcPr>
          <w:p w14:paraId="4261C8C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550FFD3B" w14:textId="77777777" w:rsidTr="00695A13">
        <w:tc>
          <w:tcPr>
            <w:tcW w:w="1095" w:type="dxa"/>
          </w:tcPr>
          <w:p w14:paraId="4ABB55F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YSSY</w:t>
            </w:r>
          </w:p>
        </w:tc>
        <w:tc>
          <w:tcPr>
            <w:tcW w:w="1594" w:type="dxa"/>
          </w:tcPr>
          <w:p w14:paraId="0FDCFA7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Sydney</w:t>
            </w:r>
          </w:p>
        </w:tc>
        <w:tc>
          <w:tcPr>
            <w:tcW w:w="992" w:type="dxa"/>
          </w:tcPr>
          <w:p w14:paraId="2B822B2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34R</w:t>
            </w:r>
          </w:p>
        </w:tc>
        <w:tc>
          <w:tcPr>
            <w:tcW w:w="3969" w:type="dxa"/>
          </w:tcPr>
          <w:p w14:paraId="3BBE7BA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ILS SA CAT I, ILS SA CAT II</w:t>
            </w:r>
          </w:p>
        </w:tc>
        <w:tc>
          <w:tcPr>
            <w:tcW w:w="1559" w:type="dxa"/>
          </w:tcPr>
          <w:p w14:paraId="159A21D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bl>
    <w:p w14:paraId="6172A403" w14:textId="77777777" w:rsidR="0055155F" w:rsidRPr="00D831F4" w:rsidRDefault="0055155F" w:rsidP="0055155F">
      <w:pPr>
        <w:rPr>
          <w:rFonts w:asciiTheme="minorHAnsi" w:hAnsiTheme="minorHAnsi" w:cstheme="minorHAnsi"/>
        </w:rPr>
      </w:pPr>
    </w:p>
    <w:p w14:paraId="2E9C45B4" w14:textId="77777777" w:rsidR="0010780A" w:rsidRDefault="0010780A">
      <w:pPr>
        <w:spacing w:after="0" w:line="240" w:lineRule="auto"/>
        <w:rPr>
          <w:rFonts w:asciiTheme="minorHAnsi" w:hAnsiTheme="minorHAnsi" w:cstheme="minorHAnsi"/>
        </w:rPr>
      </w:pPr>
      <w:r>
        <w:rPr>
          <w:rFonts w:asciiTheme="minorHAnsi" w:hAnsiTheme="minorHAnsi" w:cstheme="minorHAnsi"/>
        </w:rPr>
        <w:br w:type="page"/>
      </w:r>
    </w:p>
    <w:p w14:paraId="060AF04B" w14:textId="595BB785" w:rsidR="0055155F" w:rsidRPr="00D831F4" w:rsidRDefault="0055155F" w:rsidP="0055155F">
      <w:pPr>
        <w:rPr>
          <w:rFonts w:asciiTheme="minorHAnsi" w:hAnsiTheme="minorHAnsi" w:cstheme="minorHAnsi"/>
        </w:rPr>
      </w:pPr>
      <w:r w:rsidRPr="00D831F4">
        <w:rPr>
          <w:rFonts w:asciiTheme="minorHAnsi" w:hAnsiTheme="minorHAnsi" w:cstheme="minorHAnsi"/>
        </w:rPr>
        <w:t xml:space="preserve">The details of the current locations (15) where an </w:t>
      </w:r>
      <w:r w:rsidR="00141FBD">
        <w:rPr>
          <w:rFonts w:asciiTheme="minorHAnsi" w:hAnsiTheme="minorHAnsi" w:cstheme="minorHAnsi"/>
        </w:rPr>
        <w:t>Required Navigation Performance – Authorisation Required (</w:t>
      </w:r>
      <w:r w:rsidRPr="00D831F4">
        <w:rPr>
          <w:rFonts w:asciiTheme="minorHAnsi" w:hAnsiTheme="minorHAnsi" w:cstheme="minorHAnsi"/>
        </w:rPr>
        <w:t>RNP-A</w:t>
      </w:r>
      <w:r w:rsidR="00141FBD">
        <w:rPr>
          <w:rFonts w:asciiTheme="minorHAnsi" w:hAnsiTheme="minorHAnsi" w:cstheme="minorHAnsi"/>
        </w:rPr>
        <w:t>)</w:t>
      </w:r>
      <w:r w:rsidRPr="00D831F4">
        <w:rPr>
          <w:rFonts w:asciiTheme="minorHAnsi" w:hAnsiTheme="minorHAnsi" w:cstheme="minorHAnsi"/>
        </w:rPr>
        <w:t>R approach (29 runways with 48 IAPs) is published that requires radio altimeter use are:</w:t>
      </w:r>
    </w:p>
    <w:tbl>
      <w:tblPr>
        <w:tblStyle w:val="TableGrid"/>
        <w:tblW w:w="0" w:type="auto"/>
        <w:tblLook w:val="04A0" w:firstRow="1" w:lastRow="0" w:firstColumn="1" w:lastColumn="0" w:noHBand="0" w:noVBand="1"/>
      </w:tblPr>
      <w:tblGrid>
        <w:gridCol w:w="1055"/>
        <w:gridCol w:w="1416"/>
        <w:gridCol w:w="952"/>
        <w:gridCol w:w="2930"/>
        <w:gridCol w:w="1308"/>
      </w:tblGrid>
      <w:tr w:rsidR="0055155F" w:rsidRPr="00D831F4" w14:paraId="3380DF8F" w14:textId="77777777" w:rsidTr="00695A13">
        <w:tc>
          <w:tcPr>
            <w:tcW w:w="1095" w:type="dxa"/>
          </w:tcPr>
          <w:p w14:paraId="6CB1219E"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Identifier</w:t>
            </w:r>
          </w:p>
        </w:tc>
        <w:tc>
          <w:tcPr>
            <w:tcW w:w="1594" w:type="dxa"/>
          </w:tcPr>
          <w:p w14:paraId="6263A953"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Location</w:t>
            </w:r>
          </w:p>
        </w:tc>
        <w:tc>
          <w:tcPr>
            <w:tcW w:w="992" w:type="dxa"/>
          </w:tcPr>
          <w:p w14:paraId="2463C9F8"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Runway</w:t>
            </w:r>
          </w:p>
        </w:tc>
        <w:tc>
          <w:tcPr>
            <w:tcW w:w="3969" w:type="dxa"/>
          </w:tcPr>
          <w:p w14:paraId="2347E964"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Approach(s)</w:t>
            </w:r>
          </w:p>
        </w:tc>
        <w:tc>
          <w:tcPr>
            <w:tcW w:w="1559" w:type="dxa"/>
          </w:tcPr>
          <w:p w14:paraId="18D160F2" w14:textId="77777777" w:rsidR="0055155F" w:rsidRPr="00D831F4" w:rsidRDefault="0055155F" w:rsidP="00695A13">
            <w:pPr>
              <w:rPr>
                <w:rFonts w:asciiTheme="minorHAnsi" w:hAnsiTheme="minorHAnsi" w:cstheme="minorHAnsi"/>
                <w:b/>
                <w:bCs/>
                <w:szCs w:val="20"/>
              </w:rPr>
            </w:pPr>
            <w:r w:rsidRPr="00D831F4">
              <w:rPr>
                <w:rFonts w:asciiTheme="minorHAnsi" w:hAnsiTheme="minorHAnsi" w:cstheme="minorHAnsi"/>
                <w:b/>
                <w:bCs/>
                <w:szCs w:val="20"/>
              </w:rPr>
              <w:t>Number of IAPs</w:t>
            </w:r>
          </w:p>
        </w:tc>
      </w:tr>
      <w:tr w:rsidR="0055155F" w:rsidRPr="00D831F4" w14:paraId="6984FE70" w14:textId="77777777" w:rsidTr="00695A13">
        <w:tc>
          <w:tcPr>
            <w:tcW w:w="1095" w:type="dxa"/>
          </w:tcPr>
          <w:p w14:paraId="720D3AE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YMAV</w:t>
            </w:r>
          </w:p>
        </w:tc>
        <w:tc>
          <w:tcPr>
            <w:tcW w:w="1594" w:type="dxa"/>
          </w:tcPr>
          <w:p w14:paraId="0099947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Avalon</w:t>
            </w:r>
          </w:p>
        </w:tc>
        <w:tc>
          <w:tcPr>
            <w:tcW w:w="992" w:type="dxa"/>
          </w:tcPr>
          <w:p w14:paraId="1EE1B6C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36</w:t>
            </w:r>
          </w:p>
        </w:tc>
        <w:tc>
          <w:tcPr>
            <w:tcW w:w="3969" w:type="dxa"/>
          </w:tcPr>
          <w:p w14:paraId="542ED64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U RWY 36 (AR)</w:t>
            </w:r>
          </w:p>
        </w:tc>
        <w:tc>
          <w:tcPr>
            <w:tcW w:w="1559" w:type="dxa"/>
          </w:tcPr>
          <w:p w14:paraId="23E028A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7F66D202" w14:textId="77777777" w:rsidTr="00695A13">
        <w:tc>
          <w:tcPr>
            <w:tcW w:w="1095" w:type="dxa"/>
          </w:tcPr>
          <w:p w14:paraId="2E21F21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YBNA</w:t>
            </w:r>
          </w:p>
        </w:tc>
        <w:tc>
          <w:tcPr>
            <w:tcW w:w="1594" w:type="dxa"/>
          </w:tcPr>
          <w:p w14:paraId="6752442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Ballina</w:t>
            </w:r>
          </w:p>
        </w:tc>
        <w:tc>
          <w:tcPr>
            <w:tcW w:w="992" w:type="dxa"/>
          </w:tcPr>
          <w:p w14:paraId="5A0DBBE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06</w:t>
            </w:r>
          </w:p>
        </w:tc>
        <w:tc>
          <w:tcPr>
            <w:tcW w:w="3969" w:type="dxa"/>
          </w:tcPr>
          <w:p w14:paraId="5BED583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06 (AR) (0.3 and 0.1)</w:t>
            </w:r>
          </w:p>
        </w:tc>
        <w:tc>
          <w:tcPr>
            <w:tcW w:w="1559" w:type="dxa"/>
          </w:tcPr>
          <w:p w14:paraId="3B5D252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7D6563B6" w14:textId="77777777" w:rsidTr="00695A13">
        <w:tc>
          <w:tcPr>
            <w:tcW w:w="1095" w:type="dxa"/>
          </w:tcPr>
          <w:p w14:paraId="2693813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YBNA</w:t>
            </w:r>
          </w:p>
        </w:tc>
        <w:tc>
          <w:tcPr>
            <w:tcW w:w="1594" w:type="dxa"/>
          </w:tcPr>
          <w:p w14:paraId="03D05FB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Ballina</w:t>
            </w:r>
          </w:p>
        </w:tc>
        <w:tc>
          <w:tcPr>
            <w:tcW w:w="992" w:type="dxa"/>
          </w:tcPr>
          <w:p w14:paraId="6BF4AF5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24</w:t>
            </w:r>
          </w:p>
        </w:tc>
        <w:tc>
          <w:tcPr>
            <w:tcW w:w="3969" w:type="dxa"/>
          </w:tcPr>
          <w:p w14:paraId="24F6AD5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24 (AR) (0.3 and 0.1)</w:t>
            </w:r>
          </w:p>
        </w:tc>
        <w:tc>
          <w:tcPr>
            <w:tcW w:w="1559" w:type="dxa"/>
          </w:tcPr>
          <w:p w14:paraId="2664A04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58F5AD0A" w14:textId="77777777" w:rsidTr="00695A13">
        <w:tc>
          <w:tcPr>
            <w:tcW w:w="1095" w:type="dxa"/>
          </w:tcPr>
          <w:p w14:paraId="35AF257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YBBN</w:t>
            </w:r>
          </w:p>
        </w:tc>
        <w:tc>
          <w:tcPr>
            <w:tcW w:w="1594" w:type="dxa"/>
          </w:tcPr>
          <w:p w14:paraId="1B3E2DA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Brisbane</w:t>
            </w:r>
          </w:p>
        </w:tc>
        <w:tc>
          <w:tcPr>
            <w:tcW w:w="992" w:type="dxa"/>
          </w:tcPr>
          <w:p w14:paraId="3B6A92E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01L</w:t>
            </w:r>
          </w:p>
        </w:tc>
        <w:tc>
          <w:tcPr>
            <w:tcW w:w="3969" w:type="dxa"/>
          </w:tcPr>
          <w:p w14:paraId="0292479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01L (AR) (0.3 and 0.15)</w:t>
            </w:r>
          </w:p>
        </w:tc>
        <w:tc>
          <w:tcPr>
            <w:tcW w:w="1559" w:type="dxa"/>
          </w:tcPr>
          <w:p w14:paraId="40D2258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3D25B898" w14:textId="77777777" w:rsidTr="00695A13">
        <w:tc>
          <w:tcPr>
            <w:tcW w:w="1095" w:type="dxa"/>
          </w:tcPr>
          <w:p w14:paraId="63FC4E0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YBBN</w:t>
            </w:r>
          </w:p>
        </w:tc>
        <w:tc>
          <w:tcPr>
            <w:tcW w:w="1594" w:type="dxa"/>
          </w:tcPr>
          <w:p w14:paraId="614AEE0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Brisbane</w:t>
            </w:r>
          </w:p>
        </w:tc>
        <w:tc>
          <w:tcPr>
            <w:tcW w:w="992" w:type="dxa"/>
          </w:tcPr>
          <w:p w14:paraId="129ABAA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01R</w:t>
            </w:r>
          </w:p>
        </w:tc>
        <w:tc>
          <w:tcPr>
            <w:tcW w:w="3969" w:type="dxa"/>
          </w:tcPr>
          <w:p w14:paraId="54F70A9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M &amp; X RWY 01R (AR) (0.3)</w:t>
            </w:r>
          </w:p>
        </w:tc>
        <w:tc>
          <w:tcPr>
            <w:tcW w:w="1559" w:type="dxa"/>
          </w:tcPr>
          <w:p w14:paraId="245DCA4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34286E98" w14:textId="77777777" w:rsidTr="00695A13">
        <w:tc>
          <w:tcPr>
            <w:tcW w:w="1095" w:type="dxa"/>
          </w:tcPr>
          <w:p w14:paraId="6B277EE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YBBN</w:t>
            </w:r>
          </w:p>
        </w:tc>
        <w:tc>
          <w:tcPr>
            <w:tcW w:w="1594" w:type="dxa"/>
          </w:tcPr>
          <w:p w14:paraId="653C3C0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Brisbane</w:t>
            </w:r>
          </w:p>
        </w:tc>
        <w:tc>
          <w:tcPr>
            <w:tcW w:w="992" w:type="dxa"/>
          </w:tcPr>
          <w:p w14:paraId="52D7F01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19L</w:t>
            </w:r>
          </w:p>
        </w:tc>
        <w:tc>
          <w:tcPr>
            <w:tcW w:w="3969" w:type="dxa"/>
          </w:tcPr>
          <w:p w14:paraId="4123C0B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19L (AR) (0.3)</w:t>
            </w:r>
          </w:p>
        </w:tc>
        <w:tc>
          <w:tcPr>
            <w:tcW w:w="1559" w:type="dxa"/>
          </w:tcPr>
          <w:p w14:paraId="13A4CBB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648AC644" w14:textId="77777777" w:rsidTr="00695A13">
        <w:tc>
          <w:tcPr>
            <w:tcW w:w="1095" w:type="dxa"/>
          </w:tcPr>
          <w:p w14:paraId="0E2796C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YBBN</w:t>
            </w:r>
          </w:p>
        </w:tc>
        <w:tc>
          <w:tcPr>
            <w:tcW w:w="1594" w:type="dxa"/>
          </w:tcPr>
          <w:p w14:paraId="1FCF6CA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Brisbane</w:t>
            </w:r>
          </w:p>
        </w:tc>
        <w:tc>
          <w:tcPr>
            <w:tcW w:w="992" w:type="dxa"/>
          </w:tcPr>
          <w:p w14:paraId="7387931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19R</w:t>
            </w:r>
          </w:p>
        </w:tc>
        <w:tc>
          <w:tcPr>
            <w:tcW w:w="3969" w:type="dxa"/>
          </w:tcPr>
          <w:p w14:paraId="3322A61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19R (AR) (0.3)</w:t>
            </w:r>
          </w:p>
        </w:tc>
        <w:tc>
          <w:tcPr>
            <w:tcW w:w="1559" w:type="dxa"/>
          </w:tcPr>
          <w:p w14:paraId="534A4D7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7F36FA23" w14:textId="77777777" w:rsidTr="00695A13">
        <w:tc>
          <w:tcPr>
            <w:tcW w:w="1095" w:type="dxa"/>
          </w:tcPr>
          <w:p w14:paraId="3AE4F81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YBWW</w:t>
            </w:r>
          </w:p>
        </w:tc>
        <w:tc>
          <w:tcPr>
            <w:tcW w:w="1594" w:type="dxa"/>
          </w:tcPr>
          <w:p w14:paraId="7D0E7EF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Wellcamp</w:t>
            </w:r>
          </w:p>
        </w:tc>
        <w:tc>
          <w:tcPr>
            <w:tcW w:w="992" w:type="dxa"/>
          </w:tcPr>
          <w:p w14:paraId="3028D5A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12</w:t>
            </w:r>
          </w:p>
        </w:tc>
        <w:tc>
          <w:tcPr>
            <w:tcW w:w="3969" w:type="dxa"/>
          </w:tcPr>
          <w:p w14:paraId="2999CD2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12 (AR) (0.3 and 0.23)</w:t>
            </w:r>
          </w:p>
        </w:tc>
        <w:tc>
          <w:tcPr>
            <w:tcW w:w="1559" w:type="dxa"/>
          </w:tcPr>
          <w:p w14:paraId="0C60F8D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60133F" w14:paraId="529A2E89" w14:textId="77777777" w:rsidTr="00695A13">
        <w:tc>
          <w:tcPr>
            <w:tcW w:w="1095" w:type="dxa"/>
          </w:tcPr>
          <w:p w14:paraId="7B270D18"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YBRM</w:t>
            </w:r>
          </w:p>
        </w:tc>
        <w:tc>
          <w:tcPr>
            <w:tcW w:w="1594" w:type="dxa"/>
          </w:tcPr>
          <w:p w14:paraId="242E3FA4"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Broome</w:t>
            </w:r>
          </w:p>
        </w:tc>
        <w:tc>
          <w:tcPr>
            <w:tcW w:w="992" w:type="dxa"/>
          </w:tcPr>
          <w:p w14:paraId="1D4C3C0A"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10</w:t>
            </w:r>
          </w:p>
        </w:tc>
        <w:tc>
          <w:tcPr>
            <w:tcW w:w="3969" w:type="dxa"/>
          </w:tcPr>
          <w:p w14:paraId="10A80DB9"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U RWY 10 (AR) (0.3)</w:t>
            </w:r>
          </w:p>
        </w:tc>
        <w:tc>
          <w:tcPr>
            <w:tcW w:w="1559" w:type="dxa"/>
          </w:tcPr>
          <w:p w14:paraId="1A232DA1" w14:textId="77777777" w:rsidR="0055155F" w:rsidRPr="0060133F" w:rsidRDefault="0055155F" w:rsidP="00695A13">
            <w:pPr>
              <w:rPr>
                <w:rFonts w:asciiTheme="minorHAnsi" w:hAnsiTheme="minorHAnsi" w:cstheme="minorHAnsi"/>
                <w:szCs w:val="20"/>
              </w:rPr>
            </w:pPr>
            <w:r w:rsidRPr="00077BB0">
              <w:rPr>
                <w:rFonts w:asciiTheme="minorHAnsi" w:hAnsiTheme="minorHAnsi" w:cstheme="minorHAnsi"/>
                <w:szCs w:val="20"/>
              </w:rPr>
              <w:t>1</w:t>
            </w:r>
          </w:p>
        </w:tc>
      </w:tr>
      <w:tr w:rsidR="0055155F" w:rsidRPr="00D831F4" w14:paraId="3F4FE9E8" w14:textId="77777777" w:rsidTr="00695A13">
        <w:tc>
          <w:tcPr>
            <w:tcW w:w="1095" w:type="dxa"/>
          </w:tcPr>
          <w:p w14:paraId="7FF82EAF"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YBRM</w:t>
            </w:r>
          </w:p>
        </w:tc>
        <w:tc>
          <w:tcPr>
            <w:tcW w:w="1594" w:type="dxa"/>
          </w:tcPr>
          <w:p w14:paraId="6F23E582"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Broome</w:t>
            </w:r>
          </w:p>
        </w:tc>
        <w:tc>
          <w:tcPr>
            <w:tcW w:w="992" w:type="dxa"/>
          </w:tcPr>
          <w:p w14:paraId="4F28A8D5"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28</w:t>
            </w:r>
          </w:p>
        </w:tc>
        <w:tc>
          <w:tcPr>
            <w:tcW w:w="3969" w:type="dxa"/>
          </w:tcPr>
          <w:p w14:paraId="65E1CFEA"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U RWY 28 (AR) (0.3 and 0.1)</w:t>
            </w:r>
          </w:p>
        </w:tc>
        <w:tc>
          <w:tcPr>
            <w:tcW w:w="1559" w:type="dxa"/>
          </w:tcPr>
          <w:p w14:paraId="22F22A5D" w14:textId="77777777" w:rsidR="0055155F" w:rsidRPr="00D831F4" w:rsidRDefault="0055155F" w:rsidP="00695A13">
            <w:pPr>
              <w:rPr>
                <w:rFonts w:asciiTheme="minorHAnsi" w:hAnsiTheme="minorHAnsi" w:cstheme="minorHAnsi"/>
                <w:szCs w:val="20"/>
              </w:rPr>
            </w:pPr>
            <w:r w:rsidRPr="00077BB0">
              <w:rPr>
                <w:rFonts w:asciiTheme="minorHAnsi" w:hAnsiTheme="minorHAnsi" w:cstheme="minorHAnsi"/>
                <w:szCs w:val="20"/>
              </w:rPr>
              <w:t>1</w:t>
            </w:r>
          </w:p>
        </w:tc>
      </w:tr>
      <w:tr w:rsidR="0055155F" w:rsidRPr="00D831F4" w14:paraId="1708B592" w14:textId="77777777" w:rsidTr="00695A13">
        <w:tc>
          <w:tcPr>
            <w:tcW w:w="1095" w:type="dxa"/>
          </w:tcPr>
          <w:p w14:paraId="77CD44F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YBCS</w:t>
            </w:r>
          </w:p>
        </w:tc>
        <w:tc>
          <w:tcPr>
            <w:tcW w:w="1594" w:type="dxa"/>
          </w:tcPr>
          <w:p w14:paraId="18DCAAB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Cairns</w:t>
            </w:r>
          </w:p>
        </w:tc>
        <w:tc>
          <w:tcPr>
            <w:tcW w:w="992" w:type="dxa"/>
          </w:tcPr>
          <w:p w14:paraId="648D7A8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15</w:t>
            </w:r>
          </w:p>
        </w:tc>
        <w:tc>
          <w:tcPr>
            <w:tcW w:w="3969" w:type="dxa"/>
          </w:tcPr>
          <w:p w14:paraId="22A3782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&amp; X RWY 15 (AR) (0.3)</w:t>
            </w:r>
          </w:p>
        </w:tc>
        <w:tc>
          <w:tcPr>
            <w:tcW w:w="1559" w:type="dxa"/>
          </w:tcPr>
          <w:p w14:paraId="7445061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72FBE14F" w14:textId="77777777" w:rsidTr="00695A13">
        <w:tc>
          <w:tcPr>
            <w:tcW w:w="1095" w:type="dxa"/>
          </w:tcPr>
          <w:p w14:paraId="442A618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YBCS</w:t>
            </w:r>
          </w:p>
        </w:tc>
        <w:tc>
          <w:tcPr>
            <w:tcW w:w="1594" w:type="dxa"/>
          </w:tcPr>
          <w:p w14:paraId="28EB65E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Cairns</w:t>
            </w:r>
          </w:p>
        </w:tc>
        <w:tc>
          <w:tcPr>
            <w:tcW w:w="992" w:type="dxa"/>
          </w:tcPr>
          <w:p w14:paraId="69B2540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33</w:t>
            </w:r>
          </w:p>
        </w:tc>
        <w:tc>
          <w:tcPr>
            <w:tcW w:w="3969" w:type="dxa"/>
          </w:tcPr>
          <w:p w14:paraId="794E279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X &amp; Y RWY 33 (AR) (0.3)</w:t>
            </w:r>
          </w:p>
        </w:tc>
        <w:tc>
          <w:tcPr>
            <w:tcW w:w="1559" w:type="dxa"/>
          </w:tcPr>
          <w:p w14:paraId="4652D68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7935DCF4" w14:textId="77777777" w:rsidTr="00695A13">
        <w:tc>
          <w:tcPr>
            <w:tcW w:w="1095" w:type="dxa"/>
          </w:tcPr>
          <w:p w14:paraId="43FF9AB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YSCB</w:t>
            </w:r>
          </w:p>
        </w:tc>
        <w:tc>
          <w:tcPr>
            <w:tcW w:w="1594" w:type="dxa"/>
          </w:tcPr>
          <w:p w14:paraId="3FDF6AF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Canberra</w:t>
            </w:r>
          </w:p>
        </w:tc>
        <w:tc>
          <w:tcPr>
            <w:tcW w:w="992" w:type="dxa"/>
          </w:tcPr>
          <w:p w14:paraId="79179C0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17</w:t>
            </w:r>
          </w:p>
        </w:tc>
        <w:tc>
          <w:tcPr>
            <w:tcW w:w="3969" w:type="dxa"/>
          </w:tcPr>
          <w:p w14:paraId="19C9ED5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X &amp; Y RWY 17 (AR) (0.3 and 0.11)</w:t>
            </w:r>
          </w:p>
        </w:tc>
        <w:tc>
          <w:tcPr>
            <w:tcW w:w="1559" w:type="dxa"/>
          </w:tcPr>
          <w:p w14:paraId="72A32E5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559ED274" w14:textId="77777777" w:rsidTr="00695A13">
        <w:tc>
          <w:tcPr>
            <w:tcW w:w="1095" w:type="dxa"/>
          </w:tcPr>
          <w:p w14:paraId="226A679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YSCB</w:t>
            </w:r>
          </w:p>
        </w:tc>
        <w:tc>
          <w:tcPr>
            <w:tcW w:w="1594" w:type="dxa"/>
          </w:tcPr>
          <w:p w14:paraId="6713E0F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Canberra</w:t>
            </w:r>
          </w:p>
        </w:tc>
        <w:tc>
          <w:tcPr>
            <w:tcW w:w="992" w:type="dxa"/>
          </w:tcPr>
          <w:p w14:paraId="00A9716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35</w:t>
            </w:r>
          </w:p>
        </w:tc>
        <w:tc>
          <w:tcPr>
            <w:tcW w:w="3969" w:type="dxa"/>
          </w:tcPr>
          <w:p w14:paraId="7F6FDC1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X &amp; Y RWY 35 (AR) (0.3 and 0.11)</w:t>
            </w:r>
          </w:p>
        </w:tc>
        <w:tc>
          <w:tcPr>
            <w:tcW w:w="1559" w:type="dxa"/>
          </w:tcPr>
          <w:p w14:paraId="015C867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60133F" w14:paraId="3887D8B8" w14:textId="77777777" w:rsidTr="00695A13">
        <w:tc>
          <w:tcPr>
            <w:tcW w:w="1095" w:type="dxa"/>
          </w:tcPr>
          <w:p w14:paraId="48FC7C77"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YPDN</w:t>
            </w:r>
          </w:p>
        </w:tc>
        <w:tc>
          <w:tcPr>
            <w:tcW w:w="1594" w:type="dxa"/>
          </w:tcPr>
          <w:p w14:paraId="193FBBBF"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Darwin</w:t>
            </w:r>
          </w:p>
        </w:tc>
        <w:tc>
          <w:tcPr>
            <w:tcW w:w="992" w:type="dxa"/>
          </w:tcPr>
          <w:p w14:paraId="3D12520C"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11</w:t>
            </w:r>
          </w:p>
        </w:tc>
        <w:tc>
          <w:tcPr>
            <w:tcW w:w="3969" w:type="dxa"/>
          </w:tcPr>
          <w:p w14:paraId="02E27107"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Y &amp; X RWY 11 (AR) (0.3 and 0.15)</w:t>
            </w:r>
          </w:p>
        </w:tc>
        <w:tc>
          <w:tcPr>
            <w:tcW w:w="1559" w:type="dxa"/>
          </w:tcPr>
          <w:p w14:paraId="4416C4C7"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2</w:t>
            </w:r>
          </w:p>
        </w:tc>
      </w:tr>
      <w:tr w:rsidR="0055155F" w:rsidRPr="00D831F4" w14:paraId="5A79788D" w14:textId="77777777" w:rsidTr="00695A13">
        <w:tc>
          <w:tcPr>
            <w:tcW w:w="1095" w:type="dxa"/>
          </w:tcPr>
          <w:p w14:paraId="4E91CDD4"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YPDN</w:t>
            </w:r>
          </w:p>
        </w:tc>
        <w:tc>
          <w:tcPr>
            <w:tcW w:w="1594" w:type="dxa"/>
          </w:tcPr>
          <w:p w14:paraId="4A9226B1"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Darwin</w:t>
            </w:r>
          </w:p>
        </w:tc>
        <w:tc>
          <w:tcPr>
            <w:tcW w:w="992" w:type="dxa"/>
          </w:tcPr>
          <w:p w14:paraId="63E3249F"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29</w:t>
            </w:r>
          </w:p>
        </w:tc>
        <w:tc>
          <w:tcPr>
            <w:tcW w:w="3969" w:type="dxa"/>
          </w:tcPr>
          <w:p w14:paraId="1C00DD2D"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Y &amp; X RWY 29 (AR) (0.3 and 0.15)</w:t>
            </w:r>
          </w:p>
        </w:tc>
        <w:tc>
          <w:tcPr>
            <w:tcW w:w="1559" w:type="dxa"/>
          </w:tcPr>
          <w:p w14:paraId="6831D306" w14:textId="77777777" w:rsidR="0055155F" w:rsidRPr="00D831F4" w:rsidRDefault="0055155F" w:rsidP="00695A13">
            <w:pPr>
              <w:rPr>
                <w:rFonts w:asciiTheme="minorHAnsi" w:hAnsiTheme="minorHAnsi" w:cstheme="minorHAnsi"/>
                <w:szCs w:val="20"/>
              </w:rPr>
            </w:pPr>
            <w:r w:rsidRPr="00077BB0">
              <w:rPr>
                <w:rFonts w:asciiTheme="minorHAnsi" w:hAnsiTheme="minorHAnsi" w:cstheme="minorHAnsi"/>
                <w:szCs w:val="20"/>
              </w:rPr>
              <w:t>2</w:t>
            </w:r>
          </w:p>
        </w:tc>
      </w:tr>
      <w:tr w:rsidR="0055155F" w:rsidRPr="00D831F4" w14:paraId="10081527" w14:textId="77777777" w:rsidTr="00695A13">
        <w:tc>
          <w:tcPr>
            <w:tcW w:w="1095" w:type="dxa"/>
          </w:tcPr>
          <w:p w14:paraId="01129E3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YBCG</w:t>
            </w:r>
          </w:p>
        </w:tc>
        <w:tc>
          <w:tcPr>
            <w:tcW w:w="1594" w:type="dxa"/>
          </w:tcPr>
          <w:p w14:paraId="424CEB3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Gold Coast</w:t>
            </w:r>
          </w:p>
        </w:tc>
        <w:tc>
          <w:tcPr>
            <w:tcW w:w="992" w:type="dxa"/>
          </w:tcPr>
          <w:p w14:paraId="1BE8762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14</w:t>
            </w:r>
          </w:p>
        </w:tc>
        <w:tc>
          <w:tcPr>
            <w:tcW w:w="3969" w:type="dxa"/>
          </w:tcPr>
          <w:p w14:paraId="4009549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Y &amp; W RWY 14 (AR) (0.3 and 0.11)</w:t>
            </w:r>
          </w:p>
        </w:tc>
        <w:tc>
          <w:tcPr>
            <w:tcW w:w="1559" w:type="dxa"/>
          </w:tcPr>
          <w:p w14:paraId="40FEF4F4"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1C7E3002" w14:textId="77777777" w:rsidTr="00695A13">
        <w:tc>
          <w:tcPr>
            <w:tcW w:w="1095" w:type="dxa"/>
          </w:tcPr>
          <w:p w14:paraId="21202AD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YBCG</w:t>
            </w:r>
          </w:p>
        </w:tc>
        <w:tc>
          <w:tcPr>
            <w:tcW w:w="1594" w:type="dxa"/>
          </w:tcPr>
          <w:p w14:paraId="6A188AB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Gold Coast</w:t>
            </w:r>
          </w:p>
        </w:tc>
        <w:tc>
          <w:tcPr>
            <w:tcW w:w="992" w:type="dxa"/>
          </w:tcPr>
          <w:p w14:paraId="4A8E7E0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32</w:t>
            </w:r>
          </w:p>
        </w:tc>
        <w:tc>
          <w:tcPr>
            <w:tcW w:w="3969" w:type="dxa"/>
          </w:tcPr>
          <w:p w14:paraId="57867DF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&amp; Y RWY 32 (AR) (0.3 and 0.2)</w:t>
            </w:r>
          </w:p>
        </w:tc>
        <w:tc>
          <w:tcPr>
            <w:tcW w:w="1559" w:type="dxa"/>
          </w:tcPr>
          <w:p w14:paraId="5D9AF38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3D9B9696" w14:textId="77777777" w:rsidTr="00695A13">
        <w:tc>
          <w:tcPr>
            <w:tcW w:w="1095" w:type="dxa"/>
          </w:tcPr>
          <w:p w14:paraId="300470A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YBHM</w:t>
            </w:r>
          </w:p>
        </w:tc>
        <w:tc>
          <w:tcPr>
            <w:tcW w:w="1594" w:type="dxa"/>
          </w:tcPr>
          <w:p w14:paraId="35628BC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Hamilton Is</w:t>
            </w:r>
          </w:p>
        </w:tc>
        <w:tc>
          <w:tcPr>
            <w:tcW w:w="992" w:type="dxa"/>
          </w:tcPr>
          <w:p w14:paraId="2099850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14</w:t>
            </w:r>
          </w:p>
        </w:tc>
        <w:tc>
          <w:tcPr>
            <w:tcW w:w="3969" w:type="dxa"/>
          </w:tcPr>
          <w:p w14:paraId="3C91EDD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P, U, W &amp; Y RWY 14 (AR) (0.3)</w:t>
            </w:r>
          </w:p>
        </w:tc>
        <w:tc>
          <w:tcPr>
            <w:tcW w:w="1559" w:type="dxa"/>
          </w:tcPr>
          <w:p w14:paraId="455DE15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4</w:t>
            </w:r>
          </w:p>
        </w:tc>
      </w:tr>
      <w:tr w:rsidR="0055155F" w:rsidRPr="00D831F4" w14:paraId="66C90EC5" w14:textId="77777777" w:rsidTr="00695A13">
        <w:tc>
          <w:tcPr>
            <w:tcW w:w="1095" w:type="dxa"/>
          </w:tcPr>
          <w:p w14:paraId="14ECBE4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YBHM</w:t>
            </w:r>
          </w:p>
        </w:tc>
        <w:tc>
          <w:tcPr>
            <w:tcW w:w="1594" w:type="dxa"/>
          </w:tcPr>
          <w:p w14:paraId="594B7B3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Hamilton Is</w:t>
            </w:r>
          </w:p>
        </w:tc>
        <w:tc>
          <w:tcPr>
            <w:tcW w:w="992" w:type="dxa"/>
          </w:tcPr>
          <w:p w14:paraId="3FC297E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32</w:t>
            </w:r>
          </w:p>
        </w:tc>
        <w:tc>
          <w:tcPr>
            <w:tcW w:w="3969" w:type="dxa"/>
          </w:tcPr>
          <w:p w14:paraId="274AC8E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U, W &amp; X RWY 32 (AR) (0.3)</w:t>
            </w:r>
          </w:p>
        </w:tc>
        <w:tc>
          <w:tcPr>
            <w:tcW w:w="1559" w:type="dxa"/>
          </w:tcPr>
          <w:p w14:paraId="7B0AC23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w:t>
            </w:r>
          </w:p>
        </w:tc>
      </w:tr>
      <w:tr w:rsidR="0055155F" w:rsidRPr="00D831F4" w14:paraId="421E9D6C" w14:textId="77777777" w:rsidTr="00695A13">
        <w:tc>
          <w:tcPr>
            <w:tcW w:w="1095" w:type="dxa"/>
          </w:tcPr>
          <w:p w14:paraId="4A48794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YMML</w:t>
            </w:r>
          </w:p>
        </w:tc>
        <w:tc>
          <w:tcPr>
            <w:tcW w:w="1594" w:type="dxa"/>
          </w:tcPr>
          <w:p w14:paraId="596261B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Melbourne</w:t>
            </w:r>
          </w:p>
        </w:tc>
        <w:tc>
          <w:tcPr>
            <w:tcW w:w="992" w:type="dxa"/>
          </w:tcPr>
          <w:p w14:paraId="2E4C05D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16</w:t>
            </w:r>
          </w:p>
        </w:tc>
        <w:tc>
          <w:tcPr>
            <w:tcW w:w="3969" w:type="dxa"/>
          </w:tcPr>
          <w:p w14:paraId="3589112D"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M &amp; P RWY 16 (AR) (0.3 and 0.11)</w:t>
            </w:r>
          </w:p>
        </w:tc>
        <w:tc>
          <w:tcPr>
            <w:tcW w:w="1559" w:type="dxa"/>
          </w:tcPr>
          <w:p w14:paraId="6664BFC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60133F" w14:paraId="04A587E3" w14:textId="77777777" w:rsidTr="00695A13">
        <w:tc>
          <w:tcPr>
            <w:tcW w:w="1095" w:type="dxa"/>
          </w:tcPr>
          <w:p w14:paraId="2B8A076F"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YBMA</w:t>
            </w:r>
          </w:p>
        </w:tc>
        <w:tc>
          <w:tcPr>
            <w:tcW w:w="1594" w:type="dxa"/>
          </w:tcPr>
          <w:p w14:paraId="694C06F0"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Mount Isa</w:t>
            </w:r>
          </w:p>
        </w:tc>
        <w:tc>
          <w:tcPr>
            <w:tcW w:w="992" w:type="dxa"/>
          </w:tcPr>
          <w:p w14:paraId="24B30852"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16</w:t>
            </w:r>
          </w:p>
        </w:tc>
        <w:tc>
          <w:tcPr>
            <w:tcW w:w="3969" w:type="dxa"/>
          </w:tcPr>
          <w:p w14:paraId="0352F12F"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U RWY 16 (AR) (0.3 and 0.2)</w:t>
            </w:r>
          </w:p>
        </w:tc>
        <w:tc>
          <w:tcPr>
            <w:tcW w:w="1559" w:type="dxa"/>
          </w:tcPr>
          <w:p w14:paraId="1FFB3ED0"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1</w:t>
            </w:r>
          </w:p>
        </w:tc>
      </w:tr>
      <w:tr w:rsidR="0055155F" w:rsidRPr="00D831F4" w14:paraId="5B974A52" w14:textId="77777777" w:rsidTr="00695A13">
        <w:tc>
          <w:tcPr>
            <w:tcW w:w="1095" w:type="dxa"/>
          </w:tcPr>
          <w:p w14:paraId="5D5ABD2B"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YBMA</w:t>
            </w:r>
          </w:p>
        </w:tc>
        <w:tc>
          <w:tcPr>
            <w:tcW w:w="1594" w:type="dxa"/>
          </w:tcPr>
          <w:p w14:paraId="7D18132D"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Mount Isa</w:t>
            </w:r>
          </w:p>
        </w:tc>
        <w:tc>
          <w:tcPr>
            <w:tcW w:w="992" w:type="dxa"/>
          </w:tcPr>
          <w:p w14:paraId="1FA4AF85"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34</w:t>
            </w:r>
          </w:p>
        </w:tc>
        <w:tc>
          <w:tcPr>
            <w:tcW w:w="3969" w:type="dxa"/>
          </w:tcPr>
          <w:p w14:paraId="0BEE32B3" w14:textId="77777777" w:rsidR="0055155F" w:rsidRPr="00077BB0" w:rsidRDefault="0055155F" w:rsidP="00695A13">
            <w:pPr>
              <w:rPr>
                <w:rFonts w:asciiTheme="minorHAnsi" w:hAnsiTheme="minorHAnsi" w:cstheme="minorHAnsi"/>
                <w:szCs w:val="20"/>
              </w:rPr>
            </w:pPr>
            <w:r w:rsidRPr="00077BB0">
              <w:rPr>
                <w:rFonts w:asciiTheme="minorHAnsi" w:hAnsiTheme="minorHAnsi" w:cstheme="minorHAnsi"/>
                <w:szCs w:val="20"/>
              </w:rPr>
              <w:t>RNP U RWY 34 (AR) (0.3, 0.2 and 0.15)</w:t>
            </w:r>
          </w:p>
        </w:tc>
        <w:tc>
          <w:tcPr>
            <w:tcW w:w="1559" w:type="dxa"/>
          </w:tcPr>
          <w:p w14:paraId="4C1BA50A" w14:textId="77777777" w:rsidR="0055155F" w:rsidRPr="00D831F4" w:rsidRDefault="0055155F" w:rsidP="00695A13">
            <w:pPr>
              <w:rPr>
                <w:rFonts w:asciiTheme="minorHAnsi" w:hAnsiTheme="minorHAnsi" w:cstheme="minorHAnsi"/>
                <w:szCs w:val="20"/>
              </w:rPr>
            </w:pPr>
            <w:r w:rsidRPr="00077BB0">
              <w:rPr>
                <w:rFonts w:asciiTheme="minorHAnsi" w:hAnsiTheme="minorHAnsi" w:cstheme="minorHAnsi"/>
                <w:szCs w:val="20"/>
              </w:rPr>
              <w:t>1</w:t>
            </w:r>
          </w:p>
        </w:tc>
      </w:tr>
      <w:tr w:rsidR="0055155F" w:rsidRPr="00D831F4" w14:paraId="3441960D" w14:textId="77777777" w:rsidTr="00695A13">
        <w:tc>
          <w:tcPr>
            <w:tcW w:w="1095" w:type="dxa"/>
          </w:tcPr>
          <w:p w14:paraId="560B15E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YSNF</w:t>
            </w:r>
          </w:p>
        </w:tc>
        <w:tc>
          <w:tcPr>
            <w:tcW w:w="1594" w:type="dxa"/>
          </w:tcPr>
          <w:p w14:paraId="0253871A"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Norfolk Is</w:t>
            </w:r>
          </w:p>
        </w:tc>
        <w:tc>
          <w:tcPr>
            <w:tcW w:w="992" w:type="dxa"/>
          </w:tcPr>
          <w:p w14:paraId="5972978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11</w:t>
            </w:r>
          </w:p>
        </w:tc>
        <w:tc>
          <w:tcPr>
            <w:tcW w:w="3969" w:type="dxa"/>
          </w:tcPr>
          <w:p w14:paraId="1C2D1BC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11 (AR) (0.3, 0.2 and 0.1)</w:t>
            </w:r>
          </w:p>
        </w:tc>
        <w:tc>
          <w:tcPr>
            <w:tcW w:w="1559" w:type="dxa"/>
          </w:tcPr>
          <w:p w14:paraId="098E543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49F87DC0" w14:textId="77777777" w:rsidTr="00695A13">
        <w:tc>
          <w:tcPr>
            <w:tcW w:w="1095" w:type="dxa"/>
          </w:tcPr>
          <w:p w14:paraId="532642E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YSNF</w:t>
            </w:r>
          </w:p>
        </w:tc>
        <w:tc>
          <w:tcPr>
            <w:tcW w:w="1594" w:type="dxa"/>
          </w:tcPr>
          <w:p w14:paraId="7DE2152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Norfolk Is</w:t>
            </w:r>
          </w:p>
        </w:tc>
        <w:tc>
          <w:tcPr>
            <w:tcW w:w="992" w:type="dxa"/>
          </w:tcPr>
          <w:p w14:paraId="6553371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29</w:t>
            </w:r>
          </w:p>
        </w:tc>
        <w:tc>
          <w:tcPr>
            <w:tcW w:w="3969" w:type="dxa"/>
          </w:tcPr>
          <w:p w14:paraId="44753BC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X RWY 29 (AR) (0.3, 0.2 and 0.1)</w:t>
            </w:r>
          </w:p>
        </w:tc>
        <w:tc>
          <w:tcPr>
            <w:tcW w:w="1559" w:type="dxa"/>
          </w:tcPr>
          <w:p w14:paraId="60842E7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23A7FD41" w14:textId="77777777" w:rsidTr="00695A13">
        <w:tc>
          <w:tcPr>
            <w:tcW w:w="1095" w:type="dxa"/>
          </w:tcPr>
          <w:p w14:paraId="5CFD10C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YBSU</w:t>
            </w:r>
          </w:p>
        </w:tc>
        <w:tc>
          <w:tcPr>
            <w:tcW w:w="1594" w:type="dxa"/>
          </w:tcPr>
          <w:p w14:paraId="7378AC6E"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Sunshine Coast</w:t>
            </w:r>
          </w:p>
        </w:tc>
        <w:tc>
          <w:tcPr>
            <w:tcW w:w="992" w:type="dxa"/>
          </w:tcPr>
          <w:p w14:paraId="777BDC8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13</w:t>
            </w:r>
          </w:p>
        </w:tc>
        <w:tc>
          <w:tcPr>
            <w:tcW w:w="3969" w:type="dxa"/>
          </w:tcPr>
          <w:p w14:paraId="65C784C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RWY 13 (AR) (0.3)</w:t>
            </w:r>
          </w:p>
        </w:tc>
        <w:tc>
          <w:tcPr>
            <w:tcW w:w="1559" w:type="dxa"/>
          </w:tcPr>
          <w:p w14:paraId="323E8603"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10452E47" w14:textId="77777777" w:rsidTr="00695A13">
        <w:tc>
          <w:tcPr>
            <w:tcW w:w="1095" w:type="dxa"/>
          </w:tcPr>
          <w:p w14:paraId="7EAB6A1F"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YBSU</w:t>
            </w:r>
          </w:p>
        </w:tc>
        <w:tc>
          <w:tcPr>
            <w:tcW w:w="1594" w:type="dxa"/>
          </w:tcPr>
          <w:p w14:paraId="11131A5B"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Sunshine Coast</w:t>
            </w:r>
          </w:p>
        </w:tc>
        <w:tc>
          <w:tcPr>
            <w:tcW w:w="992" w:type="dxa"/>
          </w:tcPr>
          <w:p w14:paraId="24E6C889"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31</w:t>
            </w:r>
          </w:p>
        </w:tc>
        <w:tc>
          <w:tcPr>
            <w:tcW w:w="3969" w:type="dxa"/>
          </w:tcPr>
          <w:p w14:paraId="44A8017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W &amp; X RWY 31 (AR) (0.3)</w:t>
            </w:r>
          </w:p>
        </w:tc>
        <w:tc>
          <w:tcPr>
            <w:tcW w:w="1559" w:type="dxa"/>
          </w:tcPr>
          <w:p w14:paraId="7C4C257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2</w:t>
            </w:r>
          </w:p>
        </w:tc>
      </w:tr>
      <w:tr w:rsidR="0055155F" w:rsidRPr="00D831F4" w14:paraId="3F829792" w14:textId="77777777" w:rsidTr="00695A13">
        <w:tc>
          <w:tcPr>
            <w:tcW w:w="1095" w:type="dxa"/>
          </w:tcPr>
          <w:p w14:paraId="490D258C"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YBTL</w:t>
            </w:r>
          </w:p>
        </w:tc>
        <w:tc>
          <w:tcPr>
            <w:tcW w:w="1594" w:type="dxa"/>
          </w:tcPr>
          <w:p w14:paraId="186637D7"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Townsville</w:t>
            </w:r>
          </w:p>
        </w:tc>
        <w:tc>
          <w:tcPr>
            <w:tcW w:w="992" w:type="dxa"/>
          </w:tcPr>
          <w:p w14:paraId="2478EDA0"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01</w:t>
            </w:r>
          </w:p>
        </w:tc>
        <w:tc>
          <w:tcPr>
            <w:tcW w:w="3969" w:type="dxa"/>
          </w:tcPr>
          <w:p w14:paraId="4E40E7A5"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P RWY 01 (AR) (0.3 and 0.1)</w:t>
            </w:r>
          </w:p>
        </w:tc>
        <w:tc>
          <w:tcPr>
            <w:tcW w:w="1559" w:type="dxa"/>
          </w:tcPr>
          <w:p w14:paraId="2B037A9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r w:rsidR="0055155F" w:rsidRPr="00D831F4" w14:paraId="75EB781E" w14:textId="77777777" w:rsidTr="00695A13">
        <w:tc>
          <w:tcPr>
            <w:tcW w:w="1095" w:type="dxa"/>
          </w:tcPr>
          <w:p w14:paraId="0FFD960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YBTL</w:t>
            </w:r>
          </w:p>
        </w:tc>
        <w:tc>
          <w:tcPr>
            <w:tcW w:w="1594" w:type="dxa"/>
          </w:tcPr>
          <w:p w14:paraId="0E716A28"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Townsville</w:t>
            </w:r>
          </w:p>
        </w:tc>
        <w:tc>
          <w:tcPr>
            <w:tcW w:w="992" w:type="dxa"/>
          </w:tcPr>
          <w:p w14:paraId="30022B51"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19</w:t>
            </w:r>
          </w:p>
        </w:tc>
        <w:tc>
          <w:tcPr>
            <w:tcW w:w="3969" w:type="dxa"/>
          </w:tcPr>
          <w:p w14:paraId="5E449166"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RNP P RWY 19 (AR) (0.3)</w:t>
            </w:r>
          </w:p>
        </w:tc>
        <w:tc>
          <w:tcPr>
            <w:tcW w:w="1559" w:type="dxa"/>
          </w:tcPr>
          <w:p w14:paraId="078AE122" w14:textId="77777777" w:rsidR="0055155F" w:rsidRPr="00D831F4" w:rsidRDefault="0055155F" w:rsidP="00695A13">
            <w:pPr>
              <w:rPr>
                <w:rFonts w:asciiTheme="minorHAnsi" w:hAnsiTheme="minorHAnsi" w:cstheme="minorHAnsi"/>
                <w:szCs w:val="20"/>
              </w:rPr>
            </w:pPr>
            <w:r w:rsidRPr="00D831F4">
              <w:rPr>
                <w:rFonts w:asciiTheme="minorHAnsi" w:hAnsiTheme="minorHAnsi" w:cstheme="minorHAnsi"/>
                <w:szCs w:val="20"/>
              </w:rPr>
              <w:t>1</w:t>
            </w:r>
          </w:p>
        </w:tc>
      </w:tr>
    </w:tbl>
    <w:p w14:paraId="656BFB86" w14:textId="77777777" w:rsidR="0055155F" w:rsidRPr="00D831F4" w:rsidRDefault="0055155F" w:rsidP="0055155F">
      <w:pPr>
        <w:spacing w:after="120"/>
        <w:rPr>
          <w:rFonts w:asciiTheme="minorHAnsi" w:hAnsiTheme="minorHAnsi" w:cstheme="minorHAnsi"/>
        </w:rPr>
      </w:pPr>
    </w:p>
    <w:p w14:paraId="7A9D41C8" w14:textId="77777777" w:rsidR="0055155F" w:rsidRPr="00D831F4" w:rsidRDefault="0055155F" w:rsidP="0055155F">
      <w:pPr>
        <w:spacing w:after="120"/>
        <w:rPr>
          <w:rFonts w:asciiTheme="minorHAnsi" w:hAnsiTheme="minorHAnsi" w:cstheme="minorHAnsi"/>
        </w:rPr>
      </w:pPr>
      <w:r w:rsidRPr="00D831F4">
        <w:rPr>
          <w:rFonts w:asciiTheme="minorHAnsi" w:hAnsiTheme="minorHAnsi" w:cstheme="minorHAnsi"/>
        </w:rPr>
        <w:t>Notes:</w:t>
      </w:r>
    </w:p>
    <w:p w14:paraId="7DF18A64" w14:textId="2D6BE231" w:rsidR="0055155F" w:rsidRPr="00D831F4" w:rsidRDefault="0010780A" w:rsidP="0055155F">
      <w:pPr>
        <w:pStyle w:val="ListParagraph"/>
        <w:numPr>
          <w:ilvl w:val="0"/>
          <w:numId w:val="105"/>
        </w:numPr>
        <w:rPr>
          <w:rFonts w:cstheme="minorHAnsi"/>
        </w:rPr>
      </w:pPr>
      <w:r>
        <w:rPr>
          <w:rFonts w:cstheme="minorHAnsi"/>
        </w:rPr>
        <w:t>The a</w:t>
      </w:r>
      <w:r w:rsidR="0055155F" w:rsidRPr="00D831F4">
        <w:rPr>
          <w:rFonts w:cstheme="minorHAnsi"/>
        </w:rPr>
        <w:t xml:space="preserve">bove locations are current </w:t>
      </w:r>
      <w:r w:rsidR="008C3EFA">
        <w:rPr>
          <w:rFonts w:cstheme="minorHAnsi"/>
        </w:rPr>
        <w:t>as of</w:t>
      </w:r>
      <w:r w:rsidR="0055155F" w:rsidRPr="00D831F4">
        <w:rPr>
          <w:rFonts w:cstheme="minorHAnsi"/>
        </w:rPr>
        <w:t>(26/07/22 known ILS and RNP approaches requiring radio altimeter use. Airport operators and approach designers may submit additional locations or approaches at any time in the future.</w:t>
      </w:r>
    </w:p>
    <w:p w14:paraId="0CEBAF75" w14:textId="77777777" w:rsidR="0055155F" w:rsidRDefault="0055155F" w:rsidP="00695A13">
      <w:pPr>
        <w:pStyle w:val="Numberedparagraph"/>
        <w:numPr>
          <w:ilvl w:val="0"/>
          <w:numId w:val="0"/>
        </w:numPr>
      </w:pPr>
    </w:p>
    <w:p w14:paraId="257A2C0D" w14:textId="77777777" w:rsidR="0055155F" w:rsidRPr="0069032C" w:rsidRDefault="0055155F">
      <w:pPr>
        <w:pStyle w:val="Numberedparagraph"/>
        <w:numPr>
          <w:ilvl w:val="0"/>
          <w:numId w:val="0"/>
        </w:numPr>
      </w:pPr>
    </w:p>
    <w:sectPr w:rsidR="0055155F" w:rsidRPr="0069032C" w:rsidSect="00C77380">
      <w:headerReference w:type="even" r:id="rId291"/>
      <w:headerReference w:type="default" r:id="rId292"/>
      <w:footerReference w:type="even" r:id="rId293"/>
      <w:footerReference w:type="default" r:id="rId294"/>
      <w:pgSz w:w="11906" w:h="16838" w:code="9"/>
      <w:pgMar w:top="1945" w:right="3101" w:bottom="1134" w:left="1134" w:header="709" w:footer="11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CEA36" w14:textId="77777777" w:rsidR="00B54BC0" w:rsidRDefault="00B54BC0">
      <w:r>
        <w:separator/>
      </w:r>
    </w:p>
  </w:endnote>
  <w:endnote w:type="continuationSeparator" w:id="0">
    <w:p w14:paraId="36A642EA" w14:textId="77777777" w:rsidR="00B54BC0" w:rsidRDefault="00B54BC0">
      <w:r>
        <w:continuationSeparator/>
      </w:r>
    </w:p>
  </w:endnote>
  <w:endnote w:type="continuationNotice" w:id="1">
    <w:p w14:paraId="7CBAB454" w14:textId="77777777" w:rsidR="00B54BC0" w:rsidRDefault="00B54B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altName w:val="Arial"/>
    <w:panose1 w:val="00000000000000000000"/>
    <w:charset w:val="00"/>
    <w:family w:val="swiss"/>
    <w:notTrueType/>
    <w:pitch w:val="variable"/>
    <w:sig w:usb0="800000AF" w:usb1="4000204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MathJax_Main">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85F1C" w14:textId="77777777" w:rsidR="005E250B" w:rsidRDefault="005E250B" w:rsidP="005E250B">
    <w:pPr>
      <w:pStyle w:val="Footer"/>
      <w:jc w:val="right"/>
    </w:pPr>
    <w:r w:rsidRPr="005E250B">
      <w:rPr>
        <w:noProof/>
        <w:vertAlign w:val="subscript"/>
      </w:rPr>
      <w:drawing>
        <wp:inline distT="0" distB="0" distL="0" distR="0" wp14:anchorId="5C247166" wp14:editId="7D1F3FB3">
          <wp:extent cx="1066800" cy="277368"/>
          <wp:effectExtent l="0" t="0" r="0" b="0"/>
          <wp:docPr id="15" name="Picture 15"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3DDEB" w14:textId="77777777" w:rsidR="00C053A1" w:rsidRDefault="00C053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EFEBA" w14:textId="77777777" w:rsidR="00C053A1" w:rsidRDefault="00C053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8E633" w14:textId="77777777" w:rsidR="00971914" w:rsidRPr="00622A3B" w:rsidRDefault="00971914"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iv</w:t>
    </w:r>
    <w:r w:rsidRPr="002E4DDC">
      <w:rPr>
        <w:color w:val="505050"/>
      </w:rPr>
      <w:fldChar w:fldCharType="end"/>
    </w:r>
  </w:p>
  <w:p w14:paraId="7BE4022C" w14:textId="77777777" w:rsidR="00C053A1" w:rsidRPr="00A5474E" w:rsidRDefault="00C053A1"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D67B2" w14:textId="77777777" w:rsidR="00971914" w:rsidRPr="00622A3B" w:rsidRDefault="00971914"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0C6AB4">
      <w:rPr>
        <w:noProof/>
        <w:color w:val="505050"/>
      </w:rPr>
      <w:t>v</w:t>
    </w:r>
    <w:r w:rsidRPr="002E4DDC">
      <w:rPr>
        <w:color w:val="505050"/>
      </w:rPr>
      <w:fldChar w:fldCharType="end"/>
    </w:r>
  </w:p>
  <w:p w14:paraId="44400DAD" w14:textId="77777777" w:rsidR="00C053A1" w:rsidRPr="00A5474E" w:rsidRDefault="00C053A1"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2CEEB" w14:textId="77777777" w:rsidR="00C053A1" w:rsidRPr="00622A3B" w:rsidRDefault="00C053A1"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DD1A43">
      <w:rPr>
        <w:noProof/>
        <w:color w:val="505050"/>
      </w:rPr>
      <w:t>iii</w:t>
    </w:r>
    <w:r w:rsidRPr="002E4DDC">
      <w:rPr>
        <w:color w:val="505050"/>
      </w:rPr>
      <w:fldChar w:fldCharType="end"/>
    </w:r>
  </w:p>
  <w:p w14:paraId="7FC8F13F" w14:textId="77777777" w:rsidR="00C053A1" w:rsidRPr="00A5474E" w:rsidRDefault="00C053A1"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1137" w14:textId="77777777" w:rsidR="00C053A1" w:rsidRPr="00622A3B" w:rsidRDefault="00C053A1"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sidR="00DD1A43">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5FF9529B" w14:textId="77777777" w:rsidR="00C053A1" w:rsidRPr="00A5474E" w:rsidRDefault="00C053A1" w:rsidP="00A5474E">
    <w:pPr>
      <w:pStyle w:val="Footer"/>
    </w:pPr>
  </w:p>
  <w:p w14:paraId="538571E0" w14:textId="77777777" w:rsidR="002957A9" w:rsidRDefault="002957A9"/>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79B82" w14:textId="77777777" w:rsidR="00C053A1" w:rsidRPr="00622A3B" w:rsidRDefault="00C053A1"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sidR="00DD1A43">
      <w:rPr>
        <w:noProof/>
        <w:color w:val="505050"/>
      </w:rPr>
      <w:t>1</w:t>
    </w:r>
    <w:r w:rsidRPr="00575AC5">
      <w:rPr>
        <w:color w:val="505050"/>
      </w:rPr>
      <w:fldChar w:fldCharType="end"/>
    </w:r>
  </w:p>
  <w:p w14:paraId="5205B30D" w14:textId="77777777" w:rsidR="00C053A1" w:rsidRPr="00A5474E" w:rsidRDefault="00C053A1" w:rsidP="00A5474E">
    <w:pPr>
      <w:pStyle w:val="Footer"/>
    </w:pPr>
  </w:p>
  <w:p w14:paraId="23E0CAE0" w14:textId="77777777" w:rsidR="002957A9" w:rsidRDefault="002957A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97F7C7" w14:textId="77777777" w:rsidR="00B54BC0" w:rsidRDefault="00B54BC0" w:rsidP="00DB3A64">
      <w:pPr>
        <w:spacing w:after="0"/>
      </w:pPr>
      <w:r>
        <w:separator/>
      </w:r>
    </w:p>
  </w:footnote>
  <w:footnote w:type="continuationSeparator" w:id="0">
    <w:p w14:paraId="5986EC5B" w14:textId="77777777" w:rsidR="00B54BC0" w:rsidRDefault="00B54BC0">
      <w:r>
        <w:continuationSeparator/>
      </w:r>
    </w:p>
  </w:footnote>
  <w:footnote w:type="continuationNotice" w:id="1">
    <w:p w14:paraId="61EDCCD9" w14:textId="77777777" w:rsidR="00B54BC0" w:rsidRDefault="00B54BC0">
      <w:pPr>
        <w:spacing w:after="0" w:line="240" w:lineRule="auto"/>
      </w:pPr>
    </w:p>
  </w:footnote>
  <w:footnote w:id="2">
    <w:p w14:paraId="52E3CDF7" w14:textId="77777777" w:rsidR="008E2AB9" w:rsidRDefault="008E2AB9" w:rsidP="008E2AB9">
      <w:pPr>
        <w:pStyle w:val="FootnoteText"/>
      </w:pPr>
      <w:r>
        <w:rPr>
          <w:rStyle w:val="FootnoteReference"/>
        </w:rPr>
        <w:footnoteRef/>
      </w:r>
      <w:r>
        <w:t xml:space="preserve"> Given the lack of availability of detailed RA device data and being able to associate them to specific aircraft, it is not possible to be more definitive on the scale of the extent of poorer performing RAs. </w:t>
      </w:r>
    </w:p>
  </w:footnote>
  <w:footnote w:id="3">
    <w:p w14:paraId="08616E67" w14:textId="77777777" w:rsidR="008E2AB9" w:rsidRDefault="008E2AB9" w:rsidP="008E2AB9">
      <w:pPr>
        <w:pStyle w:val="FootnoteText"/>
      </w:pPr>
      <w:r>
        <w:rPr>
          <w:rStyle w:val="FootnoteReference"/>
        </w:rPr>
        <w:footnoteRef/>
      </w:r>
      <w:r>
        <w:t xml:space="preserve"> See the RTCA, AVSI and Japanese ‘blackbox’ testing in Appendices B and C. </w:t>
      </w:r>
    </w:p>
  </w:footnote>
  <w:footnote w:id="4">
    <w:p w14:paraId="02E02E24" w14:textId="5BBA81FE" w:rsidR="001C6322" w:rsidRDefault="001C6322">
      <w:pPr>
        <w:pStyle w:val="FootnoteText"/>
      </w:pPr>
      <w:r>
        <w:rPr>
          <w:rStyle w:val="FootnoteReference"/>
        </w:rPr>
        <w:footnoteRef/>
      </w:r>
      <w:r>
        <w:t xml:space="preserve"> The ACMA propose</w:t>
      </w:r>
      <w:r w:rsidR="00F00C19">
        <w:t>s</w:t>
      </w:r>
      <w:r>
        <w:t xml:space="preserve"> to adopt the approach, currently to be specified via RALI MS47 and referenced, as required, in any relevant legislative instruments.  More detail is provided in </w:t>
      </w:r>
      <w:r w:rsidRPr="00F44FC5">
        <w:rPr>
          <w:i/>
          <w:iCs/>
        </w:rPr>
        <w:t>Appendix D</w:t>
      </w:r>
      <w:r>
        <w:t>.</w:t>
      </w:r>
    </w:p>
  </w:footnote>
  <w:footnote w:id="5">
    <w:p w14:paraId="366A0A6B" w14:textId="39E476A6" w:rsidR="008A21E9" w:rsidRDefault="008A21E9">
      <w:pPr>
        <w:pStyle w:val="FootnoteText"/>
      </w:pPr>
      <w:r>
        <w:rPr>
          <w:rStyle w:val="FootnoteReference"/>
        </w:rPr>
        <w:footnoteRef/>
      </w:r>
      <w:r>
        <w:t xml:space="preserve"> The ACMA </w:t>
      </w:r>
      <w:r w:rsidR="003A7029">
        <w:t>acknowledges</w:t>
      </w:r>
      <w:r>
        <w:t xml:space="preserve"> these are </w:t>
      </w:r>
      <w:r w:rsidR="003A7029">
        <w:t>ACMA summaries/interpretations of perceived sectorial views and may not be precisely stated by any single party.</w:t>
      </w:r>
    </w:p>
  </w:footnote>
  <w:footnote w:id="6">
    <w:p w14:paraId="7E9CD7D0" w14:textId="4C3147B2" w:rsidR="000351E3" w:rsidRDefault="000351E3">
      <w:pPr>
        <w:pStyle w:val="FootnoteText"/>
      </w:pPr>
      <w:r>
        <w:rPr>
          <w:rStyle w:val="FootnoteReference"/>
        </w:rPr>
        <w:footnoteRef/>
      </w:r>
      <w:r>
        <w:t xml:space="preserve"> Noting that WBB can operate under fixed or mobile allocations without an IMT identification. </w:t>
      </w:r>
    </w:p>
  </w:footnote>
  <w:footnote w:id="7">
    <w:p w14:paraId="014AF678" w14:textId="77777777" w:rsidR="00DC7513" w:rsidRDefault="00DC7513" w:rsidP="00DC7513">
      <w:pPr>
        <w:pStyle w:val="FootnoteText"/>
      </w:pPr>
      <w:r>
        <w:rPr>
          <w:rStyle w:val="FootnoteReference"/>
        </w:rPr>
        <w:footnoteRef/>
      </w:r>
      <w:r>
        <w:t xml:space="preserve"> Given the lack of availability of detailed RA device data and being able to associate them to specific aircraft, it is not possible to be more definitive on the scale of the extent of poorer performing RAs. </w:t>
      </w:r>
    </w:p>
  </w:footnote>
  <w:footnote w:id="8">
    <w:p w14:paraId="33DE031B" w14:textId="77777777" w:rsidR="00DC7513" w:rsidRDefault="00DC7513" w:rsidP="00DC7513">
      <w:pPr>
        <w:pStyle w:val="FootnoteText"/>
      </w:pPr>
      <w:r>
        <w:rPr>
          <w:rStyle w:val="FootnoteReference"/>
        </w:rPr>
        <w:footnoteRef/>
      </w:r>
      <w:r>
        <w:t xml:space="preserve"> See the RTCA, AVSI and Japanese ‘blackbox’ testing in Appendices B and C. </w:t>
      </w:r>
    </w:p>
  </w:footnote>
  <w:footnote w:id="9">
    <w:p w14:paraId="73418A1A" w14:textId="2BF28237" w:rsidR="00AA0617" w:rsidRDefault="00AA0617">
      <w:pPr>
        <w:pStyle w:val="FootnoteText"/>
      </w:pPr>
      <w:r>
        <w:rPr>
          <w:rStyle w:val="FootnoteReference"/>
        </w:rPr>
        <w:footnoteRef/>
      </w:r>
      <w:r>
        <w:t xml:space="preserve"> 3750 MHz was used as a comparison against French and Canadian examples only and does not represent the frequency range where we propose mitigations.</w:t>
      </w:r>
    </w:p>
  </w:footnote>
  <w:footnote w:id="10">
    <w:p w14:paraId="1CEEC128" w14:textId="6CD84A23" w:rsidR="003B3409" w:rsidRDefault="003B3409" w:rsidP="00C414FD">
      <w:pPr>
        <w:pStyle w:val="FootnoteText"/>
      </w:pPr>
      <w:r>
        <w:rPr>
          <w:rStyle w:val="FootnoteReference"/>
        </w:rPr>
        <w:footnoteRef/>
      </w:r>
      <w:r>
        <w:t xml:space="preserve"> Remote areas</w:t>
      </w:r>
    </w:p>
  </w:footnote>
  <w:footnote w:id="11">
    <w:p w14:paraId="6591E124" w14:textId="77777777" w:rsidR="003B3409" w:rsidRDefault="003B3409" w:rsidP="00A021B2">
      <w:pPr>
        <w:pStyle w:val="FootnoteText"/>
      </w:pPr>
      <w:r>
        <w:rPr>
          <w:rStyle w:val="FootnoteReference"/>
        </w:rPr>
        <w:footnoteRef/>
      </w:r>
      <w:r>
        <w:t xml:space="preserve"> Restricted cell use, metro and regional areas</w:t>
      </w:r>
    </w:p>
  </w:footnote>
  <w:footnote w:id="12">
    <w:p w14:paraId="3F4C61D9" w14:textId="77777777" w:rsidR="003B3409" w:rsidRDefault="003B3409" w:rsidP="003B3409">
      <w:pPr>
        <w:pStyle w:val="FootnoteText"/>
      </w:pPr>
      <w:r>
        <w:rPr>
          <w:rStyle w:val="FootnoteReference"/>
        </w:rPr>
        <w:footnoteRef/>
      </w:r>
      <w:r>
        <w:t xml:space="preserve"> </w:t>
      </w:r>
      <w:r w:rsidRPr="00A021B2">
        <w:t>If the runway width is greater than 24m then the width is equal to the width of the runway.</w:t>
      </w:r>
    </w:p>
  </w:footnote>
  <w:footnote w:id="13">
    <w:p w14:paraId="35B4DF27" w14:textId="77777777" w:rsidR="0069032C" w:rsidRPr="001C294E" w:rsidRDefault="0069032C" w:rsidP="0069032C">
      <w:pPr>
        <w:pStyle w:val="FootnoteText"/>
        <w:rPr>
          <w:lang w:val="en-US"/>
        </w:rPr>
      </w:pPr>
      <w:r>
        <w:rPr>
          <w:rStyle w:val="FootnoteReference"/>
        </w:rPr>
        <w:footnoteRef/>
      </w:r>
      <w:r>
        <w:t xml:space="preserve"> </w:t>
      </w:r>
      <w:r>
        <w:rPr>
          <w:lang w:val="en-US"/>
        </w:rPr>
        <w:t>Much of this material is sourced or based on the RTCA Report (Section 1.1).</w:t>
      </w:r>
    </w:p>
  </w:footnote>
  <w:footnote w:id="14">
    <w:p w14:paraId="44B47471" w14:textId="5382303A" w:rsidR="0099775E" w:rsidRDefault="0099775E">
      <w:pPr>
        <w:pStyle w:val="FootnoteText"/>
      </w:pPr>
      <w:r>
        <w:rPr>
          <w:rStyle w:val="FootnoteReference"/>
        </w:rPr>
        <w:footnoteRef/>
      </w:r>
      <w:r>
        <w:t xml:space="preserve"> Usage Category 1, covering commercial air transport airplanes, both single-aisle and wide-body;  • Usage Category 2, covering all other fixed-wing aircraft not included in Usage Category 1, including regional, business aviation, and general aviation airplanes; and • Usage Category 3, covering both transport and general aviation helicopters.</w:t>
      </w:r>
    </w:p>
  </w:footnote>
  <w:footnote w:id="15">
    <w:p w14:paraId="7332CFFB" w14:textId="77777777" w:rsidR="00DC6810" w:rsidRDefault="00DC6810" w:rsidP="00DC6810">
      <w:pPr>
        <w:pStyle w:val="FootnoteText"/>
      </w:pPr>
      <w:r>
        <w:rPr>
          <w:rStyle w:val="FootnoteReference"/>
        </w:rPr>
        <w:footnoteRef/>
      </w:r>
      <w:r>
        <w:t xml:space="preserve"> See (3) Conclusions of the April 2022 ICAO FSMP CG-RA </w:t>
      </w:r>
      <w:hyperlink r:id="rId1" w:history="1">
        <w:r w:rsidRPr="004D4DBA">
          <w:rPr>
            <w:rStyle w:val="Hyperlink"/>
          </w:rPr>
          <w:t>report</w:t>
        </w:r>
      </w:hyperlink>
    </w:p>
  </w:footnote>
  <w:footnote w:id="16">
    <w:p w14:paraId="3958A43D" w14:textId="388261FB" w:rsidR="00F25C4D" w:rsidRDefault="00F25C4D">
      <w:pPr>
        <w:pStyle w:val="FootnoteText"/>
      </w:pPr>
      <w:r>
        <w:rPr>
          <w:rStyle w:val="FootnoteReference"/>
        </w:rPr>
        <w:footnoteRef/>
      </w:r>
      <w:r>
        <w:t xml:space="preserve"> Detailed in an Airbus presentation to the APT-ICAO web dialogue on radio altimeter coexistence on 23 August 2022</w:t>
      </w:r>
    </w:p>
  </w:footnote>
  <w:footnote w:id="17">
    <w:p w14:paraId="7F7ABFF1" w14:textId="77777777" w:rsidR="00897A17" w:rsidRDefault="00897A17" w:rsidP="00897A17">
      <w:pPr>
        <w:pStyle w:val="FootnoteText"/>
      </w:pPr>
      <w:r>
        <w:rPr>
          <w:rStyle w:val="FootnoteReference"/>
        </w:rPr>
        <w:footnoteRef/>
      </w:r>
      <w:r>
        <w:t xml:space="preserve"> Available in French and Dutch only</w:t>
      </w:r>
    </w:p>
  </w:footnote>
  <w:footnote w:id="18">
    <w:p w14:paraId="411D6BB6" w14:textId="4630D21F" w:rsidR="00F27EEF" w:rsidRDefault="00F27EEF" w:rsidP="00F27EEF">
      <w:pPr>
        <w:pStyle w:val="FootnoteText"/>
      </w:pPr>
      <w:r>
        <w:rPr>
          <w:rStyle w:val="FootnoteReference"/>
        </w:rPr>
        <w:footnoteRef/>
      </w:r>
      <w:r>
        <w:t xml:space="preserve"> Note the </w:t>
      </w:r>
      <w:r w:rsidR="00900E7B">
        <w:t>ANFR</w:t>
      </w:r>
      <w:r w:rsidRPr="008C634A">
        <w:t xml:space="preserve"> </w:t>
      </w:r>
      <w:r>
        <w:t xml:space="preserve">describes their </w:t>
      </w:r>
      <w:r w:rsidRPr="008C634A">
        <w:t>restricted</w:t>
      </w:r>
      <w:r>
        <w:t xml:space="preserve"> zones as</w:t>
      </w:r>
      <w:r w:rsidRPr="008C634A">
        <w:t xml:space="preserve"> “zone de precaution” and exclusion </w:t>
      </w:r>
      <w:r>
        <w:t xml:space="preserve">zones as </w:t>
      </w:r>
      <w:r w:rsidRPr="008C634A">
        <w:t>“zone de securite”</w:t>
      </w:r>
      <w:r>
        <w:t>.</w:t>
      </w:r>
    </w:p>
  </w:footnote>
  <w:footnote w:id="19">
    <w:p w14:paraId="482248EE" w14:textId="3C99C9AB" w:rsidR="005614A2" w:rsidRDefault="005614A2">
      <w:pPr>
        <w:pStyle w:val="FootnoteText"/>
      </w:pPr>
      <w:r>
        <w:rPr>
          <w:rStyle w:val="FootnoteReference"/>
        </w:rPr>
        <w:footnoteRef/>
      </w:r>
      <w:r>
        <w:t xml:space="preserve"> Numerical figures are for a comparative example with French calculations at similar frequencies only</w:t>
      </w:r>
    </w:p>
  </w:footnote>
  <w:footnote w:id="20">
    <w:p w14:paraId="0992632A" w14:textId="32BFA640" w:rsidR="00A765FF" w:rsidRDefault="00A765FF">
      <w:pPr>
        <w:pStyle w:val="FootnoteText"/>
      </w:pPr>
      <w:r>
        <w:rPr>
          <w:rStyle w:val="FootnoteReference"/>
        </w:rPr>
        <w:footnoteRef/>
      </w:r>
      <w:r>
        <w:t xml:space="preserve"> Remote areas only</w:t>
      </w:r>
    </w:p>
  </w:footnote>
  <w:footnote w:id="21">
    <w:p w14:paraId="779A204D" w14:textId="24A1AC08" w:rsidR="008D77F7" w:rsidRDefault="008D77F7" w:rsidP="008D77F7">
      <w:pPr>
        <w:pStyle w:val="FootnoteText"/>
      </w:pPr>
      <w:r>
        <w:rPr>
          <w:rStyle w:val="FootnoteReference"/>
        </w:rPr>
        <w:footnoteRef/>
      </w:r>
      <w:r>
        <w:t xml:space="preserve"> Remote areas only</w:t>
      </w:r>
    </w:p>
  </w:footnote>
  <w:footnote w:id="22">
    <w:p w14:paraId="7229BBEB" w14:textId="6CDD5BCD" w:rsidR="00A765FF" w:rsidRDefault="00A765FF">
      <w:pPr>
        <w:pStyle w:val="FootnoteText"/>
      </w:pPr>
      <w:r>
        <w:rPr>
          <w:rStyle w:val="FootnoteReference"/>
        </w:rPr>
        <w:footnoteRef/>
      </w:r>
      <w:r>
        <w:t xml:space="preserve"> Remote areas only</w:t>
      </w:r>
    </w:p>
  </w:footnote>
  <w:footnote w:id="23">
    <w:p w14:paraId="42066D03" w14:textId="4C9B68E9" w:rsidR="004024AF" w:rsidRDefault="004024AF">
      <w:pPr>
        <w:pStyle w:val="FootnoteText"/>
      </w:pPr>
      <w:r>
        <w:rPr>
          <w:rStyle w:val="FootnoteReference"/>
        </w:rPr>
        <w:footnoteRef/>
      </w:r>
      <w:r>
        <w:t xml:space="preserve"> Remote areas</w:t>
      </w:r>
    </w:p>
  </w:footnote>
  <w:footnote w:id="24">
    <w:p w14:paraId="1F3FC855" w14:textId="278652C0" w:rsidR="004024AF" w:rsidRDefault="004024AF" w:rsidP="00A021B2">
      <w:pPr>
        <w:pStyle w:val="FootnoteText"/>
      </w:pPr>
      <w:r>
        <w:rPr>
          <w:rStyle w:val="FootnoteReference"/>
        </w:rPr>
        <w:footnoteRef/>
      </w:r>
      <w:r>
        <w:t xml:space="preserve"> Restricted cell use, metro and regional areas</w:t>
      </w:r>
    </w:p>
  </w:footnote>
  <w:footnote w:id="25">
    <w:p w14:paraId="12E53B8D" w14:textId="77777777" w:rsidR="004024AF" w:rsidRDefault="004024AF" w:rsidP="004024AF">
      <w:pPr>
        <w:pStyle w:val="FootnoteText"/>
      </w:pPr>
      <w:r>
        <w:rPr>
          <w:rStyle w:val="FootnoteReference"/>
        </w:rPr>
        <w:footnoteRef/>
      </w:r>
      <w:r>
        <w:t xml:space="preserve"> </w:t>
      </w:r>
      <w:r w:rsidRPr="00A021B2">
        <w:t>If the runway width is greater than 24m then the width is equal to the width of the runway.</w:t>
      </w:r>
    </w:p>
  </w:footnote>
  <w:footnote w:id="26">
    <w:p w14:paraId="617147B4" w14:textId="77777777" w:rsidR="00F36348" w:rsidRDefault="00F36348" w:rsidP="00F36348">
      <w:pPr>
        <w:pStyle w:val="FootnoteText"/>
      </w:pPr>
      <w:r>
        <w:rPr>
          <w:rStyle w:val="FootnoteReference"/>
        </w:rPr>
        <w:footnoteRef/>
      </w:r>
      <w:r>
        <w:t xml:space="preserve"> 20 MHz groups together 19.8, 19.9 and 20 MHz</w:t>
      </w:r>
    </w:p>
  </w:footnote>
  <w:footnote w:id="27">
    <w:p w14:paraId="3331545A" w14:textId="2FD37A51" w:rsidR="009B4635" w:rsidRDefault="009B4635">
      <w:pPr>
        <w:pStyle w:val="FootnoteText"/>
      </w:pPr>
      <w:r>
        <w:rPr>
          <w:rStyle w:val="FootnoteReference"/>
        </w:rPr>
        <w:footnoteRef/>
      </w:r>
      <w:r>
        <w:t xml:space="preserve"> </w:t>
      </w:r>
      <w:hyperlink r:id="rId2" w:history="1">
        <w:r w:rsidRPr="009B4635">
          <w:rPr>
            <w:rStyle w:val="Hyperlink"/>
          </w:rPr>
          <w:t>Source</w:t>
        </w:r>
      </w:hyperlink>
      <w:r>
        <w:t xml:space="preserve">, confirmed via </w:t>
      </w:r>
      <w:hyperlink r:id="rId3" w:history="1">
        <w:r w:rsidRPr="009B4635">
          <w:rPr>
            <w:rStyle w:val="Hyperlink"/>
          </w:rPr>
          <w:t>another</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9F497" w14:textId="77777777" w:rsidR="00C053A1" w:rsidRPr="00A5474E" w:rsidRDefault="00C053A1" w:rsidP="00A5474E">
    <w:pPr>
      <w:pStyle w:val="Header"/>
    </w:pPr>
    <w:r>
      <w:rPr>
        <w:noProof/>
      </w:rPr>
      <w:drawing>
        <wp:inline distT="0" distB="0" distL="0" distR="0" wp14:anchorId="605ECA60" wp14:editId="2F86A994">
          <wp:extent cx="6283434" cy="578076"/>
          <wp:effectExtent l="0" t="0" r="3175" b="0"/>
          <wp:docPr id="14" name="Picture 14"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83434" cy="57807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9EAFA" w14:textId="77777777" w:rsidR="00C053A1" w:rsidRPr="00A5474E" w:rsidRDefault="00C053A1"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60E1B" w14:textId="77777777" w:rsidR="00C053A1" w:rsidRDefault="00C053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AB03C" w14:textId="77777777" w:rsidR="00C053A1" w:rsidRDefault="00C053A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4EA82BAE" w14:textId="77777777" w:rsidTr="00695A13">
      <w:trPr>
        <w:trHeight w:hRule="exact" w:val="988"/>
      </w:trPr>
      <w:tc>
        <w:tcPr>
          <w:tcW w:w="7678" w:type="dxa"/>
          <w:shd w:val="clear" w:color="auto" w:fill="auto"/>
        </w:tcPr>
        <w:p w14:paraId="7BE65718" w14:textId="77777777" w:rsidR="00971914" w:rsidRDefault="00971914" w:rsidP="00971914">
          <w:pPr>
            <w:pStyle w:val="Header"/>
          </w:pPr>
        </w:p>
      </w:tc>
    </w:tr>
    <w:tr w:rsidR="00971914" w14:paraId="3D0FED12" w14:textId="77777777" w:rsidTr="00695A13">
      <w:tc>
        <w:tcPr>
          <w:tcW w:w="7678" w:type="dxa"/>
          <w:shd w:val="clear" w:color="auto" w:fill="auto"/>
        </w:tcPr>
        <w:p w14:paraId="24A084B5" w14:textId="77777777" w:rsidR="00971914" w:rsidRDefault="00971914" w:rsidP="00971914">
          <w:pPr>
            <w:pStyle w:val="GridTable31"/>
          </w:pPr>
          <w:r>
            <w:t xml:space="preserve">Contents </w:t>
          </w:r>
          <w:r w:rsidRPr="00915B1C">
            <w:rPr>
              <w:b w:val="0"/>
              <w:spacing w:val="0"/>
              <w:sz w:val="28"/>
              <w:szCs w:val="28"/>
            </w:rPr>
            <w:t>(Continued)</w:t>
          </w:r>
        </w:p>
      </w:tc>
    </w:tr>
    <w:tr w:rsidR="00971914" w14:paraId="423A6BFC" w14:textId="77777777" w:rsidTr="00695A13">
      <w:trPr>
        <w:trHeight w:val="1220"/>
      </w:trPr>
      <w:tc>
        <w:tcPr>
          <w:tcW w:w="7678" w:type="dxa"/>
          <w:shd w:val="clear" w:color="auto" w:fill="auto"/>
        </w:tcPr>
        <w:p w14:paraId="270692CC" w14:textId="77777777" w:rsidR="00971914" w:rsidRDefault="00971914" w:rsidP="00971914"/>
      </w:tc>
    </w:tr>
  </w:tbl>
  <w:p w14:paraId="564D6E26" w14:textId="77777777" w:rsidR="00971914" w:rsidRDefault="00971914"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971914" w14:paraId="45D37B15" w14:textId="77777777" w:rsidTr="00695A13">
      <w:trPr>
        <w:trHeight w:hRule="exact" w:val="988"/>
      </w:trPr>
      <w:tc>
        <w:tcPr>
          <w:tcW w:w="7678" w:type="dxa"/>
          <w:shd w:val="clear" w:color="auto" w:fill="auto"/>
        </w:tcPr>
        <w:p w14:paraId="321AB661" w14:textId="77777777" w:rsidR="00971914" w:rsidRDefault="00971914" w:rsidP="00971914">
          <w:pPr>
            <w:pStyle w:val="Header"/>
          </w:pPr>
        </w:p>
      </w:tc>
    </w:tr>
    <w:tr w:rsidR="00971914" w14:paraId="0B1B9254" w14:textId="77777777" w:rsidTr="00695A13">
      <w:tc>
        <w:tcPr>
          <w:tcW w:w="7678" w:type="dxa"/>
          <w:shd w:val="clear" w:color="auto" w:fill="auto"/>
        </w:tcPr>
        <w:p w14:paraId="5D25B848" w14:textId="77777777" w:rsidR="00971914" w:rsidRDefault="00971914" w:rsidP="00971914">
          <w:pPr>
            <w:pStyle w:val="GridTable31"/>
          </w:pPr>
          <w:r>
            <w:t xml:space="preserve">Contents </w:t>
          </w:r>
          <w:r w:rsidRPr="00915B1C">
            <w:rPr>
              <w:b w:val="0"/>
              <w:spacing w:val="0"/>
              <w:sz w:val="28"/>
              <w:szCs w:val="28"/>
            </w:rPr>
            <w:t>(Continued)</w:t>
          </w:r>
        </w:p>
      </w:tc>
    </w:tr>
    <w:tr w:rsidR="00971914" w14:paraId="352C6E82" w14:textId="77777777" w:rsidTr="00695A13">
      <w:trPr>
        <w:trHeight w:val="1220"/>
      </w:trPr>
      <w:tc>
        <w:tcPr>
          <w:tcW w:w="7678" w:type="dxa"/>
          <w:shd w:val="clear" w:color="auto" w:fill="auto"/>
        </w:tcPr>
        <w:p w14:paraId="3BC950C5" w14:textId="77777777" w:rsidR="00971914" w:rsidRDefault="00971914" w:rsidP="00971914"/>
      </w:tc>
    </w:tr>
  </w:tbl>
  <w:p w14:paraId="04983C02" w14:textId="77777777" w:rsidR="00C053A1" w:rsidRPr="00A5474E" w:rsidRDefault="00C053A1"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A619F" w14:textId="77777777" w:rsidR="00C053A1" w:rsidRDefault="00C053A1">
    <w:pPr>
      <w:pStyle w:val="Header"/>
    </w:pPr>
  </w:p>
  <w:p w14:paraId="5D261739" w14:textId="77777777" w:rsidR="002957A9" w:rsidRDefault="002957A9"/>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0873A" w14:textId="77777777" w:rsidR="00C053A1" w:rsidRDefault="00C053A1">
    <w:pPr>
      <w:pStyle w:val="Header"/>
    </w:pPr>
  </w:p>
  <w:p w14:paraId="32445E80" w14:textId="77777777" w:rsidR="002957A9" w:rsidRDefault="002957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6EBA4AA8"/>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E552FE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1413958"/>
    <w:multiLevelType w:val="hybridMultilevel"/>
    <w:tmpl w:val="383A58F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3C9768E"/>
    <w:multiLevelType w:val="hybridMultilevel"/>
    <w:tmpl w:val="00DE8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5222B04"/>
    <w:multiLevelType w:val="hybridMultilevel"/>
    <w:tmpl w:val="A7E23224"/>
    <w:lvl w:ilvl="0" w:tplc="D9A40D2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AC01BB4"/>
    <w:multiLevelType w:val="hybridMultilevel"/>
    <w:tmpl w:val="CD74913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ADA094B"/>
    <w:multiLevelType w:val="hybridMultilevel"/>
    <w:tmpl w:val="6DCEF42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0CA82940"/>
    <w:multiLevelType w:val="hybridMultilevel"/>
    <w:tmpl w:val="4CCA396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15:restartNumberingAfterBreak="0">
    <w:nsid w:val="0FA7225B"/>
    <w:multiLevelType w:val="hybridMultilevel"/>
    <w:tmpl w:val="48BCAF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13BE034A"/>
    <w:multiLevelType w:val="hybridMultilevel"/>
    <w:tmpl w:val="6AAA692C"/>
    <w:lvl w:ilvl="0" w:tplc="2E5A843E">
      <w:numFmt w:val="bullet"/>
      <w:lvlText w:val="•"/>
      <w:lvlJc w:val="left"/>
      <w:pPr>
        <w:ind w:left="1440" w:hanging="720"/>
      </w:pPr>
      <w:rPr>
        <w:rFonts w:ascii="Calibri" w:eastAsiaTheme="minorHAnsi" w:hAnsi="Calibri" w:cs="Calibri" w:hint="default"/>
      </w:rPr>
    </w:lvl>
    <w:lvl w:ilvl="1" w:tplc="A802F566">
      <w:start w:val="1"/>
      <w:numFmt w:val="bullet"/>
      <w:lvlText w:val="-"/>
      <w:lvlJc w:val="left"/>
      <w:pPr>
        <w:ind w:left="1440" w:hanging="360"/>
      </w:pPr>
      <w:rPr>
        <w:rFonts w:ascii="Calibri" w:hAnsi="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4070EB1"/>
    <w:multiLevelType w:val="hybridMultilevel"/>
    <w:tmpl w:val="801C4A5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7054DE7"/>
    <w:multiLevelType w:val="hybridMultilevel"/>
    <w:tmpl w:val="C540A4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18675E5F"/>
    <w:multiLevelType w:val="multilevel"/>
    <w:tmpl w:val="FEA0D362"/>
    <w:lvl w:ilvl="0">
      <w:start w:val="1"/>
      <w:numFmt w:val="decimal"/>
      <w:lvlText w:val="%1."/>
      <w:lvlJc w:val="left"/>
      <w:pPr>
        <w:ind w:left="0" w:hanging="567"/>
      </w:pPr>
      <w:rPr>
        <w:rFonts w:hint="default"/>
      </w:rPr>
    </w:lvl>
    <w:lvl w:ilvl="1">
      <w:start w:val="1"/>
      <w:numFmt w:val="decimal"/>
      <w:lvlText w:val="%1.%2"/>
      <w:lvlJc w:val="left"/>
      <w:pPr>
        <w:tabs>
          <w:tab w:val="num" w:pos="567"/>
        </w:tabs>
        <w:ind w:left="0" w:hanging="567"/>
      </w:pPr>
      <w:rPr>
        <w:rFonts w:hint="default"/>
        <w:b w:val="0"/>
        <w:b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D272084"/>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E4E542F"/>
    <w:multiLevelType w:val="hybridMultilevel"/>
    <w:tmpl w:val="A36867D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60961A6"/>
    <w:multiLevelType w:val="hybridMultilevel"/>
    <w:tmpl w:val="EAD8E3E4"/>
    <w:lvl w:ilvl="0" w:tplc="D9A40D2C">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15:restartNumberingAfterBreak="0">
    <w:nsid w:val="268F6952"/>
    <w:multiLevelType w:val="multilevel"/>
    <w:tmpl w:val="FEA0D362"/>
    <w:lvl w:ilvl="0">
      <w:start w:val="1"/>
      <w:numFmt w:val="decimal"/>
      <w:lvlText w:val="%1."/>
      <w:lvlJc w:val="left"/>
      <w:pPr>
        <w:ind w:left="0" w:hanging="567"/>
      </w:pPr>
      <w:rPr>
        <w:rFonts w:hint="default"/>
      </w:rPr>
    </w:lvl>
    <w:lvl w:ilvl="1">
      <w:start w:val="1"/>
      <w:numFmt w:val="decimal"/>
      <w:lvlText w:val="%1.%2"/>
      <w:lvlJc w:val="left"/>
      <w:pPr>
        <w:tabs>
          <w:tab w:val="num" w:pos="567"/>
        </w:tabs>
        <w:ind w:left="0" w:hanging="567"/>
      </w:pPr>
      <w:rPr>
        <w:rFonts w:hint="default"/>
        <w:b w:val="0"/>
        <w:b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E301BF0"/>
    <w:multiLevelType w:val="hybridMultilevel"/>
    <w:tmpl w:val="DC52EC26"/>
    <w:lvl w:ilvl="0" w:tplc="856E6310">
      <w:start w:val="1"/>
      <w:numFmt w:val="bullet"/>
      <w:lvlText w:val="&gt;"/>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2" w15:restartNumberingAfterBreak="0">
    <w:nsid w:val="3194387A"/>
    <w:multiLevelType w:val="hybridMultilevel"/>
    <w:tmpl w:val="B706E6B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A0C2937"/>
    <w:multiLevelType w:val="hybridMultilevel"/>
    <w:tmpl w:val="AF2E02C2"/>
    <w:lvl w:ilvl="0" w:tplc="D9A40D2C">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15:restartNumberingAfterBreak="0">
    <w:nsid w:val="432E7BAA"/>
    <w:multiLevelType w:val="hybridMultilevel"/>
    <w:tmpl w:val="0270C228"/>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5" w15:restartNumberingAfterBreak="0">
    <w:nsid w:val="487E3DCE"/>
    <w:multiLevelType w:val="hybridMultilevel"/>
    <w:tmpl w:val="E0F6CD92"/>
    <w:lvl w:ilvl="0" w:tplc="0004E7EC">
      <w:start w:val="1"/>
      <w:numFmt w:val="bullet"/>
      <w:lvlText w:val="&gt;"/>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5AA21F0"/>
    <w:multiLevelType w:val="hybridMultilevel"/>
    <w:tmpl w:val="9B5CB936"/>
    <w:lvl w:ilvl="0" w:tplc="CCA08FFA">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E7386F"/>
    <w:multiLevelType w:val="hybridMultilevel"/>
    <w:tmpl w:val="977008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5FF462E9"/>
    <w:multiLevelType w:val="hybridMultilevel"/>
    <w:tmpl w:val="72B4E1E0"/>
    <w:lvl w:ilvl="0" w:tplc="A7D64DCA">
      <w:start w:val="1"/>
      <w:numFmt w:val="decimal"/>
      <w:lvlText w:val="%1."/>
      <w:lvlJc w:val="left"/>
      <w:pPr>
        <w:ind w:left="340" w:hanging="340"/>
      </w:pPr>
      <w:rPr>
        <w:rFonts w:hint="default"/>
      </w:rPr>
    </w:lvl>
    <w:lvl w:ilvl="1" w:tplc="38A2EA80">
      <w:start w:val="1"/>
      <w:numFmt w:val="lowerLetter"/>
      <w:lvlText w:val="%2."/>
      <w:lvlJc w:val="left"/>
      <w:pPr>
        <w:ind w:left="794" w:hanging="340"/>
      </w:pPr>
      <w:rPr>
        <w:rFonts w:hint="default"/>
      </w:rPr>
    </w:lvl>
    <w:lvl w:ilvl="2" w:tplc="A4B2AD94">
      <w:start w:val="1"/>
      <w:numFmt w:val="lowerRoman"/>
      <w:lvlText w:val="%3."/>
      <w:lvlJc w:val="right"/>
      <w:pPr>
        <w:ind w:left="1247" w:hanging="34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082230C"/>
    <w:multiLevelType w:val="hybridMultilevel"/>
    <w:tmpl w:val="6EF077E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16F1AD3"/>
    <w:multiLevelType w:val="multilevel"/>
    <w:tmpl w:val="0DB677CA"/>
    <w:lvl w:ilvl="0">
      <w:start w:val="1"/>
      <w:numFmt w:val="decimal"/>
      <w:pStyle w:val="Heading1"/>
      <w:lvlText w:val="%1."/>
      <w:lvlJc w:val="left"/>
      <w:pPr>
        <w:ind w:left="0" w:hanging="567"/>
      </w:pPr>
      <w:rPr>
        <w:rFonts w:hint="default"/>
      </w:rPr>
    </w:lvl>
    <w:lvl w:ilvl="1">
      <w:start w:val="1"/>
      <w:numFmt w:val="decimal"/>
      <w:pStyle w:val="Numberedparagraph"/>
      <w:lvlText w:val="%1.%2"/>
      <w:lvlJc w:val="left"/>
      <w:pPr>
        <w:tabs>
          <w:tab w:val="num" w:pos="567"/>
        </w:tabs>
        <w:ind w:left="0" w:hanging="567"/>
      </w:pPr>
      <w:rPr>
        <w:rFonts w:hint="default"/>
        <w:b w:val="0"/>
        <w:bCs/>
        <w:i w:val="0"/>
        <w:i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071478"/>
    <w:multiLevelType w:val="hybridMultilevel"/>
    <w:tmpl w:val="A3520BBE"/>
    <w:lvl w:ilvl="0" w:tplc="BACA5D7A">
      <w:start w:val="1"/>
      <w:numFmt w:val="decimal"/>
      <w:pStyle w:val="ACMAFigureHeader"/>
      <w:lvlText w:val="Figure %1: "/>
      <w:lvlJc w:val="left"/>
      <w:pPr>
        <w:tabs>
          <w:tab w:val="num" w:pos="1021"/>
        </w:tabs>
        <w:ind w:left="1021" w:hanging="1021"/>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31205A"/>
    <w:multiLevelType w:val="hybridMultilevel"/>
    <w:tmpl w:val="CFAA66F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34" w15:restartNumberingAfterBreak="0">
    <w:nsid w:val="68A543BC"/>
    <w:multiLevelType w:val="hybridMultilevel"/>
    <w:tmpl w:val="ADE01EB0"/>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35" w15:restartNumberingAfterBreak="0">
    <w:nsid w:val="6AA04C9C"/>
    <w:multiLevelType w:val="hybridMultilevel"/>
    <w:tmpl w:val="1A1C29DA"/>
    <w:lvl w:ilvl="0" w:tplc="A05EBBAE">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6ADE16A8"/>
    <w:multiLevelType w:val="hybridMultilevel"/>
    <w:tmpl w:val="C17C45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2836FE"/>
    <w:multiLevelType w:val="hybridMultilevel"/>
    <w:tmpl w:val="B3D81C0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743E3BD0"/>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77475C2"/>
    <w:multiLevelType w:val="hybridMultilevel"/>
    <w:tmpl w:val="C0A8766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78E42583"/>
    <w:multiLevelType w:val="hybridMultilevel"/>
    <w:tmpl w:val="D11E173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832B7AC">
      <w:numFmt w:val="bullet"/>
      <w:lvlText w:val="•"/>
      <w:lvlJc w:val="left"/>
      <w:pPr>
        <w:ind w:left="2340" w:hanging="360"/>
      </w:pPr>
      <w:rPr>
        <w:rFonts w:ascii="Arial" w:eastAsia="Times New Roman" w:hAnsi="Arial" w:cs="Arial"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15:restartNumberingAfterBreak="0">
    <w:nsid w:val="7EAF5261"/>
    <w:multiLevelType w:val="hybridMultilevel"/>
    <w:tmpl w:val="1E309A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121655537">
    <w:abstractNumId w:val="3"/>
  </w:num>
  <w:num w:numId="2" w16cid:durableId="1400521601">
    <w:abstractNumId w:val="1"/>
  </w:num>
  <w:num w:numId="3" w16cid:durableId="1979533220">
    <w:abstractNumId w:val="2"/>
  </w:num>
  <w:num w:numId="4" w16cid:durableId="818689270">
    <w:abstractNumId w:val="0"/>
  </w:num>
  <w:num w:numId="5" w16cid:durableId="2071809136">
    <w:abstractNumId w:val="21"/>
  </w:num>
  <w:num w:numId="6" w16cid:durableId="705259075">
    <w:abstractNumId w:val="32"/>
  </w:num>
  <w:num w:numId="7" w16cid:durableId="1749308842">
    <w:abstractNumId w:val="26"/>
  </w:num>
  <w:num w:numId="8" w16cid:durableId="681591517">
    <w:abstractNumId w:val="31"/>
  </w:num>
  <w:num w:numId="9" w16cid:durableId="1468887639">
    <w:abstractNumId w:val="37"/>
  </w:num>
  <w:num w:numId="10" w16cid:durableId="852450078">
    <w:abstractNumId w:val="7"/>
  </w:num>
  <w:num w:numId="11" w16cid:durableId="1180969331">
    <w:abstractNumId w:val="2"/>
    <w:lvlOverride w:ilvl="0">
      <w:startOverride w:val="1"/>
    </w:lvlOverride>
  </w:num>
  <w:num w:numId="12" w16cid:durableId="1832721720">
    <w:abstractNumId w:val="2"/>
    <w:lvlOverride w:ilvl="0">
      <w:startOverride w:val="1"/>
    </w:lvlOverride>
  </w:num>
  <w:num w:numId="13" w16cid:durableId="313532539">
    <w:abstractNumId w:val="30"/>
  </w:num>
  <w:num w:numId="14" w16cid:durableId="1265378016">
    <w:abstractNumId w:val="16"/>
  </w:num>
  <w:num w:numId="15" w16cid:durableId="576214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88920852">
    <w:abstractNumId w:val="2"/>
    <w:lvlOverride w:ilvl="0">
      <w:startOverride w:val="1"/>
    </w:lvlOverride>
  </w:num>
  <w:num w:numId="17" w16cid:durableId="324940370">
    <w:abstractNumId w:val="30"/>
  </w:num>
  <w:num w:numId="18" w16cid:durableId="748382970">
    <w:abstractNumId w:val="39"/>
  </w:num>
  <w:num w:numId="19" w16cid:durableId="1379672167">
    <w:abstractNumId w:val="30"/>
  </w:num>
  <w:num w:numId="20" w16cid:durableId="923882635">
    <w:abstractNumId w:val="30"/>
  </w:num>
  <w:num w:numId="21" w16cid:durableId="524170764">
    <w:abstractNumId w:val="30"/>
  </w:num>
  <w:num w:numId="22" w16cid:durableId="668680704">
    <w:abstractNumId w:val="30"/>
  </w:num>
  <w:num w:numId="23" w16cid:durableId="1320963564">
    <w:abstractNumId w:val="30"/>
  </w:num>
  <w:num w:numId="24" w16cid:durableId="424110657">
    <w:abstractNumId w:val="30"/>
  </w:num>
  <w:num w:numId="25" w16cid:durableId="2111119155">
    <w:abstractNumId w:val="30"/>
  </w:num>
  <w:num w:numId="26" w16cid:durableId="817235097">
    <w:abstractNumId w:val="30"/>
  </w:num>
  <w:num w:numId="27" w16cid:durableId="454642725">
    <w:abstractNumId w:val="30"/>
  </w:num>
  <w:num w:numId="28" w16cid:durableId="1920017268">
    <w:abstractNumId w:val="30"/>
  </w:num>
  <w:num w:numId="29" w16cid:durableId="1448310464">
    <w:abstractNumId w:val="30"/>
  </w:num>
  <w:num w:numId="30" w16cid:durableId="1900822489">
    <w:abstractNumId w:val="30"/>
  </w:num>
  <w:num w:numId="31" w16cid:durableId="417530055">
    <w:abstractNumId w:val="30"/>
  </w:num>
  <w:num w:numId="32" w16cid:durableId="2139958073">
    <w:abstractNumId w:val="30"/>
  </w:num>
  <w:num w:numId="33" w16cid:durableId="2010478939">
    <w:abstractNumId w:val="30"/>
  </w:num>
  <w:num w:numId="34" w16cid:durableId="1634753870">
    <w:abstractNumId w:val="30"/>
  </w:num>
  <w:num w:numId="35" w16cid:durableId="1361199090">
    <w:abstractNumId w:val="30"/>
  </w:num>
  <w:num w:numId="36" w16cid:durableId="1985424545">
    <w:abstractNumId w:val="30"/>
  </w:num>
  <w:num w:numId="37" w16cid:durableId="1224099620">
    <w:abstractNumId w:val="30"/>
  </w:num>
  <w:num w:numId="38" w16cid:durableId="34236142">
    <w:abstractNumId w:val="30"/>
  </w:num>
  <w:num w:numId="39" w16cid:durableId="364210839">
    <w:abstractNumId w:val="20"/>
  </w:num>
  <w:num w:numId="40" w16cid:durableId="1888568985">
    <w:abstractNumId w:val="25"/>
  </w:num>
  <w:num w:numId="41" w16cid:durableId="573859881">
    <w:abstractNumId w:val="6"/>
  </w:num>
  <w:num w:numId="42" w16cid:durableId="1131751696">
    <w:abstractNumId w:val="23"/>
  </w:num>
  <w:num w:numId="43" w16cid:durableId="354158493">
    <w:abstractNumId w:val="18"/>
  </w:num>
  <w:num w:numId="44" w16cid:durableId="1114909010">
    <w:abstractNumId w:val="28"/>
  </w:num>
  <w:num w:numId="45" w16cid:durableId="18263615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8303635">
    <w:abstractNumId w:val="30"/>
  </w:num>
  <w:num w:numId="47" w16cid:durableId="1435978227">
    <w:abstractNumId w:val="29"/>
  </w:num>
  <w:num w:numId="48" w16cid:durableId="1134176968">
    <w:abstractNumId w:val="11"/>
  </w:num>
  <w:num w:numId="49" w16cid:durableId="2026398663">
    <w:abstractNumId w:val="4"/>
  </w:num>
  <w:num w:numId="50" w16cid:durableId="583803799">
    <w:abstractNumId w:val="33"/>
  </w:num>
  <w:num w:numId="51" w16cid:durableId="501506672">
    <w:abstractNumId w:val="27"/>
  </w:num>
  <w:num w:numId="52" w16cid:durableId="10112243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04895225">
    <w:abstractNumId w:val="10"/>
  </w:num>
  <w:num w:numId="54" w16cid:durableId="1832407406">
    <w:abstractNumId w:val="30"/>
  </w:num>
  <w:num w:numId="55" w16cid:durableId="605307636">
    <w:abstractNumId w:val="30"/>
  </w:num>
  <w:num w:numId="56" w16cid:durableId="1590390621">
    <w:abstractNumId w:val="30"/>
  </w:num>
  <w:num w:numId="57" w16cid:durableId="243074039">
    <w:abstractNumId w:val="30"/>
  </w:num>
  <w:num w:numId="58" w16cid:durableId="1085035454">
    <w:abstractNumId w:val="30"/>
  </w:num>
  <w:num w:numId="59" w16cid:durableId="1894612486">
    <w:abstractNumId w:val="30"/>
  </w:num>
  <w:num w:numId="60" w16cid:durableId="210729498">
    <w:abstractNumId w:val="30"/>
  </w:num>
  <w:num w:numId="61" w16cid:durableId="8070463">
    <w:abstractNumId w:val="30"/>
  </w:num>
  <w:num w:numId="62" w16cid:durableId="324287455">
    <w:abstractNumId w:val="30"/>
  </w:num>
  <w:num w:numId="63" w16cid:durableId="324431758">
    <w:abstractNumId w:val="30"/>
  </w:num>
  <w:num w:numId="64" w16cid:durableId="1945452337">
    <w:abstractNumId w:val="30"/>
  </w:num>
  <w:num w:numId="65" w16cid:durableId="1998917735">
    <w:abstractNumId w:val="30"/>
  </w:num>
  <w:num w:numId="66" w16cid:durableId="1739286042">
    <w:abstractNumId w:val="30"/>
  </w:num>
  <w:num w:numId="67" w16cid:durableId="1271814428">
    <w:abstractNumId w:val="30"/>
  </w:num>
  <w:num w:numId="68" w16cid:durableId="1485774844">
    <w:abstractNumId w:val="30"/>
  </w:num>
  <w:num w:numId="69" w16cid:durableId="1286931703">
    <w:abstractNumId w:val="30"/>
  </w:num>
  <w:num w:numId="70" w16cid:durableId="766660190">
    <w:abstractNumId w:val="30"/>
  </w:num>
  <w:num w:numId="71" w16cid:durableId="1054621783">
    <w:abstractNumId w:val="30"/>
  </w:num>
  <w:num w:numId="72" w16cid:durableId="110368922">
    <w:abstractNumId w:val="30"/>
  </w:num>
  <w:num w:numId="73" w16cid:durableId="255869882">
    <w:abstractNumId w:val="30"/>
  </w:num>
  <w:num w:numId="74" w16cid:durableId="2085031820">
    <w:abstractNumId w:val="30"/>
  </w:num>
  <w:num w:numId="75" w16cid:durableId="569727689">
    <w:abstractNumId w:val="30"/>
  </w:num>
  <w:num w:numId="76" w16cid:durableId="632908505">
    <w:abstractNumId w:val="30"/>
  </w:num>
  <w:num w:numId="77" w16cid:durableId="1345013984">
    <w:abstractNumId w:val="30"/>
  </w:num>
  <w:num w:numId="78" w16cid:durableId="109323274">
    <w:abstractNumId w:val="30"/>
  </w:num>
  <w:num w:numId="79" w16cid:durableId="1068578579">
    <w:abstractNumId w:val="30"/>
  </w:num>
  <w:num w:numId="80" w16cid:durableId="500506845">
    <w:abstractNumId w:val="30"/>
  </w:num>
  <w:num w:numId="81" w16cid:durableId="2003049218">
    <w:abstractNumId w:val="30"/>
  </w:num>
  <w:num w:numId="82" w16cid:durableId="1506048449">
    <w:abstractNumId w:val="30"/>
  </w:num>
  <w:num w:numId="83" w16cid:durableId="553854962">
    <w:abstractNumId w:val="30"/>
  </w:num>
  <w:num w:numId="84" w16cid:durableId="651954725">
    <w:abstractNumId w:val="30"/>
  </w:num>
  <w:num w:numId="85" w16cid:durableId="1504584659">
    <w:abstractNumId w:val="30"/>
  </w:num>
  <w:num w:numId="86" w16cid:durableId="2143963131">
    <w:abstractNumId w:val="30"/>
  </w:num>
  <w:num w:numId="87" w16cid:durableId="768543185">
    <w:abstractNumId w:val="30"/>
  </w:num>
  <w:num w:numId="88" w16cid:durableId="995839608">
    <w:abstractNumId w:val="30"/>
  </w:num>
  <w:num w:numId="89" w16cid:durableId="156117804">
    <w:abstractNumId w:val="17"/>
  </w:num>
  <w:num w:numId="90" w16cid:durableId="52657995">
    <w:abstractNumId w:val="30"/>
  </w:num>
  <w:num w:numId="91" w16cid:durableId="852960252">
    <w:abstractNumId w:val="30"/>
  </w:num>
  <w:num w:numId="92" w16cid:durableId="1024132274">
    <w:abstractNumId w:val="30"/>
  </w:num>
  <w:num w:numId="93" w16cid:durableId="1122990820">
    <w:abstractNumId w:val="30"/>
  </w:num>
  <w:num w:numId="94" w16cid:durableId="1464277338">
    <w:abstractNumId w:val="30"/>
  </w:num>
  <w:num w:numId="95" w16cid:durableId="896546696">
    <w:abstractNumId w:val="30"/>
  </w:num>
  <w:num w:numId="96" w16cid:durableId="212422661">
    <w:abstractNumId w:val="30"/>
  </w:num>
  <w:num w:numId="97" w16cid:durableId="632908402">
    <w:abstractNumId w:val="30"/>
  </w:num>
  <w:num w:numId="98" w16cid:durableId="1485853790">
    <w:abstractNumId w:val="30"/>
  </w:num>
  <w:num w:numId="99" w16cid:durableId="1748845957">
    <w:abstractNumId w:val="42"/>
  </w:num>
  <w:num w:numId="100" w16cid:durableId="1137181587">
    <w:abstractNumId w:val="9"/>
  </w:num>
  <w:num w:numId="101" w16cid:durableId="1199857570">
    <w:abstractNumId w:val="38"/>
  </w:num>
  <w:num w:numId="102" w16cid:durableId="460349034">
    <w:abstractNumId w:val="15"/>
  </w:num>
  <w:num w:numId="103" w16cid:durableId="1498885385">
    <w:abstractNumId w:val="41"/>
  </w:num>
  <w:num w:numId="104" w16cid:durableId="1890992454">
    <w:abstractNumId w:val="12"/>
  </w:num>
  <w:num w:numId="105" w16cid:durableId="1415862366">
    <w:abstractNumId w:val="22"/>
  </w:num>
  <w:num w:numId="106" w16cid:durableId="170023285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416367059">
    <w:abstractNumId w:val="30"/>
  </w:num>
  <w:num w:numId="108" w16cid:durableId="177695110">
    <w:abstractNumId w:val="30"/>
  </w:num>
  <w:num w:numId="109" w16cid:durableId="444886148">
    <w:abstractNumId w:val="34"/>
  </w:num>
  <w:num w:numId="110" w16cid:durableId="1500656684">
    <w:abstractNumId w:val="35"/>
  </w:num>
  <w:num w:numId="111" w16cid:durableId="721826542">
    <w:abstractNumId w:val="35"/>
    <w:lvlOverride w:ilvl="0">
      <w:startOverride w:val="1"/>
    </w:lvlOverride>
  </w:num>
  <w:num w:numId="112" w16cid:durableId="353042960">
    <w:abstractNumId w:val="5"/>
  </w:num>
  <w:num w:numId="113" w16cid:durableId="1427964320">
    <w:abstractNumId w:val="24"/>
  </w:num>
  <w:num w:numId="114" w16cid:durableId="104621686">
    <w:abstractNumId w:val="36"/>
  </w:num>
  <w:num w:numId="115" w16cid:durableId="102697493">
    <w:abstractNumId w:val="13"/>
  </w:num>
  <w:num w:numId="116" w16cid:durableId="1767378979">
    <w:abstractNumId w:val="35"/>
    <w:lvlOverride w:ilvl="0">
      <w:startOverride w:val="1"/>
    </w:lvlOverride>
  </w:num>
  <w:num w:numId="117" w16cid:durableId="938684154">
    <w:abstractNumId w:val="14"/>
  </w:num>
  <w:num w:numId="118" w16cid:durableId="1801070802">
    <w:abstractNumId w:val="30"/>
  </w:num>
  <w:num w:numId="119" w16cid:durableId="712509819">
    <w:abstractNumId w:val="30"/>
  </w:num>
  <w:num w:numId="120" w16cid:durableId="1730037753">
    <w:abstractNumId w:val="30"/>
  </w:num>
  <w:num w:numId="121" w16cid:durableId="1355036536">
    <w:abstractNumId w:val="30"/>
  </w:num>
  <w:num w:numId="122" w16cid:durableId="899707370">
    <w:abstractNumId w:val="30"/>
  </w:num>
  <w:num w:numId="123" w16cid:durableId="1904488316">
    <w:abstractNumId w:val="30"/>
  </w:num>
  <w:num w:numId="124" w16cid:durableId="1734964528">
    <w:abstractNumId w:val="30"/>
  </w:num>
  <w:num w:numId="125" w16cid:durableId="96100680">
    <w:abstractNumId w:val="30"/>
  </w:num>
  <w:num w:numId="126" w16cid:durableId="1368023030">
    <w:abstractNumId w:val="19"/>
  </w:num>
  <w:num w:numId="127" w16cid:durableId="1031881692">
    <w:abstractNumId w:val="30"/>
  </w:num>
  <w:num w:numId="128" w16cid:durableId="220554930">
    <w:abstractNumId w:val="8"/>
  </w:num>
  <w:num w:numId="129" w16cid:durableId="450167476">
    <w:abstractNumId w:val="30"/>
  </w:num>
  <w:num w:numId="130" w16cid:durableId="1647053489">
    <w:abstractNumId w:val="40"/>
  </w:num>
  <w:num w:numId="131" w16cid:durableId="15878085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993987962">
    <w:abstractNumId w:val="26"/>
  </w:num>
  <w:num w:numId="133" w16cid:durableId="8113648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839581707">
    <w:abstractNumId w:val="30"/>
  </w:num>
  <w:num w:numId="135" w16cid:durableId="1330862797">
    <w:abstractNumId w:val="30"/>
  </w:num>
  <w:num w:numId="136" w16cid:durableId="1018237115">
    <w:abstractNumId w:val="3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attachedTemplate r:id="rId1"/>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trackRevisions/>
  <w:defaultTabStop w:val="284"/>
  <w:evenAndOddHeaders/>
  <w:drawingGridHorizontalSpacing w:val="100"/>
  <w:displayHorizontalDrawingGridEvery w:val="2"/>
  <w:characterSpacingControl w:val="doNotCompress"/>
  <w:hdrShapeDefaults>
    <o:shapedefaults v:ext="edit" spidmax="2050">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FD9"/>
    <w:rsid w:val="00000274"/>
    <w:rsid w:val="00000347"/>
    <w:rsid w:val="00000CF3"/>
    <w:rsid w:val="00001905"/>
    <w:rsid w:val="00002987"/>
    <w:rsid w:val="00005505"/>
    <w:rsid w:val="00005AE2"/>
    <w:rsid w:val="00006E9F"/>
    <w:rsid w:val="00010667"/>
    <w:rsid w:val="00010E96"/>
    <w:rsid w:val="000129D5"/>
    <w:rsid w:val="00015AE7"/>
    <w:rsid w:val="000160DF"/>
    <w:rsid w:val="00016825"/>
    <w:rsid w:val="00016E21"/>
    <w:rsid w:val="0001719C"/>
    <w:rsid w:val="00017E17"/>
    <w:rsid w:val="0002224E"/>
    <w:rsid w:val="000245E5"/>
    <w:rsid w:val="00026F91"/>
    <w:rsid w:val="00027575"/>
    <w:rsid w:val="000301E3"/>
    <w:rsid w:val="00031740"/>
    <w:rsid w:val="00034717"/>
    <w:rsid w:val="000349F4"/>
    <w:rsid w:val="00034C10"/>
    <w:rsid w:val="000351E3"/>
    <w:rsid w:val="000360BF"/>
    <w:rsid w:val="00036AF7"/>
    <w:rsid w:val="00037ACE"/>
    <w:rsid w:val="00041274"/>
    <w:rsid w:val="0004284B"/>
    <w:rsid w:val="00043434"/>
    <w:rsid w:val="0004373F"/>
    <w:rsid w:val="000468A0"/>
    <w:rsid w:val="0004764C"/>
    <w:rsid w:val="00047D7D"/>
    <w:rsid w:val="0005011A"/>
    <w:rsid w:val="00050424"/>
    <w:rsid w:val="0005045A"/>
    <w:rsid w:val="000517AB"/>
    <w:rsid w:val="00051C1E"/>
    <w:rsid w:val="00052F57"/>
    <w:rsid w:val="000539F9"/>
    <w:rsid w:val="00054C27"/>
    <w:rsid w:val="00055EC3"/>
    <w:rsid w:val="000563CE"/>
    <w:rsid w:val="0005764F"/>
    <w:rsid w:val="00057B07"/>
    <w:rsid w:val="00060D63"/>
    <w:rsid w:val="00061903"/>
    <w:rsid w:val="00062AB1"/>
    <w:rsid w:val="00062ED4"/>
    <w:rsid w:val="00063C97"/>
    <w:rsid w:val="00064B4E"/>
    <w:rsid w:val="000659B6"/>
    <w:rsid w:val="000662C0"/>
    <w:rsid w:val="0006686F"/>
    <w:rsid w:val="0006722A"/>
    <w:rsid w:val="0007033D"/>
    <w:rsid w:val="000705C3"/>
    <w:rsid w:val="000732CF"/>
    <w:rsid w:val="00074BDA"/>
    <w:rsid w:val="00075B96"/>
    <w:rsid w:val="0007665D"/>
    <w:rsid w:val="00077BB0"/>
    <w:rsid w:val="0008196A"/>
    <w:rsid w:val="00081FB0"/>
    <w:rsid w:val="000847CC"/>
    <w:rsid w:val="000854E8"/>
    <w:rsid w:val="00086082"/>
    <w:rsid w:val="00086375"/>
    <w:rsid w:val="00086D78"/>
    <w:rsid w:val="0008743F"/>
    <w:rsid w:val="000915ED"/>
    <w:rsid w:val="0009209D"/>
    <w:rsid w:val="00093499"/>
    <w:rsid w:val="00093CC9"/>
    <w:rsid w:val="0009463C"/>
    <w:rsid w:val="0009502B"/>
    <w:rsid w:val="00095092"/>
    <w:rsid w:val="00095442"/>
    <w:rsid w:val="000966AF"/>
    <w:rsid w:val="000967FF"/>
    <w:rsid w:val="000969BD"/>
    <w:rsid w:val="000969BF"/>
    <w:rsid w:val="00096D7C"/>
    <w:rsid w:val="000971BD"/>
    <w:rsid w:val="000A0C22"/>
    <w:rsid w:val="000A1400"/>
    <w:rsid w:val="000A177E"/>
    <w:rsid w:val="000A1A66"/>
    <w:rsid w:val="000A36B9"/>
    <w:rsid w:val="000A3979"/>
    <w:rsid w:val="000A3C43"/>
    <w:rsid w:val="000A4A51"/>
    <w:rsid w:val="000A5526"/>
    <w:rsid w:val="000A5D2B"/>
    <w:rsid w:val="000A63DB"/>
    <w:rsid w:val="000A7E0F"/>
    <w:rsid w:val="000B0BF2"/>
    <w:rsid w:val="000B12B9"/>
    <w:rsid w:val="000B4664"/>
    <w:rsid w:val="000B5DE3"/>
    <w:rsid w:val="000B64FF"/>
    <w:rsid w:val="000B7883"/>
    <w:rsid w:val="000C0A57"/>
    <w:rsid w:val="000C230C"/>
    <w:rsid w:val="000C4121"/>
    <w:rsid w:val="000C5515"/>
    <w:rsid w:val="000C570C"/>
    <w:rsid w:val="000C5B05"/>
    <w:rsid w:val="000C6AB4"/>
    <w:rsid w:val="000C6D4D"/>
    <w:rsid w:val="000C7431"/>
    <w:rsid w:val="000C744A"/>
    <w:rsid w:val="000D0EB2"/>
    <w:rsid w:val="000D2E79"/>
    <w:rsid w:val="000D53BB"/>
    <w:rsid w:val="000D566F"/>
    <w:rsid w:val="000D6F56"/>
    <w:rsid w:val="000D71D9"/>
    <w:rsid w:val="000D7583"/>
    <w:rsid w:val="000D75BD"/>
    <w:rsid w:val="000D76E0"/>
    <w:rsid w:val="000D7DF6"/>
    <w:rsid w:val="000D7E8B"/>
    <w:rsid w:val="000E25B8"/>
    <w:rsid w:val="000E2DCA"/>
    <w:rsid w:val="000E4184"/>
    <w:rsid w:val="000E4449"/>
    <w:rsid w:val="000E48CD"/>
    <w:rsid w:val="000E6032"/>
    <w:rsid w:val="000E6097"/>
    <w:rsid w:val="000E758D"/>
    <w:rsid w:val="000F0202"/>
    <w:rsid w:val="000F056C"/>
    <w:rsid w:val="000F0C3C"/>
    <w:rsid w:val="000F1528"/>
    <w:rsid w:val="000F18FE"/>
    <w:rsid w:val="000F2453"/>
    <w:rsid w:val="000F3D8B"/>
    <w:rsid w:val="000F57B6"/>
    <w:rsid w:val="000F665C"/>
    <w:rsid w:val="00100157"/>
    <w:rsid w:val="001021BC"/>
    <w:rsid w:val="0010267F"/>
    <w:rsid w:val="0010268E"/>
    <w:rsid w:val="00102750"/>
    <w:rsid w:val="00103106"/>
    <w:rsid w:val="00103829"/>
    <w:rsid w:val="00103F4F"/>
    <w:rsid w:val="0010493F"/>
    <w:rsid w:val="00104C65"/>
    <w:rsid w:val="00105661"/>
    <w:rsid w:val="00106060"/>
    <w:rsid w:val="0010780A"/>
    <w:rsid w:val="0011027F"/>
    <w:rsid w:val="001103E7"/>
    <w:rsid w:val="00110B5E"/>
    <w:rsid w:val="001115B1"/>
    <w:rsid w:val="00111FCE"/>
    <w:rsid w:val="00112C99"/>
    <w:rsid w:val="00113F84"/>
    <w:rsid w:val="0011460D"/>
    <w:rsid w:val="001172CD"/>
    <w:rsid w:val="00120129"/>
    <w:rsid w:val="00121929"/>
    <w:rsid w:val="001229A5"/>
    <w:rsid w:val="001246CC"/>
    <w:rsid w:val="0012489B"/>
    <w:rsid w:val="0012492A"/>
    <w:rsid w:val="001251F2"/>
    <w:rsid w:val="00126907"/>
    <w:rsid w:val="001276D1"/>
    <w:rsid w:val="00130017"/>
    <w:rsid w:val="00130299"/>
    <w:rsid w:val="00130A67"/>
    <w:rsid w:val="00130F91"/>
    <w:rsid w:val="00131012"/>
    <w:rsid w:val="0013483D"/>
    <w:rsid w:val="001349ED"/>
    <w:rsid w:val="001352FC"/>
    <w:rsid w:val="001356A8"/>
    <w:rsid w:val="00135763"/>
    <w:rsid w:val="00135F73"/>
    <w:rsid w:val="00136B46"/>
    <w:rsid w:val="00137424"/>
    <w:rsid w:val="00140318"/>
    <w:rsid w:val="001408E6"/>
    <w:rsid w:val="00141AD9"/>
    <w:rsid w:val="00141FBD"/>
    <w:rsid w:val="00142F50"/>
    <w:rsid w:val="0014474B"/>
    <w:rsid w:val="00146CE6"/>
    <w:rsid w:val="00150372"/>
    <w:rsid w:val="00151D81"/>
    <w:rsid w:val="001520EC"/>
    <w:rsid w:val="0015280E"/>
    <w:rsid w:val="00152903"/>
    <w:rsid w:val="00153FD5"/>
    <w:rsid w:val="001557B9"/>
    <w:rsid w:val="0015614F"/>
    <w:rsid w:val="001575EF"/>
    <w:rsid w:val="001577C2"/>
    <w:rsid w:val="0016267A"/>
    <w:rsid w:val="00162F55"/>
    <w:rsid w:val="001633C4"/>
    <w:rsid w:val="00163FF2"/>
    <w:rsid w:val="001642B5"/>
    <w:rsid w:val="00164A49"/>
    <w:rsid w:val="001658AF"/>
    <w:rsid w:val="00166D13"/>
    <w:rsid w:val="001702CC"/>
    <w:rsid w:val="001704D5"/>
    <w:rsid w:val="00170A0F"/>
    <w:rsid w:val="00171591"/>
    <w:rsid w:val="00171E5C"/>
    <w:rsid w:val="00173981"/>
    <w:rsid w:val="00173C73"/>
    <w:rsid w:val="00174287"/>
    <w:rsid w:val="0017430C"/>
    <w:rsid w:val="001746CA"/>
    <w:rsid w:val="00176705"/>
    <w:rsid w:val="0017719D"/>
    <w:rsid w:val="0018320C"/>
    <w:rsid w:val="00183AF1"/>
    <w:rsid w:val="00183FD7"/>
    <w:rsid w:val="00185CAB"/>
    <w:rsid w:val="00186632"/>
    <w:rsid w:val="00187577"/>
    <w:rsid w:val="001875B7"/>
    <w:rsid w:val="00187617"/>
    <w:rsid w:val="00187CB3"/>
    <w:rsid w:val="0019050A"/>
    <w:rsid w:val="0019054A"/>
    <w:rsid w:val="001910D4"/>
    <w:rsid w:val="00192BCE"/>
    <w:rsid w:val="00192D8B"/>
    <w:rsid w:val="00193983"/>
    <w:rsid w:val="00196C09"/>
    <w:rsid w:val="001976E3"/>
    <w:rsid w:val="001A18F2"/>
    <w:rsid w:val="001A2B6F"/>
    <w:rsid w:val="001A3E65"/>
    <w:rsid w:val="001A41DA"/>
    <w:rsid w:val="001A44EC"/>
    <w:rsid w:val="001B28D9"/>
    <w:rsid w:val="001B3D17"/>
    <w:rsid w:val="001B58AA"/>
    <w:rsid w:val="001B6350"/>
    <w:rsid w:val="001B7084"/>
    <w:rsid w:val="001B71FD"/>
    <w:rsid w:val="001B7814"/>
    <w:rsid w:val="001B7E48"/>
    <w:rsid w:val="001C17CE"/>
    <w:rsid w:val="001C1B63"/>
    <w:rsid w:val="001C26AE"/>
    <w:rsid w:val="001C294E"/>
    <w:rsid w:val="001C333C"/>
    <w:rsid w:val="001C36CA"/>
    <w:rsid w:val="001C44D1"/>
    <w:rsid w:val="001C5F78"/>
    <w:rsid w:val="001C6322"/>
    <w:rsid w:val="001C642F"/>
    <w:rsid w:val="001C6AEE"/>
    <w:rsid w:val="001C7630"/>
    <w:rsid w:val="001C7D74"/>
    <w:rsid w:val="001D31D8"/>
    <w:rsid w:val="001D442A"/>
    <w:rsid w:val="001D4D92"/>
    <w:rsid w:val="001D4DD0"/>
    <w:rsid w:val="001D509D"/>
    <w:rsid w:val="001D6CEE"/>
    <w:rsid w:val="001D6D15"/>
    <w:rsid w:val="001D7D09"/>
    <w:rsid w:val="001D7F00"/>
    <w:rsid w:val="001E031D"/>
    <w:rsid w:val="001E131D"/>
    <w:rsid w:val="001E29B0"/>
    <w:rsid w:val="001E29D5"/>
    <w:rsid w:val="001E4412"/>
    <w:rsid w:val="001E4FA0"/>
    <w:rsid w:val="001E58F9"/>
    <w:rsid w:val="001E638D"/>
    <w:rsid w:val="001E639F"/>
    <w:rsid w:val="001F0246"/>
    <w:rsid w:val="001F1104"/>
    <w:rsid w:val="001F3E88"/>
    <w:rsid w:val="001F47B4"/>
    <w:rsid w:val="001F7558"/>
    <w:rsid w:val="001F7852"/>
    <w:rsid w:val="00201D30"/>
    <w:rsid w:val="0020346A"/>
    <w:rsid w:val="00203739"/>
    <w:rsid w:val="00204F94"/>
    <w:rsid w:val="00205696"/>
    <w:rsid w:val="00205B57"/>
    <w:rsid w:val="0020671A"/>
    <w:rsid w:val="0020690F"/>
    <w:rsid w:val="002129D3"/>
    <w:rsid w:val="00212C52"/>
    <w:rsid w:val="00214293"/>
    <w:rsid w:val="00214C00"/>
    <w:rsid w:val="002157E0"/>
    <w:rsid w:val="00215A6F"/>
    <w:rsid w:val="00216A57"/>
    <w:rsid w:val="00216DBF"/>
    <w:rsid w:val="00217002"/>
    <w:rsid w:val="00217448"/>
    <w:rsid w:val="00217773"/>
    <w:rsid w:val="002177F3"/>
    <w:rsid w:val="0022334F"/>
    <w:rsid w:val="00223DB4"/>
    <w:rsid w:val="00223FEC"/>
    <w:rsid w:val="00224371"/>
    <w:rsid w:val="00226068"/>
    <w:rsid w:val="00226819"/>
    <w:rsid w:val="00227D59"/>
    <w:rsid w:val="00231313"/>
    <w:rsid w:val="00233101"/>
    <w:rsid w:val="00233817"/>
    <w:rsid w:val="00234609"/>
    <w:rsid w:val="00235CBF"/>
    <w:rsid w:val="00235D7A"/>
    <w:rsid w:val="00236466"/>
    <w:rsid w:val="002367FF"/>
    <w:rsid w:val="00236BB5"/>
    <w:rsid w:val="00237B47"/>
    <w:rsid w:val="00240CE9"/>
    <w:rsid w:val="0024275B"/>
    <w:rsid w:val="002434BA"/>
    <w:rsid w:val="002447C3"/>
    <w:rsid w:val="00244944"/>
    <w:rsid w:val="00246089"/>
    <w:rsid w:val="00246093"/>
    <w:rsid w:val="00246702"/>
    <w:rsid w:val="00247C59"/>
    <w:rsid w:val="00247F2E"/>
    <w:rsid w:val="00250A96"/>
    <w:rsid w:val="00250ADC"/>
    <w:rsid w:val="00250B07"/>
    <w:rsid w:val="0025671B"/>
    <w:rsid w:val="00257553"/>
    <w:rsid w:val="00257BC6"/>
    <w:rsid w:val="0026089D"/>
    <w:rsid w:val="002608C3"/>
    <w:rsid w:val="00260FB2"/>
    <w:rsid w:val="0026150B"/>
    <w:rsid w:val="0026173D"/>
    <w:rsid w:val="00262128"/>
    <w:rsid w:val="00264269"/>
    <w:rsid w:val="00264628"/>
    <w:rsid w:val="0026516F"/>
    <w:rsid w:val="0027165D"/>
    <w:rsid w:val="00273CA9"/>
    <w:rsid w:val="00273CEB"/>
    <w:rsid w:val="00273DDE"/>
    <w:rsid w:val="0027630F"/>
    <w:rsid w:val="00277F18"/>
    <w:rsid w:val="002802CE"/>
    <w:rsid w:val="00281C89"/>
    <w:rsid w:val="0028282F"/>
    <w:rsid w:val="002842EB"/>
    <w:rsid w:val="00284A03"/>
    <w:rsid w:val="00284A74"/>
    <w:rsid w:val="00284BD6"/>
    <w:rsid w:val="00286035"/>
    <w:rsid w:val="00286A72"/>
    <w:rsid w:val="00286F46"/>
    <w:rsid w:val="00291432"/>
    <w:rsid w:val="00291BB0"/>
    <w:rsid w:val="00292BD6"/>
    <w:rsid w:val="002931DE"/>
    <w:rsid w:val="00294959"/>
    <w:rsid w:val="002957A9"/>
    <w:rsid w:val="0029593B"/>
    <w:rsid w:val="00297CD6"/>
    <w:rsid w:val="00297FC5"/>
    <w:rsid w:val="002A0417"/>
    <w:rsid w:val="002A16D8"/>
    <w:rsid w:val="002A1BC8"/>
    <w:rsid w:val="002A24EA"/>
    <w:rsid w:val="002A2802"/>
    <w:rsid w:val="002A3846"/>
    <w:rsid w:val="002A3EF2"/>
    <w:rsid w:val="002A3F27"/>
    <w:rsid w:val="002A5396"/>
    <w:rsid w:val="002A5582"/>
    <w:rsid w:val="002A57ED"/>
    <w:rsid w:val="002A5CF0"/>
    <w:rsid w:val="002A62CF"/>
    <w:rsid w:val="002A7A89"/>
    <w:rsid w:val="002B0447"/>
    <w:rsid w:val="002B0DED"/>
    <w:rsid w:val="002B15A8"/>
    <w:rsid w:val="002B19A2"/>
    <w:rsid w:val="002B2E8B"/>
    <w:rsid w:val="002B381A"/>
    <w:rsid w:val="002B3ECD"/>
    <w:rsid w:val="002B4FCC"/>
    <w:rsid w:val="002B5FAA"/>
    <w:rsid w:val="002B736C"/>
    <w:rsid w:val="002B7408"/>
    <w:rsid w:val="002B7C0A"/>
    <w:rsid w:val="002B7CFD"/>
    <w:rsid w:val="002C0B94"/>
    <w:rsid w:val="002C210F"/>
    <w:rsid w:val="002C34AB"/>
    <w:rsid w:val="002C441E"/>
    <w:rsid w:val="002C4494"/>
    <w:rsid w:val="002C512A"/>
    <w:rsid w:val="002C6C23"/>
    <w:rsid w:val="002C70B4"/>
    <w:rsid w:val="002C7217"/>
    <w:rsid w:val="002D0EC8"/>
    <w:rsid w:val="002D2BD3"/>
    <w:rsid w:val="002D30B6"/>
    <w:rsid w:val="002D3600"/>
    <w:rsid w:val="002D363E"/>
    <w:rsid w:val="002D5A3C"/>
    <w:rsid w:val="002E2234"/>
    <w:rsid w:val="002E39A2"/>
    <w:rsid w:val="002E3E2B"/>
    <w:rsid w:val="002E4BC2"/>
    <w:rsid w:val="002E4DDC"/>
    <w:rsid w:val="002E4F49"/>
    <w:rsid w:val="002E52B4"/>
    <w:rsid w:val="002E584C"/>
    <w:rsid w:val="002F287E"/>
    <w:rsid w:val="002F3FCB"/>
    <w:rsid w:val="002F458A"/>
    <w:rsid w:val="00301039"/>
    <w:rsid w:val="00302480"/>
    <w:rsid w:val="00302758"/>
    <w:rsid w:val="00302CEC"/>
    <w:rsid w:val="00303D51"/>
    <w:rsid w:val="00304A9D"/>
    <w:rsid w:val="00304FF4"/>
    <w:rsid w:val="00305766"/>
    <w:rsid w:val="00307FEC"/>
    <w:rsid w:val="003100DF"/>
    <w:rsid w:val="00310B82"/>
    <w:rsid w:val="003118D4"/>
    <w:rsid w:val="00311CC0"/>
    <w:rsid w:val="003148FE"/>
    <w:rsid w:val="00315923"/>
    <w:rsid w:val="00315DFE"/>
    <w:rsid w:val="003165E6"/>
    <w:rsid w:val="0031680E"/>
    <w:rsid w:val="0031705B"/>
    <w:rsid w:val="003172E2"/>
    <w:rsid w:val="0031767A"/>
    <w:rsid w:val="00317685"/>
    <w:rsid w:val="003179CB"/>
    <w:rsid w:val="003215B5"/>
    <w:rsid w:val="003221CF"/>
    <w:rsid w:val="00322670"/>
    <w:rsid w:val="003233ED"/>
    <w:rsid w:val="00324D9F"/>
    <w:rsid w:val="0032526A"/>
    <w:rsid w:val="00327767"/>
    <w:rsid w:val="00327948"/>
    <w:rsid w:val="0033000F"/>
    <w:rsid w:val="00332011"/>
    <w:rsid w:val="00332518"/>
    <w:rsid w:val="0033252F"/>
    <w:rsid w:val="00332925"/>
    <w:rsid w:val="003332ED"/>
    <w:rsid w:val="003334A9"/>
    <w:rsid w:val="00333A75"/>
    <w:rsid w:val="0033442B"/>
    <w:rsid w:val="00334780"/>
    <w:rsid w:val="0033503E"/>
    <w:rsid w:val="00335C0B"/>
    <w:rsid w:val="00335EB5"/>
    <w:rsid w:val="003368DC"/>
    <w:rsid w:val="00340BE3"/>
    <w:rsid w:val="00340E7E"/>
    <w:rsid w:val="003413C4"/>
    <w:rsid w:val="00341AEC"/>
    <w:rsid w:val="00342161"/>
    <w:rsid w:val="00342BD2"/>
    <w:rsid w:val="003442A2"/>
    <w:rsid w:val="003447EC"/>
    <w:rsid w:val="00345720"/>
    <w:rsid w:val="00345927"/>
    <w:rsid w:val="00345F73"/>
    <w:rsid w:val="00350035"/>
    <w:rsid w:val="00350584"/>
    <w:rsid w:val="00351857"/>
    <w:rsid w:val="003545E8"/>
    <w:rsid w:val="00355E26"/>
    <w:rsid w:val="00356372"/>
    <w:rsid w:val="00356946"/>
    <w:rsid w:val="00357D44"/>
    <w:rsid w:val="003601EF"/>
    <w:rsid w:val="003603AA"/>
    <w:rsid w:val="00361068"/>
    <w:rsid w:val="003610E1"/>
    <w:rsid w:val="00361EF0"/>
    <w:rsid w:val="003635FF"/>
    <w:rsid w:val="00364018"/>
    <w:rsid w:val="00364B72"/>
    <w:rsid w:val="00365135"/>
    <w:rsid w:val="00365446"/>
    <w:rsid w:val="0036563B"/>
    <w:rsid w:val="003660D1"/>
    <w:rsid w:val="003671BE"/>
    <w:rsid w:val="003718FB"/>
    <w:rsid w:val="00372485"/>
    <w:rsid w:val="00372E14"/>
    <w:rsid w:val="00373200"/>
    <w:rsid w:val="00373E6C"/>
    <w:rsid w:val="00375EF5"/>
    <w:rsid w:val="0037621A"/>
    <w:rsid w:val="003767A5"/>
    <w:rsid w:val="00376974"/>
    <w:rsid w:val="00376DDB"/>
    <w:rsid w:val="00376F46"/>
    <w:rsid w:val="00377627"/>
    <w:rsid w:val="0038010B"/>
    <w:rsid w:val="00381D15"/>
    <w:rsid w:val="00385254"/>
    <w:rsid w:val="00385D04"/>
    <w:rsid w:val="00387196"/>
    <w:rsid w:val="0038782C"/>
    <w:rsid w:val="00390BE0"/>
    <w:rsid w:val="0039151C"/>
    <w:rsid w:val="003923D2"/>
    <w:rsid w:val="00392C41"/>
    <w:rsid w:val="003932D0"/>
    <w:rsid w:val="003945FC"/>
    <w:rsid w:val="0039488E"/>
    <w:rsid w:val="003964FD"/>
    <w:rsid w:val="00396B37"/>
    <w:rsid w:val="00397B92"/>
    <w:rsid w:val="003A04DB"/>
    <w:rsid w:val="003A0821"/>
    <w:rsid w:val="003A0FFB"/>
    <w:rsid w:val="003A20D4"/>
    <w:rsid w:val="003A26CD"/>
    <w:rsid w:val="003A2E05"/>
    <w:rsid w:val="003A2F92"/>
    <w:rsid w:val="003A3002"/>
    <w:rsid w:val="003A390B"/>
    <w:rsid w:val="003A4041"/>
    <w:rsid w:val="003A5F5B"/>
    <w:rsid w:val="003A66C8"/>
    <w:rsid w:val="003A6F64"/>
    <w:rsid w:val="003A7029"/>
    <w:rsid w:val="003A76D9"/>
    <w:rsid w:val="003A789A"/>
    <w:rsid w:val="003B1025"/>
    <w:rsid w:val="003B105D"/>
    <w:rsid w:val="003B12EC"/>
    <w:rsid w:val="003B3409"/>
    <w:rsid w:val="003B3EDE"/>
    <w:rsid w:val="003B5EEC"/>
    <w:rsid w:val="003B7AF2"/>
    <w:rsid w:val="003C54AD"/>
    <w:rsid w:val="003C59EE"/>
    <w:rsid w:val="003C671C"/>
    <w:rsid w:val="003C77E0"/>
    <w:rsid w:val="003D09FD"/>
    <w:rsid w:val="003D17D7"/>
    <w:rsid w:val="003D2678"/>
    <w:rsid w:val="003D26D0"/>
    <w:rsid w:val="003D2BED"/>
    <w:rsid w:val="003D54F9"/>
    <w:rsid w:val="003D7012"/>
    <w:rsid w:val="003D71A3"/>
    <w:rsid w:val="003D7CE8"/>
    <w:rsid w:val="003E2095"/>
    <w:rsid w:val="003E2B8A"/>
    <w:rsid w:val="003E2DC6"/>
    <w:rsid w:val="003E3730"/>
    <w:rsid w:val="003E443E"/>
    <w:rsid w:val="003F05A8"/>
    <w:rsid w:val="003F10EE"/>
    <w:rsid w:val="003F16F6"/>
    <w:rsid w:val="003F260C"/>
    <w:rsid w:val="003F2B6D"/>
    <w:rsid w:val="003F47D5"/>
    <w:rsid w:val="003F4DC7"/>
    <w:rsid w:val="003F5235"/>
    <w:rsid w:val="003F7E3C"/>
    <w:rsid w:val="004024AF"/>
    <w:rsid w:val="00402560"/>
    <w:rsid w:val="004027E4"/>
    <w:rsid w:val="00402FBF"/>
    <w:rsid w:val="004032FB"/>
    <w:rsid w:val="00406A9F"/>
    <w:rsid w:val="00406EEF"/>
    <w:rsid w:val="0041071D"/>
    <w:rsid w:val="00411A53"/>
    <w:rsid w:val="0041389E"/>
    <w:rsid w:val="004147B6"/>
    <w:rsid w:val="00414AFC"/>
    <w:rsid w:val="004151A7"/>
    <w:rsid w:val="00415310"/>
    <w:rsid w:val="00420267"/>
    <w:rsid w:val="00420ACB"/>
    <w:rsid w:val="00421709"/>
    <w:rsid w:val="00423763"/>
    <w:rsid w:val="004268DF"/>
    <w:rsid w:val="004269EB"/>
    <w:rsid w:val="00426C17"/>
    <w:rsid w:val="0042762F"/>
    <w:rsid w:val="004276A1"/>
    <w:rsid w:val="00427DC7"/>
    <w:rsid w:val="00430AC3"/>
    <w:rsid w:val="00431613"/>
    <w:rsid w:val="00431792"/>
    <w:rsid w:val="0043189C"/>
    <w:rsid w:val="0043297A"/>
    <w:rsid w:val="00432EB2"/>
    <w:rsid w:val="0043328C"/>
    <w:rsid w:val="00435C5C"/>
    <w:rsid w:val="0043714F"/>
    <w:rsid w:val="004416F1"/>
    <w:rsid w:val="00442FEF"/>
    <w:rsid w:val="004438B5"/>
    <w:rsid w:val="00444F6D"/>
    <w:rsid w:val="004450A9"/>
    <w:rsid w:val="00447037"/>
    <w:rsid w:val="00447576"/>
    <w:rsid w:val="00447E71"/>
    <w:rsid w:val="00450096"/>
    <w:rsid w:val="004511C5"/>
    <w:rsid w:val="0045124D"/>
    <w:rsid w:val="00452554"/>
    <w:rsid w:val="00452A38"/>
    <w:rsid w:val="00454046"/>
    <w:rsid w:val="00454596"/>
    <w:rsid w:val="0045605D"/>
    <w:rsid w:val="00456464"/>
    <w:rsid w:val="00456A93"/>
    <w:rsid w:val="00456B59"/>
    <w:rsid w:val="00460E2C"/>
    <w:rsid w:val="0046135B"/>
    <w:rsid w:val="00461D47"/>
    <w:rsid w:val="004644BF"/>
    <w:rsid w:val="00464D8C"/>
    <w:rsid w:val="00465C05"/>
    <w:rsid w:val="004664AB"/>
    <w:rsid w:val="00466B08"/>
    <w:rsid w:val="0046750E"/>
    <w:rsid w:val="00467DC5"/>
    <w:rsid w:val="00471044"/>
    <w:rsid w:val="004718CC"/>
    <w:rsid w:val="00472419"/>
    <w:rsid w:val="0047344E"/>
    <w:rsid w:val="004757BB"/>
    <w:rsid w:val="00476446"/>
    <w:rsid w:val="0047688F"/>
    <w:rsid w:val="00481695"/>
    <w:rsid w:val="004843CB"/>
    <w:rsid w:val="00487FC2"/>
    <w:rsid w:val="00490F4C"/>
    <w:rsid w:val="00491667"/>
    <w:rsid w:val="00492A09"/>
    <w:rsid w:val="00495544"/>
    <w:rsid w:val="00495A96"/>
    <w:rsid w:val="00495BB3"/>
    <w:rsid w:val="00495F2D"/>
    <w:rsid w:val="00496D12"/>
    <w:rsid w:val="004A01DA"/>
    <w:rsid w:val="004A07B7"/>
    <w:rsid w:val="004A0F23"/>
    <w:rsid w:val="004A2FB9"/>
    <w:rsid w:val="004A3407"/>
    <w:rsid w:val="004A375B"/>
    <w:rsid w:val="004A56BB"/>
    <w:rsid w:val="004A67A4"/>
    <w:rsid w:val="004A6A5F"/>
    <w:rsid w:val="004A70D6"/>
    <w:rsid w:val="004B1323"/>
    <w:rsid w:val="004B1751"/>
    <w:rsid w:val="004B22E6"/>
    <w:rsid w:val="004B2347"/>
    <w:rsid w:val="004B23B5"/>
    <w:rsid w:val="004B2973"/>
    <w:rsid w:val="004B3713"/>
    <w:rsid w:val="004B774E"/>
    <w:rsid w:val="004C0253"/>
    <w:rsid w:val="004C0F9D"/>
    <w:rsid w:val="004C208C"/>
    <w:rsid w:val="004C22CA"/>
    <w:rsid w:val="004C2D77"/>
    <w:rsid w:val="004C3A9C"/>
    <w:rsid w:val="004C57DE"/>
    <w:rsid w:val="004C5C76"/>
    <w:rsid w:val="004C6416"/>
    <w:rsid w:val="004D0F19"/>
    <w:rsid w:val="004D1D9F"/>
    <w:rsid w:val="004D1ED1"/>
    <w:rsid w:val="004D3483"/>
    <w:rsid w:val="004D484A"/>
    <w:rsid w:val="004D48FA"/>
    <w:rsid w:val="004D4A52"/>
    <w:rsid w:val="004D4DBA"/>
    <w:rsid w:val="004D5515"/>
    <w:rsid w:val="004D56FF"/>
    <w:rsid w:val="004D5F2E"/>
    <w:rsid w:val="004D65DC"/>
    <w:rsid w:val="004D6C23"/>
    <w:rsid w:val="004E0715"/>
    <w:rsid w:val="004E1354"/>
    <w:rsid w:val="004E2DD6"/>
    <w:rsid w:val="004E3350"/>
    <w:rsid w:val="004E39D3"/>
    <w:rsid w:val="004E4555"/>
    <w:rsid w:val="004E508A"/>
    <w:rsid w:val="004E616D"/>
    <w:rsid w:val="004E78F7"/>
    <w:rsid w:val="004F1BDE"/>
    <w:rsid w:val="004F2CEE"/>
    <w:rsid w:val="004F2DB0"/>
    <w:rsid w:val="004F3BBF"/>
    <w:rsid w:val="004F4519"/>
    <w:rsid w:val="004F556E"/>
    <w:rsid w:val="004F560E"/>
    <w:rsid w:val="004F591C"/>
    <w:rsid w:val="004F5FC3"/>
    <w:rsid w:val="004F7F44"/>
    <w:rsid w:val="005037B4"/>
    <w:rsid w:val="00503C5A"/>
    <w:rsid w:val="005047D7"/>
    <w:rsid w:val="005079BF"/>
    <w:rsid w:val="005114FA"/>
    <w:rsid w:val="005118B5"/>
    <w:rsid w:val="0051269A"/>
    <w:rsid w:val="005144FA"/>
    <w:rsid w:val="00516E96"/>
    <w:rsid w:val="00517C04"/>
    <w:rsid w:val="00520432"/>
    <w:rsid w:val="00520AD8"/>
    <w:rsid w:val="00520EF6"/>
    <w:rsid w:val="00520F5F"/>
    <w:rsid w:val="00521365"/>
    <w:rsid w:val="005219E7"/>
    <w:rsid w:val="00521ED4"/>
    <w:rsid w:val="00522FC8"/>
    <w:rsid w:val="00524137"/>
    <w:rsid w:val="00524F67"/>
    <w:rsid w:val="00526FB3"/>
    <w:rsid w:val="00530354"/>
    <w:rsid w:val="00530D2A"/>
    <w:rsid w:val="00531482"/>
    <w:rsid w:val="00531B9A"/>
    <w:rsid w:val="00531D15"/>
    <w:rsid w:val="00532193"/>
    <w:rsid w:val="00533C08"/>
    <w:rsid w:val="005355EA"/>
    <w:rsid w:val="00537604"/>
    <w:rsid w:val="00537826"/>
    <w:rsid w:val="00540B9D"/>
    <w:rsid w:val="00540E40"/>
    <w:rsid w:val="00542377"/>
    <w:rsid w:val="00544756"/>
    <w:rsid w:val="00544C84"/>
    <w:rsid w:val="005455D4"/>
    <w:rsid w:val="005476EB"/>
    <w:rsid w:val="00547E9D"/>
    <w:rsid w:val="0055155F"/>
    <w:rsid w:val="00551782"/>
    <w:rsid w:val="00553837"/>
    <w:rsid w:val="0055606B"/>
    <w:rsid w:val="005567C4"/>
    <w:rsid w:val="005614A2"/>
    <w:rsid w:val="00561EEE"/>
    <w:rsid w:val="0056216C"/>
    <w:rsid w:val="00563EF1"/>
    <w:rsid w:val="00566AB4"/>
    <w:rsid w:val="00567176"/>
    <w:rsid w:val="00567B20"/>
    <w:rsid w:val="005715BC"/>
    <w:rsid w:val="00573354"/>
    <w:rsid w:val="00574F0D"/>
    <w:rsid w:val="00575AC5"/>
    <w:rsid w:val="0057605D"/>
    <w:rsid w:val="005765C0"/>
    <w:rsid w:val="00576EAD"/>
    <w:rsid w:val="005775CC"/>
    <w:rsid w:val="00581347"/>
    <w:rsid w:val="00581AC9"/>
    <w:rsid w:val="0058200B"/>
    <w:rsid w:val="00582BD8"/>
    <w:rsid w:val="00583483"/>
    <w:rsid w:val="005849F8"/>
    <w:rsid w:val="00586B04"/>
    <w:rsid w:val="005878A4"/>
    <w:rsid w:val="005912B5"/>
    <w:rsid w:val="00592CD1"/>
    <w:rsid w:val="005938DF"/>
    <w:rsid w:val="00594076"/>
    <w:rsid w:val="00594E9C"/>
    <w:rsid w:val="00595334"/>
    <w:rsid w:val="005979E4"/>
    <w:rsid w:val="005A099B"/>
    <w:rsid w:val="005A29DC"/>
    <w:rsid w:val="005A2D9C"/>
    <w:rsid w:val="005A308C"/>
    <w:rsid w:val="005A55FE"/>
    <w:rsid w:val="005A6A11"/>
    <w:rsid w:val="005A71AB"/>
    <w:rsid w:val="005B05D6"/>
    <w:rsid w:val="005B0B82"/>
    <w:rsid w:val="005B1646"/>
    <w:rsid w:val="005B1FFD"/>
    <w:rsid w:val="005B3403"/>
    <w:rsid w:val="005B3944"/>
    <w:rsid w:val="005B4CBC"/>
    <w:rsid w:val="005B51FD"/>
    <w:rsid w:val="005B5825"/>
    <w:rsid w:val="005C08D3"/>
    <w:rsid w:val="005C105A"/>
    <w:rsid w:val="005C1ADB"/>
    <w:rsid w:val="005C1F3D"/>
    <w:rsid w:val="005C4175"/>
    <w:rsid w:val="005C615B"/>
    <w:rsid w:val="005D0B62"/>
    <w:rsid w:val="005D0C92"/>
    <w:rsid w:val="005D2502"/>
    <w:rsid w:val="005D3098"/>
    <w:rsid w:val="005D38CE"/>
    <w:rsid w:val="005D3AB3"/>
    <w:rsid w:val="005D3DBE"/>
    <w:rsid w:val="005D40BB"/>
    <w:rsid w:val="005D47F3"/>
    <w:rsid w:val="005D49BF"/>
    <w:rsid w:val="005D4AA5"/>
    <w:rsid w:val="005D5103"/>
    <w:rsid w:val="005D5EAC"/>
    <w:rsid w:val="005D6995"/>
    <w:rsid w:val="005D6F4E"/>
    <w:rsid w:val="005D778F"/>
    <w:rsid w:val="005D77EB"/>
    <w:rsid w:val="005D7C73"/>
    <w:rsid w:val="005E0835"/>
    <w:rsid w:val="005E14C2"/>
    <w:rsid w:val="005E226D"/>
    <w:rsid w:val="005E250B"/>
    <w:rsid w:val="005E3ACD"/>
    <w:rsid w:val="005E5425"/>
    <w:rsid w:val="005E5AC1"/>
    <w:rsid w:val="005E7226"/>
    <w:rsid w:val="005E7A57"/>
    <w:rsid w:val="005F16FD"/>
    <w:rsid w:val="005F24B0"/>
    <w:rsid w:val="005F2A72"/>
    <w:rsid w:val="005F3290"/>
    <w:rsid w:val="005F43FE"/>
    <w:rsid w:val="005F5C0B"/>
    <w:rsid w:val="005F6C5E"/>
    <w:rsid w:val="005F752E"/>
    <w:rsid w:val="005F7C1A"/>
    <w:rsid w:val="0060133F"/>
    <w:rsid w:val="00601B57"/>
    <w:rsid w:val="00602060"/>
    <w:rsid w:val="006022D3"/>
    <w:rsid w:val="00604315"/>
    <w:rsid w:val="00604372"/>
    <w:rsid w:val="00604E26"/>
    <w:rsid w:val="0060523F"/>
    <w:rsid w:val="006052CF"/>
    <w:rsid w:val="00606D31"/>
    <w:rsid w:val="00606EDD"/>
    <w:rsid w:val="00607B8D"/>
    <w:rsid w:val="00611F5C"/>
    <w:rsid w:val="00616795"/>
    <w:rsid w:val="00616E09"/>
    <w:rsid w:val="00617805"/>
    <w:rsid w:val="00617E2C"/>
    <w:rsid w:val="00622277"/>
    <w:rsid w:val="00622A3B"/>
    <w:rsid w:val="00622EEA"/>
    <w:rsid w:val="0062396C"/>
    <w:rsid w:val="00623F40"/>
    <w:rsid w:val="00623FF9"/>
    <w:rsid w:val="00624DF1"/>
    <w:rsid w:val="006257F1"/>
    <w:rsid w:val="006267C8"/>
    <w:rsid w:val="00627C8E"/>
    <w:rsid w:val="00627D4E"/>
    <w:rsid w:val="00632B89"/>
    <w:rsid w:val="0063346D"/>
    <w:rsid w:val="00633D3A"/>
    <w:rsid w:val="00634478"/>
    <w:rsid w:val="006348F3"/>
    <w:rsid w:val="00634CD0"/>
    <w:rsid w:val="00635245"/>
    <w:rsid w:val="00636373"/>
    <w:rsid w:val="00640B92"/>
    <w:rsid w:val="00640CA1"/>
    <w:rsid w:val="00642680"/>
    <w:rsid w:val="006432B2"/>
    <w:rsid w:val="00644373"/>
    <w:rsid w:val="00645915"/>
    <w:rsid w:val="006463F9"/>
    <w:rsid w:val="00646463"/>
    <w:rsid w:val="00647740"/>
    <w:rsid w:val="00650C08"/>
    <w:rsid w:val="00650E9F"/>
    <w:rsid w:val="006519C3"/>
    <w:rsid w:val="00651A90"/>
    <w:rsid w:val="00652673"/>
    <w:rsid w:val="00652B30"/>
    <w:rsid w:val="00653168"/>
    <w:rsid w:val="0065371B"/>
    <w:rsid w:val="00654004"/>
    <w:rsid w:val="0065514B"/>
    <w:rsid w:val="0065593D"/>
    <w:rsid w:val="00656345"/>
    <w:rsid w:val="00656D22"/>
    <w:rsid w:val="00656DC6"/>
    <w:rsid w:val="0065748A"/>
    <w:rsid w:val="006578F2"/>
    <w:rsid w:val="00660EC6"/>
    <w:rsid w:val="00662FEB"/>
    <w:rsid w:val="00663241"/>
    <w:rsid w:val="00663521"/>
    <w:rsid w:val="00664110"/>
    <w:rsid w:val="00664C89"/>
    <w:rsid w:val="00664D17"/>
    <w:rsid w:val="00665A20"/>
    <w:rsid w:val="00666520"/>
    <w:rsid w:val="0066737C"/>
    <w:rsid w:val="00667C5B"/>
    <w:rsid w:val="00667D56"/>
    <w:rsid w:val="00667D61"/>
    <w:rsid w:val="00670D23"/>
    <w:rsid w:val="00671FE3"/>
    <w:rsid w:val="00672185"/>
    <w:rsid w:val="006723D3"/>
    <w:rsid w:val="00673574"/>
    <w:rsid w:val="006744E4"/>
    <w:rsid w:val="00675236"/>
    <w:rsid w:val="00675AFF"/>
    <w:rsid w:val="0067604C"/>
    <w:rsid w:val="0067625A"/>
    <w:rsid w:val="006807E4"/>
    <w:rsid w:val="006816D4"/>
    <w:rsid w:val="00681CCB"/>
    <w:rsid w:val="006859D5"/>
    <w:rsid w:val="006864C2"/>
    <w:rsid w:val="006869D1"/>
    <w:rsid w:val="00686B2B"/>
    <w:rsid w:val="00687E50"/>
    <w:rsid w:val="0069032C"/>
    <w:rsid w:val="0069086C"/>
    <w:rsid w:val="00691EB8"/>
    <w:rsid w:val="00692A68"/>
    <w:rsid w:val="00692CDE"/>
    <w:rsid w:val="00693073"/>
    <w:rsid w:val="0069530D"/>
    <w:rsid w:val="0069533E"/>
    <w:rsid w:val="00695A13"/>
    <w:rsid w:val="00696FFF"/>
    <w:rsid w:val="00697116"/>
    <w:rsid w:val="006977FF"/>
    <w:rsid w:val="006A01FA"/>
    <w:rsid w:val="006A022B"/>
    <w:rsid w:val="006A0E9E"/>
    <w:rsid w:val="006A2319"/>
    <w:rsid w:val="006A25C7"/>
    <w:rsid w:val="006A3659"/>
    <w:rsid w:val="006A39DF"/>
    <w:rsid w:val="006A4AAD"/>
    <w:rsid w:val="006A63F9"/>
    <w:rsid w:val="006A6DA2"/>
    <w:rsid w:val="006A7AB2"/>
    <w:rsid w:val="006B2AFF"/>
    <w:rsid w:val="006B333B"/>
    <w:rsid w:val="006B4D2B"/>
    <w:rsid w:val="006B4E69"/>
    <w:rsid w:val="006B52DE"/>
    <w:rsid w:val="006B5717"/>
    <w:rsid w:val="006B582F"/>
    <w:rsid w:val="006B5EB2"/>
    <w:rsid w:val="006B7FFC"/>
    <w:rsid w:val="006C0A46"/>
    <w:rsid w:val="006C0B57"/>
    <w:rsid w:val="006C0CEB"/>
    <w:rsid w:val="006C1631"/>
    <w:rsid w:val="006C2C72"/>
    <w:rsid w:val="006C3AB8"/>
    <w:rsid w:val="006C3B1E"/>
    <w:rsid w:val="006C47FD"/>
    <w:rsid w:val="006C4A24"/>
    <w:rsid w:val="006C5051"/>
    <w:rsid w:val="006C5AA3"/>
    <w:rsid w:val="006C5C19"/>
    <w:rsid w:val="006C6B66"/>
    <w:rsid w:val="006C70A0"/>
    <w:rsid w:val="006D0265"/>
    <w:rsid w:val="006D118A"/>
    <w:rsid w:val="006D1E20"/>
    <w:rsid w:val="006D225B"/>
    <w:rsid w:val="006D27CB"/>
    <w:rsid w:val="006D2F08"/>
    <w:rsid w:val="006D576C"/>
    <w:rsid w:val="006D57E5"/>
    <w:rsid w:val="006D5865"/>
    <w:rsid w:val="006D5CAF"/>
    <w:rsid w:val="006D638F"/>
    <w:rsid w:val="006E06F0"/>
    <w:rsid w:val="006E1604"/>
    <w:rsid w:val="006E22A3"/>
    <w:rsid w:val="006E41D0"/>
    <w:rsid w:val="006E4B1B"/>
    <w:rsid w:val="006E5445"/>
    <w:rsid w:val="006E5CE6"/>
    <w:rsid w:val="006E5E1F"/>
    <w:rsid w:val="006E6191"/>
    <w:rsid w:val="006E7D93"/>
    <w:rsid w:val="006F29A3"/>
    <w:rsid w:val="006F3D28"/>
    <w:rsid w:val="006F7C3A"/>
    <w:rsid w:val="00701509"/>
    <w:rsid w:val="007029A3"/>
    <w:rsid w:val="00702EA1"/>
    <w:rsid w:val="007031B4"/>
    <w:rsid w:val="007036FC"/>
    <w:rsid w:val="007037A0"/>
    <w:rsid w:val="0070476C"/>
    <w:rsid w:val="007052F3"/>
    <w:rsid w:val="007069BE"/>
    <w:rsid w:val="00706E4E"/>
    <w:rsid w:val="007076E1"/>
    <w:rsid w:val="0070788C"/>
    <w:rsid w:val="0070791C"/>
    <w:rsid w:val="00707F15"/>
    <w:rsid w:val="00707FF4"/>
    <w:rsid w:val="00710D09"/>
    <w:rsid w:val="00710F8F"/>
    <w:rsid w:val="00712647"/>
    <w:rsid w:val="0071383C"/>
    <w:rsid w:val="00713A95"/>
    <w:rsid w:val="007141A7"/>
    <w:rsid w:val="007152CD"/>
    <w:rsid w:val="00715722"/>
    <w:rsid w:val="00715B5D"/>
    <w:rsid w:val="00721032"/>
    <w:rsid w:val="00721B55"/>
    <w:rsid w:val="007220E3"/>
    <w:rsid w:val="007226D4"/>
    <w:rsid w:val="00722A0E"/>
    <w:rsid w:val="007231AC"/>
    <w:rsid w:val="007233B3"/>
    <w:rsid w:val="00723685"/>
    <w:rsid w:val="00723D85"/>
    <w:rsid w:val="007243E0"/>
    <w:rsid w:val="007244B1"/>
    <w:rsid w:val="00726CE4"/>
    <w:rsid w:val="00726D70"/>
    <w:rsid w:val="0072768B"/>
    <w:rsid w:val="007277E4"/>
    <w:rsid w:val="00730259"/>
    <w:rsid w:val="0073056B"/>
    <w:rsid w:val="0073245C"/>
    <w:rsid w:val="00732578"/>
    <w:rsid w:val="00733BD5"/>
    <w:rsid w:val="00734143"/>
    <w:rsid w:val="00734A3E"/>
    <w:rsid w:val="00735B19"/>
    <w:rsid w:val="0073633E"/>
    <w:rsid w:val="0073793B"/>
    <w:rsid w:val="00737E47"/>
    <w:rsid w:val="00740EAC"/>
    <w:rsid w:val="00741838"/>
    <w:rsid w:val="00744144"/>
    <w:rsid w:val="007441C2"/>
    <w:rsid w:val="007444F0"/>
    <w:rsid w:val="0074475C"/>
    <w:rsid w:val="00744956"/>
    <w:rsid w:val="00745A43"/>
    <w:rsid w:val="00745A5C"/>
    <w:rsid w:val="00745FA1"/>
    <w:rsid w:val="0074605F"/>
    <w:rsid w:val="0074661B"/>
    <w:rsid w:val="00747E94"/>
    <w:rsid w:val="0075118C"/>
    <w:rsid w:val="00752538"/>
    <w:rsid w:val="00754412"/>
    <w:rsid w:val="00754438"/>
    <w:rsid w:val="00754C83"/>
    <w:rsid w:val="00755A60"/>
    <w:rsid w:val="00755A99"/>
    <w:rsid w:val="007560C1"/>
    <w:rsid w:val="00760368"/>
    <w:rsid w:val="007603DE"/>
    <w:rsid w:val="0076107E"/>
    <w:rsid w:val="00761B56"/>
    <w:rsid w:val="00761E5C"/>
    <w:rsid w:val="00762249"/>
    <w:rsid w:val="00762631"/>
    <w:rsid w:val="007629D0"/>
    <w:rsid w:val="00763B3A"/>
    <w:rsid w:val="00765DF8"/>
    <w:rsid w:val="00766483"/>
    <w:rsid w:val="00766749"/>
    <w:rsid w:val="007670C9"/>
    <w:rsid w:val="0076779A"/>
    <w:rsid w:val="00767C1B"/>
    <w:rsid w:val="007714A9"/>
    <w:rsid w:val="00772EE6"/>
    <w:rsid w:val="007733C7"/>
    <w:rsid w:val="00774F88"/>
    <w:rsid w:val="00774FDB"/>
    <w:rsid w:val="00775873"/>
    <w:rsid w:val="007778D8"/>
    <w:rsid w:val="00777BA2"/>
    <w:rsid w:val="00780CA7"/>
    <w:rsid w:val="00781408"/>
    <w:rsid w:val="0078258F"/>
    <w:rsid w:val="00782FD6"/>
    <w:rsid w:val="00784F7F"/>
    <w:rsid w:val="00784FD8"/>
    <w:rsid w:val="00785D89"/>
    <w:rsid w:val="00785F34"/>
    <w:rsid w:val="007872F4"/>
    <w:rsid w:val="007878BD"/>
    <w:rsid w:val="00787F76"/>
    <w:rsid w:val="0079066E"/>
    <w:rsid w:val="00791DDC"/>
    <w:rsid w:val="0079218F"/>
    <w:rsid w:val="0079224E"/>
    <w:rsid w:val="007945AF"/>
    <w:rsid w:val="00795150"/>
    <w:rsid w:val="00796BD7"/>
    <w:rsid w:val="00796F25"/>
    <w:rsid w:val="0079709A"/>
    <w:rsid w:val="00797EFB"/>
    <w:rsid w:val="007A1452"/>
    <w:rsid w:val="007A2158"/>
    <w:rsid w:val="007A2619"/>
    <w:rsid w:val="007A2E98"/>
    <w:rsid w:val="007A3013"/>
    <w:rsid w:val="007A3BA3"/>
    <w:rsid w:val="007A6CC0"/>
    <w:rsid w:val="007A7EF2"/>
    <w:rsid w:val="007A7FEC"/>
    <w:rsid w:val="007B1260"/>
    <w:rsid w:val="007B1499"/>
    <w:rsid w:val="007B1BBF"/>
    <w:rsid w:val="007B200D"/>
    <w:rsid w:val="007B2468"/>
    <w:rsid w:val="007B24B8"/>
    <w:rsid w:val="007B2960"/>
    <w:rsid w:val="007B355D"/>
    <w:rsid w:val="007B580E"/>
    <w:rsid w:val="007B6AD0"/>
    <w:rsid w:val="007B7980"/>
    <w:rsid w:val="007C02C4"/>
    <w:rsid w:val="007C0DEF"/>
    <w:rsid w:val="007C15CE"/>
    <w:rsid w:val="007C1965"/>
    <w:rsid w:val="007C1A1C"/>
    <w:rsid w:val="007C26F6"/>
    <w:rsid w:val="007C2E5D"/>
    <w:rsid w:val="007C3D2E"/>
    <w:rsid w:val="007C47DE"/>
    <w:rsid w:val="007C5D5A"/>
    <w:rsid w:val="007C607F"/>
    <w:rsid w:val="007C6E44"/>
    <w:rsid w:val="007C79DD"/>
    <w:rsid w:val="007D1A28"/>
    <w:rsid w:val="007D1A97"/>
    <w:rsid w:val="007D2CD6"/>
    <w:rsid w:val="007D2DD4"/>
    <w:rsid w:val="007D3063"/>
    <w:rsid w:val="007D3C62"/>
    <w:rsid w:val="007D3CEB"/>
    <w:rsid w:val="007D4373"/>
    <w:rsid w:val="007D51DB"/>
    <w:rsid w:val="007D5855"/>
    <w:rsid w:val="007D6C1C"/>
    <w:rsid w:val="007D70AB"/>
    <w:rsid w:val="007D7313"/>
    <w:rsid w:val="007E0790"/>
    <w:rsid w:val="007E3375"/>
    <w:rsid w:val="007E3973"/>
    <w:rsid w:val="007E606B"/>
    <w:rsid w:val="007E6B0A"/>
    <w:rsid w:val="007E7683"/>
    <w:rsid w:val="007E7E71"/>
    <w:rsid w:val="007E7F5C"/>
    <w:rsid w:val="007F18DD"/>
    <w:rsid w:val="007F1FFA"/>
    <w:rsid w:val="007F2675"/>
    <w:rsid w:val="007F357B"/>
    <w:rsid w:val="007F49FA"/>
    <w:rsid w:val="007F4AD2"/>
    <w:rsid w:val="007F54C4"/>
    <w:rsid w:val="007F67FB"/>
    <w:rsid w:val="007F68A3"/>
    <w:rsid w:val="007F68D8"/>
    <w:rsid w:val="007F6E9A"/>
    <w:rsid w:val="007F74FF"/>
    <w:rsid w:val="00800CCD"/>
    <w:rsid w:val="0080190C"/>
    <w:rsid w:val="008030B0"/>
    <w:rsid w:val="008044D4"/>
    <w:rsid w:val="008049EA"/>
    <w:rsid w:val="00804AE9"/>
    <w:rsid w:val="00805148"/>
    <w:rsid w:val="00805369"/>
    <w:rsid w:val="00805E82"/>
    <w:rsid w:val="00810031"/>
    <w:rsid w:val="00810AB4"/>
    <w:rsid w:val="00810F56"/>
    <w:rsid w:val="00811D56"/>
    <w:rsid w:val="00811FA7"/>
    <w:rsid w:val="008129FB"/>
    <w:rsid w:val="00814215"/>
    <w:rsid w:val="00815BDF"/>
    <w:rsid w:val="00817B56"/>
    <w:rsid w:val="00820DE6"/>
    <w:rsid w:val="008212D0"/>
    <w:rsid w:val="00821A88"/>
    <w:rsid w:val="00822961"/>
    <w:rsid w:val="008232EE"/>
    <w:rsid w:val="0082495D"/>
    <w:rsid w:val="00827271"/>
    <w:rsid w:val="008272EE"/>
    <w:rsid w:val="00831AC3"/>
    <w:rsid w:val="00831D80"/>
    <w:rsid w:val="00832130"/>
    <w:rsid w:val="0083299E"/>
    <w:rsid w:val="00833280"/>
    <w:rsid w:val="00833556"/>
    <w:rsid w:val="00835225"/>
    <w:rsid w:val="00835D40"/>
    <w:rsid w:val="00835EDC"/>
    <w:rsid w:val="00836799"/>
    <w:rsid w:val="00836FCE"/>
    <w:rsid w:val="0084038A"/>
    <w:rsid w:val="008408FF"/>
    <w:rsid w:val="00840935"/>
    <w:rsid w:val="00843EC0"/>
    <w:rsid w:val="00846CEC"/>
    <w:rsid w:val="00851F3F"/>
    <w:rsid w:val="00852085"/>
    <w:rsid w:val="008532DC"/>
    <w:rsid w:val="00853495"/>
    <w:rsid w:val="00854AE3"/>
    <w:rsid w:val="00854E5F"/>
    <w:rsid w:val="0085618F"/>
    <w:rsid w:val="008569DF"/>
    <w:rsid w:val="00856EDC"/>
    <w:rsid w:val="00860A85"/>
    <w:rsid w:val="00861D8D"/>
    <w:rsid w:val="008623B5"/>
    <w:rsid w:val="00862F60"/>
    <w:rsid w:val="00864856"/>
    <w:rsid w:val="00864D51"/>
    <w:rsid w:val="008655A9"/>
    <w:rsid w:val="00866A5E"/>
    <w:rsid w:val="0086798B"/>
    <w:rsid w:val="00870ABA"/>
    <w:rsid w:val="008710E1"/>
    <w:rsid w:val="008716E5"/>
    <w:rsid w:val="0087267F"/>
    <w:rsid w:val="00873166"/>
    <w:rsid w:val="00873AD0"/>
    <w:rsid w:val="00873DAC"/>
    <w:rsid w:val="008755FC"/>
    <w:rsid w:val="0087564B"/>
    <w:rsid w:val="00875915"/>
    <w:rsid w:val="00876A19"/>
    <w:rsid w:val="00877195"/>
    <w:rsid w:val="00880DC1"/>
    <w:rsid w:val="00881CA9"/>
    <w:rsid w:val="008828B7"/>
    <w:rsid w:val="008833A9"/>
    <w:rsid w:val="00883628"/>
    <w:rsid w:val="00883E96"/>
    <w:rsid w:val="00884227"/>
    <w:rsid w:val="00884434"/>
    <w:rsid w:val="00885544"/>
    <w:rsid w:val="0088634E"/>
    <w:rsid w:val="00886BF5"/>
    <w:rsid w:val="00886F2A"/>
    <w:rsid w:val="0088715D"/>
    <w:rsid w:val="00891555"/>
    <w:rsid w:val="00892DC3"/>
    <w:rsid w:val="00893AB8"/>
    <w:rsid w:val="00895A18"/>
    <w:rsid w:val="00895BD9"/>
    <w:rsid w:val="00897A17"/>
    <w:rsid w:val="00897BEE"/>
    <w:rsid w:val="008A04C8"/>
    <w:rsid w:val="008A1F8A"/>
    <w:rsid w:val="008A21E9"/>
    <w:rsid w:val="008A3C8F"/>
    <w:rsid w:val="008A40B9"/>
    <w:rsid w:val="008A4A1C"/>
    <w:rsid w:val="008A562C"/>
    <w:rsid w:val="008A6447"/>
    <w:rsid w:val="008A6913"/>
    <w:rsid w:val="008A69C4"/>
    <w:rsid w:val="008B1712"/>
    <w:rsid w:val="008B20C5"/>
    <w:rsid w:val="008B64A9"/>
    <w:rsid w:val="008B70F3"/>
    <w:rsid w:val="008B71C4"/>
    <w:rsid w:val="008B72F4"/>
    <w:rsid w:val="008B76DF"/>
    <w:rsid w:val="008C0CEA"/>
    <w:rsid w:val="008C10F4"/>
    <w:rsid w:val="008C1E26"/>
    <w:rsid w:val="008C1F6D"/>
    <w:rsid w:val="008C2147"/>
    <w:rsid w:val="008C31C0"/>
    <w:rsid w:val="008C34F1"/>
    <w:rsid w:val="008C350B"/>
    <w:rsid w:val="008C3EFA"/>
    <w:rsid w:val="008C65F7"/>
    <w:rsid w:val="008C6F24"/>
    <w:rsid w:val="008C7CAB"/>
    <w:rsid w:val="008D3328"/>
    <w:rsid w:val="008D3357"/>
    <w:rsid w:val="008D4CD2"/>
    <w:rsid w:val="008D539F"/>
    <w:rsid w:val="008D77F7"/>
    <w:rsid w:val="008D7A98"/>
    <w:rsid w:val="008E0D8A"/>
    <w:rsid w:val="008E2553"/>
    <w:rsid w:val="008E2AB9"/>
    <w:rsid w:val="008E31C7"/>
    <w:rsid w:val="008E3897"/>
    <w:rsid w:val="008E3B8B"/>
    <w:rsid w:val="008E405B"/>
    <w:rsid w:val="008E443F"/>
    <w:rsid w:val="008E4767"/>
    <w:rsid w:val="008E4CB9"/>
    <w:rsid w:val="008E4F44"/>
    <w:rsid w:val="008E567B"/>
    <w:rsid w:val="008E57E1"/>
    <w:rsid w:val="008E6130"/>
    <w:rsid w:val="008E62D1"/>
    <w:rsid w:val="008E6AEC"/>
    <w:rsid w:val="008E7A8C"/>
    <w:rsid w:val="008F16FC"/>
    <w:rsid w:val="008F2B79"/>
    <w:rsid w:val="008F2BD5"/>
    <w:rsid w:val="008F5A04"/>
    <w:rsid w:val="008F6502"/>
    <w:rsid w:val="008F6F5F"/>
    <w:rsid w:val="008F7001"/>
    <w:rsid w:val="008F74A0"/>
    <w:rsid w:val="008F798E"/>
    <w:rsid w:val="008F7C4B"/>
    <w:rsid w:val="008F7E26"/>
    <w:rsid w:val="00900E7B"/>
    <w:rsid w:val="0090203B"/>
    <w:rsid w:val="00903285"/>
    <w:rsid w:val="00905458"/>
    <w:rsid w:val="00905483"/>
    <w:rsid w:val="0090661E"/>
    <w:rsid w:val="00906F40"/>
    <w:rsid w:val="0090731E"/>
    <w:rsid w:val="0091089A"/>
    <w:rsid w:val="00910B05"/>
    <w:rsid w:val="009120A9"/>
    <w:rsid w:val="00913398"/>
    <w:rsid w:val="009145C8"/>
    <w:rsid w:val="009156B1"/>
    <w:rsid w:val="00915B1C"/>
    <w:rsid w:val="009174F3"/>
    <w:rsid w:val="0091797D"/>
    <w:rsid w:val="00917C17"/>
    <w:rsid w:val="0092339E"/>
    <w:rsid w:val="00923CBA"/>
    <w:rsid w:val="009242EB"/>
    <w:rsid w:val="00926703"/>
    <w:rsid w:val="00927691"/>
    <w:rsid w:val="00927A5F"/>
    <w:rsid w:val="00927DD8"/>
    <w:rsid w:val="00927F42"/>
    <w:rsid w:val="00930510"/>
    <w:rsid w:val="0093090E"/>
    <w:rsid w:val="00930BF3"/>
    <w:rsid w:val="00931B90"/>
    <w:rsid w:val="00931C8C"/>
    <w:rsid w:val="00932A94"/>
    <w:rsid w:val="00934A95"/>
    <w:rsid w:val="00934FE0"/>
    <w:rsid w:val="00935B63"/>
    <w:rsid w:val="00937390"/>
    <w:rsid w:val="009405E2"/>
    <w:rsid w:val="0094078F"/>
    <w:rsid w:val="00940D4D"/>
    <w:rsid w:val="00940FA3"/>
    <w:rsid w:val="00941FB0"/>
    <w:rsid w:val="009426D4"/>
    <w:rsid w:val="00944EA3"/>
    <w:rsid w:val="009476E5"/>
    <w:rsid w:val="00947EF8"/>
    <w:rsid w:val="00947F25"/>
    <w:rsid w:val="0095007C"/>
    <w:rsid w:val="00950159"/>
    <w:rsid w:val="00951A83"/>
    <w:rsid w:val="00952350"/>
    <w:rsid w:val="0095271F"/>
    <w:rsid w:val="00952813"/>
    <w:rsid w:val="00953431"/>
    <w:rsid w:val="0095490B"/>
    <w:rsid w:val="00954DA1"/>
    <w:rsid w:val="00955B3E"/>
    <w:rsid w:val="00956C79"/>
    <w:rsid w:val="00956E32"/>
    <w:rsid w:val="0096018E"/>
    <w:rsid w:val="00960A33"/>
    <w:rsid w:val="00962CBE"/>
    <w:rsid w:val="0096313C"/>
    <w:rsid w:val="0096523C"/>
    <w:rsid w:val="00967012"/>
    <w:rsid w:val="00971914"/>
    <w:rsid w:val="00972728"/>
    <w:rsid w:val="00972CCD"/>
    <w:rsid w:val="00973BC2"/>
    <w:rsid w:val="00973BE9"/>
    <w:rsid w:val="00973CF2"/>
    <w:rsid w:val="00974363"/>
    <w:rsid w:val="00981898"/>
    <w:rsid w:val="009820DB"/>
    <w:rsid w:val="00983017"/>
    <w:rsid w:val="0098497A"/>
    <w:rsid w:val="00985FAD"/>
    <w:rsid w:val="009863B1"/>
    <w:rsid w:val="0098733D"/>
    <w:rsid w:val="00991929"/>
    <w:rsid w:val="00994D8D"/>
    <w:rsid w:val="0099577C"/>
    <w:rsid w:val="009957F9"/>
    <w:rsid w:val="00995CB4"/>
    <w:rsid w:val="00995FB7"/>
    <w:rsid w:val="00996149"/>
    <w:rsid w:val="0099775E"/>
    <w:rsid w:val="009A1114"/>
    <w:rsid w:val="009A1FD5"/>
    <w:rsid w:val="009A34E9"/>
    <w:rsid w:val="009A3C36"/>
    <w:rsid w:val="009A4EEE"/>
    <w:rsid w:val="009A5729"/>
    <w:rsid w:val="009A79C1"/>
    <w:rsid w:val="009A7A54"/>
    <w:rsid w:val="009A7C0C"/>
    <w:rsid w:val="009B0FCB"/>
    <w:rsid w:val="009B1326"/>
    <w:rsid w:val="009B153C"/>
    <w:rsid w:val="009B245A"/>
    <w:rsid w:val="009B24A5"/>
    <w:rsid w:val="009B2601"/>
    <w:rsid w:val="009B4635"/>
    <w:rsid w:val="009B4CB8"/>
    <w:rsid w:val="009B4E9E"/>
    <w:rsid w:val="009C0593"/>
    <w:rsid w:val="009C0E98"/>
    <w:rsid w:val="009C1690"/>
    <w:rsid w:val="009C16D7"/>
    <w:rsid w:val="009C1A88"/>
    <w:rsid w:val="009C3DCB"/>
    <w:rsid w:val="009C479C"/>
    <w:rsid w:val="009C4B72"/>
    <w:rsid w:val="009C6881"/>
    <w:rsid w:val="009C6EC5"/>
    <w:rsid w:val="009C6FAE"/>
    <w:rsid w:val="009C7759"/>
    <w:rsid w:val="009D043D"/>
    <w:rsid w:val="009D07C8"/>
    <w:rsid w:val="009D1D05"/>
    <w:rsid w:val="009D33B1"/>
    <w:rsid w:val="009D3470"/>
    <w:rsid w:val="009D350A"/>
    <w:rsid w:val="009D5B82"/>
    <w:rsid w:val="009D5D8F"/>
    <w:rsid w:val="009D6AA7"/>
    <w:rsid w:val="009D6B94"/>
    <w:rsid w:val="009D6C71"/>
    <w:rsid w:val="009D6CC2"/>
    <w:rsid w:val="009E0631"/>
    <w:rsid w:val="009E0E61"/>
    <w:rsid w:val="009E1565"/>
    <w:rsid w:val="009E16D0"/>
    <w:rsid w:val="009E1FD9"/>
    <w:rsid w:val="009E2051"/>
    <w:rsid w:val="009E3875"/>
    <w:rsid w:val="009E38FD"/>
    <w:rsid w:val="009E4C1D"/>
    <w:rsid w:val="009E55AF"/>
    <w:rsid w:val="009E6DC3"/>
    <w:rsid w:val="009F0A51"/>
    <w:rsid w:val="009F0B99"/>
    <w:rsid w:val="009F13D6"/>
    <w:rsid w:val="009F1AA4"/>
    <w:rsid w:val="009F3908"/>
    <w:rsid w:val="009F3C1D"/>
    <w:rsid w:val="009F4615"/>
    <w:rsid w:val="009F463B"/>
    <w:rsid w:val="009F4C6B"/>
    <w:rsid w:val="009F62EC"/>
    <w:rsid w:val="009F78A8"/>
    <w:rsid w:val="00A0178F"/>
    <w:rsid w:val="00A01A11"/>
    <w:rsid w:val="00A021B2"/>
    <w:rsid w:val="00A02AD6"/>
    <w:rsid w:val="00A04F0E"/>
    <w:rsid w:val="00A07096"/>
    <w:rsid w:val="00A07167"/>
    <w:rsid w:val="00A07318"/>
    <w:rsid w:val="00A10D9B"/>
    <w:rsid w:val="00A11370"/>
    <w:rsid w:val="00A11DF2"/>
    <w:rsid w:val="00A11E69"/>
    <w:rsid w:val="00A12B24"/>
    <w:rsid w:val="00A13A53"/>
    <w:rsid w:val="00A1453E"/>
    <w:rsid w:val="00A16B15"/>
    <w:rsid w:val="00A21B9C"/>
    <w:rsid w:val="00A224CE"/>
    <w:rsid w:val="00A22522"/>
    <w:rsid w:val="00A2329C"/>
    <w:rsid w:val="00A23AEA"/>
    <w:rsid w:val="00A2440D"/>
    <w:rsid w:val="00A246CE"/>
    <w:rsid w:val="00A24882"/>
    <w:rsid w:val="00A24AFD"/>
    <w:rsid w:val="00A24F5C"/>
    <w:rsid w:val="00A273B3"/>
    <w:rsid w:val="00A32006"/>
    <w:rsid w:val="00A32650"/>
    <w:rsid w:val="00A32F96"/>
    <w:rsid w:val="00A40871"/>
    <w:rsid w:val="00A40CE1"/>
    <w:rsid w:val="00A412AB"/>
    <w:rsid w:val="00A4193E"/>
    <w:rsid w:val="00A43083"/>
    <w:rsid w:val="00A43470"/>
    <w:rsid w:val="00A4362A"/>
    <w:rsid w:val="00A440E0"/>
    <w:rsid w:val="00A442EF"/>
    <w:rsid w:val="00A44307"/>
    <w:rsid w:val="00A44969"/>
    <w:rsid w:val="00A45E79"/>
    <w:rsid w:val="00A46DC0"/>
    <w:rsid w:val="00A506D2"/>
    <w:rsid w:val="00A51B11"/>
    <w:rsid w:val="00A51D1A"/>
    <w:rsid w:val="00A526CE"/>
    <w:rsid w:val="00A5418D"/>
    <w:rsid w:val="00A5474E"/>
    <w:rsid w:val="00A55008"/>
    <w:rsid w:val="00A55E78"/>
    <w:rsid w:val="00A57ED1"/>
    <w:rsid w:val="00A57FD6"/>
    <w:rsid w:val="00A6000A"/>
    <w:rsid w:val="00A60735"/>
    <w:rsid w:val="00A61EF7"/>
    <w:rsid w:val="00A62459"/>
    <w:rsid w:val="00A6297F"/>
    <w:rsid w:val="00A6357D"/>
    <w:rsid w:val="00A63CA5"/>
    <w:rsid w:val="00A64234"/>
    <w:rsid w:val="00A67268"/>
    <w:rsid w:val="00A703E9"/>
    <w:rsid w:val="00A70ADF"/>
    <w:rsid w:val="00A70E21"/>
    <w:rsid w:val="00A71466"/>
    <w:rsid w:val="00A74B5E"/>
    <w:rsid w:val="00A74EEF"/>
    <w:rsid w:val="00A75634"/>
    <w:rsid w:val="00A75AEB"/>
    <w:rsid w:val="00A765FF"/>
    <w:rsid w:val="00A76A68"/>
    <w:rsid w:val="00A76E0F"/>
    <w:rsid w:val="00A81B15"/>
    <w:rsid w:val="00A81BED"/>
    <w:rsid w:val="00A81EC4"/>
    <w:rsid w:val="00A824E8"/>
    <w:rsid w:val="00A82B96"/>
    <w:rsid w:val="00A84446"/>
    <w:rsid w:val="00A85BB2"/>
    <w:rsid w:val="00A85D5C"/>
    <w:rsid w:val="00A8799B"/>
    <w:rsid w:val="00A90925"/>
    <w:rsid w:val="00A92487"/>
    <w:rsid w:val="00A94509"/>
    <w:rsid w:val="00A967FD"/>
    <w:rsid w:val="00A97D85"/>
    <w:rsid w:val="00AA03C2"/>
    <w:rsid w:val="00AA0617"/>
    <w:rsid w:val="00AA0C95"/>
    <w:rsid w:val="00AA113B"/>
    <w:rsid w:val="00AA2D85"/>
    <w:rsid w:val="00AA2DE5"/>
    <w:rsid w:val="00AA3510"/>
    <w:rsid w:val="00AA45D3"/>
    <w:rsid w:val="00AA6525"/>
    <w:rsid w:val="00AB156C"/>
    <w:rsid w:val="00AB17E4"/>
    <w:rsid w:val="00AB1ED4"/>
    <w:rsid w:val="00AB3B31"/>
    <w:rsid w:val="00AB42B9"/>
    <w:rsid w:val="00AB6737"/>
    <w:rsid w:val="00AB6814"/>
    <w:rsid w:val="00AB7D40"/>
    <w:rsid w:val="00AC04BA"/>
    <w:rsid w:val="00AC0D1C"/>
    <w:rsid w:val="00AC0E39"/>
    <w:rsid w:val="00AC1B09"/>
    <w:rsid w:val="00AC32EC"/>
    <w:rsid w:val="00AC7207"/>
    <w:rsid w:val="00AC7423"/>
    <w:rsid w:val="00AC7B6F"/>
    <w:rsid w:val="00AD0351"/>
    <w:rsid w:val="00AD278A"/>
    <w:rsid w:val="00AD3049"/>
    <w:rsid w:val="00AD3082"/>
    <w:rsid w:val="00AD32B4"/>
    <w:rsid w:val="00AD3CA0"/>
    <w:rsid w:val="00AD4AD0"/>
    <w:rsid w:val="00AD4C8E"/>
    <w:rsid w:val="00AD5436"/>
    <w:rsid w:val="00AD60CD"/>
    <w:rsid w:val="00AD695A"/>
    <w:rsid w:val="00AD6C8C"/>
    <w:rsid w:val="00AD7783"/>
    <w:rsid w:val="00AE091D"/>
    <w:rsid w:val="00AE109E"/>
    <w:rsid w:val="00AE2754"/>
    <w:rsid w:val="00AE35B8"/>
    <w:rsid w:val="00AE3B60"/>
    <w:rsid w:val="00AE53A1"/>
    <w:rsid w:val="00AE68D6"/>
    <w:rsid w:val="00AF008B"/>
    <w:rsid w:val="00AF2380"/>
    <w:rsid w:val="00AF2484"/>
    <w:rsid w:val="00AF34B5"/>
    <w:rsid w:val="00AF38D5"/>
    <w:rsid w:val="00AF3EB0"/>
    <w:rsid w:val="00AF40F1"/>
    <w:rsid w:val="00AF5A29"/>
    <w:rsid w:val="00AF5BC2"/>
    <w:rsid w:val="00AF63E7"/>
    <w:rsid w:val="00AF6E17"/>
    <w:rsid w:val="00AF79F3"/>
    <w:rsid w:val="00B00744"/>
    <w:rsid w:val="00B01125"/>
    <w:rsid w:val="00B0165D"/>
    <w:rsid w:val="00B01B60"/>
    <w:rsid w:val="00B030A8"/>
    <w:rsid w:val="00B031F3"/>
    <w:rsid w:val="00B0357E"/>
    <w:rsid w:val="00B052A4"/>
    <w:rsid w:val="00B068A3"/>
    <w:rsid w:val="00B07CD3"/>
    <w:rsid w:val="00B125DE"/>
    <w:rsid w:val="00B13FDD"/>
    <w:rsid w:val="00B1523D"/>
    <w:rsid w:val="00B205AA"/>
    <w:rsid w:val="00B2088C"/>
    <w:rsid w:val="00B20A08"/>
    <w:rsid w:val="00B21972"/>
    <w:rsid w:val="00B22D1C"/>
    <w:rsid w:val="00B22EB2"/>
    <w:rsid w:val="00B27442"/>
    <w:rsid w:val="00B27F60"/>
    <w:rsid w:val="00B31167"/>
    <w:rsid w:val="00B329D8"/>
    <w:rsid w:val="00B32B9E"/>
    <w:rsid w:val="00B32BB9"/>
    <w:rsid w:val="00B33AE1"/>
    <w:rsid w:val="00B357B0"/>
    <w:rsid w:val="00B360F6"/>
    <w:rsid w:val="00B366B9"/>
    <w:rsid w:val="00B36766"/>
    <w:rsid w:val="00B37C38"/>
    <w:rsid w:val="00B4074E"/>
    <w:rsid w:val="00B41029"/>
    <w:rsid w:val="00B4288C"/>
    <w:rsid w:val="00B43262"/>
    <w:rsid w:val="00B4357B"/>
    <w:rsid w:val="00B44100"/>
    <w:rsid w:val="00B4507D"/>
    <w:rsid w:val="00B46CBA"/>
    <w:rsid w:val="00B46E84"/>
    <w:rsid w:val="00B46F94"/>
    <w:rsid w:val="00B47052"/>
    <w:rsid w:val="00B505B2"/>
    <w:rsid w:val="00B52301"/>
    <w:rsid w:val="00B52E23"/>
    <w:rsid w:val="00B54BC0"/>
    <w:rsid w:val="00B54EF3"/>
    <w:rsid w:val="00B55FB0"/>
    <w:rsid w:val="00B56F13"/>
    <w:rsid w:val="00B6003C"/>
    <w:rsid w:val="00B60751"/>
    <w:rsid w:val="00B61028"/>
    <w:rsid w:val="00B612EE"/>
    <w:rsid w:val="00B61F03"/>
    <w:rsid w:val="00B624F2"/>
    <w:rsid w:val="00B6261D"/>
    <w:rsid w:val="00B626E4"/>
    <w:rsid w:val="00B6272A"/>
    <w:rsid w:val="00B62F49"/>
    <w:rsid w:val="00B668B2"/>
    <w:rsid w:val="00B703DE"/>
    <w:rsid w:val="00B71499"/>
    <w:rsid w:val="00B719A7"/>
    <w:rsid w:val="00B720CF"/>
    <w:rsid w:val="00B72A1A"/>
    <w:rsid w:val="00B72F4A"/>
    <w:rsid w:val="00B731ED"/>
    <w:rsid w:val="00B7388C"/>
    <w:rsid w:val="00B73F64"/>
    <w:rsid w:val="00B77467"/>
    <w:rsid w:val="00B80BA7"/>
    <w:rsid w:val="00B80C38"/>
    <w:rsid w:val="00B817E5"/>
    <w:rsid w:val="00B81E4F"/>
    <w:rsid w:val="00B824FF"/>
    <w:rsid w:val="00B82909"/>
    <w:rsid w:val="00B83740"/>
    <w:rsid w:val="00B83C27"/>
    <w:rsid w:val="00B84BC3"/>
    <w:rsid w:val="00B84BDD"/>
    <w:rsid w:val="00B86E4B"/>
    <w:rsid w:val="00B87656"/>
    <w:rsid w:val="00B87D00"/>
    <w:rsid w:val="00B907B7"/>
    <w:rsid w:val="00B909A7"/>
    <w:rsid w:val="00B90B83"/>
    <w:rsid w:val="00B92812"/>
    <w:rsid w:val="00B92BA6"/>
    <w:rsid w:val="00B94C03"/>
    <w:rsid w:val="00B97513"/>
    <w:rsid w:val="00B975E2"/>
    <w:rsid w:val="00BA03F1"/>
    <w:rsid w:val="00BA240C"/>
    <w:rsid w:val="00BA5447"/>
    <w:rsid w:val="00BA631F"/>
    <w:rsid w:val="00BA7D5C"/>
    <w:rsid w:val="00BB0215"/>
    <w:rsid w:val="00BB029B"/>
    <w:rsid w:val="00BB0696"/>
    <w:rsid w:val="00BB1BA0"/>
    <w:rsid w:val="00BB2651"/>
    <w:rsid w:val="00BB4205"/>
    <w:rsid w:val="00BB45A1"/>
    <w:rsid w:val="00BB471F"/>
    <w:rsid w:val="00BB52D2"/>
    <w:rsid w:val="00BB619D"/>
    <w:rsid w:val="00BB68AB"/>
    <w:rsid w:val="00BB6AF9"/>
    <w:rsid w:val="00BB7686"/>
    <w:rsid w:val="00BC0331"/>
    <w:rsid w:val="00BC0E03"/>
    <w:rsid w:val="00BC23F9"/>
    <w:rsid w:val="00BC3421"/>
    <w:rsid w:val="00BC34A4"/>
    <w:rsid w:val="00BC38E7"/>
    <w:rsid w:val="00BC3AF9"/>
    <w:rsid w:val="00BC3B1A"/>
    <w:rsid w:val="00BC6D77"/>
    <w:rsid w:val="00BC732C"/>
    <w:rsid w:val="00BD0184"/>
    <w:rsid w:val="00BD28B6"/>
    <w:rsid w:val="00BD407A"/>
    <w:rsid w:val="00BD4421"/>
    <w:rsid w:val="00BD4C59"/>
    <w:rsid w:val="00BD5770"/>
    <w:rsid w:val="00BD5E6C"/>
    <w:rsid w:val="00BD7249"/>
    <w:rsid w:val="00BD74AE"/>
    <w:rsid w:val="00BD79E4"/>
    <w:rsid w:val="00BE09F7"/>
    <w:rsid w:val="00BE1286"/>
    <w:rsid w:val="00BE1462"/>
    <w:rsid w:val="00BE1FAE"/>
    <w:rsid w:val="00BE2580"/>
    <w:rsid w:val="00BE266D"/>
    <w:rsid w:val="00BE35CB"/>
    <w:rsid w:val="00BE3938"/>
    <w:rsid w:val="00BE3B0F"/>
    <w:rsid w:val="00BE409E"/>
    <w:rsid w:val="00BE4923"/>
    <w:rsid w:val="00BE4C11"/>
    <w:rsid w:val="00BE6805"/>
    <w:rsid w:val="00BE71C0"/>
    <w:rsid w:val="00BF0CA9"/>
    <w:rsid w:val="00BF2B27"/>
    <w:rsid w:val="00BF4E3D"/>
    <w:rsid w:val="00BF610C"/>
    <w:rsid w:val="00BF6EBD"/>
    <w:rsid w:val="00BF7AF2"/>
    <w:rsid w:val="00C0060B"/>
    <w:rsid w:val="00C01187"/>
    <w:rsid w:val="00C01558"/>
    <w:rsid w:val="00C01A6C"/>
    <w:rsid w:val="00C01AEA"/>
    <w:rsid w:val="00C02399"/>
    <w:rsid w:val="00C0277D"/>
    <w:rsid w:val="00C02BBF"/>
    <w:rsid w:val="00C053A1"/>
    <w:rsid w:val="00C05DA8"/>
    <w:rsid w:val="00C05EC5"/>
    <w:rsid w:val="00C062A6"/>
    <w:rsid w:val="00C06A97"/>
    <w:rsid w:val="00C0702D"/>
    <w:rsid w:val="00C1013F"/>
    <w:rsid w:val="00C127BB"/>
    <w:rsid w:val="00C13E06"/>
    <w:rsid w:val="00C15543"/>
    <w:rsid w:val="00C15707"/>
    <w:rsid w:val="00C160EF"/>
    <w:rsid w:val="00C16198"/>
    <w:rsid w:val="00C174E3"/>
    <w:rsid w:val="00C1770F"/>
    <w:rsid w:val="00C1772D"/>
    <w:rsid w:val="00C17B1E"/>
    <w:rsid w:val="00C17BEA"/>
    <w:rsid w:val="00C2083D"/>
    <w:rsid w:val="00C21BEA"/>
    <w:rsid w:val="00C220BA"/>
    <w:rsid w:val="00C24A53"/>
    <w:rsid w:val="00C25B9A"/>
    <w:rsid w:val="00C33CEB"/>
    <w:rsid w:val="00C33FF1"/>
    <w:rsid w:val="00C34800"/>
    <w:rsid w:val="00C34A05"/>
    <w:rsid w:val="00C35CCE"/>
    <w:rsid w:val="00C3605A"/>
    <w:rsid w:val="00C361C3"/>
    <w:rsid w:val="00C37DC0"/>
    <w:rsid w:val="00C4032F"/>
    <w:rsid w:val="00C414FD"/>
    <w:rsid w:val="00C41D40"/>
    <w:rsid w:val="00C43559"/>
    <w:rsid w:val="00C44047"/>
    <w:rsid w:val="00C45155"/>
    <w:rsid w:val="00C45A6F"/>
    <w:rsid w:val="00C45C89"/>
    <w:rsid w:val="00C47802"/>
    <w:rsid w:val="00C5095B"/>
    <w:rsid w:val="00C50E5A"/>
    <w:rsid w:val="00C51D91"/>
    <w:rsid w:val="00C5247D"/>
    <w:rsid w:val="00C537FE"/>
    <w:rsid w:val="00C5455B"/>
    <w:rsid w:val="00C5498F"/>
    <w:rsid w:val="00C549C4"/>
    <w:rsid w:val="00C54E66"/>
    <w:rsid w:val="00C55235"/>
    <w:rsid w:val="00C55A8F"/>
    <w:rsid w:val="00C56484"/>
    <w:rsid w:val="00C617B7"/>
    <w:rsid w:val="00C62CA7"/>
    <w:rsid w:val="00C639E4"/>
    <w:rsid w:val="00C64252"/>
    <w:rsid w:val="00C64CD0"/>
    <w:rsid w:val="00C661DD"/>
    <w:rsid w:val="00C6684F"/>
    <w:rsid w:val="00C70007"/>
    <w:rsid w:val="00C706A6"/>
    <w:rsid w:val="00C70E70"/>
    <w:rsid w:val="00C72270"/>
    <w:rsid w:val="00C72FF3"/>
    <w:rsid w:val="00C74FC8"/>
    <w:rsid w:val="00C75264"/>
    <w:rsid w:val="00C7586F"/>
    <w:rsid w:val="00C75F8D"/>
    <w:rsid w:val="00C77380"/>
    <w:rsid w:val="00C77D01"/>
    <w:rsid w:val="00C8103B"/>
    <w:rsid w:val="00C81489"/>
    <w:rsid w:val="00C81580"/>
    <w:rsid w:val="00C82940"/>
    <w:rsid w:val="00C83686"/>
    <w:rsid w:val="00C85031"/>
    <w:rsid w:val="00C857C1"/>
    <w:rsid w:val="00C857C7"/>
    <w:rsid w:val="00C85E1B"/>
    <w:rsid w:val="00C87A8F"/>
    <w:rsid w:val="00C87E8A"/>
    <w:rsid w:val="00C90B2A"/>
    <w:rsid w:val="00C915D5"/>
    <w:rsid w:val="00C92F5A"/>
    <w:rsid w:val="00C93250"/>
    <w:rsid w:val="00C95E02"/>
    <w:rsid w:val="00C9682F"/>
    <w:rsid w:val="00C96A50"/>
    <w:rsid w:val="00C9737B"/>
    <w:rsid w:val="00C97736"/>
    <w:rsid w:val="00CA003E"/>
    <w:rsid w:val="00CA0A64"/>
    <w:rsid w:val="00CA116A"/>
    <w:rsid w:val="00CA3259"/>
    <w:rsid w:val="00CA345A"/>
    <w:rsid w:val="00CA3869"/>
    <w:rsid w:val="00CA39DA"/>
    <w:rsid w:val="00CA3CB8"/>
    <w:rsid w:val="00CA4206"/>
    <w:rsid w:val="00CA52BA"/>
    <w:rsid w:val="00CA5404"/>
    <w:rsid w:val="00CA553D"/>
    <w:rsid w:val="00CA7B6C"/>
    <w:rsid w:val="00CA7D1F"/>
    <w:rsid w:val="00CB02A6"/>
    <w:rsid w:val="00CB0805"/>
    <w:rsid w:val="00CB08C0"/>
    <w:rsid w:val="00CB1101"/>
    <w:rsid w:val="00CB1E2E"/>
    <w:rsid w:val="00CB1E82"/>
    <w:rsid w:val="00CB47AB"/>
    <w:rsid w:val="00CB4BA8"/>
    <w:rsid w:val="00CB52D7"/>
    <w:rsid w:val="00CB68A8"/>
    <w:rsid w:val="00CB6B7C"/>
    <w:rsid w:val="00CC0825"/>
    <w:rsid w:val="00CC0FC9"/>
    <w:rsid w:val="00CC3120"/>
    <w:rsid w:val="00CC3413"/>
    <w:rsid w:val="00CC6732"/>
    <w:rsid w:val="00CC714D"/>
    <w:rsid w:val="00CD29C3"/>
    <w:rsid w:val="00CD361C"/>
    <w:rsid w:val="00CD44D9"/>
    <w:rsid w:val="00CD6527"/>
    <w:rsid w:val="00CE0BB5"/>
    <w:rsid w:val="00CE24A7"/>
    <w:rsid w:val="00CE29F2"/>
    <w:rsid w:val="00CE2A23"/>
    <w:rsid w:val="00CE38A4"/>
    <w:rsid w:val="00CE3C96"/>
    <w:rsid w:val="00CE3D85"/>
    <w:rsid w:val="00CE3E60"/>
    <w:rsid w:val="00CE4D9F"/>
    <w:rsid w:val="00CE51A8"/>
    <w:rsid w:val="00CE5248"/>
    <w:rsid w:val="00CE52A6"/>
    <w:rsid w:val="00CE7CD4"/>
    <w:rsid w:val="00CF002C"/>
    <w:rsid w:val="00CF1900"/>
    <w:rsid w:val="00CF1A42"/>
    <w:rsid w:val="00CF22F2"/>
    <w:rsid w:val="00CF369B"/>
    <w:rsid w:val="00CF47AF"/>
    <w:rsid w:val="00CF5941"/>
    <w:rsid w:val="00D007F7"/>
    <w:rsid w:val="00D00BAE"/>
    <w:rsid w:val="00D00E28"/>
    <w:rsid w:val="00D0269E"/>
    <w:rsid w:val="00D039EC"/>
    <w:rsid w:val="00D04920"/>
    <w:rsid w:val="00D05D6C"/>
    <w:rsid w:val="00D07337"/>
    <w:rsid w:val="00D07D31"/>
    <w:rsid w:val="00D124BF"/>
    <w:rsid w:val="00D13AD6"/>
    <w:rsid w:val="00D1516B"/>
    <w:rsid w:val="00D15810"/>
    <w:rsid w:val="00D16D4E"/>
    <w:rsid w:val="00D16FE3"/>
    <w:rsid w:val="00D20664"/>
    <w:rsid w:val="00D227E3"/>
    <w:rsid w:val="00D244CB"/>
    <w:rsid w:val="00D24972"/>
    <w:rsid w:val="00D27F41"/>
    <w:rsid w:val="00D30ECE"/>
    <w:rsid w:val="00D3239A"/>
    <w:rsid w:val="00D3545C"/>
    <w:rsid w:val="00D36441"/>
    <w:rsid w:val="00D379F3"/>
    <w:rsid w:val="00D4064E"/>
    <w:rsid w:val="00D40F53"/>
    <w:rsid w:val="00D414E9"/>
    <w:rsid w:val="00D415A6"/>
    <w:rsid w:val="00D41A60"/>
    <w:rsid w:val="00D42EF0"/>
    <w:rsid w:val="00D44E9B"/>
    <w:rsid w:val="00D44F0B"/>
    <w:rsid w:val="00D4562C"/>
    <w:rsid w:val="00D45688"/>
    <w:rsid w:val="00D45FD2"/>
    <w:rsid w:val="00D461D7"/>
    <w:rsid w:val="00D46657"/>
    <w:rsid w:val="00D47AEB"/>
    <w:rsid w:val="00D50DB9"/>
    <w:rsid w:val="00D51302"/>
    <w:rsid w:val="00D513E0"/>
    <w:rsid w:val="00D515E2"/>
    <w:rsid w:val="00D5247F"/>
    <w:rsid w:val="00D5267C"/>
    <w:rsid w:val="00D52C43"/>
    <w:rsid w:val="00D53E9B"/>
    <w:rsid w:val="00D5408B"/>
    <w:rsid w:val="00D543D9"/>
    <w:rsid w:val="00D55121"/>
    <w:rsid w:val="00D55569"/>
    <w:rsid w:val="00D5581F"/>
    <w:rsid w:val="00D55A14"/>
    <w:rsid w:val="00D57723"/>
    <w:rsid w:val="00D57883"/>
    <w:rsid w:val="00D6083B"/>
    <w:rsid w:val="00D6376E"/>
    <w:rsid w:val="00D640D4"/>
    <w:rsid w:val="00D64CF1"/>
    <w:rsid w:val="00D6500B"/>
    <w:rsid w:val="00D6507F"/>
    <w:rsid w:val="00D65082"/>
    <w:rsid w:val="00D65426"/>
    <w:rsid w:val="00D65829"/>
    <w:rsid w:val="00D673E5"/>
    <w:rsid w:val="00D71D6F"/>
    <w:rsid w:val="00D7213F"/>
    <w:rsid w:val="00D730BC"/>
    <w:rsid w:val="00D73912"/>
    <w:rsid w:val="00D73B0C"/>
    <w:rsid w:val="00D73DA7"/>
    <w:rsid w:val="00D7464C"/>
    <w:rsid w:val="00D74C18"/>
    <w:rsid w:val="00D75590"/>
    <w:rsid w:val="00D75780"/>
    <w:rsid w:val="00D7635C"/>
    <w:rsid w:val="00D7779E"/>
    <w:rsid w:val="00D77AF2"/>
    <w:rsid w:val="00D77F80"/>
    <w:rsid w:val="00D811EA"/>
    <w:rsid w:val="00D8401E"/>
    <w:rsid w:val="00D84911"/>
    <w:rsid w:val="00D85226"/>
    <w:rsid w:val="00D85437"/>
    <w:rsid w:val="00D86B3F"/>
    <w:rsid w:val="00D87B94"/>
    <w:rsid w:val="00D90256"/>
    <w:rsid w:val="00D90A19"/>
    <w:rsid w:val="00D90EA7"/>
    <w:rsid w:val="00D924A3"/>
    <w:rsid w:val="00D924AD"/>
    <w:rsid w:val="00D92D49"/>
    <w:rsid w:val="00D92EC1"/>
    <w:rsid w:val="00D93CFD"/>
    <w:rsid w:val="00D93E64"/>
    <w:rsid w:val="00D9410F"/>
    <w:rsid w:val="00D94859"/>
    <w:rsid w:val="00D9503F"/>
    <w:rsid w:val="00D96D26"/>
    <w:rsid w:val="00D96DEA"/>
    <w:rsid w:val="00D974F8"/>
    <w:rsid w:val="00D97958"/>
    <w:rsid w:val="00DA0089"/>
    <w:rsid w:val="00DA1794"/>
    <w:rsid w:val="00DA1F27"/>
    <w:rsid w:val="00DA203E"/>
    <w:rsid w:val="00DA4324"/>
    <w:rsid w:val="00DA4488"/>
    <w:rsid w:val="00DA4E41"/>
    <w:rsid w:val="00DA5953"/>
    <w:rsid w:val="00DA5FFB"/>
    <w:rsid w:val="00DA7695"/>
    <w:rsid w:val="00DA7C0C"/>
    <w:rsid w:val="00DB00D2"/>
    <w:rsid w:val="00DB02CC"/>
    <w:rsid w:val="00DB117A"/>
    <w:rsid w:val="00DB2932"/>
    <w:rsid w:val="00DB372C"/>
    <w:rsid w:val="00DB3A64"/>
    <w:rsid w:val="00DB4BE9"/>
    <w:rsid w:val="00DB5173"/>
    <w:rsid w:val="00DB7873"/>
    <w:rsid w:val="00DB799D"/>
    <w:rsid w:val="00DB7D11"/>
    <w:rsid w:val="00DB7D56"/>
    <w:rsid w:val="00DC187B"/>
    <w:rsid w:val="00DC219B"/>
    <w:rsid w:val="00DC23D4"/>
    <w:rsid w:val="00DC2774"/>
    <w:rsid w:val="00DC2A85"/>
    <w:rsid w:val="00DC55BF"/>
    <w:rsid w:val="00DC5978"/>
    <w:rsid w:val="00DC65AD"/>
    <w:rsid w:val="00DC6810"/>
    <w:rsid w:val="00DC6FC9"/>
    <w:rsid w:val="00DC7513"/>
    <w:rsid w:val="00DC7DEF"/>
    <w:rsid w:val="00DD13D1"/>
    <w:rsid w:val="00DD169C"/>
    <w:rsid w:val="00DD199A"/>
    <w:rsid w:val="00DD1A43"/>
    <w:rsid w:val="00DD46D0"/>
    <w:rsid w:val="00DD5D92"/>
    <w:rsid w:val="00DD5E6B"/>
    <w:rsid w:val="00DD73C2"/>
    <w:rsid w:val="00DD7A73"/>
    <w:rsid w:val="00DE1A56"/>
    <w:rsid w:val="00DE1B7E"/>
    <w:rsid w:val="00DE319B"/>
    <w:rsid w:val="00DE3D1A"/>
    <w:rsid w:val="00DE40C6"/>
    <w:rsid w:val="00DE47D8"/>
    <w:rsid w:val="00DE775A"/>
    <w:rsid w:val="00DE7D88"/>
    <w:rsid w:val="00DF0219"/>
    <w:rsid w:val="00DF0799"/>
    <w:rsid w:val="00DF0CCD"/>
    <w:rsid w:val="00DF0F99"/>
    <w:rsid w:val="00DF2A57"/>
    <w:rsid w:val="00DF34FE"/>
    <w:rsid w:val="00DF56AA"/>
    <w:rsid w:val="00DF56AF"/>
    <w:rsid w:val="00DF78E7"/>
    <w:rsid w:val="00DF7FEE"/>
    <w:rsid w:val="00E01A03"/>
    <w:rsid w:val="00E0209D"/>
    <w:rsid w:val="00E02A75"/>
    <w:rsid w:val="00E036DB"/>
    <w:rsid w:val="00E05354"/>
    <w:rsid w:val="00E10871"/>
    <w:rsid w:val="00E10CC5"/>
    <w:rsid w:val="00E110E0"/>
    <w:rsid w:val="00E12D4D"/>
    <w:rsid w:val="00E132F3"/>
    <w:rsid w:val="00E137D9"/>
    <w:rsid w:val="00E14ADD"/>
    <w:rsid w:val="00E14B41"/>
    <w:rsid w:val="00E15371"/>
    <w:rsid w:val="00E17EF7"/>
    <w:rsid w:val="00E23203"/>
    <w:rsid w:val="00E23372"/>
    <w:rsid w:val="00E24104"/>
    <w:rsid w:val="00E26488"/>
    <w:rsid w:val="00E27490"/>
    <w:rsid w:val="00E27E17"/>
    <w:rsid w:val="00E302D0"/>
    <w:rsid w:val="00E30D75"/>
    <w:rsid w:val="00E31DBF"/>
    <w:rsid w:val="00E340BD"/>
    <w:rsid w:val="00E35707"/>
    <w:rsid w:val="00E36AA1"/>
    <w:rsid w:val="00E37FD7"/>
    <w:rsid w:val="00E41385"/>
    <w:rsid w:val="00E4150D"/>
    <w:rsid w:val="00E41ECB"/>
    <w:rsid w:val="00E42609"/>
    <w:rsid w:val="00E42676"/>
    <w:rsid w:val="00E4296F"/>
    <w:rsid w:val="00E432BE"/>
    <w:rsid w:val="00E43505"/>
    <w:rsid w:val="00E436CB"/>
    <w:rsid w:val="00E43964"/>
    <w:rsid w:val="00E44B4F"/>
    <w:rsid w:val="00E451E4"/>
    <w:rsid w:val="00E465B4"/>
    <w:rsid w:val="00E50A36"/>
    <w:rsid w:val="00E52415"/>
    <w:rsid w:val="00E526E7"/>
    <w:rsid w:val="00E52F37"/>
    <w:rsid w:val="00E54FDB"/>
    <w:rsid w:val="00E5617D"/>
    <w:rsid w:val="00E563D7"/>
    <w:rsid w:val="00E57F7F"/>
    <w:rsid w:val="00E61B44"/>
    <w:rsid w:val="00E61F04"/>
    <w:rsid w:val="00E620FE"/>
    <w:rsid w:val="00E63861"/>
    <w:rsid w:val="00E65928"/>
    <w:rsid w:val="00E663F4"/>
    <w:rsid w:val="00E666F2"/>
    <w:rsid w:val="00E66DD4"/>
    <w:rsid w:val="00E67B1E"/>
    <w:rsid w:val="00E70E14"/>
    <w:rsid w:val="00E72D4C"/>
    <w:rsid w:val="00E748CC"/>
    <w:rsid w:val="00E75415"/>
    <w:rsid w:val="00E76296"/>
    <w:rsid w:val="00E775B1"/>
    <w:rsid w:val="00E77EF1"/>
    <w:rsid w:val="00E801E5"/>
    <w:rsid w:val="00E8152A"/>
    <w:rsid w:val="00E82097"/>
    <w:rsid w:val="00E82479"/>
    <w:rsid w:val="00E83982"/>
    <w:rsid w:val="00E8539F"/>
    <w:rsid w:val="00E862C2"/>
    <w:rsid w:val="00E865AE"/>
    <w:rsid w:val="00E913C2"/>
    <w:rsid w:val="00E9179C"/>
    <w:rsid w:val="00E922EA"/>
    <w:rsid w:val="00E9299A"/>
    <w:rsid w:val="00E93629"/>
    <w:rsid w:val="00E93B5C"/>
    <w:rsid w:val="00E94CEC"/>
    <w:rsid w:val="00E955A0"/>
    <w:rsid w:val="00E97F91"/>
    <w:rsid w:val="00EA04EF"/>
    <w:rsid w:val="00EA1F24"/>
    <w:rsid w:val="00EA27E1"/>
    <w:rsid w:val="00EA31EF"/>
    <w:rsid w:val="00EA5AA9"/>
    <w:rsid w:val="00EA61FE"/>
    <w:rsid w:val="00EA6F19"/>
    <w:rsid w:val="00EB288F"/>
    <w:rsid w:val="00EB534A"/>
    <w:rsid w:val="00EB6634"/>
    <w:rsid w:val="00EB6819"/>
    <w:rsid w:val="00EB7090"/>
    <w:rsid w:val="00EB7380"/>
    <w:rsid w:val="00EB7426"/>
    <w:rsid w:val="00EC1BBE"/>
    <w:rsid w:val="00EC1BEB"/>
    <w:rsid w:val="00EC2B68"/>
    <w:rsid w:val="00EC30F9"/>
    <w:rsid w:val="00EC3AEF"/>
    <w:rsid w:val="00EC4DDA"/>
    <w:rsid w:val="00EC52BA"/>
    <w:rsid w:val="00EC5CD7"/>
    <w:rsid w:val="00EC7306"/>
    <w:rsid w:val="00ED0097"/>
    <w:rsid w:val="00ED0BFE"/>
    <w:rsid w:val="00ED142A"/>
    <w:rsid w:val="00ED26D8"/>
    <w:rsid w:val="00ED313A"/>
    <w:rsid w:val="00ED4943"/>
    <w:rsid w:val="00ED4F2D"/>
    <w:rsid w:val="00EE02F9"/>
    <w:rsid w:val="00EE0BD9"/>
    <w:rsid w:val="00EE2346"/>
    <w:rsid w:val="00EE3ABC"/>
    <w:rsid w:val="00EE52E5"/>
    <w:rsid w:val="00EE5520"/>
    <w:rsid w:val="00EE5609"/>
    <w:rsid w:val="00EE5FB3"/>
    <w:rsid w:val="00EE7F79"/>
    <w:rsid w:val="00EF012B"/>
    <w:rsid w:val="00EF0AF5"/>
    <w:rsid w:val="00EF23CB"/>
    <w:rsid w:val="00EF2FC1"/>
    <w:rsid w:val="00EF3B58"/>
    <w:rsid w:val="00EF45D1"/>
    <w:rsid w:val="00EF5AD8"/>
    <w:rsid w:val="00EF60C2"/>
    <w:rsid w:val="00EF668F"/>
    <w:rsid w:val="00EF715A"/>
    <w:rsid w:val="00F0005F"/>
    <w:rsid w:val="00F00590"/>
    <w:rsid w:val="00F00C19"/>
    <w:rsid w:val="00F01BC3"/>
    <w:rsid w:val="00F01D1E"/>
    <w:rsid w:val="00F02001"/>
    <w:rsid w:val="00F0335F"/>
    <w:rsid w:val="00F03C4B"/>
    <w:rsid w:val="00F04A24"/>
    <w:rsid w:val="00F04EB0"/>
    <w:rsid w:val="00F055FF"/>
    <w:rsid w:val="00F06E14"/>
    <w:rsid w:val="00F10601"/>
    <w:rsid w:val="00F125FA"/>
    <w:rsid w:val="00F1319A"/>
    <w:rsid w:val="00F1378B"/>
    <w:rsid w:val="00F15748"/>
    <w:rsid w:val="00F158DA"/>
    <w:rsid w:val="00F15AD7"/>
    <w:rsid w:val="00F179D4"/>
    <w:rsid w:val="00F20E2F"/>
    <w:rsid w:val="00F22463"/>
    <w:rsid w:val="00F224F6"/>
    <w:rsid w:val="00F24218"/>
    <w:rsid w:val="00F25C4D"/>
    <w:rsid w:val="00F27EEF"/>
    <w:rsid w:val="00F27FCC"/>
    <w:rsid w:val="00F33C56"/>
    <w:rsid w:val="00F347C7"/>
    <w:rsid w:val="00F34848"/>
    <w:rsid w:val="00F350BD"/>
    <w:rsid w:val="00F3618C"/>
    <w:rsid w:val="00F36348"/>
    <w:rsid w:val="00F42D46"/>
    <w:rsid w:val="00F44307"/>
    <w:rsid w:val="00F4496C"/>
    <w:rsid w:val="00F44F3A"/>
    <w:rsid w:val="00F44FC5"/>
    <w:rsid w:val="00F45653"/>
    <w:rsid w:val="00F45DD5"/>
    <w:rsid w:val="00F47183"/>
    <w:rsid w:val="00F47C4E"/>
    <w:rsid w:val="00F50041"/>
    <w:rsid w:val="00F50DE9"/>
    <w:rsid w:val="00F50F9D"/>
    <w:rsid w:val="00F512D9"/>
    <w:rsid w:val="00F51F10"/>
    <w:rsid w:val="00F529A5"/>
    <w:rsid w:val="00F5300C"/>
    <w:rsid w:val="00F54F32"/>
    <w:rsid w:val="00F5560A"/>
    <w:rsid w:val="00F5609A"/>
    <w:rsid w:val="00F56814"/>
    <w:rsid w:val="00F5740C"/>
    <w:rsid w:val="00F57D53"/>
    <w:rsid w:val="00F57E57"/>
    <w:rsid w:val="00F60F00"/>
    <w:rsid w:val="00F614C0"/>
    <w:rsid w:val="00F61688"/>
    <w:rsid w:val="00F61C77"/>
    <w:rsid w:val="00F652B9"/>
    <w:rsid w:val="00F65E6C"/>
    <w:rsid w:val="00F67EEC"/>
    <w:rsid w:val="00F67FB9"/>
    <w:rsid w:val="00F708F7"/>
    <w:rsid w:val="00F7191E"/>
    <w:rsid w:val="00F726B0"/>
    <w:rsid w:val="00F72F08"/>
    <w:rsid w:val="00F8047B"/>
    <w:rsid w:val="00F832B0"/>
    <w:rsid w:val="00F83766"/>
    <w:rsid w:val="00F83848"/>
    <w:rsid w:val="00F83B51"/>
    <w:rsid w:val="00F85877"/>
    <w:rsid w:val="00F86856"/>
    <w:rsid w:val="00F879B1"/>
    <w:rsid w:val="00F87EC3"/>
    <w:rsid w:val="00F9050D"/>
    <w:rsid w:val="00F9074B"/>
    <w:rsid w:val="00F9136A"/>
    <w:rsid w:val="00F91467"/>
    <w:rsid w:val="00F915AE"/>
    <w:rsid w:val="00F92140"/>
    <w:rsid w:val="00F92520"/>
    <w:rsid w:val="00F92A61"/>
    <w:rsid w:val="00F96B93"/>
    <w:rsid w:val="00F96F60"/>
    <w:rsid w:val="00F975E9"/>
    <w:rsid w:val="00FA0A83"/>
    <w:rsid w:val="00FA1B7D"/>
    <w:rsid w:val="00FA1C02"/>
    <w:rsid w:val="00FA2CA8"/>
    <w:rsid w:val="00FA2DA6"/>
    <w:rsid w:val="00FA5063"/>
    <w:rsid w:val="00FA54F8"/>
    <w:rsid w:val="00FA5613"/>
    <w:rsid w:val="00FA6139"/>
    <w:rsid w:val="00FA72EC"/>
    <w:rsid w:val="00FA7613"/>
    <w:rsid w:val="00FB09FB"/>
    <w:rsid w:val="00FB0A8F"/>
    <w:rsid w:val="00FB1E03"/>
    <w:rsid w:val="00FB1F16"/>
    <w:rsid w:val="00FB45B6"/>
    <w:rsid w:val="00FB5D3A"/>
    <w:rsid w:val="00FB7E9D"/>
    <w:rsid w:val="00FC07B9"/>
    <w:rsid w:val="00FC1315"/>
    <w:rsid w:val="00FC2DB6"/>
    <w:rsid w:val="00FC4E21"/>
    <w:rsid w:val="00FC5F6D"/>
    <w:rsid w:val="00FD0107"/>
    <w:rsid w:val="00FD1060"/>
    <w:rsid w:val="00FD117C"/>
    <w:rsid w:val="00FD2C2F"/>
    <w:rsid w:val="00FD3B31"/>
    <w:rsid w:val="00FD3D61"/>
    <w:rsid w:val="00FD40C6"/>
    <w:rsid w:val="00FD4DAD"/>
    <w:rsid w:val="00FD59C5"/>
    <w:rsid w:val="00FD7021"/>
    <w:rsid w:val="00FD7069"/>
    <w:rsid w:val="00FE1823"/>
    <w:rsid w:val="00FE1A68"/>
    <w:rsid w:val="00FE1F1E"/>
    <w:rsid w:val="00FE302A"/>
    <w:rsid w:val="00FE487A"/>
    <w:rsid w:val="00FE5139"/>
    <w:rsid w:val="00FE6153"/>
    <w:rsid w:val="00FF0569"/>
    <w:rsid w:val="00FF07B8"/>
    <w:rsid w:val="00FF0A71"/>
    <w:rsid w:val="00FF168A"/>
    <w:rsid w:val="00FF206E"/>
    <w:rsid w:val="00FF2196"/>
    <w:rsid w:val="00FF3C69"/>
    <w:rsid w:val="00FF6E0A"/>
    <w:rsid w:val="00FF758F"/>
    <w:rsid w:val="00FF7D71"/>
    <w:rsid w:val="038DD769"/>
    <w:rsid w:val="54BE0278"/>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red,#4d4d4f"/>
    </o:shapedefaults>
    <o:shapelayout v:ext="edit">
      <o:idmap v:ext="edit" data="2"/>
    </o:shapelayout>
  </w:shapeDefaults>
  <w:decimalSymbol w:val="."/>
  <w:listSeparator w:val=","/>
  <w14:docId w14:val="1F077868"/>
  <w15:docId w15:val="{834DC533-0243-45B1-9F78-C7903463B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heading 1" w:qFormat="1"/>
    <w:lsdException w:name="heading 2" w:uiPriority="1" w:qFormat="1"/>
    <w:lsdException w:name="heading 3" w:qFormat="1"/>
    <w:lsdException w:name="heading 4" w:uiPriority="2"/>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3"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qFormat="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CE0BB5"/>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numPr>
        <w:numId w:val="13"/>
      </w:numPr>
      <w:spacing w:after="360" w:line="550" w:lineRule="exact"/>
      <w:outlineLvl w:val="0"/>
    </w:pPr>
    <w:rPr>
      <w:rFonts w:cs="Arial"/>
      <w:bCs/>
      <w:color w:val="323232"/>
      <w:kern w:val="32"/>
      <w:sz w:val="53"/>
      <w:szCs w:val="32"/>
    </w:rPr>
  </w:style>
  <w:style w:type="paragraph" w:styleId="Heading2">
    <w:name w:val="heading 2"/>
    <w:aliases w:val="RIS Heading 2"/>
    <w:basedOn w:val="Normal"/>
    <w:next w:val="Numberedparagraph"/>
    <w:link w:val="Heading2Char"/>
    <w:uiPriority w:val="1"/>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85618F"/>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5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uiPriority w:val="39"/>
    <w:qFormat/>
    <w:rsid w:val="00950159"/>
    <w:pPr>
      <w:spacing w:before="1200" w:line="240" w:lineRule="auto"/>
    </w:pPr>
    <w:rPr>
      <w:b/>
      <w:color w:val="323232"/>
      <w:spacing w:val="-28"/>
      <w:sz w:val="53"/>
    </w:rPr>
  </w:style>
  <w:style w:type="paragraph" w:styleId="Caption">
    <w:name w:val="caption"/>
    <w:aliases w:val="Caption table"/>
    <w:basedOn w:val="Normal"/>
    <w:next w:val="Normal"/>
    <w:link w:val="CaptionChar"/>
    <w:qFormat/>
    <w:rsid w:val="00E8152A"/>
    <w:pPr>
      <w:numPr>
        <w:numId w:val="9"/>
      </w:numPr>
      <w:spacing w:after="0"/>
    </w:pPr>
    <w:rPr>
      <w:b/>
      <w:bCs/>
      <w:color w:val="323232"/>
      <w:szCs w:val="20"/>
    </w:rPr>
  </w:style>
  <w:style w:type="paragraph" w:customStyle="1" w:styleId="BodySubHeader">
    <w:name w:val="BodySubHeader"/>
    <w:basedOn w:val="Normal"/>
    <w:next w:val="Normal"/>
    <w:semiHidden/>
    <w:rsid w:val="00146CE6"/>
    <w:pPr>
      <w:spacing w:before="240" w:after="0"/>
    </w:pPr>
    <w:rPr>
      <w:b/>
      <w:i/>
    </w:rPr>
  </w:style>
  <w:style w:type="paragraph" w:styleId="ListBullet">
    <w:name w:val="List Bullet"/>
    <w:aliases w:val="List Bullet 1"/>
    <w:basedOn w:val="Normal"/>
    <w:link w:val="ListBulletChar"/>
    <w:qFormat/>
    <w:rsid w:val="001C6AEE"/>
    <w:pPr>
      <w:numPr>
        <w:numId w:val="1"/>
      </w:numPr>
      <w:spacing w:after="80"/>
    </w:pPr>
  </w:style>
  <w:style w:type="paragraph" w:styleId="ListBullet2">
    <w:name w:val="List Bullet 2"/>
    <w:basedOn w:val="Normal"/>
    <w:qFormat/>
    <w:rsid w:val="001C6AEE"/>
    <w:pPr>
      <w:numPr>
        <w:numId w:val="2"/>
      </w:numPr>
      <w:spacing w:after="80"/>
    </w:pPr>
  </w:style>
  <w:style w:type="paragraph" w:styleId="ListNumber">
    <w:name w:val="List Number"/>
    <w:basedOn w:val="Normal"/>
    <w:qFormat/>
    <w:rsid w:val="00C24A53"/>
    <w:pPr>
      <w:numPr>
        <w:numId w:val="3"/>
      </w:numPr>
      <w:spacing w:after="80"/>
    </w:pPr>
  </w:style>
  <w:style w:type="paragraph" w:styleId="ListNumber2">
    <w:name w:val="List Number 2"/>
    <w:basedOn w:val="Normal"/>
    <w:semiHidden/>
    <w:qFormat/>
    <w:rsid w:val="004A70D6"/>
    <w:pPr>
      <w:numPr>
        <w:numId w:val="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Numberedparagraphbeforelist">
    <w:name w:val="Numbered paragraph before list"/>
    <w:basedOn w:val="Numberedparagraph"/>
    <w:uiPriority w:val="4"/>
    <w:qFormat/>
    <w:rsid w:val="00C87E8A"/>
    <w:pPr>
      <w:spacing w:after="80"/>
    </w:pPr>
  </w:style>
  <w:style w:type="paragraph" w:styleId="TOC1">
    <w:name w:val="toc 1"/>
    <w:basedOn w:val="Normal"/>
    <w:next w:val="Normal"/>
    <w:uiPriority w:val="39"/>
    <w:qFormat/>
    <w:rsid w:val="003B105D"/>
    <w:pPr>
      <w:tabs>
        <w:tab w:val="left" w:pos="284"/>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Appel note de bas de p1,Appel note de bas de p2,Appel note de bas de p3,Footnote Reference/,Style 12,(NECG) Footnote Reference,Style 124,o,fr,Style 3,Style 13,FR"/>
    <w:basedOn w:val="DefaultParagraphFont"/>
    <w:qFormat/>
    <w:rsid w:val="00566AB4"/>
    <w:rPr>
      <w:rFonts w:ascii="Arial" w:hAnsi="Arial"/>
      <w:vertAlign w:val="superscript"/>
    </w:rPr>
  </w:style>
  <w:style w:type="paragraph" w:styleId="FootnoteText">
    <w:name w:val="footnote text"/>
    <w:aliases w:val="Footnote text,ACMA Footnote Text,ABA Footnote Text,footnote text,Footnote Text Char1,Footnote Text Char Char,Footnote Text Char1 Char Char,Footnote Text Char Char Char Char,Footnote Text Char1 Char Char Char Char,f,fn"/>
    <w:basedOn w:val="Normal"/>
    <w:link w:val="FootnoteTextChar"/>
    <w:uiPriority w:val="23"/>
    <w:qFormat/>
    <w:rsid w:val="007C6E44"/>
    <w:pPr>
      <w:spacing w:after="0"/>
    </w:pPr>
    <w:rPr>
      <w:sz w:val="16"/>
      <w:szCs w:val="16"/>
    </w:rPr>
  </w:style>
  <w:style w:type="paragraph" w:customStyle="1" w:styleId="TableBody">
    <w:name w:val="Table Body"/>
    <w:basedOn w:val="Normal"/>
    <w:uiPriority w:val="15"/>
    <w:qFormat/>
    <w:rsid w:val="00774FDB"/>
    <w:pPr>
      <w:spacing w:after="0" w:line="240" w:lineRule="auto"/>
    </w:pPr>
  </w:style>
  <w:style w:type="character" w:styleId="CommentReference">
    <w:name w:val="annotation reference"/>
    <w:basedOn w:val="DefaultParagraphFont"/>
    <w:rsid w:val="00EE7F79"/>
    <w:rPr>
      <w:sz w:val="16"/>
      <w:szCs w:val="16"/>
    </w:rPr>
  </w:style>
  <w:style w:type="paragraph" w:styleId="CommentText">
    <w:name w:val="annotation text"/>
    <w:basedOn w:val="Normal"/>
    <w:link w:val="CommentTextChar"/>
    <w:rsid w:val="00EE7F79"/>
    <w:pPr>
      <w:spacing w:line="240" w:lineRule="auto"/>
    </w:pPr>
    <w:rPr>
      <w:szCs w:val="20"/>
    </w:rPr>
  </w:style>
  <w:style w:type="character" w:customStyle="1" w:styleId="CommentTextChar">
    <w:name w:val="Comment Text Char"/>
    <w:basedOn w:val="DefaultParagraphFont"/>
    <w:link w:val="CommentText"/>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semiHidden/>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semiHidden/>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7"/>
      </w:numPr>
      <w:spacing w:after="160"/>
    </w:pPr>
    <w:rPr>
      <w:rFonts w:ascii="Arial" w:hAnsi="Arial"/>
      <w:b/>
      <w:bCs/>
      <w:color w:val="323232"/>
      <w:sz w:val="20"/>
      <w:szCs w:val="20"/>
    </w:rPr>
  </w:style>
  <w:style w:type="paragraph" w:customStyle="1" w:styleId="ACMANotes">
    <w:name w:val="ACMA_Notes"/>
    <w:semiHidden/>
    <w:qFormat/>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uiPriority w:val="20"/>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spacing w:after="160"/>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CE0BB5"/>
    <w:rPr>
      <w:rFonts w:ascii="Arial" w:hAnsi="Arial" w:cs="Arial"/>
      <w:bCs/>
      <w:color w:val="323232"/>
      <w:kern w:val="32"/>
      <w:sz w:val="53"/>
      <w:szCs w:val="32"/>
    </w:rPr>
  </w:style>
  <w:style w:type="character" w:customStyle="1" w:styleId="Heading2Char">
    <w:name w:val="Heading 2 Char"/>
    <w:aliases w:val="RIS Heading 2 Char"/>
    <w:basedOn w:val="DefaultParagraphFont"/>
    <w:link w:val="Heading2"/>
    <w:uiPriority w:val="1"/>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Numberedparagraph">
    <w:name w:val="Numbered paragraph"/>
    <w:basedOn w:val="Normal"/>
    <w:qFormat/>
    <w:rsid w:val="009E1FD9"/>
    <w:pPr>
      <w:numPr>
        <w:ilvl w:val="1"/>
        <w:numId w:val="13"/>
      </w:numPr>
    </w:pPr>
    <w:rPr>
      <w:rFonts w:cs="Arial"/>
    </w:rPr>
  </w:style>
  <w:style w:type="paragraph" w:customStyle="1" w:styleId="Bulletlevel2">
    <w:name w:val="Bullet level 2"/>
    <w:basedOn w:val="ListBullet2"/>
    <w:uiPriority w:val="7"/>
    <w:qFormat/>
    <w:rsid w:val="00C82940"/>
    <w:pPr>
      <w:tabs>
        <w:tab w:val="clear" w:pos="845"/>
        <w:tab w:val="left" w:pos="295"/>
      </w:tabs>
      <w:ind w:left="590" w:hanging="295"/>
    </w:pPr>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C82940"/>
    <w:pPr>
      <w:ind w:left="766" w:hanging="295"/>
    </w:pPr>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BE35CB"/>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uiPriority w:val="13"/>
    <w:qFormat/>
    <w:rsid w:val="0063346D"/>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uiPriority w:val="16"/>
    <w:qFormat/>
    <w:rsid w:val="0063346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customStyle="1" w:styleId="Protectivemarking">
    <w:name w:val="Protective marking"/>
    <w:basedOn w:val="Normal"/>
    <w:uiPriority w:val="99"/>
    <w:qFormat/>
    <w:rsid w:val="007E3375"/>
    <w:pPr>
      <w:tabs>
        <w:tab w:val="left" w:pos="720"/>
      </w:tabs>
      <w:spacing w:after="0" w:line="240" w:lineRule="auto"/>
      <w:jc w:val="center"/>
    </w:pPr>
    <w:rPr>
      <w:rFonts w:cs="Arial"/>
      <w:b/>
      <w:bCs/>
      <w:color w:val="FF0000"/>
      <w:sz w:val="32"/>
      <w:lang w:eastAsia="en-US"/>
    </w:rPr>
  </w:style>
  <w:style w:type="paragraph" w:styleId="BalloonText">
    <w:name w:val="Balloon Text"/>
    <w:basedOn w:val="Normal"/>
    <w:link w:val="BalloonTextChar"/>
    <w:semiHidden/>
    <w:unhideWhenUsed/>
    <w:rsid w:val="004511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4511C5"/>
    <w:rPr>
      <w:rFonts w:ascii="Segoe UI" w:hAnsi="Segoe UI" w:cs="Segoe UI"/>
      <w:sz w:val="18"/>
      <w:szCs w:val="18"/>
    </w:rPr>
  </w:style>
  <w:style w:type="paragraph" w:styleId="Revision">
    <w:name w:val="Revision"/>
    <w:hidden/>
    <w:semiHidden/>
    <w:rsid w:val="004511C5"/>
    <w:rPr>
      <w:rFonts w:ascii="Arial" w:hAnsi="Arial"/>
      <w:sz w:val="20"/>
    </w:rPr>
  </w:style>
  <w:style w:type="paragraph" w:customStyle="1" w:styleId="Paragraph-nonumber">
    <w:name w:val="Paragraph - no number"/>
    <w:basedOn w:val="Numberedparagraphbeforelist"/>
    <w:qFormat/>
    <w:rsid w:val="003B105D"/>
    <w:pPr>
      <w:numPr>
        <w:ilvl w:val="0"/>
        <w:numId w:val="0"/>
      </w:numPr>
      <w:spacing w:after="240"/>
    </w:pPr>
  </w:style>
  <w:style w:type="paragraph" w:customStyle="1" w:styleId="Paragraphbeforelist">
    <w:name w:val="Paragraph before list"/>
    <w:basedOn w:val="Normal"/>
    <w:uiPriority w:val="4"/>
    <w:qFormat/>
    <w:rsid w:val="00A6297F"/>
    <w:pPr>
      <w:spacing w:after="80"/>
    </w:pPr>
    <w:rPr>
      <w:rFonts w:cs="Arial"/>
    </w:rPr>
  </w:style>
  <w:style w:type="paragraph" w:styleId="ListParagraph">
    <w:name w:val="List Paragraph"/>
    <w:aliases w:val="List Paragraph1,Recommendation"/>
    <w:basedOn w:val="Normal"/>
    <w:link w:val="ListParagraphChar"/>
    <w:uiPriority w:val="34"/>
    <w:qFormat/>
    <w:rsid w:val="00D93E64"/>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normaltextrun">
    <w:name w:val="normaltextrun"/>
    <w:basedOn w:val="DefaultParagraphFont"/>
    <w:rsid w:val="009B0FCB"/>
  </w:style>
  <w:style w:type="character" w:customStyle="1" w:styleId="eop">
    <w:name w:val="eop"/>
    <w:basedOn w:val="DefaultParagraphFont"/>
    <w:rsid w:val="009B0FCB"/>
  </w:style>
  <w:style w:type="character" w:customStyle="1" w:styleId="ListBulletChar">
    <w:name w:val="List Bullet Char"/>
    <w:aliases w:val="List Bullet 1 Char"/>
    <w:basedOn w:val="DefaultParagraphFont"/>
    <w:link w:val="ListBullet"/>
    <w:rsid w:val="00CE24A7"/>
    <w:rPr>
      <w:rFonts w:ascii="Arial" w:hAnsi="Arial"/>
      <w:sz w:val="20"/>
    </w:rPr>
  </w:style>
  <w:style w:type="character" w:customStyle="1" w:styleId="FootnoteTextChar">
    <w:name w:val="Footnote Text Char"/>
    <w:aliases w:val="Footnote text Char,ACMA Footnote Text Char,ABA Footnote Text Char,footnote text Char,Footnote Text Char1 Char,Footnote Text Char Char Char,Footnote Text Char1 Char Char Char,Footnote Text Char Char Char Char Char,f Char,fn Char"/>
    <w:basedOn w:val="DefaultParagraphFont"/>
    <w:link w:val="FootnoteText"/>
    <w:uiPriority w:val="23"/>
    <w:qFormat/>
    <w:rsid w:val="00CE24A7"/>
    <w:rPr>
      <w:rFonts w:ascii="Arial" w:hAnsi="Arial"/>
      <w:sz w:val="16"/>
      <w:szCs w:val="16"/>
    </w:rPr>
  </w:style>
  <w:style w:type="character" w:customStyle="1" w:styleId="ListParagraphChar">
    <w:name w:val="List Paragraph Char"/>
    <w:aliases w:val="List Paragraph1 Char,Recommendation Char"/>
    <w:basedOn w:val="DefaultParagraphFont"/>
    <w:link w:val="ListParagraph"/>
    <w:uiPriority w:val="34"/>
    <w:locked/>
    <w:rsid w:val="00364B72"/>
    <w:rPr>
      <w:rFonts w:asciiTheme="minorHAnsi" w:eastAsiaTheme="minorHAnsi" w:hAnsiTheme="minorHAnsi" w:cstheme="minorBidi"/>
      <w:sz w:val="22"/>
      <w:szCs w:val="22"/>
      <w:lang w:eastAsia="en-US"/>
    </w:rPr>
  </w:style>
  <w:style w:type="character" w:customStyle="1" w:styleId="CaptionChar">
    <w:name w:val="Caption Char"/>
    <w:aliases w:val="Caption table Char"/>
    <w:basedOn w:val="DefaultParagraphFont"/>
    <w:link w:val="Caption"/>
    <w:uiPriority w:val="35"/>
    <w:rsid w:val="00A13A53"/>
    <w:rPr>
      <w:rFonts w:ascii="Arial" w:hAnsi="Arial"/>
      <w:b/>
      <w:bCs/>
      <w:color w:val="323232"/>
      <w:sz w:val="20"/>
      <w:szCs w:val="20"/>
    </w:rPr>
  </w:style>
  <w:style w:type="paragraph" w:customStyle="1" w:styleId="Paragraph">
    <w:name w:val="Paragraph"/>
    <w:basedOn w:val="Normal"/>
    <w:qFormat/>
    <w:rsid w:val="00F36348"/>
    <w:rPr>
      <w:rFonts w:cs="Arial"/>
    </w:rPr>
  </w:style>
  <w:style w:type="table" w:styleId="PlainTable1">
    <w:name w:val="Plain Table 1"/>
    <w:basedOn w:val="TableNormal"/>
    <w:rsid w:val="00F3634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Continue">
    <w:name w:val="List Continue"/>
    <w:basedOn w:val="Normal"/>
    <w:unhideWhenUsed/>
    <w:rsid w:val="00F36348"/>
    <w:pPr>
      <w:spacing w:after="120"/>
      <w:ind w:left="283"/>
      <w:contextualSpacing/>
    </w:pPr>
  </w:style>
  <w:style w:type="paragraph" w:styleId="BodyText">
    <w:name w:val="Body Text"/>
    <w:basedOn w:val="Normal"/>
    <w:link w:val="BodyTextChar"/>
    <w:unhideWhenUsed/>
    <w:rsid w:val="00F36348"/>
    <w:pPr>
      <w:spacing w:after="120"/>
    </w:pPr>
  </w:style>
  <w:style w:type="character" w:customStyle="1" w:styleId="BodyTextChar">
    <w:name w:val="Body Text Char"/>
    <w:basedOn w:val="DefaultParagraphFont"/>
    <w:link w:val="BodyText"/>
    <w:rsid w:val="00F36348"/>
    <w:rPr>
      <w:rFonts w:ascii="Arial" w:hAnsi="Arial"/>
      <w:sz w:val="20"/>
    </w:rPr>
  </w:style>
  <w:style w:type="character" w:customStyle="1" w:styleId="mi">
    <w:name w:val="mi"/>
    <w:basedOn w:val="DefaultParagraphFont"/>
    <w:rsid w:val="00430AC3"/>
  </w:style>
  <w:style w:type="character" w:customStyle="1" w:styleId="mo">
    <w:name w:val="mo"/>
    <w:basedOn w:val="DefaultParagraphFont"/>
    <w:rsid w:val="00430AC3"/>
  </w:style>
  <w:style w:type="character" w:customStyle="1" w:styleId="mn">
    <w:name w:val="mn"/>
    <w:basedOn w:val="DefaultParagraphFont"/>
    <w:rsid w:val="00430AC3"/>
  </w:style>
  <w:style w:type="paragraph" w:styleId="TOC4">
    <w:name w:val="toc 4"/>
    <w:basedOn w:val="Normal"/>
    <w:next w:val="Normal"/>
    <w:autoRedefine/>
    <w:uiPriority w:val="39"/>
    <w:unhideWhenUsed/>
    <w:rsid w:val="00212C52"/>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212C52"/>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212C52"/>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212C52"/>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212C52"/>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212C52"/>
    <w:pPr>
      <w:spacing w:after="100" w:line="259"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161976">
      <w:bodyDiv w:val="1"/>
      <w:marLeft w:val="0"/>
      <w:marRight w:val="0"/>
      <w:marTop w:val="0"/>
      <w:marBottom w:val="0"/>
      <w:divBdr>
        <w:top w:val="none" w:sz="0" w:space="0" w:color="auto"/>
        <w:left w:val="none" w:sz="0" w:space="0" w:color="auto"/>
        <w:bottom w:val="none" w:sz="0" w:space="0" w:color="auto"/>
        <w:right w:val="none" w:sz="0" w:space="0" w:color="auto"/>
      </w:divBdr>
    </w:div>
    <w:div w:id="127286739">
      <w:bodyDiv w:val="1"/>
      <w:marLeft w:val="0"/>
      <w:marRight w:val="0"/>
      <w:marTop w:val="0"/>
      <w:marBottom w:val="0"/>
      <w:divBdr>
        <w:top w:val="none" w:sz="0" w:space="0" w:color="auto"/>
        <w:left w:val="none" w:sz="0" w:space="0" w:color="auto"/>
        <w:bottom w:val="none" w:sz="0" w:space="0" w:color="auto"/>
        <w:right w:val="none" w:sz="0" w:space="0" w:color="auto"/>
      </w:divBdr>
    </w:div>
    <w:div w:id="301471613">
      <w:bodyDiv w:val="1"/>
      <w:marLeft w:val="0"/>
      <w:marRight w:val="0"/>
      <w:marTop w:val="0"/>
      <w:marBottom w:val="0"/>
      <w:divBdr>
        <w:top w:val="none" w:sz="0" w:space="0" w:color="auto"/>
        <w:left w:val="none" w:sz="0" w:space="0" w:color="auto"/>
        <w:bottom w:val="none" w:sz="0" w:space="0" w:color="auto"/>
        <w:right w:val="none" w:sz="0" w:space="0" w:color="auto"/>
      </w:divBdr>
    </w:div>
    <w:div w:id="504520307">
      <w:bodyDiv w:val="1"/>
      <w:marLeft w:val="0"/>
      <w:marRight w:val="0"/>
      <w:marTop w:val="0"/>
      <w:marBottom w:val="0"/>
      <w:divBdr>
        <w:top w:val="none" w:sz="0" w:space="0" w:color="auto"/>
        <w:left w:val="none" w:sz="0" w:space="0" w:color="auto"/>
        <w:bottom w:val="none" w:sz="0" w:space="0" w:color="auto"/>
        <w:right w:val="none" w:sz="0" w:space="0" w:color="auto"/>
      </w:divBdr>
    </w:div>
    <w:div w:id="567153972">
      <w:bodyDiv w:val="1"/>
      <w:marLeft w:val="0"/>
      <w:marRight w:val="0"/>
      <w:marTop w:val="0"/>
      <w:marBottom w:val="0"/>
      <w:divBdr>
        <w:top w:val="none" w:sz="0" w:space="0" w:color="auto"/>
        <w:left w:val="none" w:sz="0" w:space="0" w:color="auto"/>
        <w:bottom w:val="none" w:sz="0" w:space="0" w:color="auto"/>
        <w:right w:val="none" w:sz="0" w:space="0" w:color="auto"/>
      </w:divBdr>
    </w:div>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639112958">
      <w:bodyDiv w:val="1"/>
      <w:marLeft w:val="0"/>
      <w:marRight w:val="0"/>
      <w:marTop w:val="0"/>
      <w:marBottom w:val="0"/>
      <w:divBdr>
        <w:top w:val="none" w:sz="0" w:space="0" w:color="auto"/>
        <w:left w:val="none" w:sz="0" w:space="0" w:color="auto"/>
        <w:bottom w:val="none" w:sz="0" w:space="0" w:color="auto"/>
        <w:right w:val="none" w:sz="0" w:space="0" w:color="auto"/>
      </w:divBdr>
    </w:div>
    <w:div w:id="683747644">
      <w:bodyDiv w:val="1"/>
      <w:marLeft w:val="0"/>
      <w:marRight w:val="0"/>
      <w:marTop w:val="0"/>
      <w:marBottom w:val="0"/>
      <w:divBdr>
        <w:top w:val="none" w:sz="0" w:space="0" w:color="auto"/>
        <w:left w:val="none" w:sz="0" w:space="0" w:color="auto"/>
        <w:bottom w:val="none" w:sz="0" w:space="0" w:color="auto"/>
        <w:right w:val="none" w:sz="0" w:space="0" w:color="auto"/>
      </w:divBdr>
    </w:div>
    <w:div w:id="704061824">
      <w:bodyDiv w:val="1"/>
      <w:marLeft w:val="0"/>
      <w:marRight w:val="0"/>
      <w:marTop w:val="0"/>
      <w:marBottom w:val="0"/>
      <w:divBdr>
        <w:top w:val="none" w:sz="0" w:space="0" w:color="auto"/>
        <w:left w:val="none" w:sz="0" w:space="0" w:color="auto"/>
        <w:bottom w:val="none" w:sz="0" w:space="0" w:color="auto"/>
        <w:right w:val="none" w:sz="0" w:space="0" w:color="auto"/>
      </w:divBdr>
    </w:div>
    <w:div w:id="1158116013">
      <w:bodyDiv w:val="1"/>
      <w:marLeft w:val="0"/>
      <w:marRight w:val="0"/>
      <w:marTop w:val="0"/>
      <w:marBottom w:val="0"/>
      <w:divBdr>
        <w:top w:val="none" w:sz="0" w:space="0" w:color="auto"/>
        <w:left w:val="none" w:sz="0" w:space="0" w:color="auto"/>
        <w:bottom w:val="none" w:sz="0" w:space="0" w:color="auto"/>
        <w:right w:val="none" w:sz="0" w:space="0" w:color="auto"/>
      </w:divBdr>
    </w:div>
    <w:div w:id="1226139208">
      <w:bodyDiv w:val="1"/>
      <w:marLeft w:val="0"/>
      <w:marRight w:val="0"/>
      <w:marTop w:val="0"/>
      <w:marBottom w:val="0"/>
      <w:divBdr>
        <w:top w:val="none" w:sz="0" w:space="0" w:color="auto"/>
        <w:left w:val="none" w:sz="0" w:space="0" w:color="auto"/>
        <w:bottom w:val="none" w:sz="0" w:space="0" w:color="auto"/>
        <w:right w:val="none" w:sz="0" w:space="0" w:color="auto"/>
      </w:divBdr>
    </w:div>
    <w:div w:id="1362322762">
      <w:bodyDiv w:val="1"/>
      <w:marLeft w:val="0"/>
      <w:marRight w:val="0"/>
      <w:marTop w:val="0"/>
      <w:marBottom w:val="0"/>
      <w:divBdr>
        <w:top w:val="none" w:sz="0" w:space="0" w:color="auto"/>
        <w:left w:val="none" w:sz="0" w:space="0" w:color="auto"/>
        <w:bottom w:val="none" w:sz="0" w:space="0" w:color="auto"/>
        <w:right w:val="none" w:sz="0" w:space="0" w:color="auto"/>
      </w:divBdr>
    </w:div>
    <w:div w:id="1398825550">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631521536">
      <w:bodyDiv w:val="1"/>
      <w:marLeft w:val="0"/>
      <w:marRight w:val="0"/>
      <w:marTop w:val="0"/>
      <w:marBottom w:val="0"/>
      <w:divBdr>
        <w:top w:val="none" w:sz="0" w:space="0" w:color="auto"/>
        <w:left w:val="none" w:sz="0" w:space="0" w:color="auto"/>
        <w:bottom w:val="none" w:sz="0" w:space="0" w:color="auto"/>
        <w:right w:val="none" w:sz="0" w:space="0" w:color="auto"/>
      </w:divBdr>
    </w:div>
    <w:div w:id="1666006304">
      <w:bodyDiv w:val="1"/>
      <w:marLeft w:val="0"/>
      <w:marRight w:val="0"/>
      <w:marTop w:val="0"/>
      <w:marBottom w:val="0"/>
      <w:divBdr>
        <w:top w:val="none" w:sz="0" w:space="0" w:color="auto"/>
        <w:left w:val="none" w:sz="0" w:space="0" w:color="auto"/>
        <w:bottom w:val="none" w:sz="0" w:space="0" w:color="auto"/>
        <w:right w:val="none" w:sz="0" w:space="0" w:color="auto"/>
      </w:divBdr>
      <w:divsChild>
        <w:div w:id="521674567">
          <w:marLeft w:val="0"/>
          <w:marRight w:val="0"/>
          <w:marTop w:val="240"/>
          <w:marBottom w:val="240"/>
          <w:divBdr>
            <w:top w:val="none" w:sz="0" w:space="0" w:color="auto"/>
            <w:left w:val="none" w:sz="0" w:space="0" w:color="auto"/>
            <w:bottom w:val="none" w:sz="0" w:space="0" w:color="auto"/>
            <w:right w:val="none" w:sz="0" w:space="0" w:color="auto"/>
          </w:divBdr>
        </w:div>
        <w:div w:id="2034451140">
          <w:marLeft w:val="0"/>
          <w:marRight w:val="0"/>
          <w:marTop w:val="240"/>
          <w:marBottom w:val="240"/>
          <w:divBdr>
            <w:top w:val="none" w:sz="0" w:space="0" w:color="auto"/>
            <w:left w:val="none" w:sz="0" w:space="0" w:color="auto"/>
            <w:bottom w:val="none" w:sz="0" w:space="0" w:color="auto"/>
            <w:right w:val="none" w:sz="0" w:space="0" w:color="auto"/>
          </w:divBdr>
        </w:div>
      </w:divsChild>
    </w:div>
    <w:div w:id="1685595580">
      <w:bodyDiv w:val="1"/>
      <w:marLeft w:val="0"/>
      <w:marRight w:val="0"/>
      <w:marTop w:val="0"/>
      <w:marBottom w:val="0"/>
      <w:divBdr>
        <w:top w:val="none" w:sz="0" w:space="0" w:color="auto"/>
        <w:left w:val="none" w:sz="0" w:space="0" w:color="auto"/>
        <w:bottom w:val="none" w:sz="0" w:space="0" w:color="auto"/>
        <w:right w:val="none" w:sz="0" w:space="0" w:color="auto"/>
      </w:divBdr>
    </w:div>
    <w:div w:id="1694768983">
      <w:bodyDiv w:val="1"/>
      <w:marLeft w:val="0"/>
      <w:marRight w:val="0"/>
      <w:marTop w:val="0"/>
      <w:marBottom w:val="0"/>
      <w:divBdr>
        <w:top w:val="none" w:sz="0" w:space="0" w:color="auto"/>
        <w:left w:val="none" w:sz="0" w:space="0" w:color="auto"/>
        <w:bottom w:val="none" w:sz="0" w:space="0" w:color="auto"/>
        <w:right w:val="none" w:sz="0" w:space="0" w:color="auto"/>
      </w:divBdr>
    </w:div>
    <w:div w:id="1714427644">
      <w:bodyDiv w:val="1"/>
      <w:marLeft w:val="0"/>
      <w:marRight w:val="0"/>
      <w:marTop w:val="0"/>
      <w:marBottom w:val="0"/>
      <w:divBdr>
        <w:top w:val="none" w:sz="0" w:space="0" w:color="auto"/>
        <w:left w:val="none" w:sz="0" w:space="0" w:color="auto"/>
        <w:bottom w:val="none" w:sz="0" w:space="0" w:color="auto"/>
        <w:right w:val="none" w:sz="0" w:space="0" w:color="auto"/>
      </w:divBdr>
    </w:div>
    <w:div w:id="1769694656">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 w:id="2070373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cc.gov/ecfs/search/search-filings/results?q=(proceedings.name:(%2218-122%22))" TargetMode="External"/><Relationship Id="rId21" Type="http://schemas.openxmlformats.org/officeDocument/2006/relationships/footer" Target="footer3.xml"/><Relationship Id="rId63" Type="http://schemas.openxmlformats.org/officeDocument/2006/relationships/hyperlink" Target="https://www.rtca.org/sc-239/" TargetMode="External"/><Relationship Id="rId159" Type="http://schemas.openxmlformats.org/officeDocument/2006/relationships/hyperlink" Target="https://www.bipt.be/file/cc73d96153bbd5448a56f19d925d05b1379c7f21/91bb4c06ca66065139c768b8107dcb05ec8a399f/Consultation_conditions_techniques_operationnelles_brouillages_prejudiciables_bande_frequences_3400-3800_MHz.pdf" TargetMode="External"/><Relationship Id="rId170" Type="http://schemas.openxmlformats.org/officeDocument/2006/relationships/hyperlink" Target="https://www.cept.org/ecc/groups/ecc/ecc-pt1/client/forum/topic/581" TargetMode="External"/><Relationship Id="rId226" Type="http://schemas.openxmlformats.org/officeDocument/2006/relationships/image" Target="media/image22.png"/><Relationship Id="rId268" Type="http://schemas.openxmlformats.org/officeDocument/2006/relationships/image" Target="media/image49.png"/><Relationship Id="rId32" Type="http://schemas.openxmlformats.org/officeDocument/2006/relationships/hyperlink" Target="https://www.acma.gov.au/consultations/2022-03/proposed-spectrum-re-allocation-declaration-34-ghz-and-37-ghz-bands-consultation-102022" TargetMode="External"/><Relationship Id="rId74" Type="http://schemas.openxmlformats.org/officeDocument/2006/relationships/hyperlink" Target="https://www.icao.int/safety/FSMP/MeetingDocs/FSMP%20WG15/IP/FSMP-WG15-IP03_RA%20interference%20susceptibility%20test%20results%20under%20Japanese%20Sub-6%205G%20conditions_rev6.doc" TargetMode="External"/><Relationship Id="rId128" Type="http://schemas.openxmlformats.org/officeDocument/2006/relationships/hyperlink" Target="https://www.ofcom.org.uk/consultations-and-statements/category-1/award-700mhz-3.6-3.8ghz-spectrum" TargetMode="External"/><Relationship Id="rId5" Type="http://schemas.openxmlformats.org/officeDocument/2006/relationships/numbering" Target="numbering.xml"/><Relationship Id="rId181" Type="http://schemas.openxmlformats.org/officeDocument/2006/relationships/hyperlink" Target="https://cept.org/ecc/meeting-documents/?flid=29511" TargetMode="External"/><Relationship Id="rId237" Type="http://schemas.openxmlformats.org/officeDocument/2006/relationships/hyperlink" Target="https://www.legislation.gov.au/Details/F2018C00558" TargetMode="External"/><Relationship Id="rId279" Type="http://schemas.openxmlformats.org/officeDocument/2006/relationships/hyperlink" Target="https://siteviewer.comreg.ie/" TargetMode="External"/><Relationship Id="rId43" Type="http://schemas.openxmlformats.org/officeDocument/2006/relationships/hyperlink" Target="https://www.acma.gov.au/spectrum-licence-technical-liaison-groups" TargetMode="External"/><Relationship Id="rId139" Type="http://schemas.openxmlformats.org/officeDocument/2006/relationships/hyperlink" Target="https://www.anfr.fr/toutes-les-actualites/actualites/la-protection-des-radioaltimetres-vis-a-vis-de-la-5g-les-nouveaux-developpements-dans-le-monde/" TargetMode="External"/><Relationship Id="rId290" Type="http://schemas.openxmlformats.org/officeDocument/2006/relationships/image" Target="media/image57.png"/><Relationship Id="rId85" Type="http://schemas.openxmlformats.org/officeDocument/2006/relationships/hyperlink" Target="https://comptroller.defense.gov/Portals/45/Documents/defbudget/fy2022/budget_justification/pdfs/03_RDT_and_E/OTE_PB2022.pdf" TargetMode="External"/><Relationship Id="rId150" Type="http://schemas.openxmlformats.org/officeDocument/2006/relationships/hyperlink" Target="https://www.ic.gc.ca/eic/site/smt-gst.nsf/eng/sf11725.html" TargetMode="External"/><Relationship Id="rId192" Type="http://schemas.openxmlformats.org/officeDocument/2006/relationships/hyperlink" Target="https://www.icao.int/safety/FSMP/Lists/Meetings/DispForm.aspx?ID=16&amp;ContentTypeId=0x0100775D4F62D6A47C4B8092FD88410F3070" TargetMode="External"/><Relationship Id="rId206" Type="http://schemas.openxmlformats.org/officeDocument/2006/relationships/hyperlink" Target="https://www.icao.int/safety/FSMP/MeetingDocs/FSMP%20WG15/IP/FSMP-WG15-IP07_C-Band%20Receiver%20Comparison_rev1.docx" TargetMode="External"/><Relationship Id="rId248" Type="http://schemas.openxmlformats.org/officeDocument/2006/relationships/hyperlink" Target="https://aus01.safelinks.protection.outlook.com/?url=https%3A%2F%2Fwww.soumu.go.jp%2Fmain_content%2F000802368.pdf&amp;data=05%7C01%7CDouglas.Iles%40acma.gov.au%7C1b721ddf8e274f141c3f08da33e24fa4%7C0dac7f39d20c4e718af371ee7e268a2b%7C0%7C0%7C637879344327738975%7CUnknown%7CTWFpbGZsb3d8eyJWIjoiMC4wLjAwMDAiLCJQIjoiV2luMzIiLCJBTiI6Ik1haWwiLCJXVCI6Mn0%3D%7C3000%7C%7C%7C&amp;sdata=%2B6Lilrl7zCINivl%2BDx4DcsySwD%2Fuk0u9J8vAJdC3v3o%3D&amp;reserved=0" TargetMode="External"/><Relationship Id="rId12" Type="http://schemas.openxmlformats.org/officeDocument/2006/relationships/footer" Target="footer1.xml"/><Relationship Id="rId33" Type="http://schemas.openxmlformats.org/officeDocument/2006/relationships/hyperlink" Target="https://www.legislation.gov.au/Details/F2018C00558" TargetMode="External"/><Relationship Id="rId108" Type="http://schemas.openxmlformats.org/officeDocument/2006/relationships/hyperlink" Target="https://www.icao.int/safety/FSMP/MeetingDocs/FSMP%20WG15/IP/FSMP-WG15-IP03_RA%20interference%20susceptibility%20test%20results%20under%20Japanese%20Sub-6%205G%20conditions_rev6.doc" TargetMode="External"/><Relationship Id="rId129" Type="http://schemas.openxmlformats.org/officeDocument/2006/relationships/hyperlink" Target="https://www.ofcom.org.uk/__data/assets/pdf_file/0017/192410/annexes-award-700mhz-3.6-3.8ghz-spectrum.pdf" TargetMode="External"/><Relationship Id="rId280" Type="http://schemas.openxmlformats.org/officeDocument/2006/relationships/hyperlink" Target="https://www.comreg.ie/publication-download/results-3-6-ghz-band-spectrum-award-2" TargetMode="External"/><Relationship Id="rId54" Type="http://schemas.openxmlformats.org/officeDocument/2006/relationships/hyperlink" Target="https://www.acma.gov.au/spectrum-licence-technical-liaison-groups" TargetMode="External"/><Relationship Id="rId75" Type="http://schemas.openxmlformats.org/officeDocument/2006/relationships/image" Target="media/image5.png"/><Relationship Id="rId96" Type="http://schemas.openxmlformats.org/officeDocument/2006/relationships/image" Target="media/image6.png"/><Relationship Id="rId140" Type="http://schemas.openxmlformats.org/officeDocument/2006/relationships/hyperlink" Target="http://www.ens.dk" TargetMode="External"/><Relationship Id="rId161" Type="http://schemas.openxmlformats.org/officeDocument/2006/relationships/hyperlink" Target="https://www.prg.aero/sites/default/files/obsah/O-letisti/O%20spole%C4%8Dnosti/Bezpecnost%20na%20letisti/Safety/Safety%20Brief/SAFETY%20BRIEF%20LKPR%2093%20Interference%20of%205G%20networks%20with%20radio%20altimeters.pdf" TargetMode="External"/><Relationship Id="rId182" Type="http://schemas.openxmlformats.org/officeDocument/2006/relationships/hyperlink" Target="https://www.icao.int/about-icao/Pages/default.aspx" TargetMode="External"/><Relationship Id="rId217" Type="http://schemas.openxmlformats.org/officeDocument/2006/relationships/hyperlink" Target="http://collaboration/organisation/cid/speb/sp/SectionDocuments/3700-4200%20MHz/radio%20altimeter%20study/AFE%2076s2" TargetMode="External"/><Relationship Id="rId6" Type="http://schemas.openxmlformats.org/officeDocument/2006/relationships/styles" Target="styles.xml"/><Relationship Id="rId238" Type="http://schemas.openxmlformats.org/officeDocument/2006/relationships/hyperlink" Target="https://www.acma.gov.au/consultations/2020-07/planning-options-3700-4200-mhz-band-consultation-222020" TargetMode="External"/><Relationship Id="rId259" Type="http://schemas.openxmlformats.org/officeDocument/2006/relationships/image" Target="media/image44.png"/><Relationship Id="rId23" Type="http://schemas.openxmlformats.org/officeDocument/2006/relationships/header" Target="header6.xml"/><Relationship Id="rId119" Type="http://schemas.openxmlformats.org/officeDocument/2006/relationships/hyperlink" Target="https://www.faa.gov/newsroom/faa-statements-5g" TargetMode="External"/><Relationship Id="rId270" Type="http://schemas.openxmlformats.org/officeDocument/2006/relationships/hyperlink" Target="https://www.bazl.admin.ch/bazl/en/home/specialists/safety-risk-management/stay-safe-/recommendations--sand-/5g_interferenz.html" TargetMode="External"/><Relationship Id="rId291" Type="http://schemas.openxmlformats.org/officeDocument/2006/relationships/header" Target="header7.xml"/><Relationship Id="rId44" Type="http://schemas.openxmlformats.org/officeDocument/2006/relationships/hyperlink" Target="https://www.acma.gov.au/allocating-34-40-ghz-band" TargetMode="External"/><Relationship Id="rId65" Type="http://schemas.openxmlformats.org/officeDocument/2006/relationships/hyperlink" Target="https://avsi.aero/afe76s2-report/" TargetMode="External"/><Relationship Id="rId86" Type="http://schemas.openxmlformats.org/officeDocument/2006/relationships/hyperlink" Target="https://www.icao.int/safety/FSMP/MeetingDocs/Forms/AllItems.aspx?RootFolder=%2fsafety%2fFSMP%2fMeetingDocs%2fFSMP%20WG11&amp;FolderCTID=0x012000556AC038F4589F4281B27ABB7E901CAE" TargetMode="External"/><Relationship Id="rId130" Type="http://schemas.openxmlformats.org/officeDocument/2006/relationships/image" Target="media/image9.png"/><Relationship Id="rId151" Type="http://schemas.openxmlformats.org/officeDocument/2006/relationships/hyperlink" Target="https://www.ic.gc.ca/eic/site/smt-gst.nsf/eng/sf11757.html" TargetMode="External"/><Relationship Id="rId172" Type="http://schemas.openxmlformats.org/officeDocument/2006/relationships/hyperlink" Target="https://www.cept.org/Documents/ecc-pt1/68860/ecc-pt1-22-074_minutes-of-70th-ecc-pt1-meeting" TargetMode="External"/><Relationship Id="rId193" Type="http://schemas.openxmlformats.org/officeDocument/2006/relationships/hyperlink" Target="https://www.icao.int/safety/FSMP/MeetingDocs/FSMP%20WG12/IP/FSMP-WG12-IP05_Status%20on%20replanning%20the%203700%E2%80%934200%20MHz%20band%20in%20Australia.docx" TargetMode="External"/><Relationship Id="rId207" Type="http://schemas.openxmlformats.org/officeDocument/2006/relationships/hyperlink" Target="https://www.icao.int/safety/FSMP/MeetingDocs/FSMP%20WG15/IP/FSMP-WG15-IP08_CG-RA%20Report%20August%202022%20V1.0.docx" TargetMode="External"/><Relationship Id="rId228" Type="http://schemas.openxmlformats.org/officeDocument/2006/relationships/image" Target="media/image24.png"/><Relationship Id="rId249" Type="http://schemas.openxmlformats.org/officeDocument/2006/relationships/hyperlink" Target="https://www.ntt-review.jp/archive/ntttechnical.php?contents=ntr202012fa13.html" TargetMode="External"/><Relationship Id="rId13" Type="http://schemas.openxmlformats.org/officeDocument/2006/relationships/header" Target="header2.xml"/><Relationship Id="rId109" Type="http://schemas.openxmlformats.org/officeDocument/2006/relationships/hyperlink" Target="https://www.rtca.org/sc-239/" TargetMode="External"/><Relationship Id="rId260" Type="http://schemas.openxmlformats.org/officeDocument/2006/relationships/image" Target="media/image45.png"/><Relationship Id="rId281" Type="http://schemas.openxmlformats.org/officeDocument/2006/relationships/hyperlink" Target="https://www.eir.ie/ourmobilenetwork/" TargetMode="External"/><Relationship Id="rId34" Type="http://schemas.openxmlformats.org/officeDocument/2006/relationships/hyperlink" Target="https://www.faa.gov/newsroom/faa-statements-5g" TargetMode="External"/><Relationship Id="rId55" Type="http://schemas.openxmlformats.org/officeDocument/2006/relationships/hyperlink" Target="https://www.icao.int/safety/acp/ACPWGF/ACP-WG-F-30/ACP-WGF30-WP14%20Radio%20Altimeter%20Adjacent%20Bands%20Compatibility%20Study%20with%20IMT-FINAL%20Rev1.docx" TargetMode="External"/><Relationship Id="rId76" Type="http://schemas.openxmlformats.org/officeDocument/2006/relationships/image" Target="cid:image005.png@01D8BDE4.F41A7F40" TargetMode="External"/><Relationship Id="rId97" Type="http://schemas.openxmlformats.org/officeDocument/2006/relationships/image" Target="media/image7.png"/><Relationship Id="rId120" Type="http://schemas.openxmlformats.org/officeDocument/2006/relationships/hyperlink" Target="https://www.faa.gov/5g" TargetMode="External"/><Relationship Id="rId141" Type="http://schemas.openxmlformats.org/officeDocument/2006/relationships/hyperlink" Target="https://ens.dk/sites/ens.dk/files/Tele/information_memorandum_1.pdf" TargetMode="External"/><Relationship Id="rId7" Type="http://schemas.openxmlformats.org/officeDocument/2006/relationships/settings" Target="settings.xml"/><Relationship Id="rId162" Type="http://schemas.openxmlformats.org/officeDocument/2006/relationships/hyperlink" Target="https://www.samenacouncil.org/initiatives/open_consultations/CITC-Public_Consultation_on_Spectrum_auction_of_600_700_and_3800-4000_MHz.pdf" TargetMode="External"/><Relationship Id="rId183" Type="http://schemas.openxmlformats.org/officeDocument/2006/relationships/hyperlink" Target="https://www.icao.int/about-icao/History/Pages/default.aspx" TargetMode="External"/><Relationship Id="rId218" Type="http://schemas.openxmlformats.org/officeDocument/2006/relationships/image" Target="media/image17.png"/><Relationship Id="rId239" Type="http://schemas.openxmlformats.org/officeDocument/2006/relationships/hyperlink" Target="https://www.acma.gov.au/spectrum-licence-technical-liaison-groups" TargetMode="External"/><Relationship Id="rId250" Type="http://schemas.openxmlformats.org/officeDocument/2006/relationships/hyperlink" Target="https://www.docomo.ne.jp/area/?icid=CRP_en_AREA_txt01_to_CRP_AREA" TargetMode="External"/><Relationship Id="rId271" Type="http://schemas.openxmlformats.org/officeDocument/2006/relationships/image" Target="media/image50.png"/><Relationship Id="rId292" Type="http://schemas.openxmlformats.org/officeDocument/2006/relationships/header" Target="header8.xml"/><Relationship Id="rId24" Type="http://schemas.openxmlformats.org/officeDocument/2006/relationships/footer" Target="footer4.xml"/><Relationship Id="rId45" Type="http://schemas.openxmlformats.org/officeDocument/2006/relationships/hyperlink" Target="https://life.itu.int/radioclub/rr/art4.pdf" TargetMode="External"/><Relationship Id="rId66" Type="http://schemas.openxmlformats.org/officeDocument/2006/relationships/hyperlink" Target="https://avsi.aero/avsi-publishes-volume-iii-of-the-afe-76s2-report/" TargetMode="External"/><Relationship Id="rId87" Type="http://schemas.openxmlformats.org/officeDocument/2006/relationships/hyperlink" Target="https://www.icao.int/safety/FSMP/MeetingDocs/FSMP%20WG11/IP/FSMP-WG11-IP06_RA_interference.pdf" TargetMode="External"/><Relationship Id="rId110" Type="http://schemas.openxmlformats.org/officeDocument/2006/relationships/hyperlink" Target="https://www.rtca.org/sc-242/" TargetMode="External"/><Relationship Id="rId131" Type="http://schemas.openxmlformats.org/officeDocument/2006/relationships/image" Target="media/image10.png"/><Relationship Id="rId152" Type="http://schemas.openxmlformats.org/officeDocument/2006/relationships/hyperlink" Target="https://www.ic.gc.ca/eic/site/smt-gst.nsf/vwapj/SRSP520_Issue2_Pubs_EN.pdf/$FILE/SRSP520_Issue2_Pubs_EN.pdf" TargetMode="External"/><Relationship Id="rId173" Type="http://schemas.openxmlformats.org/officeDocument/2006/relationships/hyperlink" Target="http://eccwp.cept.org/WI_Detail.aspx?wiid=775" TargetMode="External"/><Relationship Id="rId194" Type="http://schemas.openxmlformats.org/officeDocument/2006/relationships/hyperlink" Target="https://www.icao.int/safety/FSMP/MeetingDocs/FSMP%20WG12/IP/FSMP-WG12-IP07_Interference%20Susceptibility%20Evaluations%20of%20Pulsed%20Radio%20Altimeters%20Due%20to%205G%20Mobile%20Base%20Station%20Signal_rev1.pptx" TargetMode="External"/><Relationship Id="rId208" Type="http://schemas.openxmlformats.org/officeDocument/2006/relationships/hyperlink" Target="https://www.icao.int/safety/FSMP/MeetingDocs/FSMP%20WG15/IP/FSMP-WG15-IP09_ICAO%20MID%20Draft%20Guidance%20on%20RadAlt%20Safeguarding%20Measures%20from%205G.doc" TargetMode="External"/><Relationship Id="rId229" Type="http://schemas.openxmlformats.org/officeDocument/2006/relationships/image" Target="media/image25.png"/><Relationship Id="rId240" Type="http://schemas.openxmlformats.org/officeDocument/2006/relationships/hyperlink" Target="https://www.acma.gov.au/consultations/2022-02/allocation-awls-34-40-ghz-band-remote-australia-ifc-112022" TargetMode="External"/><Relationship Id="rId261" Type="http://schemas.openxmlformats.org/officeDocument/2006/relationships/image" Target="media/image46.png"/><Relationship Id="rId14" Type="http://schemas.openxmlformats.org/officeDocument/2006/relationships/hyperlink" Target="http://i.creativecommons.org/l/by/3.0/88x31.png" TargetMode="External"/><Relationship Id="rId35" Type="http://schemas.openxmlformats.org/officeDocument/2006/relationships/hyperlink" Target="https://www.acma.gov.au/australian-radiofrequency-spectrum-plan" TargetMode="External"/><Relationship Id="rId56" Type="http://schemas.openxmlformats.org/officeDocument/2006/relationships/hyperlink" Target="https://www.google.com/url?sa=t&amp;rct=j&amp;q=&amp;esrc=s&amp;source=web&amp;cd=&amp;cad=rja&amp;uact=8&amp;ved=2ahUKEwjP6aLuzJ_4AhX2SmwGHTvVBCMQFnoECBQQAQ&amp;url=https%3A%2F%2Fwww.icao.int%2Fsafety%2Facp%2FACPWGF%2FACP-WG-F-30%2FACP-WGF30-WP14%2520Radio%2520Altimeter%2520Adjacent%2520Bands%2520Compatibility%2520Study%2520with%2520IMT-FINAL%2520Rev1.docx&amp;usg=AOvVaw21PmcG2BNN4AzabaNeZlpY" TargetMode="External"/><Relationship Id="rId77" Type="http://schemas.openxmlformats.org/officeDocument/2006/relationships/hyperlink" Target="https://www.icao.int/safety/FSMP/MeetingDocs/FSMP%20WG11/IP/FSMP-WG11-IP03_5G%20vs%20RA%20Actions%20taken%20in%20France%20to%20mitigate%20interference_r1.doc" TargetMode="External"/><Relationship Id="rId100" Type="http://schemas.openxmlformats.org/officeDocument/2006/relationships/hyperlink" Target="https://www.itu.int/rec/R-REC-M.2059-0-201402-I/en" TargetMode="External"/><Relationship Id="rId282" Type="http://schemas.openxmlformats.org/officeDocument/2006/relationships/hyperlink" Target="https://siteviewer.comreg.ie/" TargetMode="External"/><Relationship Id="rId8" Type="http://schemas.openxmlformats.org/officeDocument/2006/relationships/webSettings" Target="webSettings.xml"/><Relationship Id="rId98" Type="http://schemas.openxmlformats.org/officeDocument/2006/relationships/hyperlink" Target="https://www.itu.int/rec/R-REC-SM.1541" TargetMode="External"/><Relationship Id="rId121" Type="http://schemas.openxmlformats.org/officeDocument/2006/relationships/hyperlink" Target="https://www.alpa.org/resources/aircraft-operations-radar-altimeter-interference-5G" TargetMode="External"/><Relationship Id="rId142" Type="http://schemas.openxmlformats.org/officeDocument/2006/relationships/hyperlink" Target="https://ens.dk/sites/ens.dk/files/Tele/annex_f_-_draft_licence_3.5_ghz.pdf" TargetMode="External"/><Relationship Id="rId163" Type="http://schemas.openxmlformats.org/officeDocument/2006/relationships/hyperlink" Target="https://sei.anatel.gov.br/sei/modulos/pesquisa/md_pesq_documento_consulta_externa.php?eEP-wqk1skrd8hSlk5Z3rN4EVg9uLJqrLYJw_9INcO6LR0PKnLCZDPo2fqY0vw_djjGhF-8TZjQNgPxpRisgcJH0ImzK6jpyfWDGKUSLEOxvcJuj77zxJLKlc4zb9HX4" TargetMode="External"/><Relationship Id="rId184" Type="http://schemas.openxmlformats.org/officeDocument/2006/relationships/hyperlink" Target="https://www.icao.int/safety/FSMP/Pages/default.aspx" TargetMode="External"/><Relationship Id="rId219" Type="http://schemas.openxmlformats.org/officeDocument/2006/relationships/hyperlink" Target="https://www.anfr.fr/planifier/documents-de-reference/bandes-de-frequences-pour-la-5g" TargetMode="External"/><Relationship Id="rId230" Type="http://schemas.openxmlformats.org/officeDocument/2006/relationships/image" Target="media/image26.png"/><Relationship Id="rId251" Type="http://schemas.openxmlformats.org/officeDocument/2006/relationships/image" Target="media/image37.png"/><Relationship Id="rId25" Type="http://schemas.openxmlformats.org/officeDocument/2006/relationships/footer" Target="footer5.xml"/><Relationship Id="rId46" Type="http://schemas.openxmlformats.org/officeDocument/2006/relationships/hyperlink" Target="https://life.itu.int/radioclub/rr/art3.pdf" TargetMode="External"/><Relationship Id="rId67" Type="http://schemas.openxmlformats.org/officeDocument/2006/relationships/hyperlink" Target="https://www.acma.gov.au/consultations/2020-07/planning-options-3700-4200-mhz-band-consultation-222020" TargetMode="External"/><Relationship Id="rId272" Type="http://schemas.openxmlformats.org/officeDocument/2006/relationships/hyperlink" Target="https://www.comreg.ie/industry/radio-spectrum/about-5g/" TargetMode="External"/><Relationship Id="rId293" Type="http://schemas.openxmlformats.org/officeDocument/2006/relationships/footer" Target="footer7.xml"/><Relationship Id="rId88" Type="http://schemas.openxmlformats.org/officeDocument/2006/relationships/hyperlink" Target="https://www.casa.gov.au/search-centre/airworthiness-bulletins/potential-5g-interference-radio-altimeter-systems" TargetMode="External"/><Relationship Id="rId111" Type="http://schemas.openxmlformats.org/officeDocument/2006/relationships/hyperlink" Target="https://www.faa.gov/newsroom/faa-statements-5g" TargetMode="External"/><Relationship Id="rId132" Type="http://schemas.openxmlformats.org/officeDocument/2006/relationships/image" Target="media/image11.png"/><Relationship Id="rId153" Type="http://schemas.openxmlformats.org/officeDocument/2006/relationships/hyperlink" Target="https://www.ic.gc.ca/eic/site/smt-gst.nsf/eng/sf11619.html" TargetMode="External"/><Relationship Id="rId174" Type="http://schemas.openxmlformats.org/officeDocument/2006/relationships/hyperlink" Target="https://www.cept.org/ecc/groups/ecc/ecc-pt1/client/meeting-documents/?flid=30242" TargetMode="External"/><Relationship Id="rId195" Type="http://schemas.openxmlformats.org/officeDocument/2006/relationships/hyperlink" Target="https://www.icao.int/safety/FSMP/Lists/Meetings/DispForm.aspx?ID=17&amp;ContentTypeId=0x0100775D4F62D6A47C4B8092FD88410F3070" TargetMode="External"/><Relationship Id="rId209" Type="http://schemas.openxmlformats.org/officeDocument/2006/relationships/hyperlink" Target="https://www.icao.int/safety/FSMP/MeetingDocs/FSMP%20WG15/Report/FSMP-WG15_Draft_Report_v1.docx" TargetMode="External"/><Relationship Id="rId220" Type="http://schemas.openxmlformats.org/officeDocument/2006/relationships/hyperlink" Target="https://www.icao.int/safety/FSMP/MeetingDocs/FSMP%20WG11/IP/FSMP-WG11-IP03_5G%20vs%20RA%20Actions%20taken%20in%20France%20to%20mitigate%20interference_r1.doc" TargetMode="External"/><Relationship Id="rId241" Type="http://schemas.openxmlformats.org/officeDocument/2006/relationships/image" Target="media/image30.png"/><Relationship Id="rId15" Type="http://schemas.openxmlformats.org/officeDocument/2006/relationships/image" Target="media/image3.png"/><Relationship Id="rId36" Type="http://schemas.openxmlformats.org/officeDocument/2006/relationships/hyperlink" Target="https://www.acma.gov.au/consultations/2019-09/planning-3700-4200-mhz-band-consultation-272019" TargetMode="External"/><Relationship Id="rId57" Type="http://schemas.openxmlformats.org/officeDocument/2006/relationships/hyperlink" Target="https://www.itu.int/rec/R-REC-M.2059/recommendation.asp?lang=en&amp;parent=R-REC-M.2059-0-201312-P" TargetMode="External"/><Relationship Id="rId262" Type="http://schemas.openxmlformats.org/officeDocument/2006/relationships/hyperlink" Target="https://yousee.dk/hjaelp/driftsinformation/mobilt-bredbaand/daekningskort" TargetMode="External"/><Relationship Id="rId283" Type="http://schemas.openxmlformats.org/officeDocument/2006/relationships/image" Target="media/image53.png"/><Relationship Id="rId78" Type="http://schemas.openxmlformats.org/officeDocument/2006/relationships/hyperlink" Target="https://www.ic.gc.ca/eic/site/smt-gst.nsf/eng/sf11736.html" TargetMode="External"/><Relationship Id="rId99" Type="http://schemas.openxmlformats.org/officeDocument/2006/relationships/hyperlink" Target="https://www.itu.int/rec/R-REC-SM.329/en" TargetMode="External"/><Relationship Id="rId101" Type="http://schemas.openxmlformats.org/officeDocument/2006/relationships/hyperlink" Target="https://rgl.faa.gov/Regulatory_and_Guidance_Library/rgtso.nsf/0/2c417369f3acfdd886256dc70062a5c1/$FILE/C87.pdf" TargetMode="External"/><Relationship Id="rId122" Type="http://schemas.openxmlformats.org/officeDocument/2006/relationships/hyperlink" Target="https://www.faa.gov/newsroom/airports-5g-buffers" TargetMode="External"/><Relationship Id="rId143" Type="http://schemas.openxmlformats.org/officeDocument/2006/relationships/hyperlink" Target="https://tdcnet.com/media/sktdrz3e/m%C3%A5ling-af-mobilnetv%C3%A6rksoplevelse-2022_uk.pdf" TargetMode="External"/><Relationship Id="rId164" Type="http://schemas.openxmlformats.org/officeDocument/2006/relationships/hyperlink" Target="https://www.gov.br/anatel/pt-br/assuntos/noticias/anatel-inicia-consulta-sobre-instalacao-de-antenas-perto-de-aeroportos" TargetMode="External"/><Relationship Id="rId185" Type="http://schemas.openxmlformats.org/officeDocument/2006/relationships/hyperlink" Target="https://www.icao.int/safety/FSMP/Lists/Meetings/DispForm.aspx?ID=13&amp;ContentTypeId=0x0100775D4F62D6A47C4B8092FD88410F3070" TargetMode="External"/><Relationship Id="rId9" Type="http://schemas.openxmlformats.org/officeDocument/2006/relationships/footnotes" Target="footnotes.xml"/><Relationship Id="rId210" Type="http://schemas.openxmlformats.org/officeDocument/2006/relationships/hyperlink" Target="https://www.icao.int/APAC/Meetings/Pages/2022-RASG-APAC12.aspx" TargetMode="External"/><Relationship Id="rId26" Type="http://schemas.openxmlformats.org/officeDocument/2006/relationships/footer" Target="footer6.xml"/><Relationship Id="rId231" Type="http://schemas.openxmlformats.org/officeDocument/2006/relationships/image" Target="media/image27.png"/><Relationship Id="rId252" Type="http://schemas.openxmlformats.org/officeDocument/2006/relationships/image" Target="media/image38.png"/><Relationship Id="rId273" Type="http://schemas.openxmlformats.org/officeDocument/2006/relationships/hyperlink" Target="https://www.comreg.ie/?dlm_download=draft-information-memorandum-proposed-3-6-ghz-band-spectrum-award" TargetMode="External"/><Relationship Id="rId294" Type="http://schemas.openxmlformats.org/officeDocument/2006/relationships/footer" Target="footer8.xml"/><Relationship Id="rId47" Type="http://schemas.openxmlformats.org/officeDocument/2006/relationships/hyperlink" Target="https://www.icao.int/safety/FSMP/Pages/Documents.aspx?RootFolder=%2Fsafety%2FFSMP%2FDocuments%2FITU%2DWRC23&amp;FolderCTID=0x012000B1461A5DA8C64241AA4DE4F91CB1D9AF&amp;View=%7BE11C4C29%2DDD83%2D4B87%2DAAAE%2D2330E3DE14D8%7D" TargetMode="External"/><Relationship Id="rId68" Type="http://schemas.openxmlformats.org/officeDocument/2006/relationships/hyperlink" Target="https://www.icao.int/safety/FSMP/MeetingDocs/FSMP%20WG7/IP/FSMP-WG07-IP06_RA%20compatibility%20study_rev1.doc" TargetMode="External"/><Relationship Id="rId89" Type="http://schemas.openxmlformats.org/officeDocument/2006/relationships/hyperlink" Target="https://www.bloomberg.com/news/articles/2022-02-02/pilots-report-over-100-cases-of-possible-5g-issues-in-faa-review" TargetMode="External"/><Relationship Id="rId112" Type="http://schemas.openxmlformats.org/officeDocument/2006/relationships/hyperlink" Target="https://www.rtca.org/wp-content/uploads/2022/04/SC239_Plenary_Feb28-Mar2_Meeting-Minutes-Final.pdf" TargetMode="External"/><Relationship Id="rId133" Type="http://schemas.openxmlformats.org/officeDocument/2006/relationships/hyperlink" Target="https://www.ofcom.org.uk/consultations-and-statements/category-2/opportunities-for-spectrum-sharing-innovation" TargetMode="External"/><Relationship Id="rId154" Type="http://schemas.openxmlformats.org/officeDocument/2006/relationships/hyperlink" Target="https://www.ic.gc.ca/eic/site/smt-gst.nsf/eng/sf11793.html" TargetMode="External"/><Relationship Id="rId175" Type="http://schemas.openxmlformats.org/officeDocument/2006/relationships/hyperlink" Target="https://www.cept.org/ecc/groups/ecc/ecc-pt1/client/meeting-documents/?flid=29993" TargetMode="External"/><Relationship Id="rId196" Type="http://schemas.openxmlformats.org/officeDocument/2006/relationships/hyperlink" Target="https://www.icao.int/safety/FSMP/MeetingDocs/FSMP%20WG13/IP/FSMP-WG13-IP03_CG-RA%20Report%20Feb%202022%20V2.0.docx" TargetMode="External"/><Relationship Id="rId200" Type="http://schemas.openxmlformats.org/officeDocument/2006/relationships/hyperlink" Target="https://www.icao.int/safety/FSMP/MeetingDocs/FSMP%20WG13/Report/FSMP-WG13_Draft_Report_v2.docx" TargetMode="External"/><Relationship Id="rId16" Type="http://schemas.openxmlformats.org/officeDocument/2006/relationships/hyperlink" Target="https://creativecommons.org/licenses/by/4.0/" TargetMode="External"/><Relationship Id="rId221" Type="http://schemas.openxmlformats.org/officeDocument/2006/relationships/image" Target="media/image18.png"/><Relationship Id="rId242" Type="http://schemas.openxmlformats.org/officeDocument/2006/relationships/image" Target="media/image31.png"/><Relationship Id="rId263" Type="http://schemas.openxmlformats.org/officeDocument/2006/relationships/image" Target="media/image47.png"/><Relationship Id="rId284" Type="http://schemas.openxmlformats.org/officeDocument/2006/relationships/hyperlink" Target="https://www.ofcom.org.uk/manage-your-licence/emf/faqs/general" TargetMode="External"/><Relationship Id="rId37" Type="http://schemas.openxmlformats.org/officeDocument/2006/relationships/image" Target="media/image4.png"/><Relationship Id="rId58" Type="http://schemas.openxmlformats.org/officeDocument/2006/relationships/hyperlink" Target="https://www.ofcom.org.uk/__data/assets/pdf_file/0022/130747/Enabling-opportunities-for-innovation.pdf" TargetMode="External"/><Relationship Id="rId79" Type="http://schemas.openxmlformats.org/officeDocument/2006/relationships/hyperlink" Target="https://www.remcom.com/" TargetMode="External"/><Relationship Id="rId102" Type="http://schemas.openxmlformats.org/officeDocument/2006/relationships/hyperlink" Target="https://rgl.faa.gov/Regulatory_and_Guidance_Library/rgTSO.nsf/0/3e13da064e29a5f586257a1b005889a8/$FILE/TSO-C87a.pdf" TargetMode="External"/><Relationship Id="rId123" Type="http://schemas.openxmlformats.org/officeDocument/2006/relationships/hyperlink" Target="https://www.faa.gov/sites/faa.gov/files/2022-01/USDOT%20Letter%20to%20ATT%20Verizon_20220103.pdf" TargetMode="External"/><Relationship Id="rId144" Type="http://schemas.openxmlformats.org/officeDocument/2006/relationships/hyperlink" Target="https://www.bazl.admin.ch/bazl/de/home/infrastruktur/flugsicherung-und-luftraum/5g-telefonie.html" TargetMode="External"/><Relationship Id="rId90" Type="http://schemas.openxmlformats.org/officeDocument/2006/relationships/hyperlink" Target="https://www.asias.faa.gov/apex/f?p=100:1::::::" TargetMode="External"/><Relationship Id="rId165" Type="http://schemas.openxmlformats.org/officeDocument/2006/relationships/hyperlink" Target="https://apps.anatel.gov.br/ParticipaAnatel/VisualizarTextoConsulta.aspx?TelaDeOrigem=2&amp;ConsultaId=10016" TargetMode="External"/><Relationship Id="rId186" Type="http://schemas.openxmlformats.org/officeDocument/2006/relationships/hyperlink" Target="https://www.icao.int/safety/FSMP/MeetingDocs/FSMP%20WG10/IP/FSMP-WG10-IP04_RA%20OOBI.docx" TargetMode="External"/><Relationship Id="rId211" Type="http://schemas.openxmlformats.org/officeDocument/2006/relationships/hyperlink" Target="https://www.iata.org/en/" TargetMode="External"/><Relationship Id="rId232" Type="http://schemas.openxmlformats.org/officeDocument/2006/relationships/image" Target="media/image28.png"/><Relationship Id="rId253" Type="http://schemas.openxmlformats.org/officeDocument/2006/relationships/image" Target="media/image39.png"/><Relationship Id="rId274" Type="http://schemas.openxmlformats.org/officeDocument/2006/relationships/hyperlink" Target="https://www.comreg.ie/publication-download/results-3-6-ghz-band-spectrum-award-2" TargetMode="External"/><Relationship Id="rId295" Type="http://schemas.openxmlformats.org/officeDocument/2006/relationships/fontTable" Target="fontTable.xml"/><Relationship Id="rId27" Type="http://schemas.openxmlformats.org/officeDocument/2006/relationships/hyperlink" Target="https://www.acma.gov.au/consultations/2019-09/planning-3700-4200-mhz-band-consultation-272019" TargetMode="External"/><Relationship Id="rId48" Type="http://schemas.openxmlformats.org/officeDocument/2006/relationships/hyperlink" Target="https://www.google.com/url?sa=t&amp;rct=j&amp;q=&amp;esrc=s&amp;source=web&amp;cd=&amp;cad=rja&amp;uact=8&amp;ved=2ahUKEwjP6aLuzJ_4AhX2SmwGHTvVBCMQFnoECBQQAQ&amp;url=https%3A%2F%2Fwww.icao.int%2Fsafety%2Facp%2FACPWGF%2FACP-WG-F-30%2FACP-WGF30-WP14%2520Radio%2520Altimeter%2520Adjacent%2520Bands%2520Compatibility%2520Study%2520with%2520IMT-FINAL%2520Rev1.docx&amp;usg=AOvVaw21PmcG2BNN4AzabaNeZlpY" TargetMode="External"/><Relationship Id="rId69" Type="http://schemas.openxmlformats.org/officeDocument/2006/relationships/hyperlink" Target="https://www.icao.int/safety/FSMP/MeetingDocs/FSMP%20WG11/WP/FSMP-WG11-WP30_5GJapan.docx" TargetMode="External"/><Relationship Id="rId113" Type="http://schemas.openxmlformats.org/officeDocument/2006/relationships/hyperlink" Target="https://www.icao.int/safety/FSMP/Pages/default.aspx" TargetMode="External"/><Relationship Id="rId134" Type="http://schemas.openxmlformats.org/officeDocument/2006/relationships/hyperlink" Target="https://www.ofcom.org.uk/__data/assets/pdf_file/0035/157886/shared-access-licence-guidance.pdf" TargetMode="External"/><Relationship Id="rId80" Type="http://schemas.openxmlformats.org/officeDocument/2006/relationships/hyperlink" Target="https://www.remcom.com/articles-and-papers/assessing-5g-radar-altimeter-interference-for-realistic-instrument-landing-system-approaches" TargetMode="External"/><Relationship Id="rId155" Type="http://schemas.openxmlformats.org/officeDocument/2006/relationships/image" Target="media/image14.png"/><Relationship Id="rId176" Type="http://schemas.openxmlformats.org/officeDocument/2006/relationships/hyperlink" Target="https://www.cept.org/Documents/ecc-pt1/71003/ecc-pt1-22-151_annex-viii-22_tor-cg-on-radio-altimeters" TargetMode="External"/><Relationship Id="rId197" Type="http://schemas.openxmlformats.org/officeDocument/2006/relationships/hyperlink" Target="https://www.icao.int/safety/FSMP/MeetingDocs/FSMP%20WG13/IP/FSMP-WG13-IP04_RadioAltimeter_BriefingNotes_ICAO-Secretariat.doc" TargetMode="External"/><Relationship Id="rId201" Type="http://schemas.openxmlformats.org/officeDocument/2006/relationships/hyperlink" Target="https://www.icao.int/safety/FSMP/Lists/Meetings/DispForm.aspx?ID=18&amp;ContentTypeId=0x0100775D4F62D6A47C4B8092FD88410F3070" TargetMode="External"/><Relationship Id="rId222" Type="http://schemas.openxmlformats.org/officeDocument/2006/relationships/image" Target="media/image19.png"/><Relationship Id="rId243" Type="http://schemas.openxmlformats.org/officeDocument/2006/relationships/image" Target="media/image32.png"/><Relationship Id="rId264" Type="http://schemas.openxmlformats.org/officeDocument/2006/relationships/hyperlink" Target="https://www.traficom.fi/en/communications/communications-networks/frequencies-and-license-holders-public-mobile-networks" TargetMode="External"/><Relationship Id="rId285" Type="http://schemas.openxmlformats.org/officeDocument/2006/relationships/hyperlink" Target="https://checker.ofcom.org.uk/en-gb/mobile-coverage" TargetMode="External"/><Relationship Id="rId17" Type="http://schemas.openxmlformats.org/officeDocument/2006/relationships/hyperlink" Target="mailto:info@acma.gov.au" TargetMode="External"/><Relationship Id="rId38" Type="http://schemas.openxmlformats.org/officeDocument/2006/relationships/hyperlink" Target="https://www.acma.gov.au/publications/2019-07/plan/five-year-spectrum-outlook-2018-22" TargetMode="External"/><Relationship Id="rId59" Type="http://schemas.openxmlformats.org/officeDocument/2006/relationships/hyperlink" Target="https://www.ofcom.org.uk/__data/assets/pdf_file/0022/130747/Enabling-opportunities-for-innovation.pdf" TargetMode="External"/><Relationship Id="rId103" Type="http://schemas.openxmlformats.org/officeDocument/2006/relationships/hyperlink" Target="https://global.ihs.com/doc_detail.cfm?document_name=EUROCAE%20ED%2030&amp;item_s_key=00321523" TargetMode="External"/><Relationship Id="rId124" Type="http://schemas.openxmlformats.org/officeDocument/2006/relationships/hyperlink" Target="https://s.wsj.net/public/resources/documents/ATT_Verizon_Letter.pdf" TargetMode="External"/><Relationship Id="rId70" Type="http://schemas.openxmlformats.org/officeDocument/2006/relationships/hyperlink" Target="https://www.tele.soumu.go.jp/resource/j/equ/mra/pdf/30/e/01.pdf" TargetMode="External"/><Relationship Id="rId91" Type="http://schemas.openxmlformats.org/officeDocument/2006/relationships/hyperlink" Target="https://www.asias.faa.gov/apex/f?p=100:12:::NO" TargetMode="External"/><Relationship Id="rId145" Type="http://schemas.openxmlformats.org/officeDocument/2006/relationships/hyperlink" Target="https://www.bakom.admin.ch/dam/bakom/en/dokumente/bakom/frequenzen_und_antennen/Neue%20Mobilfunkfrequenzen%20f%C3%BCr%20Orange,%20Sunrise%20und%20Swisscom/startschuss-neuvergabe-mobilfunkfrequenzen/ausschreibungsunterlagen.pdf.download.pdf/Ausschreibungsunterlagen%20juillet%202018_e.pdf" TargetMode="External"/><Relationship Id="rId166" Type="http://schemas.openxmlformats.org/officeDocument/2006/relationships/hyperlink" Target="https://eur-lex.europa.eu/legal-content/EN/TXT/?qid=1549615962331&amp;uri=CELEX:32019D0235" TargetMode="External"/><Relationship Id="rId187" Type="http://schemas.openxmlformats.org/officeDocument/2006/relationships/hyperlink" Target="https://www.icao.int/safety/FSMP/MeetingDocs/FSMP%20WG10/IP/FSMP-WG10-IP03_Consultation%20on%20replanning%20the%203700-4200%20MHz%20band.doc" TargetMode="External"/><Relationship Id="rId1" Type="http://schemas.openxmlformats.org/officeDocument/2006/relationships/customXml" Target="../customXml/item1.xml"/><Relationship Id="rId212" Type="http://schemas.openxmlformats.org/officeDocument/2006/relationships/hyperlink" Target="https://www.iata.org/en/programs/ops-infra/air-traffic-management/5g/" TargetMode="External"/><Relationship Id="rId233" Type="http://schemas.openxmlformats.org/officeDocument/2006/relationships/image" Target="media/image29.png"/><Relationship Id="rId254" Type="http://schemas.openxmlformats.org/officeDocument/2006/relationships/image" Target="media/image40.png"/><Relationship Id="rId28" Type="http://schemas.openxmlformats.org/officeDocument/2006/relationships/hyperlink" Target="https://www.acma.gov.au/consultations/2020-07/planning-options-3700-4200-mhz-band-consultation-222020" TargetMode="External"/><Relationship Id="rId49" Type="http://schemas.openxmlformats.org/officeDocument/2006/relationships/hyperlink" Target="https://www.itu.int/dms_ties/itu-r/md/12/cpm15.02/r/R12-CPM15.02-R-0001!!PDF-E.pdf" TargetMode="External"/><Relationship Id="rId114" Type="http://schemas.openxmlformats.org/officeDocument/2006/relationships/hyperlink" Target="https://www.icao.int/safety/FSMP/Lists/Meetings/DispForm.aspx?ID=19&amp;ContentTypeId=0x0100775D4F62D6A47C4B8092FD88410F3070" TargetMode="External"/><Relationship Id="rId275" Type="http://schemas.openxmlformats.org/officeDocument/2006/relationships/hyperlink" Target="https://www.three.ie/coverage-checker/" TargetMode="External"/><Relationship Id="rId296" Type="http://schemas.openxmlformats.org/officeDocument/2006/relationships/theme" Target="theme/theme1.xml"/><Relationship Id="rId60" Type="http://schemas.openxmlformats.org/officeDocument/2006/relationships/hyperlink" Target="https://www.acma.gov.au/sites/default/files/2020-07/Wireless%20broadband%20and%20radio%20altimeter%20compatibility%20study.docx" TargetMode="External"/><Relationship Id="rId81" Type="http://schemas.openxmlformats.org/officeDocument/2006/relationships/hyperlink" Target="https://www.cept.org/Documents/ecc-pt1/65970/ecc-pt1-21-192_france-radioaltimeter" TargetMode="External"/><Relationship Id="rId135" Type="http://schemas.openxmlformats.org/officeDocument/2006/relationships/image" Target="media/image12.png"/><Relationship Id="rId156" Type="http://schemas.openxmlformats.org/officeDocument/2006/relationships/hyperlink" Target="https://www.ic.gc.ca/eic/site/smt-gst.nsf/eng/sf01942.html" TargetMode="External"/><Relationship Id="rId177" Type="http://schemas.openxmlformats.org/officeDocument/2006/relationships/hyperlink" Target="https://cept.org/ecc/groups/ecc/ecc-pt1/client/meeting-documents/?flid=30319" TargetMode="External"/><Relationship Id="rId198" Type="http://schemas.openxmlformats.org/officeDocument/2006/relationships/hyperlink" Target="https://www.icao.int/safety/FSMP/MeetingDocs/FSMP%20WG13/IP/FSMP-WG13-IP02-Radio%20altimeter%20interference%20path%20loss%20measurements%20of%20helicopter.doc" TargetMode="External"/><Relationship Id="rId202" Type="http://schemas.openxmlformats.org/officeDocument/2006/relationships/hyperlink" Target="https://www.icao.int/safety/FSMP/MeetingDocs/FSMP%20WG14/IP/FSMP-WG14-IP01_CG-RA%20Report%20April%202022%20V1.03.docx" TargetMode="External"/><Relationship Id="rId223" Type="http://schemas.openxmlformats.org/officeDocument/2006/relationships/hyperlink" Target="https://www.ic.gc.ca/eic/site/smt-gst.nsf/eng/sf11736.html" TargetMode="External"/><Relationship Id="rId244" Type="http://schemas.openxmlformats.org/officeDocument/2006/relationships/image" Target="media/image33.png"/><Relationship Id="rId18" Type="http://schemas.openxmlformats.org/officeDocument/2006/relationships/header" Target="header3.xml"/><Relationship Id="rId39" Type="http://schemas.openxmlformats.org/officeDocument/2006/relationships/hyperlink" Target="https://www.acma.gov.au/consultations/2019-09/planning-3700-4200-mhz-band-consultation-272019" TargetMode="External"/><Relationship Id="rId265" Type="http://schemas.openxmlformats.org/officeDocument/2006/relationships/hyperlink" Target="https://eservices.traficom.fi/monitori/area?langid=en" TargetMode="External"/><Relationship Id="rId286" Type="http://schemas.openxmlformats.org/officeDocument/2006/relationships/hyperlink" Target="https://www.ofcom.org.uk/__data/assets/pdf_file/0028/217954/notice-reg-121.pdf" TargetMode="External"/><Relationship Id="rId50" Type="http://schemas.openxmlformats.org/officeDocument/2006/relationships/hyperlink" Target="https://www.legislation.gov.au/Details/F2021C00648" TargetMode="External"/><Relationship Id="rId104" Type="http://schemas.openxmlformats.org/officeDocument/2006/relationships/hyperlink" Target="https://www.google.com/url?sa=t&amp;rct=j&amp;q=&amp;esrc=s&amp;source=web&amp;cd=&amp;ved=2ahUKEwibhcmlkbH4AhXW0KACHWbkAYoQFnoECA8QAQ&amp;url=https%3A%2F%2Fwww.casa.gov.au%2Fsearch-centre%2Fairworthiness-bulletins%2Fpotential-interference-radio-altimeter-systems&amp;usg=AOvVaw3KhcPcMATV6ZVKPj_MKZlq" TargetMode="External"/><Relationship Id="rId125" Type="http://schemas.openxmlformats.org/officeDocument/2006/relationships/image" Target="media/image8.png"/><Relationship Id="rId146" Type="http://schemas.openxmlformats.org/officeDocument/2006/relationships/hyperlink" Target="https://www.ic.gc.ca/eic/site/smt-gst.nsf/eng/h_sf09570.html" TargetMode="External"/><Relationship Id="rId167" Type="http://schemas.openxmlformats.org/officeDocument/2006/relationships/hyperlink" Target="https://docdb.cept.org/search/parameters?type=NONE&amp;status=Active&amp;from=3400&amp;to=3800&amp;unit=MHz&amp;term=NONE&amp;etsi=NONE&amp;group=NONE" TargetMode="External"/><Relationship Id="rId188" Type="http://schemas.openxmlformats.org/officeDocument/2006/relationships/hyperlink" Target="https://www.icao.int/safety/FSMP/MeetingDocs/Forms/AllItems.aspx?RootFolder=%2fsafety%2fFSMP%2fMeetingDocs%2fFSMP%20WG11&amp;FolderCTID=0x012000556AC038F4589F4281B27ABB7E901CAE" TargetMode="External"/><Relationship Id="rId71" Type="http://schemas.openxmlformats.org/officeDocument/2006/relationships/hyperlink" Target="https://www.5gamericas.org/wp-content/uploads/2021/07/Mid-Band-Spectrum-and-the-Co-Existence-with-Radio-Altimeters.pdf" TargetMode="External"/><Relationship Id="rId92" Type="http://schemas.openxmlformats.org/officeDocument/2006/relationships/hyperlink" Target="https://www.asias.faa.gov/apex/f?p=100:18:::NO::AP_BRIEF_RPT_VAR:19970601017739I" TargetMode="External"/><Relationship Id="rId213" Type="http://schemas.openxmlformats.org/officeDocument/2006/relationships/hyperlink" Target="https://www.rtca.org/wp-content/uploads/2020/12/SC-239-TOR-Rev-1-Approved-12-17-2020.pdf" TargetMode="External"/><Relationship Id="rId234" Type="http://schemas.openxmlformats.org/officeDocument/2006/relationships/hyperlink" Target="https://www.fcc.gov/ecfs/search/search-filings/results?q=(proceedings.name:(%2218-122%22))" TargetMode="External"/><Relationship Id="rId2" Type="http://schemas.openxmlformats.org/officeDocument/2006/relationships/customXml" Target="../customXml/item2.xml"/><Relationship Id="rId29" Type="http://schemas.openxmlformats.org/officeDocument/2006/relationships/hyperlink" Target="https://www.acma.gov.au/consultations/2020-07/planning-options-3700-4200-mhz-band-consultation-222020" TargetMode="External"/><Relationship Id="rId255" Type="http://schemas.openxmlformats.org/officeDocument/2006/relationships/image" Target="media/image41.png"/><Relationship Id="rId276" Type="http://schemas.openxmlformats.org/officeDocument/2006/relationships/hyperlink" Target="https://coveragemap.comreg.ie/map" TargetMode="External"/><Relationship Id="rId40" Type="http://schemas.openxmlformats.org/officeDocument/2006/relationships/hyperlink" Target="https://www.acma.gov.au/consultations/2020-07/planning-options-3700-4200-mhz-band-consultation-222020" TargetMode="External"/><Relationship Id="rId115" Type="http://schemas.openxmlformats.org/officeDocument/2006/relationships/hyperlink" Target="https://www.federalregister.gov/documents/2020/04/23/2020-05164/expanding-flexible-use-of-the-37-to-42-ghz-band" TargetMode="External"/><Relationship Id="rId136" Type="http://schemas.openxmlformats.org/officeDocument/2006/relationships/image" Target="media/image13.png"/><Relationship Id="rId157" Type="http://schemas.openxmlformats.org/officeDocument/2006/relationships/image" Target="media/image15.png"/><Relationship Id="rId178" Type="http://schemas.openxmlformats.org/officeDocument/2006/relationships/hyperlink" Target="https://cept.org/Documents/ecc/71682/ecc-22-039-annex-18_draft-ls-to-rtca-and-eurocae" TargetMode="External"/><Relationship Id="rId61" Type="http://schemas.openxmlformats.org/officeDocument/2006/relationships/hyperlink" Target="https://www.icao.int/safety/FSMP/MeetingDocs/FSMP%20WG11/WP/FSMP-WG11-WP27_Mobile%20vs%20Radalt%20REv.1.docx" TargetMode="External"/><Relationship Id="rId82" Type="http://schemas.openxmlformats.org/officeDocument/2006/relationships/hyperlink" Target="https://www.cept.org/Documents/ecc-pt1/65941/ecc-pt1-21-184_norway-results-of-the-preliminary-test-of-compatibility-between-mfcn-operating-in-3400-3800-mhz-and-radio-altimeters-operating-in-4200-4400-mhz" TargetMode="External"/><Relationship Id="rId199" Type="http://schemas.openxmlformats.org/officeDocument/2006/relationships/hyperlink" Target="https://www.icao.int/safety/FSMP/MeetingDocs/FSMP%20WG13/WP/FSMP-WG13-WP03_Progress%20of%20the%20work%20on%20radioaltimeter_France.docx" TargetMode="External"/><Relationship Id="rId203" Type="http://schemas.openxmlformats.org/officeDocument/2006/relationships/hyperlink" Target="https://www.icao.int/safety/FSMP/MeetingDocs/FSMP%20WG14/Report/FSMP-WG14_Draft_Report_v0.docx" TargetMode="External"/><Relationship Id="rId19" Type="http://schemas.openxmlformats.org/officeDocument/2006/relationships/header" Target="header4.xml"/><Relationship Id="rId224" Type="http://schemas.openxmlformats.org/officeDocument/2006/relationships/image" Target="media/image20.png"/><Relationship Id="rId245" Type="http://schemas.openxmlformats.org/officeDocument/2006/relationships/image" Target="media/image34.png"/><Relationship Id="rId266" Type="http://schemas.openxmlformats.org/officeDocument/2006/relationships/image" Target="media/image48.png"/><Relationship Id="rId287" Type="http://schemas.openxmlformats.org/officeDocument/2006/relationships/image" Target="media/image54.png"/><Relationship Id="rId30" Type="http://schemas.openxmlformats.org/officeDocument/2006/relationships/hyperlink" Target="https://www.acma.gov.au/spectrum-licence-technical-liaison-groups" TargetMode="External"/><Relationship Id="rId105" Type="http://schemas.openxmlformats.org/officeDocument/2006/relationships/hyperlink" Target="https://my.rtca.org/NC__Product?id=a1B36000001IcnrEAC" TargetMode="External"/><Relationship Id="rId126" Type="http://schemas.openxmlformats.org/officeDocument/2006/relationships/hyperlink" Target="https://www.faa.gov/newsroom/faa-statements-5g" TargetMode="External"/><Relationship Id="rId147" Type="http://schemas.openxmlformats.org/officeDocument/2006/relationships/hyperlink" Target="https://www.ic.gc.ca/eic/site/smt-gst.nsf/eng/sf11692.html" TargetMode="External"/><Relationship Id="rId168" Type="http://schemas.openxmlformats.org/officeDocument/2006/relationships/hyperlink" Target="https://docdb.cept.org/implementation/433" TargetMode="External"/><Relationship Id="rId51" Type="http://schemas.openxmlformats.org/officeDocument/2006/relationships/hyperlink" Target="https://www.legislation.gov.au/Details/C2021C00462" TargetMode="External"/><Relationship Id="rId72" Type="http://schemas.openxmlformats.org/officeDocument/2006/relationships/hyperlink" Target="https://www.soumu.go.jp/main_content/000582446.pdf" TargetMode="External"/><Relationship Id="rId93" Type="http://schemas.openxmlformats.org/officeDocument/2006/relationships/hyperlink" Target="https://www.lockheedmartin.com/content/dam/lockheed-martin/aero/documents/sustainment/csc/service-news/sn-mag-v11-v20/V17N3.pdf" TargetMode="External"/><Relationship Id="rId189" Type="http://schemas.openxmlformats.org/officeDocument/2006/relationships/hyperlink" Target="https://www.icao.int/safety/FSMP/MeetingDocs/FSMP%20WG11/IP/FSMP-WG11-IP08_ICAO%20Flight%20Operations%20Panel%20and%20IATA%20%20IFALPA%205G%20problem%20statement.pdf" TargetMode="External"/><Relationship Id="rId3" Type="http://schemas.openxmlformats.org/officeDocument/2006/relationships/customXml" Target="../customXml/item3.xml"/><Relationship Id="rId214" Type="http://schemas.openxmlformats.org/officeDocument/2006/relationships/hyperlink" Target="https://www.rtca.org/wp-content/uploads/2020/10/SC-239-5G-Interference-Assessment-Report_274-20-PMC-2073_accepted_changes.pdf" TargetMode="External"/><Relationship Id="rId235" Type="http://schemas.openxmlformats.org/officeDocument/2006/relationships/hyperlink" Target="https://s.wsj.net/public/resources/documents/ATT_Verizon_Letter.pdf" TargetMode="External"/><Relationship Id="rId256" Type="http://schemas.openxmlformats.org/officeDocument/2006/relationships/hyperlink" Target="https://www.softbank.jp/mobile/network/area/" TargetMode="External"/><Relationship Id="rId277" Type="http://schemas.openxmlformats.org/officeDocument/2006/relationships/image" Target="media/image51.png"/><Relationship Id="rId116" Type="http://schemas.openxmlformats.org/officeDocument/2006/relationships/hyperlink" Target="https://www.fcc.gov/document/fcc-announces-winning-bidders-37-ghz-service-auction" TargetMode="External"/><Relationship Id="rId137" Type="http://schemas.openxmlformats.org/officeDocument/2006/relationships/hyperlink" Target="https://publicapps.caa.co.uk/docs/33/SafetyNotice2021017V2.pdf" TargetMode="External"/><Relationship Id="rId158" Type="http://schemas.openxmlformats.org/officeDocument/2006/relationships/image" Target="media/image16.png"/><Relationship Id="rId20" Type="http://schemas.openxmlformats.org/officeDocument/2006/relationships/footer" Target="footer2.xml"/><Relationship Id="rId41" Type="http://schemas.openxmlformats.org/officeDocument/2006/relationships/hyperlink" Target="https://www.acma.gov.au/consultations/2020-07/planning-options-3700-4200-mhz-band-consultation-222020" TargetMode="External"/><Relationship Id="rId62" Type="http://schemas.openxmlformats.org/officeDocument/2006/relationships/hyperlink" Target="https://www.rtca.org/wp-content/uploads/2020/10/SC-239-5G-Interference-Assessment-Report_274-20-PMC-2073_accepted_changes.pdf" TargetMode="External"/><Relationship Id="rId83" Type="http://schemas.openxmlformats.org/officeDocument/2006/relationships/hyperlink" Target="https://its.ntia.gov/publications/details.aspx?pub=3279" TargetMode="External"/><Relationship Id="rId179" Type="http://schemas.openxmlformats.org/officeDocument/2006/relationships/hyperlink" Target="https://cept.org/Documents/ecc/71683/ecc-22-039-annex-19_draft-ls-to-easa" TargetMode="External"/><Relationship Id="rId190" Type="http://schemas.openxmlformats.org/officeDocument/2006/relationships/hyperlink" Target="https://www.icao.int/safety/FSMP/MeetingDocs/FSMP%20WG11/Report/FSMP-WG11_Report_final.docx" TargetMode="External"/><Relationship Id="rId204" Type="http://schemas.openxmlformats.org/officeDocument/2006/relationships/hyperlink" Target="https://www.icao.int/safety/FSMP/Lists/Meetings/DispForm.aspx?ID=19&amp;ContentTypeId=0x0100775D4F62D6A47C4B8092FD88410F3070" TargetMode="External"/><Relationship Id="rId225" Type="http://schemas.openxmlformats.org/officeDocument/2006/relationships/image" Target="media/image21.png"/><Relationship Id="rId246" Type="http://schemas.openxmlformats.org/officeDocument/2006/relationships/image" Target="media/image35.png"/><Relationship Id="rId267" Type="http://schemas.openxmlformats.org/officeDocument/2006/relationships/hyperlink" Target="http://map.funksender.admin.ch/" TargetMode="External"/><Relationship Id="rId288" Type="http://schemas.openxmlformats.org/officeDocument/2006/relationships/image" Target="media/image55.png"/><Relationship Id="rId106" Type="http://schemas.openxmlformats.org/officeDocument/2006/relationships/hyperlink" Target="https://www.rtca.org/wp-content/uploads/2020/10/SC-239-5G-Interference-Assessment-Report_274-20-PMC-2073_accepted_changes.pdf" TargetMode="External"/><Relationship Id="rId127" Type="http://schemas.openxmlformats.org/officeDocument/2006/relationships/hyperlink" Target="https://simpleflying.com/iata-expresses-strong-disappointment-with-faa-5g-plans/" TargetMode="External"/><Relationship Id="rId10" Type="http://schemas.openxmlformats.org/officeDocument/2006/relationships/endnotes" Target="endnotes.xml"/><Relationship Id="rId31" Type="http://schemas.openxmlformats.org/officeDocument/2006/relationships/hyperlink" Target="https://www.acma.gov.au/consultations/2022-02/allocation-awls-34-40-ghz-band-remote-australia-ifc-112022" TargetMode="External"/><Relationship Id="rId52" Type="http://schemas.openxmlformats.org/officeDocument/2006/relationships/hyperlink" Target="https://www.itu.int/rec/R-REC-M.2059/en" TargetMode="External"/><Relationship Id="rId73" Type="http://schemas.openxmlformats.org/officeDocument/2006/relationships/hyperlink" Target="https://www.acma.gov.au/spectrum-licence-technical-liaison-groups" TargetMode="External"/><Relationship Id="rId94" Type="http://schemas.openxmlformats.org/officeDocument/2006/relationships/hyperlink" Target="https://www.airliners.net/forum/viewtopic.php?f=3&amp;t=1476553" TargetMode="External"/><Relationship Id="rId148" Type="http://schemas.openxmlformats.org/officeDocument/2006/relationships/hyperlink" Target="https://www.ic.gc.ca/eic/site/smt-gst.nsf/eng/sf11736.html" TargetMode="External"/><Relationship Id="rId169" Type="http://schemas.openxmlformats.org/officeDocument/2006/relationships/hyperlink" Target="https://www.cept.org/Documents/ecc-pt1/62915/ecc-pt1-21-086r2_minutes-of-67th-ecc-pt1-meeting" TargetMode="External"/><Relationship Id="rId4" Type="http://schemas.openxmlformats.org/officeDocument/2006/relationships/customXml" Target="../customXml/item4.xml"/><Relationship Id="rId180" Type="http://schemas.openxmlformats.org/officeDocument/2006/relationships/hyperlink" Target="https://cept.org/ecc/meeting-documents/?flid=29511" TargetMode="External"/><Relationship Id="rId215" Type="http://schemas.openxmlformats.org/officeDocument/2006/relationships/hyperlink" Target="https://www.rtca.org/wp-content/uploads/2021/09/7-F-SC-239_White_Paper_Errata.pdf" TargetMode="External"/><Relationship Id="rId236" Type="http://schemas.openxmlformats.org/officeDocument/2006/relationships/hyperlink" Target="https://www.legislation.gov.au/Details/F2017C01051" TargetMode="External"/><Relationship Id="rId257" Type="http://schemas.openxmlformats.org/officeDocument/2006/relationships/image" Target="media/image42.png"/><Relationship Id="rId278" Type="http://schemas.openxmlformats.org/officeDocument/2006/relationships/image" Target="media/image52.png"/><Relationship Id="rId42" Type="http://schemas.openxmlformats.org/officeDocument/2006/relationships/hyperlink" Target="https://www.acma.gov.au/consultations/2019-08/optimising-3400-3575-mhz-band-consultation-122019" TargetMode="External"/><Relationship Id="rId84" Type="http://schemas.openxmlformats.org/officeDocument/2006/relationships/hyperlink" Target="https://www.rtca.org/wp-content/uploads/2021/08/2-A-PMC-Summary-Final-06-17-2021.pdf" TargetMode="External"/><Relationship Id="rId138" Type="http://schemas.openxmlformats.org/officeDocument/2006/relationships/hyperlink" Target="https://www.icao.int/safety/FSMP/MeetingDocs/FSMP%20WG11/IP/FSMP-WG11-IP03_5G%20vs%20RA%20Actions%20taken%20in%20France%20to%20mitigate%20interference_r1.doc" TargetMode="External"/><Relationship Id="rId191" Type="http://schemas.openxmlformats.org/officeDocument/2006/relationships/hyperlink" Target="https://www.icao.int/MID/Documents/2021/FM%20WG2/74-1e.pdf" TargetMode="External"/><Relationship Id="rId205" Type="http://schemas.openxmlformats.org/officeDocument/2006/relationships/hyperlink" Target="https://www.icao.int/safety/FSMP/MeetingDocs/FSMP%20WG15/IP/FSMP-WG15-IP03_RA%20interference%20susceptibility%20test%20results%20under%20Japanese%20Sub-6%205G%20conditions_rev6.doc" TargetMode="External"/><Relationship Id="rId247" Type="http://schemas.openxmlformats.org/officeDocument/2006/relationships/image" Target="media/image36.png"/><Relationship Id="rId107" Type="http://schemas.openxmlformats.org/officeDocument/2006/relationships/hyperlink" Target="https://www.icao.int/safety/FSMP/MeetingDocs/FSMP%20WG12/IP/FSMP-WG12-IP07_Interference%20Susceptibility%20Evaluations%20of%20Pulsed%20Radio%20Altimeters%20Due%20to%205G%20Mobile%20Base%20Station%20Signal_rev1.pptx" TargetMode="External"/><Relationship Id="rId289" Type="http://schemas.openxmlformats.org/officeDocument/2006/relationships/image" Target="media/image56.png"/><Relationship Id="rId11" Type="http://schemas.openxmlformats.org/officeDocument/2006/relationships/header" Target="header1.xml"/><Relationship Id="rId53" Type="http://schemas.openxmlformats.org/officeDocument/2006/relationships/hyperlink" Target="https://www.acma.gov.au/consultations/2020-07/planning-options-3700-4200-mhz-band-consultation-222020" TargetMode="External"/><Relationship Id="rId149" Type="http://schemas.openxmlformats.org/officeDocument/2006/relationships/hyperlink" Target="https://www.ic.gc.ca/eic/site/smt-gst.nsf/eng/sf11725.html" TargetMode="External"/><Relationship Id="rId95" Type="http://schemas.openxmlformats.org/officeDocument/2006/relationships/hyperlink" Target="https://www.faa.gov/newsroom/faa-statements-5g" TargetMode="External"/><Relationship Id="rId160" Type="http://schemas.openxmlformats.org/officeDocument/2006/relationships/hyperlink" Target="https://www.bipt.be/consumers/faq/for-which-radio-devices-must-i-apply-for-a-station-authorisation" TargetMode="External"/><Relationship Id="rId216" Type="http://schemas.openxmlformats.org/officeDocument/2006/relationships/hyperlink" Target="https://avsi.aero/projects/current-projects/waic/" TargetMode="External"/><Relationship Id="rId258" Type="http://schemas.openxmlformats.org/officeDocument/2006/relationships/image" Target="media/image43.png"/><Relationship Id="rId22" Type="http://schemas.openxmlformats.org/officeDocument/2006/relationships/header" Target="header5.xml"/><Relationship Id="rId64" Type="http://schemas.openxmlformats.org/officeDocument/2006/relationships/hyperlink" Target="https://avsi.aero/" TargetMode="External"/><Relationship Id="rId118" Type="http://schemas.openxmlformats.org/officeDocument/2006/relationships/hyperlink" Target="https://rgl.faa.gov/Regulatory_and_Guidance_Library/rgSAIB.nsf/(LookupSAIBs)/AIR-21-18?OpenDocument" TargetMode="External"/><Relationship Id="rId171" Type="http://schemas.openxmlformats.org/officeDocument/2006/relationships/hyperlink" Target="https://www.cept.org/ecc/groups/ecc/ecc-pt1/client/forum/topic/619" TargetMode="External"/><Relationship Id="rId227" Type="http://schemas.openxmlformats.org/officeDocument/2006/relationships/image" Target="media/image23.png"/><Relationship Id="rId269" Type="http://schemas.openxmlformats.org/officeDocument/2006/relationships/hyperlink" Target="https://www.bakom.admin.ch/bakom/de/home/frequenzen-antennen/standorte-von-sendeanlagen/erlaeuterungen-zur-uebersichtskarte.html"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mcmc.gov.my/skmmgovmy/media/General/pdf/3-Takehiro-Nakamura.pdf" TargetMode="External"/><Relationship Id="rId2" Type="http://schemas.openxmlformats.org/officeDocument/2006/relationships/hyperlink" Target="http://anisimoff.org/eng/5g/spectrum/5g_japan.html" TargetMode="External"/><Relationship Id="rId1" Type="http://schemas.openxmlformats.org/officeDocument/2006/relationships/hyperlink" Target="https://www.icao.int/safety/FSMP/MeetingDocs/FSMP%20WG14/IP/FSMP-WG14-IP01_CG-RA%20Report%20April%202022%20V1.03.doc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Nguyen\AppData\Roaming\Microsoft\Templates\ACMA%20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FF4B4F5C8F2D440B4CCA205CBF80413" ma:contentTypeVersion="6" ma:contentTypeDescription="Create a new document." ma:contentTypeScope="" ma:versionID="94bfe758aee5e3534a681f15d4a0b2fe">
  <xsd:schema xmlns:xsd="http://www.w3.org/2001/XMLSchema" xmlns:xs="http://www.w3.org/2001/XMLSchema" xmlns:p="http://schemas.microsoft.com/office/2006/metadata/properties" xmlns:ns2="1da80267-c79d-47ac-abf4-eeb21d3c7e6c" xmlns:ns3="a564977f-29d5-43a4-86f6-023a887fa49e" targetNamespace="http://schemas.microsoft.com/office/2006/metadata/properties" ma:root="true" ma:fieldsID="706aa270502e216c08461dc2ab153f65" ns2:_="" ns3:_="">
    <xsd:import namespace="1da80267-c79d-47ac-abf4-eeb21d3c7e6c"/>
    <xsd:import namespace="a564977f-29d5-43a4-86f6-023a887fa4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a80267-c79d-47ac-abf4-eeb21d3c7e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64977f-29d5-43a4-86f6-023a887fa4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a564977f-29d5-43a4-86f6-023a887fa49e">
      <UserInfo>
        <DisplayName>David Goggin</DisplayName>
        <AccountId>28</AccountId>
        <AccountType/>
      </UserInfo>
      <UserInfo>
        <DisplayName>Nevio Marinelli</DisplayName>
        <AccountId>61</AccountId>
        <AccountType/>
      </UserInfo>
      <UserInfo>
        <DisplayName>Prasanna Sooriyaaratchi</DisplayName>
        <AccountId>56</AccountId>
        <AccountType/>
      </UserInfo>
      <UserInfo>
        <DisplayName>Christopher Hose</DisplayName>
        <AccountId>95</AccountId>
        <AccountType/>
      </UserInfo>
    </SharedWithUsers>
  </documentManagement>
</p:properties>
</file>

<file path=customXml/itemProps1.xml><?xml version="1.0" encoding="utf-8"?>
<ds:datastoreItem xmlns:ds="http://schemas.openxmlformats.org/officeDocument/2006/customXml" ds:itemID="{B5C86DBA-C773-4DAC-958D-07E48CB3DC9A}">
  <ds:schemaRefs>
    <ds:schemaRef ds:uri="http://schemas.openxmlformats.org/officeDocument/2006/bibliography"/>
  </ds:schemaRefs>
</ds:datastoreItem>
</file>

<file path=customXml/itemProps2.xml><?xml version="1.0" encoding="utf-8"?>
<ds:datastoreItem xmlns:ds="http://schemas.openxmlformats.org/officeDocument/2006/customXml" ds:itemID="{1ED379D2-9D98-41A4-9007-F51BD0C736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a80267-c79d-47ac-abf4-eeb21d3c7e6c"/>
    <ds:schemaRef ds:uri="a564977f-29d5-43a4-86f6-023a887fa4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F4D0E5-C16C-450E-BD7B-38493306CA18}">
  <ds:schemaRefs>
    <ds:schemaRef ds:uri="http://schemas.microsoft.com/sharepoint/v3/contenttype/forms"/>
  </ds:schemaRefs>
</ds:datastoreItem>
</file>

<file path=customXml/itemProps4.xml><?xml version="1.0" encoding="utf-8"?>
<ds:datastoreItem xmlns:ds="http://schemas.openxmlformats.org/officeDocument/2006/customXml" ds:itemID="{C6BE18F2-C6F5-422E-BA37-174B242730D3}">
  <ds:schemaRefs>
    <ds:schemaRef ds:uri="http://purl.org/dc/dcmitype/"/>
    <ds:schemaRef ds:uri="http://purl.org/dc/terms/"/>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http://www.w3.org/XML/1998/namespace"/>
    <ds:schemaRef ds:uri="http://schemas.microsoft.com/office/infopath/2007/PartnerControls"/>
    <ds:schemaRef ds:uri="a564977f-29d5-43a4-86f6-023a887fa49e"/>
    <ds:schemaRef ds:uri="1da80267-c79d-47ac-abf4-eeb21d3c7e6c"/>
  </ds:schemaRefs>
</ds:datastoreItem>
</file>

<file path=docProps/app.xml><?xml version="1.0" encoding="utf-8"?>
<Properties xmlns="http://schemas.openxmlformats.org/officeDocument/2006/extended-properties" xmlns:vt="http://schemas.openxmlformats.org/officeDocument/2006/docPropsVTypes">
  <Template>ACMA Report.dotx</Template>
  <TotalTime>0</TotalTime>
  <Pages>26</Pages>
  <Words>38835</Words>
  <Characters>203110</Characters>
  <Application>Microsoft Office Word</Application>
  <DocSecurity>0</DocSecurity>
  <Lines>5973</Lines>
  <Paragraphs>3407</Paragraphs>
  <ScaleCrop>false</ScaleCrop>
  <Manager/>
  <Company/>
  <LinksUpToDate>false</LinksUpToDate>
  <CharactersWithSpaces>238538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Lee Smith</dc:creator>
  <cp:keywords/>
  <dc:description/>
  <cp:lastModifiedBy>Douglas Iles</cp:lastModifiedBy>
  <cp:revision>8</cp:revision>
  <cp:lastPrinted>2022-10-07T20:33:00Z</cp:lastPrinted>
  <dcterms:created xsi:type="dcterms:W3CDTF">2022-10-07T20:32:00Z</dcterms:created>
  <dcterms:modified xsi:type="dcterms:W3CDTF">2023-02-09T02:27:00Z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0x0101001FF4B4F5C8F2D440B4CCA205CBF80413</vt:lpwstr>
  </property>
  <property fmtid="{D5CDD505-2E9C-101B-9397-08002B2CF9AE}" pid="3" name="_dlc_DocIdItemGuid">
    <vt:lpwstr>93cc58f9-645a-4438-a673-a06fefbda783</vt:lpwstr>
  </property>
  <property fmtid="{D5CDD505-2E9C-101B-9397-08002B2CF9AE}" pid="4" name="TitusGUID">
    <vt:lpwstr>518eb70d-8339-4b06-94d6-36809ae4046a</vt:lpwstr>
  </property>
</Properties>
</file>