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DDC0E" w14:textId="42E5E3F3" w:rsidR="004A13A7" w:rsidRPr="00A51D1A" w:rsidRDefault="00E1337B" w:rsidP="004A13A7">
      <w:pPr>
        <w:pStyle w:val="ACMAReportTitle"/>
      </w:pPr>
      <w:bookmarkStart w:id="0" w:name="_Toc6298709"/>
      <w:r>
        <w:t xml:space="preserve">Frequency coordination and licensing procedures for </w:t>
      </w:r>
      <w:r w:rsidR="002D29BC">
        <w:t>Area</w:t>
      </w:r>
      <w:r w:rsidR="00CB79F0">
        <w:t>-</w:t>
      </w:r>
      <w:r w:rsidR="002D29BC">
        <w:t>Wide Licence</w:t>
      </w:r>
      <w:r w:rsidR="00EA045A">
        <w:t>s</w:t>
      </w:r>
      <w:r w:rsidR="002D29BC">
        <w:t xml:space="preserve"> (AWL)</w:t>
      </w:r>
      <w:r>
        <w:t xml:space="preserve"> in the 3400–</w:t>
      </w:r>
      <w:r w:rsidR="00D94CAF">
        <w:t>4000 </w:t>
      </w:r>
      <w:r>
        <w:t>MHz band</w:t>
      </w:r>
    </w:p>
    <w:p w14:paraId="3CCFE1E1" w14:textId="50664D4E" w:rsidR="004A13A7" w:rsidRDefault="004A13A7" w:rsidP="004A13A7">
      <w:pPr>
        <w:pStyle w:val="ACMAReportSubTitle"/>
      </w:pPr>
    </w:p>
    <w:p w14:paraId="0E1958B2" w14:textId="77777777" w:rsidR="004A13A7" w:rsidRPr="0069580E" w:rsidRDefault="004A13A7" w:rsidP="0069580E">
      <w:pPr>
        <w:spacing w:after="120"/>
        <w:rPr>
          <w:b/>
          <w:bCs/>
          <w:sz w:val="20"/>
          <w:szCs w:val="22"/>
        </w:rPr>
      </w:pPr>
      <w:r w:rsidRPr="0069580E">
        <w:rPr>
          <w:b/>
          <w:bCs/>
          <w:sz w:val="20"/>
          <w:szCs w:val="22"/>
        </w:rPr>
        <w:t>Radiocommunications Assignment and Licensing Instruction</w:t>
      </w:r>
    </w:p>
    <w:p w14:paraId="7D6C63FA" w14:textId="0BF5EDF7" w:rsidR="004A13A7" w:rsidRPr="00A629B5" w:rsidRDefault="00D94CAF" w:rsidP="004A13A7">
      <w:pPr>
        <w:pStyle w:val="ACMAReportDate"/>
        <w:rPr>
          <w:b/>
          <w:caps w:val="0"/>
        </w:rPr>
      </w:pPr>
      <w:r>
        <w:rPr>
          <w:b/>
          <w:caps w:val="0"/>
        </w:rPr>
        <w:t>RALI</w:t>
      </w:r>
      <w:r w:rsidR="00CB79F0">
        <w:rPr>
          <w:b/>
          <w:caps w:val="0"/>
        </w:rPr>
        <w:t xml:space="preserve"> </w:t>
      </w:r>
      <w:r w:rsidR="00DA3E07">
        <w:rPr>
          <w:b/>
          <w:caps w:val="0"/>
        </w:rPr>
        <w:t>MS 47</w:t>
      </w:r>
    </w:p>
    <w:p w14:paraId="42445A51" w14:textId="303D560F" w:rsidR="004A13A7" w:rsidRPr="00C87159" w:rsidRDefault="004A13A7" w:rsidP="008F7E36">
      <w:pPr>
        <w:pStyle w:val="ACMAReportDate"/>
        <w:widowControl w:val="0"/>
        <w:rPr>
          <w:b/>
        </w:rPr>
      </w:pPr>
      <w:r w:rsidRPr="00C87159">
        <w:rPr>
          <w:b/>
        </w:rPr>
        <w:t>date of effect</w:t>
      </w:r>
      <w:proofErr w:type="gramStart"/>
      <w:r w:rsidRPr="00C87159">
        <w:rPr>
          <w:b/>
        </w:rPr>
        <w:t xml:space="preserve">: </w:t>
      </w:r>
      <w:r w:rsidR="005B53BD">
        <w:rPr>
          <w:b/>
        </w:rPr>
        <w:t xml:space="preserve"> </w:t>
      </w:r>
      <w:r w:rsidR="00CB06EF">
        <w:rPr>
          <w:b/>
        </w:rPr>
        <w:t>[</w:t>
      </w:r>
      <w:proofErr w:type="gramEnd"/>
      <w:r w:rsidR="00FF2BE6">
        <w:rPr>
          <w:b/>
        </w:rPr>
        <w:t>xx/xx/xxxx</w:t>
      </w:r>
      <w:r w:rsidR="00CB06EF">
        <w:rPr>
          <w:b/>
        </w:rPr>
        <w:t>]</w:t>
      </w:r>
    </w:p>
    <w:p w14:paraId="5349AFDD" w14:textId="77777777" w:rsidR="0040306E" w:rsidRDefault="008D6BD1" w:rsidP="0040306E">
      <w:pPr>
        <w:spacing w:after="0" w:line="240" w:lineRule="auto"/>
      </w:pPr>
      <w:r>
        <w:br w:type="page"/>
      </w:r>
    </w:p>
    <w:p w14:paraId="4CEC9457" w14:textId="77777777" w:rsidR="00822B3D" w:rsidRDefault="00822B3D" w:rsidP="00BA5A9D">
      <w:pPr>
        <w:pStyle w:val="Heading1"/>
        <w:rPr>
          <w:szCs w:val="44"/>
        </w:rPr>
        <w:sectPr w:rsidR="00822B3D" w:rsidSect="0008711C">
          <w:footerReference w:type="default" r:id="rId12"/>
          <w:headerReference w:type="first" r:id="rId13"/>
          <w:type w:val="oddPage"/>
          <w:pgSz w:w="11906" w:h="16838"/>
          <w:pgMar w:top="3249" w:right="1134" w:bottom="1440" w:left="1134" w:header="709" w:footer="709" w:gutter="284"/>
          <w:pgNumType w:fmt="lowerRoman" w:start="1"/>
          <w:cols w:space="708"/>
          <w:titlePg/>
          <w:docGrid w:linePitch="360"/>
        </w:sectPr>
      </w:pPr>
    </w:p>
    <w:p w14:paraId="2B03AC64" w14:textId="77777777" w:rsidR="004A13A7" w:rsidRPr="00420CAF" w:rsidRDefault="004A13A7" w:rsidP="00420CAF">
      <w:pPr>
        <w:rPr>
          <w:sz w:val="32"/>
        </w:rPr>
      </w:pPr>
      <w:r w:rsidRPr="00420CAF">
        <w:rPr>
          <w:sz w:val="32"/>
          <w:szCs w:val="32"/>
        </w:rPr>
        <w:lastRenderedPageBreak/>
        <w:t>Amendment history</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5"/>
        <w:gridCol w:w="7091"/>
      </w:tblGrid>
      <w:tr w:rsidR="004A13A7" w:rsidRPr="002E390A" w14:paraId="3CB33E36" w14:textId="77777777" w:rsidTr="00C05318">
        <w:trPr>
          <w:tblHeader/>
        </w:trPr>
        <w:tc>
          <w:tcPr>
            <w:tcW w:w="2265" w:type="dxa"/>
            <w:shd w:val="clear" w:color="auto" w:fill="D9D9D9" w:themeFill="background1" w:themeFillShade="D9"/>
          </w:tcPr>
          <w:p w14:paraId="46F9498D" w14:textId="77777777" w:rsidR="004A13A7" w:rsidRPr="00AF06C8" w:rsidRDefault="004A13A7" w:rsidP="00E87F66">
            <w:pPr>
              <w:pStyle w:val="TableHeading"/>
              <w:spacing w:line="240" w:lineRule="auto"/>
              <w:rPr>
                <w:rFonts w:eastAsiaTheme="minorHAnsi"/>
                <w:szCs w:val="22"/>
              </w:rPr>
            </w:pPr>
            <w:r w:rsidRPr="00AF06C8">
              <w:rPr>
                <w:rFonts w:eastAsiaTheme="minorHAnsi"/>
                <w:szCs w:val="22"/>
              </w:rPr>
              <w:t>Date</w:t>
            </w:r>
          </w:p>
        </w:tc>
        <w:tc>
          <w:tcPr>
            <w:tcW w:w="7091" w:type="dxa"/>
            <w:shd w:val="clear" w:color="auto" w:fill="D9D9D9" w:themeFill="background1" w:themeFillShade="D9"/>
          </w:tcPr>
          <w:p w14:paraId="64877C2A" w14:textId="77777777" w:rsidR="004A13A7" w:rsidRPr="00AF06C8" w:rsidRDefault="004A13A7" w:rsidP="00E87F66">
            <w:pPr>
              <w:pStyle w:val="TableHeading"/>
              <w:spacing w:line="240" w:lineRule="auto"/>
              <w:rPr>
                <w:rFonts w:eastAsiaTheme="minorHAnsi"/>
                <w:szCs w:val="22"/>
              </w:rPr>
            </w:pPr>
            <w:r w:rsidRPr="00AF06C8">
              <w:rPr>
                <w:rFonts w:eastAsiaTheme="minorHAnsi"/>
                <w:szCs w:val="22"/>
              </w:rPr>
              <w:t>Comments</w:t>
            </w:r>
          </w:p>
        </w:tc>
      </w:tr>
      <w:tr w:rsidR="004A13A7" w:rsidRPr="002E390A" w14:paraId="68CE8C92" w14:textId="77777777" w:rsidTr="00C05318">
        <w:tc>
          <w:tcPr>
            <w:tcW w:w="2265" w:type="dxa"/>
          </w:tcPr>
          <w:p w14:paraId="4366671F" w14:textId="69A86744" w:rsidR="004A13A7" w:rsidRPr="00106E80" w:rsidRDefault="496991AC" w:rsidP="2FF7DB22">
            <w:pPr>
              <w:pStyle w:val="TableBody"/>
              <w:rPr>
                <w:rFonts w:eastAsiaTheme="minorEastAsia"/>
              </w:rPr>
            </w:pPr>
            <w:r w:rsidRPr="2FF7DB22">
              <w:rPr>
                <w:rFonts w:eastAsiaTheme="minorEastAsia"/>
              </w:rPr>
              <w:t>February 2022</w:t>
            </w:r>
          </w:p>
        </w:tc>
        <w:tc>
          <w:tcPr>
            <w:tcW w:w="7091" w:type="dxa"/>
          </w:tcPr>
          <w:p w14:paraId="4A8EF15E" w14:textId="02231172" w:rsidR="004A13A7" w:rsidRPr="00AF06C8" w:rsidRDefault="3501256C" w:rsidP="2FF7DB22">
            <w:pPr>
              <w:pStyle w:val="TableBody"/>
              <w:rPr>
                <w:rFonts w:eastAsiaTheme="minorEastAsia"/>
              </w:rPr>
            </w:pPr>
            <w:r w:rsidRPr="2FF7DB22">
              <w:rPr>
                <w:rFonts w:eastAsiaTheme="minorEastAsia"/>
              </w:rPr>
              <w:t>D</w:t>
            </w:r>
            <w:r w:rsidR="00763A6F" w:rsidRPr="2FF7DB22">
              <w:rPr>
                <w:rFonts w:eastAsiaTheme="minorEastAsia"/>
              </w:rPr>
              <w:t>raft</w:t>
            </w:r>
            <w:r w:rsidR="7E85AB3F" w:rsidRPr="2FF7DB22">
              <w:rPr>
                <w:rFonts w:eastAsiaTheme="minorEastAsia"/>
              </w:rPr>
              <w:t xml:space="preserve"> for public consultation</w:t>
            </w:r>
          </w:p>
        </w:tc>
      </w:tr>
      <w:tr w:rsidR="006E3F38" w:rsidRPr="002E390A" w14:paraId="5E5E5134" w14:textId="77777777" w:rsidTr="00C05318">
        <w:tc>
          <w:tcPr>
            <w:tcW w:w="2265" w:type="dxa"/>
          </w:tcPr>
          <w:p w14:paraId="1A5A71A8" w14:textId="20272858" w:rsidR="006E3F38" w:rsidRPr="2FF7DB22" w:rsidRDefault="00ED1525" w:rsidP="2FF7DB22">
            <w:pPr>
              <w:pStyle w:val="TableBody"/>
              <w:rPr>
                <w:rFonts w:eastAsiaTheme="minorEastAsia"/>
              </w:rPr>
            </w:pPr>
            <w:r>
              <w:rPr>
                <w:rFonts w:eastAsiaTheme="minorEastAsia"/>
              </w:rPr>
              <w:t>September</w:t>
            </w:r>
            <w:r w:rsidR="006E3F38">
              <w:rPr>
                <w:rFonts w:eastAsiaTheme="minorEastAsia"/>
              </w:rPr>
              <w:t xml:space="preserve"> 2022</w:t>
            </w:r>
          </w:p>
        </w:tc>
        <w:tc>
          <w:tcPr>
            <w:tcW w:w="7091" w:type="dxa"/>
          </w:tcPr>
          <w:p w14:paraId="1AC6F980" w14:textId="4F05AF43" w:rsidR="006E3F38" w:rsidRPr="2FF7DB22" w:rsidRDefault="006E3F38" w:rsidP="2FF7DB22">
            <w:pPr>
              <w:pStyle w:val="TableBody"/>
              <w:rPr>
                <w:rFonts w:eastAsiaTheme="minorEastAsia"/>
              </w:rPr>
            </w:pPr>
            <w:r>
              <w:rPr>
                <w:rFonts w:eastAsiaTheme="minorEastAsia"/>
              </w:rPr>
              <w:t xml:space="preserve">Revision after public </w:t>
            </w:r>
            <w:proofErr w:type="spellStart"/>
            <w:r>
              <w:rPr>
                <w:rFonts w:eastAsiaTheme="minorEastAsia"/>
              </w:rPr>
              <w:t>consulation</w:t>
            </w:r>
            <w:proofErr w:type="spellEnd"/>
            <w:r w:rsidR="00C57986">
              <w:rPr>
                <w:rFonts w:eastAsiaTheme="minorEastAsia"/>
              </w:rPr>
              <w:t xml:space="preserve">. </w:t>
            </w:r>
            <w:r w:rsidR="00ED1525">
              <w:rPr>
                <w:rFonts w:eastAsiaTheme="minorEastAsia"/>
              </w:rPr>
              <w:t>Version for accompanying 3.4-4.0 GHz spectrum licence technical l</w:t>
            </w:r>
            <w:r w:rsidR="009D33A5">
              <w:rPr>
                <w:rFonts w:eastAsiaTheme="minorEastAsia"/>
              </w:rPr>
              <w:t>i</w:t>
            </w:r>
            <w:r w:rsidR="00ED1525">
              <w:rPr>
                <w:rFonts w:eastAsiaTheme="minorEastAsia"/>
              </w:rPr>
              <w:t>aison group paper.</w:t>
            </w:r>
          </w:p>
        </w:tc>
      </w:tr>
    </w:tbl>
    <w:p w14:paraId="2BB4C0E8" w14:textId="77777777" w:rsidR="004A13A7" w:rsidRDefault="004A13A7" w:rsidP="004A13A7">
      <w:pPr>
        <w:pStyle w:val="ACMASpaceaftertable"/>
      </w:pPr>
    </w:p>
    <w:p w14:paraId="50596144" w14:textId="19A16431" w:rsidR="004A13A7" w:rsidRPr="00AF06C8" w:rsidRDefault="004A13A7" w:rsidP="004A13A7">
      <w:pPr>
        <w:rPr>
          <w:szCs w:val="22"/>
        </w:rPr>
      </w:pPr>
      <w:r w:rsidRPr="00AF06C8">
        <w:rPr>
          <w:szCs w:val="22"/>
        </w:rPr>
        <w:t xml:space="preserve">Suggestions for improvements to Radiocommunications Assignment and Licensing Instruction </w:t>
      </w:r>
      <w:r w:rsidR="004D1FE8">
        <w:rPr>
          <w:szCs w:val="22"/>
        </w:rPr>
        <w:t>should</w:t>
      </w:r>
      <w:r w:rsidR="004D1FE8" w:rsidRPr="00AF06C8">
        <w:rPr>
          <w:szCs w:val="22"/>
        </w:rPr>
        <w:t xml:space="preserve"> </w:t>
      </w:r>
      <w:r w:rsidRPr="00AF06C8">
        <w:rPr>
          <w:szCs w:val="22"/>
        </w:rPr>
        <w:t>be addressed to:</w:t>
      </w:r>
    </w:p>
    <w:p w14:paraId="0FF55781" w14:textId="4F97D71A" w:rsidR="004A13A7" w:rsidRPr="00AF06C8" w:rsidRDefault="004A13A7" w:rsidP="004A13A7">
      <w:pPr>
        <w:rPr>
          <w:szCs w:val="22"/>
        </w:rPr>
      </w:pPr>
      <w:r w:rsidRPr="00AF06C8">
        <w:rPr>
          <w:szCs w:val="22"/>
        </w:rPr>
        <w:t xml:space="preserve">The Manager, Spectrum </w:t>
      </w:r>
      <w:r w:rsidR="00746A68">
        <w:rPr>
          <w:szCs w:val="22"/>
        </w:rPr>
        <w:t>Planning Section</w:t>
      </w:r>
      <w:r w:rsidRPr="00AF06C8">
        <w:rPr>
          <w:szCs w:val="22"/>
        </w:rPr>
        <w:br/>
        <w:t>Australian Communications and Media Authority</w:t>
      </w:r>
      <w:r w:rsidRPr="00AF06C8">
        <w:rPr>
          <w:szCs w:val="22"/>
        </w:rPr>
        <w:br/>
        <w:t>PO Box 78</w:t>
      </w:r>
      <w:r w:rsidRPr="00AF06C8">
        <w:rPr>
          <w:szCs w:val="22"/>
        </w:rPr>
        <w:br/>
        <w:t>Belconnen ACT 2616</w:t>
      </w:r>
    </w:p>
    <w:p w14:paraId="522AB59F" w14:textId="77777777" w:rsidR="004A13A7" w:rsidRPr="00AF06C8" w:rsidRDefault="004A13A7" w:rsidP="004A13A7">
      <w:pPr>
        <w:rPr>
          <w:rFonts w:cstheme="minorHAnsi"/>
          <w:szCs w:val="22"/>
        </w:rPr>
      </w:pPr>
      <w:r w:rsidRPr="00AF06C8">
        <w:rPr>
          <w:rFonts w:cstheme="minorHAnsi"/>
          <w:szCs w:val="22"/>
        </w:rPr>
        <w:t xml:space="preserve">or by email to: </w:t>
      </w:r>
      <w:hyperlink r:id="rId14" w:history="1">
        <w:r w:rsidRPr="00AF06C8">
          <w:rPr>
            <w:rStyle w:val="Hyperlink"/>
            <w:rFonts w:cstheme="minorHAnsi"/>
            <w:szCs w:val="22"/>
          </w:rPr>
          <w:t>freqplan@acma.gov.au</w:t>
        </w:r>
      </w:hyperlink>
      <w:r w:rsidRPr="00AF06C8">
        <w:rPr>
          <w:rFonts w:cstheme="minorHAnsi"/>
          <w:szCs w:val="22"/>
        </w:rPr>
        <w:t>.</w:t>
      </w:r>
    </w:p>
    <w:p w14:paraId="4B8672B9" w14:textId="22C4CE32" w:rsidR="00B95DA7" w:rsidRDefault="004A13A7" w:rsidP="004A13A7">
      <w:pPr>
        <w:rPr>
          <w:szCs w:val="22"/>
        </w:rPr>
      </w:pPr>
      <w:r w:rsidRPr="00AF06C8">
        <w:rPr>
          <w:szCs w:val="22"/>
        </w:rPr>
        <w:t xml:space="preserve">Please notify the ACMA of any inaccuracy or ambiguity found in this </w:t>
      </w:r>
      <w:r w:rsidR="00B3419E">
        <w:rPr>
          <w:szCs w:val="22"/>
        </w:rPr>
        <w:t>RALI.</w:t>
      </w:r>
    </w:p>
    <w:p w14:paraId="73272AA1" w14:textId="77777777" w:rsidR="00B3419E" w:rsidRPr="00AF06C8" w:rsidRDefault="00B3419E" w:rsidP="004A13A7">
      <w:pPr>
        <w:rPr>
          <w:szCs w:val="22"/>
        </w:rPr>
      </w:pPr>
    </w:p>
    <w:p w14:paraId="7FEBF480" w14:textId="77777777" w:rsidR="00822B3D" w:rsidRDefault="00822B3D" w:rsidP="004A13A7">
      <w:pPr>
        <w:rPr>
          <w:b/>
          <w:sz w:val="52"/>
          <w:szCs w:val="52"/>
        </w:rPr>
        <w:sectPr w:rsidR="00822B3D" w:rsidSect="0008711C">
          <w:footerReference w:type="even" r:id="rId15"/>
          <w:type w:val="evenPage"/>
          <w:pgSz w:w="11906" w:h="16838"/>
          <w:pgMar w:top="1440" w:right="1134" w:bottom="1440" w:left="1134" w:header="709" w:footer="709" w:gutter="284"/>
          <w:pgNumType w:fmt="lowerRoman" w:start="2"/>
          <w:cols w:space="708"/>
          <w:docGrid w:linePitch="360"/>
        </w:sectPr>
      </w:pPr>
    </w:p>
    <w:bookmarkStart w:id="1" w:name="_Toc8986370" w:displacedByCustomXml="next"/>
    <w:bookmarkStart w:id="2" w:name="_Toc8983846" w:displacedByCustomXml="next"/>
    <w:sdt>
      <w:sdtPr>
        <w:rPr>
          <w:b w:val="0"/>
          <w:color w:val="auto"/>
          <w:spacing w:val="0"/>
          <w:sz w:val="22"/>
        </w:rPr>
        <w:id w:val="-152679298"/>
        <w:docPartObj>
          <w:docPartGallery w:val="Table of Contents"/>
          <w:docPartUnique/>
        </w:docPartObj>
      </w:sdtPr>
      <w:sdtEndPr/>
      <w:sdtContent>
        <w:p w14:paraId="26049425" w14:textId="04CE5A88" w:rsidR="00FF479A" w:rsidRDefault="00FF479A">
          <w:pPr>
            <w:pStyle w:val="TOCHeading"/>
          </w:pPr>
          <w:r>
            <w:t>Contents</w:t>
          </w:r>
        </w:p>
        <w:p w14:paraId="08887853" w14:textId="5CC75D7C" w:rsidR="0088109C" w:rsidRDefault="00FF479A">
          <w:pPr>
            <w:pStyle w:val="TOC1"/>
            <w:tabs>
              <w:tab w:val="left" w:pos="885"/>
            </w:tabs>
            <w:rPr>
              <w:rFonts w:asciiTheme="minorHAnsi" w:eastAsiaTheme="minorEastAsia" w:hAnsiTheme="minorHAnsi" w:cstheme="minorBidi"/>
              <w:b w:val="0"/>
              <w:spacing w:val="0"/>
              <w:sz w:val="22"/>
              <w:szCs w:val="22"/>
            </w:rPr>
          </w:pPr>
          <w:r>
            <w:fldChar w:fldCharType="begin"/>
          </w:r>
          <w:r>
            <w:instrText xml:space="preserve"> TOC \o "1-3" \h \z \u </w:instrText>
          </w:r>
          <w:r>
            <w:fldChar w:fldCharType="separate"/>
          </w:r>
          <w:hyperlink w:anchor="_Toc114669386" w:history="1">
            <w:r w:rsidR="0088109C" w:rsidRPr="009C4B06">
              <w:rPr>
                <w:rStyle w:val="Hyperlink"/>
                <w14:scene3d>
                  <w14:camera w14:prst="orthographicFront"/>
                  <w14:lightRig w14:rig="threePt" w14:dir="t">
                    <w14:rot w14:lat="0" w14:lon="0" w14:rev="0"/>
                  </w14:lightRig>
                </w14:scene3d>
              </w:rPr>
              <w:t>1</w:t>
            </w:r>
            <w:r w:rsidR="0088109C">
              <w:rPr>
                <w:rFonts w:asciiTheme="minorHAnsi" w:eastAsiaTheme="minorEastAsia" w:hAnsiTheme="minorHAnsi" w:cstheme="minorBidi"/>
                <w:b w:val="0"/>
                <w:spacing w:val="0"/>
                <w:sz w:val="22"/>
                <w:szCs w:val="22"/>
              </w:rPr>
              <w:tab/>
            </w:r>
            <w:r w:rsidR="0088109C" w:rsidRPr="009C4B06">
              <w:rPr>
                <w:rStyle w:val="Hyperlink"/>
              </w:rPr>
              <w:t>Introduction</w:t>
            </w:r>
            <w:r w:rsidR="0088109C">
              <w:rPr>
                <w:webHidden/>
              </w:rPr>
              <w:tab/>
            </w:r>
            <w:r w:rsidR="0088109C">
              <w:rPr>
                <w:webHidden/>
              </w:rPr>
              <w:fldChar w:fldCharType="begin"/>
            </w:r>
            <w:r w:rsidR="0088109C">
              <w:rPr>
                <w:webHidden/>
              </w:rPr>
              <w:instrText xml:space="preserve"> PAGEREF _Toc114669386 \h </w:instrText>
            </w:r>
            <w:r w:rsidR="0088109C">
              <w:rPr>
                <w:webHidden/>
              </w:rPr>
            </w:r>
            <w:r w:rsidR="0088109C">
              <w:rPr>
                <w:webHidden/>
              </w:rPr>
              <w:fldChar w:fldCharType="separate"/>
            </w:r>
            <w:r w:rsidR="0088109C">
              <w:rPr>
                <w:webHidden/>
              </w:rPr>
              <w:t>1</w:t>
            </w:r>
            <w:r w:rsidR="0088109C">
              <w:rPr>
                <w:webHidden/>
              </w:rPr>
              <w:fldChar w:fldCharType="end"/>
            </w:r>
          </w:hyperlink>
        </w:p>
        <w:p w14:paraId="767CBED9" w14:textId="02E778A0" w:rsidR="0088109C" w:rsidRDefault="00DA229B">
          <w:pPr>
            <w:pStyle w:val="TOC2"/>
            <w:rPr>
              <w:rFonts w:asciiTheme="minorHAnsi" w:eastAsiaTheme="minorEastAsia" w:hAnsiTheme="minorHAnsi" w:cstheme="minorBidi"/>
              <w:spacing w:val="0"/>
              <w:sz w:val="22"/>
              <w:szCs w:val="22"/>
            </w:rPr>
          </w:pPr>
          <w:hyperlink w:anchor="_Toc114669387" w:history="1">
            <w:r w:rsidR="0088109C" w:rsidRPr="009C4B06">
              <w:rPr>
                <w:rStyle w:val="Hyperlink"/>
              </w:rPr>
              <w:t>1.1</w:t>
            </w:r>
            <w:r w:rsidR="0088109C">
              <w:rPr>
                <w:rFonts w:asciiTheme="minorHAnsi" w:eastAsiaTheme="minorEastAsia" w:hAnsiTheme="minorHAnsi" w:cstheme="minorBidi"/>
                <w:spacing w:val="0"/>
                <w:sz w:val="22"/>
                <w:szCs w:val="22"/>
              </w:rPr>
              <w:tab/>
            </w:r>
            <w:r w:rsidR="0088109C" w:rsidRPr="009C4B06">
              <w:rPr>
                <w:rStyle w:val="Hyperlink"/>
              </w:rPr>
              <w:t>Purpose</w:t>
            </w:r>
            <w:r w:rsidR="0088109C">
              <w:rPr>
                <w:webHidden/>
              </w:rPr>
              <w:tab/>
            </w:r>
            <w:r w:rsidR="0088109C">
              <w:rPr>
                <w:webHidden/>
              </w:rPr>
              <w:fldChar w:fldCharType="begin"/>
            </w:r>
            <w:r w:rsidR="0088109C">
              <w:rPr>
                <w:webHidden/>
              </w:rPr>
              <w:instrText xml:space="preserve"> PAGEREF _Toc114669387 \h </w:instrText>
            </w:r>
            <w:r w:rsidR="0088109C">
              <w:rPr>
                <w:webHidden/>
              </w:rPr>
            </w:r>
            <w:r w:rsidR="0088109C">
              <w:rPr>
                <w:webHidden/>
              </w:rPr>
              <w:fldChar w:fldCharType="separate"/>
            </w:r>
            <w:r w:rsidR="0088109C">
              <w:rPr>
                <w:webHidden/>
              </w:rPr>
              <w:t>1</w:t>
            </w:r>
            <w:r w:rsidR="0088109C">
              <w:rPr>
                <w:webHidden/>
              </w:rPr>
              <w:fldChar w:fldCharType="end"/>
            </w:r>
          </w:hyperlink>
        </w:p>
        <w:p w14:paraId="2AB27B9A" w14:textId="23379E3D" w:rsidR="0088109C" w:rsidRDefault="00DA229B">
          <w:pPr>
            <w:pStyle w:val="TOC2"/>
            <w:rPr>
              <w:rFonts w:asciiTheme="minorHAnsi" w:eastAsiaTheme="minorEastAsia" w:hAnsiTheme="minorHAnsi" w:cstheme="minorBidi"/>
              <w:spacing w:val="0"/>
              <w:sz w:val="22"/>
              <w:szCs w:val="22"/>
            </w:rPr>
          </w:pPr>
          <w:hyperlink w:anchor="_Toc114669388" w:history="1">
            <w:r w:rsidR="0088109C" w:rsidRPr="009C4B06">
              <w:rPr>
                <w:rStyle w:val="Hyperlink"/>
              </w:rPr>
              <w:t>1.2</w:t>
            </w:r>
            <w:r w:rsidR="0088109C">
              <w:rPr>
                <w:rFonts w:asciiTheme="minorHAnsi" w:eastAsiaTheme="minorEastAsia" w:hAnsiTheme="minorHAnsi" w:cstheme="minorBidi"/>
                <w:spacing w:val="0"/>
                <w:sz w:val="22"/>
                <w:szCs w:val="22"/>
              </w:rPr>
              <w:tab/>
            </w:r>
            <w:r w:rsidR="0088109C" w:rsidRPr="009C4B06">
              <w:rPr>
                <w:rStyle w:val="Hyperlink"/>
              </w:rPr>
              <w:t>Background</w:t>
            </w:r>
            <w:r w:rsidR="0088109C">
              <w:rPr>
                <w:webHidden/>
              </w:rPr>
              <w:tab/>
            </w:r>
            <w:r w:rsidR="0088109C">
              <w:rPr>
                <w:webHidden/>
              </w:rPr>
              <w:fldChar w:fldCharType="begin"/>
            </w:r>
            <w:r w:rsidR="0088109C">
              <w:rPr>
                <w:webHidden/>
              </w:rPr>
              <w:instrText xml:space="preserve"> PAGEREF _Toc114669388 \h </w:instrText>
            </w:r>
            <w:r w:rsidR="0088109C">
              <w:rPr>
                <w:webHidden/>
              </w:rPr>
            </w:r>
            <w:r w:rsidR="0088109C">
              <w:rPr>
                <w:webHidden/>
              </w:rPr>
              <w:fldChar w:fldCharType="separate"/>
            </w:r>
            <w:r w:rsidR="0088109C">
              <w:rPr>
                <w:webHidden/>
              </w:rPr>
              <w:t>1</w:t>
            </w:r>
            <w:r w:rsidR="0088109C">
              <w:rPr>
                <w:webHidden/>
              </w:rPr>
              <w:fldChar w:fldCharType="end"/>
            </w:r>
          </w:hyperlink>
        </w:p>
        <w:p w14:paraId="1C3C84A9" w14:textId="21398788" w:rsidR="0088109C" w:rsidRDefault="00DA229B">
          <w:pPr>
            <w:pStyle w:val="TOC2"/>
            <w:rPr>
              <w:rFonts w:asciiTheme="minorHAnsi" w:eastAsiaTheme="minorEastAsia" w:hAnsiTheme="minorHAnsi" w:cstheme="minorBidi"/>
              <w:spacing w:val="0"/>
              <w:sz w:val="22"/>
              <w:szCs w:val="22"/>
            </w:rPr>
          </w:pPr>
          <w:hyperlink w:anchor="_Toc114669389" w:history="1">
            <w:r w:rsidR="0088109C" w:rsidRPr="009C4B06">
              <w:rPr>
                <w:rStyle w:val="Hyperlink"/>
              </w:rPr>
              <w:t>1.3</w:t>
            </w:r>
            <w:r w:rsidR="0088109C">
              <w:rPr>
                <w:rFonts w:asciiTheme="minorHAnsi" w:eastAsiaTheme="minorEastAsia" w:hAnsiTheme="minorHAnsi" w:cstheme="minorBidi"/>
                <w:spacing w:val="0"/>
                <w:sz w:val="22"/>
                <w:szCs w:val="22"/>
              </w:rPr>
              <w:tab/>
            </w:r>
            <w:r w:rsidR="0088109C" w:rsidRPr="009C4B06">
              <w:rPr>
                <w:rStyle w:val="Hyperlink"/>
              </w:rPr>
              <w:t>Scope</w:t>
            </w:r>
            <w:r w:rsidR="0088109C">
              <w:rPr>
                <w:webHidden/>
              </w:rPr>
              <w:tab/>
            </w:r>
            <w:r w:rsidR="0088109C">
              <w:rPr>
                <w:webHidden/>
              </w:rPr>
              <w:fldChar w:fldCharType="begin"/>
            </w:r>
            <w:r w:rsidR="0088109C">
              <w:rPr>
                <w:webHidden/>
              </w:rPr>
              <w:instrText xml:space="preserve"> PAGEREF _Toc114669389 \h </w:instrText>
            </w:r>
            <w:r w:rsidR="0088109C">
              <w:rPr>
                <w:webHidden/>
              </w:rPr>
            </w:r>
            <w:r w:rsidR="0088109C">
              <w:rPr>
                <w:webHidden/>
              </w:rPr>
              <w:fldChar w:fldCharType="separate"/>
            </w:r>
            <w:r w:rsidR="0088109C">
              <w:rPr>
                <w:webHidden/>
              </w:rPr>
              <w:t>2</w:t>
            </w:r>
            <w:r w:rsidR="0088109C">
              <w:rPr>
                <w:webHidden/>
              </w:rPr>
              <w:fldChar w:fldCharType="end"/>
            </w:r>
          </w:hyperlink>
        </w:p>
        <w:p w14:paraId="58BA0655" w14:textId="14534038" w:rsidR="0088109C" w:rsidRDefault="00DA229B">
          <w:pPr>
            <w:pStyle w:val="TOC3"/>
            <w:tabs>
              <w:tab w:val="left" w:pos="885"/>
            </w:tabs>
            <w:rPr>
              <w:rFonts w:asciiTheme="minorHAnsi" w:eastAsiaTheme="minorEastAsia" w:hAnsiTheme="minorHAnsi" w:cstheme="minorBidi"/>
            </w:rPr>
          </w:pPr>
          <w:hyperlink w:anchor="_Toc114669390" w:history="1">
            <w:r w:rsidR="0088109C" w:rsidRPr="009C4B06">
              <w:rPr>
                <w:rStyle w:val="Hyperlink"/>
              </w:rPr>
              <w:t>1.3.1</w:t>
            </w:r>
            <w:r w:rsidR="0088109C">
              <w:rPr>
                <w:rFonts w:asciiTheme="minorHAnsi" w:eastAsiaTheme="minorEastAsia" w:hAnsiTheme="minorHAnsi" w:cstheme="minorBidi"/>
              </w:rPr>
              <w:tab/>
            </w:r>
            <w:r w:rsidR="0088109C" w:rsidRPr="009C4B06">
              <w:rPr>
                <w:rStyle w:val="Hyperlink"/>
              </w:rPr>
              <w:t>Basic principles</w:t>
            </w:r>
            <w:r w:rsidR="0088109C">
              <w:rPr>
                <w:webHidden/>
              </w:rPr>
              <w:tab/>
            </w:r>
            <w:r w:rsidR="0088109C">
              <w:rPr>
                <w:webHidden/>
              </w:rPr>
              <w:fldChar w:fldCharType="begin"/>
            </w:r>
            <w:r w:rsidR="0088109C">
              <w:rPr>
                <w:webHidden/>
              </w:rPr>
              <w:instrText xml:space="preserve"> PAGEREF _Toc114669390 \h </w:instrText>
            </w:r>
            <w:r w:rsidR="0088109C">
              <w:rPr>
                <w:webHidden/>
              </w:rPr>
            </w:r>
            <w:r w:rsidR="0088109C">
              <w:rPr>
                <w:webHidden/>
              </w:rPr>
              <w:fldChar w:fldCharType="separate"/>
            </w:r>
            <w:r w:rsidR="0088109C">
              <w:rPr>
                <w:webHidden/>
              </w:rPr>
              <w:t>2</w:t>
            </w:r>
            <w:r w:rsidR="0088109C">
              <w:rPr>
                <w:webHidden/>
              </w:rPr>
              <w:fldChar w:fldCharType="end"/>
            </w:r>
          </w:hyperlink>
        </w:p>
        <w:p w14:paraId="7391DAE5" w14:textId="7FEF430E" w:rsidR="0088109C" w:rsidRDefault="00DA229B">
          <w:pPr>
            <w:pStyle w:val="TOC2"/>
            <w:rPr>
              <w:rFonts w:asciiTheme="minorHAnsi" w:eastAsiaTheme="minorEastAsia" w:hAnsiTheme="minorHAnsi" w:cstheme="minorBidi"/>
              <w:spacing w:val="0"/>
              <w:sz w:val="22"/>
              <w:szCs w:val="22"/>
            </w:rPr>
          </w:pPr>
          <w:hyperlink w:anchor="_Toc114669391" w:history="1">
            <w:r w:rsidR="0088109C" w:rsidRPr="009C4B06">
              <w:rPr>
                <w:rStyle w:val="Hyperlink"/>
              </w:rPr>
              <w:t>1.4</w:t>
            </w:r>
            <w:r w:rsidR="0088109C">
              <w:rPr>
                <w:rFonts w:asciiTheme="minorHAnsi" w:eastAsiaTheme="minorEastAsia" w:hAnsiTheme="minorHAnsi" w:cstheme="minorBidi"/>
                <w:spacing w:val="0"/>
                <w:sz w:val="22"/>
                <w:szCs w:val="22"/>
              </w:rPr>
              <w:tab/>
            </w:r>
            <w:r w:rsidR="0088109C" w:rsidRPr="009C4B06">
              <w:rPr>
                <w:rStyle w:val="Hyperlink"/>
              </w:rPr>
              <w:t>Operation of the technical framework</w:t>
            </w:r>
            <w:r w:rsidR="0088109C">
              <w:rPr>
                <w:webHidden/>
              </w:rPr>
              <w:tab/>
            </w:r>
            <w:r w:rsidR="0088109C">
              <w:rPr>
                <w:webHidden/>
              </w:rPr>
              <w:fldChar w:fldCharType="begin"/>
            </w:r>
            <w:r w:rsidR="0088109C">
              <w:rPr>
                <w:webHidden/>
              </w:rPr>
              <w:instrText xml:space="preserve"> PAGEREF _Toc114669391 \h </w:instrText>
            </w:r>
            <w:r w:rsidR="0088109C">
              <w:rPr>
                <w:webHidden/>
              </w:rPr>
            </w:r>
            <w:r w:rsidR="0088109C">
              <w:rPr>
                <w:webHidden/>
              </w:rPr>
              <w:fldChar w:fldCharType="separate"/>
            </w:r>
            <w:r w:rsidR="0088109C">
              <w:rPr>
                <w:webHidden/>
              </w:rPr>
              <w:t>3</w:t>
            </w:r>
            <w:r w:rsidR="0088109C">
              <w:rPr>
                <w:webHidden/>
              </w:rPr>
              <w:fldChar w:fldCharType="end"/>
            </w:r>
          </w:hyperlink>
        </w:p>
        <w:p w14:paraId="3D87723C" w14:textId="079637D6" w:rsidR="0088109C" w:rsidRDefault="00DA229B">
          <w:pPr>
            <w:pStyle w:val="TOC1"/>
            <w:tabs>
              <w:tab w:val="left" w:pos="885"/>
            </w:tabs>
            <w:rPr>
              <w:rFonts w:asciiTheme="minorHAnsi" w:eastAsiaTheme="minorEastAsia" w:hAnsiTheme="minorHAnsi" w:cstheme="minorBidi"/>
              <w:b w:val="0"/>
              <w:spacing w:val="0"/>
              <w:sz w:val="22"/>
              <w:szCs w:val="22"/>
            </w:rPr>
          </w:pPr>
          <w:hyperlink w:anchor="_Toc114669392" w:history="1">
            <w:r w:rsidR="0088109C" w:rsidRPr="009C4B06">
              <w:rPr>
                <w:rStyle w:val="Hyperlink"/>
                <w14:scene3d>
                  <w14:camera w14:prst="orthographicFront"/>
                  <w14:lightRig w14:rig="threePt" w14:dir="t">
                    <w14:rot w14:lat="0" w14:lon="0" w14:rev="0"/>
                  </w14:lightRig>
                </w14:scene3d>
              </w:rPr>
              <w:t>2</w:t>
            </w:r>
            <w:r w:rsidR="0088109C">
              <w:rPr>
                <w:rFonts w:asciiTheme="minorHAnsi" w:eastAsiaTheme="minorEastAsia" w:hAnsiTheme="minorHAnsi" w:cstheme="minorBidi"/>
                <w:b w:val="0"/>
                <w:spacing w:val="0"/>
                <w:sz w:val="22"/>
                <w:szCs w:val="22"/>
              </w:rPr>
              <w:tab/>
            </w:r>
            <w:r w:rsidR="0088109C" w:rsidRPr="009C4B06">
              <w:rPr>
                <w:rStyle w:val="Hyperlink"/>
              </w:rPr>
              <w:t>RF arrangements</w:t>
            </w:r>
            <w:r w:rsidR="0088109C">
              <w:rPr>
                <w:webHidden/>
              </w:rPr>
              <w:tab/>
            </w:r>
            <w:r w:rsidR="0088109C">
              <w:rPr>
                <w:webHidden/>
              </w:rPr>
              <w:fldChar w:fldCharType="begin"/>
            </w:r>
            <w:r w:rsidR="0088109C">
              <w:rPr>
                <w:webHidden/>
              </w:rPr>
              <w:instrText xml:space="preserve"> PAGEREF _Toc114669392 \h </w:instrText>
            </w:r>
            <w:r w:rsidR="0088109C">
              <w:rPr>
                <w:webHidden/>
              </w:rPr>
            </w:r>
            <w:r w:rsidR="0088109C">
              <w:rPr>
                <w:webHidden/>
              </w:rPr>
              <w:fldChar w:fldCharType="separate"/>
            </w:r>
            <w:r w:rsidR="0088109C">
              <w:rPr>
                <w:webHidden/>
              </w:rPr>
              <w:t>5</w:t>
            </w:r>
            <w:r w:rsidR="0088109C">
              <w:rPr>
                <w:webHidden/>
              </w:rPr>
              <w:fldChar w:fldCharType="end"/>
            </w:r>
          </w:hyperlink>
        </w:p>
        <w:p w14:paraId="10364922" w14:textId="4054302D" w:rsidR="0088109C" w:rsidRDefault="00DA229B">
          <w:pPr>
            <w:pStyle w:val="TOC2"/>
            <w:rPr>
              <w:rFonts w:asciiTheme="minorHAnsi" w:eastAsiaTheme="minorEastAsia" w:hAnsiTheme="minorHAnsi" w:cstheme="minorBidi"/>
              <w:spacing w:val="0"/>
              <w:sz w:val="22"/>
              <w:szCs w:val="22"/>
            </w:rPr>
          </w:pPr>
          <w:hyperlink w:anchor="_Toc114669393" w:history="1">
            <w:r w:rsidR="0088109C" w:rsidRPr="009C4B06">
              <w:rPr>
                <w:rStyle w:val="Hyperlink"/>
              </w:rPr>
              <w:t>2.1</w:t>
            </w:r>
            <w:r w:rsidR="0088109C">
              <w:rPr>
                <w:rFonts w:asciiTheme="minorHAnsi" w:eastAsiaTheme="minorEastAsia" w:hAnsiTheme="minorHAnsi" w:cstheme="minorBidi"/>
                <w:spacing w:val="0"/>
                <w:sz w:val="22"/>
                <w:szCs w:val="22"/>
              </w:rPr>
              <w:tab/>
            </w:r>
            <w:r w:rsidR="0088109C" w:rsidRPr="009C4B06">
              <w:rPr>
                <w:rStyle w:val="Hyperlink"/>
              </w:rPr>
              <w:t>Frequency ranges and areas available for AWLs</w:t>
            </w:r>
            <w:r w:rsidR="0088109C">
              <w:rPr>
                <w:webHidden/>
              </w:rPr>
              <w:tab/>
            </w:r>
            <w:r w:rsidR="0088109C">
              <w:rPr>
                <w:webHidden/>
              </w:rPr>
              <w:fldChar w:fldCharType="begin"/>
            </w:r>
            <w:r w:rsidR="0088109C">
              <w:rPr>
                <w:webHidden/>
              </w:rPr>
              <w:instrText xml:space="preserve"> PAGEREF _Toc114669393 \h </w:instrText>
            </w:r>
            <w:r w:rsidR="0088109C">
              <w:rPr>
                <w:webHidden/>
              </w:rPr>
            </w:r>
            <w:r w:rsidR="0088109C">
              <w:rPr>
                <w:webHidden/>
              </w:rPr>
              <w:fldChar w:fldCharType="separate"/>
            </w:r>
            <w:r w:rsidR="0088109C">
              <w:rPr>
                <w:webHidden/>
              </w:rPr>
              <w:t>5</w:t>
            </w:r>
            <w:r w:rsidR="0088109C">
              <w:rPr>
                <w:webHidden/>
              </w:rPr>
              <w:fldChar w:fldCharType="end"/>
            </w:r>
          </w:hyperlink>
        </w:p>
        <w:p w14:paraId="0DA04EF5" w14:textId="67FFAC4D" w:rsidR="0088109C" w:rsidRDefault="00DA229B">
          <w:pPr>
            <w:pStyle w:val="TOC2"/>
            <w:rPr>
              <w:rFonts w:asciiTheme="minorHAnsi" w:eastAsiaTheme="minorEastAsia" w:hAnsiTheme="minorHAnsi" w:cstheme="minorBidi"/>
              <w:spacing w:val="0"/>
              <w:sz w:val="22"/>
              <w:szCs w:val="22"/>
            </w:rPr>
          </w:pPr>
          <w:hyperlink w:anchor="_Toc114669394" w:history="1">
            <w:r w:rsidR="0088109C" w:rsidRPr="009C4B06">
              <w:rPr>
                <w:rStyle w:val="Hyperlink"/>
              </w:rPr>
              <w:t>2.2</w:t>
            </w:r>
            <w:r w:rsidR="0088109C">
              <w:rPr>
                <w:rFonts w:asciiTheme="minorHAnsi" w:eastAsiaTheme="minorEastAsia" w:hAnsiTheme="minorHAnsi" w:cstheme="minorBidi"/>
                <w:spacing w:val="0"/>
                <w:sz w:val="22"/>
                <w:szCs w:val="22"/>
              </w:rPr>
              <w:tab/>
            </w:r>
            <w:r w:rsidR="0088109C" w:rsidRPr="009C4B06">
              <w:rPr>
                <w:rStyle w:val="Hyperlink"/>
              </w:rPr>
              <w:t>Channel arrangements</w:t>
            </w:r>
            <w:r w:rsidR="0088109C">
              <w:rPr>
                <w:webHidden/>
              </w:rPr>
              <w:tab/>
            </w:r>
            <w:r w:rsidR="0088109C">
              <w:rPr>
                <w:webHidden/>
              </w:rPr>
              <w:fldChar w:fldCharType="begin"/>
            </w:r>
            <w:r w:rsidR="0088109C">
              <w:rPr>
                <w:webHidden/>
              </w:rPr>
              <w:instrText xml:space="preserve"> PAGEREF _Toc114669394 \h </w:instrText>
            </w:r>
            <w:r w:rsidR="0088109C">
              <w:rPr>
                <w:webHidden/>
              </w:rPr>
            </w:r>
            <w:r w:rsidR="0088109C">
              <w:rPr>
                <w:webHidden/>
              </w:rPr>
              <w:fldChar w:fldCharType="separate"/>
            </w:r>
            <w:r w:rsidR="0088109C">
              <w:rPr>
                <w:webHidden/>
              </w:rPr>
              <w:t>5</w:t>
            </w:r>
            <w:r w:rsidR="0088109C">
              <w:rPr>
                <w:webHidden/>
              </w:rPr>
              <w:fldChar w:fldCharType="end"/>
            </w:r>
          </w:hyperlink>
        </w:p>
        <w:p w14:paraId="5A01C9EB" w14:textId="2062AC0A" w:rsidR="0088109C" w:rsidRDefault="00DA229B">
          <w:pPr>
            <w:pStyle w:val="TOC1"/>
            <w:tabs>
              <w:tab w:val="left" w:pos="885"/>
            </w:tabs>
            <w:rPr>
              <w:rFonts w:asciiTheme="minorHAnsi" w:eastAsiaTheme="minorEastAsia" w:hAnsiTheme="minorHAnsi" w:cstheme="minorBidi"/>
              <w:b w:val="0"/>
              <w:spacing w:val="0"/>
              <w:sz w:val="22"/>
              <w:szCs w:val="22"/>
            </w:rPr>
          </w:pPr>
          <w:hyperlink w:anchor="_Toc114669395" w:history="1">
            <w:r w:rsidR="0088109C" w:rsidRPr="009C4B06">
              <w:rPr>
                <w:rStyle w:val="Hyperlink"/>
                <w14:scene3d>
                  <w14:camera w14:prst="orthographicFront"/>
                  <w14:lightRig w14:rig="threePt" w14:dir="t">
                    <w14:rot w14:lat="0" w14:lon="0" w14:rev="0"/>
                  </w14:lightRig>
                </w14:scene3d>
              </w:rPr>
              <w:t>3</w:t>
            </w:r>
            <w:r w:rsidR="0088109C">
              <w:rPr>
                <w:rFonts w:asciiTheme="minorHAnsi" w:eastAsiaTheme="minorEastAsia" w:hAnsiTheme="minorHAnsi" w:cstheme="minorBidi"/>
                <w:b w:val="0"/>
                <w:spacing w:val="0"/>
                <w:sz w:val="22"/>
                <w:szCs w:val="22"/>
              </w:rPr>
              <w:tab/>
            </w:r>
            <w:r w:rsidR="0088109C" w:rsidRPr="009C4B06">
              <w:rPr>
                <w:rStyle w:val="Hyperlink"/>
              </w:rPr>
              <w:t>Licensing</w:t>
            </w:r>
            <w:r w:rsidR="0088109C">
              <w:rPr>
                <w:webHidden/>
              </w:rPr>
              <w:tab/>
            </w:r>
            <w:r w:rsidR="0088109C">
              <w:rPr>
                <w:webHidden/>
              </w:rPr>
              <w:fldChar w:fldCharType="begin"/>
            </w:r>
            <w:r w:rsidR="0088109C">
              <w:rPr>
                <w:webHidden/>
              </w:rPr>
              <w:instrText xml:space="preserve"> PAGEREF _Toc114669395 \h </w:instrText>
            </w:r>
            <w:r w:rsidR="0088109C">
              <w:rPr>
                <w:webHidden/>
              </w:rPr>
            </w:r>
            <w:r w:rsidR="0088109C">
              <w:rPr>
                <w:webHidden/>
              </w:rPr>
              <w:fldChar w:fldCharType="separate"/>
            </w:r>
            <w:r w:rsidR="0088109C">
              <w:rPr>
                <w:webHidden/>
              </w:rPr>
              <w:t>7</w:t>
            </w:r>
            <w:r w:rsidR="0088109C">
              <w:rPr>
                <w:webHidden/>
              </w:rPr>
              <w:fldChar w:fldCharType="end"/>
            </w:r>
          </w:hyperlink>
        </w:p>
        <w:p w14:paraId="11AC3010" w14:textId="747B483C" w:rsidR="0088109C" w:rsidRDefault="00DA229B">
          <w:pPr>
            <w:pStyle w:val="TOC2"/>
            <w:rPr>
              <w:rFonts w:asciiTheme="minorHAnsi" w:eastAsiaTheme="minorEastAsia" w:hAnsiTheme="minorHAnsi" w:cstheme="minorBidi"/>
              <w:spacing w:val="0"/>
              <w:sz w:val="22"/>
              <w:szCs w:val="22"/>
            </w:rPr>
          </w:pPr>
          <w:hyperlink w:anchor="_Toc114669396" w:history="1">
            <w:r w:rsidR="0088109C" w:rsidRPr="009C4B06">
              <w:rPr>
                <w:rStyle w:val="Hyperlink"/>
              </w:rPr>
              <w:t>3.1</w:t>
            </w:r>
            <w:r w:rsidR="0088109C">
              <w:rPr>
                <w:rFonts w:asciiTheme="minorHAnsi" w:eastAsiaTheme="minorEastAsia" w:hAnsiTheme="minorHAnsi" w:cstheme="minorBidi"/>
                <w:spacing w:val="0"/>
                <w:sz w:val="22"/>
                <w:szCs w:val="22"/>
              </w:rPr>
              <w:tab/>
            </w:r>
            <w:r w:rsidR="0088109C" w:rsidRPr="009C4B06">
              <w:rPr>
                <w:rStyle w:val="Hyperlink"/>
              </w:rPr>
              <w:t>Overview of Licensing</w:t>
            </w:r>
            <w:r w:rsidR="0088109C">
              <w:rPr>
                <w:webHidden/>
              </w:rPr>
              <w:tab/>
            </w:r>
            <w:r w:rsidR="0088109C">
              <w:rPr>
                <w:webHidden/>
              </w:rPr>
              <w:fldChar w:fldCharType="begin"/>
            </w:r>
            <w:r w:rsidR="0088109C">
              <w:rPr>
                <w:webHidden/>
              </w:rPr>
              <w:instrText xml:space="preserve"> PAGEREF _Toc114669396 \h </w:instrText>
            </w:r>
            <w:r w:rsidR="0088109C">
              <w:rPr>
                <w:webHidden/>
              </w:rPr>
            </w:r>
            <w:r w:rsidR="0088109C">
              <w:rPr>
                <w:webHidden/>
              </w:rPr>
              <w:fldChar w:fldCharType="separate"/>
            </w:r>
            <w:r w:rsidR="0088109C">
              <w:rPr>
                <w:webHidden/>
              </w:rPr>
              <w:t>7</w:t>
            </w:r>
            <w:r w:rsidR="0088109C">
              <w:rPr>
                <w:webHidden/>
              </w:rPr>
              <w:fldChar w:fldCharType="end"/>
            </w:r>
          </w:hyperlink>
        </w:p>
        <w:p w14:paraId="15BC9AAD" w14:textId="162AA1F9" w:rsidR="0088109C" w:rsidRDefault="00DA229B">
          <w:pPr>
            <w:pStyle w:val="TOC2"/>
            <w:rPr>
              <w:rFonts w:asciiTheme="minorHAnsi" w:eastAsiaTheme="minorEastAsia" w:hAnsiTheme="minorHAnsi" w:cstheme="minorBidi"/>
              <w:spacing w:val="0"/>
              <w:sz w:val="22"/>
              <w:szCs w:val="22"/>
            </w:rPr>
          </w:pPr>
          <w:hyperlink w:anchor="_Toc114669397" w:history="1">
            <w:r w:rsidR="0088109C" w:rsidRPr="009C4B06">
              <w:rPr>
                <w:rStyle w:val="Hyperlink"/>
              </w:rPr>
              <w:t>3.2</w:t>
            </w:r>
            <w:r w:rsidR="0088109C">
              <w:rPr>
                <w:rFonts w:asciiTheme="minorHAnsi" w:eastAsiaTheme="minorEastAsia" w:hAnsiTheme="minorHAnsi" w:cstheme="minorBidi"/>
                <w:spacing w:val="0"/>
                <w:sz w:val="22"/>
                <w:szCs w:val="22"/>
              </w:rPr>
              <w:tab/>
            </w:r>
            <w:r w:rsidR="0088109C" w:rsidRPr="009C4B06">
              <w:rPr>
                <w:rStyle w:val="Hyperlink"/>
              </w:rPr>
              <w:t>Licence conditions</w:t>
            </w:r>
            <w:r w:rsidR="0088109C">
              <w:rPr>
                <w:webHidden/>
              </w:rPr>
              <w:tab/>
            </w:r>
            <w:r w:rsidR="0088109C">
              <w:rPr>
                <w:webHidden/>
              </w:rPr>
              <w:fldChar w:fldCharType="begin"/>
            </w:r>
            <w:r w:rsidR="0088109C">
              <w:rPr>
                <w:webHidden/>
              </w:rPr>
              <w:instrText xml:space="preserve"> PAGEREF _Toc114669397 \h </w:instrText>
            </w:r>
            <w:r w:rsidR="0088109C">
              <w:rPr>
                <w:webHidden/>
              </w:rPr>
            </w:r>
            <w:r w:rsidR="0088109C">
              <w:rPr>
                <w:webHidden/>
              </w:rPr>
              <w:fldChar w:fldCharType="separate"/>
            </w:r>
            <w:r w:rsidR="0088109C">
              <w:rPr>
                <w:webHidden/>
              </w:rPr>
              <w:t>7</w:t>
            </w:r>
            <w:r w:rsidR="0088109C">
              <w:rPr>
                <w:webHidden/>
              </w:rPr>
              <w:fldChar w:fldCharType="end"/>
            </w:r>
          </w:hyperlink>
        </w:p>
        <w:p w14:paraId="7F868F8C" w14:textId="2ABC2A69" w:rsidR="0088109C" w:rsidRDefault="00DA229B">
          <w:pPr>
            <w:pStyle w:val="TOC3"/>
            <w:tabs>
              <w:tab w:val="left" w:pos="885"/>
            </w:tabs>
            <w:rPr>
              <w:rFonts w:asciiTheme="minorHAnsi" w:eastAsiaTheme="minorEastAsia" w:hAnsiTheme="minorHAnsi" w:cstheme="minorBidi"/>
            </w:rPr>
          </w:pPr>
          <w:hyperlink w:anchor="_Toc114669398" w:history="1">
            <w:r w:rsidR="0088109C" w:rsidRPr="009C4B06">
              <w:rPr>
                <w:rStyle w:val="Hyperlink"/>
              </w:rPr>
              <w:t>3.2.1</w:t>
            </w:r>
            <w:r w:rsidR="0088109C">
              <w:rPr>
                <w:rFonts w:asciiTheme="minorHAnsi" w:eastAsiaTheme="minorEastAsia" w:hAnsiTheme="minorHAnsi" w:cstheme="minorBidi"/>
              </w:rPr>
              <w:tab/>
            </w:r>
            <w:r w:rsidR="0088109C" w:rsidRPr="009C4B06">
              <w:rPr>
                <w:rStyle w:val="Hyperlink"/>
              </w:rPr>
              <w:t>Advisory notes – all AWLs</w:t>
            </w:r>
            <w:r w:rsidR="0088109C">
              <w:rPr>
                <w:webHidden/>
              </w:rPr>
              <w:tab/>
            </w:r>
            <w:r w:rsidR="0088109C">
              <w:rPr>
                <w:webHidden/>
              </w:rPr>
              <w:fldChar w:fldCharType="begin"/>
            </w:r>
            <w:r w:rsidR="0088109C">
              <w:rPr>
                <w:webHidden/>
              </w:rPr>
              <w:instrText xml:space="preserve"> PAGEREF _Toc114669398 \h </w:instrText>
            </w:r>
            <w:r w:rsidR="0088109C">
              <w:rPr>
                <w:webHidden/>
              </w:rPr>
            </w:r>
            <w:r w:rsidR="0088109C">
              <w:rPr>
                <w:webHidden/>
              </w:rPr>
              <w:fldChar w:fldCharType="separate"/>
            </w:r>
            <w:r w:rsidR="0088109C">
              <w:rPr>
                <w:webHidden/>
              </w:rPr>
              <w:t>7</w:t>
            </w:r>
            <w:r w:rsidR="0088109C">
              <w:rPr>
                <w:webHidden/>
              </w:rPr>
              <w:fldChar w:fldCharType="end"/>
            </w:r>
          </w:hyperlink>
        </w:p>
        <w:p w14:paraId="683DF09B" w14:textId="20240286" w:rsidR="0088109C" w:rsidRDefault="00DA229B">
          <w:pPr>
            <w:pStyle w:val="TOC2"/>
            <w:rPr>
              <w:rFonts w:asciiTheme="minorHAnsi" w:eastAsiaTheme="minorEastAsia" w:hAnsiTheme="minorHAnsi" w:cstheme="minorBidi"/>
              <w:spacing w:val="0"/>
              <w:sz w:val="22"/>
              <w:szCs w:val="22"/>
            </w:rPr>
          </w:pPr>
          <w:hyperlink w:anchor="_Toc114669399" w:history="1">
            <w:r w:rsidR="0088109C" w:rsidRPr="009C4B06">
              <w:rPr>
                <w:rStyle w:val="Hyperlink"/>
              </w:rPr>
              <w:t>3.3</w:t>
            </w:r>
            <w:r w:rsidR="0088109C">
              <w:rPr>
                <w:rFonts w:asciiTheme="minorHAnsi" w:eastAsiaTheme="minorEastAsia" w:hAnsiTheme="minorHAnsi" w:cstheme="minorBidi"/>
                <w:spacing w:val="0"/>
                <w:sz w:val="22"/>
                <w:szCs w:val="22"/>
              </w:rPr>
              <w:tab/>
            </w:r>
            <w:r w:rsidR="0088109C" w:rsidRPr="009C4B06">
              <w:rPr>
                <w:rStyle w:val="Hyperlink"/>
              </w:rPr>
              <w:t>Assignment rules</w:t>
            </w:r>
            <w:r w:rsidR="0088109C">
              <w:rPr>
                <w:webHidden/>
              </w:rPr>
              <w:tab/>
            </w:r>
            <w:r w:rsidR="0088109C">
              <w:rPr>
                <w:webHidden/>
              </w:rPr>
              <w:fldChar w:fldCharType="begin"/>
            </w:r>
            <w:r w:rsidR="0088109C">
              <w:rPr>
                <w:webHidden/>
              </w:rPr>
              <w:instrText xml:space="preserve"> PAGEREF _Toc114669399 \h </w:instrText>
            </w:r>
            <w:r w:rsidR="0088109C">
              <w:rPr>
                <w:webHidden/>
              </w:rPr>
            </w:r>
            <w:r w:rsidR="0088109C">
              <w:rPr>
                <w:webHidden/>
              </w:rPr>
              <w:fldChar w:fldCharType="separate"/>
            </w:r>
            <w:r w:rsidR="0088109C">
              <w:rPr>
                <w:webHidden/>
              </w:rPr>
              <w:t>9</w:t>
            </w:r>
            <w:r w:rsidR="0088109C">
              <w:rPr>
                <w:webHidden/>
              </w:rPr>
              <w:fldChar w:fldCharType="end"/>
            </w:r>
          </w:hyperlink>
        </w:p>
        <w:p w14:paraId="2B44692A" w14:textId="0E96BA8C" w:rsidR="0088109C" w:rsidRDefault="00DA229B">
          <w:pPr>
            <w:pStyle w:val="TOC3"/>
            <w:tabs>
              <w:tab w:val="left" w:pos="885"/>
            </w:tabs>
            <w:rPr>
              <w:rFonts w:asciiTheme="minorHAnsi" w:eastAsiaTheme="minorEastAsia" w:hAnsiTheme="minorHAnsi" w:cstheme="minorBidi"/>
            </w:rPr>
          </w:pPr>
          <w:hyperlink w:anchor="_Toc114669400" w:history="1">
            <w:r w:rsidR="0088109C" w:rsidRPr="009C4B06">
              <w:rPr>
                <w:rStyle w:val="Hyperlink"/>
              </w:rPr>
              <w:t>3.3.1</w:t>
            </w:r>
            <w:r w:rsidR="0088109C">
              <w:rPr>
                <w:rFonts w:asciiTheme="minorHAnsi" w:eastAsiaTheme="minorEastAsia" w:hAnsiTheme="minorHAnsi" w:cstheme="minorBidi"/>
              </w:rPr>
              <w:tab/>
            </w:r>
            <w:r w:rsidR="0088109C" w:rsidRPr="009C4B06">
              <w:rPr>
                <w:rStyle w:val="Hyperlink"/>
              </w:rPr>
              <w:t>Assignment instructions</w:t>
            </w:r>
            <w:r w:rsidR="0088109C">
              <w:rPr>
                <w:webHidden/>
              </w:rPr>
              <w:tab/>
            </w:r>
            <w:r w:rsidR="0088109C">
              <w:rPr>
                <w:webHidden/>
              </w:rPr>
              <w:fldChar w:fldCharType="begin"/>
            </w:r>
            <w:r w:rsidR="0088109C">
              <w:rPr>
                <w:webHidden/>
              </w:rPr>
              <w:instrText xml:space="preserve"> PAGEREF _Toc114669400 \h </w:instrText>
            </w:r>
            <w:r w:rsidR="0088109C">
              <w:rPr>
                <w:webHidden/>
              </w:rPr>
            </w:r>
            <w:r w:rsidR="0088109C">
              <w:rPr>
                <w:webHidden/>
              </w:rPr>
              <w:fldChar w:fldCharType="separate"/>
            </w:r>
            <w:r w:rsidR="0088109C">
              <w:rPr>
                <w:webHidden/>
              </w:rPr>
              <w:t>9</w:t>
            </w:r>
            <w:r w:rsidR="0088109C">
              <w:rPr>
                <w:webHidden/>
              </w:rPr>
              <w:fldChar w:fldCharType="end"/>
            </w:r>
          </w:hyperlink>
        </w:p>
        <w:p w14:paraId="7A833796" w14:textId="0A9167B4" w:rsidR="0088109C" w:rsidRDefault="00DA229B">
          <w:pPr>
            <w:pStyle w:val="TOC3"/>
            <w:tabs>
              <w:tab w:val="left" w:pos="885"/>
            </w:tabs>
            <w:rPr>
              <w:rFonts w:asciiTheme="minorHAnsi" w:eastAsiaTheme="minorEastAsia" w:hAnsiTheme="minorHAnsi" w:cstheme="minorBidi"/>
            </w:rPr>
          </w:pPr>
          <w:hyperlink w:anchor="_Toc114669401" w:history="1">
            <w:r w:rsidR="0088109C" w:rsidRPr="009C4B06">
              <w:rPr>
                <w:rStyle w:val="Hyperlink"/>
              </w:rPr>
              <w:t>3.3.2</w:t>
            </w:r>
            <w:r w:rsidR="0088109C">
              <w:rPr>
                <w:rFonts w:asciiTheme="minorHAnsi" w:eastAsiaTheme="minorEastAsia" w:hAnsiTheme="minorHAnsi" w:cstheme="minorBidi"/>
              </w:rPr>
              <w:tab/>
            </w:r>
            <w:r w:rsidR="0088109C" w:rsidRPr="009C4B06">
              <w:rPr>
                <w:rStyle w:val="Hyperlink"/>
              </w:rPr>
              <w:t>Radiolocation authorised under section 10(7) of the Australian Radiofrequency Spectrum Plan (ARSP)</w:t>
            </w:r>
            <w:r w:rsidR="0088109C">
              <w:rPr>
                <w:webHidden/>
              </w:rPr>
              <w:tab/>
            </w:r>
            <w:r w:rsidR="0088109C">
              <w:rPr>
                <w:webHidden/>
              </w:rPr>
              <w:fldChar w:fldCharType="begin"/>
            </w:r>
            <w:r w:rsidR="0088109C">
              <w:rPr>
                <w:webHidden/>
              </w:rPr>
              <w:instrText xml:space="preserve"> PAGEREF _Toc114669401 \h </w:instrText>
            </w:r>
            <w:r w:rsidR="0088109C">
              <w:rPr>
                <w:webHidden/>
              </w:rPr>
            </w:r>
            <w:r w:rsidR="0088109C">
              <w:rPr>
                <w:webHidden/>
              </w:rPr>
              <w:fldChar w:fldCharType="separate"/>
            </w:r>
            <w:r w:rsidR="0088109C">
              <w:rPr>
                <w:webHidden/>
              </w:rPr>
              <w:t>9</w:t>
            </w:r>
            <w:r w:rsidR="0088109C">
              <w:rPr>
                <w:webHidden/>
              </w:rPr>
              <w:fldChar w:fldCharType="end"/>
            </w:r>
          </w:hyperlink>
        </w:p>
        <w:p w14:paraId="16F872B3" w14:textId="2C78772B" w:rsidR="0088109C" w:rsidRDefault="00DA229B">
          <w:pPr>
            <w:pStyle w:val="TOC3"/>
            <w:tabs>
              <w:tab w:val="left" w:pos="885"/>
            </w:tabs>
            <w:rPr>
              <w:rFonts w:asciiTheme="minorHAnsi" w:eastAsiaTheme="minorEastAsia" w:hAnsiTheme="minorHAnsi" w:cstheme="minorBidi"/>
            </w:rPr>
          </w:pPr>
          <w:hyperlink w:anchor="_Toc114669402" w:history="1">
            <w:r w:rsidR="0088109C" w:rsidRPr="009C4B06">
              <w:rPr>
                <w:rStyle w:val="Hyperlink"/>
              </w:rPr>
              <w:t>3.3.3</w:t>
            </w:r>
            <w:r w:rsidR="0088109C">
              <w:rPr>
                <w:rFonts w:asciiTheme="minorHAnsi" w:eastAsiaTheme="minorEastAsia" w:hAnsiTheme="minorHAnsi" w:cstheme="minorBidi"/>
              </w:rPr>
              <w:tab/>
            </w:r>
            <w:r w:rsidR="0088109C" w:rsidRPr="009C4B06">
              <w:rPr>
                <w:rStyle w:val="Hyperlink"/>
              </w:rPr>
              <w:t>Darwin and Geraldton coordination zones</w:t>
            </w:r>
            <w:r w:rsidR="0088109C">
              <w:rPr>
                <w:webHidden/>
              </w:rPr>
              <w:tab/>
            </w:r>
            <w:r w:rsidR="0088109C">
              <w:rPr>
                <w:webHidden/>
              </w:rPr>
              <w:fldChar w:fldCharType="begin"/>
            </w:r>
            <w:r w:rsidR="0088109C">
              <w:rPr>
                <w:webHidden/>
              </w:rPr>
              <w:instrText xml:space="preserve"> PAGEREF _Toc114669402 \h </w:instrText>
            </w:r>
            <w:r w:rsidR="0088109C">
              <w:rPr>
                <w:webHidden/>
              </w:rPr>
            </w:r>
            <w:r w:rsidR="0088109C">
              <w:rPr>
                <w:webHidden/>
              </w:rPr>
              <w:fldChar w:fldCharType="separate"/>
            </w:r>
            <w:r w:rsidR="0088109C">
              <w:rPr>
                <w:webHidden/>
              </w:rPr>
              <w:t>9</w:t>
            </w:r>
            <w:r w:rsidR="0088109C">
              <w:rPr>
                <w:webHidden/>
              </w:rPr>
              <w:fldChar w:fldCharType="end"/>
            </w:r>
          </w:hyperlink>
        </w:p>
        <w:p w14:paraId="54550495" w14:textId="3C3CD81A" w:rsidR="0088109C" w:rsidRDefault="00DA229B">
          <w:pPr>
            <w:pStyle w:val="TOC3"/>
            <w:tabs>
              <w:tab w:val="left" w:pos="885"/>
            </w:tabs>
            <w:rPr>
              <w:rFonts w:asciiTheme="minorHAnsi" w:eastAsiaTheme="minorEastAsia" w:hAnsiTheme="minorHAnsi" w:cstheme="minorBidi"/>
            </w:rPr>
          </w:pPr>
          <w:hyperlink w:anchor="_Toc114669403" w:history="1">
            <w:r w:rsidR="0088109C" w:rsidRPr="009C4B06">
              <w:rPr>
                <w:rStyle w:val="Hyperlink"/>
              </w:rPr>
              <w:t>3.3.4</w:t>
            </w:r>
            <w:r w:rsidR="0088109C">
              <w:rPr>
                <w:rFonts w:asciiTheme="minorHAnsi" w:eastAsiaTheme="minorEastAsia" w:hAnsiTheme="minorHAnsi" w:cstheme="minorBidi"/>
              </w:rPr>
              <w:tab/>
            </w:r>
            <w:r w:rsidR="0088109C" w:rsidRPr="009C4B06">
              <w:rPr>
                <w:rStyle w:val="Hyperlink"/>
              </w:rPr>
              <w:t>Woomera Protected Area</w:t>
            </w:r>
            <w:r w:rsidR="0088109C">
              <w:rPr>
                <w:webHidden/>
              </w:rPr>
              <w:tab/>
            </w:r>
            <w:r w:rsidR="0088109C">
              <w:rPr>
                <w:webHidden/>
              </w:rPr>
              <w:fldChar w:fldCharType="begin"/>
            </w:r>
            <w:r w:rsidR="0088109C">
              <w:rPr>
                <w:webHidden/>
              </w:rPr>
              <w:instrText xml:space="preserve"> PAGEREF _Toc114669403 \h </w:instrText>
            </w:r>
            <w:r w:rsidR="0088109C">
              <w:rPr>
                <w:webHidden/>
              </w:rPr>
            </w:r>
            <w:r w:rsidR="0088109C">
              <w:rPr>
                <w:webHidden/>
              </w:rPr>
              <w:fldChar w:fldCharType="separate"/>
            </w:r>
            <w:r w:rsidR="0088109C">
              <w:rPr>
                <w:webHidden/>
              </w:rPr>
              <w:t>10</w:t>
            </w:r>
            <w:r w:rsidR="0088109C">
              <w:rPr>
                <w:webHidden/>
              </w:rPr>
              <w:fldChar w:fldCharType="end"/>
            </w:r>
          </w:hyperlink>
        </w:p>
        <w:p w14:paraId="5C9DB3E0" w14:textId="71C4254C" w:rsidR="0088109C" w:rsidRDefault="00DA229B">
          <w:pPr>
            <w:pStyle w:val="TOC3"/>
            <w:tabs>
              <w:tab w:val="left" w:pos="885"/>
            </w:tabs>
            <w:rPr>
              <w:rFonts w:asciiTheme="minorHAnsi" w:eastAsiaTheme="minorEastAsia" w:hAnsiTheme="minorHAnsi" w:cstheme="minorBidi"/>
            </w:rPr>
          </w:pPr>
          <w:hyperlink w:anchor="_Toc114669404" w:history="1">
            <w:r w:rsidR="0088109C" w:rsidRPr="009C4B06">
              <w:rPr>
                <w:rStyle w:val="Hyperlink"/>
              </w:rPr>
              <w:t>3.3.5</w:t>
            </w:r>
            <w:r w:rsidR="0088109C">
              <w:rPr>
                <w:rFonts w:asciiTheme="minorHAnsi" w:eastAsiaTheme="minorEastAsia" w:hAnsiTheme="minorHAnsi" w:cstheme="minorBidi"/>
              </w:rPr>
              <w:tab/>
            </w:r>
            <w:r w:rsidR="0088109C" w:rsidRPr="009C4B06">
              <w:rPr>
                <w:rStyle w:val="Hyperlink"/>
              </w:rPr>
              <w:t>[Exmouth coordination zone]</w:t>
            </w:r>
            <w:r w:rsidR="0088109C">
              <w:rPr>
                <w:webHidden/>
              </w:rPr>
              <w:tab/>
            </w:r>
            <w:r w:rsidR="0088109C">
              <w:rPr>
                <w:webHidden/>
              </w:rPr>
              <w:fldChar w:fldCharType="begin"/>
            </w:r>
            <w:r w:rsidR="0088109C">
              <w:rPr>
                <w:webHidden/>
              </w:rPr>
              <w:instrText xml:space="preserve"> PAGEREF _Toc114669404 \h </w:instrText>
            </w:r>
            <w:r w:rsidR="0088109C">
              <w:rPr>
                <w:webHidden/>
              </w:rPr>
            </w:r>
            <w:r w:rsidR="0088109C">
              <w:rPr>
                <w:webHidden/>
              </w:rPr>
              <w:fldChar w:fldCharType="separate"/>
            </w:r>
            <w:r w:rsidR="0088109C">
              <w:rPr>
                <w:webHidden/>
              </w:rPr>
              <w:t>10</w:t>
            </w:r>
            <w:r w:rsidR="0088109C">
              <w:rPr>
                <w:webHidden/>
              </w:rPr>
              <w:fldChar w:fldCharType="end"/>
            </w:r>
          </w:hyperlink>
        </w:p>
        <w:p w14:paraId="290A79DC" w14:textId="3F3833CB" w:rsidR="0088109C" w:rsidRDefault="00DA229B">
          <w:pPr>
            <w:pStyle w:val="TOC3"/>
            <w:tabs>
              <w:tab w:val="left" w:pos="885"/>
            </w:tabs>
            <w:rPr>
              <w:rFonts w:asciiTheme="minorHAnsi" w:eastAsiaTheme="minorEastAsia" w:hAnsiTheme="minorHAnsi" w:cstheme="minorBidi"/>
            </w:rPr>
          </w:pPr>
          <w:hyperlink w:anchor="_Toc114669405" w:history="1">
            <w:r w:rsidR="0088109C" w:rsidRPr="009C4B06">
              <w:rPr>
                <w:rStyle w:val="Hyperlink"/>
              </w:rPr>
              <w:t>3.3.6</w:t>
            </w:r>
            <w:r w:rsidR="0088109C">
              <w:rPr>
                <w:rFonts w:asciiTheme="minorHAnsi" w:eastAsiaTheme="minorEastAsia" w:hAnsiTheme="minorHAnsi" w:cstheme="minorBidi"/>
              </w:rPr>
              <w:tab/>
            </w:r>
            <w:r w:rsidR="0088109C" w:rsidRPr="009C4B06">
              <w:rPr>
                <w:rStyle w:val="Hyperlink"/>
              </w:rPr>
              <w:t>Assignment priority</w:t>
            </w:r>
            <w:r w:rsidR="0088109C">
              <w:rPr>
                <w:webHidden/>
              </w:rPr>
              <w:tab/>
            </w:r>
            <w:r w:rsidR="0088109C">
              <w:rPr>
                <w:webHidden/>
              </w:rPr>
              <w:fldChar w:fldCharType="begin"/>
            </w:r>
            <w:r w:rsidR="0088109C">
              <w:rPr>
                <w:webHidden/>
              </w:rPr>
              <w:instrText xml:space="preserve"> PAGEREF _Toc114669405 \h </w:instrText>
            </w:r>
            <w:r w:rsidR="0088109C">
              <w:rPr>
                <w:webHidden/>
              </w:rPr>
            </w:r>
            <w:r w:rsidR="0088109C">
              <w:rPr>
                <w:webHidden/>
              </w:rPr>
              <w:fldChar w:fldCharType="separate"/>
            </w:r>
            <w:r w:rsidR="0088109C">
              <w:rPr>
                <w:webHidden/>
              </w:rPr>
              <w:t>10</w:t>
            </w:r>
            <w:r w:rsidR="0088109C">
              <w:rPr>
                <w:webHidden/>
              </w:rPr>
              <w:fldChar w:fldCharType="end"/>
            </w:r>
          </w:hyperlink>
        </w:p>
        <w:p w14:paraId="11F1AC77" w14:textId="5933B268" w:rsidR="0088109C" w:rsidRDefault="00DA229B">
          <w:pPr>
            <w:pStyle w:val="TOC3"/>
            <w:tabs>
              <w:tab w:val="left" w:pos="885"/>
            </w:tabs>
            <w:rPr>
              <w:rFonts w:asciiTheme="minorHAnsi" w:eastAsiaTheme="minorEastAsia" w:hAnsiTheme="minorHAnsi" w:cstheme="minorBidi"/>
            </w:rPr>
          </w:pPr>
          <w:hyperlink w:anchor="_Toc114669406" w:history="1">
            <w:r w:rsidR="0088109C" w:rsidRPr="009C4B06">
              <w:rPr>
                <w:rStyle w:val="Hyperlink"/>
              </w:rPr>
              <w:t>3.3.7</w:t>
            </w:r>
            <w:r w:rsidR="0088109C">
              <w:rPr>
                <w:rFonts w:asciiTheme="minorHAnsi" w:eastAsiaTheme="minorEastAsia" w:hAnsiTheme="minorHAnsi" w:cstheme="minorBidi"/>
              </w:rPr>
              <w:tab/>
            </w:r>
            <w:r w:rsidR="0088109C" w:rsidRPr="009C4B06">
              <w:rPr>
                <w:rStyle w:val="Hyperlink"/>
              </w:rPr>
              <w:t>Allocation quantum policy</w:t>
            </w:r>
            <w:r w:rsidR="0088109C">
              <w:rPr>
                <w:webHidden/>
              </w:rPr>
              <w:tab/>
            </w:r>
            <w:r w:rsidR="0088109C">
              <w:rPr>
                <w:webHidden/>
              </w:rPr>
              <w:fldChar w:fldCharType="begin"/>
            </w:r>
            <w:r w:rsidR="0088109C">
              <w:rPr>
                <w:webHidden/>
              </w:rPr>
              <w:instrText xml:space="preserve"> PAGEREF _Toc114669406 \h </w:instrText>
            </w:r>
            <w:r w:rsidR="0088109C">
              <w:rPr>
                <w:webHidden/>
              </w:rPr>
            </w:r>
            <w:r w:rsidR="0088109C">
              <w:rPr>
                <w:webHidden/>
              </w:rPr>
              <w:fldChar w:fldCharType="separate"/>
            </w:r>
            <w:r w:rsidR="0088109C">
              <w:rPr>
                <w:webHidden/>
              </w:rPr>
              <w:t>10</w:t>
            </w:r>
            <w:r w:rsidR="0088109C">
              <w:rPr>
                <w:webHidden/>
              </w:rPr>
              <w:fldChar w:fldCharType="end"/>
            </w:r>
          </w:hyperlink>
        </w:p>
        <w:p w14:paraId="7F7205E7" w14:textId="2A02FE67" w:rsidR="0088109C" w:rsidRDefault="00DA229B">
          <w:pPr>
            <w:pStyle w:val="TOC1"/>
            <w:tabs>
              <w:tab w:val="left" w:pos="885"/>
            </w:tabs>
            <w:rPr>
              <w:rFonts w:asciiTheme="minorHAnsi" w:eastAsiaTheme="minorEastAsia" w:hAnsiTheme="minorHAnsi" w:cstheme="minorBidi"/>
              <w:b w:val="0"/>
              <w:spacing w:val="0"/>
              <w:sz w:val="22"/>
              <w:szCs w:val="22"/>
            </w:rPr>
          </w:pPr>
          <w:hyperlink w:anchor="_Toc114669407" w:history="1">
            <w:r w:rsidR="0088109C" w:rsidRPr="009C4B06">
              <w:rPr>
                <w:rStyle w:val="Hyperlink"/>
                <w14:scene3d>
                  <w14:camera w14:prst="orthographicFront"/>
                  <w14:lightRig w14:rig="threePt" w14:dir="t">
                    <w14:rot w14:lat="0" w14:lon="0" w14:rev="0"/>
                  </w14:lightRig>
                </w14:scene3d>
              </w:rPr>
              <w:t>4</w:t>
            </w:r>
            <w:r w:rsidR="0088109C">
              <w:rPr>
                <w:rFonts w:asciiTheme="minorHAnsi" w:eastAsiaTheme="minorEastAsia" w:hAnsiTheme="minorHAnsi" w:cstheme="minorBidi"/>
                <w:b w:val="0"/>
                <w:spacing w:val="0"/>
                <w:sz w:val="22"/>
                <w:szCs w:val="22"/>
              </w:rPr>
              <w:tab/>
            </w:r>
            <w:r w:rsidR="0088109C" w:rsidRPr="009C4B06">
              <w:rPr>
                <w:rStyle w:val="Hyperlink"/>
              </w:rPr>
              <w:t>Frequency coordination procedures and pre-registration requirements</w:t>
            </w:r>
            <w:r w:rsidR="0088109C">
              <w:rPr>
                <w:webHidden/>
              </w:rPr>
              <w:tab/>
            </w:r>
            <w:r w:rsidR="0088109C">
              <w:rPr>
                <w:webHidden/>
              </w:rPr>
              <w:fldChar w:fldCharType="begin"/>
            </w:r>
            <w:r w:rsidR="0088109C">
              <w:rPr>
                <w:webHidden/>
              </w:rPr>
              <w:instrText xml:space="preserve"> PAGEREF _Toc114669407 \h </w:instrText>
            </w:r>
            <w:r w:rsidR="0088109C">
              <w:rPr>
                <w:webHidden/>
              </w:rPr>
            </w:r>
            <w:r w:rsidR="0088109C">
              <w:rPr>
                <w:webHidden/>
              </w:rPr>
              <w:fldChar w:fldCharType="separate"/>
            </w:r>
            <w:r w:rsidR="0088109C">
              <w:rPr>
                <w:webHidden/>
              </w:rPr>
              <w:t>11</w:t>
            </w:r>
            <w:r w:rsidR="0088109C">
              <w:rPr>
                <w:webHidden/>
              </w:rPr>
              <w:fldChar w:fldCharType="end"/>
            </w:r>
          </w:hyperlink>
        </w:p>
        <w:p w14:paraId="5459635B" w14:textId="558136C9" w:rsidR="0088109C" w:rsidRDefault="00DA229B">
          <w:pPr>
            <w:pStyle w:val="TOC2"/>
            <w:rPr>
              <w:rFonts w:asciiTheme="minorHAnsi" w:eastAsiaTheme="minorEastAsia" w:hAnsiTheme="minorHAnsi" w:cstheme="minorBidi"/>
              <w:spacing w:val="0"/>
              <w:sz w:val="22"/>
              <w:szCs w:val="22"/>
            </w:rPr>
          </w:pPr>
          <w:hyperlink w:anchor="_Toc114669408" w:history="1">
            <w:r w:rsidR="0088109C" w:rsidRPr="009C4B06">
              <w:rPr>
                <w:rStyle w:val="Hyperlink"/>
              </w:rPr>
              <w:t>4.1</w:t>
            </w:r>
            <w:r w:rsidR="0088109C">
              <w:rPr>
                <w:rFonts w:asciiTheme="minorHAnsi" w:eastAsiaTheme="minorEastAsia" w:hAnsiTheme="minorHAnsi" w:cstheme="minorBidi"/>
                <w:spacing w:val="0"/>
                <w:sz w:val="22"/>
                <w:szCs w:val="22"/>
              </w:rPr>
              <w:tab/>
            </w:r>
            <w:r w:rsidR="0088109C" w:rsidRPr="009C4B06">
              <w:rPr>
                <w:rStyle w:val="Hyperlink"/>
              </w:rPr>
              <w:t>Coordination at the geographic boundary</w:t>
            </w:r>
            <w:r w:rsidR="0088109C">
              <w:rPr>
                <w:webHidden/>
              </w:rPr>
              <w:tab/>
            </w:r>
            <w:r w:rsidR="0088109C">
              <w:rPr>
                <w:webHidden/>
              </w:rPr>
              <w:fldChar w:fldCharType="begin"/>
            </w:r>
            <w:r w:rsidR="0088109C">
              <w:rPr>
                <w:webHidden/>
              </w:rPr>
              <w:instrText xml:space="preserve"> PAGEREF _Toc114669408 \h </w:instrText>
            </w:r>
            <w:r w:rsidR="0088109C">
              <w:rPr>
                <w:webHidden/>
              </w:rPr>
            </w:r>
            <w:r w:rsidR="0088109C">
              <w:rPr>
                <w:webHidden/>
              </w:rPr>
              <w:fldChar w:fldCharType="separate"/>
            </w:r>
            <w:r w:rsidR="0088109C">
              <w:rPr>
                <w:webHidden/>
              </w:rPr>
              <w:t>11</w:t>
            </w:r>
            <w:r w:rsidR="0088109C">
              <w:rPr>
                <w:webHidden/>
              </w:rPr>
              <w:fldChar w:fldCharType="end"/>
            </w:r>
          </w:hyperlink>
        </w:p>
        <w:p w14:paraId="04457E64" w14:textId="5910AC86" w:rsidR="0088109C" w:rsidRDefault="00DA229B">
          <w:pPr>
            <w:pStyle w:val="TOC3"/>
            <w:tabs>
              <w:tab w:val="left" w:pos="885"/>
            </w:tabs>
            <w:rPr>
              <w:rFonts w:asciiTheme="minorHAnsi" w:eastAsiaTheme="minorEastAsia" w:hAnsiTheme="minorHAnsi" w:cstheme="minorBidi"/>
            </w:rPr>
          </w:pPr>
          <w:hyperlink w:anchor="_Toc114669409" w:history="1">
            <w:r w:rsidR="0088109C" w:rsidRPr="009C4B06">
              <w:rPr>
                <w:rStyle w:val="Hyperlink"/>
              </w:rPr>
              <w:t>4.1.1</w:t>
            </w:r>
            <w:r w:rsidR="0088109C">
              <w:rPr>
                <w:rFonts w:asciiTheme="minorHAnsi" w:eastAsiaTheme="minorEastAsia" w:hAnsiTheme="minorHAnsi" w:cstheme="minorBidi"/>
              </w:rPr>
              <w:tab/>
            </w:r>
            <w:r w:rsidR="0088109C" w:rsidRPr="009C4B06">
              <w:rPr>
                <w:rStyle w:val="Hyperlink"/>
              </w:rPr>
              <w:t>Coordination at the AWL geographic boundary</w:t>
            </w:r>
            <w:r w:rsidR="0088109C">
              <w:rPr>
                <w:webHidden/>
              </w:rPr>
              <w:tab/>
            </w:r>
            <w:r w:rsidR="0088109C">
              <w:rPr>
                <w:webHidden/>
              </w:rPr>
              <w:fldChar w:fldCharType="begin"/>
            </w:r>
            <w:r w:rsidR="0088109C">
              <w:rPr>
                <w:webHidden/>
              </w:rPr>
              <w:instrText xml:space="preserve"> PAGEREF _Toc114669409 \h </w:instrText>
            </w:r>
            <w:r w:rsidR="0088109C">
              <w:rPr>
                <w:webHidden/>
              </w:rPr>
            </w:r>
            <w:r w:rsidR="0088109C">
              <w:rPr>
                <w:webHidden/>
              </w:rPr>
              <w:fldChar w:fldCharType="separate"/>
            </w:r>
            <w:r w:rsidR="0088109C">
              <w:rPr>
                <w:webHidden/>
              </w:rPr>
              <w:t>11</w:t>
            </w:r>
            <w:r w:rsidR="0088109C">
              <w:rPr>
                <w:webHidden/>
              </w:rPr>
              <w:fldChar w:fldCharType="end"/>
            </w:r>
          </w:hyperlink>
        </w:p>
        <w:p w14:paraId="790E7E1E" w14:textId="391E6C97" w:rsidR="0088109C" w:rsidRDefault="00DA229B">
          <w:pPr>
            <w:pStyle w:val="TOC3"/>
            <w:tabs>
              <w:tab w:val="left" w:pos="885"/>
            </w:tabs>
            <w:rPr>
              <w:rFonts w:asciiTheme="minorHAnsi" w:eastAsiaTheme="minorEastAsia" w:hAnsiTheme="minorHAnsi" w:cstheme="minorBidi"/>
            </w:rPr>
          </w:pPr>
          <w:hyperlink w:anchor="_Toc114669410" w:history="1">
            <w:r w:rsidR="0088109C" w:rsidRPr="009C4B06">
              <w:rPr>
                <w:rStyle w:val="Hyperlink"/>
              </w:rPr>
              <w:t>4.1.2</w:t>
            </w:r>
            <w:r w:rsidR="0088109C">
              <w:rPr>
                <w:rFonts w:asciiTheme="minorHAnsi" w:eastAsiaTheme="minorEastAsia" w:hAnsiTheme="minorHAnsi" w:cstheme="minorBidi"/>
              </w:rPr>
              <w:tab/>
            </w:r>
            <w:r w:rsidR="0088109C" w:rsidRPr="009C4B06">
              <w:rPr>
                <w:rStyle w:val="Hyperlink"/>
              </w:rPr>
              <w:t>Coordination at the geographic boundary of a spectrum licensed (SL) area</w:t>
            </w:r>
            <w:r w:rsidR="0088109C">
              <w:rPr>
                <w:webHidden/>
              </w:rPr>
              <w:tab/>
            </w:r>
            <w:r w:rsidR="0088109C">
              <w:rPr>
                <w:webHidden/>
              </w:rPr>
              <w:fldChar w:fldCharType="begin"/>
            </w:r>
            <w:r w:rsidR="0088109C">
              <w:rPr>
                <w:webHidden/>
              </w:rPr>
              <w:instrText xml:space="preserve"> PAGEREF _Toc114669410 \h </w:instrText>
            </w:r>
            <w:r w:rsidR="0088109C">
              <w:rPr>
                <w:webHidden/>
              </w:rPr>
            </w:r>
            <w:r w:rsidR="0088109C">
              <w:rPr>
                <w:webHidden/>
              </w:rPr>
              <w:fldChar w:fldCharType="separate"/>
            </w:r>
            <w:r w:rsidR="0088109C">
              <w:rPr>
                <w:webHidden/>
              </w:rPr>
              <w:t>11</w:t>
            </w:r>
            <w:r w:rsidR="0088109C">
              <w:rPr>
                <w:webHidden/>
              </w:rPr>
              <w:fldChar w:fldCharType="end"/>
            </w:r>
          </w:hyperlink>
        </w:p>
        <w:p w14:paraId="3C094327" w14:textId="4A0AA657" w:rsidR="0088109C" w:rsidRDefault="00DA229B">
          <w:pPr>
            <w:pStyle w:val="TOC2"/>
            <w:rPr>
              <w:rFonts w:asciiTheme="minorHAnsi" w:eastAsiaTheme="minorEastAsia" w:hAnsiTheme="minorHAnsi" w:cstheme="minorBidi"/>
              <w:spacing w:val="0"/>
              <w:sz w:val="22"/>
              <w:szCs w:val="22"/>
            </w:rPr>
          </w:pPr>
          <w:hyperlink w:anchor="_Toc114669411" w:history="1">
            <w:r w:rsidR="0088109C" w:rsidRPr="009C4B06">
              <w:rPr>
                <w:rStyle w:val="Hyperlink"/>
              </w:rPr>
              <w:t>4.2</w:t>
            </w:r>
            <w:r w:rsidR="0088109C">
              <w:rPr>
                <w:rFonts w:asciiTheme="minorHAnsi" w:eastAsiaTheme="minorEastAsia" w:hAnsiTheme="minorHAnsi" w:cstheme="minorBidi"/>
                <w:spacing w:val="0"/>
                <w:sz w:val="22"/>
                <w:szCs w:val="22"/>
              </w:rPr>
              <w:tab/>
            </w:r>
            <w:r w:rsidR="0088109C" w:rsidRPr="009C4B06">
              <w:rPr>
                <w:rStyle w:val="Hyperlink"/>
              </w:rPr>
              <w:t>Coordination with AWL receivers</w:t>
            </w:r>
            <w:r w:rsidR="0088109C">
              <w:rPr>
                <w:webHidden/>
              </w:rPr>
              <w:tab/>
            </w:r>
            <w:r w:rsidR="0088109C">
              <w:rPr>
                <w:webHidden/>
              </w:rPr>
              <w:fldChar w:fldCharType="begin"/>
            </w:r>
            <w:r w:rsidR="0088109C">
              <w:rPr>
                <w:webHidden/>
              </w:rPr>
              <w:instrText xml:space="preserve"> PAGEREF _Toc114669411 \h </w:instrText>
            </w:r>
            <w:r w:rsidR="0088109C">
              <w:rPr>
                <w:webHidden/>
              </w:rPr>
            </w:r>
            <w:r w:rsidR="0088109C">
              <w:rPr>
                <w:webHidden/>
              </w:rPr>
              <w:fldChar w:fldCharType="separate"/>
            </w:r>
            <w:r w:rsidR="0088109C">
              <w:rPr>
                <w:webHidden/>
              </w:rPr>
              <w:t>12</w:t>
            </w:r>
            <w:r w:rsidR="0088109C">
              <w:rPr>
                <w:webHidden/>
              </w:rPr>
              <w:fldChar w:fldCharType="end"/>
            </w:r>
          </w:hyperlink>
        </w:p>
        <w:p w14:paraId="4A620B8E" w14:textId="1D2969DF" w:rsidR="0088109C" w:rsidRDefault="00DA229B">
          <w:pPr>
            <w:pStyle w:val="TOC3"/>
            <w:tabs>
              <w:tab w:val="left" w:pos="885"/>
            </w:tabs>
            <w:rPr>
              <w:rFonts w:asciiTheme="minorHAnsi" w:eastAsiaTheme="minorEastAsia" w:hAnsiTheme="minorHAnsi" w:cstheme="minorBidi"/>
            </w:rPr>
          </w:pPr>
          <w:hyperlink w:anchor="_Toc114669412" w:history="1">
            <w:r w:rsidR="0088109C" w:rsidRPr="009C4B06">
              <w:rPr>
                <w:rStyle w:val="Hyperlink"/>
              </w:rPr>
              <w:t>4.2.1</w:t>
            </w:r>
            <w:r w:rsidR="0088109C">
              <w:rPr>
                <w:rFonts w:asciiTheme="minorHAnsi" w:eastAsiaTheme="minorEastAsia" w:hAnsiTheme="minorHAnsi" w:cstheme="minorBidi"/>
              </w:rPr>
              <w:tab/>
            </w:r>
            <w:r w:rsidR="0088109C" w:rsidRPr="009C4B06">
              <w:rPr>
                <w:rStyle w:val="Hyperlink"/>
              </w:rPr>
              <w:t>Co-channel coordination</w:t>
            </w:r>
            <w:r w:rsidR="0088109C">
              <w:rPr>
                <w:webHidden/>
              </w:rPr>
              <w:tab/>
            </w:r>
            <w:r w:rsidR="0088109C">
              <w:rPr>
                <w:webHidden/>
              </w:rPr>
              <w:fldChar w:fldCharType="begin"/>
            </w:r>
            <w:r w:rsidR="0088109C">
              <w:rPr>
                <w:webHidden/>
              </w:rPr>
              <w:instrText xml:space="preserve"> PAGEREF _Toc114669412 \h </w:instrText>
            </w:r>
            <w:r w:rsidR="0088109C">
              <w:rPr>
                <w:webHidden/>
              </w:rPr>
            </w:r>
            <w:r w:rsidR="0088109C">
              <w:rPr>
                <w:webHidden/>
              </w:rPr>
              <w:fldChar w:fldCharType="separate"/>
            </w:r>
            <w:r w:rsidR="0088109C">
              <w:rPr>
                <w:webHidden/>
              </w:rPr>
              <w:t>12</w:t>
            </w:r>
            <w:r w:rsidR="0088109C">
              <w:rPr>
                <w:webHidden/>
              </w:rPr>
              <w:fldChar w:fldCharType="end"/>
            </w:r>
          </w:hyperlink>
        </w:p>
        <w:p w14:paraId="2E621F01" w14:textId="0E4849E1" w:rsidR="0088109C" w:rsidRDefault="00DA229B">
          <w:pPr>
            <w:pStyle w:val="TOC3"/>
            <w:tabs>
              <w:tab w:val="left" w:pos="885"/>
            </w:tabs>
            <w:rPr>
              <w:rFonts w:asciiTheme="minorHAnsi" w:eastAsiaTheme="minorEastAsia" w:hAnsiTheme="minorHAnsi" w:cstheme="minorBidi"/>
            </w:rPr>
          </w:pPr>
          <w:hyperlink w:anchor="_Toc114669413" w:history="1">
            <w:r w:rsidR="0088109C" w:rsidRPr="009C4B06">
              <w:rPr>
                <w:rStyle w:val="Hyperlink"/>
              </w:rPr>
              <w:t>4.2.2</w:t>
            </w:r>
            <w:r w:rsidR="0088109C">
              <w:rPr>
                <w:rFonts w:asciiTheme="minorHAnsi" w:eastAsiaTheme="minorEastAsia" w:hAnsiTheme="minorHAnsi" w:cstheme="minorBidi"/>
              </w:rPr>
              <w:tab/>
            </w:r>
            <w:r w:rsidR="0088109C" w:rsidRPr="009C4B06">
              <w:rPr>
                <w:rStyle w:val="Hyperlink"/>
              </w:rPr>
              <w:t>Adjacent-channel coordination</w:t>
            </w:r>
            <w:r w:rsidR="0088109C">
              <w:rPr>
                <w:webHidden/>
              </w:rPr>
              <w:tab/>
            </w:r>
            <w:r w:rsidR="0088109C">
              <w:rPr>
                <w:webHidden/>
              </w:rPr>
              <w:fldChar w:fldCharType="begin"/>
            </w:r>
            <w:r w:rsidR="0088109C">
              <w:rPr>
                <w:webHidden/>
              </w:rPr>
              <w:instrText xml:space="preserve"> PAGEREF _Toc114669413 \h </w:instrText>
            </w:r>
            <w:r w:rsidR="0088109C">
              <w:rPr>
                <w:webHidden/>
              </w:rPr>
            </w:r>
            <w:r w:rsidR="0088109C">
              <w:rPr>
                <w:webHidden/>
              </w:rPr>
              <w:fldChar w:fldCharType="separate"/>
            </w:r>
            <w:r w:rsidR="0088109C">
              <w:rPr>
                <w:webHidden/>
              </w:rPr>
              <w:t>12</w:t>
            </w:r>
            <w:r w:rsidR="0088109C">
              <w:rPr>
                <w:webHidden/>
              </w:rPr>
              <w:fldChar w:fldCharType="end"/>
            </w:r>
          </w:hyperlink>
        </w:p>
        <w:p w14:paraId="054C29BB" w14:textId="4F99BCB7" w:rsidR="0088109C" w:rsidRDefault="00DA229B">
          <w:pPr>
            <w:pStyle w:val="TOC3"/>
            <w:rPr>
              <w:rFonts w:asciiTheme="minorHAnsi" w:eastAsiaTheme="minorEastAsia" w:hAnsiTheme="minorHAnsi" w:cstheme="minorBidi"/>
            </w:rPr>
          </w:pPr>
          <w:hyperlink w:anchor="_Toc114669414" w:history="1">
            <w:r w:rsidR="0088109C" w:rsidRPr="009C4B06">
              <w:rPr>
                <w:rStyle w:val="Hyperlink"/>
              </w:rPr>
              <w:t>Failure of coordination</w:t>
            </w:r>
            <w:r w:rsidR="0088109C">
              <w:rPr>
                <w:webHidden/>
              </w:rPr>
              <w:tab/>
            </w:r>
            <w:r w:rsidR="0088109C">
              <w:rPr>
                <w:webHidden/>
              </w:rPr>
              <w:fldChar w:fldCharType="begin"/>
            </w:r>
            <w:r w:rsidR="0088109C">
              <w:rPr>
                <w:webHidden/>
              </w:rPr>
              <w:instrText xml:space="preserve"> PAGEREF _Toc114669414 \h </w:instrText>
            </w:r>
            <w:r w:rsidR="0088109C">
              <w:rPr>
                <w:webHidden/>
              </w:rPr>
            </w:r>
            <w:r w:rsidR="0088109C">
              <w:rPr>
                <w:webHidden/>
              </w:rPr>
              <w:fldChar w:fldCharType="separate"/>
            </w:r>
            <w:r w:rsidR="0088109C">
              <w:rPr>
                <w:webHidden/>
              </w:rPr>
              <w:t>13</w:t>
            </w:r>
            <w:r w:rsidR="0088109C">
              <w:rPr>
                <w:webHidden/>
              </w:rPr>
              <w:fldChar w:fldCharType="end"/>
            </w:r>
          </w:hyperlink>
        </w:p>
        <w:p w14:paraId="55E99F88" w14:textId="7B547D16" w:rsidR="0088109C" w:rsidRDefault="00DA229B">
          <w:pPr>
            <w:pStyle w:val="TOC2"/>
            <w:rPr>
              <w:rFonts w:asciiTheme="minorHAnsi" w:eastAsiaTheme="minorEastAsia" w:hAnsiTheme="minorHAnsi" w:cstheme="minorBidi"/>
              <w:spacing w:val="0"/>
              <w:sz w:val="22"/>
              <w:szCs w:val="22"/>
            </w:rPr>
          </w:pPr>
          <w:hyperlink w:anchor="_Toc114669415" w:history="1">
            <w:r w:rsidR="0088109C" w:rsidRPr="009C4B06">
              <w:rPr>
                <w:rStyle w:val="Hyperlink"/>
              </w:rPr>
              <w:t>4.3</w:t>
            </w:r>
            <w:r w:rsidR="0088109C">
              <w:rPr>
                <w:rFonts w:asciiTheme="minorHAnsi" w:eastAsiaTheme="minorEastAsia" w:hAnsiTheme="minorHAnsi" w:cstheme="minorBidi"/>
                <w:spacing w:val="0"/>
                <w:sz w:val="22"/>
                <w:szCs w:val="22"/>
              </w:rPr>
              <w:tab/>
            </w:r>
            <w:r w:rsidR="0088109C" w:rsidRPr="009C4B06">
              <w:rPr>
                <w:rStyle w:val="Hyperlink"/>
              </w:rPr>
              <w:t>Registration of AWL receivers</w:t>
            </w:r>
            <w:r w:rsidR="0088109C">
              <w:rPr>
                <w:webHidden/>
              </w:rPr>
              <w:tab/>
            </w:r>
            <w:r w:rsidR="0088109C">
              <w:rPr>
                <w:webHidden/>
              </w:rPr>
              <w:fldChar w:fldCharType="begin"/>
            </w:r>
            <w:r w:rsidR="0088109C">
              <w:rPr>
                <w:webHidden/>
              </w:rPr>
              <w:instrText xml:space="preserve"> PAGEREF _Toc114669415 \h </w:instrText>
            </w:r>
            <w:r w:rsidR="0088109C">
              <w:rPr>
                <w:webHidden/>
              </w:rPr>
            </w:r>
            <w:r w:rsidR="0088109C">
              <w:rPr>
                <w:webHidden/>
              </w:rPr>
              <w:fldChar w:fldCharType="separate"/>
            </w:r>
            <w:r w:rsidR="0088109C">
              <w:rPr>
                <w:webHidden/>
              </w:rPr>
              <w:t>13</w:t>
            </w:r>
            <w:r w:rsidR="0088109C">
              <w:rPr>
                <w:webHidden/>
              </w:rPr>
              <w:fldChar w:fldCharType="end"/>
            </w:r>
          </w:hyperlink>
        </w:p>
        <w:p w14:paraId="7E9A11DF" w14:textId="4664E84F" w:rsidR="0088109C" w:rsidRDefault="00DA229B">
          <w:pPr>
            <w:pStyle w:val="TOC3"/>
            <w:tabs>
              <w:tab w:val="left" w:pos="885"/>
            </w:tabs>
            <w:rPr>
              <w:rFonts w:asciiTheme="minorHAnsi" w:eastAsiaTheme="minorEastAsia" w:hAnsiTheme="minorHAnsi" w:cstheme="minorBidi"/>
            </w:rPr>
          </w:pPr>
          <w:hyperlink w:anchor="_Toc114669416" w:history="1">
            <w:r w:rsidR="0088109C" w:rsidRPr="009C4B06">
              <w:rPr>
                <w:rStyle w:val="Hyperlink"/>
              </w:rPr>
              <w:t>4.3.1</w:t>
            </w:r>
            <w:r w:rsidR="0088109C">
              <w:rPr>
                <w:rFonts w:asciiTheme="minorHAnsi" w:eastAsiaTheme="minorEastAsia" w:hAnsiTheme="minorHAnsi" w:cstheme="minorBidi"/>
              </w:rPr>
              <w:tab/>
            </w:r>
            <w:r w:rsidR="0088109C" w:rsidRPr="009C4B06">
              <w:rPr>
                <w:rStyle w:val="Hyperlink"/>
              </w:rPr>
              <w:t>Receiver spurious emission limits</w:t>
            </w:r>
            <w:r w:rsidR="0088109C">
              <w:rPr>
                <w:webHidden/>
              </w:rPr>
              <w:tab/>
            </w:r>
            <w:r w:rsidR="0088109C">
              <w:rPr>
                <w:webHidden/>
              </w:rPr>
              <w:fldChar w:fldCharType="begin"/>
            </w:r>
            <w:r w:rsidR="0088109C">
              <w:rPr>
                <w:webHidden/>
              </w:rPr>
              <w:instrText xml:space="preserve"> PAGEREF _Toc114669416 \h </w:instrText>
            </w:r>
            <w:r w:rsidR="0088109C">
              <w:rPr>
                <w:webHidden/>
              </w:rPr>
            </w:r>
            <w:r w:rsidR="0088109C">
              <w:rPr>
                <w:webHidden/>
              </w:rPr>
              <w:fldChar w:fldCharType="separate"/>
            </w:r>
            <w:r w:rsidR="0088109C">
              <w:rPr>
                <w:webHidden/>
              </w:rPr>
              <w:t>14</w:t>
            </w:r>
            <w:r w:rsidR="0088109C">
              <w:rPr>
                <w:webHidden/>
              </w:rPr>
              <w:fldChar w:fldCharType="end"/>
            </w:r>
          </w:hyperlink>
        </w:p>
        <w:p w14:paraId="77ACA6AC" w14:textId="77895575" w:rsidR="0088109C" w:rsidRDefault="00DA229B">
          <w:pPr>
            <w:pStyle w:val="TOC2"/>
            <w:rPr>
              <w:rFonts w:asciiTheme="minorHAnsi" w:eastAsiaTheme="minorEastAsia" w:hAnsiTheme="minorHAnsi" w:cstheme="minorBidi"/>
              <w:spacing w:val="0"/>
              <w:sz w:val="22"/>
              <w:szCs w:val="22"/>
            </w:rPr>
          </w:pPr>
          <w:hyperlink w:anchor="_Toc114669417" w:history="1">
            <w:r w:rsidR="0088109C" w:rsidRPr="009C4B06">
              <w:rPr>
                <w:rStyle w:val="Hyperlink"/>
              </w:rPr>
              <w:t>4.4</w:t>
            </w:r>
            <w:r w:rsidR="0088109C">
              <w:rPr>
                <w:rFonts w:asciiTheme="minorHAnsi" w:eastAsiaTheme="minorEastAsia" w:hAnsiTheme="minorHAnsi" w:cstheme="minorBidi"/>
                <w:spacing w:val="0"/>
                <w:sz w:val="22"/>
                <w:szCs w:val="22"/>
              </w:rPr>
              <w:tab/>
            </w:r>
            <w:r w:rsidR="0088109C" w:rsidRPr="009C4B06">
              <w:rPr>
                <w:rStyle w:val="Hyperlink"/>
              </w:rPr>
              <w:t>Coordination requirements contained in other RALIs</w:t>
            </w:r>
            <w:r w:rsidR="0088109C">
              <w:rPr>
                <w:webHidden/>
              </w:rPr>
              <w:tab/>
            </w:r>
            <w:r w:rsidR="0088109C">
              <w:rPr>
                <w:webHidden/>
              </w:rPr>
              <w:fldChar w:fldCharType="begin"/>
            </w:r>
            <w:r w:rsidR="0088109C">
              <w:rPr>
                <w:webHidden/>
              </w:rPr>
              <w:instrText xml:space="preserve"> PAGEREF _Toc114669417 \h </w:instrText>
            </w:r>
            <w:r w:rsidR="0088109C">
              <w:rPr>
                <w:webHidden/>
              </w:rPr>
            </w:r>
            <w:r w:rsidR="0088109C">
              <w:rPr>
                <w:webHidden/>
              </w:rPr>
              <w:fldChar w:fldCharType="separate"/>
            </w:r>
            <w:r w:rsidR="0088109C">
              <w:rPr>
                <w:webHidden/>
              </w:rPr>
              <w:t>14</w:t>
            </w:r>
            <w:r w:rsidR="0088109C">
              <w:rPr>
                <w:webHidden/>
              </w:rPr>
              <w:fldChar w:fldCharType="end"/>
            </w:r>
          </w:hyperlink>
        </w:p>
        <w:p w14:paraId="35830EB2" w14:textId="27F83397" w:rsidR="0088109C" w:rsidRDefault="00DA229B">
          <w:pPr>
            <w:pStyle w:val="TOC3"/>
            <w:tabs>
              <w:tab w:val="left" w:pos="885"/>
            </w:tabs>
            <w:rPr>
              <w:rFonts w:asciiTheme="minorHAnsi" w:eastAsiaTheme="minorEastAsia" w:hAnsiTheme="minorHAnsi" w:cstheme="minorBidi"/>
            </w:rPr>
          </w:pPr>
          <w:hyperlink w:anchor="_Toc114669418" w:history="1">
            <w:r w:rsidR="0088109C" w:rsidRPr="009C4B06">
              <w:rPr>
                <w:rStyle w:val="Hyperlink"/>
              </w:rPr>
              <w:t>4.4.1</w:t>
            </w:r>
            <w:r w:rsidR="0088109C">
              <w:rPr>
                <w:rFonts w:asciiTheme="minorHAnsi" w:eastAsiaTheme="minorEastAsia" w:hAnsiTheme="minorHAnsi" w:cstheme="minorBidi"/>
              </w:rPr>
              <w:tab/>
            </w:r>
            <w:r w:rsidR="0088109C" w:rsidRPr="009C4B06">
              <w:rPr>
                <w:rStyle w:val="Hyperlink"/>
              </w:rPr>
              <w:t>Protection from AWL transmitters that are registration exempt</w:t>
            </w:r>
            <w:r w:rsidR="0088109C">
              <w:rPr>
                <w:webHidden/>
              </w:rPr>
              <w:tab/>
            </w:r>
            <w:r w:rsidR="0088109C">
              <w:rPr>
                <w:webHidden/>
              </w:rPr>
              <w:fldChar w:fldCharType="begin"/>
            </w:r>
            <w:r w:rsidR="0088109C">
              <w:rPr>
                <w:webHidden/>
              </w:rPr>
              <w:instrText xml:space="preserve"> PAGEREF _Toc114669418 \h </w:instrText>
            </w:r>
            <w:r w:rsidR="0088109C">
              <w:rPr>
                <w:webHidden/>
              </w:rPr>
            </w:r>
            <w:r w:rsidR="0088109C">
              <w:rPr>
                <w:webHidden/>
              </w:rPr>
              <w:fldChar w:fldCharType="separate"/>
            </w:r>
            <w:r w:rsidR="0088109C">
              <w:rPr>
                <w:webHidden/>
              </w:rPr>
              <w:t>15</w:t>
            </w:r>
            <w:r w:rsidR="0088109C">
              <w:rPr>
                <w:webHidden/>
              </w:rPr>
              <w:fldChar w:fldCharType="end"/>
            </w:r>
          </w:hyperlink>
        </w:p>
        <w:p w14:paraId="7FD78007" w14:textId="0305A371" w:rsidR="0088109C" w:rsidRDefault="00DA229B">
          <w:pPr>
            <w:pStyle w:val="TOC2"/>
            <w:rPr>
              <w:rFonts w:asciiTheme="minorHAnsi" w:eastAsiaTheme="minorEastAsia" w:hAnsiTheme="minorHAnsi" w:cstheme="minorBidi"/>
              <w:spacing w:val="0"/>
              <w:sz w:val="22"/>
              <w:szCs w:val="22"/>
            </w:rPr>
          </w:pPr>
          <w:hyperlink w:anchor="_Toc114669419" w:history="1">
            <w:r w:rsidR="0088109C" w:rsidRPr="009C4B06">
              <w:rPr>
                <w:rStyle w:val="Hyperlink"/>
              </w:rPr>
              <w:t>4.5</w:t>
            </w:r>
            <w:r w:rsidR="0088109C">
              <w:rPr>
                <w:rFonts w:asciiTheme="minorHAnsi" w:eastAsiaTheme="minorEastAsia" w:hAnsiTheme="minorHAnsi" w:cstheme="minorBidi"/>
                <w:spacing w:val="0"/>
                <w:sz w:val="22"/>
                <w:szCs w:val="22"/>
              </w:rPr>
              <w:tab/>
            </w:r>
            <w:r w:rsidR="0088109C" w:rsidRPr="009C4B06">
              <w:rPr>
                <w:rStyle w:val="Hyperlink"/>
              </w:rPr>
              <w:t>Coexistence with incumbent point to multipoint services</w:t>
            </w:r>
            <w:r w:rsidR="0088109C">
              <w:rPr>
                <w:webHidden/>
              </w:rPr>
              <w:tab/>
            </w:r>
            <w:r w:rsidR="0088109C">
              <w:rPr>
                <w:webHidden/>
              </w:rPr>
              <w:fldChar w:fldCharType="begin"/>
            </w:r>
            <w:r w:rsidR="0088109C">
              <w:rPr>
                <w:webHidden/>
              </w:rPr>
              <w:instrText xml:space="preserve"> PAGEREF _Toc114669419 \h </w:instrText>
            </w:r>
            <w:r w:rsidR="0088109C">
              <w:rPr>
                <w:webHidden/>
              </w:rPr>
            </w:r>
            <w:r w:rsidR="0088109C">
              <w:rPr>
                <w:webHidden/>
              </w:rPr>
              <w:fldChar w:fldCharType="separate"/>
            </w:r>
            <w:r w:rsidR="0088109C">
              <w:rPr>
                <w:webHidden/>
              </w:rPr>
              <w:t>15</w:t>
            </w:r>
            <w:r w:rsidR="0088109C">
              <w:rPr>
                <w:webHidden/>
              </w:rPr>
              <w:fldChar w:fldCharType="end"/>
            </w:r>
          </w:hyperlink>
        </w:p>
        <w:p w14:paraId="095783AF" w14:textId="1AC7D44F" w:rsidR="0088109C" w:rsidRDefault="00DA229B">
          <w:pPr>
            <w:pStyle w:val="TOC3"/>
            <w:tabs>
              <w:tab w:val="left" w:pos="885"/>
            </w:tabs>
            <w:rPr>
              <w:rFonts w:asciiTheme="minorHAnsi" w:eastAsiaTheme="minorEastAsia" w:hAnsiTheme="minorHAnsi" w:cstheme="minorBidi"/>
            </w:rPr>
          </w:pPr>
          <w:hyperlink w:anchor="_Toc114669420" w:history="1">
            <w:r w:rsidR="0088109C" w:rsidRPr="009C4B06">
              <w:rPr>
                <w:rStyle w:val="Hyperlink"/>
              </w:rPr>
              <w:t>4.5.1</w:t>
            </w:r>
            <w:r w:rsidR="0088109C">
              <w:rPr>
                <w:rFonts w:asciiTheme="minorHAnsi" w:eastAsiaTheme="minorEastAsia" w:hAnsiTheme="minorHAnsi" w:cstheme="minorBidi"/>
              </w:rPr>
              <w:tab/>
            </w:r>
            <w:r w:rsidR="0088109C" w:rsidRPr="009C4B06">
              <w:rPr>
                <w:rStyle w:val="Hyperlink"/>
              </w:rPr>
              <w:t>Protection of legacy point to multipoint base stations</w:t>
            </w:r>
            <w:r w:rsidR="0088109C">
              <w:rPr>
                <w:webHidden/>
              </w:rPr>
              <w:tab/>
            </w:r>
            <w:r w:rsidR="0088109C">
              <w:rPr>
                <w:webHidden/>
              </w:rPr>
              <w:fldChar w:fldCharType="begin"/>
            </w:r>
            <w:r w:rsidR="0088109C">
              <w:rPr>
                <w:webHidden/>
              </w:rPr>
              <w:instrText xml:space="preserve"> PAGEREF _Toc114669420 \h </w:instrText>
            </w:r>
            <w:r w:rsidR="0088109C">
              <w:rPr>
                <w:webHidden/>
              </w:rPr>
            </w:r>
            <w:r w:rsidR="0088109C">
              <w:rPr>
                <w:webHidden/>
              </w:rPr>
              <w:fldChar w:fldCharType="separate"/>
            </w:r>
            <w:r w:rsidR="0088109C">
              <w:rPr>
                <w:webHidden/>
              </w:rPr>
              <w:t>15</w:t>
            </w:r>
            <w:r w:rsidR="0088109C">
              <w:rPr>
                <w:webHidden/>
              </w:rPr>
              <w:fldChar w:fldCharType="end"/>
            </w:r>
          </w:hyperlink>
        </w:p>
        <w:p w14:paraId="7D637CDA" w14:textId="648A6565" w:rsidR="0088109C" w:rsidRDefault="00DA229B">
          <w:pPr>
            <w:pStyle w:val="TOC3"/>
            <w:tabs>
              <w:tab w:val="left" w:pos="885"/>
            </w:tabs>
            <w:rPr>
              <w:rFonts w:asciiTheme="minorHAnsi" w:eastAsiaTheme="minorEastAsia" w:hAnsiTheme="minorHAnsi" w:cstheme="minorBidi"/>
            </w:rPr>
          </w:pPr>
          <w:hyperlink w:anchor="_Toc114669421" w:history="1">
            <w:r w:rsidR="0088109C" w:rsidRPr="009C4B06">
              <w:rPr>
                <w:rStyle w:val="Hyperlink"/>
              </w:rPr>
              <w:t>4.5.2</w:t>
            </w:r>
            <w:r w:rsidR="0088109C">
              <w:rPr>
                <w:rFonts w:asciiTheme="minorHAnsi" w:eastAsiaTheme="minorEastAsia" w:hAnsiTheme="minorHAnsi" w:cstheme="minorBidi"/>
              </w:rPr>
              <w:tab/>
            </w:r>
            <w:r w:rsidR="0088109C" w:rsidRPr="009C4B06">
              <w:rPr>
                <w:rStyle w:val="Hyperlink"/>
              </w:rPr>
              <w:t>Protection of remote and supplemental base stations</w:t>
            </w:r>
            <w:r w:rsidR="0088109C">
              <w:rPr>
                <w:webHidden/>
              </w:rPr>
              <w:tab/>
            </w:r>
            <w:r w:rsidR="0088109C">
              <w:rPr>
                <w:webHidden/>
              </w:rPr>
              <w:fldChar w:fldCharType="begin"/>
            </w:r>
            <w:r w:rsidR="0088109C">
              <w:rPr>
                <w:webHidden/>
              </w:rPr>
              <w:instrText xml:space="preserve"> PAGEREF _Toc114669421 \h </w:instrText>
            </w:r>
            <w:r w:rsidR="0088109C">
              <w:rPr>
                <w:webHidden/>
              </w:rPr>
            </w:r>
            <w:r w:rsidR="0088109C">
              <w:rPr>
                <w:webHidden/>
              </w:rPr>
              <w:fldChar w:fldCharType="separate"/>
            </w:r>
            <w:r w:rsidR="0088109C">
              <w:rPr>
                <w:webHidden/>
              </w:rPr>
              <w:t>17</w:t>
            </w:r>
            <w:r w:rsidR="0088109C">
              <w:rPr>
                <w:webHidden/>
              </w:rPr>
              <w:fldChar w:fldCharType="end"/>
            </w:r>
          </w:hyperlink>
        </w:p>
        <w:p w14:paraId="6CB9C4CF" w14:textId="03088B17" w:rsidR="0088109C" w:rsidRDefault="00DA229B">
          <w:pPr>
            <w:pStyle w:val="TOC2"/>
            <w:rPr>
              <w:rFonts w:asciiTheme="minorHAnsi" w:eastAsiaTheme="minorEastAsia" w:hAnsiTheme="minorHAnsi" w:cstheme="minorBidi"/>
              <w:spacing w:val="0"/>
              <w:sz w:val="22"/>
              <w:szCs w:val="22"/>
            </w:rPr>
          </w:pPr>
          <w:hyperlink w:anchor="_Toc114669422" w:history="1">
            <w:r w:rsidR="0088109C" w:rsidRPr="009C4B06">
              <w:rPr>
                <w:rStyle w:val="Hyperlink"/>
              </w:rPr>
              <w:t>4.6</w:t>
            </w:r>
            <w:r w:rsidR="0088109C">
              <w:rPr>
                <w:rFonts w:asciiTheme="minorHAnsi" w:eastAsiaTheme="minorEastAsia" w:hAnsiTheme="minorHAnsi" w:cstheme="minorBidi"/>
                <w:spacing w:val="0"/>
                <w:sz w:val="22"/>
                <w:szCs w:val="22"/>
              </w:rPr>
              <w:tab/>
            </w:r>
            <w:r w:rsidR="0088109C" w:rsidRPr="009C4B06">
              <w:rPr>
                <w:rStyle w:val="Hyperlink"/>
              </w:rPr>
              <w:t>[Compatibility with radio-altimeters]</w:t>
            </w:r>
            <w:r w:rsidR="0088109C">
              <w:rPr>
                <w:webHidden/>
              </w:rPr>
              <w:tab/>
            </w:r>
            <w:r w:rsidR="0088109C">
              <w:rPr>
                <w:webHidden/>
              </w:rPr>
              <w:fldChar w:fldCharType="begin"/>
            </w:r>
            <w:r w:rsidR="0088109C">
              <w:rPr>
                <w:webHidden/>
              </w:rPr>
              <w:instrText xml:space="preserve"> PAGEREF _Toc114669422 \h </w:instrText>
            </w:r>
            <w:r w:rsidR="0088109C">
              <w:rPr>
                <w:webHidden/>
              </w:rPr>
            </w:r>
            <w:r w:rsidR="0088109C">
              <w:rPr>
                <w:webHidden/>
              </w:rPr>
              <w:fldChar w:fldCharType="separate"/>
            </w:r>
            <w:r w:rsidR="0088109C">
              <w:rPr>
                <w:webHidden/>
              </w:rPr>
              <w:t>17</w:t>
            </w:r>
            <w:r w:rsidR="0088109C">
              <w:rPr>
                <w:webHidden/>
              </w:rPr>
              <w:fldChar w:fldCharType="end"/>
            </w:r>
          </w:hyperlink>
        </w:p>
        <w:p w14:paraId="2DC01EBA" w14:textId="40244AAF" w:rsidR="0088109C" w:rsidRDefault="00DA229B">
          <w:pPr>
            <w:pStyle w:val="TOC2"/>
            <w:rPr>
              <w:rFonts w:asciiTheme="minorHAnsi" w:eastAsiaTheme="minorEastAsia" w:hAnsiTheme="minorHAnsi" w:cstheme="minorBidi"/>
              <w:spacing w:val="0"/>
              <w:sz w:val="22"/>
              <w:szCs w:val="22"/>
            </w:rPr>
          </w:pPr>
          <w:hyperlink w:anchor="_Toc114669423" w:history="1">
            <w:r w:rsidR="0088109C" w:rsidRPr="009C4B06">
              <w:rPr>
                <w:rStyle w:val="Hyperlink"/>
              </w:rPr>
              <w:t>4.7</w:t>
            </w:r>
            <w:r w:rsidR="0088109C">
              <w:rPr>
                <w:rFonts w:asciiTheme="minorHAnsi" w:eastAsiaTheme="minorEastAsia" w:hAnsiTheme="minorHAnsi" w:cstheme="minorBidi"/>
                <w:spacing w:val="0"/>
                <w:sz w:val="22"/>
                <w:szCs w:val="22"/>
              </w:rPr>
              <w:tab/>
            </w:r>
            <w:r w:rsidR="0088109C" w:rsidRPr="009C4B06">
              <w:rPr>
                <w:rStyle w:val="Hyperlink"/>
              </w:rPr>
              <w:t>Other coordination scenarios</w:t>
            </w:r>
            <w:r w:rsidR="0088109C">
              <w:rPr>
                <w:webHidden/>
              </w:rPr>
              <w:tab/>
            </w:r>
            <w:r w:rsidR="0088109C">
              <w:rPr>
                <w:webHidden/>
              </w:rPr>
              <w:fldChar w:fldCharType="begin"/>
            </w:r>
            <w:r w:rsidR="0088109C">
              <w:rPr>
                <w:webHidden/>
              </w:rPr>
              <w:instrText xml:space="preserve"> PAGEREF _Toc114669423 \h </w:instrText>
            </w:r>
            <w:r w:rsidR="0088109C">
              <w:rPr>
                <w:webHidden/>
              </w:rPr>
            </w:r>
            <w:r w:rsidR="0088109C">
              <w:rPr>
                <w:webHidden/>
              </w:rPr>
              <w:fldChar w:fldCharType="separate"/>
            </w:r>
            <w:r w:rsidR="0088109C">
              <w:rPr>
                <w:webHidden/>
              </w:rPr>
              <w:t>18</w:t>
            </w:r>
            <w:r w:rsidR="0088109C">
              <w:rPr>
                <w:webHidden/>
              </w:rPr>
              <w:fldChar w:fldCharType="end"/>
            </w:r>
          </w:hyperlink>
        </w:p>
        <w:p w14:paraId="3E67A435" w14:textId="2BC61825" w:rsidR="0088109C" w:rsidRDefault="00DA229B">
          <w:pPr>
            <w:pStyle w:val="TOC3"/>
            <w:tabs>
              <w:tab w:val="left" w:pos="885"/>
            </w:tabs>
            <w:rPr>
              <w:rFonts w:asciiTheme="minorHAnsi" w:eastAsiaTheme="minorEastAsia" w:hAnsiTheme="minorHAnsi" w:cstheme="minorBidi"/>
            </w:rPr>
          </w:pPr>
          <w:hyperlink w:anchor="_Toc114669424" w:history="1">
            <w:r w:rsidR="0088109C" w:rsidRPr="009C4B06">
              <w:rPr>
                <w:rStyle w:val="Hyperlink"/>
              </w:rPr>
              <w:t>4.7.1</w:t>
            </w:r>
            <w:r w:rsidR="0088109C">
              <w:rPr>
                <w:rFonts w:asciiTheme="minorHAnsi" w:eastAsiaTheme="minorEastAsia" w:hAnsiTheme="minorHAnsi" w:cstheme="minorBidi"/>
              </w:rPr>
              <w:tab/>
            </w:r>
            <w:r w:rsidR="0088109C" w:rsidRPr="009C4B06">
              <w:rPr>
                <w:rStyle w:val="Hyperlink"/>
              </w:rPr>
              <w:t>Earth station receivers authorised under an earth receive licence</w:t>
            </w:r>
            <w:r w:rsidR="0088109C">
              <w:rPr>
                <w:webHidden/>
              </w:rPr>
              <w:tab/>
            </w:r>
            <w:r w:rsidR="0088109C">
              <w:rPr>
                <w:webHidden/>
              </w:rPr>
              <w:fldChar w:fldCharType="begin"/>
            </w:r>
            <w:r w:rsidR="0088109C">
              <w:rPr>
                <w:webHidden/>
              </w:rPr>
              <w:instrText xml:space="preserve"> PAGEREF _Toc114669424 \h </w:instrText>
            </w:r>
            <w:r w:rsidR="0088109C">
              <w:rPr>
                <w:webHidden/>
              </w:rPr>
            </w:r>
            <w:r w:rsidR="0088109C">
              <w:rPr>
                <w:webHidden/>
              </w:rPr>
              <w:fldChar w:fldCharType="separate"/>
            </w:r>
            <w:r w:rsidR="0088109C">
              <w:rPr>
                <w:webHidden/>
              </w:rPr>
              <w:t>18</w:t>
            </w:r>
            <w:r w:rsidR="0088109C">
              <w:rPr>
                <w:webHidden/>
              </w:rPr>
              <w:fldChar w:fldCharType="end"/>
            </w:r>
          </w:hyperlink>
        </w:p>
        <w:p w14:paraId="2913488B" w14:textId="43333DF1" w:rsidR="0088109C" w:rsidRDefault="00DA229B">
          <w:pPr>
            <w:pStyle w:val="TOC3"/>
            <w:tabs>
              <w:tab w:val="left" w:pos="885"/>
            </w:tabs>
            <w:rPr>
              <w:rFonts w:asciiTheme="minorHAnsi" w:eastAsiaTheme="minorEastAsia" w:hAnsiTheme="minorHAnsi" w:cstheme="minorBidi"/>
            </w:rPr>
          </w:pPr>
          <w:hyperlink w:anchor="_Toc114669425" w:history="1">
            <w:r w:rsidR="0088109C" w:rsidRPr="009C4B06">
              <w:rPr>
                <w:rStyle w:val="Hyperlink"/>
              </w:rPr>
              <w:t>4.7.2</w:t>
            </w:r>
            <w:r w:rsidR="0088109C">
              <w:rPr>
                <w:rFonts w:asciiTheme="minorHAnsi" w:eastAsiaTheme="minorEastAsia" w:hAnsiTheme="minorHAnsi" w:cstheme="minorBidi"/>
              </w:rPr>
              <w:tab/>
            </w:r>
            <w:r w:rsidR="0088109C" w:rsidRPr="009C4B06">
              <w:rPr>
                <w:rStyle w:val="Hyperlink"/>
              </w:rPr>
              <w:t>Radiodetermination services</w:t>
            </w:r>
            <w:r w:rsidR="0088109C">
              <w:rPr>
                <w:webHidden/>
              </w:rPr>
              <w:tab/>
            </w:r>
            <w:r w:rsidR="0088109C">
              <w:rPr>
                <w:webHidden/>
              </w:rPr>
              <w:fldChar w:fldCharType="begin"/>
            </w:r>
            <w:r w:rsidR="0088109C">
              <w:rPr>
                <w:webHidden/>
              </w:rPr>
              <w:instrText xml:space="preserve"> PAGEREF _Toc114669425 \h </w:instrText>
            </w:r>
            <w:r w:rsidR="0088109C">
              <w:rPr>
                <w:webHidden/>
              </w:rPr>
            </w:r>
            <w:r w:rsidR="0088109C">
              <w:rPr>
                <w:webHidden/>
              </w:rPr>
              <w:fldChar w:fldCharType="separate"/>
            </w:r>
            <w:r w:rsidR="0088109C">
              <w:rPr>
                <w:webHidden/>
              </w:rPr>
              <w:t>19</w:t>
            </w:r>
            <w:r w:rsidR="0088109C">
              <w:rPr>
                <w:webHidden/>
              </w:rPr>
              <w:fldChar w:fldCharType="end"/>
            </w:r>
          </w:hyperlink>
        </w:p>
        <w:p w14:paraId="63D2B451" w14:textId="228DE02C" w:rsidR="0088109C" w:rsidRDefault="00DA229B">
          <w:pPr>
            <w:pStyle w:val="TOC3"/>
            <w:tabs>
              <w:tab w:val="left" w:pos="885"/>
            </w:tabs>
            <w:rPr>
              <w:rFonts w:asciiTheme="minorHAnsi" w:eastAsiaTheme="minorEastAsia" w:hAnsiTheme="minorHAnsi" w:cstheme="minorBidi"/>
            </w:rPr>
          </w:pPr>
          <w:hyperlink w:anchor="_Toc114669426" w:history="1">
            <w:r w:rsidR="0088109C" w:rsidRPr="009C4B06">
              <w:rPr>
                <w:rStyle w:val="Hyperlink"/>
              </w:rPr>
              <w:t>4.7.3</w:t>
            </w:r>
            <w:r w:rsidR="0088109C">
              <w:rPr>
                <w:rFonts w:asciiTheme="minorHAnsi" w:eastAsiaTheme="minorEastAsia" w:hAnsiTheme="minorHAnsi" w:cstheme="minorBidi"/>
              </w:rPr>
              <w:tab/>
            </w:r>
            <w:r w:rsidR="0088109C" w:rsidRPr="009C4B06">
              <w:rPr>
                <w:rStyle w:val="Hyperlink"/>
              </w:rPr>
              <w:t>Amateur service</w:t>
            </w:r>
            <w:r w:rsidR="0088109C">
              <w:rPr>
                <w:webHidden/>
              </w:rPr>
              <w:tab/>
            </w:r>
            <w:r w:rsidR="0088109C">
              <w:rPr>
                <w:webHidden/>
              </w:rPr>
              <w:fldChar w:fldCharType="begin"/>
            </w:r>
            <w:r w:rsidR="0088109C">
              <w:rPr>
                <w:webHidden/>
              </w:rPr>
              <w:instrText xml:space="preserve"> PAGEREF _Toc114669426 \h </w:instrText>
            </w:r>
            <w:r w:rsidR="0088109C">
              <w:rPr>
                <w:webHidden/>
              </w:rPr>
            </w:r>
            <w:r w:rsidR="0088109C">
              <w:rPr>
                <w:webHidden/>
              </w:rPr>
              <w:fldChar w:fldCharType="separate"/>
            </w:r>
            <w:r w:rsidR="0088109C">
              <w:rPr>
                <w:webHidden/>
              </w:rPr>
              <w:t>20</w:t>
            </w:r>
            <w:r w:rsidR="0088109C">
              <w:rPr>
                <w:webHidden/>
              </w:rPr>
              <w:fldChar w:fldCharType="end"/>
            </w:r>
          </w:hyperlink>
        </w:p>
        <w:p w14:paraId="255C6DA1" w14:textId="313B6EC9" w:rsidR="0088109C" w:rsidRDefault="00DA229B">
          <w:pPr>
            <w:pStyle w:val="TOC2"/>
            <w:rPr>
              <w:rFonts w:asciiTheme="minorHAnsi" w:eastAsiaTheme="minorEastAsia" w:hAnsiTheme="minorHAnsi" w:cstheme="minorBidi"/>
              <w:spacing w:val="0"/>
              <w:sz w:val="22"/>
              <w:szCs w:val="22"/>
            </w:rPr>
          </w:pPr>
          <w:hyperlink w:anchor="_Toc114669427" w:history="1">
            <w:r w:rsidR="0088109C" w:rsidRPr="009C4B06">
              <w:rPr>
                <w:rStyle w:val="Hyperlink"/>
              </w:rPr>
              <w:t>4.8</w:t>
            </w:r>
            <w:r w:rsidR="0088109C">
              <w:rPr>
                <w:rFonts w:asciiTheme="minorHAnsi" w:eastAsiaTheme="minorEastAsia" w:hAnsiTheme="minorHAnsi" w:cstheme="minorBidi"/>
                <w:spacing w:val="0"/>
                <w:sz w:val="22"/>
                <w:szCs w:val="22"/>
              </w:rPr>
              <w:tab/>
            </w:r>
            <w:r w:rsidR="0088109C" w:rsidRPr="009C4B06">
              <w:rPr>
                <w:rStyle w:val="Hyperlink"/>
              </w:rPr>
              <w:t>Site engineering aspects</w:t>
            </w:r>
            <w:r w:rsidR="0088109C">
              <w:rPr>
                <w:webHidden/>
              </w:rPr>
              <w:tab/>
            </w:r>
            <w:r w:rsidR="0088109C">
              <w:rPr>
                <w:webHidden/>
              </w:rPr>
              <w:fldChar w:fldCharType="begin"/>
            </w:r>
            <w:r w:rsidR="0088109C">
              <w:rPr>
                <w:webHidden/>
              </w:rPr>
              <w:instrText xml:space="preserve"> PAGEREF _Toc114669427 \h </w:instrText>
            </w:r>
            <w:r w:rsidR="0088109C">
              <w:rPr>
                <w:webHidden/>
              </w:rPr>
            </w:r>
            <w:r w:rsidR="0088109C">
              <w:rPr>
                <w:webHidden/>
              </w:rPr>
              <w:fldChar w:fldCharType="separate"/>
            </w:r>
            <w:r w:rsidR="0088109C">
              <w:rPr>
                <w:webHidden/>
              </w:rPr>
              <w:t>20</w:t>
            </w:r>
            <w:r w:rsidR="0088109C">
              <w:rPr>
                <w:webHidden/>
              </w:rPr>
              <w:fldChar w:fldCharType="end"/>
            </w:r>
          </w:hyperlink>
        </w:p>
        <w:p w14:paraId="65E68A09" w14:textId="40C5C326" w:rsidR="0088109C" w:rsidRDefault="00DA229B">
          <w:pPr>
            <w:pStyle w:val="TOC2"/>
            <w:rPr>
              <w:rFonts w:asciiTheme="minorHAnsi" w:eastAsiaTheme="minorEastAsia" w:hAnsiTheme="minorHAnsi" w:cstheme="minorBidi"/>
              <w:spacing w:val="0"/>
              <w:sz w:val="22"/>
              <w:szCs w:val="22"/>
            </w:rPr>
          </w:pPr>
          <w:hyperlink w:anchor="_Toc114669428" w:history="1">
            <w:r w:rsidR="0088109C" w:rsidRPr="009C4B06">
              <w:rPr>
                <w:rStyle w:val="Hyperlink"/>
              </w:rPr>
              <w:t>4.9</w:t>
            </w:r>
            <w:r w:rsidR="0088109C">
              <w:rPr>
                <w:rFonts w:asciiTheme="minorHAnsi" w:eastAsiaTheme="minorEastAsia" w:hAnsiTheme="minorHAnsi" w:cstheme="minorBidi"/>
                <w:spacing w:val="0"/>
                <w:sz w:val="22"/>
                <w:szCs w:val="22"/>
              </w:rPr>
              <w:tab/>
            </w:r>
            <w:r w:rsidR="0088109C" w:rsidRPr="009C4B06">
              <w:rPr>
                <w:rStyle w:val="Hyperlink"/>
              </w:rPr>
              <w:t>Additional information on technical records</w:t>
            </w:r>
            <w:r w:rsidR="0088109C">
              <w:rPr>
                <w:webHidden/>
              </w:rPr>
              <w:tab/>
            </w:r>
            <w:r w:rsidR="0088109C">
              <w:rPr>
                <w:webHidden/>
              </w:rPr>
              <w:fldChar w:fldCharType="begin"/>
            </w:r>
            <w:r w:rsidR="0088109C">
              <w:rPr>
                <w:webHidden/>
              </w:rPr>
              <w:instrText xml:space="preserve"> PAGEREF _Toc114669428 \h </w:instrText>
            </w:r>
            <w:r w:rsidR="0088109C">
              <w:rPr>
                <w:webHidden/>
              </w:rPr>
            </w:r>
            <w:r w:rsidR="0088109C">
              <w:rPr>
                <w:webHidden/>
              </w:rPr>
              <w:fldChar w:fldCharType="separate"/>
            </w:r>
            <w:r w:rsidR="0088109C">
              <w:rPr>
                <w:webHidden/>
              </w:rPr>
              <w:t>21</w:t>
            </w:r>
            <w:r w:rsidR="0088109C">
              <w:rPr>
                <w:webHidden/>
              </w:rPr>
              <w:fldChar w:fldCharType="end"/>
            </w:r>
          </w:hyperlink>
        </w:p>
        <w:p w14:paraId="584A5F39" w14:textId="191E2E1A" w:rsidR="0088109C" w:rsidRDefault="00DA229B">
          <w:pPr>
            <w:pStyle w:val="TOC1"/>
            <w:tabs>
              <w:tab w:val="left" w:pos="885"/>
            </w:tabs>
            <w:rPr>
              <w:rFonts w:asciiTheme="minorHAnsi" w:eastAsiaTheme="minorEastAsia" w:hAnsiTheme="minorHAnsi" w:cstheme="minorBidi"/>
              <w:b w:val="0"/>
              <w:spacing w:val="0"/>
              <w:sz w:val="22"/>
              <w:szCs w:val="22"/>
            </w:rPr>
          </w:pPr>
          <w:hyperlink w:anchor="_Toc114669429" w:history="1">
            <w:r w:rsidR="0088109C" w:rsidRPr="009C4B06">
              <w:rPr>
                <w:rStyle w:val="Hyperlink"/>
                <w14:scene3d>
                  <w14:camera w14:prst="orthographicFront"/>
                  <w14:lightRig w14:rig="threePt" w14:dir="t">
                    <w14:rot w14:lat="0" w14:lon="0" w14:rev="0"/>
                  </w14:lightRig>
                </w14:scene3d>
              </w:rPr>
              <w:t>5</w:t>
            </w:r>
            <w:r w:rsidR="0088109C">
              <w:rPr>
                <w:rFonts w:asciiTheme="minorHAnsi" w:eastAsiaTheme="minorEastAsia" w:hAnsiTheme="minorHAnsi" w:cstheme="minorBidi"/>
                <w:b w:val="0"/>
                <w:spacing w:val="0"/>
                <w:sz w:val="22"/>
                <w:szCs w:val="22"/>
              </w:rPr>
              <w:tab/>
            </w:r>
            <w:r w:rsidR="0088109C" w:rsidRPr="009C4B06">
              <w:rPr>
                <w:rStyle w:val="Hyperlink"/>
              </w:rPr>
              <w:t>Exceptions</w:t>
            </w:r>
            <w:r w:rsidR="0088109C">
              <w:rPr>
                <w:webHidden/>
              </w:rPr>
              <w:tab/>
            </w:r>
            <w:r w:rsidR="0088109C">
              <w:rPr>
                <w:webHidden/>
              </w:rPr>
              <w:fldChar w:fldCharType="begin"/>
            </w:r>
            <w:r w:rsidR="0088109C">
              <w:rPr>
                <w:webHidden/>
              </w:rPr>
              <w:instrText xml:space="preserve"> PAGEREF _Toc114669429 \h </w:instrText>
            </w:r>
            <w:r w:rsidR="0088109C">
              <w:rPr>
                <w:webHidden/>
              </w:rPr>
            </w:r>
            <w:r w:rsidR="0088109C">
              <w:rPr>
                <w:webHidden/>
              </w:rPr>
              <w:fldChar w:fldCharType="separate"/>
            </w:r>
            <w:r w:rsidR="0088109C">
              <w:rPr>
                <w:webHidden/>
              </w:rPr>
              <w:t>22</w:t>
            </w:r>
            <w:r w:rsidR="0088109C">
              <w:rPr>
                <w:webHidden/>
              </w:rPr>
              <w:fldChar w:fldCharType="end"/>
            </w:r>
          </w:hyperlink>
        </w:p>
        <w:p w14:paraId="3833F363" w14:textId="3EC168E7" w:rsidR="0088109C" w:rsidRDefault="00DA229B">
          <w:pPr>
            <w:pStyle w:val="TOC1"/>
            <w:tabs>
              <w:tab w:val="left" w:pos="885"/>
            </w:tabs>
            <w:rPr>
              <w:rFonts w:asciiTheme="minorHAnsi" w:eastAsiaTheme="minorEastAsia" w:hAnsiTheme="minorHAnsi" w:cstheme="minorBidi"/>
              <w:b w:val="0"/>
              <w:spacing w:val="0"/>
              <w:sz w:val="22"/>
              <w:szCs w:val="22"/>
            </w:rPr>
          </w:pPr>
          <w:hyperlink w:anchor="_Toc114669430" w:history="1">
            <w:r w:rsidR="0088109C" w:rsidRPr="009C4B06">
              <w:rPr>
                <w:rStyle w:val="Hyperlink"/>
                <w14:scene3d>
                  <w14:camera w14:prst="orthographicFront"/>
                  <w14:lightRig w14:rig="threePt" w14:dir="t">
                    <w14:rot w14:lat="0" w14:lon="0" w14:rev="0"/>
                  </w14:lightRig>
                </w14:scene3d>
              </w:rPr>
              <w:t>6</w:t>
            </w:r>
            <w:r w:rsidR="0088109C">
              <w:rPr>
                <w:rFonts w:asciiTheme="minorHAnsi" w:eastAsiaTheme="minorEastAsia" w:hAnsiTheme="minorHAnsi" w:cstheme="minorBidi"/>
                <w:b w:val="0"/>
                <w:spacing w:val="0"/>
                <w:sz w:val="22"/>
                <w:szCs w:val="22"/>
              </w:rPr>
              <w:tab/>
            </w:r>
            <w:r w:rsidR="0088109C" w:rsidRPr="009C4B06">
              <w:rPr>
                <w:rStyle w:val="Hyperlink"/>
              </w:rPr>
              <w:t>RALI Authorisation</w:t>
            </w:r>
            <w:r w:rsidR="0088109C">
              <w:rPr>
                <w:webHidden/>
              </w:rPr>
              <w:tab/>
            </w:r>
            <w:r w:rsidR="0088109C">
              <w:rPr>
                <w:webHidden/>
              </w:rPr>
              <w:fldChar w:fldCharType="begin"/>
            </w:r>
            <w:r w:rsidR="0088109C">
              <w:rPr>
                <w:webHidden/>
              </w:rPr>
              <w:instrText xml:space="preserve"> PAGEREF _Toc114669430 \h </w:instrText>
            </w:r>
            <w:r w:rsidR="0088109C">
              <w:rPr>
                <w:webHidden/>
              </w:rPr>
            </w:r>
            <w:r w:rsidR="0088109C">
              <w:rPr>
                <w:webHidden/>
              </w:rPr>
              <w:fldChar w:fldCharType="separate"/>
            </w:r>
            <w:r w:rsidR="0088109C">
              <w:rPr>
                <w:webHidden/>
              </w:rPr>
              <w:t>23</w:t>
            </w:r>
            <w:r w:rsidR="0088109C">
              <w:rPr>
                <w:webHidden/>
              </w:rPr>
              <w:fldChar w:fldCharType="end"/>
            </w:r>
          </w:hyperlink>
        </w:p>
        <w:p w14:paraId="3C0CE319" w14:textId="08F7758F" w:rsidR="0088109C" w:rsidRDefault="00DA229B">
          <w:pPr>
            <w:pStyle w:val="TOC1"/>
            <w:tabs>
              <w:tab w:val="left" w:pos="1760"/>
            </w:tabs>
            <w:rPr>
              <w:rFonts w:asciiTheme="minorHAnsi" w:eastAsiaTheme="minorEastAsia" w:hAnsiTheme="minorHAnsi" w:cstheme="minorBidi"/>
              <w:b w:val="0"/>
              <w:spacing w:val="0"/>
              <w:sz w:val="22"/>
              <w:szCs w:val="22"/>
            </w:rPr>
          </w:pPr>
          <w:hyperlink w:anchor="_Toc114669431" w:history="1">
            <w:r w:rsidR="0088109C" w:rsidRPr="009C4B06">
              <w:rPr>
                <w:rStyle w:val="Hyperlink"/>
              </w:rPr>
              <w:t>Appendix A:</w:t>
            </w:r>
            <w:r w:rsidR="0088109C">
              <w:rPr>
                <w:rFonts w:asciiTheme="minorHAnsi" w:eastAsiaTheme="minorEastAsia" w:hAnsiTheme="minorHAnsi" w:cstheme="minorBidi"/>
                <w:b w:val="0"/>
                <w:spacing w:val="0"/>
                <w:sz w:val="22"/>
                <w:szCs w:val="22"/>
              </w:rPr>
              <w:tab/>
            </w:r>
            <w:r w:rsidR="0088109C" w:rsidRPr="009C4B06">
              <w:rPr>
                <w:rStyle w:val="Hyperlink"/>
              </w:rPr>
              <w:t>Areas available for AWL licensing</w:t>
            </w:r>
            <w:r w:rsidR="0088109C">
              <w:rPr>
                <w:webHidden/>
              </w:rPr>
              <w:tab/>
            </w:r>
            <w:r w:rsidR="0088109C">
              <w:rPr>
                <w:webHidden/>
              </w:rPr>
              <w:fldChar w:fldCharType="begin"/>
            </w:r>
            <w:r w:rsidR="0088109C">
              <w:rPr>
                <w:webHidden/>
              </w:rPr>
              <w:instrText xml:space="preserve"> PAGEREF _Toc114669431 \h </w:instrText>
            </w:r>
            <w:r w:rsidR="0088109C">
              <w:rPr>
                <w:webHidden/>
              </w:rPr>
            </w:r>
            <w:r w:rsidR="0088109C">
              <w:rPr>
                <w:webHidden/>
              </w:rPr>
              <w:fldChar w:fldCharType="separate"/>
            </w:r>
            <w:r w:rsidR="0088109C">
              <w:rPr>
                <w:webHidden/>
              </w:rPr>
              <w:t>24</w:t>
            </w:r>
            <w:r w:rsidR="0088109C">
              <w:rPr>
                <w:webHidden/>
              </w:rPr>
              <w:fldChar w:fldCharType="end"/>
            </w:r>
          </w:hyperlink>
        </w:p>
        <w:p w14:paraId="55711085" w14:textId="3D297B67" w:rsidR="0088109C" w:rsidRDefault="00DA229B">
          <w:pPr>
            <w:pStyle w:val="TOC1"/>
            <w:tabs>
              <w:tab w:val="left" w:pos="1760"/>
            </w:tabs>
            <w:rPr>
              <w:rFonts w:asciiTheme="minorHAnsi" w:eastAsiaTheme="minorEastAsia" w:hAnsiTheme="minorHAnsi" w:cstheme="minorBidi"/>
              <w:b w:val="0"/>
              <w:spacing w:val="0"/>
              <w:sz w:val="22"/>
              <w:szCs w:val="22"/>
            </w:rPr>
          </w:pPr>
          <w:hyperlink w:anchor="_Toc114669432" w:history="1">
            <w:r w:rsidR="0088109C" w:rsidRPr="009C4B06">
              <w:rPr>
                <w:rStyle w:val="Hyperlink"/>
              </w:rPr>
              <w:t>Appendix B:</w:t>
            </w:r>
            <w:r w:rsidR="0088109C">
              <w:rPr>
                <w:rFonts w:asciiTheme="minorHAnsi" w:eastAsiaTheme="minorEastAsia" w:hAnsiTheme="minorHAnsi" w:cstheme="minorBidi"/>
                <w:b w:val="0"/>
                <w:spacing w:val="0"/>
                <w:sz w:val="22"/>
                <w:szCs w:val="22"/>
              </w:rPr>
              <w:tab/>
            </w:r>
            <w:r w:rsidR="0088109C" w:rsidRPr="009C4B06">
              <w:rPr>
                <w:rStyle w:val="Hyperlink"/>
              </w:rPr>
              <w:t>Darwin and Geraldton coordination zone definitions</w:t>
            </w:r>
            <w:r w:rsidR="0088109C">
              <w:rPr>
                <w:webHidden/>
              </w:rPr>
              <w:tab/>
            </w:r>
            <w:r w:rsidR="0088109C">
              <w:rPr>
                <w:webHidden/>
              </w:rPr>
              <w:fldChar w:fldCharType="begin"/>
            </w:r>
            <w:r w:rsidR="0088109C">
              <w:rPr>
                <w:webHidden/>
              </w:rPr>
              <w:instrText xml:space="preserve"> PAGEREF _Toc114669432 \h </w:instrText>
            </w:r>
            <w:r w:rsidR="0088109C">
              <w:rPr>
                <w:webHidden/>
              </w:rPr>
            </w:r>
            <w:r w:rsidR="0088109C">
              <w:rPr>
                <w:webHidden/>
              </w:rPr>
              <w:fldChar w:fldCharType="separate"/>
            </w:r>
            <w:r w:rsidR="0088109C">
              <w:rPr>
                <w:webHidden/>
              </w:rPr>
              <w:t>25</w:t>
            </w:r>
            <w:r w:rsidR="0088109C">
              <w:rPr>
                <w:webHidden/>
              </w:rPr>
              <w:fldChar w:fldCharType="end"/>
            </w:r>
          </w:hyperlink>
        </w:p>
        <w:p w14:paraId="6D93A15F" w14:textId="64FC04AC" w:rsidR="0088109C" w:rsidRDefault="00DA229B">
          <w:pPr>
            <w:pStyle w:val="TOC1"/>
            <w:tabs>
              <w:tab w:val="left" w:pos="1760"/>
            </w:tabs>
            <w:rPr>
              <w:rFonts w:asciiTheme="minorHAnsi" w:eastAsiaTheme="minorEastAsia" w:hAnsiTheme="minorHAnsi" w:cstheme="minorBidi"/>
              <w:b w:val="0"/>
              <w:spacing w:val="0"/>
              <w:sz w:val="22"/>
              <w:szCs w:val="22"/>
            </w:rPr>
          </w:pPr>
          <w:hyperlink w:anchor="_Toc114669433" w:history="1">
            <w:r w:rsidR="0088109C" w:rsidRPr="009C4B06">
              <w:rPr>
                <w:rStyle w:val="Hyperlink"/>
              </w:rPr>
              <w:t>Appendix C:</w:t>
            </w:r>
            <w:r w:rsidR="0088109C">
              <w:rPr>
                <w:rFonts w:asciiTheme="minorHAnsi" w:eastAsiaTheme="minorEastAsia" w:hAnsiTheme="minorHAnsi" w:cstheme="minorBidi"/>
                <w:b w:val="0"/>
                <w:spacing w:val="0"/>
                <w:sz w:val="22"/>
                <w:szCs w:val="22"/>
              </w:rPr>
              <w:tab/>
            </w:r>
            <w:r w:rsidR="0088109C" w:rsidRPr="009C4B06">
              <w:rPr>
                <w:rStyle w:val="Hyperlink"/>
              </w:rPr>
              <w:t>Coverage and interference calculations</w:t>
            </w:r>
            <w:r w:rsidR="0088109C">
              <w:rPr>
                <w:webHidden/>
              </w:rPr>
              <w:tab/>
            </w:r>
            <w:r w:rsidR="0088109C">
              <w:rPr>
                <w:webHidden/>
              </w:rPr>
              <w:fldChar w:fldCharType="begin"/>
            </w:r>
            <w:r w:rsidR="0088109C">
              <w:rPr>
                <w:webHidden/>
              </w:rPr>
              <w:instrText xml:space="preserve"> PAGEREF _Toc114669433 \h </w:instrText>
            </w:r>
            <w:r w:rsidR="0088109C">
              <w:rPr>
                <w:webHidden/>
              </w:rPr>
            </w:r>
            <w:r w:rsidR="0088109C">
              <w:rPr>
                <w:webHidden/>
              </w:rPr>
              <w:fldChar w:fldCharType="separate"/>
            </w:r>
            <w:r w:rsidR="0088109C">
              <w:rPr>
                <w:webHidden/>
              </w:rPr>
              <w:t>33</w:t>
            </w:r>
            <w:r w:rsidR="0088109C">
              <w:rPr>
                <w:webHidden/>
              </w:rPr>
              <w:fldChar w:fldCharType="end"/>
            </w:r>
          </w:hyperlink>
        </w:p>
        <w:p w14:paraId="53A2984C" w14:textId="766E07A4" w:rsidR="0088109C" w:rsidRDefault="00DA229B">
          <w:pPr>
            <w:pStyle w:val="TOC2"/>
            <w:rPr>
              <w:rFonts w:asciiTheme="minorHAnsi" w:eastAsiaTheme="minorEastAsia" w:hAnsiTheme="minorHAnsi" w:cstheme="minorBidi"/>
              <w:spacing w:val="0"/>
              <w:sz w:val="22"/>
              <w:szCs w:val="22"/>
            </w:rPr>
          </w:pPr>
          <w:hyperlink w:anchor="_Toc114669434" w:history="1">
            <w:r w:rsidR="0088109C" w:rsidRPr="009C4B06">
              <w:rPr>
                <w:rStyle w:val="Hyperlink"/>
              </w:rPr>
              <w:t>C.1</w:t>
            </w:r>
            <w:r w:rsidR="0088109C">
              <w:rPr>
                <w:rFonts w:asciiTheme="minorHAnsi" w:eastAsiaTheme="minorEastAsia" w:hAnsiTheme="minorHAnsi" w:cstheme="minorBidi"/>
                <w:spacing w:val="0"/>
                <w:sz w:val="22"/>
                <w:szCs w:val="22"/>
              </w:rPr>
              <w:tab/>
            </w:r>
            <w:r w:rsidR="0088109C" w:rsidRPr="009C4B06">
              <w:rPr>
                <w:rStyle w:val="Hyperlink"/>
              </w:rPr>
              <w:t>Coverage area</w:t>
            </w:r>
            <w:r w:rsidR="0088109C">
              <w:rPr>
                <w:webHidden/>
              </w:rPr>
              <w:tab/>
            </w:r>
            <w:r w:rsidR="0088109C">
              <w:rPr>
                <w:webHidden/>
              </w:rPr>
              <w:fldChar w:fldCharType="begin"/>
            </w:r>
            <w:r w:rsidR="0088109C">
              <w:rPr>
                <w:webHidden/>
              </w:rPr>
              <w:instrText xml:space="preserve"> PAGEREF _Toc114669434 \h </w:instrText>
            </w:r>
            <w:r w:rsidR="0088109C">
              <w:rPr>
                <w:webHidden/>
              </w:rPr>
            </w:r>
            <w:r w:rsidR="0088109C">
              <w:rPr>
                <w:webHidden/>
              </w:rPr>
              <w:fldChar w:fldCharType="separate"/>
            </w:r>
            <w:r w:rsidR="0088109C">
              <w:rPr>
                <w:webHidden/>
              </w:rPr>
              <w:t>33</w:t>
            </w:r>
            <w:r w:rsidR="0088109C">
              <w:rPr>
                <w:webHidden/>
              </w:rPr>
              <w:fldChar w:fldCharType="end"/>
            </w:r>
          </w:hyperlink>
        </w:p>
        <w:p w14:paraId="1FB96CE9" w14:textId="2F0F20BA" w:rsidR="0088109C" w:rsidRDefault="00DA229B">
          <w:pPr>
            <w:pStyle w:val="TOC2"/>
            <w:rPr>
              <w:rFonts w:asciiTheme="minorHAnsi" w:eastAsiaTheme="minorEastAsia" w:hAnsiTheme="minorHAnsi" w:cstheme="minorBidi"/>
              <w:spacing w:val="0"/>
              <w:sz w:val="22"/>
              <w:szCs w:val="22"/>
            </w:rPr>
          </w:pPr>
          <w:hyperlink w:anchor="_Toc114669435" w:history="1">
            <w:r w:rsidR="0088109C" w:rsidRPr="009C4B06">
              <w:rPr>
                <w:rStyle w:val="Hyperlink"/>
              </w:rPr>
              <w:t>C.2</w:t>
            </w:r>
            <w:r w:rsidR="0088109C">
              <w:rPr>
                <w:rFonts w:asciiTheme="minorHAnsi" w:eastAsiaTheme="minorEastAsia" w:hAnsiTheme="minorHAnsi" w:cstheme="minorBidi"/>
                <w:spacing w:val="0"/>
                <w:sz w:val="22"/>
                <w:szCs w:val="22"/>
              </w:rPr>
              <w:tab/>
            </w:r>
            <w:r w:rsidR="0088109C" w:rsidRPr="009C4B06">
              <w:rPr>
                <w:rStyle w:val="Hyperlink"/>
              </w:rPr>
              <w:t>Interference area</w:t>
            </w:r>
            <w:r w:rsidR="0088109C">
              <w:rPr>
                <w:webHidden/>
              </w:rPr>
              <w:tab/>
            </w:r>
            <w:r w:rsidR="0088109C">
              <w:rPr>
                <w:webHidden/>
              </w:rPr>
              <w:fldChar w:fldCharType="begin"/>
            </w:r>
            <w:r w:rsidR="0088109C">
              <w:rPr>
                <w:webHidden/>
              </w:rPr>
              <w:instrText xml:space="preserve"> PAGEREF _Toc114669435 \h </w:instrText>
            </w:r>
            <w:r w:rsidR="0088109C">
              <w:rPr>
                <w:webHidden/>
              </w:rPr>
            </w:r>
            <w:r w:rsidR="0088109C">
              <w:rPr>
                <w:webHidden/>
              </w:rPr>
              <w:fldChar w:fldCharType="separate"/>
            </w:r>
            <w:r w:rsidR="0088109C">
              <w:rPr>
                <w:webHidden/>
              </w:rPr>
              <w:t>33</w:t>
            </w:r>
            <w:r w:rsidR="0088109C">
              <w:rPr>
                <w:webHidden/>
              </w:rPr>
              <w:fldChar w:fldCharType="end"/>
            </w:r>
          </w:hyperlink>
        </w:p>
        <w:p w14:paraId="2793DD32" w14:textId="4A9D6FF1" w:rsidR="0088109C" w:rsidRDefault="00DA229B">
          <w:pPr>
            <w:pStyle w:val="TOC1"/>
            <w:tabs>
              <w:tab w:val="left" w:pos="1760"/>
            </w:tabs>
            <w:rPr>
              <w:rFonts w:asciiTheme="minorHAnsi" w:eastAsiaTheme="minorEastAsia" w:hAnsiTheme="minorHAnsi" w:cstheme="minorBidi"/>
              <w:b w:val="0"/>
              <w:spacing w:val="0"/>
              <w:sz w:val="22"/>
              <w:szCs w:val="22"/>
            </w:rPr>
          </w:pPr>
          <w:hyperlink w:anchor="_Toc114669436" w:history="1">
            <w:r w:rsidR="0088109C" w:rsidRPr="009C4B06">
              <w:rPr>
                <w:rStyle w:val="Hyperlink"/>
              </w:rPr>
              <w:t>Appendix D:</w:t>
            </w:r>
            <w:r w:rsidR="0088109C">
              <w:rPr>
                <w:rFonts w:asciiTheme="minorHAnsi" w:eastAsiaTheme="minorEastAsia" w:hAnsiTheme="minorHAnsi" w:cstheme="minorBidi"/>
                <w:b w:val="0"/>
                <w:spacing w:val="0"/>
                <w:sz w:val="22"/>
                <w:szCs w:val="22"/>
              </w:rPr>
              <w:tab/>
            </w:r>
            <w:r w:rsidR="0088109C" w:rsidRPr="009C4B06">
              <w:rPr>
                <w:rStyle w:val="Hyperlink"/>
              </w:rPr>
              <w:t>Incumbent Apparatus Licenced Point to Multipoint (PMP) Services</w:t>
            </w:r>
            <w:r w:rsidR="0088109C">
              <w:rPr>
                <w:webHidden/>
              </w:rPr>
              <w:tab/>
            </w:r>
            <w:r w:rsidR="0088109C">
              <w:rPr>
                <w:webHidden/>
              </w:rPr>
              <w:fldChar w:fldCharType="begin"/>
            </w:r>
            <w:r w:rsidR="0088109C">
              <w:rPr>
                <w:webHidden/>
              </w:rPr>
              <w:instrText xml:space="preserve"> PAGEREF _Toc114669436 \h </w:instrText>
            </w:r>
            <w:r w:rsidR="0088109C">
              <w:rPr>
                <w:webHidden/>
              </w:rPr>
            </w:r>
            <w:r w:rsidR="0088109C">
              <w:rPr>
                <w:webHidden/>
              </w:rPr>
              <w:fldChar w:fldCharType="separate"/>
            </w:r>
            <w:r w:rsidR="0088109C">
              <w:rPr>
                <w:webHidden/>
              </w:rPr>
              <w:t>34</w:t>
            </w:r>
            <w:r w:rsidR="0088109C">
              <w:rPr>
                <w:webHidden/>
              </w:rPr>
              <w:fldChar w:fldCharType="end"/>
            </w:r>
          </w:hyperlink>
        </w:p>
        <w:p w14:paraId="6E9983A1" w14:textId="4D21E161" w:rsidR="0088109C" w:rsidRDefault="00DA229B">
          <w:pPr>
            <w:pStyle w:val="TOC2"/>
            <w:rPr>
              <w:rFonts w:asciiTheme="minorHAnsi" w:eastAsiaTheme="minorEastAsia" w:hAnsiTheme="minorHAnsi" w:cstheme="minorBidi"/>
              <w:spacing w:val="0"/>
              <w:sz w:val="22"/>
              <w:szCs w:val="22"/>
            </w:rPr>
          </w:pPr>
          <w:hyperlink w:anchor="_Toc114669437" w:history="1">
            <w:r w:rsidR="0088109C" w:rsidRPr="009C4B06">
              <w:rPr>
                <w:rStyle w:val="Hyperlink"/>
              </w:rPr>
              <w:t>D.1</w:t>
            </w:r>
            <w:r w:rsidR="0088109C">
              <w:rPr>
                <w:rFonts w:asciiTheme="minorHAnsi" w:eastAsiaTheme="minorEastAsia" w:hAnsiTheme="minorHAnsi" w:cstheme="minorBidi"/>
                <w:spacing w:val="0"/>
                <w:sz w:val="22"/>
                <w:szCs w:val="22"/>
              </w:rPr>
              <w:tab/>
            </w:r>
            <w:r w:rsidR="0088109C" w:rsidRPr="009C4B06">
              <w:rPr>
                <w:rStyle w:val="Hyperlink"/>
              </w:rPr>
              <w:t>TDD PMP emission limits</w:t>
            </w:r>
            <w:r w:rsidR="0088109C">
              <w:rPr>
                <w:webHidden/>
              </w:rPr>
              <w:tab/>
            </w:r>
            <w:r w:rsidR="0088109C">
              <w:rPr>
                <w:webHidden/>
              </w:rPr>
              <w:fldChar w:fldCharType="begin"/>
            </w:r>
            <w:r w:rsidR="0088109C">
              <w:rPr>
                <w:webHidden/>
              </w:rPr>
              <w:instrText xml:space="preserve"> PAGEREF _Toc114669437 \h </w:instrText>
            </w:r>
            <w:r w:rsidR="0088109C">
              <w:rPr>
                <w:webHidden/>
              </w:rPr>
            </w:r>
            <w:r w:rsidR="0088109C">
              <w:rPr>
                <w:webHidden/>
              </w:rPr>
              <w:fldChar w:fldCharType="separate"/>
            </w:r>
            <w:r w:rsidR="0088109C">
              <w:rPr>
                <w:webHidden/>
              </w:rPr>
              <w:t>34</w:t>
            </w:r>
            <w:r w:rsidR="0088109C">
              <w:rPr>
                <w:webHidden/>
              </w:rPr>
              <w:fldChar w:fldCharType="end"/>
            </w:r>
          </w:hyperlink>
        </w:p>
        <w:p w14:paraId="125BA7BC" w14:textId="5485D392" w:rsidR="0088109C" w:rsidRDefault="00DA229B">
          <w:pPr>
            <w:pStyle w:val="TOC1"/>
            <w:tabs>
              <w:tab w:val="left" w:pos="1760"/>
            </w:tabs>
            <w:rPr>
              <w:rFonts w:asciiTheme="minorHAnsi" w:eastAsiaTheme="minorEastAsia" w:hAnsiTheme="minorHAnsi" w:cstheme="minorBidi"/>
              <w:b w:val="0"/>
              <w:spacing w:val="0"/>
              <w:sz w:val="22"/>
              <w:szCs w:val="22"/>
            </w:rPr>
          </w:pPr>
          <w:hyperlink w:anchor="_Toc114669438" w:history="1">
            <w:r w:rsidR="0088109C" w:rsidRPr="009C4B06">
              <w:rPr>
                <w:rStyle w:val="Hyperlink"/>
              </w:rPr>
              <w:t>Appendix E:</w:t>
            </w:r>
            <w:r w:rsidR="0088109C">
              <w:rPr>
                <w:rFonts w:asciiTheme="minorHAnsi" w:eastAsiaTheme="minorEastAsia" w:hAnsiTheme="minorHAnsi" w:cstheme="minorBidi"/>
                <w:b w:val="0"/>
                <w:spacing w:val="0"/>
                <w:sz w:val="22"/>
                <w:szCs w:val="22"/>
              </w:rPr>
              <w:tab/>
            </w:r>
            <w:r w:rsidR="0088109C" w:rsidRPr="009C4B06">
              <w:rPr>
                <w:rStyle w:val="Hyperlink"/>
              </w:rPr>
              <w:t>Notification requirements</w:t>
            </w:r>
            <w:r w:rsidR="0088109C">
              <w:rPr>
                <w:webHidden/>
              </w:rPr>
              <w:tab/>
            </w:r>
            <w:r w:rsidR="0088109C">
              <w:rPr>
                <w:webHidden/>
              </w:rPr>
              <w:fldChar w:fldCharType="begin"/>
            </w:r>
            <w:r w:rsidR="0088109C">
              <w:rPr>
                <w:webHidden/>
              </w:rPr>
              <w:instrText xml:space="preserve"> PAGEREF _Toc114669438 \h </w:instrText>
            </w:r>
            <w:r w:rsidR="0088109C">
              <w:rPr>
                <w:webHidden/>
              </w:rPr>
            </w:r>
            <w:r w:rsidR="0088109C">
              <w:rPr>
                <w:webHidden/>
              </w:rPr>
              <w:fldChar w:fldCharType="separate"/>
            </w:r>
            <w:r w:rsidR="0088109C">
              <w:rPr>
                <w:webHidden/>
              </w:rPr>
              <w:t>36</w:t>
            </w:r>
            <w:r w:rsidR="0088109C">
              <w:rPr>
                <w:webHidden/>
              </w:rPr>
              <w:fldChar w:fldCharType="end"/>
            </w:r>
          </w:hyperlink>
        </w:p>
        <w:p w14:paraId="613E8EAB" w14:textId="2748A9B5" w:rsidR="0088109C" w:rsidRDefault="00DA229B">
          <w:pPr>
            <w:pStyle w:val="TOC1"/>
            <w:tabs>
              <w:tab w:val="left" w:pos="1760"/>
            </w:tabs>
            <w:rPr>
              <w:rFonts w:asciiTheme="minorHAnsi" w:eastAsiaTheme="minorEastAsia" w:hAnsiTheme="minorHAnsi" w:cstheme="minorBidi"/>
              <w:b w:val="0"/>
              <w:spacing w:val="0"/>
              <w:sz w:val="22"/>
              <w:szCs w:val="22"/>
            </w:rPr>
          </w:pPr>
          <w:hyperlink w:anchor="_Toc114669439" w:history="1">
            <w:r w:rsidR="0088109C" w:rsidRPr="009C4B06">
              <w:rPr>
                <w:rStyle w:val="Hyperlink"/>
              </w:rPr>
              <w:t>Appendix F:</w:t>
            </w:r>
            <w:r w:rsidR="0088109C">
              <w:rPr>
                <w:rFonts w:asciiTheme="minorHAnsi" w:eastAsiaTheme="minorEastAsia" w:hAnsiTheme="minorHAnsi" w:cstheme="minorBidi"/>
                <w:b w:val="0"/>
                <w:spacing w:val="0"/>
                <w:sz w:val="22"/>
                <w:szCs w:val="22"/>
              </w:rPr>
              <w:tab/>
            </w:r>
            <w:r w:rsidR="0088109C" w:rsidRPr="009C4B06">
              <w:rPr>
                <w:rStyle w:val="Hyperlink"/>
              </w:rPr>
              <w:t>Earth station coordination with existing AWLs or SLs</w:t>
            </w:r>
            <w:r w:rsidR="0088109C">
              <w:rPr>
                <w:webHidden/>
              </w:rPr>
              <w:tab/>
            </w:r>
            <w:r w:rsidR="0088109C">
              <w:rPr>
                <w:webHidden/>
              </w:rPr>
              <w:fldChar w:fldCharType="begin"/>
            </w:r>
            <w:r w:rsidR="0088109C">
              <w:rPr>
                <w:webHidden/>
              </w:rPr>
              <w:instrText xml:space="preserve"> PAGEREF _Toc114669439 \h </w:instrText>
            </w:r>
            <w:r w:rsidR="0088109C">
              <w:rPr>
                <w:webHidden/>
              </w:rPr>
            </w:r>
            <w:r w:rsidR="0088109C">
              <w:rPr>
                <w:webHidden/>
              </w:rPr>
              <w:fldChar w:fldCharType="separate"/>
            </w:r>
            <w:r w:rsidR="0088109C">
              <w:rPr>
                <w:webHidden/>
              </w:rPr>
              <w:t>37</w:t>
            </w:r>
            <w:r w:rsidR="0088109C">
              <w:rPr>
                <w:webHidden/>
              </w:rPr>
              <w:fldChar w:fldCharType="end"/>
            </w:r>
          </w:hyperlink>
        </w:p>
        <w:p w14:paraId="18B40F48" w14:textId="66FFF7B2" w:rsidR="00FF479A" w:rsidRDefault="00FF479A">
          <w:r>
            <w:rPr>
              <w:b/>
              <w:bCs/>
              <w:noProof/>
            </w:rPr>
            <w:fldChar w:fldCharType="end"/>
          </w:r>
        </w:p>
      </w:sdtContent>
    </w:sdt>
    <w:p w14:paraId="24809BC9" w14:textId="7A1A94B1" w:rsidR="00097D72" w:rsidRDefault="00097D72" w:rsidP="00097D72"/>
    <w:p w14:paraId="58E82768" w14:textId="77777777" w:rsidR="009A393D" w:rsidRDefault="009A393D" w:rsidP="00097D72"/>
    <w:p w14:paraId="74E54396" w14:textId="77777777" w:rsidR="001F0E76" w:rsidRPr="00420CAF" w:rsidRDefault="001F0E76" w:rsidP="00420CAF">
      <w:pPr>
        <w:sectPr w:rsidR="001F0E76" w:rsidRPr="00420CAF" w:rsidSect="00554839">
          <w:footerReference w:type="even" r:id="rId16"/>
          <w:type w:val="oddPage"/>
          <w:pgSz w:w="11906" w:h="16838"/>
          <w:pgMar w:top="1440" w:right="1134" w:bottom="1134" w:left="1134" w:header="709" w:footer="709" w:gutter="284"/>
          <w:pgNumType w:fmt="lowerRoman" w:start="2"/>
          <w:cols w:space="708"/>
          <w:docGrid w:linePitch="360"/>
        </w:sectPr>
      </w:pPr>
    </w:p>
    <w:p w14:paraId="1A5EBBF8" w14:textId="281206B7" w:rsidR="004A13A7" w:rsidRPr="00923D7A" w:rsidRDefault="004A13A7" w:rsidP="000B27C0">
      <w:pPr>
        <w:pStyle w:val="Heading1"/>
      </w:pPr>
      <w:bookmarkStart w:id="3" w:name="_Toc95291566"/>
      <w:bookmarkStart w:id="4" w:name="_Toc114669386"/>
      <w:r w:rsidRPr="000B27C0">
        <w:lastRenderedPageBreak/>
        <w:t>Introduction</w:t>
      </w:r>
      <w:bookmarkEnd w:id="0"/>
      <w:bookmarkEnd w:id="3"/>
      <w:bookmarkEnd w:id="4"/>
      <w:bookmarkEnd w:id="2"/>
      <w:bookmarkEnd w:id="1"/>
    </w:p>
    <w:p w14:paraId="3F5DD0EA" w14:textId="109AB772" w:rsidR="004A13A7" w:rsidRPr="00DE7566" w:rsidRDefault="004A13A7" w:rsidP="00F04B19">
      <w:pPr>
        <w:pStyle w:val="Heading2"/>
        <w:ind w:left="709" w:hanging="709"/>
      </w:pPr>
      <w:bookmarkStart w:id="5" w:name="_Toc6298710"/>
      <w:bookmarkStart w:id="6" w:name="_Toc8983847"/>
      <w:bookmarkStart w:id="7" w:name="_Toc8986371"/>
      <w:bookmarkStart w:id="8" w:name="_Toc95291567"/>
      <w:bookmarkStart w:id="9" w:name="_Toc114669387"/>
      <w:r w:rsidRPr="00DE7566">
        <w:t>Purpose</w:t>
      </w:r>
      <w:bookmarkEnd w:id="5"/>
      <w:bookmarkEnd w:id="6"/>
      <w:bookmarkEnd w:id="7"/>
      <w:bookmarkEnd w:id="8"/>
      <w:bookmarkEnd w:id="9"/>
    </w:p>
    <w:p w14:paraId="278BA9D8" w14:textId="0D5C0A0A" w:rsidR="00FE2393" w:rsidRDefault="00FE2393" w:rsidP="00AF06C8">
      <w:pPr>
        <w:rPr>
          <w:szCs w:val="22"/>
        </w:rPr>
      </w:pPr>
      <w:r w:rsidRPr="00FE2393">
        <w:rPr>
          <w:szCs w:val="22"/>
        </w:rPr>
        <w:t>The purpose of this Radiocommunications Assignment and Licensing Instruction (RALI) is to provide information about</w:t>
      </w:r>
      <w:r w:rsidR="00AD7690">
        <w:rPr>
          <w:szCs w:val="22"/>
        </w:rPr>
        <w:t>,</w:t>
      </w:r>
      <w:r w:rsidRPr="00FE2393">
        <w:rPr>
          <w:szCs w:val="22"/>
        </w:rPr>
        <w:t xml:space="preserve"> and describe necessary steps for</w:t>
      </w:r>
      <w:r w:rsidR="00AD7690">
        <w:rPr>
          <w:szCs w:val="22"/>
        </w:rPr>
        <w:t>,</w:t>
      </w:r>
      <w:r w:rsidRPr="00FE2393">
        <w:rPr>
          <w:szCs w:val="22"/>
        </w:rPr>
        <w:t xml:space="preserve"> the frequency coordination and licensing of </w:t>
      </w:r>
      <w:r w:rsidR="00E11137">
        <w:rPr>
          <w:szCs w:val="22"/>
        </w:rPr>
        <w:t>A</w:t>
      </w:r>
      <w:r w:rsidR="007744A7">
        <w:rPr>
          <w:szCs w:val="22"/>
        </w:rPr>
        <w:t>rea-</w:t>
      </w:r>
      <w:r w:rsidR="00E11137">
        <w:rPr>
          <w:szCs w:val="22"/>
        </w:rPr>
        <w:t>W</w:t>
      </w:r>
      <w:r w:rsidR="007744A7">
        <w:rPr>
          <w:szCs w:val="22"/>
        </w:rPr>
        <w:t xml:space="preserve">ide </w:t>
      </w:r>
      <w:r w:rsidR="00E11137">
        <w:rPr>
          <w:szCs w:val="22"/>
        </w:rPr>
        <w:t>L</w:t>
      </w:r>
      <w:r w:rsidR="007744A7">
        <w:rPr>
          <w:szCs w:val="22"/>
        </w:rPr>
        <w:t>icence</w:t>
      </w:r>
      <w:r w:rsidR="00EA045A">
        <w:rPr>
          <w:szCs w:val="22"/>
        </w:rPr>
        <w:t>s</w:t>
      </w:r>
      <w:r w:rsidR="00E11137">
        <w:rPr>
          <w:szCs w:val="22"/>
        </w:rPr>
        <w:t xml:space="preserve"> (AWL)</w:t>
      </w:r>
      <w:r w:rsidR="007744A7">
        <w:rPr>
          <w:szCs w:val="22"/>
        </w:rPr>
        <w:t xml:space="preserve"> </w:t>
      </w:r>
      <w:r w:rsidRPr="00FE2393">
        <w:rPr>
          <w:szCs w:val="22"/>
        </w:rPr>
        <w:t>in the 3400–</w:t>
      </w:r>
      <w:r w:rsidR="007744A7">
        <w:rPr>
          <w:szCs w:val="22"/>
        </w:rPr>
        <w:t>4000 </w:t>
      </w:r>
      <w:r w:rsidRPr="00FE2393">
        <w:rPr>
          <w:szCs w:val="22"/>
        </w:rPr>
        <w:t>MHz band.</w:t>
      </w:r>
    </w:p>
    <w:p w14:paraId="2249D0CB" w14:textId="6A3FF584" w:rsidR="00FE2393" w:rsidRPr="00A60D1A" w:rsidRDefault="00FE2393" w:rsidP="00FE2393">
      <w:pPr>
        <w:rPr>
          <w:szCs w:val="22"/>
        </w:rPr>
      </w:pPr>
      <w:r w:rsidRPr="00A60D1A">
        <w:rPr>
          <w:szCs w:val="22"/>
        </w:rPr>
        <w:t>The information in this document reflects the ACMA’s statement of current policy in relation to frequency coordination</w:t>
      </w:r>
      <w:r w:rsidR="00E11137">
        <w:rPr>
          <w:szCs w:val="22"/>
        </w:rPr>
        <w:t xml:space="preserve"> for devices authorised under an AWL </w:t>
      </w:r>
      <w:r w:rsidRPr="00A60D1A">
        <w:rPr>
          <w:szCs w:val="22"/>
        </w:rPr>
        <w:t>in the 3400–</w:t>
      </w:r>
      <w:r w:rsidR="00E11137">
        <w:rPr>
          <w:szCs w:val="22"/>
        </w:rPr>
        <w:t>40</w:t>
      </w:r>
      <w:r w:rsidRPr="00A60D1A">
        <w:rPr>
          <w:szCs w:val="22"/>
        </w:rPr>
        <w:t>00 MHz band</w:t>
      </w:r>
      <w:r w:rsidR="00E11137">
        <w:rPr>
          <w:szCs w:val="22"/>
        </w:rPr>
        <w:t>s</w:t>
      </w:r>
      <w:r w:rsidRPr="00A60D1A">
        <w:rPr>
          <w:szCs w:val="22"/>
        </w:rPr>
        <w:t xml:space="preserve">. </w:t>
      </w:r>
      <w:r w:rsidRPr="00A60D1A">
        <w:rPr>
          <w:rFonts w:cs="Calibri"/>
          <w:szCs w:val="22"/>
        </w:rPr>
        <w:t xml:space="preserve">In making decisions, </w:t>
      </w:r>
      <w:hyperlink r:id="rId17" w:history="1">
        <w:r w:rsidR="00226F16" w:rsidRPr="007A56C3">
          <w:rPr>
            <w:rStyle w:val="Hyperlink"/>
            <w:rFonts w:cstheme="minorHAnsi"/>
            <w:szCs w:val="22"/>
          </w:rPr>
          <w:t>A</w:t>
        </w:r>
        <w:r w:rsidR="002F4584" w:rsidRPr="007A56C3">
          <w:rPr>
            <w:rStyle w:val="Hyperlink"/>
            <w:rFonts w:cstheme="minorHAnsi"/>
            <w:szCs w:val="22"/>
          </w:rPr>
          <w:t xml:space="preserve">ccredited </w:t>
        </w:r>
        <w:r w:rsidR="00226F16" w:rsidRPr="007A56C3">
          <w:rPr>
            <w:rStyle w:val="Hyperlink"/>
            <w:rFonts w:cstheme="minorHAnsi"/>
            <w:szCs w:val="22"/>
          </w:rPr>
          <w:t>P</w:t>
        </w:r>
        <w:r w:rsidR="002F4584" w:rsidRPr="007A56C3">
          <w:rPr>
            <w:rStyle w:val="Hyperlink"/>
            <w:rFonts w:cstheme="minorHAnsi"/>
            <w:szCs w:val="22"/>
          </w:rPr>
          <w:t>ersons</w:t>
        </w:r>
      </w:hyperlink>
      <w:r w:rsidR="002F4584">
        <w:rPr>
          <w:rFonts w:cstheme="minorHAnsi"/>
          <w:szCs w:val="22"/>
        </w:rPr>
        <w:t xml:space="preserve"> </w:t>
      </w:r>
      <w:r w:rsidRPr="00A60D1A">
        <w:rPr>
          <w:rFonts w:cstheme="minorHAnsi"/>
          <w:szCs w:val="22"/>
        </w:rPr>
        <w:t xml:space="preserve">and the ACMA’s officers </w:t>
      </w:r>
      <w:r w:rsidRPr="00A60D1A">
        <w:rPr>
          <w:rFonts w:cs="Calibri"/>
          <w:szCs w:val="22"/>
        </w:rPr>
        <w:t>should take all relevant factors into account and decide each case on its merits.</w:t>
      </w:r>
      <w:r w:rsidR="004332EE">
        <w:rPr>
          <w:rFonts w:cs="Calibri"/>
          <w:szCs w:val="22"/>
        </w:rPr>
        <w:t xml:space="preserve"> </w:t>
      </w:r>
      <w:r w:rsidRPr="00A60D1A">
        <w:rPr>
          <w:rFonts w:cs="Calibri"/>
          <w:szCs w:val="22"/>
        </w:rPr>
        <w:t xml:space="preserve">Issues relating to this document that appear to fall outside the </w:t>
      </w:r>
      <w:r w:rsidR="002B0C9D">
        <w:rPr>
          <w:rFonts w:cs="Calibri"/>
          <w:szCs w:val="22"/>
        </w:rPr>
        <w:t>stated</w:t>
      </w:r>
      <w:r w:rsidR="002B0C9D" w:rsidRPr="00A60D1A">
        <w:rPr>
          <w:rFonts w:cs="Calibri"/>
          <w:szCs w:val="22"/>
        </w:rPr>
        <w:t xml:space="preserve"> </w:t>
      </w:r>
      <w:r w:rsidRPr="00A60D1A">
        <w:rPr>
          <w:rFonts w:cstheme="minorHAnsi"/>
          <w:szCs w:val="22"/>
        </w:rPr>
        <w:t xml:space="preserve">policy should be referred </w:t>
      </w:r>
      <w:r w:rsidRPr="00A60D1A">
        <w:rPr>
          <w:szCs w:val="22"/>
        </w:rPr>
        <w:t>to:</w:t>
      </w:r>
    </w:p>
    <w:p w14:paraId="0E747637" w14:textId="0913E50C" w:rsidR="004A13A7" w:rsidRPr="00AF06C8" w:rsidRDefault="004A13A7" w:rsidP="00AF06C8">
      <w:pPr>
        <w:rPr>
          <w:szCs w:val="22"/>
        </w:rPr>
      </w:pPr>
      <w:r w:rsidRPr="00AF06C8">
        <w:rPr>
          <w:szCs w:val="22"/>
        </w:rPr>
        <w:t xml:space="preserve">The Manager, Spectrum </w:t>
      </w:r>
      <w:r w:rsidR="00746A68">
        <w:rPr>
          <w:szCs w:val="22"/>
        </w:rPr>
        <w:t>Planning Section</w:t>
      </w:r>
      <w:r w:rsidRPr="00AF06C8">
        <w:rPr>
          <w:szCs w:val="22"/>
        </w:rPr>
        <w:br/>
        <w:t>Australian Communications and Media Authority</w:t>
      </w:r>
      <w:r w:rsidRPr="00AF06C8">
        <w:rPr>
          <w:szCs w:val="22"/>
        </w:rPr>
        <w:br/>
        <w:t>PO Box 78</w:t>
      </w:r>
      <w:r w:rsidRPr="00AF06C8">
        <w:rPr>
          <w:szCs w:val="22"/>
        </w:rPr>
        <w:br/>
        <w:t>Belconnen ACT 2616</w:t>
      </w:r>
    </w:p>
    <w:p w14:paraId="24E7DB4C" w14:textId="57C6783F" w:rsidR="004A13A7" w:rsidRPr="00AF06C8" w:rsidRDefault="004A13A7" w:rsidP="00AF06C8">
      <w:pPr>
        <w:rPr>
          <w:rFonts w:cstheme="minorHAnsi"/>
          <w:szCs w:val="22"/>
        </w:rPr>
      </w:pPr>
      <w:r w:rsidRPr="00AF06C8">
        <w:rPr>
          <w:rFonts w:cstheme="minorHAnsi"/>
          <w:szCs w:val="22"/>
        </w:rPr>
        <w:t xml:space="preserve">or by email to: </w:t>
      </w:r>
      <w:hyperlink r:id="rId18" w:history="1">
        <w:r w:rsidRPr="00AF06C8">
          <w:rPr>
            <w:rStyle w:val="Hyperlink"/>
            <w:rFonts w:cstheme="minorHAnsi"/>
            <w:szCs w:val="22"/>
          </w:rPr>
          <w:t>freqplan@acma.gov.au</w:t>
        </w:r>
      </w:hyperlink>
    </w:p>
    <w:p w14:paraId="6DD4B8BD" w14:textId="71E4DC4F" w:rsidR="004A13A7" w:rsidRPr="00FD1033" w:rsidRDefault="003F4369" w:rsidP="00F04B19">
      <w:pPr>
        <w:pStyle w:val="Heading2"/>
        <w:ind w:left="709" w:hanging="709"/>
      </w:pPr>
      <w:bookmarkStart w:id="10" w:name="_Toc95291568"/>
      <w:bookmarkStart w:id="11" w:name="_Toc114669388"/>
      <w:r>
        <w:t>Background</w:t>
      </w:r>
      <w:bookmarkEnd w:id="10"/>
      <w:bookmarkEnd w:id="11"/>
    </w:p>
    <w:p w14:paraId="5AD56100" w14:textId="0B0BD8C2" w:rsidR="00253D56" w:rsidRDefault="00253D56" w:rsidP="00FE2393">
      <w:pPr>
        <w:rPr>
          <w:szCs w:val="22"/>
        </w:rPr>
      </w:pPr>
      <w:bookmarkStart w:id="12" w:name="_Toc6298713"/>
      <w:bookmarkStart w:id="13" w:name="_Toc8983850"/>
      <w:bookmarkStart w:id="14" w:name="_Toc8986374"/>
      <w:r w:rsidRPr="00885439">
        <w:rPr>
          <w:rFonts w:cs="Arial"/>
          <w:bCs/>
          <w:color w:val="000000" w:themeColor="text1"/>
          <w:szCs w:val="20"/>
        </w:rPr>
        <w:t xml:space="preserve">In </w:t>
      </w:r>
      <w:r>
        <w:rPr>
          <w:rFonts w:cs="Arial"/>
          <w:bCs/>
          <w:color w:val="000000" w:themeColor="text1"/>
          <w:szCs w:val="20"/>
        </w:rPr>
        <w:t>January 2021,</w:t>
      </w:r>
      <w:r w:rsidRPr="00885439">
        <w:rPr>
          <w:rFonts w:cs="Arial"/>
          <w:bCs/>
          <w:color w:val="000000" w:themeColor="text1"/>
          <w:szCs w:val="20"/>
        </w:rPr>
        <w:t xml:space="preserve"> the</w:t>
      </w:r>
      <w:r w:rsidR="00983BC4" w:rsidRPr="00885439">
        <w:rPr>
          <w:rFonts w:cs="Arial"/>
          <w:color w:val="000000" w:themeColor="text1"/>
          <w:szCs w:val="20"/>
        </w:rPr>
        <w:t xml:space="preserve"> </w:t>
      </w:r>
      <w:r w:rsidR="00983BC4" w:rsidRPr="007D04B2">
        <w:rPr>
          <w:rFonts w:cs="Arial"/>
        </w:rPr>
        <w:t>Australian Communications and Media Authority (ACMA)</w:t>
      </w:r>
      <w:r w:rsidRPr="00885439">
        <w:rPr>
          <w:rFonts w:cs="Arial"/>
          <w:bCs/>
          <w:color w:val="000000" w:themeColor="text1"/>
          <w:szCs w:val="20"/>
        </w:rPr>
        <w:t xml:space="preserve"> released the </w:t>
      </w:r>
      <w:hyperlink r:id="rId19" w:history="1">
        <w:r>
          <w:rPr>
            <w:rStyle w:val="Hyperlink"/>
            <w:rFonts w:cs="Arial"/>
            <w:i/>
            <w:iCs/>
            <w:szCs w:val="20"/>
          </w:rPr>
          <w:t>Replanning the 3700-4200 MHz band - Outcomes paper</w:t>
        </w:r>
      </w:hyperlink>
      <w:r w:rsidRPr="00885439">
        <w:rPr>
          <w:rFonts w:cs="Arial"/>
          <w:bCs/>
          <w:color w:val="000000" w:themeColor="text1"/>
          <w:szCs w:val="20"/>
        </w:rPr>
        <w:t xml:space="preserve"> (the </w:t>
      </w:r>
      <w:r>
        <w:rPr>
          <w:rFonts w:cs="Arial"/>
          <w:bCs/>
          <w:color w:val="000000" w:themeColor="text1"/>
          <w:szCs w:val="20"/>
        </w:rPr>
        <w:t xml:space="preserve">2021 </w:t>
      </w:r>
      <w:r w:rsidRPr="00885439">
        <w:rPr>
          <w:rFonts w:cs="Arial"/>
          <w:bCs/>
          <w:color w:val="000000" w:themeColor="text1"/>
          <w:szCs w:val="20"/>
        </w:rPr>
        <w:t>Outcomes paper).</w:t>
      </w:r>
      <w:r w:rsidRPr="00885439">
        <w:rPr>
          <w:rFonts w:cs="Arial"/>
          <w:b/>
          <w:color w:val="000000" w:themeColor="text1"/>
          <w:szCs w:val="20"/>
        </w:rPr>
        <w:t xml:space="preserve"> </w:t>
      </w:r>
      <w:r w:rsidR="00B70AEB">
        <w:rPr>
          <w:rFonts w:cs="Arial"/>
        </w:rPr>
        <w:t xml:space="preserve">That </w:t>
      </w:r>
      <w:r>
        <w:rPr>
          <w:rFonts w:cs="Arial"/>
        </w:rPr>
        <w:t>paper described the ACMA’s planning outcomes and preliminary views to introduce wireless broadband services in the 3700-4200 MHz band, using a combination of apparatus and spectrum licensing arrangements.</w:t>
      </w:r>
    </w:p>
    <w:p w14:paraId="20056433" w14:textId="77777777" w:rsidR="00253D56" w:rsidRDefault="00253D56" w:rsidP="00253D56">
      <w:pPr>
        <w:rPr>
          <w:szCs w:val="20"/>
        </w:rPr>
      </w:pPr>
      <w:r>
        <w:t>T</w:t>
      </w:r>
      <w:r w:rsidRPr="00197A32">
        <w:t xml:space="preserve">he Outcomes paper </w:t>
      </w:r>
      <w:r>
        <w:t>also stated that</w:t>
      </w:r>
      <w:r w:rsidRPr="00197A32">
        <w:t xml:space="preserve"> the ACMA would</w:t>
      </w:r>
      <w:r>
        <w:t>,</w:t>
      </w:r>
      <w:r w:rsidRPr="00197A32">
        <w:t xml:space="preserve"> </w:t>
      </w:r>
      <w:r>
        <w:t>as far as practical, extend or align frameworks and the timing of their development with similar ones in the 3400-3700 MHz (3.4 GHz) band. T</w:t>
      </w:r>
      <w:r w:rsidRPr="00197A32">
        <w:rPr>
          <w:szCs w:val="20"/>
        </w:rPr>
        <w:t xml:space="preserve">he paper </w:t>
      </w:r>
      <w:hyperlink r:id="rId20" w:history="1">
        <w:r w:rsidRPr="00197A32">
          <w:rPr>
            <w:rStyle w:val="Hyperlink"/>
            <w:i/>
            <w:iCs/>
            <w:szCs w:val="20"/>
          </w:rPr>
          <w:t>Optimising arrangements for the 3400-3575 MHz band: Planning decisions and preliminary views</w:t>
        </w:r>
      </w:hyperlink>
      <w:r w:rsidRPr="00197A32">
        <w:rPr>
          <w:i/>
          <w:iCs/>
          <w:szCs w:val="20"/>
        </w:rPr>
        <w:t xml:space="preserve"> </w:t>
      </w:r>
      <w:r>
        <w:rPr>
          <w:szCs w:val="20"/>
        </w:rPr>
        <w:t xml:space="preserve">(the 2019 Outcomes paper) outlines the planning outcomes for the 3.4 GHz band. </w:t>
      </w:r>
    </w:p>
    <w:p w14:paraId="5DD92FD5" w14:textId="77777777" w:rsidR="00B70AEB" w:rsidRDefault="00253D56" w:rsidP="00FE2393">
      <w:pPr>
        <w:rPr>
          <w:rFonts w:cs="Arial"/>
          <w:bCs/>
          <w:color w:val="000000" w:themeColor="text1"/>
          <w:szCs w:val="20"/>
        </w:rPr>
      </w:pPr>
      <w:r>
        <w:rPr>
          <w:rFonts w:cs="Arial"/>
          <w:bCs/>
          <w:color w:val="000000" w:themeColor="text1"/>
          <w:szCs w:val="20"/>
        </w:rPr>
        <w:t xml:space="preserve">To facilitate development of apparatus and spectrum licence arrangements, the ACMA </w:t>
      </w:r>
      <w:r w:rsidR="00983BC4">
        <w:rPr>
          <w:rFonts w:cs="Arial"/>
          <w:color w:val="000000" w:themeColor="text1"/>
          <w:szCs w:val="20"/>
        </w:rPr>
        <w:t>formed a technical liaison group (TLG) to review</w:t>
      </w:r>
      <w:r>
        <w:rPr>
          <w:rFonts w:cs="Arial"/>
          <w:bCs/>
          <w:color w:val="000000" w:themeColor="text1"/>
          <w:szCs w:val="20"/>
        </w:rPr>
        <w:t>/</w:t>
      </w:r>
      <w:r w:rsidR="00983BC4">
        <w:rPr>
          <w:rFonts w:cs="Arial"/>
          <w:color w:val="000000" w:themeColor="text1"/>
          <w:szCs w:val="20"/>
        </w:rPr>
        <w:t xml:space="preserve">develop spectrum and apparatus licence technical frameworks for the </w:t>
      </w:r>
      <w:r>
        <w:rPr>
          <w:rFonts w:cs="Arial"/>
          <w:bCs/>
          <w:color w:val="000000" w:themeColor="text1"/>
          <w:szCs w:val="20"/>
        </w:rPr>
        <w:t xml:space="preserve">broader </w:t>
      </w:r>
      <w:r w:rsidR="00983BC4">
        <w:rPr>
          <w:rFonts w:cs="Arial"/>
          <w:color w:val="000000" w:themeColor="text1"/>
          <w:szCs w:val="20"/>
        </w:rPr>
        <w:t>3400-4000 MHz range</w:t>
      </w:r>
      <w:r>
        <w:rPr>
          <w:rFonts w:cs="Arial"/>
          <w:bCs/>
          <w:color w:val="000000" w:themeColor="text1"/>
          <w:szCs w:val="20"/>
        </w:rPr>
        <w:t xml:space="preserve"> (where applicable). </w:t>
      </w:r>
      <w:r>
        <w:t>A</w:t>
      </w:r>
      <w:r w:rsidRPr="00736BE8">
        <w:t xml:space="preserve"> TLG is a short-term advisory body convened by the ACMA. Its purpose is to provide advice on the development of, or possible changes to, a spectrum or apparatus licence technical framework. </w:t>
      </w:r>
      <w:r>
        <w:rPr>
          <w:rFonts w:cs="Arial"/>
          <w:bCs/>
          <w:color w:val="000000" w:themeColor="text1"/>
          <w:szCs w:val="20"/>
        </w:rPr>
        <w:t xml:space="preserve">The TLG was formed in July 2021 and finalised its work </w:t>
      </w:r>
      <w:r w:rsidR="00207964">
        <w:rPr>
          <w:rFonts w:cs="Arial"/>
          <w:bCs/>
          <w:color w:val="000000" w:themeColor="text1"/>
          <w:szCs w:val="20"/>
        </w:rPr>
        <w:t>for remote areas in December 2021</w:t>
      </w:r>
      <w:r>
        <w:rPr>
          <w:rFonts w:cs="Arial"/>
          <w:bCs/>
          <w:color w:val="000000" w:themeColor="text1"/>
          <w:szCs w:val="20"/>
        </w:rPr>
        <w:t>.</w:t>
      </w:r>
      <w:r w:rsidR="002A60A9">
        <w:rPr>
          <w:rFonts w:cs="Arial"/>
          <w:bCs/>
          <w:color w:val="000000" w:themeColor="text1"/>
          <w:szCs w:val="20"/>
        </w:rPr>
        <w:t xml:space="preserve"> The </w:t>
      </w:r>
      <w:r w:rsidR="005D6B7B">
        <w:rPr>
          <w:rFonts w:cs="Arial"/>
          <w:bCs/>
          <w:color w:val="000000" w:themeColor="text1"/>
          <w:szCs w:val="20"/>
        </w:rPr>
        <w:t xml:space="preserve">interim </w:t>
      </w:r>
      <w:r w:rsidR="002A60A9">
        <w:rPr>
          <w:rFonts w:cs="Arial"/>
          <w:bCs/>
          <w:color w:val="000000" w:themeColor="text1"/>
          <w:szCs w:val="20"/>
        </w:rPr>
        <w:t xml:space="preserve">outcomes of the </w:t>
      </w:r>
      <w:r w:rsidR="00207964">
        <w:rPr>
          <w:rFonts w:cs="Arial"/>
          <w:bCs/>
          <w:color w:val="000000" w:themeColor="text1"/>
          <w:szCs w:val="20"/>
        </w:rPr>
        <w:t>are</w:t>
      </w:r>
      <w:r w:rsidR="002A60A9">
        <w:rPr>
          <w:rFonts w:cs="Arial"/>
          <w:bCs/>
          <w:color w:val="000000" w:themeColor="text1"/>
          <w:szCs w:val="20"/>
        </w:rPr>
        <w:t xml:space="preserve"> available on the </w:t>
      </w:r>
      <w:hyperlink r:id="rId21" w:history="1">
        <w:r w:rsidR="002A60A9" w:rsidRPr="002A60A9">
          <w:rPr>
            <w:rStyle w:val="Hyperlink"/>
            <w:rFonts w:cs="Arial"/>
            <w:bCs/>
            <w:szCs w:val="20"/>
          </w:rPr>
          <w:t>ACMA website</w:t>
        </w:r>
      </w:hyperlink>
      <w:r w:rsidR="002A60A9">
        <w:rPr>
          <w:rFonts w:cs="Arial"/>
          <w:bCs/>
          <w:color w:val="000000" w:themeColor="text1"/>
          <w:szCs w:val="20"/>
        </w:rPr>
        <w:t xml:space="preserve">. </w:t>
      </w:r>
    </w:p>
    <w:p w14:paraId="59CC9D14" w14:textId="26414F87" w:rsidR="00253D56" w:rsidRDefault="00B70AEB" w:rsidP="00FE2393">
      <w:pPr>
        <w:rPr>
          <w:szCs w:val="22"/>
        </w:rPr>
      </w:pPr>
      <w:r>
        <w:rPr>
          <w:rFonts w:cs="Arial"/>
          <w:bCs/>
          <w:color w:val="000000" w:themeColor="text1"/>
          <w:szCs w:val="20"/>
        </w:rPr>
        <w:t xml:space="preserve">Public </w:t>
      </w:r>
      <w:r w:rsidR="009D33A5">
        <w:rPr>
          <w:rFonts w:cs="Arial"/>
          <w:bCs/>
          <w:color w:val="000000" w:themeColor="text1"/>
          <w:szCs w:val="20"/>
        </w:rPr>
        <w:t>consultation</w:t>
      </w:r>
      <w:r>
        <w:rPr>
          <w:rFonts w:cs="Arial"/>
          <w:bCs/>
          <w:color w:val="000000" w:themeColor="text1"/>
          <w:szCs w:val="20"/>
        </w:rPr>
        <w:t xml:space="preserve"> on a draft version of this RALI occurred in </w:t>
      </w:r>
      <w:hyperlink r:id="rId22" w:history="1">
        <w:r w:rsidRPr="00B70AEB">
          <w:rPr>
            <w:rStyle w:val="Hyperlink"/>
            <w:rFonts w:cs="Arial"/>
            <w:bCs/>
            <w:szCs w:val="20"/>
          </w:rPr>
          <w:t>March 2022</w:t>
        </w:r>
      </w:hyperlink>
      <w:r>
        <w:rPr>
          <w:rFonts w:cs="Arial"/>
          <w:bCs/>
          <w:color w:val="000000" w:themeColor="text1"/>
          <w:szCs w:val="20"/>
        </w:rPr>
        <w:t xml:space="preserve">, including two spectrum tune-up sessions in March and July 2022. </w:t>
      </w:r>
      <w:r w:rsidR="00D11E45">
        <w:rPr>
          <w:rFonts w:cs="Arial"/>
          <w:bCs/>
          <w:color w:val="000000" w:themeColor="text1"/>
          <w:szCs w:val="20"/>
        </w:rPr>
        <w:t xml:space="preserve">This </w:t>
      </w:r>
      <w:r w:rsidR="00004B16">
        <w:rPr>
          <w:rFonts w:cs="Arial"/>
          <w:bCs/>
          <w:color w:val="000000" w:themeColor="text1"/>
          <w:szCs w:val="20"/>
        </w:rPr>
        <w:t xml:space="preserve">draft </w:t>
      </w:r>
      <w:r w:rsidR="00D11E45">
        <w:rPr>
          <w:rFonts w:cs="Arial"/>
          <w:bCs/>
          <w:color w:val="000000" w:themeColor="text1"/>
          <w:szCs w:val="20"/>
        </w:rPr>
        <w:t xml:space="preserve">RALI reflects those </w:t>
      </w:r>
      <w:r w:rsidR="00370D6D">
        <w:rPr>
          <w:rFonts w:cs="Arial"/>
          <w:bCs/>
          <w:color w:val="000000" w:themeColor="text1"/>
          <w:szCs w:val="20"/>
        </w:rPr>
        <w:t>discussions but</w:t>
      </w:r>
      <w:r w:rsidR="00D11E45">
        <w:rPr>
          <w:rFonts w:cs="Arial"/>
          <w:bCs/>
          <w:color w:val="000000" w:themeColor="text1"/>
          <w:szCs w:val="20"/>
        </w:rPr>
        <w:t xml:space="preserve"> may need to be revised when the technical framework in other areas is </w:t>
      </w:r>
      <w:r w:rsidR="00004B16">
        <w:rPr>
          <w:rFonts w:cs="Arial"/>
          <w:bCs/>
          <w:color w:val="000000" w:themeColor="text1"/>
          <w:szCs w:val="20"/>
        </w:rPr>
        <w:t xml:space="preserve">further </w:t>
      </w:r>
      <w:r w:rsidR="00D11E45">
        <w:rPr>
          <w:rFonts w:cs="Arial"/>
          <w:bCs/>
          <w:color w:val="000000" w:themeColor="text1"/>
          <w:szCs w:val="20"/>
        </w:rPr>
        <w:t>considered.</w:t>
      </w:r>
    </w:p>
    <w:p w14:paraId="39EDDB01" w14:textId="0474F9FD" w:rsidR="00686D1B" w:rsidRDefault="00FE2393" w:rsidP="00D7781C">
      <w:pPr>
        <w:rPr>
          <w:rFonts w:cs="Arial"/>
          <w:b/>
          <w:bCs/>
          <w:iCs/>
          <w:sz w:val="28"/>
          <w:szCs w:val="28"/>
        </w:rPr>
      </w:pPr>
      <w:r w:rsidRPr="00363251">
        <w:rPr>
          <w:szCs w:val="22"/>
        </w:rPr>
        <w:t xml:space="preserve">This RALI consolidates arrangements for </w:t>
      </w:r>
      <w:r w:rsidR="005915F3">
        <w:rPr>
          <w:szCs w:val="22"/>
        </w:rPr>
        <w:t xml:space="preserve">incumbent </w:t>
      </w:r>
      <w:r w:rsidRPr="00363251">
        <w:rPr>
          <w:szCs w:val="22"/>
        </w:rPr>
        <w:t xml:space="preserve">point to multipoint apparatus </w:t>
      </w:r>
      <w:r w:rsidR="005915F3">
        <w:rPr>
          <w:szCs w:val="22"/>
        </w:rPr>
        <w:t>services</w:t>
      </w:r>
      <w:r w:rsidRPr="00363251">
        <w:rPr>
          <w:szCs w:val="22"/>
        </w:rPr>
        <w:t xml:space="preserve"> </w:t>
      </w:r>
      <w:r w:rsidR="007744A7">
        <w:rPr>
          <w:szCs w:val="22"/>
        </w:rPr>
        <w:t xml:space="preserve">and </w:t>
      </w:r>
      <w:r w:rsidR="00F01336">
        <w:rPr>
          <w:szCs w:val="22"/>
        </w:rPr>
        <w:t xml:space="preserve">proposed </w:t>
      </w:r>
      <w:r w:rsidR="007744A7">
        <w:rPr>
          <w:szCs w:val="22"/>
        </w:rPr>
        <w:t xml:space="preserve">Area-Wide Licences </w:t>
      </w:r>
      <w:r w:rsidRPr="00363251">
        <w:rPr>
          <w:szCs w:val="22"/>
        </w:rPr>
        <w:t>across the 3400–</w:t>
      </w:r>
      <w:r w:rsidR="007744A7">
        <w:rPr>
          <w:szCs w:val="22"/>
        </w:rPr>
        <w:t>40</w:t>
      </w:r>
      <w:r w:rsidR="007744A7" w:rsidRPr="00363251">
        <w:rPr>
          <w:szCs w:val="22"/>
        </w:rPr>
        <w:t>00</w:t>
      </w:r>
      <w:r w:rsidR="007744A7">
        <w:rPr>
          <w:szCs w:val="22"/>
        </w:rPr>
        <w:t> </w:t>
      </w:r>
      <w:r w:rsidRPr="00363251">
        <w:rPr>
          <w:szCs w:val="22"/>
        </w:rPr>
        <w:t>MHz band.  It replaces</w:t>
      </w:r>
      <w:r>
        <w:rPr>
          <w:szCs w:val="22"/>
        </w:rPr>
        <w:t xml:space="preserve"> </w:t>
      </w:r>
      <w:hyperlink r:id="rId23" w:history="1">
        <w:r w:rsidRPr="00FD545B">
          <w:rPr>
            <w:rStyle w:val="Hyperlink"/>
            <w:rFonts w:cstheme="minorHAnsi"/>
            <w:i/>
            <w:iCs/>
            <w:szCs w:val="22"/>
          </w:rPr>
          <w:t>RALI FX14</w:t>
        </w:r>
        <w:r w:rsidR="004669F7">
          <w:rPr>
            <w:rStyle w:val="Hyperlink"/>
            <w:rFonts w:cstheme="minorHAnsi"/>
            <w:i/>
            <w:iCs/>
            <w:szCs w:val="22"/>
          </w:rPr>
          <w:t xml:space="preserve"> </w:t>
        </w:r>
        <w:r w:rsidRPr="00FD545B">
          <w:rPr>
            <w:rStyle w:val="Hyperlink"/>
            <w:rFonts w:cstheme="minorHAnsi"/>
            <w:i/>
            <w:iCs/>
            <w:szCs w:val="22"/>
          </w:rPr>
          <w:t>—</w:t>
        </w:r>
        <w:r w:rsidR="004669F7">
          <w:rPr>
            <w:rStyle w:val="Hyperlink"/>
            <w:rFonts w:cstheme="minorHAnsi"/>
            <w:i/>
            <w:iCs/>
            <w:szCs w:val="22"/>
          </w:rPr>
          <w:t xml:space="preserve"> </w:t>
        </w:r>
        <w:r w:rsidRPr="00FD545B">
          <w:rPr>
            <w:rStyle w:val="Hyperlink"/>
            <w:rFonts w:cstheme="minorHAnsi"/>
            <w:i/>
            <w:iCs/>
            <w:szCs w:val="22"/>
          </w:rPr>
          <w:t>Point to Multipoint Fixed Services in Specified Parts of the 3.4–3.5 GHz Band</w:t>
        </w:r>
      </w:hyperlink>
      <w:r w:rsidRPr="00FD545B">
        <w:rPr>
          <w:rFonts w:cstheme="minorHAnsi"/>
          <w:szCs w:val="22"/>
        </w:rPr>
        <w:t xml:space="preserve">; and </w:t>
      </w:r>
      <w:r>
        <w:rPr>
          <w:rFonts w:cstheme="minorHAnsi"/>
          <w:szCs w:val="22"/>
        </w:rPr>
        <w:t xml:space="preserve">the parts of </w:t>
      </w:r>
      <w:hyperlink r:id="rId24" w:history="1">
        <w:r w:rsidRPr="00FD545B">
          <w:rPr>
            <w:rStyle w:val="Hyperlink"/>
            <w:rFonts w:cstheme="minorHAnsi"/>
            <w:i/>
            <w:iCs/>
            <w:szCs w:val="22"/>
          </w:rPr>
          <w:t>RALI FX19</w:t>
        </w:r>
        <w:r w:rsidR="004669F7">
          <w:rPr>
            <w:rStyle w:val="Hyperlink"/>
            <w:rFonts w:cstheme="minorHAnsi"/>
            <w:i/>
            <w:iCs/>
            <w:szCs w:val="22"/>
          </w:rPr>
          <w:t xml:space="preserve"> </w:t>
        </w:r>
        <w:r w:rsidRPr="00FD545B">
          <w:rPr>
            <w:rStyle w:val="Hyperlink"/>
            <w:rFonts w:cstheme="minorHAnsi"/>
            <w:i/>
            <w:iCs/>
            <w:szCs w:val="22"/>
          </w:rPr>
          <w:t>—</w:t>
        </w:r>
        <w:r w:rsidR="004669F7">
          <w:rPr>
            <w:rStyle w:val="Hyperlink"/>
            <w:rFonts w:cstheme="minorHAnsi"/>
            <w:i/>
            <w:iCs/>
            <w:szCs w:val="22"/>
          </w:rPr>
          <w:t xml:space="preserve"> </w:t>
        </w:r>
        <w:r w:rsidRPr="00FD545B">
          <w:rPr>
            <w:rStyle w:val="Hyperlink"/>
            <w:rFonts w:cstheme="minorHAnsi"/>
            <w:i/>
            <w:iCs/>
            <w:szCs w:val="22"/>
          </w:rPr>
          <w:t>Frequency Coordination and Licensing Procedures for apparatus licensed Broadband Wireless Access Services in the 1900–1920 and 3575–3700 MHz bands</w:t>
        </w:r>
      </w:hyperlink>
      <w:r>
        <w:rPr>
          <w:rFonts w:cstheme="minorHAnsi"/>
          <w:szCs w:val="22"/>
        </w:rPr>
        <w:t xml:space="preserve"> that concern the 3575–3700 MHz band.</w:t>
      </w:r>
    </w:p>
    <w:p w14:paraId="3D792107" w14:textId="0155215F" w:rsidR="00065F51" w:rsidRDefault="003F4369" w:rsidP="00F04B19">
      <w:pPr>
        <w:pStyle w:val="Heading2"/>
        <w:ind w:left="709" w:hanging="709"/>
      </w:pPr>
      <w:bookmarkStart w:id="15" w:name="_Toc95291569"/>
      <w:bookmarkStart w:id="16" w:name="_Toc114669389"/>
      <w:r>
        <w:lastRenderedPageBreak/>
        <w:t>Scope</w:t>
      </w:r>
      <w:bookmarkEnd w:id="15"/>
      <w:bookmarkEnd w:id="16"/>
    </w:p>
    <w:p w14:paraId="21A9B4FB" w14:textId="7EBCD88E" w:rsidR="00482121" w:rsidRDefault="00ED4933" w:rsidP="00CE598A">
      <w:pPr>
        <w:rPr>
          <w:szCs w:val="22"/>
        </w:rPr>
      </w:pPr>
      <w:r w:rsidRPr="00AF06C8">
        <w:rPr>
          <w:szCs w:val="22"/>
        </w:rPr>
        <w:t xml:space="preserve">The scope of the RALI </w:t>
      </w:r>
      <w:r>
        <w:rPr>
          <w:szCs w:val="22"/>
        </w:rPr>
        <w:t xml:space="preserve">covers </w:t>
      </w:r>
      <w:r w:rsidR="002A60A9">
        <w:rPr>
          <w:szCs w:val="22"/>
        </w:rPr>
        <w:t>frequency assignment</w:t>
      </w:r>
      <w:r w:rsidR="000B6C35">
        <w:rPr>
          <w:szCs w:val="22"/>
        </w:rPr>
        <w:t xml:space="preserve"> </w:t>
      </w:r>
      <w:r>
        <w:rPr>
          <w:szCs w:val="22"/>
        </w:rPr>
        <w:t xml:space="preserve">and coordination arrangements for </w:t>
      </w:r>
      <w:r>
        <w:t xml:space="preserve">AWLs </w:t>
      </w:r>
      <w:r>
        <w:rPr>
          <w:szCs w:val="22"/>
        </w:rPr>
        <w:t>in the 3400-400</w:t>
      </w:r>
      <w:r w:rsidR="002A60A9">
        <w:rPr>
          <w:szCs w:val="22"/>
        </w:rPr>
        <w:t>0</w:t>
      </w:r>
      <w:r>
        <w:rPr>
          <w:szCs w:val="22"/>
        </w:rPr>
        <w:t xml:space="preserve"> MHz frequency range. </w:t>
      </w:r>
      <w:r w:rsidR="00931E24">
        <w:rPr>
          <w:szCs w:val="22"/>
        </w:rPr>
        <w:t xml:space="preserve">It also places </w:t>
      </w:r>
      <w:r w:rsidR="00A24EC5">
        <w:rPr>
          <w:szCs w:val="22"/>
        </w:rPr>
        <w:t>restrictions</w:t>
      </w:r>
      <w:r w:rsidR="00931E24">
        <w:rPr>
          <w:szCs w:val="22"/>
        </w:rPr>
        <w:t xml:space="preserve"> on the types of apparatus licences that may be issued in the 3400-4000 MHz range.</w:t>
      </w:r>
      <w:r w:rsidR="00482121" w:rsidRPr="00482121">
        <w:rPr>
          <w:szCs w:val="22"/>
        </w:rPr>
        <w:t xml:space="preserve"> </w:t>
      </w:r>
      <w:r w:rsidR="00CC2736">
        <w:rPr>
          <w:szCs w:val="22"/>
        </w:rPr>
        <w:t>[</w:t>
      </w:r>
      <w:r w:rsidR="00482121">
        <w:rPr>
          <w:szCs w:val="22"/>
        </w:rPr>
        <w:t xml:space="preserve">This RALI should be read in conjunction with the </w:t>
      </w:r>
      <w:r w:rsidR="000B6C35">
        <w:rPr>
          <w:szCs w:val="22"/>
        </w:rPr>
        <w:t>[</w:t>
      </w:r>
      <w:r w:rsidR="000B6C35">
        <w:rPr>
          <w:i/>
          <w:iCs/>
          <w:szCs w:val="22"/>
        </w:rPr>
        <w:t xml:space="preserve">any relevant application information pack </w:t>
      </w:r>
      <w:r w:rsidR="00482121">
        <w:rPr>
          <w:szCs w:val="22"/>
        </w:rPr>
        <w:t>(the Applicant Information Pack)</w:t>
      </w:r>
      <w:r w:rsidR="00D31308">
        <w:rPr>
          <w:szCs w:val="22"/>
        </w:rPr>
        <w:t>]</w:t>
      </w:r>
      <w:r w:rsidR="002A60A9">
        <w:rPr>
          <w:szCs w:val="22"/>
        </w:rPr>
        <w:t xml:space="preserve"> that may apply for the allocation of licences</w:t>
      </w:r>
      <w:r w:rsidR="000B6C35">
        <w:rPr>
          <w:szCs w:val="22"/>
        </w:rPr>
        <w:t>]</w:t>
      </w:r>
      <w:r w:rsidR="003C404D">
        <w:rPr>
          <w:szCs w:val="22"/>
        </w:rPr>
        <w:t>.</w:t>
      </w:r>
    </w:p>
    <w:p w14:paraId="2DCCC689" w14:textId="3294A771" w:rsidR="009D33A5" w:rsidRDefault="009D33A5" w:rsidP="00CE598A">
      <w:pPr>
        <w:rPr>
          <w:szCs w:val="22"/>
        </w:rPr>
      </w:pPr>
      <w:r>
        <w:rPr>
          <w:szCs w:val="22"/>
        </w:rPr>
        <w:t>Importantly, this RALI also includes some elements relevant to earth station receive apparatus license coordination with both AWLs and spectrum-licensed services.</w:t>
      </w:r>
    </w:p>
    <w:p w14:paraId="785BC87E" w14:textId="77777777" w:rsidR="00CA7008" w:rsidRDefault="00121469" w:rsidP="00CE598A">
      <w:pPr>
        <w:rPr>
          <w:szCs w:val="22"/>
        </w:rPr>
      </w:pPr>
      <w:r>
        <w:rPr>
          <w:szCs w:val="22"/>
        </w:rPr>
        <w:t xml:space="preserve">This, </w:t>
      </w:r>
      <w:r w:rsidR="00707C73">
        <w:rPr>
          <w:szCs w:val="22"/>
        </w:rPr>
        <w:t>first version</w:t>
      </w:r>
      <w:r>
        <w:rPr>
          <w:szCs w:val="22"/>
        </w:rPr>
        <w:t xml:space="preserve"> of the RALI </w:t>
      </w:r>
      <w:r w:rsidR="00D31308">
        <w:rPr>
          <w:szCs w:val="22"/>
        </w:rPr>
        <w:t>is applicable to</w:t>
      </w:r>
      <w:r>
        <w:rPr>
          <w:szCs w:val="22"/>
        </w:rPr>
        <w:t xml:space="preserve"> AWLs in remote areas, as defined in Appendix A, only</w:t>
      </w:r>
      <w:r w:rsidR="00707C73">
        <w:rPr>
          <w:szCs w:val="22"/>
        </w:rPr>
        <w:t>, where operation of earth stations under an AWL is not currently applicable</w:t>
      </w:r>
      <w:r>
        <w:rPr>
          <w:szCs w:val="22"/>
        </w:rPr>
        <w:t xml:space="preserve">. </w:t>
      </w:r>
    </w:p>
    <w:p w14:paraId="22B9AA7B" w14:textId="2BABC971" w:rsidR="00121469" w:rsidRDefault="00121469" w:rsidP="00CE598A">
      <w:pPr>
        <w:rPr>
          <w:szCs w:val="22"/>
        </w:rPr>
      </w:pPr>
      <w:r>
        <w:rPr>
          <w:szCs w:val="22"/>
        </w:rPr>
        <w:t>It is expected that the RALI will be updated when allocation arrangements in other areas are developed.</w:t>
      </w:r>
    </w:p>
    <w:p w14:paraId="5A81105A" w14:textId="77EB7E17" w:rsidR="00482121" w:rsidRDefault="00CE598A" w:rsidP="00482121">
      <w:r>
        <w:t>Th</w:t>
      </w:r>
      <w:r w:rsidR="00F21718">
        <w:t>is</w:t>
      </w:r>
      <w:r>
        <w:t xml:space="preserve"> RALI provides instructions </w:t>
      </w:r>
      <w:r w:rsidR="00463DE9">
        <w:t>to</w:t>
      </w:r>
      <w:r>
        <w:t xml:space="preserve"> be used by ACMA assigners and Accredited Persons when assessing whether proposed new systems will cause (or receive) unacceptable interference to (or from) existing services.</w:t>
      </w:r>
      <w:r w:rsidR="00482121" w:rsidRPr="00482121">
        <w:rPr>
          <w:szCs w:val="22"/>
        </w:rPr>
        <w:t xml:space="preserve"> </w:t>
      </w:r>
      <w:r w:rsidR="00482121">
        <w:rPr>
          <w:szCs w:val="22"/>
        </w:rPr>
        <w:t xml:space="preserve">Technical arrangements detailed in this RALI have been developed using information from the 3400-4000 MHz Technical Liaison Group (TLG) – TLG papers are available on the </w:t>
      </w:r>
      <w:hyperlink r:id="rId25" w:history="1">
        <w:r w:rsidR="00482121" w:rsidRPr="005E534B">
          <w:rPr>
            <w:rStyle w:val="Hyperlink"/>
            <w:szCs w:val="22"/>
          </w:rPr>
          <w:t>ACMA website</w:t>
        </w:r>
      </w:hyperlink>
      <w:r w:rsidR="00482121">
        <w:rPr>
          <w:szCs w:val="22"/>
        </w:rPr>
        <w:t>.</w:t>
      </w:r>
    </w:p>
    <w:p w14:paraId="0F6D441B" w14:textId="4E64CD4C" w:rsidR="00CE598A" w:rsidRDefault="00CE598A" w:rsidP="00CE598A">
      <w:r>
        <w:t>If interference occurs after a</w:t>
      </w:r>
      <w:r w:rsidR="00DE6871">
        <w:t>n AWL</w:t>
      </w:r>
      <w:r>
        <w:t xml:space="preserve"> is issued and the </w:t>
      </w:r>
      <w:r w:rsidR="000D00BF">
        <w:t>AWL</w:t>
      </w:r>
      <w:r w:rsidR="00DE6871">
        <w:t xml:space="preserve"> transmitter is registered</w:t>
      </w:r>
      <w:r w:rsidR="00674079">
        <w:t>,</w:t>
      </w:r>
      <w:r>
        <w:t xml:space="preserve"> and the issue cannot be resolved between the </w:t>
      </w:r>
      <w:r w:rsidR="00D31308">
        <w:t xml:space="preserve">relevant </w:t>
      </w:r>
      <w:r>
        <w:t xml:space="preserve">parties, licensees can expect the ACMA to have regard to this RALI and relevant legislative instruments in </w:t>
      </w:r>
      <w:r w:rsidR="002A60A9">
        <w:t>resolving</w:t>
      </w:r>
      <w:r>
        <w:t xml:space="preserve"> the </w:t>
      </w:r>
      <w:r w:rsidR="003C404D">
        <w:t>matter</w:t>
      </w:r>
      <w:r>
        <w:t>.</w:t>
      </w:r>
    </w:p>
    <w:p w14:paraId="4C447602" w14:textId="77777777" w:rsidR="0043648B" w:rsidRPr="00DE7566" w:rsidRDefault="0043648B" w:rsidP="00F04B19">
      <w:pPr>
        <w:pStyle w:val="Heading3"/>
        <w:ind w:left="709" w:hanging="709"/>
      </w:pPr>
      <w:bookmarkStart w:id="17" w:name="_Toc6298712"/>
      <w:bookmarkStart w:id="18" w:name="_Toc8983849"/>
      <w:bookmarkStart w:id="19" w:name="_Toc8986373"/>
      <w:bookmarkStart w:id="20" w:name="_Toc57195660"/>
      <w:bookmarkStart w:id="21" w:name="_Toc95291570"/>
      <w:bookmarkStart w:id="22" w:name="_Toc114669390"/>
      <w:r w:rsidRPr="00DE7566">
        <w:t>Basic principles</w:t>
      </w:r>
      <w:bookmarkEnd w:id="17"/>
      <w:bookmarkEnd w:id="18"/>
      <w:bookmarkEnd w:id="19"/>
      <w:bookmarkEnd w:id="20"/>
      <w:bookmarkEnd w:id="21"/>
      <w:bookmarkEnd w:id="22"/>
    </w:p>
    <w:p w14:paraId="79701785" w14:textId="7D684906" w:rsidR="0043648B" w:rsidRDefault="0043648B" w:rsidP="0043648B">
      <w:pPr>
        <w:rPr>
          <w:szCs w:val="22"/>
        </w:rPr>
      </w:pPr>
      <w:r w:rsidRPr="00AF06C8">
        <w:rPr>
          <w:szCs w:val="22"/>
        </w:rPr>
        <w:t xml:space="preserve">The basic principles </w:t>
      </w:r>
      <w:r>
        <w:rPr>
          <w:szCs w:val="22"/>
        </w:rPr>
        <w:t xml:space="preserve">for issuing and operating devices under an </w:t>
      </w:r>
      <w:r>
        <w:t>AWL</w:t>
      </w:r>
      <w:r>
        <w:rPr>
          <w:szCs w:val="22"/>
        </w:rPr>
        <w:t xml:space="preserve"> in the 3400-4000 MHz range are:</w:t>
      </w:r>
    </w:p>
    <w:p w14:paraId="3101960B" w14:textId="0EF8A524" w:rsidR="0043648B" w:rsidRDefault="0043648B" w:rsidP="0043648B">
      <w:pPr>
        <w:pStyle w:val="ListBullet"/>
      </w:pPr>
      <w:r>
        <w:t xml:space="preserve">An AWL provides service-flexible and technology-flexible access to a frequency range and geographic area (its ‘licence area’) specified on the licence. Conditions applicable to all AWLs in the 3400-4000 MHz range are detailed in the </w:t>
      </w:r>
      <w:r w:rsidR="00686D1B" w:rsidRPr="00106E80">
        <w:t>Radiocommunications Licence Conditions (Area-Wide Licence) Determination 2020</w:t>
      </w:r>
      <w:r>
        <w:t xml:space="preserve"> (the AWL LCD),</w:t>
      </w:r>
      <w:r>
        <w:rPr>
          <w:rStyle w:val="FootnoteReference"/>
        </w:rPr>
        <w:footnoteReference w:id="2"/>
      </w:r>
      <w:r>
        <w:t xml:space="preserve"> as in force from time to time.</w:t>
      </w:r>
    </w:p>
    <w:p w14:paraId="4E10480A" w14:textId="3E566322" w:rsidR="0043648B" w:rsidRDefault="0043648B" w:rsidP="005E5B48">
      <w:pPr>
        <w:pStyle w:val="ListBullet"/>
      </w:pPr>
      <w:r>
        <w:t xml:space="preserve">Consistent with the </w:t>
      </w:r>
      <w:hyperlink r:id="rId26" w:history="1">
        <w:r w:rsidR="00674079" w:rsidRPr="00674079">
          <w:rPr>
            <w:rStyle w:val="Hyperlink"/>
          </w:rPr>
          <w:t>Radiocommunications (Interpretation) Determination 2015</w:t>
        </w:r>
      </w:hyperlink>
      <w:r w:rsidR="00210A71">
        <w:t xml:space="preserve"> (the Interpretation Determination)</w:t>
      </w:r>
      <w:r w:rsidR="00A47BFF">
        <w:t>,</w:t>
      </w:r>
      <w:r>
        <w:t xml:space="preserve"> an AWL may be used to operate an area-wide service that consists of one or more area-wide stations (radiocommunications transmitters), and which may also consist of one or more area-wide receive stations. </w:t>
      </w:r>
    </w:p>
    <w:p w14:paraId="096F3E30" w14:textId="5F07E0D1" w:rsidR="0043648B" w:rsidRDefault="0043648B" w:rsidP="0043648B">
      <w:pPr>
        <w:pStyle w:val="ListBullet"/>
      </w:pPr>
      <w:r>
        <w:t xml:space="preserve">The technical arrangements for AWLs in the 3400-4000 MHz bands have been designed to accommodate wireless broadband </w:t>
      </w:r>
      <w:r w:rsidR="001A195C">
        <w:t>services</w:t>
      </w:r>
      <w:r>
        <w:t>– although other services</w:t>
      </w:r>
      <w:r w:rsidR="001A195C">
        <w:t>, other than earth receive stations,</w:t>
      </w:r>
      <w:r>
        <w:t xml:space="preserve"> may be deployed </w:t>
      </w:r>
      <w:r w:rsidR="002C733B">
        <w:t>if</w:t>
      </w:r>
      <w:r>
        <w:t xml:space="preserve"> devices comply with the applicable licence conditions.</w:t>
      </w:r>
    </w:p>
    <w:p w14:paraId="491BE70A" w14:textId="77777777" w:rsidR="00692575" w:rsidRPr="00F04777" w:rsidRDefault="00692575" w:rsidP="00692575">
      <w:pPr>
        <w:pStyle w:val="ListBullet"/>
      </w:pPr>
      <w:r w:rsidRPr="00F04777">
        <w:t xml:space="preserve">An overview of how the AWL technical framework operates is provided in section </w:t>
      </w:r>
      <w:r w:rsidRPr="005E5B48">
        <w:t>1.4</w:t>
      </w:r>
      <w:r w:rsidRPr="00F04777">
        <w:t>.</w:t>
      </w:r>
    </w:p>
    <w:p w14:paraId="72507B6B" w14:textId="1C9A7EDA" w:rsidR="0007266D" w:rsidRPr="00F04777" w:rsidRDefault="0007266D" w:rsidP="00F01336">
      <w:pPr>
        <w:pStyle w:val="ListBullet"/>
      </w:pPr>
      <w:r w:rsidRPr="005E5B48">
        <w:t>RF arrangements, including frequency ranges and geographic areas where AWLs may be issued, and channel arrangements are detailed in Chapter 2</w:t>
      </w:r>
      <w:r w:rsidRPr="00F04777">
        <w:t>.</w:t>
      </w:r>
    </w:p>
    <w:p w14:paraId="2AF16F79" w14:textId="56BB80FE" w:rsidR="00411C85" w:rsidRPr="00F04777" w:rsidRDefault="0043648B" w:rsidP="00F01336">
      <w:pPr>
        <w:pStyle w:val="ListBullet"/>
      </w:pPr>
      <w:r w:rsidRPr="005E5B48">
        <w:t>An AWL is issued prior to device coordination (if required).</w:t>
      </w:r>
      <w:r w:rsidR="00692575" w:rsidRPr="005E5B48">
        <w:t xml:space="preserve"> </w:t>
      </w:r>
      <w:r w:rsidR="00411C85" w:rsidRPr="005E5B48">
        <w:t xml:space="preserve">An </w:t>
      </w:r>
      <w:r w:rsidR="00411C85" w:rsidRPr="005E5B48">
        <w:rPr>
          <w:rFonts w:cs="Arial"/>
        </w:rPr>
        <w:t>AWL</w:t>
      </w:r>
      <w:r w:rsidR="00411C85" w:rsidRPr="005E5B48">
        <w:t xml:space="preserve"> will generally only be issued if it complies with the licensing arrangements detailed in Chapter 3</w:t>
      </w:r>
      <w:r w:rsidR="00411C85" w:rsidRPr="00F04777">
        <w:t xml:space="preserve"> of this RALI.</w:t>
      </w:r>
      <w:r w:rsidRPr="00F04777">
        <w:t xml:space="preserve"> </w:t>
      </w:r>
    </w:p>
    <w:p w14:paraId="2AEB08C1" w14:textId="2950EBE8" w:rsidR="0043648B" w:rsidRPr="00F04777" w:rsidRDefault="0043648B" w:rsidP="00F01336">
      <w:pPr>
        <w:pStyle w:val="ListBullet"/>
      </w:pPr>
      <w:r w:rsidRPr="005E5B48">
        <w:lastRenderedPageBreak/>
        <w:t xml:space="preserve">Where applicable, any necessary device coordination is to be undertaken prior to including applicable devices in the </w:t>
      </w:r>
      <w:hyperlink r:id="rId27" w:history="1">
        <w:r w:rsidRPr="00F04777">
          <w:rPr>
            <w:rStyle w:val="Hyperlink"/>
          </w:rPr>
          <w:t>Register of Radiocommunications Licences</w:t>
        </w:r>
      </w:hyperlink>
      <w:r w:rsidRPr="00F04777">
        <w:t xml:space="preserve"> (RRL)</w:t>
      </w:r>
      <w:r w:rsidR="00411C85" w:rsidRPr="00F04777">
        <w:t xml:space="preserve"> – see Chapter </w:t>
      </w:r>
      <w:r w:rsidR="00411C85" w:rsidRPr="005E5B48">
        <w:t>4</w:t>
      </w:r>
      <w:r w:rsidRPr="00F04777">
        <w:t xml:space="preserve">. </w:t>
      </w:r>
    </w:p>
    <w:p w14:paraId="08234616" w14:textId="77777777" w:rsidR="0043648B" w:rsidRDefault="0043648B" w:rsidP="00CE598A"/>
    <w:p w14:paraId="13A24DA5" w14:textId="4DCFDB73" w:rsidR="00DB05A3" w:rsidRDefault="00DB05A3" w:rsidP="00F04B19">
      <w:pPr>
        <w:pStyle w:val="Heading2"/>
        <w:ind w:left="709" w:hanging="709"/>
      </w:pPr>
      <w:bookmarkStart w:id="23" w:name="_Toc95291571"/>
      <w:bookmarkStart w:id="24" w:name="_Toc114669391"/>
      <w:r>
        <w:t>Operation of the technical framework</w:t>
      </w:r>
      <w:bookmarkEnd w:id="23"/>
      <w:bookmarkEnd w:id="24"/>
    </w:p>
    <w:p w14:paraId="765511AD" w14:textId="63135C31" w:rsidR="00DB05A3" w:rsidRDefault="00DB05A3" w:rsidP="00DB05A3">
      <w:r>
        <w:t>The technical framework for AWLs in the frequency range 3400–4000 MHz sets out the minimum conditions and arrangements that allow coexistence with other services operating in and adjacent to the 3400–4000 MHz range. The conditions or arrangements are:</w:t>
      </w:r>
    </w:p>
    <w:p w14:paraId="389400CD" w14:textId="4C489BCD" w:rsidR="00DB05A3" w:rsidRDefault="00846B68" w:rsidP="00DB05A3">
      <w:pPr>
        <w:pStyle w:val="ListParagraph"/>
        <w:numPr>
          <w:ilvl w:val="0"/>
          <w:numId w:val="24"/>
        </w:numPr>
        <w:spacing w:after="160" w:line="259" w:lineRule="auto"/>
        <w:contextualSpacing/>
      </w:pPr>
      <w:r>
        <w:t>O</w:t>
      </w:r>
      <w:r w:rsidR="00DB05A3">
        <w:t>n individually issued licences</w:t>
      </w:r>
    </w:p>
    <w:p w14:paraId="20EF8221" w14:textId="7BA11EBF" w:rsidR="00DB05A3" w:rsidRPr="009D33A5" w:rsidRDefault="00846B68" w:rsidP="00DB05A3">
      <w:pPr>
        <w:pStyle w:val="ListParagraph"/>
        <w:numPr>
          <w:ilvl w:val="0"/>
          <w:numId w:val="24"/>
        </w:numPr>
        <w:spacing w:after="160" w:line="259" w:lineRule="auto"/>
        <w:contextualSpacing/>
        <w:rPr>
          <w:strike/>
        </w:rPr>
      </w:pPr>
      <w:r>
        <w:t>I</w:t>
      </w:r>
      <w:r w:rsidR="00DB05A3">
        <w:t xml:space="preserve">n the </w:t>
      </w:r>
      <w:r w:rsidR="00686D1B" w:rsidRPr="00106E80">
        <w:t>Radiocommunications Licence Conditions (Area-Wide Licence) Determination 2020</w:t>
      </w:r>
      <w:r w:rsidR="00DB05A3">
        <w:t xml:space="preserve"> (AWL LCD)</w:t>
      </w:r>
      <w:r w:rsidR="003C54D9">
        <w:t xml:space="preserve"> </w:t>
      </w:r>
    </w:p>
    <w:p w14:paraId="1F5FF4AC" w14:textId="1412825F" w:rsidR="00DB05A3" w:rsidRDefault="00846B68" w:rsidP="00DB05A3">
      <w:pPr>
        <w:pStyle w:val="ListParagraph"/>
        <w:numPr>
          <w:ilvl w:val="0"/>
          <w:numId w:val="24"/>
        </w:numPr>
        <w:spacing w:after="160" w:line="259" w:lineRule="auto"/>
        <w:contextualSpacing/>
      </w:pPr>
      <w:r>
        <w:t>I</w:t>
      </w:r>
      <w:r w:rsidR="00DB05A3">
        <w:t>n this RALI</w:t>
      </w:r>
    </w:p>
    <w:p w14:paraId="3F3A254E" w14:textId="252021D2" w:rsidR="00DB05A3" w:rsidRDefault="00846B68" w:rsidP="00DB05A3">
      <w:pPr>
        <w:pStyle w:val="ListParagraph"/>
        <w:numPr>
          <w:ilvl w:val="0"/>
          <w:numId w:val="24"/>
        </w:numPr>
        <w:spacing w:after="160" w:line="259" w:lineRule="auto"/>
        <w:contextualSpacing/>
      </w:pPr>
      <w:r>
        <w:t>I</w:t>
      </w:r>
      <w:r w:rsidR="00DB05A3">
        <w:t xml:space="preserve">n the </w:t>
      </w:r>
      <w:hyperlink r:id="rId28" w:history="1">
        <w:r w:rsidR="00DB05A3" w:rsidRPr="00BB4BA0">
          <w:rPr>
            <w:rStyle w:val="Hyperlink"/>
          </w:rPr>
          <w:t>Radiocommunications Licence Conditions (Apparatus Licence) Determination 2015</w:t>
        </w:r>
      </w:hyperlink>
      <w:r w:rsidR="00DB05A3">
        <w:rPr>
          <w:rStyle w:val="Hyperlink"/>
        </w:rPr>
        <w:t>,</w:t>
      </w:r>
      <w:r w:rsidR="00DB05A3">
        <w:t xml:space="preserve"> which contains conditions for all apparatus licences. </w:t>
      </w:r>
    </w:p>
    <w:p w14:paraId="34B5EB5E" w14:textId="77777777" w:rsidR="00DB05A3" w:rsidRDefault="00DB05A3" w:rsidP="00DB05A3">
      <w:r>
        <w:t>The technical framework operates using these 3 steps:</w:t>
      </w:r>
    </w:p>
    <w:p w14:paraId="42133A4F" w14:textId="77777777" w:rsidR="00DB05A3" w:rsidRPr="0079290C" w:rsidRDefault="00DB05A3" w:rsidP="00DB05A3">
      <w:pPr>
        <w:keepNext/>
        <w:keepLines/>
        <w:rPr>
          <w:b/>
          <w:bCs/>
          <w:sz w:val="24"/>
        </w:rPr>
      </w:pPr>
      <w:r>
        <w:rPr>
          <w:b/>
          <w:bCs/>
          <w:sz w:val="24"/>
        </w:rPr>
        <w:t xml:space="preserve">Step </w:t>
      </w:r>
      <w:r w:rsidRPr="0079290C">
        <w:rPr>
          <w:b/>
          <w:bCs/>
          <w:sz w:val="24"/>
        </w:rPr>
        <w:t xml:space="preserve">1: </w:t>
      </w:r>
      <w:r>
        <w:rPr>
          <w:b/>
          <w:bCs/>
          <w:sz w:val="24"/>
        </w:rPr>
        <w:t xml:space="preserve">Determine your needs, then apply for </w:t>
      </w:r>
      <w:r w:rsidRPr="0079290C">
        <w:rPr>
          <w:b/>
          <w:bCs/>
          <w:sz w:val="24"/>
        </w:rPr>
        <w:t>a licence</w:t>
      </w:r>
    </w:p>
    <w:p w14:paraId="76B0B546" w14:textId="78C4C1FA" w:rsidR="00DB05A3" w:rsidRDefault="00DB05A3" w:rsidP="00DB05A3">
      <w:pPr>
        <w:keepNext/>
        <w:keepLines/>
      </w:pPr>
      <w:r>
        <w:rPr>
          <w:b/>
          <w:bCs/>
        </w:rPr>
        <w:t>Define</w:t>
      </w:r>
      <w:r w:rsidRPr="004D2C0A">
        <w:rPr>
          <w:b/>
          <w:bCs/>
        </w:rPr>
        <w:t xml:space="preserve"> the area and frequency range first</w:t>
      </w:r>
      <w:r>
        <w:t>:</w:t>
      </w:r>
    </w:p>
    <w:p w14:paraId="742730B1" w14:textId="27EDD13C" w:rsidR="00DB05A3" w:rsidRDefault="00DB05A3" w:rsidP="00DB05A3">
      <w:pPr>
        <w:pStyle w:val="ListBullet"/>
      </w:pPr>
      <w:r>
        <w:t xml:space="preserve">Unlike most other types of apparatus licences, AWLs are issued </w:t>
      </w:r>
      <w:r w:rsidRPr="00D3704B">
        <w:rPr>
          <w:i/>
          <w:iCs/>
        </w:rPr>
        <w:t>before</w:t>
      </w:r>
      <w:r>
        <w:t xml:space="preserve"> </w:t>
      </w:r>
      <w:r w:rsidR="003C54D9">
        <w:t xml:space="preserve">formal </w:t>
      </w:r>
      <w:r>
        <w:t xml:space="preserve">device coordination. You will need to know the area and frequency range you wish to operate in before applying for an AWL. </w:t>
      </w:r>
    </w:p>
    <w:p w14:paraId="1E83F6A8" w14:textId="61596C91" w:rsidR="00DB05A3" w:rsidRDefault="00DB05A3" w:rsidP="00DB05A3">
      <w:pPr>
        <w:pStyle w:val="ListBullet"/>
      </w:pPr>
      <w:r>
        <w:t xml:space="preserve">Go to the ACMA’s </w:t>
      </w:r>
      <w:hyperlink r:id="rId29" w:history="1">
        <w:r w:rsidRPr="004D2C0A">
          <w:rPr>
            <w:rStyle w:val="Hyperlink"/>
          </w:rPr>
          <w:t>Register of Radiocommunications Licences</w:t>
        </w:r>
      </w:hyperlink>
      <w:r>
        <w:t xml:space="preserve"> to check if your desired geographical area(s) and frequency range(s) are available. </w:t>
      </w:r>
    </w:p>
    <w:p w14:paraId="485FC6C3" w14:textId="2F528F87" w:rsidR="00DB05A3" w:rsidRDefault="00DB05A3" w:rsidP="00DB05A3">
      <w:pPr>
        <w:pStyle w:val="ListBullet"/>
      </w:pPr>
      <w:r>
        <w:t>Additional spectrum and/or area may be required so that</w:t>
      </w:r>
      <w:r w:rsidR="002A384B">
        <w:t>:</w:t>
      </w:r>
    </w:p>
    <w:p w14:paraId="7B05DEAC" w14:textId="4BAFA014" w:rsidR="00DB05A3" w:rsidRDefault="004F2174" w:rsidP="00DB05A3">
      <w:pPr>
        <w:pStyle w:val="ListBullet"/>
        <w:tabs>
          <w:tab w:val="clear" w:pos="295"/>
          <w:tab w:val="num" w:pos="579"/>
        </w:tabs>
        <w:ind w:left="579"/>
      </w:pPr>
      <w:r>
        <w:t xml:space="preserve">The intended </w:t>
      </w:r>
      <w:r w:rsidR="00DB05A3">
        <w:t xml:space="preserve">operation complies with all requirements at the frequency and area boundaries of the licence (detailed in the </w:t>
      </w:r>
      <w:r w:rsidR="00686D1B" w:rsidRPr="00106E80">
        <w:t>AWL LCD</w:t>
      </w:r>
      <w:r w:rsidR="00DB05A3">
        <w:t xml:space="preserve"> and </w:t>
      </w:r>
      <w:r w:rsidR="0038044F">
        <w:t xml:space="preserve">section </w:t>
      </w:r>
      <w:r w:rsidR="001A195C">
        <w:t>4</w:t>
      </w:r>
      <w:r w:rsidR="00DB05A3">
        <w:t xml:space="preserve"> of this </w:t>
      </w:r>
      <w:r w:rsidR="00686D1B" w:rsidRPr="00106E80">
        <w:t>RALI</w:t>
      </w:r>
      <w:r w:rsidR="00DB05A3">
        <w:t>).</w:t>
      </w:r>
      <w:r w:rsidR="00DB05A3" w:rsidRPr="00FB3B9A">
        <w:t xml:space="preserve"> </w:t>
      </w:r>
    </w:p>
    <w:p w14:paraId="472B38CE" w14:textId="0BE85E47" w:rsidR="00DB05A3" w:rsidRDefault="00DB05A3" w:rsidP="00DB05A3">
      <w:pPr>
        <w:pStyle w:val="ListBullet"/>
        <w:tabs>
          <w:tab w:val="clear" w:pos="295"/>
          <w:tab w:val="num" w:pos="579"/>
        </w:tabs>
        <w:ind w:left="579"/>
      </w:pPr>
      <w:r>
        <w:t>There is enough frequency and/or geographic separation from existing and future transmitters to satisfy the desired level of protection for receivers operated under the AWL (especially in cases where the required protection is greater than explicitly provided by t</w:t>
      </w:r>
      <w:r w:rsidR="008D34E7">
        <w:t>h</w:t>
      </w:r>
      <w:r>
        <w:t>e technical framework (</w:t>
      </w:r>
      <w:r w:rsidR="00D40930" w:rsidDel="007C5FF2">
        <w:t>e.g.,</w:t>
      </w:r>
      <w:r w:rsidR="00AA10F0">
        <w:t xml:space="preserve"> where a licensee seeks to avoid invoking the fall-back synchronisation requirement in the AWL LCD</w:t>
      </w:r>
      <w:r>
        <w:t>).</w:t>
      </w:r>
    </w:p>
    <w:p w14:paraId="295054F8" w14:textId="77777777" w:rsidR="004932E7" w:rsidRDefault="00DB05A3" w:rsidP="00F04B19">
      <w:pPr>
        <w:pStyle w:val="ListBullet"/>
        <w:numPr>
          <w:ilvl w:val="0"/>
          <w:numId w:val="0"/>
        </w:numPr>
        <w:ind w:left="284"/>
      </w:pPr>
      <w:r>
        <w:t>This will make sure that enough ‘spectrum space’ (geographic area and bandwidth) is licensed.</w:t>
      </w:r>
      <w:r w:rsidR="003C54D9">
        <w:t xml:space="preserve"> This may require some “device coordination-like” activities to be </w:t>
      </w:r>
      <w:r w:rsidR="00B50C4C">
        <w:t xml:space="preserve">prudently </w:t>
      </w:r>
      <w:r w:rsidR="003C54D9">
        <w:t>undertaken</w:t>
      </w:r>
      <w:r w:rsidR="002C733B">
        <w:t>.</w:t>
      </w:r>
      <w:r w:rsidR="004932E7" w:rsidRPr="004932E7">
        <w:t xml:space="preserve"> </w:t>
      </w:r>
    </w:p>
    <w:p w14:paraId="532B3AE3" w14:textId="772E6157" w:rsidR="00CA14C6" w:rsidRPr="009D33A5" w:rsidRDefault="00CA14C6" w:rsidP="009D33A5">
      <w:pPr>
        <w:pStyle w:val="ListBullet"/>
        <w:numPr>
          <w:ilvl w:val="0"/>
          <w:numId w:val="0"/>
        </w:numPr>
        <w:ind w:left="284"/>
      </w:pPr>
      <w:r w:rsidRPr="00F43C18">
        <w:t xml:space="preserve">Applicants should seek the services of an </w:t>
      </w:r>
      <w:hyperlink r:id="rId30" w:history="1">
        <w:r w:rsidRPr="009D33A5">
          <w:t>Accredited Person</w:t>
        </w:r>
      </w:hyperlink>
      <w:r w:rsidRPr="00F43C18">
        <w:t xml:space="preserve"> (AP) to </w:t>
      </w:r>
      <w:r w:rsidRPr="009D33A5">
        <w:t>check the areas and frequencies to ensure an AWL they wish to obtain</w:t>
      </w:r>
      <w:r w:rsidRPr="00F43C18">
        <w:t xml:space="preserve"> will be fit for purpose. Importantly, incumbent apparatus licences must be afforded ongoing protection as detailed in </w:t>
      </w:r>
      <w:r w:rsidRPr="009D33A5">
        <w:t xml:space="preserve">this </w:t>
      </w:r>
      <w:hyperlink r:id="rId31" w:history="1">
        <w:r w:rsidRPr="009D33A5">
          <w:t>RALI</w:t>
        </w:r>
      </w:hyperlink>
      <w:r w:rsidRPr="00F43C18">
        <w:t>. An AP can assist in determining whether incumbent apparatus licences or any other technical restrictions will affect the availability and utility of spectrum in an area.</w:t>
      </w:r>
    </w:p>
    <w:p w14:paraId="7187B4F3" w14:textId="77777777" w:rsidR="00CA14C6" w:rsidRDefault="00CA14C6" w:rsidP="00F04B19">
      <w:pPr>
        <w:pStyle w:val="ListBullet"/>
        <w:numPr>
          <w:ilvl w:val="0"/>
          <w:numId w:val="0"/>
        </w:numPr>
        <w:ind w:left="284"/>
        <w:rPr>
          <w:highlight w:val="yellow"/>
        </w:rPr>
      </w:pPr>
    </w:p>
    <w:p w14:paraId="732B15F2" w14:textId="77777777" w:rsidR="004932E7" w:rsidRDefault="004932E7" w:rsidP="00F04B19">
      <w:pPr>
        <w:pStyle w:val="ListBullet"/>
        <w:numPr>
          <w:ilvl w:val="0"/>
          <w:numId w:val="0"/>
        </w:numPr>
        <w:ind w:left="284"/>
      </w:pPr>
    </w:p>
    <w:p w14:paraId="043D08D1" w14:textId="77777777" w:rsidR="00DB05A3" w:rsidRPr="004D2C0A" w:rsidRDefault="00DB05A3" w:rsidP="005E5B48">
      <w:pPr>
        <w:spacing w:before="240" w:after="120"/>
        <w:rPr>
          <w:b/>
          <w:bCs/>
        </w:rPr>
      </w:pPr>
      <w:r>
        <w:rPr>
          <w:b/>
          <w:bCs/>
        </w:rPr>
        <w:t>Apply to the ACMA</w:t>
      </w:r>
      <w:r w:rsidRPr="004D2C0A">
        <w:rPr>
          <w:b/>
          <w:bCs/>
        </w:rPr>
        <w:t>:</w:t>
      </w:r>
    </w:p>
    <w:p w14:paraId="3487DE6B" w14:textId="4DB1FB43" w:rsidR="00DB05A3" w:rsidRDefault="00DB05A3" w:rsidP="00DB05A3">
      <w:pPr>
        <w:pStyle w:val="ListBullet"/>
      </w:pPr>
      <w:r>
        <w:t xml:space="preserve">Chapter </w:t>
      </w:r>
      <w:r w:rsidR="0038044F" w:rsidRPr="005E5B48">
        <w:t>3</w:t>
      </w:r>
      <w:r>
        <w:t xml:space="preserve"> of this </w:t>
      </w:r>
      <w:r w:rsidR="00686D1B" w:rsidRPr="00106E80">
        <w:t xml:space="preserve">RALI </w:t>
      </w:r>
      <w:r>
        <w:t xml:space="preserve">contains the basic arrangements for AWLs in the </w:t>
      </w:r>
      <w:r w:rsidR="00FA79A9">
        <w:t>3400-4000</w:t>
      </w:r>
      <w:r>
        <w:t xml:space="preserve"> </w:t>
      </w:r>
      <w:r w:rsidR="00FA79A9">
        <w:t>M</w:t>
      </w:r>
      <w:r>
        <w:t xml:space="preserve">Hz </w:t>
      </w:r>
      <w:r w:rsidR="00FA79A9">
        <w:t>range</w:t>
      </w:r>
      <w:r>
        <w:t>.</w:t>
      </w:r>
      <w:r w:rsidRPr="00CA0CE4">
        <w:t xml:space="preserve"> </w:t>
      </w:r>
    </w:p>
    <w:p w14:paraId="6AA9439C" w14:textId="77777777" w:rsidR="00DB05A3" w:rsidRDefault="00DB05A3" w:rsidP="00DB05A3">
      <w:pPr>
        <w:pStyle w:val="ListBullet"/>
      </w:pPr>
      <w:r>
        <w:lastRenderedPageBreak/>
        <w:t xml:space="preserve">You should engage an </w:t>
      </w:r>
      <w:hyperlink r:id="rId32" w:history="1">
        <w:r w:rsidRPr="00F13925">
          <w:rPr>
            <w:rStyle w:val="Hyperlink"/>
          </w:rPr>
          <w:t>Accredited Person</w:t>
        </w:r>
      </w:hyperlink>
      <w:r w:rsidRPr="006E5C4C">
        <w:t xml:space="preserve"> to </w:t>
      </w:r>
      <w:r>
        <w:t>assist with your application.</w:t>
      </w:r>
    </w:p>
    <w:p w14:paraId="0E894EFE" w14:textId="77777777" w:rsidR="00DB05A3" w:rsidRPr="009F5779" w:rsidRDefault="00DB05A3" w:rsidP="005E5B48">
      <w:pPr>
        <w:spacing w:before="240" w:after="120"/>
        <w:rPr>
          <w:b/>
        </w:rPr>
      </w:pPr>
      <w:r>
        <w:rPr>
          <w:b/>
        </w:rPr>
        <w:t>After you apply:</w:t>
      </w:r>
      <w:r w:rsidRPr="009F5779">
        <w:rPr>
          <w:b/>
        </w:rPr>
        <w:t xml:space="preserve"> </w:t>
      </w:r>
    </w:p>
    <w:p w14:paraId="44A81C26" w14:textId="77777777" w:rsidR="00DB05A3" w:rsidRDefault="00DB05A3" w:rsidP="00DB05A3">
      <w:pPr>
        <w:pStyle w:val="ListBullet"/>
      </w:pPr>
      <w:r>
        <w:t xml:space="preserve">After we receive your application, we will send you an invoice for the application fee. </w:t>
      </w:r>
    </w:p>
    <w:p w14:paraId="004CA84A" w14:textId="77777777" w:rsidR="00DB05A3" w:rsidRDefault="00DB05A3" w:rsidP="00DB05A3">
      <w:pPr>
        <w:pStyle w:val="ListBullet"/>
      </w:pPr>
      <w:r>
        <w:t>After we approve your licence, we will send you an invoice for the apparatus licence tax. The licence will only be issued once the apparatus licence tax is paid.</w:t>
      </w:r>
    </w:p>
    <w:p w14:paraId="17E0C121" w14:textId="77777777" w:rsidR="00DB05A3" w:rsidRDefault="00DB05A3" w:rsidP="00DB05A3">
      <w:pPr>
        <w:pStyle w:val="ListBullet"/>
      </w:pPr>
      <w:r>
        <w:t>You may only operate a transmitter once your licence is issued (and all conditions below are met).</w:t>
      </w:r>
    </w:p>
    <w:p w14:paraId="245DC2D8" w14:textId="77777777" w:rsidR="00DB05A3" w:rsidRDefault="00DB05A3" w:rsidP="005E5B48">
      <w:pPr>
        <w:spacing w:before="240"/>
      </w:pPr>
      <w:r w:rsidRPr="009F5779">
        <w:rPr>
          <w:b/>
          <w:bCs/>
        </w:rPr>
        <w:t xml:space="preserve">Follow the conditions and registration requirements </w:t>
      </w:r>
      <w:r w:rsidRPr="00B75B54">
        <w:t>– see next steps.</w:t>
      </w:r>
    </w:p>
    <w:p w14:paraId="3C088EA0" w14:textId="37C46D71" w:rsidR="00DB05A3" w:rsidRDefault="00DB05A3" w:rsidP="00DB05A3">
      <w:pPr>
        <w:rPr>
          <w:b/>
          <w:bCs/>
          <w:sz w:val="24"/>
        </w:rPr>
      </w:pPr>
      <w:r w:rsidRPr="0079290C">
        <w:rPr>
          <w:b/>
          <w:bCs/>
          <w:sz w:val="24"/>
        </w:rPr>
        <w:t xml:space="preserve">Step 2: </w:t>
      </w:r>
      <w:r>
        <w:rPr>
          <w:b/>
          <w:bCs/>
          <w:sz w:val="24"/>
        </w:rPr>
        <w:t xml:space="preserve">Coordinate and register </w:t>
      </w:r>
      <w:r w:rsidR="003C57F8">
        <w:rPr>
          <w:b/>
          <w:bCs/>
          <w:sz w:val="24"/>
        </w:rPr>
        <w:t>devices</w:t>
      </w:r>
      <w:r>
        <w:rPr>
          <w:b/>
          <w:bCs/>
          <w:sz w:val="24"/>
        </w:rPr>
        <w:t xml:space="preserve"> </w:t>
      </w:r>
    </w:p>
    <w:p w14:paraId="2F5457FC" w14:textId="40011DAB" w:rsidR="00DB05A3" w:rsidRPr="009F5779" w:rsidRDefault="00DB05A3" w:rsidP="00DB05A3">
      <w:pPr>
        <w:rPr>
          <w:b/>
          <w:bCs/>
        </w:rPr>
      </w:pPr>
      <w:r w:rsidRPr="009F5779">
        <w:rPr>
          <w:b/>
          <w:bCs/>
        </w:rPr>
        <w:t>Before regist</w:t>
      </w:r>
      <w:r w:rsidR="00B51609">
        <w:rPr>
          <w:b/>
          <w:bCs/>
        </w:rPr>
        <w:t>er</w:t>
      </w:r>
      <w:r w:rsidRPr="009F5779">
        <w:rPr>
          <w:b/>
          <w:bCs/>
        </w:rPr>
        <w:t>i</w:t>
      </w:r>
      <w:r w:rsidR="00B51609">
        <w:rPr>
          <w:b/>
          <w:bCs/>
        </w:rPr>
        <w:t>ng a device</w:t>
      </w:r>
      <w:r w:rsidRPr="009F5779">
        <w:rPr>
          <w:b/>
          <w:bCs/>
        </w:rPr>
        <w:t xml:space="preserve">, meet the requirements in </w:t>
      </w:r>
      <w:r w:rsidRPr="001E5F72">
        <w:rPr>
          <w:b/>
          <w:bCs/>
        </w:rPr>
        <w:t xml:space="preserve">Chapter </w:t>
      </w:r>
      <w:r w:rsidR="0038044F" w:rsidRPr="005E5B48">
        <w:rPr>
          <w:b/>
          <w:bCs/>
        </w:rPr>
        <w:t>4</w:t>
      </w:r>
      <w:r w:rsidRPr="009F5779">
        <w:rPr>
          <w:b/>
          <w:bCs/>
        </w:rPr>
        <w:t xml:space="preserve"> of </w:t>
      </w:r>
      <w:r w:rsidR="00FA79A9">
        <w:rPr>
          <w:b/>
          <w:bCs/>
        </w:rPr>
        <w:t xml:space="preserve">this </w:t>
      </w:r>
      <w:r w:rsidR="00686D1B" w:rsidRPr="00106E80">
        <w:t>RALI</w:t>
      </w:r>
      <w:r w:rsidRPr="009F5779">
        <w:t>.</w:t>
      </w:r>
      <w:r>
        <w:rPr>
          <w:b/>
          <w:bCs/>
        </w:rPr>
        <w:t xml:space="preserve"> </w:t>
      </w:r>
      <w:r>
        <w:t>These include:</w:t>
      </w:r>
    </w:p>
    <w:p w14:paraId="51C01971" w14:textId="52AFCA95" w:rsidR="00DB05A3" w:rsidRPr="001E5F72" w:rsidRDefault="00DB05A3" w:rsidP="00DB05A3">
      <w:pPr>
        <w:pStyle w:val="ListBullet"/>
      </w:pPr>
      <w:r>
        <w:t xml:space="preserve">Coordinating with existing services – see sections </w:t>
      </w:r>
      <w:r w:rsidR="0038044F" w:rsidRPr="001E5F72">
        <w:t>4</w:t>
      </w:r>
      <w:r w:rsidR="0038044F" w:rsidRPr="005E5B48">
        <w:t xml:space="preserve">.2, </w:t>
      </w:r>
      <w:r w:rsidR="008D34E7" w:rsidRPr="005E5B48">
        <w:t>4.5 and 4.6</w:t>
      </w:r>
      <w:r w:rsidRPr="005E5B48">
        <w:t>.</w:t>
      </w:r>
    </w:p>
    <w:p w14:paraId="519CD50C" w14:textId="3CFB8BB3" w:rsidR="00DB05A3" w:rsidRPr="005E5B48" w:rsidRDefault="00FA79A9" w:rsidP="00DB05A3">
      <w:pPr>
        <w:pStyle w:val="ListBullet"/>
      </w:pPr>
      <w:r w:rsidRPr="005E5B48">
        <w:t>Complying with area boundary conditions</w:t>
      </w:r>
      <w:r w:rsidR="00DB05A3" w:rsidRPr="005E5B48">
        <w:t xml:space="preserve"> – see sections </w:t>
      </w:r>
      <w:r w:rsidR="008D34E7" w:rsidRPr="005E5B48">
        <w:t>4.1</w:t>
      </w:r>
      <w:r w:rsidR="00DB05A3" w:rsidRPr="005E5B48">
        <w:t>.</w:t>
      </w:r>
    </w:p>
    <w:p w14:paraId="08A614C4" w14:textId="192B1624" w:rsidR="00DB05A3" w:rsidRPr="005E5B48" w:rsidRDefault="00DB05A3" w:rsidP="00DB05A3">
      <w:pPr>
        <w:pStyle w:val="ListBullet"/>
      </w:pPr>
      <w:r w:rsidRPr="005E5B48">
        <w:t xml:space="preserve">Complying with arrangements detailed in other documents to be met prior to registration – see sections </w:t>
      </w:r>
      <w:r w:rsidR="008D34E7" w:rsidRPr="005E5B48">
        <w:t>4.2 and 4.3</w:t>
      </w:r>
      <w:r w:rsidRPr="005E5B48">
        <w:t xml:space="preserve">. </w:t>
      </w:r>
    </w:p>
    <w:p w14:paraId="667749CA" w14:textId="0ACE5CED" w:rsidR="00DB05A3" w:rsidRPr="001E5F72" w:rsidRDefault="00DB05A3" w:rsidP="005E5B48">
      <w:pPr>
        <w:spacing w:before="240"/>
      </w:pPr>
      <w:r w:rsidRPr="005E5B48">
        <w:rPr>
          <w:b/>
          <w:bCs/>
        </w:rPr>
        <w:t xml:space="preserve">Register the </w:t>
      </w:r>
      <w:r w:rsidR="00B51609" w:rsidRPr="005E5B48">
        <w:rPr>
          <w:b/>
          <w:bCs/>
        </w:rPr>
        <w:t>device</w:t>
      </w:r>
      <w:r w:rsidRPr="005E5B48">
        <w:rPr>
          <w:b/>
          <w:bCs/>
        </w:rPr>
        <w:t>:</w:t>
      </w:r>
      <w:r w:rsidRPr="005E5B48">
        <w:t xml:space="preserve"> </w:t>
      </w:r>
    </w:p>
    <w:p w14:paraId="0956B921" w14:textId="05DC0B48" w:rsidR="00DB05A3" w:rsidRDefault="00DB05A3" w:rsidP="00DB05A3">
      <w:pPr>
        <w:pStyle w:val="ListBullet"/>
      </w:pPr>
      <w:r w:rsidRPr="001E5F72">
        <w:t xml:space="preserve">Meet the requirements in Chapter </w:t>
      </w:r>
      <w:r w:rsidR="008D34E7" w:rsidRPr="005E5B48">
        <w:t>4</w:t>
      </w:r>
      <w:r>
        <w:t xml:space="preserve"> of</w:t>
      </w:r>
      <w:r w:rsidR="00FA79A9">
        <w:t xml:space="preserve"> this</w:t>
      </w:r>
      <w:r>
        <w:t xml:space="preserve"> </w:t>
      </w:r>
      <w:r w:rsidR="00686D1B" w:rsidRPr="00106E80">
        <w:t>RALI</w:t>
      </w:r>
      <w:r>
        <w:t xml:space="preserve"> before you register the </w:t>
      </w:r>
      <w:r w:rsidR="00B80EA9">
        <w:t>device</w:t>
      </w:r>
      <w:r>
        <w:t>.</w:t>
      </w:r>
      <w:r w:rsidR="00B51609">
        <w:t xml:space="preserve"> </w:t>
      </w:r>
    </w:p>
    <w:p w14:paraId="5F08EC4C" w14:textId="77777777" w:rsidR="00DB05A3" w:rsidRDefault="00DB05A3" w:rsidP="00DB05A3">
      <w:pPr>
        <w:pStyle w:val="ListBullet"/>
      </w:pPr>
      <w:r>
        <w:t xml:space="preserve">Engage an </w:t>
      </w:r>
      <w:hyperlink r:id="rId33" w:history="1">
        <w:r w:rsidRPr="00F13925">
          <w:rPr>
            <w:rStyle w:val="Hyperlink"/>
          </w:rPr>
          <w:t>Accredited Person</w:t>
        </w:r>
      </w:hyperlink>
      <w:r w:rsidRPr="006E5C4C">
        <w:t xml:space="preserve"> to register the device</w:t>
      </w:r>
      <w:r>
        <w:t xml:space="preserve"> in the </w:t>
      </w:r>
      <w:hyperlink r:id="rId34" w:history="1">
        <w:r w:rsidRPr="00F13925">
          <w:rPr>
            <w:rStyle w:val="Hyperlink"/>
          </w:rPr>
          <w:t>Register of Radiocommunications Licences</w:t>
        </w:r>
      </w:hyperlink>
      <w:r w:rsidRPr="009F5779">
        <w:rPr>
          <w:rStyle w:val="Hyperlink"/>
        </w:rPr>
        <w:t>.</w:t>
      </w:r>
      <w:r w:rsidRPr="007C0096">
        <w:t xml:space="preserve"> </w:t>
      </w:r>
    </w:p>
    <w:p w14:paraId="23E6CC56" w14:textId="71A8896E" w:rsidR="003C57F8" w:rsidRDefault="00DB05A3" w:rsidP="00DB05A3">
      <w:pPr>
        <w:pStyle w:val="ListBullet"/>
      </w:pPr>
      <w:r>
        <w:t xml:space="preserve">You must register </w:t>
      </w:r>
      <w:r w:rsidR="003C57F8">
        <w:t xml:space="preserve">any </w:t>
      </w:r>
      <w:r>
        <w:t>transmitter</w:t>
      </w:r>
      <w:r w:rsidR="003C57F8">
        <w:t>s</w:t>
      </w:r>
      <w:r>
        <w:t xml:space="preserve"> </w:t>
      </w:r>
      <w:r w:rsidRPr="00D3704B">
        <w:rPr>
          <w:i/>
          <w:iCs/>
        </w:rPr>
        <w:t>before</w:t>
      </w:r>
      <w:r>
        <w:t xml:space="preserve"> </w:t>
      </w:r>
      <w:r w:rsidR="00D40930" w:rsidRPr="005E5B48">
        <w:rPr>
          <w:i/>
        </w:rPr>
        <w:t>operation</w:t>
      </w:r>
      <w:r w:rsidR="00D40930">
        <w:t xml:space="preserve"> unless</w:t>
      </w:r>
      <w:r>
        <w:t xml:space="preserve"> </w:t>
      </w:r>
      <w:r w:rsidR="003C57F8">
        <w:t>they are</w:t>
      </w:r>
      <w:r>
        <w:t xml:space="preserve"> exempt. Schedule </w:t>
      </w:r>
      <w:r w:rsidR="008D34E7" w:rsidRPr="003C5475">
        <w:t>4</w:t>
      </w:r>
      <w:r>
        <w:t xml:space="preserve"> </w:t>
      </w:r>
      <w:r w:rsidR="00EA798F">
        <w:t xml:space="preserve">Section </w:t>
      </w:r>
      <w:r w:rsidR="001133B2" w:rsidRPr="00FF2BE6">
        <w:t>3</w:t>
      </w:r>
      <w:r w:rsidR="001133B2">
        <w:t xml:space="preserve"> </w:t>
      </w:r>
      <w:r w:rsidR="001A630B">
        <w:t xml:space="preserve">paragraph 2 </w:t>
      </w:r>
      <w:r>
        <w:t xml:space="preserve">of the </w:t>
      </w:r>
      <w:r w:rsidR="00686D1B" w:rsidRPr="00106E80">
        <w:t>AWL LCD</w:t>
      </w:r>
      <w:r>
        <w:t xml:space="preserve"> shows the types of transmitters that are exempt from registration – registration-exempt transmitters must </w:t>
      </w:r>
      <w:r w:rsidR="003C54D9">
        <w:t xml:space="preserve">still </w:t>
      </w:r>
      <w:r>
        <w:t>comply with other applicable licence conditions (see Step 3).</w:t>
      </w:r>
      <w:r w:rsidR="00B51609">
        <w:t xml:space="preserve"> </w:t>
      </w:r>
    </w:p>
    <w:p w14:paraId="745DFA1F" w14:textId="092D1500" w:rsidR="00DB05A3" w:rsidRDefault="001A630B" w:rsidP="00DB05A3">
      <w:pPr>
        <w:pStyle w:val="ListBullet"/>
      </w:pPr>
      <w:r>
        <w:t>Noting that earth station receivers are not permitted under the AWL, o</w:t>
      </w:r>
      <w:r w:rsidR="00B92D2B">
        <w:t>ther types of receivers can be optionally registered.</w:t>
      </w:r>
      <w:r w:rsidR="003C57F8">
        <w:t xml:space="preserve"> </w:t>
      </w:r>
      <w:r w:rsidR="00B51609">
        <w:t xml:space="preserve">Only registered devices will be afforded </w:t>
      </w:r>
      <w:r w:rsidR="00B92D2B">
        <w:t xml:space="preserve">the </w:t>
      </w:r>
      <w:r w:rsidR="00B51609">
        <w:t>protection</w:t>
      </w:r>
      <w:r w:rsidR="00B92D2B">
        <w:t xml:space="preserve"> detailed in this RALI</w:t>
      </w:r>
      <w:r w:rsidR="00B51609">
        <w:t>.</w:t>
      </w:r>
      <w:r w:rsidR="003C57F8">
        <w:t xml:space="preserve"> </w:t>
      </w:r>
    </w:p>
    <w:p w14:paraId="54516149" w14:textId="77777777" w:rsidR="00DB05A3" w:rsidRPr="00D3704B" w:rsidRDefault="00DB05A3" w:rsidP="005E5B48">
      <w:pPr>
        <w:spacing w:before="240"/>
        <w:rPr>
          <w:b/>
          <w:bCs/>
          <w:sz w:val="24"/>
        </w:rPr>
      </w:pPr>
      <w:r w:rsidRPr="0079290C">
        <w:rPr>
          <w:b/>
          <w:bCs/>
          <w:sz w:val="24"/>
        </w:rPr>
        <w:t xml:space="preserve">Step 3: </w:t>
      </w:r>
      <w:r>
        <w:rPr>
          <w:b/>
          <w:bCs/>
          <w:sz w:val="24"/>
        </w:rPr>
        <w:t xml:space="preserve">Follow the operating conditions </w:t>
      </w:r>
    </w:p>
    <w:p w14:paraId="510E0842" w14:textId="3CA240EA" w:rsidR="00DB05A3" w:rsidRPr="0079290C" w:rsidRDefault="00DB05A3" w:rsidP="00DB05A3">
      <w:pPr>
        <w:pStyle w:val="ListBullet"/>
      </w:pPr>
      <w:r>
        <w:rPr>
          <w:b/>
          <w:bCs/>
        </w:rPr>
        <w:t>C</w:t>
      </w:r>
      <w:r w:rsidRPr="00D3704B">
        <w:rPr>
          <w:b/>
          <w:bCs/>
        </w:rPr>
        <w:t>onditions</w:t>
      </w:r>
      <w:r>
        <w:rPr>
          <w:b/>
          <w:bCs/>
        </w:rPr>
        <w:t xml:space="preserve"> </w:t>
      </w:r>
      <w:r w:rsidR="00B51609">
        <w:rPr>
          <w:b/>
          <w:bCs/>
        </w:rPr>
        <w:t xml:space="preserve">for operation </w:t>
      </w:r>
      <w:r>
        <w:rPr>
          <w:b/>
          <w:bCs/>
        </w:rPr>
        <w:t>are</w:t>
      </w:r>
      <w:r w:rsidRPr="00D3704B">
        <w:rPr>
          <w:b/>
          <w:bCs/>
        </w:rPr>
        <w:t xml:space="preserve"> </w:t>
      </w:r>
      <w:r w:rsidR="00B51609">
        <w:rPr>
          <w:b/>
          <w:bCs/>
        </w:rPr>
        <w:t xml:space="preserve">detailed </w:t>
      </w:r>
      <w:r w:rsidRPr="00D3704B">
        <w:rPr>
          <w:b/>
          <w:bCs/>
        </w:rPr>
        <w:t xml:space="preserve">in the </w:t>
      </w:r>
      <w:r w:rsidR="00686D1B" w:rsidRPr="00106E80">
        <w:t>AWL LCD</w:t>
      </w:r>
      <w:r w:rsidRPr="00D3704B">
        <w:rPr>
          <w:b/>
          <w:bCs/>
        </w:rPr>
        <w:t>, on the licence and in</w:t>
      </w:r>
      <w:r w:rsidR="00FA79A9">
        <w:rPr>
          <w:b/>
          <w:bCs/>
        </w:rPr>
        <w:t xml:space="preserve"> this</w:t>
      </w:r>
      <w:r w:rsidRPr="00D3704B">
        <w:rPr>
          <w:b/>
          <w:bCs/>
        </w:rPr>
        <w:t xml:space="preserve"> </w:t>
      </w:r>
      <w:r w:rsidR="00686D1B" w:rsidRPr="00106E80">
        <w:t>RALI</w:t>
      </w:r>
      <w:r>
        <w:t>.</w:t>
      </w:r>
    </w:p>
    <w:p w14:paraId="225FA48B" w14:textId="77777777" w:rsidR="00DB05A3" w:rsidRDefault="00DB05A3" w:rsidP="00DB05A3">
      <w:pPr>
        <w:pStyle w:val="ListBullet"/>
      </w:pPr>
      <w:r w:rsidRPr="006E5C4C">
        <w:rPr>
          <w:b/>
          <w:bCs/>
        </w:rPr>
        <w:t>All transmitters (including transmitters exempt from registration) must comply</w:t>
      </w:r>
      <w:r w:rsidRPr="007C0096">
        <w:rPr>
          <w:b/>
          <w:bCs/>
        </w:rPr>
        <w:t xml:space="preserve"> with conditions</w:t>
      </w:r>
      <w:r>
        <w:rPr>
          <w:b/>
          <w:bCs/>
        </w:rPr>
        <w:t xml:space="preserve"> where applicable</w:t>
      </w:r>
      <w:r w:rsidRPr="007C0096">
        <w:t>,</w:t>
      </w:r>
      <w:r w:rsidRPr="007C0096">
        <w:rPr>
          <w:b/>
          <w:bCs/>
        </w:rPr>
        <w:t xml:space="preserve"> </w:t>
      </w:r>
      <w:r>
        <w:t>including:</w:t>
      </w:r>
    </w:p>
    <w:p w14:paraId="4A3836CC" w14:textId="3C616F30" w:rsidR="00DB05A3" w:rsidRPr="000D779A" w:rsidRDefault="00DB05A3" w:rsidP="00DB05A3">
      <w:pPr>
        <w:pStyle w:val="ListBullet2"/>
      </w:pPr>
      <w:r>
        <w:t xml:space="preserve">Maximum power levels (within the licensed frequency range and in adjacent </w:t>
      </w:r>
      <w:r w:rsidRPr="000D779A">
        <w:t xml:space="preserve">frequencies) – see paragraphs </w:t>
      </w:r>
      <w:r w:rsidRPr="003C5475">
        <w:t xml:space="preserve">1 and </w:t>
      </w:r>
      <w:r w:rsidR="004047AC" w:rsidRPr="003C5475">
        <w:t>8</w:t>
      </w:r>
      <w:r w:rsidRPr="003C5475">
        <w:t xml:space="preserve"> of Schedule </w:t>
      </w:r>
      <w:r w:rsidR="008F6D0B" w:rsidRPr="003C5475">
        <w:t>4</w:t>
      </w:r>
      <w:r w:rsidRPr="000D779A">
        <w:t xml:space="preserve"> of the AWL LCD.</w:t>
      </w:r>
    </w:p>
    <w:p w14:paraId="699B02D4" w14:textId="470A924D" w:rsidR="00DB05A3" w:rsidRDefault="00B51609" w:rsidP="00DB05A3">
      <w:pPr>
        <w:pStyle w:val="ListBullet2"/>
      </w:pPr>
      <w:r>
        <w:t xml:space="preserve">Any </w:t>
      </w:r>
      <w:r w:rsidR="00B32CB6">
        <w:t xml:space="preserve">technical </w:t>
      </w:r>
      <w:r>
        <w:t>restrictions that may apply</w:t>
      </w:r>
      <w:r w:rsidR="00B32CB6">
        <w:t xml:space="preserve"> </w:t>
      </w:r>
      <w:r w:rsidR="00DB05A3">
        <w:t>in certain frequency ranges and geographic areas</w:t>
      </w:r>
      <w:bookmarkStart w:id="25" w:name="_Hlk77158843"/>
      <w:r w:rsidR="00DB05A3">
        <w:t xml:space="preserve"> </w:t>
      </w:r>
      <w:bookmarkEnd w:id="25"/>
    </w:p>
    <w:p w14:paraId="431E06D9" w14:textId="44554757" w:rsidR="00DB05A3" w:rsidRPr="000D779A" w:rsidRDefault="00DB05A3" w:rsidP="00DB05A3">
      <w:pPr>
        <w:pStyle w:val="ListBullet2"/>
      </w:pPr>
      <w:r w:rsidRPr="000D779A">
        <w:t xml:space="preserve">Obligations for licensees to help manage and resolve interference – see paragraphs </w:t>
      </w:r>
      <w:r w:rsidR="004047AC" w:rsidRPr="003C5475">
        <w:t>4, 5, 6, and 7</w:t>
      </w:r>
      <w:r w:rsidRPr="003C5475">
        <w:t xml:space="preserve"> of Schedule </w:t>
      </w:r>
      <w:r w:rsidR="008F6D0B" w:rsidRPr="000D779A">
        <w:t>4</w:t>
      </w:r>
      <w:r w:rsidRPr="000D779A">
        <w:t xml:space="preserve"> of the AWL LCD. </w:t>
      </w:r>
    </w:p>
    <w:p w14:paraId="3A22B0FB" w14:textId="77777777" w:rsidR="00DB05A3" w:rsidRPr="00DB05A3" w:rsidRDefault="00DB05A3" w:rsidP="00DB05A3"/>
    <w:p w14:paraId="2F48E59F" w14:textId="7803F594" w:rsidR="00663A77" w:rsidRPr="000B27C0" w:rsidRDefault="00663A77" w:rsidP="00663A77">
      <w:pPr>
        <w:pStyle w:val="Heading1"/>
      </w:pPr>
      <w:bookmarkStart w:id="26" w:name="_Toc57195662"/>
      <w:bookmarkStart w:id="27" w:name="_Toc95291572"/>
      <w:bookmarkStart w:id="28" w:name="_Toc114669392"/>
      <w:r>
        <w:lastRenderedPageBreak/>
        <w:t>RF arrangements</w:t>
      </w:r>
      <w:bookmarkEnd w:id="26"/>
      <w:bookmarkEnd w:id="27"/>
      <w:bookmarkEnd w:id="28"/>
    </w:p>
    <w:p w14:paraId="12EB921A" w14:textId="49460A82" w:rsidR="00BB3E0A" w:rsidRDefault="00BB3E0A" w:rsidP="00BB3E0A">
      <w:pPr>
        <w:pStyle w:val="Heading2"/>
        <w:ind w:left="709" w:hanging="709"/>
      </w:pPr>
      <w:bookmarkStart w:id="29" w:name="_Toc95291573"/>
      <w:bookmarkStart w:id="30" w:name="_Toc114669393"/>
      <w:r>
        <w:t>Frequency ranges and areas available for AWLs</w:t>
      </w:r>
      <w:bookmarkEnd w:id="29"/>
      <w:bookmarkEnd w:id="30"/>
    </w:p>
    <w:p w14:paraId="7795ECF0" w14:textId="7DCC8440" w:rsidR="00BB3E0A" w:rsidRDefault="00227E44" w:rsidP="00BB3E0A">
      <w:r>
        <w:t>T</w:t>
      </w:r>
      <w:r w:rsidR="005A5074">
        <w:t>his RALI</w:t>
      </w:r>
      <w:r>
        <w:t xml:space="preserve"> </w:t>
      </w:r>
      <w:r w:rsidR="00B51609">
        <w:t xml:space="preserve">defines arrangements for the frequency assignment and coordination </w:t>
      </w:r>
      <w:r>
        <w:t>of AWLs in the</w:t>
      </w:r>
      <w:r w:rsidR="00BB3E0A">
        <w:t xml:space="preserve"> frequency ranges and areas described in Table 1</w:t>
      </w:r>
      <w:r w:rsidR="002759A8">
        <w:t>. HCIS descript</w:t>
      </w:r>
      <w:r w:rsidR="005A5074">
        <w:t>ions</w:t>
      </w:r>
      <w:r w:rsidR="002759A8">
        <w:t xml:space="preserve"> of the geographic areas are provided in Appendix </w:t>
      </w:r>
      <w:r w:rsidR="00632AB6">
        <w:t>A</w:t>
      </w:r>
      <w:r w:rsidR="002759A8">
        <w:t>.</w:t>
      </w:r>
      <w:r w:rsidR="003A0ED9">
        <w:t xml:space="preserve"> Assignment of AWLs are subject to the rules detailed in section </w:t>
      </w:r>
      <w:r w:rsidR="003A0ED9" w:rsidRPr="005E5B48">
        <w:t>3.3</w:t>
      </w:r>
      <w:r w:rsidR="003A0ED9">
        <w:t xml:space="preserve">, </w:t>
      </w:r>
      <w:r w:rsidR="003A0ED9" w:rsidRPr="00227E44">
        <w:t>therefore not all frequency ranges and areas</w:t>
      </w:r>
      <w:r w:rsidR="003A0ED9" w:rsidRPr="00FD08BB">
        <w:t xml:space="preserve"> </w:t>
      </w:r>
      <w:r w:rsidRPr="00ED4933">
        <w:t xml:space="preserve">will be </w:t>
      </w:r>
      <w:r w:rsidR="004B0B70" w:rsidRPr="00ED4933">
        <w:t>available</w:t>
      </w:r>
      <w:r w:rsidRPr="00ED4933">
        <w:t xml:space="preserve"> in all </w:t>
      </w:r>
      <w:r w:rsidR="00B51609">
        <w:t>locations</w:t>
      </w:r>
      <w:r w:rsidRPr="00ED4933">
        <w:t>.</w:t>
      </w:r>
    </w:p>
    <w:p w14:paraId="65D4CE48" w14:textId="45684FF9" w:rsidR="00BB3E0A" w:rsidRDefault="00BB3E0A" w:rsidP="00BB3E0A">
      <w:pPr>
        <w:pStyle w:val="ACMATableHeader"/>
      </w:pPr>
      <w:r>
        <w:t>AWL frequency ranges and areas</w:t>
      </w:r>
    </w:p>
    <w:tbl>
      <w:tblPr>
        <w:tblStyle w:val="TableGrid"/>
        <w:tblW w:w="9351" w:type="dxa"/>
        <w:tblLook w:val="04A0" w:firstRow="1" w:lastRow="0" w:firstColumn="1" w:lastColumn="0" w:noHBand="0" w:noVBand="1"/>
      </w:tblPr>
      <w:tblGrid>
        <w:gridCol w:w="1980"/>
        <w:gridCol w:w="7371"/>
      </w:tblGrid>
      <w:tr w:rsidR="002759A8" w14:paraId="0438F3D7" w14:textId="77777777" w:rsidTr="005E5B48">
        <w:trPr>
          <w:trHeight w:val="493"/>
        </w:trPr>
        <w:tc>
          <w:tcPr>
            <w:tcW w:w="1980" w:type="dxa"/>
          </w:tcPr>
          <w:p w14:paraId="67A8A845" w14:textId="578C8E7C" w:rsidR="002759A8" w:rsidRPr="00F04B19" w:rsidRDefault="002759A8" w:rsidP="00BB3E0A">
            <w:pPr>
              <w:rPr>
                <w:b/>
                <w:bCs/>
              </w:rPr>
            </w:pPr>
            <w:r>
              <w:rPr>
                <w:b/>
                <w:bCs/>
              </w:rPr>
              <w:t>Geographic a</w:t>
            </w:r>
            <w:r w:rsidRPr="00F04B19">
              <w:rPr>
                <w:b/>
                <w:bCs/>
              </w:rPr>
              <w:t>rea</w:t>
            </w:r>
          </w:p>
        </w:tc>
        <w:tc>
          <w:tcPr>
            <w:tcW w:w="7371" w:type="dxa"/>
          </w:tcPr>
          <w:p w14:paraId="4C4C4CE9" w14:textId="15BB552C" w:rsidR="002759A8" w:rsidRPr="00F04B19" w:rsidRDefault="002759A8" w:rsidP="00BB3E0A">
            <w:pPr>
              <w:rPr>
                <w:b/>
                <w:bCs/>
              </w:rPr>
            </w:pPr>
            <w:r w:rsidRPr="00F04B19">
              <w:rPr>
                <w:b/>
                <w:bCs/>
              </w:rPr>
              <w:t>Frequency range</w:t>
            </w:r>
          </w:p>
        </w:tc>
      </w:tr>
      <w:tr w:rsidR="002759A8" w14:paraId="63436F61" w14:textId="77777777" w:rsidTr="005E5B48">
        <w:trPr>
          <w:trHeight w:val="493"/>
        </w:trPr>
        <w:tc>
          <w:tcPr>
            <w:tcW w:w="1980" w:type="dxa"/>
          </w:tcPr>
          <w:p w14:paraId="47905498" w14:textId="1BF74AD9" w:rsidR="002759A8" w:rsidRDefault="002759A8" w:rsidP="00BB3E0A">
            <w:r>
              <w:t>Remote</w:t>
            </w:r>
          </w:p>
        </w:tc>
        <w:tc>
          <w:tcPr>
            <w:tcW w:w="7371" w:type="dxa"/>
          </w:tcPr>
          <w:p w14:paraId="070A1999" w14:textId="1DD99C44" w:rsidR="002759A8" w:rsidRDefault="002759A8" w:rsidP="00BB3E0A">
            <w:r>
              <w:t>3400-4000 MHz</w:t>
            </w:r>
          </w:p>
        </w:tc>
      </w:tr>
    </w:tbl>
    <w:p w14:paraId="4DD0D6C7" w14:textId="77777777" w:rsidR="00BB3E0A" w:rsidRPr="00BB3E0A" w:rsidRDefault="00BB3E0A" w:rsidP="005E5B48">
      <w:pPr>
        <w:ind w:left="11"/>
      </w:pPr>
    </w:p>
    <w:p w14:paraId="35B5D05A" w14:textId="70C6D897" w:rsidR="00CE598A" w:rsidRDefault="00CE598A" w:rsidP="005E5B48">
      <w:pPr>
        <w:pStyle w:val="Heading2"/>
        <w:ind w:left="720" w:hanging="709"/>
      </w:pPr>
      <w:bookmarkStart w:id="31" w:name="_Ref25840046"/>
      <w:bookmarkStart w:id="32" w:name="_Ref25840102"/>
      <w:bookmarkStart w:id="33" w:name="_Toc95291574"/>
      <w:bookmarkStart w:id="34" w:name="_Toc114669394"/>
      <w:r>
        <w:t>Channel arrangements</w:t>
      </w:r>
      <w:bookmarkEnd w:id="31"/>
      <w:bookmarkEnd w:id="32"/>
      <w:bookmarkEnd w:id="33"/>
      <w:bookmarkEnd w:id="34"/>
    </w:p>
    <w:p w14:paraId="117CEFFE" w14:textId="41BFDE01" w:rsidR="00396762" w:rsidRDefault="00396762" w:rsidP="005E5B48">
      <w:pPr>
        <w:ind w:left="11"/>
      </w:pPr>
      <w:r>
        <w:t xml:space="preserve">The RF channel arrangement </w:t>
      </w:r>
      <w:r w:rsidR="004B0B70">
        <w:t xml:space="preserve">for AWLs </w:t>
      </w:r>
      <w:r w:rsidRPr="00693FA0">
        <w:t xml:space="preserve">in 3400-4000 MHz </w:t>
      </w:r>
      <w:r>
        <w:t>range</w:t>
      </w:r>
      <w:r w:rsidRPr="00693FA0">
        <w:t xml:space="preserve"> provide</w:t>
      </w:r>
      <w:r>
        <w:t>s</w:t>
      </w:r>
      <w:r w:rsidRPr="00693FA0">
        <w:t xml:space="preserve"> for a total of 60 x 10 MHz channels across the frequency range</w:t>
      </w:r>
      <w:r>
        <w:t xml:space="preserve"> – see Table 2</w:t>
      </w:r>
      <w:r w:rsidRPr="00693FA0">
        <w:t xml:space="preserve">. The upper and lower frequency limits of the 10 MHz channels are </w:t>
      </w:r>
      <w:r>
        <w:t>derived as follows:</w:t>
      </w:r>
    </w:p>
    <w:p w14:paraId="010FAD62" w14:textId="77777777" w:rsidR="00396762" w:rsidRPr="00107F11" w:rsidRDefault="00396762" w:rsidP="005E5B48">
      <w:pPr>
        <w:spacing w:after="0"/>
        <w:ind w:left="11"/>
        <w:rPr>
          <w:szCs w:val="22"/>
        </w:rPr>
      </w:pPr>
      <w:r w:rsidRPr="00F01A16">
        <w:rPr>
          <w:i/>
          <w:iCs/>
          <w:sz w:val="24"/>
        </w:rPr>
        <w:t>f</w:t>
      </w:r>
      <w:r w:rsidRPr="00107F11">
        <w:rPr>
          <w:i/>
          <w:iCs/>
          <w:sz w:val="24"/>
          <w:vertAlign w:val="subscript"/>
        </w:rPr>
        <w:t>r</w:t>
      </w:r>
      <w:r w:rsidRPr="00107F11">
        <w:rPr>
          <w:i/>
          <w:iCs/>
          <w:szCs w:val="22"/>
        </w:rPr>
        <w:tab/>
      </w:r>
      <w:r w:rsidRPr="00107F11">
        <w:rPr>
          <w:szCs w:val="22"/>
        </w:rPr>
        <w:t>be the frequency of the lower edge of the band of frequencies occupied (MHz)</w:t>
      </w:r>
    </w:p>
    <w:p w14:paraId="517B2E5D" w14:textId="77777777" w:rsidR="00396762" w:rsidRDefault="00396762" w:rsidP="005E5B48">
      <w:pPr>
        <w:spacing w:after="0"/>
        <w:ind w:left="11"/>
      </w:pPr>
      <w:r w:rsidRPr="00107F11">
        <w:rPr>
          <w:i/>
          <w:iCs/>
          <w:sz w:val="24"/>
        </w:rPr>
        <w:t>f</w:t>
      </w:r>
      <w:r>
        <w:rPr>
          <w:i/>
          <w:iCs/>
          <w:sz w:val="24"/>
          <w:vertAlign w:val="subscript"/>
        </w:rPr>
        <w:t>L</w:t>
      </w:r>
      <w:r>
        <w:tab/>
        <w:t>be the frequency of the lower edge of the RF channel (MHz)</w:t>
      </w:r>
    </w:p>
    <w:p w14:paraId="7DAE949A" w14:textId="77777777" w:rsidR="00396762" w:rsidRDefault="00396762" w:rsidP="005E5B48">
      <w:pPr>
        <w:spacing w:after="0"/>
        <w:ind w:left="11"/>
      </w:pPr>
      <w:r w:rsidRPr="00107F11">
        <w:rPr>
          <w:i/>
          <w:iCs/>
          <w:sz w:val="24"/>
        </w:rPr>
        <w:t>f</w:t>
      </w:r>
      <w:r>
        <w:rPr>
          <w:i/>
          <w:iCs/>
          <w:sz w:val="24"/>
          <w:vertAlign w:val="subscript"/>
        </w:rPr>
        <w:t>U</w:t>
      </w:r>
      <w:r w:rsidRPr="00107F11">
        <w:rPr>
          <w:i/>
          <w:iCs/>
          <w:sz w:val="24"/>
        </w:rPr>
        <w:tab/>
      </w:r>
      <w:r>
        <w:t>be the frequency of the upper edge of the RF channel (MHz)</w:t>
      </w:r>
    </w:p>
    <w:p w14:paraId="2D87D60D" w14:textId="77777777" w:rsidR="00396762" w:rsidRDefault="00396762" w:rsidP="005E5B48">
      <w:pPr>
        <w:spacing w:after="120"/>
        <w:ind w:left="11"/>
      </w:pPr>
      <w:r w:rsidRPr="00107F11">
        <w:rPr>
          <w:i/>
          <w:iCs/>
          <w:sz w:val="24"/>
        </w:rPr>
        <w:t>f</w:t>
      </w:r>
      <w:r w:rsidRPr="00107F11">
        <w:rPr>
          <w:i/>
          <w:iCs/>
          <w:sz w:val="24"/>
          <w:vertAlign w:val="subscript"/>
        </w:rPr>
        <w:t>n</w:t>
      </w:r>
      <w:r w:rsidRPr="00107F11">
        <w:rPr>
          <w:i/>
          <w:iCs/>
          <w:sz w:val="24"/>
        </w:rPr>
        <w:tab/>
      </w:r>
      <w:r>
        <w:t>be the centre frequency of the RF channel (MHz)</w:t>
      </w:r>
    </w:p>
    <w:p w14:paraId="4F2B7F2C" w14:textId="77777777" w:rsidR="00396762" w:rsidRDefault="00396762" w:rsidP="005E5B48">
      <w:pPr>
        <w:spacing w:after="120"/>
        <w:ind w:left="11"/>
      </w:pPr>
      <w:r>
        <w:t xml:space="preserve">n </w:t>
      </w:r>
      <w:r>
        <w:tab/>
        <w:t>be the channel number (integer range is between 1 to 60).</w:t>
      </w:r>
    </w:p>
    <w:p w14:paraId="52BA9BA4" w14:textId="77777777" w:rsidR="00396762" w:rsidRPr="00C26744" w:rsidRDefault="00396762" w:rsidP="005E5B48">
      <w:pPr>
        <w:spacing w:after="0"/>
        <w:ind w:left="294" w:firstLine="284"/>
      </w:pPr>
      <w:r w:rsidRPr="00C26744">
        <w:rPr>
          <w:i/>
          <w:iCs/>
          <w:sz w:val="24"/>
        </w:rPr>
        <w:t>f</w:t>
      </w:r>
      <w:r w:rsidRPr="00C26744">
        <w:rPr>
          <w:i/>
          <w:iCs/>
          <w:sz w:val="24"/>
          <w:vertAlign w:val="subscript"/>
        </w:rPr>
        <w:t xml:space="preserve">n </w:t>
      </w:r>
      <w:r w:rsidRPr="00C26744">
        <w:rPr>
          <w:i/>
          <w:iCs/>
          <w:sz w:val="24"/>
        </w:rPr>
        <w:t xml:space="preserve">= </w:t>
      </w:r>
      <w:r>
        <w:rPr>
          <w:i/>
          <w:iCs/>
          <w:sz w:val="24"/>
        </w:rPr>
        <w:t>f</w:t>
      </w:r>
      <w:r w:rsidRPr="00107F11">
        <w:rPr>
          <w:i/>
          <w:iCs/>
          <w:sz w:val="24"/>
          <w:vertAlign w:val="subscript"/>
        </w:rPr>
        <w:t xml:space="preserve">r </w:t>
      </w:r>
      <w:r w:rsidRPr="00C26744">
        <w:t>+</w:t>
      </w:r>
      <w:r>
        <w:t xml:space="preserve"> </w:t>
      </w:r>
      <w:r w:rsidRPr="00C26744">
        <w:t>5</w:t>
      </w:r>
      <w:r>
        <w:t>*(2</w:t>
      </w:r>
      <w:r w:rsidRPr="00C26744">
        <w:t>n</w:t>
      </w:r>
      <w:r>
        <w:t>-1)</w:t>
      </w:r>
      <w:r w:rsidRPr="00C26744">
        <w:t xml:space="preserve"> </w:t>
      </w:r>
      <w:r>
        <w:t xml:space="preserve">in </w:t>
      </w:r>
      <w:r w:rsidRPr="00C26744">
        <w:t>MHz</w:t>
      </w:r>
    </w:p>
    <w:p w14:paraId="5BF1C88E" w14:textId="77777777" w:rsidR="00396762" w:rsidRPr="00C26744" w:rsidRDefault="00396762" w:rsidP="005E5B48">
      <w:pPr>
        <w:spacing w:after="0"/>
        <w:ind w:left="578"/>
      </w:pPr>
      <w:r w:rsidRPr="00C26744">
        <w:rPr>
          <w:i/>
          <w:iCs/>
          <w:sz w:val="24"/>
        </w:rPr>
        <w:t>f</w:t>
      </w:r>
      <w:r>
        <w:rPr>
          <w:i/>
          <w:iCs/>
          <w:sz w:val="24"/>
          <w:vertAlign w:val="subscript"/>
        </w:rPr>
        <w:t xml:space="preserve">L </w:t>
      </w:r>
      <w:r w:rsidRPr="00C26744">
        <w:rPr>
          <w:sz w:val="28"/>
          <w:szCs w:val="28"/>
        </w:rPr>
        <w:t>= (</w:t>
      </w:r>
      <w:r w:rsidRPr="00107F11">
        <w:rPr>
          <w:i/>
          <w:iCs/>
          <w:sz w:val="24"/>
        </w:rPr>
        <w:t>f</w:t>
      </w:r>
      <w:r w:rsidRPr="00107F11">
        <w:rPr>
          <w:i/>
          <w:iCs/>
          <w:sz w:val="24"/>
          <w:vertAlign w:val="subscript"/>
        </w:rPr>
        <w:t>n</w:t>
      </w:r>
      <w:r w:rsidRPr="00C26744">
        <w:t xml:space="preserve"> – 5) in MHz</w:t>
      </w:r>
      <w:r w:rsidRPr="00C26744">
        <w:tab/>
      </w:r>
      <w:r w:rsidRPr="00C26744">
        <w:tab/>
      </w:r>
    </w:p>
    <w:p w14:paraId="65A7D197" w14:textId="77777777" w:rsidR="00396762" w:rsidRDefault="00396762" w:rsidP="005E5B48">
      <w:pPr>
        <w:spacing w:after="0"/>
        <w:ind w:left="578"/>
      </w:pPr>
      <w:r w:rsidRPr="00C26744">
        <w:rPr>
          <w:i/>
          <w:iCs/>
          <w:sz w:val="24"/>
        </w:rPr>
        <w:t>f</w:t>
      </w:r>
      <w:r>
        <w:rPr>
          <w:i/>
          <w:iCs/>
          <w:sz w:val="24"/>
          <w:vertAlign w:val="subscript"/>
        </w:rPr>
        <w:t>U</w:t>
      </w:r>
      <w:r w:rsidRPr="00C26744">
        <w:rPr>
          <w:sz w:val="28"/>
          <w:szCs w:val="28"/>
          <w:vertAlign w:val="subscript"/>
        </w:rPr>
        <w:t xml:space="preserve"> </w:t>
      </w:r>
      <w:r w:rsidRPr="00C26744">
        <w:rPr>
          <w:sz w:val="28"/>
          <w:szCs w:val="28"/>
        </w:rPr>
        <w:t>= (</w:t>
      </w:r>
      <w:r w:rsidRPr="00107F11">
        <w:rPr>
          <w:i/>
          <w:iCs/>
          <w:sz w:val="24"/>
        </w:rPr>
        <w:t>f</w:t>
      </w:r>
      <w:r w:rsidRPr="00107F11">
        <w:rPr>
          <w:i/>
          <w:iCs/>
          <w:sz w:val="24"/>
          <w:vertAlign w:val="subscript"/>
        </w:rPr>
        <w:t>n</w:t>
      </w:r>
      <w:r w:rsidRPr="00107F11">
        <w:rPr>
          <w:i/>
          <w:iCs/>
          <w:sz w:val="24"/>
        </w:rPr>
        <w:t xml:space="preserve"> </w:t>
      </w:r>
      <w:r w:rsidRPr="00C26744">
        <w:t xml:space="preserve">+ 5) in MHz, </w:t>
      </w:r>
    </w:p>
    <w:p w14:paraId="72207E2C" w14:textId="77777777" w:rsidR="00396762" w:rsidRDefault="00396762" w:rsidP="005E5B48">
      <w:pPr>
        <w:spacing w:after="0"/>
        <w:ind w:left="11"/>
        <w:rPr>
          <w:lang w:val="en-US"/>
        </w:rPr>
      </w:pPr>
      <w:r w:rsidRPr="00C26744">
        <w:t>where n = 1,2,3,4,5….60.</w:t>
      </w:r>
      <w:r>
        <w:t xml:space="preserve"> </w:t>
      </w:r>
      <w:r>
        <w:rPr>
          <w:lang w:val="en-US"/>
        </w:rPr>
        <w:t>T</w:t>
      </w:r>
      <w:r w:rsidRPr="00C21A2D">
        <w:rPr>
          <w:lang w:val="en-US"/>
        </w:rPr>
        <w:t xml:space="preserve">he value of </w:t>
      </w:r>
      <w:r w:rsidRPr="00107F11">
        <w:rPr>
          <w:i/>
          <w:sz w:val="24"/>
          <w:lang w:val="en-US"/>
        </w:rPr>
        <w:t>f</w:t>
      </w:r>
      <w:r w:rsidRPr="00107F11">
        <w:rPr>
          <w:i/>
          <w:position w:val="-4"/>
          <w:sz w:val="24"/>
          <w:vertAlign w:val="subscript"/>
          <w:lang w:val="en-US"/>
        </w:rPr>
        <w:t>r</w:t>
      </w:r>
      <w:r w:rsidRPr="00107F11">
        <w:rPr>
          <w:sz w:val="24"/>
          <w:vertAlign w:val="subscript"/>
          <w:lang w:val="en-US"/>
        </w:rPr>
        <w:t xml:space="preserve"> </w:t>
      </w:r>
      <w:r w:rsidRPr="00C21A2D">
        <w:rPr>
          <w:lang w:val="en-US"/>
        </w:rPr>
        <w:t>is 3</w:t>
      </w:r>
      <w:r w:rsidRPr="00C21A2D">
        <w:rPr>
          <w:rFonts w:ascii="Tms Rmn" w:hAnsi="Tms Rmn"/>
          <w:sz w:val="12"/>
          <w:lang w:val="en-US"/>
        </w:rPr>
        <w:t> </w:t>
      </w:r>
      <w:r>
        <w:rPr>
          <w:lang w:val="en-US"/>
        </w:rPr>
        <w:t>4</w:t>
      </w:r>
      <w:r w:rsidRPr="00C21A2D">
        <w:rPr>
          <w:lang w:val="en-US"/>
        </w:rPr>
        <w:t>00 MHz</w:t>
      </w:r>
      <w:r>
        <w:rPr>
          <w:lang w:val="en-US"/>
        </w:rPr>
        <w:t>.</w:t>
      </w:r>
    </w:p>
    <w:p w14:paraId="3498C297" w14:textId="77777777" w:rsidR="00461ADE" w:rsidRPr="00C26744" w:rsidRDefault="00461ADE" w:rsidP="005E5B48">
      <w:pPr>
        <w:spacing w:after="0"/>
        <w:ind w:left="11"/>
      </w:pPr>
    </w:p>
    <w:p w14:paraId="702678FA" w14:textId="326C66E7" w:rsidR="00396762" w:rsidRPr="00107F11" w:rsidRDefault="00396762" w:rsidP="005E5B48">
      <w:pPr>
        <w:ind w:left="11"/>
      </w:pPr>
      <w:r>
        <w:t>A licence can be issued which authorises operation over multiple</w:t>
      </w:r>
      <w:r w:rsidR="000E6588">
        <w:t>,</w:t>
      </w:r>
      <w:r>
        <w:t xml:space="preserve"> aggregated</w:t>
      </w:r>
      <w:r w:rsidR="000E6588">
        <w:t>,</w:t>
      </w:r>
      <w:r>
        <w:t xml:space="preserve"> 10 MHz channels.</w:t>
      </w:r>
      <w:r w:rsidR="00D85F27">
        <w:t xml:space="preserve">  This also applies to area-wide receive licences, including those with the </w:t>
      </w:r>
      <w:r w:rsidR="00D85F27" w:rsidRPr="005E5B48">
        <w:rPr>
          <w:i/>
          <w:iCs/>
        </w:rPr>
        <w:fldChar w:fldCharType="begin"/>
      </w:r>
      <w:r w:rsidR="00D85F27" w:rsidRPr="005E5B48">
        <w:rPr>
          <w:i/>
          <w:iCs/>
        </w:rPr>
        <w:instrText xml:space="preserve"> REF _Ref82423484 \h </w:instrText>
      </w:r>
      <w:r w:rsidR="00D85F27">
        <w:rPr>
          <w:i/>
          <w:iCs/>
        </w:rPr>
        <w:instrText xml:space="preserve"> \* MERGEFORMAT </w:instrText>
      </w:r>
      <w:r w:rsidR="00D85F27" w:rsidRPr="005E5B48">
        <w:rPr>
          <w:i/>
          <w:iCs/>
        </w:rPr>
      </w:r>
      <w:r w:rsidR="00D85F27" w:rsidRPr="005E5B48">
        <w:rPr>
          <w:i/>
          <w:iCs/>
        </w:rPr>
        <w:fldChar w:fldCharType="separate"/>
      </w:r>
      <w:r w:rsidR="00D85F27" w:rsidRPr="005E5B48">
        <w:rPr>
          <w:i/>
          <w:iCs/>
        </w:rPr>
        <w:t>FSS-only condition</w:t>
      </w:r>
      <w:r w:rsidR="00D85F27" w:rsidRPr="005E5B48">
        <w:rPr>
          <w:i/>
          <w:iCs/>
        </w:rPr>
        <w:fldChar w:fldCharType="end"/>
      </w:r>
      <w:r w:rsidR="00D85F27">
        <w:t>.</w:t>
      </w:r>
    </w:p>
    <w:p w14:paraId="55E301A8" w14:textId="77777777" w:rsidR="00334F93" w:rsidRDefault="00334F93" w:rsidP="005E5B48">
      <w:pPr>
        <w:spacing w:after="0" w:line="240" w:lineRule="auto"/>
        <w:ind w:left="11"/>
        <w:rPr>
          <w:b/>
          <w:bCs/>
          <w:color w:val="323232"/>
          <w:szCs w:val="20"/>
        </w:rPr>
      </w:pPr>
      <w:bookmarkStart w:id="35" w:name="_Ref25754547"/>
      <w:r>
        <w:br w:type="page"/>
      </w:r>
    </w:p>
    <w:p w14:paraId="56B935D4" w14:textId="74FE2BCB" w:rsidR="002605C6" w:rsidRDefault="002605C6" w:rsidP="005E5B48">
      <w:pPr>
        <w:pStyle w:val="ACMATableHeader"/>
        <w:ind w:left="975"/>
      </w:pPr>
      <w:r>
        <w:lastRenderedPageBreak/>
        <w:t>10 MHz channel plan centre frequencies for the 3400–4000 MHz band.</w:t>
      </w: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8"/>
        <w:gridCol w:w="2268"/>
        <w:gridCol w:w="964"/>
        <w:gridCol w:w="1928"/>
        <w:gridCol w:w="2268"/>
      </w:tblGrid>
      <w:tr w:rsidR="002605C6" w14:paraId="0A2864C9" w14:textId="77777777" w:rsidTr="005E5B48">
        <w:trPr>
          <w:cantSplit/>
        </w:trPr>
        <w:tc>
          <w:tcPr>
            <w:tcW w:w="19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52E627" w14:textId="77777777" w:rsidR="002605C6" w:rsidRDefault="002605C6" w:rsidP="00EC3A9D">
            <w:pPr>
              <w:keepLines/>
              <w:spacing w:before="20" w:after="20" w:line="240" w:lineRule="auto"/>
              <w:jc w:val="center"/>
            </w:pPr>
            <w:r>
              <w:rPr>
                <w:rFonts w:cs="Arial"/>
                <w:b/>
                <w:bCs/>
                <w:color w:val="000000"/>
                <w:szCs w:val="22"/>
              </w:rPr>
              <w:t>10 MHz channel number</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541B5D" w14:textId="77777777" w:rsidR="002605C6" w:rsidRDefault="002605C6" w:rsidP="00EC3A9D">
            <w:pPr>
              <w:keepLines/>
              <w:spacing w:before="20" w:after="20" w:line="240" w:lineRule="auto"/>
              <w:jc w:val="center"/>
            </w:pPr>
            <w:r>
              <w:rPr>
                <w:rFonts w:cs="Arial"/>
                <w:b/>
                <w:bCs/>
                <w:szCs w:val="22"/>
              </w:rPr>
              <w:t>Centre frequency (MHz)</w:t>
            </w:r>
          </w:p>
        </w:tc>
        <w:tc>
          <w:tcPr>
            <w:tcW w:w="964" w:type="dxa"/>
            <w:tcBorders>
              <w:left w:val="single" w:sz="4" w:space="0" w:color="auto"/>
              <w:right w:val="single" w:sz="4" w:space="0" w:color="auto"/>
            </w:tcBorders>
            <w:shd w:val="clear" w:color="auto" w:fill="auto"/>
          </w:tcPr>
          <w:p w14:paraId="2AAABDA4"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3A03FB" w14:textId="77777777" w:rsidR="002605C6" w:rsidRDefault="002605C6" w:rsidP="00EC3A9D">
            <w:pPr>
              <w:keepLines/>
              <w:spacing w:before="20" w:after="20" w:line="240" w:lineRule="auto"/>
              <w:jc w:val="center"/>
            </w:pPr>
            <w:r>
              <w:rPr>
                <w:rFonts w:cs="Arial"/>
                <w:b/>
                <w:bCs/>
                <w:szCs w:val="22"/>
              </w:rPr>
              <w:t>10 MHz channel number</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B7B85C" w14:textId="77777777" w:rsidR="002605C6" w:rsidRDefault="002605C6" w:rsidP="00EC3A9D">
            <w:pPr>
              <w:keepLines/>
              <w:spacing w:before="20" w:after="20" w:line="240" w:lineRule="auto"/>
              <w:jc w:val="center"/>
            </w:pPr>
            <w:r>
              <w:rPr>
                <w:rFonts w:cs="Arial"/>
                <w:b/>
                <w:bCs/>
                <w:szCs w:val="22"/>
              </w:rPr>
              <w:t>Centre frequency (MHz)</w:t>
            </w:r>
          </w:p>
        </w:tc>
      </w:tr>
      <w:tr w:rsidR="002605C6" w14:paraId="3F6B5374"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4AAF31CF" w14:textId="77777777" w:rsidR="002605C6" w:rsidRDefault="002605C6" w:rsidP="00EC3A9D">
            <w:pPr>
              <w:keepLines/>
              <w:spacing w:before="20" w:after="20" w:line="240" w:lineRule="auto"/>
              <w:jc w:val="center"/>
            </w:pPr>
            <w:r>
              <w:rPr>
                <w:rFonts w:cs="Arial"/>
                <w:color w:val="000000"/>
                <w:szCs w:val="22"/>
              </w:rPr>
              <w:t>A1</w:t>
            </w:r>
          </w:p>
        </w:tc>
        <w:tc>
          <w:tcPr>
            <w:tcW w:w="2268" w:type="dxa"/>
            <w:tcBorders>
              <w:top w:val="single" w:sz="4" w:space="0" w:color="auto"/>
              <w:left w:val="single" w:sz="4" w:space="0" w:color="auto"/>
              <w:bottom w:val="single" w:sz="4" w:space="0" w:color="auto"/>
              <w:right w:val="single" w:sz="4" w:space="0" w:color="auto"/>
            </w:tcBorders>
            <w:vAlign w:val="center"/>
          </w:tcPr>
          <w:p w14:paraId="3E16B448" w14:textId="77777777" w:rsidR="002605C6" w:rsidRDefault="002605C6" w:rsidP="00EC3A9D">
            <w:pPr>
              <w:keepLines/>
              <w:spacing w:before="20" w:after="20" w:line="240" w:lineRule="auto"/>
              <w:jc w:val="center"/>
            </w:pPr>
            <w:r>
              <w:rPr>
                <w:rFonts w:cs="Arial"/>
                <w:color w:val="000000"/>
                <w:szCs w:val="22"/>
              </w:rPr>
              <w:t>3405</w:t>
            </w:r>
          </w:p>
        </w:tc>
        <w:tc>
          <w:tcPr>
            <w:tcW w:w="964" w:type="dxa"/>
            <w:tcBorders>
              <w:left w:val="single" w:sz="4" w:space="0" w:color="auto"/>
              <w:right w:val="single" w:sz="4" w:space="0" w:color="auto"/>
            </w:tcBorders>
          </w:tcPr>
          <w:p w14:paraId="080EFF15"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425C82B3" w14:textId="77777777" w:rsidR="002605C6" w:rsidRDefault="002605C6" w:rsidP="00EC3A9D">
            <w:pPr>
              <w:keepLines/>
              <w:spacing w:before="20" w:after="20" w:line="240" w:lineRule="auto"/>
              <w:jc w:val="center"/>
            </w:pPr>
            <w:r>
              <w:rPr>
                <w:rFonts w:cs="Arial"/>
                <w:color w:val="000000"/>
                <w:szCs w:val="22"/>
              </w:rPr>
              <w:t>A31</w:t>
            </w:r>
          </w:p>
        </w:tc>
        <w:tc>
          <w:tcPr>
            <w:tcW w:w="2268" w:type="dxa"/>
            <w:tcBorders>
              <w:top w:val="single" w:sz="4" w:space="0" w:color="auto"/>
              <w:left w:val="single" w:sz="4" w:space="0" w:color="auto"/>
              <w:bottom w:val="single" w:sz="4" w:space="0" w:color="auto"/>
              <w:right w:val="single" w:sz="4" w:space="0" w:color="auto"/>
            </w:tcBorders>
            <w:vAlign w:val="center"/>
          </w:tcPr>
          <w:p w14:paraId="720EDE19" w14:textId="77777777" w:rsidR="002605C6" w:rsidRDefault="002605C6" w:rsidP="00EC3A9D">
            <w:pPr>
              <w:keepLines/>
              <w:spacing w:before="20" w:after="20" w:line="240" w:lineRule="auto"/>
              <w:jc w:val="center"/>
            </w:pPr>
            <w:r>
              <w:rPr>
                <w:rFonts w:cs="Arial"/>
                <w:color w:val="000000"/>
                <w:szCs w:val="22"/>
              </w:rPr>
              <w:t>3705</w:t>
            </w:r>
          </w:p>
        </w:tc>
      </w:tr>
      <w:tr w:rsidR="002605C6" w14:paraId="45A3DA85"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136D520D" w14:textId="77777777" w:rsidR="002605C6" w:rsidRDefault="002605C6" w:rsidP="00EC3A9D">
            <w:pPr>
              <w:keepLines/>
              <w:spacing w:before="20" w:after="20" w:line="240" w:lineRule="auto"/>
              <w:jc w:val="center"/>
            </w:pPr>
            <w:r>
              <w:rPr>
                <w:rFonts w:cs="Arial"/>
                <w:color w:val="000000"/>
                <w:szCs w:val="22"/>
              </w:rPr>
              <w:t>A2</w:t>
            </w:r>
          </w:p>
        </w:tc>
        <w:tc>
          <w:tcPr>
            <w:tcW w:w="2268" w:type="dxa"/>
            <w:tcBorders>
              <w:top w:val="single" w:sz="4" w:space="0" w:color="auto"/>
              <w:left w:val="single" w:sz="4" w:space="0" w:color="auto"/>
              <w:bottom w:val="single" w:sz="4" w:space="0" w:color="auto"/>
              <w:right w:val="single" w:sz="4" w:space="0" w:color="auto"/>
            </w:tcBorders>
            <w:vAlign w:val="center"/>
          </w:tcPr>
          <w:p w14:paraId="63F16615" w14:textId="77777777" w:rsidR="002605C6" w:rsidRDefault="002605C6" w:rsidP="00EC3A9D">
            <w:pPr>
              <w:keepLines/>
              <w:spacing w:before="20" w:after="20" w:line="240" w:lineRule="auto"/>
              <w:jc w:val="center"/>
            </w:pPr>
            <w:r>
              <w:rPr>
                <w:rFonts w:cs="Arial"/>
                <w:color w:val="000000"/>
                <w:szCs w:val="22"/>
              </w:rPr>
              <w:t>3415</w:t>
            </w:r>
          </w:p>
        </w:tc>
        <w:tc>
          <w:tcPr>
            <w:tcW w:w="964" w:type="dxa"/>
            <w:tcBorders>
              <w:left w:val="single" w:sz="4" w:space="0" w:color="auto"/>
              <w:right w:val="single" w:sz="4" w:space="0" w:color="auto"/>
            </w:tcBorders>
          </w:tcPr>
          <w:p w14:paraId="3EE617A9"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1C2674AE" w14:textId="77777777" w:rsidR="002605C6" w:rsidRDefault="002605C6" w:rsidP="00EC3A9D">
            <w:pPr>
              <w:keepLines/>
              <w:spacing w:before="20" w:after="20" w:line="240" w:lineRule="auto"/>
              <w:jc w:val="center"/>
            </w:pPr>
            <w:r>
              <w:rPr>
                <w:rFonts w:cs="Arial"/>
                <w:color w:val="000000"/>
                <w:szCs w:val="22"/>
              </w:rPr>
              <w:t>A32</w:t>
            </w:r>
          </w:p>
        </w:tc>
        <w:tc>
          <w:tcPr>
            <w:tcW w:w="2268" w:type="dxa"/>
            <w:tcBorders>
              <w:top w:val="single" w:sz="4" w:space="0" w:color="auto"/>
              <w:left w:val="single" w:sz="4" w:space="0" w:color="auto"/>
              <w:bottom w:val="single" w:sz="4" w:space="0" w:color="auto"/>
              <w:right w:val="single" w:sz="4" w:space="0" w:color="auto"/>
            </w:tcBorders>
            <w:vAlign w:val="center"/>
          </w:tcPr>
          <w:p w14:paraId="0A56F93A" w14:textId="77777777" w:rsidR="002605C6" w:rsidRDefault="002605C6" w:rsidP="00EC3A9D">
            <w:pPr>
              <w:keepLines/>
              <w:spacing w:before="20" w:after="20" w:line="240" w:lineRule="auto"/>
              <w:jc w:val="center"/>
            </w:pPr>
            <w:r>
              <w:rPr>
                <w:rFonts w:cs="Arial"/>
                <w:color w:val="000000"/>
                <w:szCs w:val="22"/>
              </w:rPr>
              <w:t>3715</w:t>
            </w:r>
          </w:p>
        </w:tc>
      </w:tr>
      <w:tr w:rsidR="002605C6" w14:paraId="6F5EC8EC"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3A02FFDA" w14:textId="77777777" w:rsidR="002605C6" w:rsidRDefault="002605C6" w:rsidP="00EC3A9D">
            <w:pPr>
              <w:keepLines/>
              <w:spacing w:before="20" w:after="20" w:line="240" w:lineRule="auto"/>
              <w:jc w:val="center"/>
            </w:pPr>
            <w:r>
              <w:rPr>
                <w:rFonts w:cs="Arial"/>
                <w:color w:val="000000"/>
                <w:szCs w:val="22"/>
              </w:rPr>
              <w:t>A3</w:t>
            </w:r>
          </w:p>
        </w:tc>
        <w:tc>
          <w:tcPr>
            <w:tcW w:w="2268" w:type="dxa"/>
            <w:tcBorders>
              <w:top w:val="single" w:sz="4" w:space="0" w:color="auto"/>
              <w:left w:val="single" w:sz="4" w:space="0" w:color="auto"/>
              <w:bottom w:val="single" w:sz="4" w:space="0" w:color="auto"/>
              <w:right w:val="single" w:sz="4" w:space="0" w:color="auto"/>
            </w:tcBorders>
            <w:vAlign w:val="center"/>
          </w:tcPr>
          <w:p w14:paraId="201E1860" w14:textId="77777777" w:rsidR="002605C6" w:rsidRDefault="002605C6" w:rsidP="00EC3A9D">
            <w:pPr>
              <w:keepLines/>
              <w:spacing w:before="20" w:after="20" w:line="240" w:lineRule="auto"/>
              <w:jc w:val="center"/>
            </w:pPr>
            <w:r>
              <w:rPr>
                <w:rFonts w:cs="Arial"/>
                <w:color w:val="000000"/>
                <w:szCs w:val="22"/>
              </w:rPr>
              <w:t>3425</w:t>
            </w:r>
          </w:p>
        </w:tc>
        <w:tc>
          <w:tcPr>
            <w:tcW w:w="964" w:type="dxa"/>
            <w:tcBorders>
              <w:left w:val="single" w:sz="4" w:space="0" w:color="auto"/>
              <w:right w:val="single" w:sz="4" w:space="0" w:color="auto"/>
            </w:tcBorders>
          </w:tcPr>
          <w:p w14:paraId="3D99EDF9"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554B2DCA" w14:textId="77777777" w:rsidR="002605C6" w:rsidRDefault="002605C6" w:rsidP="00EC3A9D">
            <w:pPr>
              <w:keepLines/>
              <w:spacing w:before="20" w:after="20" w:line="240" w:lineRule="auto"/>
              <w:jc w:val="center"/>
            </w:pPr>
            <w:r>
              <w:rPr>
                <w:rFonts w:cs="Arial"/>
                <w:color w:val="000000"/>
                <w:szCs w:val="22"/>
              </w:rPr>
              <w:t>A33</w:t>
            </w:r>
          </w:p>
        </w:tc>
        <w:tc>
          <w:tcPr>
            <w:tcW w:w="2268" w:type="dxa"/>
            <w:tcBorders>
              <w:top w:val="single" w:sz="4" w:space="0" w:color="auto"/>
              <w:left w:val="single" w:sz="4" w:space="0" w:color="auto"/>
              <w:bottom w:val="single" w:sz="4" w:space="0" w:color="auto"/>
              <w:right w:val="single" w:sz="4" w:space="0" w:color="auto"/>
            </w:tcBorders>
            <w:vAlign w:val="center"/>
          </w:tcPr>
          <w:p w14:paraId="40289166" w14:textId="77777777" w:rsidR="002605C6" w:rsidRDefault="002605C6" w:rsidP="00EC3A9D">
            <w:pPr>
              <w:keepLines/>
              <w:spacing w:before="20" w:after="20" w:line="240" w:lineRule="auto"/>
              <w:jc w:val="center"/>
            </w:pPr>
            <w:r>
              <w:rPr>
                <w:rFonts w:cs="Arial"/>
                <w:color w:val="000000"/>
                <w:szCs w:val="22"/>
              </w:rPr>
              <w:t>3725</w:t>
            </w:r>
          </w:p>
        </w:tc>
      </w:tr>
      <w:tr w:rsidR="002605C6" w14:paraId="63124E7B"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224F01E5" w14:textId="77777777" w:rsidR="002605C6" w:rsidRDefault="002605C6" w:rsidP="00EC3A9D">
            <w:pPr>
              <w:keepLines/>
              <w:spacing w:before="20" w:after="20" w:line="240" w:lineRule="auto"/>
              <w:jc w:val="center"/>
            </w:pPr>
            <w:r>
              <w:rPr>
                <w:rFonts w:cs="Arial"/>
                <w:color w:val="000000"/>
                <w:szCs w:val="22"/>
              </w:rPr>
              <w:t>A4</w:t>
            </w:r>
          </w:p>
        </w:tc>
        <w:tc>
          <w:tcPr>
            <w:tcW w:w="2268" w:type="dxa"/>
            <w:tcBorders>
              <w:top w:val="single" w:sz="4" w:space="0" w:color="auto"/>
              <w:left w:val="single" w:sz="4" w:space="0" w:color="auto"/>
              <w:bottom w:val="single" w:sz="4" w:space="0" w:color="auto"/>
              <w:right w:val="single" w:sz="4" w:space="0" w:color="auto"/>
            </w:tcBorders>
            <w:vAlign w:val="center"/>
          </w:tcPr>
          <w:p w14:paraId="4C0860EB" w14:textId="77777777" w:rsidR="002605C6" w:rsidRDefault="002605C6" w:rsidP="00EC3A9D">
            <w:pPr>
              <w:keepLines/>
              <w:spacing w:before="20" w:after="20" w:line="240" w:lineRule="auto"/>
              <w:jc w:val="center"/>
            </w:pPr>
            <w:r>
              <w:rPr>
                <w:rFonts w:cs="Arial"/>
                <w:color w:val="000000"/>
                <w:szCs w:val="22"/>
              </w:rPr>
              <w:t>3435</w:t>
            </w:r>
          </w:p>
        </w:tc>
        <w:tc>
          <w:tcPr>
            <w:tcW w:w="964" w:type="dxa"/>
            <w:tcBorders>
              <w:left w:val="single" w:sz="4" w:space="0" w:color="auto"/>
              <w:right w:val="single" w:sz="4" w:space="0" w:color="auto"/>
            </w:tcBorders>
          </w:tcPr>
          <w:p w14:paraId="787AF015"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1F59583B" w14:textId="77777777" w:rsidR="002605C6" w:rsidRDefault="002605C6" w:rsidP="00EC3A9D">
            <w:pPr>
              <w:keepLines/>
              <w:spacing w:before="20" w:after="20" w:line="240" w:lineRule="auto"/>
              <w:jc w:val="center"/>
            </w:pPr>
            <w:r>
              <w:rPr>
                <w:rFonts w:cs="Arial"/>
                <w:color w:val="000000"/>
                <w:szCs w:val="22"/>
              </w:rPr>
              <w:t>A34</w:t>
            </w:r>
          </w:p>
        </w:tc>
        <w:tc>
          <w:tcPr>
            <w:tcW w:w="2268" w:type="dxa"/>
            <w:tcBorders>
              <w:top w:val="single" w:sz="4" w:space="0" w:color="auto"/>
              <w:left w:val="single" w:sz="4" w:space="0" w:color="auto"/>
              <w:bottom w:val="single" w:sz="4" w:space="0" w:color="auto"/>
              <w:right w:val="single" w:sz="4" w:space="0" w:color="auto"/>
            </w:tcBorders>
            <w:vAlign w:val="center"/>
          </w:tcPr>
          <w:p w14:paraId="419A99FD" w14:textId="77777777" w:rsidR="002605C6" w:rsidRDefault="002605C6" w:rsidP="00EC3A9D">
            <w:pPr>
              <w:keepLines/>
              <w:spacing w:before="20" w:after="20" w:line="240" w:lineRule="auto"/>
              <w:jc w:val="center"/>
            </w:pPr>
            <w:r>
              <w:rPr>
                <w:rFonts w:cs="Arial"/>
                <w:color w:val="000000"/>
                <w:szCs w:val="22"/>
              </w:rPr>
              <w:t>3735</w:t>
            </w:r>
          </w:p>
        </w:tc>
      </w:tr>
      <w:tr w:rsidR="002605C6" w14:paraId="7E649D9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5059C124" w14:textId="77777777" w:rsidR="002605C6" w:rsidRDefault="002605C6" w:rsidP="00EC3A9D">
            <w:pPr>
              <w:keepLines/>
              <w:spacing w:before="20" w:after="20" w:line="240" w:lineRule="auto"/>
              <w:jc w:val="center"/>
            </w:pPr>
            <w:r>
              <w:rPr>
                <w:rFonts w:cs="Arial"/>
                <w:color w:val="000000"/>
                <w:szCs w:val="22"/>
              </w:rPr>
              <w:t>A5</w:t>
            </w:r>
          </w:p>
        </w:tc>
        <w:tc>
          <w:tcPr>
            <w:tcW w:w="2268" w:type="dxa"/>
            <w:tcBorders>
              <w:top w:val="single" w:sz="4" w:space="0" w:color="auto"/>
              <w:left w:val="single" w:sz="4" w:space="0" w:color="auto"/>
              <w:bottom w:val="single" w:sz="4" w:space="0" w:color="auto"/>
              <w:right w:val="single" w:sz="4" w:space="0" w:color="auto"/>
            </w:tcBorders>
            <w:vAlign w:val="center"/>
          </w:tcPr>
          <w:p w14:paraId="1E53509B" w14:textId="77777777" w:rsidR="002605C6" w:rsidRDefault="002605C6" w:rsidP="00EC3A9D">
            <w:pPr>
              <w:keepLines/>
              <w:spacing w:before="20" w:after="20" w:line="240" w:lineRule="auto"/>
              <w:jc w:val="center"/>
            </w:pPr>
            <w:r>
              <w:rPr>
                <w:rFonts w:cs="Arial"/>
                <w:color w:val="000000"/>
                <w:szCs w:val="22"/>
              </w:rPr>
              <w:t>3445</w:t>
            </w:r>
          </w:p>
        </w:tc>
        <w:tc>
          <w:tcPr>
            <w:tcW w:w="964" w:type="dxa"/>
            <w:tcBorders>
              <w:left w:val="single" w:sz="4" w:space="0" w:color="auto"/>
              <w:right w:val="single" w:sz="4" w:space="0" w:color="auto"/>
            </w:tcBorders>
          </w:tcPr>
          <w:p w14:paraId="7D480B91"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4FF0C1E5" w14:textId="77777777" w:rsidR="002605C6" w:rsidRDefault="002605C6" w:rsidP="00EC3A9D">
            <w:pPr>
              <w:keepLines/>
              <w:spacing w:before="20" w:after="20" w:line="240" w:lineRule="auto"/>
              <w:jc w:val="center"/>
            </w:pPr>
            <w:r>
              <w:rPr>
                <w:rFonts w:cs="Arial"/>
                <w:color w:val="000000"/>
                <w:szCs w:val="22"/>
              </w:rPr>
              <w:t>A35</w:t>
            </w:r>
          </w:p>
        </w:tc>
        <w:tc>
          <w:tcPr>
            <w:tcW w:w="2268" w:type="dxa"/>
            <w:tcBorders>
              <w:top w:val="single" w:sz="4" w:space="0" w:color="auto"/>
              <w:left w:val="single" w:sz="4" w:space="0" w:color="auto"/>
              <w:bottom w:val="single" w:sz="4" w:space="0" w:color="auto"/>
              <w:right w:val="single" w:sz="4" w:space="0" w:color="auto"/>
            </w:tcBorders>
            <w:vAlign w:val="center"/>
          </w:tcPr>
          <w:p w14:paraId="624B50B8" w14:textId="77777777" w:rsidR="002605C6" w:rsidRDefault="002605C6" w:rsidP="00EC3A9D">
            <w:pPr>
              <w:keepLines/>
              <w:spacing w:before="20" w:after="20" w:line="240" w:lineRule="auto"/>
              <w:jc w:val="center"/>
            </w:pPr>
            <w:r>
              <w:rPr>
                <w:rFonts w:cs="Arial"/>
                <w:color w:val="000000"/>
                <w:szCs w:val="22"/>
              </w:rPr>
              <w:t>3745</w:t>
            </w:r>
          </w:p>
        </w:tc>
      </w:tr>
      <w:tr w:rsidR="002605C6" w14:paraId="7E5F10B6"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74FDFE78" w14:textId="77777777" w:rsidR="002605C6" w:rsidRDefault="002605C6" w:rsidP="00EC3A9D">
            <w:pPr>
              <w:keepLines/>
              <w:spacing w:before="20" w:after="20" w:line="240" w:lineRule="auto"/>
              <w:jc w:val="center"/>
            </w:pPr>
            <w:r>
              <w:rPr>
                <w:rFonts w:cs="Arial"/>
                <w:color w:val="000000"/>
                <w:szCs w:val="22"/>
              </w:rPr>
              <w:t>A6</w:t>
            </w:r>
          </w:p>
        </w:tc>
        <w:tc>
          <w:tcPr>
            <w:tcW w:w="2268" w:type="dxa"/>
            <w:tcBorders>
              <w:top w:val="single" w:sz="4" w:space="0" w:color="auto"/>
              <w:left w:val="single" w:sz="4" w:space="0" w:color="auto"/>
              <w:bottom w:val="single" w:sz="4" w:space="0" w:color="auto"/>
              <w:right w:val="single" w:sz="4" w:space="0" w:color="auto"/>
            </w:tcBorders>
            <w:vAlign w:val="center"/>
          </w:tcPr>
          <w:p w14:paraId="4F183B5A" w14:textId="77777777" w:rsidR="002605C6" w:rsidRDefault="002605C6" w:rsidP="00EC3A9D">
            <w:pPr>
              <w:keepLines/>
              <w:spacing w:before="20" w:after="20" w:line="240" w:lineRule="auto"/>
              <w:jc w:val="center"/>
            </w:pPr>
            <w:r>
              <w:rPr>
                <w:rFonts w:cs="Arial"/>
                <w:color w:val="000000"/>
                <w:szCs w:val="22"/>
              </w:rPr>
              <w:t>3455</w:t>
            </w:r>
          </w:p>
        </w:tc>
        <w:tc>
          <w:tcPr>
            <w:tcW w:w="964" w:type="dxa"/>
            <w:tcBorders>
              <w:left w:val="single" w:sz="4" w:space="0" w:color="auto"/>
              <w:right w:val="single" w:sz="4" w:space="0" w:color="auto"/>
            </w:tcBorders>
          </w:tcPr>
          <w:p w14:paraId="6FA9CBFA"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60031F51" w14:textId="77777777" w:rsidR="002605C6" w:rsidRDefault="002605C6" w:rsidP="00EC3A9D">
            <w:pPr>
              <w:keepLines/>
              <w:spacing w:before="20" w:after="20" w:line="240" w:lineRule="auto"/>
              <w:jc w:val="center"/>
            </w:pPr>
            <w:r>
              <w:rPr>
                <w:rFonts w:cs="Arial"/>
                <w:color w:val="000000"/>
                <w:szCs w:val="22"/>
              </w:rPr>
              <w:t>A36</w:t>
            </w:r>
          </w:p>
        </w:tc>
        <w:tc>
          <w:tcPr>
            <w:tcW w:w="2268" w:type="dxa"/>
            <w:tcBorders>
              <w:top w:val="single" w:sz="4" w:space="0" w:color="auto"/>
              <w:left w:val="single" w:sz="4" w:space="0" w:color="auto"/>
              <w:bottom w:val="single" w:sz="4" w:space="0" w:color="auto"/>
              <w:right w:val="single" w:sz="4" w:space="0" w:color="auto"/>
            </w:tcBorders>
            <w:vAlign w:val="center"/>
          </w:tcPr>
          <w:p w14:paraId="72D55D09" w14:textId="77777777" w:rsidR="002605C6" w:rsidRDefault="002605C6" w:rsidP="00EC3A9D">
            <w:pPr>
              <w:keepLines/>
              <w:spacing w:before="20" w:after="20" w:line="240" w:lineRule="auto"/>
              <w:jc w:val="center"/>
            </w:pPr>
            <w:r>
              <w:rPr>
                <w:rFonts w:cs="Arial"/>
                <w:color w:val="000000"/>
                <w:szCs w:val="22"/>
              </w:rPr>
              <w:t>3755</w:t>
            </w:r>
          </w:p>
        </w:tc>
      </w:tr>
      <w:tr w:rsidR="002605C6" w14:paraId="49342EA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20110C6E" w14:textId="77777777" w:rsidR="002605C6" w:rsidRDefault="002605C6" w:rsidP="00EC3A9D">
            <w:pPr>
              <w:keepLines/>
              <w:spacing w:before="20" w:after="20" w:line="240" w:lineRule="auto"/>
              <w:jc w:val="center"/>
            </w:pPr>
            <w:r>
              <w:rPr>
                <w:rFonts w:cs="Arial"/>
                <w:color w:val="000000"/>
                <w:szCs w:val="22"/>
              </w:rPr>
              <w:t>A7</w:t>
            </w:r>
          </w:p>
        </w:tc>
        <w:tc>
          <w:tcPr>
            <w:tcW w:w="2268" w:type="dxa"/>
            <w:tcBorders>
              <w:top w:val="single" w:sz="4" w:space="0" w:color="auto"/>
              <w:left w:val="single" w:sz="4" w:space="0" w:color="auto"/>
              <w:bottom w:val="single" w:sz="4" w:space="0" w:color="auto"/>
              <w:right w:val="single" w:sz="4" w:space="0" w:color="auto"/>
            </w:tcBorders>
            <w:vAlign w:val="center"/>
          </w:tcPr>
          <w:p w14:paraId="4916AA9B" w14:textId="77777777" w:rsidR="002605C6" w:rsidRDefault="002605C6" w:rsidP="00EC3A9D">
            <w:pPr>
              <w:keepLines/>
              <w:spacing w:before="20" w:after="20" w:line="240" w:lineRule="auto"/>
              <w:jc w:val="center"/>
            </w:pPr>
            <w:r>
              <w:rPr>
                <w:rFonts w:cs="Arial"/>
                <w:color w:val="000000"/>
                <w:szCs w:val="22"/>
              </w:rPr>
              <w:t>3465</w:t>
            </w:r>
          </w:p>
        </w:tc>
        <w:tc>
          <w:tcPr>
            <w:tcW w:w="964" w:type="dxa"/>
            <w:tcBorders>
              <w:left w:val="single" w:sz="4" w:space="0" w:color="auto"/>
              <w:right w:val="single" w:sz="4" w:space="0" w:color="auto"/>
            </w:tcBorders>
          </w:tcPr>
          <w:p w14:paraId="059BE390"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4875CA54" w14:textId="77777777" w:rsidR="002605C6" w:rsidRDefault="002605C6" w:rsidP="00EC3A9D">
            <w:pPr>
              <w:keepLines/>
              <w:spacing w:before="20" w:after="20" w:line="240" w:lineRule="auto"/>
              <w:jc w:val="center"/>
            </w:pPr>
            <w:r>
              <w:rPr>
                <w:rFonts w:cs="Arial"/>
                <w:color w:val="000000"/>
                <w:szCs w:val="22"/>
              </w:rPr>
              <w:t>A37</w:t>
            </w:r>
          </w:p>
        </w:tc>
        <w:tc>
          <w:tcPr>
            <w:tcW w:w="2268" w:type="dxa"/>
            <w:tcBorders>
              <w:top w:val="single" w:sz="4" w:space="0" w:color="auto"/>
              <w:left w:val="single" w:sz="4" w:space="0" w:color="auto"/>
              <w:bottom w:val="single" w:sz="4" w:space="0" w:color="auto"/>
              <w:right w:val="single" w:sz="4" w:space="0" w:color="auto"/>
            </w:tcBorders>
            <w:vAlign w:val="center"/>
          </w:tcPr>
          <w:p w14:paraId="69DFC923" w14:textId="77777777" w:rsidR="002605C6" w:rsidRDefault="002605C6" w:rsidP="00EC3A9D">
            <w:pPr>
              <w:keepLines/>
              <w:spacing w:before="20" w:after="20" w:line="240" w:lineRule="auto"/>
              <w:jc w:val="center"/>
            </w:pPr>
            <w:r>
              <w:rPr>
                <w:rFonts w:cs="Arial"/>
                <w:color w:val="000000"/>
                <w:szCs w:val="22"/>
              </w:rPr>
              <w:t>3765</w:t>
            </w:r>
          </w:p>
        </w:tc>
      </w:tr>
      <w:tr w:rsidR="002605C6" w14:paraId="4E7ABE88"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71EE04C5" w14:textId="77777777" w:rsidR="002605C6" w:rsidRDefault="002605C6" w:rsidP="00EC3A9D">
            <w:pPr>
              <w:keepLines/>
              <w:spacing w:before="20" w:after="20" w:line="240" w:lineRule="auto"/>
              <w:jc w:val="center"/>
            </w:pPr>
            <w:r>
              <w:rPr>
                <w:rFonts w:cs="Arial"/>
                <w:color w:val="000000"/>
                <w:szCs w:val="22"/>
              </w:rPr>
              <w:t>A8</w:t>
            </w:r>
          </w:p>
        </w:tc>
        <w:tc>
          <w:tcPr>
            <w:tcW w:w="2268" w:type="dxa"/>
            <w:tcBorders>
              <w:top w:val="single" w:sz="4" w:space="0" w:color="auto"/>
              <w:left w:val="single" w:sz="4" w:space="0" w:color="auto"/>
              <w:bottom w:val="single" w:sz="4" w:space="0" w:color="auto"/>
              <w:right w:val="single" w:sz="4" w:space="0" w:color="auto"/>
            </w:tcBorders>
            <w:vAlign w:val="center"/>
          </w:tcPr>
          <w:p w14:paraId="5339E670" w14:textId="77777777" w:rsidR="002605C6" w:rsidRDefault="002605C6" w:rsidP="00EC3A9D">
            <w:pPr>
              <w:keepLines/>
              <w:spacing w:before="20" w:after="20" w:line="240" w:lineRule="auto"/>
              <w:jc w:val="center"/>
            </w:pPr>
            <w:r>
              <w:rPr>
                <w:rFonts w:cs="Arial"/>
                <w:color w:val="000000"/>
                <w:szCs w:val="22"/>
              </w:rPr>
              <w:t>3475</w:t>
            </w:r>
          </w:p>
        </w:tc>
        <w:tc>
          <w:tcPr>
            <w:tcW w:w="964" w:type="dxa"/>
            <w:tcBorders>
              <w:left w:val="single" w:sz="4" w:space="0" w:color="auto"/>
              <w:right w:val="single" w:sz="4" w:space="0" w:color="auto"/>
            </w:tcBorders>
          </w:tcPr>
          <w:p w14:paraId="6F4A2DAD"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0BC741A2" w14:textId="77777777" w:rsidR="002605C6" w:rsidRDefault="002605C6" w:rsidP="00EC3A9D">
            <w:pPr>
              <w:keepLines/>
              <w:spacing w:before="20" w:after="20" w:line="240" w:lineRule="auto"/>
              <w:jc w:val="center"/>
            </w:pPr>
            <w:r>
              <w:rPr>
                <w:rFonts w:cs="Arial"/>
                <w:color w:val="000000"/>
                <w:szCs w:val="22"/>
              </w:rPr>
              <w:t>A38</w:t>
            </w:r>
          </w:p>
        </w:tc>
        <w:tc>
          <w:tcPr>
            <w:tcW w:w="2268" w:type="dxa"/>
            <w:tcBorders>
              <w:top w:val="single" w:sz="4" w:space="0" w:color="auto"/>
              <w:left w:val="single" w:sz="4" w:space="0" w:color="auto"/>
              <w:bottom w:val="single" w:sz="4" w:space="0" w:color="auto"/>
              <w:right w:val="single" w:sz="4" w:space="0" w:color="auto"/>
            </w:tcBorders>
            <w:vAlign w:val="center"/>
          </w:tcPr>
          <w:p w14:paraId="762D9A06" w14:textId="77777777" w:rsidR="002605C6" w:rsidRDefault="002605C6" w:rsidP="00EC3A9D">
            <w:pPr>
              <w:keepLines/>
              <w:spacing w:before="20" w:after="20" w:line="240" w:lineRule="auto"/>
              <w:jc w:val="center"/>
            </w:pPr>
            <w:r>
              <w:rPr>
                <w:rFonts w:cs="Arial"/>
                <w:color w:val="000000"/>
                <w:szCs w:val="22"/>
              </w:rPr>
              <w:t>3775</w:t>
            </w:r>
          </w:p>
        </w:tc>
      </w:tr>
      <w:tr w:rsidR="002605C6" w14:paraId="5A615A57"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55EC460A" w14:textId="77777777" w:rsidR="002605C6" w:rsidRDefault="002605C6" w:rsidP="00EC3A9D">
            <w:pPr>
              <w:keepLines/>
              <w:spacing w:before="20" w:after="20" w:line="240" w:lineRule="auto"/>
              <w:jc w:val="center"/>
            </w:pPr>
            <w:r>
              <w:rPr>
                <w:rFonts w:cs="Arial"/>
                <w:color w:val="000000"/>
                <w:szCs w:val="22"/>
              </w:rPr>
              <w:t>A9</w:t>
            </w:r>
          </w:p>
        </w:tc>
        <w:tc>
          <w:tcPr>
            <w:tcW w:w="2268" w:type="dxa"/>
            <w:tcBorders>
              <w:top w:val="single" w:sz="4" w:space="0" w:color="auto"/>
              <w:left w:val="single" w:sz="4" w:space="0" w:color="auto"/>
              <w:bottom w:val="single" w:sz="4" w:space="0" w:color="auto"/>
              <w:right w:val="single" w:sz="4" w:space="0" w:color="auto"/>
            </w:tcBorders>
            <w:vAlign w:val="center"/>
          </w:tcPr>
          <w:p w14:paraId="6447D748" w14:textId="77777777" w:rsidR="002605C6" w:rsidRDefault="002605C6" w:rsidP="00EC3A9D">
            <w:pPr>
              <w:keepLines/>
              <w:spacing w:before="20" w:after="20" w:line="240" w:lineRule="auto"/>
              <w:jc w:val="center"/>
            </w:pPr>
            <w:r>
              <w:rPr>
                <w:rFonts w:cs="Arial"/>
                <w:color w:val="000000"/>
                <w:szCs w:val="22"/>
              </w:rPr>
              <w:t>3485</w:t>
            </w:r>
          </w:p>
        </w:tc>
        <w:tc>
          <w:tcPr>
            <w:tcW w:w="964" w:type="dxa"/>
            <w:tcBorders>
              <w:left w:val="single" w:sz="4" w:space="0" w:color="auto"/>
              <w:right w:val="single" w:sz="4" w:space="0" w:color="auto"/>
            </w:tcBorders>
          </w:tcPr>
          <w:p w14:paraId="331AC358"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24C4C6CF" w14:textId="77777777" w:rsidR="002605C6" w:rsidRDefault="002605C6" w:rsidP="00EC3A9D">
            <w:pPr>
              <w:keepLines/>
              <w:spacing w:before="20" w:after="20" w:line="240" w:lineRule="auto"/>
              <w:jc w:val="center"/>
            </w:pPr>
            <w:r>
              <w:rPr>
                <w:rFonts w:cs="Arial"/>
                <w:color w:val="000000"/>
                <w:szCs w:val="22"/>
              </w:rPr>
              <w:t>A39</w:t>
            </w:r>
          </w:p>
        </w:tc>
        <w:tc>
          <w:tcPr>
            <w:tcW w:w="2268" w:type="dxa"/>
            <w:tcBorders>
              <w:top w:val="single" w:sz="4" w:space="0" w:color="auto"/>
              <w:left w:val="single" w:sz="4" w:space="0" w:color="auto"/>
              <w:bottom w:val="single" w:sz="4" w:space="0" w:color="auto"/>
              <w:right w:val="single" w:sz="4" w:space="0" w:color="auto"/>
            </w:tcBorders>
            <w:vAlign w:val="center"/>
          </w:tcPr>
          <w:p w14:paraId="2C0BC3C0" w14:textId="77777777" w:rsidR="002605C6" w:rsidRDefault="002605C6" w:rsidP="00EC3A9D">
            <w:pPr>
              <w:keepLines/>
              <w:spacing w:before="20" w:after="20" w:line="240" w:lineRule="auto"/>
              <w:jc w:val="center"/>
            </w:pPr>
            <w:r>
              <w:rPr>
                <w:rFonts w:cs="Arial"/>
                <w:color w:val="000000"/>
                <w:szCs w:val="22"/>
              </w:rPr>
              <w:t>3785</w:t>
            </w:r>
          </w:p>
        </w:tc>
      </w:tr>
      <w:tr w:rsidR="002605C6" w14:paraId="5E9652C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63D3A148" w14:textId="77777777" w:rsidR="002605C6" w:rsidRDefault="002605C6" w:rsidP="00EC3A9D">
            <w:pPr>
              <w:keepLines/>
              <w:spacing w:before="20" w:after="20" w:line="240" w:lineRule="auto"/>
              <w:jc w:val="center"/>
            </w:pPr>
            <w:r>
              <w:rPr>
                <w:rFonts w:cs="Arial"/>
                <w:color w:val="000000"/>
                <w:szCs w:val="22"/>
              </w:rPr>
              <w:t>A10</w:t>
            </w:r>
          </w:p>
        </w:tc>
        <w:tc>
          <w:tcPr>
            <w:tcW w:w="2268" w:type="dxa"/>
            <w:tcBorders>
              <w:top w:val="single" w:sz="4" w:space="0" w:color="auto"/>
              <w:left w:val="single" w:sz="4" w:space="0" w:color="auto"/>
              <w:bottom w:val="single" w:sz="4" w:space="0" w:color="auto"/>
              <w:right w:val="single" w:sz="4" w:space="0" w:color="auto"/>
            </w:tcBorders>
            <w:vAlign w:val="center"/>
          </w:tcPr>
          <w:p w14:paraId="48DF33A7" w14:textId="77777777" w:rsidR="002605C6" w:rsidRDefault="002605C6" w:rsidP="00EC3A9D">
            <w:pPr>
              <w:keepLines/>
              <w:spacing w:before="20" w:after="20" w:line="240" w:lineRule="auto"/>
              <w:jc w:val="center"/>
            </w:pPr>
            <w:r>
              <w:rPr>
                <w:rFonts w:cs="Arial"/>
                <w:color w:val="000000"/>
                <w:szCs w:val="22"/>
              </w:rPr>
              <w:t>3495</w:t>
            </w:r>
          </w:p>
        </w:tc>
        <w:tc>
          <w:tcPr>
            <w:tcW w:w="964" w:type="dxa"/>
            <w:tcBorders>
              <w:left w:val="single" w:sz="4" w:space="0" w:color="auto"/>
              <w:right w:val="single" w:sz="4" w:space="0" w:color="auto"/>
            </w:tcBorders>
          </w:tcPr>
          <w:p w14:paraId="35CD681B"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241FB6DE" w14:textId="77777777" w:rsidR="002605C6" w:rsidRDefault="002605C6" w:rsidP="00EC3A9D">
            <w:pPr>
              <w:keepLines/>
              <w:spacing w:before="20" w:after="20" w:line="240" w:lineRule="auto"/>
              <w:jc w:val="center"/>
            </w:pPr>
            <w:r>
              <w:rPr>
                <w:rFonts w:cs="Arial"/>
                <w:color w:val="000000"/>
                <w:szCs w:val="22"/>
              </w:rPr>
              <w:t>A40</w:t>
            </w:r>
          </w:p>
        </w:tc>
        <w:tc>
          <w:tcPr>
            <w:tcW w:w="2268" w:type="dxa"/>
            <w:tcBorders>
              <w:top w:val="single" w:sz="4" w:space="0" w:color="auto"/>
              <w:left w:val="single" w:sz="4" w:space="0" w:color="auto"/>
              <w:bottom w:val="single" w:sz="4" w:space="0" w:color="auto"/>
              <w:right w:val="single" w:sz="4" w:space="0" w:color="auto"/>
            </w:tcBorders>
            <w:vAlign w:val="center"/>
          </w:tcPr>
          <w:p w14:paraId="6FB71B11" w14:textId="77777777" w:rsidR="002605C6" w:rsidRDefault="002605C6" w:rsidP="00EC3A9D">
            <w:pPr>
              <w:keepLines/>
              <w:spacing w:before="20" w:after="20" w:line="240" w:lineRule="auto"/>
              <w:jc w:val="center"/>
            </w:pPr>
            <w:r>
              <w:rPr>
                <w:rFonts w:cs="Arial"/>
                <w:color w:val="000000"/>
                <w:szCs w:val="22"/>
              </w:rPr>
              <w:t>3795</w:t>
            </w:r>
          </w:p>
        </w:tc>
      </w:tr>
      <w:tr w:rsidR="002605C6" w14:paraId="0DD372F6"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47F1D8C8" w14:textId="77777777" w:rsidR="002605C6" w:rsidRDefault="002605C6" w:rsidP="00EC3A9D">
            <w:pPr>
              <w:keepLines/>
              <w:spacing w:before="20" w:after="20" w:line="240" w:lineRule="auto"/>
              <w:jc w:val="center"/>
            </w:pPr>
            <w:r>
              <w:rPr>
                <w:rFonts w:cs="Arial"/>
                <w:color w:val="000000"/>
                <w:szCs w:val="22"/>
              </w:rPr>
              <w:t>A11</w:t>
            </w:r>
          </w:p>
        </w:tc>
        <w:tc>
          <w:tcPr>
            <w:tcW w:w="2268" w:type="dxa"/>
            <w:tcBorders>
              <w:top w:val="single" w:sz="4" w:space="0" w:color="auto"/>
              <w:left w:val="single" w:sz="4" w:space="0" w:color="auto"/>
              <w:bottom w:val="single" w:sz="4" w:space="0" w:color="auto"/>
              <w:right w:val="single" w:sz="4" w:space="0" w:color="auto"/>
            </w:tcBorders>
            <w:vAlign w:val="center"/>
          </w:tcPr>
          <w:p w14:paraId="2416579C" w14:textId="77777777" w:rsidR="002605C6" w:rsidRDefault="002605C6" w:rsidP="00EC3A9D">
            <w:pPr>
              <w:keepLines/>
              <w:spacing w:before="20" w:after="20" w:line="240" w:lineRule="auto"/>
              <w:jc w:val="center"/>
            </w:pPr>
            <w:r>
              <w:rPr>
                <w:rFonts w:cs="Arial"/>
                <w:color w:val="000000"/>
                <w:szCs w:val="22"/>
              </w:rPr>
              <w:t>3505</w:t>
            </w:r>
          </w:p>
        </w:tc>
        <w:tc>
          <w:tcPr>
            <w:tcW w:w="964" w:type="dxa"/>
            <w:tcBorders>
              <w:left w:val="single" w:sz="4" w:space="0" w:color="auto"/>
              <w:right w:val="single" w:sz="4" w:space="0" w:color="auto"/>
            </w:tcBorders>
          </w:tcPr>
          <w:p w14:paraId="082BC52E"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12383075" w14:textId="77777777" w:rsidR="002605C6" w:rsidRDefault="002605C6" w:rsidP="00EC3A9D">
            <w:pPr>
              <w:keepLines/>
              <w:spacing w:before="20" w:after="20" w:line="240" w:lineRule="auto"/>
              <w:jc w:val="center"/>
            </w:pPr>
            <w:r>
              <w:rPr>
                <w:rFonts w:cs="Arial"/>
                <w:color w:val="000000"/>
                <w:szCs w:val="22"/>
              </w:rPr>
              <w:t>A41</w:t>
            </w:r>
          </w:p>
        </w:tc>
        <w:tc>
          <w:tcPr>
            <w:tcW w:w="2268" w:type="dxa"/>
            <w:tcBorders>
              <w:top w:val="single" w:sz="4" w:space="0" w:color="auto"/>
              <w:left w:val="single" w:sz="4" w:space="0" w:color="auto"/>
              <w:bottom w:val="single" w:sz="4" w:space="0" w:color="auto"/>
              <w:right w:val="single" w:sz="4" w:space="0" w:color="auto"/>
            </w:tcBorders>
            <w:vAlign w:val="center"/>
          </w:tcPr>
          <w:p w14:paraId="10A7BB91" w14:textId="77777777" w:rsidR="002605C6" w:rsidRDefault="002605C6" w:rsidP="00EC3A9D">
            <w:pPr>
              <w:keepLines/>
              <w:spacing w:before="20" w:after="20" w:line="240" w:lineRule="auto"/>
              <w:jc w:val="center"/>
            </w:pPr>
            <w:r>
              <w:rPr>
                <w:rFonts w:cs="Arial"/>
                <w:color w:val="000000"/>
                <w:szCs w:val="22"/>
              </w:rPr>
              <w:t>3805</w:t>
            </w:r>
          </w:p>
        </w:tc>
      </w:tr>
      <w:tr w:rsidR="002605C6" w14:paraId="23003E01"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03EDED36" w14:textId="77777777" w:rsidR="002605C6" w:rsidRDefault="002605C6" w:rsidP="00EC3A9D">
            <w:pPr>
              <w:keepLines/>
              <w:spacing w:before="20" w:after="20" w:line="240" w:lineRule="auto"/>
              <w:jc w:val="center"/>
            </w:pPr>
            <w:r>
              <w:rPr>
                <w:rFonts w:cs="Arial"/>
                <w:color w:val="000000"/>
                <w:szCs w:val="22"/>
              </w:rPr>
              <w:t>A12</w:t>
            </w:r>
          </w:p>
        </w:tc>
        <w:tc>
          <w:tcPr>
            <w:tcW w:w="2268" w:type="dxa"/>
            <w:tcBorders>
              <w:top w:val="single" w:sz="4" w:space="0" w:color="auto"/>
              <w:left w:val="single" w:sz="4" w:space="0" w:color="auto"/>
              <w:bottom w:val="single" w:sz="4" w:space="0" w:color="auto"/>
              <w:right w:val="single" w:sz="4" w:space="0" w:color="auto"/>
            </w:tcBorders>
            <w:vAlign w:val="center"/>
          </w:tcPr>
          <w:p w14:paraId="59B1D9AD" w14:textId="77777777" w:rsidR="002605C6" w:rsidRDefault="002605C6" w:rsidP="00EC3A9D">
            <w:pPr>
              <w:keepLines/>
              <w:spacing w:before="20" w:after="20" w:line="240" w:lineRule="auto"/>
              <w:jc w:val="center"/>
            </w:pPr>
            <w:r>
              <w:rPr>
                <w:rFonts w:cs="Arial"/>
                <w:color w:val="000000"/>
                <w:szCs w:val="22"/>
              </w:rPr>
              <w:t>3515</w:t>
            </w:r>
          </w:p>
        </w:tc>
        <w:tc>
          <w:tcPr>
            <w:tcW w:w="964" w:type="dxa"/>
            <w:tcBorders>
              <w:left w:val="single" w:sz="4" w:space="0" w:color="auto"/>
              <w:right w:val="single" w:sz="4" w:space="0" w:color="auto"/>
            </w:tcBorders>
          </w:tcPr>
          <w:p w14:paraId="16F8B05F"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5D92DCEA" w14:textId="77777777" w:rsidR="002605C6" w:rsidRDefault="002605C6" w:rsidP="00EC3A9D">
            <w:pPr>
              <w:keepLines/>
              <w:spacing w:before="20" w:after="20" w:line="240" w:lineRule="auto"/>
              <w:jc w:val="center"/>
            </w:pPr>
            <w:r>
              <w:rPr>
                <w:rFonts w:cs="Arial"/>
                <w:color w:val="000000"/>
                <w:szCs w:val="22"/>
              </w:rPr>
              <w:t>A42</w:t>
            </w:r>
          </w:p>
        </w:tc>
        <w:tc>
          <w:tcPr>
            <w:tcW w:w="2268" w:type="dxa"/>
            <w:tcBorders>
              <w:top w:val="single" w:sz="4" w:space="0" w:color="auto"/>
              <w:left w:val="single" w:sz="4" w:space="0" w:color="auto"/>
              <w:bottom w:val="single" w:sz="4" w:space="0" w:color="auto"/>
              <w:right w:val="single" w:sz="4" w:space="0" w:color="auto"/>
            </w:tcBorders>
            <w:vAlign w:val="center"/>
          </w:tcPr>
          <w:p w14:paraId="6631E3E2" w14:textId="77777777" w:rsidR="002605C6" w:rsidRDefault="002605C6" w:rsidP="00EC3A9D">
            <w:pPr>
              <w:keepLines/>
              <w:spacing w:before="20" w:after="20" w:line="240" w:lineRule="auto"/>
              <w:jc w:val="center"/>
            </w:pPr>
            <w:r>
              <w:rPr>
                <w:rFonts w:cs="Arial"/>
                <w:color w:val="000000"/>
                <w:szCs w:val="22"/>
              </w:rPr>
              <w:t>3815</w:t>
            </w:r>
          </w:p>
        </w:tc>
      </w:tr>
      <w:tr w:rsidR="002605C6" w14:paraId="4F7B4CD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5B576B3A" w14:textId="77777777" w:rsidR="002605C6" w:rsidRDefault="002605C6" w:rsidP="00EC3A9D">
            <w:pPr>
              <w:keepLines/>
              <w:spacing w:before="20" w:after="20" w:line="240" w:lineRule="auto"/>
              <w:jc w:val="center"/>
            </w:pPr>
            <w:r>
              <w:rPr>
                <w:rFonts w:cs="Arial"/>
                <w:color w:val="000000"/>
                <w:szCs w:val="22"/>
              </w:rPr>
              <w:t>A13</w:t>
            </w:r>
          </w:p>
        </w:tc>
        <w:tc>
          <w:tcPr>
            <w:tcW w:w="2268" w:type="dxa"/>
            <w:tcBorders>
              <w:top w:val="single" w:sz="4" w:space="0" w:color="auto"/>
              <w:left w:val="single" w:sz="4" w:space="0" w:color="auto"/>
              <w:bottom w:val="single" w:sz="4" w:space="0" w:color="auto"/>
              <w:right w:val="single" w:sz="4" w:space="0" w:color="auto"/>
            </w:tcBorders>
            <w:vAlign w:val="center"/>
          </w:tcPr>
          <w:p w14:paraId="43B9791F" w14:textId="77777777" w:rsidR="002605C6" w:rsidRDefault="002605C6" w:rsidP="00EC3A9D">
            <w:pPr>
              <w:keepLines/>
              <w:spacing w:before="20" w:after="20" w:line="240" w:lineRule="auto"/>
              <w:jc w:val="center"/>
            </w:pPr>
            <w:r>
              <w:rPr>
                <w:rFonts w:cs="Arial"/>
                <w:color w:val="000000"/>
                <w:szCs w:val="22"/>
              </w:rPr>
              <w:t>3525</w:t>
            </w:r>
          </w:p>
        </w:tc>
        <w:tc>
          <w:tcPr>
            <w:tcW w:w="964" w:type="dxa"/>
            <w:tcBorders>
              <w:left w:val="single" w:sz="4" w:space="0" w:color="auto"/>
              <w:right w:val="single" w:sz="4" w:space="0" w:color="auto"/>
            </w:tcBorders>
          </w:tcPr>
          <w:p w14:paraId="3D686710"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6946B19E" w14:textId="77777777" w:rsidR="002605C6" w:rsidRDefault="002605C6" w:rsidP="00EC3A9D">
            <w:pPr>
              <w:keepLines/>
              <w:spacing w:before="20" w:after="20" w:line="240" w:lineRule="auto"/>
              <w:jc w:val="center"/>
            </w:pPr>
            <w:r>
              <w:rPr>
                <w:rFonts w:cs="Arial"/>
                <w:color w:val="000000"/>
                <w:szCs w:val="22"/>
              </w:rPr>
              <w:t>A43</w:t>
            </w:r>
          </w:p>
        </w:tc>
        <w:tc>
          <w:tcPr>
            <w:tcW w:w="2268" w:type="dxa"/>
            <w:tcBorders>
              <w:top w:val="single" w:sz="4" w:space="0" w:color="auto"/>
              <w:left w:val="single" w:sz="4" w:space="0" w:color="auto"/>
              <w:bottom w:val="single" w:sz="4" w:space="0" w:color="auto"/>
              <w:right w:val="single" w:sz="4" w:space="0" w:color="auto"/>
            </w:tcBorders>
            <w:vAlign w:val="center"/>
          </w:tcPr>
          <w:p w14:paraId="5818EE50" w14:textId="77777777" w:rsidR="002605C6" w:rsidRDefault="002605C6" w:rsidP="00EC3A9D">
            <w:pPr>
              <w:keepLines/>
              <w:spacing w:before="20" w:after="20" w:line="240" w:lineRule="auto"/>
              <w:jc w:val="center"/>
            </w:pPr>
            <w:r>
              <w:rPr>
                <w:rFonts w:cs="Arial"/>
                <w:color w:val="000000"/>
                <w:szCs w:val="22"/>
              </w:rPr>
              <w:t>3825</w:t>
            </w:r>
          </w:p>
        </w:tc>
      </w:tr>
      <w:tr w:rsidR="002605C6" w14:paraId="2A477AA7"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483F2BB8" w14:textId="77777777" w:rsidR="002605C6" w:rsidRDefault="002605C6" w:rsidP="00EC3A9D">
            <w:pPr>
              <w:keepLines/>
              <w:spacing w:before="20" w:after="20" w:line="240" w:lineRule="auto"/>
              <w:jc w:val="center"/>
            </w:pPr>
            <w:r>
              <w:rPr>
                <w:rFonts w:cs="Arial"/>
                <w:color w:val="000000"/>
                <w:szCs w:val="22"/>
              </w:rPr>
              <w:t>A14</w:t>
            </w:r>
          </w:p>
        </w:tc>
        <w:tc>
          <w:tcPr>
            <w:tcW w:w="2268" w:type="dxa"/>
            <w:tcBorders>
              <w:top w:val="single" w:sz="4" w:space="0" w:color="auto"/>
              <w:left w:val="single" w:sz="4" w:space="0" w:color="auto"/>
              <w:bottom w:val="single" w:sz="4" w:space="0" w:color="auto"/>
              <w:right w:val="single" w:sz="4" w:space="0" w:color="auto"/>
            </w:tcBorders>
            <w:vAlign w:val="center"/>
          </w:tcPr>
          <w:p w14:paraId="3A7D0F5B" w14:textId="77777777" w:rsidR="002605C6" w:rsidRDefault="002605C6" w:rsidP="00EC3A9D">
            <w:pPr>
              <w:keepLines/>
              <w:spacing w:before="20" w:after="20" w:line="240" w:lineRule="auto"/>
              <w:jc w:val="center"/>
            </w:pPr>
            <w:r>
              <w:rPr>
                <w:rFonts w:cs="Arial"/>
                <w:color w:val="000000"/>
                <w:szCs w:val="22"/>
              </w:rPr>
              <w:t>3535</w:t>
            </w:r>
          </w:p>
        </w:tc>
        <w:tc>
          <w:tcPr>
            <w:tcW w:w="964" w:type="dxa"/>
            <w:tcBorders>
              <w:left w:val="single" w:sz="4" w:space="0" w:color="auto"/>
              <w:right w:val="single" w:sz="4" w:space="0" w:color="auto"/>
            </w:tcBorders>
          </w:tcPr>
          <w:p w14:paraId="6AC2E3E8"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51AE30EB" w14:textId="77777777" w:rsidR="002605C6" w:rsidRDefault="002605C6" w:rsidP="00EC3A9D">
            <w:pPr>
              <w:keepLines/>
              <w:spacing w:before="20" w:after="20" w:line="240" w:lineRule="auto"/>
              <w:jc w:val="center"/>
            </w:pPr>
            <w:r>
              <w:rPr>
                <w:rFonts w:cs="Arial"/>
                <w:color w:val="000000"/>
                <w:szCs w:val="22"/>
              </w:rPr>
              <w:t>A44</w:t>
            </w:r>
          </w:p>
        </w:tc>
        <w:tc>
          <w:tcPr>
            <w:tcW w:w="2268" w:type="dxa"/>
            <w:tcBorders>
              <w:top w:val="single" w:sz="4" w:space="0" w:color="auto"/>
              <w:left w:val="single" w:sz="4" w:space="0" w:color="auto"/>
              <w:bottom w:val="single" w:sz="4" w:space="0" w:color="auto"/>
              <w:right w:val="single" w:sz="4" w:space="0" w:color="auto"/>
            </w:tcBorders>
            <w:vAlign w:val="center"/>
          </w:tcPr>
          <w:p w14:paraId="229787F5" w14:textId="77777777" w:rsidR="002605C6" w:rsidRDefault="002605C6" w:rsidP="00EC3A9D">
            <w:pPr>
              <w:keepLines/>
              <w:spacing w:before="20" w:after="20" w:line="240" w:lineRule="auto"/>
              <w:jc w:val="center"/>
            </w:pPr>
            <w:r>
              <w:rPr>
                <w:rFonts w:cs="Arial"/>
                <w:color w:val="000000"/>
                <w:szCs w:val="22"/>
              </w:rPr>
              <w:t>3835</w:t>
            </w:r>
          </w:p>
        </w:tc>
      </w:tr>
      <w:tr w:rsidR="002605C6" w14:paraId="15C03BEB"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1339186F" w14:textId="77777777" w:rsidR="002605C6" w:rsidRDefault="002605C6" w:rsidP="00EC3A9D">
            <w:pPr>
              <w:keepLines/>
              <w:spacing w:before="20" w:after="20" w:line="240" w:lineRule="auto"/>
              <w:jc w:val="center"/>
            </w:pPr>
            <w:r>
              <w:rPr>
                <w:rFonts w:cs="Arial"/>
                <w:color w:val="000000"/>
                <w:szCs w:val="22"/>
              </w:rPr>
              <w:t>A15</w:t>
            </w:r>
          </w:p>
        </w:tc>
        <w:tc>
          <w:tcPr>
            <w:tcW w:w="2268" w:type="dxa"/>
            <w:tcBorders>
              <w:top w:val="single" w:sz="4" w:space="0" w:color="auto"/>
              <w:left w:val="single" w:sz="4" w:space="0" w:color="auto"/>
              <w:bottom w:val="single" w:sz="4" w:space="0" w:color="auto"/>
              <w:right w:val="single" w:sz="4" w:space="0" w:color="auto"/>
            </w:tcBorders>
            <w:vAlign w:val="center"/>
          </w:tcPr>
          <w:p w14:paraId="106B23E8" w14:textId="77777777" w:rsidR="002605C6" w:rsidRDefault="002605C6" w:rsidP="00EC3A9D">
            <w:pPr>
              <w:keepLines/>
              <w:spacing w:before="20" w:after="20" w:line="240" w:lineRule="auto"/>
              <w:jc w:val="center"/>
            </w:pPr>
            <w:r>
              <w:rPr>
                <w:rFonts w:cs="Arial"/>
                <w:color w:val="000000"/>
                <w:szCs w:val="22"/>
              </w:rPr>
              <w:t>3545</w:t>
            </w:r>
          </w:p>
        </w:tc>
        <w:tc>
          <w:tcPr>
            <w:tcW w:w="964" w:type="dxa"/>
            <w:tcBorders>
              <w:left w:val="single" w:sz="4" w:space="0" w:color="auto"/>
              <w:right w:val="single" w:sz="4" w:space="0" w:color="auto"/>
            </w:tcBorders>
          </w:tcPr>
          <w:p w14:paraId="794D3CFD"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2329C194" w14:textId="77777777" w:rsidR="002605C6" w:rsidRDefault="002605C6" w:rsidP="00EC3A9D">
            <w:pPr>
              <w:keepLines/>
              <w:spacing w:before="20" w:after="20" w:line="240" w:lineRule="auto"/>
              <w:jc w:val="center"/>
            </w:pPr>
            <w:r>
              <w:rPr>
                <w:rFonts w:cs="Arial"/>
                <w:color w:val="000000"/>
                <w:szCs w:val="22"/>
              </w:rPr>
              <w:t>A45</w:t>
            </w:r>
          </w:p>
        </w:tc>
        <w:tc>
          <w:tcPr>
            <w:tcW w:w="2268" w:type="dxa"/>
            <w:tcBorders>
              <w:top w:val="single" w:sz="4" w:space="0" w:color="auto"/>
              <w:left w:val="single" w:sz="4" w:space="0" w:color="auto"/>
              <w:bottom w:val="single" w:sz="4" w:space="0" w:color="auto"/>
              <w:right w:val="single" w:sz="4" w:space="0" w:color="auto"/>
            </w:tcBorders>
            <w:vAlign w:val="center"/>
          </w:tcPr>
          <w:p w14:paraId="13F4146C" w14:textId="77777777" w:rsidR="002605C6" w:rsidRDefault="002605C6" w:rsidP="00EC3A9D">
            <w:pPr>
              <w:keepLines/>
              <w:spacing w:before="20" w:after="20" w:line="240" w:lineRule="auto"/>
              <w:jc w:val="center"/>
            </w:pPr>
            <w:r>
              <w:rPr>
                <w:rFonts w:cs="Arial"/>
                <w:color w:val="000000"/>
                <w:szCs w:val="22"/>
              </w:rPr>
              <w:t>3845</w:t>
            </w:r>
          </w:p>
        </w:tc>
      </w:tr>
      <w:tr w:rsidR="002605C6" w14:paraId="1F8EDB79"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0AC76132" w14:textId="77777777" w:rsidR="002605C6" w:rsidRDefault="002605C6" w:rsidP="00EC3A9D">
            <w:pPr>
              <w:keepLines/>
              <w:spacing w:before="20" w:after="20" w:line="240" w:lineRule="auto"/>
              <w:jc w:val="center"/>
            </w:pPr>
            <w:r>
              <w:rPr>
                <w:rFonts w:cs="Arial"/>
                <w:color w:val="000000"/>
                <w:szCs w:val="22"/>
              </w:rPr>
              <w:t>A16</w:t>
            </w:r>
          </w:p>
        </w:tc>
        <w:tc>
          <w:tcPr>
            <w:tcW w:w="2268" w:type="dxa"/>
            <w:tcBorders>
              <w:top w:val="single" w:sz="4" w:space="0" w:color="auto"/>
              <w:left w:val="single" w:sz="4" w:space="0" w:color="auto"/>
              <w:bottom w:val="single" w:sz="4" w:space="0" w:color="auto"/>
              <w:right w:val="single" w:sz="4" w:space="0" w:color="auto"/>
            </w:tcBorders>
            <w:vAlign w:val="center"/>
          </w:tcPr>
          <w:p w14:paraId="1DE85ED5" w14:textId="77777777" w:rsidR="002605C6" w:rsidRDefault="002605C6" w:rsidP="00EC3A9D">
            <w:pPr>
              <w:keepLines/>
              <w:spacing w:before="20" w:after="20" w:line="240" w:lineRule="auto"/>
              <w:jc w:val="center"/>
            </w:pPr>
            <w:r>
              <w:rPr>
                <w:rFonts w:cs="Arial"/>
                <w:color w:val="000000"/>
                <w:szCs w:val="22"/>
              </w:rPr>
              <w:t>3555</w:t>
            </w:r>
          </w:p>
        </w:tc>
        <w:tc>
          <w:tcPr>
            <w:tcW w:w="964" w:type="dxa"/>
            <w:tcBorders>
              <w:left w:val="single" w:sz="4" w:space="0" w:color="auto"/>
              <w:right w:val="single" w:sz="4" w:space="0" w:color="auto"/>
            </w:tcBorders>
          </w:tcPr>
          <w:p w14:paraId="768AD689"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475538B6" w14:textId="77777777" w:rsidR="002605C6" w:rsidRDefault="002605C6" w:rsidP="00EC3A9D">
            <w:pPr>
              <w:keepLines/>
              <w:spacing w:before="20" w:after="20" w:line="240" w:lineRule="auto"/>
              <w:jc w:val="center"/>
            </w:pPr>
            <w:r>
              <w:rPr>
                <w:rFonts w:cs="Arial"/>
                <w:color w:val="000000"/>
                <w:szCs w:val="22"/>
              </w:rPr>
              <w:t>A46</w:t>
            </w:r>
          </w:p>
        </w:tc>
        <w:tc>
          <w:tcPr>
            <w:tcW w:w="2268" w:type="dxa"/>
            <w:tcBorders>
              <w:top w:val="single" w:sz="4" w:space="0" w:color="auto"/>
              <w:left w:val="single" w:sz="4" w:space="0" w:color="auto"/>
              <w:bottom w:val="single" w:sz="4" w:space="0" w:color="auto"/>
              <w:right w:val="single" w:sz="4" w:space="0" w:color="auto"/>
            </w:tcBorders>
            <w:vAlign w:val="center"/>
          </w:tcPr>
          <w:p w14:paraId="2B6D6A2C" w14:textId="77777777" w:rsidR="002605C6" w:rsidRDefault="002605C6" w:rsidP="00EC3A9D">
            <w:pPr>
              <w:keepLines/>
              <w:spacing w:before="20" w:after="20" w:line="240" w:lineRule="auto"/>
              <w:jc w:val="center"/>
            </w:pPr>
            <w:r>
              <w:rPr>
                <w:rFonts w:cs="Arial"/>
                <w:color w:val="000000"/>
                <w:szCs w:val="22"/>
              </w:rPr>
              <w:t>3855</w:t>
            </w:r>
          </w:p>
        </w:tc>
      </w:tr>
      <w:tr w:rsidR="002605C6" w14:paraId="762B55A6"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4686815B" w14:textId="77777777" w:rsidR="002605C6" w:rsidRDefault="002605C6" w:rsidP="00EC3A9D">
            <w:pPr>
              <w:keepLines/>
              <w:spacing w:before="20" w:after="20" w:line="240" w:lineRule="auto"/>
              <w:jc w:val="center"/>
            </w:pPr>
            <w:r>
              <w:rPr>
                <w:rFonts w:cs="Arial"/>
                <w:color w:val="000000"/>
                <w:szCs w:val="22"/>
              </w:rPr>
              <w:t>A17</w:t>
            </w:r>
          </w:p>
        </w:tc>
        <w:tc>
          <w:tcPr>
            <w:tcW w:w="2268" w:type="dxa"/>
            <w:tcBorders>
              <w:top w:val="single" w:sz="4" w:space="0" w:color="auto"/>
              <w:left w:val="single" w:sz="4" w:space="0" w:color="auto"/>
              <w:bottom w:val="single" w:sz="4" w:space="0" w:color="auto"/>
              <w:right w:val="single" w:sz="4" w:space="0" w:color="auto"/>
            </w:tcBorders>
            <w:vAlign w:val="center"/>
          </w:tcPr>
          <w:p w14:paraId="311D5614" w14:textId="77777777" w:rsidR="002605C6" w:rsidRDefault="002605C6" w:rsidP="00EC3A9D">
            <w:pPr>
              <w:keepLines/>
              <w:spacing w:before="20" w:after="20" w:line="240" w:lineRule="auto"/>
              <w:jc w:val="center"/>
            </w:pPr>
            <w:r>
              <w:rPr>
                <w:rFonts w:cs="Arial"/>
                <w:color w:val="000000"/>
                <w:szCs w:val="22"/>
              </w:rPr>
              <w:t>3565</w:t>
            </w:r>
          </w:p>
        </w:tc>
        <w:tc>
          <w:tcPr>
            <w:tcW w:w="964" w:type="dxa"/>
            <w:tcBorders>
              <w:left w:val="single" w:sz="4" w:space="0" w:color="auto"/>
              <w:right w:val="single" w:sz="4" w:space="0" w:color="auto"/>
            </w:tcBorders>
          </w:tcPr>
          <w:p w14:paraId="4D7C04D2"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29D1D80A" w14:textId="77777777" w:rsidR="002605C6" w:rsidRDefault="002605C6" w:rsidP="00EC3A9D">
            <w:pPr>
              <w:keepLines/>
              <w:spacing w:before="20" w:after="20" w:line="240" w:lineRule="auto"/>
              <w:jc w:val="center"/>
            </w:pPr>
            <w:r>
              <w:rPr>
                <w:rFonts w:cs="Arial"/>
                <w:color w:val="000000"/>
                <w:szCs w:val="22"/>
              </w:rPr>
              <w:t>A47</w:t>
            </w:r>
          </w:p>
        </w:tc>
        <w:tc>
          <w:tcPr>
            <w:tcW w:w="2268" w:type="dxa"/>
            <w:tcBorders>
              <w:top w:val="single" w:sz="4" w:space="0" w:color="auto"/>
              <w:left w:val="single" w:sz="4" w:space="0" w:color="auto"/>
              <w:bottom w:val="single" w:sz="4" w:space="0" w:color="auto"/>
              <w:right w:val="single" w:sz="4" w:space="0" w:color="auto"/>
            </w:tcBorders>
            <w:vAlign w:val="center"/>
          </w:tcPr>
          <w:p w14:paraId="7259B2C0" w14:textId="77777777" w:rsidR="002605C6" w:rsidRDefault="002605C6" w:rsidP="00EC3A9D">
            <w:pPr>
              <w:keepLines/>
              <w:spacing w:before="20" w:after="20" w:line="240" w:lineRule="auto"/>
              <w:jc w:val="center"/>
            </w:pPr>
            <w:r>
              <w:rPr>
                <w:rFonts w:cs="Arial"/>
                <w:color w:val="000000"/>
                <w:szCs w:val="22"/>
              </w:rPr>
              <w:t>3865</w:t>
            </w:r>
          </w:p>
        </w:tc>
      </w:tr>
      <w:tr w:rsidR="002605C6" w14:paraId="6344E86E"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7781C2B4" w14:textId="77777777" w:rsidR="002605C6" w:rsidRDefault="002605C6" w:rsidP="00EC3A9D">
            <w:pPr>
              <w:keepLines/>
              <w:spacing w:before="20" w:after="20" w:line="240" w:lineRule="auto"/>
              <w:jc w:val="center"/>
            </w:pPr>
            <w:r>
              <w:rPr>
                <w:rFonts w:cs="Arial"/>
                <w:color w:val="000000"/>
                <w:szCs w:val="22"/>
              </w:rPr>
              <w:t>A18</w:t>
            </w:r>
          </w:p>
        </w:tc>
        <w:tc>
          <w:tcPr>
            <w:tcW w:w="2268" w:type="dxa"/>
            <w:tcBorders>
              <w:top w:val="single" w:sz="4" w:space="0" w:color="auto"/>
              <w:left w:val="single" w:sz="4" w:space="0" w:color="auto"/>
              <w:bottom w:val="single" w:sz="4" w:space="0" w:color="auto"/>
              <w:right w:val="single" w:sz="4" w:space="0" w:color="auto"/>
            </w:tcBorders>
            <w:vAlign w:val="center"/>
          </w:tcPr>
          <w:p w14:paraId="481767E7" w14:textId="77777777" w:rsidR="002605C6" w:rsidRDefault="002605C6" w:rsidP="00EC3A9D">
            <w:pPr>
              <w:keepLines/>
              <w:spacing w:before="20" w:after="20" w:line="240" w:lineRule="auto"/>
              <w:jc w:val="center"/>
            </w:pPr>
            <w:r>
              <w:rPr>
                <w:rFonts w:cs="Arial"/>
                <w:color w:val="000000"/>
                <w:szCs w:val="22"/>
              </w:rPr>
              <w:t>3575</w:t>
            </w:r>
          </w:p>
        </w:tc>
        <w:tc>
          <w:tcPr>
            <w:tcW w:w="964" w:type="dxa"/>
            <w:tcBorders>
              <w:left w:val="single" w:sz="4" w:space="0" w:color="auto"/>
              <w:right w:val="single" w:sz="4" w:space="0" w:color="auto"/>
            </w:tcBorders>
          </w:tcPr>
          <w:p w14:paraId="44F9F424"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4417E025" w14:textId="77777777" w:rsidR="002605C6" w:rsidRDefault="002605C6" w:rsidP="00EC3A9D">
            <w:pPr>
              <w:keepLines/>
              <w:spacing w:before="20" w:after="20" w:line="240" w:lineRule="auto"/>
              <w:jc w:val="center"/>
            </w:pPr>
            <w:r>
              <w:rPr>
                <w:rFonts w:cs="Arial"/>
                <w:color w:val="000000"/>
                <w:szCs w:val="22"/>
              </w:rPr>
              <w:t>A48</w:t>
            </w:r>
          </w:p>
        </w:tc>
        <w:tc>
          <w:tcPr>
            <w:tcW w:w="2268" w:type="dxa"/>
            <w:tcBorders>
              <w:top w:val="single" w:sz="4" w:space="0" w:color="auto"/>
              <w:left w:val="single" w:sz="4" w:space="0" w:color="auto"/>
              <w:bottom w:val="single" w:sz="4" w:space="0" w:color="auto"/>
              <w:right w:val="single" w:sz="4" w:space="0" w:color="auto"/>
            </w:tcBorders>
            <w:vAlign w:val="center"/>
          </w:tcPr>
          <w:p w14:paraId="62FEC7D4" w14:textId="77777777" w:rsidR="002605C6" w:rsidRDefault="002605C6" w:rsidP="00EC3A9D">
            <w:pPr>
              <w:keepLines/>
              <w:spacing w:before="20" w:after="20" w:line="240" w:lineRule="auto"/>
              <w:jc w:val="center"/>
            </w:pPr>
            <w:r>
              <w:rPr>
                <w:rFonts w:cs="Arial"/>
                <w:color w:val="000000"/>
                <w:szCs w:val="22"/>
              </w:rPr>
              <w:t>3875</w:t>
            </w:r>
          </w:p>
        </w:tc>
      </w:tr>
      <w:tr w:rsidR="002605C6" w14:paraId="3BCC8BB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6595AAB0" w14:textId="77777777" w:rsidR="002605C6" w:rsidRDefault="002605C6" w:rsidP="00EC3A9D">
            <w:pPr>
              <w:keepLines/>
              <w:spacing w:before="20" w:after="20" w:line="240" w:lineRule="auto"/>
              <w:jc w:val="center"/>
            </w:pPr>
            <w:r>
              <w:rPr>
                <w:rFonts w:cs="Arial"/>
                <w:color w:val="000000"/>
                <w:szCs w:val="22"/>
              </w:rPr>
              <w:t>A19</w:t>
            </w:r>
          </w:p>
        </w:tc>
        <w:tc>
          <w:tcPr>
            <w:tcW w:w="2268" w:type="dxa"/>
            <w:tcBorders>
              <w:top w:val="single" w:sz="4" w:space="0" w:color="auto"/>
              <w:left w:val="single" w:sz="4" w:space="0" w:color="auto"/>
              <w:bottom w:val="single" w:sz="4" w:space="0" w:color="auto"/>
              <w:right w:val="single" w:sz="4" w:space="0" w:color="auto"/>
            </w:tcBorders>
            <w:vAlign w:val="center"/>
          </w:tcPr>
          <w:p w14:paraId="39C1FCE7" w14:textId="77777777" w:rsidR="002605C6" w:rsidRDefault="002605C6" w:rsidP="00EC3A9D">
            <w:pPr>
              <w:keepLines/>
              <w:spacing w:before="20" w:after="20" w:line="240" w:lineRule="auto"/>
              <w:jc w:val="center"/>
            </w:pPr>
            <w:r>
              <w:rPr>
                <w:rFonts w:cs="Arial"/>
                <w:color w:val="000000"/>
                <w:szCs w:val="22"/>
              </w:rPr>
              <w:t>3585</w:t>
            </w:r>
          </w:p>
        </w:tc>
        <w:tc>
          <w:tcPr>
            <w:tcW w:w="964" w:type="dxa"/>
            <w:tcBorders>
              <w:left w:val="single" w:sz="4" w:space="0" w:color="auto"/>
              <w:right w:val="single" w:sz="4" w:space="0" w:color="auto"/>
            </w:tcBorders>
          </w:tcPr>
          <w:p w14:paraId="620FF106"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189E5B7C" w14:textId="77777777" w:rsidR="002605C6" w:rsidRDefault="002605C6" w:rsidP="00EC3A9D">
            <w:pPr>
              <w:keepLines/>
              <w:spacing w:before="20" w:after="20" w:line="240" w:lineRule="auto"/>
              <w:jc w:val="center"/>
            </w:pPr>
            <w:r>
              <w:rPr>
                <w:rFonts w:cs="Arial"/>
                <w:color w:val="000000"/>
                <w:szCs w:val="22"/>
              </w:rPr>
              <w:t>A49</w:t>
            </w:r>
          </w:p>
        </w:tc>
        <w:tc>
          <w:tcPr>
            <w:tcW w:w="2268" w:type="dxa"/>
            <w:tcBorders>
              <w:top w:val="single" w:sz="4" w:space="0" w:color="auto"/>
              <w:left w:val="single" w:sz="4" w:space="0" w:color="auto"/>
              <w:bottom w:val="single" w:sz="4" w:space="0" w:color="auto"/>
              <w:right w:val="single" w:sz="4" w:space="0" w:color="auto"/>
            </w:tcBorders>
            <w:vAlign w:val="center"/>
          </w:tcPr>
          <w:p w14:paraId="0E285188" w14:textId="77777777" w:rsidR="002605C6" w:rsidRDefault="002605C6" w:rsidP="00EC3A9D">
            <w:pPr>
              <w:keepLines/>
              <w:spacing w:before="20" w:after="20" w:line="240" w:lineRule="auto"/>
              <w:jc w:val="center"/>
            </w:pPr>
            <w:r>
              <w:rPr>
                <w:rFonts w:cs="Arial"/>
                <w:color w:val="000000"/>
                <w:szCs w:val="22"/>
              </w:rPr>
              <w:t>3885</w:t>
            </w:r>
          </w:p>
        </w:tc>
      </w:tr>
      <w:tr w:rsidR="002605C6" w14:paraId="3A5BABA0"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31181BD5" w14:textId="77777777" w:rsidR="002605C6" w:rsidRDefault="002605C6" w:rsidP="00EC3A9D">
            <w:pPr>
              <w:keepLines/>
              <w:spacing w:before="20" w:after="20" w:line="240" w:lineRule="auto"/>
              <w:jc w:val="center"/>
            </w:pPr>
            <w:r>
              <w:rPr>
                <w:rFonts w:cs="Arial"/>
                <w:color w:val="000000"/>
                <w:szCs w:val="22"/>
              </w:rPr>
              <w:t>A20</w:t>
            </w:r>
          </w:p>
        </w:tc>
        <w:tc>
          <w:tcPr>
            <w:tcW w:w="2268" w:type="dxa"/>
            <w:tcBorders>
              <w:top w:val="single" w:sz="4" w:space="0" w:color="auto"/>
              <w:left w:val="single" w:sz="4" w:space="0" w:color="auto"/>
              <w:bottom w:val="single" w:sz="4" w:space="0" w:color="auto"/>
              <w:right w:val="single" w:sz="4" w:space="0" w:color="auto"/>
            </w:tcBorders>
            <w:vAlign w:val="center"/>
          </w:tcPr>
          <w:p w14:paraId="04F09100" w14:textId="77777777" w:rsidR="002605C6" w:rsidRDefault="002605C6" w:rsidP="00EC3A9D">
            <w:pPr>
              <w:keepLines/>
              <w:spacing w:before="20" w:after="20" w:line="240" w:lineRule="auto"/>
              <w:jc w:val="center"/>
            </w:pPr>
            <w:r>
              <w:rPr>
                <w:rFonts w:cs="Arial"/>
                <w:color w:val="000000"/>
                <w:szCs w:val="22"/>
              </w:rPr>
              <w:t>3595</w:t>
            </w:r>
          </w:p>
        </w:tc>
        <w:tc>
          <w:tcPr>
            <w:tcW w:w="964" w:type="dxa"/>
            <w:tcBorders>
              <w:left w:val="single" w:sz="4" w:space="0" w:color="auto"/>
              <w:right w:val="single" w:sz="4" w:space="0" w:color="auto"/>
            </w:tcBorders>
          </w:tcPr>
          <w:p w14:paraId="1BF75F94"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7C1A7B8A" w14:textId="77777777" w:rsidR="002605C6" w:rsidRDefault="002605C6" w:rsidP="00EC3A9D">
            <w:pPr>
              <w:keepLines/>
              <w:spacing w:before="20" w:after="20" w:line="240" w:lineRule="auto"/>
              <w:jc w:val="center"/>
            </w:pPr>
            <w:r>
              <w:rPr>
                <w:rFonts w:cs="Arial"/>
                <w:color w:val="000000"/>
                <w:szCs w:val="22"/>
              </w:rPr>
              <w:t>A50</w:t>
            </w:r>
          </w:p>
        </w:tc>
        <w:tc>
          <w:tcPr>
            <w:tcW w:w="2268" w:type="dxa"/>
            <w:tcBorders>
              <w:top w:val="single" w:sz="4" w:space="0" w:color="auto"/>
              <w:left w:val="single" w:sz="4" w:space="0" w:color="auto"/>
              <w:bottom w:val="single" w:sz="4" w:space="0" w:color="auto"/>
              <w:right w:val="single" w:sz="4" w:space="0" w:color="auto"/>
            </w:tcBorders>
            <w:vAlign w:val="center"/>
          </w:tcPr>
          <w:p w14:paraId="1F0267FA" w14:textId="77777777" w:rsidR="002605C6" w:rsidRDefault="002605C6" w:rsidP="00EC3A9D">
            <w:pPr>
              <w:keepLines/>
              <w:spacing w:before="20" w:after="20" w:line="240" w:lineRule="auto"/>
              <w:jc w:val="center"/>
            </w:pPr>
            <w:r>
              <w:rPr>
                <w:rFonts w:cs="Arial"/>
                <w:color w:val="000000"/>
                <w:szCs w:val="22"/>
              </w:rPr>
              <w:t>3895</w:t>
            </w:r>
          </w:p>
        </w:tc>
      </w:tr>
      <w:tr w:rsidR="002605C6" w14:paraId="322882FE"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69D3EFBD" w14:textId="77777777" w:rsidR="002605C6" w:rsidRDefault="002605C6" w:rsidP="00EC3A9D">
            <w:pPr>
              <w:keepLines/>
              <w:spacing w:before="20" w:after="20" w:line="240" w:lineRule="auto"/>
              <w:jc w:val="center"/>
            </w:pPr>
            <w:r>
              <w:rPr>
                <w:rFonts w:cs="Arial"/>
                <w:color w:val="000000"/>
                <w:szCs w:val="22"/>
              </w:rPr>
              <w:t>A21</w:t>
            </w:r>
          </w:p>
        </w:tc>
        <w:tc>
          <w:tcPr>
            <w:tcW w:w="2268" w:type="dxa"/>
            <w:tcBorders>
              <w:top w:val="single" w:sz="4" w:space="0" w:color="auto"/>
              <w:left w:val="single" w:sz="4" w:space="0" w:color="auto"/>
              <w:bottom w:val="single" w:sz="4" w:space="0" w:color="auto"/>
              <w:right w:val="single" w:sz="4" w:space="0" w:color="auto"/>
            </w:tcBorders>
            <w:vAlign w:val="center"/>
          </w:tcPr>
          <w:p w14:paraId="02A124F8" w14:textId="77777777" w:rsidR="002605C6" w:rsidRDefault="002605C6" w:rsidP="00EC3A9D">
            <w:pPr>
              <w:keepLines/>
              <w:spacing w:before="20" w:after="20" w:line="240" w:lineRule="auto"/>
              <w:jc w:val="center"/>
            </w:pPr>
            <w:r>
              <w:rPr>
                <w:rFonts w:cs="Arial"/>
                <w:color w:val="000000"/>
                <w:szCs w:val="22"/>
              </w:rPr>
              <w:t>3605</w:t>
            </w:r>
          </w:p>
        </w:tc>
        <w:tc>
          <w:tcPr>
            <w:tcW w:w="964" w:type="dxa"/>
            <w:tcBorders>
              <w:left w:val="single" w:sz="4" w:space="0" w:color="auto"/>
              <w:right w:val="single" w:sz="4" w:space="0" w:color="auto"/>
            </w:tcBorders>
          </w:tcPr>
          <w:p w14:paraId="7B13E281"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44E579B5" w14:textId="77777777" w:rsidR="002605C6" w:rsidRDefault="002605C6" w:rsidP="00EC3A9D">
            <w:pPr>
              <w:keepLines/>
              <w:spacing w:before="20" w:after="20" w:line="240" w:lineRule="auto"/>
              <w:jc w:val="center"/>
            </w:pPr>
            <w:r>
              <w:rPr>
                <w:rFonts w:cs="Arial"/>
                <w:color w:val="000000"/>
                <w:szCs w:val="22"/>
              </w:rPr>
              <w:t>A51</w:t>
            </w:r>
          </w:p>
        </w:tc>
        <w:tc>
          <w:tcPr>
            <w:tcW w:w="2268" w:type="dxa"/>
            <w:tcBorders>
              <w:top w:val="single" w:sz="4" w:space="0" w:color="auto"/>
              <w:left w:val="single" w:sz="4" w:space="0" w:color="auto"/>
              <w:bottom w:val="single" w:sz="4" w:space="0" w:color="auto"/>
              <w:right w:val="single" w:sz="4" w:space="0" w:color="auto"/>
            </w:tcBorders>
            <w:vAlign w:val="center"/>
          </w:tcPr>
          <w:p w14:paraId="327AF57D" w14:textId="77777777" w:rsidR="002605C6" w:rsidRDefault="002605C6" w:rsidP="00EC3A9D">
            <w:pPr>
              <w:keepLines/>
              <w:spacing w:before="20" w:after="20" w:line="240" w:lineRule="auto"/>
              <w:jc w:val="center"/>
            </w:pPr>
            <w:r>
              <w:rPr>
                <w:rFonts w:cs="Arial"/>
                <w:color w:val="000000"/>
                <w:szCs w:val="22"/>
              </w:rPr>
              <w:t>3905</w:t>
            </w:r>
          </w:p>
        </w:tc>
      </w:tr>
      <w:tr w:rsidR="002605C6" w14:paraId="0B48CCCE"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57362828" w14:textId="77777777" w:rsidR="002605C6" w:rsidRDefault="002605C6" w:rsidP="00EC3A9D">
            <w:pPr>
              <w:keepLines/>
              <w:spacing w:before="20" w:after="20" w:line="240" w:lineRule="auto"/>
              <w:jc w:val="center"/>
            </w:pPr>
            <w:r>
              <w:rPr>
                <w:rFonts w:cs="Arial"/>
                <w:color w:val="000000"/>
                <w:szCs w:val="22"/>
              </w:rPr>
              <w:t>A22</w:t>
            </w:r>
          </w:p>
        </w:tc>
        <w:tc>
          <w:tcPr>
            <w:tcW w:w="2268" w:type="dxa"/>
            <w:tcBorders>
              <w:top w:val="single" w:sz="4" w:space="0" w:color="auto"/>
              <w:left w:val="single" w:sz="4" w:space="0" w:color="auto"/>
              <w:bottom w:val="single" w:sz="4" w:space="0" w:color="auto"/>
              <w:right w:val="single" w:sz="4" w:space="0" w:color="auto"/>
            </w:tcBorders>
            <w:vAlign w:val="center"/>
          </w:tcPr>
          <w:p w14:paraId="53AF7739" w14:textId="77777777" w:rsidR="002605C6" w:rsidRDefault="002605C6" w:rsidP="00EC3A9D">
            <w:pPr>
              <w:keepLines/>
              <w:spacing w:before="20" w:after="20" w:line="240" w:lineRule="auto"/>
              <w:jc w:val="center"/>
            </w:pPr>
            <w:r>
              <w:rPr>
                <w:rFonts w:cs="Arial"/>
                <w:color w:val="000000"/>
                <w:szCs w:val="22"/>
              </w:rPr>
              <w:t>3615</w:t>
            </w:r>
          </w:p>
        </w:tc>
        <w:tc>
          <w:tcPr>
            <w:tcW w:w="964" w:type="dxa"/>
            <w:tcBorders>
              <w:left w:val="single" w:sz="4" w:space="0" w:color="auto"/>
              <w:right w:val="single" w:sz="4" w:space="0" w:color="auto"/>
            </w:tcBorders>
          </w:tcPr>
          <w:p w14:paraId="0D7DA6BE"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2872831E" w14:textId="77777777" w:rsidR="002605C6" w:rsidRDefault="002605C6" w:rsidP="00EC3A9D">
            <w:pPr>
              <w:keepLines/>
              <w:spacing w:before="20" w:after="20" w:line="240" w:lineRule="auto"/>
              <w:jc w:val="center"/>
            </w:pPr>
            <w:r>
              <w:rPr>
                <w:rFonts w:cs="Arial"/>
                <w:color w:val="000000"/>
                <w:szCs w:val="22"/>
              </w:rPr>
              <w:t>A52</w:t>
            </w:r>
          </w:p>
        </w:tc>
        <w:tc>
          <w:tcPr>
            <w:tcW w:w="2268" w:type="dxa"/>
            <w:tcBorders>
              <w:top w:val="single" w:sz="4" w:space="0" w:color="auto"/>
              <w:left w:val="single" w:sz="4" w:space="0" w:color="auto"/>
              <w:bottom w:val="single" w:sz="4" w:space="0" w:color="auto"/>
              <w:right w:val="single" w:sz="4" w:space="0" w:color="auto"/>
            </w:tcBorders>
            <w:vAlign w:val="center"/>
          </w:tcPr>
          <w:p w14:paraId="4C1CE34D" w14:textId="77777777" w:rsidR="002605C6" w:rsidRDefault="002605C6" w:rsidP="00EC3A9D">
            <w:pPr>
              <w:keepLines/>
              <w:spacing w:before="20" w:after="20" w:line="240" w:lineRule="auto"/>
              <w:jc w:val="center"/>
            </w:pPr>
            <w:r>
              <w:rPr>
                <w:rFonts w:cs="Arial"/>
                <w:color w:val="000000"/>
                <w:szCs w:val="22"/>
              </w:rPr>
              <w:t>3915</w:t>
            </w:r>
          </w:p>
        </w:tc>
      </w:tr>
      <w:tr w:rsidR="002605C6" w14:paraId="3C12061C"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02E5A76C" w14:textId="77777777" w:rsidR="002605C6" w:rsidRDefault="002605C6" w:rsidP="00EC3A9D">
            <w:pPr>
              <w:keepLines/>
              <w:spacing w:before="20" w:after="20" w:line="240" w:lineRule="auto"/>
              <w:jc w:val="center"/>
            </w:pPr>
            <w:r>
              <w:rPr>
                <w:rFonts w:cs="Arial"/>
                <w:color w:val="000000"/>
                <w:szCs w:val="22"/>
              </w:rPr>
              <w:t>A23</w:t>
            </w:r>
          </w:p>
        </w:tc>
        <w:tc>
          <w:tcPr>
            <w:tcW w:w="2268" w:type="dxa"/>
            <w:tcBorders>
              <w:top w:val="single" w:sz="4" w:space="0" w:color="auto"/>
              <w:left w:val="single" w:sz="4" w:space="0" w:color="auto"/>
              <w:bottom w:val="single" w:sz="4" w:space="0" w:color="auto"/>
              <w:right w:val="single" w:sz="4" w:space="0" w:color="auto"/>
            </w:tcBorders>
            <w:vAlign w:val="center"/>
          </w:tcPr>
          <w:p w14:paraId="3F5490A2" w14:textId="77777777" w:rsidR="002605C6" w:rsidRDefault="002605C6" w:rsidP="00EC3A9D">
            <w:pPr>
              <w:keepLines/>
              <w:spacing w:before="20" w:after="20" w:line="240" w:lineRule="auto"/>
              <w:jc w:val="center"/>
            </w:pPr>
            <w:r>
              <w:rPr>
                <w:rFonts w:cs="Arial"/>
                <w:color w:val="000000"/>
                <w:szCs w:val="22"/>
              </w:rPr>
              <w:t>3625</w:t>
            </w:r>
          </w:p>
        </w:tc>
        <w:tc>
          <w:tcPr>
            <w:tcW w:w="964" w:type="dxa"/>
            <w:tcBorders>
              <w:left w:val="single" w:sz="4" w:space="0" w:color="auto"/>
              <w:right w:val="single" w:sz="4" w:space="0" w:color="auto"/>
            </w:tcBorders>
          </w:tcPr>
          <w:p w14:paraId="2A3D6BC0"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115B6784" w14:textId="77777777" w:rsidR="002605C6" w:rsidRDefault="002605C6" w:rsidP="00EC3A9D">
            <w:pPr>
              <w:keepLines/>
              <w:spacing w:before="20" w:after="20" w:line="240" w:lineRule="auto"/>
              <w:jc w:val="center"/>
            </w:pPr>
            <w:r>
              <w:rPr>
                <w:rFonts w:cs="Arial"/>
                <w:color w:val="000000"/>
                <w:szCs w:val="22"/>
              </w:rPr>
              <w:t>A53</w:t>
            </w:r>
          </w:p>
        </w:tc>
        <w:tc>
          <w:tcPr>
            <w:tcW w:w="2268" w:type="dxa"/>
            <w:tcBorders>
              <w:top w:val="single" w:sz="4" w:space="0" w:color="auto"/>
              <w:left w:val="single" w:sz="4" w:space="0" w:color="auto"/>
              <w:bottom w:val="single" w:sz="4" w:space="0" w:color="auto"/>
              <w:right w:val="single" w:sz="4" w:space="0" w:color="auto"/>
            </w:tcBorders>
            <w:vAlign w:val="center"/>
          </w:tcPr>
          <w:p w14:paraId="7A9EE05B" w14:textId="77777777" w:rsidR="002605C6" w:rsidRDefault="002605C6" w:rsidP="00EC3A9D">
            <w:pPr>
              <w:keepLines/>
              <w:spacing w:before="20" w:after="20" w:line="240" w:lineRule="auto"/>
              <w:jc w:val="center"/>
            </w:pPr>
            <w:r>
              <w:rPr>
                <w:rFonts w:cs="Arial"/>
                <w:color w:val="000000"/>
                <w:szCs w:val="22"/>
              </w:rPr>
              <w:t>3925</w:t>
            </w:r>
          </w:p>
        </w:tc>
      </w:tr>
      <w:tr w:rsidR="002605C6" w14:paraId="4F859290"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1A812E2D" w14:textId="77777777" w:rsidR="002605C6" w:rsidRDefault="002605C6" w:rsidP="00EC3A9D">
            <w:pPr>
              <w:keepLines/>
              <w:spacing w:before="20" w:after="20" w:line="240" w:lineRule="auto"/>
              <w:jc w:val="center"/>
            </w:pPr>
            <w:r>
              <w:rPr>
                <w:rFonts w:cs="Arial"/>
                <w:color w:val="000000"/>
                <w:szCs w:val="22"/>
              </w:rPr>
              <w:t>A24</w:t>
            </w:r>
          </w:p>
        </w:tc>
        <w:tc>
          <w:tcPr>
            <w:tcW w:w="2268" w:type="dxa"/>
            <w:tcBorders>
              <w:top w:val="single" w:sz="4" w:space="0" w:color="auto"/>
              <w:left w:val="single" w:sz="4" w:space="0" w:color="auto"/>
              <w:bottom w:val="single" w:sz="4" w:space="0" w:color="auto"/>
              <w:right w:val="single" w:sz="4" w:space="0" w:color="auto"/>
            </w:tcBorders>
            <w:vAlign w:val="center"/>
          </w:tcPr>
          <w:p w14:paraId="68D52B31" w14:textId="77777777" w:rsidR="002605C6" w:rsidRDefault="002605C6" w:rsidP="00EC3A9D">
            <w:pPr>
              <w:keepLines/>
              <w:spacing w:before="20" w:after="20" w:line="240" w:lineRule="auto"/>
              <w:jc w:val="center"/>
            </w:pPr>
            <w:r>
              <w:rPr>
                <w:rFonts w:cs="Arial"/>
                <w:color w:val="000000"/>
                <w:szCs w:val="22"/>
              </w:rPr>
              <w:t>3635</w:t>
            </w:r>
          </w:p>
        </w:tc>
        <w:tc>
          <w:tcPr>
            <w:tcW w:w="964" w:type="dxa"/>
            <w:tcBorders>
              <w:left w:val="single" w:sz="4" w:space="0" w:color="auto"/>
              <w:right w:val="single" w:sz="4" w:space="0" w:color="auto"/>
            </w:tcBorders>
          </w:tcPr>
          <w:p w14:paraId="54E6F581"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3B65359F" w14:textId="77777777" w:rsidR="002605C6" w:rsidRDefault="002605C6" w:rsidP="00EC3A9D">
            <w:pPr>
              <w:keepLines/>
              <w:spacing w:before="20" w:after="20" w:line="240" w:lineRule="auto"/>
              <w:jc w:val="center"/>
            </w:pPr>
            <w:r>
              <w:rPr>
                <w:rFonts w:cs="Arial"/>
                <w:color w:val="000000"/>
                <w:szCs w:val="22"/>
              </w:rPr>
              <w:t>A54</w:t>
            </w:r>
          </w:p>
        </w:tc>
        <w:tc>
          <w:tcPr>
            <w:tcW w:w="2268" w:type="dxa"/>
            <w:tcBorders>
              <w:top w:val="single" w:sz="4" w:space="0" w:color="auto"/>
              <w:left w:val="single" w:sz="4" w:space="0" w:color="auto"/>
              <w:bottom w:val="single" w:sz="4" w:space="0" w:color="auto"/>
              <w:right w:val="single" w:sz="4" w:space="0" w:color="auto"/>
            </w:tcBorders>
            <w:vAlign w:val="center"/>
          </w:tcPr>
          <w:p w14:paraId="34C6F3D9" w14:textId="77777777" w:rsidR="002605C6" w:rsidRDefault="002605C6" w:rsidP="00EC3A9D">
            <w:pPr>
              <w:keepLines/>
              <w:spacing w:before="20" w:after="20" w:line="240" w:lineRule="auto"/>
              <w:jc w:val="center"/>
            </w:pPr>
            <w:r>
              <w:rPr>
                <w:rFonts w:cs="Arial"/>
                <w:color w:val="000000"/>
                <w:szCs w:val="22"/>
              </w:rPr>
              <w:t>3935</w:t>
            </w:r>
          </w:p>
        </w:tc>
      </w:tr>
      <w:tr w:rsidR="002605C6" w14:paraId="0F2C8EA9"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52548A22" w14:textId="77777777" w:rsidR="002605C6" w:rsidRDefault="002605C6" w:rsidP="00EC3A9D">
            <w:pPr>
              <w:keepLines/>
              <w:spacing w:before="20" w:after="20" w:line="240" w:lineRule="auto"/>
              <w:jc w:val="center"/>
            </w:pPr>
            <w:r>
              <w:rPr>
                <w:rFonts w:cs="Arial"/>
                <w:color w:val="000000"/>
                <w:szCs w:val="22"/>
              </w:rPr>
              <w:t>A25</w:t>
            </w:r>
          </w:p>
        </w:tc>
        <w:tc>
          <w:tcPr>
            <w:tcW w:w="2268" w:type="dxa"/>
            <w:tcBorders>
              <w:top w:val="single" w:sz="4" w:space="0" w:color="auto"/>
              <w:left w:val="single" w:sz="4" w:space="0" w:color="auto"/>
              <w:bottom w:val="single" w:sz="4" w:space="0" w:color="auto"/>
              <w:right w:val="single" w:sz="4" w:space="0" w:color="auto"/>
            </w:tcBorders>
            <w:vAlign w:val="center"/>
          </w:tcPr>
          <w:p w14:paraId="104422CE" w14:textId="77777777" w:rsidR="002605C6" w:rsidRDefault="002605C6" w:rsidP="00EC3A9D">
            <w:pPr>
              <w:keepLines/>
              <w:spacing w:before="20" w:after="20" w:line="240" w:lineRule="auto"/>
              <w:jc w:val="center"/>
            </w:pPr>
            <w:r>
              <w:rPr>
                <w:rFonts w:cs="Arial"/>
                <w:color w:val="000000"/>
                <w:szCs w:val="22"/>
              </w:rPr>
              <w:t>3645</w:t>
            </w:r>
          </w:p>
        </w:tc>
        <w:tc>
          <w:tcPr>
            <w:tcW w:w="964" w:type="dxa"/>
            <w:tcBorders>
              <w:left w:val="single" w:sz="4" w:space="0" w:color="auto"/>
              <w:right w:val="single" w:sz="4" w:space="0" w:color="auto"/>
            </w:tcBorders>
          </w:tcPr>
          <w:p w14:paraId="20F7F442"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63623D06" w14:textId="77777777" w:rsidR="002605C6" w:rsidRDefault="002605C6" w:rsidP="00EC3A9D">
            <w:pPr>
              <w:keepLines/>
              <w:spacing w:before="20" w:after="20" w:line="240" w:lineRule="auto"/>
              <w:jc w:val="center"/>
            </w:pPr>
            <w:r>
              <w:rPr>
                <w:rFonts w:cs="Arial"/>
                <w:color w:val="000000"/>
                <w:szCs w:val="22"/>
              </w:rPr>
              <w:t>A55</w:t>
            </w:r>
          </w:p>
        </w:tc>
        <w:tc>
          <w:tcPr>
            <w:tcW w:w="2268" w:type="dxa"/>
            <w:tcBorders>
              <w:top w:val="single" w:sz="4" w:space="0" w:color="auto"/>
              <w:left w:val="single" w:sz="4" w:space="0" w:color="auto"/>
              <w:bottom w:val="single" w:sz="4" w:space="0" w:color="auto"/>
              <w:right w:val="single" w:sz="4" w:space="0" w:color="auto"/>
            </w:tcBorders>
            <w:vAlign w:val="center"/>
          </w:tcPr>
          <w:p w14:paraId="4ACC0019" w14:textId="77777777" w:rsidR="002605C6" w:rsidRDefault="002605C6" w:rsidP="00EC3A9D">
            <w:pPr>
              <w:keepLines/>
              <w:spacing w:before="20" w:after="20" w:line="240" w:lineRule="auto"/>
              <w:jc w:val="center"/>
            </w:pPr>
            <w:r>
              <w:rPr>
                <w:rFonts w:cs="Arial"/>
                <w:color w:val="000000"/>
                <w:szCs w:val="22"/>
              </w:rPr>
              <w:t>3945</w:t>
            </w:r>
          </w:p>
        </w:tc>
      </w:tr>
      <w:tr w:rsidR="002605C6" w14:paraId="07EEE22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3B699920" w14:textId="77777777" w:rsidR="002605C6" w:rsidRDefault="002605C6" w:rsidP="00EC3A9D">
            <w:pPr>
              <w:keepLines/>
              <w:spacing w:before="20" w:after="20" w:line="240" w:lineRule="auto"/>
              <w:jc w:val="center"/>
            </w:pPr>
            <w:r>
              <w:rPr>
                <w:rFonts w:cs="Arial"/>
                <w:color w:val="000000"/>
                <w:szCs w:val="22"/>
              </w:rPr>
              <w:t>A26</w:t>
            </w:r>
          </w:p>
        </w:tc>
        <w:tc>
          <w:tcPr>
            <w:tcW w:w="2268" w:type="dxa"/>
            <w:tcBorders>
              <w:top w:val="single" w:sz="4" w:space="0" w:color="auto"/>
              <w:left w:val="single" w:sz="4" w:space="0" w:color="auto"/>
              <w:bottom w:val="single" w:sz="4" w:space="0" w:color="auto"/>
              <w:right w:val="single" w:sz="4" w:space="0" w:color="auto"/>
            </w:tcBorders>
            <w:vAlign w:val="center"/>
          </w:tcPr>
          <w:p w14:paraId="5D242F26" w14:textId="77777777" w:rsidR="002605C6" w:rsidRDefault="002605C6" w:rsidP="00EC3A9D">
            <w:pPr>
              <w:keepLines/>
              <w:spacing w:before="20" w:after="20" w:line="240" w:lineRule="auto"/>
              <w:jc w:val="center"/>
            </w:pPr>
            <w:r>
              <w:rPr>
                <w:rFonts w:cs="Arial"/>
                <w:color w:val="000000"/>
                <w:szCs w:val="22"/>
              </w:rPr>
              <w:t>3655</w:t>
            </w:r>
          </w:p>
        </w:tc>
        <w:tc>
          <w:tcPr>
            <w:tcW w:w="964" w:type="dxa"/>
            <w:tcBorders>
              <w:left w:val="single" w:sz="4" w:space="0" w:color="auto"/>
              <w:right w:val="single" w:sz="4" w:space="0" w:color="auto"/>
            </w:tcBorders>
          </w:tcPr>
          <w:p w14:paraId="5031AC6E"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1CB0D9D2" w14:textId="77777777" w:rsidR="002605C6" w:rsidRDefault="002605C6" w:rsidP="00EC3A9D">
            <w:pPr>
              <w:keepLines/>
              <w:spacing w:before="20" w:after="20" w:line="240" w:lineRule="auto"/>
              <w:jc w:val="center"/>
            </w:pPr>
            <w:r>
              <w:rPr>
                <w:rFonts w:cs="Arial"/>
                <w:color w:val="000000"/>
                <w:szCs w:val="22"/>
              </w:rPr>
              <w:t>A56</w:t>
            </w:r>
          </w:p>
        </w:tc>
        <w:tc>
          <w:tcPr>
            <w:tcW w:w="2268" w:type="dxa"/>
            <w:tcBorders>
              <w:top w:val="single" w:sz="4" w:space="0" w:color="auto"/>
              <w:left w:val="single" w:sz="4" w:space="0" w:color="auto"/>
              <w:bottom w:val="single" w:sz="4" w:space="0" w:color="auto"/>
              <w:right w:val="single" w:sz="4" w:space="0" w:color="auto"/>
            </w:tcBorders>
            <w:vAlign w:val="center"/>
          </w:tcPr>
          <w:p w14:paraId="47A1094E" w14:textId="77777777" w:rsidR="002605C6" w:rsidRDefault="002605C6" w:rsidP="00EC3A9D">
            <w:pPr>
              <w:keepLines/>
              <w:spacing w:before="20" w:after="20" w:line="240" w:lineRule="auto"/>
              <w:jc w:val="center"/>
            </w:pPr>
            <w:r>
              <w:rPr>
                <w:rFonts w:cs="Arial"/>
                <w:color w:val="000000"/>
                <w:szCs w:val="22"/>
              </w:rPr>
              <w:t>3955</w:t>
            </w:r>
          </w:p>
        </w:tc>
      </w:tr>
      <w:tr w:rsidR="002605C6" w14:paraId="22F55B3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7266024C" w14:textId="77777777" w:rsidR="002605C6" w:rsidRDefault="002605C6" w:rsidP="00EC3A9D">
            <w:pPr>
              <w:keepLines/>
              <w:spacing w:before="20" w:after="20" w:line="240" w:lineRule="auto"/>
              <w:jc w:val="center"/>
            </w:pPr>
            <w:r>
              <w:rPr>
                <w:rFonts w:cs="Arial"/>
                <w:color w:val="000000"/>
                <w:szCs w:val="22"/>
              </w:rPr>
              <w:t>A27</w:t>
            </w:r>
          </w:p>
        </w:tc>
        <w:tc>
          <w:tcPr>
            <w:tcW w:w="2268" w:type="dxa"/>
            <w:tcBorders>
              <w:top w:val="single" w:sz="4" w:space="0" w:color="auto"/>
              <w:left w:val="single" w:sz="4" w:space="0" w:color="auto"/>
              <w:bottom w:val="single" w:sz="4" w:space="0" w:color="auto"/>
              <w:right w:val="single" w:sz="4" w:space="0" w:color="auto"/>
            </w:tcBorders>
            <w:vAlign w:val="center"/>
          </w:tcPr>
          <w:p w14:paraId="4E73168B" w14:textId="77777777" w:rsidR="002605C6" w:rsidRDefault="002605C6" w:rsidP="00EC3A9D">
            <w:pPr>
              <w:keepLines/>
              <w:spacing w:before="20" w:after="20" w:line="240" w:lineRule="auto"/>
              <w:jc w:val="center"/>
            </w:pPr>
            <w:r>
              <w:rPr>
                <w:rFonts w:cs="Arial"/>
                <w:color w:val="000000"/>
                <w:szCs w:val="22"/>
              </w:rPr>
              <w:t>3665</w:t>
            </w:r>
          </w:p>
        </w:tc>
        <w:tc>
          <w:tcPr>
            <w:tcW w:w="964" w:type="dxa"/>
            <w:tcBorders>
              <w:left w:val="single" w:sz="4" w:space="0" w:color="auto"/>
              <w:right w:val="single" w:sz="4" w:space="0" w:color="auto"/>
            </w:tcBorders>
          </w:tcPr>
          <w:p w14:paraId="3034B2EE"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70C12588" w14:textId="77777777" w:rsidR="002605C6" w:rsidRDefault="002605C6" w:rsidP="00EC3A9D">
            <w:pPr>
              <w:keepLines/>
              <w:spacing w:before="20" w:after="20" w:line="240" w:lineRule="auto"/>
              <w:jc w:val="center"/>
            </w:pPr>
            <w:r>
              <w:rPr>
                <w:rFonts w:cs="Arial"/>
                <w:color w:val="000000"/>
                <w:szCs w:val="22"/>
              </w:rPr>
              <w:t>A57</w:t>
            </w:r>
          </w:p>
        </w:tc>
        <w:tc>
          <w:tcPr>
            <w:tcW w:w="2268" w:type="dxa"/>
            <w:tcBorders>
              <w:top w:val="single" w:sz="4" w:space="0" w:color="auto"/>
              <w:left w:val="single" w:sz="4" w:space="0" w:color="auto"/>
              <w:bottom w:val="single" w:sz="4" w:space="0" w:color="auto"/>
              <w:right w:val="single" w:sz="4" w:space="0" w:color="auto"/>
            </w:tcBorders>
            <w:vAlign w:val="center"/>
          </w:tcPr>
          <w:p w14:paraId="3CC9C0C7" w14:textId="77777777" w:rsidR="002605C6" w:rsidRDefault="002605C6" w:rsidP="00EC3A9D">
            <w:pPr>
              <w:keepLines/>
              <w:spacing w:before="20" w:after="20" w:line="240" w:lineRule="auto"/>
              <w:jc w:val="center"/>
            </w:pPr>
            <w:r>
              <w:rPr>
                <w:rFonts w:cs="Arial"/>
                <w:color w:val="000000"/>
                <w:szCs w:val="22"/>
              </w:rPr>
              <w:t>3965</w:t>
            </w:r>
          </w:p>
        </w:tc>
      </w:tr>
      <w:tr w:rsidR="002605C6" w14:paraId="778B6870"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39B88340" w14:textId="77777777" w:rsidR="002605C6" w:rsidRDefault="002605C6" w:rsidP="00EC3A9D">
            <w:pPr>
              <w:keepLines/>
              <w:spacing w:before="20" w:after="20" w:line="240" w:lineRule="auto"/>
              <w:jc w:val="center"/>
            </w:pPr>
            <w:r>
              <w:rPr>
                <w:rFonts w:cs="Arial"/>
                <w:color w:val="000000"/>
                <w:szCs w:val="22"/>
              </w:rPr>
              <w:t>A28</w:t>
            </w:r>
          </w:p>
        </w:tc>
        <w:tc>
          <w:tcPr>
            <w:tcW w:w="2268" w:type="dxa"/>
            <w:tcBorders>
              <w:top w:val="single" w:sz="4" w:space="0" w:color="auto"/>
              <w:left w:val="single" w:sz="4" w:space="0" w:color="auto"/>
              <w:bottom w:val="single" w:sz="4" w:space="0" w:color="auto"/>
              <w:right w:val="single" w:sz="4" w:space="0" w:color="auto"/>
            </w:tcBorders>
            <w:vAlign w:val="center"/>
          </w:tcPr>
          <w:p w14:paraId="76901247" w14:textId="77777777" w:rsidR="002605C6" w:rsidRDefault="002605C6" w:rsidP="00EC3A9D">
            <w:pPr>
              <w:keepLines/>
              <w:spacing w:before="20" w:after="20" w:line="240" w:lineRule="auto"/>
              <w:jc w:val="center"/>
            </w:pPr>
            <w:r>
              <w:rPr>
                <w:rFonts w:cs="Arial"/>
                <w:color w:val="000000"/>
                <w:szCs w:val="22"/>
              </w:rPr>
              <w:t>3675</w:t>
            </w:r>
          </w:p>
        </w:tc>
        <w:tc>
          <w:tcPr>
            <w:tcW w:w="964" w:type="dxa"/>
            <w:tcBorders>
              <w:left w:val="single" w:sz="4" w:space="0" w:color="auto"/>
              <w:right w:val="single" w:sz="4" w:space="0" w:color="auto"/>
            </w:tcBorders>
          </w:tcPr>
          <w:p w14:paraId="101A1A71"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54752336" w14:textId="77777777" w:rsidR="002605C6" w:rsidRDefault="002605C6" w:rsidP="00EC3A9D">
            <w:pPr>
              <w:keepLines/>
              <w:spacing w:before="20" w:after="20" w:line="240" w:lineRule="auto"/>
              <w:jc w:val="center"/>
            </w:pPr>
            <w:r>
              <w:rPr>
                <w:rFonts w:cs="Arial"/>
                <w:color w:val="000000"/>
                <w:szCs w:val="22"/>
              </w:rPr>
              <w:t>A58</w:t>
            </w:r>
          </w:p>
        </w:tc>
        <w:tc>
          <w:tcPr>
            <w:tcW w:w="2268" w:type="dxa"/>
            <w:tcBorders>
              <w:top w:val="single" w:sz="4" w:space="0" w:color="auto"/>
              <w:left w:val="single" w:sz="4" w:space="0" w:color="auto"/>
              <w:bottom w:val="single" w:sz="4" w:space="0" w:color="auto"/>
              <w:right w:val="single" w:sz="4" w:space="0" w:color="auto"/>
            </w:tcBorders>
            <w:vAlign w:val="center"/>
          </w:tcPr>
          <w:p w14:paraId="2CD4B75E" w14:textId="77777777" w:rsidR="002605C6" w:rsidRDefault="002605C6" w:rsidP="00EC3A9D">
            <w:pPr>
              <w:keepLines/>
              <w:spacing w:before="20" w:after="20" w:line="240" w:lineRule="auto"/>
              <w:jc w:val="center"/>
            </w:pPr>
            <w:r>
              <w:rPr>
                <w:rFonts w:cs="Arial"/>
                <w:color w:val="000000"/>
                <w:szCs w:val="22"/>
              </w:rPr>
              <w:t>3975</w:t>
            </w:r>
          </w:p>
        </w:tc>
      </w:tr>
      <w:tr w:rsidR="002605C6" w14:paraId="780D85B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3A3281FB" w14:textId="77777777" w:rsidR="002605C6" w:rsidRDefault="002605C6" w:rsidP="00EC3A9D">
            <w:pPr>
              <w:keepLines/>
              <w:spacing w:before="20" w:after="20" w:line="240" w:lineRule="auto"/>
              <w:jc w:val="center"/>
            </w:pPr>
            <w:r>
              <w:rPr>
                <w:rFonts w:cs="Arial"/>
                <w:color w:val="000000"/>
                <w:szCs w:val="22"/>
              </w:rPr>
              <w:t>A29</w:t>
            </w:r>
          </w:p>
        </w:tc>
        <w:tc>
          <w:tcPr>
            <w:tcW w:w="2268" w:type="dxa"/>
            <w:tcBorders>
              <w:top w:val="single" w:sz="4" w:space="0" w:color="auto"/>
              <w:left w:val="single" w:sz="4" w:space="0" w:color="auto"/>
              <w:bottom w:val="single" w:sz="4" w:space="0" w:color="auto"/>
              <w:right w:val="single" w:sz="4" w:space="0" w:color="auto"/>
            </w:tcBorders>
            <w:vAlign w:val="center"/>
          </w:tcPr>
          <w:p w14:paraId="3EB1463C" w14:textId="77777777" w:rsidR="002605C6" w:rsidRDefault="002605C6" w:rsidP="00EC3A9D">
            <w:pPr>
              <w:keepLines/>
              <w:spacing w:before="20" w:after="20" w:line="240" w:lineRule="auto"/>
              <w:jc w:val="center"/>
            </w:pPr>
            <w:r>
              <w:rPr>
                <w:rFonts w:cs="Arial"/>
                <w:color w:val="000000"/>
                <w:szCs w:val="22"/>
              </w:rPr>
              <w:t>3685</w:t>
            </w:r>
          </w:p>
        </w:tc>
        <w:tc>
          <w:tcPr>
            <w:tcW w:w="964" w:type="dxa"/>
            <w:tcBorders>
              <w:left w:val="single" w:sz="4" w:space="0" w:color="auto"/>
              <w:right w:val="single" w:sz="4" w:space="0" w:color="auto"/>
            </w:tcBorders>
          </w:tcPr>
          <w:p w14:paraId="31E053A6"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05F5D7B5" w14:textId="77777777" w:rsidR="002605C6" w:rsidRDefault="002605C6" w:rsidP="00EC3A9D">
            <w:pPr>
              <w:keepLines/>
              <w:spacing w:before="20" w:after="20" w:line="240" w:lineRule="auto"/>
              <w:jc w:val="center"/>
            </w:pPr>
            <w:r>
              <w:rPr>
                <w:rFonts w:cs="Arial"/>
                <w:color w:val="000000"/>
                <w:szCs w:val="22"/>
              </w:rPr>
              <w:t>A59</w:t>
            </w:r>
          </w:p>
        </w:tc>
        <w:tc>
          <w:tcPr>
            <w:tcW w:w="2268" w:type="dxa"/>
            <w:tcBorders>
              <w:top w:val="single" w:sz="4" w:space="0" w:color="auto"/>
              <w:left w:val="single" w:sz="4" w:space="0" w:color="auto"/>
              <w:bottom w:val="single" w:sz="4" w:space="0" w:color="auto"/>
              <w:right w:val="single" w:sz="4" w:space="0" w:color="auto"/>
            </w:tcBorders>
            <w:vAlign w:val="center"/>
          </w:tcPr>
          <w:p w14:paraId="4360EA69" w14:textId="77777777" w:rsidR="002605C6" w:rsidRDefault="002605C6" w:rsidP="00EC3A9D">
            <w:pPr>
              <w:keepLines/>
              <w:spacing w:before="20" w:after="20" w:line="240" w:lineRule="auto"/>
              <w:jc w:val="center"/>
            </w:pPr>
            <w:r>
              <w:rPr>
                <w:rFonts w:cs="Arial"/>
                <w:color w:val="000000"/>
                <w:szCs w:val="22"/>
              </w:rPr>
              <w:t>3985</w:t>
            </w:r>
          </w:p>
        </w:tc>
      </w:tr>
      <w:tr w:rsidR="002605C6" w14:paraId="740A28E7"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39CF0FC6" w14:textId="77777777" w:rsidR="002605C6" w:rsidRDefault="002605C6" w:rsidP="00EC3A9D">
            <w:pPr>
              <w:keepLines/>
              <w:spacing w:before="20" w:after="20" w:line="240" w:lineRule="auto"/>
              <w:jc w:val="center"/>
            </w:pPr>
            <w:r>
              <w:rPr>
                <w:rFonts w:cs="Arial"/>
                <w:color w:val="000000"/>
                <w:szCs w:val="22"/>
              </w:rPr>
              <w:t>A30</w:t>
            </w:r>
          </w:p>
        </w:tc>
        <w:tc>
          <w:tcPr>
            <w:tcW w:w="2268" w:type="dxa"/>
            <w:tcBorders>
              <w:top w:val="single" w:sz="4" w:space="0" w:color="auto"/>
              <w:left w:val="single" w:sz="4" w:space="0" w:color="auto"/>
              <w:bottom w:val="single" w:sz="4" w:space="0" w:color="auto"/>
              <w:right w:val="single" w:sz="4" w:space="0" w:color="auto"/>
            </w:tcBorders>
            <w:vAlign w:val="center"/>
          </w:tcPr>
          <w:p w14:paraId="579D008F" w14:textId="77777777" w:rsidR="002605C6" w:rsidRDefault="002605C6" w:rsidP="00EC3A9D">
            <w:pPr>
              <w:keepLines/>
              <w:spacing w:before="20" w:after="20" w:line="240" w:lineRule="auto"/>
              <w:jc w:val="center"/>
            </w:pPr>
            <w:r>
              <w:rPr>
                <w:rFonts w:cs="Arial"/>
                <w:color w:val="000000"/>
                <w:szCs w:val="22"/>
              </w:rPr>
              <w:t>3695</w:t>
            </w:r>
          </w:p>
        </w:tc>
        <w:tc>
          <w:tcPr>
            <w:tcW w:w="964" w:type="dxa"/>
            <w:tcBorders>
              <w:left w:val="single" w:sz="4" w:space="0" w:color="auto"/>
              <w:right w:val="single" w:sz="4" w:space="0" w:color="auto"/>
            </w:tcBorders>
          </w:tcPr>
          <w:p w14:paraId="3D2B61CA"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4453552E" w14:textId="77777777" w:rsidR="002605C6" w:rsidRDefault="002605C6" w:rsidP="00EC3A9D">
            <w:pPr>
              <w:keepLines/>
              <w:spacing w:before="20" w:after="20" w:line="240" w:lineRule="auto"/>
              <w:jc w:val="center"/>
            </w:pPr>
            <w:r>
              <w:rPr>
                <w:rFonts w:cs="Arial"/>
                <w:color w:val="000000"/>
                <w:szCs w:val="22"/>
              </w:rPr>
              <w:t>A60</w:t>
            </w:r>
          </w:p>
        </w:tc>
        <w:tc>
          <w:tcPr>
            <w:tcW w:w="2268" w:type="dxa"/>
            <w:tcBorders>
              <w:top w:val="single" w:sz="4" w:space="0" w:color="auto"/>
              <w:left w:val="single" w:sz="4" w:space="0" w:color="auto"/>
              <w:bottom w:val="single" w:sz="4" w:space="0" w:color="auto"/>
              <w:right w:val="single" w:sz="4" w:space="0" w:color="auto"/>
            </w:tcBorders>
            <w:vAlign w:val="center"/>
          </w:tcPr>
          <w:p w14:paraId="4BF79489" w14:textId="77777777" w:rsidR="002605C6" w:rsidRDefault="002605C6" w:rsidP="00EC3A9D">
            <w:pPr>
              <w:keepLines/>
              <w:spacing w:before="20" w:after="20" w:line="240" w:lineRule="auto"/>
              <w:jc w:val="center"/>
            </w:pPr>
            <w:r>
              <w:rPr>
                <w:rFonts w:cs="Arial"/>
                <w:color w:val="000000"/>
                <w:szCs w:val="22"/>
              </w:rPr>
              <w:t>3995</w:t>
            </w:r>
          </w:p>
        </w:tc>
      </w:tr>
    </w:tbl>
    <w:p w14:paraId="02CB382D" w14:textId="0CE54D92" w:rsidR="00EC3A9D" w:rsidRDefault="00EC3A9D" w:rsidP="005E5B48">
      <w:pPr>
        <w:pStyle w:val="Heading1"/>
        <w:ind w:left="442"/>
        <w:rPr>
          <w:b/>
          <w:bCs w:val="0"/>
        </w:rPr>
      </w:pPr>
      <w:bookmarkStart w:id="36" w:name="_Toc82178432"/>
      <w:bookmarkStart w:id="37" w:name="_Toc82180968"/>
      <w:bookmarkStart w:id="38" w:name="_Toc82527154"/>
      <w:bookmarkStart w:id="39" w:name="_Toc82178433"/>
      <w:bookmarkStart w:id="40" w:name="_Toc82180969"/>
      <w:bookmarkStart w:id="41" w:name="_Toc82527155"/>
      <w:bookmarkStart w:id="42" w:name="_Toc82178434"/>
      <w:bookmarkStart w:id="43" w:name="_Toc82180970"/>
      <w:bookmarkStart w:id="44" w:name="_Toc82527156"/>
      <w:bookmarkStart w:id="45" w:name="_Toc82178435"/>
      <w:bookmarkStart w:id="46" w:name="_Toc82180971"/>
      <w:bookmarkStart w:id="47" w:name="_Toc82527157"/>
      <w:bookmarkStart w:id="48" w:name="_Toc95291575"/>
      <w:bookmarkStart w:id="49" w:name="_Toc114669395"/>
      <w:bookmarkEnd w:id="35"/>
      <w:bookmarkEnd w:id="36"/>
      <w:bookmarkEnd w:id="37"/>
      <w:bookmarkEnd w:id="38"/>
      <w:bookmarkEnd w:id="39"/>
      <w:bookmarkEnd w:id="40"/>
      <w:bookmarkEnd w:id="41"/>
      <w:bookmarkEnd w:id="42"/>
      <w:bookmarkEnd w:id="43"/>
      <w:bookmarkEnd w:id="44"/>
      <w:bookmarkEnd w:id="45"/>
      <w:bookmarkEnd w:id="46"/>
      <w:bookmarkEnd w:id="47"/>
      <w:r w:rsidRPr="00F04B19">
        <w:rPr>
          <w:b/>
          <w:bCs w:val="0"/>
        </w:rPr>
        <w:lastRenderedPageBreak/>
        <w:t>Licensing</w:t>
      </w:r>
      <w:bookmarkEnd w:id="48"/>
      <w:bookmarkEnd w:id="49"/>
    </w:p>
    <w:p w14:paraId="742662A9" w14:textId="72FA4AE5" w:rsidR="00EC3A9D" w:rsidRPr="00D506F8" w:rsidRDefault="00EC3A9D" w:rsidP="005E5B48">
      <w:pPr>
        <w:ind w:left="11"/>
      </w:pPr>
      <w:r>
        <w:t xml:space="preserve">This chapter provides an overview of the licensing arrangements for AWLs in the 3400-4000 MHz </w:t>
      </w:r>
      <w:r w:rsidR="004660C0">
        <w:t>range</w:t>
      </w:r>
      <w:r>
        <w:t xml:space="preserve"> and sets out the rules for issuing these licences. </w:t>
      </w:r>
      <w:r w:rsidR="00B338C1" w:rsidRPr="009D33A5">
        <w:t>[</w:t>
      </w:r>
      <w:r w:rsidRPr="009D33A5">
        <w:t xml:space="preserve">The Applicant Information Pack (AIP) for AWLs in the band contains information regarding the </w:t>
      </w:r>
      <w:r w:rsidR="00FF2BE6" w:rsidRPr="009D33A5">
        <w:t xml:space="preserve">initial </w:t>
      </w:r>
      <w:r w:rsidRPr="009D33A5">
        <w:t>licence application process and should be read in conjunction with this RALI.</w:t>
      </w:r>
      <w:r w:rsidR="00B338C1" w:rsidRPr="009D33A5">
        <w:t>]</w:t>
      </w:r>
    </w:p>
    <w:p w14:paraId="5701EF7E" w14:textId="77777777" w:rsidR="00EC3A9D" w:rsidRDefault="00EC3A9D" w:rsidP="005E5B48">
      <w:pPr>
        <w:pStyle w:val="Heading2"/>
        <w:ind w:left="720" w:hanging="709"/>
      </w:pPr>
      <w:bookmarkStart w:id="50" w:name="_Toc57195687"/>
      <w:bookmarkStart w:id="51" w:name="_Toc95291576"/>
      <w:bookmarkStart w:id="52" w:name="_Toc114669396"/>
      <w:r>
        <w:t>Overview of Licensing</w:t>
      </w:r>
      <w:bookmarkEnd w:id="50"/>
      <w:bookmarkEnd w:id="51"/>
      <w:bookmarkEnd w:id="52"/>
    </w:p>
    <w:p w14:paraId="3D89CA7F" w14:textId="35E7E57A" w:rsidR="00EC3A9D" w:rsidRPr="0036413C" w:rsidRDefault="00EC3A9D" w:rsidP="005E5B48">
      <w:pPr>
        <w:ind w:left="11"/>
        <w:rPr>
          <w:rFonts w:cs="Arial"/>
          <w:szCs w:val="28"/>
        </w:rPr>
      </w:pPr>
      <w:r>
        <w:t>An AWL authorises the operation of radiocommunications devices within a frequency range and geographic area specified on the licence. AWLs authorising operation in the 3400-4000 MHz band will only be issued in geographic areas that are located outside th</w:t>
      </w:r>
      <w:r w:rsidR="00BC1700">
        <w:t>ose</w:t>
      </w:r>
      <w:r>
        <w:t xml:space="preserve"> embargo</w:t>
      </w:r>
      <w:r w:rsidR="00BC1700">
        <w:t>ed</w:t>
      </w:r>
      <w:r>
        <w:t xml:space="preserve"> </w:t>
      </w:r>
      <w:r w:rsidR="00BC1700">
        <w:t xml:space="preserve">frequencies and </w:t>
      </w:r>
      <w:r>
        <w:t xml:space="preserve">areas defined in </w:t>
      </w:r>
      <w:r w:rsidRPr="0059006F">
        <w:rPr>
          <w:i/>
          <w:iCs/>
        </w:rPr>
        <w:t>RALI MS03</w:t>
      </w:r>
      <w:r w:rsidR="00EC3074">
        <w:t xml:space="preserve"> and spectrum licen</w:t>
      </w:r>
      <w:r w:rsidR="00FD4761">
        <w:t>s</w:t>
      </w:r>
      <w:r w:rsidR="00EC3074">
        <w:t xml:space="preserve">ed spectrum spaces defined in </w:t>
      </w:r>
      <w:r w:rsidR="00EC3074">
        <w:rPr>
          <w:i/>
          <w:iCs/>
        </w:rPr>
        <w:t>RALI SM26.</w:t>
      </w:r>
    </w:p>
    <w:p w14:paraId="062E0FB9" w14:textId="1C5B5436" w:rsidR="0062135C" w:rsidRPr="00F43C18" w:rsidRDefault="00F63B96" w:rsidP="005E5B48">
      <w:pPr>
        <w:ind w:left="11"/>
      </w:pPr>
      <w:r w:rsidRPr="00F43C18">
        <w:t xml:space="preserve">No new </w:t>
      </w:r>
      <w:r w:rsidR="004660C0" w:rsidRPr="00F43C18">
        <w:t>P</w:t>
      </w:r>
      <w:r w:rsidR="002362D3" w:rsidRPr="00F43C18">
        <w:t xml:space="preserve">ublic </w:t>
      </w:r>
      <w:r w:rsidR="004660C0" w:rsidRPr="00F43C18">
        <w:t>T</w:t>
      </w:r>
      <w:r w:rsidR="002362D3" w:rsidRPr="00F43C18">
        <w:t xml:space="preserve">elecommunications </w:t>
      </w:r>
      <w:r w:rsidR="004660C0" w:rsidRPr="00F43C18">
        <w:t>S</w:t>
      </w:r>
      <w:r w:rsidR="002362D3" w:rsidRPr="00F43C18">
        <w:t>ervice</w:t>
      </w:r>
      <w:r w:rsidRPr="00F43C18">
        <w:t xml:space="preserve"> licences are to be issued in </w:t>
      </w:r>
      <w:r w:rsidR="00466840" w:rsidRPr="00F43C18">
        <w:t xml:space="preserve">the </w:t>
      </w:r>
      <w:r w:rsidRPr="00F43C18">
        <w:t xml:space="preserve">3400-4000 MHz range. </w:t>
      </w:r>
      <w:r w:rsidR="0058346F" w:rsidRPr="00F43C18">
        <w:t xml:space="preserve">No new Point to Multipoint licences </w:t>
      </w:r>
      <w:proofErr w:type="gramStart"/>
      <w:r w:rsidR="0058346F" w:rsidRPr="00F43C18">
        <w:t>are</w:t>
      </w:r>
      <w:proofErr w:type="gramEnd"/>
      <w:r w:rsidR="0058346F" w:rsidRPr="00F43C18">
        <w:t xml:space="preserve"> to be issued in the 3400-4000 MHz range in the areas defined by Appendix A, but can be applied for on an exceptional basis in areas </w:t>
      </w:r>
      <w:r w:rsidR="00903980" w:rsidRPr="00F43C18">
        <w:t>outside the Australia Spectrum Map Grid</w:t>
      </w:r>
      <w:r w:rsidR="0058346F" w:rsidRPr="00F43C18">
        <w:t xml:space="preserve">. </w:t>
      </w:r>
      <w:r w:rsidR="00CF2EC2" w:rsidRPr="00F43C18">
        <w:t>No new Earth Receive or Point-to-Point apparatus licences are to be issued for the operation of devices in</w:t>
      </w:r>
      <w:r w:rsidR="00C42AC4" w:rsidRPr="00F43C18">
        <w:t xml:space="preserve"> a</w:t>
      </w:r>
      <w:r w:rsidR="00CF2EC2" w:rsidRPr="00F43C18">
        <w:t xml:space="preserve"> frequency range and area which </w:t>
      </w:r>
      <w:r w:rsidR="00C42AC4" w:rsidRPr="00F43C18">
        <w:t>is</w:t>
      </w:r>
      <w:r w:rsidR="00CF2EC2" w:rsidRPr="00F43C18">
        <w:t xml:space="preserve"> authorised by an existing AWL.</w:t>
      </w:r>
      <w:r w:rsidR="007C1CA2" w:rsidRPr="00F43C18">
        <w:t xml:space="preserve"> </w:t>
      </w:r>
      <w:r w:rsidRPr="00F43C18">
        <w:t xml:space="preserve">Services under an existing </w:t>
      </w:r>
      <w:r w:rsidR="00CF2EC2" w:rsidRPr="00F43C18">
        <w:t>apparatus</w:t>
      </w:r>
      <w:r w:rsidR="00D71044" w:rsidRPr="00F43C18">
        <w:t xml:space="preserve"> </w:t>
      </w:r>
      <w:r w:rsidR="004A463E" w:rsidRPr="00F43C18">
        <w:t xml:space="preserve">licence </w:t>
      </w:r>
      <w:r w:rsidRPr="00F43C18">
        <w:t>may continue to operate.</w:t>
      </w:r>
    </w:p>
    <w:p w14:paraId="645FD403" w14:textId="46CDE816" w:rsidR="008F5618" w:rsidRDefault="008F5618" w:rsidP="005E5B48">
      <w:pPr>
        <w:ind w:left="11"/>
      </w:pPr>
      <w:r w:rsidRPr="00F43C18">
        <w:t xml:space="preserve">No AWL licence is to be issued if any part of the AWL is proposed to be within 20 km of a </w:t>
      </w:r>
      <w:r w:rsidR="00F56F31" w:rsidRPr="009D33A5">
        <w:t xml:space="preserve">licensed </w:t>
      </w:r>
      <w:r w:rsidRPr="00F43C18">
        <w:t>co-frequency Point to Multipoint service</w:t>
      </w:r>
      <w:r w:rsidR="00D55EE6" w:rsidRPr="00F43C18">
        <w:t>, or with</w:t>
      </w:r>
      <w:r w:rsidR="00BF2FBD" w:rsidRPr="009D33A5">
        <w:t>in</w:t>
      </w:r>
      <w:r w:rsidR="00D55EE6" w:rsidRPr="00F43C18">
        <w:t xml:space="preserve"> 5 km if the proposed AWL is adjacent in frequency by 10 MHz or less, unless by mutual agreement.</w:t>
      </w:r>
    </w:p>
    <w:p w14:paraId="6A2A4087" w14:textId="77777777" w:rsidR="00EC3A9D" w:rsidRDefault="00EC3A9D" w:rsidP="005E5B48">
      <w:pPr>
        <w:pStyle w:val="Heading2"/>
        <w:ind w:left="720" w:hanging="709"/>
      </w:pPr>
      <w:bookmarkStart w:id="53" w:name="_Toc90908612"/>
      <w:bookmarkStart w:id="54" w:name="_Toc57195688"/>
      <w:bookmarkStart w:id="55" w:name="_Toc95291577"/>
      <w:bookmarkStart w:id="56" w:name="_Toc114669397"/>
      <w:bookmarkEnd w:id="53"/>
      <w:r>
        <w:t>Licence conditions</w:t>
      </w:r>
      <w:bookmarkEnd w:id="54"/>
      <w:bookmarkEnd w:id="55"/>
      <w:bookmarkEnd w:id="56"/>
    </w:p>
    <w:p w14:paraId="71FA73D3" w14:textId="43C6146B" w:rsidR="00EC3A9D" w:rsidRDefault="00EC3A9D" w:rsidP="005E5B48">
      <w:pPr>
        <w:spacing w:after="120"/>
        <w:ind w:left="11"/>
      </w:pPr>
      <w:r>
        <w:t xml:space="preserve">The operation of radiocommunications devices authorised by an AWL in the 3400-4000 bands </w:t>
      </w:r>
      <w:r w:rsidR="00BC1700">
        <w:t>are</w:t>
      </w:r>
      <w:r>
        <w:t xml:space="preserve"> subject to:</w:t>
      </w:r>
    </w:p>
    <w:p w14:paraId="303A5E5D" w14:textId="77777777" w:rsidR="00EC3A9D" w:rsidRDefault="00EC3A9D" w:rsidP="005E5B48">
      <w:pPr>
        <w:pStyle w:val="ListBullet"/>
        <w:ind w:left="306"/>
      </w:pPr>
      <w:r>
        <w:t xml:space="preserve">Conditions specified in the </w:t>
      </w:r>
      <w:r w:rsidRPr="004776B7">
        <w:rPr>
          <w:i/>
          <w:iCs/>
        </w:rPr>
        <w:t>Radiocommunications Act 1992</w:t>
      </w:r>
      <w:r>
        <w:t xml:space="preserve"> (the Act), including an obligation to comply with the </w:t>
      </w:r>
      <w:proofErr w:type="gramStart"/>
      <w:r>
        <w:t>Act;</w:t>
      </w:r>
      <w:proofErr w:type="gramEnd"/>
    </w:p>
    <w:p w14:paraId="4A42E13D" w14:textId="2752BC28" w:rsidR="00EC3A9D" w:rsidRDefault="00EC3A9D" w:rsidP="005E5B48">
      <w:pPr>
        <w:pStyle w:val="ListBullet"/>
        <w:ind w:left="306"/>
      </w:pPr>
      <w:r>
        <w:t xml:space="preserve">Conditions specified in the </w:t>
      </w:r>
      <w:hyperlink r:id="rId35" w:history="1">
        <w:r w:rsidR="00375039" w:rsidRPr="0036667C">
          <w:rPr>
            <w:rStyle w:val="Hyperlink"/>
            <w:i/>
            <w:iCs/>
          </w:rPr>
          <w:t>Radiocommunications Licence Conditions (Apparatus Licence) Determination 2015</w:t>
        </w:r>
      </w:hyperlink>
      <w:r w:rsidR="00375039">
        <w:t xml:space="preserve">, the </w:t>
      </w:r>
      <w:r>
        <w:t>Radiocommunications Licence Conditions (Area-Wide Licence) Determination 2020 (as in force from time to time), and any other applicable determinations made by the ACMA under section 107(1)(f) of the Act;</w:t>
      </w:r>
    </w:p>
    <w:p w14:paraId="23E562F8" w14:textId="1C7F0C14" w:rsidR="00375039" w:rsidRDefault="00375039" w:rsidP="005E5B48">
      <w:pPr>
        <w:pStyle w:val="ListBullet"/>
        <w:ind w:left="306"/>
      </w:pPr>
      <w:r>
        <w:t xml:space="preserve">Conditions specified in this </w:t>
      </w:r>
      <w:proofErr w:type="gramStart"/>
      <w:r>
        <w:t>RALI;</w:t>
      </w:r>
      <w:proofErr w:type="gramEnd"/>
    </w:p>
    <w:p w14:paraId="02C7B7A2" w14:textId="77777777" w:rsidR="00EC3A9D" w:rsidRDefault="00EC3A9D" w:rsidP="005E5B48">
      <w:pPr>
        <w:pStyle w:val="ListBullet"/>
        <w:ind w:left="306"/>
      </w:pPr>
      <w:r>
        <w:t>Conditions specified in the licence; and</w:t>
      </w:r>
    </w:p>
    <w:p w14:paraId="42DC667E" w14:textId="47F7FC1C" w:rsidR="00EC3A9D" w:rsidRDefault="00EC3A9D" w:rsidP="005E5B48">
      <w:pPr>
        <w:pStyle w:val="ListBullet"/>
        <w:spacing w:after="240"/>
        <w:ind w:left="306"/>
      </w:pPr>
      <w:r>
        <w:t>Any further conditions imposed by the ACMA under section 111 of the Act.</w:t>
      </w:r>
    </w:p>
    <w:p w14:paraId="11D607A1" w14:textId="349C0635" w:rsidR="00375039" w:rsidRDefault="00375039" w:rsidP="005E5B48">
      <w:pPr>
        <w:ind w:left="11"/>
      </w:pPr>
      <w:r>
        <w:t xml:space="preserve">If interference occurs after a licence is issued and the </w:t>
      </w:r>
      <w:r w:rsidR="00BC1700">
        <w:t>device</w:t>
      </w:r>
      <w:r w:rsidR="000D00BF">
        <w:t xml:space="preserve"> is registered,</w:t>
      </w:r>
      <w:r>
        <w:t xml:space="preserve"> and the issue cannot be resolved between the affected parties, licensees can expect the ACMA to have regard to this RALI and relevant legislative instruments </w:t>
      </w:r>
      <w:r w:rsidR="00BC1700">
        <w:t xml:space="preserve">when resolving </w:t>
      </w:r>
      <w:r>
        <w:t xml:space="preserve">the </w:t>
      </w:r>
      <w:r w:rsidR="00026531">
        <w:t>matter</w:t>
      </w:r>
      <w:r>
        <w:t>.</w:t>
      </w:r>
    </w:p>
    <w:p w14:paraId="53DD8439" w14:textId="48FC64A4" w:rsidR="00EC3A9D" w:rsidRDefault="00CB4766" w:rsidP="005E5B48">
      <w:pPr>
        <w:pStyle w:val="Heading3"/>
        <w:ind w:left="720" w:hanging="709"/>
      </w:pPr>
      <w:bookmarkStart w:id="57" w:name="_Toc90908614"/>
      <w:bookmarkStart w:id="58" w:name="_Toc90908615"/>
      <w:bookmarkStart w:id="59" w:name="_Toc90908616"/>
      <w:bookmarkStart w:id="60" w:name="_Toc90908617"/>
      <w:bookmarkStart w:id="61" w:name="_Toc95291578"/>
      <w:bookmarkStart w:id="62" w:name="_Toc114669398"/>
      <w:bookmarkEnd w:id="57"/>
      <w:bookmarkEnd w:id="58"/>
      <w:bookmarkEnd w:id="59"/>
      <w:bookmarkEnd w:id="60"/>
      <w:r>
        <w:t>Advisory notes</w:t>
      </w:r>
      <w:r w:rsidR="00E24A5F">
        <w:t xml:space="preserve"> – all AWLs</w:t>
      </w:r>
      <w:bookmarkEnd w:id="61"/>
      <w:bookmarkEnd w:id="62"/>
    </w:p>
    <w:p w14:paraId="1D329A06" w14:textId="4E28E6C9" w:rsidR="00CB4766" w:rsidRDefault="00CB4766" w:rsidP="005E5B48">
      <w:pPr>
        <w:ind w:left="11"/>
      </w:pPr>
      <w:r>
        <w:t>The following advisory notes are to be included on all AWLs in the 3400-4000 MHz range.</w:t>
      </w:r>
    </w:p>
    <w:p w14:paraId="033A5A83" w14:textId="740D06B0" w:rsidR="00CB4766" w:rsidRPr="00F04B19" w:rsidRDefault="00CB4766" w:rsidP="005E5B48">
      <w:pPr>
        <w:ind w:left="11"/>
        <w:rPr>
          <w:b/>
          <w:bCs/>
          <w:i/>
          <w:iCs/>
          <w:u w:val="single"/>
        </w:rPr>
      </w:pPr>
      <w:r>
        <w:rPr>
          <w:b/>
          <w:bCs/>
          <w:i/>
          <w:iCs/>
          <w:u w:val="single"/>
        </w:rPr>
        <w:t>Coexistence with radiolocation services</w:t>
      </w:r>
    </w:p>
    <w:p w14:paraId="40A6B72C" w14:textId="12986768" w:rsidR="00CB4766" w:rsidRPr="0036667C" w:rsidRDefault="00CB4766" w:rsidP="005E5B48">
      <w:pPr>
        <w:pStyle w:val="BlockQuote"/>
        <w:ind w:left="295"/>
      </w:pPr>
      <w:r w:rsidRPr="0036667C">
        <w:t xml:space="preserve">Allocations exist in the Australian Radiofrequency Spectrum Plan for the Radiolocation service in </w:t>
      </w:r>
      <w:r w:rsidRPr="00594796">
        <w:t>the</w:t>
      </w:r>
      <w:r w:rsidRPr="0036667C">
        <w:t xml:space="preserve"> </w:t>
      </w:r>
      <w:r w:rsidRPr="00594796">
        <w:t>3100</w:t>
      </w:r>
      <w:r w:rsidRPr="0036667C">
        <w:t xml:space="preserve">–3300 MHz and the 3300–3600 MHz bands on a </w:t>
      </w:r>
      <w:r w:rsidRPr="0036667C">
        <w:lastRenderedPageBreak/>
        <w:t xml:space="preserve">primary or co-primary basis under the AUS 1 and AUS11 footnotes respectively. The licensee is advised that the operation of Radiolocation devices by the Department of Defence in these bands may result in interference to </w:t>
      </w:r>
      <w:r w:rsidR="00562D12">
        <w:t xml:space="preserve">receivers operating under this licence </w:t>
      </w:r>
      <w:r w:rsidRPr="0036667C">
        <w:t>which may reduce system performance.</w:t>
      </w:r>
    </w:p>
    <w:p w14:paraId="1C749C8E" w14:textId="693A4DC4" w:rsidR="00CB4766" w:rsidRDefault="00902113" w:rsidP="005E5B48">
      <w:pPr>
        <w:ind w:left="11"/>
      </w:pPr>
      <w:r>
        <w:t>The ACMA will continue to consult on and monitor this issue with AWL licensees and Defence to best enable the coexistence of both services</w:t>
      </w:r>
      <w:r w:rsidR="00BC1700">
        <w:t>.</w:t>
      </w:r>
      <w:r w:rsidR="00D031A5">
        <w:t xml:space="preserve"> </w:t>
      </w:r>
    </w:p>
    <w:p w14:paraId="0545AB1B" w14:textId="77777777" w:rsidR="00902113" w:rsidRPr="00977ED9" w:rsidRDefault="00902113" w:rsidP="005E5B48">
      <w:pPr>
        <w:pStyle w:val="paragraph"/>
        <w:spacing w:before="0" w:beforeAutospacing="0" w:after="0" w:afterAutospacing="0"/>
        <w:ind w:left="11"/>
        <w:textAlignment w:val="baseline"/>
        <w:rPr>
          <w:rFonts w:ascii="Segoe UI" w:hAnsi="Segoe UI" w:cs="Segoe UI"/>
          <w:color w:val="000000" w:themeColor="text1"/>
          <w:sz w:val="18"/>
          <w:szCs w:val="18"/>
        </w:rPr>
      </w:pPr>
      <w:r w:rsidRPr="00977ED9">
        <w:rPr>
          <w:rStyle w:val="normaltextrun"/>
          <w:rFonts w:ascii="Arial" w:hAnsi="Arial" w:cs="Arial"/>
          <w:b/>
          <w:bCs/>
          <w:i/>
          <w:iCs/>
          <w:color w:val="000000" w:themeColor="text1"/>
          <w:sz w:val="20"/>
          <w:szCs w:val="20"/>
          <w:u w:val="single"/>
        </w:rPr>
        <w:t>Coexistence with existing apparatus licensed services</w:t>
      </w:r>
      <w:r w:rsidRPr="00977ED9">
        <w:rPr>
          <w:rStyle w:val="eop"/>
          <w:color w:val="000000" w:themeColor="text1"/>
          <w:sz w:val="20"/>
          <w:szCs w:val="20"/>
        </w:rPr>
        <w:t> </w:t>
      </w:r>
    </w:p>
    <w:p w14:paraId="5CC1DE82" w14:textId="77777777" w:rsidR="00902113" w:rsidRPr="00F04B19" w:rsidRDefault="00902113" w:rsidP="005E5B48">
      <w:pPr>
        <w:ind w:left="11"/>
        <w:rPr>
          <w:i/>
          <w:iCs/>
          <w:color w:val="000000" w:themeColor="text1"/>
        </w:rPr>
      </w:pPr>
      <w:r w:rsidRPr="00F04B19">
        <w:rPr>
          <w:i/>
          <w:iCs/>
          <w:color w:val="000000" w:themeColor="text1"/>
        </w:rPr>
        <w:t>A radiocommunications receiver, that is:</w:t>
      </w:r>
    </w:p>
    <w:p w14:paraId="148207CE" w14:textId="6EFA2E6F" w:rsidR="00902113" w:rsidRPr="00F04B19" w:rsidRDefault="00C82CAA">
      <w:pPr>
        <w:pStyle w:val="ListParagraph"/>
        <w:numPr>
          <w:ilvl w:val="0"/>
          <w:numId w:val="62"/>
        </w:numPr>
        <w:spacing w:after="240"/>
        <w:ind w:left="791"/>
        <w:contextualSpacing/>
        <w:rPr>
          <w:i/>
          <w:iCs/>
        </w:rPr>
      </w:pPr>
      <w:r>
        <w:rPr>
          <w:i/>
          <w:iCs/>
        </w:rPr>
        <w:t>R</w:t>
      </w:r>
      <w:r w:rsidR="00902113" w:rsidRPr="00F04B19">
        <w:rPr>
          <w:i/>
          <w:iCs/>
        </w:rPr>
        <w:t xml:space="preserve">eceiving </w:t>
      </w:r>
      <w:r w:rsidR="00174273">
        <w:rPr>
          <w:i/>
          <w:iCs/>
        </w:rPr>
        <w:t xml:space="preserve">wanted </w:t>
      </w:r>
      <w:r w:rsidR="00902113" w:rsidRPr="00F04B19">
        <w:rPr>
          <w:i/>
          <w:iCs/>
        </w:rPr>
        <w:t xml:space="preserve">radio emissions from a radiocommunications transmitter that is operated under this </w:t>
      </w:r>
      <w:proofErr w:type="gramStart"/>
      <w:r w:rsidR="00902113" w:rsidRPr="00F04B19">
        <w:rPr>
          <w:i/>
          <w:iCs/>
        </w:rPr>
        <w:t>licence;</w:t>
      </w:r>
      <w:proofErr w:type="gramEnd"/>
    </w:p>
    <w:p w14:paraId="289DF470" w14:textId="0BDD3771" w:rsidR="00C05A82" w:rsidRPr="00C05A82" w:rsidRDefault="00C82CAA" w:rsidP="005E5B48">
      <w:pPr>
        <w:pStyle w:val="ListParagraph"/>
        <w:numPr>
          <w:ilvl w:val="0"/>
          <w:numId w:val="62"/>
        </w:numPr>
        <w:spacing w:after="240"/>
        <w:ind w:left="791"/>
        <w:contextualSpacing/>
        <w:rPr>
          <w:i/>
          <w:iCs/>
        </w:rPr>
      </w:pPr>
      <w:r>
        <w:rPr>
          <w:i/>
          <w:iCs/>
        </w:rPr>
        <w:t>I</w:t>
      </w:r>
      <w:r w:rsidR="00C05A82" w:rsidRPr="00C05A82">
        <w:rPr>
          <w:i/>
          <w:iCs/>
        </w:rPr>
        <w:t xml:space="preserve">s a primary service as defined by the Australian Radiofrequency </w:t>
      </w:r>
      <w:proofErr w:type="gramStart"/>
      <w:r w:rsidR="00C05A82" w:rsidRPr="00C05A82">
        <w:rPr>
          <w:i/>
          <w:iCs/>
        </w:rPr>
        <w:t>Spectrum Plan;</w:t>
      </w:r>
      <w:proofErr w:type="gramEnd"/>
    </w:p>
    <w:p w14:paraId="5B7236DC" w14:textId="40A48F71" w:rsidR="00902113" w:rsidRDefault="00C82CAA" w:rsidP="005E5B48">
      <w:pPr>
        <w:pStyle w:val="ListParagraph"/>
        <w:numPr>
          <w:ilvl w:val="0"/>
          <w:numId w:val="62"/>
        </w:numPr>
        <w:spacing w:after="240"/>
        <w:ind w:left="791"/>
        <w:contextualSpacing/>
        <w:rPr>
          <w:i/>
          <w:iCs/>
        </w:rPr>
      </w:pPr>
      <w:r>
        <w:rPr>
          <w:i/>
          <w:iCs/>
        </w:rPr>
        <w:t>L</w:t>
      </w:r>
      <w:r w:rsidR="00902113" w:rsidRPr="00F04B19">
        <w:rPr>
          <w:i/>
          <w:iCs/>
        </w:rPr>
        <w:t>ocated within an area authorised by this licence;</w:t>
      </w:r>
      <w:r w:rsidR="00D031A5">
        <w:rPr>
          <w:i/>
          <w:iCs/>
        </w:rPr>
        <w:t xml:space="preserve"> and</w:t>
      </w:r>
    </w:p>
    <w:p w14:paraId="1B1A20E3" w14:textId="041FAE08" w:rsidR="00D031A5" w:rsidRPr="00F04B19" w:rsidRDefault="00C82CAA" w:rsidP="005E5B48">
      <w:pPr>
        <w:pStyle w:val="ListParagraph"/>
        <w:numPr>
          <w:ilvl w:val="0"/>
          <w:numId w:val="62"/>
        </w:numPr>
        <w:spacing w:after="240"/>
        <w:ind w:left="791"/>
        <w:contextualSpacing/>
        <w:rPr>
          <w:i/>
          <w:iCs/>
        </w:rPr>
      </w:pPr>
      <w:r>
        <w:rPr>
          <w:i/>
          <w:iCs/>
        </w:rPr>
        <w:t>H</w:t>
      </w:r>
      <w:r w:rsidR="00D031A5">
        <w:rPr>
          <w:i/>
          <w:iCs/>
        </w:rPr>
        <w:t xml:space="preserve">as its location recorded on the register of </w:t>
      </w:r>
      <w:proofErr w:type="gramStart"/>
      <w:r w:rsidR="00D031A5">
        <w:rPr>
          <w:i/>
          <w:iCs/>
        </w:rPr>
        <w:t>radiocommunications licences;</w:t>
      </w:r>
      <w:proofErr w:type="gramEnd"/>
    </w:p>
    <w:p w14:paraId="1DACBDFE" w14:textId="49CE0353" w:rsidR="00D031A5" w:rsidRDefault="00902113" w:rsidP="005E5B48">
      <w:pPr>
        <w:ind w:left="71"/>
        <w:rPr>
          <w:i/>
          <w:iCs/>
        </w:rPr>
      </w:pPr>
      <w:r w:rsidRPr="00F04B19">
        <w:rPr>
          <w:i/>
          <w:iCs/>
        </w:rPr>
        <w:t xml:space="preserve">is not afforded protection from interference caused by a radiocommunications transmitter </w:t>
      </w:r>
      <w:r w:rsidR="00D031A5">
        <w:rPr>
          <w:i/>
          <w:iCs/>
        </w:rPr>
        <w:t>that:</w:t>
      </w:r>
    </w:p>
    <w:p w14:paraId="143D70EB" w14:textId="4E64236D" w:rsidR="00D031A5" w:rsidRDefault="00C82CAA" w:rsidP="005E5B48">
      <w:pPr>
        <w:pStyle w:val="ListParagraph"/>
        <w:numPr>
          <w:ilvl w:val="0"/>
          <w:numId w:val="97"/>
        </w:numPr>
        <w:ind w:left="791"/>
        <w:rPr>
          <w:i/>
          <w:iCs/>
        </w:rPr>
      </w:pPr>
      <w:r>
        <w:rPr>
          <w:i/>
          <w:iCs/>
        </w:rPr>
        <w:t>I</w:t>
      </w:r>
      <w:r w:rsidR="00D031A5">
        <w:rPr>
          <w:i/>
          <w:iCs/>
        </w:rPr>
        <w:t xml:space="preserve">s </w:t>
      </w:r>
      <w:r w:rsidR="00902113" w:rsidRPr="005E5B48">
        <w:rPr>
          <w:i/>
          <w:iCs/>
        </w:rPr>
        <w:t>operated under an</w:t>
      </w:r>
      <w:r w:rsidR="00D031A5">
        <w:rPr>
          <w:i/>
          <w:iCs/>
        </w:rPr>
        <w:t>other</w:t>
      </w:r>
      <w:r w:rsidR="00902113" w:rsidRPr="005E5B48">
        <w:rPr>
          <w:i/>
          <w:iCs/>
        </w:rPr>
        <w:t xml:space="preserve"> apparatus licence which was first issued before the commencement </w:t>
      </w:r>
      <w:r w:rsidR="00D031A5">
        <w:rPr>
          <w:i/>
          <w:iCs/>
        </w:rPr>
        <w:t>of</w:t>
      </w:r>
      <w:r w:rsidR="00902113" w:rsidRPr="005E5B48">
        <w:rPr>
          <w:i/>
          <w:iCs/>
        </w:rPr>
        <w:t xml:space="preserve"> this </w:t>
      </w:r>
      <w:proofErr w:type="gramStart"/>
      <w:r w:rsidR="00902113" w:rsidRPr="005E5B48">
        <w:rPr>
          <w:i/>
          <w:iCs/>
        </w:rPr>
        <w:t>licence</w:t>
      </w:r>
      <w:r w:rsidR="00D031A5">
        <w:rPr>
          <w:i/>
          <w:iCs/>
        </w:rPr>
        <w:t>;</w:t>
      </w:r>
      <w:proofErr w:type="gramEnd"/>
      <w:r w:rsidR="00902113" w:rsidRPr="005E5B48">
        <w:rPr>
          <w:i/>
          <w:iCs/>
        </w:rPr>
        <w:t xml:space="preserve"> </w:t>
      </w:r>
    </w:p>
    <w:p w14:paraId="6760F276" w14:textId="72AFE11D" w:rsidR="00D031A5" w:rsidRDefault="00CA2286" w:rsidP="005E5B48">
      <w:pPr>
        <w:pStyle w:val="ListParagraph"/>
        <w:numPr>
          <w:ilvl w:val="0"/>
          <w:numId w:val="97"/>
        </w:numPr>
        <w:spacing w:after="240"/>
        <w:ind w:left="791"/>
        <w:rPr>
          <w:i/>
          <w:iCs/>
        </w:rPr>
      </w:pPr>
      <w:r>
        <w:rPr>
          <w:i/>
          <w:iCs/>
        </w:rPr>
        <w:t>I</w:t>
      </w:r>
      <w:r w:rsidR="00D031A5">
        <w:rPr>
          <w:i/>
          <w:iCs/>
        </w:rPr>
        <w:t xml:space="preserve">s a primary service as defined by the Australian Radiofrequency Spectrum </w:t>
      </w:r>
      <w:proofErr w:type="gramStart"/>
      <w:r w:rsidR="00D031A5">
        <w:rPr>
          <w:i/>
          <w:iCs/>
        </w:rPr>
        <w:t>Plan</w:t>
      </w:r>
      <w:proofErr w:type="gramEnd"/>
    </w:p>
    <w:p w14:paraId="47AF8BA2" w14:textId="79A7D1CE" w:rsidR="00902113" w:rsidRPr="005E5B48" w:rsidRDefault="00902113" w:rsidP="005E5B48">
      <w:pPr>
        <w:pStyle w:val="ListParagraph"/>
        <w:spacing w:after="120"/>
        <w:ind w:left="11"/>
        <w:rPr>
          <w:i/>
          <w:iCs/>
        </w:rPr>
      </w:pPr>
      <w:r w:rsidRPr="005E5B48">
        <w:rPr>
          <w:i/>
          <w:iCs/>
        </w:rPr>
        <w:t>This provision does not apply if the transmitter is operated under an</w:t>
      </w:r>
      <w:r w:rsidR="00AC4CDC">
        <w:rPr>
          <w:i/>
          <w:iCs/>
        </w:rPr>
        <w:t>other</w:t>
      </w:r>
      <w:r w:rsidRPr="005E5B48">
        <w:rPr>
          <w:i/>
          <w:iCs/>
        </w:rPr>
        <w:t xml:space="preserve"> area-wide licence.  </w:t>
      </w:r>
    </w:p>
    <w:p w14:paraId="348CAD67" w14:textId="77777777" w:rsidR="00902113" w:rsidRPr="00F04B19" w:rsidRDefault="00902113" w:rsidP="005E5B48">
      <w:pPr>
        <w:ind w:left="11"/>
        <w:rPr>
          <w:i/>
          <w:iCs/>
        </w:rPr>
      </w:pPr>
      <w:r w:rsidRPr="00F04B19">
        <w:rPr>
          <w:i/>
          <w:iCs/>
        </w:rPr>
        <w:t>In planning deployments under this licence, the licensee should take account of existing apparatus licensed services and plan their services accordingly. </w:t>
      </w:r>
    </w:p>
    <w:p w14:paraId="02DB0ABD" w14:textId="24EB3698" w:rsidR="00E24A5F" w:rsidRPr="00707C73" w:rsidRDefault="00E17DAB" w:rsidP="005E5B48">
      <w:pPr>
        <w:pStyle w:val="paragraph"/>
        <w:spacing w:before="0" w:beforeAutospacing="0" w:after="0" w:afterAutospacing="0"/>
        <w:ind w:left="11"/>
        <w:textAlignment w:val="baseline"/>
        <w:rPr>
          <w:rStyle w:val="normaltextrun"/>
          <w:rFonts w:ascii="Arial" w:hAnsi="Arial" w:cs="Arial"/>
          <w:b/>
          <w:bCs/>
          <w:i/>
          <w:iCs/>
          <w:color w:val="000000" w:themeColor="text1"/>
          <w:sz w:val="22"/>
          <w:szCs w:val="22"/>
          <w:u w:val="single"/>
        </w:rPr>
      </w:pPr>
      <w:r w:rsidRPr="00707C73">
        <w:rPr>
          <w:rStyle w:val="normaltextrun"/>
          <w:rFonts w:ascii="Arial" w:hAnsi="Arial" w:cs="Arial"/>
          <w:b/>
          <w:bCs/>
          <w:i/>
          <w:iCs/>
          <w:color w:val="000000" w:themeColor="text1"/>
          <w:sz w:val="22"/>
          <w:szCs w:val="22"/>
          <w:u w:val="single"/>
        </w:rPr>
        <w:t>Operation of earth receive stations prohibited</w:t>
      </w:r>
    </w:p>
    <w:p w14:paraId="6E9A21FC" w14:textId="4689C9DD" w:rsidR="00E17DAB" w:rsidRPr="00707C73" w:rsidRDefault="00E17DAB" w:rsidP="005E5B48">
      <w:pPr>
        <w:pStyle w:val="paragraph"/>
        <w:spacing w:before="0" w:beforeAutospacing="0" w:after="0" w:afterAutospacing="0"/>
        <w:ind w:left="11"/>
        <w:textAlignment w:val="baseline"/>
        <w:rPr>
          <w:rStyle w:val="normaltextrun"/>
          <w:rFonts w:ascii="Arial" w:hAnsi="Arial" w:cs="Arial"/>
          <w:i/>
          <w:color w:val="000000" w:themeColor="text1"/>
          <w:sz w:val="22"/>
          <w:szCs w:val="22"/>
        </w:rPr>
      </w:pPr>
      <w:r w:rsidRPr="00707C73">
        <w:rPr>
          <w:rStyle w:val="normaltextrun"/>
          <w:rFonts w:ascii="Arial" w:hAnsi="Arial" w:cs="Arial"/>
          <w:i/>
          <w:color w:val="000000" w:themeColor="text1"/>
          <w:sz w:val="22"/>
          <w:szCs w:val="22"/>
        </w:rPr>
        <w:t>Earth receive stations are not authorised to operate under this licence.</w:t>
      </w:r>
    </w:p>
    <w:p w14:paraId="79EBE5C0" w14:textId="77777777" w:rsidR="00E17DAB" w:rsidRPr="00707C73" w:rsidRDefault="00E17DAB" w:rsidP="005E5B48">
      <w:pPr>
        <w:pStyle w:val="paragraph"/>
        <w:spacing w:before="0" w:beforeAutospacing="0" w:after="0" w:afterAutospacing="0"/>
        <w:ind w:left="11"/>
        <w:textAlignment w:val="baseline"/>
        <w:rPr>
          <w:rStyle w:val="normaltextrun"/>
          <w:rFonts w:ascii="Arial" w:hAnsi="Arial" w:cs="Arial"/>
          <w:b/>
          <w:bCs/>
          <w:i/>
          <w:iCs/>
          <w:color w:val="000000" w:themeColor="text1"/>
          <w:sz w:val="22"/>
          <w:szCs w:val="22"/>
          <w:u w:val="single"/>
        </w:rPr>
      </w:pPr>
    </w:p>
    <w:p w14:paraId="6A9D6A05" w14:textId="122A7BC6" w:rsidR="00902113" w:rsidRPr="00707C73" w:rsidRDefault="00902113" w:rsidP="005E5B48">
      <w:pPr>
        <w:pStyle w:val="paragraph"/>
        <w:spacing w:before="0" w:beforeAutospacing="0" w:after="0" w:afterAutospacing="0"/>
        <w:ind w:left="11"/>
        <w:textAlignment w:val="baseline"/>
        <w:rPr>
          <w:rFonts w:ascii="Segoe UI" w:hAnsi="Segoe UI" w:cs="Segoe UI"/>
          <w:color w:val="000000" w:themeColor="text1"/>
          <w:sz w:val="22"/>
          <w:szCs w:val="22"/>
        </w:rPr>
      </w:pPr>
      <w:r w:rsidRPr="00707C73">
        <w:rPr>
          <w:rStyle w:val="normaltextrun"/>
          <w:rFonts w:ascii="Arial" w:hAnsi="Arial" w:cs="Arial"/>
          <w:b/>
          <w:bCs/>
          <w:i/>
          <w:iCs/>
          <w:color w:val="000000" w:themeColor="text1"/>
          <w:sz w:val="22"/>
          <w:szCs w:val="22"/>
          <w:u w:val="single"/>
        </w:rPr>
        <w:t>Notional level of receiver performance</w:t>
      </w:r>
      <w:r w:rsidRPr="00707C73">
        <w:rPr>
          <w:rStyle w:val="eop"/>
          <w:color w:val="000000" w:themeColor="text1"/>
          <w:sz w:val="22"/>
          <w:szCs w:val="22"/>
        </w:rPr>
        <w:t> </w:t>
      </w:r>
    </w:p>
    <w:p w14:paraId="33F93AC0" w14:textId="4EFF51E4" w:rsidR="00902113" w:rsidRPr="00FF6C50" w:rsidRDefault="00902113" w:rsidP="005E5B48">
      <w:pPr>
        <w:ind w:left="11"/>
        <w:rPr>
          <w:i/>
        </w:rPr>
      </w:pPr>
      <w:r w:rsidRPr="00FF6C50">
        <w:rPr>
          <w:i/>
        </w:rPr>
        <w:t>The notional receiver performance level and compatibility requirement detailed in schedules 1 and 2 of the Radiocommunications Advisory Guidelines (Managing Interference to Spectrum Licensed Receivers — 3.4 GHz Band) 2015</w:t>
      </w:r>
      <w:r w:rsidR="00B66D4E">
        <w:rPr>
          <w:i/>
        </w:rPr>
        <w:t xml:space="preserve"> (RAG Rx)</w:t>
      </w:r>
      <w:r w:rsidRPr="00FF6C50">
        <w:rPr>
          <w:i/>
        </w:rPr>
        <w:t xml:space="preserve">, as in force from time to time, </w:t>
      </w:r>
      <w:r w:rsidR="00AC4CDC">
        <w:rPr>
          <w:i/>
        </w:rPr>
        <w:t xml:space="preserve">or in any instrument made under s.262 of the Radiocommunications Act 1992 as a replacement to those guidelines (as in force from time to time), </w:t>
      </w:r>
      <w:r w:rsidRPr="00FF6C50">
        <w:rPr>
          <w:i/>
        </w:rPr>
        <w:t>applies for radiocommunications receivers that:</w:t>
      </w:r>
    </w:p>
    <w:p w14:paraId="7B4FB808" w14:textId="605C118A" w:rsidR="00902113" w:rsidRPr="00FF6C50" w:rsidRDefault="00CA2286" w:rsidP="005E5B48">
      <w:pPr>
        <w:pStyle w:val="ListParagraph"/>
        <w:numPr>
          <w:ilvl w:val="0"/>
          <w:numId w:val="63"/>
        </w:numPr>
        <w:spacing w:after="240"/>
        <w:ind w:left="731"/>
        <w:contextualSpacing/>
        <w:rPr>
          <w:i/>
        </w:rPr>
      </w:pPr>
      <w:r>
        <w:rPr>
          <w:i/>
        </w:rPr>
        <w:t>A</w:t>
      </w:r>
      <w:r w:rsidR="00902113" w:rsidRPr="00FF6C50">
        <w:rPr>
          <w:i/>
        </w:rPr>
        <w:t xml:space="preserve">re recorded in the </w:t>
      </w:r>
      <w:proofErr w:type="gramStart"/>
      <w:r w:rsidR="00902113" w:rsidRPr="00FF6C50">
        <w:rPr>
          <w:i/>
        </w:rPr>
        <w:t>RRL;</w:t>
      </w:r>
      <w:proofErr w:type="gramEnd"/>
    </w:p>
    <w:p w14:paraId="3C53F468" w14:textId="4719CCA6" w:rsidR="00902113" w:rsidRPr="00FF6C50" w:rsidRDefault="00CA2286" w:rsidP="005E5B48">
      <w:pPr>
        <w:pStyle w:val="ListParagraph"/>
        <w:numPr>
          <w:ilvl w:val="0"/>
          <w:numId w:val="63"/>
        </w:numPr>
        <w:spacing w:after="240"/>
        <w:ind w:left="731"/>
        <w:contextualSpacing/>
        <w:rPr>
          <w:i/>
        </w:rPr>
      </w:pPr>
      <w:r>
        <w:rPr>
          <w:i/>
        </w:rPr>
        <w:t>R</w:t>
      </w:r>
      <w:r w:rsidR="00902113" w:rsidRPr="00FF6C50">
        <w:rPr>
          <w:i/>
        </w:rPr>
        <w:t>eceive radio emissions from radiocommunications transmitters that are operated under this licence; and</w:t>
      </w:r>
    </w:p>
    <w:p w14:paraId="01259385" w14:textId="43CCDD43" w:rsidR="00AC4CDC" w:rsidRDefault="00CA2286" w:rsidP="005E5B48">
      <w:pPr>
        <w:pStyle w:val="ListParagraph"/>
        <w:numPr>
          <w:ilvl w:val="0"/>
          <w:numId w:val="63"/>
        </w:numPr>
        <w:spacing w:after="240"/>
        <w:ind w:left="731"/>
        <w:contextualSpacing/>
        <w:rPr>
          <w:i/>
        </w:rPr>
      </w:pPr>
      <w:r>
        <w:rPr>
          <w:i/>
        </w:rPr>
        <w:t>A</w:t>
      </w:r>
      <w:r w:rsidR="00902113" w:rsidRPr="00FF6C50">
        <w:rPr>
          <w:i/>
        </w:rPr>
        <w:t xml:space="preserve">re located within an area authorised by this </w:t>
      </w:r>
      <w:proofErr w:type="gramStart"/>
      <w:r w:rsidR="00902113" w:rsidRPr="00FF6C50">
        <w:rPr>
          <w:i/>
        </w:rPr>
        <w:t>licence</w:t>
      </w:r>
      <w:r w:rsidR="00AC4CDC">
        <w:rPr>
          <w:i/>
        </w:rPr>
        <w:t>;</w:t>
      </w:r>
      <w:proofErr w:type="gramEnd"/>
    </w:p>
    <w:p w14:paraId="7BD40A07" w14:textId="25512ED4" w:rsidR="00902113" w:rsidRPr="00FF6C50" w:rsidRDefault="00CA2286" w:rsidP="005E5B48">
      <w:pPr>
        <w:pStyle w:val="ListParagraph"/>
        <w:numPr>
          <w:ilvl w:val="0"/>
          <w:numId w:val="63"/>
        </w:numPr>
        <w:spacing w:after="240"/>
        <w:ind w:left="731"/>
        <w:contextualSpacing/>
        <w:rPr>
          <w:i/>
        </w:rPr>
      </w:pPr>
      <w:r>
        <w:rPr>
          <w:i/>
          <w:iCs/>
        </w:rPr>
        <w:t>H</w:t>
      </w:r>
      <w:r w:rsidR="00AC4CDC">
        <w:rPr>
          <w:i/>
          <w:iCs/>
        </w:rPr>
        <w:t xml:space="preserve">ave their location recorded on the register of radiocommunications </w:t>
      </w:r>
      <w:proofErr w:type="gramStart"/>
      <w:r w:rsidR="00AC4CDC">
        <w:rPr>
          <w:i/>
          <w:iCs/>
        </w:rPr>
        <w:t>licences;</w:t>
      </w:r>
      <w:proofErr w:type="gramEnd"/>
      <w:r w:rsidR="00902113" w:rsidRPr="00FF6C50">
        <w:rPr>
          <w:i/>
        </w:rPr>
        <w:t> </w:t>
      </w:r>
    </w:p>
    <w:p w14:paraId="10DBAFC1" w14:textId="61472F97" w:rsidR="00B66D4E" w:rsidRPr="009D33A5" w:rsidRDefault="00B66D4E" w:rsidP="005E5B48">
      <w:pPr>
        <w:ind w:left="11"/>
        <w:rPr>
          <w:i/>
          <w:iCs/>
          <w:strike/>
        </w:rPr>
      </w:pPr>
      <w:r w:rsidRPr="009D33A5">
        <w:rPr>
          <w:i/>
          <w:iCs/>
          <w:strike/>
        </w:rPr>
        <w:t xml:space="preserve">For application of the receiver blocking, the frequency range in subsection 5(a) of schedule 1 of RAG Rx should be replaced with </w:t>
      </w:r>
      <w:r w:rsidR="00F52D7E" w:rsidRPr="009D33A5">
        <w:rPr>
          <w:i/>
          <w:iCs/>
          <w:strike/>
        </w:rPr>
        <w:t>3340-4060</w:t>
      </w:r>
      <w:r w:rsidRPr="009D33A5">
        <w:rPr>
          <w:i/>
          <w:iCs/>
          <w:strike/>
        </w:rPr>
        <w:t xml:space="preserve"> </w:t>
      </w:r>
      <w:proofErr w:type="gramStart"/>
      <w:r w:rsidRPr="009D33A5">
        <w:rPr>
          <w:i/>
          <w:iCs/>
          <w:strike/>
        </w:rPr>
        <w:t>MHz;</w:t>
      </w:r>
      <w:proofErr w:type="gramEnd"/>
    </w:p>
    <w:p w14:paraId="3C4384AD" w14:textId="13B48EEC" w:rsidR="00902113" w:rsidRPr="00FF6C50" w:rsidRDefault="00AC4CDC" w:rsidP="005E5B48">
      <w:pPr>
        <w:ind w:left="11"/>
        <w:rPr>
          <w:i/>
        </w:rPr>
      </w:pPr>
      <w:r>
        <w:rPr>
          <w:i/>
        </w:rPr>
        <w:t>While c</w:t>
      </w:r>
      <w:r w:rsidR="00902113" w:rsidRPr="00FF6C50">
        <w:rPr>
          <w:i/>
        </w:rPr>
        <w:t>ompliance with these provisions is not mandatory</w:t>
      </w:r>
      <w:r>
        <w:rPr>
          <w:i/>
        </w:rPr>
        <w:t>,</w:t>
      </w:r>
      <w:r w:rsidR="00902113" w:rsidRPr="00FF6C50">
        <w:rPr>
          <w:i/>
        </w:rPr>
        <w:t xml:space="preserve"> the ACMA will take </w:t>
      </w:r>
      <w:r>
        <w:rPr>
          <w:i/>
        </w:rPr>
        <w:t>them</w:t>
      </w:r>
      <w:r w:rsidR="00902113" w:rsidRPr="00FF6C50">
        <w:rPr>
          <w:i/>
        </w:rPr>
        <w:t xml:space="preserve"> into account </w:t>
      </w:r>
      <w:r>
        <w:rPr>
          <w:i/>
        </w:rPr>
        <w:t>when assessing any interference disputes</w:t>
      </w:r>
      <w:r w:rsidR="00902113" w:rsidRPr="00FF6C50">
        <w:rPr>
          <w:i/>
        </w:rPr>
        <w:t>.</w:t>
      </w:r>
    </w:p>
    <w:p w14:paraId="26E737AD" w14:textId="77777777" w:rsidR="00CB4766" w:rsidRPr="00CB4766" w:rsidRDefault="00CB4766" w:rsidP="00D62628"/>
    <w:p w14:paraId="632BB982" w14:textId="0E9D8348" w:rsidR="00CE598A" w:rsidRDefault="00CE598A" w:rsidP="005E5B48">
      <w:pPr>
        <w:pStyle w:val="Heading2"/>
        <w:ind w:left="720" w:hanging="709"/>
      </w:pPr>
      <w:bookmarkStart w:id="63" w:name="_Toc95291579"/>
      <w:bookmarkStart w:id="64" w:name="_Toc114669399"/>
      <w:r>
        <w:lastRenderedPageBreak/>
        <w:t>Assignment rules</w:t>
      </w:r>
      <w:bookmarkEnd w:id="63"/>
      <w:bookmarkEnd w:id="64"/>
    </w:p>
    <w:p w14:paraId="4BC22677" w14:textId="2BAFEC4F" w:rsidR="0076152E" w:rsidRPr="00BF3A80" w:rsidRDefault="0076152E" w:rsidP="005E5B48">
      <w:pPr>
        <w:ind w:left="11"/>
      </w:pPr>
      <w:r>
        <w:t xml:space="preserve">This section outlines the rules for </w:t>
      </w:r>
      <w:r w:rsidR="004274BE">
        <w:t xml:space="preserve">administratively issuing an </w:t>
      </w:r>
      <w:r>
        <w:t xml:space="preserve">AWL in </w:t>
      </w:r>
      <w:r w:rsidR="004274BE">
        <w:t xml:space="preserve">the </w:t>
      </w:r>
      <w:r>
        <w:t>3400-4000 MHz</w:t>
      </w:r>
      <w:r w:rsidR="004274BE">
        <w:t xml:space="preserve"> range</w:t>
      </w:r>
      <w:r>
        <w:t xml:space="preserve">. An AWL in the band can be issued, subject to the rules in this section, prior to device coordination requirements detailed in </w:t>
      </w:r>
      <w:r w:rsidRPr="00487E96">
        <w:t xml:space="preserve">Chapter </w:t>
      </w:r>
      <w:r w:rsidRPr="005E5B48">
        <w:t>4</w:t>
      </w:r>
      <w:r w:rsidR="00386367" w:rsidRPr="00487E96">
        <w:t>.</w:t>
      </w:r>
    </w:p>
    <w:p w14:paraId="53DACA56" w14:textId="77777777" w:rsidR="00FE3C3A" w:rsidRPr="00BF3A80" w:rsidRDefault="00FE3C3A" w:rsidP="005E5B48">
      <w:pPr>
        <w:pStyle w:val="Heading3"/>
        <w:ind w:left="720" w:hanging="709"/>
      </w:pPr>
      <w:bookmarkStart w:id="65" w:name="_Ref22126455"/>
      <w:bookmarkStart w:id="66" w:name="_Ref46220240"/>
      <w:bookmarkStart w:id="67" w:name="_Toc57195690"/>
      <w:bookmarkStart w:id="68" w:name="_Toc95291580"/>
      <w:bookmarkStart w:id="69" w:name="_Toc114669400"/>
      <w:r w:rsidRPr="00BF3A80">
        <w:t>Assignment instructions</w:t>
      </w:r>
      <w:bookmarkEnd w:id="65"/>
      <w:bookmarkEnd w:id="66"/>
      <w:bookmarkEnd w:id="67"/>
      <w:bookmarkEnd w:id="68"/>
      <w:bookmarkEnd w:id="69"/>
    </w:p>
    <w:p w14:paraId="4B767640" w14:textId="16356EBB" w:rsidR="00FE3C3A" w:rsidRPr="005E5B48" w:rsidRDefault="004274BE" w:rsidP="005E5B48">
      <w:pPr>
        <w:spacing w:after="120"/>
        <w:ind w:left="11"/>
      </w:pPr>
      <w:r w:rsidRPr="00BF3A80">
        <w:t>U</w:t>
      </w:r>
      <w:r w:rsidR="00FE3C3A" w:rsidRPr="00BF3A80">
        <w:t>nless the ACMA is satisfied that good reasons exist to do otherwise</w:t>
      </w:r>
      <w:r w:rsidRPr="00BF3A80">
        <w:t>, AWLs will be administratively issued in the 3400-4000 MHz range in accordance with the following instructions</w:t>
      </w:r>
      <w:r w:rsidR="00FE3C3A" w:rsidRPr="005E5B48">
        <w:t>:</w:t>
      </w:r>
    </w:p>
    <w:p w14:paraId="7757E215" w14:textId="3AFB5B9C" w:rsidR="003F76D6" w:rsidRPr="005E5B48" w:rsidRDefault="007248A2" w:rsidP="005E5B48">
      <w:pPr>
        <w:pStyle w:val="ListBullet"/>
        <w:ind w:left="306"/>
      </w:pPr>
      <w:r w:rsidRPr="005E5B48">
        <w:t xml:space="preserve">AWLs authorising operation in the </w:t>
      </w:r>
      <w:r w:rsidR="003F76D6" w:rsidRPr="005E5B48">
        <w:t>3400-4000</w:t>
      </w:r>
      <w:r w:rsidRPr="005E5B48">
        <w:t xml:space="preserve"> </w:t>
      </w:r>
      <w:r w:rsidR="003F76D6" w:rsidRPr="005E5B48">
        <w:t>M</w:t>
      </w:r>
      <w:r w:rsidRPr="005E5B48">
        <w:t xml:space="preserve">Hz band will </w:t>
      </w:r>
      <w:r w:rsidR="008C61C2" w:rsidRPr="005E5B48">
        <w:t xml:space="preserve">not be </w:t>
      </w:r>
      <w:r w:rsidRPr="005E5B48">
        <w:t xml:space="preserve">issued in geographic areas that are </w:t>
      </w:r>
      <w:r w:rsidR="008C61C2" w:rsidRPr="005E5B48">
        <w:t>subject to a spectrum</w:t>
      </w:r>
      <w:r w:rsidRPr="005E5B48">
        <w:t xml:space="preserve"> embargo defined in </w:t>
      </w:r>
      <w:r w:rsidRPr="005E5B48">
        <w:rPr>
          <w:i/>
          <w:iCs/>
        </w:rPr>
        <w:t>RALI MS03</w:t>
      </w:r>
      <w:r w:rsidR="00BB3E0A" w:rsidRPr="00487E96">
        <w:rPr>
          <w:rStyle w:val="FootnoteReference"/>
        </w:rPr>
        <w:footnoteReference w:id="3"/>
      </w:r>
      <w:r w:rsidR="00712E24" w:rsidRPr="00487E96">
        <w:rPr>
          <w:i/>
          <w:iCs/>
        </w:rPr>
        <w:t xml:space="preserve">, </w:t>
      </w:r>
      <w:r w:rsidR="00712E24" w:rsidRPr="00BF3A80">
        <w:t xml:space="preserve">or in areas described in section </w:t>
      </w:r>
      <w:r w:rsidR="00712E24" w:rsidRPr="005E5B48">
        <w:t>3.3.2</w:t>
      </w:r>
      <w:r w:rsidR="00712E24" w:rsidRPr="00487E96">
        <w:t xml:space="preserve">, </w:t>
      </w:r>
      <w:r w:rsidR="00712E24" w:rsidRPr="005E5B48">
        <w:t>3.3.3</w:t>
      </w:r>
      <w:r w:rsidR="00712E24" w:rsidRPr="00487E96">
        <w:t xml:space="preserve"> and </w:t>
      </w:r>
      <w:r w:rsidR="00712E24" w:rsidRPr="005E5B48">
        <w:t>3.3.4</w:t>
      </w:r>
      <w:r w:rsidR="00712E24" w:rsidRPr="00487E96">
        <w:t>, as applicable.</w:t>
      </w:r>
      <w:r w:rsidR="008C61C2" w:rsidRPr="00BF3A80">
        <w:t xml:space="preserve"> </w:t>
      </w:r>
    </w:p>
    <w:p w14:paraId="673EA466" w14:textId="7919BAC2" w:rsidR="00FE3C3A" w:rsidRPr="00BF3A80" w:rsidRDefault="00FE3C3A" w:rsidP="005E5B48">
      <w:pPr>
        <w:pStyle w:val="ListBullet"/>
        <w:ind w:left="306"/>
      </w:pPr>
      <w:r w:rsidRPr="005E5B48">
        <w:t xml:space="preserve">The upper and lower frequency limits authorised by the licence must </w:t>
      </w:r>
      <w:r w:rsidR="00954227" w:rsidRPr="005E5B48">
        <w:t>comply with the frequencies and areas defined in section 2.1</w:t>
      </w:r>
      <w:r w:rsidR="00954227" w:rsidRPr="00487E96">
        <w:t xml:space="preserve"> and </w:t>
      </w:r>
      <w:r w:rsidRPr="00BF3A80">
        <w:t xml:space="preserve">align with the channel raster in section </w:t>
      </w:r>
      <w:r w:rsidRPr="005E5B48">
        <w:t>2.</w:t>
      </w:r>
      <w:r w:rsidR="00954227" w:rsidRPr="005E5B48">
        <w:t>2</w:t>
      </w:r>
      <w:r w:rsidR="00F83F59" w:rsidRPr="00487E96">
        <w:t>.</w:t>
      </w:r>
    </w:p>
    <w:p w14:paraId="2F380B7B" w14:textId="7A150ACC" w:rsidR="002D773F" w:rsidRPr="00BF3A80" w:rsidRDefault="002D773F" w:rsidP="005E5B48">
      <w:pPr>
        <w:pStyle w:val="ListBullet"/>
        <w:ind w:left="306"/>
      </w:pPr>
      <w:r w:rsidRPr="00BF3A80">
        <w:t xml:space="preserve">Must follow assignment priority </w:t>
      </w:r>
      <w:r w:rsidR="0026648A">
        <w:t xml:space="preserve">guidelines </w:t>
      </w:r>
      <w:r w:rsidRPr="00BF3A80">
        <w:t xml:space="preserve">in section </w:t>
      </w:r>
      <w:r w:rsidRPr="005E5B48">
        <w:t>3.3.</w:t>
      </w:r>
      <w:r w:rsidR="002F1ED0" w:rsidRPr="005E5B48">
        <w:t>5</w:t>
      </w:r>
      <w:r w:rsidRPr="00487E96">
        <w:t>.</w:t>
      </w:r>
    </w:p>
    <w:p w14:paraId="4B4462E5" w14:textId="3D1C8643" w:rsidR="000B500E" w:rsidRDefault="00FE3C3A" w:rsidP="00707C73">
      <w:pPr>
        <w:pStyle w:val="ListBullet"/>
        <w:tabs>
          <w:tab w:val="clear" w:pos="295"/>
          <w:tab w:val="num" w:pos="579"/>
        </w:tabs>
        <w:ind w:left="306"/>
      </w:pPr>
      <w:r w:rsidRPr="005E5B48">
        <w:t>An AWL cannot be issued if its frequency range would overlap with the frequency range authorised by an existing AWL in the same HCIS cell</w:t>
      </w:r>
      <w:r w:rsidR="00E05457">
        <w:t>.</w:t>
      </w:r>
    </w:p>
    <w:p w14:paraId="4AFBD710" w14:textId="68F032A4" w:rsidR="00F901A9" w:rsidRDefault="00FE3C3A" w:rsidP="005E5B48">
      <w:pPr>
        <w:pStyle w:val="ListBullet"/>
        <w:ind w:left="306"/>
      </w:pPr>
      <w:r>
        <w:t xml:space="preserve">The geographic area authorised by an AWL </w:t>
      </w:r>
      <w:r w:rsidR="002F1ED0">
        <w:t>must</w:t>
      </w:r>
      <w:r>
        <w:t xml:space="preserve"> consist of only whole HCIS cells</w:t>
      </w:r>
      <w:r w:rsidR="00C85DBC">
        <w:t xml:space="preserve"> incorporatin</w:t>
      </w:r>
      <w:r w:rsidR="002F1ED0">
        <w:t>g</w:t>
      </w:r>
      <w:r w:rsidR="00C85DBC">
        <w:t xml:space="preserve"> level</w:t>
      </w:r>
      <w:r w:rsidR="002F1ED0">
        <w:t>s</w:t>
      </w:r>
      <w:r w:rsidR="00C85DBC">
        <w:t xml:space="preserve"> 0 and above (level 00 cells are not to be used)</w:t>
      </w:r>
      <w:r>
        <w:t xml:space="preserve">. The smallest geographic area authorised by an AWL is a single HCIS level 0 cell comprising an area of approximately </w:t>
      </w:r>
      <w:r w:rsidR="00C85DBC" w:rsidRPr="00F04B19">
        <w:t>1.8km</w:t>
      </w:r>
      <w:r w:rsidRPr="00C85DBC">
        <w:t xml:space="preserve"> x </w:t>
      </w:r>
      <w:r w:rsidR="00C85DBC" w:rsidRPr="00F04B19">
        <w:t>1.8km</w:t>
      </w:r>
      <w:r w:rsidR="00C85DBC">
        <w:t>.</w:t>
      </w:r>
    </w:p>
    <w:p w14:paraId="6BBE5122" w14:textId="3A3D89F4" w:rsidR="00FD08BB" w:rsidRDefault="00FD08BB" w:rsidP="00D62628">
      <w:pPr>
        <w:pStyle w:val="ListBullet"/>
        <w:numPr>
          <w:ilvl w:val="0"/>
          <w:numId w:val="0"/>
        </w:numPr>
        <w:spacing w:after="240"/>
        <w:ind w:left="295" w:hanging="295"/>
        <w:rPr>
          <w:rFonts w:cs="Arial"/>
        </w:rPr>
      </w:pPr>
    </w:p>
    <w:p w14:paraId="2FF1229E" w14:textId="2E7B6BFE" w:rsidR="00FD08BB" w:rsidRPr="00591A7E" w:rsidRDefault="00FD08BB" w:rsidP="005E5B48">
      <w:pPr>
        <w:pStyle w:val="Heading3"/>
        <w:ind w:left="720" w:hanging="709"/>
        <w:rPr>
          <w:u w:val="single"/>
        </w:rPr>
      </w:pPr>
      <w:bookmarkStart w:id="70" w:name="_Toc95291581"/>
      <w:bookmarkStart w:id="71" w:name="_Toc114669401"/>
      <w:r w:rsidRPr="00591A7E">
        <w:rPr>
          <w:u w:val="single"/>
        </w:rPr>
        <w:t xml:space="preserve">Radiolocation authorised under </w:t>
      </w:r>
      <w:r w:rsidR="00CD4ED6">
        <w:rPr>
          <w:u w:val="single"/>
        </w:rPr>
        <w:t xml:space="preserve">section </w:t>
      </w:r>
      <w:r w:rsidRPr="00591A7E">
        <w:rPr>
          <w:u w:val="single"/>
        </w:rPr>
        <w:t xml:space="preserve">10(7) of the </w:t>
      </w:r>
      <w:r w:rsidR="00315188">
        <w:rPr>
          <w:u w:val="single"/>
        </w:rPr>
        <w:t>Australian Radiofrequency Spectrum Plan (</w:t>
      </w:r>
      <w:r w:rsidRPr="00591A7E">
        <w:rPr>
          <w:u w:val="single"/>
        </w:rPr>
        <w:t>ARSP</w:t>
      </w:r>
      <w:r w:rsidR="00315188">
        <w:rPr>
          <w:u w:val="single"/>
        </w:rPr>
        <w:t>)</w:t>
      </w:r>
      <w:bookmarkEnd w:id="70"/>
      <w:bookmarkEnd w:id="71"/>
    </w:p>
    <w:p w14:paraId="50C9D459" w14:textId="3C203313" w:rsidR="00FD08BB" w:rsidRDefault="00FD08BB" w:rsidP="005E5B48">
      <w:pPr>
        <w:ind w:left="11"/>
      </w:pPr>
      <w:r>
        <w:rPr>
          <w:rFonts w:cs="Arial"/>
        </w:rPr>
        <w:t xml:space="preserve">Existing Defence radiolocation services </w:t>
      </w:r>
      <w:r w:rsidR="00315188">
        <w:rPr>
          <w:rFonts w:cs="Arial"/>
        </w:rPr>
        <w:t xml:space="preserve">operate in the range 3400-4000 MHz </w:t>
      </w:r>
      <w:r>
        <w:rPr>
          <w:rFonts w:cs="Arial"/>
        </w:rPr>
        <w:t xml:space="preserve">under </w:t>
      </w:r>
      <w:r w:rsidR="00CD4ED6">
        <w:rPr>
          <w:rFonts w:cs="Arial"/>
        </w:rPr>
        <w:t xml:space="preserve">section </w:t>
      </w:r>
      <w:r w:rsidR="00315188">
        <w:rPr>
          <w:rFonts w:cs="Arial"/>
        </w:rPr>
        <w:t xml:space="preserve">10(7) of the </w:t>
      </w:r>
      <w:hyperlink r:id="rId36" w:history="1">
        <w:r w:rsidR="00315188" w:rsidRPr="00315188">
          <w:rPr>
            <w:rStyle w:val="Hyperlink"/>
            <w:rFonts w:cs="Arial"/>
          </w:rPr>
          <w:t>ARSP</w:t>
        </w:r>
      </w:hyperlink>
      <w:r w:rsidR="00315188">
        <w:rPr>
          <w:rFonts w:cs="Arial"/>
        </w:rPr>
        <w:t>. These radiolocation</w:t>
      </w:r>
      <w:r>
        <w:rPr>
          <w:rFonts w:cs="Arial"/>
        </w:rPr>
        <w:t xml:space="preserve"> licence</w:t>
      </w:r>
      <w:r w:rsidR="00315188">
        <w:rPr>
          <w:rFonts w:cs="Arial"/>
        </w:rPr>
        <w:t>s have a</w:t>
      </w:r>
      <w:r>
        <w:rPr>
          <w:rFonts w:cs="Arial"/>
        </w:rPr>
        <w:t xml:space="preserve"> special condition that states that “</w:t>
      </w:r>
      <w:r>
        <w:t>No interference shall be caused to any Radiocommunication station or service and no protection from interference by such stations or services shall be afforded.”</w:t>
      </w:r>
    </w:p>
    <w:p w14:paraId="67A17CFE" w14:textId="695333F3" w:rsidR="00D13A51" w:rsidRDefault="00D13A51" w:rsidP="005E5B48">
      <w:pPr>
        <w:ind w:left="11"/>
      </w:pPr>
      <w:r>
        <w:t xml:space="preserve">Because of the higher potential for mutual interference caused by the introduction of </w:t>
      </w:r>
      <w:r w:rsidR="00315188">
        <w:t>wireless broadband (</w:t>
      </w:r>
      <w:r>
        <w:t>WBB</w:t>
      </w:r>
      <w:r w:rsidR="00315188">
        <w:t>)</w:t>
      </w:r>
      <w:r>
        <w:t xml:space="preserve"> services compared with incumbent service types in the area across 3400-4000 MHz, AWL</w:t>
      </w:r>
      <w:r w:rsidR="00932FD4">
        <w:t>s</w:t>
      </w:r>
      <w:r>
        <w:t xml:space="preserve"> will not normally be issued in the range of 3700-4000 MHz and within 100 km of, or within 3600-3700 MHz and within 60km of, latitude 15°38’55” South and longitude 131°54’04” East (GDA94 Datum). </w:t>
      </w:r>
    </w:p>
    <w:p w14:paraId="5C479B9D" w14:textId="77777777" w:rsidR="00177AE5" w:rsidRDefault="00177AE5" w:rsidP="005E5B48">
      <w:pPr>
        <w:pStyle w:val="Heading3"/>
        <w:ind w:left="720" w:hanging="709"/>
      </w:pPr>
      <w:bookmarkStart w:id="72" w:name="_Toc82527167"/>
      <w:bookmarkStart w:id="73" w:name="_Toc82527168"/>
      <w:bookmarkStart w:id="74" w:name="_Toc95291582"/>
      <w:bookmarkStart w:id="75" w:name="_Toc114669402"/>
      <w:bookmarkEnd w:id="72"/>
      <w:bookmarkEnd w:id="73"/>
      <w:r>
        <w:t>Darwin and Geraldton coordination zones</w:t>
      </w:r>
      <w:bookmarkEnd w:id="74"/>
      <w:bookmarkEnd w:id="75"/>
    </w:p>
    <w:p w14:paraId="57527BAF" w14:textId="77777777" w:rsidR="00791D2D" w:rsidRDefault="00791D2D" w:rsidP="005E5B48">
      <w:pPr>
        <w:ind w:left="11"/>
        <w:rPr>
          <w:rFonts w:ascii="Calibri" w:hAnsi="Calibri"/>
        </w:rPr>
      </w:pPr>
      <w:r>
        <w:t>There are existing conditions in several RALIs stating that “Requests for any assignments within 150 km of latitude 12˚26’59” South and longitude 130˚50’0” East (GDA94 Datum) in Darwin (NT) and latitude 28˚45’59” South and longitude 114˚37’0” East (GDA94 Datum) in Geraldton (WA), are to be referred to the ACMA for preliminary coordination consultation.”</w:t>
      </w:r>
    </w:p>
    <w:p w14:paraId="60B18920" w14:textId="01B6208C" w:rsidR="00D13A51" w:rsidRDefault="00D13A51" w:rsidP="005E5B48">
      <w:pPr>
        <w:ind w:left="11"/>
        <w:rPr>
          <w:rFonts w:ascii="Calibri" w:hAnsi="Calibri"/>
        </w:rPr>
      </w:pPr>
      <w:r>
        <w:t xml:space="preserve">Because of the higher potential for mutual interference caused by the introduction of </w:t>
      </w:r>
      <w:r w:rsidR="00FF2BE6">
        <w:t xml:space="preserve">AWL </w:t>
      </w:r>
      <w:r>
        <w:t>services compared with incumbent service types in the</w:t>
      </w:r>
      <w:r w:rsidR="00844C12">
        <w:t>se</w:t>
      </w:r>
      <w:r>
        <w:t xml:space="preserve"> areas </w:t>
      </w:r>
      <w:r w:rsidR="00844C12">
        <w:t xml:space="preserve">within the </w:t>
      </w:r>
      <w:r>
        <w:t>3400-4000 MHz</w:t>
      </w:r>
      <w:r w:rsidR="00844C12">
        <w:t xml:space="preserve"> frequency range</w:t>
      </w:r>
      <w:r>
        <w:t xml:space="preserve">, AWLs will not normally be issued within </w:t>
      </w:r>
      <w:r w:rsidR="00E71AF8">
        <w:t>the Darwin and Gerald</w:t>
      </w:r>
      <w:r w:rsidR="00E02007">
        <w:t>t</w:t>
      </w:r>
      <w:r w:rsidR="00E71AF8">
        <w:t xml:space="preserve">on coordination zones. HCIS descriptions of the coordination zones are </w:t>
      </w:r>
      <w:r w:rsidR="00226FA2">
        <w:t>defined</w:t>
      </w:r>
      <w:r w:rsidR="00E71AF8">
        <w:t xml:space="preserve"> in Appendix B.</w:t>
      </w:r>
      <w:r>
        <w:t xml:space="preserve"> </w:t>
      </w:r>
    </w:p>
    <w:p w14:paraId="65E226A3" w14:textId="60A411F9" w:rsidR="00FD08BB" w:rsidRDefault="00AC22CD" w:rsidP="005E5B48">
      <w:pPr>
        <w:pStyle w:val="Heading3"/>
        <w:ind w:left="720" w:hanging="709"/>
      </w:pPr>
      <w:bookmarkStart w:id="76" w:name="_Toc92960442"/>
      <w:bookmarkStart w:id="77" w:name="_Toc92960443"/>
      <w:bookmarkStart w:id="78" w:name="_Toc95291583"/>
      <w:bookmarkStart w:id="79" w:name="_Toc114669403"/>
      <w:bookmarkEnd w:id="76"/>
      <w:bookmarkEnd w:id="77"/>
      <w:r>
        <w:lastRenderedPageBreak/>
        <w:t>Woomera Protected Area</w:t>
      </w:r>
      <w:bookmarkEnd w:id="78"/>
      <w:bookmarkEnd w:id="79"/>
    </w:p>
    <w:p w14:paraId="1914E8CD" w14:textId="77777777" w:rsidR="00AC22CD" w:rsidRDefault="00AC22CD" w:rsidP="005E5B48">
      <w:pPr>
        <w:ind w:left="11"/>
        <w:rPr>
          <w:rFonts w:ascii="Calibri" w:hAnsi="Calibri"/>
        </w:rPr>
      </w:pPr>
      <w:r>
        <w:t>There are existing conditions in several RALIs in relation to the WPA stating that “Requests for any assignments inside and within 100 km of the Woomera Prohibited Area (WPA), as defined in embargo 52, are to be referred to the ACMA for preliminary coordination consultation.”</w:t>
      </w:r>
    </w:p>
    <w:p w14:paraId="11525DF8" w14:textId="4B4A5F90" w:rsidR="00AC22CD" w:rsidRDefault="00AC22CD" w:rsidP="005E5B48">
      <w:pPr>
        <w:ind w:left="11"/>
      </w:pPr>
      <w:r>
        <w:t xml:space="preserve">Because of the higher potential for mutual interference caused by the introduction of WBB services compared with incumbent service types in the area across 3400-4000 MHz, AWLs will not normally be issued </w:t>
      </w:r>
      <w:r w:rsidR="004E0F2F">
        <w:t>within the</w:t>
      </w:r>
      <w:r>
        <w:t xml:space="preserve"> Woomera Protected Area, as defined in embargo 52.</w:t>
      </w:r>
      <w:r w:rsidR="004E0F2F">
        <w:t xml:space="preserve"> </w:t>
      </w:r>
      <w:r w:rsidR="002C1537">
        <w:t xml:space="preserve"> An advisory note is to be placed on all AWLs issued within 100km of the WPA stating that “</w:t>
      </w:r>
      <w:r w:rsidR="002C1537" w:rsidRPr="001230DA">
        <w:rPr>
          <w:i/>
          <w:iCs/>
        </w:rPr>
        <w:t>no protection from interference from transmissions from within the WPA is afforded</w:t>
      </w:r>
      <w:r w:rsidR="002C1537">
        <w:t>”</w:t>
      </w:r>
    </w:p>
    <w:p w14:paraId="7B2AE2EC" w14:textId="69AD3CAA" w:rsidR="005924EC" w:rsidRPr="003A31BC" w:rsidRDefault="00EE3710" w:rsidP="005924EC">
      <w:pPr>
        <w:pStyle w:val="Heading3"/>
        <w:ind w:left="720" w:hanging="709"/>
      </w:pPr>
      <w:bookmarkStart w:id="80" w:name="_Toc114669404"/>
      <w:r>
        <w:t>[</w:t>
      </w:r>
      <w:r w:rsidR="00D40930" w:rsidRPr="003A31BC">
        <w:t>Exmouth coordination</w:t>
      </w:r>
      <w:r w:rsidR="005924EC" w:rsidRPr="003A31BC">
        <w:t xml:space="preserve"> zone</w:t>
      </w:r>
      <w:r>
        <w:t>]</w:t>
      </w:r>
      <w:bookmarkEnd w:id="80"/>
    </w:p>
    <w:p w14:paraId="375062A8" w14:textId="32B83724" w:rsidR="005924EC" w:rsidRDefault="0086306C" w:rsidP="005924EC">
      <w:pPr>
        <w:ind w:left="11"/>
        <w:rPr>
          <w:rFonts w:ascii="Calibri" w:hAnsi="Calibri"/>
        </w:rPr>
      </w:pPr>
      <w:r>
        <w:t>[placeholder only]</w:t>
      </w:r>
    </w:p>
    <w:p w14:paraId="1FF0872D" w14:textId="005181C4" w:rsidR="00CE598A" w:rsidRDefault="00CE598A" w:rsidP="005E5B48">
      <w:pPr>
        <w:pStyle w:val="Heading3"/>
        <w:ind w:left="720" w:hanging="709"/>
      </w:pPr>
      <w:bookmarkStart w:id="81" w:name="_Toc114573994"/>
      <w:bookmarkStart w:id="82" w:name="_Toc114574235"/>
      <w:bookmarkStart w:id="83" w:name="_Toc114653877"/>
      <w:bookmarkStart w:id="84" w:name="_Toc82527171"/>
      <w:bookmarkStart w:id="85" w:name="_Toc82527172"/>
      <w:bookmarkStart w:id="86" w:name="_Toc95291584"/>
      <w:bookmarkStart w:id="87" w:name="_Toc114669405"/>
      <w:bookmarkEnd w:id="81"/>
      <w:bookmarkEnd w:id="82"/>
      <w:bookmarkEnd w:id="83"/>
      <w:bookmarkEnd w:id="84"/>
      <w:bookmarkEnd w:id="85"/>
      <w:r>
        <w:t>Assignment priority</w:t>
      </w:r>
      <w:bookmarkEnd w:id="86"/>
      <w:bookmarkEnd w:id="87"/>
      <w:r w:rsidR="004C26D7">
        <w:t xml:space="preserve"> </w:t>
      </w:r>
    </w:p>
    <w:p w14:paraId="1DFD8FCB" w14:textId="722EE4E6" w:rsidR="00F057E3" w:rsidRDefault="00DB5504" w:rsidP="005E5B48">
      <w:pPr>
        <w:spacing w:after="120"/>
        <w:ind w:left="11"/>
      </w:pPr>
      <w:r>
        <w:t>AWLs are to</w:t>
      </w:r>
      <w:r w:rsidR="006B348A">
        <w:t xml:space="preserve"> be assigned</w:t>
      </w:r>
      <w:r w:rsidR="005120E7">
        <w:t xml:space="preserve"> using</w:t>
      </w:r>
      <w:r w:rsidR="009B5897">
        <w:t xml:space="preserve"> </w:t>
      </w:r>
      <w:r w:rsidR="006B348A">
        <w:t xml:space="preserve">contiguous channels </w:t>
      </w:r>
      <w:r w:rsidR="009B5897">
        <w:t>of 10MHz</w:t>
      </w:r>
      <w:r w:rsidR="00F057E3">
        <w:t xml:space="preserve"> </w:t>
      </w:r>
      <w:r w:rsidR="00DB0517">
        <w:t>with the following guidance</w:t>
      </w:r>
      <w:r w:rsidR="00F057E3">
        <w:t>:</w:t>
      </w:r>
    </w:p>
    <w:p w14:paraId="1620CA77" w14:textId="4707DD88" w:rsidR="00343419" w:rsidRDefault="00343419">
      <w:pPr>
        <w:pStyle w:val="ListBullet"/>
        <w:numPr>
          <w:ilvl w:val="0"/>
          <w:numId w:val="101"/>
        </w:numPr>
      </w:pPr>
      <w:r>
        <w:t>f</w:t>
      </w:r>
      <w:r w:rsidR="00DB0517">
        <w:t xml:space="preserve">or </w:t>
      </w:r>
      <w:r w:rsidR="00A15928">
        <w:t xml:space="preserve">all </w:t>
      </w:r>
      <w:r w:rsidR="00DB0517">
        <w:t>AWLs</w:t>
      </w:r>
      <w:r w:rsidR="00E85D8B">
        <w:t>,</w:t>
      </w:r>
      <w:r w:rsidR="00DB0517">
        <w:t xml:space="preserve"> </w:t>
      </w:r>
      <w:r>
        <w:t>where possible:</w:t>
      </w:r>
    </w:p>
    <w:p w14:paraId="177D99E2" w14:textId="4F60944A" w:rsidR="00DB0517" w:rsidRPr="003A31BC" w:rsidRDefault="00667293" w:rsidP="00343419">
      <w:pPr>
        <w:pStyle w:val="ListBullet"/>
        <w:numPr>
          <w:ilvl w:val="1"/>
          <w:numId w:val="101"/>
        </w:numPr>
      </w:pPr>
      <w:r w:rsidRPr="003A31BC">
        <w:t>E</w:t>
      </w:r>
      <w:r w:rsidR="00DB0517" w:rsidRPr="003A31BC">
        <w:t xml:space="preserve">xisting </w:t>
      </w:r>
      <w:r w:rsidR="00184C6A" w:rsidRPr="003A31BC">
        <w:t xml:space="preserve">3.4 GHz band </w:t>
      </w:r>
      <w:r w:rsidR="00DB0517" w:rsidRPr="003A31BC">
        <w:t xml:space="preserve">spectrum licence holders should </w:t>
      </w:r>
      <w:r w:rsidR="00343419" w:rsidRPr="003A31BC">
        <w:t xml:space="preserve">be assigned spectrum </w:t>
      </w:r>
      <w:r w:rsidR="00184C6A" w:rsidRPr="003A31BC">
        <w:t xml:space="preserve">below </w:t>
      </w:r>
      <w:r w:rsidR="003A797E" w:rsidRPr="003A31BC">
        <w:t xml:space="preserve">3800 </w:t>
      </w:r>
      <w:r w:rsidR="00184C6A" w:rsidRPr="003A31BC">
        <w:t xml:space="preserve">MHz and preferably occupying </w:t>
      </w:r>
      <w:r w:rsidR="00343419" w:rsidRPr="003A31BC">
        <w:t>the same frequenc</w:t>
      </w:r>
      <w:r w:rsidR="00184C6A" w:rsidRPr="003A31BC">
        <w:t>ies</w:t>
      </w:r>
      <w:r w:rsidR="00343419" w:rsidRPr="003A31BC">
        <w:t xml:space="preserve"> as</w:t>
      </w:r>
      <w:r w:rsidR="00184C6A" w:rsidRPr="003A31BC">
        <w:t xml:space="preserve"> their</w:t>
      </w:r>
      <w:r w:rsidR="00DB0517" w:rsidRPr="003A31BC">
        <w:t xml:space="preserve"> existing spectrum licence</w:t>
      </w:r>
      <w:r w:rsidR="00184C6A" w:rsidRPr="003A31BC">
        <w:t xml:space="preserve"> holdings</w:t>
      </w:r>
      <w:r w:rsidR="00DB0517" w:rsidRPr="003A31BC">
        <w:t>.</w:t>
      </w:r>
    </w:p>
    <w:p w14:paraId="14F5061F" w14:textId="4725AECD" w:rsidR="00C70C84" w:rsidRPr="003A31BC" w:rsidRDefault="00667293" w:rsidP="00C70C84">
      <w:pPr>
        <w:pStyle w:val="ListBullet"/>
        <w:numPr>
          <w:ilvl w:val="1"/>
          <w:numId w:val="101"/>
        </w:numPr>
      </w:pPr>
      <w:r w:rsidRPr="003A31BC">
        <w:t>E</w:t>
      </w:r>
      <w:r w:rsidR="00C70C84" w:rsidRPr="003A31BC">
        <w:t xml:space="preserve">ntities without 3.4 GHz spectrum licence holdings should be assigned spectrum above </w:t>
      </w:r>
      <w:r w:rsidR="003A797E" w:rsidRPr="003A31BC">
        <w:t xml:space="preserve">3800 </w:t>
      </w:r>
      <w:r w:rsidR="00C70C84" w:rsidRPr="003A31BC">
        <w:t>MHz</w:t>
      </w:r>
      <w:r w:rsidR="005A77C3" w:rsidRPr="003A31BC">
        <w:t xml:space="preserve">, unless </w:t>
      </w:r>
      <w:r w:rsidR="005F3F15" w:rsidRPr="009D33A5">
        <w:t xml:space="preserve">available </w:t>
      </w:r>
      <w:r w:rsidR="005A77C3" w:rsidRPr="003A31BC">
        <w:t>equipment frequency range limitations exist,</w:t>
      </w:r>
      <w:r w:rsidR="00C70C84" w:rsidRPr="003A31BC">
        <w:t xml:space="preserve"> and preferably occupying the same frequencies as any existing apparatus licence holdings.</w:t>
      </w:r>
    </w:p>
    <w:p w14:paraId="3DED1839" w14:textId="5841507C" w:rsidR="00F057E3" w:rsidRDefault="00243207" w:rsidP="00707C73">
      <w:pPr>
        <w:pStyle w:val="ListBullet"/>
        <w:numPr>
          <w:ilvl w:val="0"/>
          <w:numId w:val="101"/>
        </w:numPr>
      </w:pPr>
      <w:r>
        <w:t>s</w:t>
      </w:r>
      <w:r w:rsidR="00C70C84">
        <w:t xml:space="preserve">ubject to 3.3.5a, </w:t>
      </w:r>
      <w:r w:rsidR="00A15928">
        <w:t xml:space="preserve">in </w:t>
      </w:r>
      <w:r w:rsidR="00F057E3">
        <w:t xml:space="preserve">ascending order </w:t>
      </w:r>
      <w:r w:rsidR="00C70C84">
        <w:t>(lowest frequency available</w:t>
      </w:r>
      <w:r w:rsidR="00A15928">
        <w:t>)</w:t>
      </w:r>
      <w:r w:rsidR="00DB5504">
        <w:t>.</w:t>
      </w:r>
    </w:p>
    <w:p w14:paraId="26E0071B" w14:textId="2BE69314" w:rsidR="00D62118" w:rsidRDefault="006B348A" w:rsidP="005E5B48">
      <w:pPr>
        <w:ind w:left="11"/>
      </w:pPr>
      <w:r>
        <w:t>These rules are aimed at improving spectral efficiency</w:t>
      </w:r>
      <w:r w:rsidR="00C859DF">
        <w:t>,</w:t>
      </w:r>
      <w:r>
        <w:t xml:space="preserve"> maximising spectrum availability for prospective licensees</w:t>
      </w:r>
      <w:r w:rsidR="00C859DF">
        <w:t xml:space="preserve"> and enabling the prospect of contiguous spectrum holdings across geographic boundaries</w:t>
      </w:r>
      <w:r>
        <w:t>.  Alternative ways of assigning spectrum can be considered on a case-by-case bas</w:t>
      </w:r>
      <w:r w:rsidR="00D25321">
        <w:t>i</w:t>
      </w:r>
      <w:r>
        <w:t>s by the ACMA where it is deemed to improve the efficiency in use and allocation of spectrum.</w:t>
      </w:r>
    </w:p>
    <w:p w14:paraId="0578FA7A" w14:textId="5B3A0C8B" w:rsidR="003B0498" w:rsidRDefault="003B0498" w:rsidP="009D33A5">
      <w:pPr>
        <w:pStyle w:val="Heading3"/>
        <w:ind w:left="720" w:hanging="709"/>
      </w:pPr>
      <w:bookmarkStart w:id="88" w:name="_Toc114669406"/>
      <w:r>
        <w:t xml:space="preserve">Allocation </w:t>
      </w:r>
      <w:r w:rsidR="003522D8">
        <w:t>quantum</w:t>
      </w:r>
      <w:r>
        <w:t xml:space="preserve"> </w:t>
      </w:r>
      <w:r w:rsidR="002727A6">
        <w:t>p</w:t>
      </w:r>
      <w:r w:rsidR="00123930">
        <w:t>olicy</w:t>
      </w:r>
      <w:bookmarkEnd w:id="88"/>
    </w:p>
    <w:p w14:paraId="0D2DC110" w14:textId="462B9B79" w:rsidR="003B0498" w:rsidRDefault="00313777" w:rsidP="003B0498">
      <w:pPr>
        <w:spacing w:after="120"/>
        <w:ind w:left="11"/>
      </w:pPr>
      <w:r>
        <w:t xml:space="preserve">Our policy is not to </w:t>
      </w:r>
      <w:r w:rsidR="00B74F85">
        <w:t>grant any</w:t>
      </w:r>
      <w:r>
        <w:t xml:space="preserve"> one </w:t>
      </w:r>
      <w:r w:rsidR="001A42D0">
        <w:t>prospective</w:t>
      </w:r>
      <w:bookmarkStart w:id="89" w:name="_Hlk103775512"/>
      <w:r w:rsidR="003B0498" w:rsidRPr="00313744">
        <w:t xml:space="preserve"> applicant </w:t>
      </w:r>
      <w:r w:rsidR="001A42D0">
        <w:t xml:space="preserve">an AWL licence </w:t>
      </w:r>
      <w:r w:rsidR="00D26582">
        <w:t xml:space="preserve">of </w:t>
      </w:r>
      <w:r w:rsidR="003B0498" w:rsidRPr="00313744">
        <w:t xml:space="preserve">more than 100 MHz of spectrum </w:t>
      </w:r>
      <w:r w:rsidR="009F0A52">
        <w:t>in the 3400-4000 MHz range in remote areas,</w:t>
      </w:r>
      <w:r w:rsidR="003B0498" w:rsidRPr="00313744">
        <w:t xml:space="preserve"> in any given </w:t>
      </w:r>
      <w:r w:rsidR="00253D84" w:rsidRPr="009D33A5">
        <w:t xml:space="preserve">HCIS level 0 </w:t>
      </w:r>
      <w:r w:rsidR="003B0498" w:rsidRPr="00313744">
        <w:t>area</w:t>
      </w:r>
      <w:r w:rsidR="009F0A52">
        <w:t>,</w:t>
      </w:r>
      <w:r w:rsidR="003B0498" w:rsidRPr="00313744">
        <w:t xml:space="preserve"> when consider</w:t>
      </w:r>
      <w:r w:rsidR="00253D84" w:rsidRPr="009D33A5">
        <w:t>ing</w:t>
      </w:r>
      <w:r w:rsidR="003B0498" w:rsidRPr="00313744">
        <w:t xml:space="preserve"> whether to approve </w:t>
      </w:r>
      <w:r w:rsidR="00D40930" w:rsidRPr="00313744">
        <w:t>an</w:t>
      </w:r>
      <w:r w:rsidR="003B0498" w:rsidRPr="00313744">
        <w:t xml:space="preserve"> AWL licence application</w:t>
      </w:r>
      <w:bookmarkEnd w:id="89"/>
      <w:r w:rsidR="00B46F0A" w:rsidRPr="009D33A5">
        <w:t xml:space="preserve"> or renewal</w:t>
      </w:r>
      <w:r w:rsidR="003B0498" w:rsidRPr="00313744">
        <w:t>.</w:t>
      </w:r>
    </w:p>
    <w:p w14:paraId="57480BF8" w14:textId="1CF2AB8E" w:rsidR="004A13A7" w:rsidRDefault="004A13A7" w:rsidP="005E5B48">
      <w:pPr>
        <w:pStyle w:val="Heading1"/>
        <w:ind w:left="442"/>
      </w:pPr>
      <w:bookmarkStart w:id="90" w:name="_Toc114573997"/>
      <w:bookmarkStart w:id="91" w:name="_Toc114574238"/>
      <w:bookmarkStart w:id="92" w:name="_Toc114653880"/>
      <w:bookmarkStart w:id="93" w:name="_Toc110951149"/>
      <w:bookmarkStart w:id="94" w:name="_Toc114573998"/>
      <w:bookmarkStart w:id="95" w:name="_Toc114574239"/>
      <w:bookmarkStart w:id="96" w:name="_Toc114653881"/>
      <w:bookmarkStart w:id="97" w:name="_Toc95291585"/>
      <w:bookmarkStart w:id="98" w:name="_Toc114669407"/>
      <w:bookmarkEnd w:id="90"/>
      <w:bookmarkEnd w:id="91"/>
      <w:bookmarkEnd w:id="92"/>
      <w:bookmarkEnd w:id="93"/>
      <w:bookmarkEnd w:id="94"/>
      <w:bookmarkEnd w:id="95"/>
      <w:bookmarkEnd w:id="96"/>
      <w:r w:rsidRPr="000B27C0">
        <w:lastRenderedPageBreak/>
        <w:t>Frequency coordination procedures</w:t>
      </w:r>
      <w:bookmarkEnd w:id="12"/>
      <w:bookmarkEnd w:id="13"/>
      <w:bookmarkEnd w:id="14"/>
      <w:r w:rsidR="0027330C">
        <w:t xml:space="preserve"> and pre-registration requirement</w:t>
      </w:r>
      <w:r w:rsidR="002D0F4C">
        <w:t>s</w:t>
      </w:r>
      <w:bookmarkEnd w:id="97"/>
      <w:bookmarkEnd w:id="98"/>
      <w:r w:rsidR="0027330C">
        <w:t xml:space="preserve"> </w:t>
      </w:r>
    </w:p>
    <w:p w14:paraId="01D722DE" w14:textId="1A0FB28C" w:rsidR="004C33B4" w:rsidRPr="00CD7947" w:rsidRDefault="004C33B4" w:rsidP="005E5B48">
      <w:pPr>
        <w:ind w:left="11"/>
      </w:pPr>
      <w:r>
        <w:t xml:space="preserve">This chapter details the coordination procedures and requirements which must be met before the details of a radiocommunications transmitter can be included in the RRL. As required by </w:t>
      </w:r>
      <w:r w:rsidR="006D34A4" w:rsidRPr="00BF3A80">
        <w:t xml:space="preserve">Paragraph </w:t>
      </w:r>
      <w:r w:rsidR="00733276">
        <w:t>2</w:t>
      </w:r>
      <w:r w:rsidR="006D34A4" w:rsidRPr="00BF3A80">
        <w:t xml:space="preserve"> of</w:t>
      </w:r>
      <w:r w:rsidRPr="00BF3A80">
        <w:t xml:space="preserve"> Schedule </w:t>
      </w:r>
      <w:r w:rsidR="00DB5504" w:rsidRPr="005E5B48">
        <w:t>4</w:t>
      </w:r>
      <w:r>
        <w:t xml:space="preserve"> of the AWL LCD, a transmitter must not be operated under an AWL in the range 3400-4000 MHz if its details are not included in the RRL, except for transmitters which are specifically exempt. </w:t>
      </w:r>
    </w:p>
    <w:p w14:paraId="196B5795" w14:textId="6A6C5A82" w:rsidR="008E5BB0" w:rsidRDefault="00210C38" w:rsidP="005E5B48">
      <w:pPr>
        <w:pStyle w:val="Heading2"/>
        <w:ind w:left="720" w:hanging="709"/>
      </w:pPr>
      <w:bookmarkStart w:id="99" w:name="_Toc95291586"/>
      <w:bookmarkStart w:id="100" w:name="_Toc114669408"/>
      <w:bookmarkStart w:id="101" w:name="_Ref25842452"/>
      <w:bookmarkStart w:id="102" w:name="_Ref25842513"/>
      <w:bookmarkStart w:id="103" w:name="_Ref25843524"/>
      <w:bookmarkStart w:id="104" w:name="_Ref25843532"/>
      <w:bookmarkStart w:id="105" w:name="_Ref25843639"/>
      <w:r>
        <w:t>Coordination at the geographic boundary</w:t>
      </w:r>
      <w:bookmarkEnd w:id="99"/>
      <w:bookmarkEnd w:id="100"/>
    </w:p>
    <w:p w14:paraId="2B7165BA" w14:textId="147C35D7" w:rsidR="00210C38" w:rsidRPr="00072C92" w:rsidRDefault="00210C38" w:rsidP="005E5B48">
      <w:pPr>
        <w:pStyle w:val="Heading3"/>
        <w:ind w:left="720" w:hanging="709"/>
      </w:pPr>
      <w:bookmarkStart w:id="106" w:name="_Ref88050638"/>
      <w:bookmarkStart w:id="107" w:name="_Toc95291587"/>
      <w:bookmarkStart w:id="108" w:name="_Toc114669409"/>
      <w:r w:rsidRPr="00072C92">
        <w:t xml:space="preserve">Coordination at the AWL </w:t>
      </w:r>
      <w:r w:rsidR="00C85BDF" w:rsidRPr="00072C92">
        <w:t xml:space="preserve">geographic </w:t>
      </w:r>
      <w:r w:rsidRPr="00072C92">
        <w:t>boundary</w:t>
      </w:r>
      <w:bookmarkEnd w:id="106"/>
      <w:bookmarkEnd w:id="107"/>
      <w:bookmarkEnd w:id="108"/>
    </w:p>
    <w:p w14:paraId="1366A755" w14:textId="19F6B1A5" w:rsidR="006C33E6" w:rsidRDefault="00A0281E" w:rsidP="00210C38">
      <w:r>
        <w:t xml:space="preserve">The details of an </w:t>
      </w:r>
      <w:r>
        <w:rPr>
          <w:rFonts w:cs="Arial"/>
        </w:rPr>
        <w:t xml:space="preserve">AWL </w:t>
      </w:r>
      <w:r>
        <w:t xml:space="preserve">transmitter must not be included in the RRL if any part of the device boundary of the transmitter lies </w:t>
      </w:r>
      <w:r w:rsidR="00390DC7">
        <w:t>outside a geographic area authorised by the licence</w:t>
      </w:r>
      <w:r w:rsidR="006C33E6">
        <w:t>, except when one or more of the following apply:</w:t>
      </w:r>
    </w:p>
    <w:p w14:paraId="209B8585" w14:textId="562B4740" w:rsidR="006C33E6" w:rsidRDefault="006C33E6" w:rsidP="006C33E6">
      <w:pPr>
        <w:pStyle w:val="ListBullet"/>
      </w:pPr>
      <w:r>
        <w:t xml:space="preserve">In situations as described in subsection 9(3) of </w:t>
      </w:r>
      <w:r>
        <w:rPr>
          <w:i/>
          <w:iCs/>
        </w:rPr>
        <w:t xml:space="preserve">Radiocommunications (Unacceptable Levels of Interference — 3.4 GHz band) Determination </w:t>
      </w:r>
      <w:r w:rsidRPr="000A0DDB">
        <w:rPr>
          <w:i/>
          <w:iCs/>
        </w:rPr>
        <w:t>20</w:t>
      </w:r>
      <w:r>
        <w:rPr>
          <w:i/>
          <w:iCs/>
        </w:rPr>
        <w:t>15</w:t>
      </w:r>
      <w:r>
        <w:t xml:space="preserve">, as in force from time to time (the s.145 determination) and when the </w:t>
      </w:r>
      <w:r w:rsidR="004A1DD5">
        <w:t xml:space="preserve">area authorised by the </w:t>
      </w:r>
      <w:r>
        <w:t xml:space="preserve">licence </w:t>
      </w:r>
      <w:r w:rsidR="007C1CA2">
        <w:t xml:space="preserve">is </w:t>
      </w:r>
      <w:r>
        <w:t>directly adjacent to an area described in RALI MS44</w:t>
      </w:r>
      <w:r w:rsidR="002B3EA0">
        <w:t>.</w:t>
      </w:r>
      <w:r>
        <w:t xml:space="preserve"> </w:t>
      </w:r>
    </w:p>
    <w:p w14:paraId="7B4D3E36" w14:textId="6D31A71D" w:rsidR="006C33E6" w:rsidRDefault="006C33E6" w:rsidP="006C33E6">
      <w:pPr>
        <w:pStyle w:val="ListBullet"/>
      </w:pPr>
      <w:r>
        <w:t>In situations as described in subsection 9(4) of the s.145 determination</w:t>
      </w:r>
      <w:r w:rsidR="00D222EC">
        <w:t>.</w:t>
      </w:r>
    </w:p>
    <w:p w14:paraId="548DADF8" w14:textId="55EE4D60" w:rsidR="007560BE" w:rsidRDefault="00E706A9" w:rsidP="00707C73">
      <w:pPr>
        <w:pStyle w:val="ListBulletLast"/>
      </w:pPr>
      <w:r>
        <w:t>The part of the device bo</w:t>
      </w:r>
      <w:r w:rsidR="006C33E6">
        <w:t xml:space="preserve">undary </w:t>
      </w:r>
      <w:r>
        <w:t xml:space="preserve">that is outside the area authorised by the licence </w:t>
      </w:r>
      <w:r w:rsidR="006C33E6">
        <w:t xml:space="preserve">falls </w:t>
      </w:r>
      <w:r>
        <w:t>entirely with</w:t>
      </w:r>
      <w:r w:rsidR="006C33E6">
        <w:t>in</w:t>
      </w:r>
      <w:r>
        <w:t xml:space="preserve"> an area authorised by another AWL</w:t>
      </w:r>
      <w:r w:rsidR="00675AB2">
        <w:t xml:space="preserve"> (which also </w:t>
      </w:r>
      <w:r w:rsidR="008D2AA3">
        <w:t>authorises</w:t>
      </w:r>
      <w:r w:rsidR="00675AB2">
        <w:t xml:space="preserve"> </w:t>
      </w:r>
      <w:r w:rsidR="008D2AA3">
        <w:t>operation in</w:t>
      </w:r>
      <w:r w:rsidR="00675AB2">
        <w:t xml:space="preserve"> the frequency range </w:t>
      </w:r>
      <w:r w:rsidR="008D2AA3">
        <w:t>of the proposed transmitter)</w:t>
      </w:r>
      <w:r>
        <w:t>, and there is an active agreement in place with the other licensee(s)</w:t>
      </w:r>
      <w:r w:rsidR="00390DC7">
        <w:t>.</w:t>
      </w:r>
      <w:r>
        <w:t xml:space="preserve"> This exception would no longer apply if </w:t>
      </w:r>
      <w:r w:rsidR="00F63978">
        <w:t xml:space="preserve">any </w:t>
      </w:r>
      <w:r>
        <w:t>relevant AWL</w:t>
      </w:r>
      <w:r w:rsidR="00F63978">
        <w:t xml:space="preserve"> </w:t>
      </w:r>
      <w:proofErr w:type="gramStart"/>
      <w:r w:rsidR="006F4FC1">
        <w:t>is</w:t>
      </w:r>
      <w:proofErr w:type="gramEnd"/>
      <w:r>
        <w:t xml:space="preserve"> no</w:t>
      </w:r>
      <w:r w:rsidR="00F63978">
        <w:t xml:space="preserve"> longer effective</w:t>
      </w:r>
      <w:r>
        <w:t xml:space="preserve"> in the future (</w:t>
      </w:r>
      <w:r w:rsidR="00D40930">
        <w:t>e.g.,</w:t>
      </w:r>
      <w:r>
        <w:t xml:space="preserve"> </w:t>
      </w:r>
      <w:r w:rsidR="00F63978">
        <w:t>they have expired or were cancelled</w:t>
      </w:r>
      <w:r>
        <w:t xml:space="preserve">). </w:t>
      </w:r>
    </w:p>
    <w:p w14:paraId="16DB7CD9" w14:textId="4366D787" w:rsidR="00210C38" w:rsidRDefault="007560BE" w:rsidP="005E5B48">
      <w:pPr>
        <w:ind w:left="11"/>
      </w:pPr>
      <w:r>
        <w:t xml:space="preserve">For the purposes of this section, the device boundary is to be calculated in accordance with Part 1 of Schedule 2 of </w:t>
      </w:r>
      <w:r w:rsidR="00E706A9">
        <w:t>the s.145 determination</w:t>
      </w:r>
      <w:r>
        <w:t>.</w:t>
      </w:r>
    </w:p>
    <w:p w14:paraId="45003DC7" w14:textId="1885FB42" w:rsidR="00210C38" w:rsidRPr="00072C92" w:rsidRDefault="00210C38" w:rsidP="005E5B48">
      <w:pPr>
        <w:pStyle w:val="Heading3"/>
        <w:ind w:left="720" w:hanging="709"/>
      </w:pPr>
      <w:bookmarkStart w:id="109" w:name="_Toc95291588"/>
      <w:bookmarkStart w:id="110" w:name="_Toc114669410"/>
      <w:r w:rsidRPr="00072C92">
        <w:t xml:space="preserve">Coordination at the </w:t>
      </w:r>
      <w:r w:rsidR="00C85BDF" w:rsidRPr="00072C92">
        <w:t xml:space="preserve">geographic </w:t>
      </w:r>
      <w:r w:rsidRPr="00072C92">
        <w:t xml:space="preserve">boundary of a </w:t>
      </w:r>
      <w:r w:rsidR="00390DC7" w:rsidRPr="00072C92">
        <w:t xml:space="preserve">spectrum licensed </w:t>
      </w:r>
      <w:r w:rsidR="00B47D3F" w:rsidRPr="00072C92">
        <w:t xml:space="preserve">(SL) </w:t>
      </w:r>
      <w:r w:rsidR="00390DC7" w:rsidRPr="00072C92">
        <w:t>area</w:t>
      </w:r>
      <w:bookmarkEnd w:id="109"/>
      <w:bookmarkEnd w:id="110"/>
    </w:p>
    <w:p w14:paraId="7B6D04F4" w14:textId="28D434B4" w:rsidR="00390DC7" w:rsidRDefault="00DD174E" w:rsidP="005E5B48">
      <w:pPr>
        <w:ind w:left="11"/>
      </w:pPr>
      <w:r>
        <w:t xml:space="preserve">The details of an </w:t>
      </w:r>
      <w:r>
        <w:rPr>
          <w:rFonts w:cs="Arial"/>
        </w:rPr>
        <w:t xml:space="preserve">AWL </w:t>
      </w:r>
      <w:r>
        <w:t>transmitter must not be included in the RRL</w:t>
      </w:r>
      <w:r w:rsidR="00390DC7">
        <w:t xml:space="preserve"> if:</w:t>
      </w:r>
    </w:p>
    <w:p w14:paraId="001985CB" w14:textId="15F81D99" w:rsidR="00A229DA" w:rsidRDefault="00A229DA" w:rsidP="00A229DA">
      <w:pPr>
        <w:pStyle w:val="ListBullet"/>
        <w:ind w:left="306"/>
      </w:pPr>
      <w:r>
        <w:t xml:space="preserve">Any part of the device boundary of the AWL transmitter lies inside a geographic area defined by, and would operate in a frequency range described by, any relevant section of RALI SM26. </w:t>
      </w:r>
    </w:p>
    <w:p w14:paraId="77545371" w14:textId="321B4D9E" w:rsidR="007C1CA2" w:rsidRDefault="007C1CA2" w:rsidP="009D33A5">
      <w:pPr>
        <w:pStyle w:val="ListBullet"/>
        <w:numPr>
          <w:ilvl w:val="0"/>
          <w:numId w:val="0"/>
        </w:numPr>
        <w:ind w:left="11"/>
      </w:pPr>
      <w:r>
        <w:t xml:space="preserve">The above </w:t>
      </w:r>
      <w:r w:rsidR="00361A2A">
        <w:t>requirement does not apply if the</w:t>
      </w:r>
      <w:r w:rsidR="00675AB2">
        <w:t xml:space="preserve"> non-compliant part of the</w:t>
      </w:r>
      <w:r w:rsidR="00361A2A">
        <w:t xml:space="preserve"> device boundary falls entirely within an area authorised by a spectrum licence</w:t>
      </w:r>
      <w:r w:rsidR="00675AB2">
        <w:t xml:space="preserve"> </w:t>
      </w:r>
      <w:r w:rsidR="008D2AA3">
        <w:t>(which authorises operation in the frequency range of the proposed transmitter)</w:t>
      </w:r>
      <w:r w:rsidR="00361A2A">
        <w:t xml:space="preserve">, and there is an active agreement in place with the spectrum licensee. This exception would no longer apply if any relevant spectrum licence </w:t>
      </w:r>
      <w:proofErr w:type="gramStart"/>
      <w:r w:rsidR="00361A2A">
        <w:t>is</w:t>
      </w:r>
      <w:proofErr w:type="gramEnd"/>
      <w:r w:rsidR="00361A2A">
        <w:t xml:space="preserve"> no longer effective in the future (</w:t>
      </w:r>
      <w:r w:rsidR="00D40930">
        <w:t>e.g.,</w:t>
      </w:r>
      <w:r w:rsidR="00361A2A">
        <w:t xml:space="preserve"> they have expired or were cancelled).</w:t>
      </w:r>
    </w:p>
    <w:p w14:paraId="5CE1174D" w14:textId="6A942363" w:rsidR="00351664" w:rsidRDefault="00351664" w:rsidP="005E5B48">
      <w:pPr>
        <w:ind w:left="11"/>
      </w:pPr>
      <w:r>
        <w:t>For the purposes of this section, the device boundary is to be calculated in accordance with Schedule 2 of the s.145 determination, with the following amendments:</w:t>
      </w:r>
    </w:p>
    <w:p w14:paraId="445C61A7" w14:textId="501E7EA1" w:rsidR="00CF0D65" w:rsidRPr="00072C92" w:rsidRDefault="00CF0D65" w:rsidP="00351664">
      <w:pPr>
        <w:pStyle w:val="ListBullet"/>
      </w:pPr>
      <w:r w:rsidRPr="00072C92">
        <w:t xml:space="preserve">The maximum value of ‘m’ is </w:t>
      </w:r>
      <w:r w:rsidR="00C27EAB" w:rsidRPr="00072C92">
        <w:t xml:space="preserve">2000 </w:t>
      </w:r>
      <w:r w:rsidRPr="00072C92">
        <w:t>(max radial length = 200km</w:t>
      </w:r>
      <w:r w:rsidR="00C27EAB" w:rsidRPr="00072C92">
        <w:t>, 100m increments</w:t>
      </w:r>
      <w:r w:rsidRPr="00072C92">
        <w:t>)</w:t>
      </w:r>
    </w:p>
    <w:p w14:paraId="292AE537" w14:textId="20E32057" w:rsidR="00351664" w:rsidRPr="00072C92" w:rsidRDefault="00351664" w:rsidP="00351664">
      <w:pPr>
        <w:pStyle w:val="ListBullet"/>
      </w:pPr>
      <w:r w:rsidRPr="00072C92">
        <w:t>Level of protection (LOP) is to be set to -115 dBm/</w:t>
      </w:r>
      <w:proofErr w:type="gramStart"/>
      <w:r w:rsidRPr="00072C92">
        <w:t>MHz;</w:t>
      </w:r>
      <w:proofErr w:type="gramEnd"/>
    </w:p>
    <w:p w14:paraId="71609406" w14:textId="3EFA48C2" w:rsidR="00351664" w:rsidRPr="00072C92" w:rsidRDefault="00351664" w:rsidP="00351664">
      <w:pPr>
        <w:pStyle w:val="ListBullet"/>
      </w:pPr>
      <w:r w:rsidRPr="00072C92">
        <w:t>Nominal receiver antenna gain (G</w:t>
      </w:r>
      <w:r w:rsidRPr="00072C92">
        <w:rPr>
          <w:vertAlign w:val="subscript"/>
        </w:rPr>
        <w:t>r</w:t>
      </w:r>
      <w:r w:rsidRPr="00072C92">
        <w:t xml:space="preserve">) is set to 24 </w:t>
      </w:r>
      <w:proofErr w:type="gramStart"/>
      <w:r w:rsidRPr="00072C92">
        <w:t>dBi;</w:t>
      </w:r>
      <w:proofErr w:type="gramEnd"/>
    </w:p>
    <w:p w14:paraId="02E2BF89" w14:textId="1FD2D706" w:rsidR="00351664" w:rsidRDefault="00351664" w:rsidP="00351664">
      <w:pPr>
        <w:pStyle w:val="ListBullet"/>
      </w:pPr>
      <w:r>
        <w:t>The height of the nominal receiver is set to 30m above ground level.</w:t>
      </w:r>
    </w:p>
    <w:p w14:paraId="65EAED11" w14:textId="4F3E2AFF" w:rsidR="00D6648A" w:rsidRDefault="00D6648A" w:rsidP="005E5B48">
      <w:pPr>
        <w:pStyle w:val="Heading2"/>
        <w:ind w:left="720" w:hanging="709"/>
      </w:pPr>
      <w:bookmarkStart w:id="111" w:name="_Toc90471332"/>
      <w:bookmarkStart w:id="112" w:name="_Toc90475028"/>
      <w:bookmarkStart w:id="113" w:name="_Toc90908629"/>
      <w:bookmarkStart w:id="114" w:name="_Toc90471333"/>
      <w:bookmarkStart w:id="115" w:name="_Toc90475029"/>
      <w:bookmarkStart w:id="116" w:name="_Toc90908630"/>
      <w:bookmarkStart w:id="117" w:name="_Toc82178454"/>
      <w:bookmarkStart w:id="118" w:name="_Toc82180990"/>
      <w:bookmarkStart w:id="119" w:name="_Toc90471334"/>
      <w:bookmarkStart w:id="120" w:name="_Toc90475030"/>
      <w:bookmarkStart w:id="121" w:name="_Toc90908631"/>
      <w:bookmarkStart w:id="122" w:name="_Toc82527180"/>
      <w:bookmarkStart w:id="123" w:name="_Toc95291589"/>
      <w:bookmarkStart w:id="124" w:name="_Toc114669411"/>
      <w:bookmarkEnd w:id="111"/>
      <w:bookmarkEnd w:id="112"/>
      <w:bookmarkEnd w:id="113"/>
      <w:bookmarkEnd w:id="114"/>
      <w:bookmarkEnd w:id="115"/>
      <w:bookmarkEnd w:id="116"/>
      <w:bookmarkEnd w:id="117"/>
      <w:bookmarkEnd w:id="118"/>
      <w:bookmarkEnd w:id="119"/>
      <w:bookmarkEnd w:id="120"/>
      <w:bookmarkEnd w:id="121"/>
      <w:bookmarkEnd w:id="122"/>
      <w:r>
        <w:lastRenderedPageBreak/>
        <w:t>Coordination with AWL receivers</w:t>
      </w:r>
      <w:bookmarkEnd w:id="123"/>
      <w:bookmarkEnd w:id="124"/>
    </w:p>
    <w:p w14:paraId="7A004843" w14:textId="23ABCE1B" w:rsidR="006371C4" w:rsidRDefault="006C14BB" w:rsidP="006E3AC3">
      <w:pPr>
        <w:pStyle w:val="ListBullet"/>
        <w:numPr>
          <w:ilvl w:val="0"/>
          <w:numId w:val="0"/>
        </w:numPr>
      </w:pPr>
      <w:r>
        <w:t xml:space="preserve">This section outlines the </w:t>
      </w:r>
      <w:r w:rsidR="007D1458">
        <w:t xml:space="preserve">coordination </w:t>
      </w:r>
      <w:r>
        <w:t xml:space="preserve">procedures for </w:t>
      </w:r>
      <w:r w:rsidR="007D1458">
        <w:t>the protection of</w:t>
      </w:r>
      <w:r>
        <w:t xml:space="preserve"> AWL receivers</w:t>
      </w:r>
      <w:r w:rsidR="001A437A">
        <w:t>. These procedures are t</w:t>
      </w:r>
      <w:r w:rsidR="00702BAE">
        <w:t>o</w:t>
      </w:r>
      <w:r w:rsidR="001A437A">
        <w:t xml:space="preserve"> be followed for all proposed apparatus licensed transmitters</w:t>
      </w:r>
      <w:r w:rsidR="00702BAE">
        <w:t xml:space="preserve"> (</w:t>
      </w:r>
      <w:r w:rsidR="00C85BDF">
        <w:t xml:space="preserve">including AWL transmitters but </w:t>
      </w:r>
      <w:r w:rsidR="00702BAE">
        <w:t>except</w:t>
      </w:r>
      <w:r w:rsidR="00C85BDF">
        <w:t>ing</w:t>
      </w:r>
      <w:r w:rsidR="00702BAE">
        <w:t xml:space="preserve"> AWL transmitters </w:t>
      </w:r>
      <w:r w:rsidR="00C85BDF">
        <w:t xml:space="preserve">that </w:t>
      </w:r>
      <w:r w:rsidR="00702BAE">
        <w:t>exempt from registration)</w:t>
      </w:r>
      <w:r w:rsidR="001A437A">
        <w:t>.</w:t>
      </w:r>
      <w:r>
        <w:t xml:space="preserve"> </w:t>
      </w:r>
      <w:r w:rsidR="006371C4">
        <w:t>In this RALI, ‘AWL receiver’ means a radiocommunications receiver which is:</w:t>
      </w:r>
    </w:p>
    <w:p w14:paraId="77E12D4B" w14:textId="11EF5ED0" w:rsidR="006371C4" w:rsidRPr="006371C4" w:rsidRDefault="00667293" w:rsidP="006E3AC3">
      <w:pPr>
        <w:pStyle w:val="ListBullet"/>
      </w:pPr>
      <w:r>
        <w:t>U</w:t>
      </w:r>
      <w:r w:rsidR="006371C4" w:rsidRPr="006371C4">
        <w:t xml:space="preserve">sed for the reception of radio emissions from area-wide </w:t>
      </w:r>
      <w:proofErr w:type="gramStart"/>
      <w:r w:rsidR="006371C4" w:rsidRPr="006371C4">
        <w:t>stations;</w:t>
      </w:r>
      <w:proofErr w:type="gramEnd"/>
    </w:p>
    <w:p w14:paraId="1493994C" w14:textId="27150A5C" w:rsidR="006371C4" w:rsidRPr="006371C4" w:rsidRDefault="00667293" w:rsidP="006E3AC3">
      <w:pPr>
        <w:pStyle w:val="ListBullet"/>
      </w:pPr>
      <w:r>
        <w:t>D</w:t>
      </w:r>
      <w:r w:rsidR="006371C4" w:rsidRPr="006371C4">
        <w:t xml:space="preserve">oes not require an area-wide receive licence; and </w:t>
      </w:r>
    </w:p>
    <w:p w14:paraId="7D6CC69B" w14:textId="6D3B391F" w:rsidR="006371C4" w:rsidRDefault="00667293" w:rsidP="006E3AC3">
      <w:pPr>
        <w:pStyle w:val="ListBullet"/>
      </w:pPr>
      <w:r>
        <w:t>I</w:t>
      </w:r>
      <w:r w:rsidR="006371C4" w:rsidRPr="006371C4">
        <w:t>s located</w:t>
      </w:r>
      <w:r w:rsidR="006371C4">
        <w:t xml:space="preserve"> within the area authorised by the licence</w:t>
      </w:r>
      <w:r w:rsidR="00DD5DEC">
        <w:t xml:space="preserve"> under which the area-wide station is operating</w:t>
      </w:r>
      <w:r w:rsidR="006371C4">
        <w:t>.</w:t>
      </w:r>
    </w:p>
    <w:p w14:paraId="1F046A3B" w14:textId="510C2BE2" w:rsidR="006C14BB" w:rsidRPr="006C14BB" w:rsidRDefault="006C14BB" w:rsidP="00707C73"/>
    <w:p w14:paraId="39F0DFBE" w14:textId="6870B697" w:rsidR="006F61E5" w:rsidRDefault="00147AEB" w:rsidP="00707C73">
      <w:pPr>
        <w:pStyle w:val="Heading3"/>
        <w:ind w:left="709" w:hanging="709"/>
      </w:pPr>
      <w:bookmarkStart w:id="125" w:name="_Ref88050056"/>
      <w:r>
        <w:t xml:space="preserve"> </w:t>
      </w:r>
      <w:bookmarkStart w:id="126" w:name="_Toc95291590"/>
      <w:bookmarkStart w:id="127" w:name="_Toc114669412"/>
      <w:r w:rsidR="00702BAE">
        <w:t>Co-channel coordination</w:t>
      </w:r>
      <w:bookmarkEnd w:id="125"/>
      <w:bookmarkEnd w:id="126"/>
      <w:bookmarkEnd w:id="127"/>
    </w:p>
    <w:p w14:paraId="22E75507" w14:textId="4AE530B3" w:rsidR="002B7B2F" w:rsidRDefault="00702BAE" w:rsidP="002B7B2F">
      <w:r>
        <w:t xml:space="preserve">For proposed AWL transmitters, </w:t>
      </w:r>
      <w:r w:rsidR="001F2F06">
        <w:t>co-channel interference to AWL receivers is managed through coordination with the area authorised by an existing AWL (detailed in</w:t>
      </w:r>
      <w:r w:rsidR="001F2F06" w:rsidRPr="001F2F06">
        <w:t xml:space="preserve"> </w:t>
      </w:r>
      <w:r w:rsidR="001F2F06">
        <w:t xml:space="preserve">section </w:t>
      </w:r>
      <w:r w:rsidR="001F2F06">
        <w:fldChar w:fldCharType="begin"/>
      </w:r>
      <w:r w:rsidR="001F2F06">
        <w:instrText xml:space="preserve"> REF _Ref88050638 \r \h </w:instrText>
      </w:r>
      <w:r w:rsidR="001F2F06">
        <w:fldChar w:fldCharType="separate"/>
      </w:r>
      <w:r w:rsidR="001F2F06">
        <w:t>4.1.1</w:t>
      </w:r>
      <w:r w:rsidR="001F2F06">
        <w:fldChar w:fldCharType="end"/>
      </w:r>
      <w:r w:rsidR="001F2F06">
        <w:t xml:space="preserve">) and the </w:t>
      </w:r>
      <w:r w:rsidR="00B859CE">
        <w:t xml:space="preserve">fallback </w:t>
      </w:r>
      <w:r w:rsidR="001F2F06">
        <w:t xml:space="preserve">synchronisation requirement </w:t>
      </w:r>
      <w:r w:rsidR="00B167DD">
        <w:t>included in the</w:t>
      </w:r>
      <w:r w:rsidR="001F2F06">
        <w:t xml:space="preserve"> AWL LCD.</w:t>
      </w:r>
      <w:r>
        <w:t xml:space="preserve"> </w:t>
      </w:r>
      <w:r w:rsidR="00010B78">
        <w:t>As t</w:t>
      </w:r>
      <w:r w:rsidR="002B7B2F">
        <w:t>he device boundary criterion detailed in section 4.1.1 assumes</w:t>
      </w:r>
      <w:r w:rsidR="001B1471">
        <w:t xml:space="preserve"> that area-adjacent </w:t>
      </w:r>
      <w:r w:rsidR="00010B78">
        <w:t xml:space="preserve">AWL </w:t>
      </w:r>
      <w:r w:rsidR="002B7B2F">
        <w:t xml:space="preserve">services are adhering to the </w:t>
      </w:r>
      <w:r w:rsidR="002B7B2F" w:rsidRPr="00CC5EB6">
        <w:t>synchronisation requirement</w:t>
      </w:r>
      <w:r w:rsidR="00010B78">
        <w:t>,</w:t>
      </w:r>
      <w:r w:rsidR="002B7B2F">
        <w:t xml:space="preserve"> </w:t>
      </w:r>
      <w:r w:rsidR="00010B78">
        <w:t>i</w:t>
      </w:r>
      <w:r w:rsidR="002B7B2F">
        <w:t>f more protection is desired, the</w:t>
      </w:r>
      <w:r w:rsidR="00112885">
        <w:t xml:space="preserve"> AWL</w:t>
      </w:r>
      <w:r w:rsidR="00612474">
        <w:t>-</w:t>
      </w:r>
      <w:r w:rsidR="00112885">
        <w:t>receiver licensee</w:t>
      </w:r>
      <w:r w:rsidR="002B7B2F">
        <w:t xml:space="preserve"> can consider taking out a licence with a larger geographical area. </w:t>
      </w:r>
    </w:p>
    <w:p w14:paraId="4023FAB8" w14:textId="5C7D75E5" w:rsidR="00775CEC" w:rsidRDefault="00A006D5" w:rsidP="00702BAE">
      <w:r>
        <w:t>For all other apparatus licence types,</w:t>
      </w:r>
      <w:r w:rsidR="007828ED">
        <w:t xml:space="preserve"> </w:t>
      </w:r>
      <w:r w:rsidR="001F2F06">
        <w:t>co-channel interference to AWL receivers is solely managed through coordination with the area authorised by an existing AWL</w:t>
      </w:r>
      <w:r w:rsidR="007D1458">
        <w:t xml:space="preserve"> (</w:t>
      </w:r>
      <w:r w:rsidR="00D40930">
        <w:t>i.e.,</w:t>
      </w:r>
      <w:r w:rsidR="007D1458">
        <w:t xml:space="preserve"> no assumption of synchronisation)</w:t>
      </w:r>
      <w:r w:rsidR="001F2F06">
        <w:t>. T</w:t>
      </w:r>
      <w:r w:rsidR="007828ED">
        <w:t xml:space="preserve">he proposed transmitter </w:t>
      </w:r>
      <w:r w:rsidR="00775CEC">
        <w:t xml:space="preserve">will be considered to cause interference if the device boundary of the transmitter, calculated using the </w:t>
      </w:r>
      <w:r w:rsidR="00C72697">
        <w:t xml:space="preserve">device boundary </w:t>
      </w:r>
      <w:r w:rsidR="00775CEC">
        <w:t>criter</w:t>
      </w:r>
      <w:r w:rsidR="00C72697">
        <w:t>ion</w:t>
      </w:r>
      <w:r w:rsidR="00147AEB">
        <w:t xml:space="preserve"> in </w:t>
      </w:r>
      <w:r w:rsidR="00147AEB" w:rsidRPr="00954080">
        <w:t>section 4.1.</w:t>
      </w:r>
      <w:r w:rsidR="002B7B2F">
        <w:t>2</w:t>
      </w:r>
      <w:r w:rsidR="00775CEC">
        <w:t>, intrude</w:t>
      </w:r>
      <w:r w:rsidR="00B25CCD">
        <w:t>s</w:t>
      </w:r>
      <w:r w:rsidR="00775CEC">
        <w:t xml:space="preserve"> into the area of a co-channel AWL.</w:t>
      </w:r>
    </w:p>
    <w:p w14:paraId="1C7070CF" w14:textId="4E7F3121" w:rsidR="000C3854" w:rsidRDefault="007D1458" w:rsidP="00707C73">
      <w:pPr>
        <w:pStyle w:val="Heading3"/>
        <w:ind w:left="709" w:hanging="709"/>
      </w:pPr>
      <w:bookmarkStart w:id="128" w:name="_Toc95291591"/>
      <w:bookmarkStart w:id="129" w:name="_Toc114669413"/>
      <w:r>
        <w:t>Adjacent-channel c</w:t>
      </w:r>
      <w:r w:rsidR="00D50669">
        <w:t>oordination</w:t>
      </w:r>
      <w:bookmarkEnd w:id="128"/>
      <w:bookmarkEnd w:id="129"/>
    </w:p>
    <w:p w14:paraId="43237531" w14:textId="110EA639" w:rsidR="00D6648A" w:rsidRDefault="00D6648A" w:rsidP="006C14BB">
      <w:pPr>
        <w:ind w:left="11"/>
      </w:pPr>
      <w:r>
        <w:t>Licensees planning to deploy radiocommunications transmitters</w:t>
      </w:r>
      <w:r w:rsidR="00126C63">
        <w:t xml:space="preserve"> under an apparatus licence</w:t>
      </w:r>
      <w:r w:rsidR="00B859CE">
        <w:t xml:space="preserve">, </w:t>
      </w:r>
      <w:r w:rsidR="00B859CE" w:rsidRPr="00072C92">
        <w:t>including AWL transmitters that are not exempt from registration,</w:t>
      </w:r>
      <w:r w:rsidRPr="00072C92">
        <w:rPr>
          <w:rFonts w:cs="Arial"/>
        </w:rPr>
        <w:t xml:space="preserve"> </w:t>
      </w:r>
      <w:r w:rsidRPr="00072C92">
        <w:t>must have regard to</w:t>
      </w:r>
      <w:r w:rsidR="00126C63" w:rsidRPr="00072C92">
        <w:t xml:space="preserve"> 3400-</w:t>
      </w:r>
      <w:r w:rsidR="00126C63">
        <w:t>4000 MHz band</w:t>
      </w:r>
      <w:r>
        <w:t xml:space="preserve"> AWL receivers that are recorded in the RRL</w:t>
      </w:r>
      <w:r w:rsidR="00B167DD">
        <w:t xml:space="preserve"> and </w:t>
      </w:r>
      <w:r w:rsidR="001C2BEC">
        <w:t xml:space="preserve">are </w:t>
      </w:r>
      <w:r w:rsidR="00B167DD">
        <w:t>operating on adjacent frequencies</w:t>
      </w:r>
      <w:r w:rsidR="00A07825">
        <w:t>.</w:t>
      </w:r>
      <w:r>
        <w:t xml:space="preserve"> The coordination performed must: </w:t>
      </w:r>
    </w:p>
    <w:p w14:paraId="4253A920" w14:textId="140B41F7" w:rsidR="00D6648A" w:rsidRDefault="00667293" w:rsidP="005E5B48">
      <w:pPr>
        <w:pStyle w:val="ListBullet"/>
        <w:ind w:left="306"/>
      </w:pPr>
      <w:r>
        <w:t>U</w:t>
      </w:r>
      <w:r w:rsidR="00D6648A">
        <w:t xml:space="preserve">se the </w:t>
      </w:r>
      <w:r w:rsidR="00D6648A" w:rsidRPr="00615A1B">
        <w:t>param</w:t>
      </w:r>
      <w:r w:rsidR="00D6648A">
        <w:t>e</w:t>
      </w:r>
      <w:r w:rsidR="00D6648A" w:rsidRPr="00615A1B">
        <w:t>ters</w:t>
      </w:r>
      <w:r w:rsidR="00D6648A">
        <w:t xml:space="preserve"> of the radiocommunications receivers as recorded in the </w:t>
      </w:r>
      <w:proofErr w:type="gramStart"/>
      <w:r w:rsidR="00D6648A">
        <w:t>Register</w:t>
      </w:r>
      <w:r w:rsidR="00152359">
        <w:t>;</w:t>
      </w:r>
      <w:proofErr w:type="gramEnd"/>
    </w:p>
    <w:p w14:paraId="1E8BFFAD" w14:textId="0EEE6332" w:rsidR="00D6648A" w:rsidRPr="005028A5" w:rsidRDefault="00667293" w:rsidP="005E5B48">
      <w:pPr>
        <w:pStyle w:val="ListBullet"/>
        <w:ind w:left="306"/>
      </w:pPr>
      <w:r>
        <w:t>U</w:t>
      </w:r>
      <w:r w:rsidR="00D6648A">
        <w:t xml:space="preserve">se the compatibility requirement set out in Schedule 2 of the </w:t>
      </w:r>
      <w:r w:rsidR="00D6648A" w:rsidRPr="00976810">
        <w:rPr>
          <w:i/>
          <w:szCs w:val="22"/>
        </w:rPr>
        <w:t xml:space="preserve">Radiocommunications Advisory Guidelines (Managing Interference to Spectrum Licensed Receivers — </w:t>
      </w:r>
      <w:r w:rsidR="00847992" w:rsidRPr="00976810">
        <w:rPr>
          <w:i/>
          <w:szCs w:val="22"/>
        </w:rPr>
        <w:t>3.4</w:t>
      </w:r>
      <w:r w:rsidR="00D6648A" w:rsidRPr="00976810">
        <w:rPr>
          <w:i/>
          <w:szCs w:val="22"/>
        </w:rPr>
        <w:t xml:space="preserve"> GHz Band) 20</w:t>
      </w:r>
      <w:r w:rsidR="00847992" w:rsidRPr="00976810">
        <w:rPr>
          <w:i/>
          <w:szCs w:val="22"/>
        </w:rPr>
        <w:t>15</w:t>
      </w:r>
      <w:r w:rsidR="00D6648A" w:rsidRPr="005028A5">
        <w:rPr>
          <w:szCs w:val="22"/>
        </w:rPr>
        <w:t xml:space="preserve"> </w:t>
      </w:r>
      <w:r w:rsidR="00772BA3">
        <w:rPr>
          <w:szCs w:val="22"/>
        </w:rPr>
        <w:t xml:space="preserve">(RAG Rx) </w:t>
      </w:r>
      <w:r w:rsidR="00D6648A" w:rsidRPr="005028A5">
        <w:rPr>
          <w:szCs w:val="22"/>
        </w:rPr>
        <w:t>as in force from time to time</w:t>
      </w:r>
      <w:r w:rsidR="00AD31E3">
        <w:rPr>
          <w:szCs w:val="22"/>
        </w:rPr>
        <w:t xml:space="preserve"> and interpret that it also applies to AWL receivers as well as spectrum licenced </w:t>
      </w:r>
      <w:proofErr w:type="gramStart"/>
      <w:r w:rsidR="00AD31E3">
        <w:rPr>
          <w:szCs w:val="22"/>
        </w:rPr>
        <w:t>receivers</w:t>
      </w:r>
      <w:r w:rsidR="00D6648A" w:rsidRPr="005028A5">
        <w:rPr>
          <w:szCs w:val="22"/>
        </w:rPr>
        <w:t>;</w:t>
      </w:r>
      <w:proofErr w:type="gramEnd"/>
    </w:p>
    <w:p w14:paraId="61F50E80" w14:textId="6A602D0F" w:rsidR="00152359" w:rsidRPr="00772BA3" w:rsidRDefault="00667293" w:rsidP="00152359">
      <w:pPr>
        <w:pStyle w:val="ListBullet"/>
      </w:pPr>
      <w:r>
        <w:t>U</w:t>
      </w:r>
      <w:r w:rsidR="00EE0053" w:rsidRPr="00152359">
        <w:t xml:space="preserve">se </w:t>
      </w:r>
      <w:r w:rsidR="00D6648A" w:rsidRPr="00152359">
        <w:t>the notional receiver performance level set out in Schedule 1 of</w:t>
      </w:r>
      <w:r w:rsidR="00772BA3" w:rsidRPr="00152359">
        <w:t xml:space="preserve"> RAG Rx</w:t>
      </w:r>
      <w:r w:rsidR="00D6648A" w:rsidRPr="00152359">
        <w:t>, is to be used for coordination purposes</w:t>
      </w:r>
      <w:r w:rsidR="00AD31E3" w:rsidRPr="00152359">
        <w:t xml:space="preserve"> for AWL receivers</w:t>
      </w:r>
      <w:r w:rsidR="00D6648A" w:rsidRPr="00152359">
        <w:t>.</w:t>
      </w:r>
      <w:r w:rsidR="00EE0053" w:rsidRPr="00152359">
        <w:t xml:space="preserve"> It is noted that licensees can choose to deploy equipment that does not meet this minimum level or performance. However, in this case, licensees must then be prepared to accept a higher level of interference as all coordination will be based on the notional receiver performance.  </w:t>
      </w:r>
      <w:r w:rsidR="00152359" w:rsidRPr="00152359">
        <w:t xml:space="preserve">For application of the receiver blocking, the frequency range in subsection 5(a) of schedule 1 of RAG Rx should be replaced with </w:t>
      </w:r>
      <w:r w:rsidR="00F52D7E">
        <w:rPr>
          <w:i/>
          <w:iCs/>
        </w:rPr>
        <w:t>3340-4060</w:t>
      </w:r>
      <w:r w:rsidR="00F52D7E" w:rsidRPr="00955132">
        <w:rPr>
          <w:i/>
          <w:iCs/>
        </w:rPr>
        <w:t xml:space="preserve"> </w:t>
      </w:r>
      <w:proofErr w:type="gramStart"/>
      <w:r w:rsidR="00152359" w:rsidRPr="00152359">
        <w:t>MHz;</w:t>
      </w:r>
      <w:proofErr w:type="gramEnd"/>
    </w:p>
    <w:p w14:paraId="4FB00F0D" w14:textId="06AD85A0" w:rsidR="00D6648A" w:rsidRDefault="00667293" w:rsidP="005E5B48">
      <w:pPr>
        <w:pStyle w:val="ListBullet"/>
        <w:ind w:left="306"/>
      </w:pPr>
      <w:r>
        <w:t>M</w:t>
      </w:r>
      <w:r w:rsidR="00D6648A">
        <w:t>ake use of a suitable propagation model to model path loss between the fixed transmitters and radiocommunications receivers;</w:t>
      </w:r>
      <w:r w:rsidR="00D6648A">
        <w:rPr>
          <w:rStyle w:val="FootnoteReference"/>
        </w:rPr>
        <w:footnoteReference w:id="4"/>
      </w:r>
    </w:p>
    <w:p w14:paraId="303E4ACD" w14:textId="49EBF130" w:rsidR="00D6648A" w:rsidRDefault="00667293" w:rsidP="005E5B48">
      <w:pPr>
        <w:pStyle w:val="ListBullet"/>
        <w:ind w:left="306"/>
      </w:pPr>
      <w:proofErr w:type="gramStart"/>
      <w:r>
        <w:lastRenderedPageBreak/>
        <w:t>T</w:t>
      </w:r>
      <w:r w:rsidR="00D6648A">
        <w:t>ake into account</w:t>
      </w:r>
      <w:proofErr w:type="gramEnd"/>
      <w:r w:rsidR="00D6648A">
        <w:t xml:space="preserve"> terrain and any other relevant factors (using a 3 second digital elevation model or better); and</w:t>
      </w:r>
    </w:p>
    <w:p w14:paraId="60C87595" w14:textId="7B90A2C3" w:rsidR="00D6648A" w:rsidRDefault="00667293" w:rsidP="005E5B48">
      <w:pPr>
        <w:pStyle w:val="ListBulletLast"/>
        <w:ind w:left="306"/>
      </w:pPr>
      <w:r>
        <w:t>C</w:t>
      </w:r>
      <w:r w:rsidR="00D6648A">
        <w:t>onsider any special conditions and/or advisory notes which are included on the relevant licences.</w:t>
      </w:r>
    </w:p>
    <w:p w14:paraId="00019A08" w14:textId="77777777" w:rsidR="0023496E" w:rsidRDefault="0023496E" w:rsidP="005E5B48">
      <w:pPr>
        <w:spacing w:after="120"/>
        <w:ind w:left="11"/>
      </w:pPr>
    </w:p>
    <w:p w14:paraId="4E1C8129" w14:textId="620830F0" w:rsidR="0023496E" w:rsidRDefault="0023496E" w:rsidP="009D33A5">
      <w:pPr>
        <w:pStyle w:val="Heading3"/>
        <w:numPr>
          <w:ilvl w:val="0"/>
          <w:numId w:val="0"/>
        </w:numPr>
      </w:pPr>
      <w:bookmarkStart w:id="130" w:name="_Toc114669414"/>
      <w:r>
        <w:t>Failure of coordination</w:t>
      </w:r>
      <w:bookmarkEnd w:id="130"/>
    </w:p>
    <w:p w14:paraId="140F46FD" w14:textId="77777777" w:rsidR="0023496E" w:rsidRDefault="0023496E" w:rsidP="005E5B48">
      <w:pPr>
        <w:spacing w:after="120"/>
        <w:ind w:left="11"/>
      </w:pPr>
    </w:p>
    <w:p w14:paraId="0553D08A" w14:textId="3FFB912F" w:rsidR="00D6648A" w:rsidRDefault="00D6648A" w:rsidP="005E5B48">
      <w:pPr>
        <w:spacing w:after="120"/>
        <w:ind w:left="11"/>
      </w:pPr>
      <w:proofErr w:type="gramStart"/>
      <w:r w:rsidRPr="00072C92">
        <w:t>In the event that</w:t>
      </w:r>
      <w:proofErr w:type="gramEnd"/>
      <w:r w:rsidRPr="00072C92">
        <w:t xml:space="preserve"> the above </w:t>
      </w:r>
      <w:r w:rsidR="0023496E" w:rsidRPr="00072C92">
        <w:t xml:space="preserve">co-channel or adjacent channel </w:t>
      </w:r>
      <w:r w:rsidRPr="00072C92">
        <w:t>coordination</w:t>
      </w:r>
      <w:r w:rsidR="0023496E" w:rsidRPr="00072C92">
        <w:t xml:space="preserve"> with AWL receivers</w:t>
      </w:r>
      <w:r>
        <w:t xml:space="preserve"> indicates that interference may occur, the licensee</w:t>
      </w:r>
      <w:r w:rsidR="00E13923">
        <w:t xml:space="preserve"> of the proposed transmitter</w:t>
      </w:r>
      <w:r>
        <w:t xml:space="preserve"> should consider: </w:t>
      </w:r>
    </w:p>
    <w:p w14:paraId="7B73F7D3" w14:textId="76C11B5B" w:rsidR="00D6648A" w:rsidRDefault="00667293" w:rsidP="005E5B48">
      <w:pPr>
        <w:pStyle w:val="ListBullet"/>
        <w:ind w:left="306"/>
      </w:pPr>
      <w:r>
        <w:rPr>
          <w:lang w:eastAsia="en-US"/>
        </w:rPr>
        <w:t>R</w:t>
      </w:r>
      <w:r w:rsidR="00D6648A">
        <w:rPr>
          <w:lang w:eastAsia="en-US"/>
        </w:rPr>
        <w:t xml:space="preserve">eplanning the deployment of the </w:t>
      </w:r>
      <w:r w:rsidR="00D6648A">
        <w:t>transmitter</w:t>
      </w:r>
      <w:r w:rsidR="00D6648A">
        <w:rPr>
          <w:lang w:eastAsia="en-US"/>
        </w:rPr>
        <w:t xml:space="preserve"> to avoid causing harmful interference; or</w:t>
      </w:r>
    </w:p>
    <w:p w14:paraId="2AF7549C" w14:textId="69437076" w:rsidR="00D6648A" w:rsidRDefault="00667293" w:rsidP="005E5B48">
      <w:pPr>
        <w:pStyle w:val="ListBulletLast"/>
        <w:ind w:left="306"/>
      </w:pPr>
      <w:r>
        <w:rPr>
          <w:lang w:eastAsia="en-US"/>
        </w:rPr>
        <w:t>N</w:t>
      </w:r>
      <w:r w:rsidR="00D6648A">
        <w:rPr>
          <w:lang w:eastAsia="en-US"/>
        </w:rPr>
        <w:t xml:space="preserve">egotiating with the licensee of the affected receiver to find a resolution. </w:t>
      </w:r>
    </w:p>
    <w:p w14:paraId="408026F3" w14:textId="77777777" w:rsidR="00715C42" w:rsidRDefault="00D6648A" w:rsidP="005E5B48">
      <w:pPr>
        <w:spacing w:after="120"/>
        <w:ind w:left="11"/>
      </w:pPr>
      <w:proofErr w:type="gramStart"/>
      <w:r w:rsidRPr="00D90692">
        <w:t xml:space="preserve">In the event </w:t>
      </w:r>
      <w:r>
        <w:t>that</w:t>
      </w:r>
      <w:proofErr w:type="gramEnd"/>
      <w:r w:rsidRPr="00D90692">
        <w:t xml:space="preserve"> </w:t>
      </w:r>
      <w:r>
        <w:t xml:space="preserve">replanning the deployment </w:t>
      </w:r>
      <w:r w:rsidRPr="00D90692">
        <w:t>is not possible</w:t>
      </w:r>
      <w:r>
        <w:t xml:space="preserve"> and a negotiated resolution cannot be reached</w:t>
      </w:r>
      <w:r w:rsidR="00715C42">
        <w:t>:</w:t>
      </w:r>
    </w:p>
    <w:p w14:paraId="5987B459" w14:textId="5B3E4930" w:rsidR="00D6648A" w:rsidRDefault="00667293" w:rsidP="00715C42">
      <w:pPr>
        <w:pStyle w:val="ListBullet"/>
      </w:pPr>
      <w:r>
        <w:t>F</w:t>
      </w:r>
      <w:r w:rsidR="00715C42">
        <w:t>or proposed AWL transmitters:</w:t>
      </w:r>
      <w:r w:rsidR="00847992">
        <w:t xml:space="preserve"> </w:t>
      </w:r>
      <w:r w:rsidR="00D6648A" w:rsidRPr="00D90692">
        <w:t xml:space="preserve">interference is managed in accordance with </w:t>
      </w:r>
      <w:r w:rsidR="00D6648A">
        <w:t>the</w:t>
      </w:r>
      <w:r w:rsidR="00D6648A" w:rsidRPr="00D90692">
        <w:t xml:space="preserve"> </w:t>
      </w:r>
      <w:r w:rsidR="00D6648A" w:rsidRPr="00CC5EB6">
        <w:t>synchronisation requirement</w:t>
      </w:r>
      <w:r w:rsidR="00D6648A" w:rsidRPr="00A04EC1">
        <w:rPr>
          <w:i/>
        </w:rPr>
        <w:t xml:space="preserve"> </w:t>
      </w:r>
      <w:r w:rsidR="00D6648A" w:rsidRPr="00C704CA">
        <w:t xml:space="preserve">condition included in the </w:t>
      </w:r>
      <w:r w:rsidR="00D6648A">
        <w:t>AWL LCD</w:t>
      </w:r>
      <w:r w:rsidR="00D6648A" w:rsidRPr="00C704CA">
        <w:t xml:space="preserve">, unless other arrangements are agreed to by </w:t>
      </w:r>
      <w:r w:rsidR="00D6648A">
        <w:t xml:space="preserve">the affected </w:t>
      </w:r>
      <w:r w:rsidR="00D6648A" w:rsidRPr="00C704CA">
        <w:t>licensees</w:t>
      </w:r>
      <w:r w:rsidR="00D6648A" w:rsidRPr="00C058E8">
        <w:t>.</w:t>
      </w:r>
    </w:p>
    <w:p w14:paraId="4082DCE0" w14:textId="74E5B8CE" w:rsidR="00715C42" w:rsidRDefault="00715C42" w:rsidP="00707C73">
      <w:pPr>
        <w:pStyle w:val="ListBulletLast"/>
      </w:pPr>
      <w:r>
        <w:t xml:space="preserve">For all other proposed apparatus-licensed transmitters: the proposed licence must not be issued. </w:t>
      </w:r>
    </w:p>
    <w:p w14:paraId="2A7D76BA" w14:textId="77777777" w:rsidR="00D6648A" w:rsidRDefault="00D6648A" w:rsidP="005E5B48">
      <w:pPr>
        <w:ind w:left="11"/>
        <w:rPr>
          <w:sz w:val="20"/>
          <w:szCs w:val="20"/>
        </w:rPr>
      </w:pPr>
      <w:r w:rsidRPr="000B762D">
        <w:rPr>
          <w:i/>
          <w:sz w:val="20"/>
          <w:szCs w:val="20"/>
        </w:rPr>
        <w:t>Note:</w:t>
      </w:r>
      <w:r w:rsidRPr="000B762D">
        <w:rPr>
          <w:i/>
          <w:sz w:val="20"/>
          <w:szCs w:val="20"/>
        </w:rPr>
        <w:tab/>
      </w:r>
      <w:r w:rsidRPr="000B762D">
        <w:rPr>
          <w:sz w:val="20"/>
          <w:szCs w:val="20"/>
        </w:rPr>
        <w:t xml:space="preserve">For a device with an active antenna system, the radiated power in the direction of a receiver operated under another licence is defined as the sum of the gain of the antenna in the direction of the receiver (accounting for azimuth and elevation) and the Total Radiated Power (dBm). This allowance </w:t>
      </w:r>
      <w:proofErr w:type="gramStart"/>
      <w:r w:rsidRPr="000B762D">
        <w:rPr>
          <w:sz w:val="20"/>
          <w:szCs w:val="20"/>
        </w:rPr>
        <w:t>is based on the assumption</w:t>
      </w:r>
      <w:proofErr w:type="gramEnd"/>
      <w:r w:rsidRPr="000B762D">
        <w:rPr>
          <w:sz w:val="20"/>
          <w:szCs w:val="20"/>
        </w:rPr>
        <w:t xml:space="preserve"> that beam pointing angles and/or power can be controlled dynamically to ensure a defined level of radiated power in a specific direction is not exceeded.</w:t>
      </w:r>
    </w:p>
    <w:p w14:paraId="3DB0865F" w14:textId="2898E0CF" w:rsidR="00B344C6" w:rsidRDefault="00B344C6" w:rsidP="005E5B48">
      <w:pPr>
        <w:ind w:left="11"/>
      </w:pPr>
      <w:r>
        <w:t xml:space="preserve">This same procedure detailed above, should also be used when planning to deploy radiocommunications receivers (other than earth receive stations) in the 3400-4000 MHz band under an </w:t>
      </w:r>
      <w:r>
        <w:rPr>
          <w:rFonts w:cs="Arial"/>
        </w:rPr>
        <w:t>AWL.</w:t>
      </w:r>
    </w:p>
    <w:p w14:paraId="2F389ADD" w14:textId="1E2C6CA2" w:rsidR="009C012D" w:rsidRPr="006F61E5" w:rsidRDefault="00D6648A" w:rsidP="00262030">
      <w:pPr>
        <w:ind w:left="11"/>
      </w:pPr>
      <w:r>
        <w:t>The ACMA will take these coordination procedures into account when resolving an interference dispute.</w:t>
      </w:r>
    </w:p>
    <w:p w14:paraId="0BBB1B9E" w14:textId="20A86BD5" w:rsidR="00C14CC0" w:rsidRDefault="00C14CC0">
      <w:pPr>
        <w:pStyle w:val="Heading2"/>
        <w:ind w:left="720" w:hanging="709"/>
      </w:pPr>
      <w:bookmarkStart w:id="131" w:name="_Toc95291592"/>
      <w:bookmarkStart w:id="132" w:name="_Toc114669415"/>
      <w:r>
        <w:t>Registration of AWL receivers</w:t>
      </w:r>
      <w:bookmarkEnd w:id="131"/>
      <w:bookmarkEnd w:id="132"/>
    </w:p>
    <w:p w14:paraId="59610296" w14:textId="4FDABCA2" w:rsidR="00C14CC0" w:rsidRDefault="00C14CC0" w:rsidP="00C14CC0">
      <w:r>
        <w:t xml:space="preserve">AWL receivers, </w:t>
      </w:r>
      <w:r w:rsidR="007B2801">
        <w:t xml:space="preserve">noting that </w:t>
      </w:r>
      <w:r>
        <w:t xml:space="preserve">earth receive stations </w:t>
      </w:r>
      <w:r w:rsidR="007B2801">
        <w:t>are prohibited</w:t>
      </w:r>
      <w:r w:rsidR="00E770E7">
        <w:t xml:space="preserve"> under an AWL</w:t>
      </w:r>
      <w:r w:rsidR="00E770E7">
        <w:rPr>
          <w:rStyle w:val="FootnoteReference"/>
        </w:rPr>
        <w:footnoteReference w:id="5"/>
      </w:r>
      <w:r w:rsidR="007B2801">
        <w:t>,</w:t>
      </w:r>
      <w:r>
        <w:t xml:space="preserve"> are not required to be registered before operation, however, registration of fixed receivers is encouraged as only registered devices will be afforded protection.</w:t>
      </w:r>
      <w:r w:rsidR="000270AD">
        <w:t xml:space="preserve"> </w:t>
      </w:r>
      <w:r w:rsidR="00F9625B">
        <w:t>An AWL r</w:t>
      </w:r>
      <w:r w:rsidR="000270AD">
        <w:t xml:space="preserve">eceiver may only be registered if </w:t>
      </w:r>
      <w:r w:rsidR="00F9625B">
        <w:t>it</w:t>
      </w:r>
      <w:r w:rsidR="000270AD">
        <w:t xml:space="preserve"> compl</w:t>
      </w:r>
      <w:r w:rsidR="00F9625B">
        <w:t>ies</w:t>
      </w:r>
      <w:r w:rsidR="000270AD">
        <w:t xml:space="preserve"> with the spurious emission limits detailed in section </w:t>
      </w:r>
      <w:r w:rsidR="000270AD">
        <w:fldChar w:fldCharType="begin"/>
      </w:r>
      <w:r w:rsidR="000270AD">
        <w:instrText xml:space="preserve"> REF _Ref93655034 \r \h </w:instrText>
      </w:r>
      <w:r w:rsidR="000270AD">
        <w:fldChar w:fldCharType="separate"/>
      </w:r>
      <w:r w:rsidR="000270AD">
        <w:t>4.3.1</w:t>
      </w:r>
      <w:r w:rsidR="000270AD">
        <w:fldChar w:fldCharType="end"/>
      </w:r>
      <w:r w:rsidR="000270AD">
        <w:t xml:space="preserve">.  </w:t>
      </w:r>
    </w:p>
    <w:p w14:paraId="4BE75055" w14:textId="0C0895E4" w:rsidR="00283AE3" w:rsidRDefault="00C14CC0" w:rsidP="00707C73">
      <w:r>
        <w:t xml:space="preserve">There are </w:t>
      </w:r>
      <w:r w:rsidRPr="003912D7">
        <w:t>no</w:t>
      </w:r>
      <w:r>
        <w:t xml:space="preserve"> coordination </w:t>
      </w:r>
      <w:r w:rsidRPr="003912D7">
        <w:t>procedure</w:t>
      </w:r>
      <w:r>
        <w:t>s</w:t>
      </w:r>
      <w:r w:rsidRPr="003912D7">
        <w:t xml:space="preserve"> </w:t>
      </w:r>
      <w:r w:rsidR="005230E4">
        <w:t>(other than the requirements detailed in section 4.2) defined</w:t>
      </w:r>
      <w:r w:rsidRPr="003912D7">
        <w:t xml:space="preserve"> for the protection for AWL receivers</w:t>
      </w:r>
      <w:r>
        <w:t xml:space="preserve"> </w:t>
      </w:r>
      <w:r w:rsidR="005230E4">
        <w:t>from existing apparatus licensed services.</w:t>
      </w:r>
      <w:r w:rsidRPr="003912D7">
        <w:t xml:space="preserve"> Prospective licensees should assess the risk of interference from existing services before deploying services</w:t>
      </w:r>
      <w:r w:rsidR="005230E4">
        <w:t xml:space="preserve"> – also see the advisory note detailed in section 3.2.2</w:t>
      </w:r>
      <w:r w:rsidRPr="003912D7">
        <w:t>.</w:t>
      </w:r>
      <w:r w:rsidR="007B2801" w:rsidRPr="00C14CC0" w:rsidDel="007B2801">
        <w:t xml:space="preserve"> </w:t>
      </w:r>
      <w:bookmarkStart w:id="133" w:name="_Hlk54161169"/>
    </w:p>
    <w:p w14:paraId="406B0D77" w14:textId="6328590D" w:rsidR="000270AD" w:rsidRDefault="000270AD" w:rsidP="000270AD">
      <w:pPr>
        <w:pStyle w:val="Heading3"/>
        <w:ind w:left="720" w:hanging="709"/>
      </w:pPr>
      <w:bookmarkStart w:id="134" w:name="_Ref93655034"/>
      <w:bookmarkStart w:id="135" w:name="_Toc95291593"/>
      <w:bookmarkStart w:id="136" w:name="_Toc114669416"/>
      <w:r>
        <w:lastRenderedPageBreak/>
        <w:t>Receiver spurious emission limits</w:t>
      </w:r>
      <w:bookmarkEnd w:id="134"/>
      <w:bookmarkEnd w:id="135"/>
      <w:bookmarkEnd w:id="136"/>
    </w:p>
    <w:p w14:paraId="1DED4049" w14:textId="5420C7AE" w:rsidR="00852E23" w:rsidRDefault="00D57E2B" w:rsidP="00852E23">
      <w:r>
        <w:t xml:space="preserve">Spurious emission limits for registered </w:t>
      </w:r>
      <w:r w:rsidR="00852E23">
        <w:t xml:space="preserve">AWL receivers </w:t>
      </w:r>
      <w:r>
        <w:t>are detailed in Tables 3 and 4 for non-AAS and AAS receivers respectively.</w:t>
      </w:r>
      <w:r w:rsidR="00143484">
        <w:t xml:space="preserve"> The applicable limits in Tables 3 and 4 apply at </w:t>
      </w:r>
      <w:r w:rsidR="00143484" w:rsidRPr="00072C92">
        <w:t>frequencies outside the 3360-4240 MHz frequency range</w:t>
      </w:r>
      <w:r w:rsidR="00570609" w:rsidRPr="00072C92">
        <w:rPr>
          <w:rStyle w:val="FootnoteReference"/>
        </w:rPr>
        <w:footnoteReference w:id="6"/>
      </w:r>
      <w:r w:rsidR="001133B2" w:rsidRPr="00072C92">
        <w:t>, during periods when any associated transmitter is not transmitting</w:t>
      </w:r>
      <w:r w:rsidR="003349D0" w:rsidRPr="009D33A5">
        <w:t xml:space="preserve"> (in </w:t>
      </w:r>
      <w:r w:rsidR="00D40930" w:rsidRPr="009D33A5">
        <w:t>its</w:t>
      </w:r>
      <w:r w:rsidR="003349D0" w:rsidRPr="009D33A5">
        <w:t xml:space="preserve"> off period)</w:t>
      </w:r>
      <w:r w:rsidR="001133B2" w:rsidRPr="00072C92">
        <w:t>.</w:t>
      </w:r>
    </w:p>
    <w:p w14:paraId="0F872603" w14:textId="3BD41C07" w:rsidR="00852E23" w:rsidRDefault="00597847" w:rsidP="00852E23">
      <w:pPr>
        <w:pStyle w:val="ACMATableHeader"/>
      </w:pPr>
      <w:r>
        <w:t>Spurious emission limits for non-AAS receivers</w:t>
      </w:r>
      <w:r w:rsidR="00143484">
        <w:t xml:space="preserve"> </w:t>
      </w:r>
      <w:r>
        <w:t xml:space="preserve"> </w:t>
      </w:r>
    </w:p>
    <w:tbl>
      <w:tblPr>
        <w:tblStyle w:val="TableGrid"/>
        <w:tblW w:w="0" w:type="auto"/>
        <w:tblLook w:val="04A0" w:firstRow="1" w:lastRow="0" w:firstColumn="1" w:lastColumn="0" w:noHBand="0" w:noVBand="1"/>
      </w:tblPr>
      <w:tblGrid>
        <w:gridCol w:w="3114"/>
        <w:gridCol w:w="3115"/>
        <w:gridCol w:w="3115"/>
      </w:tblGrid>
      <w:tr w:rsidR="00597847" w14:paraId="1AB87B31" w14:textId="77777777" w:rsidTr="00597847">
        <w:tc>
          <w:tcPr>
            <w:tcW w:w="3114" w:type="dxa"/>
          </w:tcPr>
          <w:p w14:paraId="73743238" w14:textId="603629E0" w:rsidR="00597847" w:rsidRDefault="00597847" w:rsidP="00597847">
            <w:r>
              <w:t>Frequency range (f)</w:t>
            </w:r>
          </w:p>
        </w:tc>
        <w:tc>
          <w:tcPr>
            <w:tcW w:w="3115" w:type="dxa"/>
          </w:tcPr>
          <w:p w14:paraId="4BB79105" w14:textId="203F1EAF" w:rsidR="00597847" w:rsidRDefault="00597847" w:rsidP="00597847">
            <w:r>
              <w:t>Mean power per receiver (dBm)</w:t>
            </w:r>
          </w:p>
        </w:tc>
        <w:tc>
          <w:tcPr>
            <w:tcW w:w="3115" w:type="dxa"/>
          </w:tcPr>
          <w:p w14:paraId="5C433E43" w14:textId="7DA47885" w:rsidR="00597847" w:rsidRDefault="00597847" w:rsidP="00597847">
            <w:r>
              <w:t>Specified Bandwidth</w:t>
            </w:r>
          </w:p>
        </w:tc>
      </w:tr>
      <w:tr w:rsidR="00597847" w14:paraId="30FA7904" w14:textId="77777777" w:rsidTr="00597847">
        <w:tc>
          <w:tcPr>
            <w:tcW w:w="3114" w:type="dxa"/>
          </w:tcPr>
          <w:p w14:paraId="325ABB07" w14:textId="0E8D47D9" w:rsidR="00597847" w:rsidRDefault="00597847" w:rsidP="00597847">
            <w:r>
              <w:t xml:space="preserve">30 </w:t>
            </w:r>
            <w:r w:rsidR="00682FFE">
              <w:t>M</w:t>
            </w:r>
            <w:r>
              <w:t xml:space="preserve">Hz </w:t>
            </w:r>
            <w:r>
              <w:rPr>
                <w:rFonts w:cs="Arial"/>
              </w:rPr>
              <w:t>≤</w:t>
            </w:r>
            <w:r>
              <w:t xml:space="preserve"> f </w:t>
            </w:r>
            <w:r w:rsidR="006D7397">
              <w:t>&lt;</w:t>
            </w:r>
            <w:r>
              <w:t xml:space="preserve"> 1 GHz</w:t>
            </w:r>
          </w:p>
        </w:tc>
        <w:tc>
          <w:tcPr>
            <w:tcW w:w="3115" w:type="dxa"/>
          </w:tcPr>
          <w:p w14:paraId="5DC5C62C" w14:textId="74984EB5" w:rsidR="00597847" w:rsidRDefault="00597847" w:rsidP="00597847">
            <w:r>
              <w:t>-57</w:t>
            </w:r>
          </w:p>
        </w:tc>
        <w:tc>
          <w:tcPr>
            <w:tcW w:w="3115" w:type="dxa"/>
          </w:tcPr>
          <w:p w14:paraId="07505C88" w14:textId="151C98F2" w:rsidR="00597847" w:rsidRDefault="00597847" w:rsidP="00597847">
            <w:r>
              <w:t>100 kHz</w:t>
            </w:r>
          </w:p>
        </w:tc>
      </w:tr>
      <w:tr w:rsidR="00597847" w14:paraId="6BFA1F75" w14:textId="77777777" w:rsidTr="00597847">
        <w:tc>
          <w:tcPr>
            <w:tcW w:w="3114" w:type="dxa"/>
          </w:tcPr>
          <w:p w14:paraId="14015D5B" w14:textId="6011B638" w:rsidR="00597847" w:rsidRDefault="00597847" w:rsidP="00597847">
            <w:r>
              <w:t xml:space="preserve">1 GHz </w:t>
            </w:r>
            <w:r>
              <w:rPr>
                <w:rFonts w:cs="Arial"/>
              </w:rPr>
              <w:t>≤</w:t>
            </w:r>
            <w:r>
              <w:t xml:space="preserve"> f </w:t>
            </w:r>
            <w:r w:rsidR="006D7397">
              <w:t>&lt;</w:t>
            </w:r>
            <w:r>
              <w:t xml:space="preserve"> 19 GHz</w:t>
            </w:r>
          </w:p>
        </w:tc>
        <w:tc>
          <w:tcPr>
            <w:tcW w:w="3115" w:type="dxa"/>
          </w:tcPr>
          <w:p w14:paraId="136729CD" w14:textId="09097801" w:rsidR="00597847" w:rsidRDefault="00597847" w:rsidP="00597847">
            <w:r>
              <w:t>-47</w:t>
            </w:r>
          </w:p>
        </w:tc>
        <w:tc>
          <w:tcPr>
            <w:tcW w:w="3115" w:type="dxa"/>
          </w:tcPr>
          <w:p w14:paraId="77BB6AB8" w14:textId="643DC427" w:rsidR="00597847" w:rsidRDefault="00597847" w:rsidP="00597847">
            <w:r>
              <w:t>1 MHz</w:t>
            </w:r>
          </w:p>
        </w:tc>
      </w:tr>
    </w:tbl>
    <w:p w14:paraId="3BEB0AA7" w14:textId="77777777" w:rsidR="00597847" w:rsidRDefault="00597847" w:rsidP="006E3AC3"/>
    <w:p w14:paraId="3E080228" w14:textId="4ECA6F2B" w:rsidR="00382A90" w:rsidRDefault="00382A90" w:rsidP="00382A90">
      <w:pPr>
        <w:pStyle w:val="ACMATableHeader"/>
      </w:pPr>
      <w:r>
        <w:t xml:space="preserve">Spurious emission limits for AAS receivers </w:t>
      </w:r>
    </w:p>
    <w:tbl>
      <w:tblPr>
        <w:tblStyle w:val="TableGrid"/>
        <w:tblW w:w="0" w:type="auto"/>
        <w:tblLook w:val="04A0" w:firstRow="1" w:lastRow="0" w:firstColumn="1" w:lastColumn="0" w:noHBand="0" w:noVBand="1"/>
      </w:tblPr>
      <w:tblGrid>
        <w:gridCol w:w="3114"/>
        <w:gridCol w:w="3115"/>
        <w:gridCol w:w="3115"/>
      </w:tblGrid>
      <w:tr w:rsidR="00682FFE" w14:paraId="5636D6EB" w14:textId="77777777" w:rsidTr="00FB7F67">
        <w:tc>
          <w:tcPr>
            <w:tcW w:w="3114" w:type="dxa"/>
          </w:tcPr>
          <w:p w14:paraId="1121D3C4" w14:textId="77777777" w:rsidR="00682FFE" w:rsidRDefault="00682FFE" w:rsidP="00FB7F67">
            <w:r>
              <w:t>Frequency range (f)</w:t>
            </w:r>
          </w:p>
        </w:tc>
        <w:tc>
          <w:tcPr>
            <w:tcW w:w="3115" w:type="dxa"/>
          </w:tcPr>
          <w:p w14:paraId="59C5C717" w14:textId="7927129D" w:rsidR="00682FFE" w:rsidRDefault="00682FFE" w:rsidP="00FB7F67">
            <w:r>
              <w:t>Total radiated power per cell/sector (dBm)</w:t>
            </w:r>
          </w:p>
        </w:tc>
        <w:tc>
          <w:tcPr>
            <w:tcW w:w="3115" w:type="dxa"/>
          </w:tcPr>
          <w:p w14:paraId="1373A2BD" w14:textId="77777777" w:rsidR="00682FFE" w:rsidRDefault="00682FFE" w:rsidP="00FB7F67">
            <w:r>
              <w:t>Specified Bandwidth</w:t>
            </w:r>
          </w:p>
        </w:tc>
      </w:tr>
      <w:tr w:rsidR="00682FFE" w14:paraId="45E7E5F6" w14:textId="77777777" w:rsidTr="00FB7F67">
        <w:tc>
          <w:tcPr>
            <w:tcW w:w="3114" w:type="dxa"/>
          </w:tcPr>
          <w:p w14:paraId="10DFE04C" w14:textId="30F73979" w:rsidR="00682FFE" w:rsidRDefault="00682FFE" w:rsidP="00FB7F67">
            <w:r>
              <w:t xml:space="preserve">30 MHz </w:t>
            </w:r>
            <w:r>
              <w:rPr>
                <w:rFonts w:cs="Arial"/>
              </w:rPr>
              <w:t>≤</w:t>
            </w:r>
            <w:r>
              <w:t xml:space="preserve"> f </w:t>
            </w:r>
            <w:r w:rsidR="006D7397">
              <w:t>&lt;</w:t>
            </w:r>
            <w:r>
              <w:t xml:space="preserve"> 1 GHz</w:t>
            </w:r>
          </w:p>
        </w:tc>
        <w:tc>
          <w:tcPr>
            <w:tcW w:w="3115" w:type="dxa"/>
          </w:tcPr>
          <w:p w14:paraId="77AC7ECD" w14:textId="229B743B" w:rsidR="00682FFE" w:rsidRDefault="00682FFE" w:rsidP="00FB7F67">
            <w:r>
              <w:t>-27</w:t>
            </w:r>
          </w:p>
        </w:tc>
        <w:tc>
          <w:tcPr>
            <w:tcW w:w="3115" w:type="dxa"/>
          </w:tcPr>
          <w:p w14:paraId="2F896B58" w14:textId="77777777" w:rsidR="00682FFE" w:rsidRDefault="00682FFE" w:rsidP="00FB7F67">
            <w:r>
              <w:t>100 kHz</w:t>
            </w:r>
          </w:p>
        </w:tc>
      </w:tr>
      <w:tr w:rsidR="00682FFE" w14:paraId="6ED7908A" w14:textId="77777777" w:rsidTr="00FB7F67">
        <w:tc>
          <w:tcPr>
            <w:tcW w:w="3114" w:type="dxa"/>
          </w:tcPr>
          <w:p w14:paraId="6C6DE3C8" w14:textId="5A7BF675" w:rsidR="00682FFE" w:rsidRDefault="00682FFE" w:rsidP="00FB7F67">
            <w:r>
              <w:t xml:space="preserve">1 GHz </w:t>
            </w:r>
            <w:r>
              <w:rPr>
                <w:rFonts w:cs="Arial"/>
              </w:rPr>
              <w:t>≤</w:t>
            </w:r>
            <w:r>
              <w:t xml:space="preserve"> f </w:t>
            </w:r>
            <w:r w:rsidR="006D7397">
              <w:t>&lt;</w:t>
            </w:r>
            <w:r>
              <w:t xml:space="preserve"> 19 GHz</w:t>
            </w:r>
          </w:p>
        </w:tc>
        <w:tc>
          <w:tcPr>
            <w:tcW w:w="3115" w:type="dxa"/>
          </w:tcPr>
          <w:p w14:paraId="4EC8728E" w14:textId="3C4587F3" w:rsidR="00682FFE" w:rsidRDefault="00682FFE" w:rsidP="00FB7F67">
            <w:r>
              <w:t>-21</w:t>
            </w:r>
          </w:p>
        </w:tc>
        <w:tc>
          <w:tcPr>
            <w:tcW w:w="3115" w:type="dxa"/>
          </w:tcPr>
          <w:p w14:paraId="7ADF9802" w14:textId="77777777" w:rsidR="00682FFE" w:rsidRDefault="00682FFE" w:rsidP="00FB7F67">
            <w:r>
              <w:t>1 MHz</w:t>
            </w:r>
          </w:p>
        </w:tc>
      </w:tr>
    </w:tbl>
    <w:p w14:paraId="4196FE5F" w14:textId="77777777" w:rsidR="00597847" w:rsidRPr="00852E23" w:rsidRDefault="00597847" w:rsidP="00382A90"/>
    <w:p w14:paraId="02EE0BC4" w14:textId="5CCBF7B2" w:rsidR="00147C6C" w:rsidRPr="00D62118" w:rsidRDefault="009B0F3B" w:rsidP="005E5B48">
      <w:pPr>
        <w:pStyle w:val="Heading2"/>
        <w:ind w:left="720" w:hanging="709"/>
      </w:pPr>
      <w:bookmarkStart w:id="137" w:name="_Toc95291594"/>
      <w:bookmarkStart w:id="138" w:name="_Toc114669417"/>
      <w:r>
        <w:t>Coordination requirements contained in other RALIs</w:t>
      </w:r>
      <w:bookmarkEnd w:id="137"/>
      <w:bookmarkEnd w:id="138"/>
    </w:p>
    <w:p w14:paraId="46D0BF78" w14:textId="63ADE7A1" w:rsidR="00631000" w:rsidRDefault="00147C6C" w:rsidP="005E5B48">
      <w:pPr>
        <w:ind w:left="11"/>
      </w:pPr>
      <w:r>
        <w:t xml:space="preserve">AWL transmitters that are required to be registered must be coordinated with existing receivers from other </w:t>
      </w:r>
      <w:r w:rsidR="00243559">
        <w:t xml:space="preserve">licensed </w:t>
      </w:r>
      <w:r>
        <w:t xml:space="preserve">services. The details of an AWL transmitter must not be included in the RRL if the protection and coordination requirements of receivers of other services are not met. These requirements are detailed in the individual RALIs for those services which are available from the </w:t>
      </w:r>
      <w:hyperlink r:id="rId37" w:history="1">
        <w:r w:rsidRPr="00D92829">
          <w:rPr>
            <w:rStyle w:val="Hyperlink"/>
            <w:i/>
            <w:iCs/>
          </w:rPr>
          <w:t>RALIs</w:t>
        </w:r>
      </w:hyperlink>
      <w:r>
        <w:t xml:space="preserve"> page of the ACMA website. Note that some RALIs provide protection for geographic areas rather than an individual service.</w:t>
      </w:r>
    </w:p>
    <w:p w14:paraId="7697439A" w14:textId="77777777" w:rsidR="00147C6C" w:rsidRDefault="00147C6C" w:rsidP="005E5B48">
      <w:pPr>
        <w:keepNext/>
        <w:spacing w:after="120"/>
        <w:ind w:left="11"/>
      </w:pPr>
      <w:r>
        <w:t>Applicable RALIs to consider include, but are not limited to:</w:t>
      </w:r>
    </w:p>
    <w:p w14:paraId="24095078" w14:textId="0E8460FA" w:rsidR="00147C6C" w:rsidRDefault="00147C6C" w:rsidP="005E5B48">
      <w:pPr>
        <w:pStyle w:val="ListBullet"/>
        <w:keepNext/>
        <w:ind w:left="306"/>
      </w:pPr>
      <w:r>
        <w:t xml:space="preserve">For fixed links, refer to </w:t>
      </w:r>
      <w:hyperlink r:id="rId38" w:history="1">
        <w:r w:rsidRPr="00D92829">
          <w:rPr>
            <w:rStyle w:val="Hyperlink"/>
            <w:i/>
            <w:iCs/>
          </w:rPr>
          <w:t>RALI FX3</w:t>
        </w:r>
      </w:hyperlink>
      <w:r>
        <w:t>.</w:t>
      </w:r>
      <w:r w:rsidR="00AA742E">
        <w:t xml:space="preserve"> </w:t>
      </w:r>
      <w:r w:rsidR="000D1C60">
        <w:t xml:space="preserve">The applicable protection ratios for the coordination of </w:t>
      </w:r>
      <w:r w:rsidR="00AA742E">
        <w:t>AWL transmitters</w:t>
      </w:r>
      <w:r w:rsidR="000D1C60">
        <w:t xml:space="preserve"> with fixed link receivers are detailed in </w:t>
      </w:r>
      <w:r w:rsidR="00AA742E">
        <w:t>Appendix 1 of RALI FX3.</w:t>
      </w:r>
      <w:r>
        <w:t xml:space="preserve"> In this instance the size of the first adjacent channel is defined as being the larger bandwidth of the two services being coordinated.</w:t>
      </w:r>
      <w:r w:rsidR="000B199F" w:rsidRPr="000B199F">
        <w:t xml:space="preserve"> </w:t>
      </w:r>
    </w:p>
    <w:p w14:paraId="1460D70D" w14:textId="77777777" w:rsidR="00147C6C" w:rsidRDefault="00147C6C" w:rsidP="005E5B48">
      <w:pPr>
        <w:pStyle w:val="ListBullet"/>
        <w:ind w:left="306"/>
      </w:pPr>
      <w:r>
        <w:t xml:space="preserve">For earth station protection zones (ESPZs), refer to </w:t>
      </w:r>
      <w:hyperlink r:id="rId39" w:history="1">
        <w:r w:rsidRPr="00D92829">
          <w:rPr>
            <w:rStyle w:val="Hyperlink"/>
            <w:i/>
            <w:iCs/>
          </w:rPr>
          <w:t>RALI MS44</w:t>
        </w:r>
      </w:hyperlink>
      <w:r>
        <w:t>.</w:t>
      </w:r>
    </w:p>
    <w:p w14:paraId="6226BDD3" w14:textId="7F8AACF8" w:rsidR="00147C6C" w:rsidRDefault="00147C6C" w:rsidP="005E5B48">
      <w:pPr>
        <w:pStyle w:val="ListBullet"/>
        <w:keepNext/>
        <w:ind w:left="306"/>
      </w:pPr>
      <w:r>
        <w:t>For the Australian Radio Qui</w:t>
      </w:r>
      <w:r w:rsidR="007C314B">
        <w:t>et</w:t>
      </w:r>
      <w:r>
        <w:t xml:space="preserve"> Zone in Western Australia (ARQZWA), refer to </w:t>
      </w:r>
      <w:hyperlink r:id="rId40" w:history="1">
        <w:r w:rsidRPr="00D92829">
          <w:rPr>
            <w:rStyle w:val="Hyperlink"/>
            <w:i/>
            <w:iCs/>
          </w:rPr>
          <w:t>RALI MS32</w:t>
        </w:r>
      </w:hyperlink>
      <w:r w:rsidRPr="00D92829">
        <w:t>.</w:t>
      </w:r>
    </w:p>
    <w:p w14:paraId="449147D6" w14:textId="77777777" w:rsidR="00147C6C" w:rsidRDefault="00147C6C" w:rsidP="005E5B48">
      <w:pPr>
        <w:ind w:left="11"/>
      </w:pPr>
      <w:r>
        <w:t xml:space="preserve">Details of existing services for performing coordination calculations can be found on the </w:t>
      </w:r>
      <w:hyperlink r:id="rId41" w:history="1">
        <w:r w:rsidRPr="005E6A8F">
          <w:rPr>
            <w:rStyle w:val="Hyperlink"/>
            <w:i/>
            <w:iCs/>
          </w:rPr>
          <w:t>Register of Radiocommunications Licences</w:t>
        </w:r>
      </w:hyperlink>
      <w:r>
        <w:t xml:space="preserve"> (RRL) page of the ACMA website.</w:t>
      </w:r>
    </w:p>
    <w:p w14:paraId="147DC07A" w14:textId="5F51FA86" w:rsidR="00147C6C" w:rsidRDefault="00147C6C" w:rsidP="005E5B48">
      <w:pPr>
        <w:ind w:left="11"/>
      </w:pPr>
      <w:r>
        <w:lastRenderedPageBreak/>
        <w:t xml:space="preserve">Some services that require protection from AWL transmitters do not have RALIs.  The coordination requirements for these services are detailed later in this </w:t>
      </w:r>
      <w:r w:rsidR="007D18B7">
        <w:t>RALI</w:t>
      </w:r>
      <w:r>
        <w:t>.</w:t>
      </w:r>
    </w:p>
    <w:p w14:paraId="0BB08CF0" w14:textId="47EA2991" w:rsidR="00631000" w:rsidRDefault="00631000" w:rsidP="005E5B48">
      <w:pPr>
        <w:ind w:left="11"/>
      </w:pPr>
    </w:p>
    <w:p w14:paraId="374DC9BC" w14:textId="47689F12" w:rsidR="00147C6C" w:rsidRPr="00D62118" w:rsidRDefault="00147C6C" w:rsidP="005E5B48">
      <w:pPr>
        <w:pStyle w:val="Heading3"/>
        <w:ind w:left="720" w:hanging="709"/>
      </w:pPr>
      <w:bookmarkStart w:id="139" w:name="_Toc95291595"/>
      <w:bookmarkStart w:id="140" w:name="_Toc114669418"/>
      <w:r w:rsidRPr="00D62118">
        <w:t xml:space="preserve">Protection from </w:t>
      </w:r>
      <w:r w:rsidR="00FF007D">
        <w:t>AWL transmitters that are registration exempt</w:t>
      </w:r>
      <w:bookmarkEnd w:id="139"/>
      <w:bookmarkEnd w:id="140"/>
    </w:p>
    <w:p w14:paraId="3E40FABA" w14:textId="6AED8F8F" w:rsidR="00147C6C" w:rsidRDefault="00147C6C" w:rsidP="005E5B48">
      <w:pPr>
        <w:ind w:left="11"/>
      </w:pPr>
      <w:r w:rsidRPr="00663EAE">
        <w:t xml:space="preserve">If the proposed </w:t>
      </w:r>
      <w:r w:rsidR="00327CDB">
        <w:t>AWL</w:t>
      </w:r>
      <w:r w:rsidRPr="00663EAE">
        <w:t xml:space="preserve"> base station site is within 20</w:t>
      </w:r>
      <w:r>
        <w:t> </w:t>
      </w:r>
      <w:r w:rsidRPr="00663EAE">
        <w:t xml:space="preserve">km of a receiver from another service that requires protection, not including ESPZs, detailed coordination is required. Coordination is deemed to be successful if it can be shown that the coverage area of the </w:t>
      </w:r>
      <w:r w:rsidR="001A6D4A">
        <w:t xml:space="preserve">AWL </w:t>
      </w:r>
      <w:r w:rsidRPr="00663EAE">
        <w:t xml:space="preserve">system does not overlap the interference zone of the receiver (where the receiver is provided protection to the levels defined in the RALI that the receiver is coordinated by).  </w:t>
      </w:r>
      <w:r w:rsidRPr="006130BC">
        <w:t xml:space="preserve">Refer to </w:t>
      </w:r>
      <w:hyperlink w:anchor="AppendixE" w:history="1">
        <w:r w:rsidRPr="005E5B48">
          <w:t xml:space="preserve">Appendix </w:t>
        </w:r>
      </w:hyperlink>
      <w:r w:rsidR="00F350F1">
        <w:t>C</w:t>
      </w:r>
      <w:r w:rsidR="00F350F1" w:rsidRPr="006130BC">
        <w:t xml:space="preserve"> </w:t>
      </w:r>
      <w:r w:rsidRPr="006130BC">
        <w:t>for</w:t>
      </w:r>
      <w:r w:rsidRPr="00663EAE">
        <w:t xml:space="preserve"> details.</w:t>
      </w:r>
    </w:p>
    <w:p w14:paraId="5DDF8BB5" w14:textId="318CA202" w:rsidR="00147C6C" w:rsidRDefault="00147C6C" w:rsidP="005E5B48">
      <w:pPr>
        <w:ind w:left="11"/>
      </w:pPr>
      <w:r>
        <w:t xml:space="preserve">Note that this does not completely remove the risk of interference from </w:t>
      </w:r>
      <w:r w:rsidR="007D18B7">
        <w:t>registration exempt transmitters</w:t>
      </w:r>
      <w:r>
        <w:t>.  Licensees should use judgement to assess</w:t>
      </w:r>
      <w:r w:rsidR="008048E5">
        <w:t xml:space="preserve"> transmitters that have</w:t>
      </w:r>
      <w:r>
        <w:t xml:space="preserve"> a high potential to cause interference such as those on hills higher than the associated base station.  </w:t>
      </w:r>
      <w:proofErr w:type="gramStart"/>
      <w:r>
        <w:t>In the event that</w:t>
      </w:r>
      <w:proofErr w:type="gramEnd"/>
      <w:r>
        <w:t xml:space="preserve"> interference occurs</w:t>
      </w:r>
      <w:r w:rsidR="00151FB0">
        <w:t xml:space="preserve"> the AWL LCD contains a condition that transmitters exempt from registration must not cause interference to other services.</w:t>
      </w:r>
    </w:p>
    <w:p w14:paraId="23878FAD" w14:textId="77777777" w:rsidR="00147C6C" w:rsidRDefault="00147C6C" w:rsidP="00D62628"/>
    <w:p w14:paraId="12D33D23" w14:textId="078908CD" w:rsidR="00CB3B0A" w:rsidRDefault="00CB3B0A" w:rsidP="005E5B48">
      <w:pPr>
        <w:pStyle w:val="Heading2"/>
        <w:ind w:left="720" w:hanging="709"/>
      </w:pPr>
      <w:bookmarkStart w:id="141" w:name="_Toc95291596"/>
      <w:bookmarkStart w:id="142" w:name="_Toc114669419"/>
      <w:bookmarkEnd w:id="133"/>
      <w:r>
        <w:t xml:space="preserve">Coexistence with </w:t>
      </w:r>
      <w:r w:rsidR="004E1CC5">
        <w:t xml:space="preserve">incumbent </w:t>
      </w:r>
      <w:r>
        <w:t xml:space="preserve">point to </w:t>
      </w:r>
      <w:r w:rsidR="000A5B31">
        <w:t>multi</w:t>
      </w:r>
      <w:r>
        <w:t>point services</w:t>
      </w:r>
      <w:bookmarkEnd w:id="141"/>
      <w:bookmarkEnd w:id="142"/>
    </w:p>
    <w:p w14:paraId="33C28D51" w14:textId="7B2FE24B" w:rsidR="00296CB3" w:rsidRDefault="00296CB3" w:rsidP="005E5B48">
      <w:pPr>
        <w:ind w:left="11"/>
      </w:pPr>
      <w:r>
        <w:t>This section outlines the requirements for the protection of existing point to multipoint services</w:t>
      </w:r>
      <w:r w:rsidR="00B6721D">
        <w:t xml:space="preserve"> from transmitters operated under an AWL</w:t>
      </w:r>
      <w:r>
        <w:t>.</w:t>
      </w:r>
      <w:r w:rsidR="007F0BE2">
        <w:t xml:space="preserve"> </w:t>
      </w:r>
      <w:r w:rsidR="00B6721D">
        <w:t>This coordination procedure is also to be used when coordinating spectrum licensed transmitters with existing point to multipoint receivers.</w:t>
      </w:r>
    </w:p>
    <w:p w14:paraId="32655F7A" w14:textId="089930DC" w:rsidR="00296CB3" w:rsidRPr="003912D7" w:rsidRDefault="009B5F76" w:rsidP="005E5B48">
      <w:pPr>
        <w:ind w:left="11"/>
      </w:pPr>
      <w:r w:rsidRPr="003912D7">
        <w:t xml:space="preserve">As no new </w:t>
      </w:r>
      <w:r w:rsidR="004B3841" w:rsidRPr="005E5B48">
        <w:t>point to multipoint</w:t>
      </w:r>
      <w:r w:rsidRPr="003912D7">
        <w:t xml:space="preserve"> licences are to be issued in the 3400-4000 MHz range</w:t>
      </w:r>
      <w:r w:rsidR="00A361DA">
        <w:t xml:space="preserve"> in areas where AWLs are available</w:t>
      </w:r>
      <w:r w:rsidR="00243559">
        <w:t xml:space="preserve"> (</w:t>
      </w:r>
      <w:r w:rsidR="00D40930">
        <w:t>i.e.,</w:t>
      </w:r>
      <w:r w:rsidR="00243559">
        <w:t xml:space="preserve"> as detailed at Appendix A)</w:t>
      </w:r>
      <w:r w:rsidRPr="003912D7">
        <w:t xml:space="preserve">, no procedure is defined for the protection for AWL receivers. This means that AWL receivers are not afforded protection from existing </w:t>
      </w:r>
      <w:r w:rsidR="004B3841" w:rsidRPr="005E5B48">
        <w:t xml:space="preserve">point to multipoint </w:t>
      </w:r>
      <w:r w:rsidRPr="003912D7">
        <w:t xml:space="preserve">services. </w:t>
      </w:r>
      <w:r w:rsidR="006B7D80" w:rsidRPr="003912D7">
        <w:t>Prospective licensees should assess the risk of interference from existing point to multipoint services before deploying services.</w:t>
      </w:r>
      <w:r w:rsidR="00CB42FD" w:rsidRPr="003912D7">
        <w:t xml:space="preserve"> Details of existing services for performing coordination calculations </w:t>
      </w:r>
      <w:r w:rsidR="00FE7E65">
        <w:t xml:space="preserve">against </w:t>
      </w:r>
      <w:r w:rsidR="00CB42FD" w:rsidRPr="003912D7">
        <w:t>can be found on the RRL page of the ACMA website</w:t>
      </w:r>
      <w:r w:rsidR="00D86EB2" w:rsidRPr="003912D7">
        <w:t xml:space="preserve"> and in Appendix </w:t>
      </w:r>
      <w:r w:rsidR="00F350F1">
        <w:t>D</w:t>
      </w:r>
      <w:r w:rsidR="00CB42FD" w:rsidRPr="003912D7">
        <w:t>.</w:t>
      </w:r>
    </w:p>
    <w:p w14:paraId="2E626D4A" w14:textId="22AAEB38" w:rsidR="00E07A74" w:rsidRPr="008869BD" w:rsidRDefault="00E07A74" w:rsidP="00D62628"/>
    <w:p w14:paraId="3933864E" w14:textId="21A16A60" w:rsidR="00D87BF1" w:rsidRPr="00D62118" w:rsidRDefault="00D87BF1" w:rsidP="005E5B48">
      <w:pPr>
        <w:pStyle w:val="Heading3"/>
        <w:ind w:left="720" w:hanging="709"/>
      </w:pPr>
      <w:bookmarkStart w:id="143" w:name="_Toc95291597"/>
      <w:bookmarkStart w:id="144" w:name="_Toc114669420"/>
      <w:r w:rsidRPr="00D62118">
        <w:t>Protection of</w:t>
      </w:r>
      <w:r w:rsidR="00CB3B0A">
        <w:t xml:space="preserve"> legacy</w:t>
      </w:r>
      <w:r w:rsidR="007B0165">
        <w:t xml:space="preserve"> </w:t>
      </w:r>
      <w:r w:rsidRPr="00D62118">
        <w:t>point to multipoint base stations</w:t>
      </w:r>
      <w:bookmarkEnd w:id="101"/>
      <w:bookmarkEnd w:id="102"/>
      <w:bookmarkEnd w:id="103"/>
      <w:bookmarkEnd w:id="104"/>
      <w:bookmarkEnd w:id="105"/>
      <w:bookmarkEnd w:id="143"/>
      <w:bookmarkEnd w:id="144"/>
    </w:p>
    <w:p w14:paraId="18A1531A" w14:textId="6BD81F8F" w:rsidR="00DA7BC1" w:rsidRDefault="00AB7F8A" w:rsidP="005E5B48">
      <w:pPr>
        <w:ind w:left="11"/>
      </w:pPr>
      <w:r>
        <w:t xml:space="preserve">Incumbent </w:t>
      </w:r>
      <w:r w:rsidR="007F0BE2">
        <w:t xml:space="preserve">point to multipoint services </w:t>
      </w:r>
      <w:proofErr w:type="gramStart"/>
      <w:r w:rsidR="007F0BE2">
        <w:t>continue</w:t>
      </w:r>
      <w:proofErr w:type="gramEnd"/>
      <w:r w:rsidR="007F0BE2">
        <w:t xml:space="preserve"> to operate in the range 3400-3700 MHz using a variety of channel sizes between 5 to 30 MHz in either time or frequency division duplexing modes. </w:t>
      </w:r>
      <w:r w:rsidR="00B40D8E">
        <w:t>Existing</w:t>
      </w:r>
      <w:r w:rsidR="00EF498B">
        <w:t xml:space="preserve"> </w:t>
      </w:r>
      <w:r w:rsidR="00DA7BC1" w:rsidRPr="00DA7BC1">
        <w:t xml:space="preserve">point to multipoint base station receivers shall be protected to the levels listed in </w:t>
      </w:r>
      <w:r w:rsidR="00221195">
        <w:t>5</w:t>
      </w:r>
      <w:r w:rsidR="00DA7BC1" w:rsidRPr="00DA7BC1">
        <w:t xml:space="preserve"> for base stations with bandwidths of 20</w:t>
      </w:r>
      <w:r w:rsidR="00DA7BC1">
        <w:t> </w:t>
      </w:r>
      <w:r w:rsidR="00DA7BC1" w:rsidRPr="00DA7BC1">
        <w:t xml:space="preserve">MHz or less or </w:t>
      </w:r>
      <w:r w:rsidR="00E87F66">
        <w:rPr>
          <w:highlight w:val="green"/>
        </w:rPr>
        <w:fldChar w:fldCharType="begin"/>
      </w:r>
      <w:r w:rsidR="00E87F66">
        <w:instrText xml:space="preserve"> REF _Ref25754573 \h </w:instrText>
      </w:r>
      <w:r w:rsidR="00E87F66">
        <w:rPr>
          <w:highlight w:val="green"/>
        </w:rPr>
      </w:r>
      <w:r w:rsidR="00E87F66">
        <w:rPr>
          <w:highlight w:val="green"/>
        </w:rPr>
        <w:fldChar w:fldCharType="separate"/>
      </w:r>
      <w:r w:rsidR="002B58E6">
        <w:t xml:space="preserve">Table </w:t>
      </w:r>
      <w:r w:rsidR="00E87F66">
        <w:rPr>
          <w:highlight w:val="green"/>
        </w:rPr>
        <w:fldChar w:fldCharType="end"/>
      </w:r>
      <w:r w:rsidR="00221195">
        <w:t>6</w:t>
      </w:r>
      <w:r w:rsidR="00DA7BC1" w:rsidRPr="00DA7BC1">
        <w:t xml:space="preserve"> for base stations with bandwidth</w:t>
      </w:r>
      <w:r w:rsidR="00D535F0">
        <w:t>s</w:t>
      </w:r>
      <w:r w:rsidR="00DA7BC1" w:rsidRPr="00DA7BC1">
        <w:t xml:space="preserve"> greater than 20</w:t>
      </w:r>
      <w:r w:rsidR="00DA7BC1">
        <w:t> </w:t>
      </w:r>
      <w:r w:rsidR="00DA7BC1" w:rsidRPr="00DA7BC1">
        <w:t>MHz.</w:t>
      </w:r>
    </w:p>
    <w:p w14:paraId="75FB28CB" w14:textId="2AAAB812" w:rsidR="005C3BEA" w:rsidRDefault="005C3BEA" w:rsidP="006E3AC3">
      <w:pPr>
        <w:pStyle w:val="ACMATableHeader"/>
      </w:pPr>
      <w:bookmarkStart w:id="145" w:name="_Hlk32927685"/>
      <w:r w:rsidRPr="005C3BEA">
        <w:t>Protection criteria for</w:t>
      </w:r>
      <w:r w:rsidR="007F0BE2">
        <w:t xml:space="preserve"> </w:t>
      </w:r>
      <w:r w:rsidR="004E1CC5">
        <w:t xml:space="preserve">incumbent </w:t>
      </w:r>
      <w:r w:rsidRPr="005C3BEA">
        <w:t>point to multipoint base station receivers with bandwidths of 20</w:t>
      </w:r>
      <w:r>
        <w:t> </w:t>
      </w:r>
      <w:r w:rsidRPr="005C3BEA">
        <w:t>MHz or less</w:t>
      </w:r>
      <w:bookmarkEnd w:id="145"/>
      <w:r>
        <w:t>.</w:t>
      </w:r>
    </w:p>
    <w:tbl>
      <w:tblPr>
        <w:tblStyle w:val="TableGrid"/>
        <w:tblW w:w="0" w:type="auto"/>
        <w:tblLayout w:type="fixed"/>
        <w:tblLook w:val="04A0" w:firstRow="1" w:lastRow="0" w:firstColumn="1" w:lastColumn="0" w:noHBand="0" w:noVBand="1"/>
      </w:tblPr>
      <w:tblGrid>
        <w:gridCol w:w="2830"/>
        <w:gridCol w:w="6237"/>
      </w:tblGrid>
      <w:tr w:rsidR="00BB5D43" w14:paraId="02EE95FA" w14:textId="77777777" w:rsidTr="005E5B48">
        <w:tc>
          <w:tcPr>
            <w:tcW w:w="2830" w:type="dxa"/>
            <w:shd w:val="clear" w:color="auto" w:fill="D9D9D9" w:themeFill="background1" w:themeFillShade="D9"/>
          </w:tcPr>
          <w:p w14:paraId="4C578DC4" w14:textId="010366DE" w:rsidR="00BB5D43" w:rsidRDefault="00BB5D43" w:rsidP="005E5B48">
            <w:pPr>
              <w:keepNext/>
              <w:spacing w:before="20" w:after="20"/>
              <w:ind w:left="11"/>
            </w:pPr>
            <w:bookmarkStart w:id="146" w:name="_Hlk32927677"/>
            <w:r>
              <w:rPr>
                <w:b/>
              </w:rPr>
              <w:lastRenderedPageBreak/>
              <w:t>Frequency offset</w:t>
            </w:r>
          </w:p>
        </w:tc>
        <w:tc>
          <w:tcPr>
            <w:tcW w:w="6237" w:type="dxa"/>
            <w:shd w:val="clear" w:color="auto" w:fill="D9D9D9" w:themeFill="background1" w:themeFillShade="D9"/>
          </w:tcPr>
          <w:p w14:paraId="55E66647" w14:textId="3A24DD4B" w:rsidR="00BB5D43" w:rsidRDefault="00BB5D43" w:rsidP="00BB5D43">
            <w:pPr>
              <w:keepNext/>
              <w:spacing w:before="20" w:after="20"/>
            </w:pPr>
            <w:r w:rsidRPr="00AB58A4">
              <w:rPr>
                <w:b/>
              </w:rPr>
              <w:t xml:space="preserve">Base </w:t>
            </w:r>
            <w:r>
              <w:rPr>
                <w:b/>
              </w:rPr>
              <w:t>s</w:t>
            </w:r>
            <w:r w:rsidRPr="00AB58A4">
              <w:rPr>
                <w:b/>
              </w:rPr>
              <w:t>tation</w:t>
            </w:r>
            <w:r>
              <w:rPr>
                <w:b/>
              </w:rPr>
              <w:t xml:space="preserve"> p</w:t>
            </w:r>
            <w:r w:rsidRPr="00AB58A4">
              <w:rPr>
                <w:b/>
              </w:rPr>
              <w:t xml:space="preserve">rotection </w:t>
            </w:r>
            <w:r>
              <w:rPr>
                <w:b/>
              </w:rPr>
              <w:t>c</w:t>
            </w:r>
            <w:r w:rsidRPr="00AB58A4">
              <w:rPr>
                <w:b/>
              </w:rPr>
              <w:t>riteria</w:t>
            </w:r>
            <w:r w:rsidR="00D73260">
              <w:rPr>
                <w:b/>
              </w:rPr>
              <w:t xml:space="preserve"> </w:t>
            </w:r>
            <w:r>
              <w:rPr>
                <w:b/>
              </w:rPr>
              <w:t>(at the input of the receiver)</w:t>
            </w:r>
          </w:p>
        </w:tc>
      </w:tr>
      <w:tr w:rsidR="00BB5D43" w14:paraId="3795D8C0" w14:textId="77777777" w:rsidTr="005E5B48">
        <w:tc>
          <w:tcPr>
            <w:tcW w:w="2830" w:type="dxa"/>
          </w:tcPr>
          <w:p w14:paraId="15FC45AE" w14:textId="63AB6ED8" w:rsidR="00BB5D43" w:rsidRDefault="00BB5D43" w:rsidP="00BB5D43">
            <w:pPr>
              <w:keepNext/>
              <w:spacing w:before="20" w:after="20"/>
            </w:pPr>
            <w:r w:rsidRPr="001E720A">
              <w:t>Co-channel</w:t>
            </w:r>
          </w:p>
        </w:tc>
        <w:tc>
          <w:tcPr>
            <w:tcW w:w="6237" w:type="dxa"/>
          </w:tcPr>
          <w:p w14:paraId="0A09DDFD" w14:textId="42C82E02" w:rsidR="00BB5D43" w:rsidRDefault="00BB5D43" w:rsidP="00BB5D43">
            <w:pPr>
              <w:keepNext/>
              <w:spacing w:before="20" w:after="20"/>
            </w:pPr>
            <w:r w:rsidRPr="001E720A">
              <w:t>–115 dBm/MHz</w:t>
            </w:r>
          </w:p>
        </w:tc>
      </w:tr>
      <w:tr w:rsidR="00BB5D43" w14:paraId="37700EA2" w14:textId="77777777" w:rsidTr="005E5B48">
        <w:tc>
          <w:tcPr>
            <w:tcW w:w="2830" w:type="dxa"/>
          </w:tcPr>
          <w:p w14:paraId="0AA90D2D" w14:textId="5F74B0E8" w:rsidR="00BB5D43" w:rsidRDefault="006754CF" w:rsidP="00BB5D43">
            <w:pPr>
              <w:keepNext/>
              <w:spacing w:before="20" w:after="20"/>
            </w:pPr>
            <w:r>
              <w:t>F</w:t>
            </w:r>
            <w:r>
              <w:rPr>
                <w:vertAlign w:val="subscript"/>
              </w:rPr>
              <w:t xml:space="preserve">offset </w:t>
            </w:r>
            <w:r w:rsidR="00BB5D43" w:rsidRPr="001E720A">
              <w:t>≤ 5 MHz</w:t>
            </w:r>
          </w:p>
        </w:tc>
        <w:tc>
          <w:tcPr>
            <w:tcW w:w="6237" w:type="dxa"/>
          </w:tcPr>
          <w:p w14:paraId="126B3F82" w14:textId="526248E5" w:rsidR="00BB5D43" w:rsidRDefault="00BB5D43" w:rsidP="00BB5D43">
            <w:pPr>
              <w:keepNext/>
              <w:spacing w:before="20" w:after="20"/>
            </w:pPr>
            <w:r w:rsidRPr="001E720A">
              <w:t>–</w:t>
            </w:r>
            <w:r w:rsidR="00A579FB">
              <w:t>57.5</w:t>
            </w:r>
            <w:r w:rsidRPr="001E720A">
              <w:t xml:space="preserve"> dBm/MHz</w:t>
            </w:r>
          </w:p>
        </w:tc>
      </w:tr>
      <w:tr w:rsidR="00BB5D43" w14:paraId="79555BCD" w14:textId="77777777" w:rsidTr="005E5B48">
        <w:tc>
          <w:tcPr>
            <w:tcW w:w="2830" w:type="dxa"/>
          </w:tcPr>
          <w:p w14:paraId="60EE1D5D" w14:textId="65011ED9" w:rsidR="00BB5D43" w:rsidRPr="006754CF" w:rsidRDefault="00BB5D43" w:rsidP="00BB5D43">
            <w:pPr>
              <w:keepNext/>
              <w:spacing w:before="20" w:after="20"/>
            </w:pPr>
            <w:r w:rsidRPr="001E720A">
              <w:t xml:space="preserve"> 5 MHz</w:t>
            </w:r>
            <w:r w:rsidR="006754CF">
              <w:t xml:space="preserve"> &lt; F</w:t>
            </w:r>
            <w:r w:rsidR="006754CF">
              <w:rPr>
                <w:vertAlign w:val="subscript"/>
              </w:rPr>
              <w:t>offset</w:t>
            </w:r>
            <w:r w:rsidR="006754CF">
              <w:t xml:space="preserve"> </w:t>
            </w:r>
            <w:r w:rsidR="006754CF">
              <w:rPr>
                <w:rFonts w:cs="Arial"/>
              </w:rPr>
              <w:t>≤</w:t>
            </w:r>
            <w:r w:rsidR="006754CF">
              <w:t xml:space="preserve"> 15 MHz</w:t>
            </w:r>
          </w:p>
        </w:tc>
        <w:tc>
          <w:tcPr>
            <w:tcW w:w="6237" w:type="dxa"/>
          </w:tcPr>
          <w:p w14:paraId="29E961B0" w14:textId="6F4088B7" w:rsidR="00BB5D43" w:rsidRDefault="00BB5D43" w:rsidP="00BB5D43">
            <w:pPr>
              <w:keepNext/>
              <w:spacing w:before="20" w:after="20"/>
            </w:pPr>
            <w:r w:rsidRPr="001E720A">
              <w:t>–50 dBm/MHz</w:t>
            </w:r>
          </w:p>
        </w:tc>
      </w:tr>
      <w:tr w:rsidR="006754CF" w14:paraId="15BB87DE" w14:textId="77777777" w:rsidTr="005E5B48">
        <w:tc>
          <w:tcPr>
            <w:tcW w:w="2830" w:type="dxa"/>
          </w:tcPr>
          <w:p w14:paraId="21DC34C0" w14:textId="644B0240" w:rsidR="006754CF" w:rsidRPr="001E720A" w:rsidDel="006754CF" w:rsidRDefault="001B4FF0" w:rsidP="00BB5D43">
            <w:pPr>
              <w:keepNext/>
              <w:spacing w:before="20" w:after="20"/>
            </w:pPr>
            <w:r>
              <w:t>F</w:t>
            </w:r>
            <w:r>
              <w:rPr>
                <w:vertAlign w:val="subscript"/>
              </w:rPr>
              <w:t>offset</w:t>
            </w:r>
            <w:r>
              <w:t xml:space="preserve"> </w:t>
            </w:r>
            <w:r>
              <w:rPr>
                <w:rFonts w:cs="Arial"/>
              </w:rPr>
              <w:t>&gt;</w:t>
            </w:r>
            <w:r>
              <w:t xml:space="preserve"> 15 MHz</w:t>
            </w:r>
          </w:p>
        </w:tc>
        <w:tc>
          <w:tcPr>
            <w:tcW w:w="6237" w:type="dxa"/>
          </w:tcPr>
          <w:p w14:paraId="17E05F7A" w14:textId="5CD056D1" w:rsidR="006754CF" w:rsidRPr="001E720A" w:rsidRDefault="00965014" w:rsidP="00BB5D43">
            <w:pPr>
              <w:keepNext/>
              <w:spacing w:before="20" w:after="20"/>
            </w:pPr>
            <w:r>
              <w:t>No coordination required, however before registering an AWL transmitter, the AWL licensee (or their Accredited Person) is required to notify the licensee of any receivers</w:t>
            </w:r>
            <w:r w:rsidR="00B864C6">
              <w:t xml:space="preserve"> identified in the below steps</w:t>
            </w:r>
            <w:r>
              <w:t xml:space="preserve">. This allows time for affected parties to negotiate with prospective licensees and implement any additional mitigation that may be required. See Appendix </w:t>
            </w:r>
            <w:r w:rsidR="00632AB6">
              <w:t>E</w:t>
            </w:r>
            <w:r>
              <w:t xml:space="preserve"> for notification requirements</w:t>
            </w:r>
            <w:r w:rsidR="00905F48">
              <w:t>.</w:t>
            </w:r>
          </w:p>
        </w:tc>
      </w:tr>
    </w:tbl>
    <w:p w14:paraId="5F150746" w14:textId="3DE1CE1A" w:rsidR="00DA7BC1" w:rsidRDefault="00DA7BC1" w:rsidP="005E5B48">
      <w:pPr>
        <w:spacing w:after="0"/>
        <w:ind w:left="11"/>
      </w:pPr>
    </w:p>
    <w:p w14:paraId="0A810ED3" w14:textId="449BE0F5" w:rsidR="005C3BEA" w:rsidRDefault="005C3BEA" w:rsidP="006E3AC3">
      <w:pPr>
        <w:pStyle w:val="ACMATableHeader"/>
      </w:pPr>
      <w:r w:rsidRPr="005C3BEA">
        <w:t xml:space="preserve">Protection criteria for </w:t>
      </w:r>
      <w:r w:rsidR="00A433DE">
        <w:t xml:space="preserve">incumbent </w:t>
      </w:r>
      <w:r w:rsidRPr="005C3BEA">
        <w:t>point to multipoint base station receivers with bandwidths greater than 20</w:t>
      </w:r>
      <w:r>
        <w:t> MHz.</w:t>
      </w:r>
    </w:p>
    <w:tbl>
      <w:tblPr>
        <w:tblStyle w:val="TableGrid"/>
        <w:tblW w:w="0" w:type="auto"/>
        <w:tblLook w:val="04A0" w:firstRow="1" w:lastRow="0" w:firstColumn="1" w:lastColumn="0" w:noHBand="0" w:noVBand="1"/>
      </w:tblPr>
      <w:tblGrid>
        <w:gridCol w:w="2830"/>
        <w:gridCol w:w="6237"/>
      </w:tblGrid>
      <w:tr w:rsidR="00BB5D43" w14:paraId="399D4593" w14:textId="77777777" w:rsidTr="005E5B48">
        <w:trPr>
          <w:trHeight w:val="850"/>
        </w:trPr>
        <w:tc>
          <w:tcPr>
            <w:tcW w:w="2830" w:type="dxa"/>
            <w:shd w:val="clear" w:color="auto" w:fill="D9D9D9" w:themeFill="background1" w:themeFillShade="D9"/>
          </w:tcPr>
          <w:p w14:paraId="63D28E31" w14:textId="77777777" w:rsidR="00BB5D43" w:rsidRDefault="00BB5D43" w:rsidP="00E87F66">
            <w:pPr>
              <w:keepNext/>
              <w:spacing w:before="20" w:after="20"/>
            </w:pPr>
            <w:r>
              <w:rPr>
                <w:b/>
              </w:rPr>
              <w:t>Frequency offset</w:t>
            </w:r>
          </w:p>
        </w:tc>
        <w:tc>
          <w:tcPr>
            <w:tcW w:w="6237" w:type="dxa"/>
            <w:shd w:val="clear" w:color="auto" w:fill="D9D9D9" w:themeFill="background1" w:themeFillShade="D9"/>
          </w:tcPr>
          <w:p w14:paraId="1FA5E05E" w14:textId="334A6961" w:rsidR="00BB5D43" w:rsidRDefault="00BB5D43" w:rsidP="00E87F66">
            <w:pPr>
              <w:keepNext/>
              <w:spacing w:before="20" w:after="20"/>
            </w:pPr>
            <w:r w:rsidRPr="00AB58A4">
              <w:rPr>
                <w:b/>
              </w:rPr>
              <w:t xml:space="preserve">Base </w:t>
            </w:r>
            <w:r>
              <w:rPr>
                <w:b/>
              </w:rPr>
              <w:t>s</w:t>
            </w:r>
            <w:r w:rsidRPr="00AB58A4">
              <w:rPr>
                <w:b/>
              </w:rPr>
              <w:t>tation</w:t>
            </w:r>
            <w:r>
              <w:rPr>
                <w:b/>
              </w:rPr>
              <w:t xml:space="preserve"> p</w:t>
            </w:r>
            <w:r w:rsidRPr="00AB58A4">
              <w:rPr>
                <w:b/>
              </w:rPr>
              <w:t xml:space="preserve">rotection </w:t>
            </w:r>
            <w:r>
              <w:rPr>
                <w:b/>
              </w:rPr>
              <w:t>c</w:t>
            </w:r>
            <w:r w:rsidRPr="00AB58A4">
              <w:rPr>
                <w:b/>
              </w:rPr>
              <w:t>riteria</w:t>
            </w:r>
            <w:r w:rsidR="00D73260">
              <w:rPr>
                <w:b/>
              </w:rPr>
              <w:t xml:space="preserve"> </w:t>
            </w:r>
            <w:r>
              <w:rPr>
                <w:b/>
              </w:rPr>
              <w:t>(at the input of the receiver)</w:t>
            </w:r>
          </w:p>
        </w:tc>
      </w:tr>
      <w:tr w:rsidR="00BB5D43" w14:paraId="5BD4E75B" w14:textId="77777777" w:rsidTr="005E5B48">
        <w:tc>
          <w:tcPr>
            <w:tcW w:w="2830" w:type="dxa"/>
          </w:tcPr>
          <w:p w14:paraId="6182E08E" w14:textId="77777777" w:rsidR="00BB5D43" w:rsidRDefault="00BB5D43" w:rsidP="00E87F66">
            <w:pPr>
              <w:keepNext/>
              <w:spacing w:before="20" w:after="20"/>
            </w:pPr>
            <w:r w:rsidRPr="001E720A">
              <w:t>Co-channel</w:t>
            </w:r>
          </w:p>
        </w:tc>
        <w:tc>
          <w:tcPr>
            <w:tcW w:w="6237" w:type="dxa"/>
          </w:tcPr>
          <w:p w14:paraId="74EDA4B7" w14:textId="28BE576F" w:rsidR="00BB5D43" w:rsidRDefault="00BB5D43" w:rsidP="00E87F66">
            <w:pPr>
              <w:keepNext/>
              <w:spacing w:before="20" w:after="20"/>
            </w:pPr>
            <w:r w:rsidRPr="001E720A">
              <w:t>–115 dBm/</w:t>
            </w:r>
            <w:r w:rsidR="005C3BEA">
              <w:t>MHz</w:t>
            </w:r>
          </w:p>
        </w:tc>
      </w:tr>
      <w:tr w:rsidR="00BB5D43" w14:paraId="61A07C5F" w14:textId="77777777" w:rsidTr="005E5B48">
        <w:tc>
          <w:tcPr>
            <w:tcW w:w="2830" w:type="dxa"/>
          </w:tcPr>
          <w:p w14:paraId="11BC7709" w14:textId="1FFE8CB2" w:rsidR="00BB5D43" w:rsidRDefault="001B4FF0" w:rsidP="00E87F66">
            <w:pPr>
              <w:keepNext/>
              <w:spacing w:before="20" w:after="20"/>
            </w:pPr>
            <w:proofErr w:type="gramStart"/>
            <w:r>
              <w:t>F</w:t>
            </w:r>
            <w:r>
              <w:rPr>
                <w:vertAlign w:val="subscript"/>
              </w:rPr>
              <w:t xml:space="preserve">offset  </w:t>
            </w:r>
            <w:r w:rsidR="00BB5D43" w:rsidRPr="001E720A">
              <w:t>≤</w:t>
            </w:r>
            <w:proofErr w:type="gramEnd"/>
            <w:r w:rsidR="00BB5D43" w:rsidRPr="001E720A">
              <w:t xml:space="preserve"> </w:t>
            </w:r>
            <w:r w:rsidR="00BB5D43">
              <w:t>20 </w:t>
            </w:r>
            <w:r w:rsidR="00BB5D43" w:rsidRPr="001E720A">
              <w:t>MHz</w:t>
            </w:r>
          </w:p>
        </w:tc>
        <w:tc>
          <w:tcPr>
            <w:tcW w:w="6237" w:type="dxa"/>
          </w:tcPr>
          <w:p w14:paraId="062F5A1B" w14:textId="0C0EDC0D" w:rsidR="00BB5D43" w:rsidRDefault="00BB5D43" w:rsidP="00E87F66">
            <w:pPr>
              <w:keepNext/>
              <w:spacing w:before="20" w:after="20"/>
            </w:pPr>
            <w:r w:rsidRPr="001E720A">
              <w:t>–</w:t>
            </w:r>
            <w:r w:rsidR="008D1214">
              <w:t>63</w:t>
            </w:r>
            <w:r w:rsidR="004325F3">
              <w:t>.5</w:t>
            </w:r>
            <w:r w:rsidR="00A579FB" w:rsidRPr="001E720A">
              <w:t xml:space="preserve"> </w:t>
            </w:r>
            <w:r w:rsidRPr="001E720A">
              <w:t>dBm/</w:t>
            </w:r>
            <w:r w:rsidR="005C3BEA">
              <w:t>MHz</w:t>
            </w:r>
          </w:p>
        </w:tc>
      </w:tr>
      <w:tr w:rsidR="00BB5D43" w14:paraId="4A19D809" w14:textId="77777777" w:rsidTr="005E5B48">
        <w:tc>
          <w:tcPr>
            <w:tcW w:w="2830" w:type="dxa"/>
          </w:tcPr>
          <w:p w14:paraId="64D03C0D" w14:textId="3F308FDF" w:rsidR="00BB5D43" w:rsidRPr="001B4FF0" w:rsidRDefault="00BB5D43" w:rsidP="00E87F66">
            <w:pPr>
              <w:keepNext/>
              <w:spacing w:before="20" w:after="20"/>
            </w:pPr>
            <w:r>
              <w:t>20 </w:t>
            </w:r>
            <w:r w:rsidRPr="001E720A">
              <w:t>MHz</w:t>
            </w:r>
            <w:r w:rsidR="001B4FF0">
              <w:t xml:space="preserve"> &lt; F</w:t>
            </w:r>
            <w:r w:rsidR="001B4FF0">
              <w:rPr>
                <w:vertAlign w:val="subscript"/>
              </w:rPr>
              <w:t>offset</w:t>
            </w:r>
            <w:r w:rsidR="001B4FF0">
              <w:t xml:space="preserve"> </w:t>
            </w:r>
            <w:r w:rsidR="001B4FF0">
              <w:rPr>
                <w:rFonts w:cs="Arial"/>
              </w:rPr>
              <w:t xml:space="preserve">≤ </w:t>
            </w:r>
            <w:r w:rsidR="001B4FF0">
              <w:t>30 MHz</w:t>
            </w:r>
          </w:p>
        </w:tc>
        <w:tc>
          <w:tcPr>
            <w:tcW w:w="6237" w:type="dxa"/>
          </w:tcPr>
          <w:p w14:paraId="239C9C03" w14:textId="3A1EE5E9" w:rsidR="00BB5D43" w:rsidRDefault="00BB5D43" w:rsidP="00E87F66">
            <w:pPr>
              <w:keepNext/>
              <w:spacing w:before="20" w:after="20"/>
            </w:pPr>
            <w:r w:rsidRPr="001E720A">
              <w:t>–5</w:t>
            </w:r>
            <w:r>
              <w:t>6</w:t>
            </w:r>
            <w:r w:rsidRPr="001E720A">
              <w:t xml:space="preserve"> dBm/MHz</w:t>
            </w:r>
          </w:p>
        </w:tc>
      </w:tr>
      <w:tr w:rsidR="001B4FF0" w14:paraId="0F534730" w14:textId="77777777" w:rsidTr="005E5B48">
        <w:tc>
          <w:tcPr>
            <w:tcW w:w="2830" w:type="dxa"/>
          </w:tcPr>
          <w:p w14:paraId="398F8EF9" w14:textId="15A9AC30" w:rsidR="001B4FF0" w:rsidRPr="001E720A" w:rsidDel="001B4FF0" w:rsidRDefault="001B4FF0" w:rsidP="00E87F66">
            <w:pPr>
              <w:keepNext/>
              <w:spacing w:before="20" w:after="20"/>
            </w:pPr>
            <w:r>
              <w:t>F</w:t>
            </w:r>
            <w:r>
              <w:rPr>
                <w:vertAlign w:val="subscript"/>
              </w:rPr>
              <w:t>offset</w:t>
            </w:r>
            <w:r>
              <w:t xml:space="preserve"> </w:t>
            </w:r>
            <w:r>
              <w:rPr>
                <w:rFonts w:cs="Arial"/>
              </w:rPr>
              <w:t>&gt;</w:t>
            </w:r>
            <w:r>
              <w:t xml:space="preserve"> 30 MHz</w:t>
            </w:r>
          </w:p>
        </w:tc>
        <w:tc>
          <w:tcPr>
            <w:tcW w:w="6237" w:type="dxa"/>
          </w:tcPr>
          <w:p w14:paraId="536CC876" w14:textId="74C3052B" w:rsidR="001B4FF0" w:rsidRPr="001E720A" w:rsidRDefault="001B4FF0" w:rsidP="00E87F66">
            <w:pPr>
              <w:keepNext/>
              <w:spacing w:before="20" w:after="20"/>
            </w:pPr>
            <w:r>
              <w:t xml:space="preserve">No coordination required, </w:t>
            </w:r>
            <w:r w:rsidR="00965014">
              <w:t xml:space="preserve">however before registering an AWL transmitter, the AWL licensee (or their Accredited Person) is required to </w:t>
            </w:r>
            <w:r>
              <w:t xml:space="preserve">notify </w:t>
            </w:r>
            <w:r w:rsidR="00965014">
              <w:t xml:space="preserve">the </w:t>
            </w:r>
            <w:r>
              <w:t xml:space="preserve">licensee of </w:t>
            </w:r>
            <w:r w:rsidR="00965014">
              <w:t xml:space="preserve">any </w:t>
            </w:r>
            <w:r>
              <w:t>receivers</w:t>
            </w:r>
            <w:r w:rsidR="00B864C6">
              <w:t xml:space="preserve"> identified in the below steps</w:t>
            </w:r>
            <w:r w:rsidR="00965014">
              <w:t>. This allows time for affected parties to negotiate with prospective licensees and implement any additional mitigation that may be required. S</w:t>
            </w:r>
            <w:r>
              <w:t xml:space="preserve">ee Appendix </w:t>
            </w:r>
            <w:r w:rsidR="00632AB6">
              <w:t>E</w:t>
            </w:r>
            <w:r w:rsidR="00965014">
              <w:t xml:space="preserve"> for notification requirements</w:t>
            </w:r>
          </w:p>
        </w:tc>
      </w:tr>
      <w:bookmarkEnd w:id="146"/>
    </w:tbl>
    <w:p w14:paraId="7B544C1D" w14:textId="77777777" w:rsidR="00BB5D43" w:rsidRDefault="00BB5D43" w:rsidP="005E5B48">
      <w:pPr>
        <w:spacing w:after="0"/>
        <w:ind w:left="11"/>
      </w:pPr>
    </w:p>
    <w:p w14:paraId="404C22D6" w14:textId="69D89B85" w:rsidR="00A17DCE" w:rsidRDefault="00A17DCE" w:rsidP="005E5B48">
      <w:pPr>
        <w:ind w:left="11"/>
      </w:pPr>
      <w:r>
        <w:t xml:space="preserve">Frequency offset </w:t>
      </w:r>
      <w:r w:rsidR="00905F48">
        <w:t>(F</w:t>
      </w:r>
      <w:r w:rsidR="00905F48">
        <w:rPr>
          <w:vertAlign w:val="subscript"/>
        </w:rPr>
        <w:t>offset</w:t>
      </w:r>
      <w:r w:rsidR="00905F48">
        <w:t xml:space="preserve">) </w:t>
      </w:r>
      <w:r>
        <w:t>is the frequency separation between the edge of the transmitter’s occupied bandwidth and the receiver’s licence channel edge</w:t>
      </w:r>
    </w:p>
    <w:p w14:paraId="630DDAF6" w14:textId="38860B2B" w:rsidR="006B10E3" w:rsidRDefault="006B10E3" w:rsidP="005E5B48">
      <w:pPr>
        <w:ind w:left="11"/>
        <w:rPr>
          <w:rFonts w:cs="Calibri"/>
        </w:rPr>
      </w:pPr>
      <w:r>
        <w:rPr>
          <w:rFonts w:cs="Calibri"/>
        </w:rPr>
        <w:t xml:space="preserve">The following </w:t>
      </w:r>
      <w:r w:rsidR="00DE5F33" w:rsidRPr="009779A0">
        <w:rPr>
          <w:rFonts w:cs="Calibri"/>
        </w:rPr>
        <w:t xml:space="preserve">minimum separation distance </w:t>
      </w:r>
      <w:r w:rsidR="00DE5F33">
        <w:rPr>
          <w:rFonts w:cs="Calibri"/>
        </w:rPr>
        <w:t xml:space="preserve">between the </w:t>
      </w:r>
      <w:r w:rsidR="006A6D1C">
        <w:rPr>
          <w:rFonts w:cs="Calibri"/>
        </w:rPr>
        <w:t>proposed</w:t>
      </w:r>
      <w:r w:rsidR="00DE5F33">
        <w:rPr>
          <w:rFonts w:cs="Calibri"/>
        </w:rPr>
        <w:t xml:space="preserve"> AWL transmitter and existing</w:t>
      </w:r>
      <w:r w:rsidR="00DE5F33" w:rsidRPr="009779A0">
        <w:rPr>
          <w:rFonts w:cs="Calibri"/>
        </w:rPr>
        <w:t xml:space="preserve"> point</w:t>
      </w:r>
      <w:r w:rsidR="00DE5F33">
        <w:rPr>
          <w:rFonts w:cs="Calibri"/>
        </w:rPr>
        <w:t xml:space="preserve"> </w:t>
      </w:r>
      <w:r w:rsidR="00DE5F33" w:rsidRPr="009779A0">
        <w:rPr>
          <w:rFonts w:cs="Calibri"/>
        </w:rPr>
        <w:t>to</w:t>
      </w:r>
      <w:r w:rsidR="00DE5F33">
        <w:rPr>
          <w:rFonts w:cs="Calibri"/>
        </w:rPr>
        <w:t xml:space="preserve"> </w:t>
      </w:r>
      <w:r w:rsidR="00DE5F33" w:rsidRPr="009779A0">
        <w:rPr>
          <w:rFonts w:cs="Calibri"/>
        </w:rPr>
        <w:t xml:space="preserve">multipoint base station </w:t>
      </w:r>
      <w:r w:rsidR="00DE5F33">
        <w:rPr>
          <w:rFonts w:cs="Calibri"/>
        </w:rPr>
        <w:t>receivers</w:t>
      </w:r>
      <w:r>
        <w:rPr>
          <w:rFonts w:cs="Calibri"/>
        </w:rPr>
        <w:t xml:space="preserve"> applies:</w:t>
      </w:r>
    </w:p>
    <w:p w14:paraId="088E514D" w14:textId="77777777" w:rsidR="006B10E3" w:rsidRDefault="006B10E3" w:rsidP="005E5B48">
      <w:pPr>
        <w:pStyle w:val="ListBullet"/>
        <w:ind w:left="306"/>
      </w:pPr>
      <w:r>
        <w:t>For co-channel operation, a minimum separation distance of 20 km</w:t>
      </w:r>
    </w:p>
    <w:p w14:paraId="1719734D" w14:textId="5B443B2B" w:rsidR="00937581" w:rsidRPr="00937581" w:rsidRDefault="006B10E3" w:rsidP="005E5B48">
      <w:pPr>
        <w:pStyle w:val="ListBullet"/>
        <w:ind w:left="306"/>
        <w:rPr>
          <w:rFonts w:cs="Calibri"/>
        </w:rPr>
      </w:pPr>
      <w:r>
        <w:t xml:space="preserve">For adjacent channel operation with a </w:t>
      </w:r>
      <w:r w:rsidR="006A6D1C">
        <w:t>F</w:t>
      </w:r>
      <w:r w:rsidR="006A6D1C">
        <w:rPr>
          <w:vertAlign w:val="subscript"/>
        </w:rPr>
        <w:t>offset</w:t>
      </w:r>
      <w:r>
        <w:t xml:space="preserve"> of less than 10 MHz, a minimum separation distance of 5 km</w:t>
      </w:r>
    </w:p>
    <w:p w14:paraId="23556A24" w14:textId="56E41392" w:rsidR="00DE5F33" w:rsidRPr="00707C73" w:rsidRDefault="00937581" w:rsidP="005E5B48">
      <w:pPr>
        <w:pStyle w:val="ListBulletLast"/>
        <w:ind w:left="306"/>
        <w:rPr>
          <w:strike/>
        </w:rPr>
      </w:pPr>
      <w:r>
        <w:t xml:space="preserve">For adjacent channel operation with a </w:t>
      </w:r>
      <w:r w:rsidR="006A6D1C">
        <w:t>F</w:t>
      </w:r>
      <w:r w:rsidR="006A6D1C">
        <w:rPr>
          <w:vertAlign w:val="subscript"/>
        </w:rPr>
        <w:t>offset</w:t>
      </w:r>
      <w:r w:rsidR="006A6D1C">
        <w:t xml:space="preserve"> </w:t>
      </w:r>
      <w:r>
        <w:t>of 10 MHz or greater, there is no minimum separation distance required</w:t>
      </w:r>
      <w:r w:rsidR="0052271E">
        <w:t>.</w:t>
      </w:r>
    </w:p>
    <w:p w14:paraId="628BD89F" w14:textId="13F3785A" w:rsidR="00FA2DA5" w:rsidRDefault="00FA2DA5" w:rsidP="005E5B48">
      <w:pPr>
        <w:spacing w:after="120"/>
        <w:ind w:left="11"/>
      </w:pPr>
      <w:r w:rsidRPr="00FA2DA5">
        <w:t>When coordinating a</w:t>
      </w:r>
      <w:r w:rsidR="005D01EF">
        <w:t xml:space="preserve"> proposed AWL</w:t>
      </w:r>
      <w:r w:rsidRPr="00FA2DA5">
        <w:t xml:space="preserve"> transmitter with a point to multipoint receiver, the following procedure applies:</w:t>
      </w:r>
    </w:p>
    <w:p w14:paraId="29D1BBB3" w14:textId="3EEDE821" w:rsidR="006130D6" w:rsidRDefault="006130D6" w:rsidP="005E5B48">
      <w:pPr>
        <w:pStyle w:val="ListParagraph"/>
        <w:numPr>
          <w:ilvl w:val="0"/>
          <w:numId w:val="9"/>
        </w:numPr>
        <w:ind w:left="351"/>
      </w:pPr>
      <w:r>
        <w:t>Area Cull: Identify any licensed point to multipoint receivers within</w:t>
      </w:r>
      <w:r w:rsidR="00937581">
        <w:t xml:space="preserve"> a 95km radius.</w:t>
      </w:r>
    </w:p>
    <w:p w14:paraId="39362734" w14:textId="5AA4265C" w:rsidR="00BA54E7" w:rsidRDefault="006130D6" w:rsidP="005E5B48">
      <w:pPr>
        <w:pStyle w:val="ListParagraph"/>
        <w:numPr>
          <w:ilvl w:val="0"/>
          <w:numId w:val="9"/>
        </w:numPr>
        <w:ind w:left="351"/>
      </w:pPr>
      <w:r>
        <w:t>Frequency Cull: include all point to multipoint receivers that are co-channel or within</w:t>
      </w:r>
      <w:r w:rsidR="00BA54E7">
        <w:t xml:space="preserve"> a:</w:t>
      </w:r>
    </w:p>
    <w:p w14:paraId="317059A0" w14:textId="03A40C3A" w:rsidR="00BA54E7" w:rsidRDefault="0078300D" w:rsidP="005E5B48">
      <w:pPr>
        <w:pStyle w:val="ListParagraph"/>
        <w:numPr>
          <w:ilvl w:val="1"/>
          <w:numId w:val="9"/>
        </w:numPr>
        <w:ind w:left="805"/>
      </w:pPr>
      <w:r>
        <w:t>4</w:t>
      </w:r>
      <w:r w:rsidR="007F05A0">
        <w:t xml:space="preserve">0 MHz offset for PMP </w:t>
      </w:r>
      <w:r w:rsidR="00BA54E7">
        <w:t xml:space="preserve">receivers with a bandwidth </w:t>
      </w:r>
      <w:r w:rsidR="007F05A0">
        <w:t>of</w:t>
      </w:r>
      <w:r w:rsidR="00BA54E7">
        <w:t xml:space="preserve"> </w:t>
      </w:r>
      <w:r w:rsidR="007F05A0">
        <w:t>20 MHz o</w:t>
      </w:r>
      <w:r w:rsidR="00BA54E7">
        <w:t>r</w:t>
      </w:r>
      <w:r w:rsidR="007F05A0">
        <w:t xml:space="preserve"> less</w:t>
      </w:r>
    </w:p>
    <w:p w14:paraId="23659C09" w14:textId="54F5030E" w:rsidR="00DC1561" w:rsidRPr="00DC1561" w:rsidRDefault="00BA54E7" w:rsidP="005E5B48">
      <w:pPr>
        <w:pStyle w:val="ListParagraph"/>
        <w:numPr>
          <w:ilvl w:val="1"/>
          <w:numId w:val="9"/>
        </w:numPr>
        <w:ind w:left="805"/>
      </w:pPr>
      <w:r>
        <w:t>60 MHz offset for PMP receivers with a bandwidth of greater than 20 MHz</w:t>
      </w:r>
      <w:r w:rsidR="006130D6">
        <w:t>.</w:t>
      </w:r>
      <w:r w:rsidR="007E444E">
        <w:t xml:space="preserve"> </w:t>
      </w:r>
      <w:r w:rsidR="00DC1561">
        <w:t xml:space="preserve"> </w:t>
      </w:r>
      <w:r w:rsidR="00D45879">
        <w:t xml:space="preserve"> </w:t>
      </w:r>
    </w:p>
    <w:p w14:paraId="33CE3069" w14:textId="08B9C9B3" w:rsidR="006130D6" w:rsidRDefault="00D40930" w:rsidP="005E5B48">
      <w:pPr>
        <w:pStyle w:val="ListParagraph"/>
        <w:numPr>
          <w:ilvl w:val="0"/>
          <w:numId w:val="9"/>
        </w:numPr>
        <w:ind w:left="351"/>
      </w:pPr>
      <w:r>
        <w:t>To</w:t>
      </w:r>
      <w:r w:rsidR="006130D6">
        <w:t xml:space="preserve"> manage interference, two scenarios need to be assessed</w:t>
      </w:r>
      <w:r w:rsidR="003A6B60">
        <w:t>:</w:t>
      </w:r>
    </w:p>
    <w:p w14:paraId="082408D6" w14:textId="1571566D" w:rsidR="006130D6" w:rsidRDefault="00E66422" w:rsidP="005E5B48">
      <w:pPr>
        <w:pStyle w:val="ListParagraph"/>
        <w:numPr>
          <w:ilvl w:val="1"/>
          <w:numId w:val="9"/>
        </w:numPr>
        <w:ind w:left="805"/>
      </w:pPr>
      <w:r>
        <w:rPr>
          <w:u w:val="single"/>
        </w:rPr>
        <w:lastRenderedPageBreak/>
        <w:t xml:space="preserve">Case 1 </w:t>
      </w:r>
      <w:r w:rsidRPr="007E26E0">
        <w:rPr>
          <w:u w:val="single"/>
        </w:rPr>
        <w:t>–</w:t>
      </w:r>
      <w:r w:rsidRPr="00707C73">
        <w:rPr>
          <w:u w:val="single"/>
        </w:rPr>
        <w:t xml:space="preserve"> applies to AWL transmitters which are required to be included in the RRL.</w:t>
      </w:r>
      <w:r w:rsidR="006130D6">
        <w:t xml:space="preserve"> Unwanted emissions into a point to multipoint receiver must not exceed the values in </w:t>
      </w:r>
      <w:r w:rsidR="0087573C">
        <w:rPr>
          <w:highlight w:val="green"/>
        </w:rPr>
        <w:fldChar w:fldCharType="begin"/>
      </w:r>
      <w:r w:rsidR="0087573C">
        <w:instrText xml:space="preserve"> REF _Ref25754564 \h </w:instrText>
      </w:r>
      <w:r w:rsidR="0087573C">
        <w:rPr>
          <w:highlight w:val="green"/>
        </w:rPr>
      </w:r>
      <w:r w:rsidR="0087573C">
        <w:rPr>
          <w:highlight w:val="green"/>
        </w:rPr>
        <w:fldChar w:fldCharType="separate"/>
      </w:r>
      <w:r w:rsidR="002B58E6">
        <w:t xml:space="preserve">Table </w:t>
      </w:r>
      <w:r w:rsidR="0087573C">
        <w:rPr>
          <w:highlight w:val="green"/>
        </w:rPr>
        <w:fldChar w:fldCharType="end"/>
      </w:r>
      <w:r w:rsidR="00221195">
        <w:t>5</w:t>
      </w:r>
      <w:r w:rsidR="006130D6">
        <w:t xml:space="preserve"> or </w:t>
      </w:r>
      <w:r w:rsidR="0087573C">
        <w:rPr>
          <w:highlight w:val="green"/>
        </w:rPr>
        <w:fldChar w:fldCharType="begin"/>
      </w:r>
      <w:r w:rsidR="0087573C">
        <w:instrText xml:space="preserve"> REF _Ref25754573 \h </w:instrText>
      </w:r>
      <w:r w:rsidR="0087573C">
        <w:rPr>
          <w:highlight w:val="green"/>
        </w:rPr>
      </w:r>
      <w:r w:rsidR="0087573C">
        <w:rPr>
          <w:highlight w:val="green"/>
        </w:rPr>
        <w:fldChar w:fldCharType="separate"/>
      </w:r>
      <w:r w:rsidR="002B58E6">
        <w:t xml:space="preserve">Table </w:t>
      </w:r>
      <w:r w:rsidR="0087573C">
        <w:rPr>
          <w:highlight w:val="green"/>
        </w:rPr>
        <w:fldChar w:fldCharType="end"/>
      </w:r>
      <w:r w:rsidR="00221195">
        <w:t>6</w:t>
      </w:r>
      <w:r w:rsidR="006130D6">
        <w:t>.  Logarithmic scaling should be used to find the appropriate protection level for different point to multipoint receiver bandwidths.</w:t>
      </w:r>
      <w:r w:rsidR="00412EC9">
        <w:t xml:space="preserve"> </w:t>
      </w:r>
      <w:r w:rsidR="006E4A4C">
        <w:t xml:space="preserve"> The scaling must be based on the values in </w:t>
      </w:r>
      <w:r w:rsidR="006E4A4C">
        <w:fldChar w:fldCharType="begin"/>
      </w:r>
      <w:r w:rsidR="006E4A4C">
        <w:instrText xml:space="preserve"> REF _Ref25754564 \h </w:instrText>
      </w:r>
      <w:r w:rsidR="006E4A4C">
        <w:fldChar w:fldCharType="separate"/>
      </w:r>
      <w:r w:rsidR="006E4A4C">
        <w:t xml:space="preserve">Table </w:t>
      </w:r>
      <w:r w:rsidR="006E4A4C">
        <w:fldChar w:fldCharType="end"/>
      </w:r>
      <w:r w:rsidR="002E258A">
        <w:t>5</w:t>
      </w:r>
      <w:r w:rsidR="006E4A4C">
        <w:t xml:space="preserve"> for receivers operating in 20 MHz of bandwidth or less, or the values in </w:t>
      </w:r>
      <w:r w:rsidR="006E4A4C">
        <w:fldChar w:fldCharType="begin"/>
      </w:r>
      <w:r w:rsidR="006E4A4C">
        <w:instrText xml:space="preserve"> REF _Ref25754573 \h </w:instrText>
      </w:r>
      <w:r w:rsidR="006E4A4C">
        <w:fldChar w:fldCharType="separate"/>
      </w:r>
      <w:r w:rsidR="006E4A4C">
        <w:t xml:space="preserve">Table </w:t>
      </w:r>
      <w:r w:rsidR="006E4A4C">
        <w:fldChar w:fldCharType="end"/>
      </w:r>
      <w:r w:rsidR="002E258A">
        <w:t>6</w:t>
      </w:r>
      <w:r w:rsidR="006E4A4C">
        <w:t xml:space="preserve"> for all other receivers.</w:t>
      </w:r>
    </w:p>
    <w:p w14:paraId="14000395" w14:textId="5A7B7FD0" w:rsidR="006130D6" w:rsidRPr="00FB042C" w:rsidRDefault="00E66422" w:rsidP="005E5B48">
      <w:pPr>
        <w:pStyle w:val="ListParagraph"/>
        <w:keepNext/>
        <w:numPr>
          <w:ilvl w:val="1"/>
          <w:numId w:val="9"/>
        </w:numPr>
        <w:ind w:left="805"/>
      </w:pPr>
      <w:r>
        <w:rPr>
          <w:u w:val="single"/>
        </w:rPr>
        <w:t xml:space="preserve">Case 2 – </w:t>
      </w:r>
      <w:r w:rsidR="00F85C88">
        <w:rPr>
          <w:u w:val="single"/>
        </w:rPr>
        <w:t>assessment of interference potential from</w:t>
      </w:r>
      <w:r>
        <w:rPr>
          <w:u w:val="single"/>
        </w:rPr>
        <w:t xml:space="preserve"> AWL transmitters which are not required to be in the RRL (</w:t>
      </w:r>
      <w:r w:rsidR="00D40930">
        <w:rPr>
          <w:u w:val="single"/>
        </w:rPr>
        <w:t>e.g.,</w:t>
      </w:r>
      <w:r>
        <w:rPr>
          <w:u w:val="single"/>
        </w:rPr>
        <w:t xml:space="preserve"> user equipment). </w:t>
      </w:r>
      <w:r>
        <w:t xml:space="preserve">If the geographical location of the transmitter in case 1 is within 20 km of the </w:t>
      </w:r>
      <w:r w:rsidR="005D01EF">
        <w:t>point to multipoint</w:t>
      </w:r>
      <w:r>
        <w:t xml:space="preserve"> receiver, coordination is deemed to fail. However, an AWL transmitter may still be included in the RRL if it can be shown that the coverage area of the case 2 transmitter does not overlap the interference zone of the point to multipoint receiver – also </w:t>
      </w:r>
      <w:r w:rsidRPr="00FB042C">
        <w:t>see section 4.4.1</w:t>
      </w:r>
      <w:r w:rsidRPr="005E5B48">
        <w:t xml:space="preserve"> and Appendix </w:t>
      </w:r>
      <w:r w:rsidR="00F350F1">
        <w:t>C</w:t>
      </w:r>
      <w:r w:rsidRPr="005E5B48">
        <w:t xml:space="preserve">. </w:t>
      </w:r>
    </w:p>
    <w:p w14:paraId="0ED05ED4" w14:textId="1F3BC2A7" w:rsidR="00FA2DA5" w:rsidRPr="00DA7BC1" w:rsidRDefault="00663DBF" w:rsidP="005E5B48">
      <w:pPr>
        <w:ind w:left="11"/>
      </w:pPr>
      <w:r w:rsidRPr="00FB042C">
        <w:t>In the event interference occurs to remote o</w:t>
      </w:r>
      <w:r w:rsidRPr="005E5B48">
        <w:t xml:space="preserve">r supplemental stations from </w:t>
      </w:r>
      <w:r w:rsidR="00A316DC" w:rsidRPr="005E5B48">
        <w:t xml:space="preserve">AWL </w:t>
      </w:r>
      <w:r w:rsidR="00694392" w:rsidRPr="005E5B48">
        <w:t>transmitters</w:t>
      </w:r>
      <w:r w:rsidRPr="005E5B48">
        <w:t>, section</w:t>
      </w:r>
      <w:r w:rsidR="00EE020B" w:rsidRPr="005E5B48">
        <w:t> </w:t>
      </w:r>
      <w:r w:rsidR="00A316DC" w:rsidRPr="005E5B48">
        <w:t>4.5.</w:t>
      </w:r>
      <w:r w:rsidR="000E6568" w:rsidRPr="00FB042C">
        <w:t>2</w:t>
      </w:r>
      <w:r w:rsidRPr="00FB042C">
        <w:t xml:space="preserve"> of this</w:t>
      </w:r>
      <w:r w:rsidRPr="00A316DC">
        <w:t xml:space="preserve"> RALI applies.</w:t>
      </w:r>
    </w:p>
    <w:p w14:paraId="6CE9978F" w14:textId="77777777" w:rsidR="0065762E" w:rsidRDefault="0065762E" w:rsidP="005E5B48">
      <w:pPr>
        <w:spacing w:after="0" w:line="240" w:lineRule="auto"/>
        <w:ind w:left="11"/>
      </w:pPr>
      <w:bookmarkStart w:id="147" w:name="_Toc82178461"/>
      <w:bookmarkStart w:id="148" w:name="_Toc82180997"/>
      <w:bookmarkStart w:id="149" w:name="_Toc82178462"/>
      <w:bookmarkStart w:id="150" w:name="_Toc82180998"/>
      <w:bookmarkEnd w:id="147"/>
      <w:bookmarkEnd w:id="148"/>
      <w:bookmarkEnd w:id="149"/>
      <w:bookmarkEnd w:id="150"/>
    </w:p>
    <w:p w14:paraId="586827E2" w14:textId="46DA7D10" w:rsidR="0065762E" w:rsidRPr="00D62118" w:rsidRDefault="0065762E" w:rsidP="005E5B48">
      <w:pPr>
        <w:pStyle w:val="Heading3"/>
        <w:ind w:left="720" w:hanging="709"/>
      </w:pPr>
      <w:bookmarkStart w:id="151" w:name="_Ref25840442"/>
      <w:bookmarkStart w:id="152" w:name="_Ref25843557"/>
      <w:bookmarkStart w:id="153" w:name="_Ref25843691"/>
      <w:bookmarkStart w:id="154" w:name="_Ref25843754"/>
      <w:bookmarkStart w:id="155" w:name="_Toc95291598"/>
      <w:bookmarkStart w:id="156" w:name="_Toc114669421"/>
      <w:r w:rsidRPr="00D62118">
        <w:t>Protection of remote and supplemental base stations</w:t>
      </w:r>
      <w:bookmarkEnd w:id="151"/>
      <w:bookmarkEnd w:id="152"/>
      <w:bookmarkEnd w:id="153"/>
      <w:bookmarkEnd w:id="154"/>
      <w:bookmarkEnd w:id="155"/>
      <w:bookmarkEnd w:id="156"/>
    </w:p>
    <w:p w14:paraId="2ECEE856" w14:textId="77777777" w:rsidR="0065762E" w:rsidRDefault="0065762E" w:rsidP="005E5B48">
      <w:pPr>
        <w:ind w:left="11"/>
      </w:pPr>
      <w:r>
        <w:t xml:space="preserve">Remote point to multipoint stations </w:t>
      </w:r>
      <w:proofErr w:type="gramStart"/>
      <w:r>
        <w:t>are</w:t>
      </w:r>
      <w:proofErr w:type="gramEnd"/>
      <w:r>
        <w:t xml:space="preserve"> authorised to operate via the </w:t>
      </w:r>
      <w:hyperlink r:id="rId42" w:history="1">
        <w:r w:rsidRPr="000D26F1">
          <w:rPr>
            <w:rStyle w:val="Hyperlink"/>
            <w:i/>
            <w:iCs/>
          </w:rPr>
          <w:t>Radiocommunications Licence Conditions (Fixed Licence) Determination 2015</w:t>
        </w:r>
      </w:hyperlink>
      <w:r>
        <w:t>, (the Fixed LCD).  The Fixed LCD authorises the use of remote stations only when communicating with a base station or supplemental base station operating under a valid fixed licence (point to multipoint station).</w:t>
      </w:r>
    </w:p>
    <w:p w14:paraId="52B3FFE9" w14:textId="61F971F7" w:rsidR="0065762E" w:rsidRDefault="0065762E" w:rsidP="005E5B48">
      <w:pPr>
        <w:ind w:left="11"/>
      </w:pPr>
      <w:r>
        <w:t xml:space="preserve">Supplemental base stations are </w:t>
      </w:r>
      <w:r w:rsidR="00990149">
        <w:t xml:space="preserve">also </w:t>
      </w:r>
      <w:r>
        <w:t>authorised to operate via the Fixed LCD.  The Fixed LCD restricts the use of supplemental base stations to overcoming deficiencies within the coverage area of a base station.  Supplemental base stations cannot be used to extend the coverage of a base station.</w:t>
      </w:r>
    </w:p>
    <w:p w14:paraId="1E18E43C" w14:textId="6D3CFD88" w:rsidR="002952BB" w:rsidRDefault="0065762E" w:rsidP="005E5B48">
      <w:pPr>
        <w:ind w:left="11"/>
      </w:pPr>
      <w:r>
        <w:t>The Fixed LCD states that remote stations and supplemental base stations must not cause interference to another radiocommunications service.  Since the location of these stations is not recorded, it is also ACMA policy that these stations are not afforded protection from interference from another radiocommunications services.</w:t>
      </w:r>
      <w:r w:rsidR="00990149">
        <w:t xml:space="preserve"> It is noted that these stations are afforded a degree of protection via the coordination requirements in place.</w:t>
      </w:r>
    </w:p>
    <w:p w14:paraId="7C75D75E" w14:textId="6E21E35E" w:rsidR="00393FD3" w:rsidRPr="00072C92" w:rsidRDefault="00962747" w:rsidP="00393FD3">
      <w:pPr>
        <w:pStyle w:val="Heading2"/>
        <w:ind w:left="720" w:hanging="709"/>
      </w:pPr>
      <w:bookmarkStart w:id="157" w:name="_Toc95291599"/>
      <w:bookmarkStart w:id="158" w:name="_Toc114669422"/>
      <w:r w:rsidRPr="009D33A5">
        <w:t>[</w:t>
      </w:r>
      <w:r w:rsidR="00393FD3" w:rsidRPr="00072C92">
        <w:t>Compatibility with radio-altimeters</w:t>
      </w:r>
      <w:r w:rsidRPr="009D33A5">
        <w:t>]</w:t>
      </w:r>
      <w:bookmarkEnd w:id="157"/>
      <w:bookmarkEnd w:id="158"/>
    </w:p>
    <w:p w14:paraId="5DC6F1EA" w14:textId="7921A7EE" w:rsidR="00610FE2" w:rsidRDefault="00EE3710" w:rsidP="00393FD3">
      <w:r>
        <w:t>[</w:t>
      </w:r>
      <w:r w:rsidR="00954405">
        <w:t>Placeholder only.</w:t>
      </w:r>
      <w:r>
        <w:t>]</w:t>
      </w:r>
    </w:p>
    <w:p w14:paraId="7E5909DC" w14:textId="7439CFDB" w:rsidR="00610FE2" w:rsidRPr="009D33A5" w:rsidRDefault="00610FE2" w:rsidP="009D33A5">
      <w:bookmarkStart w:id="159" w:name="_Toc105501094"/>
      <w:bookmarkStart w:id="160" w:name="_Toc105593653"/>
      <w:bookmarkStart w:id="161" w:name="_Toc110951166"/>
      <w:bookmarkEnd w:id="159"/>
      <w:bookmarkEnd w:id="160"/>
      <w:bookmarkEnd w:id="161"/>
    </w:p>
    <w:p w14:paraId="30787316" w14:textId="77777777" w:rsidR="00954405" w:rsidRDefault="00954405">
      <w:pPr>
        <w:spacing w:after="0" w:line="240" w:lineRule="auto"/>
        <w:rPr>
          <w:rFonts w:cs="Arial"/>
          <w:b/>
          <w:bCs/>
          <w:iCs/>
          <w:sz w:val="28"/>
          <w:szCs w:val="28"/>
        </w:rPr>
      </w:pPr>
      <w:bookmarkStart w:id="162" w:name="_Toc95291603"/>
      <w:r>
        <w:br w:type="page"/>
      </w:r>
    </w:p>
    <w:p w14:paraId="55C29254" w14:textId="52753732" w:rsidR="00F60F6B" w:rsidRDefault="00A4667A" w:rsidP="005E5B48">
      <w:pPr>
        <w:pStyle w:val="Heading2"/>
        <w:ind w:left="720" w:hanging="709"/>
      </w:pPr>
      <w:bookmarkStart w:id="163" w:name="_Toc114574015"/>
      <w:bookmarkStart w:id="164" w:name="_Toc114574256"/>
      <w:bookmarkStart w:id="165" w:name="_Toc114653898"/>
      <w:bookmarkStart w:id="166" w:name="_Toc114574016"/>
      <w:bookmarkStart w:id="167" w:name="_Toc114574257"/>
      <w:bookmarkStart w:id="168" w:name="_Toc114653899"/>
      <w:bookmarkStart w:id="169" w:name="_Toc114574017"/>
      <w:bookmarkStart w:id="170" w:name="_Toc114574258"/>
      <w:bookmarkStart w:id="171" w:name="_Toc114653900"/>
      <w:bookmarkStart w:id="172" w:name="_Toc114574018"/>
      <w:bookmarkStart w:id="173" w:name="_Toc114574259"/>
      <w:bookmarkStart w:id="174" w:name="_Toc114653901"/>
      <w:bookmarkStart w:id="175" w:name="_Toc114574019"/>
      <w:bookmarkStart w:id="176" w:name="_Toc114574260"/>
      <w:bookmarkStart w:id="177" w:name="_Toc114653902"/>
      <w:bookmarkStart w:id="178" w:name="_Toc114574020"/>
      <w:bookmarkStart w:id="179" w:name="_Toc114574261"/>
      <w:bookmarkStart w:id="180" w:name="_Toc114653903"/>
      <w:bookmarkStart w:id="181" w:name="_Toc114574021"/>
      <w:bookmarkStart w:id="182" w:name="_Toc114574262"/>
      <w:bookmarkStart w:id="183" w:name="_Toc114653904"/>
      <w:bookmarkStart w:id="184" w:name="_Toc114574022"/>
      <w:bookmarkStart w:id="185" w:name="_Toc114574263"/>
      <w:bookmarkStart w:id="186" w:name="_Toc114653905"/>
      <w:bookmarkStart w:id="187" w:name="_Toc93923427"/>
      <w:bookmarkStart w:id="188" w:name="_Toc93923501"/>
      <w:bookmarkStart w:id="189" w:name="_Toc93923575"/>
      <w:bookmarkStart w:id="190" w:name="_Toc93923643"/>
      <w:bookmarkStart w:id="191" w:name="_Toc93923428"/>
      <w:bookmarkStart w:id="192" w:name="_Toc93923502"/>
      <w:bookmarkStart w:id="193" w:name="_Toc93923576"/>
      <w:bookmarkStart w:id="194" w:name="_Toc93923644"/>
      <w:bookmarkStart w:id="195" w:name="_Toc93923429"/>
      <w:bookmarkStart w:id="196" w:name="_Toc93923503"/>
      <w:bookmarkStart w:id="197" w:name="_Toc93923577"/>
      <w:bookmarkStart w:id="198" w:name="_Toc93923645"/>
      <w:bookmarkStart w:id="199" w:name="_Toc93923430"/>
      <w:bookmarkStart w:id="200" w:name="_Toc93923504"/>
      <w:bookmarkStart w:id="201" w:name="_Toc93923578"/>
      <w:bookmarkStart w:id="202" w:name="_Toc93923646"/>
      <w:bookmarkStart w:id="203" w:name="_Toc93923431"/>
      <w:bookmarkStart w:id="204" w:name="_Toc93923505"/>
      <w:bookmarkStart w:id="205" w:name="_Toc93923579"/>
      <w:bookmarkStart w:id="206" w:name="_Toc93923647"/>
      <w:bookmarkStart w:id="207" w:name="_Toc93923432"/>
      <w:bookmarkStart w:id="208" w:name="_Toc93923506"/>
      <w:bookmarkStart w:id="209" w:name="_Toc93923580"/>
      <w:bookmarkStart w:id="210" w:name="_Toc93923648"/>
      <w:bookmarkStart w:id="211" w:name="_Toc93923433"/>
      <w:bookmarkStart w:id="212" w:name="_Toc93923507"/>
      <w:bookmarkStart w:id="213" w:name="_Toc93923581"/>
      <w:bookmarkStart w:id="214" w:name="_Toc93923649"/>
      <w:bookmarkStart w:id="215" w:name="_Toc90471345"/>
      <w:bookmarkStart w:id="216" w:name="_Toc90475041"/>
      <w:bookmarkStart w:id="217" w:name="_Toc90908642"/>
      <w:bookmarkStart w:id="218" w:name="_Toc95291611"/>
      <w:bookmarkStart w:id="219" w:name="_Toc114669423"/>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lastRenderedPageBreak/>
        <w:t>Other coordination scenarios</w:t>
      </w:r>
      <w:bookmarkEnd w:id="218"/>
      <w:bookmarkEnd w:id="219"/>
    </w:p>
    <w:p w14:paraId="1D2348C9" w14:textId="248C8165" w:rsidR="00A4667A" w:rsidRDefault="00A4667A" w:rsidP="005E5B48">
      <w:pPr>
        <w:pStyle w:val="Heading3"/>
        <w:ind w:left="720" w:hanging="709"/>
      </w:pPr>
      <w:bookmarkStart w:id="220" w:name="_Toc95291612"/>
      <w:bookmarkStart w:id="221" w:name="_Toc114669424"/>
      <w:r>
        <w:t>Earth station receivers</w:t>
      </w:r>
      <w:r w:rsidR="0014034E">
        <w:t xml:space="preserve"> authorised under an earth receive licence</w:t>
      </w:r>
      <w:bookmarkEnd w:id="220"/>
      <w:bookmarkEnd w:id="221"/>
    </w:p>
    <w:p w14:paraId="260C7FC9" w14:textId="7BD13464" w:rsidR="00C34869" w:rsidRDefault="00C34869" w:rsidP="005E5B48">
      <w:pPr>
        <w:pStyle w:val="Heading4"/>
        <w:ind w:left="11"/>
      </w:pPr>
      <w:r>
        <w:t>3400–3600 MHz band</w:t>
      </w:r>
    </w:p>
    <w:p w14:paraId="488F0C33" w14:textId="604A4165" w:rsidR="00C34869" w:rsidRDefault="00C34869" w:rsidP="005E5B48">
      <w:pPr>
        <w:ind w:left="11"/>
      </w:pPr>
      <w:r>
        <w:t xml:space="preserve">Protection </w:t>
      </w:r>
      <w:r w:rsidR="00747807">
        <w:t xml:space="preserve">from AWL transmitters </w:t>
      </w:r>
      <w:r>
        <w:t>and coordination</w:t>
      </w:r>
      <w:r w:rsidR="000D53D9">
        <w:t xml:space="preserve"> of AWL transmitters</w:t>
      </w:r>
      <w:r>
        <w:t xml:space="preserve"> with Earth </w:t>
      </w:r>
      <w:r w:rsidR="00F2412E">
        <w:t xml:space="preserve">receive </w:t>
      </w:r>
      <w:r>
        <w:t>stations</w:t>
      </w:r>
      <w:r w:rsidR="004053C8">
        <w:t xml:space="preserve"> authorised under an </w:t>
      </w:r>
      <w:r w:rsidR="0096293B">
        <w:t>earth receive licence and</w:t>
      </w:r>
      <w:r>
        <w:t xml:space="preserve"> operating in the 3400–3600 MHz band is </w:t>
      </w:r>
      <w:r w:rsidR="00747807">
        <w:t xml:space="preserve">the same as </w:t>
      </w:r>
      <w:r>
        <w:t xml:space="preserve">detailed in Part 4.2 of the </w:t>
      </w:r>
      <w:hyperlink r:id="rId43" w:history="1">
        <w:r w:rsidRPr="00C34869">
          <w:rPr>
            <w:rStyle w:val="Hyperlink"/>
            <w:i/>
            <w:iCs/>
          </w:rPr>
          <w:t>Radiocommunications Advisory Guidelines (Managing Interference from Spectrum Licensed Transmitters — 3.4 GHz Band) 2015</w:t>
        </w:r>
      </w:hyperlink>
      <w:r>
        <w:t>.</w:t>
      </w:r>
    </w:p>
    <w:p w14:paraId="036A6577" w14:textId="308BC180" w:rsidR="00C34869" w:rsidRDefault="00C34869" w:rsidP="005E5B48">
      <w:pPr>
        <w:ind w:left="11"/>
      </w:pPr>
      <w:r>
        <w:t xml:space="preserve">It is noted that Earth </w:t>
      </w:r>
      <w:proofErr w:type="gramStart"/>
      <w:r w:rsidR="00F2412E">
        <w:t>receive</w:t>
      </w:r>
      <w:proofErr w:type="gramEnd"/>
      <w:r w:rsidR="00F2412E">
        <w:t xml:space="preserve"> </w:t>
      </w:r>
      <w:r>
        <w:t>station</w:t>
      </w:r>
      <w:r w:rsidR="00F2412E">
        <w:t>s</w:t>
      </w:r>
      <w:r>
        <w:t xml:space="preserve"> operate on a secondary basis in the 3400–3600 MHz band. Therefore, in the event coordination indicates that interference may occur, </w:t>
      </w:r>
      <w:r w:rsidR="00F2412E">
        <w:t xml:space="preserve">the AWL </w:t>
      </w:r>
      <w:r>
        <w:t>licensee must notify</w:t>
      </w:r>
      <w:r>
        <w:rPr>
          <w:rStyle w:val="FootnoteReference"/>
        </w:rPr>
        <w:footnoteReference w:id="7"/>
      </w:r>
      <w:r>
        <w:t xml:space="preserve"> and make reasonable efforts to work with the affected Earth station licensees operating in the 3400–3600 MHz </w:t>
      </w:r>
      <w:r w:rsidR="00DC1130">
        <w:t xml:space="preserve">band </w:t>
      </w:r>
      <w:r>
        <w:t>to enable coexistence.  If there is no practical solution, services operated under a</w:t>
      </w:r>
      <w:r w:rsidR="001F2CAC">
        <w:t>n</w:t>
      </w:r>
      <w:r w:rsidR="00F2412E">
        <w:t xml:space="preserve"> AWL</w:t>
      </w:r>
      <w:r>
        <w:t xml:space="preserve"> have priority.</w:t>
      </w:r>
    </w:p>
    <w:p w14:paraId="118FBD31" w14:textId="6353AFD0" w:rsidR="00C34869" w:rsidRDefault="00C34869" w:rsidP="005E5B48">
      <w:pPr>
        <w:pStyle w:val="Heading4"/>
        <w:ind w:left="11"/>
      </w:pPr>
      <w:r>
        <w:t>3600–4200 MHz band</w:t>
      </w:r>
    </w:p>
    <w:p w14:paraId="7BCB5800" w14:textId="4B81C149" w:rsidR="00BF4CFF" w:rsidRDefault="00747807" w:rsidP="005E5B48">
      <w:pPr>
        <w:ind w:left="11"/>
      </w:pPr>
      <w:r>
        <w:t xml:space="preserve">Protection from AWL transmitters and coordination </w:t>
      </w:r>
      <w:r w:rsidR="000D53D9">
        <w:t xml:space="preserve">of AWL transmitters </w:t>
      </w:r>
      <w:r>
        <w:t xml:space="preserve">with Earth receive stations authorised under an earth receive licence and operating in the 3600–4200 MHz band is </w:t>
      </w:r>
      <w:r w:rsidR="00E36AFE">
        <w:t xml:space="preserve">substantially </w:t>
      </w:r>
      <w:r>
        <w:t xml:space="preserve">the same as detailed </w:t>
      </w:r>
      <w:r w:rsidR="00C34869">
        <w:t xml:space="preserve"> in </w:t>
      </w:r>
      <w:r w:rsidR="00F55FE3">
        <w:t>Part </w:t>
      </w:r>
      <w:r w:rsidR="00C34869">
        <w:t>4.</w:t>
      </w:r>
      <w:r w:rsidR="00F55FE3">
        <w:t xml:space="preserve">3 </w:t>
      </w:r>
      <w:r w:rsidR="00C34869">
        <w:t xml:space="preserve">of the </w:t>
      </w:r>
      <w:hyperlink r:id="rId44" w:history="1">
        <w:r w:rsidR="00C34869" w:rsidRPr="00C34869">
          <w:rPr>
            <w:rStyle w:val="Hyperlink"/>
            <w:i/>
            <w:iCs/>
          </w:rPr>
          <w:t>Radiocommunications Advisory Guidelines (Managing Interference from Spectrum Licensed Transmitters — 3.4 GHz Band) 2015</w:t>
        </w:r>
      </w:hyperlink>
      <w:r w:rsidR="00C34869">
        <w:t>.</w:t>
      </w:r>
      <w:r w:rsidR="00BF4CFF">
        <w:t xml:space="preserve"> </w:t>
      </w:r>
      <w:proofErr w:type="gramStart"/>
      <w:r w:rsidR="00BF4CFF">
        <w:t>(“ RAG</w:t>
      </w:r>
      <w:proofErr w:type="gramEnd"/>
      <w:r w:rsidR="00FF2BE6">
        <w:t xml:space="preserve"> Tx</w:t>
      </w:r>
      <w:r w:rsidR="00BF4CFF">
        <w:t>”).</w:t>
      </w:r>
    </w:p>
    <w:p w14:paraId="1307E3F1" w14:textId="0D3B300E" w:rsidR="00BF4CFF" w:rsidRDefault="00BF4CFF" w:rsidP="00BF4CFF">
      <w:pPr>
        <w:rPr>
          <w:iCs/>
        </w:rPr>
      </w:pPr>
      <w:r>
        <w:rPr>
          <w:iCs/>
        </w:rPr>
        <w:t xml:space="preserve">Part 4.3(2) of the </w:t>
      </w:r>
      <w:proofErr w:type="gramStart"/>
      <w:r>
        <w:rPr>
          <w:iCs/>
        </w:rPr>
        <w:t xml:space="preserve">RAG </w:t>
      </w:r>
      <w:r w:rsidR="00FF2BE6">
        <w:rPr>
          <w:iCs/>
        </w:rPr>
        <w:t xml:space="preserve"> Tx</w:t>
      </w:r>
      <w:proofErr w:type="gramEnd"/>
      <w:r>
        <w:rPr>
          <w:iCs/>
        </w:rPr>
        <w:t xml:space="preserve"> describes co-channel coordination to apply between AWL transmitters and </w:t>
      </w:r>
      <w:r w:rsidR="004170D9">
        <w:rPr>
          <w:iCs/>
        </w:rPr>
        <w:t>E</w:t>
      </w:r>
      <w:r>
        <w:rPr>
          <w:iCs/>
        </w:rPr>
        <w:t>arth receive stations.</w:t>
      </w:r>
    </w:p>
    <w:p w14:paraId="30C05836" w14:textId="093180CA" w:rsidR="00BF4CFF" w:rsidRPr="00596814" w:rsidRDefault="00BF4CFF" w:rsidP="00BF4CFF">
      <w:pPr>
        <w:rPr>
          <w:iCs/>
        </w:rPr>
      </w:pPr>
      <w:r>
        <w:rPr>
          <w:iCs/>
        </w:rPr>
        <w:t xml:space="preserve">Part 4.3(3) of the RAG </w:t>
      </w:r>
      <w:r w:rsidR="00FF2BE6">
        <w:rPr>
          <w:iCs/>
        </w:rPr>
        <w:t>Tx</w:t>
      </w:r>
      <w:r>
        <w:rPr>
          <w:iCs/>
        </w:rPr>
        <w:t xml:space="preserve"> describes </w:t>
      </w:r>
      <w:r w:rsidR="00096D3D">
        <w:rPr>
          <w:iCs/>
        </w:rPr>
        <w:t xml:space="preserve">the coordination procedure for </w:t>
      </w:r>
      <w:r>
        <w:rPr>
          <w:iCs/>
        </w:rPr>
        <w:t xml:space="preserve">unwanted emissions </w:t>
      </w:r>
      <w:r w:rsidR="00096D3D">
        <w:rPr>
          <w:iCs/>
        </w:rPr>
        <w:t xml:space="preserve">from </w:t>
      </w:r>
      <w:r>
        <w:rPr>
          <w:iCs/>
        </w:rPr>
        <w:t xml:space="preserve">AWL transmitters </w:t>
      </w:r>
      <w:r w:rsidR="00096D3D">
        <w:rPr>
          <w:iCs/>
        </w:rPr>
        <w:t xml:space="preserve">into </w:t>
      </w:r>
      <w:r>
        <w:rPr>
          <w:iCs/>
        </w:rPr>
        <w:t>earth receive stations.</w:t>
      </w:r>
    </w:p>
    <w:p w14:paraId="211FF3BD" w14:textId="511188DF" w:rsidR="00C34869" w:rsidRDefault="00BF4CFF" w:rsidP="009D33A5">
      <w:r>
        <w:rPr>
          <w:iCs/>
        </w:rPr>
        <w:t xml:space="preserve">Part 4.3(4) of the RAG </w:t>
      </w:r>
      <w:r w:rsidR="00FF2BE6">
        <w:rPr>
          <w:iCs/>
        </w:rPr>
        <w:t>Tx</w:t>
      </w:r>
      <w:r>
        <w:rPr>
          <w:iCs/>
        </w:rPr>
        <w:t xml:space="preserve"> describes overload mechanism coordination to apply between AWL transmitters and </w:t>
      </w:r>
      <w:r w:rsidR="00116D6B">
        <w:rPr>
          <w:iCs/>
        </w:rPr>
        <w:t>E</w:t>
      </w:r>
      <w:r>
        <w:rPr>
          <w:iCs/>
        </w:rPr>
        <w:t>arth receive stations.</w:t>
      </w:r>
      <w:r w:rsidR="000D53D9">
        <w:rPr>
          <w:iCs/>
        </w:rPr>
        <w:t xml:space="preserve"> </w:t>
      </w:r>
      <w:r>
        <w:t xml:space="preserve">For </w:t>
      </w:r>
      <w:r w:rsidR="000D53D9">
        <w:t xml:space="preserve">the </w:t>
      </w:r>
      <w:r>
        <w:t xml:space="preserve">use of part 4.3(4) of the RAG </w:t>
      </w:r>
      <w:r w:rsidR="00FF2BE6">
        <w:t>Tx</w:t>
      </w:r>
      <w:r>
        <w:t xml:space="preserve"> for AWLs,</w:t>
      </w:r>
      <w:r w:rsidR="006130E1">
        <w:t xml:space="preserve"> the following </w:t>
      </w:r>
      <w:r>
        <w:t xml:space="preserve">is to </w:t>
      </w:r>
      <w:r w:rsidR="004170D9">
        <w:t xml:space="preserve">be </w:t>
      </w:r>
      <w:r w:rsidR="006130E1">
        <w:t>used in place of Table 1 of 4.3(4)</w:t>
      </w:r>
      <w:r w:rsidR="00B50C7E">
        <w:t>, which involves the overload interference mechanism</w:t>
      </w:r>
      <w:r w:rsidR="006130E1">
        <w:t>:</w:t>
      </w:r>
    </w:p>
    <w:p w14:paraId="5239C279" w14:textId="001EC92B" w:rsidR="00221195" w:rsidRDefault="00221195" w:rsidP="006E3AC3">
      <w:pPr>
        <w:pStyle w:val="ACMATableHeader"/>
      </w:pPr>
      <w:r w:rsidRPr="006130E1">
        <w:t xml:space="preserve">Minimum frequency response of earth </w:t>
      </w:r>
      <w:proofErr w:type="gramStart"/>
      <w:r w:rsidRPr="006130E1">
        <w:t>receive</w:t>
      </w:r>
      <w:proofErr w:type="gramEnd"/>
      <w:r w:rsidRPr="006130E1">
        <w:t xml:space="preserve"> station’s RF filter </w:t>
      </w:r>
    </w:p>
    <w:tbl>
      <w:tblPr>
        <w:tblStyle w:val="TableGrid"/>
        <w:tblW w:w="0" w:type="auto"/>
        <w:jc w:val="center"/>
        <w:tblLook w:val="04A0" w:firstRow="1" w:lastRow="0" w:firstColumn="1" w:lastColumn="0" w:noHBand="0" w:noVBand="1"/>
        <w:tblCaption w:val="Shows Frequency offset (MHz) from the lower or upper frequency on the earth receive station licence and rejection (dB)"/>
      </w:tblPr>
      <w:tblGrid>
        <w:gridCol w:w="3192"/>
        <w:gridCol w:w="2925"/>
      </w:tblGrid>
      <w:tr w:rsidR="006130E1" w:rsidRPr="006130E1" w14:paraId="74FD47DD" w14:textId="77777777" w:rsidTr="00FB7F67">
        <w:trPr>
          <w:trHeight w:val="498"/>
          <w:tblHeader/>
          <w:jc w:val="center"/>
        </w:trPr>
        <w:tc>
          <w:tcPr>
            <w:tcW w:w="3192" w:type="dxa"/>
            <w:tcBorders>
              <w:top w:val="single" w:sz="4" w:space="0" w:color="auto"/>
              <w:left w:val="single" w:sz="4" w:space="0" w:color="auto"/>
              <w:bottom w:val="single" w:sz="4" w:space="0" w:color="auto"/>
              <w:right w:val="single" w:sz="4" w:space="0" w:color="auto"/>
            </w:tcBorders>
            <w:hideMark/>
          </w:tcPr>
          <w:p w14:paraId="5B6E60FE" w14:textId="415699D8" w:rsidR="006130E1" w:rsidRPr="006130E1" w:rsidRDefault="006130E1" w:rsidP="006130E1">
            <w:pPr>
              <w:ind w:left="11"/>
              <w:rPr>
                <w:b/>
              </w:rPr>
            </w:pPr>
            <w:r w:rsidRPr="006130E1">
              <w:rPr>
                <w:b/>
                <w:bCs/>
              </w:rPr>
              <w:t xml:space="preserve">Frequency offset from </w:t>
            </w:r>
            <w:r>
              <w:rPr>
                <w:b/>
                <w:bCs/>
              </w:rPr>
              <w:t>nearest</w:t>
            </w:r>
            <w:r w:rsidRPr="006130E1">
              <w:rPr>
                <w:b/>
                <w:bCs/>
              </w:rPr>
              <w:t xml:space="preserve"> edge of Earth station receiver </w:t>
            </w:r>
            <w:r w:rsidR="00AB000A">
              <w:rPr>
                <w:b/>
                <w:bCs/>
              </w:rPr>
              <w:t xml:space="preserve">licence </w:t>
            </w:r>
            <w:r w:rsidRPr="006130E1">
              <w:rPr>
                <w:b/>
                <w:bCs/>
              </w:rPr>
              <w:t>(</w:t>
            </w:r>
            <w:proofErr w:type="gramStart"/>
            <w:r w:rsidR="00AB000A">
              <w:rPr>
                <w:b/>
                <w:bCs/>
              </w:rPr>
              <w:t xml:space="preserve">MHz </w:t>
            </w:r>
            <w:r w:rsidRPr="006130E1">
              <w:rPr>
                <w:b/>
                <w:bCs/>
              </w:rPr>
              <w:t>)</w:t>
            </w:r>
            <w:proofErr w:type="gramEnd"/>
          </w:p>
        </w:tc>
        <w:tc>
          <w:tcPr>
            <w:tcW w:w="2925" w:type="dxa"/>
            <w:tcBorders>
              <w:top w:val="single" w:sz="4" w:space="0" w:color="auto"/>
              <w:left w:val="single" w:sz="4" w:space="0" w:color="auto"/>
              <w:right w:val="single" w:sz="4" w:space="0" w:color="auto"/>
            </w:tcBorders>
          </w:tcPr>
          <w:p w14:paraId="348BDF2B" w14:textId="77777777" w:rsidR="006130E1" w:rsidRPr="006130E1" w:rsidRDefault="006130E1" w:rsidP="006130E1">
            <w:pPr>
              <w:ind w:left="11"/>
              <w:rPr>
                <w:b/>
              </w:rPr>
            </w:pPr>
            <w:r w:rsidRPr="006130E1">
              <w:rPr>
                <w:b/>
              </w:rPr>
              <w:t>Rejection (dB)</w:t>
            </w:r>
          </w:p>
        </w:tc>
      </w:tr>
      <w:tr w:rsidR="006130E1" w:rsidRPr="006130E1" w14:paraId="157821CE" w14:textId="77777777" w:rsidTr="00FB7F67">
        <w:trPr>
          <w:jc w:val="center"/>
        </w:trPr>
        <w:tc>
          <w:tcPr>
            <w:tcW w:w="3192" w:type="dxa"/>
            <w:tcBorders>
              <w:top w:val="single" w:sz="4" w:space="0" w:color="auto"/>
              <w:left w:val="single" w:sz="4" w:space="0" w:color="auto"/>
              <w:bottom w:val="single" w:sz="4" w:space="0" w:color="auto"/>
              <w:right w:val="single" w:sz="4" w:space="0" w:color="auto"/>
            </w:tcBorders>
            <w:hideMark/>
          </w:tcPr>
          <w:p w14:paraId="33BAE1EC" w14:textId="77777777" w:rsidR="006130E1" w:rsidRPr="006130E1" w:rsidRDefault="006130E1" w:rsidP="006130E1">
            <w:pPr>
              <w:ind w:left="11"/>
            </w:pPr>
            <w:r w:rsidRPr="006130E1">
              <w:t>&lt; 50</w:t>
            </w:r>
          </w:p>
        </w:tc>
        <w:tc>
          <w:tcPr>
            <w:tcW w:w="2925" w:type="dxa"/>
            <w:tcBorders>
              <w:top w:val="single" w:sz="4" w:space="0" w:color="auto"/>
              <w:left w:val="single" w:sz="4" w:space="0" w:color="auto"/>
              <w:bottom w:val="single" w:sz="4" w:space="0" w:color="auto"/>
              <w:right w:val="single" w:sz="4" w:space="0" w:color="auto"/>
            </w:tcBorders>
          </w:tcPr>
          <w:p w14:paraId="2379DF4C" w14:textId="77777777" w:rsidR="006130E1" w:rsidRPr="006130E1" w:rsidRDefault="006130E1" w:rsidP="006130E1">
            <w:pPr>
              <w:ind w:left="11"/>
            </w:pPr>
            <w:r w:rsidRPr="006130E1">
              <w:t>0.5 + 0.6*f</w:t>
            </w:r>
            <w:r w:rsidRPr="006130E1">
              <w:rPr>
                <w:vertAlign w:val="subscript"/>
              </w:rPr>
              <w:t xml:space="preserve">offset </w:t>
            </w:r>
            <w:r w:rsidRPr="006130E1">
              <w:t>(MHz)</w:t>
            </w:r>
          </w:p>
        </w:tc>
      </w:tr>
      <w:tr w:rsidR="006130E1" w:rsidRPr="006130E1" w14:paraId="71BD32E9" w14:textId="77777777" w:rsidTr="00FB7F67">
        <w:trPr>
          <w:jc w:val="center"/>
        </w:trPr>
        <w:tc>
          <w:tcPr>
            <w:tcW w:w="3192" w:type="dxa"/>
            <w:tcBorders>
              <w:top w:val="single" w:sz="4" w:space="0" w:color="auto"/>
              <w:left w:val="single" w:sz="4" w:space="0" w:color="auto"/>
              <w:bottom w:val="single" w:sz="4" w:space="0" w:color="auto"/>
              <w:right w:val="single" w:sz="4" w:space="0" w:color="auto"/>
            </w:tcBorders>
          </w:tcPr>
          <w:p w14:paraId="3CB5A258" w14:textId="77777777" w:rsidR="006130E1" w:rsidRPr="006130E1" w:rsidRDefault="006130E1" w:rsidP="006130E1">
            <w:pPr>
              <w:ind w:left="11"/>
            </w:pPr>
            <w:r w:rsidRPr="006130E1">
              <w:t>&lt;110</w:t>
            </w:r>
          </w:p>
        </w:tc>
        <w:tc>
          <w:tcPr>
            <w:tcW w:w="2925" w:type="dxa"/>
            <w:tcBorders>
              <w:top w:val="single" w:sz="4" w:space="0" w:color="auto"/>
              <w:left w:val="single" w:sz="4" w:space="0" w:color="auto"/>
              <w:bottom w:val="single" w:sz="4" w:space="0" w:color="auto"/>
              <w:right w:val="single" w:sz="4" w:space="0" w:color="auto"/>
            </w:tcBorders>
          </w:tcPr>
          <w:p w14:paraId="1F21E0E3" w14:textId="77777777" w:rsidR="006130E1" w:rsidRPr="006130E1" w:rsidRDefault="006130E1" w:rsidP="006130E1">
            <w:pPr>
              <w:ind w:left="11"/>
            </w:pPr>
            <w:r w:rsidRPr="006130E1">
              <w:t>45.5</w:t>
            </w:r>
          </w:p>
        </w:tc>
      </w:tr>
      <w:tr w:rsidR="006130E1" w:rsidRPr="006130E1" w14:paraId="748C840B" w14:textId="77777777" w:rsidTr="00FB7F67">
        <w:trPr>
          <w:jc w:val="center"/>
        </w:trPr>
        <w:tc>
          <w:tcPr>
            <w:tcW w:w="3192" w:type="dxa"/>
            <w:tcBorders>
              <w:top w:val="single" w:sz="4" w:space="0" w:color="auto"/>
              <w:left w:val="single" w:sz="4" w:space="0" w:color="auto"/>
              <w:bottom w:val="single" w:sz="4" w:space="0" w:color="auto"/>
              <w:right w:val="single" w:sz="4" w:space="0" w:color="auto"/>
            </w:tcBorders>
            <w:hideMark/>
          </w:tcPr>
          <w:p w14:paraId="02571BAB" w14:textId="77777777" w:rsidR="006130E1" w:rsidRPr="006130E1" w:rsidRDefault="006130E1" w:rsidP="006130E1">
            <w:pPr>
              <w:ind w:left="11"/>
            </w:pPr>
            <w:r w:rsidRPr="006130E1">
              <w:t>&lt; 150</w:t>
            </w:r>
          </w:p>
        </w:tc>
        <w:tc>
          <w:tcPr>
            <w:tcW w:w="2925" w:type="dxa"/>
            <w:tcBorders>
              <w:top w:val="single" w:sz="4" w:space="0" w:color="auto"/>
              <w:left w:val="single" w:sz="4" w:space="0" w:color="auto"/>
              <w:bottom w:val="single" w:sz="4" w:space="0" w:color="auto"/>
              <w:right w:val="single" w:sz="4" w:space="0" w:color="auto"/>
            </w:tcBorders>
          </w:tcPr>
          <w:p w14:paraId="62CD2EE2" w14:textId="77777777" w:rsidR="006130E1" w:rsidRPr="006130E1" w:rsidRDefault="006130E1" w:rsidP="006130E1">
            <w:pPr>
              <w:ind w:left="11"/>
            </w:pPr>
            <w:r w:rsidRPr="006130E1">
              <w:t>30.5 + 0.25*(f</w:t>
            </w:r>
            <w:r w:rsidRPr="006130E1">
              <w:rPr>
                <w:vertAlign w:val="subscript"/>
              </w:rPr>
              <w:t xml:space="preserve">offset </w:t>
            </w:r>
            <w:r w:rsidRPr="006130E1">
              <w:t>(MHz)-50)</w:t>
            </w:r>
          </w:p>
        </w:tc>
      </w:tr>
      <w:tr w:rsidR="006130E1" w:rsidRPr="006130E1" w14:paraId="47D4118F" w14:textId="77777777" w:rsidTr="00FB7F67">
        <w:trPr>
          <w:jc w:val="center"/>
        </w:trPr>
        <w:tc>
          <w:tcPr>
            <w:tcW w:w="3192" w:type="dxa"/>
            <w:tcBorders>
              <w:top w:val="single" w:sz="4" w:space="0" w:color="auto"/>
              <w:left w:val="single" w:sz="4" w:space="0" w:color="auto"/>
              <w:bottom w:val="single" w:sz="4" w:space="0" w:color="auto"/>
              <w:right w:val="single" w:sz="4" w:space="0" w:color="auto"/>
            </w:tcBorders>
            <w:hideMark/>
          </w:tcPr>
          <w:p w14:paraId="4DB29913" w14:textId="77777777" w:rsidR="006130E1" w:rsidRPr="006130E1" w:rsidRDefault="006130E1" w:rsidP="006130E1">
            <w:pPr>
              <w:ind w:left="11"/>
            </w:pPr>
            <w:r w:rsidRPr="006130E1">
              <w:t>&lt; 200</w:t>
            </w:r>
          </w:p>
        </w:tc>
        <w:tc>
          <w:tcPr>
            <w:tcW w:w="2925" w:type="dxa"/>
            <w:tcBorders>
              <w:top w:val="single" w:sz="4" w:space="0" w:color="auto"/>
              <w:left w:val="single" w:sz="4" w:space="0" w:color="auto"/>
              <w:bottom w:val="single" w:sz="4" w:space="0" w:color="auto"/>
              <w:right w:val="single" w:sz="4" w:space="0" w:color="auto"/>
            </w:tcBorders>
          </w:tcPr>
          <w:p w14:paraId="57A74A23" w14:textId="77777777" w:rsidR="006130E1" w:rsidRPr="006130E1" w:rsidRDefault="006130E1" w:rsidP="006130E1">
            <w:pPr>
              <w:ind w:left="11"/>
            </w:pPr>
            <w:r w:rsidRPr="006130E1">
              <w:t>55.5</w:t>
            </w:r>
          </w:p>
        </w:tc>
      </w:tr>
      <w:tr w:rsidR="006130E1" w:rsidRPr="006130E1" w14:paraId="789E3E9F" w14:textId="77777777" w:rsidTr="00FB7F67">
        <w:trPr>
          <w:jc w:val="center"/>
        </w:trPr>
        <w:tc>
          <w:tcPr>
            <w:tcW w:w="3192" w:type="dxa"/>
            <w:tcBorders>
              <w:top w:val="single" w:sz="4" w:space="0" w:color="auto"/>
              <w:left w:val="single" w:sz="4" w:space="0" w:color="auto"/>
              <w:bottom w:val="single" w:sz="4" w:space="0" w:color="auto"/>
              <w:right w:val="single" w:sz="4" w:space="0" w:color="auto"/>
            </w:tcBorders>
          </w:tcPr>
          <w:p w14:paraId="2DB2638E" w14:textId="77777777" w:rsidR="006130E1" w:rsidRPr="006130E1" w:rsidRDefault="006130E1" w:rsidP="006130E1">
            <w:pPr>
              <w:ind w:left="11"/>
            </w:pPr>
            <w:r w:rsidRPr="006130E1">
              <w:t>≥ 200</w:t>
            </w:r>
          </w:p>
        </w:tc>
        <w:tc>
          <w:tcPr>
            <w:tcW w:w="2925" w:type="dxa"/>
            <w:tcBorders>
              <w:top w:val="single" w:sz="4" w:space="0" w:color="auto"/>
              <w:left w:val="single" w:sz="4" w:space="0" w:color="auto"/>
              <w:bottom w:val="single" w:sz="4" w:space="0" w:color="auto"/>
              <w:right w:val="single" w:sz="4" w:space="0" w:color="auto"/>
            </w:tcBorders>
          </w:tcPr>
          <w:p w14:paraId="2FA218CD" w14:textId="77777777" w:rsidR="006130E1" w:rsidRPr="006130E1" w:rsidRDefault="006130E1" w:rsidP="006130E1">
            <w:pPr>
              <w:ind w:left="11"/>
            </w:pPr>
            <w:r w:rsidRPr="006130E1">
              <w:t>70</w:t>
            </w:r>
          </w:p>
        </w:tc>
      </w:tr>
    </w:tbl>
    <w:p w14:paraId="36F3C5C8" w14:textId="4EAC5417" w:rsidR="006130E1" w:rsidRPr="00F43C18" w:rsidRDefault="006130E1" w:rsidP="006130E1">
      <w:pPr>
        <w:ind w:left="11"/>
      </w:pPr>
      <w:r w:rsidRPr="00F43C18">
        <w:rPr>
          <w:i/>
        </w:rPr>
        <w:lastRenderedPageBreak/>
        <w:t xml:space="preserve">Note </w:t>
      </w:r>
      <w:r w:rsidRPr="00F43C18">
        <w:rPr>
          <w:i/>
        </w:rPr>
        <w:tab/>
      </w:r>
      <w:r w:rsidRPr="00F43C18">
        <w:t xml:space="preserve">When there </w:t>
      </w:r>
      <w:proofErr w:type="gramStart"/>
      <w:r w:rsidRPr="00F43C18">
        <w:t>are</w:t>
      </w:r>
      <w:proofErr w:type="gramEnd"/>
      <w:r w:rsidRPr="00F43C18">
        <w:t xml:space="preserve"> multiple earth receive licences operating on the same antenna, </w:t>
      </w:r>
      <w:r w:rsidR="00915277" w:rsidRPr="00F43C18">
        <w:t xml:space="preserve">the earth receive licence may </w:t>
      </w:r>
      <w:r w:rsidR="00316803" w:rsidRPr="009D33A5">
        <w:t xml:space="preserve">have a different frequency range that that indicated in </w:t>
      </w:r>
      <w:r w:rsidR="00915277" w:rsidRPr="00F43C18">
        <w:t>special condition</w:t>
      </w:r>
      <w:r w:rsidR="00316803" w:rsidRPr="009D33A5">
        <w:t>s</w:t>
      </w:r>
      <w:r w:rsidR="00915277" w:rsidRPr="00F43C18">
        <w:t xml:space="preserve"> </w:t>
      </w:r>
      <w:r w:rsidR="00316803" w:rsidRPr="009D33A5">
        <w:t>used for space coordination purposes. T</w:t>
      </w:r>
      <w:r w:rsidR="00F8693C" w:rsidRPr="00F43C18">
        <w:t xml:space="preserve">he RF filter is to be assumed to apply to the edges of </w:t>
      </w:r>
      <w:r w:rsidR="00316803" w:rsidRPr="009D33A5">
        <w:t>the overall licenced frequency range</w:t>
      </w:r>
      <w:r w:rsidR="00316803" w:rsidRPr="00F43C18">
        <w:t>.</w:t>
      </w:r>
    </w:p>
    <w:p w14:paraId="27C9D462" w14:textId="7E29CB36" w:rsidR="006130E1" w:rsidRPr="00C34869" w:rsidRDefault="003072E1" w:rsidP="005E5B48">
      <w:pPr>
        <w:ind w:left="11"/>
      </w:pPr>
      <w:r w:rsidRPr="00F43C18">
        <w:rPr>
          <w:iCs/>
        </w:rPr>
        <w:t xml:space="preserve">While earth receive stations in remote areas will be able to be licensed as </w:t>
      </w:r>
      <w:r w:rsidR="00D40930" w:rsidRPr="00F43C18">
        <w:rPr>
          <w:iCs/>
        </w:rPr>
        <w:t>site-based</w:t>
      </w:r>
      <w:r w:rsidRPr="00F43C18">
        <w:rPr>
          <w:iCs/>
        </w:rPr>
        <w:t xml:space="preserve"> apparatus licences, the intent is that any new earth station registrations should </w:t>
      </w:r>
      <w:r w:rsidR="00685EB3" w:rsidRPr="009D33A5">
        <w:rPr>
          <w:iCs/>
        </w:rPr>
        <w:t>minimise</w:t>
      </w:r>
      <w:r w:rsidR="00B72E89" w:rsidRPr="009D33A5">
        <w:rPr>
          <w:iCs/>
        </w:rPr>
        <w:t xml:space="preserve"> impact on </w:t>
      </w:r>
      <w:r w:rsidRPr="00F43C18">
        <w:rPr>
          <w:iCs/>
        </w:rPr>
        <w:t xml:space="preserve">the utility of </w:t>
      </w:r>
      <w:r w:rsidR="00522023" w:rsidRPr="00F43C18">
        <w:rPr>
          <w:iCs/>
        </w:rPr>
        <w:t xml:space="preserve">any existing </w:t>
      </w:r>
      <w:r w:rsidRPr="00F43C18">
        <w:rPr>
          <w:iCs/>
        </w:rPr>
        <w:t>area-wide</w:t>
      </w:r>
      <w:r w:rsidR="00F43C18">
        <w:rPr>
          <w:iCs/>
        </w:rPr>
        <w:t xml:space="preserve"> or spectrum</w:t>
      </w:r>
      <w:r w:rsidRPr="00F43C18">
        <w:rPr>
          <w:iCs/>
        </w:rPr>
        <w:t xml:space="preserve"> licences</w:t>
      </w:r>
      <w:r w:rsidR="00522023" w:rsidRPr="00F43C18">
        <w:rPr>
          <w:iCs/>
        </w:rPr>
        <w:t xml:space="preserve">, even if AWL </w:t>
      </w:r>
      <w:r w:rsidR="00F43C18">
        <w:rPr>
          <w:iCs/>
        </w:rPr>
        <w:t xml:space="preserve">or SL </w:t>
      </w:r>
      <w:r w:rsidR="00522023" w:rsidRPr="00F43C18">
        <w:rPr>
          <w:iCs/>
        </w:rPr>
        <w:t>device registrations have yet to be made</w:t>
      </w:r>
      <w:r w:rsidR="006903CD" w:rsidRPr="009D33A5">
        <w:rPr>
          <w:iCs/>
        </w:rPr>
        <w:t xml:space="preserve">.  </w:t>
      </w:r>
      <w:r w:rsidR="00D40930" w:rsidRPr="009D33A5">
        <w:rPr>
          <w:iCs/>
        </w:rPr>
        <w:t>i.e.,</w:t>
      </w:r>
      <w:r w:rsidR="006903CD" w:rsidRPr="009D33A5">
        <w:rPr>
          <w:iCs/>
        </w:rPr>
        <w:t xml:space="preserve"> the AWL</w:t>
      </w:r>
      <w:r w:rsidR="00F43C18">
        <w:rPr>
          <w:iCs/>
        </w:rPr>
        <w:t xml:space="preserve"> or SL</w:t>
      </w:r>
      <w:r w:rsidR="006903CD" w:rsidRPr="009D33A5">
        <w:rPr>
          <w:iCs/>
        </w:rPr>
        <w:t xml:space="preserve"> is first-in-time, but all devices have not been registered</w:t>
      </w:r>
      <w:r w:rsidR="00E533EE" w:rsidRPr="009D33A5">
        <w:rPr>
          <w:iCs/>
        </w:rPr>
        <w:t>.</w:t>
      </w:r>
      <w:r w:rsidR="006903CD" w:rsidRPr="009D33A5">
        <w:rPr>
          <w:iCs/>
        </w:rPr>
        <w:t xml:space="preserve"> </w:t>
      </w:r>
      <w:r w:rsidR="00522023" w:rsidRPr="00F43C18">
        <w:rPr>
          <w:iCs/>
        </w:rPr>
        <w:t xml:space="preserve">Consequently, </w:t>
      </w:r>
      <w:r w:rsidR="00E533EE" w:rsidRPr="009D33A5">
        <w:rPr>
          <w:iCs/>
        </w:rPr>
        <w:t xml:space="preserve">new </w:t>
      </w:r>
      <w:r w:rsidR="00522023" w:rsidRPr="00F43C18">
        <w:rPr>
          <w:iCs/>
        </w:rPr>
        <w:t>e</w:t>
      </w:r>
      <w:r w:rsidR="006903E1" w:rsidRPr="00F43C18">
        <w:t xml:space="preserve">arth </w:t>
      </w:r>
      <w:proofErr w:type="gramStart"/>
      <w:r w:rsidR="006903E1" w:rsidRPr="00F43C18">
        <w:t>receive</w:t>
      </w:r>
      <w:proofErr w:type="gramEnd"/>
      <w:r w:rsidR="006903E1" w:rsidRPr="00F43C18">
        <w:t xml:space="preserve"> stations proposed to be </w:t>
      </w:r>
      <w:r w:rsidR="00174273" w:rsidRPr="009D33A5">
        <w:t>registered</w:t>
      </w:r>
      <w:r w:rsidR="006903E1" w:rsidRPr="00F43C18">
        <w:t xml:space="preserve"> under an earth receive licence </w:t>
      </w:r>
      <w:r w:rsidR="00EA7847" w:rsidRPr="009D33A5">
        <w:t xml:space="preserve">need to </w:t>
      </w:r>
      <w:r w:rsidR="006903E1" w:rsidRPr="00F43C18">
        <w:t xml:space="preserve">demonstrate that </w:t>
      </w:r>
      <w:r w:rsidR="000160E6" w:rsidRPr="009D33A5">
        <w:t>within a 200km radius the above coordination requirements</w:t>
      </w:r>
      <w:r w:rsidR="00685EB3" w:rsidRPr="009D33A5">
        <w:t xml:space="preserve"> can be met</w:t>
      </w:r>
      <w:r w:rsidR="000160E6" w:rsidRPr="009D33A5">
        <w:t xml:space="preserve"> </w:t>
      </w:r>
      <w:r w:rsidR="000160E6" w:rsidRPr="00F43C18">
        <w:t xml:space="preserve">for any possible </w:t>
      </w:r>
      <w:r w:rsidR="00E972DC" w:rsidRPr="009D33A5">
        <w:t xml:space="preserve">AWL </w:t>
      </w:r>
      <w:r w:rsidR="00F43C18">
        <w:t xml:space="preserve">or SL </w:t>
      </w:r>
      <w:r w:rsidR="000160E6" w:rsidRPr="00F43C18">
        <w:t>device</w:t>
      </w:r>
      <w:r w:rsidR="00174273" w:rsidRPr="009D33A5">
        <w:t xml:space="preserve"> that could be</w:t>
      </w:r>
      <w:r w:rsidR="000160E6" w:rsidRPr="00F43C18">
        <w:t xml:space="preserve"> registered under the AWL</w:t>
      </w:r>
      <w:r w:rsidR="00F43C18">
        <w:t xml:space="preserve"> or SL</w:t>
      </w:r>
      <w:r w:rsidR="000160E6" w:rsidRPr="00F43C18">
        <w:t xml:space="preserve"> that would meet the device boundary criteria as described at 4.1.1.</w:t>
      </w:r>
      <w:r w:rsidR="004E695C" w:rsidRPr="00F43C18">
        <w:t xml:space="preserve">  </w:t>
      </w:r>
      <w:r w:rsidR="00522023" w:rsidRPr="00F43C18">
        <w:t xml:space="preserve">Appendix </w:t>
      </w:r>
      <w:r w:rsidR="00F43C18">
        <w:t>F</w:t>
      </w:r>
      <w:r w:rsidR="00522023" w:rsidRPr="00F43C18">
        <w:t xml:space="preserve"> describes a method to be used to</w:t>
      </w:r>
      <w:r w:rsidR="00EA7847" w:rsidRPr="00F43C18">
        <w:t xml:space="preserve"> perform this coordination requirement</w:t>
      </w:r>
      <w:r w:rsidR="00C24DB7" w:rsidRPr="009D33A5">
        <w:t xml:space="preserve"> to accommodate future AWL </w:t>
      </w:r>
      <w:r w:rsidR="00E36AFE" w:rsidRPr="009D33A5">
        <w:t xml:space="preserve">and spectrum licenced </w:t>
      </w:r>
      <w:r w:rsidR="00C24DB7" w:rsidRPr="009D33A5">
        <w:t>device registrations under any AWL</w:t>
      </w:r>
      <w:r w:rsidR="00E36AFE" w:rsidRPr="009D33A5">
        <w:t xml:space="preserve"> or spectrum licence</w:t>
      </w:r>
      <w:r w:rsidR="00EA7847" w:rsidRPr="00F43C18">
        <w:t>.</w:t>
      </w:r>
      <w:r w:rsidR="00522023" w:rsidRPr="00F43C18">
        <w:t xml:space="preserve"> </w:t>
      </w:r>
    </w:p>
    <w:p w14:paraId="1D5F1EBE" w14:textId="2465DD7D" w:rsidR="00C24DB7" w:rsidRDefault="00C24DB7" w:rsidP="005E5B48">
      <w:pPr>
        <w:ind w:left="11"/>
      </w:pPr>
      <w:r>
        <w:t xml:space="preserve">Where AWLs </w:t>
      </w:r>
      <w:r w:rsidR="00F43C18">
        <w:t xml:space="preserve">or SLs </w:t>
      </w:r>
      <w:r>
        <w:t>have existing device registrations</w:t>
      </w:r>
      <w:r w:rsidR="006903CD">
        <w:t xml:space="preserve"> (</w:t>
      </w:r>
      <w:r w:rsidR="00D40930">
        <w:t>i.e.,</w:t>
      </w:r>
      <w:r w:rsidR="006903CD">
        <w:t xml:space="preserve"> an AWL </w:t>
      </w:r>
      <w:r w:rsidR="00F43C18">
        <w:t xml:space="preserve">or SL </w:t>
      </w:r>
      <w:r w:rsidR="006903CD">
        <w:t>device registration is first-in-time)</w:t>
      </w:r>
      <w:r>
        <w:t xml:space="preserve">, a new earth receive station receives no </w:t>
      </w:r>
      <w:r w:rsidR="00F43C18">
        <w:t xml:space="preserve">specific </w:t>
      </w:r>
      <w:r>
        <w:t>protection</w:t>
      </w:r>
      <w:r w:rsidR="006E0739">
        <w:t xml:space="preserve"> from those existing devices</w:t>
      </w:r>
      <w:r w:rsidR="009E0A59">
        <w:t xml:space="preserve">, but the Appendix E method </w:t>
      </w:r>
      <w:r w:rsidR="004C4551">
        <w:t>should</w:t>
      </w:r>
      <w:r w:rsidR="009E0A59">
        <w:t xml:space="preserve"> minimise potential interference from existing registered AWL </w:t>
      </w:r>
      <w:r w:rsidR="00F43C18">
        <w:t xml:space="preserve">or SL </w:t>
      </w:r>
      <w:r w:rsidR="009E0A59">
        <w:t>devices.</w:t>
      </w:r>
    </w:p>
    <w:p w14:paraId="371CB3E8" w14:textId="20A9FEBA" w:rsidR="009E0A59" w:rsidRDefault="001B2760" w:rsidP="005E5B48">
      <w:pPr>
        <w:ind w:left="11"/>
      </w:pPr>
      <w:r>
        <w:t xml:space="preserve">When new devices are registered under an </w:t>
      </w:r>
      <w:r w:rsidR="00A47605">
        <w:t xml:space="preserve">existing </w:t>
      </w:r>
      <w:r w:rsidR="00F43C18">
        <w:t xml:space="preserve">AWL, </w:t>
      </w:r>
      <w:r w:rsidR="00A47605">
        <w:t xml:space="preserve">or new </w:t>
      </w:r>
      <w:r>
        <w:t xml:space="preserve">AWL and are second-in-time to </w:t>
      </w:r>
      <w:r w:rsidR="004C4551">
        <w:t xml:space="preserve">an earth station </w:t>
      </w:r>
      <w:r w:rsidR="00860239">
        <w:t>in the 3700-4200 MHz range</w:t>
      </w:r>
      <w:r w:rsidR="004C4551">
        <w:t xml:space="preserve">, then protection is afforded to the earth station as per the referenced parts of 4.3 of the RAG </w:t>
      </w:r>
      <w:r w:rsidR="00267ACA">
        <w:t xml:space="preserve">Tx </w:t>
      </w:r>
      <w:r w:rsidR="004C4551">
        <w:t>with the modifications noted under Table 7.</w:t>
      </w:r>
      <w:r w:rsidR="00CE3FF3">
        <w:t xml:space="preserve"> For earth stations established after the </w:t>
      </w:r>
      <w:r w:rsidR="00A47605">
        <w:t xml:space="preserve">licensing of the </w:t>
      </w:r>
      <w:r w:rsidR="00CE3FF3">
        <w:t xml:space="preserve">AWL, required to have undergone coordination as per Appendix </w:t>
      </w:r>
      <w:r w:rsidR="00F43C18">
        <w:t>F</w:t>
      </w:r>
      <w:r w:rsidR="00CE3FF3">
        <w:t xml:space="preserve">, in most cases the </w:t>
      </w:r>
      <w:r w:rsidR="00A47605">
        <w:t xml:space="preserve">new </w:t>
      </w:r>
      <w:r w:rsidR="00CE3FF3">
        <w:t>AWL device should be able to be registered due to this earth station pre-coordination.</w:t>
      </w:r>
    </w:p>
    <w:p w14:paraId="5ECF93A4" w14:textId="72911F7B" w:rsidR="00A4667A" w:rsidRDefault="00A4667A" w:rsidP="005E5B48">
      <w:pPr>
        <w:pStyle w:val="Heading3"/>
        <w:ind w:left="720" w:hanging="709"/>
      </w:pPr>
      <w:bookmarkStart w:id="222" w:name="_Toc105408198"/>
      <w:bookmarkStart w:id="223" w:name="_Toc105408345"/>
      <w:bookmarkStart w:id="224" w:name="_Toc105501099"/>
      <w:bookmarkStart w:id="225" w:name="_Toc105593658"/>
      <w:bookmarkStart w:id="226" w:name="_Toc110951171"/>
      <w:bookmarkStart w:id="227" w:name="_Toc114574025"/>
      <w:bookmarkStart w:id="228" w:name="_Toc114574266"/>
      <w:bookmarkStart w:id="229" w:name="_Toc114653908"/>
      <w:bookmarkStart w:id="230" w:name="_Toc95291613"/>
      <w:bookmarkStart w:id="231" w:name="_Toc114669425"/>
      <w:bookmarkEnd w:id="222"/>
      <w:bookmarkEnd w:id="223"/>
      <w:bookmarkEnd w:id="224"/>
      <w:bookmarkEnd w:id="225"/>
      <w:bookmarkEnd w:id="226"/>
      <w:bookmarkEnd w:id="227"/>
      <w:bookmarkEnd w:id="228"/>
      <w:bookmarkEnd w:id="229"/>
      <w:r>
        <w:t>Radiodetermination services</w:t>
      </w:r>
      <w:bookmarkEnd w:id="230"/>
      <w:bookmarkEnd w:id="231"/>
    </w:p>
    <w:p w14:paraId="0454C0F1" w14:textId="0F94D8A9" w:rsidR="00EC1D2F" w:rsidRDefault="00EC1D2F" w:rsidP="005E5B48">
      <w:pPr>
        <w:ind w:left="11"/>
      </w:pPr>
      <w:r>
        <w:t xml:space="preserve">High power radiolocation services in the 3100–3500 MHz band are operated by the Department of Defence on an itinerant basis.  These radiolocation services have the potential to disrupt the throughput of receivers operating in-band or </w:t>
      </w:r>
      <w:r w:rsidR="001450A3">
        <w:t xml:space="preserve">in the </w:t>
      </w:r>
      <w:r>
        <w:t>adjacent band to radiolocation services, particularly on the uplink channel (base station receiver).</w:t>
      </w:r>
    </w:p>
    <w:p w14:paraId="745C7CBA" w14:textId="77777777" w:rsidR="00EC1D2F" w:rsidRDefault="00EC1D2F" w:rsidP="005E5B48">
      <w:pPr>
        <w:ind w:left="11"/>
      </w:pPr>
      <w:r>
        <w:t>The Department of Defence is expected to take all reasonable measures to minimise the impact of radiolocation services to other in-band and adjacent band services.  However, there will be occasions when interference cannot be fully mitigated.  In such instances the interference may be due to blocking, strong out-of-band radar emissions or other susceptibilities within a fixed or mobile wireless network configuration.</w:t>
      </w:r>
    </w:p>
    <w:p w14:paraId="38F4B762" w14:textId="07874448" w:rsidR="003A6B60" w:rsidRDefault="00EC1D2F" w:rsidP="005E5B48">
      <w:pPr>
        <w:ind w:left="11"/>
      </w:pPr>
      <w:r>
        <w:t>When planning service deployments, 3400–3700 MHz band apparatus licensees are urged to consider additional measures to reduce the likelihood of impact to services operating under their licence.  If such measures are necessary, it is likely that they would only apply in specific areas that are subject to regular radar use.  They may include additional RF filtering, network redundancy, or resilience of network configuration where vulnerabilities to radar signal interference are identified.  The ACMA will work with the Department of Defence to make available, where feasible, any additional information that may assist existing or prospective 3400–3700 MHz band apparatus licensees on this matter.</w:t>
      </w:r>
    </w:p>
    <w:p w14:paraId="6B53287D" w14:textId="53A05106" w:rsidR="006708D0" w:rsidRDefault="006708D0" w:rsidP="005E5B48">
      <w:pPr>
        <w:ind w:left="11"/>
      </w:pPr>
      <w:r w:rsidRPr="006708D0">
        <w:t xml:space="preserve">Radiocommunications transmitters operated under </w:t>
      </w:r>
      <w:r>
        <w:t>an area wide licence</w:t>
      </w:r>
      <w:r w:rsidRPr="006708D0">
        <w:t xml:space="preserve"> in </w:t>
      </w:r>
      <w:r w:rsidR="00361EBE">
        <w:t xml:space="preserve">the 3400 MHz to 4000 MHz band, in </w:t>
      </w:r>
      <w:r w:rsidRPr="006708D0">
        <w:t>accordance with the conditions of the licence</w:t>
      </w:r>
      <w:r w:rsidR="00361EBE">
        <w:t>,</w:t>
      </w:r>
      <w:r w:rsidRPr="006708D0">
        <w:t xml:space="preserve"> are not taken to cause unacceptable interference to radiolocation services operating in the 3100-3400 MHz or 3400-3600 MHz bands.</w:t>
      </w:r>
    </w:p>
    <w:p w14:paraId="076AFC18" w14:textId="2CDC86E3" w:rsidR="00A4667A" w:rsidRDefault="00A4667A" w:rsidP="005E5B48">
      <w:pPr>
        <w:pStyle w:val="Heading3"/>
        <w:ind w:left="720" w:hanging="709"/>
      </w:pPr>
      <w:bookmarkStart w:id="232" w:name="_Toc95291614"/>
      <w:bookmarkStart w:id="233" w:name="_Toc114669426"/>
      <w:r>
        <w:lastRenderedPageBreak/>
        <w:t>Amateur service</w:t>
      </w:r>
      <w:bookmarkEnd w:id="232"/>
      <w:bookmarkEnd w:id="233"/>
    </w:p>
    <w:p w14:paraId="370EA516" w14:textId="49930B07" w:rsidR="00D632EC" w:rsidRDefault="00D632EC" w:rsidP="005E5B48">
      <w:pPr>
        <w:ind w:left="11"/>
      </w:pPr>
      <w:r>
        <w:t xml:space="preserve">The </w:t>
      </w:r>
      <w:hyperlink r:id="rId45" w:history="1">
        <w:r w:rsidRPr="00D632EC">
          <w:rPr>
            <w:rStyle w:val="Hyperlink"/>
            <w:i/>
            <w:iCs/>
          </w:rPr>
          <w:t>Radiocommunications Licence Conditions (Amateur Licence) Determination 2015</w:t>
        </w:r>
      </w:hyperlink>
      <w:r>
        <w:t xml:space="preserve"> allows the Advanced Amateur licensees to operate in various portions of the 3400–3600 MHz band in defined geographical areas.  The </w:t>
      </w:r>
      <w:hyperlink r:id="rId46" w:history="1">
        <w:r w:rsidRPr="00D632EC">
          <w:rPr>
            <w:rStyle w:val="Hyperlink"/>
            <w:i/>
            <w:iCs/>
          </w:rPr>
          <w:t>Australian Radiofrequency Spectrum Plan 2017</w:t>
        </w:r>
      </w:hyperlink>
      <w:r>
        <w:t xml:space="preserve"> sets a secondary status for all Amateur services in the 3400–3600 MHz band.  This status means that incumbent amateur services must not cause interference to a primary service and cannot claim protection from interference from a primary service.</w:t>
      </w:r>
    </w:p>
    <w:p w14:paraId="59F98B5E" w14:textId="72EEDC73" w:rsidR="00EC1D2F" w:rsidRPr="00EC1D2F" w:rsidRDefault="00D632EC" w:rsidP="005E5B48">
      <w:pPr>
        <w:ind w:left="11"/>
      </w:pPr>
      <w:r>
        <w:t xml:space="preserve">Coordination of Amateur Beacon or Repeater licences with </w:t>
      </w:r>
      <w:r w:rsidR="00E94CB0">
        <w:t>registered AWL</w:t>
      </w:r>
      <w:r>
        <w:t xml:space="preserve"> receivers operating in the 3400–3600 MHz band is conducted using the </w:t>
      </w:r>
      <w:r w:rsidR="00E94CB0">
        <w:rPr>
          <w:szCs w:val="22"/>
        </w:rPr>
        <w:t xml:space="preserve">notional receiver performance level set out in Schedule 1 of </w:t>
      </w:r>
      <w:r w:rsidR="00E94CB0" w:rsidRPr="00976810">
        <w:rPr>
          <w:i/>
          <w:szCs w:val="22"/>
        </w:rPr>
        <w:t>Radiocommunications Advisory Guidelines (Managing Interference to Spectrum Licensed Receivers — 3.4 GHz Band) 2015</w:t>
      </w:r>
      <w:r w:rsidR="00E94CB0">
        <w:t>, as in force from time to time</w:t>
      </w:r>
      <w:r w:rsidRPr="00C43F60">
        <w:t>.  In the event coordination indicates that interference may occur to a</w:t>
      </w:r>
      <w:r>
        <w:t xml:space="preserve"> </w:t>
      </w:r>
      <w:r w:rsidR="00E94CB0">
        <w:t xml:space="preserve">registered AWL </w:t>
      </w:r>
      <w:r>
        <w:t xml:space="preserve">receiver, it is recommended that the </w:t>
      </w:r>
      <w:r w:rsidR="00E94CB0">
        <w:t>AWL</w:t>
      </w:r>
      <w:r>
        <w:t xml:space="preserve"> licensee</w:t>
      </w:r>
      <w:r w:rsidR="00E94CB0">
        <w:t xml:space="preserve"> </w:t>
      </w:r>
      <w:r>
        <w:t>notify</w:t>
      </w:r>
      <w:r>
        <w:rPr>
          <w:rStyle w:val="FootnoteReference"/>
        </w:rPr>
        <w:footnoteReference w:id="8"/>
      </w:r>
      <w:r>
        <w:t xml:space="preserve"> and make reasonable efforts to work with the affected amateur licensees operating to enable coexistence and prevent harmful interference from occurring.  However, in the event there is no practical solution, services operated under a</w:t>
      </w:r>
      <w:r w:rsidR="007B34F5">
        <w:t>n AWL</w:t>
      </w:r>
      <w:r>
        <w:t xml:space="preserve"> have priority (</w:t>
      </w:r>
      <w:r w:rsidR="00D40930">
        <w:t>i.e.,</w:t>
      </w:r>
      <w:r>
        <w:t xml:space="preserve"> Amateur services cannot claim protection from or cause interference to a</w:t>
      </w:r>
      <w:r w:rsidR="007B34F5">
        <w:t>n AWL</w:t>
      </w:r>
      <w:r>
        <w:t xml:space="preserve"> service).</w:t>
      </w:r>
    </w:p>
    <w:p w14:paraId="625D792C" w14:textId="433EBDE7" w:rsidR="00A4667A" w:rsidRDefault="00A4667A" w:rsidP="005E5B48">
      <w:pPr>
        <w:pStyle w:val="Heading2"/>
        <w:ind w:left="720" w:hanging="709"/>
      </w:pPr>
      <w:bookmarkStart w:id="234" w:name="_Toc95291615"/>
      <w:bookmarkStart w:id="235" w:name="_Toc114669427"/>
      <w:r>
        <w:t>Site engineering aspects</w:t>
      </w:r>
      <w:bookmarkEnd w:id="234"/>
      <w:bookmarkEnd w:id="235"/>
    </w:p>
    <w:p w14:paraId="0F12C50C" w14:textId="62EE3E43" w:rsidR="006C752F" w:rsidRPr="006C752F" w:rsidRDefault="006C752F" w:rsidP="005E5B48">
      <w:pPr>
        <w:ind w:left="11"/>
        <w:rPr>
          <w:szCs w:val="22"/>
        </w:rPr>
      </w:pPr>
      <w:r w:rsidRPr="006C752F">
        <w:rPr>
          <w:szCs w:val="22"/>
        </w:rPr>
        <w:t xml:space="preserve">At shared sites, </w:t>
      </w:r>
      <w:r w:rsidR="0036667C">
        <w:rPr>
          <w:szCs w:val="22"/>
        </w:rPr>
        <w:t>that is</w:t>
      </w:r>
      <w:r w:rsidRPr="006C752F">
        <w:rPr>
          <w:szCs w:val="22"/>
        </w:rPr>
        <w:t xml:space="preserve"> sites within 500</w:t>
      </w:r>
      <w:r>
        <w:rPr>
          <w:szCs w:val="22"/>
        </w:rPr>
        <w:t> </w:t>
      </w:r>
      <w:r w:rsidRPr="006C752F">
        <w:rPr>
          <w:szCs w:val="22"/>
        </w:rPr>
        <w:t xml:space="preserve">m of each other, </w:t>
      </w:r>
      <w:r w:rsidR="00B709D2" w:rsidRPr="006C752F">
        <w:rPr>
          <w:szCs w:val="22"/>
        </w:rPr>
        <w:t>several</w:t>
      </w:r>
      <w:r w:rsidRPr="006C752F">
        <w:rPr>
          <w:szCs w:val="22"/>
        </w:rPr>
        <w:t xml:space="preserve"> potential interference mechanisms other than co-channel or adjacent channel interference may occur.  These include intermodulation, transient and spurious emissions, receiver and desensitisation, and physical blocking.  These mechanisms are caused by non-linear and often complex processes that are, usually, not readily predicted using information contained in the ACMA’s </w:t>
      </w:r>
      <w:hyperlink r:id="rId47" w:history="1">
        <w:r w:rsidRPr="006C752F">
          <w:rPr>
            <w:rStyle w:val="Hyperlink"/>
            <w:i/>
            <w:iCs/>
            <w:szCs w:val="22"/>
          </w:rPr>
          <w:t>RRL</w:t>
        </w:r>
      </w:hyperlink>
      <w:r w:rsidRPr="006C752F">
        <w:rPr>
          <w:szCs w:val="22"/>
        </w:rPr>
        <w:t>.  Nevertheless, several site engineering methods can be applied to address these potential interference scenarios.  These include, but are not limited to, RF filtering, site shielding, frequency separation, site location and power reduction.</w:t>
      </w:r>
    </w:p>
    <w:p w14:paraId="44AEF9F0" w14:textId="01015A28" w:rsidR="006C752F" w:rsidRPr="006C752F" w:rsidRDefault="006C752F" w:rsidP="005E5B48">
      <w:pPr>
        <w:ind w:left="11"/>
        <w:rPr>
          <w:szCs w:val="22"/>
        </w:rPr>
      </w:pPr>
      <w:r w:rsidRPr="006C752F">
        <w:rPr>
          <w:szCs w:val="22"/>
        </w:rPr>
        <w:t>Most of the methods mentioned above require co-operation and co-ordination between licensees.  This is easily achieved where the two systems are owned by the same licensee.</w:t>
      </w:r>
      <w:r>
        <w:rPr>
          <w:szCs w:val="22"/>
        </w:rPr>
        <w:t xml:space="preserve"> </w:t>
      </w:r>
      <w:r w:rsidRPr="006C752F">
        <w:rPr>
          <w:szCs w:val="22"/>
        </w:rPr>
        <w:t xml:space="preserve"> </w:t>
      </w:r>
      <w:r w:rsidR="008E4C48">
        <w:rPr>
          <w:szCs w:val="22"/>
        </w:rPr>
        <w:t>Where n</w:t>
      </w:r>
      <w:r w:rsidRPr="006C752F">
        <w:rPr>
          <w:szCs w:val="22"/>
        </w:rPr>
        <w:t xml:space="preserve">eighbouring systems are </w:t>
      </w:r>
      <w:r w:rsidR="008E4C48">
        <w:rPr>
          <w:szCs w:val="22"/>
        </w:rPr>
        <w:t>not</w:t>
      </w:r>
      <w:r w:rsidRPr="006C752F">
        <w:rPr>
          <w:szCs w:val="22"/>
        </w:rPr>
        <w:t xml:space="preserve"> owned by the same licensee formal discussions may be required.</w:t>
      </w:r>
    </w:p>
    <w:p w14:paraId="1C0677BA" w14:textId="508C1206" w:rsidR="006C752F" w:rsidRPr="006C752F" w:rsidRDefault="006C752F" w:rsidP="005E5B48">
      <w:pPr>
        <w:ind w:left="11"/>
        <w:rPr>
          <w:szCs w:val="22"/>
        </w:rPr>
      </w:pPr>
      <w:r w:rsidRPr="006C752F">
        <w:rPr>
          <w:szCs w:val="22"/>
        </w:rPr>
        <w:t xml:space="preserve">In the case of co-siting with spectrum licensed devices </w:t>
      </w:r>
      <w:r w:rsidR="00333316">
        <w:rPr>
          <w:szCs w:val="22"/>
        </w:rPr>
        <w:t>or other AWL licensees</w:t>
      </w:r>
      <w:r w:rsidRPr="006C752F">
        <w:rPr>
          <w:szCs w:val="22"/>
        </w:rPr>
        <w:t xml:space="preserve"> (</w:t>
      </w:r>
      <w:r w:rsidR="00D40930" w:rsidRPr="006C752F">
        <w:rPr>
          <w:szCs w:val="22"/>
        </w:rPr>
        <w:t>i.e.,</w:t>
      </w:r>
      <w:r w:rsidRPr="006C752F">
        <w:rPr>
          <w:szCs w:val="22"/>
        </w:rPr>
        <w:t xml:space="preserve"> sites within 500</w:t>
      </w:r>
      <w:r>
        <w:rPr>
          <w:szCs w:val="22"/>
        </w:rPr>
        <w:t> </w:t>
      </w:r>
      <w:r w:rsidRPr="006C752F">
        <w:rPr>
          <w:szCs w:val="22"/>
        </w:rPr>
        <w:t>m of each other), if interference occurs and both devices are operating in accordance with the condition of their licence and any other conditions that may apply, then licensees must take reasonable steps to negotiate arrangements likely to reduce the interference to acceptable levels.  To assist in such situations, operators are also referred to the relevant Radiocommunications Advisory Guideline (stated on the spectrum licence) which specifies a minimum spectrum licence notional receiver performance</w:t>
      </w:r>
      <w:r w:rsidR="00333316">
        <w:rPr>
          <w:szCs w:val="22"/>
        </w:rPr>
        <w:t>, with also applies to AWL receivers</w:t>
      </w:r>
      <w:r w:rsidRPr="006C752F">
        <w:rPr>
          <w:szCs w:val="22"/>
        </w:rPr>
        <w:t xml:space="preserve">.  The advisory guidelines are part of the </w:t>
      </w:r>
      <w:hyperlink r:id="rId48" w:history="1">
        <w:r w:rsidRPr="006C752F">
          <w:rPr>
            <w:rStyle w:val="Hyperlink"/>
            <w:i/>
            <w:iCs/>
            <w:szCs w:val="22"/>
          </w:rPr>
          <w:t>3.4 GHz Spectrum Licence Technical Framework</w:t>
        </w:r>
      </w:hyperlink>
      <w:r w:rsidRPr="006C752F">
        <w:rPr>
          <w:szCs w:val="22"/>
        </w:rPr>
        <w:t>.</w:t>
      </w:r>
    </w:p>
    <w:p w14:paraId="76C842AD" w14:textId="400550C1" w:rsidR="002D34CD" w:rsidRDefault="00D82DC0" w:rsidP="005E5B48">
      <w:pPr>
        <w:ind w:left="11"/>
        <w:rPr>
          <w:szCs w:val="22"/>
        </w:rPr>
      </w:pPr>
      <w:r>
        <w:rPr>
          <w:szCs w:val="22"/>
        </w:rPr>
        <w:t xml:space="preserve">It is a condition in the AWL LCD </w:t>
      </w:r>
      <w:r w:rsidR="006C752F" w:rsidRPr="006C752F">
        <w:rPr>
          <w:szCs w:val="22"/>
        </w:rPr>
        <w:t xml:space="preserve">that licensees (or their site managers) work cooperatively </w:t>
      </w:r>
      <w:r>
        <w:rPr>
          <w:szCs w:val="22"/>
        </w:rPr>
        <w:t xml:space="preserve">with other co-sited licensees </w:t>
      </w:r>
      <w:r w:rsidR="006C752F" w:rsidRPr="006C752F">
        <w:rPr>
          <w:szCs w:val="22"/>
        </w:rPr>
        <w:t>and apply good site engineering practice to resolve problems when they occur.</w:t>
      </w:r>
    </w:p>
    <w:p w14:paraId="38889A9E" w14:textId="101CAAED" w:rsidR="000D2DC2" w:rsidRDefault="000D2DC2" w:rsidP="005E5B48">
      <w:pPr>
        <w:pStyle w:val="Heading2"/>
        <w:ind w:left="720" w:hanging="709"/>
      </w:pPr>
      <w:bookmarkStart w:id="236" w:name="_Toc95291616"/>
      <w:bookmarkStart w:id="237" w:name="_Toc114669428"/>
      <w:r>
        <w:lastRenderedPageBreak/>
        <w:t>Additional information on technical records</w:t>
      </w:r>
      <w:bookmarkEnd w:id="236"/>
      <w:bookmarkEnd w:id="237"/>
    </w:p>
    <w:p w14:paraId="6BA07F4E" w14:textId="23C241B8" w:rsidR="000D2DC2" w:rsidRDefault="000D2DC2" w:rsidP="005E5B48">
      <w:pPr>
        <w:ind w:left="11"/>
      </w:pPr>
      <w:r>
        <w:t xml:space="preserve">The following applies when providing details of </w:t>
      </w:r>
      <w:r w:rsidR="00684879">
        <w:t xml:space="preserve">AWL </w:t>
      </w:r>
      <w:r>
        <w:t xml:space="preserve">stations to be recorded on the </w:t>
      </w:r>
      <w:hyperlink r:id="rId49" w:history="1">
        <w:r w:rsidRPr="001D5B1E">
          <w:rPr>
            <w:rStyle w:val="Hyperlink"/>
            <w:i/>
            <w:iCs/>
          </w:rPr>
          <w:t>Register of Radiocommunications Licences</w:t>
        </w:r>
      </w:hyperlink>
      <w:r>
        <w:t>:</w:t>
      </w:r>
    </w:p>
    <w:p w14:paraId="0740C05C" w14:textId="77777777" w:rsidR="000D2DC2" w:rsidRDefault="000D2DC2" w:rsidP="005E5B48">
      <w:pPr>
        <w:pStyle w:val="ListBullet"/>
        <w:ind w:left="306"/>
      </w:pPr>
      <w:r>
        <w:t>Where sectored antennas are used, details of the antenna model, down-tilt, polarisation and azimuth should be recorded for each sector.  However, where:</w:t>
      </w:r>
    </w:p>
    <w:p w14:paraId="5A2047FC" w14:textId="77777777" w:rsidR="000D2DC2" w:rsidRDefault="000D2DC2" w:rsidP="005E5B48">
      <w:pPr>
        <w:pStyle w:val="ListBullet"/>
        <w:tabs>
          <w:tab w:val="clear" w:pos="295"/>
          <w:tab w:val="num" w:pos="863"/>
        </w:tabs>
        <w:ind w:left="874"/>
      </w:pPr>
      <w:r>
        <w:t>there are multiple sectored antennas on a single site (used for example to achieve 360</w:t>
      </w:r>
      <w:r>
        <w:noBreakHyphen/>
        <w:t>degree coverage); and</w:t>
      </w:r>
    </w:p>
    <w:p w14:paraId="23768217" w14:textId="075ECCFB" w:rsidR="000D2DC2" w:rsidRDefault="000D2DC2" w:rsidP="005E5B48">
      <w:pPr>
        <w:pStyle w:val="ListBullet"/>
        <w:tabs>
          <w:tab w:val="clear" w:pos="295"/>
          <w:tab w:val="num" w:pos="863"/>
        </w:tabs>
        <w:ind w:left="874"/>
      </w:pPr>
      <w:r>
        <w:t xml:space="preserve">all sectors are using the same </w:t>
      </w:r>
      <w:r w:rsidR="001B01A2">
        <w:t>frequency.</w:t>
      </w:r>
    </w:p>
    <w:p w14:paraId="14696348" w14:textId="289C5FE6" w:rsidR="000D2DC2" w:rsidRDefault="000D2DC2" w:rsidP="005E5B48">
      <w:pPr>
        <w:ind w:left="306"/>
      </w:pPr>
      <w:r>
        <w:t>it is not necessary to specify the azimuth of each sector antenna.  Instead, the site can be recorded as a single registration (</w:t>
      </w:r>
      <w:r w:rsidR="00D40930">
        <w:t>i.e.,</w:t>
      </w:r>
      <w:r>
        <w:t xml:space="preserve"> effectively registering the device as non-directional).  When performing coordination, the highest radiated power on any one sector should be assumed in all directions — irrespective of the actual antenna configuration.  The details of the antenna on the sector that results in the highest radiated power should be recorded on the </w:t>
      </w:r>
      <w:hyperlink r:id="rId50" w:history="1">
        <w:r w:rsidRPr="001D5B1E">
          <w:rPr>
            <w:rStyle w:val="Hyperlink"/>
            <w:i/>
            <w:iCs/>
          </w:rPr>
          <w:t>RRL</w:t>
        </w:r>
      </w:hyperlink>
      <w:r>
        <w:t>.</w:t>
      </w:r>
    </w:p>
    <w:p w14:paraId="2A127A1A" w14:textId="77777777" w:rsidR="000D2DC2" w:rsidRDefault="000D2DC2" w:rsidP="005E5B48">
      <w:pPr>
        <w:pStyle w:val="ListBullet"/>
        <w:ind w:left="306"/>
      </w:pPr>
      <w:r>
        <w:t>Where steerable beam (including beam forming) antennas are used, details of the highest gain achievable through antenna phasing should be recorded.</w:t>
      </w:r>
    </w:p>
    <w:p w14:paraId="1B26B41A" w14:textId="77777777" w:rsidR="000D2DC2" w:rsidRPr="00AF06C8" w:rsidRDefault="000D2DC2" w:rsidP="005E5B48">
      <w:pPr>
        <w:ind w:left="11"/>
        <w:rPr>
          <w:szCs w:val="22"/>
        </w:rPr>
      </w:pPr>
    </w:p>
    <w:p w14:paraId="4B7B40AA" w14:textId="49C418C7" w:rsidR="004A13A7" w:rsidRPr="000B27C0" w:rsidRDefault="004A13A7" w:rsidP="005E5B48">
      <w:pPr>
        <w:pStyle w:val="Heading1"/>
        <w:ind w:left="442"/>
      </w:pPr>
      <w:bookmarkStart w:id="238" w:name="_Toc513476332"/>
      <w:bookmarkStart w:id="239" w:name="_Toc8983859"/>
      <w:bookmarkStart w:id="240" w:name="_Toc8986383"/>
      <w:bookmarkStart w:id="241" w:name="_Toc95291617"/>
      <w:bookmarkStart w:id="242" w:name="_Toc114669429"/>
      <w:r w:rsidRPr="000B27C0">
        <w:lastRenderedPageBreak/>
        <w:t>Exceptions</w:t>
      </w:r>
      <w:bookmarkEnd w:id="238"/>
      <w:bookmarkEnd w:id="239"/>
      <w:bookmarkEnd w:id="240"/>
      <w:bookmarkEnd w:id="241"/>
      <w:bookmarkEnd w:id="242"/>
    </w:p>
    <w:p w14:paraId="526CA966" w14:textId="1BD9D230" w:rsidR="004A13A7" w:rsidRPr="00AF06C8" w:rsidRDefault="004A13A7" w:rsidP="005E5B48">
      <w:pPr>
        <w:ind w:left="11"/>
        <w:rPr>
          <w:rFonts w:cstheme="minorBidi"/>
          <w:szCs w:val="22"/>
        </w:rPr>
      </w:pPr>
      <w:r w:rsidRPr="00AF06C8">
        <w:rPr>
          <w:szCs w:val="22"/>
        </w:rPr>
        <w:t>Exceptions to the requirements of this RALI for prospective assignments</w:t>
      </w:r>
      <w:r w:rsidR="00190B70" w:rsidRPr="00190B70">
        <w:rPr>
          <w:szCs w:val="22"/>
        </w:rPr>
        <w:t xml:space="preserve"> </w:t>
      </w:r>
      <w:r w:rsidR="00190B70">
        <w:rPr>
          <w:szCs w:val="22"/>
        </w:rPr>
        <w:t>and device registrations</w:t>
      </w:r>
      <w:r w:rsidRPr="00AF06C8">
        <w:rPr>
          <w:szCs w:val="22"/>
        </w:rPr>
        <w:t xml:space="preserve"> require case-by-case consideration by the Manager, Spectrum </w:t>
      </w:r>
      <w:r w:rsidR="00A1481A">
        <w:rPr>
          <w:szCs w:val="22"/>
        </w:rPr>
        <w:t>Planning Section</w:t>
      </w:r>
      <w:r w:rsidRPr="00AF06C8">
        <w:rPr>
          <w:szCs w:val="22"/>
        </w:rPr>
        <w:t>.</w:t>
      </w:r>
    </w:p>
    <w:p w14:paraId="2DABA09F" w14:textId="0F0BF72A" w:rsidR="004A13A7" w:rsidRDefault="004A13A7" w:rsidP="005E5B48">
      <w:pPr>
        <w:ind w:left="11"/>
        <w:rPr>
          <w:szCs w:val="22"/>
        </w:rPr>
      </w:pPr>
      <w:r w:rsidRPr="00AF06C8">
        <w:rPr>
          <w:szCs w:val="22"/>
        </w:rPr>
        <w:t xml:space="preserve">A request for </w:t>
      </w:r>
      <w:r w:rsidR="00CE4AF9">
        <w:rPr>
          <w:szCs w:val="22"/>
        </w:rPr>
        <w:t xml:space="preserve">an </w:t>
      </w:r>
      <w:r w:rsidRPr="00AF06C8">
        <w:rPr>
          <w:szCs w:val="22"/>
        </w:rPr>
        <w:t>exemption from the requirements of this RALI would need to be accompanied by evidence to support the request.</w:t>
      </w:r>
    </w:p>
    <w:p w14:paraId="384E6443" w14:textId="6059A431" w:rsidR="00363AEE" w:rsidRPr="00AF06C8" w:rsidRDefault="00363AEE" w:rsidP="005E5B48">
      <w:pPr>
        <w:ind w:left="11"/>
        <w:rPr>
          <w:szCs w:val="22"/>
        </w:rPr>
      </w:pPr>
      <w:r>
        <w:rPr>
          <w:szCs w:val="22"/>
        </w:rPr>
        <w:t xml:space="preserve">For exemptions </w:t>
      </w:r>
      <w:r w:rsidR="003522D8">
        <w:rPr>
          <w:szCs w:val="22"/>
        </w:rPr>
        <w:t xml:space="preserve">related to AWL transmitter coordination and device boundary </w:t>
      </w:r>
      <w:proofErr w:type="gramStart"/>
      <w:r w:rsidR="003522D8">
        <w:rPr>
          <w:szCs w:val="22"/>
        </w:rPr>
        <w:t xml:space="preserve">criteria </w:t>
      </w:r>
      <w:r>
        <w:rPr>
          <w:szCs w:val="22"/>
        </w:rPr>
        <w:t xml:space="preserve"> please</w:t>
      </w:r>
      <w:proofErr w:type="gramEnd"/>
      <w:r>
        <w:rPr>
          <w:szCs w:val="22"/>
        </w:rPr>
        <w:t xml:space="preserve"> also see the </w:t>
      </w:r>
      <w:r w:rsidR="003522D8">
        <w:rPr>
          <w:szCs w:val="22"/>
        </w:rPr>
        <w:t xml:space="preserve">formal </w:t>
      </w:r>
      <w:r>
        <w:rPr>
          <w:szCs w:val="22"/>
        </w:rPr>
        <w:t>requirements under the AWL LCD.</w:t>
      </w:r>
    </w:p>
    <w:p w14:paraId="2C3DC330" w14:textId="18D33FE5" w:rsidR="000B27C0" w:rsidRPr="000B27C0" w:rsidRDefault="004A13A7" w:rsidP="005E5B48">
      <w:pPr>
        <w:ind w:left="11"/>
        <w:rPr>
          <w:rFonts w:cs="Arial"/>
          <w:szCs w:val="22"/>
        </w:rPr>
      </w:pPr>
      <w:r w:rsidRPr="00AF06C8">
        <w:rPr>
          <w:rFonts w:cs="Arial"/>
          <w:szCs w:val="22"/>
        </w:rPr>
        <w:t>All requests for exemptions should be submitted to</w:t>
      </w:r>
      <w:r w:rsidR="006630D1">
        <w:rPr>
          <w:rFonts w:cs="Arial"/>
          <w:szCs w:val="22"/>
        </w:rPr>
        <w:t>:</w:t>
      </w:r>
      <w:r w:rsidRPr="00AF06C8">
        <w:rPr>
          <w:rFonts w:cs="Arial"/>
          <w:szCs w:val="22"/>
        </w:rPr>
        <w:t xml:space="preserve"> </w:t>
      </w:r>
      <w:hyperlink r:id="rId51" w:history="1">
        <w:r w:rsidR="00746A68" w:rsidRPr="00AD1617">
          <w:rPr>
            <w:rStyle w:val="Hyperlink"/>
            <w:rFonts w:cs="Arial"/>
            <w:szCs w:val="22"/>
          </w:rPr>
          <w:t>freqplan@acma.gov.au</w:t>
        </w:r>
      </w:hyperlink>
    </w:p>
    <w:p w14:paraId="5875D098" w14:textId="0A4DE4B9" w:rsidR="004A13A7" w:rsidRPr="008C3D36" w:rsidRDefault="004A13A7" w:rsidP="005E5B48">
      <w:pPr>
        <w:pStyle w:val="Heading1"/>
        <w:ind w:left="442"/>
      </w:pPr>
      <w:bookmarkStart w:id="243" w:name="_Toc8983860"/>
      <w:bookmarkStart w:id="244" w:name="_Toc8986384"/>
      <w:bookmarkStart w:id="245" w:name="_Toc95291618"/>
      <w:bookmarkStart w:id="246" w:name="_Toc114669430"/>
      <w:r w:rsidRPr="008C3D36">
        <w:lastRenderedPageBreak/>
        <w:t>RALI Authorisation</w:t>
      </w:r>
      <w:bookmarkEnd w:id="243"/>
      <w:bookmarkEnd w:id="244"/>
      <w:bookmarkEnd w:id="245"/>
      <w:bookmarkEnd w:id="246"/>
    </w:p>
    <w:p w14:paraId="3AD02DFD" w14:textId="29DAE0EE" w:rsidR="004A13A7" w:rsidRPr="00AF06C8" w:rsidRDefault="004A13A7" w:rsidP="005E5B48">
      <w:pPr>
        <w:ind w:left="11"/>
        <w:rPr>
          <w:szCs w:val="22"/>
        </w:rPr>
      </w:pPr>
      <w:r w:rsidRPr="00072C92">
        <w:rPr>
          <w:szCs w:val="22"/>
        </w:rPr>
        <w:t>[</w:t>
      </w:r>
      <w:r w:rsidR="0087538F" w:rsidRPr="009D33A5">
        <w:rPr>
          <w:szCs w:val="22"/>
        </w:rPr>
        <w:t xml:space="preserve">not </w:t>
      </w:r>
      <w:r w:rsidRPr="009D33A5">
        <w:rPr>
          <w:szCs w:val="22"/>
        </w:rPr>
        <w:t>approved</w:t>
      </w:r>
      <w:r w:rsidRPr="00072C92">
        <w:rPr>
          <w:szCs w:val="22"/>
        </w:rPr>
        <w:t>]</w:t>
      </w:r>
      <w:r w:rsidR="004332EE" w:rsidRPr="00072C92">
        <w:rPr>
          <w:szCs w:val="22"/>
        </w:rPr>
        <w:tab/>
      </w:r>
      <w:r w:rsidR="004332EE" w:rsidRPr="00072C92">
        <w:rPr>
          <w:szCs w:val="22"/>
        </w:rPr>
        <w:tab/>
      </w:r>
      <w:r w:rsidR="004332EE" w:rsidRPr="00072C92">
        <w:rPr>
          <w:szCs w:val="22"/>
        </w:rPr>
        <w:tab/>
      </w:r>
      <w:r w:rsidR="004332EE" w:rsidRPr="00072C92">
        <w:rPr>
          <w:szCs w:val="22"/>
        </w:rPr>
        <w:tab/>
      </w:r>
      <w:r w:rsidR="004332EE" w:rsidRPr="009D33A5">
        <w:rPr>
          <w:szCs w:val="22"/>
        </w:rPr>
        <w:t>XX</w:t>
      </w:r>
      <w:r w:rsidRPr="009D33A5">
        <w:rPr>
          <w:szCs w:val="22"/>
        </w:rPr>
        <w:t>/</w:t>
      </w:r>
      <w:r w:rsidR="004332EE" w:rsidRPr="009D33A5">
        <w:rPr>
          <w:szCs w:val="22"/>
        </w:rPr>
        <w:t>YY</w:t>
      </w:r>
      <w:r w:rsidRPr="009D33A5">
        <w:rPr>
          <w:szCs w:val="22"/>
        </w:rPr>
        <w:t>/</w:t>
      </w:r>
      <w:r w:rsidR="00A50696" w:rsidRPr="009D33A5">
        <w:rPr>
          <w:szCs w:val="22"/>
        </w:rPr>
        <w:t>202</w:t>
      </w:r>
      <w:r w:rsidR="00A50696" w:rsidRPr="00072C92">
        <w:rPr>
          <w:szCs w:val="22"/>
        </w:rPr>
        <w:t>2</w:t>
      </w:r>
    </w:p>
    <w:p w14:paraId="16E838B6" w14:textId="00CA856B" w:rsidR="004332EE" w:rsidRDefault="00B12B26" w:rsidP="005E5B48">
      <w:pPr>
        <w:ind w:left="11"/>
        <w:rPr>
          <w:szCs w:val="22"/>
        </w:rPr>
      </w:pPr>
      <w:r>
        <w:rPr>
          <w:szCs w:val="22"/>
        </w:rPr>
        <w:t>Chris Worley</w:t>
      </w:r>
    </w:p>
    <w:p w14:paraId="4BCC8BD6" w14:textId="33F321C9" w:rsidR="00E26577" w:rsidRDefault="004A13A7" w:rsidP="005E5B48">
      <w:pPr>
        <w:ind w:left="11"/>
        <w:rPr>
          <w:szCs w:val="22"/>
        </w:rPr>
      </w:pPr>
      <w:r w:rsidRPr="00AF06C8">
        <w:rPr>
          <w:szCs w:val="22"/>
        </w:rPr>
        <w:t>Manager</w:t>
      </w:r>
      <w:r w:rsidRPr="00AF06C8">
        <w:rPr>
          <w:szCs w:val="22"/>
        </w:rPr>
        <w:br/>
      </w:r>
      <w:r w:rsidR="00B12B26">
        <w:rPr>
          <w:szCs w:val="22"/>
        </w:rPr>
        <w:t>Spectrum Planning Section</w:t>
      </w:r>
      <w:r w:rsidRPr="00AF06C8">
        <w:rPr>
          <w:szCs w:val="22"/>
        </w:rPr>
        <w:br/>
        <w:t>Spectrum Planning and Engineering Branch</w:t>
      </w:r>
      <w:r w:rsidR="004332EE">
        <w:rPr>
          <w:szCs w:val="22"/>
        </w:rPr>
        <w:br/>
      </w:r>
      <w:r w:rsidRPr="00AF06C8">
        <w:rPr>
          <w:szCs w:val="22"/>
        </w:rPr>
        <w:t>Communications Infrastructure Division</w:t>
      </w:r>
      <w:r w:rsidRPr="00AF06C8">
        <w:rPr>
          <w:szCs w:val="22"/>
        </w:rPr>
        <w:br/>
        <w:t>Australian Communications and Media Authority</w:t>
      </w:r>
      <w:r w:rsidR="00E26577">
        <w:rPr>
          <w:szCs w:val="22"/>
        </w:rPr>
        <w:br w:type="page"/>
      </w:r>
    </w:p>
    <w:p w14:paraId="3D28A217" w14:textId="7E67B171" w:rsidR="00223EA7" w:rsidRDefault="004E0F2F" w:rsidP="009D33A5">
      <w:pPr>
        <w:pStyle w:val="AppendixH1"/>
      </w:pPr>
      <w:bookmarkStart w:id="247" w:name="AppendixB"/>
      <w:bookmarkStart w:id="248" w:name="AppendixC"/>
      <w:bookmarkStart w:id="249" w:name="_Toc95291619"/>
      <w:bookmarkStart w:id="250" w:name="_Toc114669431"/>
      <w:bookmarkEnd w:id="247"/>
      <w:bookmarkEnd w:id="248"/>
      <w:r>
        <w:lastRenderedPageBreak/>
        <w:t>A</w:t>
      </w:r>
      <w:r w:rsidR="00223EA7">
        <w:t>rea</w:t>
      </w:r>
      <w:r w:rsidR="00C41F54">
        <w:t>s</w:t>
      </w:r>
      <w:r w:rsidR="00223EA7">
        <w:t xml:space="preserve"> available for </w:t>
      </w:r>
      <w:r w:rsidR="002F750E">
        <w:t xml:space="preserve">AWL </w:t>
      </w:r>
      <w:r w:rsidR="00223EA7">
        <w:t>licensing</w:t>
      </w:r>
      <w:bookmarkEnd w:id="249"/>
      <w:bookmarkEnd w:id="250"/>
    </w:p>
    <w:p w14:paraId="49D5DBA8" w14:textId="6AF15E8D" w:rsidR="002F750E" w:rsidRDefault="002F750E" w:rsidP="005E5B48">
      <w:pPr>
        <w:ind w:left="11"/>
      </w:pPr>
      <w:r>
        <w:t>In this RALI, the areas available for AWL licensing are defined by the</w:t>
      </w:r>
      <w:r w:rsidR="005E5B48">
        <w:t xml:space="preserve"> </w:t>
      </w:r>
      <w:r>
        <w:t>HCIS area description</w:t>
      </w:r>
      <w:r w:rsidR="005E5B48">
        <w:t>s in the following table</w:t>
      </w:r>
      <w:r w:rsidR="005F14AA">
        <w:t>.</w:t>
      </w:r>
    </w:p>
    <w:p w14:paraId="1E2B18DC" w14:textId="6E964F39" w:rsidR="002F750E" w:rsidRDefault="002F750E" w:rsidP="005E5B48">
      <w:pPr>
        <w:ind w:left="11"/>
      </w:pPr>
      <w:r>
        <w:t>The Australian Spectrum Map Grid (</w:t>
      </w:r>
      <w:r w:rsidRPr="00577B3E">
        <w:t>ASMG</w:t>
      </w:r>
      <w:r>
        <w:t xml:space="preserve">) is used to define geographical areas over which spectrum licences are issued. </w:t>
      </w:r>
      <w:r w:rsidRPr="00577B3E">
        <w:t xml:space="preserve">The Hierarchical Cell Identification Scheme (HCIS) is a naming convention developed by the ACMA that applies unique ‘names’ to each of the cells </w:t>
      </w:r>
      <w:r>
        <w:t>that make up</w:t>
      </w:r>
      <w:r w:rsidRPr="00577B3E">
        <w:t xml:space="preserve"> the</w:t>
      </w:r>
      <w:r>
        <w:t xml:space="preserve"> ASMG</w:t>
      </w:r>
      <w:r w:rsidRPr="00577B3E">
        <w:t>.</w:t>
      </w:r>
      <w:r>
        <w:t xml:space="preserve"> The ASMG and HCIS are described in detail in the document </w:t>
      </w:r>
      <w:hyperlink r:id="rId52" w:history="1">
        <w:r w:rsidRPr="00776DBC">
          <w:rPr>
            <w:rStyle w:val="Hyperlink"/>
            <w:rFonts w:cs="Arial"/>
            <w:i/>
          </w:rPr>
          <w:t>The Australia</w:t>
        </w:r>
        <w:r>
          <w:rPr>
            <w:rStyle w:val="Hyperlink"/>
            <w:rFonts w:cs="Arial"/>
            <w:i/>
          </w:rPr>
          <w:t>n</w:t>
        </w:r>
        <w:r w:rsidRPr="00776DBC">
          <w:rPr>
            <w:rStyle w:val="Hyperlink"/>
            <w:rFonts w:cs="Arial"/>
            <w:i/>
          </w:rPr>
          <w:t xml:space="preserve"> spectrum map grid 2012</w:t>
        </w:r>
      </w:hyperlink>
      <w:r>
        <w:t xml:space="preserve">. </w:t>
      </w:r>
      <w:r>
        <w:fldChar w:fldCharType="begin"/>
      </w:r>
      <w:r>
        <w:instrText xml:space="preserve"> REF _Ref29365178 \h </w:instrText>
      </w:r>
      <w:r>
        <w:fldChar w:fldCharType="separate"/>
      </w:r>
      <w:r w:rsidRPr="00A45C92">
        <w:t>HCIS description of areas</w:t>
      </w:r>
      <w:r>
        <w:fldChar w:fldCharType="end"/>
      </w:r>
      <w:r>
        <w:t xml:space="preserve"> </w:t>
      </w:r>
      <w:r w:rsidRPr="006006B1">
        <w:t xml:space="preserve">can be converted into a </w:t>
      </w:r>
      <w:r w:rsidRPr="00C650D6">
        <w:t>Placemark</w:t>
      </w:r>
      <w:r>
        <w:t xml:space="preserve"> file (viewable in Google Earth)</w:t>
      </w:r>
      <w:r w:rsidRPr="00C650D6">
        <w:t xml:space="preserve"> </w:t>
      </w:r>
      <w:r w:rsidRPr="006006B1">
        <w:t xml:space="preserve">through a facility on the </w:t>
      </w:r>
      <w:hyperlink r:id="rId53" w:history="1">
        <w:r w:rsidRPr="00DB6F54">
          <w:rPr>
            <w:rStyle w:val="Hyperlink"/>
          </w:rPr>
          <w:t>ACMA website</w:t>
        </w:r>
      </w:hyperlink>
      <w:r>
        <w:t>.</w:t>
      </w:r>
      <w:r w:rsidRPr="00C650D6">
        <w:t xml:space="preserve"> </w:t>
      </w:r>
    </w:p>
    <w:p w14:paraId="176A2077" w14:textId="73131924" w:rsidR="00555F5E" w:rsidRPr="00707C73" w:rsidRDefault="00555F5E" w:rsidP="005E5B48">
      <w:pPr>
        <w:ind w:left="11"/>
      </w:pPr>
      <w:bookmarkStart w:id="251" w:name="_Hlk105145452"/>
      <w:r w:rsidRPr="00707C73">
        <w:t>AWL licences will not be issued outside of the ASMG</w:t>
      </w:r>
      <w:r w:rsidR="00C153F2">
        <w:t>, where</w:t>
      </w:r>
      <w:r w:rsidRPr="00707C73">
        <w:t xml:space="preserve"> point to multipoint licences can be issued. </w:t>
      </w:r>
    </w:p>
    <w:p w14:paraId="505DE9FB" w14:textId="3EB875EF" w:rsidR="00FE42C6" w:rsidRDefault="00FE42C6" w:rsidP="005E5B48">
      <w:pPr>
        <w:spacing w:after="0" w:line="240" w:lineRule="auto"/>
        <w:ind w:left="11"/>
      </w:pPr>
    </w:p>
    <w:tbl>
      <w:tblPr>
        <w:tblStyle w:val="TableGrid"/>
        <w:tblW w:w="10490" w:type="dxa"/>
        <w:tblInd w:w="-572" w:type="dxa"/>
        <w:tblLayout w:type="fixed"/>
        <w:tblCellMar>
          <w:top w:w="57" w:type="dxa"/>
          <w:bottom w:w="57" w:type="dxa"/>
        </w:tblCellMar>
        <w:tblLook w:val="04A0" w:firstRow="1" w:lastRow="0" w:firstColumn="1" w:lastColumn="0" w:noHBand="0" w:noVBand="1"/>
      </w:tblPr>
      <w:tblGrid>
        <w:gridCol w:w="1985"/>
        <w:gridCol w:w="1276"/>
        <w:gridCol w:w="7229"/>
      </w:tblGrid>
      <w:tr w:rsidR="006C33E6" w14:paraId="328277B8" w14:textId="77777777" w:rsidTr="005E5B48">
        <w:trPr>
          <w:tblHeader/>
        </w:trPr>
        <w:tc>
          <w:tcPr>
            <w:tcW w:w="1985"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4091886" w14:textId="77777777" w:rsidR="00D06565" w:rsidRDefault="00FE42C6" w:rsidP="00EC3A9D">
            <w:pPr>
              <w:pStyle w:val="TableHeading"/>
              <w:keepNext/>
              <w:rPr>
                <w:color w:val="FFFFFF" w:themeColor="background1"/>
              </w:rPr>
            </w:pPr>
            <w:r w:rsidRPr="004346FA">
              <w:rPr>
                <w:color w:val="FFFFFF" w:themeColor="background1"/>
              </w:rPr>
              <w:t>Area</w:t>
            </w:r>
          </w:p>
          <w:p w14:paraId="3DE61C06" w14:textId="2A45A3F2" w:rsidR="00FE42C6" w:rsidRPr="004346FA" w:rsidRDefault="00D06565" w:rsidP="00EC3A9D">
            <w:pPr>
              <w:pStyle w:val="TableHeading"/>
              <w:keepNext/>
              <w:rPr>
                <w:color w:val="FFFFFF" w:themeColor="background1"/>
              </w:rPr>
            </w:pPr>
            <w:r>
              <w:rPr>
                <w:color w:val="FFFFFF" w:themeColor="background1"/>
              </w:rPr>
              <w:t>(</w:t>
            </w:r>
            <w:r w:rsidR="00614647">
              <w:rPr>
                <w:color w:val="FFFFFF" w:themeColor="background1"/>
              </w:rPr>
              <w:t>frequency</w:t>
            </w:r>
            <w:r>
              <w:rPr>
                <w:color w:val="FFFFFF" w:themeColor="background1"/>
              </w:rPr>
              <w:t>)</w:t>
            </w:r>
          </w:p>
        </w:tc>
        <w:tc>
          <w:tcPr>
            <w:tcW w:w="1276"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FCDE3DA" w14:textId="77777777" w:rsidR="00FE42C6" w:rsidRPr="004346FA" w:rsidRDefault="00FE42C6" w:rsidP="00EC3A9D">
            <w:pPr>
              <w:pStyle w:val="TableHeading"/>
              <w:keepNext/>
              <w:rPr>
                <w:color w:val="FFFFFF" w:themeColor="background1"/>
              </w:rPr>
            </w:pPr>
            <w:r w:rsidRPr="004346FA">
              <w:rPr>
                <w:color w:val="FFFFFF" w:themeColor="background1"/>
              </w:rPr>
              <w:t>Sub-area name</w:t>
            </w:r>
          </w:p>
        </w:tc>
        <w:tc>
          <w:tcPr>
            <w:tcW w:w="7229"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8AAFB95" w14:textId="77777777" w:rsidR="00FE42C6" w:rsidRPr="004346FA" w:rsidRDefault="00FE42C6" w:rsidP="00EC3A9D">
            <w:pPr>
              <w:pStyle w:val="TableHeading"/>
              <w:keepNext/>
              <w:rPr>
                <w:color w:val="FFFFFF" w:themeColor="background1"/>
              </w:rPr>
            </w:pPr>
            <w:r w:rsidRPr="004346FA">
              <w:rPr>
                <w:color w:val="FFFFFF" w:themeColor="background1"/>
              </w:rPr>
              <w:t>HCIS</w:t>
            </w:r>
          </w:p>
        </w:tc>
      </w:tr>
      <w:tr w:rsidR="00FE42C6" w14:paraId="695776E2" w14:textId="77777777" w:rsidTr="005E5B48">
        <w:tc>
          <w:tcPr>
            <w:tcW w:w="1985" w:type="dxa"/>
            <w:hideMark/>
          </w:tcPr>
          <w:p w14:paraId="59FCFDF7" w14:textId="17054E79" w:rsidR="00FE42C6" w:rsidRDefault="00680DC6" w:rsidP="00EC3A9D">
            <w:pPr>
              <w:pStyle w:val="TableBody"/>
            </w:pPr>
            <w:r>
              <w:t>Remote</w:t>
            </w:r>
          </w:p>
          <w:p w14:paraId="48CB6422" w14:textId="1783E215" w:rsidR="00D31D89" w:rsidRDefault="00D06565" w:rsidP="00EC3A9D">
            <w:pPr>
              <w:pStyle w:val="TableBody"/>
            </w:pPr>
            <w:r>
              <w:t>(</w:t>
            </w:r>
            <w:r w:rsidR="00D31D89">
              <w:t>3400-4000 MHz</w:t>
            </w:r>
            <w:r>
              <w:t>)</w:t>
            </w:r>
          </w:p>
        </w:tc>
        <w:tc>
          <w:tcPr>
            <w:tcW w:w="1276" w:type="dxa"/>
            <w:hideMark/>
          </w:tcPr>
          <w:p w14:paraId="3DCD5387" w14:textId="77777777" w:rsidR="00FE42C6" w:rsidRDefault="00FE42C6" w:rsidP="00EC3A9D">
            <w:pPr>
              <w:pStyle w:val="TableBody"/>
            </w:pPr>
            <w:r>
              <w:t>–</w:t>
            </w:r>
          </w:p>
        </w:tc>
        <w:tc>
          <w:tcPr>
            <w:tcW w:w="7229" w:type="dxa"/>
          </w:tcPr>
          <w:p w14:paraId="090A4075" w14:textId="4B40D47A" w:rsidR="004E7313" w:rsidRDefault="004E7313" w:rsidP="00EC3A9D">
            <w:pPr>
              <w:pStyle w:val="TableBody"/>
            </w:pPr>
            <w:r w:rsidRPr="004E7313">
              <w:t>BR, BS, BT, CR, CS, CT, CU, DQ, DR, DS, DT, DU, EP, EQ, ER, ES, ET, EU, FP, FQ, FR, FS, FT, FU, GP, GQ, GR, GS, GT, GU, HO, HP, HQ, HR, HS, HT, HU, IO, IP, IQ, IR, IS, IT, IU, JO, JP, JQ, JR, JS, JT, JU, KR, KS, KT, KU, LS, LT, LU, AR8, AR9, AS2, AS3, AS5, AS6, AS8, AS9, AT1, AT2, AT3, AT5, AT6, AT8, AT9, AU2, AU3, BU1, BU2, BU3, BU6, GO3, GO4, GO5, GO6, GO7, GO8, GO9, AU6A, AU6B, AU6C, AU6D, AU6E, AU6F, AU6G, AU6H, BU4A, BU4B, BU4C, BU4D, BU4E, BU4F, BU4G, BU5A, BU5B, BU5C, BU5D, BU9C, BU9D, BU9G, BU9H, BU9K, BU9L, BU9O, BU9P</w:t>
            </w:r>
          </w:p>
        </w:tc>
      </w:tr>
      <w:bookmarkEnd w:id="251"/>
    </w:tbl>
    <w:p w14:paraId="4EAC1BC1" w14:textId="62A0B0D7" w:rsidR="00DF143A" w:rsidRDefault="00DF143A" w:rsidP="005E5B48">
      <w:pPr>
        <w:ind w:left="11"/>
      </w:pPr>
    </w:p>
    <w:p w14:paraId="49AD1D85" w14:textId="115242FF" w:rsidR="00B87A12" w:rsidRPr="00B87A12" w:rsidRDefault="00B87A12" w:rsidP="009D33A5"/>
    <w:p w14:paraId="1BE0F5A6" w14:textId="203C9FF2" w:rsidR="00B87A12" w:rsidRPr="00B87A12" w:rsidRDefault="00B87A12" w:rsidP="009D33A5"/>
    <w:p w14:paraId="50D0DB0F" w14:textId="7770A79C" w:rsidR="00B87A12" w:rsidRPr="00B87A12" w:rsidRDefault="00B87A12" w:rsidP="009D33A5"/>
    <w:p w14:paraId="37DB11B8" w14:textId="6A439808" w:rsidR="00B87A12" w:rsidRPr="00B87A12" w:rsidRDefault="00B87A12" w:rsidP="009D33A5"/>
    <w:p w14:paraId="3E2C6317" w14:textId="47E250AE" w:rsidR="00B87A12" w:rsidRPr="00B87A12" w:rsidRDefault="00B87A12" w:rsidP="009D33A5"/>
    <w:p w14:paraId="503E0F8E" w14:textId="77E7AD73" w:rsidR="00B87A12" w:rsidRPr="00B87A12" w:rsidRDefault="00B87A12" w:rsidP="009D33A5"/>
    <w:p w14:paraId="0DF60014" w14:textId="316DB6F0" w:rsidR="00B87A12" w:rsidRPr="00B87A12" w:rsidRDefault="00B87A12" w:rsidP="009D33A5"/>
    <w:p w14:paraId="590FED74" w14:textId="531553EE" w:rsidR="00B87A12" w:rsidRPr="00B87A12" w:rsidRDefault="00B87A12" w:rsidP="009D33A5"/>
    <w:p w14:paraId="7441B4AA" w14:textId="17BCCA7B" w:rsidR="00B87A12" w:rsidRDefault="00B87A12" w:rsidP="00B87A12"/>
    <w:p w14:paraId="40B099BD" w14:textId="108512CD" w:rsidR="00B87A12" w:rsidRPr="00B87A12" w:rsidRDefault="00B87A12" w:rsidP="009D33A5">
      <w:pPr>
        <w:tabs>
          <w:tab w:val="left" w:pos="7372"/>
        </w:tabs>
      </w:pPr>
      <w:r>
        <w:tab/>
      </w:r>
    </w:p>
    <w:p w14:paraId="578BE1A5" w14:textId="7ECBB1ED" w:rsidR="00EB4B17" w:rsidRDefault="00EB4B17" w:rsidP="00EB4B17">
      <w:pPr>
        <w:pStyle w:val="AppendixH1"/>
      </w:pPr>
      <w:bookmarkStart w:id="252" w:name="_Toc114669432"/>
      <w:bookmarkStart w:id="253" w:name="_Toc95291620"/>
      <w:r>
        <w:lastRenderedPageBreak/>
        <w:t xml:space="preserve">Darwin and Geraldton </w:t>
      </w:r>
      <w:r w:rsidR="00842E47">
        <w:t xml:space="preserve">coordination </w:t>
      </w:r>
      <w:r w:rsidR="003364F0">
        <w:t xml:space="preserve">zone </w:t>
      </w:r>
      <w:r w:rsidR="00226FA2">
        <w:t>definitions</w:t>
      </w:r>
      <w:bookmarkEnd w:id="252"/>
    </w:p>
    <w:p w14:paraId="4DF1BD91" w14:textId="74FDEC9E" w:rsidR="00EB4B17" w:rsidRPr="00707C73" w:rsidRDefault="00842E47" w:rsidP="00EB4B17">
      <w:pPr>
        <w:ind w:left="11"/>
      </w:pPr>
      <w:r>
        <w:t xml:space="preserve">AWLs </w:t>
      </w:r>
      <w:r w:rsidR="00F05BAF">
        <w:t xml:space="preserve">in the (3400-4000 MHz) range </w:t>
      </w:r>
      <w:r>
        <w:t>will not normally be issued in the areas defined by the HCIS area description the following table</w:t>
      </w:r>
      <w:r w:rsidR="00EB4B17" w:rsidRPr="00707C73">
        <w:t>.</w:t>
      </w:r>
    </w:p>
    <w:p w14:paraId="4E023FFD" w14:textId="77777777" w:rsidR="00EB4B17" w:rsidRDefault="00EB4B17" w:rsidP="00EB4B17">
      <w:pPr>
        <w:spacing w:after="0" w:line="240" w:lineRule="auto"/>
        <w:ind w:left="11"/>
      </w:pPr>
    </w:p>
    <w:tbl>
      <w:tblPr>
        <w:tblStyle w:val="TableGrid"/>
        <w:tblW w:w="10490" w:type="dxa"/>
        <w:tblInd w:w="-572" w:type="dxa"/>
        <w:tblLayout w:type="fixed"/>
        <w:tblCellMar>
          <w:top w:w="57" w:type="dxa"/>
          <w:bottom w:w="57" w:type="dxa"/>
        </w:tblCellMar>
        <w:tblLook w:val="04A0" w:firstRow="1" w:lastRow="0" w:firstColumn="1" w:lastColumn="0" w:noHBand="0" w:noVBand="1"/>
      </w:tblPr>
      <w:tblGrid>
        <w:gridCol w:w="3261"/>
        <w:gridCol w:w="7229"/>
      </w:tblGrid>
      <w:tr w:rsidR="00842E47" w14:paraId="63855810" w14:textId="77777777" w:rsidTr="007A17FA">
        <w:trPr>
          <w:tblHeader/>
        </w:trPr>
        <w:tc>
          <w:tcPr>
            <w:tcW w:w="3261"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CE9E5DE" w14:textId="42884A24" w:rsidR="00842E47" w:rsidRPr="004346FA" w:rsidRDefault="00842E47" w:rsidP="0062309A">
            <w:pPr>
              <w:pStyle w:val="TableHeading"/>
              <w:keepNext/>
              <w:rPr>
                <w:color w:val="FFFFFF" w:themeColor="background1"/>
              </w:rPr>
            </w:pPr>
            <w:r>
              <w:rPr>
                <w:color w:val="FFFFFF" w:themeColor="background1"/>
              </w:rPr>
              <w:t>Coordination Zone</w:t>
            </w:r>
          </w:p>
        </w:tc>
        <w:tc>
          <w:tcPr>
            <w:tcW w:w="7229"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42466B7" w14:textId="77777777" w:rsidR="00842E47" w:rsidRPr="004346FA" w:rsidRDefault="00842E47" w:rsidP="0062309A">
            <w:pPr>
              <w:pStyle w:val="TableHeading"/>
              <w:keepNext/>
              <w:rPr>
                <w:color w:val="FFFFFF" w:themeColor="background1"/>
              </w:rPr>
            </w:pPr>
            <w:r w:rsidRPr="004346FA">
              <w:rPr>
                <w:color w:val="FFFFFF" w:themeColor="background1"/>
              </w:rPr>
              <w:t>HCIS</w:t>
            </w:r>
          </w:p>
        </w:tc>
      </w:tr>
      <w:tr w:rsidR="00842E47" w14:paraId="2F720E0F" w14:textId="77777777" w:rsidTr="007E48D2">
        <w:tc>
          <w:tcPr>
            <w:tcW w:w="3261" w:type="dxa"/>
            <w:hideMark/>
          </w:tcPr>
          <w:p w14:paraId="6E259B56" w14:textId="1CF85A60" w:rsidR="00842E47" w:rsidRDefault="00842E47" w:rsidP="0062309A">
            <w:pPr>
              <w:pStyle w:val="TableBody"/>
            </w:pPr>
            <w:r>
              <w:t>Darwin</w:t>
            </w:r>
            <w:r w:rsidR="00A02A83">
              <w:t xml:space="preserve"> (NT)</w:t>
            </w:r>
          </w:p>
        </w:tc>
        <w:tc>
          <w:tcPr>
            <w:tcW w:w="7229" w:type="dxa"/>
          </w:tcPr>
          <w:p w14:paraId="33C5343E" w14:textId="1E1DA8A4" w:rsidR="00842E47" w:rsidRDefault="00842E47">
            <w:pPr>
              <w:pStyle w:val="TableBody"/>
            </w:pPr>
            <w:r w:rsidRPr="00842E47">
              <w:t xml:space="preserve">GO7, GO8, FP3D, GO4F, GO4G, GO4H, GO4I, GO4J, GO4K, GO4L, GO4M, GO4N, GO4O, GO4P, GO5E, GO5F, GO5I, GO5J, GO5K, GO5M, GO5N, GO5O, GO5P, GP1A, GP1B, GP1C, GP1D, GP1E, GP1F, GP1G, GP1H, GP1K, GP1L, GP2A, GP2B, GP2C, GP2E, GP2F, GP2I, FP3C3, FP3C6, FP3H2, FP3H3, FP3H5, FP3H6, GO4B8, GO4B9, GO4C7, GO4C8, GO4C9, GO4D4, GO4D5, GO4D7, GO4D8, GO4D9, GO4E3, GO4E5, GO4E6, GO4E7, GO4E8, GO4E9, GO5A7, GO5A8, GO5A9, GO5B7, GO5G4, GO5G7, GO5G8, GO5G9, GO5L1, GO5L4, GO5L5, GO5L7, GO5L8, GO6M7, GO9A1, GO9A4, GO9A5, GO9A7, GO9A8, GO9E1, GO9E2, GO9E4, GO9E5, GO9E7, GO9E8, GO9I1, GO9I2, GO9I4, GO9I5, GO9I7, GO9I8, GO9M1, GO9M2, GO9M4, GO9M7, GP1I2, GP1I3, GP1J1, GP1J2, GP1J3, GP1J4, GP1J5, GP1J6, GP1J9, GP2D1, GP2D2, GP2D3, GP2D4, GP2D5, GP2D6, GP2D7, GP2D8, GP2G1, GP2G2, GP2G3, GP2G4, GP2G5, GP2G6, GP2G7, GP2G8, GP2H1, GP2H4, GP2J1, GP2J2, GP2J3, GP2J4, GP2J5, GP2K1, FP3C1E, FP3C1J, FP3C2A, FP3C2B, FP3C2C, FP3C2D, FP3C2E, FP3C2F, FP3C2G, FP3C2H, FP3C2I, FP3C2J, FP3C2K, FP3C2L, FP3C2M, FP3C2N, FP3C2O, FP3C2P, FP3C2Q, FP3C2R, FP3C2S, FP3C2T, FP3C2V, FP3C2W, FP3C2X, FP3C2Y, FP3C5B, FP3C5C, FP3C5D, FP3C5E, FP3C5H, FP3C5I, FP3C5J, FP3C5M, FP3C5N, FP3C5O, FP3C5S, FP3C5T, FP3C5X, FP3C5Y, FP3C8E, FP3C9A, FP3C9B, FP3C9C, FP3C9D, FP3C9E, FP3C9F, FP3C9G, FP3C9H, FP3C9I, FP3C9J, FP3C9K, FP3C9L, FP3C9M, FP3C9N, FP3C9O, FP3C9Q, FP3C9R, FP3C9S, FP3C9T, FP3C9W, FP3C9X, FP3C9Y, FP3G3D, FP3G3E, FP3G3I, FP3G3J, FP3G3O, FP3H1A, FP3H1B, FP3H1C, FP3H1D, FP3H1E, FP3H1F, FP3H1G, FP3H1H, FP3H1I, FP3H1J, FP3H1K, FP3H1L, FP3H1M, FP3H1N, FP3H1O, FP3H1P, FP3H1Q, FP3H1R, FP3H1S, FP3H1T, FP3H1V, FP3H1W, FP3H1X, FP3H1Y, FP3H4C, FP3H4D, FP3H4E, FP3H4H, FP3H4I, FP3H4J, FP3H4N, FP3H4O, FP3H4T, FP3H8B, FP3H8C, FP3H8D, FP3H8E, FP3H8H, FP3H8I, FP3H8J, FP3H8N, FP3H8O, FP3H9A, FP3H9B, FP3H9C, FP3H9D, FP3H9E, FP3H9F, FP3H9G, FP3H9H, FP3H9I, FP3H9J, FP3H9K, FP3H9L, FP3H9M, FP3H9N, FP3H9O, FP3H9P, FP3H9Q, FP3H9R, FP3H9S, FP3H9T, FP3H9V, FP3H9W, FP3H9X, FP3H9Y, FP3L3C, FP3L3D, FP3L3E, FP3L3I, FP3L3J, GO4A9S, GO4A9T, GO4A9V, GO4A9W, GO4A9X, GO4A9Y, GO4B5X, GO4B5Y, GO4B6Q, GO4B6R, GO4B6S, GO4B6T, GO4B6U, GO4B6V, GO4B6W, GO4B6X, GO4B6Y, GO4B7I, GO4B7J, GO4B7K, GO4B7L, GO4B7M, GO4B7N, GO4B7O, GO4B7P, GO4B7Q, GO4B7R, GO4B7S, GO4B7T, GO4B7U, GO4B7V, GO4B7W, GO4B7X, GO4B7Y, GO4C4K, GO4C4L, GO4C4M, GO4C4N, GO4C4O, GO4C4P, GO4C4Q, GO4C4R, GO4C4S, </w:t>
            </w:r>
            <w:r w:rsidRPr="00842E47">
              <w:lastRenderedPageBreak/>
              <w:t xml:space="preserve">GO4C4T, GO4C4U, GO4C4V, GO4C4W, GO4C4X, GO4C4Y, GO4C5F, GO4C5G, GO4C5H, GO4C5I, GO4C5J, GO4C5K, GO4C5L, GO4C5M, GO4C5N, GO4C5O, GO4C5P, GO4C5Q, GO4C5R, GO4C5S, GO4C5T, GO4C5U, GO4C5V, GO4C5W, GO4C5X, GO4C5Y, GO4C6D, GO4C6E, GO4C6F, GO4C6G, GO4C6H, GO4C6I, GO4C6J, GO4C6K, GO4C6L, GO4C6M, GO4C6N, GO4C6O, GO4C6P, GO4C6Q, GO4C6R, GO4C6S, GO4C6T, GO4C6U, GO4C6V, GO4C6W, GO4C6X, GO4C6Y, GO4D6A, GO4D6B, GO4D6F, GO4D6G, GO4D6H, GO4D6I, GO4D6J, GO4D6K, GO4D6L, GO4D6M, GO4D6N, GO4D6O, GO4D6P, GO4D6Q, GO4D6R, GO4D6S, GO4D6T, GO4D6U, GO4D6V, GO4D6W, GO4D6X, GO4D6Y, GO4E1T, GO4E1X, GO4E1Y, GO4E2E, GO4E2I, GO4E2J, GO4E2L, GO4E2M, GO4E2N, GO4E2O, GO4E2P, GO4E2Q, GO4E2R, GO4E2S, GO4E2T, GO4E2U, GO4E2V, GO4E2W, GO4E2X, GO4E2Y, GO4E4B, GO4E4C, GO4E4D, GO4E4E, GO4E4F, GO4E4G, GO4E4H, GO4E4I, GO4E4J, GO4E4K, GO4E4L, GO4E4M, GO4E4N, GO4E4O, GO4E4P, GO4E4Q, GO4E4R, GO4E4S, GO4E4T, GO4E4U, GO4E4V, GO4E4W, GO4E4X, GO4E4Y, GO5A4F, GO5A4G, GO5A4H, GO5A4I, GO5A4J, GO5A4K, GO5A4L, GO5A4M, GO5A4N, GO5A4O, GO5A4P, GO5A4Q, GO5A4R, GO5A4S, GO5A4T, GO5A4U, GO5A4V, GO5A4W, GO5A4X, GO5A4Y, GO5A5K, GO5A5L, GO5A5M, GO5A5N, GO5A5O, GO5A5P, GO5A5Q, GO5A5R, GO5A5S, GO5A5T, GO5A5U, GO5A5V, GO5A5W, GO5A5X, GO5A5Y, GO5A6P, GO5A6Q, GO5A6R, GO5A6U, GO5A6V, GO5A6W, GO5A6X, GO5A6Y, GO5B4U, GO5B4V, GO5B8F, GO5B8G, GO5B8K, GO5B8L, GO5B8M, GO5B8N, GO5B8P, GO5B8Q, GO5B8R, GO5B8S, GO5B8T, GO5B8U, GO5B8V, GO5B8W, GO5B8X, GO5B8Y, GO5B9P, GO5B9Q, GO5B9U, GO5B9V, GO5B9W, GO5B9X, GO5G1F, GO5G1G, GO5G1K, GO5G1L, GO5G1M, GO5G1N, GO5G1P, GO5G1Q, GO5G1R, GO5G1S, GO5G1T, GO5G1U, GO5G1V, GO5G1W, GO5G1X, GO5G1Y, GO5G2P, GO5G2U, GO5G2V, GO5G5A, GO5G5B, GO5G5C, GO5G5D, GO5G5F, GO5G5G, GO5G5H, GO5G5I, GO5G5J, GO5G5K, GO5G5L, GO5G5M, GO5G5N, GO5G5O, GO5G5P, GO5G5Q, GO5G5R, GO5G5S, GO5G5T, GO5G5U, GO5G5V, GO5G5W, GO5G5X, GO5G5Y, GO5G6K, GO5G6P, GO5G6Q, GO5G6R, GO5G6U, GO5G6V, GO5G6W, GO5G6X, GO5H7F, GO5H7K, GO5H7L, GO5H7P, GO5H7Q, GO5H7R, GO5H7U, GO5H7V, GO5H7W, GO5H7X, GO5L2F, GO5L2K, GO5L2L, GO5L2P, GO5L2Q, GO5L2R, GO5L2U, GO5L2V, GO5L2W, GO5L2X, GO5L6K, GO5L6P, GO5L6Q, GO5L6U, GO5L6V, GO5L6W, GO5L9A, GO5L9B, GO5L9C, GO5L9F, GO5L9G, GO5L9H, GO5L9I, GO5L9K, GO5L9L, GO5L9M, GO5L9N, GO5L9O, GO5L9P, GO5L9Q, GO5L9R, GO5L9S, GO5L9T, GO5L9U, GO5L9V, GO5L9W, GO5L9X, GO5L9Y, GO6I7U, GO6M1A, GO6M1B, GO6M1F, GO6M1G, GO6M1K, GO6M1L, GO6M1M, GO6M1P, GO6M1Q, GO6M1R, GO6M1U, GO6M1V, GO6M1W, GO6M1X, GO6M4A, GO6M4B, GO6M4C, GO6M4D, GO6M4F, GO6M4G, GO6M4H, GO6M4I, GO6M4J, GO6M4K, GO6M4L, GO6M4M, GO6M4N, GO6M4O, GO6M4P, GO6M4Q, GO6M4R, GO6M4S, GO6M4T, GO6M4U, GO6M4V, GO6M4W, GO6M4X, GO6M4Y, GO6M5P, GO6M5U, GO6M8A, GO6M8B, GO6M8F, GO6M8G, GO6M8K, GO6M8L, GO6M8M, </w:t>
            </w:r>
            <w:r w:rsidRPr="00842E47">
              <w:lastRenderedPageBreak/>
              <w:t xml:space="preserve">GO6M8P, GO6M8Q, GO6M8R, GO6M8U, GO6M8V, GO6M8W, GO9A2A, GO9A2B, GO9A2C, GO9A2D, GO9A2F, GO9A2G, GO9A2H, GO9A2I, GO9A2K, GO9A2L, GO9A2M, GO9A2N, GO9A2P, GO9A2Q, GO9A2R, GO9A2S, GO9A2T, GO9A2U, GO9A2V, GO9A2W, GO9A2X, GO9A2Y, GO9A6F, GO9A6K, GO9A6P, GO9A6U, GO9A9A, GO9A9F, GO9A9G, GO9A9K, GO9A9L, GO9A9P, GO9A9Q, GO9A9U, GO9A9V, GO9E3A, GO9E3B, GO9E3F, GO9E3G, GO9E3H, GO9E3K, GO9E3L, GO9E3M, GO9E3P, GO9E3Q, GO9E3R, GO9E3U, GO9E3V, GO9E3W, GO9E6A, GO9E6B, GO9E6C, GO9E6F, GO9E6G, GO9E6H, GO9E6K, GO9E6L, GO9E6M, GO9E6P, GO9E6Q, GO9E6R, GO9E6U, GO9E6V, GO9E6W, GO9E9A, GO9E9B, GO9E9C, GO9E9F, GO9E9G, GO9E9H, GO9E9K, GO9E9L, GO9E9M, GO9E9P, GO9E9Q, GO9E9R, GO9E9U, GO9E9V, GO9E9W, GO9I3A, GO9I3B, GO9I3C, GO9I3F, GO9I3G, GO9I3H, GO9I3K, GO9I3L, GO9I3M, GO9I3P, GO9I3Q, GO9I3R, GO9I3U, GO9I3V, GO9I3W, GO9I6A, GO9I6B, GO9I6C, GO9I6F, GO9I6G, GO9I6H, GO9I6K, GO9I6L, GO9I6M, GO9I6P, GO9I6Q, GO9I6U, GO9I6V, GO9I9A, GO9I9B, GO9I9F, GO9I9G, GO9I9K, GO9I9L, GO9I9P, GO9I9Q, GO9I9U, GO9M3A, GO9M3F, GO9M3K, GO9M5A, GO9M5B, GO9M5C, GO9M5D, GO9M5E, GO9M5F, GO9M5G, GO9M5H, GO9M5I, GO9M5J, GO9M5K, GO9M5L, GO9M5M, GO9M5N, GO9M5P, GO9M5Q, GO9M5R, GO9M5S, GO9M5U, GO9M5V, GO9M5W, GO9M5X, GO9M8A, GO9M8B, GO9M8C, GO9M8F, GO9M8G, GO9M8H, GO9M8K, GO9M8L, GO9M8P, GO9M8Q, GO9M8U, GO9M8V, GP1I1A, GP1I1B, GP1I1C, GP1I1D, GP1I1E, GP1I1F, GP1I1G, GP1I1H, GP1I1I, GP1I1J, GP1I1K, GP1I1L, GP1I1M, GP1I1N, GP1I1O, GP1I1Q, GP1I1R, GP1I1S, GP1I1T, GP1I1W, GP1I1X, GP1I1Y, GP1I4E, GP1I5A, GP1I5B, GP1I5C, GP1I5D, GP1I5E, GP1I5G, GP1I5H, GP1I5I, GP1I5J, GP1I5M, GP1I5N, GP1I5O, GP1I5T, GP1I6A, GP1I6B, GP1I6C, GP1I6D, GP1I6E, GP1I6F, GP1I6G, GP1I6H, GP1I6I, GP1I6J, GP1I6K, GP1I6L, GP1I6M, GP1I6N, GP1I6O, GP1I6P, GP1I6Q, GP1I6R, GP1I6S, GP1I6T, GP1I6V, GP1I6W, GP1I6X, GP1I6Y, GP1I9D, GP1I9E, GP1J7A, GP1J7B, GP1J7C, GP1J7D, GP1J7E, GP1J7F, GP1J7G, GP1J7H, GP1J7I, GP1J7J, GP1J7M, GP1J7N, GP1J7O, GP1J8A, GP1J8B, GP1J8C, GP1J8D, GP1J8E, GP1J8F, GP1J8G, GP1J8H, GP1J8I, GP1J8J, GP1J8K, GP1J8L, GP1J8M, GP1J8N, GP1J8O, GP1J8P, GP1J8Q, GP1J8R, GP1J8S, GP1J8T, GP1J8X, GP1J8Y, GP1N3B, GP1N3C, GP1N3D, GP1N3E, GP1O1A, GP1O1B, GP1O1C, GP1O1D, GP1O1E, GP1O1F, GP1O1G, GP1O1H, GP1O1I, GP1O1J, GP1O1O, GP1O2A, GP1O2B, GP1O2C, GP1O2D, GP1O2E, GP1O2F, GP1O2G, GP1O2H, GP1O2I, GP1O2J, GP1O2K, GP1O2L, GP1O2M, GP1O2N, GP1O2O, GP1O3A, GP1O3B, GP1O3C, GP1O3D, GP1O3E, GP1O3F, GP1O3G, GP1O3H, GP1O3I, GP1O3J, GP1O3K, GP1O3L, GP1O3M, GP1O3N, GP1O3O, GP1O3Q, GP1O3R, GP1O3S, GP1O3T, GP1P1A, GP1P1B, GP1P1C, GP1P1D, GP1P1E, GP1P1F, GP1P1G, GP1P1H, GP1P1I, GP1P1J, GP1P1K, GP1P1L, GP1P1M, GP1P1N, GP1P1O, GP1P1P, GP1P1Q, GP1P1R, GP1P1S, GP1P1T, GP1P2A, GP1P2B, GP1P2C, GP1P2D, GP1P2E, GP1P2F, GP1P2G, GP1P2H, GP1P2I, GP1P2J, GP1P2K, GP1P2L, GP1P2M, GP1P2N, GP1P2O, GP1P2P, GP1P2Q, GP1P2R, GP1P2S, GP1P2T, GP1P3A, GP1P3B, GP1P3C, GP1P3D, GP1P3E, GP1P3F, GP1P3G, </w:t>
            </w:r>
            <w:r w:rsidRPr="00842E47">
              <w:lastRenderedPageBreak/>
              <w:t>GP1P3H, GP1P3I, GP1P3J, GP1P3K, GP1P3L, GP1P3M, GP1P3N, GP1P3O, GP1P3P, GP1P3Q, GP1P3R, GP2D9A, GP2D9B, GP2D9C, GP2D9D, GP2D9E, GP2D9F, GP2D9G, GP2D9H, GP2D9I, GP2D9J, GP2D9K, GP2D9L, GP2D9M, GP2D9N, GP2D9P, GP2D9Q, GP2D9R, GP2D9S, GP2D9U, GP2D9V, GP2D9W, GP2G9A, GP2G9B, GP2G9C, GP2G9D, GP2G9E, GP2G9F, GP2G9G, GP2G9H, GP2G9I, GP2G9J, GP2G9K, GP2G9L, GP2G9M, GP2G9N, GP2G9O, GP2G9P, GP2G9Q, GP2G9R, GP2G9S, GP2G9T, GP2G9U, GP2G9V, GP2G9W, GP2G9X, GP2H2A, GP2H2B, GP2H2C, GP2H2D, GP2H2E, GP2H2F, GP2H2G, GP2H2H, GP2H2I, GP2H2J, GP2H2K, GP2H2L, GP2H2M, GP2H2N, GP2H2O, GP2H2P, GP2H2Q, GP2H2R, GP2H2S, GP2H2T, GP2H2U, GP2H2V, GP2H2W, GP2H2X, GP2H3A, GP2H3B, GP2H3F, GP2H3G, GP2H3K, GP2H5A, GP2H5B, GP2H5C, GP2H5F, GP2H5G, GP2H5K, GP2H5P, GP2H7A, GP2H7B, GP2H7C, GP2H7D, GP2H7F, GP2H7G, GP2H7K, GP2J6A, GP2J6B, GP2J6C, GP2J6D, GP2J6E, GP2J6F, GP2J6G, GP2J6H, GP2J6I, GP2J6J, GP2J6K, GP2J6L, GP2J6M, GP2J6N, GP2J6O, GP2J6P, GP2J6Q, GP2J6R, GP2J6S, GP2J6T, GP2J6U, GP2J6V, GP2J6W, GP2J6X, GP2J7A, GP2J7B, GP2J7C, GP2J7D, GP2J7E, GP2J7F, GP2J7G, GP2J7H, GP2J7I, GP2J7J, GP2J7K, GP2J7L, GP2J7M, GP2J7N, GP2J7O, GP2J7P, GP2J7Q, GP2J7R, GP2J7S, GP2J7T, GP2J7U, GP2J7V, GP2J8A, GP2J8B, GP2J8C, GP2J8D, GP2J8E, GP2J8F, GP2J8G, GP2J8H, GP2J8I, GP2J8J, GP2J8K, GP2J8L, GP2J8M, GP2J9A, GP2J9B, GP2K2A, GP2K2B, GP2K2C, GP2K2D, GP2K2E, GP2K2F, GP2K2G, GP2K2H, GP2K2I, GP2K2J, GP2K2K, GP2K2L, GP2K2M, GP2K2N, GP2K2O, GP2K2P, GP2K2Q, GP2K2R, GP2K2S, GP2K2U, GP2K2V, GP2K3A, GP2K3B, GP2K3C, GP2K3F, GP2K3G, GP2K4A, GP2K4B, GP2K4C, GP2K4D, GP2K4E, GP2K4F, GP2K4G, GP2K4H, GP2K4I, GP2K4K, GP2K4L, GP2K4M, GP2K4P, GP2K5A, GP2M1A, GP2M1B, GP2M1C, GP2M1D, GP2M1E, GP2M1F, GP2M1G, GP2M1H, GP2M1I, GP2M1J, GP2M1K, GP2M1L, GP2M1M, GP2M1N, GP2M1O, GP2M2A, GP2M2B, GP2M2C, GP2M2D, GP2M2E, GP2M2F, GP2M2G, GP2M2H, GP2M2I, GP2M2J, GP2M2K, GP2M3A, GP2M3B, GP2M3C, GP2M3D, GP3A1A, GP3A1B, GP3A1C, GP3A1D, GP3A1E, GP3A1F, GP3A1G, GP3A1H, GP3A1I, GP3A1J, GP3A1K, GP3A1L, GP3A1M, GP3A1N, GP3A1O, GP3A1P, GP3A1Q, GP3A1R, GP3A1S, GP3A1T, GP3A1U, GP3A1V, GP3A1W, GP3A1X, GP3A2A, GP3A2F, GP3A4A, GP3A4B, GP3A4C, GP3A4D, GP3A4F, GP3A4G, GP3A4H, GP3A4K, GP3A4L, GP3A4M, GP3A4P, GP3A4Q, GP3A4U, GP3A7A.</w:t>
            </w:r>
          </w:p>
        </w:tc>
      </w:tr>
      <w:tr w:rsidR="00842E47" w14:paraId="016A1BF2" w14:textId="77777777" w:rsidTr="007E48D2">
        <w:tc>
          <w:tcPr>
            <w:tcW w:w="3261" w:type="dxa"/>
          </w:tcPr>
          <w:p w14:paraId="7EC14D57" w14:textId="2DA78D84" w:rsidR="00842E47" w:rsidRDefault="00842E47" w:rsidP="0062309A">
            <w:pPr>
              <w:pStyle w:val="TableBody"/>
            </w:pPr>
            <w:r>
              <w:lastRenderedPageBreak/>
              <w:t>Geraldton</w:t>
            </w:r>
            <w:r w:rsidR="00A02A83">
              <w:t xml:space="preserve"> (WA)</w:t>
            </w:r>
          </w:p>
        </w:tc>
        <w:tc>
          <w:tcPr>
            <w:tcW w:w="7229" w:type="dxa"/>
          </w:tcPr>
          <w:p w14:paraId="58C10F05" w14:textId="3CE3B4CF" w:rsidR="00842E47" w:rsidRPr="00842E47" w:rsidRDefault="00842E47" w:rsidP="009D33A5">
            <w:pPr>
              <w:pStyle w:val="TableBody"/>
            </w:pPr>
            <w:r w:rsidRPr="00842E47">
              <w:t xml:space="preserve">AU3, AU6, AT8P, AT9J, AT9K, AT9L, AT9M, AT9N, AT9O, AT9P, AU2C, AU2D, AU2F, AU2G, AU2H, AU2J, AU2K, AU2L, AU2N, AU2O, AU2P, BT7M, BT7N, BU1A, BU1B, BU1C, BU1E, BU1F, BU1G, BU1H, BU1I, BU1J, BU1K, BU1L, BU1M, BU1N, BU1O, BU1P, BU4A, BU4B, BU4C, BU4D, BU4E, BU4F, BU4G, BU4I, BU4J, BU4M, AT8L5, AT8L6, AT8L7, AT8L8, AT8L9, AT8N9, AT8O2, AT8O3, AT8O4, AT8O5, AT8O6, AT8O7, AT8O8, AT8O9, AT9F9, AT9G7, AT9G8, AT9G9, AT9H7, AT9I2, AT9I3, AT9I4, AT9I5, AT9I6, AT9I7, AT9I8, AT9I9, AU2B2, AU2B3, AU2B5, AU2B6, AU2B7, AU2B8, AU2B9, AU2E6, AU2E9, AU2I3, AU2I5, AU2I6, AU2I8, AU2I9, AU2M2, AU2M3, AU2M5, AU2M6, AU2M8, AU2M9, AU9B1, AU9B2, AU9B3, AU9C1, AU9C2, </w:t>
            </w:r>
            <w:r w:rsidRPr="00842E47">
              <w:lastRenderedPageBreak/>
              <w:t xml:space="preserve">AU9C3, AU9D1, AU9D2, AU9D3, BT7I1, BT7I2, BT7I4, BT7I5, BT7I6, BT7I7, BT7I8, BT7I9, BT7J4, BT7J7, BT7J8, BT7J9, BT7O1, BT7O4, BT7O5, BT7O6, BT7O7, BT7O8, BT7O9, BT7P7, BU1D1, BU1D4, BU1D5, BU1D7, BU1D8, BU1D9, BU2E4, BU2E7, BU2I1, BU2I4, BU2I7, BU2M1, BU2M2, BU2M4, BU2M7, BU4H1, BU4H2, BU4H3, BU4H4, BU4H5, BU4H7, BU4H8, BU4K1, BU4K2, BU4K3, BU4K4, BU4K5, BU4K6, BU4K7, BU4K8, BU4L1, BU4N1, BU4N2, BU4N3, BU4N4, BU4N5, BU4O1, BU5A1, BU5A4, AT8K6X, AT8K6Y, AT8K8O, AT8K8R, AT8K8S, AT8K8T, AT8K8V, AT8K8W, AT8K8X, AT8K8Y, AT8K9C, AT8K9D, AT8K9E, AT8K9F, AT8K9G, AT8K9H, AT8K9I, AT8K9J, AT8K9K, AT8K9L, AT8K9M, AT8K9N, AT8K9O, AT8K9P, AT8K9Q, AT8K9R, AT8K9S, AT8K9T, AT8K9U, AT8K9V, AT8K9W, AT8K9X, AT8K9Y, AT8L2T, AT8L2W, AT8L2X, AT8L2Y, AT8L3J, AT8L3M, AT8L3N, AT8L3O, AT8L3P, AT8L3Q, AT8L3R, AT8L3S, AT8L3T, AT8L3U, AT8L3V, AT8L3W, AT8L3X, AT8L3Y, AT8L4I, AT8L4J, AT8L4M, AT8L4N, AT8L4O, AT8L4P, AT8L4Q, AT8L4R, AT8L4S, AT8L4T, AT8L4U, AT8L4V, AT8L4W, AT8L4X, AT8L4Y, AT8N6E, AT8N6I, AT8N6J, AT8N6M, AT8N6N, AT8N6O, AT8N6Q, AT8N6R, AT8N6S, AT8N6T, AT8N6U, AT8N6V, AT8N6W, AT8N6X, AT8N6Y, AT8N8E, AT8N8I, AT8N8J, AT8N8M, AT8N8N, AT8N8O, AT8N8R, AT8N8S, AT8N8T, AT8N8V, AT8N8W, AT8N8X, AT8N8Y, AT8O1J, AT8O1M, AT8O1N, AT8O1O, AT8O1Q, AT8O1R, AT8O1S, AT8O1T, AT8O1U, AT8O1V, AT8O1W, AT8O1X, AT8O1Y, AT9E7Y, AT9E8S, AT9E8T, AT9E8U, AT9E8V, AT9E8W, AT9E8X, AT9E8Y, AT9E9L, AT9E9M, AT9E9N, AT9E9O, AT9E9P, AT9E9Q, AT9E9R, AT9E9S, AT9E9T, AT9E9U, AT9E9V, AT9E9W, AT9E9X, AT9E9Y, AT9F7G, AT9F7H, AT9F7I, AT9F7J, AT9F7K, AT9F7L, AT9F7M, AT9F7N, AT9F7O, AT9F7P, AT9F7Q, AT9F7R, AT9F7S, AT9F7T, AT9F7U, AT9F7V, AT9F7W, AT9F7X, AT9F7Y, AT9F8B, AT9F8C, AT9F8D, AT9F8E, AT9F8F, AT9F8G, AT9F8H, AT9F8I, AT9F8J, AT9F8K, AT9F8L, AT9F8M, AT9F8N, AT9F8O, AT9F8P, AT9F8Q, AT9F8R, AT9F8S, AT9F8T, AT9F8U, AT9F8V, AT9F8W, AT9F8X, AT9F8Y, AT9G4V, AT9G4W, AT9G4X, AT9G4Y, AT9G5U, AT9G5V, AT9G5W, AT9G5X, AT9G5Y, AT9G6U, AT9G6V, AT9G6W, AT9H8A, AT9H8B, AT9H8C, AT9H8F, AT9H8G, AT9H8H, AT9H8I, AT9H8J, AT9H8K, AT9H8L, AT9H8M, AT9H8N, AT9H8O, AT9H8P, AT9H8Q, AT9H8R, AT9H8S, AT9H8T, AT9H8U, AT9H8V, AT9H8W, AT9H8X, AT9H8Y, AT9H9F, AT9H9G, AT9H9H, AT9H9K, AT9H9L, AT9H9M, AT9H9N, AT9H9O, AT9H9P, AT9H9Q, AT9H9R, AT9H9S, AT9H9T, AT9H9U, AT9H9V, AT9H9W, AT9H9X, AT9H9Y, AT9I1C, AT9I1D, AT9I1E, AT9I1F, AT9I1G, AT9I1H, AT9I1I, AT9I1J, AT9I1K, AT9I1L, AT9I1M, AT9I1N, AT9I1O, AT9I1P, AT9I1Q, AT9I1R, AT9I1S, AT9I1T, AT9I1U, AT9I1V, AT9I1W, AT9I1X, AT9I1Y, AU2A6Y, AU2A9E, AU2A9I, AU2A9J, AU2A9N, AU2A9O, AU2A9R, AU2A9S, AU2A9T, AU2A9W, AU2A9X, AU2A9Y, AU2B1J, AU2B1O, AU2B1S, AU2B1T, AU2B1W, AU2B1X, AU2B1Y, AU2B4C, AU2B4D, AU2B4E, AU2B4G, AU2B4H, AU2B4I, AU2B4J, AU2B4K, AU2B4L, AU2B4M, AU2B4N, AU2B4O, AU2B4P, AU2B4Q, AU2B4R, AU2B4S, AU2B4T, AU2B4U, AU2B4V, AU2B4W, AU2B4X, AU2B4Y, AU2E2Y, AU2E3B, AU2E3C, AU2E3D, AU2E3E, AU2E3G, AU2E3H, AU2E3I, AU2E3J, AU2E3K, AU2E3L, AU2E3M, AU2E3N, AU2E3O, AU2E3P, AU2E3Q, AU2E3R, AU2E3S, AU2E3T, AU2E3U, AU2E3V, AU2E3W, AU2E3X, AU2E3Y, </w:t>
            </w:r>
            <w:r w:rsidRPr="00842E47">
              <w:lastRenderedPageBreak/>
              <w:t xml:space="preserve">AU2E5E, AU2E5J, AU2E5N, AU2E5O, AU2E5S, AU2E5T, AU2E5X, AU2E5Y, AU2E8C, AU2E8D, AU2E8E, AU2E8H, AU2E8I, AU2E8J, AU2E8M, AU2E8N, AU2E8O, AU2E8Q, AU2E8R, AU2E8S, AU2E8T, AU2E8V, AU2E8W, AU2E8X, AU2E8Y, AU2I2B, AU2I2C, AU2I2D, AU2I2E, AU2I2G, AU2I2H, AU2I2I, AU2I2J, AU2I2L, AU2I2M, AU2I2N, AU2I2O, AU2I2P, AU2I2Q, AU2I2R, AU2I2S, AU2I2T, AU2I2U, AU2I2V, AU2I2W, AU2I2X, AU2I2Y, AU2I7J, AU2I7O, AU2I7T, AU2I7Y, AU2M1E, AU2M1J, AU2M1O, AU2M1T, AU2M1Y, AU2M4E, AU2M4J, AU2M4O, AU9A1A, AU9A1B, AU9A1C, AU9A1D, AU9A1E, AU9A1G, AU9A1H, AU9A1I, AU9A1J, AU9A1O, AU9A2A, AU9A2B, AU9A2C, AU9A2D, AU9A2E, AU9A2F, AU9A2G, AU9A2H, AU9A2I, AU9A2J, AU9A2K, AU9A2L, AU9A2M, AU9A2N, AU9A2O, AU9A2R, AU9A2S, AU9A2T, AU9A3A, AU9A3B, AU9A3C, AU9A3D, AU9A3E, AU9A3F, AU9A3G, AU9A3H, AU9A3I, AU9A3J, AU9A3K, AU9A3L, AU9A3M, AU9A3N, AU9A3O, AU9A3P, AU9A3Q, AU9A3R, AU9A3S, AU9A3T, AU9A3V, AU9A3W, AU9A3X, AU9A3Y, AU9B4A, AU9B4B, AU9B4C, AU9B4D, AU9B4E, AU9B5A, AU9B5B, AU9B5C, AU9B5D, AU9B5E, AU9B5F, AU9B5G, AU9B5H, AU9B5I, AU9B5J, AU9B6A, AU9B6B, AU9B6C, AU9B6D, AU9B6E, AU9B6F, AU9B6G, AU9B6H, AU9B6I, AU9B6J, AU9C4A, AU9C4B, AU9C4C, AU9C4D, AU9C4E, AU9C4F, AU9C4G, AU9C4H, AU9C4I, AU9C4J, AU9C4K, AU9C4L, AU9C4M, AU9C4N, AU9C4O, AU9C5A, AU9C5B, AU9C5C, AU9C5D, AU9C5E, AU9C5F, AU9C5G, AU9C5H, AU9C5I, AU9C5J, AU9C5K, AU9C5L, AU9C5M, AU9C5N, AU9C5O, AU9C6A, AU9C6B, AU9C6C, AU9C6D, AU9C6E, AU9C6F, AU9C6G, AU9C6H, AU9C6I, AU9C6J, AU9C6K, AU9C6L, AU9C6M, AU9C6N, AU9D4A, AU9D4B, AU9D4C, AU9D4D, AU9D4E, AU9D4F, AU9D4G, AU9D4H, AU9D4I, AU9D4J, AU9D5A, AU9D5B, AU9D5C, AU9D5D, AU9D5E, AU9D5F, AU9D5G, AU9D5H, AU9D6A, AU9D6B, AU9D6C, AU9D6D, BT7E7K, BT7E7L, BT7E7P, BT7E7Q, BT7E7R, BT7E7S, BT7E7T, BT7E7U, BT7E7V, BT7E7W, BT7E7X, BT7E7Y, BT7E8P, BT7E8U, BT7E8V, BT7E8W, BT7E8X, BT7I3A, BT7I3B, BT7I3F, BT7I3G, BT7I3H, BT7I3I, BT7I3J, BT7I3K, BT7I3L, BT7I3M, BT7I3N, BT7I3O, BT7I3P, BT7I3Q, BT7I3R, BT7I3S, BT7I3T, BT7I3U, BT7I3V, BT7I3W, BT7I3X, BT7I3Y, BT7J1K, BT7J1L, BT7J1P, BT7J1Q, BT7J1R, BT7J1S, BT7J1T, BT7J1U, BT7J1V, BT7J1W, BT7J1X, BT7J1Y, BT7J2U, BT7J2V, BT7J5A, BT7J5B, BT7J5C, BT7J5D, BT7J5F, BT7J5G, BT7J5H, BT7J5I, BT7J5J, BT7J5K, BT7J5L, BT7J5M, BT7J5N, BT7J5O, BT7J5P, BT7J5Q, BT7J5R, BT7J5S, BT7J5T, BT7J5U, BT7J5V, BT7J5W, BT7J5X, BT7J5Y, BT7J6F, BT7J6K, BT7J6L, BT7J6P, BT7J6Q, BT7J6R, BT7J6S, BT7J6U, BT7J6V, BT7J6W, BT7J6X, BT7J6Y, BT7K4U, BT7K7A, BT7K7B, BT7K7F, BT7K7G, BT7K7H, BT7K7I, BT7K7K, BT7K7L, BT7K7M, BT7K7N, BT7K7O, BT7K7P, BT7K7Q, BT7K7R, BT7K7S, BT7K7T, BT7K7U, BT7K7V, BT7K7W, BT7K7X, BT7K7Y, BT7K8P, BT7K8U, BT7K8V, BT7K8W, BT7O2A, BT7O2B, BT7O2C, BT7O2D, BT7O2F, BT7O2G, BT7O2H, BT7O2I, BT7O2J, BT7O2K, BT7O2L, BT7O2M, BT7O2N, BT7O2O, BT7O2P, BT7O2Q, BT7O2R, BT7O2S, BT7O2T, BT7O2U, BT7O2V, BT7O2W, BT7O2X, BT7O2Y, BT7O3K, BT7O3P, BT7O3Q, BT7O3R, BT7O3U, BT7O3V, BT7O3W, BT7O3X, BT7P4F, BT7P4K, BT7P4L, BT7P4P, BT7P4Q, BT7P4R, BT7P4U, BT7P4V, BT7P4W, BT7P4X, BT7P8K, BT7P8P, BT7P8Q, BT7P8U, BT7P8V, BT7P8W, BU1D2A, BU1D2B, BU1D2C, </w:t>
            </w:r>
            <w:r w:rsidRPr="00842E47">
              <w:lastRenderedPageBreak/>
              <w:t xml:space="preserve">BU1D2D, BU1D2F, BU1D2G, BU1D2H, BU1D2I, BU1D2K, BU1D2L, BU1D2M, BU1D2N, BU1D2O, BU1D2P, BU1D2Q, BU1D2R, BU1D2S, BU1D2T, BU1D2U, BU1D2V, BU1D2W, BU1D2X, BU1D2Y, BU1D3P, BU1D3U, BU1D3V, BU1D6A, BU1D6B, BU1D6F, BU1D6G, BU1D6H, BU1D6K, BU1D6L, BU1D6M, BU1D6N, BU1D6P, BU1D6Q, BU1D6R, BU1D6S, BU1D6U, BU1D6V, BU1D6W, BU1D6X, BU1D6Y, BU2A7F, BU2A7K, BU2A7P, BU2A7Q, BU2A7U, BU2A7V, BU2E1A, BU2E1B, BU2E1C, BU2E1F, BU2E1G, BU2E1H, BU2E1K, BU2E1L, BU2E1M, BU2E1N, BU2E1P, BU2E1Q, BU2E1R, BU2E1S, BU2E1U, BU2E1V, BU2E1W, BU2E1X, BU2E5K, BU2E5P, BU2E5U, BU2E8A, BU2E8B, BU2E8F, BU2E8G, BU2E8K, BU2E8L, BU2E8P, BU2E8Q, BU2E8U, BU2E8V, BU2E8W, BU2I2A, BU2I2B, BU2I2C, BU2I2F, BU2I2G, BU2I2H, BU2I2K, BU2I2L, BU2I2M, BU2I2P, BU2I2Q, BU2I2R, BU2I2U, BU2I2V, BU2I2W, BU2I2X, BU2I5A, BU2I5B, BU2I5C, BU2I5D, BU2I5F, BU2I5G, BU2I5H, BU2I5I, BU2I5K, BU2I5L, BU2I5M, BU2I5N, BU2I5P, BU2I5Q, BU2I5R, BU2I5S, BU2I5U, BU2I5V, BU2I5W, BU2I5X, BU2I8A, BU2I8B, BU2I8C, BU2I8D, BU2I8F, BU2I8G, BU2I8H, BU2I8I, BU2I8K, BU2I8L, BU2I8M, BU2I8N, BU2I8P, BU2I8Q, BU2I8R, BU2I8S, BU2I8T, BU2I8U, BU2I8V, BU2I8W, BU2I8X, BU2I8Y, BU2M5A, BU2M5B, BU2M5C, BU2M5D, BU2M5F, BU2M5G, BU2M5H, BU2M5I, BU2M5K, BU2M5L, BU2M5M, BU2M5N, BU2M5P, BU2M5Q, BU2M5R, BU2M5S, BU2M5U, BU2M5V, BU2M5W, BU2M5X, BU2M8A, BU2M8B, BU2M8C, BU2M8D, BU2M8F, BU2M8G, BU2M8H, BU2M8I, BU2M8K, BU2M8L, BU2M8M, BU2M8N, BU2M8P, BU2M8Q, BU2M8R, BU2M8S, BU2M8U, BU2M8V, BU2M8W, BU4H6A, BU4H6B, BU4H6C, BU4H6D, BU4H6E, BU4H6F, BU4H6G, BU4H6H, BU4H6I, BU4H6J, BU4H6K, BU4H6L, BU4H6M, BU4H6N, BU4H6O, BU4H6P, BU4H6Q, BU4H6R, BU4H6S, BU4H6T, BU4H6U, BU4H6V, BU4H6W, BU4H6X, BU4H9A, BU4H9B, BU4H9C, BU4H9F, BU4H9G, BU4H9H, BU4H9K, BU4H9L, BU4H9P, BU4H9Q, BU4H9U, BU4K9A, BU4K9B, BU4K9C, BU4K9D, BU4K9E, BU4K9F, BU4K9G, BU4K9H, BU4K9I, BU4K9J, BU4K9K, BU4K9L, BU4K9M, BU4K9N, BU4K9P, BU4K9Q, BU4K9R, BU4K9U, BU4K9V, BU4L2A, BU4L2B, BU4L2C, BU4L2D, BU4L2E, BU4L2F, BU4L2G, BU4L2H, BU4L2I, BU4L2K, BU4L2L, BU4L2M, BU4L2N, BU4L2P, BU4L2Q, BU4L2R, BU4L2U, BU4L2V, BU4L4A, BU4L4B, BU4L4C, BU4L4D, BU4L4E, BU4L4F, BU4L4G, BU4L4H, BU4L4I, BU4L4J, BU4L4K, BU4L4L, BU4L4M, BU4L4N, BU4L4P, BU4L4Q, BU4L4R, BU4L4U, BU4L4V, BU4L5A, BU4L7A, BU4N6A, BU4N6B, BU4N6C, BU4N6D, BU4N6E, BU4N6F, BU4N6G, BU4N6H, BU4N6I, BU4N6J, BU4N6K, BU4N6L, BU4N6M, BU4N6N, BU4N6O, BU4N6P, BU4N6Q, BU4N6R, BU4N6S, BU4N6T, BU4N6U, BU4N6V, BU4N6W, BU4N7A, BU4N7B, BU4N7C, BU4N7D, BU4N7E, BU4N7F, BU4N7G, BU4N7H, BU4N7I, BU4N7J, BU4N7K, BU4N7L, BU4N7M, BU4N7N, BU4N7O, BU4N7P, BU4N7Q, BU4N7R, BU4N7S, BU4N7T, BU4N7U, BU4N7V, BU4N7W, BU4N8A, BU4N8B, BU4N8C, BU4N8D, BU4N8E, BU4N8F, BU4N8G, BU4N8H, BU4N8I, BU4N8K, BU4N8L, BU4N9A, BU4O2A, BU4O2B, BU4O2C, BU4O2D, BU4O2E, BU4O2F, BU4O2G, BU4O2H, BU4O2I, BU4O2J, BU4O2K, BU4O2L, BU4O2M, BU4O2P, BU4O2Q, BU4O2U, BU4O3A, BU4O4A, BU4O4B, BU4O4C, BU4O4D, BU4O4F, BU4O4G, BU4O4H, BU4O4K, BU5A2A, BU5A2B, BU5A2C, BU5A2F, BU5A2G, BU5A2H, BU5A2K, BU5A2L, BU5A2M, BU5A2P, BU5A2Q, </w:t>
            </w:r>
            <w:r w:rsidRPr="00842E47">
              <w:lastRenderedPageBreak/>
              <w:t>BU5A2R, BU5A2U, BU5A2V, BU5A5A, BU5A5B, BU5A5F, BU5A5G, BU5A5K, BU5A5L, BU5A5P, BU5A5U, BU5A7A, BU5A7B, BU5A7C, BU5A7D, BU5A7E, BU5A7F, BU5A7G, BU5A7H, BU5A7I, BU5A7J, BU5A7K, BU5A7L, BU5A7M, BU5A7N, BU5A7O, BU5A7P, BU5A7Q, BU5A7R, BU5A7S, BU5A7U, BU5A7V, BU5A7W, BU5A7X, BU5A8A, BU5E1A, BU5E1B, BU5E1C, BU5E1D, BU5E1F, BU5E1G, BU5E1H, BU5E1K, BU5E1L, BU5E1M, BU5E1P, BU5E1Q, BU5E1U, BU5E1V, BU5E4A, BU5E4F, BU7A1A, BU7A1B, BU7A1C, BU7A1D, BU7A1E, BU7A1F, BU7A1G, BU7A1H, BU7A1I, BU7A1J, BU7A1K, BU7A1L, BU7A1M, BU7A1N, BU7A1O, BU7A1P, BU7A1Q, BU7A1R, BU7A1S, BU7A1T, BU7A1U, BU7A1V, BU7A1W, BU7A2A, BU7A2B, BU7A2C, BU7A2D, BU7A2E, BU7A2F, BU7A2G, BU7A2H, BU7A2I, BU7A2J, BU7A2K, BU7A2L, BU7A2M, BU7A2N, BU7A2O, BU7A2P, BU7A2Q, BU7A3A, BU7A3B, BU7A3C, BU7A3D, BU7A3E, BU7A3F, BU7A3G, BU7A3H, BU7B1A.</w:t>
            </w:r>
          </w:p>
        </w:tc>
      </w:tr>
    </w:tbl>
    <w:p w14:paraId="019D986E" w14:textId="77777777" w:rsidR="00EB4B17" w:rsidRPr="009D33A5" w:rsidRDefault="00EB4B17" w:rsidP="009D33A5"/>
    <w:p w14:paraId="10AC9D0C" w14:textId="4A3CD71E" w:rsidR="00223EA7" w:rsidRDefault="00223EA7" w:rsidP="005E5B48">
      <w:pPr>
        <w:pStyle w:val="AppendixH1"/>
        <w:ind w:left="11"/>
      </w:pPr>
      <w:bookmarkStart w:id="254" w:name="_Toc114669433"/>
      <w:r>
        <w:lastRenderedPageBreak/>
        <w:t>Coverage and interference calculations</w:t>
      </w:r>
      <w:bookmarkEnd w:id="253"/>
      <w:bookmarkEnd w:id="254"/>
    </w:p>
    <w:p w14:paraId="1622AFDD" w14:textId="75B427B5" w:rsidR="00223EA7" w:rsidRDefault="002B57EC" w:rsidP="005E5B48">
      <w:pPr>
        <w:pStyle w:val="AppendixH2"/>
        <w:numPr>
          <w:ilvl w:val="1"/>
          <w:numId w:val="18"/>
        </w:numPr>
        <w:ind w:left="11"/>
      </w:pPr>
      <w:bookmarkStart w:id="255" w:name="_Toc95291621"/>
      <w:bookmarkStart w:id="256" w:name="_Toc114669434"/>
      <w:r>
        <w:t>Coverage area</w:t>
      </w:r>
      <w:bookmarkEnd w:id="255"/>
      <w:bookmarkEnd w:id="256"/>
    </w:p>
    <w:p w14:paraId="48B8594C" w14:textId="107A4E76" w:rsidR="00C50C5E" w:rsidRDefault="003A2963" w:rsidP="005E5B48">
      <w:pPr>
        <w:ind w:left="11"/>
      </w:pPr>
      <w:r w:rsidRPr="003A2963">
        <w:t xml:space="preserve">Unless specifically provided by the </w:t>
      </w:r>
      <w:r w:rsidR="00D309B5">
        <w:t>AWL</w:t>
      </w:r>
      <w:r w:rsidRPr="003A2963">
        <w:t xml:space="preserve"> licensee, the coverage area of a </w:t>
      </w:r>
      <w:r w:rsidR="00D309B5">
        <w:t>registered AWL transmitter</w:t>
      </w:r>
      <w:r w:rsidR="00083EB3">
        <w:t xml:space="preserve"> </w:t>
      </w:r>
      <w:r w:rsidRPr="003A2963">
        <w:t xml:space="preserve">is the area around </w:t>
      </w:r>
      <w:r w:rsidR="00D309B5">
        <w:t>the registered transmitter</w:t>
      </w:r>
      <w:r w:rsidRPr="003A2963">
        <w:t xml:space="preserve"> that </w:t>
      </w:r>
      <w:r w:rsidR="00894373">
        <w:t>a</w:t>
      </w:r>
      <w:r w:rsidRPr="003A2963">
        <w:t xml:space="preserve"> notional </w:t>
      </w:r>
      <w:r w:rsidR="008A034D">
        <w:t xml:space="preserve">customer premises equipment (CPE) </w:t>
      </w:r>
      <w:r w:rsidR="000E1BA3">
        <w:t>(see below)</w:t>
      </w:r>
      <w:r w:rsidRPr="003A2963">
        <w:t xml:space="preserve"> can receive a signal of –103</w:t>
      </w:r>
      <w:r>
        <w:t> </w:t>
      </w:r>
      <w:r w:rsidRPr="003A2963">
        <w:t>dBm/MHz</w:t>
      </w:r>
      <w:r w:rsidR="00DD06D7">
        <w:rPr>
          <w:rStyle w:val="FootnoteReference"/>
        </w:rPr>
        <w:footnoteReference w:id="9"/>
      </w:r>
      <w:r w:rsidRPr="003A2963">
        <w:t xml:space="preserve"> or greater when measured at the input to the receiver.  </w:t>
      </w:r>
    </w:p>
    <w:p w14:paraId="0162BF13" w14:textId="275C787A" w:rsidR="00083EB3" w:rsidRDefault="000E1BA3" w:rsidP="005E5B48">
      <w:pPr>
        <w:spacing w:after="120"/>
        <w:ind w:left="11"/>
      </w:pPr>
      <w:r w:rsidRPr="005E5B48">
        <w:t xml:space="preserve">For the purpose of </w:t>
      </w:r>
      <w:r w:rsidR="007133D7" w:rsidRPr="005E5B48">
        <w:t>determin</w:t>
      </w:r>
      <w:r w:rsidR="007133D7">
        <w:t>ing</w:t>
      </w:r>
      <w:r w:rsidR="007133D7" w:rsidRPr="005E5B48">
        <w:t xml:space="preserve"> coverage area</w:t>
      </w:r>
      <w:r w:rsidR="00083EB3">
        <w:t>:</w:t>
      </w:r>
      <w:r w:rsidRPr="005E5B48">
        <w:t xml:space="preserve"> </w:t>
      </w:r>
    </w:p>
    <w:p w14:paraId="3F085769" w14:textId="20CE2BD5" w:rsidR="00083EB3" w:rsidRDefault="00083EB3" w:rsidP="005E5B48">
      <w:pPr>
        <w:pStyle w:val="ListParagraph"/>
        <w:numPr>
          <w:ilvl w:val="0"/>
          <w:numId w:val="99"/>
        </w:numPr>
        <w:ind w:left="371"/>
      </w:pPr>
      <w:r w:rsidRPr="003A2963">
        <w:t xml:space="preserve">The propagation model defined in </w:t>
      </w:r>
      <w:hyperlink r:id="rId54" w:history="1">
        <w:r w:rsidRPr="003A2963">
          <w:rPr>
            <w:rStyle w:val="Hyperlink"/>
            <w:i/>
            <w:iCs/>
          </w:rPr>
          <w:t>Recommendation ITU-R P.452</w:t>
        </w:r>
      </w:hyperlink>
      <w:r w:rsidRPr="003A2963">
        <w:t xml:space="preserve">, with the parameter </w:t>
      </w:r>
      <w:r w:rsidRPr="00DD06D7">
        <w:rPr>
          <w:i/>
          <w:iCs/>
        </w:rPr>
        <w:t>p</w:t>
      </w:r>
      <w:r w:rsidRPr="003A2963">
        <w:t xml:space="preserve"> = </w:t>
      </w:r>
      <w:r w:rsidR="00960534">
        <w:t>5</w:t>
      </w:r>
      <w:r w:rsidRPr="003A2963">
        <w:t>0%</w:t>
      </w:r>
      <w:r w:rsidR="0097284F">
        <w:rPr>
          <w:rStyle w:val="FootnoteReference"/>
        </w:rPr>
        <w:footnoteReference w:id="10"/>
      </w:r>
      <w:r w:rsidRPr="003A2963">
        <w:t>, should be used to calculate propagation loss</w:t>
      </w:r>
      <w:r>
        <w:t>.</w:t>
      </w:r>
    </w:p>
    <w:p w14:paraId="2FCE4A08" w14:textId="6D4CAB65" w:rsidR="00DA3989" w:rsidRDefault="00873F12" w:rsidP="005E5B48">
      <w:pPr>
        <w:pStyle w:val="ListParagraph"/>
        <w:numPr>
          <w:ilvl w:val="0"/>
          <w:numId w:val="99"/>
        </w:numPr>
        <w:ind w:left="371"/>
      </w:pPr>
      <w:r>
        <w:t xml:space="preserve">Transmit power = </w:t>
      </w:r>
      <w:proofErr w:type="gramStart"/>
      <w:r>
        <w:t>min(</w:t>
      </w:r>
      <w:proofErr w:type="gramEnd"/>
      <w:r>
        <w:t>PSD</w:t>
      </w:r>
      <w:r>
        <w:rPr>
          <w:vertAlign w:val="subscript"/>
        </w:rPr>
        <w:t>BS</w:t>
      </w:r>
      <w:r>
        <w:t>, PSD</w:t>
      </w:r>
      <w:r w:rsidR="008A034D" w:rsidRPr="00707C73">
        <w:rPr>
          <w:vertAlign w:val="subscript"/>
        </w:rPr>
        <w:t>CPE</w:t>
      </w:r>
      <w:r>
        <w:t>), where:</w:t>
      </w:r>
    </w:p>
    <w:p w14:paraId="4381FB39" w14:textId="4AD9AB5D" w:rsidR="00873F12" w:rsidRDefault="00873F12" w:rsidP="00873F12">
      <w:pPr>
        <w:pStyle w:val="ListBullet2"/>
      </w:pPr>
      <w:r>
        <w:t>PSD</w:t>
      </w:r>
      <w:r>
        <w:rPr>
          <w:vertAlign w:val="subscript"/>
        </w:rPr>
        <w:t>BS</w:t>
      </w:r>
      <w:r>
        <w:t xml:space="preserve"> is the power spectral density of the proposed base station</w:t>
      </w:r>
    </w:p>
    <w:p w14:paraId="1B8FE1BC" w14:textId="20745BD4" w:rsidR="00873F12" w:rsidRDefault="00873F12" w:rsidP="00707C73">
      <w:pPr>
        <w:pStyle w:val="ListBullet2"/>
      </w:pPr>
      <w:r>
        <w:t>PSD</w:t>
      </w:r>
      <w:r w:rsidR="008A034D" w:rsidRPr="00A3379C">
        <w:rPr>
          <w:vertAlign w:val="subscript"/>
        </w:rPr>
        <w:t>CPE</w:t>
      </w:r>
      <w:r>
        <w:rPr>
          <w:vertAlign w:val="subscript"/>
        </w:rPr>
        <w:t xml:space="preserve"> </w:t>
      </w:r>
      <w:r>
        <w:t>is the power spectral density of the</w:t>
      </w:r>
      <w:r w:rsidR="00283372">
        <w:t xml:space="preserve"> notional</w:t>
      </w:r>
      <w:r>
        <w:t xml:space="preserve"> </w:t>
      </w:r>
      <w:r w:rsidR="00283372">
        <w:t>CPE</w:t>
      </w:r>
      <w:r>
        <w:t xml:space="preserve">, set to </w:t>
      </w:r>
      <w:r w:rsidR="00AD5443">
        <w:t>2</w:t>
      </w:r>
      <w:r w:rsidR="00153F86">
        <w:t>8</w:t>
      </w:r>
      <w:r w:rsidR="00AD5443">
        <w:t xml:space="preserve"> dBm per occupied bandwidth</w:t>
      </w:r>
    </w:p>
    <w:p w14:paraId="39180720" w14:textId="2F83D9FC" w:rsidR="000E1BA3" w:rsidRPr="005E5B48" w:rsidRDefault="000E1BA3" w:rsidP="005E5B48">
      <w:pPr>
        <w:pStyle w:val="ListParagraph"/>
        <w:numPr>
          <w:ilvl w:val="0"/>
          <w:numId w:val="99"/>
        </w:numPr>
        <w:ind w:left="371"/>
      </w:pPr>
      <w:r w:rsidRPr="005E5B48">
        <w:t xml:space="preserve">the </w:t>
      </w:r>
      <w:r w:rsidR="00366DD3">
        <w:t xml:space="preserve">notional </w:t>
      </w:r>
      <w:r w:rsidR="00283372">
        <w:t>CPE</w:t>
      </w:r>
      <w:r>
        <w:t xml:space="preserve"> </w:t>
      </w:r>
      <w:r w:rsidRPr="005E5B48">
        <w:t xml:space="preserve">parameters below should be </w:t>
      </w:r>
      <w:r w:rsidR="007133D7" w:rsidRPr="005E5B48">
        <w:t xml:space="preserve">assumed for </w:t>
      </w:r>
      <w:r w:rsidR="00283372">
        <w:t>CPE</w:t>
      </w:r>
      <w:r w:rsidR="00083EB3">
        <w:t xml:space="preserve"> communicating with the base station:</w:t>
      </w:r>
    </w:p>
    <w:p w14:paraId="55E37B5F" w14:textId="77777777" w:rsidR="000E1BA3" w:rsidRPr="005E5B48" w:rsidRDefault="000E1BA3" w:rsidP="005E5B48">
      <w:pPr>
        <w:pStyle w:val="ListBullet"/>
        <w:tabs>
          <w:tab w:val="clear" w:pos="295"/>
          <w:tab w:val="num" w:pos="601"/>
        </w:tabs>
        <w:ind w:left="590"/>
      </w:pPr>
      <w:r w:rsidRPr="005E5B48">
        <w:t xml:space="preserve">Maximum </w:t>
      </w:r>
      <w:proofErr w:type="gramStart"/>
      <w:r w:rsidRPr="005E5B48">
        <w:t>antenna</w:t>
      </w:r>
      <w:proofErr w:type="gramEnd"/>
      <w:r w:rsidRPr="005E5B48">
        <w:t xml:space="preserve"> gain of 18 dBi.</w:t>
      </w:r>
    </w:p>
    <w:p w14:paraId="1300D025" w14:textId="77777777" w:rsidR="000E1BA3" w:rsidRPr="005E5B48" w:rsidRDefault="000E1BA3" w:rsidP="005E5B48">
      <w:pPr>
        <w:pStyle w:val="ListBullet"/>
        <w:ind w:left="590"/>
      </w:pPr>
      <w:r w:rsidRPr="005E5B48">
        <w:t>Antenna height of 5 metres.</w:t>
      </w:r>
    </w:p>
    <w:p w14:paraId="213DCCBF" w14:textId="6AAC0451" w:rsidR="000E1BA3" w:rsidRDefault="000E1BA3" w:rsidP="00083EB3">
      <w:pPr>
        <w:pStyle w:val="ListBulletLast"/>
        <w:ind w:left="590"/>
        <w:rPr>
          <w:rFonts w:cs="Times New Roman"/>
        </w:rPr>
      </w:pPr>
      <w:r w:rsidRPr="005E5B48">
        <w:rPr>
          <w:rFonts w:cs="Times New Roman"/>
        </w:rPr>
        <w:t>Maximum cell radius of 15 km.</w:t>
      </w:r>
      <w:r w:rsidR="00083EB3">
        <w:rPr>
          <w:rFonts w:cs="Times New Roman"/>
        </w:rPr>
        <w:t xml:space="preserve"> For AWL licen</w:t>
      </w:r>
      <w:r w:rsidR="00C81CA8">
        <w:rPr>
          <w:rFonts w:cs="Times New Roman"/>
        </w:rPr>
        <w:t>ces</w:t>
      </w:r>
      <w:r w:rsidR="00083EB3">
        <w:rPr>
          <w:rFonts w:cs="Times New Roman"/>
        </w:rPr>
        <w:t xml:space="preserve"> the coverage area cannot extend beyond the area</w:t>
      </w:r>
      <w:r w:rsidR="00C81CA8">
        <w:rPr>
          <w:rFonts w:cs="Times New Roman"/>
        </w:rPr>
        <w:t xml:space="preserve"> occupied</w:t>
      </w:r>
      <w:r w:rsidR="00083EB3">
        <w:rPr>
          <w:rFonts w:cs="Times New Roman"/>
        </w:rPr>
        <w:t xml:space="preserve"> by the licence. </w:t>
      </w:r>
    </w:p>
    <w:p w14:paraId="5B68DFDB" w14:textId="061529A9" w:rsidR="002B57EC" w:rsidRDefault="002B57EC" w:rsidP="002B57EC">
      <w:pPr>
        <w:pStyle w:val="AppendixH2"/>
        <w:numPr>
          <w:ilvl w:val="1"/>
          <w:numId w:val="18"/>
        </w:numPr>
      </w:pPr>
      <w:bookmarkStart w:id="257" w:name="_Toc82527201"/>
      <w:bookmarkStart w:id="258" w:name="_Toc82527202"/>
      <w:bookmarkStart w:id="259" w:name="_Toc95291622"/>
      <w:bookmarkStart w:id="260" w:name="_Toc114669435"/>
      <w:bookmarkEnd w:id="257"/>
      <w:bookmarkEnd w:id="258"/>
      <w:r>
        <w:t>Interference area</w:t>
      </w:r>
      <w:bookmarkEnd w:id="259"/>
      <w:bookmarkEnd w:id="260"/>
    </w:p>
    <w:p w14:paraId="75027C81" w14:textId="049F97CA" w:rsidR="00C81CA8" w:rsidRDefault="00DD06D7" w:rsidP="00223EA7">
      <w:r w:rsidRPr="00DD06D7">
        <w:t xml:space="preserve">The interference area of a fixed receiver </w:t>
      </w:r>
      <w:r w:rsidR="00EA3935">
        <w:t xml:space="preserve">(including for point-to-point) </w:t>
      </w:r>
      <w:r w:rsidRPr="00DD06D7">
        <w:t xml:space="preserve">is defined as those locations (or the area) where a </w:t>
      </w:r>
      <w:r w:rsidR="004C1CD5">
        <w:t>registration exempt transmitter</w:t>
      </w:r>
      <w:r w:rsidRPr="00DD06D7">
        <w:t>, when deployed</w:t>
      </w:r>
      <w:r w:rsidR="006E297C">
        <w:t>,</w:t>
      </w:r>
      <w:r w:rsidRPr="00DD06D7">
        <w:t xml:space="preserve"> would exceed the protection criteria defined for the fixed receiver. </w:t>
      </w:r>
      <w:r w:rsidR="00DB5FC7">
        <w:t xml:space="preserve"> </w:t>
      </w:r>
    </w:p>
    <w:p w14:paraId="1E72B82B" w14:textId="0F135DCF" w:rsidR="00083EB3" w:rsidRDefault="00083EB3" w:rsidP="00223EA7">
      <w:r>
        <w:t>For the purpose of determining interference area:</w:t>
      </w:r>
    </w:p>
    <w:p w14:paraId="415C8B29" w14:textId="40A24091" w:rsidR="00DD06D7" w:rsidRDefault="00DD06D7" w:rsidP="00083EB3">
      <w:pPr>
        <w:pStyle w:val="ListParagraph"/>
        <w:numPr>
          <w:ilvl w:val="0"/>
          <w:numId w:val="98"/>
        </w:numPr>
      </w:pPr>
      <w:r w:rsidRPr="00DD06D7">
        <w:t xml:space="preserve">The propagation model defined in </w:t>
      </w:r>
      <w:hyperlink r:id="rId55" w:history="1">
        <w:r w:rsidRPr="00DD06D7">
          <w:rPr>
            <w:rStyle w:val="Hyperlink"/>
            <w:i/>
            <w:iCs/>
          </w:rPr>
          <w:t>Recommendation ITU</w:t>
        </w:r>
        <w:r w:rsidRPr="00DD06D7">
          <w:rPr>
            <w:rStyle w:val="Hyperlink"/>
            <w:i/>
            <w:iCs/>
          </w:rPr>
          <w:noBreakHyphen/>
          <w:t>R P.452</w:t>
        </w:r>
      </w:hyperlink>
      <w:r w:rsidRPr="00DD06D7">
        <w:t xml:space="preserve">, with the parameter </w:t>
      </w:r>
      <w:r w:rsidRPr="00DD06D7">
        <w:rPr>
          <w:i/>
          <w:iCs/>
        </w:rPr>
        <w:t>p</w:t>
      </w:r>
      <w:r w:rsidRPr="00DD06D7">
        <w:t xml:space="preserve"> = 20%, should be used to calculate propagation loss.</w:t>
      </w:r>
    </w:p>
    <w:p w14:paraId="19490DFB" w14:textId="5F2D5611" w:rsidR="00270158" w:rsidRDefault="00083EB3" w:rsidP="005E5B48">
      <w:pPr>
        <w:pStyle w:val="ListParagraph"/>
        <w:numPr>
          <w:ilvl w:val="0"/>
          <w:numId w:val="98"/>
        </w:numPr>
      </w:pPr>
      <w:r>
        <w:t xml:space="preserve">The notional </w:t>
      </w:r>
      <w:r w:rsidR="00283372">
        <w:t>CPE</w:t>
      </w:r>
      <w:r>
        <w:t xml:space="preserve"> parameters detailed in section </w:t>
      </w:r>
      <w:r w:rsidR="00C24510">
        <w:t>C</w:t>
      </w:r>
      <w:r>
        <w:t>.1 should be used</w:t>
      </w:r>
      <w:r w:rsidR="00C81CA8">
        <w:t xml:space="preserve"> to model the interferer</w:t>
      </w:r>
      <w:r w:rsidR="00270158">
        <w:t>, with the following clarifications:</w:t>
      </w:r>
    </w:p>
    <w:p w14:paraId="52CAB5C8" w14:textId="07158DA4" w:rsidR="00083EB3" w:rsidRDefault="00C81CA8" w:rsidP="00270158">
      <w:pPr>
        <w:pStyle w:val="ListBullet2"/>
      </w:pPr>
      <w:r>
        <w:t xml:space="preserve">A maximum transmitter power of </w:t>
      </w:r>
      <w:r w:rsidR="00415F01">
        <w:t xml:space="preserve">28 </w:t>
      </w:r>
      <w:r>
        <w:t>dBm per occupied bandwidth should also be assumed</w:t>
      </w:r>
      <w:r w:rsidR="004F34E0">
        <w:t>, where occupied bandwidth is the minimum of receiver licensed bandwidth</w:t>
      </w:r>
      <w:r w:rsidR="004B2ABF">
        <w:t xml:space="preserve"> or</w:t>
      </w:r>
      <w:r w:rsidR="004F34E0">
        <w:t xml:space="preserve"> 20 MHz. </w:t>
      </w:r>
    </w:p>
    <w:p w14:paraId="5271D23C" w14:textId="1AD542DE" w:rsidR="00270158" w:rsidRDefault="00270158" w:rsidP="00707C73">
      <w:pPr>
        <w:pStyle w:val="ListBullet2"/>
      </w:pPr>
      <w:r>
        <w:t xml:space="preserve">The </w:t>
      </w:r>
      <w:r w:rsidR="00283372">
        <w:t>CPE</w:t>
      </w:r>
      <w:r>
        <w:t xml:space="preserve"> antenna is assumed to be pointed towards the proposed base station and meets the radiation pattern envelope in </w:t>
      </w:r>
      <w:r w:rsidR="00C81F03">
        <w:t>ETSI EN 302 085 V1.2.3 (Pattern TS 2, Range 1).</w:t>
      </w:r>
    </w:p>
    <w:p w14:paraId="6AA55FE4" w14:textId="77777777" w:rsidR="00196D0B" w:rsidRDefault="00196D0B" w:rsidP="005E5B48">
      <w:pPr>
        <w:pStyle w:val="AppendixH1"/>
        <w:ind w:left="11"/>
      </w:pPr>
      <w:bookmarkStart w:id="261" w:name="_Toc90471377"/>
      <w:bookmarkStart w:id="262" w:name="_Toc90475073"/>
      <w:bookmarkStart w:id="263" w:name="_Toc90908674"/>
      <w:bookmarkStart w:id="264" w:name="_Toc95291623"/>
      <w:bookmarkStart w:id="265" w:name="_Toc114669436"/>
      <w:bookmarkEnd w:id="261"/>
      <w:bookmarkEnd w:id="262"/>
      <w:bookmarkEnd w:id="263"/>
      <w:r>
        <w:lastRenderedPageBreak/>
        <w:t>Incumbent Apparatus Licenced Point to Multipoint (PMP) Services</w:t>
      </w:r>
      <w:bookmarkEnd w:id="264"/>
      <w:bookmarkEnd w:id="265"/>
    </w:p>
    <w:p w14:paraId="655C929B" w14:textId="56E99092" w:rsidR="00196D0B" w:rsidRDefault="00196D0B" w:rsidP="005E5B48">
      <w:pPr>
        <w:ind w:left="11"/>
      </w:pPr>
      <w:r>
        <w:t>The incumbent PMP services will continue to operate in the frequency band 3400-3700 MHz, noting that no new PMP licences are to be issued</w:t>
      </w:r>
      <w:r w:rsidR="00022CBE">
        <w:t xml:space="preserve"> in any area where AWLs are available</w:t>
      </w:r>
      <w:r>
        <w:t>. Given that AWL receivers are not afforded protection from existing PMP services, the legacy PMP operating arrangements set out in this appendix are intended to aid AWL licensees in determining the likely interference to their receive</w:t>
      </w:r>
      <w:r w:rsidR="004047AC">
        <w:t>r</w:t>
      </w:r>
      <w:r>
        <w:t xml:space="preserve">s. </w:t>
      </w:r>
    </w:p>
    <w:p w14:paraId="2B7129EA" w14:textId="4F9B429B" w:rsidR="00196D0B" w:rsidRDefault="00196D0B" w:rsidP="005E5B48">
      <w:pPr>
        <w:ind w:left="11"/>
      </w:pPr>
      <w:r>
        <w:t xml:space="preserve">The arrangements for incumbent point to multipoint systems in the 3400–3700 MHz frequency range are intended for both single frequency deployments using time division duplex (TDD) and paired channels using frequency division duplex (FDD). </w:t>
      </w:r>
    </w:p>
    <w:p w14:paraId="2F61B52C" w14:textId="77777777" w:rsidR="00196D0B" w:rsidRPr="0030206A" w:rsidRDefault="00196D0B" w:rsidP="005E5B48">
      <w:pPr>
        <w:ind w:left="11"/>
      </w:pPr>
      <w:r>
        <w:t>Licensed point to multipoint base station receivers shall be protected and the frequency coordination procedures for protection of TDD and legacy FDD PMP services is defined in Section 4.5.1 and 4.5.2 respectively.</w:t>
      </w:r>
    </w:p>
    <w:p w14:paraId="045579AF" w14:textId="3228E3CF" w:rsidR="00196D0B" w:rsidRDefault="00196D0B" w:rsidP="005E5B48">
      <w:pPr>
        <w:pStyle w:val="AppendixH2"/>
        <w:numPr>
          <w:ilvl w:val="1"/>
          <w:numId w:val="18"/>
        </w:numPr>
        <w:ind w:left="11"/>
      </w:pPr>
      <w:bookmarkStart w:id="266" w:name="_Toc82527205"/>
      <w:bookmarkStart w:id="267" w:name="_Toc82527206"/>
      <w:bookmarkStart w:id="268" w:name="_Toc82527207"/>
      <w:bookmarkStart w:id="269" w:name="_Toc82527208"/>
      <w:bookmarkStart w:id="270" w:name="_Toc82527209"/>
      <w:bookmarkStart w:id="271" w:name="_Toc82527210"/>
      <w:bookmarkStart w:id="272" w:name="_Toc82527211"/>
      <w:bookmarkStart w:id="273" w:name="_Toc82527212"/>
      <w:bookmarkStart w:id="274" w:name="_Toc82527213"/>
      <w:bookmarkStart w:id="275" w:name="_Toc82527214"/>
      <w:bookmarkStart w:id="276" w:name="_Toc82527215"/>
      <w:bookmarkStart w:id="277" w:name="_Toc82527216"/>
      <w:bookmarkStart w:id="278" w:name="_Toc82527217"/>
      <w:bookmarkStart w:id="279" w:name="_Toc82527218"/>
      <w:bookmarkStart w:id="280" w:name="_Toc82527219"/>
      <w:bookmarkStart w:id="281" w:name="_Toc82527220"/>
      <w:bookmarkStart w:id="282" w:name="_Toc82527221"/>
      <w:bookmarkStart w:id="283" w:name="_Toc82527222"/>
      <w:bookmarkStart w:id="284" w:name="_Toc82527223"/>
      <w:bookmarkStart w:id="285" w:name="_Toc82527224"/>
      <w:bookmarkStart w:id="286" w:name="_Toc82527225"/>
      <w:bookmarkStart w:id="287" w:name="_Toc82527226"/>
      <w:bookmarkStart w:id="288" w:name="_Toc82527227"/>
      <w:bookmarkStart w:id="289" w:name="_Toc82527228"/>
      <w:bookmarkStart w:id="290" w:name="_Toc82527229"/>
      <w:bookmarkStart w:id="291" w:name="_Toc82527230"/>
      <w:bookmarkStart w:id="292" w:name="_Toc82527231"/>
      <w:bookmarkStart w:id="293" w:name="_Toc82527232"/>
      <w:bookmarkStart w:id="294" w:name="_Toc82527233"/>
      <w:bookmarkStart w:id="295" w:name="_Toc82527234"/>
      <w:bookmarkStart w:id="296" w:name="_Toc82527235"/>
      <w:bookmarkStart w:id="297" w:name="_Toc82527236"/>
      <w:bookmarkStart w:id="298" w:name="_Toc82527237"/>
      <w:bookmarkStart w:id="299" w:name="_Toc82527238"/>
      <w:bookmarkStart w:id="300" w:name="_Toc82527239"/>
      <w:bookmarkStart w:id="301" w:name="_Toc82527240"/>
      <w:bookmarkStart w:id="302" w:name="_Toc82527241"/>
      <w:bookmarkStart w:id="303" w:name="_Toc95291624"/>
      <w:bookmarkStart w:id="304" w:name="_Toc114669437"/>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t>TDD PMP emission limits</w:t>
      </w:r>
      <w:bookmarkEnd w:id="303"/>
      <w:bookmarkEnd w:id="304"/>
    </w:p>
    <w:p w14:paraId="5E29F47B" w14:textId="77777777" w:rsidR="00196D0B" w:rsidRPr="00D668CA" w:rsidRDefault="00196D0B" w:rsidP="005E5B48">
      <w:pPr>
        <w:pStyle w:val="ListParagraph"/>
        <w:ind w:left="11"/>
      </w:pPr>
      <w:r>
        <w:t xml:space="preserve">Incumbent PMP services operate in </w:t>
      </w:r>
      <w:r w:rsidRPr="000142D3">
        <w:t xml:space="preserve">in the </w:t>
      </w:r>
      <w:r>
        <w:t>3400 -3700 M</w:t>
      </w:r>
      <w:r w:rsidRPr="000142D3">
        <w:t xml:space="preserve">Hz band are </w:t>
      </w:r>
      <w:r>
        <w:t>subject to</w:t>
      </w:r>
      <w:r w:rsidRPr="000142D3">
        <w:t xml:space="preserve"> band specific conditions detailed </w:t>
      </w:r>
      <w:r>
        <w:t>below</w:t>
      </w:r>
      <w:r w:rsidRPr="000142D3">
        <w:t>.  Some of these conditions include EIRP density limits, constraints, and relevant technical standards</w:t>
      </w:r>
      <w:r>
        <w:t xml:space="preserve"> that need</w:t>
      </w:r>
      <w:r w:rsidRPr="000142D3">
        <w:t xml:space="preserve"> to be adhered to.</w:t>
      </w:r>
      <w:r>
        <w:t xml:space="preserve"> These arrangements were previously detailed in RALI FX19.</w:t>
      </w:r>
    </w:p>
    <w:p w14:paraId="10F76330" w14:textId="77777777" w:rsidR="00196D0B" w:rsidRDefault="00196D0B" w:rsidP="005E5B48">
      <w:pPr>
        <w:ind w:left="11"/>
        <w:rPr>
          <w:sz w:val="20"/>
        </w:rPr>
      </w:pPr>
    </w:p>
    <w:p w14:paraId="13330926" w14:textId="65BBA68B" w:rsidR="00196D0B" w:rsidRPr="005E5B48" w:rsidRDefault="00196D0B" w:rsidP="005E5B48">
      <w:pPr>
        <w:ind w:left="11"/>
        <w:rPr>
          <w:b/>
          <w:bCs/>
          <w:sz w:val="20"/>
        </w:rPr>
      </w:pPr>
      <w:r>
        <w:rPr>
          <w:b/>
          <w:sz w:val="20"/>
        </w:rPr>
        <w:t xml:space="preserve">Table </w:t>
      </w:r>
      <w:r w:rsidRPr="005E5B48">
        <w:rPr>
          <w:b/>
          <w:bCs/>
          <w:sz w:val="20"/>
        </w:rPr>
        <w:t>A.</w:t>
      </w:r>
      <w:r>
        <w:rPr>
          <w:b/>
          <w:bCs/>
          <w:sz w:val="20"/>
        </w:rPr>
        <w:t>1</w:t>
      </w:r>
      <w:r w:rsidRPr="005E5B48">
        <w:rPr>
          <w:b/>
          <w:bCs/>
          <w:sz w:val="20"/>
        </w:rPr>
        <w:t xml:space="preserve"> Band Specific Requirements</w:t>
      </w:r>
    </w:p>
    <w:tbl>
      <w:tblPr>
        <w:tblW w:w="9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397"/>
      </w:tblGrid>
      <w:tr w:rsidR="00196D0B" w:rsidRPr="00A37D12" w14:paraId="2F835AA3" w14:textId="77777777" w:rsidTr="005E5B48">
        <w:trPr>
          <w:jc w:val="center"/>
        </w:trPr>
        <w:tc>
          <w:tcPr>
            <w:tcW w:w="2972" w:type="dxa"/>
          </w:tcPr>
          <w:p w14:paraId="27F2A137" w14:textId="6AF108EC" w:rsidR="00196D0B" w:rsidRPr="00A37D12" w:rsidRDefault="00196D0B" w:rsidP="00FB7F67">
            <w:pPr>
              <w:keepNext/>
              <w:rPr>
                <w:sz w:val="20"/>
              </w:rPr>
            </w:pPr>
            <w:r>
              <w:rPr>
                <w:sz w:val="20"/>
              </w:rPr>
              <w:t>Devices with AAS</w:t>
            </w:r>
          </w:p>
        </w:tc>
        <w:tc>
          <w:tcPr>
            <w:tcW w:w="6397" w:type="dxa"/>
          </w:tcPr>
          <w:p w14:paraId="221F8D7B" w14:textId="77777777" w:rsidR="00196D0B" w:rsidRPr="00A37D12" w:rsidRDefault="00196D0B" w:rsidP="00FB7F67">
            <w:pPr>
              <w:keepNext/>
              <w:widowControl w:val="0"/>
              <w:numPr>
                <w:ilvl w:val="0"/>
                <w:numId w:val="90"/>
              </w:numPr>
              <w:spacing w:after="120" w:line="240" w:lineRule="auto"/>
              <w:rPr>
                <w:sz w:val="20"/>
              </w:rPr>
            </w:pPr>
            <w:r w:rsidRPr="00A37D12">
              <w:rPr>
                <w:sz w:val="20"/>
              </w:rPr>
              <w:t>Coordination is to be conducted based on the highest achievable gain of a system</w:t>
            </w:r>
          </w:p>
        </w:tc>
      </w:tr>
      <w:tr w:rsidR="00196D0B" w:rsidRPr="00A37D12" w14:paraId="28E93FFF" w14:textId="77777777" w:rsidTr="005E5B48">
        <w:trPr>
          <w:jc w:val="center"/>
        </w:trPr>
        <w:tc>
          <w:tcPr>
            <w:tcW w:w="2972" w:type="dxa"/>
          </w:tcPr>
          <w:p w14:paraId="34FE817D" w14:textId="77777777" w:rsidR="00196D0B" w:rsidRPr="00A37D12" w:rsidRDefault="00196D0B" w:rsidP="00FB7F67">
            <w:pPr>
              <w:keepNext/>
              <w:rPr>
                <w:sz w:val="20"/>
              </w:rPr>
            </w:pPr>
            <w:r w:rsidRPr="00A37D12">
              <w:rPr>
                <w:sz w:val="20"/>
              </w:rPr>
              <w:t>Emission Masks</w:t>
            </w:r>
          </w:p>
        </w:tc>
        <w:tc>
          <w:tcPr>
            <w:tcW w:w="6397" w:type="dxa"/>
          </w:tcPr>
          <w:p w14:paraId="22BA6810" w14:textId="77777777" w:rsidR="00196D0B" w:rsidRPr="00A37D12" w:rsidRDefault="00196D0B" w:rsidP="00FB7F67">
            <w:pPr>
              <w:numPr>
                <w:ilvl w:val="0"/>
                <w:numId w:val="91"/>
              </w:numPr>
              <w:spacing w:after="0" w:line="240" w:lineRule="auto"/>
              <w:rPr>
                <w:sz w:val="20"/>
              </w:rPr>
            </w:pPr>
            <w:r w:rsidRPr="00A37D12">
              <w:rPr>
                <w:sz w:val="20"/>
              </w:rPr>
              <w:t>All transmitters are to adhere to relevant emission masks stated in ETSI EN 302 326.</w:t>
            </w:r>
          </w:p>
          <w:p w14:paraId="6436E482" w14:textId="63B0EA8B" w:rsidR="00196D0B" w:rsidRPr="00A37D12" w:rsidRDefault="005E03B8" w:rsidP="00FB7F67">
            <w:pPr>
              <w:numPr>
                <w:ilvl w:val="0"/>
                <w:numId w:val="92"/>
              </w:numPr>
              <w:spacing w:after="0" w:line="240" w:lineRule="auto"/>
              <w:rPr>
                <w:sz w:val="20"/>
              </w:rPr>
            </w:pPr>
            <w:r>
              <w:rPr>
                <w:sz w:val="20"/>
              </w:rPr>
              <w:t>The additional limits detailed in A.1.1 and A.1.2 also apply where relevant</w:t>
            </w:r>
            <w:r w:rsidR="00196D0B" w:rsidRPr="00A37D12">
              <w:rPr>
                <w:sz w:val="20"/>
              </w:rPr>
              <w:t>.</w:t>
            </w:r>
          </w:p>
        </w:tc>
      </w:tr>
    </w:tbl>
    <w:p w14:paraId="4E8EE374" w14:textId="77777777" w:rsidR="00196D0B" w:rsidRDefault="00196D0B" w:rsidP="005E5B48">
      <w:pPr>
        <w:ind w:left="11"/>
      </w:pPr>
    </w:p>
    <w:p w14:paraId="2927B61B" w14:textId="3F76A699" w:rsidR="00196D0B" w:rsidRPr="009C0889" w:rsidRDefault="00196D0B" w:rsidP="005E5B48">
      <w:pPr>
        <w:ind w:left="11"/>
        <w:rPr>
          <w:b/>
        </w:rPr>
      </w:pPr>
      <w:r>
        <w:rPr>
          <w:b/>
        </w:rPr>
        <w:t xml:space="preserve">A.1.1 Out-of-band </w:t>
      </w:r>
      <w:r w:rsidRPr="009C0889">
        <w:rPr>
          <w:b/>
        </w:rPr>
        <w:t xml:space="preserve">Emission </w:t>
      </w:r>
      <w:r>
        <w:rPr>
          <w:b/>
        </w:rPr>
        <w:t>Limits</w:t>
      </w:r>
    </w:p>
    <w:p w14:paraId="7381E7C5" w14:textId="0C207023" w:rsidR="00196D0B" w:rsidRDefault="00196D0B" w:rsidP="005E5B48">
      <w:pPr>
        <w:ind w:left="11"/>
      </w:pPr>
      <w:r>
        <w:t>PMP transmitters (both base and remote stations) in the 3575-3700 MHz band shall comply with the applicable out-of-band spectrum density masks as detailed in ETSI EN 302 326-2.  PMP licensees are required to take reasonable steps to ensure that any device operating on their networks comply with this standard.</w:t>
      </w:r>
    </w:p>
    <w:p w14:paraId="59A57916" w14:textId="218D9068" w:rsidR="00196D0B" w:rsidRDefault="00196D0B" w:rsidP="00196D0B">
      <w:pPr>
        <w:ind w:left="11"/>
      </w:pPr>
      <w:r>
        <w:t xml:space="preserve">In addition, band edge masks are specified at both the 3575 MHz and 3700 MHz frequency boundaries. It is a requirement that </w:t>
      </w:r>
      <w:r>
        <w:rPr>
          <w:u w:val="single"/>
        </w:rPr>
        <w:t>all</w:t>
      </w:r>
      <w:r>
        <w:t xml:space="preserve"> PMP base stations adhere to the band edge masks specified here and ensure that emissions leaving the band adhere to the required levels.</w:t>
      </w:r>
    </w:p>
    <w:p w14:paraId="3C231909" w14:textId="1522D521" w:rsidR="00196D0B" w:rsidRDefault="00196D0B" w:rsidP="005E5B48">
      <w:pPr>
        <w:autoSpaceDE w:val="0"/>
        <w:autoSpaceDN w:val="0"/>
        <w:adjustRightInd w:val="0"/>
        <w:spacing w:after="120"/>
        <w:rPr>
          <w:lang w:val="en-GB"/>
        </w:rPr>
      </w:pPr>
      <w:r>
        <w:t xml:space="preserve">The equivalent isotropic radiated power (EIRP) of PMP base stations shall not exceed the following levels below the 3575 MHz band edge:  </w:t>
      </w:r>
    </w:p>
    <w:p w14:paraId="29843228" w14:textId="77777777" w:rsidR="00196D0B" w:rsidRDefault="00196D0B" w:rsidP="00196D0B">
      <w:pPr>
        <w:pStyle w:val="Jeanpara"/>
        <w:ind w:left="1060"/>
      </w:pPr>
      <w:r>
        <w:t xml:space="preserve">(a) +20 dBm </w:t>
      </w:r>
      <w:r>
        <w:rPr>
          <w:i/>
        </w:rPr>
        <w:t>eirp</w:t>
      </w:r>
      <w:r>
        <w:t xml:space="preserve"> per 30 kHz within the range 3574.75 MHz to 3575 </w:t>
      </w:r>
      <w:proofErr w:type="gramStart"/>
      <w:r>
        <w:t>MHz;</w:t>
      </w:r>
      <w:proofErr w:type="gramEnd"/>
    </w:p>
    <w:p w14:paraId="4F84F1BC" w14:textId="77777777" w:rsidR="00196D0B" w:rsidRDefault="00196D0B" w:rsidP="00196D0B">
      <w:pPr>
        <w:pStyle w:val="Jeanpara"/>
        <w:ind w:left="1060"/>
      </w:pPr>
      <w:r>
        <w:t xml:space="preserve">(b) -5 dBm </w:t>
      </w:r>
      <w:r>
        <w:rPr>
          <w:i/>
        </w:rPr>
        <w:t>eirp</w:t>
      </w:r>
      <w:r>
        <w:t xml:space="preserve"> per 30 kHz within the range 3574 MHz to 3574.75 </w:t>
      </w:r>
      <w:proofErr w:type="gramStart"/>
      <w:r>
        <w:t>MHz;</w:t>
      </w:r>
      <w:proofErr w:type="gramEnd"/>
      <w:r>
        <w:t xml:space="preserve"> </w:t>
      </w:r>
    </w:p>
    <w:p w14:paraId="3A3AA4E5" w14:textId="77777777" w:rsidR="00196D0B" w:rsidRDefault="00196D0B" w:rsidP="00196D0B">
      <w:pPr>
        <w:pStyle w:val="Jeanpara"/>
        <w:ind w:left="1060"/>
      </w:pPr>
      <w:r>
        <w:t xml:space="preserve">(c) -30 dBm </w:t>
      </w:r>
      <w:r>
        <w:rPr>
          <w:i/>
        </w:rPr>
        <w:t>eirp</w:t>
      </w:r>
      <w:r>
        <w:t xml:space="preserve"> per 30 kHz within the range 3573 MHz to 3574 MHz; and</w:t>
      </w:r>
    </w:p>
    <w:p w14:paraId="76D4B8BC" w14:textId="77777777" w:rsidR="00196D0B" w:rsidRDefault="00196D0B" w:rsidP="00196D0B">
      <w:pPr>
        <w:ind w:left="447" w:firstLine="273"/>
      </w:pPr>
      <w:r>
        <w:lastRenderedPageBreak/>
        <w:t xml:space="preserve">(d) -40 dBm </w:t>
      </w:r>
      <w:r>
        <w:rPr>
          <w:i/>
        </w:rPr>
        <w:t>eirp</w:t>
      </w:r>
      <w:r>
        <w:t xml:space="preserve"> per 30 kHz lower than 3573 MHz.</w:t>
      </w:r>
    </w:p>
    <w:p w14:paraId="59BFF271" w14:textId="7457056A" w:rsidR="00196D0B" w:rsidRDefault="00196D0B" w:rsidP="005E5B48">
      <w:r>
        <w:t xml:space="preserve">The equivalent isotropic radiated power (EIRP) of BWA base stations shall not exceed the following levels at and above the 3700 MHz band edge:  </w:t>
      </w:r>
    </w:p>
    <w:p w14:paraId="33C4B37E" w14:textId="77777777" w:rsidR="00196D0B" w:rsidRDefault="00196D0B" w:rsidP="005E5B48">
      <w:pPr>
        <w:pStyle w:val="Jeanpara"/>
        <w:ind w:left="1060"/>
      </w:pPr>
      <w:r>
        <w:t xml:space="preserve">(e) -5 dBm in the 30 kHz bandwidth within the frequency range 3700-3700.03 </w:t>
      </w:r>
      <w:proofErr w:type="gramStart"/>
      <w:r>
        <w:t>MHz;</w:t>
      </w:r>
      <w:proofErr w:type="gramEnd"/>
      <w:r>
        <w:t xml:space="preserve"> </w:t>
      </w:r>
    </w:p>
    <w:p w14:paraId="1C26A578" w14:textId="77777777" w:rsidR="00196D0B" w:rsidRDefault="00196D0B" w:rsidP="005E5B48">
      <w:pPr>
        <w:pStyle w:val="Jeanpara"/>
        <w:ind w:left="1060"/>
      </w:pPr>
      <w:r>
        <w:t xml:space="preserve">(f) -15 dBm measured in any 30 kHz bandwidth in the frequency range 3700.2-3700.7 </w:t>
      </w:r>
      <w:proofErr w:type="gramStart"/>
      <w:r>
        <w:t>MHz;</w:t>
      </w:r>
      <w:proofErr w:type="gramEnd"/>
      <w:r>
        <w:t xml:space="preserve"> and</w:t>
      </w:r>
    </w:p>
    <w:p w14:paraId="11A6A505" w14:textId="77777777" w:rsidR="00196D0B" w:rsidRDefault="00196D0B" w:rsidP="005E5B48">
      <w:pPr>
        <w:pStyle w:val="Jeanpara"/>
        <w:ind w:left="1060"/>
      </w:pPr>
      <w:r>
        <w:t>(g) -40 dBm measured in any 30 kHz bandwidth at any point above the frequency 3701.6 MHz.</w:t>
      </w:r>
    </w:p>
    <w:p w14:paraId="6B6AD1CA" w14:textId="7E804ECC" w:rsidR="00196D0B" w:rsidRDefault="00196D0B" w:rsidP="005E5B48">
      <w:pPr>
        <w:ind w:left="11"/>
        <w:rPr>
          <w:b/>
          <w:i/>
        </w:rPr>
      </w:pPr>
      <w:r>
        <w:t>For frequencies between the ranges defined by (e) and (f), or (f) and (g) the EIRP shall not exceed the level defined by a straight line joining the levels specified in (e), (f) and (g).</w:t>
      </w:r>
    </w:p>
    <w:p w14:paraId="46CD77A7" w14:textId="1AD4C2C7" w:rsidR="00196D0B" w:rsidRPr="005E5B48" w:rsidRDefault="00196D0B" w:rsidP="005E5B48">
      <w:pPr>
        <w:ind w:left="55"/>
        <w:rPr>
          <w:b/>
          <w:sz w:val="28"/>
          <w:szCs w:val="28"/>
        </w:rPr>
      </w:pPr>
      <w:r w:rsidRPr="005E5B48">
        <w:rPr>
          <w:b/>
          <w:sz w:val="28"/>
          <w:szCs w:val="28"/>
        </w:rPr>
        <w:t>A.</w:t>
      </w:r>
      <w:r>
        <w:rPr>
          <w:b/>
          <w:bCs/>
          <w:sz w:val="28"/>
          <w:szCs w:val="28"/>
        </w:rPr>
        <w:t>2</w:t>
      </w:r>
      <w:r w:rsidRPr="005E5B48">
        <w:rPr>
          <w:b/>
          <w:sz w:val="28"/>
          <w:szCs w:val="28"/>
        </w:rPr>
        <w:tab/>
        <w:t>FDD PMP emission limits</w:t>
      </w:r>
    </w:p>
    <w:p w14:paraId="212D188F" w14:textId="2D34FBAF" w:rsidR="00196D0B" w:rsidRPr="00A0281E" w:rsidRDefault="00196D0B" w:rsidP="005E03B8">
      <w:pPr>
        <w:ind w:left="11"/>
        <w:rPr>
          <w:rFonts w:cs="Arial"/>
          <w:szCs w:val="22"/>
        </w:rPr>
      </w:pPr>
      <w:r w:rsidRPr="00426F0D">
        <w:rPr>
          <w:rFonts w:cs="Arial"/>
        </w:rPr>
        <w:t>Transmitters operated under a FDD point to multipoint licence are subject to the in-band emission limit defined as in Table A.</w:t>
      </w:r>
      <w:r>
        <w:rPr>
          <w:rFonts w:cs="Arial"/>
        </w:rPr>
        <w:t>2</w:t>
      </w:r>
      <w:r w:rsidRPr="00426F0D">
        <w:rPr>
          <w:rFonts w:cs="Arial"/>
        </w:rPr>
        <w:t xml:space="preserve">. </w:t>
      </w:r>
      <w:r w:rsidRPr="005E5B48">
        <w:rPr>
          <w:szCs w:val="22"/>
        </w:rPr>
        <w:t>FDD Transmitter emission limits are symmetrical about the assigned frequency.</w:t>
      </w:r>
    </w:p>
    <w:tbl>
      <w:tblPr>
        <w:tblStyle w:val="TableGrid"/>
        <w:tblpPr w:leftFromText="180" w:rightFromText="180" w:vertAnchor="text" w:horzAnchor="margin" w:tblpY="350"/>
        <w:tblW w:w="0" w:type="auto"/>
        <w:tblLook w:val="04A0" w:firstRow="1" w:lastRow="0" w:firstColumn="1" w:lastColumn="0" w:noHBand="0" w:noVBand="1"/>
      </w:tblPr>
      <w:tblGrid>
        <w:gridCol w:w="2972"/>
        <w:gridCol w:w="3260"/>
        <w:gridCol w:w="2552"/>
      </w:tblGrid>
      <w:tr w:rsidR="00196D0B" w:rsidRPr="003D4155" w14:paraId="4F7678A1" w14:textId="77777777" w:rsidTr="005E5B48">
        <w:tc>
          <w:tcPr>
            <w:tcW w:w="2972" w:type="dxa"/>
            <w:shd w:val="clear" w:color="auto" w:fill="D9D9D9" w:themeFill="background1" w:themeFillShade="D9"/>
          </w:tcPr>
          <w:p w14:paraId="5A13E184" w14:textId="77777777" w:rsidR="00196D0B" w:rsidRPr="003D4155" w:rsidRDefault="00196D0B" w:rsidP="00FB7F67">
            <w:pPr>
              <w:spacing w:before="20" w:after="20"/>
              <w:rPr>
                <w:b/>
                <w:bCs/>
              </w:rPr>
            </w:pPr>
            <w:r w:rsidRPr="003D4155">
              <w:rPr>
                <w:b/>
                <w:bCs/>
              </w:rPr>
              <w:t>Frequency offset</w:t>
            </w:r>
            <w:r>
              <w:rPr>
                <w:b/>
                <w:bCs/>
              </w:rPr>
              <w:t xml:space="preserve"> </w:t>
            </w:r>
            <w:r w:rsidRPr="003D4155">
              <w:rPr>
                <w:b/>
                <w:bCs/>
              </w:rPr>
              <w:t>(f</w:t>
            </w:r>
            <w:r w:rsidRPr="003D4155">
              <w:rPr>
                <w:b/>
                <w:bCs/>
                <w:vertAlign w:val="subscript"/>
              </w:rPr>
              <w:t>offset</w:t>
            </w:r>
            <w:r w:rsidRPr="003D4155">
              <w:rPr>
                <w:b/>
                <w:bCs/>
              </w:rPr>
              <w:t>)</w:t>
            </w:r>
          </w:p>
        </w:tc>
        <w:tc>
          <w:tcPr>
            <w:tcW w:w="3260" w:type="dxa"/>
            <w:shd w:val="clear" w:color="auto" w:fill="D9D9D9" w:themeFill="background1" w:themeFillShade="D9"/>
          </w:tcPr>
          <w:p w14:paraId="47BF6E4D" w14:textId="77777777" w:rsidR="00196D0B" w:rsidRPr="003D4155" w:rsidRDefault="00196D0B" w:rsidP="00FB7F67">
            <w:pPr>
              <w:spacing w:before="20" w:after="20"/>
              <w:rPr>
                <w:b/>
                <w:bCs/>
              </w:rPr>
            </w:pPr>
            <w:r>
              <w:rPr>
                <w:rFonts w:eastAsiaTheme="minorEastAsia"/>
                <w:b/>
              </w:rPr>
              <w:t>EIRP</w:t>
            </w:r>
            <w:r w:rsidRPr="00AB3974">
              <w:rPr>
                <w:rFonts w:eastAsiaTheme="minorEastAsia"/>
                <w:b/>
              </w:rPr>
              <w:t xml:space="preserve"> (dBm)</w:t>
            </w:r>
          </w:p>
        </w:tc>
        <w:tc>
          <w:tcPr>
            <w:tcW w:w="2552" w:type="dxa"/>
            <w:shd w:val="clear" w:color="auto" w:fill="D9D9D9" w:themeFill="background1" w:themeFillShade="D9"/>
          </w:tcPr>
          <w:p w14:paraId="15F768A6" w14:textId="77777777" w:rsidR="00196D0B" w:rsidRPr="003D4155" w:rsidRDefault="00196D0B" w:rsidP="00FB7F67">
            <w:pPr>
              <w:spacing w:before="20" w:after="20"/>
              <w:rPr>
                <w:b/>
                <w:bCs/>
              </w:rPr>
            </w:pPr>
            <w:r>
              <w:rPr>
                <w:rFonts w:eastAsiaTheme="minorEastAsia"/>
                <w:b/>
              </w:rPr>
              <w:t xml:space="preserve">Specified </w:t>
            </w:r>
            <w:r w:rsidRPr="00AB3974">
              <w:rPr>
                <w:rFonts w:eastAsiaTheme="minorEastAsia"/>
                <w:b/>
              </w:rPr>
              <w:t>Bandwidth</w:t>
            </w:r>
          </w:p>
        </w:tc>
      </w:tr>
      <w:tr w:rsidR="00196D0B" w:rsidRPr="001E720A" w14:paraId="33C69A0B" w14:textId="77777777" w:rsidTr="005E5B48">
        <w:tc>
          <w:tcPr>
            <w:tcW w:w="2972" w:type="dxa"/>
          </w:tcPr>
          <w:p w14:paraId="0EFE878A" w14:textId="77777777" w:rsidR="00196D0B" w:rsidRDefault="00196D0B" w:rsidP="00FB7F67">
            <w:pPr>
              <w:spacing w:before="20" w:after="20"/>
            </w:pPr>
            <w:r>
              <w:t>Co-channel</w:t>
            </w:r>
          </w:p>
        </w:tc>
        <w:tc>
          <w:tcPr>
            <w:tcW w:w="3260" w:type="dxa"/>
          </w:tcPr>
          <w:p w14:paraId="55A284CF" w14:textId="77777777" w:rsidR="00196D0B" w:rsidRDefault="00196D0B" w:rsidP="00FB7F67">
            <w:pPr>
              <w:spacing w:before="20" w:after="20"/>
              <w:jc w:val="center"/>
            </w:pPr>
            <w:r>
              <w:t>+35</w:t>
            </w:r>
          </w:p>
        </w:tc>
        <w:tc>
          <w:tcPr>
            <w:tcW w:w="2552" w:type="dxa"/>
          </w:tcPr>
          <w:p w14:paraId="56CDE492" w14:textId="77777777" w:rsidR="00196D0B" w:rsidRDefault="00196D0B" w:rsidP="00FB7F67">
            <w:pPr>
              <w:spacing w:before="20" w:after="20"/>
            </w:pPr>
            <w:r>
              <w:t>30 kHz</w:t>
            </w:r>
          </w:p>
        </w:tc>
      </w:tr>
      <w:tr w:rsidR="00196D0B" w:rsidRPr="001E720A" w14:paraId="0928D560" w14:textId="77777777" w:rsidTr="005E5B48">
        <w:tc>
          <w:tcPr>
            <w:tcW w:w="2972" w:type="dxa"/>
          </w:tcPr>
          <w:p w14:paraId="65106C23" w14:textId="77777777" w:rsidR="00196D0B" w:rsidRDefault="00196D0B" w:rsidP="00FB7F67">
            <w:pPr>
              <w:spacing w:before="20" w:after="20"/>
            </w:pPr>
            <w:r>
              <w:t xml:space="preserve">0 kHz </w:t>
            </w:r>
            <w:r>
              <w:rPr>
                <w:rFonts w:cs="Arial"/>
              </w:rPr>
              <w:t>≤</w:t>
            </w:r>
            <w:r>
              <w:t xml:space="preserve"> f</w:t>
            </w:r>
            <w:r w:rsidRPr="00A27C8F">
              <w:rPr>
                <w:vertAlign w:val="subscript"/>
              </w:rPr>
              <w:t>offset</w:t>
            </w:r>
            <w:r>
              <w:rPr>
                <w:rFonts w:cs="Arial"/>
              </w:rPr>
              <w:t xml:space="preserve"> &lt;</w:t>
            </w:r>
            <w:r>
              <w:t xml:space="preserve"> 100 kHz</w:t>
            </w:r>
          </w:p>
        </w:tc>
        <w:tc>
          <w:tcPr>
            <w:tcW w:w="3260" w:type="dxa"/>
          </w:tcPr>
          <w:p w14:paraId="42117A3E" w14:textId="77777777" w:rsidR="00196D0B" w:rsidRDefault="00196D0B" w:rsidP="00FB7F67">
            <w:pPr>
              <w:spacing w:before="20" w:after="20"/>
              <w:jc w:val="center"/>
            </w:pPr>
            <w:r>
              <w:t xml:space="preserve">+35 – (1/4) </w:t>
            </w:r>
            <w:r>
              <w:rPr>
                <w:rFonts w:cs="Arial"/>
              </w:rPr>
              <w:t>×</w:t>
            </w:r>
            <w:r>
              <w:t xml:space="preserve"> f</w:t>
            </w:r>
            <w:r w:rsidRPr="00643E17">
              <w:rPr>
                <w:vertAlign w:val="subscript"/>
              </w:rPr>
              <w:t>offset</w:t>
            </w:r>
            <w:r>
              <w:t xml:space="preserve"> (kHz)</w:t>
            </w:r>
          </w:p>
        </w:tc>
        <w:tc>
          <w:tcPr>
            <w:tcW w:w="2552" w:type="dxa"/>
          </w:tcPr>
          <w:p w14:paraId="338B7C35" w14:textId="77777777" w:rsidR="00196D0B" w:rsidRPr="001E720A" w:rsidRDefault="00196D0B" w:rsidP="00FB7F67">
            <w:pPr>
              <w:spacing w:before="20" w:after="20"/>
            </w:pPr>
            <w:r>
              <w:t>30 kHz</w:t>
            </w:r>
          </w:p>
        </w:tc>
      </w:tr>
      <w:tr w:rsidR="00196D0B" w:rsidRPr="001E720A" w14:paraId="1FC8F78C" w14:textId="77777777" w:rsidTr="005E5B48">
        <w:tc>
          <w:tcPr>
            <w:tcW w:w="2972" w:type="dxa"/>
          </w:tcPr>
          <w:p w14:paraId="7E8E685D" w14:textId="77777777" w:rsidR="00196D0B" w:rsidRDefault="00196D0B" w:rsidP="00FB7F67">
            <w:pPr>
              <w:spacing w:before="20" w:after="20"/>
            </w:pPr>
            <w:r>
              <w:t xml:space="preserve">100 kHz </w:t>
            </w:r>
            <w:r>
              <w:rPr>
                <w:rFonts w:cs="Arial"/>
              </w:rPr>
              <w:t>≤</w:t>
            </w:r>
            <w:r>
              <w:t xml:space="preserve"> f</w:t>
            </w:r>
            <w:r w:rsidRPr="00A27C8F">
              <w:rPr>
                <w:vertAlign w:val="subscript"/>
              </w:rPr>
              <w:t>offset</w:t>
            </w:r>
            <w:r>
              <w:rPr>
                <w:rFonts w:cs="Arial"/>
              </w:rPr>
              <w:t xml:space="preserve"> &lt;</w:t>
            </w:r>
            <w:r>
              <w:t xml:space="preserve"> 350 kHz</w:t>
            </w:r>
          </w:p>
        </w:tc>
        <w:tc>
          <w:tcPr>
            <w:tcW w:w="3260" w:type="dxa"/>
          </w:tcPr>
          <w:p w14:paraId="3846A33C" w14:textId="77777777" w:rsidR="00196D0B" w:rsidRDefault="00196D0B" w:rsidP="00FB7F67">
            <w:pPr>
              <w:spacing w:before="20" w:after="20"/>
              <w:jc w:val="center"/>
            </w:pPr>
            <w:r>
              <w:t>+10</w:t>
            </w:r>
          </w:p>
        </w:tc>
        <w:tc>
          <w:tcPr>
            <w:tcW w:w="2552" w:type="dxa"/>
          </w:tcPr>
          <w:p w14:paraId="08F0FA8F" w14:textId="77777777" w:rsidR="00196D0B" w:rsidRPr="001E720A" w:rsidRDefault="00196D0B" w:rsidP="00FB7F67">
            <w:pPr>
              <w:spacing w:before="20" w:after="20"/>
            </w:pPr>
            <w:r>
              <w:t>30 kHz</w:t>
            </w:r>
          </w:p>
        </w:tc>
      </w:tr>
      <w:tr w:rsidR="00196D0B" w:rsidRPr="001E720A" w14:paraId="36022AFB" w14:textId="77777777" w:rsidTr="005E5B48">
        <w:tc>
          <w:tcPr>
            <w:tcW w:w="2972" w:type="dxa"/>
          </w:tcPr>
          <w:p w14:paraId="7BCD8727" w14:textId="77777777" w:rsidR="00196D0B" w:rsidRPr="001E720A" w:rsidRDefault="00196D0B" w:rsidP="00FB7F67">
            <w:pPr>
              <w:spacing w:before="20" w:after="20"/>
            </w:pPr>
            <w:r>
              <w:t xml:space="preserve">350 kHz </w:t>
            </w:r>
            <w:r>
              <w:rPr>
                <w:rFonts w:cs="Arial"/>
              </w:rPr>
              <w:t>≤</w:t>
            </w:r>
            <w:r>
              <w:t xml:space="preserve"> f</w:t>
            </w:r>
            <w:r w:rsidRPr="00A27C8F">
              <w:rPr>
                <w:vertAlign w:val="subscript"/>
              </w:rPr>
              <w:t>offset</w:t>
            </w:r>
            <w:r>
              <w:t xml:space="preserve"> &lt; 600 kHz</w:t>
            </w:r>
          </w:p>
        </w:tc>
        <w:tc>
          <w:tcPr>
            <w:tcW w:w="3260" w:type="dxa"/>
          </w:tcPr>
          <w:p w14:paraId="16C6E672" w14:textId="77777777" w:rsidR="00196D0B" w:rsidRPr="001E720A" w:rsidRDefault="00196D0B" w:rsidP="00FB7F67">
            <w:pPr>
              <w:spacing w:before="20" w:after="20"/>
              <w:jc w:val="center"/>
            </w:pPr>
            <w:r>
              <w:t xml:space="preserve">+45 – (1/10) </w:t>
            </w:r>
            <w:r>
              <w:rPr>
                <w:rFonts w:cs="Arial"/>
              </w:rPr>
              <w:t>×</w:t>
            </w:r>
            <w:r>
              <w:t xml:space="preserve"> f</w:t>
            </w:r>
            <w:r w:rsidRPr="00643E17">
              <w:rPr>
                <w:vertAlign w:val="subscript"/>
              </w:rPr>
              <w:t>offset</w:t>
            </w:r>
            <w:r>
              <w:t xml:space="preserve"> (kHz)</w:t>
            </w:r>
          </w:p>
        </w:tc>
        <w:tc>
          <w:tcPr>
            <w:tcW w:w="2552" w:type="dxa"/>
          </w:tcPr>
          <w:p w14:paraId="67835FE1" w14:textId="77777777" w:rsidR="00196D0B" w:rsidRPr="001E720A" w:rsidRDefault="00196D0B" w:rsidP="00FB7F67">
            <w:pPr>
              <w:spacing w:before="20" w:after="20"/>
            </w:pPr>
            <w:r w:rsidRPr="002232BE">
              <w:t>30 kHz</w:t>
            </w:r>
          </w:p>
        </w:tc>
      </w:tr>
      <w:tr w:rsidR="00196D0B" w:rsidRPr="001E720A" w14:paraId="08AA32DC" w14:textId="77777777" w:rsidTr="005E5B48">
        <w:tc>
          <w:tcPr>
            <w:tcW w:w="2972" w:type="dxa"/>
          </w:tcPr>
          <w:p w14:paraId="0C37BCC6" w14:textId="77777777" w:rsidR="00196D0B" w:rsidRDefault="00196D0B" w:rsidP="00FB7F67">
            <w:pPr>
              <w:spacing w:before="20" w:after="20"/>
            </w:pPr>
            <w:r>
              <w:t xml:space="preserve">600 kHz </w:t>
            </w:r>
            <w:r>
              <w:rPr>
                <w:rFonts w:cs="Arial"/>
              </w:rPr>
              <w:t>≤</w:t>
            </w:r>
            <w:r>
              <w:t xml:space="preserve"> f</w:t>
            </w:r>
            <w:r w:rsidRPr="00A27C8F">
              <w:rPr>
                <w:vertAlign w:val="subscript"/>
              </w:rPr>
              <w:t>offset</w:t>
            </w:r>
            <w:r>
              <w:t xml:space="preserve"> &lt; 1.1 MHz</w:t>
            </w:r>
          </w:p>
        </w:tc>
        <w:tc>
          <w:tcPr>
            <w:tcW w:w="3260" w:type="dxa"/>
          </w:tcPr>
          <w:p w14:paraId="5151A662" w14:textId="77777777" w:rsidR="00196D0B" w:rsidRDefault="00196D0B" w:rsidP="00FB7F67">
            <w:pPr>
              <w:spacing w:before="20" w:after="20"/>
              <w:jc w:val="center"/>
            </w:pPr>
            <w:r>
              <w:t>–15</w:t>
            </w:r>
          </w:p>
        </w:tc>
        <w:tc>
          <w:tcPr>
            <w:tcW w:w="2552" w:type="dxa"/>
          </w:tcPr>
          <w:p w14:paraId="4468EF1E" w14:textId="77777777" w:rsidR="00196D0B" w:rsidRDefault="00196D0B" w:rsidP="00FB7F67">
            <w:pPr>
              <w:spacing w:before="20" w:after="20"/>
            </w:pPr>
            <w:r w:rsidRPr="002232BE">
              <w:t>30 kHz</w:t>
            </w:r>
          </w:p>
        </w:tc>
      </w:tr>
      <w:tr w:rsidR="00196D0B" w:rsidRPr="001E720A" w14:paraId="2EAAFB0E" w14:textId="77777777" w:rsidTr="005E5B48">
        <w:tc>
          <w:tcPr>
            <w:tcW w:w="2972" w:type="dxa"/>
          </w:tcPr>
          <w:p w14:paraId="046DD70D" w14:textId="77777777" w:rsidR="00196D0B" w:rsidRDefault="00196D0B" w:rsidP="00FB7F67">
            <w:pPr>
              <w:spacing w:before="20" w:after="20"/>
            </w:pPr>
            <w:r>
              <w:t xml:space="preserve">1.1 MHz </w:t>
            </w:r>
            <w:r>
              <w:rPr>
                <w:rFonts w:cs="Arial"/>
              </w:rPr>
              <w:t>≤</w:t>
            </w:r>
            <w:r>
              <w:t xml:space="preserve"> f</w:t>
            </w:r>
            <w:r w:rsidRPr="00A27C8F">
              <w:rPr>
                <w:vertAlign w:val="subscript"/>
              </w:rPr>
              <w:t>offset</w:t>
            </w:r>
            <w:r>
              <w:t xml:space="preserve"> &lt; 2 MHz</w:t>
            </w:r>
          </w:p>
        </w:tc>
        <w:tc>
          <w:tcPr>
            <w:tcW w:w="3260" w:type="dxa"/>
          </w:tcPr>
          <w:p w14:paraId="04DFB8E3" w14:textId="77777777" w:rsidR="00196D0B" w:rsidRDefault="00196D0B" w:rsidP="00FB7F67">
            <w:pPr>
              <w:spacing w:before="20" w:after="20"/>
              <w:jc w:val="center"/>
            </w:pPr>
            <w:r>
              <w:t xml:space="preserve">+16 – (1/36) </w:t>
            </w:r>
            <w:r>
              <w:rPr>
                <w:rFonts w:cs="Arial"/>
              </w:rPr>
              <w:t>×</w:t>
            </w:r>
            <w:r>
              <w:t xml:space="preserve"> f</w:t>
            </w:r>
            <w:r w:rsidRPr="00643E17">
              <w:rPr>
                <w:vertAlign w:val="subscript"/>
              </w:rPr>
              <w:t>offset</w:t>
            </w:r>
            <w:r>
              <w:t xml:space="preserve"> (kHz)</w:t>
            </w:r>
          </w:p>
        </w:tc>
        <w:tc>
          <w:tcPr>
            <w:tcW w:w="2552" w:type="dxa"/>
          </w:tcPr>
          <w:p w14:paraId="15C4818F" w14:textId="77777777" w:rsidR="00196D0B" w:rsidRPr="002232BE" w:rsidRDefault="00196D0B" w:rsidP="00FB7F67">
            <w:pPr>
              <w:spacing w:before="20" w:after="20"/>
            </w:pPr>
            <w:r w:rsidRPr="002232BE">
              <w:t>30 kHz</w:t>
            </w:r>
          </w:p>
        </w:tc>
      </w:tr>
      <w:tr w:rsidR="00196D0B" w:rsidRPr="001E720A" w14:paraId="18260516" w14:textId="77777777" w:rsidTr="005E5B48">
        <w:tc>
          <w:tcPr>
            <w:tcW w:w="2972" w:type="dxa"/>
          </w:tcPr>
          <w:p w14:paraId="706E1316" w14:textId="77777777" w:rsidR="00196D0B" w:rsidRDefault="00196D0B" w:rsidP="00FB7F67">
            <w:pPr>
              <w:spacing w:before="20" w:after="20"/>
            </w:pPr>
            <w:r>
              <w:t>f</w:t>
            </w:r>
            <w:r w:rsidRPr="00A27C8F">
              <w:rPr>
                <w:vertAlign w:val="subscript"/>
              </w:rPr>
              <w:t>offset</w:t>
            </w:r>
            <w:r>
              <w:rPr>
                <w:rFonts w:cs="Arial"/>
              </w:rPr>
              <w:t xml:space="preserve"> ≥</w:t>
            </w:r>
            <w:r>
              <w:t xml:space="preserve"> 2 MHz</w:t>
            </w:r>
          </w:p>
        </w:tc>
        <w:tc>
          <w:tcPr>
            <w:tcW w:w="3260" w:type="dxa"/>
          </w:tcPr>
          <w:p w14:paraId="49DF2C60" w14:textId="77777777" w:rsidR="00196D0B" w:rsidRDefault="00196D0B" w:rsidP="00FB7F67">
            <w:pPr>
              <w:spacing w:before="20" w:after="20"/>
              <w:jc w:val="center"/>
            </w:pPr>
            <w:r>
              <w:t>-40</w:t>
            </w:r>
          </w:p>
        </w:tc>
        <w:tc>
          <w:tcPr>
            <w:tcW w:w="2552" w:type="dxa"/>
          </w:tcPr>
          <w:p w14:paraId="11B6429C" w14:textId="77777777" w:rsidR="00196D0B" w:rsidRPr="002232BE" w:rsidRDefault="00196D0B" w:rsidP="00FB7F67">
            <w:pPr>
              <w:spacing w:before="20" w:after="20"/>
            </w:pPr>
            <w:r>
              <w:t>30 kHz</w:t>
            </w:r>
          </w:p>
        </w:tc>
      </w:tr>
    </w:tbl>
    <w:p w14:paraId="059DC921" w14:textId="54FD72E0" w:rsidR="00196D0B" w:rsidRPr="00A83143" w:rsidRDefault="00196D0B" w:rsidP="005E5B48">
      <w:pPr>
        <w:ind w:left="11"/>
        <w:rPr>
          <w:sz w:val="20"/>
          <w:szCs w:val="20"/>
        </w:rPr>
      </w:pPr>
      <w:r>
        <w:t xml:space="preserve"> </w:t>
      </w:r>
      <w:r w:rsidRPr="00A83143">
        <w:rPr>
          <w:b/>
          <w:sz w:val="20"/>
          <w:szCs w:val="20"/>
        </w:rPr>
        <w:t>Table A.</w:t>
      </w:r>
      <w:r>
        <w:rPr>
          <w:b/>
          <w:sz w:val="20"/>
          <w:szCs w:val="20"/>
        </w:rPr>
        <w:t>2</w:t>
      </w:r>
      <w:r w:rsidRPr="00A83143">
        <w:rPr>
          <w:b/>
          <w:sz w:val="20"/>
          <w:szCs w:val="20"/>
        </w:rPr>
        <w:t xml:space="preserve">: FDD </w:t>
      </w:r>
      <w:r>
        <w:rPr>
          <w:b/>
          <w:bCs/>
          <w:sz w:val="20"/>
          <w:szCs w:val="20"/>
        </w:rPr>
        <w:t xml:space="preserve">PMP </w:t>
      </w:r>
      <w:r w:rsidRPr="00A83143">
        <w:rPr>
          <w:b/>
          <w:sz w:val="20"/>
          <w:szCs w:val="20"/>
        </w:rPr>
        <w:t xml:space="preserve">Transmitter emission limits </w:t>
      </w:r>
    </w:p>
    <w:p w14:paraId="1139A9F1" w14:textId="77777777" w:rsidR="00196D0B" w:rsidRDefault="00196D0B" w:rsidP="005E5B48">
      <w:pPr>
        <w:ind w:left="11"/>
      </w:pPr>
    </w:p>
    <w:p w14:paraId="6C3949CE" w14:textId="77777777" w:rsidR="00196D0B" w:rsidRDefault="00196D0B" w:rsidP="005E5B48">
      <w:pPr>
        <w:ind w:left="11"/>
      </w:pPr>
    </w:p>
    <w:p w14:paraId="6CD15A12" w14:textId="77777777" w:rsidR="00196D0B" w:rsidRDefault="00196D0B" w:rsidP="005E5B48">
      <w:pPr>
        <w:spacing w:after="0" w:line="240" w:lineRule="auto"/>
        <w:ind w:left="11"/>
        <w:rPr>
          <w:rFonts w:cs="Arial"/>
          <w:bCs/>
          <w:color w:val="323232"/>
          <w:kern w:val="32"/>
          <w:sz w:val="44"/>
          <w:szCs w:val="44"/>
        </w:rPr>
      </w:pPr>
    </w:p>
    <w:p w14:paraId="4A3F4E67" w14:textId="77777777" w:rsidR="00196D0B" w:rsidRDefault="00196D0B" w:rsidP="005E5B48">
      <w:pPr>
        <w:pStyle w:val="AppendixH1"/>
        <w:ind w:left="11"/>
      </w:pPr>
      <w:bookmarkStart w:id="305" w:name="_Toc95291625"/>
      <w:bookmarkStart w:id="306" w:name="_Toc114669438"/>
      <w:r>
        <w:lastRenderedPageBreak/>
        <w:t>Notification requirements</w:t>
      </w:r>
      <w:bookmarkStart w:id="307" w:name="_Toc48558958"/>
      <w:bookmarkEnd w:id="305"/>
      <w:bookmarkEnd w:id="306"/>
    </w:p>
    <w:p w14:paraId="79AFB0DD" w14:textId="77777777" w:rsidR="00196D0B" w:rsidRDefault="00196D0B" w:rsidP="005E5B48">
      <w:pPr>
        <w:ind w:left="11"/>
      </w:pPr>
      <w:r>
        <w:t>When notifying licensees, the following information (as a minimum) must be provided:</w:t>
      </w:r>
    </w:p>
    <w:p w14:paraId="6420FA41" w14:textId="77777777" w:rsidR="00196D0B" w:rsidRDefault="00196D0B" w:rsidP="005E5B48">
      <w:pPr>
        <w:pStyle w:val="ListBullet"/>
        <w:ind w:left="306"/>
      </w:pPr>
      <w:r>
        <w:t>The reason the licensee is being notified, for example:</w:t>
      </w:r>
    </w:p>
    <w:p w14:paraId="602D8613" w14:textId="64A82890" w:rsidR="00196D0B" w:rsidRDefault="00196D0B" w:rsidP="005E5B48">
      <w:pPr>
        <w:spacing w:after="80"/>
        <w:ind w:left="578" w:right="850"/>
      </w:pPr>
      <w:r>
        <w:t>In accordance with section [section number] of RALI MS</w:t>
      </w:r>
      <w:r w:rsidR="005E03B8">
        <w:t>4</w:t>
      </w:r>
      <w:r>
        <w:t>7, [the licensee] is being notified of a proposed new area-wide licensed service that will be operated within [X] MHz of [one/a number] of your existing licensed point to multipoint services.</w:t>
      </w:r>
    </w:p>
    <w:p w14:paraId="4D7D6769" w14:textId="1217CDBA" w:rsidR="00196D0B" w:rsidRDefault="00196D0B" w:rsidP="005E5B48">
      <w:pPr>
        <w:pStyle w:val="ListBullet"/>
        <w:ind w:left="306"/>
      </w:pPr>
      <w:r>
        <w:t>Information identifying the affected licensed service or services (</w:t>
      </w:r>
      <w:r w:rsidR="00D40930">
        <w:t>e.g.,</w:t>
      </w:r>
      <w:r>
        <w:t xml:space="preserve"> licence number, site ID)</w:t>
      </w:r>
    </w:p>
    <w:p w14:paraId="5EF4FF2F" w14:textId="3C3910E8" w:rsidR="00196D0B" w:rsidRPr="00BF545D" w:rsidRDefault="00196D0B" w:rsidP="005E5B48">
      <w:pPr>
        <w:pStyle w:val="ListBullet"/>
        <w:ind w:left="306"/>
      </w:pPr>
      <w:r>
        <w:t>Details of the proposed area-wide licensed service required for the coordination of services (</w:t>
      </w:r>
      <w:r w:rsidR="00D40930">
        <w:t>e.g.,</w:t>
      </w:r>
      <w:r>
        <w:t xml:space="preserve"> location, transmitter characteristics, receiver </w:t>
      </w:r>
      <w:r w:rsidRPr="00BF545D">
        <w:t xml:space="preserve">characteristics etc); and, </w:t>
      </w:r>
    </w:p>
    <w:p w14:paraId="596201A3" w14:textId="1FAA5791" w:rsidR="00196D0B" w:rsidRDefault="00196D0B" w:rsidP="00FB7F67">
      <w:pPr>
        <w:pStyle w:val="ListBullet"/>
        <w:ind w:left="306"/>
      </w:pPr>
      <w:r>
        <w:t>Contact details of an appropriate person for further discussion of the issue.</w:t>
      </w:r>
    </w:p>
    <w:bookmarkEnd w:id="307"/>
    <w:p w14:paraId="52A993C7" w14:textId="22D4EE29" w:rsidR="007560BE" w:rsidRDefault="007560BE" w:rsidP="00223EA7"/>
    <w:p w14:paraId="5EC28355" w14:textId="15950762" w:rsidR="00EA7847" w:rsidRPr="00F43C18" w:rsidRDefault="00EA7847" w:rsidP="00EA7847">
      <w:pPr>
        <w:pStyle w:val="AppendixH1"/>
        <w:ind w:left="11"/>
      </w:pPr>
      <w:bookmarkStart w:id="308" w:name="_Toc114669439"/>
      <w:r w:rsidRPr="00F43C18">
        <w:lastRenderedPageBreak/>
        <w:t>Earth station coordination with existing AWLs</w:t>
      </w:r>
      <w:r w:rsidR="00B47D3F" w:rsidRPr="009D33A5">
        <w:t xml:space="preserve"> or SLs</w:t>
      </w:r>
      <w:bookmarkEnd w:id="308"/>
    </w:p>
    <w:p w14:paraId="5484E2D0" w14:textId="466D51C6" w:rsidR="00E67FE3" w:rsidRPr="00F43C18" w:rsidRDefault="00EA7847" w:rsidP="00223EA7">
      <w:r w:rsidRPr="00F43C18">
        <w:t xml:space="preserve">As described under 4.7.1, </w:t>
      </w:r>
      <w:r w:rsidR="00B72E89" w:rsidRPr="009D33A5">
        <w:t xml:space="preserve">new </w:t>
      </w:r>
      <w:r w:rsidRPr="00F43C18">
        <w:t>apparatus licen</w:t>
      </w:r>
      <w:r w:rsidR="004170D9" w:rsidRPr="009D33A5">
        <w:t>s</w:t>
      </w:r>
      <w:r w:rsidRPr="00F43C18">
        <w:t>e</w:t>
      </w:r>
      <w:r w:rsidR="00B72E89" w:rsidRPr="009D33A5">
        <w:t>d</w:t>
      </w:r>
      <w:r w:rsidRPr="00F43C18">
        <w:t xml:space="preserve"> earth receive stations will only be permitted where </w:t>
      </w:r>
      <w:r w:rsidR="00B72E89" w:rsidRPr="009D33A5">
        <w:t xml:space="preserve">there is limited impact on </w:t>
      </w:r>
      <w:r w:rsidRPr="00F43C18">
        <w:t xml:space="preserve">the </w:t>
      </w:r>
      <w:r w:rsidR="00B72E89" w:rsidRPr="009D33A5">
        <w:t xml:space="preserve">ability to </w:t>
      </w:r>
      <w:r w:rsidRPr="00F43C18">
        <w:t>regist</w:t>
      </w:r>
      <w:r w:rsidR="00B72E89" w:rsidRPr="009D33A5">
        <w:t>e</w:t>
      </w:r>
      <w:r w:rsidRPr="00F43C18">
        <w:t xml:space="preserve">r future devices under </w:t>
      </w:r>
      <w:r w:rsidR="00B72E89" w:rsidRPr="009D33A5">
        <w:t xml:space="preserve">existing </w:t>
      </w:r>
      <w:r w:rsidRPr="00F43C18">
        <w:t>AWLs</w:t>
      </w:r>
      <w:r w:rsidR="00B47D3F" w:rsidRPr="009D33A5">
        <w:t xml:space="preserve"> or SLs</w:t>
      </w:r>
      <w:r w:rsidRPr="00F43C18">
        <w:t xml:space="preserve"> in the band</w:t>
      </w:r>
      <w:r w:rsidR="00B47D3F" w:rsidRPr="009D33A5">
        <w:t>, or the adjacent band for SLs</w:t>
      </w:r>
      <w:r w:rsidR="00376B9A" w:rsidRPr="00F43C18">
        <w:t xml:space="preserve">.  In order to ensure this is likely, the earth receive station must perform coordination checks against all </w:t>
      </w:r>
      <w:r w:rsidR="00B72E89" w:rsidRPr="009D33A5">
        <w:t xml:space="preserve">existing </w:t>
      </w:r>
      <w:r w:rsidR="00376B9A" w:rsidRPr="00F43C18">
        <w:t xml:space="preserve">AWLs </w:t>
      </w:r>
      <w:r w:rsidR="00B47D3F" w:rsidRPr="009D33A5">
        <w:t xml:space="preserve">and SLs </w:t>
      </w:r>
      <w:r w:rsidR="00376B9A" w:rsidRPr="00F43C18">
        <w:t>using the following method</w:t>
      </w:r>
      <w:r w:rsidR="008F76C0" w:rsidRPr="009D33A5">
        <w:t>:</w:t>
      </w:r>
    </w:p>
    <w:p w14:paraId="5025A995" w14:textId="6A26717E" w:rsidR="002C2519" w:rsidRPr="009D33A5" w:rsidRDefault="002C2519" w:rsidP="009D33A5">
      <w:pPr>
        <w:pStyle w:val="ListParagraph"/>
        <w:numPr>
          <w:ilvl w:val="0"/>
          <w:numId w:val="110"/>
        </w:numPr>
      </w:pPr>
      <w:r w:rsidRPr="009D33A5">
        <w:t xml:space="preserve">Path loss (PL) between the proposed earth station </w:t>
      </w:r>
      <w:r w:rsidR="00163A57" w:rsidRPr="009D33A5">
        <w:t xml:space="preserve">receiver </w:t>
      </w:r>
      <w:r w:rsidRPr="009D33A5">
        <w:t xml:space="preserve">to a notional AWL </w:t>
      </w:r>
      <w:r w:rsidR="00B47D3F" w:rsidRPr="009D33A5">
        <w:t xml:space="preserve">or SL </w:t>
      </w:r>
      <w:r w:rsidRPr="009D33A5">
        <w:t xml:space="preserve">transmitter is calculated using the same procedure detailed for the device boundary criteria (DBC) in the </w:t>
      </w:r>
      <w:r w:rsidRPr="00F43C18">
        <w:rPr>
          <w:i/>
          <w:iCs/>
        </w:rPr>
        <w:t>Radiocommunications (Unacceptable Levels of Interference - 3.4 GHz Band) Determination 2015</w:t>
      </w:r>
      <w:r w:rsidRPr="00F43C18">
        <w:t xml:space="preserve"> </w:t>
      </w:r>
      <w:r w:rsidRPr="009D33A5">
        <w:t xml:space="preserve">or any instrument made under s.145 of the </w:t>
      </w:r>
      <w:r w:rsidRPr="009D33A5">
        <w:rPr>
          <w:i/>
          <w:iCs/>
        </w:rPr>
        <w:t>Radiocommunications Act 1992</w:t>
      </w:r>
      <w:r w:rsidRPr="009D33A5">
        <w:t xml:space="preserve"> to replace it. In this case, the following changes are made to the DBC PL calculation:  </w:t>
      </w:r>
    </w:p>
    <w:p w14:paraId="4FE7906B" w14:textId="77777777" w:rsidR="002C2519" w:rsidRPr="009D33A5" w:rsidRDefault="002C2519" w:rsidP="009D33A5">
      <w:pPr>
        <w:pStyle w:val="ListParagraph"/>
        <w:numPr>
          <w:ilvl w:val="1"/>
          <w:numId w:val="110"/>
        </w:numPr>
      </w:pPr>
      <w:r w:rsidRPr="009D33A5">
        <w:t xml:space="preserve">the proposed earth station receiver replaces the proposed transmitter, </w:t>
      </w:r>
    </w:p>
    <w:p w14:paraId="019C4A2B" w14:textId="72D7EEAC" w:rsidR="002C2519" w:rsidRPr="009D33A5" w:rsidRDefault="002C2519" w:rsidP="009D33A5">
      <w:pPr>
        <w:pStyle w:val="ListParagraph"/>
        <w:numPr>
          <w:ilvl w:val="1"/>
          <w:numId w:val="110"/>
        </w:numPr>
      </w:pPr>
      <w:r w:rsidRPr="009D33A5">
        <w:t>the notional A</w:t>
      </w:r>
      <w:r w:rsidR="00163A57" w:rsidRPr="009D33A5">
        <w:t>WL</w:t>
      </w:r>
      <w:r w:rsidRPr="009D33A5">
        <w:t xml:space="preserve"> </w:t>
      </w:r>
      <w:r w:rsidR="00B47D3F" w:rsidRPr="009D33A5">
        <w:t xml:space="preserve">or SL </w:t>
      </w:r>
      <w:r w:rsidR="004170D9" w:rsidRPr="009D33A5">
        <w:t>t</w:t>
      </w:r>
      <w:r w:rsidRPr="009D33A5">
        <w:t xml:space="preserve">ransmitter replaces the notional receiver and has a height of 30m. </w:t>
      </w:r>
    </w:p>
    <w:p w14:paraId="63D5F94F" w14:textId="77777777" w:rsidR="002C2519" w:rsidRPr="009D33A5" w:rsidRDefault="002C2519" w:rsidP="009D33A5">
      <w:pPr>
        <w:pStyle w:val="ListParagraph"/>
        <w:numPr>
          <w:ilvl w:val="1"/>
          <w:numId w:val="110"/>
        </w:numPr>
      </w:pPr>
      <w:r w:rsidRPr="009D33A5">
        <w:t>the propagation model detailed in Recommendation ITU-R P.452 with p = 20% should be used.</w:t>
      </w:r>
    </w:p>
    <w:p w14:paraId="22CA338E" w14:textId="77777777" w:rsidR="002C2519" w:rsidRPr="009D33A5" w:rsidRDefault="002C2519" w:rsidP="009D33A5">
      <w:pPr>
        <w:pStyle w:val="ListParagraph"/>
        <w:numPr>
          <w:ilvl w:val="0"/>
          <w:numId w:val="110"/>
        </w:numPr>
      </w:pPr>
      <w:r w:rsidRPr="009D33A5">
        <w:t>The proposed earth station receiver should be modelled using the parameters intended for inclusion on the licence with the following additions:</w:t>
      </w:r>
    </w:p>
    <w:p w14:paraId="42288416" w14:textId="0F9DEBAD" w:rsidR="002C2519" w:rsidRPr="009D33A5" w:rsidRDefault="002C2519" w:rsidP="009D33A5">
      <w:pPr>
        <w:pStyle w:val="ListParagraph"/>
        <w:numPr>
          <w:ilvl w:val="1"/>
          <w:numId w:val="110"/>
        </w:numPr>
      </w:pPr>
      <w:r w:rsidRPr="009D33A5">
        <w:t xml:space="preserve">If the earth station antenna pattern is not known, then the antenna gain with </w:t>
      </w:r>
      <w:r w:rsidR="00D40930">
        <w:t>a</w:t>
      </w:r>
      <w:r w:rsidR="00D40930" w:rsidRPr="009D33A5">
        <w:t xml:space="preserve"> </w:t>
      </w:r>
      <w:r w:rsidRPr="009D33A5">
        <w:t>particular azimuth and elevation</w:t>
      </w:r>
      <w:r w:rsidR="00A86F1C" w:rsidRPr="009D33A5">
        <w:t>,</w:t>
      </w:r>
      <w:r w:rsidRPr="009D33A5">
        <w:t xml:space="preserve"> should be modelled using Recommendation ITU-R S.465.</w:t>
      </w:r>
    </w:p>
    <w:p w14:paraId="27600DFF" w14:textId="77777777" w:rsidR="00A86F1C" w:rsidRPr="009D33A5" w:rsidRDefault="002C2519" w:rsidP="009D33A5">
      <w:pPr>
        <w:pStyle w:val="ListParagraph"/>
        <w:numPr>
          <w:ilvl w:val="1"/>
          <w:numId w:val="110"/>
        </w:numPr>
      </w:pPr>
      <w:r w:rsidRPr="009D33A5">
        <w:t>The earth station should be assumed to have earth station filter as detailed in section 4.7.1.</w:t>
      </w:r>
    </w:p>
    <w:p w14:paraId="2B05A67C" w14:textId="11D46C9C" w:rsidR="002C2519" w:rsidRPr="009D33A5" w:rsidRDefault="002C2519" w:rsidP="009D33A5">
      <w:pPr>
        <w:pStyle w:val="ListParagraph"/>
        <w:numPr>
          <w:ilvl w:val="0"/>
          <w:numId w:val="110"/>
        </w:numPr>
      </w:pPr>
      <w:r w:rsidRPr="009D33A5">
        <w:t xml:space="preserve">A </w:t>
      </w:r>
      <w:r w:rsidR="00A06943" w:rsidRPr="009D33A5">
        <w:t>device boundary (DB)</w:t>
      </w:r>
      <w:r w:rsidRPr="009D33A5">
        <w:t xml:space="preserve"> for the proposed earth station receiver needs to be calculated</w:t>
      </w:r>
      <w:r w:rsidR="008F76C0" w:rsidRPr="009D33A5">
        <w:t xml:space="preserve"> using </w:t>
      </w:r>
      <w:r w:rsidR="00163A57" w:rsidRPr="009D33A5">
        <w:t>a modified</w:t>
      </w:r>
      <w:r w:rsidR="008F76C0" w:rsidRPr="009D33A5">
        <w:t xml:space="preserve"> procedure for </w:t>
      </w:r>
      <w:r w:rsidR="00A06943" w:rsidRPr="009D33A5">
        <w:t>DBC</w:t>
      </w:r>
      <w:r w:rsidR="008F76C0" w:rsidRPr="009D33A5">
        <w:t xml:space="preserve"> in the </w:t>
      </w:r>
      <w:r w:rsidR="008F76C0" w:rsidRPr="00F43C18">
        <w:rPr>
          <w:i/>
          <w:iCs/>
        </w:rPr>
        <w:t>Radiocommunications (Unacceptable Levels of Interference - 3.4 GHz Band) Determination 2015</w:t>
      </w:r>
      <w:r w:rsidR="008F76C0" w:rsidRPr="00F43C18">
        <w:t xml:space="preserve"> </w:t>
      </w:r>
      <w:r w:rsidR="008F76C0" w:rsidRPr="009D33A5">
        <w:t xml:space="preserve">or any instrument made under s.145 of the </w:t>
      </w:r>
      <w:r w:rsidR="008F76C0" w:rsidRPr="009D33A5">
        <w:rPr>
          <w:i/>
          <w:iCs/>
        </w:rPr>
        <w:t>Radiocommunications Act 1992</w:t>
      </w:r>
      <w:r w:rsidR="008F76C0" w:rsidRPr="009D33A5">
        <w:t xml:space="preserve"> to replace </w:t>
      </w:r>
      <w:r w:rsidR="00D40930" w:rsidRPr="009D33A5">
        <w:t>it.</w:t>
      </w:r>
      <w:r w:rsidR="00163A57" w:rsidRPr="009D33A5">
        <w:t xml:space="preserve"> For </w:t>
      </w:r>
      <w:r w:rsidRPr="009D33A5">
        <w:t xml:space="preserve">the following scenarios: </w:t>
      </w:r>
    </w:p>
    <w:p w14:paraId="12D0BB64" w14:textId="23D66AFC" w:rsidR="002C2519" w:rsidRPr="009D33A5" w:rsidRDefault="002C2519" w:rsidP="002C2519">
      <w:pPr>
        <w:pStyle w:val="ListParagraph"/>
        <w:ind w:left="1440"/>
      </w:pPr>
      <w:r w:rsidRPr="009D33A5">
        <w:rPr>
          <w:i/>
          <w:iCs/>
          <w:u w:val="single"/>
        </w:rPr>
        <w:t>Co-channel emissions from AWLs</w:t>
      </w:r>
      <w:r w:rsidR="00B47D3F" w:rsidRPr="009D33A5">
        <w:rPr>
          <w:i/>
          <w:iCs/>
          <w:u w:val="single"/>
        </w:rPr>
        <w:t>/SLs</w:t>
      </w:r>
      <w:r w:rsidRPr="009D33A5">
        <w:t xml:space="preserve">:  </w:t>
      </w:r>
    </w:p>
    <w:p w14:paraId="6CB1A4B9" w14:textId="12B17831" w:rsidR="002C2519" w:rsidRPr="009D33A5" w:rsidRDefault="002C2519" w:rsidP="009D33A5">
      <w:pPr>
        <w:pStyle w:val="ListParagraph"/>
        <w:numPr>
          <w:ilvl w:val="1"/>
          <w:numId w:val="110"/>
        </w:numPr>
      </w:pPr>
      <w:r w:rsidRPr="009D33A5">
        <w:t xml:space="preserve">Calculate DB </w:t>
      </w:r>
      <w:r w:rsidR="0045691C" w:rsidRPr="009D33A5">
        <w:t xml:space="preserve">to check </w:t>
      </w:r>
      <w:r w:rsidR="008F76C0" w:rsidRPr="009D33A5">
        <w:t xml:space="preserve">all </w:t>
      </w:r>
      <w:r w:rsidR="009E56C7" w:rsidRPr="009D33A5">
        <w:t>existing AWL</w:t>
      </w:r>
      <w:r w:rsidR="00B47D3F" w:rsidRPr="009D33A5">
        <w:t>/SL</w:t>
      </w:r>
      <w:r w:rsidR="009E56C7" w:rsidRPr="009D33A5">
        <w:t xml:space="preserve"> licence areas</w:t>
      </w:r>
      <w:r w:rsidR="008F76C0" w:rsidRPr="009D33A5">
        <w:t xml:space="preserve"> within 200 km of the proposed earth station receiver </w:t>
      </w:r>
      <w:r w:rsidRPr="009D33A5">
        <w:t xml:space="preserve">assuming: </w:t>
      </w:r>
    </w:p>
    <w:p w14:paraId="661FFAB4" w14:textId="131A52D9" w:rsidR="00163A57" w:rsidRPr="009D33A5" w:rsidRDefault="00163A57" w:rsidP="008F76C0">
      <w:pPr>
        <w:pStyle w:val="ListParagraph"/>
        <w:numPr>
          <w:ilvl w:val="2"/>
          <w:numId w:val="110"/>
        </w:numPr>
      </w:pPr>
      <w:r w:rsidRPr="009D33A5">
        <w:t>Modifications detailed in (1) and (2) above.</w:t>
      </w:r>
    </w:p>
    <w:p w14:paraId="76092C4A" w14:textId="3D5CBB41" w:rsidR="002C2519" w:rsidRPr="009D33A5" w:rsidRDefault="002C2519" w:rsidP="009D33A5">
      <w:pPr>
        <w:pStyle w:val="ListParagraph"/>
        <w:numPr>
          <w:ilvl w:val="2"/>
          <w:numId w:val="110"/>
        </w:numPr>
      </w:pPr>
      <w:r w:rsidRPr="009D33A5">
        <w:t>a notional AWL</w:t>
      </w:r>
      <w:r w:rsidR="00B47D3F" w:rsidRPr="009D33A5">
        <w:t>/SL</w:t>
      </w:r>
      <w:r w:rsidRPr="009D33A5">
        <w:t xml:space="preserve"> transmitter with an EIRP density of 61dBm/10 MHz</w:t>
      </w:r>
      <w:r w:rsidRPr="009D33A5">
        <w:rPr>
          <w:rStyle w:val="FootnoteReference"/>
        </w:rPr>
        <w:footnoteReference w:id="11"/>
      </w:r>
      <w:r w:rsidRPr="009D33A5">
        <w:t xml:space="preserve"> across the entire AWL licen</w:t>
      </w:r>
      <w:r w:rsidR="004170D9" w:rsidRPr="009D33A5">
        <w:t>s</w:t>
      </w:r>
      <w:r w:rsidRPr="009D33A5">
        <w:t>ed bandwidth in all directions.</w:t>
      </w:r>
    </w:p>
    <w:p w14:paraId="58F5000D" w14:textId="633DC573" w:rsidR="002C2519" w:rsidRPr="009D33A5" w:rsidRDefault="002C2519" w:rsidP="009D33A5">
      <w:pPr>
        <w:pStyle w:val="ListParagraph"/>
        <w:numPr>
          <w:ilvl w:val="2"/>
          <w:numId w:val="110"/>
        </w:numPr>
      </w:pPr>
      <w:r w:rsidRPr="009D33A5">
        <w:t xml:space="preserve">Level of protection equal to </w:t>
      </w:r>
      <w:r w:rsidR="00116D6B" w:rsidRPr="009D33A5">
        <w:t>-</w:t>
      </w:r>
      <w:r w:rsidRPr="009D33A5">
        <w:t>128.6 dBm/MHz, which assumes a receiver noise temperature of 100K which is not to be exceeded for more than 20% of the time (as per TX RAG)</w:t>
      </w:r>
    </w:p>
    <w:p w14:paraId="4A0FE596" w14:textId="06064DB7" w:rsidR="002C2519" w:rsidRPr="009D33A5" w:rsidRDefault="002C2519" w:rsidP="002C2519">
      <w:pPr>
        <w:pStyle w:val="ListParagraph"/>
        <w:ind w:left="1440"/>
        <w:rPr>
          <w:i/>
          <w:iCs/>
          <w:u w:val="single"/>
        </w:rPr>
      </w:pPr>
      <w:r w:rsidRPr="009D33A5">
        <w:rPr>
          <w:i/>
          <w:iCs/>
          <w:u w:val="single"/>
        </w:rPr>
        <w:t>Unwanted emissions from AWLs</w:t>
      </w:r>
      <w:r w:rsidR="00B47D3F" w:rsidRPr="009D33A5">
        <w:rPr>
          <w:i/>
          <w:iCs/>
          <w:u w:val="single"/>
        </w:rPr>
        <w:t>/SLs</w:t>
      </w:r>
    </w:p>
    <w:p w14:paraId="5EE796CA" w14:textId="6F7524DF" w:rsidR="002C2519" w:rsidRPr="009D33A5" w:rsidRDefault="008F76C0" w:rsidP="009D33A5">
      <w:pPr>
        <w:pStyle w:val="ListParagraph"/>
        <w:numPr>
          <w:ilvl w:val="1"/>
          <w:numId w:val="110"/>
        </w:numPr>
      </w:pPr>
      <w:r w:rsidRPr="009D33A5">
        <w:t xml:space="preserve">Calculate DB </w:t>
      </w:r>
      <w:r w:rsidR="0045691C" w:rsidRPr="009D33A5">
        <w:t xml:space="preserve">to check </w:t>
      </w:r>
      <w:r w:rsidRPr="009D33A5">
        <w:t xml:space="preserve">with </w:t>
      </w:r>
      <w:r w:rsidR="00AE3876" w:rsidRPr="009D33A5">
        <w:t>existing AWL</w:t>
      </w:r>
      <w:r w:rsidR="00B47D3F" w:rsidRPr="009D33A5">
        <w:t>/SL</w:t>
      </w:r>
      <w:r w:rsidR="00AE3876" w:rsidRPr="009D33A5">
        <w:t xml:space="preserve"> licence areas</w:t>
      </w:r>
      <w:r w:rsidRPr="009D33A5">
        <w:t xml:space="preserve"> within 100 km of the proposed earth station receiver assuming: </w:t>
      </w:r>
    </w:p>
    <w:p w14:paraId="1BFD5512" w14:textId="60B55852" w:rsidR="00163A57" w:rsidRPr="009D33A5" w:rsidRDefault="00163A57" w:rsidP="008F76C0">
      <w:pPr>
        <w:pStyle w:val="ListParagraph"/>
        <w:numPr>
          <w:ilvl w:val="2"/>
          <w:numId w:val="110"/>
        </w:numPr>
      </w:pPr>
      <w:r w:rsidRPr="009D33A5">
        <w:t>Modifications detailed in (1) and (2) above.</w:t>
      </w:r>
    </w:p>
    <w:p w14:paraId="7590A16A" w14:textId="305EBB8D" w:rsidR="002C2519" w:rsidRPr="009D33A5" w:rsidRDefault="002C2519" w:rsidP="009D33A5">
      <w:pPr>
        <w:pStyle w:val="ListParagraph"/>
        <w:numPr>
          <w:ilvl w:val="2"/>
          <w:numId w:val="110"/>
        </w:numPr>
      </w:pPr>
      <w:r w:rsidRPr="009D33A5">
        <w:lastRenderedPageBreak/>
        <w:t>a notional AWL</w:t>
      </w:r>
      <w:r w:rsidR="00B47D3F" w:rsidRPr="009D33A5">
        <w:t xml:space="preserve"> or SL</w:t>
      </w:r>
      <w:r w:rsidRPr="009D33A5">
        <w:t xml:space="preserve"> transmitter </w:t>
      </w:r>
      <w:r w:rsidR="00A86F1C" w:rsidRPr="009D33A5">
        <w:t xml:space="preserve">using an Active Antenna System (AAS) </w:t>
      </w:r>
      <w:r w:rsidRPr="009D33A5">
        <w:t xml:space="preserve">with unwanted emissions as detailed in section </w:t>
      </w:r>
      <w:r w:rsidR="00A86F1C" w:rsidRPr="009D33A5">
        <w:t>9 of schedule 4 of the</w:t>
      </w:r>
      <w:r w:rsidRPr="009D33A5">
        <w:t xml:space="preserve"> AWL LCD and an antenna gain of 23.7 dBi in all directions. </w:t>
      </w:r>
    </w:p>
    <w:p w14:paraId="488D5E23" w14:textId="53CCCA6E" w:rsidR="002C2519" w:rsidRPr="009D33A5" w:rsidRDefault="002C2519" w:rsidP="009D33A5">
      <w:pPr>
        <w:pStyle w:val="ListParagraph"/>
        <w:numPr>
          <w:ilvl w:val="2"/>
          <w:numId w:val="110"/>
        </w:numPr>
      </w:pPr>
      <w:r w:rsidRPr="009D33A5">
        <w:t xml:space="preserve">Level of protection equal to </w:t>
      </w:r>
      <w:r w:rsidR="00116D6B" w:rsidRPr="009D33A5">
        <w:t>-</w:t>
      </w:r>
      <w:r w:rsidRPr="009D33A5">
        <w:t>128.6 dBm/MHz, which assumes a receiver noise temperature of 100K which is not to be exceeded for more than 20% of the time (as per TX RAG)</w:t>
      </w:r>
    </w:p>
    <w:p w14:paraId="72613DA7" w14:textId="77777777" w:rsidR="002C2519" w:rsidRPr="009D33A5" w:rsidRDefault="002C2519" w:rsidP="002C2519">
      <w:pPr>
        <w:pStyle w:val="ListParagraph"/>
        <w:ind w:left="1440"/>
        <w:rPr>
          <w:i/>
          <w:iCs/>
          <w:u w:val="single"/>
        </w:rPr>
      </w:pPr>
      <w:r w:rsidRPr="009D33A5">
        <w:rPr>
          <w:i/>
          <w:iCs/>
          <w:u w:val="single"/>
        </w:rPr>
        <w:t xml:space="preserve">Overload </w:t>
      </w:r>
    </w:p>
    <w:p w14:paraId="178720D0" w14:textId="4A45F60C" w:rsidR="002C2519" w:rsidRPr="009D33A5" w:rsidRDefault="008F76C0" w:rsidP="009D33A5">
      <w:pPr>
        <w:pStyle w:val="ListParagraph"/>
        <w:numPr>
          <w:ilvl w:val="1"/>
          <w:numId w:val="110"/>
        </w:numPr>
      </w:pPr>
      <w:r w:rsidRPr="009D33A5">
        <w:t xml:space="preserve">Calculate DB </w:t>
      </w:r>
      <w:r w:rsidR="0045691C" w:rsidRPr="009D33A5">
        <w:t xml:space="preserve">to check </w:t>
      </w:r>
      <w:r w:rsidRPr="009D33A5">
        <w:t xml:space="preserve">all </w:t>
      </w:r>
      <w:r w:rsidR="009C429A" w:rsidRPr="009D33A5">
        <w:t>existing AWL</w:t>
      </w:r>
      <w:r w:rsidR="00B47D3F" w:rsidRPr="009D33A5">
        <w:t>/SL</w:t>
      </w:r>
      <w:r w:rsidR="009C429A" w:rsidRPr="009D33A5">
        <w:t xml:space="preserve"> licence areas</w:t>
      </w:r>
      <w:r w:rsidRPr="009D33A5">
        <w:t xml:space="preserve"> within 100 km of the proposed earth station receiver assuming</w:t>
      </w:r>
      <w:r w:rsidR="002C2519" w:rsidRPr="009D33A5">
        <w:t xml:space="preserve">: </w:t>
      </w:r>
    </w:p>
    <w:p w14:paraId="2B1CCFC2" w14:textId="0B5B1D85" w:rsidR="00163A57" w:rsidRPr="009D33A5" w:rsidRDefault="00163A57" w:rsidP="008F76C0">
      <w:pPr>
        <w:pStyle w:val="ListParagraph"/>
        <w:numPr>
          <w:ilvl w:val="2"/>
          <w:numId w:val="110"/>
        </w:numPr>
      </w:pPr>
      <w:r w:rsidRPr="009D33A5">
        <w:t>Modifications detailed in (1) and (2) above.</w:t>
      </w:r>
    </w:p>
    <w:p w14:paraId="360289D4" w14:textId="78FD0432" w:rsidR="002C2519" w:rsidRPr="009D33A5" w:rsidRDefault="002C2519" w:rsidP="009D33A5">
      <w:pPr>
        <w:pStyle w:val="ListParagraph"/>
        <w:numPr>
          <w:ilvl w:val="2"/>
          <w:numId w:val="110"/>
        </w:numPr>
      </w:pPr>
      <w:r w:rsidRPr="009D33A5">
        <w:t>a notional AWL</w:t>
      </w:r>
      <w:r w:rsidR="00B47D3F" w:rsidRPr="009D33A5">
        <w:t>/SL</w:t>
      </w:r>
      <w:r w:rsidRPr="009D33A5">
        <w:t xml:space="preserve"> transmitter with an EIRP density of 61dBm/10 MHz</w:t>
      </w:r>
      <w:r w:rsidRPr="009D33A5">
        <w:rPr>
          <w:rStyle w:val="FootnoteReference"/>
        </w:rPr>
        <w:footnoteReference w:id="12"/>
      </w:r>
      <w:r w:rsidRPr="009D33A5">
        <w:t xml:space="preserve"> across the entire AWL</w:t>
      </w:r>
      <w:r w:rsidR="00B47D3F" w:rsidRPr="009D33A5">
        <w:t>/SL</w:t>
      </w:r>
      <w:r w:rsidRPr="009D33A5">
        <w:t xml:space="preserve"> licen</w:t>
      </w:r>
      <w:r w:rsidR="004170D9" w:rsidRPr="009D33A5">
        <w:t>s</w:t>
      </w:r>
      <w:r w:rsidRPr="009D33A5">
        <w:t>ed bandwidth in all directions.</w:t>
      </w:r>
    </w:p>
    <w:p w14:paraId="1A6E61AF" w14:textId="77777777" w:rsidR="002C2519" w:rsidRPr="009D33A5" w:rsidRDefault="002C2519" w:rsidP="009D33A5">
      <w:pPr>
        <w:pStyle w:val="ListParagraph"/>
        <w:numPr>
          <w:ilvl w:val="2"/>
          <w:numId w:val="110"/>
        </w:numPr>
      </w:pPr>
      <w:r w:rsidRPr="009D33A5">
        <w:t>Level of protection equal to -65 dBm (as per TX RAG).</w:t>
      </w:r>
    </w:p>
    <w:p w14:paraId="17A63DFC" w14:textId="1D96EA34" w:rsidR="002C2519" w:rsidRPr="009D33A5" w:rsidRDefault="002C2519" w:rsidP="009D33A5">
      <w:pPr>
        <w:pStyle w:val="ListParagraph"/>
        <w:numPr>
          <w:ilvl w:val="0"/>
          <w:numId w:val="110"/>
        </w:numPr>
      </w:pPr>
      <w:r w:rsidRPr="009D33A5">
        <w:t>If all parts of the DBs calculated in (3) above fall outside all existing AWL</w:t>
      </w:r>
      <w:r w:rsidR="00B47D3F" w:rsidRPr="009D33A5">
        <w:t>/SL</w:t>
      </w:r>
      <w:r w:rsidRPr="009D33A5">
        <w:t xml:space="preserve"> licence areas, the earth station is deemed to pass these criteria.  </w:t>
      </w:r>
    </w:p>
    <w:p w14:paraId="5FA4A3FE" w14:textId="3874E857" w:rsidR="002C2519" w:rsidRPr="009D33A5" w:rsidRDefault="002C2519" w:rsidP="009D33A5">
      <w:pPr>
        <w:pStyle w:val="ListParagraph"/>
        <w:numPr>
          <w:ilvl w:val="0"/>
          <w:numId w:val="110"/>
        </w:numPr>
      </w:pPr>
      <w:r w:rsidRPr="009D33A5">
        <w:t>If the DBs of the proposed earth</w:t>
      </w:r>
      <w:r w:rsidR="00BF1193" w:rsidRPr="009D33A5">
        <w:t xml:space="preserve"> station receiver</w:t>
      </w:r>
      <w:r w:rsidRPr="009D33A5">
        <w:t xml:space="preserve"> fail</w:t>
      </w:r>
      <w:r w:rsidR="00BF1193" w:rsidRPr="009D33A5">
        <w:t>s</w:t>
      </w:r>
      <w:r w:rsidRPr="009D33A5">
        <w:t xml:space="preserve"> the DB criteria, but the applicant can demonstrate additional mitigations, such as site shielding, will enable it to pass these criteria, the applicant can apply for an exemption from RALI MS47 on that basis.</w:t>
      </w:r>
    </w:p>
    <w:p w14:paraId="4A3430FF" w14:textId="6FB28FF6" w:rsidR="002C2519" w:rsidRPr="009D33A5" w:rsidRDefault="002C2519" w:rsidP="009D33A5">
      <w:pPr>
        <w:pStyle w:val="ListParagraph"/>
        <w:numPr>
          <w:ilvl w:val="0"/>
          <w:numId w:val="110"/>
        </w:numPr>
      </w:pPr>
      <w:r w:rsidRPr="009D33A5">
        <w:t>If the DBs of the proposed earth</w:t>
      </w:r>
      <w:r w:rsidR="00BF1193" w:rsidRPr="009D33A5">
        <w:t xml:space="preserve"> station receiver</w:t>
      </w:r>
      <w:r w:rsidRPr="009D33A5">
        <w:t xml:space="preserve"> fail</w:t>
      </w:r>
      <w:r w:rsidR="00BF1193" w:rsidRPr="009D33A5">
        <w:t>s</w:t>
      </w:r>
      <w:r w:rsidRPr="009D33A5">
        <w:t xml:space="preserve"> the DB criteria, but the applicant can come to an agreement with </w:t>
      </w:r>
      <w:proofErr w:type="gramStart"/>
      <w:r w:rsidR="00B2399B" w:rsidRPr="009D33A5">
        <w:t>all of</w:t>
      </w:r>
      <w:proofErr w:type="gramEnd"/>
      <w:r w:rsidR="00B2399B" w:rsidRPr="009D33A5">
        <w:t xml:space="preserve"> </w:t>
      </w:r>
      <w:r w:rsidRPr="009D33A5">
        <w:t>the relevant AWL</w:t>
      </w:r>
      <w:r w:rsidR="00B47D3F" w:rsidRPr="009D33A5">
        <w:t>/SL</w:t>
      </w:r>
      <w:r w:rsidRPr="009D33A5">
        <w:t xml:space="preserve"> licensee</w:t>
      </w:r>
      <w:r w:rsidR="00B2399B" w:rsidRPr="009D33A5">
        <w:t>/s</w:t>
      </w:r>
      <w:r w:rsidRPr="009D33A5">
        <w:t>, the applicant can apply for an exemption from RALI MS47 on that basis.</w:t>
      </w:r>
    </w:p>
    <w:p w14:paraId="75390499" w14:textId="77777777" w:rsidR="004B3DE7" w:rsidRPr="00F43C18" w:rsidRDefault="004B3DE7"/>
    <w:sectPr w:rsidR="004B3DE7" w:rsidRPr="00F43C18" w:rsidSect="00A629B5">
      <w:headerReference w:type="even" r:id="rId56"/>
      <w:headerReference w:type="default" r:id="rId57"/>
      <w:footerReference w:type="even" r:id="rId58"/>
      <w:type w:val="oddPage"/>
      <w:pgSz w:w="11906" w:h="16838" w:code="9"/>
      <w:pgMar w:top="1945" w:right="1134" w:bottom="1134" w:left="1134" w:header="284" w:footer="284" w:gutter="284"/>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FBCCC" w14:textId="77777777" w:rsidR="00307F17" w:rsidRDefault="00307F17">
      <w:r>
        <w:separator/>
      </w:r>
    </w:p>
  </w:endnote>
  <w:endnote w:type="continuationSeparator" w:id="0">
    <w:p w14:paraId="04CECEC0" w14:textId="77777777" w:rsidR="00307F17" w:rsidRDefault="00307F17">
      <w:r>
        <w:continuationSeparator/>
      </w:r>
    </w:p>
  </w:endnote>
  <w:endnote w:type="continuationNotice" w:id="1">
    <w:p w14:paraId="4628060A" w14:textId="77777777" w:rsidR="00307F17" w:rsidRDefault="00307F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NeueLT Std Lt">
    <w:altName w:val="Arial"/>
    <w:panose1 w:val="00000000000000000000"/>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31F63" w14:textId="36FF23E1" w:rsidR="007D5FED" w:rsidRPr="008311C9" w:rsidRDefault="007D5FED" w:rsidP="008311C9">
    <w:pPr>
      <w:pStyle w:val="Footer"/>
      <w:pBdr>
        <w:top w:val="single" w:sz="4" w:space="1" w:color="auto"/>
      </w:pBdr>
    </w:pPr>
    <w:r w:rsidRPr="008311C9">
      <w:fldChar w:fldCharType="begin"/>
    </w:r>
    <w:r w:rsidRPr="008311C9">
      <w:instrText xml:space="preserve"> REF rali_ID \h  \* MERGEFORMAT </w:instrText>
    </w:r>
    <w:r w:rsidRPr="008311C9">
      <w:fldChar w:fldCharType="separate"/>
    </w:r>
    <w:r w:rsidRPr="002B58E6">
      <w:t>RALI MS4</w:t>
    </w:r>
    <w:r w:rsidRPr="008311C9">
      <w:fldChar w:fldCharType="end"/>
    </w:r>
    <w:r w:rsidR="007F05A0">
      <w:t>7</w:t>
    </w:r>
    <w:r w:rsidRPr="008311C9">
      <w:tab/>
    </w:r>
    <w:proofErr w:type="spellStart"/>
    <w:r w:rsidRPr="008311C9">
      <w:rPr>
        <w:b/>
        <w:bCs/>
        <w:spacing w:val="-15"/>
        <w:sz w:val="20"/>
        <w:szCs w:val="32"/>
      </w:rPr>
      <w:t>acma</w:t>
    </w:r>
    <w:proofErr w:type="spellEnd"/>
    <w:r w:rsidRPr="008311C9">
      <w:t xml:space="preserve"> </w:t>
    </w:r>
    <w:r w:rsidRPr="007E6626">
      <w:rPr>
        <w:sz w:val="20"/>
        <w:szCs w:val="32"/>
      </w:rPr>
      <w:t>|</w:t>
    </w:r>
    <w:r w:rsidRPr="008311C9">
      <w:t xml:space="preserve"> </w:t>
    </w:r>
    <w:r w:rsidRPr="008311C9">
      <w:fldChar w:fldCharType="begin"/>
    </w:r>
    <w:r w:rsidRPr="008311C9">
      <w:instrText xml:space="preserve"> PAGE   \* MERGEFORMAT </w:instrText>
    </w:r>
    <w:r w:rsidRPr="008311C9">
      <w:fldChar w:fldCharType="separate"/>
    </w:r>
    <w:r w:rsidRPr="008311C9">
      <w:t>1</w:t>
    </w:r>
    <w:r w:rsidRPr="008311C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62C04" w14:textId="77777777" w:rsidR="007D5FED" w:rsidRPr="00554839" w:rsidRDefault="007D5FED" w:rsidP="005548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94CD8" w14:textId="20F7DF4E" w:rsidR="007D5FED" w:rsidRPr="00554839" w:rsidRDefault="007D5FED" w:rsidP="00554839">
    <w:pPr>
      <w:pStyle w:val="Footer"/>
      <w:pBdr>
        <w:top w:val="single" w:sz="4" w:space="1" w:color="auto"/>
      </w:pBdr>
    </w:pPr>
    <w:r w:rsidRPr="00554839">
      <w:fldChar w:fldCharType="begin"/>
    </w:r>
    <w:r w:rsidRPr="00554839">
      <w:instrText xml:space="preserve"> PAGE   \* MERGEFORMAT </w:instrText>
    </w:r>
    <w:r w:rsidRPr="00554839">
      <w:fldChar w:fldCharType="separate"/>
    </w:r>
    <w:r>
      <w:t>2</w:t>
    </w:r>
    <w:r w:rsidRPr="00554839">
      <w:fldChar w:fldCharType="end"/>
    </w:r>
    <w:r w:rsidRPr="00554839">
      <w:t xml:space="preserve"> </w:t>
    </w:r>
    <w:r w:rsidRPr="007E6626">
      <w:rPr>
        <w:sz w:val="20"/>
        <w:szCs w:val="32"/>
      </w:rPr>
      <w:t>|</w:t>
    </w:r>
    <w:r w:rsidRPr="00554839">
      <w:t xml:space="preserve"> </w:t>
    </w:r>
    <w:proofErr w:type="spellStart"/>
    <w:r w:rsidRPr="00554839">
      <w:rPr>
        <w:b/>
        <w:spacing w:val="-15"/>
        <w:sz w:val="20"/>
      </w:rPr>
      <w:t>acma</w:t>
    </w:r>
    <w:proofErr w:type="spellEnd"/>
    <w:r w:rsidRPr="00554839">
      <w:tab/>
    </w:r>
    <w:r w:rsidRPr="00554839">
      <w:fldChar w:fldCharType="begin"/>
    </w:r>
    <w:r w:rsidRPr="00554839">
      <w:instrText xml:space="preserve"> REF rali_ID \h  \* MERGEFORMAT </w:instrText>
    </w:r>
    <w:r w:rsidRPr="00554839">
      <w:fldChar w:fldCharType="separate"/>
    </w:r>
    <w:r w:rsidRPr="002B58E6">
      <w:t>RALI MS4</w:t>
    </w:r>
    <w:r w:rsidRPr="00554839">
      <w:fldChar w:fldCharType="end"/>
    </w:r>
    <w:r w:rsidR="007F05A0">
      <w:t>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0DE22" w14:textId="3DB6A220" w:rsidR="007D5FED" w:rsidRPr="00554839" w:rsidRDefault="007D5FED" w:rsidP="00554839">
    <w:pPr>
      <w:pStyle w:val="Footer"/>
      <w:pBdr>
        <w:top w:val="single" w:sz="4" w:space="1" w:color="auto"/>
      </w:pBdr>
    </w:pPr>
    <w:r w:rsidRPr="00554839">
      <w:fldChar w:fldCharType="begin"/>
    </w:r>
    <w:r w:rsidRPr="00554839">
      <w:instrText xml:space="preserve"> PAGE   \* MERGEFORMAT </w:instrText>
    </w:r>
    <w:r w:rsidRPr="00554839">
      <w:fldChar w:fldCharType="separate"/>
    </w:r>
    <w:r w:rsidRPr="00554839">
      <w:t>1</w:t>
    </w:r>
    <w:r w:rsidRPr="00554839">
      <w:fldChar w:fldCharType="end"/>
    </w:r>
    <w:r w:rsidRPr="00554839">
      <w:t xml:space="preserve"> </w:t>
    </w:r>
    <w:r w:rsidRPr="007E6626">
      <w:rPr>
        <w:sz w:val="20"/>
        <w:szCs w:val="32"/>
      </w:rPr>
      <w:t>|</w:t>
    </w:r>
    <w:r w:rsidRPr="00554839">
      <w:t xml:space="preserve"> </w:t>
    </w:r>
    <w:proofErr w:type="spellStart"/>
    <w:r w:rsidRPr="00554839">
      <w:rPr>
        <w:b/>
        <w:spacing w:val="-15"/>
        <w:sz w:val="20"/>
      </w:rPr>
      <w:t>acma</w:t>
    </w:r>
    <w:proofErr w:type="spellEnd"/>
    <w:r w:rsidRPr="00554839">
      <w:tab/>
    </w:r>
    <w:r w:rsidRPr="00554839">
      <w:fldChar w:fldCharType="begin"/>
    </w:r>
    <w:r w:rsidRPr="00554839">
      <w:instrText xml:space="preserve"> REF rali_ID \h  \* MERGEFORMAT </w:instrText>
    </w:r>
    <w:r w:rsidRPr="00554839">
      <w:fldChar w:fldCharType="separate"/>
    </w:r>
    <w:r w:rsidRPr="002B58E6">
      <w:t>RALI MS4</w:t>
    </w:r>
    <w:r w:rsidRPr="00554839">
      <w:fldChar w:fldCharType="end"/>
    </w:r>
    <w:r w:rsidR="007F05A0">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CF11A" w14:textId="77777777" w:rsidR="00307F17" w:rsidRDefault="00307F17">
      <w:r>
        <w:separator/>
      </w:r>
    </w:p>
  </w:footnote>
  <w:footnote w:type="continuationSeparator" w:id="0">
    <w:p w14:paraId="47607A20" w14:textId="77777777" w:rsidR="00307F17" w:rsidRDefault="00307F17">
      <w:r>
        <w:continuationSeparator/>
      </w:r>
    </w:p>
  </w:footnote>
  <w:footnote w:type="continuationNotice" w:id="1">
    <w:p w14:paraId="5AF1153A" w14:textId="77777777" w:rsidR="00307F17" w:rsidRDefault="00307F17">
      <w:pPr>
        <w:spacing w:after="0" w:line="240" w:lineRule="auto"/>
      </w:pPr>
    </w:p>
  </w:footnote>
  <w:footnote w:id="2">
    <w:p w14:paraId="24E5F9F1" w14:textId="77777777" w:rsidR="007D5FED" w:rsidRDefault="007D5FED" w:rsidP="0043648B">
      <w:pPr>
        <w:pStyle w:val="FootnoteText"/>
      </w:pPr>
      <w:r>
        <w:rPr>
          <w:rStyle w:val="FootnoteReference"/>
        </w:rPr>
        <w:footnoteRef/>
      </w:r>
      <w:r>
        <w:t xml:space="preserve"> The AWL LCD and all other legislative instruments referred to in this RALI may be accessed, free of charge, on the Federal Register of Legislation at </w:t>
      </w:r>
      <w:hyperlink r:id="rId1" w:history="1">
        <w:r>
          <w:rPr>
            <w:rStyle w:val="Hyperlink"/>
          </w:rPr>
          <w:t>www.legislation.gov.au</w:t>
        </w:r>
      </w:hyperlink>
      <w:r>
        <w:t>.</w:t>
      </w:r>
    </w:p>
  </w:footnote>
  <w:footnote w:id="3">
    <w:p w14:paraId="73D6A49B" w14:textId="2600259A" w:rsidR="007D5FED" w:rsidRDefault="007D5FED" w:rsidP="00BB3E0A">
      <w:pPr>
        <w:pStyle w:val="FootnoteText"/>
      </w:pPr>
      <w:r>
        <w:rPr>
          <w:rStyle w:val="FootnoteReference"/>
        </w:rPr>
        <w:footnoteRef/>
      </w:r>
      <w:r>
        <w:t xml:space="preserve"> Available on the </w:t>
      </w:r>
      <w:hyperlink r:id="rId2" w:history="1">
        <w:r w:rsidRPr="002721F9">
          <w:rPr>
            <w:rStyle w:val="Hyperlink"/>
          </w:rPr>
          <w:t>ACMA website</w:t>
        </w:r>
      </w:hyperlink>
      <w:r>
        <w:t>.</w:t>
      </w:r>
    </w:p>
  </w:footnote>
  <w:footnote w:id="4">
    <w:p w14:paraId="0B36E63C" w14:textId="77777777" w:rsidR="007D5FED" w:rsidRPr="00B665EA" w:rsidRDefault="007D5FED" w:rsidP="00D6648A">
      <w:pPr>
        <w:pStyle w:val="FootnoteText"/>
        <w:rPr>
          <w:i/>
          <w:iCs/>
        </w:rPr>
      </w:pPr>
      <w:r>
        <w:rPr>
          <w:rStyle w:val="FootnoteReference"/>
        </w:rPr>
        <w:footnoteRef/>
      </w:r>
      <w:r>
        <w:t xml:space="preserve"> An example of a suitable propagation model is that set out in section 4.5.2 of ITU-R Recommendation P.526-14 </w:t>
      </w:r>
      <w:r>
        <w:rPr>
          <w:i/>
          <w:iCs/>
        </w:rPr>
        <w:t>Propagation by diffraction.</w:t>
      </w:r>
    </w:p>
  </w:footnote>
  <w:footnote w:id="5">
    <w:p w14:paraId="0F0BFC4C" w14:textId="6DADCAD3" w:rsidR="00E770E7" w:rsidRDefault="00E770E7">
      <w:pPr>
        <w:pStyle w:val="FootnoteText"/>
      </w:pPr>
      <w:r>
        <w:rPr>
          <w:rStyle w:val="FootnoteReference"/>
        </w:rPr>
        <w:footnoteRef/>
      </w:r>
      <w:r>
        <w:t xml:space="preserve"> As earth receive stations cannot be operated under an AWL, they are not to be registered in the RRL.</w:t>
      </w:r>
    </w:p>
  </w:footnote>
  <w:footnote w:id="6">
    <w:p w14:paraId="0827FC9E" w14:textId="35B757A8" w:rsidR="00570609" w:rsidRDefault="00570609">
      <w:pPr>
        <w:pStyle w:val="FootnoteText"/>
      </w:pPr>
      <w:r>
        <w:rPr>
          <w:rStyle w:val="FootnoteReference"/>
        </w:rPr>
        <w:footnoteRef/>
      </w:r>
      <w:r>
        <w:t xml:space="preserve"> It is expected that receivers that are not registered will comply with the limits in Tables 3 and 4, for frequencies outside the 3295-4105 MHz frequency range. The ACMA will </w:t>
      </w:r>
      <w:proofErr w:type="gramStart"/>
      <w:r>
        <w:t>take into account</w:t>
      </w:r>
      <w:proofErr w:type="gramEnd"/>
      <w:r>
        <w:t xml:space="preserve"> these limits when </w:t>
      </w:r>
      <w:r w:rsidR="00440C5D">
        <w:t xml:space="preserve">dealing with </w:t>
      </w:r>
      <w:r>
        <w:t xml:space="preserve">interference complaints. </w:t>
      </w:r>
    </w:p>
  </w:footnote>
  <w:footnote w:id="7">
    <w:p w14:paraId="5B99D568" w14:textId="199A07E3" w:rsidR="007D5FED" w:rsidRDefault="007D5FED">
      <w:pPr>
        <w:pStyle w:val="FootnoteText"/>
      </w:pPr>
      <w:r>
        <w:rPr>
          <w:rStyle w:val="FootnoteReference"/>
        </w:rPr>
        <w:footnoteRef/>
      </w:r>
      <w:r>
        <w:t xml:space="preserve"> </w:t>
      </w:r>
      <w:r w:rsidRPr="00C34869">
        <w:t xml:space="preserve">Refer to </w:t>
      </w:r>
      <w:r w:rsidRPr="006130BC">
        <w:t xml:space="preserve">Appendix </w:t>
      </w:r>
      <w:r w:rsidR="00F350F1">
        <w:t>E</w:t>
      </w:r>
      <w:r w:rsidR="00F350F1" w:rsidRPr="00C34869">
        <w:t xml:space="preserve"> </w:t>
      </w:r>
      <w:r w:rsidRPr="00C34869">
        <w:t>for details o</w:t>
      </w:r>
      <w:r>
        <w:t>f</w:t>
      </w:r>
      <w:r w:rsidRPr="00C34869">
        <w:t xml:space="preserve"> the notification requirements.</w:t>
      </w:r>
    </w:p>
  </w:footnote>
  <w:footnote w:id="8">
    <w:p w14:paraId="3B9CA35B" w14:textId="781F9EAC" w:rsidR="007D5FED" w:rsidRDefault="007D5FED">
      <w:pPr>
        <w:pStyle w:val="FootnoteText"/>
      </w:pPr>
      <w:r w:rsidRPr="00EE766D">
        <w:rPr>
          <w:rStyle w:val="FootnoteReference"/>
        </w:rPr>
        <w:footnoteRef/>
      </w:r>
      <w:r w:rsidRPr="00EE766D">
        <w:t xml:space="preserve"> Refer to Appendix </w:t>
      </w:r>
      <w:r w:rsidR="00F350F1">
        <w:t>E</w:t>
      </w:r>
      <w:r w:rsidR="00F350F1" w:rsidRPr="00EE766D">
        <w:t xml:space="preserve"> </w:t>
      </w:r>
      <w:r w:rsidRPr="00EE766D">
        <w:t>for details of the notification requirements.</w:t>
      </w:r>
    </w:p>
  </w:footnote>
  <w:footnote w:id="9">
    <w:p w14:paraId="5FA78B18" w14:textId="2228FACD" w:rsidR="007D5FED" w:rsidRDefault="007D5FED">
      <w:pPr>
        <w:pStyle w:val="FootnoteText"/>
      </w:pPr>
      <w:r>
        <w:rPr>
          <w:rStyle w:val="FootnoteReference"/>
        </w:rPr>
        <w:footnoteRef/>
      </w:r>
      <w:r>
        <w:t xml:space="preserve"> </w:t>
      </w:r>
      <w:r w:rsidRPr="00DD06D7">
        <w:t xml:space="preserve">The level –103 dBm/MHz is the reference sensitivity for which throughput meets or exceeds the minimum requirements for </w:t>
      </w:r>
      <w:r w:rsidR="00283372">
        <w:t>CPE</w:t>
      </w:r>
      <w:r w:rsidRPr="00DD06D7">
        <w:t xml:space="preserve"> operating in the 3400–3600 MHz band as specified in the 3GPP document TS 36.101.</w:t>
      </w:r>
    </w:p>
  </w:footnote>
  <w:footnote w:id="10">
    <w:p w14:paraId="03614EC9" w14:textId="77777777" w:rsidR="0097284F" w:rsidRDefault="0097284F" w:rsidP="0097284F">
      <w:pPr>
        <w:pStyle w:val="FootnoteText"/>
      </w:pPr>
      <w:r>
        <w:rPr>
          <w:rStyle w:val="FootnoteReference"/>
        </w:rPr>
        <w:footnoteRef/>
      </w:r>
      <w:r>
        <w:t xml:space="preserve"> </w:t>
      </w:r>
      <w:r w:rsidRPr="00DD06D7">
        <w:t xml:space="preserve">The parameter </w:t>
      </w:r>
      <w:r w:rsidRPr="00DD06D7">
        <w:rPr>
          <w:i/>
          <w:iCs/>
        </w:rPr>
        <w:t>p</w:t>
      </w:r>
      <w:r w:rsidRPr="00DD06D7">
        <w:t xml:space="preserve"> is the required time percentage for which the calculated basic transmission loss is not exceeded.</w:t>
      </w:r>
    </w:p>
  </w:footnote>
  <w:footnote w:id="11">
    <w:p w14:paraId="15885C9B" w14:textId="77777777" w:rsidR="002C2519" w:rsidRDefault="002C2519" w:rsidP="002C2519">
      <w:pPr>
        <w:pStyle w:val="FootnoteText"/>
      </w:pPr>
      <w:r>
        <w:rPr>
          <w:rStyle w:val="FootnoteReference"/>
        </w:rPr>
        <w:footnoteRef/>
      </w:r>
      <w:r>
        <w:t xml:space="preserve"> Based on ITU-R M.2292 rural macro &lt; 3GHz or macro suburban 3-6 GHz, no activity or loading factors or downtilt</w:t>
      </w:r>
    </w:p>
  </w:footnote>
  <w:footnote w:id="12">
    <w:p w14:paraId="2B555105" w14:textId="77777777" w:rsidR="002C2519" w:rsidRDefault="002C2519" w:rsidP="002C2519">
      <w:pPr>
        <w:pStyle w:val="FootnoteText"/>
      </w:pPr>
      <w:r>
        <w:rPr>
          <w:rStyle w:val="FootnoteReference"/>
        </w:rPr>
        <w:footnoteRef/>
      </w:r>
      <w:r>
        <w:t xml:space="preserve"> Based on ITU-R M.2292 rural macro &lt; 3GHz or macro suburban 3-6 GHz, no activity or loading factors or downtilt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FD377" w14:textId="77777777" w:rsidR="007D5FED" w:rsidRDefault="000142D3" w:rsidP="00A07457">
    <w:pPr>
      <w:pStyle w:val="Header"/>
      <w:tabs>
        <w:tab w:val="left" w:pos="1560"/>
      </w:tabs>
    </w:pPr>
    <w:r w:rsidRPr="0049305D">
      <w:rPr>
        <w:noProof/>
      </w:rPr>
      <w:drawing>
        <wp:anchor distT="0" distB="0" distL="114300" distR="114300" simplePos="0" relativeHeight="251658240" behindDoc="1" locked="0" layoutInCell="1" allowOverlap="1" wp14:anchorId="38DE956A" wp14:editId="4E16D0D5">
          <wp:simplePos x="0" y="0"/>
          <wp:positionH relativeFrom="page">
            <wp:align>right</wp:align>
          </wp:positionH>
          <wp:positionV relativeFrom="paragraph">
            <wp:posOffset>-10160</wp:posOffset>
          </wp:positionV>
          <wp:extent cx="7556500" cy="647700"/>
          <wp:effectExtent l="0" t="0" r="0" b="0"/>
          <wp:wrapNone/>
          <wp:docPr id="4" name="Picture 4" descr="Australian Communications and Media Authority&#10;www.acma.gov.au" title="Australian Communications and Media Authority logo, Government crest and web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MA_Logo_RGB_63mmwide.jpg"/>
                  <pic:cNvPicPr/>
                </pic:nvPicPr>
                <pic:blipFill>
                  <a:blip r:embed="rId1">
                    <a:extLst>
                      <a:ext uri="{28A0092B-C50C-407E-A947-70E740481C1C}">
                        <a14:useLocalDpi xmlns:a14="http://schemas.microsoft.com/office/drawing/2010/main" val="0"/>
                      </a:ext>
                    </a:extLst>
                  </a:blip>
                  <a:stretch>
                    <a:fillRect/>
                  </a:stretch>
                </pic:blipFill>
                <pic:spPr>
                  <a:xfrm>
                    <a:off x="0" y="0"/>
                    <a:ext cx="7556500" cy="647700"/>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0E071B8" w14:textId="77777777" w:rsidR="007D5FED" w:rsidRDefault="007D5F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30C12" w14:textId="77777777" w:rsidR="007D5FED" w:rsidRDefault="007D5F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B5BB6" w14:textId="77777777" w:rsidR="007D5FED" w:rsidRDefault="007D5F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C2A56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D0E5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94D3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3632DA"/>
    <w:lvl w:ilvl="0">
      <w:start w:val="1"/>
      <w:numFmt w:val="decimal"/>
      <w:pStyle w:val="ListNumber2"/>
      <w:lvlText w:val="%1."/>
      <w:lvlJc w:val="left"/>
      <w:pPr>
        <w:ind w:left="360" w:hanging="360"/>
      </w:pPr>
      <w:rPr>
        <w:rFonts w:hint="default"/>
      </w:rPr>
    </w:lvl>
  </w:abstractNum>
  <w:abstractNum w:abstractNumId="4" w15:restartNumberingAfterBreak="0">
    <w:nsid w:val="FFFFFF80"/>
    <w:multiLevelType w:val="singleLevel"/>
    <w:tmpl w:val="FD34769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C347A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2613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8" w15:restartNumberingAfterBreak="0">
    <w:nsid w:val="FFFFFF88"/>
    <w:multiLevelType w:val="singleLevel"/>
    <w:tmpl w:val="34367B10"/>
    <w:lvl w:ilvl="0">
      <w:start w:val="1"/>
      <w:numFmt w:val="decimal"/>
      <w:pStyle w:val="ListNumber"/>
      <w:lvlText w:val="%1."/>
      <w:lvlJc w:val="left"/>
      <w:pPr>
        <w:ind w:left="360" w:hanging="360"/>
      </w:pPr>
      <w:rPr>
        <w:rFonts w:hint="default"/>
        <w:caps/>
        <w:sz w:val="20"/>
      </w:rPr>
    </w:lvl>
  </w:abstractNum>
  <w:abstractNum w:abstractNumId="9" w15:restartNumberingAfterBreak="0">
    <w:nsid w:val="FFFFFF89"/>
    <w:multiLevelType w:val="singleLevel"/>
    <w:tmpl w:val="4BB6D87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10" w15:restartNumberingAfterBreak="0">
    <w:nsid w:val="01BF3C9C"/>
    <w:multiLevelType w:val="hybridMultilevel"/>
    <w:tmpl w:val="550C3BF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49A2A19"/>
    <w:multiLevelType w:val="hybridMultilevel"/>
    <w:tmpl w:val="5BD0B9D2"/>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05B77BCB"/>
    <w:multiLevelType w:val="hybridMultilevel"/>
    <w:tmpl w:val="CC7E9D3A"/>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06383AC9"/>
    <w:multiLevelType w:val="hybridMultilevel"/>
    <w:tmpl w:val="00BC82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08F3712A"/>
    <w:multiLevelType w:val="multilevel"/>
    <w:tmpl w:val="CB3C41B2"/>
    <w:lvl w:ilvl="0">
      <w:start w:val="1"/>
      <w:numFmt w:val="upperLetter"/>
      <w:pStyle w:val="AppendixH1"/>
      <w:lvlText w:val="Appendix %1:"/>
      <w:lvlJc w:val="left"/>
      <w:pPr>
        <w:ind w:left="0" w:firstLine="0"/>
      </w:pPr>
      <w:rPr>
        <w:rFonts w:hint="default"/>
        <w:b w:val="0"/>
        <w:bCs w:val="0"/>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tabs>
          <w:tab w:val="num" w:pos="680"/>
        </w:tabs>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5" w15:restartNumberingAfterBreak="0">
    <w:nsid w:val="0FDA5911"/>
    <w:multiLevelType w:val="hybridMultilevel"/>
    <w:tmpl w:val="2FD08A80"/>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A01596F"/>
    <w:multiLevelType w:val="hybridMultilevel"/>
    <w:tmpl w:val="64A4826A"/>
    <w:lvl w:ilvl="0" w:tplc="0C090017">
      <w:start w:val="1"/>
      <w:numFmt w:val="lowerLetter"/>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17" w15:restartNumberingAfterBreak="0">
    <w:nsid w:val="1D0049F0"/>
    <w:multiLevelType w:val="hybridMultilevel"/>
    <w:tmpl w:val="458ECF0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1D6D288C"/>
    <w:multiLevelType w:val="hybridMultilevel"/>
    <w:tmpl w:val="54302A6A"/>
    <w:lvl w:ilvl="0" w:tplc="857AFC8A">
      <w:start w:val="1"/>
      <w:numFmt w:val="decimal"/>
      <w:pStyle w:val="AppendixH2"/>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1FB75664"/>
    <w:multiLevelType w:val="hybridMultilevel"/>
    <w:tmpl w:val="DB721FCA"/>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20710A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1" w15:restartNumberingAfterBreak="0">
    <w:nsid w:val="223B78EE"/>
    <w:multiLevelType w:val="singleLevel"/>
    <w:tmpl w:val="79A2A320"/>
    <w:lvl w:ilvl="0">
      <w:start w:val="1"/>
      <w:numFmt w:val="lowerLetter"/>
      <w:lvlText w:val="(%1)"/>
      <w:legacy w:legacy="1" w:legacySpace="0" w:legacyIndent="567"/>
      <w:lvlJc w:val="left"/>
      <w:pPr>
        <w:ind w:left="1134" w:hanging="567"/>
      </w:pPr>
    </w:lvl>
  </w:abstractNum>
  <w:abstractNum w:abstractNumId="22" w15:restartNumberingAfterBreak="0">
    <w:nsid w:val="25E50EBD"/>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94B67B9"/>
    <w:multiLevelType w:val="hybridMultilevel"/>
    <w:tmpl w:val="F468039C"/>
    <w:lvl w:ilvl="0" w:tplc="0C090005">
      <w:start w:val="1"/>
      <w:numFmt w:val="bullet"/>
      <w:lvlText w:val=""/>
      <w:lvlJc w:val="left"/>
      <w:pPr>
        <w:ind w:left="1004" w:hanging="360"/>
      </w:pPr>
      <w:rPr>
        <w:rFonts w:ascii="Wingdings" w:hAnsi="Wingdings"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4" w15:restartNumberingAfterBreak="0">
    <w:nsid w:val="2A5B142B"/>
    <w:multiLevelType w:val="hybridMultilevel"/>
    <w:tmpl w:val="F2B013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BA214FB"/>
    <w:multiLevelType w:val="hybridMultilevel"/>
    <w:tmpl w:val="33CC6778"/>
    <w:lvl w:ilvl="0" w:tplc="73FC0120">
      <w:start w:val="1"/>
      <w:numFmt w:val="decimal"/>
      <w:lvlText w:val="%1."/>
      <w:lvlJc w:val="left"/>
      <w:pPr>
        <w:ind w:left="340" w:hanging="340"/>
      </w:pPr>
      <w:rPr>
        <w:rFonts w:hint="default"/>
      </w:rPr>
    </w:lvl>
    <w:lvl w:ilvl="1" w:tplc="07B4E350">
      <w:start w:val="1"/>
      <w:numFmt w:val="lowerLetter"/>
      <w:lvlText w:val="%2."/>
      <w:lvlJc w:val="left"/>
      <w:pPr>
        <w:ind w:left="794"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2981D74"/>
    <w:multiLevelType w:val="hybridMultilevel"/>
    <w:tmpl w:val="18AAA6FC"/>
    <w:lvl w:ilvl="0" w:tplc="0C090019">
      <w:start w:val="1"/>
      <w:numFmt w:val="lowerLetter"/>
      <w:lvlText w:val="%1."/>
      <w:lvlJc w:val="left"/>
      <w:pPr>
        <w:ind w:left="360" w:hanging="360"/>
      </w:p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36EA633B"/>
    <w:multiLevelType w:val="hybridMultilevel"/>
    <w:tmpl w:val="327E9A1A"/>
    <w:lvl w:ilvl="0" w:tplc="0C090017">
      <w:start w:val="1"/>
      <w:numFmt w:val="lowerLetter"/>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28" w15:restartNumberingAfterBreak="0">
    <w:nsid w:val="37086907"/>
    <w:multiLevelType w:val="multilevel"/>
    <w:tmpl w:val="5C382F8A"/>
    <w:lvl w:ilvl="0">
      <w:start w:val="1"/>
      <w:numFmt w:val="decimal"/>
      <w:pStyle w:val="Partheading"/>
      <w:suff w:val="space"/>
      <w:lvlText w:val="Part %1:"/>
      <w:lvlJc w:val="left"/>
      <w:pPr>
        <w:ind w:left="0" w:firstLine="0"/>
      </w:pPr>
      <w:rPr>
        <w:rFonts w:hint="default"/>
      </w:rPr>
    </w:lvl>
    <w:lvl w:ilvl="1">
      <w:start w:val="1"/>
      <w:numFmt w:val="decimal"/>
      <w:pStyle w:val="Numberedheading"/>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37932EF3"/>
    <w:multiLevelType w:val="hybridMultilevel"/>
    <w:tmpl w:val="AC667B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3BD9414B"/>
    <w:multiLevelType w:val="hybridMultilevel"/>
    <w:tmpl w:val="3BC68FB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00E25FB"/>
    <w:multiLevelType w:val="hybridMultilevel"/>
    <w:tmpl w:val="7FAC6DE4"/>
    <w:lvl w:ilvl="0" w:tplc="55F2986E">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41B915F4"/>
    <w:multiLevelType w:val="multilevel"/>
    <w:tmpl w:val="86584D94"/>
    <w:lvl w:ilvl="0">
      <w:start w:val="1"/>
      <w:numFmt w:val="decimal"/>
      <w:pStyle w:val="Heading1"/>
      <w:lvlText w:val="%1"/>
      <w:lvlJc w:val="left"/>
      <w:pPr>
        <w:ind w:left="431" w:hanging="431"/>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535" w:hanging="431"/>
      </w:pPr>
      <w:rPr>
        <w:rFonts w:hint="default"/>
      </w:rPr>
    </w:lvl>
    <w:lvl w:ilvl="2">
      <w:start w:val="1"/>
      <w:numFmt w:val="decimal"/>
      <w:pStyle w:val="Heading3"/>
      <w:lvlText w:val="%1.%2.%3"/>
      <w:lvlJc w:val="left"/>
      <w:pPr>
        <w:ind w:left="6101" w:hanging="431"/>
      </w:pPr>
      <w:rPr>
        <w:rFonts w:hint="default"/>
      </w:rPr>
    </w:lvl>
    <w:lvl w:ilvl="3">
      <w:start w:val="1"/>
      <w:numFmt w:val="decimal"/>
      <w:lvlText w:val="%1.%2.%3.%4"/>
      <w:lvlJc w:val="left"/>
      <w:pPr>
        <w:ind w:left="431" w:hanging="431"/>
      </w:pPr>
      <w:rPr>
        <w:rFonts w:hint="default"/>
      </w:rPr>
    </w:lvl>
    <w:lvl w:ilvl="4">
      <w:start w:val="1"/>
      <w:numFmt w:val="decimal"/>
      <w:pStyle w:val="Heading5"/>
      <w:lvlText w:val="%1.%2.%3.%4.%5"/>
      <w:lvlJc w:val="left"/>
      <w:pPr>
        <w:ind w:left="431" w:hanging="431"/>
      </w:pPr>
      <w:rPr>
        <w:rFonts w:hint="default"/>
      </w:rPr>
    </w:lvl>
    <w:lvl w:ilvl="5">
      <w:start w:val="1"/>
      <w:numFmt w:val="decimal"/>
      <w:pStyle w:val="Heading6"/>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33" w15:restartNumberingAfterBreak="0">
    <w:nsid w:val="48C4471D"/>
    <w:multiLevelType w:val="hybridMultilevel"/>
    <w:tmpl w:val="AE741252"/>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4D5F057E"/>
    <w:multiLevelType w:val="hybridMultilevel"/>
    <w:tmpl w:val="E1588772"/>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54B20AEA"/>
    <w:multiLevelType w:val="hybridMultilevel"/>
    <w:tmpl w:val="C6346E8E"/>
    <w:lvl w:ilvl="0" w:tplc="55F2986E">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55AA21F0"/>
    <w:multiLevelType w:val="hybridMultilevel"/>
    <w:tmpl w:val="4DDA0712"/>
    <w:lvl w:ilvl="0" w:tplc="59A6BED4">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CF5299"/>
    <w:multiLevelType w:val="hybridMultilevel"/>
    <w:tmpl w:val="F46673C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5FF462E9"/>
    <w:multiLevelType w:val="hybridMultilevel"/>
    <w:tmpl w:val="72B4E1E0"/>
    <w:lvl w:ilvl="0" w:tplc="A7D64DCA">
      <w:start w:val="1"/>
      <w:numFmt w:val="decimal"/>
      <w:lvlText w:val="%1."/>
      <w:lvlJc w:val="left"/>
      <w:pPr>
        <w:ind w:left="340" w:hanging="340"/>
      </w:pPr>
      <w:rPr>
        <w:rFonts w:hint="default"/>
      </w:rPr>
    </w:lvl>
    <w:lvl w:ilvl="1" w:tplc="38A2EA80">
      <w:start w:val="1"/>
      <w:numFmt w:val="lowerLetter"/>
      <w:lvlText w:val="%2."/>
      <w:lvlJc w:val="left"/>
      <w:pPr>
        <w:ind w:left="794" w:hanging="340"/>
      </w:pPr>
      <w:rPr>
        <w:rFonts w:hint="default"/>
      </w:rPr>
    </w:lvl>
    <w:lvl w:ilvl="2" w:tplc="A4B2AD94">
      <w:start w:val="1"/>
      <w:numFmt w:val="lowerRoman"/>
      <w:lvlText w:val="%3."/>
      <w:lvlJc w:val="right"/>
      <w:pPr>
        <w:ind w:left="1247" w:hanging="34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16F1AD3"/>
    <w:multiLevelType w:val="multilevel"/>
    <w:tmpl w:val="FEA0D362"/>
    <w:lvl w:ilvl="0">
      <w:start w:val="1"/>
      <w:numFmt w:val="decimal"/>
      <w:lvlText w:val="%1."/>
      <w:lvlJc w:val="left"/>
      <w:pPr>
        <w:ind w:left="0" w:hanging="567"/>
      </w:pPr>
      <w:rPr>
        <w:rFonts w:hint="default"/>
      </w:rPr>
    </w:lvl>
    <w:lvl w:ilvl="1">
      <w:start w:val="1"/>
      <w:numFmt w:val="decimal"/>
      <w:lvlText w:val="%1.%2"/>
      <w:lvlJc w:val="left"/>
      <w:pPr>
        <w:tabs>
          <w:tab w:val="num" w:pos="567"/>
        </w:tabs>
        <w:ind w:left="0" w:hanging="567"/>
      </w:pPr>
      <w:rPr>
        <w:rFonts w:hint="default"/>
        <w:b w:val="0"/>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4101303"/>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5071478"/>
    <w:multiLevelType w:val="hybridMultilevel"/>
    <w:tmpl w:val="680E522C"/>
    <w:lvl w:ilvl="0" w:tplc="30580B3C">
      <w:start w:val="1"/>
      <w:numFmt w:val="decimal"/>
      <w:pStyle w:val="ACMAFigureHeader"/>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285F2E"/>
    <w:multiLevelType w:val="hybridMultilevel"/>
    <w:tmpl w:val="4044D324"/>
    <w:lvl w:ilvl="0" w:tplc="0C090007">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D757AE6"/>
    <w:multiLevelType w:val="hybridMultilevel"/>
    <w:tmpl w:val="4BAEE1E2"/>
    <w:lvl w:ilvl="0" w:tplc="0DA4929C">
      <w:start w:val="1"/>
      <w:numFmt w:val="decimal"/>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645E16"/>
    <w:multiLevelType w:val="hybridMultilevel"/>
    <w:tmpl w:val="CC7E9D3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4430030"/>
    <w:multiLevelType w:val="hybridMultilevel"/>
    <w:tmpl w:val="1E3E82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5D130D3"/>
    <w:multiLevelType w:val="hybridMultilevel"/>
    <w:tmpl w:val="458ECF0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76EC18EF"/>
    <w:multiLevelType w:val="hybridMultilevel"/>
    <w:tmpl w:val="88D4C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8" w15:restartNumberingAfterBreak="0">
    <w:nsid w:val="7B7519E8"/>
    <w:multiLevelType w:val="hybridMultilevel"/>
    <w:tmpl w:val="B8EE236C"/>
    <w:lvl w:ilvl="0" w:tplc="542EFA4C">
      <w:start w:val="1"/>
      <w:numFmt w:val="decimal"/>
      <w:lvlText w:val="(%1)"/>
      <w:lvlJc w:val="left"/>
      <w:pPr>
        <w:ind w:left="2463" w:hanging="360"/>
      </w:pPr>
      <w:rPr>
        <w:rFonts w:hint="default"/>
        <w:sz w:val="24"/>
        <w:szCs w:val="24"/>
      </w:rPr>
    </w:lvl>
    <w:lvl w:ilvl="1" w:tplc="4412C9FA">
      <w:start w:val="1"/>
      <w:numFmt w:val="lowerLetter"/>
      <w:lvlText w:val="(%2)"/>
      <w:lvlJc w:val="left"/>
      <w:pPr>
        <w:ind w:left="3183" w:hanging="360"/>
      </w:pPr>
      <w:rPr>
        <w:rFonts w:hint="default"/>
      </w:rPr>
    </w:lvl>
    <w:lvl w:ilvl="2" w:tplc="0C09001B" w:tentative="1">
      <w:start w:val="1"/>
      <w:numFmt w:val="lowerRoman"/>
      <w:lvlText w:val="%3."/>
      <w:lvlJc w:val="right"/>
      <w:pPr>
        <w:ind w:left="3903" w:hanging="180"/>
      </w:pPr>
    </w:lvl>
    <w:lvl w:ilvl="3" w:tplc="0C09000F" w:tentative="1">
      <w:start w:val="1"/>
      <w:numFmt w:val="decimal"/>
      <w:lvlText w:val="%4."/>
      <w:lvlJc w:val="left"/>
      <w:pPr>
        <w:ind w:left="4623" w:hanging="360"/>
      </w:pPr>
    </w:lvl>
    <w:lvl w:ilvl="4" w:tplc="0C090019" w:tentative="1">
      <w:start w:val="1"/>
      <w:numFmt w:val="lowerLetter"/>
      <w:lvlText w:val="%5."/>
      <w:lvlJc w:val="left"/>
      <w:pPr>
        <w:ind w:left="5343" w:hanging="360"/>
      </w:pPr>
    </w:lvl>
    <w:lvl w:ilvl="5" w:tplc="0C09001B" w:tentative="1">
      <w:start w:val="1"/>
      <w:numFmt w:val="lowerRoman"/>
      <w:lvlText w:val="%6."/>
      <w:lvlJc w:val="right"/>
      <w:pPr>
        <w:ind w:left="6063" w:hanging="180"/>
      </w:pPr>
    </w:lvl>
    <w:lvl w:ilvl="6" w:tplc="0C09000F" w:tentative="1">
      <w:start w:val="1"/>
      <w:numFmt w:val="decimal"/>
      <w:lvlText w:val="%7."/>
      <w:lvlJc w:val="left"/>
      <w:pPr>
        <w:ind w:left="6783" w:hanging="360"/>
      </w:pPr>
    </w:lvl>
    <w:lvl w:ilvl="7" w:tplc="0C090019" w:tentative="1">
      <w:start w:val="1"/>
      <w:numFmt w:val="lowerLetter"/>
      <w:lvlText w:val="%8."/>
      <w:lvlJc w:val="left"/>
      <w:pPr>
        <w:ind w:left="7503" w:hanging="360"/>
      </w:pPr>
    </w:lvl>
    <w:lvl w:ilvl="8" w:tplc="0C09001B" w:tentative="1">
      <w:start w:val="1"/>
      <w:numFmt w:val="lowerRoman"/>
      <w:lvlText w:val="%9."/>
      <w:lvlJc w:val="right"/>
      <w:pPr>
        <w:ind w:left="8223" w:hanging="180"/>
      </w:pPr>
    </w:lvl>
  </w:abstractNum>
  <w:abstractNum w:abstractNumId="49" w15:restartNumberingAfterBreak="0">
    <w:nsid w:val="7C226557"/>
    <w:multiLevelType w:val="hybridMultilevel"/>
    <w:tmpl w:val="E8AEF0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7C2E3CFF"/>
    <w:multiLevelType w:val="hybridMultilevel"/>
    <w:tmpl w:val="C7161FE2"/>
    <w:lvl w:ilvl="0" w:tplc="1F182A6C">
      <w:start w:val="1"/>
      <w:numFmt w:val="lowerLetter"/>
      <w:lvlText w:val="%1."/>
      <w:lvlJc w:val="left"/>
      <w:pPr>
        <w:ind w:left="794"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7"/>
  </w:num>
  <w:num w:numId="3">
    <w:abstractNumId w:val="8"/>
  </w:num>
  <w:num w:numId="4">
    <w:abstractNumId w:val="3"/>
  </w:num>
  <w:num w:numId="5">
    <w:abstractNumId w:val="41"/>
  </w:num>
  <w:num w:numId="6">
    <w:abstractNumId w:val="36"/>
  </w:num>
  <w:num w:numId="7">
    <w:abstractNumId w:val="28"/>
  </w:num>
  <w:num w:numId="8">
    <w:abstractNumId w:val="32"/>
  </w:num>
  <w:num w:numId="9">
    <w:abstractNumId w:val="38"/>
  </w:num>
  <w:num w:numId="10">
    <w:abstractNumId w:val="25"/>
  </w:num>
  <w:num w:numId="11">
    <w:abstractNumId w:val="50"/>
  </w:num>
  <w:num w:numId="12">
    <w:abstractNumId w:val="0"/>
  </w:num>
  <w:num w:numId="13">
    <w:abstractNumId w:val="6"/>
  </w:num>
  <w:num w:numId="14">
    <w:abstractNumId w:val="5"/>
  </w:num>
  <w:num w:numId="15">
    <w:abstractNumId w:val="4"/>
  </w:num>
  <w:num w:numId="16">
    <w:abstractNumId w:val="2"/>
  </w:num>
  <w:num w:numId="17">
    <w:abstractNumId w:val="1"/>
  </w:num>
  <w:num w:numId="18">
    <w:abstractNumId w:val="14"/>
  </w:num>
  <w:num w:numId="19">
    <w:abstractNumId w:val="18"/>
  </w:num>
  <w:num w:numId="20">
    <w:abstractNumId w:val="20"/>
  </w:num>
  <w:num w:numId="21">
    <w:abstractNumId w:val="43"/>
  </w:num>
  <w:num w:numId="22">
    <w:abstractNumId w:val="9"/>
  </w:num>
  <w:num w:numId="23">
    <w:abstractNumId w:val="23"/>
  </w:num>
  <w:num w:numId="24">
    <w:abstractNumId w:val="45"/>
  </w:num>
  <w:num w:numId="25">
    <w:abstractNumId w:val="13"/>
  </w:num>
  <w:num w:numId="26">
    <w:abstractNumId w:val="49"/>
  </w:num>
  <w:num w:numId="27">
    <w:abstractNumId w:val="32"/>
  </w:num>
  <w:num w:numId="28">
    <w:abstractNumId w:val="32"/>
  </w:num>
  <w:num w:numId="29">
    <w:abstractNumId w:val="32"/>
  </w:num>
  <w:num w:numId="30">
    <w:abstractNumId w:val="32"/>
  </w:num>
  <w:num w:numId="31">
    <w:abstractNumId w:val="32"/>
  </w:num>
  <w:num w:numId="32">
    <w:abstractNumId w:val="32"/>
  </w:num>
  <w:num w:numId="33">
    <w:abstractNumId w:val="32"/>
  </w:num>
  <w:num w:numId="34">
    <w:abstractNumId w:val="32"/>
  </w:num>
  <w:num w:numId="35">
    <w:abstractNumId w:val="32"/>
  </w:num>
  <w:num w:numId="36">
    <w:abstractNumId w:val="32"/>
  </w:num>
  <w:num w:numId="37">
    <w:abstractNumId w:val="32"/>
  </w:num>
  <w:num w:numId="38">
    <w:abstractNumId w:val="32"/>
  </w:num>
  <w:num w:numId="39">
    <w:abstractNumId w:val="32"/>
  </w:num>
  <w:num w:numId="40">
    <w:abstractNumId w:val="32"/>
  </w:num>
  <w:num w:numId="41">
    <w:abstractNumId w:val="32"/>
  </w:num>
  <w:num w:numId="42">
    <w:abstractNumId w:val="32"/>
  </w:num>
  <w:num w:numId="43">
    <w:abstractNumId w:val="32"/>
  </w:num>
  <w:num w:numId="44">
    <w:abstractNumId w:val="32"/>
  </w:num>
  <w:num w:numId="45">
    <w:abstractNumId w:val="32"/>
  </w:num>
  <w:num w:numId="46">
    <w:abstractNumId w:val="32"/>
  </w:num>
  <w:num w:numId="47">
    <w:abstractNumId w:val="32"/>
  </w:num>
  <w:num w:numId="48">
    <w:abstractNumId w:val="32"/>
  </w:num>
  <w:num w:numId="49">
    <w:abstractNumId w:val="32"/>
  </w:num>
  <w:num w:numId="50">
    <w:abstractNumId w:val="32"/>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32"/>
  </w:num>
  <w:num w:numId="60">
    <w:abstractNumId w:val="32"/>
  </w:num>
  <w:num w:numId="61">
    <w:abstractNumId w:val="48"/>
  </w:num>
  <w:num w:numId="62">
    <w:abstractNumId w:val="16"/>
  </w:num>
  <w:num w:numId="63">
    <w:abstractNumId w:val="30"/>
  </w:num>
  <w:num w:numId="64">
    <w:abstractNumId w:val="29"/>
  </w:num>
  <w:num w:numId="65">
    <w:abstractNumId w:val="32"/>
  </w:num>
  <w:num w:numId="66">
    <w:abstractNumId w:val="32"/>
  </w:num>
  <w:num w:numId="67">
    <w:abstractNumId w:val="32"/>
  </w:num>
  <w:num w:numId="68">
    <w:abstractNumId w:val="32"/>
  </w:num>
  <w:num w:numId="69">
    <w:abstractNumId w:val="32"/>
  </w:num>
  <w:num w:numId="70">
    <w:abstractNumId w:val="32"/>
  </w:num>
  <w:num w:numId="71">
    <w:abstractNumId w:val="32"/>
  </w:num>
  <w:num w:numId="72">
    <w:abstractNumId w:val="32"/>
  </w:num>
  <w:num w:numId="73">
    <w:abstractNumId w:val="32"/>
  </w:num>
  <w:num w:numId="74">
    <w:abstractNumId w:val="32"/>
  </w:num>
  <w:num w:numId="75">
    <w:abstractNumId w:val="32"/>
  </w:num>
  <w:num w:numId="76">
    <w:abstractNumId w:val="32"/>
  </w:num>
  <w:num w:numId="77">
    <w:abstractNumId w:val="32"/>
  </w:num>
  <w:num w:numId="78">
    <w:abstractNumId w:val="32"/>
  </w:num>
  <w:num w:numId="79">
    <w:abstractNumId w:val="12"/>
  </w:num>
  <w:num w:numId="80">
    <w:abstractNumId w:val="47"/>
  </w:num>
  <w:num w:numId="81">
    <w:abstractNumId w:val="24"/>
  </w:num>
  <w:num w:numId="82">
    <w:abstractNumId w:val="32"/>
  </w:num>
  <w:num w:numId="83">
    <w:abstractNumId w:val="32"/>
  </w:num>
  <w:num w:numId="84">
    <w:abstractNumId w:val="32"/>
  </w:num>
  <w:num w:numId="85">
    <w:abstractNumId w:val="11"/>
  </w:num>
  <w:num w:numId="86">
    <w:abstractNumId w:val="44"/>
  </w:num>
  <w:num w:numId="87">
    <w:abstractNumId w:val="21"/>
  </w:num>
  <w:num w:numId="88">
    <w:abstractNumId w:val="32"/>
  </w:num>
  <w:num w:numId="89">
    <w:abstractNumId w:val="32"/>
  </w:num>
  <w:num w:numId="90">
    <w:abstractNumId w:val="42"/>
  </w:num>
  <w:num w:numId="91">
    <w:abstractNumId w:val="37"/>
  </w:num>
  <w:num w:numId="92">
    <w:abstractNumId w:val="10"/>
  </w:num>
  <w:num w:numId="93">
    <w:abstractNumId w:val="34"/>
  </w:num>
  <w:num w:numId="94">
    <w:abstractNumId w:val="15"/>
  </w:num>
  <w:num w:numId="95">
    <w:abstractNumId w:val="33"/>
  </w:num>
  <w:num w:numId="96">
    <w:abstractNumId w:val="19"/>
  </w:num>
  <w:num w:numId="97">
    <w:abstractNumId w:val="27"/>
  </w:num>
  <w:num w:numId="98">
    <w:abstractNumId w:val="35"/>
  </w:num>
  <w:num w:numId="99">
    <w:abstractNumId w:val="31"/>
  </w:num>
  <w:num w:numId="100">
    <w:abstractNumId w:val="32"/>
  </w:num>
  <w:num w:numId="101">
    <w:abstractNumId w:val="26"/>
  </w:num>
  <w:num w:numId="102">
    <w:abstractNumId w:val="32"/>
  </w:num>
  <w:num w:numId="10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2"/>
  </w:num>
  <w:num w:numId="105">
    <w:abstractNumId w:val="32"/>
  </w:num>
  <w:num w:numId="106">
    <w:abstractNumId w:val="32"/>
  </w:num>
  <w:num w:numId="107">
    <w:abstractNumId w:val="22"/>
  </w:num>
  <w:num w:numId="108">
    <w:abstractNumId w:val="40"/>
  </w:num>
  <w:num w:numId="109">
    <w:abstractNumId w:val="17"/>
  </w:num>
  <w:num w:numId="110">
    <w:abstractNumId w:val="46"/>
  </w:num>
  <w:num w:numId="1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32"/>
  </w:num>
  <w:num w:numId="113">
    <w:abstractNumId w:val="9"/>
  </w:num>
  <w:num w:numId="114">
    <w:abstractNumId w:val="3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284"/>
  <w:evenAndOddHeaders/>
  <w:drawingGridHorizontalSpacing w:val="100"/>
  <w:displayHorizontalDrawingGridEvery w:val="2"/>
  <w:characterSpacingControl w:val="doNotCompress"/>
  <w:hdrShapeDefaults>
    <o:shapedefaults v:ext="edit" spidmax="69633">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5F5"/>
    <w:rsid w:val="00001258"/>
    <w:rsid w:val="000022D5"/>
    <w:rsid w:val="00002B81"/>
    <w:rsid w:val="0000494C"/>
    <w:rsid w:val="00004B16"/>
    <w:rsid w:val="00004D58"/>
    <w:rsid w:val="00006847"/>
    <w:rsid w:val="00010667"/>
    <w:rsid w:val="00010B78"/>
    <w:rsid w:val="000114BB"/>
    <w:rsid w:val="00011B11"/>
    <w:rsid w:val="0001267A"/>
    <w:rsid w:val="000129D5"/>
    <w:rsid w:val="000142D3"/>
    <w:rsid w:val="00015AE7"/>
    <w:rsid w:val="000160E6"/>
    <w:rsid w:val="00016E21"/>
    <w:rsid w:val="00016EAF"/>
    <w:rsid w:val="0001719C"/>
    <w:rsid w:val="00020D3F"/>
    <w:rsid w:val="0002108C"/>
    <w:rsid w:val="00021B9E"/>
    <w:rsid w:val="0002224E"/>
    <w:rsid w:val="00022CBE"/>
    <w:rsid w:val="000245E5"/>
    <w:rsid w:val="00026531"/>
    <w:rsid w:val="00026635"/>
    <w:rsid w:val="00026B4C"/>
    <w:rsid w:val="00026F91"/>
    <w:rsid w:val="000270AD"/>
    <w:rsid w:val="000273E9"/>
    <w:rsid w:val="00031136"/>
    <w:rsid w:val="00035551"/>
    <w:rsid w:val="00036E9C"/>
    <w:rsid w:val="00040E80"/>
    <w:rsid w:val="000411F5"/>
    <w:rsid w:val="000459F6"/>
    <w:rsid w:val="0004666D"/>
    <w:rsid w:val="00046D1B"/>
    <w:rsid w:val="0004755E"/>
    <w:rsid w:val="00047639"/>
    <w:rsid w:val="0004764C"/>
    <w:rsid w:val="0005011A"/>
    <w:rsid w:val="0005045A"/>
    <w:rsid w:val="00051B3C"/>
    <w:rsid w:val="00051C1E"/>
    <w:rsid w:val="00052081"/>
    <w:rsid w:val="000525DE"/>
    <w:rsid w:val="000539F9"/>
    <w:rsid w:val="00053DC0"/>
    <w:rsid w:val="00054C27"/>
    <w:rsid w:val="00054E4D"/>
    <w:rsid w:val="00055EC3"/>
    <w:rsid w:val="000563CE"/>
    <w:rsid w:val="000572FE"/>
    <w:rsid w:val="00060906"/>
    <w:rsid w:val="00062511"/>
    <w:rsid w:val="00063A18"/>
    <w:rsid w:val="000659B6"/>
    <w:rsid w:val="00065CC6"/>
    <w:rsid w:val="00065F51"/>
    <w:rsid w:val="0006686F"/>
    <w:rsid w:val="0006722A"/>
    <w:rsid w:val="00070391"/>
    <w:rsid w:val="0007266D"/>
    <w:rsid w:val="00072C92"/>
    <w:rsid w:val="000732CF"/>
    <w:rsid w:val="00074198"/>
    <w:rsid w:val="00075B96"/>
    <w:rsid w:val="000765FD"/>
    <w:rsid w:val="0008196A"/>
    <w:rsid w:val="00083EB3"/>
    <w:rsid w:val="000840D5"/>
    <w:rsid w:val="00084650"/>
    <w:rsid w:val="00084AF2"/>
    <w:rsid w:val="00084DC6"/>
    <w:rsid w:val="00085361"/>
    <w:rsid w:val="000858EF"/>
    <w:rsid w:val="0008711C"/>
    <w:rsid w:val="00087C1D"/>
    <w:rsid w:val="00090140"/>
    <w:rsid w:val="0009065D"/>
    <w:rsid w:val="000915ED"/>
    <w:rsid w:val="0009209D"/>
    <w:rsid w:val="00095DE5"/>
    <w:rsid w:val="000964F0"/>
    <w:rsid w:val="000969BD"/>
    <w:rsid w:val="000969BF"/>
    <w:rsid w:val="00096D3D"/>
    <w:rsid w:val="00097D72"/>
    <w:rsid w:val="000A00B7"/>
    <w:rsid w:val="000A071E"/>
    <w:rsid w:val="000A0C22"/>
    <w:rsid w:val="000A1400"/>
    <w:rsid w:val="000A268B"/>
    <w:rsid w:val="000A3C43"/>
    <w:rsid w:val="000A4A51"/>
    <w:rsid w:val="000A57BA"/>
    <w:rsid w:val="000A5B31"/>
    <w:rsid w:val="000A5D2B"/>
    <w:rsid w:val="000B069C"/>
    <w:rsid w:val="000B199F"/>
    <w:rsid w:val="000B2746"/>
    <w:rsid w:val="000B27C0"/>
    <w:rsid w:val="000B418E"/>
    <w:rsid w:val="000B48EA"/>
    <w:rsid w:val="000B49F2"/>
    <w:rsid w:val="000B4E90"/>
    <w:rsid w:val="000B500E"/>
    <w:rsid w:val="000B5DE3"/>
    <w:rsid w:val="000B652B"/>
    <w:rsid w:val="000B6C35"/>
    <w:rsid w:val="000C0A57"/>
    <w:rsid w:val="000C1A48"/>
    <w:rsid w:val="000C1BE9"/>
    <w:rsid w:val="000C230C"/>
    <w:rsid w:val="000C2D5A"/>
    <w:rsid w:val="000C3854"/>
    <w:rsid w:val="000C3BB8"/>
    <w:rsid w:val="000C4EBA"/>
    <w:rsid w:val="000C6AB4"/>
    <w:rsid w:val="000C6EB7"/>
    <w:rsid w:val="000C7346"/>
    <w:rsid w:val="000D00BF"/>
    <w:rsid w:val="000D104B"/>
    <w:rsid w:val="000D1BF1"/>
    <w:rsid w:val="000D1C60"/>
    <w:rsid w:val="000D1DEC"/>
    <w:rsid w:val="000D26F1"/>
    <w:rsid w:val="000D2A28"/>
    <w:rsid w:val="000D2DC2"/>
    <w:rsid w:val="000D451B"/>
    <w:rsid w:val="000D53D9"/>
    <w:rsid w:val="000D6507"/>
    <w:rsid w:val="000D71D9"/>
    <w:rsid w:val="000D7540"/>
    <w:rsid w:val="000D76E0"/>
    <w:rsid w:val="000D779A"/>
    <w:rsid w:val="000D792D"/>
    <w:rsid w:val="000D7E8B"/>
    <w:rsid w:val="000E03C6"/>
    <w:rsid w:val="000E1227"/>
    <w:rsid w:val="000E1BA3"/>
    <w:rsid w:val="000E2D33"/>
    <w:rsid w:val="000E30DC"/>
    <w:rsid w:val="000E4449"/>
    <w:rsid w:val="000E44BA"/>
    <w:rsid w:val="000E5440"/>
    <w:rsid w:val="000E5E1C"/>
    <w:rsid w:val="000E6097"/>
    <w:rsid w:val="000E6568"/>
    <w:rsid w:val="000E6588"/>
    <w:rsid w:val="000E6605"/>
    <w:rsid w:val="000E6FCE"/>
    <w:rsid w:val="000E77E6"/>
    <w:rsid w:val="000F08B9"/>
    <w:rsid w:val="000F1D70"/>
    <w:rsid w:val="000F3D53"/>
    <w:rsid w:val="000F4A59"/>
    <w:rsid w:val="000F5617"/>
    <w:rsid w:val="000F60AC"/>
    <w:rsid w:val="000F6C10"/>
    <w:rsid w:val="00100E32"/>
    <w:rsid w:val="00103829"/>
    <w:rsid w:val="00104E85"/>
    <w:rsid w:val="001067FA"/>
    <w:rsid w:val="00106E80"/>
    <w:rsid w:val="00111FCE"/>
    <w:rsid w:val="00112885"/>
    <w:rsid w:val="001133B2"/>
    <w:rsid w:val="001150F7"/>
    <w:rsid w:val="0011564C"/>
    <w:rsid w:val="00116D6B"/>
    <w:rsid w:val="00121469"/>
    <w:rsid w:val="00121E3D"/>
    <w:rsid w:val="001223A8"/>
    <w:rsid w:val="001229A5"/>
    <w:rsid w:val="00122E53"/>
    <w:rsid w:val="00123000"/>
    <w:rsid w:val="001230DA"/>
    <w:rsid w:val="00123930"/>
    <w:rsid w:val="00123ADB"/>
    <w:rsid w:val="0012489B"/>
    <w:rsid w:val="00125B4A"/>
    <w:rsid w:val="00126C63"/>
    <w:rsid w:val="00130017"/>
    <w:rsid w:val="00130F91"/>
    <w:rsid w:val="00133F70"/>
    <w:rsid w:val="0013468E"/>
    <w:rsid w:val="001349ED"/>
    <w:rsid w:val="001368DB"/>
    <w:rsid w:val="00137424"/>
    <w:rsid w:val="00140318"/>
    <w:rsid w:val="0014034E"/>
    <w:rsid w:val="001405BF"/>
    <w:rsid w:val="00141AD9"/>
    <w:rsid w:val="00141BDA"/>
    <w:rsid w:val="0014226A"/>
    <w:rsid w:val="001428D4"/>
    <w:rsid w:val="00143484"/>
    <w:rsid w:val="001450A3"/>
    <w:rsid w:val="0014603C"/>
    <w:rsid w:val="0014654E"/>
    <w:rsid w:val="001468EB"/>
    <w:rsid w:val="00146CE6"/>
    <w:rsid w:val="00147AEB"/>
    <w:rsid w:val="00147C6C"/>
    <w:rsid w:val="001519E6"/>
    <w:rsid w:val="00151F2B"/>
    <w:rsid w:val="00151FB0"/>
    <w:rsid w:val="00152359"/>
    <w:rsid w:val="00152903"/>
    <w:rsid w:val="00152F4D"/>
    <w:rsid w:val="00153F86"/>
    <w:rsid w:val="00153FD5"/>
    <w:rsid w:val="00155155"/>
    <w:rsid w:val="0015614F"/>
    <w:rsid w:val="001577C2"/>
    <w:rsid w:val="0016018A"/>
    <w:rsid w:val="00162DBC"/>
    <w:rsid w:val="0016317B"/>
    <w:rsid w:val="001633C4"/>
    <w:rsid w:val="00163855"/>
    <w:rsid w:val="00163A57"/>
    <w:rsid w:val="00164D3E"/>
    <w:rsid w:val="0016511F"/>
    <w:rsid w:val="00165304"/>
    <w:rsid w:val="0016552E"/>
    <w:rsid w:val="00165AA3"/>
    <w:rsid w:val="001703C7"/>
    <w:rsid w:val="001704D5"/>
    <w:rsid w:val="00171591"/>
    <w:rsid w:val="00173981"/>
    <w:rsid w:val="00174273"/>
    <w:rsid w:val="00176621"/>
    <w:rsid w:val="0017719D"/>
    <w:rsid w:val="00177AE5"/>
    <w:rsid w:val="00180316"/>
    <w:rsid w:val="001804B8"/>
    <w:rsid w:val="00183EFB"/>
    <w:rsid w:val="00183FAE"/>
    <w:rsid w:val="00183FD7"/>
    <w:rsid w:val="00184C6A"/>
    <w:rsid w:val="00185A26"/>
    <w:rsid w:val="00185CAB"/>
    <w:rsid w:val="001875B7"/>
    <w:rsid w:val="00187CB3"/>
    <w:rsid w:val="0019050A"/>
    <w:rsid w:val="00190A5C"/>
    <w:rsid w:val="00190B70"/>
    <w:rsid w:val="00190BC3"/>
    <w:rsid w:val="001910D4"/>
    <w:rsid w:val="00194C19"/>
    <w:rsid w:val="001964F4"/>
    <w:rsid w:val="00196D0B"/>
    <w:rsid w:val="001973C7"/>
    <w:rsid w:val="001976E3"/>
    <w:rsid w:val="001A017A"/>
    <w:rsid w:val="001A041F"/>
    <w:rsid w:val="001A05C1"/>
    <w:rsid w:val="001A195C"/>
    <w:rsid w:val="001A2073"/>
    <w:rsid w:val="001A42D0"/>
    <w:rsid w:val="001A437A"/>
    <w:rsid w:val="001A44EC"/>
    <w:rsid w:val="001A4DB0"/>
    <w:rsid w:val="001A592C"/>
    <w:rsid w:val="001A630B"/>
    <w:rsid w:val="001A6D4A"/>
    <w:rsid w:val="001A7254"/>
    <w:rsid w:val="001B01A2"/>
    <w:rsid w:val="001B08AC"/>
    <w:rsid w:val="001B1471"/>
    <w:rsid w:val="001B18DE"/>
    <w:rsid w:val="001B1C75"/>
    <w:rsid w:val="001B2760"/>
    <w:rsid w:val="001B4D0E"/>
    <w:rsid w:val="001B4FF0"/>
    <w:rsid w:val="001B58AA"/>
    <w:rsid w:val="001B609F"/>
    <w:rsid w:val="001B785A"/>
    <w:rsid w:val="001B7DE2"/>
    <w:rsid w:val="001B7E48"/>
    <w:rsid w:val="001C1040"/>
    <w:rsid w:val="001C143E"/>
    <w:rsid w:val="001C17CE"/>
    <w:rsid w:val="001C2B0F"/>
    <w:rsid w:val="001C2BEC"/>
    <w:rsid w:val="001C3009"/>
    <w:rsid w:val="001C316E"/>
    <w:rsid w:val="001C36CA"/>
    <w:rsid w:val="001C44D1"/>
    <w:rsid w:val="001C5883"/>
    <w:rsid w:val="001C5E7E"/>
    <w:rsid w:val="001C6284"/>
    <w:rsid w:val="001C6775"/>
    <w:rsid w:val="001C6AEE"/>
    <w:rsid w:val="001C7630"/>
    <w:rsid w:val="001C7DA0"/>
    <w:rsid w:val="001D19A1"/>
    <w:rsid w:val="001D1D73"/>
    <w:rsid w:val="001D24E7"/>
    <w:rsid w:val="001D39AD"/>
    <w:rsid w:val="001D4A78"/>
    <w:rsid w:val="001D566F"/>
    <w:rsid w:val="001D5B1E"/>
    <w:rsid w:val="001D63F6"/>
    <w:rsid w:val="001D6A50"/>
    <w:rsid w:val="001D6D15"/>
    <w:rsid w:val="001E0B43"/>
    <w:rsid w:val="001E1840"/>
    <w:rsid w:val="001E1FB6"/>
    <w:rsid w:val="001E2634"/>
    <w:rsid w:val="001E3C2D"/>
    <w:rsid w:val="001E5F72"/>
    <w:rsid w:val="001E6386"/>
    <w:rsid w:val="001E63B9"/>
    <w:rsid w:val="001E6CC0"/>
    <w:rsid w:val="001F0AF1"/>
    <w:rsid w:val="001F0E76"/>
    <w:rsid w:val="001F1977"/>
    <w:rsid w:val="001F2CAC"/>
    <w:rsid w:val="001F2F06"/>
    <w:rsid w:val="001F3C95"/>
    <w:rsid w:val="001F70B4"/>
    <w:rsid w:val="001F7558"/>
    <w:rsid w:val="0020532F"/>
    <w:rsid w:val="00205B57"/>
    <w:rsid w:val="00206507"/>
    <w:rsid w:val="00207964"/>
    <w:rsid w:val="00210061"/>
    <w:rsid w:val="00210A71"/>
    <w:rsid w:val="00210C38"/>
    <w:rsid w:val="0021184E"/>
    <w:rsid w:val="0021287F"/>
    <w:rsid w:val="00212C3E"/>
    <w:rsid w:val="002133F0"/>
    <w:rsid w:val="002157E0"/>
    <w:rsid w:val="0021617D"/>
    <w:rsid w:val="0021691C"/>
    <w:rsid w:val="00216A57"/>
    <w:rsid w:val="002200BB"/>
    <w:rsid w:val="002207FA"/>
    <w:rsid w:val="00220DC9"/>
    <w:rsid w:val="00221195"/>
    <w:rsid w:val="0022334F"/>
    <w:rsid w:val="00223EA7"/>
    <w:rsid w:val="002267E5"/>
    <w:rsid w:val="00226819"/>
    <w:rsid w:val="00226F16"/>
    <w:rsid w:val="00226FA2"/>
    <w:rsid w:val="00227E44"/>
    <w:rsid w:val="00233101"/>
    <w:rsid w:val="00233817"/>
    <w:rsid w:val="00234206"/>
    <w:rsid w:val="0023496E"/>
    <w:rsid w:val="00235D85"/>
    <w:rsid w:val="002362D3"/>
    <w:rsid w:val="002367FF"/>
    <w:rsid w:val="00240CE9"/>
    <w:rsid w:val="00243207"/>
    <w:rsid w:val="002434BA"/>
    <w:rsid w:val="00243559"/>
    <w:rsid w:val="00245A08"/>
    <w:rsid w:val="00246089"/>
    <w:rsid w:val="00246093"/>
    <w:rsid w:val="00246702"/>
    <w:rsid w:val="00247C59"/>
    <w:rsid w:val="00247F2E"/>
    <w:rsid w:val="00250ADC"/>
    <w:rsid w:val="00250B07"/>
    <w:rsid w:val="0025374C"/>
    <w:rsid w:val="00253D56"/>
    <w:rsid w:val="00253D84"/>
    <w:rsid w:val="00254146"/>
    <w:rsid w:val="00257553"/>
    <w:rsid w:val="002605C6"/>
    <w:rsid w:val="0026080F"/>
    <w:rsid w:val="00260B2C"/>
    <w:rsid w:val="00260FB2"/>
    <w:rsid w:val="0026108F"/>
    <w:rsid w:val="00262030"/>
    <w:rsid w:val="00262128"/>
    <w:rsid w:val="0026285D"/>
    <w:rsid w:val="00265601"/>
    <w:rsid w:val="0026648A"/>
    <w:rsid w:val="00266962"/>
    <w:rsid w:val="00266D0B"/>
    <w:rsid w:val="00267ACA"/>
    <w:rsid w:val="00270158"/>
    <w:rsid w:val="0027165D"/>
    <w:rsid w:val="00271802"/>
    <w:rsid w:val="002718C0"/>
    <w:rsid w:val="00271C8A"/>
    <w:rsid w:val="00272481"/>
    <w:rsid w:val="002727A6"/>
    <w:rsid w:val="0027330C"/>
    <w:rsid w:val="00273CEB"/>
    <w:rsid w:val="002759A8"/>
    <w:rsid w:val="00276002"/>
    <w:rsid w:val="00276F4C"/>
    <w:rsid w:val="002815C1"/>
    <w:rsid w:val="0028180D"/>
    <w:rsid w:val="00281C89"/>
    <w:rsid w:val="0028282F"/>
    <w:rsid w:val="00283372"/>
    <w:rsid w:val="00283AE3"/>
    <w:rsid w:val="0028441D"/>
    <w:rsid w:val="00284F22"/>
    <w:rsid w:val="00284F35"/>
    <w:rsid w:val="00285070"/>
    <w:rsid w:val="002856C5"/>
    <w:rsid w:val="00286602"/>
    <w:rsid w:val="0029430C"/>
    <w:rsid w:val="002952BB"/>
    <w:rsid w:val="0029593B"/>
    <w:rsid w:val="00296424"/>
    <w:rsid w:val="00296CB3"/>
    <w:rsid w:val="00297FC5"/>
    <w:rsid w:val="002A0417"/>
    <w:rsid w:val="002A0AAA"/>
    <w:rsid w:val="002A10E4"/>
    <w:rsid w:val="002A16D8"/>
    <w:rsid w:val="002A1723"/>
    <w:rsid w:val="002A1BC8"/>
    <w:rsid w:val="002A3200"/>
    <w:rsid w:val="002A384B"/>
    <w:rsid w:val="002A38F6"/>
    <w:rsid w:val="002A3CEC"/>
    <w:rsid w:val="002A3EF2"/>
    <w:rsid w:val="002A5ED8"/>
    <w:rsid w:val="002A60A9"/>
    <w:rsid w:val="002A639D"/>
    <w:rsid w:val="002A7E9C"/>
    <w:rsid w:val="002B0C9D"/>
    <w:rsid w:val="002B0DED"/>
    <w:rsid w:val="002B19A2"/>
    <w:rsid w:val="002B2FD6"/>
    <w:rsid w:val="002B322C"/>
    <w:rsid w:val="002B32B1"/>
    <w:rsid w:val="002B381A"/>
    <w:rsid w:val="002B3EA0"/>
    <w:rsid w:val="002B4011"/>
    <w:rsid w:val="002B4FCC"/>
    <w:rsid w:val="002B57EC"/>
    <w:rsid w:val="002B58E6"/>
    <w:rsid w:val="002B7408"/>
    <w:rsid w:val="002B7B2F"/>
    <w:rsid w:val="002B7CFD"/>
    <w:rsid w:val="002C1537"/>
    <w:rsid w:val="002C210F"/>
    <w:rsid w:val="002C243B"/>
    <w:rsid w:val="002C2519"/>
    <w:rsid w:val="002C733B"/>
    <w:rsid w:val="002D0F4C"/>
    <w:rsid w:val="002D247D"/>
    <w:rsid w:val="002D29BC"/>
    <w:rsid w:val="002D34CD"/>
    <w:rsid w:val="002D3600"/>
    <w:rsid w:val="002D384F"/>
    <w:rsid w:val="002D3A0C"/>
    <w:rsid w:val="002D3BA3"/>
    <w:rsid w:val="002D3E58"/>
    <w:rsid w:val="002D4DC6"/>
    <w:rsid w:val="002D74DB"/>
    <w:rsid w:val="002D773F"/>
    <w:rsid w:val="002D7F52"/>
    <w:rsid w:val="002E0CAD"/>
    <w:rsid w:val="002E1243"/>
    <w:rsid w:val="002E16BD"/>
    <w:rsid w:val="002E258A"/>
    <w:rsid w:val="002E39CF"/>
    <w:rsid w:val="002E4DDC"/>
    <w:rsid w:val="002E52C7"/>
    <w:rsid w:val="002E5BBB"/>
    <w:rsid w:val="002E6D36"/>
    <w:rsid w:val="002F05D9"/>
    <w:rsid w:val="002F087B"/>
    <w:rsid w:val="002F1ED0"/>
    <w:rsid w:val="002F4341"/>
    <w:rsid w:val="002F4584"/>
    <w:rsid w:val="002F62C7"/>
    <w:rsid w:val="002F63FD"/>
    <w:rsid w:val="002F72AF"/>
    <w:rsid w:val="002F750E"/>
    <w:rsid w:val="00300817"/>
    <w:rsid w:val="0030206A"/>
    <w:rsid w:val="00302480"/>
    <w:rsid w:val="00302B32"/>
    <w:rsid w:val="00302C41"/>
    <w:rsid w:val="00302D97"/>
    <w:rsid w:val="0030328F"/>
    <w:rsid w:val="00303C64"/>
    <w:rsid w:val="003072E1"/>
    <w:rsid w:val="0030742C"/>
    <w:rsid w:val="00307F17"/>
    <w:rsid w:val="00311A64"/>
    <w:rsid w:val="0031205B"/>
    <w:rsid w:val="00313744"/>
    <w:rsid w:val="00313777"/>
    <w:rsid w:val="003143DA"/>
    <w:rsid w:val="00314E75"/>
    <w:rsid w:val="00315188"/>
    <w:rsid w:val="003157F8"/>
    <w:rsid w:val="003165E6"/>
    <w:rsid w:val="00316803"/>
    <w:rsid w:val="00317818"/>
    <w:rsid w:val="0031787B"/>
    <w:rsid w:val="00317CE5"/>
    <w:rsid w:val="003215B5"/>
    <w:rsid w:val="003221CF"/>
    <w:rsid w:val="003233ED"/>
    <w:rsid w:val="00324D9F"/>
    <w:rsid w:val="003259D3"/>
    <w:rsid w:val="00327655"/>
    <w:rsid w:val="00327948"/>
    <w:rsid w:val="00327CDB"/>
    <w:rsid w:val="0033000F"/>
    <w:rsid w:val="00330733"/>
    <w:rsid w:val="00330D78"/>
    <w:rsid w:val="003315C7"/>
    <w:rsid w:val="003318A0"/>
    <w:rsid w:val="00332011"/>
    <w:rsid w:val="00332518"/>
    <w:rsid w:val="00332925"/>
    <w:rsid w:val="003332ED"/>
    <w:rsid w:val="00333316"/>
    <w:rsid w:val="0033457A"/>
    <w:rsid w:val="003349D0"/>
    <w:rsid w:val="00334F93"/>
    <w:rsid w:val="003353F7"/>
    <w:rsid w:val="0033555C"/>
    <w:rsid w:val="003364F0"/>
    <w:rsid w:val="003368DC"/>
    <w:rsid w:val="003371AD"/>
    <w:rsid w:val="0033732B"/>
    <w:rsid w:val="00337D5C"/>
    <w:rsid w:val="00343419"/>
    <w:rsid w:val="00343A55"/>
    <w:rsid w:val="00345927"/>
    <w:rsid w:val="00350584"/>
    <w:rsid w:val="00351664"/>
    <w:rsid w:val="00351857"/>
    <w:rsid w:val="003518F0"/>
    <w:rsid w:val="003522D8"/>
    <w:rsid w:val="00352CDE"/>
    <w:rsid w:val="00354494"/>
    <w:rsid w:val="003545E8"/>
    <w:rsid w:val="00357587"/>
    <w:rsid w:val="00360131"/>
    <w:rsid w:val="003610E1"/>
    <w:rsid w:val="00361A2A"/>
    <w:rsid w:val="00361EBE"/>
    <w:rsid w:val="00362A42"/>
    <w:rsid w:val="00363AEE"/>
    <w:rsid w:val="0036413C"/>
    <w:rsid w:val="003655C1"/>
    <w:rsid w:val="00366071"/>
    <w:rsid w:val="00366497"/>
    <w:rsid w:val="0036667C"/>
    <w:rsid w:val="00366A81"/>
    <w:rsid w:val="00366DD3"/>
    <w:rsid w:val="003671BE"/>
    <w:rsid w:val="00370D6D"/>
    <w:rsid w:val="00371C83"/>
    <w:rsid w:val="00372485"/>
    <w:rsid w:val="00373200"/>
    <w:rsid w:val="00375039"/>
    <w:rsid w:val="00375EF5"/>
    <w:rsid w:val="003767A5"/>
    <w:rsid w:val="00376B9A"/>
    <w:rsid w:val="00377262"/>
    <w:rsid w:val="0038044F"/>
    <w:rsid w:val="003816B6"/>
    <w:rsid w:val="00381D15"/>
    <w:rsid w:val="00382A90"/>
    <w:rsid w:val="00382FBA"/>
    <w:rsid w:val="00383C66"/>
    <w:rsid w:val="00383D77"/>
    <w:rsid w:val="00385254"/>
    <w:rsid w:val="00386132"/>
    <w:rsid w:val="00386367"/>
    <w:rsid w:val="00390DC7"/>
    <w:rsid w:val="003912D7"/>
    <w:rsid w:val="003919A5"/>
    <w:rsid w:val="00392383"/>
    <w:rsid w:val="0039247E"/>
    <w:rsid w:val="00393FD3"/>
    <w:rsid w:val="00395A14"/>
    <w:rsid w:val="00396762"/>
    <w:rsid w:val="003A04DB"/>
    <w:rsid w:val="003A0ED9"/>
    <w:rsid w:val="003A2963"/>
    <w:rsid w:val="003A2E0D"/>
    <w:rsid w:val="003A3017"/>
    <w:rsid w:val="003A31BC"/>
    <w:rsid w:val="003A40AA"/>
    <w:rsid w:val="003A5B3A"/>
    <w:rsid w:val="003A5F5B"/>
    <w:rsid w:val="003A6AE8"/>
    <w:rsid w:val="003A6B60"/>
    <w:rsid w:val="003A789A"/>
    <w:rsid w:val="003A797E"/>
    <w:rsid w:val="003A7F97"/>
    <w:rsid w:val="003B0498"/>
    <w:rsid w:val="003B12EC"/>
    <w:rsid w:val="003B47C4"/>
    <w:rsid w:val="003B50D6"/>
    <w:rsid w:val="003B61D0"/>
    <w:rsid w:val="003C007E"/>
    <w:rsid w:val="003C325C"/>
    <w:rsid w:val="003C404D"/>
    <w:rsid w:val="003C5475"/>
    <w:rsid w:val="003C54D9"/>
    <w:rsid w:val="003C57D3"/>
    <w:rsid w:val="003C57F8"/>
    <w:rsid w:val="003C5892"/>
    <w:rsid w:val="003C670F"/>
    <w:rsid w:val="003C77E0"/>
    <w:rsid w:val="003C7B3B"/>
    <w:rsid w:val="003D17D7"/>
    <w:rsid w:val="003D1E2E"/>
    <w:rsid w:val="003D2678"/>
    <w:rsid w:val="003D399A"/>
    <w:rsid w:val="003D3E89"/>
    <w:rsid w:val="003D4155"/>
    <w:rsid w:val="003D4484"/>
    <w:rsid w:val="003D4595"/>
    <w:rsid w:val="003D5960"/>
    <w:rsid w:val="003D645E"/>
    <w:rsid w:val="003D71A3"/>
    <w:rsid w:val="003E2278"/>
    <w:rsid w:val="003E2B8A"/>
    <w:rsid w:val="003E33E9"/>
    <w:rsid w:val="003E561B"/>
    <w:rsid w:val="003E6CDC"/>
    <w:rsid w:val="003E7EF6"/>
    <w:rsid w:val="003F000D"/>
    <w:rsid w:val="003F014A"/>
    <w:rsid w:val="003F026E"/>
    <w:rsid w:val="003F03AC"/>
    <w:rsid w:val="003F10EE"/>
    <w:rsid w:val="003F16F6"/>
    <w:rsid w:val="003F4369"/>
    <w:rsid w:val="003F442C"/>
    <w:rsid w:val="003F4DC7"/>
    <w:rsid w:val="003F5235"/>
    <w:rsid w:val="003F682E"/>
    <w:rsid w:val="003F6A70"/>
    <w:rsid w:val="003F76D6"/>
    <w:rsid w:val="003F7E11"/>
    <w:rsid w:val="00400A67"/>
    <w:rsid w:val="004027E4"/>
    <w:rsid w:val="0040306E"/>
    <w:rsid w:val="00403E5A"/>
    <w:rsid w:val="004047AC"/>
    <w:rsid w:val="0040530D"/>
    <w:rsid w:val="004053C8"/>
    <w:rsid w:val="00406ADA"/>
    <w:rsid w:val="0041071D"/>
    <w:rsid w:val="00411C85"/>
    <w:rsid w:val="004121BA"/>
    <w:rsid w:val="00412EC9"/>
    <w:rsid w:val="00414AFC"/>
    <w:rsid w:val="00415127"/>
    <w:rsid w:val="004151A7"/>
    <w:rsid w:val="00415310"/>
    <w:rsid w:val="00415858"/>
    <w:rsid w:val="00415D38"/>
    <w:rsid w:val="00415E83"/>
    <w:rsid w:val="00415F01"/>
    <w:rsid w:val="00416476"/>
    <w:rsid w:val="004170D9"/>
    <w:rsid w:val="0041773B"/>
    <w:rsid w:val="0042048E"/>
    <w:rsid w:val="00420CAF"/>
    <w:rsid w:val="00421709"/>
    <w:rsid w:val="00421BE8"/>
    <w:rsid w:val="004221BB"/>
    <w:rsid w:val="00423763"/>
    <w:rsid w:val="0042478B"/>
    <w:rsid w:val="00425242"/>
    <w:rsid w:val="00425394"/>
    <w:rsid w:val="00426500"/>
    <w:rsid w:val="00426F0D"/>
    <w:rsid w:val="004274BE"/>
    <w:rsid w:val="0042762F"/>
    <w:rsid w:val="00427DC7"/>
    <w:rsid w:val="00427F8E"/>
    <w:rsid w:val="00431613"/>
    <w:rsid w:val="00431792"/>
    <w:rsid w:val="004325F3"/>
    <w:rsid w:val="0043297A"/>
    <w:rsid w:val="00432EB2"/>
    <w:rsid w:val="004332EE"/>
    <w:rsid w:val="00433D34"/>
    <w:rsid w:val="004355AF"/>
    <w:rsid w:val="0043648B"/>
    <w:rsid w:val="0043714F"/>
    <w:rsid w:val="004372FF"/>
    <w:rsid w:val="00440C5D"/>
    <w:rsid w:val="00441C7F"/>
    <w:rsid w:val="0044206F"/>
    <w:rsid w:val="004438B5"/>
    <w:rsid w:val="0044570B"/>
    <w:rsid w:val="00446CC1"/>
    <w:rsid w:val="00447037"/>
    <w:rsid w:val="0045124D"/>
    <w:rsid w:val="004522AE"/>
    <w:rsid w:val="00454596"/>
    <w:rsid w:val="00455642"/>
    <w:rsid w:val="0045605D"/>
    <w:rsid w:val="0045691C"/>
    <w:rsid w:val="00456E6D"/>
    <w:rsid w:val="004571CF"/>
    <w:rsid w:val="0046135B"/>
    <w:rsid w:val="00461ADE"/>
    <w:rsid w:val="00461D47"/>
    <w:rsid w:val="00461E02"/>
    <w:rsid w:val="00463DE9"/>
    <w:rsid w:val="00465C07"/>
    <w:rsid w:val="004660C0"/>
    <w:rsid w:val="00466840"/>
    <w:rsid w:val="004669F7"/>
    <w:rsid w:val="004718CC"/>
    <w:rsid w:val="00472B62"/>
    <w:rsid w:val="00472D83"/>
    <w:rsid w:val="00476F2B"/>
    <w:rsid w:val="00481695"/>
    <w:rsid w:val="00481944"/>
    <w:rsid w:val="00482121"/>
    <w:rsid w:val="00483B6E"/>
    <w:rsid w:val="00484BFF"/>
    <w:rsid w:val="00485616"/>
    <w:rsid w:val="00485742"/>
    <w:rsid w:val="00486D27"/>
    <w:rsid w:val="00486FBC"/>
    <w:rsid w:val="00487970"/>
    <w:rsid w:val="00487E96"/>
    <w:rsid w:val="004932E7"/>
    <w:rsid w:val="00494981"/>
    <w:rsid w:val="00494C50"/>
    <w:rsid w:val="00495A96"/>
    <w:rsid w:val="00495BB3"/>
    <w:rsid w:val="004A07FC"/>
    <w:rsid w:val="004A13A7"/>
    <w:rsid w:val="004A18F0"/>
    <w:rsid w:val="004A1DD5"/>
    <w:rsid w:val="004A34A1"/>
    <w:rsid w:val="004A40F9"/>
    <w:rsid w:val="004A463E"/>
    <w:rsid w:val="004A4D52"/>
    <w:rsid w:val="004A50F6"/>
    <w:rsid w:val="004A56BB"/>
    <w:rsid w:val="004A5D95"/>
    <w:rsid w:val="004A7E2F"/>
    <w:rsid w:val="004B0B70"/>
    <w:rsid w:val="004B0C3D"/>
    <w:rsid w:val="004B1751"/>
    <w:rsid w:val="004B2ABF"/>
    <w:rsid w:val="004B3841"/>
    <w:rsid w:val="004B3DE7"/>
    <w:rsid w:val="004B52C8"/>
    <w:rsid w:val="004C0253"/>
    <w:rsid w:val="004C0408"/>
    <w:rsid w:val="004C144C"/>
    <w:rsid w:val="004C1CD5"/>
    <w:rsid w:val="004C216A"/>
    <w:rsid w:val="004C26D7"/>
    <w:rsid w:val="004C33B4"/>
    <w:rsid w:val="004C4551"/>
    <w:rsid w:val="004C48E7"/>
    <w:rsid w:val="004C4DA3"/>
    <w:rsid w:val="004C6389"/>
    <w:rsid w:val="004D0243"/>
    <w:rsid w:val="004D1FE8"/>
    <w:rsid w:val="004D32B1"/>
    <w:rsid w:val="004D56FF"/>
    <w:rsid w:val="004D611B"/>
    <w:rsid w:val="004E012E"/>
    <w:rsid w:val="004E02B7"/>
    <w:rsid w:val="004E0770"/>
    <w:rsid w:val="004E0F2F"/>
    <w:rsid w:val="004E171C"/>
    <w:rsid w:val="004E1CC5"/>
    <w:rsid w:val="004E30CF"/>
    <w:rsid w:val="004E3263"/>
    <w:rsid w:val="004E365C"/>
    <w:rsid w:val="004E39D3"/>
    <w:rsid w:val="004E508A"/>
    <w:rsid w:val="004E54F6"/>
    <w:rsid w:val="004E5C79"/>
    <w:rsid w:val="004E616D"/>
    <w:rsid w:val="004E695C"/>
    <w:rsid w:val="004E7313"/>
    <w:rsid w:val="004F1BDE"/>
    <w:rsid w:val="004F2174"/>
    <w:rsid w:val="004F2CEE"/>
    <w:rsid w:val="004F34E0"/>
    <w:rsid w:val="004F556E"/>
    <w:rsid w:val="004F591C"/>
    <w:rsid w:val="004F788D"/>
    <w:rsid w:val="004F7F44"/>
    <w:rsid w:val="005003C0"/>
    <w:rsid w:val="005037B4"/>
    <w:rsid w:val="0050626F"/>
    <w:rsid w:val="00506534"/>
    <w:rsid w:val="005079BF"/>
    <w:rsid w:val="00507DEA"/>
    <w:rsid w:val="00507E73"/>
    <w:rsid w:val="005110F8"/>
    <w:rsid w:val="00511292"/>
    <w:rsid w:val="005120E7"/>
    <w:rsid w:val="0051242C"/>
    <w:rsid w:val="00512557"/>
    <w:rsid w:val="0051269A"/>
    <w:rsid w:val="0051504B"/>
    <w:rsid w:val="00516910"/>
    <w:rsid w:val="00516919"/>
    <w:rsid w:val="005205EF"/>
    <w:rsid w:val="00520905"/>
    <w:rsid w:val="005219E7"/>
    <w:rsid w:val="00522023"/>
    <w:rsid w:val="0052271E"/>
    <w:rsid w:val="005227F6"/>
    <w:rsid w:val="005230E4"/>
    <w:rsid w:val="00523B80"/>
    <w:rsid w:val="00525D12"/>
    <w:rsid w:val="005263A5"/>
    <w:rsid w:val="00526D64"/>
    <w:rsid w:val="005275D5"/>
    <w:rsid w:val="0053084F"/>
    <w:rsid w:val="005312C6"/>
    <w:rsid w:val="00531B9A"/>
    <w:rsid w:val="00531D15"/>
    <w:rsid w:val="00531DA2"/>
    <w:rsid w:val="005334E3"/>
    <w:rsid w:val="00533875"/>
    <w:rsid w:val="00533E30"/>
    <w:rsid w:val="00537604"/>
    <w:rsid w:val="00540445"/>
    <w:rsid w:val="00541A29"/>
    <w:rsid w:val="0054235F"/>
    <w:rsid w:val="00542377"/>
    <w:rsid w:val="00544FCD"/>
    <w:rsid w:val="005469C2"/>
    <w:rsid w:val="00546B83"/>
    <w:rsid w:val="005476EB"/>
    <w:rsid w:val="00550020"/>
    <w:rsid w:val="005501B0"/>
    <w:rsid w:val="00551782"/>
    <w:rsid w:val="0055248C"/>
    <w:rsid w:val="005528D2"/>
    <w:rsid w:val="0055397A"/>
    <w:rsid w:val="005541F1"/>
    <w:rsid w:val="00554839"/>
    <w:rsid w:val="00554D78"/>
    <w:rsid w:val="0055540B"/>
    <w:rsid w:val="005559D5"/>
    <w:rsid w:val="00555F5E"/>
    <w:rsid w:val="00560E82"/>
    <w:rsid w:val="005620F8"/>
    <w:rsid w:val="00562D12"/>
    <w:rsid w:val="00563A7A"/>
    <w:rsid w:val="00563EF1"/>
    <w:rsid w:val="00564C7B"/>
    <w:rsid w:val="00565BEB"/>
    <w:rsid w:val="00566AB4"/>
    <w:rsid w:val="00570609"/>
    <w:rsid w:val="00571E28"/>
    <w:rsid w:val="00572480"/>
    <w:rsid w:val="00573B11"/>
    <w:rsid w:val="00575AC5"/>
    <w:rsid w:val="00575FEB"/>
    <w:rsid w:val="0057605D"/>
    <w:rsid w:val="00576BF7"/>
    <w:rsid w:val="00577599"/>
    <w:rsid w:val="0058002B"/>
    <w:rsid w:val="00581347"/>
    <w:rsid w:val="00581AC9"/>
    <w:rsid w:val="0058205D"/>
    <w:rsid w:val="00582C09"/>
    <w:rsid w:val="0058346F"/>
    <w:rsid w:val="005847CA"/>
    <w:rsid w:val="005849F8"/>
    <w:rsid w:val="00590E66"/>
    <w:rsid w:val="005915F3"/>
    <w:rsid w:val="00591A64"/>
    <w:rsid w:val="005924EC"/>
    <w:rsid w:val="005938DF"/>
    <w:rsid w:val="00594796"/>
    <w:rsid w:val="00594E9C"/>
    <w:rsid w:val="00597847"/>
    <w:rsid w:val="00597A40"/>
    <w:rsid w:val="005A099B"/>
    <w:rsid w:val="005A23CC"/>
    <w:rsid w:val="005A2845"/>
    <w:rsid w:val="005A2B7B"/>
    <w:rsid w:val="005A2D9C"/>
    <w:rsid w:val="005A3A38"/>
    <w:rsid w:val="005A3FB6"/>
    <w:rsid w:val="005A5074"/>
    <w:rsid w:val="005A55FE"/>
    <w:rsid w:val="005A5FBF"/>
    <w:rsid w:val="005A6A11"/>
    <w:rsid w:val="005A77C3"/>
    <w:rsid w:val="005B395B"/>
    <w:rsid w:val="005B53BD"/>
    <w:rsid w:val="005B6310"/>
    <w:rsid w:val="005B63B8"/>
    <w:rsid w:val="005B65AC"/>
    <w:rsid w:val="005C004A"/>
    <w:rsid w:val="005C1911"/>
    <w:rsid w:val="005C1FF9"/>
    <w:rsid w:val="005C3BEA"/>
    <w:rsid w:val="005D01EF"/>
    <w:rsid w:val="005D109B"/>
    <w:rsid w:val="005D13D1"/>
    <w:rsid w:val="005D2502"/>
    <w:rsid w:val="005D40BB"/>
    <w:rsid w:val="005D42A9"/>
    <w:rsid w:val="005D47F3"/>
    <w:rsid w:val="005D49BF"/>
    <w:rsid w:val="005D4AA5"/>
    <w:rsid w:val="005D6B7B"/>
    <w:rsid w:val="005D6CF6"/>
    <w:rsid w:val="005D6F4E"/>
    <w:rsid w:val="005D73A1"/>
    <w:rsid w:val="005D7C73"/>
    <w:rsid w:val="005D7C8C"/>
    <w:rsid w:val="005E03B8"/>
    <w:rsid w:val="005E0E12"/>
    <w:rsid w:val="005E22D7"/>
    <w:rsid w:val="005E31A5"/>
    <w:rsid w:val="005E3ACD"/>
    <w:rsid w:val="005E5B48"/>
    <w:rsid w:val="005E63EB"/>
    <w:rsid w:val="005E69C2"/>
    <w:rsid w:val="005E6A8F"/>
    <w:rsid w:val="005E6AB0"/>
    <w:rsid w:val="005E7226"/>
    <w:rsid w:val="005E7A57"/>
    <w:rsid w:val="005F14AA"/>
    <w:rsid w:val="005F24B0"/>
    <w:rsid w:val="005F39BF"/>
    <w:rsid w:val="005F3A72"/>
    <w:rsid w:val="005F3F15"/>
    <w:rsid w:val="005F69E7"/>
    <w:rsid w:val="00601385"/>
    <w:rsid w:val="00601693"/>
    <w:rsid w:val="00604315"/>
    <w:rsid w:val="00604D1D"/>
    <w:rsid w:val="00604E26"/>
    <w:rsid w:val="006052CF"/>
    <w:rsid w:val="0060625D"/>
    <w:rsid w:val="00606321"/>
    <w:rsid w:val="00607B8D"/>
    <w:rsid w:val="00607FE6"/>
    <w:rsid w:val="006104D7"/>
    <w:rsid w:val="00610FE2"/>
    <w:rsid w:val="006114AD"/>
    <w:rsid w:val="00611968"/>
    <w:rsid w:val="00611C4D"/>
    <w:rsid w:val="00611E5F"/>
    <w:rsid w:val="00611F5C"/>
    <w:rsid w:val="00612474"/>
    <w:rsid w:val="006130BC"/>
    <w:rsid w:val="006130D6"/>
    <w:rsid w:val="006130E1"/>
    <w:rsid w:val="00613C1E"/>
    <w:rsid w:val="00614647"/>
    <w:rsid w:val="00616E09"/>
    <w:rsid w:val="00616F0F"/>
    <w:rsid w:val="006174E1"/>
    <w:rsid w:val="00617CBE"/>
    <w:rsid w:val="0062135C"/>
    <w:rsid w:val="0062181B"/>
    <w:rsid w:val="00622A3B"/>
    <w:rsid w:val="00622EEA"/>
    <w:rsid w:val="00623118"/>
    <w:rsid w:val="0062396C"/>
    <w:rsid w:val="00623FF9"/>
    <w:rsid w:val="006262AE"/>
    <w:rsid w:val="0062635A"/>
    <w:rsid w:val="00627D4E"/>
    <w:rsid w:val="00631000"/>
    <w:rsid w:val="00632AB6"/>
    <w:rsid w:val="00632B89"/>
    <w:rsid w:val="00634478"/>
    <w:rsid w:val="006362E9"/>
    <w:rsid w:val="00636C2B"/>
    <w:rsid w:val="006371C4"/>
    <w:rsid w:val="0064130B"/>
    <w:rsid w:val="0064271C"/>
    <w:rsid w:val="00643E17"/>
    <w:rsid w:val="00644373"/>
    <w:rsid w:val="00645915"/>
    <w:rsid w:val="006519C3"/>
    <w:rsid w:val="006524DF"/>
    <w:rsid w:val="00652B30"/>
    <w:rsid w:val="00653651"/>
    <w:rsid w:val="00656345"/>
    <w:rsid w:val="0065689F"/>
    <w:rsid w:val="00656DC6"/>
    <w:rsid w:val="00656DEB"/>
    <w:rsid w:val="0065762E"/>
    <w:rsid w:val="00660EC6"/>
    <w:rsid w:val="006613B7"/>
    <w:rsid w:val="00661E4D"/>
    <w:rsid w:val="00662DFA"/>
    <w:rsid w:val="006630D1"/>
    <w:rsid w:val="00663A1D"/>
    <w:rsid w:val="00663A77"/>
    <w:rsid w:val="00663CD8"/>
    <w:rsid w:val="00663DBF"/>
    <w:rsid w:val="00663EAE"/>
    <w:rsid w:val="00664110"/>
    <w:rsid w:val="00664D17"/>
    <w:rsid w:val="00666520"/>
    <w:rsid w:val="00667293"/>
    <w:rsid w:val="006672AC"/>
    <w:rsid w:val="00667C5B"/>
    <w:rsid w:val="006708D0"/>
    <w:rsid w:val="00671A2C"/>
    <w:rsid w:val="00674079"/>
    <w:rsid w:val="006751E7"/>
    <w:rsid w:val="006754CF"/>
    <w:rsid w:val="00675AB2"/>
    <w:rsid w:val="00676179"/>
    <w:rsid w:val="0067655E"/>
    <w:rsid w:val="006770D0"/>
    <w:rsid w:val="00680DC6"/>
    <w:rsid w:val="0068149F"/>
    <w:rsid w:val="00682CB9"/>
    <w:rsid w:val="00682FFE"/>
    <w:rsid w:val="00683035"/>
    <w:rsid w:val="006832A2"/>
    <w:rsid w:val="00683344"/>
    <w:rsid w:val="00684879"/>
    <w:rsid w:val="0068515F"/>
    <w:rsid w:val="00685182"/>
    <w:rsid w:val="00685D44"/>
    <w:rsid w:val="00685EB3"/>
    <w:rsid w:val="006861D1"/>
    <w:rsid w:val="00686645"/>
    <w:rsid w:val="0068676E"/>
    <w:rsid w:val="00686D1B"/>
    <w:rsid w:val="006903CD"/>
    <w:rsid w:val="006903E1"/>
    <w:rsid w:val="00690AC1"/>
    <w:rsid w:val="0069183A"/>
    <w:rsid w:val="00691CDB"/>
    <w:rsid w:val="00691EB8"/>
    <w:rsid w:val="00692575"/>
    <w:rsid w:val="0069264C"/>
    <w:rsid w:val="00692A2C"/>
    <w:rsid w:val="00692CDE"/>
    <w:rsid w:val="00693073"/>
    <w:rsid w:val="006930E7"/>
    <w:rsid w:val="00693FA0"/>
    <w:rsid w:val="00694392"/>
    <w:rsid w:val="0069543B"/>
    <w:rsid w:val="0069580E"/>
    <w:rsid w:val="00697427"/>
    <w:rsid w:val="006977FF"/>
    <w:rsid w:val="006A01FA"/>
    <w:rsid w:val="006A0E9E"/>
    <w:rsid w:val="006A1DAB"/>
    <w:rsid w:val="006A2551"/>
    <w:rsid w:val="006A25C7"/>
    <w:rsid w:val="006A4AAD"/>
    <w:rsid w:val="006A508D"/>
    <w:rsid w:val="006A56DD"/>
    <w:rsid w:val="006A5EE0"/>
    <w:rsid w:val="006A66EE"/>
    <w:rsid w:val="006A68D6"/>
    <w:rsid w:val="006A6D1C"/>
    <w:rsid w:val="006A6DA2"/>
    <w:rsid w:val="006A7616"/>
    <w:rsid w:val="006A7AB2"/>
    <w:rsid w:val="006A7DB9"/>
    <w:rsid w:val="006B048A"/>
    <w:rsid w:val="006B10E3"/>
    <w:rsid w:val="006B348A"/>
    <w:rsid w:val="006B3CCB"/>
    <w:rsid w:val="006B5717"/>
    <w:rsid w:val="006B582F"/>
    <w:rsid w:val="006B5AAA"/>
    <w:rsid w:val="006B5EB2"/>
    <w:rsid w:val="006B7D80"/>
    <w:rsid w:val="006C0CEB"/>
    <w:rsid w:val="006C14BB"/>
    <w:rsid w:val="006C2DDD"/>
    <w:rsid w:val="006C33E6"/>
    <w:rsid w:val="006C3771"/>
    <w:rsid w:val="006C3B1E"/>
    <w:rsid w:val="006C3B2D"/>
    <w:rsid w:val="006C3B85"/>
    <w:rsid w:val="006C4185"/>
    <w:rsid w:val="006C47FD"/>
    <w:rsid w:val="006C4D0B"/>
    <w:rsid w:val="006C53B4"/>
    <w:rsid w:val="006C5C19"/>
    <w:rsid w:val="006C70A0"/>
    <w:rsid w:val="006C752F"/>
    <w:rsid w:val="006D0BB9"/>
    <w:rsid w:val="006D27CB"/>
    <w:rsid w:val="006D2F08"/>
    <w:rsid w:val="006D34A4"/>
    <w:rsid w:val="006D5177"/>
    <w:rsid w:val="006D576C"/>
    <w:rsid w:val="006D5865"/>
    <w:rsid w:val="006D6049"/>
    <w:rsid w:val="006D7397"/>
    <w:rsid w:val="006E0739"/>
    <w:rsid w:val="006E1E63"/>
    <w:rsid w:val="006E2979"/>
    <w:rsid w:val="006E297C"/>
    <w:rsid w:val="006E2F26"/>
    <w:rsid w:val="006E3164"/>
    <w:rsid w:val="006E3AC3"/>
    <w:rsid w:val="006E3F38"/>
    <w:rsid w:val="006E4694"/>
    <w:rsid w:val="006E4A4C"/>
    <w:rsid w:val="006E4B1B"/>
    <w:rsid w:val="006E5445"/>
    <w:rsid w:val="006E7D93"/>
    <w:rsid w:val="006F4DE7"/>
    <w:rsid w:val="006F4FC1"/>
    <w:rsid w:val="006F61E5"/>
    <w:rsid w:val="006F7EFC"/>
    <w:rsid w:val="00700984"/>
    <w:rsid w:val="00700EA8"/>
    <w:rsid w:val="007029A3"/>
    <w:rsid w:val="00702BAE"/>
    <w:rsid w:val="00703718"/>
    <w:rsid w:val="00703EDF"/>
    <w:rsid w:val="0070648F"/>
    <w:rsid w:val="00706E4E"/>
    <w:rsid w:val="0070791C"/>
    <w:rsid w:val="00707C73"/>
    <w:rsid w:val="00707E56"/>
    <w:rsid w:val="00707F17"/>
    <w:rsid w:val="007109AC"/>
    <w:rsid w:val="00711C72"/>
    <w:rsid w:val="00712881"/>
    <w:rsid w:val="00712A3E"/>
    <w:rsid w:val="00712E24"/>
    <w:rsid w:val="007133D7"/>
    <w:rsid w:val="0071383C"/>
    <w:rsid w:val="007138E2"/>
    <w:rsid w:val="007141A7"/>
    <w:rsid w:val="00714B41"/>
    <w:rsid w:val="00715722"/>
    <w:rsid w:val="00715C42"/>
    <w:rsid w:val="007172F0"/>
    <w:rsid w:val="00717F65"/>
    <w:rsid w:val="00721032"/>
    <w:rsid w:val="00721443"/>
    <w:rsid w:val="00721B55"/>
    <w:rsid w:val="0072398F"/>
    <w:rsid w:val="007248A2"/>
    <w:rsid w:val="007251E1"/>
    <w:rsid w:val="00725DB9"/>
    <w:rsid w:val="00726CE4"/>
    <w:rsid w:val="00730008"/>
    <w:rsid w:val="00730597"/>
    <w:rsid w:val="00733276"/>
    <w:rsid w:val="00734074"/>
    <w:rsid w:val="00734143"/>
    <w:rsid w:val="00734458"/>
    <w:rsid w:val="00735852"/>
    <w:rsid w:val="007366F9"/>
    <w:rsid w:val="00737E47"/>
    <w:rsid w:val="00740230"/>
    <w:rsid w:val="007402EE"/>
    <w:rsid w:val="00740EAC"/>
    <w:rsid w:val="00741218"/>
    <w:rsid w:val="00744956"/>
    <w:rsid w:val="00745A5C"/>
    <w:rsid w:val="00745EFE"/>
    <w:rsid w:val="0074605F"/>
    <w:rsid w:val="00746A68"/>
    <w:rsid w:val="00747807"/>
    <w:rsid w:val="00747C15"/>
    <w:rsid w:val="00747E94"/>
    <w:rsid w:val="00751837"/>
    <w:rsid w:val="00751D8A"/>
    <w:rsid w:val="00754AFE"/>
    <w:rsid w:val="00754C83"/>
    <w:rsid w:val="00754EFF"/>
    <w:rsid w:val="007550AF"/>
    <w:rsid w:val="00755847"/>
    <w:rsid w:val="007560BE"/>
    <w:rsid w:val="0076152E"/>
    <w:rsid w:val="00762DBC"/>
    <w:rsid w:val="00763A6F"/>
    <w:rsid w:val="007657A6"/>
    <w:rsid w:val="00765DF8"/>
    <w:rsid w:val="00766749"/>
    <w:rsid w:val="0076754E"/>
    <w:rsid w:val="00767C1B"/>
    <w:rsid w:val="00767E79"/>
    <w:rsid w:val="007705F6"/>
    <w:rsid w:val="007714A9"/>
    <w:rsid w:val="00771C1C"/>
    <w:rsid w:val="00771E64"/>
    <w:rsid w:val="00772BA3"/>
    <w:rsid w:val="007744A7"/>
    <w:rsid w:val="00774D1A"/>
    <w:rsid w:val="00774F88"/>
    <w:rsid w:val="00774FDB"/>
    <w:rsid w:val="00775CEC"/>
    <w:rsid w:val="00777BA2"/>
    <w:rsid w:val="00781370"/>
    <w:rsid w:val="00781408"/>
    <w:rsid w:val="00781D45"/>
    <w:rsid w:val="007828ED"/>
    <w:rsid w:val="0078300D"/>
    <w:rsid w:val="007835AB"/>
    <w:rsid w:val="007840B5"/>
    <w:rsid w:val="0078424C"/>
    <w:rsid w:val="00784F7F"/>
    <w:rsid w:val="00785E0F"/>
    <w:rsid w:val="007878BD"/>
    <w:rsid w:val="00790EB7"/>
    <w:rsid w:val="007911C5"/>
    <w:rsid w:val="00791D2D"/>
    <w:rsid w:val="00793B0B"/>
    <w:rsid w:val="00795F24"/>
    <w:rsid w:val="00796EF4"/>
    <w:rsid w:val="00796F25"/>
    <w:rsid w:val="00797C77"/>
    <w:rsid w:val="007A248B"/>
    <w:rsid w:val="007A2E98"/>
    <w:rsid w:val="007A3BA3"/>
    <w:rsid w:val="007A6CC0"/>
    <w:rsid w:val="007A75A3"/>
    <w:rsid w:val="007A7C1C"/>
    <w:rsid w:val="007A7FEC"/>
    <w:rsid w:val="007B0165"/>
    <w:rsid w:val="007B1499"/>
    <w:rsid w:val="007B1BBF"/>
    <w:rsid w:val="007B2801"/>
    <w:rsid w:val="007B2960"/>
    <w:rsid w:val="007B34F5"/>
    <w:rsid w:val="007B355D"/>
    <w:rsid w:val="007B45D7"/>
    <w:rsid w:val="007B6318"/>
    <w:rsid w:val="007B70E3"/>
    <w:rsid w:val="007B76DD"/>
    <w:rsid w:val="007B7980"/>
    <w:rsid w:val="007C0DEF"/>
    <w:rsid w:val="007C1CA2"/>
    <w:rsid w:val="007C314B"/>
    <w:rsid w:val="007C4CB5"/>
    <w:rsid w:val="007C55A4"/>
    <w:rsid w:val="007C5D5A"/>
    <w:rsid w:val="007C5FF2"/>
    <w:rsid w:val="007C607F"/>
    <w:rsid w:val="007C731E"/>
    <w:rsid w:val="007C79DD"/>
    <w:rsid w:val="007D1458"/>
    <w:rsid w:val="007D18B7"/>
    <w:rsid w:val="007D1A97"/>
    <w:rsid w:val="007D1C54"/>
    <w:rsid w:val="007D2CD6"/>
    <w:rsid w:val="007D3063"/>
    <w:rsid w:val="007D3116"/>
    <w:rsid w:val="007D31B9"/>
    <w:rsid w:val="007D3CEB"/>
    <w:rsid w:val="007D49E6"/>
    <w:rsid w:val="007D5FED"/>
    <w:rsid w:val="007D628A"/>
    <w:rsid w:val="007D6B4C"/>
    <w:rsid w:val="007D7F62"/>
    <w:rsid w:val="007E1147"/>
    <w:rsid w:val="007E1861"/>
    <w:rsid w:val="007E26E0"/>
    <w:rsid w:val="007E444E"/>
    <w:rsid w:val="007E5E25"/>
    <w:rsid w:val="007E61F4"/>
    <w:rsid w:val="007E6626"/>
    <w:rsid w:val="007E6D52"/>
    <w:rsid w:val="007E7683"/>
    <w:rsid w:val="007E769E"/>
    <w:rsid w:val="007E7B4B"/>
    <w:rsid w:val="007E7BF7"/>
    <w:rsid w:val="007F05A0"/>
    <w:rsid w:val="007F0BE2"/>
    <w:rsid w:val="007F27BF"/>
    <w:rsid w:val="007F2D52"/>
    <w:rsid w:val="007F49FA"/>
    <w:rsid w:val="007F54C4"/>
    <w:rsid w:val="007F5D8B"/>
    <w:rsid w:val="007F5F75"/>
    <w:rsid w:val="007F63F9"/>
    <w:rsid w:val="007F6565"/>
    <w:rsid w:val="007F68CC"/>
    <w:rsid w:val="007F6E9A"/>
    <w:rsid w:val="007F791A"/>
    <w:rsid w:val="008013D9"/>
    <w:rsid w:val="00801854"/>
    <w:rsid w:val="00804417"/>
    <w:rsid w:val="008044D4"/>
    <w:rsid w:val="00804631"/>
    <w:rsid w:val="008048E5"/>
    <w:rsid w:val="0080496C"/>
    <w:rsid w:val="008067B8"/>
    <w:rsid w:val="00810AB4"/>
    <w:rsid w:val="00812F57"/>
    <w:rsid w:val="00814DDE"/>
    <w:rsid w:val="00815F31"/>
    <w:rsid w:val="00817B56"/>
    <w:rsid w:val="00817C09"/>
    <w:rsid w:val="008205F5"/>
    <w:rsid w:val="00820DEB"/>
    <w:rsid w:val="00821831"/>
    <w:rsid w:val="00821A88"/>
    <w:rsid w:val="00822B3D"/>
    <w:rsid w:val="00822EF0"/>
    <w:rsid w:val="00823EB4"/>
    <w:rsid w:val="0082495D"/>
    <w:rsid w:val="00825765"/>
    <w:rsid w:val="008279B9"/>
    <w:rsid w:val="008311C9"/>
    <w:rsid w:val="00831AC3"/>
    <w:rsid w:val="00831D7E"/>
    <w:rsid w:val="008332F7"/>
    <w:rsid w:val="00834DA6"/>
    <w:rsid w:val="008408FF"/>
    <w:rsid w:val="00841513"/>
    <w:rsid w:val="00841DCE"/>
    <w:rsid w:val="00842CBD"/>
    <w:rsid w:val="00842E47"/>
    <w:rsid w:val="00843613"/>
    <w:rsid w:val="00844C12"/>
    <w:rsid w:val="00846B68"/>
    <w:rsid w:val="008472B3"/>
    <w:rsid w:val="00847992"/>
    <w:rsid w:val="00847DBC"/>
    <w:rsid w:val="00851B91"/>
    <w:rsid w:val="00851F3F"/>
    <w:rsid w:val="00852597"/>
    <w:rsid w:val="00852E23"/>
    <w:rsid w:val="008547C1"/>
    <w:rsid w:val="00855274"/>
    <w:rsid w:val="00856092"/>
    <w:rsid w:val="00856EDC"/>
    <w:rsid w:val="00860239"/>
    <w:rsid w:val="00860532"/>
    <w:rsid w:val="00860F7B"/>
    <w:rsid w:val="008623B5"/>
    <w:rsid w:val="0086306C"/>
    <w:rsid w:val="00864A4F"/>
    <w:rsid w:val="008658B4"/>
    <w:rsid w:val="0086747B"/>
    <w:rsid w:val="00867908"/>
    <w:rsid w:val="0087035B"/>
    <w:rsid w:val="00870ABA"/>
    <w:rsid w:val="008710E1"/>
    <w:rsid w:val="008716E5"/>
    <w:rsid w:val="008731EA"/>
    <w:rsid w:val="00873F12"/>
    <w:rsid w:val="0087538F"/>
    <w:rsid w:val="0087573C"/>
    <w:rsid w:val="00877596"/>
    <w:rsid w:val="008777D4"/>
    <w:rsid w:val="0088109C"/>
    <w:rsid w:val="00881CA9"/>
    <w:rsid w:val="00883535"/>
    <w:rsid w:val="00883628"/>
    <w:rsid w:val="00883C07"/>
    <w:rsid w:val="0088423B"/>
    <w:rsid w:val="00884719"/>
    <w:rsid w:val="00885544"/>
    <w:rsid w:val="0088634E"/>
    <w:rsid w:val="008869BD"/>
    <w:rsid w:val="008874CE"/>
    <w:rsid w:val="008904DC"/>
    <w:rsid w:val="00890EA7"/>
    <w:rsid w:val="00890F82"/>
    <w:rsid w:val="008932BD"/>
    <w:rsid w:val="00893AB8"/>
    <w:rsid w:val="00893E88"/>
    <w:rsid w:val="0089422E"/>
    <w:rsid w:val="00894373"/>
    <w:rsid w:val="00895B8D"/>
    <w:rsid w:val="008974CF"/>
    <w:rsid w:val="00897518"/>
    <w:rsid w:val="00897FC4"/>
    <w:rsid w:val="008A034D"/>
    <w:rsid w:val="008A04C8"/>
    <w:rsid w:val="008A1703"/>
    <w:rsid w:val="008A18BE"/>
    <w:rsid w:val="008A5D0F"/>
    <w:rsid w:val="008A6913"/>
    <w:rsid w:val="008A7B37"/>
    <w:rsid w:val="008A7EDD"/>
    <w:rsid w:val="008B0B0B"/>
    <w:rsid w:val="008B2A50"/>
    <w:rsid w:val="008B2C57"/>
    <w:rsid w:val="008B3E3C"/>
    <w:rsid w:val="008B5267"/>
    <w:rsid w:val="008B5B11"/>
    <w:rsid w:val="008B70F3"/>
    <w:rsid w:val="008B71C4"/>
    <w:rsid w:val="008B76DF"/>
    <w:rsid w:val="008B7FDD"/>
    <w:rsid w:val="008C0C6F"/>
    <w:rsid w:val="008C10F4"/>
    <w:rsid w:val="008C13D8"/>
    <w:rsid w:val="008C2978"/>
    <w:rsid w:val="008C3D36"/>
    <w:rsid w:val="008C543A"/>
    <w:rsid w:val="008C61C2"/>
    <w:rsid w:val="008C65F7"/>
    <w:rsid w:val="008D083A"/>
    <w:rsid w:val="008D1214"/>
    <w:rsid w:val="008D16D3"/>
    <w:rsid w:val="008D179D"/>
    <w:rsid w:val="008D2AA3"/>
    <w:rsid w:val="008D34E7"/>
    <w:rsid w:val="008D3E98"/>
    <w:rsid w:val="008D3EDE"/>
    <w:rsid w:val="008D4ADF"/>
    <w:rsid w:val="008D53C9"/>
    <w:rsid w:val="008D6BD1"/>
    <w:rsid w:val="008D6CE3"/>
    <w:rsid w:val="008E3BD1"/>
    <w:rsid w:val="008E43B9"/>
    <w:rsid w:val="008E4767"/>
    <w:rsid w:val="008E479E"/>
    <w:rsid w:val="008E4C48"/>
    <w:rsid w:val="008E5BB0"/>
    <w:rsid w:val="008E7123"/>
    <w:rsid w:val="008E7172"/>
    <w:rsid w:val="008E7A8C"/>
    <w:rsid w:val="008E7D8A"/>
    <w:rsid w:val="008F1A68"/>
    <w:rsid w:val="008F1B36"/>
    <w:rsid w:val="008F2825"/>
    <w:rsid w:val="008F2A51"/>
    <w:rsid w:val="008F4940"/>
    <w:rsid w:val="008F5618"/>
    <w:rsid w:val="008F6D0B"/>
    <w:rsid w:val="008F76C0"/>
    <w:rsid w:val="008F7B5B"/>
    <w:rsid w:val="008F7CC2"/>
    <w:rsid w:val="008F7E36"/>
    <w:rsid w:val="009001FE"/>
    <w:rsid w:val="009017D5"/>
    <w:rsid w:val="00902113"/>
    <w:rsid w:val="00902F6C"/>
    <w:rsid w:val="00903285"/>
    <w:rsid w:val="00903980"/>
    <w:rsid w:val="00903E9C"/>
    <w:rsid w:val="00904675"/>
    <w:rsid w:val="00905F48"/>
    <w:rsid w:val="009060E4"/>
    <w:rsid w:val="00906F40"/>
    <w:rsid w:val="0090731E"/>
    <w:rsid w:val="009076C8"/>
    <w:rsid w:val="00907D30"/>
    <w:rsid w:val="00910465"/>
    <w:rsid w:val="009111E4"/>
    <w:rsid w:val="009114E1"/>
    <w:rsid w:val="00911755"/>
    <w:rsid w:val="009117C0"/>
    <w:rsid w:val="00914644"/>
    <w:rsid w:val="00915277"/>
    <w:rsid w:val="00915660"/>
    <w:rsid w:val="00915B1C"/>
    <w:rsid w:val="009174F3"/>
    <w:rsid w:val="0091760A"/>
    <w:rsid w:val="0091797D"/>
    <w:rsid w:val="00921606"/>
    <w:rsid w:val="00923CBA"/>
    <w:rsid w:val="00923D7A"/>
    <w:rsid w:val="00925F94"/>
    <w:rsid w:val="00926703"/>
    <w:rsid w:val="00927691"/>
    <w:rsid w:val="00927A5F"/>
    <w:rsid w:val="0093042F"/>
    <w:rsid w:val="00931E24"/>
    <w:rsid w:val="00932FD4"/>
    <w:rsid w:val="009331A0"/>
    <w:rsid w:val="00935113"/>
    <w:rsid w:val="00935B63"/>
    <w:rsid w:val="009372C5"/>
    <w:rsid w:val="00937581"/>
    <w:rsid w:val="00940613"/>
    <w:rsid w:val="0094078F"/>
    <w:rsid w:val="00940FA3"/>
    <w:rsid w:val="00941FB0"/>
    <w:rsid w:val="009426D4"/>
    <w:rsid w:val="00943CF1"/>
    <w:rsid w:val="0094468A"/>
    <w:rsid w:val="00944CE8"/>
    <w:rsid w:val="00944E57"/>
    <w:rsid w:val="00947A65"/>
    <w:rsid w:val="00947E40"/>
    <w:rsid w:val="00947F25"/>
    <w:rsid w:val="00950159"/>
    <w:rsid w:val="00950651"/>
    <w:rsid w:val="00952E76"/>
    <w:rsid w:val="00954080"/>
    <w:rsid w:val="00954227"/>
    <w:rsid w:val="00954405"/>
    <w:rsid w:val="0095490B"/>
    <w:rsid w:val="00954F7C"/>
    <w:rsid w:val="009550B5"/>
    <w:rsid w:val="00957A68"/>
    <w:rsid w:val="00957AF4"/>
    <w:rsid w:val="00960534"/>
    <w:rsid w:val="00960A33"/>
    <w:rsid w:val="00961942"/>
    <w:rsid w:val="00962702"/>
    <w:rsid w:val="00962747"/>
    <w:rsid w:val="0096293B"/>
    <w:rsid w:val="00965014"/>
    <w:rsid w:val="00965149"/>
    <w:rsid w:val="00971914"/>
    <w:rsid w:val="0097284F"/>
    <w:rsid w:val="00972A73"/>
    <w:rsid w:val="0097339E"/>
    <w:rsid w:val="00973E59"/>
    <w:rsid w:val="00974363"/>
    <w:rsid w:val="00976810"/>
    <w:rsid w:val="00977C8E"/>
    <w:rsid w:val="00980FDD"/>
    <w:rsid w:val="00981898"/>
    <w:rsid w:val="00982243"/>
    <w:rsid w:val="0098339B"/>
    <w:rsid w:val="00983933"/>
    <w:rsid w:val="00983BC4"/>
    <w:rsid w:val="00984997"/>
    <w:rsid w:val="009850ED"/>
    <w:rsid w:val="00990149"/>
    <w:rsid w:val="00990604"/>
    <w:rsid w:val="009929A2"/>
    <w:rsid w:val="00992EA4"/>
    <w:rsid w:val="009933F1"/>
    <w:rsid w:val="00993989"/>
    <w:rsid w:val="00994635"/>
    <w:rsid w:val="00994D12"/>
    <w:rsid w:val="0099577C"/>
    <w:rsid w:val="00996457"/>
    <w:rsid w:val="009A02CC"/>
    <w:rsid w:val="009A0DE9"/>
    <w:rsid w:val="009A2CD4"/>
    <w:rsid w:val="009A2EDA"/>
    <w:rsid w:val="009A393D"/>
    <w:rsid w:val="009A497F"/>
    <w:rsid w:val="009B04B5"/>
    <w:rsid w:val="009B0F3B"/>
    <w:rsid w:val="009B0F6F"/>
    <w:rsid w:val="009B1D9A"/>
    <w:rsid w:val="009B2601"/>
    <w:rsid w:val="009B3C06"/>
    <w:rsid w:val="009B4E9E"/>
    <w:rsid w:val="009B5897"/>
    <w:rsid w:val="009B5F76"/>
    <w:rsid w:val="009C012D"/>
    <w:rsid w:val="009C0FB0"/>
    <w:rsid w:val="009C1690"/>
    <w:rsid w:val="009C1D78"/>
    <w:rsid w:val="009C22D4"/>
    <w:rsid w:val="009C2DFE"/>
    <w:rsid w:val="009C3431"/>
    <w:rsid w:val="009C35AE"/>
    <w:rsid w:val="009C37B3"/>
    <w:rsid w:val="009C41ED"/>
    <w:rsid w:val="009C429A"/>
    <w:rsid w:val="009C4FFD"/>
    <w:rsid w:val="009C6881"/>
    <w:rsid w:val="009C6EB5"/>
    <w:rsid w:val="009C7226"/>
    <w:rsid w:val="009C7759"/>
    <w:rsid w:val="009D043D"/>
    <w:rsid w:val="009D07C8"/>
    <w:rsid w:val="009D10D5"/>
    <w:rsid w:val="009D1C5E"/>
    <w:rsid w:val="009D33A5"/>
    <w:rsid w:val="009D69A5"/>
    <w:rsid w:val="009D6C71"/>
    <w:rsid w:val="009D7205"/>
    <w:rsid w:val="009E061C"/>
    <w:rsid w:val="009E0631"/>
    <w:rsid w:val="009E0A59"/>
    <w:rsid w:val="009E10B6"/>
    <w:rsid w:val="009E16D0"/>
    <w:rsid w:val="009E298D"/>
    <w:rsid w:val="009E38FD"/>
    <w:rsid w:val="009E56C7"/>
    <w:rsid w:val="009E63B6"/>
    <w:rsid w:val="009E6ED1"/>
    <w:rsid w:val="009E77DA"/>
    <w:rsid w:val="009E78D9"/>
    <w:rsid w:val="009F0766"/>
    <w:rsid w:val="009F0A52"/>
    <w:rsid w:val="009F13D6"/>
    <w:rsid w:val="009F183A"/>
    <w:rsid w:val="009F1D47"/>
    <w:rsid w:val="009F3E56"/>
    <w:rsid w:val="009F4C6B"/>
    <w:rsid w:val="009F56BB"/>
    <w:rsid w:val="009F5B80"/>
    <w:rsid w:val="009F6A9E"/>
    <w:rsid w:val="009F6E44"/>
    <w:rsid w:val="009F78A8"/>
    <w:rsid w:val="009F7DCC"/>
    <w:rsid w:val="00A006D5"/>
    <w:rsid w:val="00A0281E"/>
    <w:rsid w:val="00A02870"/>
    <w:rsid w:val="00A02A83"/>
    <w:rsid w:val="00A02AD6"/>
    <w:rsid w:val="00A0539C"/>
    <w:rsid w:val="00A06905"/>
    <w:rsid w:val="00A06943"/>
    <w:rsid w:val="00A06DA4"/>
    <w:rsid w:val="00A07096"/>
    <w:rsid w:val="00A07318"/>
    <w:rsid w:val="00A07457"/>
    <w:rsid w:val="00A07825"/>
    <w:rsid w:val="00A1085F"/>
    <w:rsid w:val="00A11370"/>
    <w:rsid w:val="00A122A7"/>
    <w:rsid w:val="00A12B2F"/>
    <w:rsid w:val="00A13EE5"/>
    <w:rsid w:val="00A1481A"/>
    <w:rsid w:val="00A14C48"/>
    <w:rsid w:val="00A15015"/>
    <w:rsid w:val="00A15928"/>
    <w:rsid w:val="00A17DCE"/>
    <w:rsid w:val="00A20578"/>
    <w:rsid w:val="00A21B3D"/>
    <w:rsid w:val="00A21E4D"/>
    <w:rsid w:val="00A220C5"/>
    <w:rsid w:val="00A224CE"/>
    <w:rsid w:val="00A22522"/>
    <w:rsid w:val="00A229DA"/>
    <w:rsid w:val="00A22B19"/>
    <w:rsid w:val="00A23371"/>
    <w:rsid w:val="00A23BDC"/>
    <w:rsid w:val="00A24AFD"/>
    <w:rsid w:val="00A24EC5"/>
    <w:rsid w:val="00A24F32"/>
    <w:rsid w:val="00A24F5C"/>
    <w:rsid w:val="00A26097"/>
    <w:rsid w:val="00A260DC"/>
    <w:rsid w:val="00A27C8F"/>
    <w:rsid w:val="00A316DC"/>
    <w:rsid w:val="00A31D1F"/>
    <w:rsid w:val="00A3257A"/>
    <w:rsid w:val="00A32F96"/>
    <w:rsid w:val="00A337E4"/>
    <w:rsid w:val="00A34E59"/>
    <w:rsid w:val="00A357E3"/>
    <w:rsid w:val="00A361DA"/>
    <w:rsid w:val="00A36DB9"/>
    <w:rsid w:val="00A371EF"/>
    <w:rsid w:val="00A40061"/>
    <w:rsid w:val="00A40871"/>
    <w:rsid w:val="00A412AB"/>
    <w:rsid w:val="00A4193E"/>
    <w:rsid w:val="00A41A96"/>
    <w:rsid w:val="00A426CA"/>
    <w:rsid w:val="00A433DE"/>
    <w:rsid w:val="00A440E0"/>
    <w:rsid w:val="00A442EF"/>
    <w:rsid w:val="00A447DE"/>
    <w:rsid w:val="00A44E11"/>
    <w:rsid w:val="00A44EF9"/>
    <w:rsid w:val="00A4667A"/>
    <w:rsid w:val="00A47355"/>
    <w:rsid w:val="00A4757D"/>
    <w:rsid w:val="00A47605"/>
    <w:rsid w:val="00A47699"/>
    <w:rsid w:val="00A47BFF"/>
    <w:rsid w:val="00A501EA"/>
    <w:rsid w:val="00A5027B"/>
    <w:rsid w:val="00A50696"/>
    <w:rsid w:val="00A510CC"/>
    <w:rsid w:val="00A51D1A"/>
    <w:rsid w:val="00A53367"/>
    <w:rsid w:val="00A5418D"/>
    <w:rsid w:val="00A5474E"/>
    <w:rsid w:val="00A54941"/>
    <w:rsid w:val="00A55E90"/>
    <w:rsid w:val="00A56928"/>
    <w:rsid w:val="00A57337"/>
    <w:rsid w:val="00A573A6"/>
    <w:rsid w:val="00A579FB"/>
    <w:rsid w:val="00A60384"/>
    <w:rsid w:val="00A61633"/>
    <w:rsid w:val="00A619A9"/>
    <w:rsid w:val="00A61BBC"/>
    <w:rsid w:val="00A629B5"/>
    <w:rsid w:val="00A62F61"/>
    <w:rsid w:val="00A64234"/>
    <w:rsid w:val="00A6551E"/>
    <w:rsid w:val="00A70ADF"/>
    <w:rsid w:val="00A71466"/>
    <w:rsid w:val="00A72A3B"/>
    <w:rsid w:val="00A748A3"/>
    <w:rsid w:val="00A74B5E"/>
    <w:rsid w:val="00A771E3"/>
    <w:rsid w:val="00A774E7"/>
    <w:rsid w:val="00A77756"/>
    <w:rsid w:val="00A80D25"/>
    <w:rsid w:val="00A80EDE"/>
    <w:rsid w:val="00A80FE2"/>
    <w:rsid w:val="00A81BED"/>
    <w:rsid w:val="00A81EC4"/>
    <w:rsid w:val="00A81F83"/>
    <w:rsid w:val="00A83143"/>
    <w:rsid w:val="00A83BC8"/>
    <w:rsid w:val="00A85778"/>
    <w:rsid w:val="00A857B7"/>
    <w:rsid w:val="00A85DB2"/>
    <w:rsid w:val="00A86F1C"/>
    <w:rsid w:val="00A94A6D"/>
    <w:rsid w:val="00A94FE3"/>
    <w:rsid w:val="00A9654A"/>
    <w:rsid w:val="00A967FD"/>
    <w:rsid w:val="00A96C98"/>
    <w:rsid w:val="00AA10F0"/>
    <w:rsid w:val="00AA1DFC"/>
    <w:rsid w:val="00AA2DE5"/>
    <w:rsid w:val="00AA4E52"/>
    <w:rsid w:val="00AA6698"/>
    <w:rsid w:val="00AA690E"/>
    <w:rsid w:val="00AA742E"/>
    <w:rsid w:val="00AA7DF4"/>
    <w:rsid w:val="00AB000A"/>
    <w:rsid w:val="00AB0C98"/>
    <w:rsid w:val="00AB1504"/>
    <w:rsid w:val="00AB156C"/>
    <w:rsid w:val="00AB3839"/>
    <w:rsid w:val="00AB415A"/>
    <w:rsid w:val="00AB4DCB"/>
    <w:rsid w:val="00AB5FD5"/>
    <w:rsid w:val="00AB6320"/>
    <w:rsid w:val="00AB6428"/>
    <w:rsid w:val="00AB6814"/>
    <w:rsid w:val="00AB7F8A"/>
    <w:rsid w:val="00AC04BA"/>
    <w:rsid w:val="00AC0E39"/>
    <w:rsid w:val="00AC22CD"/>
    <w:rsid w:val="00AC4CDC"/>
    <w:rsid w:val="00AC6210"/>
    <w:rsid w:val="00AC64C4"/>
    <w:rsid w:val="00AC724C"/>
    <w:rsid w:val="00AC7F25"/>
    <w:rsid w:val="00AD2008"/>
    <w:rsid w:val="00AD3082"/>
    <w:rsid w:val="00AD31E3"/>
    <w:rsid w:val="00AD32B4"/>
    <w:rsid w:val="00AD36F1"/>
    <w:rsid w:val="00AD4AD0"/>
    <w:rsid w:val="00AD5078"/>
    <w:rsid w:val="00AD5436"/>
    <w:rsid w:val="00AD5443"/>
    <w:rsid w:val="00AD60CD"/>
    <w:rsid w:val="00AD6C8C"/>
    <w:rsid w:val="00AD7690"/>
    <w:rsid w:val="00AD7B20"/>
    <w:rsid w:val="00AE091D"/>
    <w:rsid w:val="00AE371E"/>
    <w:rsid w:val="00AE3876"/>
    <w:rsid w:val="00AE3B60"/>
    <w:rsid w:val="00AE53A1"/>
    <w:rsid w:val="00AE6846"/>
    <w:rsid w:val="00AE6B79"/>
    <w:rsid w:val="00AE73F5"/>
    <w:rsid w:val="00AE79FA"/>
    <w:rsid w:val="00AF05F2"/>
    <w:rsid w:val="00AF06C8"/>
    <w:rsid w:val="00AF1F93"/>
    <w:rsid w:val="00AF23C4"/>
    <w:rsid w:val="00AF2484"/>
    <w:rsid w:val="00AF2DD0"/>
    <w:rsid w:val="00AF491C"/>
    <w:rsid w:val="00AF52BE"/>
    <w:rsid w:val="00AF5F7D"/>
    <w:rsid w:val="00AF63E7"/>
    <w:rsid w:val="00AF6686"/>
    <w:rsid w:val="00AF6E17"/>
    <w:rsid w:val="00B0165D"/>
    <w:rsid w:val="00B01B60"/>
    <w:rsid w:val="00B01EE2"/>
    <w:rsid w:val="00B028A5"/>
    <w:rsid w:val="00B028B2"/>
    <w:rsid w:val="00B031F3"/>
    <w:rsid w:val="00B03E95"/>
    <w:rsid w:val="00B0465F"/>
    <w:rsid w:val="00B052A4"/>
    <w:rsid w:val="00B11871"/>
    <w:rsid w:val="00B122DA"/>
    <w:rsid w:val="00B125DE"/>
    <w:rsid w:val="00B12B26"/>
    <w:rsid w:val="00B12B28"/>
    <w:rsid w:val="00B13239"/>
    <w:rsid w:val="00B13FDD"/>
    <w:rsid w:val="00B1655E"/>
    <w:rsid w:val="00B167DD"/>
    <w:rsid w:val="00B17EBF"/>
    <w:rsid w:val="00B17F70"/>
    <w:rsid w:val="00B22EB2"/>
    <w:rsid w:val="00B23942"/>
    <w:rsid w:val="00B2399B"/>
    <w:rsid w:val="00B25CCD"/>
    <w:rsid w:val="00B27442"/>
    <w:rsid w:val="00B31167"/>
    <w:rsid w:val="00B31477"/>
    <w:rsid w:val="00B329D8"/>
    <w:rsid w:val="00B32BB9"/>
    <w:rsid w:val="00B32CB6"/>
    <w:rsid w:val="00B33291"/>
    <w:rsid w:val="00B338C1"/>
    <w:rsid w:val="00B33AE1"/>
    <w:rsid w:val="00B33C3A"/>
    <w:rsid w:val="00B3419E"/>
    <w:rsid w:val="00B344C6"/>
    <w:rsid w:val="00B34CBC"/>
    <w:rsid w:val="00B354B4"/>
    <w:rsid w:val="00B37C38"/>
    <w:rsid w:val="00B402A8"/>
    <w:rsid w:val="00B40D8E"/>
    <w:rsid w:val="00B411FC"/>
    <w:rsid w:val="00B4288C"/>
    <w:rsid w:val="00B43262"/>
    <w:rsid w:val="00B44100"/>
    <w:rsid w:val="00B45CB5"/>
    <w:rsid w:val="00B46CBA"/>
    <w:rsid w:val="00B46F0A"/>
    <w:rsid w:val="00B46F74"/>
    <w:rsid w:val="00B46F94"/>
    <w:rsid w:val="00B476B9"/>
    <w:rsid w:val="00B4794E"/>
    <w:rsid w:val="00B47D3F"/>
    <w:rsid w:val="00B500F5"/>
    <w:rsid w:val="00B507A8"/>
    <w:rsid w:val="00B50C4C"/>
    <w:rsid w:val="00B50C7E"/>
    <w:rsid w:val="00B51609"/>
    <w:rsid w:val="00B53BA5"/>
    <w:rsid w:val="00B56974"/>
    <w:rsid w:val="00B576C6"/>
    <w:rsid w:val="00B6003C"/>
    <w:rsid w:val="00B6156F"/>
    <w:rsid w:val="00B617C6"/>
    <w:rsid w:val="00B61F03"/>
    <w:rsid w:val="00B626E4"/>
    <w:rsid w:val="00B635AD"/>
    <w:rsid w:val="00B650E8"/>
    <w:rsid w:val="00B66D4E"/>
    <w:rsid w:val="00B6719D"/>
    <w:rsid w:val="00B6721D"/>
    <w:rsid w:val="00B67697"/>
    <w:rsid w:val="00B709D2"/>
    <w:rsid w:val="00B70A87"/>
    <w:rsid w:val="00B70AEB"/>
    <w:rsid w:val="00B72B50"/>
    <w:rsid w:val="00B72C17"/>
    <w:rsid w:val="00B72E89"/>
    <w:rsid w:val="00B72F4A"/>
    <w:rsid w:val="00B74F85"/>
    <w:rsid w:val="00B77766"/>
    <w:rsid w:val="00B80EA9"/>
    <w:rsid w:val="00B83468"/>
    <w:rsid w:val="00B83C27"/>
    <w:rsid w:val="00B84BC3"/>
    <w:rsid w:val="00B84BDD"/>
    <w:rsid w:val="00B859CE"/>
    <w:rsid w:val="00B85B64"/>
    <w:rsid w:val="00B864C6"/>
    <w:rsid w:val="00B873BF"/>
    <w:rsid w:val="00B87A12"/>
    <w:rsid w:val="00B92812"/>
    <w:rsid w:val="00B92D2B"/>
    <w:rsid w:val="00B95259"/>
    <w:rsid w:val="00B95DA7"/>
    <w:rsid w:val="00BA1505"/>
    <w:rsid w:val="00BA36BF"/>
    <w:rsid w:val="00BA3D9E"/>
    <w:rsid w:val="00BA54E7"/>
    <w:rsid w:val="00BA5A9D"/>
    <w:rsid w:val="00BA6352"/>
    <w:rsid w:val="00BA7EE5"/>
    <w:rsid w:val="00BB23D4"/>
    <w:rsid w:val="00BB2E75"/>
    <w:rsid w:val="00BB2F8F"/>
    <w:rsid w:val="00BB3099"/>
    <w:rsid w:val="00BB385D"/>
    <w:rsid w:val="00BB3AD7"/>
    <w:rsid w:val="00BB3E0A"/>
    <w:rsid w:val="00BB45A1"/>
    <w:rsid w:val="00BB4C63"/>
    <w:rsid w:val="00BB5D43"/>
    <w:rsid w:val="00BB7686"/>
    <w:rsid w:val="00BC13B9"/>
    <w:rsid w:val="00BC1700"/>
    <w:rsid w:val="00BC23F9"/>
    <w:rsid w:val="00BC2625"/>
    <w:rsid w:val="00BC3421"/>
    <w:rsid w:val="00BC3644"/>
    <w:rsid w:val="00BC4522"/>
    <w:rsid w:val="00BC732C"/>
    <w:rsid w:val="00BD05FE"/>
    <w:rsid w:val="00BD0976"/>
    <w:rsid w:val="00BD24C2"/>
    <w:rsid w:val="00BD2D6A"/>
    <w:rsid w:val="00BD2F1E"/>
    <w:rsid w:val="00BD4B1B"/>
    <w:rsid w:val="00BD6BFC"/>
    <w:rsid w:val="00BD6EAA"/>
    <w:rsid w:val="00BD76B5"/>
    <w:rsid w:val="00BE17C9"/>
    <w:rsid w:val="00BE2580"/>
    <w:rsid w:val="00BE266D"/>
    <w:rsid w:val="00BE3677"/>
    <w:rsid w:val="00BE3938"/>
    <w:rsid w:val="00BE4C10"/>
    <w:rsid w:val="00BE4C11"/>
    <w:rsid w:val="00BE71C0"/>
    <w:rsid w:val="00BF1193"/>
    <w:rsid w:val="00BF23E0"/>
    <w:rsid w:val="00BF2DBB"/>
    <w:rsid w:val="00BF2FBD"/>
    <w:rsid w:val="00BF3A80"/>
    <w:rsid w:val="00BF4CFF"/>
    <w:rsid w:val="00BF5275"/>
    <w:rsid w:val="00BF531E"/>
    <w:rsid w:val="00BF545D"/>
    <w:rsid w:val="00BF610C"/>
    <w:rsid w:val="00C0060B"/>
    <w:rsid w:val="00C017A6"/>
    <w:rsid w:val="00C024C3"/>
    <w:rsid w:val="00C02567"/>
    <w:rsid w:val="00C0277D"/>
    <w:rsid w:val="00C04EA5"/>
    <w:rsid w:val="00C04EB1"/>
    <w:rsid w:val="00C05318"/>
    <w:rsid w:val="00C053A1"/>
    <w:rsid w:val="00C05A82"/>
    <w:rsid w:val="00C1148A"/>
    <w:rsid w:val="00C11756"/>
    <w:rsid w:val="00C12C06"/>
    <w:rsid w:val="00C14727"/>
    <w:rsid w:val="00C14CC0"/>
    <w:rsid w:val="00C153F2"/>
    <w:rsid w:val="00C15678"/>
    <w:rsid w:val="00C15B3E"/>
    <w:rsid w:val="00C16198"/>
    <w:rsid w:val="00C177B7"/>
    <w:rsid w:val="00C2083D"/>
    <w:rsid w:val="00C21D96"/>
    <w:rsid w:val="00C22E03"/>
    <w:rsid w:val="00C24255"/>
    <w:rsid w:val="00C24510"/>
    <w:rsid w:val="00C24A53"/>
    <w:rsid w:val="00C24DB7"/>
    <w:rsid w:val="00C26744"/>
    <w:rsid w:val="00C26F58"/>
    <w:rsid w:val="00C2711B"/>
    <w:rsid w:val="00C27266"/>
    <w:rsid w:val="00C27EAB"/>
    <w:rsid w:val="00C34869"/>
    <w:rsid w:val="00C34A05"/>
    <w:rsid w:val="00C36206"/>
    <w:rsid w:val="00C4032F"/>
    <w:rsid w:val="00C41563"/>
    <w:rsid w:val="00C41F54"/>
    <w:rsid w:val="00C42AC4"/>
    <w:rsid w:val="00C42D62"/>
    <w:rsid w:val="00C433A0"/>
    <w:rsid w:val="00C43F60"/>
    <w:rsid w:val="00C44047"/>
    <w:rsid w:val="00C45155"/>
    <w:rsid w:val="00C46724"/>
    <w:rsid w:val="00C46AA1"/>
    <w:rsid w:val="00C50877"/>
    <w:rsid w:val="00C50C5E"/>
    <w:rsid w:val="00C51ABB"/>
    <w:rsid w:val="00C54229"/>
    <w:rsid w:val="00C5498F"/>
    <w:rsid w:val="00C55235"/>
    <w:rsid w:val="00C56288"/>
    <w:rsid w:val="00C57986"/>
    <w:rsid w:val="00C604BF"/>
    <w:rsid w:val="00C612BA"/>
    <w:rsid w:val="00C64614"/>
    <w:rsid w:val="00C64CD0"/>
    <w:rsid w:val="00C65510"/>
    <w:rsid w:val="00C6684F"/>
    <w:rsid w:val="00C70841"/>
    <w:rsid w:val="00C70C84"/>
    <w:rsid w:val="00C70E70"/>
    <w:rsid w:val="00C719A8"/>
    <w:rsid w:val="00C722A4"/>
    <w:rsid w:val="00C7250B"/>
    <w:rsid w:val="00C72697"/>
    <w:rsid w:val="00C735F9"/>
    <w:rsid w:val="00C7473E"/>
    <w:rsid w:val="00C75F8D"/>
    <w:rsid w:val="00C77380"/>
    <w:rsid w:val="00C81CA8"/>
    <w:rsid w:val="00C81F03"/>
    <w:rsid w:val="00C82035"/>
    <w:rsid w:val="00C823BC"/>
    <w:rsid w:val="00C82CAA"/>
    <w:rsid w:val="00C84EA1"/>
    <w:rsid w:val="00C856C3"/>
    <w:rsid w:val="00C85714"/>
    <w:rsid w:val="00C859DF"/>
    <w:rsid w:val="00C85BDF"/>
    <w:rsid w:val="00C85DBC"/>
    <w:rsid w:val="00C87159"/>
    <w:rsid w:val="00C926CF"/>
    <w:rsid w:val="00C95106"/>
    <w:rsid w:val="00C9670E"/>
    <w:rsid w:val="00C9676B"/>
    <w:rsid w:val="00C96A3D"/>
    <w:rsid w:val="00C97736"/>
    <w:rsid w:val="00CA10B2"/>
    <w:rsid w:val="00CA14C6"/>
    <w:rsid w:val="00CA1CD4"/>
    <w:rsid w:val="00CA2286"/>
    <w:rsid w:val="00CA258B"/>
    <w:rsid w:val="00CA3346"/>
    <w:rsid w:val="00CA345A"/>
    <w:rsid w:val="00CA4A3F"/>
    <w:rsid w:val="00CA58F6"/>
    <w:rsid w:val="00CA5E32"/>
    <w:rsid w:val="00CA5E9C"/>
    <w:rsid w:val="00CA7008"/>
    <w:rsid w:val="00CB06EF"/>
    <w:rsid w:val="00CB1E82"/>
    <w:rsid w:val="00CB3B0A"/>
    <w:rsid w:val="00CB42FD"/>
    <w:rsid w:val="00CB4766"/>
    <w:rsid w:val="00CB4BA8"/>
    <w:rsid w:val="00CB52D7"/>
    <w:rsid w:val="00CB6C06"/>
    <w:rsid w:val="00CB79F0"/>
    <w:rsid w:val="00CC05DC"/>
    <w:rsid w:val="00CC1807"/>
    <w:rsid w:val="00CC2736"/>
    <w:rsid w:val="00CC2D77"/>
    <w:rsid w:val="00CC6732"/>
    <w:rsid w:val="00CC76DD"/>
    <w:rsid w:val="00CC7BE8"/>
    <w:rsid w:val="00CD0B45"/>
    <w:rsid w:val="00CD17F3"/>
    <w:rsid w:val="00CD355A"/>
    <w:rsid w:val="00CD4BB2"/>
    <w:rsid w:val="00CD4ED6"/>
    <w:rsid w:val="00CD5761"/>
    <w:rsid w:val="00CE12B8"/>
    <w:rsid w:val="00CE14FB"/>
    <w:rsid w:val="00CE2F5E"/>
    <w:rsid w:val="00CE3C96"/>
    <w:rsid w:val="00CE3CD9"/>
    <w:rsid w:val="00CE3FF3"/>
    <w:rsid w:val="00CE4AF9"/>
    <w:rsid w:val="00CE4CD3"/>
    <w:rsid w:val="00CE513D"/>
    <w:rsid w:val="00CE51A8"/>
    <w:rsid w:val="00CE598A"/>
    <w:rsid w:val="00CE77E3"/>
    <w:rsid w:val="00CE7C77"/>
    <w:rsid w:val="00CF08C3"/>
    <w:rsid w:val="00CF0D65"/>
    <w:rsid w:val="00CF2EC2"/>
    <w:rsid w:val="00CF369B"/>
    <w:rsid w:val="00CF5863"/>
    <w:rsid w:val="00CF7708"/>
    <w:rsid w:val="00D00E28"/>
    <w:rsid w:val="00D01CAD"/>
    <w:rsid w:val="00D020E0"/>
    <w:rsid w:val="00D0269E"/>
    <w:rsid w:val="00D031A5"/>
    <w:rsid w:val="00D03F04"/>
    <w:rsid w:val="00D03FCB"/>
    <w:rsid w:val="00D04BAE"/>
    <w:rsid w:val="00D05D6C"/>
    <w:rsid w:val="00D06565"/>
    <w:rsid w:val="00D0795A"/>
    <w:rsid w:val="00D11E45"/>
    <w:rsid w:val="00D125D3"/>
    <w:rsid w:val="00D13A51"/>
    <w:rsid w:val="00D15810"/>
    <w:rsid w:val="00D15C3A"/>
    <w:rsid w:val="00D16D4E"/>
    <w:rsid w:val="00D16FE3"/>
    <w:rsid w:val="00D2150E"/>
    <w:rsid w:val="00D219B2"/>
    <w:rsid w:val="00D222EC"/>
    <w:rsid w:val="00D224AB"/>
    <w:rsid w:val="00D23020"/>
    <w:rsid w:val="00D25321"/>
    <w:rsid w:val="00D254A6"/>
    <w:rsid w:val="00D25EF7"/>
    <w:rsid w:val="00D26582"/>
    <w:rsid w:val="00D27F41"/>
    <w:rsid w:val="00D27F98"/>
    <w:rsid w:val="00D309B5"/>
    <w:rsid w:val="00D31308"/>
    <w:rsid w:val="00D31D89"/>
    <w:rsid w:val="00D337EE"/>
    <w:rsid w:val="00D35433"/>
    <w:rsid w:val="00D3628C"/>
    <w:rsid w:val="00D36441"/>
    <w:rsid w:val="00D40609"/>
    <w:rsid w:val="00D4064E"/>
    <w:rsid w:val="00D40930"/>
    <w:rsid w:val="00D43E70"/>
    <w:rsid w:val="00D44680"/>
    <w:rsid w:val="00D44E9B"/>
    <w:rsid w:val="00D45879"/>
    <w:rsid w:val="00D46F7F"/>
    <w:rsid w:val="00D47AEB"/>
    <w:rsid w:val="00D47E86"/>
    <w:rsid w:val="00D47E94"/>
    <w:rsid w:val="00D50669"/>
    <w:rsid w:val="00D50DB9"/>
    <w:rsid w:val="00D51302"/>
    <w:rsid w:val="00D517DF"/>
    <w:rsid w:val="00D5194A"/>
    <w:rsid w:val="00D52C43"/>
    <w:rsid w:val="00D535F0"/>
    <w:rsid w:val="00D544C0"/>
    <w:rsid w:val="00D559BA"/>
    <w:rsid w:val="00D55EE6"/>
    <w:rsid w:val="00D560D7"/>
    <w:rsid w:val="00D57E2B"/>
    <w:rsid w:val="00D6173F"/>
    <w:rsid w:val="00D61C25"/>
    <w:rsid w:val="00D61F33"/>
    <w:rsid w:val="00D62118"/>
    <w:rsid w:val="00D62628"/>
    <w:rsid w:val="00D6281A"/>
    <w:rsid w:val="00D632EC"/>
    <w:rsid w:val="00D6507F"/>
    <w:rsid w:val="00D6648A"/>
    <w:rsid w:val="00D668CA"/>
    <w:rsid w:val="00D71044"/>
    <w:rsid w:val="00D719F3"/>
    <w:rsid w:val="00D721FA"/>
    <w:rsid w:val="00D730BC"/>
    <w:rsid w:val="00D73260"/>
    <w:rsid w:val="00D73912"/>
    <w:rsid w:val="00D746E7"/>
    <w:rsid w:val="00D76E48"/>
    <w:rsid w:val="00D7752D"/>
    <w:rsid w:val="00D7781C"/>
    <w:rsid w:val="00D800A8"/>
    <w:rsid w:val="00D826B4"/>
    <w:rsid w:val="00D82DC0"/>
    <w:rsid w:val="00D83221"/>
    <w:rsid w:val="00D84E95"/>
    <w:rsid w:val="00D84ED0"/>
    <w:rsid w:val="00D85226"/>
    <w:rsid w:val="00D85F27"/>
    <w:rsid w:val="00D868FA"/>
    <w:rsid w:val="00D86EB2"/>
    <w:rsid w:val="00D87050"/>
    <w:rsid w:val="00D87B94"/>
    <w:rsid w:val="00D87BF1"/>
    <w:rsid w:val="00D91A90"/>
    <w:rsid w:val="00D91BD6"/>
    <w:rsid w:val="00D91DC3"/>
    <w:rsid w:val="00D92829"/>
    <w:rsid w:val="00D92909"/>
    <w:rsid w:val="00D92D49"/>
    <w:rsid w:val="00D92EC1"/>
    <w:rsid w:val="00D94CAF"/>
    <w:rsid w:val="00D950EA"/>
    <w:rsid w:val="00D96DEA"/>
    <w:rsid w:val="00D976CB"/>
    <w:rsid w:val="00D97811"/>
    <w:rsid w:val="00DA229B"/>
    <w:rsid w:val="00DA3989"/>
    <w:rsid w:val="00DA3E07"/>
    <w:rsid w:val="00DA3F3A"/>
    <w:rsid w:val="00DA4E41"/>
    <w:rsid w:val="00DA5B3A"/>
    <w:rsid w:val="00DA7BC1"/>
    <w:rsid w:val="00DB031C"/>
    <w:rsid w:val="00DB048C"/>
    <w:rsid w:val="00DB0517"/>
    <w:rsid w:val="00DB05A3"/>
    <w:rsid w:val="00DB117A"/>
    <w:rsid w:val="00DB266D"/>
    <w:rsid w:val="00DB5173"/>
    <w:rsid w:val="00DB5504"/>
    <w:rsid w:val="00DB5FC7"/>
    <w:rsid w:val="00DB644F"/>
    <w:rsid w:val="00DB76C4"/>
    <w:rsid w:val="00DB7873"/>
    <w:rsid w:val="00DC1130"/>
    <w:rsid w:val="00DC1442"/>
    <w:rsid w:val="00DC1561"/>
    <w:rsid w:val="00DC187B"/>
    <w:rsid w:val="00DC29A3"/>
    <w:rsid w:val="00DC3888"/>
    <w:rsid w:val="00DC3ABB"/>
    <w:rsid w:val="00DC4DEF"/>
    <w:rsid w:val="00DD06D7"/>
    <w:rsid w:val="00DD113A"/>
    <w:rsid w:val="00DD174E"/>
    <w:rsid w:val="00DD1A43"/>
    <w:rsid w:val="00DD2957"/>
    <w:rsid w:val="00DD2E50"/>
    <w:rsid w:val="00DD5A9F"/>
    <w:rsid w:val="00DD5DEC"/>
    <w:rsid w:val="00DD6B3E"/>
    <w:rsid w:val="00DD73C2"/>
    <w:rsid w:val="00DE1FDD"/>
    <w:rsid w:val="00DE26D2"/>
    <w:rsid w:val="00DE319B"/>
    <w:rsid w:val="00DE38A5"/>
    <w:rsid w:val="00DE3F05"/>
    <w:rsid w:val="00DE44BA"/>
    <w:rsid w:val="00DE5F33"/>
    <w:rsid w:val="00DE6871"/>
    <w:rsid w:val="00DF08B6"/>
    <w:rsid w:val="00DF143A"/>
    <w:rsid w:val="00DF1A6D"/>
    <w:rsid w:val="00DF21CB"/>
    <w:rsid w:val="00DF34FE"/>
    <w:rsid w:val="00DF42CC"/>
    <w:rsid w:val="00DF44DE"/>
    <w:rsid w:val="00DF47BA"/>
    <w:rsid w:val="00DF5304"/>
    <w:rsid w:val="00DF56AA"/>
    <w:rsid w:val="00DF56AF"/>
    <w:rsid w:val="00DF65BE"/>
    <w:rsid w:val="00DF6E1E"/>
    <w:rsid w:val="00DF78E7"/>
    <w:rsid w:val="00E015A4"/>
    <w:rsid w:val="00E02007"/>
    <w:rsid w:val="00E021B1"/>
    <w:rsid w:val="00E0355B"/>
    <w:rsid w:val="00E03AFD"/>
    <w:rsid w:val="00E04CC9"/>
    <w:rsid w:val="00E05457"/>
    <w:rsid w:val="00E05BB9"/>
    <w:rsid w:val="00E064BD"/>
    <w:rsid w:val="00E07A74"/>
    <w:rsid w:val="00E10D32"/>
    <w:rsid w:val="00E110E0"/>
    <w:rsid w:val="00E11137"/>
    <w:rsid w:val="00E1337B"/>
    <w:rsid w:val="00E13923"/>
    <w:rsid w:val="00E151DE"/>
    <w:rsid w:val="00E15371"/>
    <w:rsid w:val="00E165A4"/>
    <w:rsid w:val="00E16FE7"/>
    <w:rsid w:val="00E17DAB"/>
    <w:rsid w:val="00E20E82"/>
    <w:rsid w:val="00E21061"/>
    <w:rsid w:val="00E2181C"/>
    <w:rsid w:val="00E220E0"/>
    <w:rsid w:val="00E24104"/>
    <w:rsid w:val="00E24A5F"/>
    <w:rsid w:val="00E2537A"/>
    <w:rsid w:val="00E26577"/>
    <w:rsid w:val="00E2792D"/>
    <w:rsid w:val="00E302D0"/>
    <w:rsid w:val="00E3089A"/>
    <w:rsid w:val="00E343D3"/>
    <w:rsid w:val="00E35707"/>
    <w:rsid w:val="00E36AA1"/>
    <w:rsid w:val="00E36AFE"/>
    <w:rsid w:val="00E36E80"/>
    <w:rsid w:val="00E379CE"/>
    <w:rsid w:val="00E41B29"/>
    <w:rsid w:val="00E41ECB"/>
    <w:rsid w:val="00E43A73"/>
    <w:rsid w:val="00E51048"/>
    <w:rsid w:val="00E5210F"/>
    <w:rsid w:val="00E527E7"/>
    <w:rsid w:val="00E533EE"/>
    <w:rsid w:val="00E5352F"/>
    <w:rsid w:val="00E544E0"/>
    <w:rsid w:val="00E545C3"/>
    <w:rsid w:val="00E54FDB"/>
    <w:rsid w:val="00E55851"/>
    <w:rsid w:val="00E5617D"/>
    <w:rsid w:val="00E56320"/>
    <w:rsid w:val="00E563D7"/>
    <w:rsid w:val="00E56B9A"/>
    <w:rsid w:val="00E57041"/>
    <w:rsid w:val="00E57880"/>
    <w:rsid w:val="00E62376"/>
    <w:rsid w:val="00E658C8"/>
    <w:rsid w:val="00E65A2D"/>
    <w:rsid w:val="00E663F4"/>
    <w:rsid w:val="00E66422"/>
    <w:rsid w:val="00E664FA"/>
    <w:rsid w:val="00E666F2"/>
    <w:rsid w:val="00E66DD4"/>
    <w:rsid w:val="00E67FE3"/>
    <w:rsid w:val="00E706A9"/>
    <w:rsid w:val="00E709B2"/>
    <w:rsid w:val="00E71AF8"/>
    <w:rsid w:val="00E738E0"/>
    <w:rsid w:val="00E748CC"/>
    <w:rsid w:val="00E75415"/>
    <w:rsid w:val="00E770E7"/>
    <w:rsid w:val="00E772C8"/>
    <w:rsid w:val="00E775B1"/>
    <w:rsid w:val="00E80C64"/>
    <w:rsid w:val="00E8152A"/>
    <w:rsid w:val="00E821E7"/>
    <w:rsid w:val="00E82365"/>
    <w:rsid w:val="00E856B0"/>
    <w:rsid w:val="00E85D3F"/>
    <w:rsid w:val="00E85D8B"/>
    <w:rsid w:val="00E8746F"/>
    <w:rsid w:val="00E87F66"/>
    <w:rsid w:val="00E900AB"/>
    <w:rsid w:val="00E9035E"/>
    <w:rsid w:val="00E93629"/>
    <w:rsid w:val="00E93B5C"/>
    <w:rsid w:val="00E94CB0"/>
    <w:rsid w:val="00E94CEC"/>
    <w:rsid w:val="00E9652B"/>
    <w:rsid w:val="00E972DC"/>
    <w:rsid w:val="00E97D0C"/>
    <w:rsid w:val="00EA045A"/>
    <w:rsid w:val="00EA04EF"/>
    <w:rsid w:val="00EA3935"/>
    <w:rsid w:val="00EA537C"/>
    <w:rsid w:val="00EA6316"/>
    <w:rsid w:val="00EA6F19"/>
    <w:rsid w:val="00EA7847"/>
    <w:rsid w:val="00EA798F"/>
    <w:rsid w:val="00EB0DEE"/>
    <w:rsid w:val="00EB11C6"/>
    <w:rsid w:val="00EB316F"/>
    <w:rsid w:val="00EB36A9"/>
    <w:rsid w:val="00EB496D"/>
    <w:rsid w:val="00EB4B17"/>
    <w:rsid w:val="00EB5152"/>
    <w:rsid w:val="00EB7090"/>
    <w:rsid w:val="00EC1149"/>
    <w:rsid w:val="00EC15BE"/>
    <w:rsid w:val="00EC1BBE"/>
    <w:rsid w:val="00EC1D2F"/>
    <w:rsid w:val="00EC3074"/>
    <w:rsid w:val="00EC32AE"/>
    <w:rsid w:val="00EC3A9D"/>
    <w:rsid w:val="00EC3B3C"/>
    <w:rsid w:val="00EC5CD7"/>
    <w:rsid w:val="00EC6B99"/>
    <w:rsid w:val="00EC7B93"/>
    <w:rsid w:val="00ED1525"/>
    <w:rsid w:val="00ED17ED"/>
    <w:rsid w:val="00ED452C"/>
    <w:rsid w:val="00ED4933"/>
    <w:rsid w:val="00ED623A"/>
    <w:rsid w:val="00ED688F"/>
    <w:rsid w:val="00EE0053"/>
    <w:rsid w:val="00EE020B"/>
    <w:rsid w:val="00EE1BB6"/>
    <w:rsid w:val="00EE2311"/>
    <w:rsid w:val="00EE3710"/>
    <w:rsid w:val="00EE5FB3"/>
    <w:rsid w:val="00EE766D"/>
    <w:rsid w:val="00EE7F79"/>
    <w:rsid w:val="00EF156E"/>
    <w:rsid w:val="00EF2DBB"/>
    <w:rsid w:val="00EF498B"/>
    <w:rsid w:val="00EF715A"/>
    <w:rsid w:val="00EF73FF"/>
    <w:rsid w:val="00F004B7"/>
    <w:rsid w:val="00F012AE"/>
    <w:rsid w:val="00F01336"/>
    <w:rsid w:val="00F01345"/>
    <w:rsid w:val="00F019E7"/>
    <w:rsid w:val="00F01A16"/>
    <w:rsid w:val="00F031E8"/>
    <w:rsid w:val="00F04777"/>
    <w:rsid w:val="00F04B19"/>
    <w:rsid w:val="00F057E3"/>
    <w:rsid w:val="00F05BAF"/>
    <w:rsid w:val="00F064B2"/>
    <w:rsid w:val="00F06E14"/>
    <w:rsid w:val="00F07AE7"/>
    <w:rsid w:val="00F07D2B"/>
    <w:rsid w:val="00F1517E"/>
    <w:rsid w:val="00F15E0A"/>
    <w:rsid w:val="00F17138"/>
    <w:rsid w:val="00F179D4"/>
    <w:rsid w:val="00F21718"/>
    <w:rsid w:val="00F21B88"/>
    <w:rsid w:val="00F2412E"/>
    <w:rsid w:val="00F24DC1"/>
    <w:rsid w:val="00F25D61"/>
    <w:rsid w:val="00F2628D"/>
    <w:rsid w:val="00F27D55"/>
    <w:rsid w:val="00F3156E"/>
    <w:rsid w:val="00F3340F"/>
    <w:rsid w:val="00F337F8"/>
    <w:rsid w:val="00F33C56"/>
    <w:rsid w:val="00F347C7"/>
    <w:rsid w:val="00F34848"/>
    <w:rsid w:val="00F3495C"/>
    <w:rsid w:val="00F350F1"/>
    <w:rsid w:val="00F37A5D"/>
    <w:rsid w:val="00F41B19"/>
    <w:rsid w:val="00F41D08"/>
    <w:rsid w:val="00F42D46"/>
    <w:rsid w:val="00F43C18"/>
    <w:rsid w:val="00F43FEC"/>
    <w:rsid w:val="00F4496C"/>
    <w:rsid w:val="00F44F3A"/>
    <w:rsid w:val="00F44F47"/>
    <w:rsid w:val="00F45AB5"/>
    <w:rsid w:val="00F46F02"/>
    <w:rsid w:val="00F478C9"/>
    <w:rsid w:val="00F479AC"/>
    <w:rsid w:val="00F50BD0"/>
    <w:rsid w:val="00F51F10"/>
    <w:rsid w:val="00F529A5"/>
    <w:rsid w:val="00F52D7E"/>
    <w:rsid w:val="00F55CA7"/>
    <w:rsid w:val="00F55FE3"/>
    <w:rsid w:val="00F56B69"/>
    <w:rsid w:val="00F56F31"/>
    <w:rsid w:val="00F57373"/>
    <w:rsid w:val="00F57A94"/>
    <w:rsid w:val="00F60F00"/>
    <w:rsid w:val="00F60F6B"/>
    <w:rsid w:val="00F614C0"/>
    <w:rsid w:val="00F61CE5"/>
    <w:rsid w:val="00F63978"/>
    <w:rsid w:val="00F63B96"/>
    <w:rsid w:val="00F64790"/>
    <w:rsid w:val="00F67B71"/>
    <w:rsid w:val="00F67CC7"/>
    <w:rsid w:val="00F71593"/>
    <w:rsid w:val="00F73595"/>
    <w:rsid w:val="00F757EA"/>
    <w:rsid w:val="00F75C6F"/>
    <w:rsid w:val="00F8025F"/>
    <w:rsid w:val="00F80DE7"/>
    <w:rsid w:val="00F82673"/>
    <w:rsid w:val="00F83848"/>
    <w:rsid w:val="00F839E5"/>
    <w:rsid w:val="00F83F59"/>
    <w:rsid w:val="00F851C2"/>
    <w:rsid w:val="00F855C4"/>
    <w:rsid w:val="00F857C7"/>
    <w:rsid w:val="00F859BC"/>
    <w:rsid w:val="00F85C88"/>
    <w:rsid w:val="00F8693C"/>
    <w:rsid w:val="00F86AC8"/>
    <w:rsid w:val="00F876B0"/>
    <w:rsid w:val="00F901A9"/>
    <w:rsid w:val="00F92120"/>
    <w:rsid w:val="00F9390B"/>
    <w:rsid w:val="00F9625B"/>
    <w:rsid w:val="00F972CD"/>
    <w:rsid w:val="00F975E9"/>
    <w:rsid w:val="00FA19ED"/>
    <w:rsid w:val="00FA1B7D"/>
    <w:rsid w:val="00FA297B"/>
    <w:rsid w:val="00FA2DA5"/>
    <w:rsid w:val="00FA4014"/>
    <w:rsid w:val="00FA43C5"/>
    <w:rsid w:val="00FA79A9"/>
    <w:rsid w:val="00FB042C"/>
    <w:rsid w:val="00FB14D8"/>
    <w:rsid w:val="00FB330A"/>
    <w:rsid w:val="00FB35B8"/>
    <w:rsid w:val="00FB3CD9"/>
    <w:rsid w:val="00FB7F67"/>
    <w:rsid w:val="00FC07B9"/>
    <w:rsid w:val="00FC4E21"/>
    <w:rsid w:val="00FC4EF2"/>
    <w:rsid w:val="00FC5F6D"/>
    <w:rsid w:val="00FD0107"/>
    <w:rsid w:val="00FD08BB"/>
    <w:rsid w:val="00FD1033"/>
    <w:rsid w:val="00FD1059"/>
    <w:rsid w:val="00FD2C2F"/>
    <w:rsid w:val="00FD35F4"/>
    <w:rsid w:val="00FD3B31"/>
    <w:rsid w:val="00FD4761"/>
    <w:rsid w:val="00FD5B02"/>
    <w:rsid w:val="00FD7246"/>
    <w:rsid w:val="00FE1823"/>
    <w:rsid w:val="00FE2208"/>
    <w:rsid w:val="00FE2393"/>
    <w:rsid w:val="00FE292D"/>
    <w:rsid w:val="00FE3B39"/>
    <w:rsid w:val="00FE3C3A"/>
    <w:rsid w:val="00FE42C6"/>
    <w:rsid w:val="00FE487A"/>
    <w:rsid w:val="00FE7E65"/>
    <w:rsid w:val="00FF007D"/>
    <w:rsid w:val="00FF0569"/>
    <w:rsid w:val="00FF206E"/>
    <w:rsid w:val="00FF22A6"/>
    <w:rsid w:val="00FF2BE6"/>
    <w:rsid w:val="00FF30D8"/>
    <w:rsid w:val="00FF3C69"/>
    <w:rsid w:val="00FF479A"/>
    <w:rsid w:val="00FF47C8"/>
    <w:rsid w:val="00FF6C50"/>
    <w:rsid w:val="00FF6E0A"/>
    <w:rsid w:val="00FF6EC9"/>
    <w:rsid w:val="2FF7DB22"/>
    <w:rsid w:val="3501256C"/>
    <w:rsid w:val="496991AC"/>
    <w:rsid w:val="7E85AB3F"/>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colormru v:ext="edit" colors="red,#4d4d4f"/>
    </o:shapedefaults>
    <o:shapelayout v:ext="edit">
      <o:idmap v:ext="edit" data="1"/>
    </o:shapelayout>
  </w:shapeDefaults>
  <w:decimalSymbol w:val="."/>
  <w:listSeparator w:val=","/>
  <w14:docId w14:val="79AAF902"/>
  <w15:docId w15:val="{5B5B864D-AE22-4061-9279-11F7AE8D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heading 1" w:uiPriority="1" w:qFormat="1"/>
    <w:lsdException w:name="heading 2"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4B17"/>
    <w:pPr>
      <w:spacing w:after="240" w:line="240" w:lineRule="atLeast"/>
    </w:pPr>
    <w:rPr>
      <w:rFonts w:ascii="Arial" w:hAnsi="Arial"/>
      <w:sz w:val="22"/>
    </w:rPr>
  </w:style>
  <w:style w:type="paragraph" w:styleId="Heading1">
    <w:name w:val="heading 1"/>
    <w:basedOn w:val="Normal"/>
    <w:next w:val="Normal"/>
    <w:link w:val="Heading1Char"/>
    <w:uiPriority w:val="1"/>
    <w:qFormat/>
    <w:rsid w:val="00923D7A"/>
    <w:pPr>
      <w:keepNext/>
      <w:pageBreakBefore/>
      <w:widowControl w:val="0"/>
      <w:numPr>
        <w:numId w:val="106"/>
      </w:numPr>
      <w:spacing w:after="360" w:line="550" w:lineRule="exact"/>
      <w:outlineLvl w:val="0"/>
    </w:pPr>
    <w:rPr>
      <w:rFonts w:cs="Arial"/>
      <w:bCs/>
      <w:color w:val="323232"/>
      <w:kern w:val="32"/>
      <w:sz w:val="44"/>
      <w:szCs w:val="32"/>
    </w:rPr>
  </w:style>
  <w:style w:type="paragraph" w:styleId="Heading2">
    <w:name w:val="heading 2"/>
    <w:basedOn w:val="Normal"/>
    <w:next w:val="Normal"/>
    <w:link w:val="Heading2Char"/>
    <w:uiPriority w:val="9"/>
    <w:qFormat/>
    <w:rsid w:val="00254146"/>
    <w:pPr>
      <w:keepNext/>
      <w:numPr>
        <w:ilvl w:val="1"/>
        <w:numId w:val="106"/>
      </w:numPr>
      <w:spacing w:before="320" w:after="60"/>
      <w:outlineLvl w:val="1"/>
    </w:pPr>
    <w:rPr>
      <w:rFonts w:cs="Arial"/>
      <w:b/>
      <w:bCs/>
      <w:iCs/>
      <w:sz w:val="28"/>
      <w:szCs w:val="28"/>
    </w:rPr>
  </w:style>
  <w:style w:type="paragraph" w:styleId="Heading3">
    <w:name w:val="heading 3"/>
    <w:basedOn w:val="Normal"/>
    <w:next w:val="Normal"/>
    <w:link w:val="Heading3Char"/>
    <w:qFormat/>
    <w:rsid w:val="00254146"/>
    <w:pPr>
      <w:keepNext/>
      <w:numPr>
        <w:ilvl w:val="2"/>
        <w:numId w:val="106"/>
      </w:numPr>
      <w:spacing w:before="60" w:after="60"/>
      <w:outlineLvl w:val="2"/>
    </w:pPr>
    <w:rPr>
      <w:rFonts w:cs="Arial"/>
      <w:b/>
      <w:bCs/>
      <w:szCs w:val="26"/>
    </w:rPr>
  </w:style>
  <w:style w:type="paragraph" w:styleId="Heading4">
    <w:name w:val="heading 4"/>
    <w:basedOn w:val="Normal"/>
    <w:next w:val="Normal"/>
    <w:link w:val="Heading4Char"/>
    <w:qFormat/>
    <w:rsid w:val="00847DBC"/>
    <w:pPr>
      <w:keepNext/>
      <w:spacing w:before="60" w:after="60"/>
      <w:outlineLvl w:val="3"/>
    </w:pPr>
    <w:rPr>
      <w:bCs/>
      <w:szCs w:val="28"/>
      <w:u w:val="single"/>
    </w:rPr>
  </w:style>
  <w:style w:type="paragraph" w:styleId="Heading5">
    <w:name w:val="heading 5"/>
    <w:basedOn w:val="Normal"/>
    <w:next w:val="Normal"/>
    <w:semiHidden/>
    <w:qFormat/>
    <w:rsid w:val="00AD5436"/>
    <w:pPr>
      <w:numPr>
        <w:ilvl w:val="4"/>
        <w:numId w:val="106"/>
      </w:numPr>
      <w:tabs>
        <w:tab w:val="num" w:pos="360"/>
      </w:tabs>
      <w:spacing w:before="240" w:after="60"/>
      <w:ind w:left="0" w:firstLine="0"/>
      <w:outlineLvl w:val="4"/>
    </w:pPr>
    <w:rPr>
      <w:b/>
      <w:bCs/>
      <w:i/>
      <w:iCs/>
      <w:sz w:val="26"/>
      <w:szCs w:val="26"/>
    </w:rPr>
  </w:style>
  <w:style w:type="paragraph" w:styleId="Heading6">
    <w:name w:val="heading 6"/>
    <w:basedOn w:val="Normal"/>
    <w:next w:val="Normal"/>
    <w:semiHidden/>
    <w:qFormat/>
    <w:rsid w:val="00AD5436"/>
    <w:pPr>
      <w:numPr>
        <w:ilvl w:val="5"/>
        <w:numId w:val="106"/>
      </w:numPr>
      <w:tabs>
        <w:tab w:val="num" w:pos="360"/>
      </w:tabs>
      <w:spacing w:before="240" w:after="60"/>
      <w:ind w:left="0" w:firstLine="0"/>
      <w:outlineLvl w:val="5"/>
    </w:pPr>
    <w:rPr>
      <w:rFonts w:ascii="Times New Roman" w:hAnsi="Times New Roman"/>
      <w:b/>
      <w:bCs/>
      <w:szCs w:val="22"/>
    </w:rPr>
  </w:style>
  <w:style w:type="paragraph" w:styleId="Heading7">
    <w:name w:val="heading 7"/>
    <w:basedOn w:val="Normal"/>
    <w:next w:val="Normal"/>
    <w:semiHidden/>
    <w:qFormat/>
    <w:rsid w:val="00AD5436"/>
    <w:pPr>
      <w:numPr>
        <w:ilvl w:val="6"/>
        <w:numId w:val="106"/>
      </w:numPr>
      <w:tabs>
        <w:tab w:val="num" w:pos="360"/>
      </w:tabs>
      <w:spacing w:before="240" w:after="60"/>
      <w:ind w:left="0" w:firstLine="0"/>
      <w:outlineLvl w:val="6"/>
    </w:pPr>
    <w:rPr>
      <w:rFonts w:ascii="Times New Roman" w:hAnsi="Times New Roman"/>
    </w:rPr>
  </w:style>
  <w:style w:type="paragraph" w:styleId="Heading8">
    <w:name w:val="heading 8"/>
    <w:basedOn w:val="Normal"/>
    <w:next w:val="Normal"/>
    <w:semiHidden/>
    <w:qFormat/>
    <w:rsid w:val="00AD5436"/>
    <w:pPr>
      <w:numPr>
        <w:ilvl w:val="7"/>
        <w:numId w:val="106"/>
      </w:numPr>
      <w:tabs>
        <w:tab w:val="num" w:pos="360"/>
      </w:tabs>
      <w:spacing w:before="240" w:after="60"/>
      <w:ind w:left="0" w:firstLine="0"/>
      <w:outlineLvl w:val="7"/>
    </w:pPr>
    <w:rPr>
      <w:rFonts w:ascii="Times New Roman" w:hAnsi="Times New Roman"/>
      <w:i/>
      <w:iCs/>
    </w:rPr>
  </w:style>
  <w:style w:type="paragraph" w:styleId="Heading9">
    <w:name w:val="heading 9"/>
    <w:basedOn w:val="Normal"/>
    <w:next w:val="Normal"/>
    <w:semiHidden/>
    <w:qFormat/>
    <w:rsid w:val="00AD5436"/>
    <w:pPr>
      <w:numPr>
        <w:ilvl w:val="8"/>
        <w:numId w:val="106"/>
      </w:numPr>
      <w:tabs>
        <w:tab w:val="num" w:pos="360"/>
      </w:tabs>
      <w:spacing w:before="240" w:after="60"/>
      <w:ind w:left="0" w:firstLine="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0791C"/>
    <w:pPr>
      <w:tabs>
        <w:tab w:val="center" w:pos="4153"/>
        <w:tab w:val="right" w:pos="8306"/>
      </w:tabs>
      <w:spacing w:line="240" w:lineRule="auto"/>
    </w:pPr>
    <w:rPr>
      <w:sz w:val="16"/>
    </w:rPr>
  </w:style>
  <w:style w:type="paragraph" w:styleId="Footer">
    <w:name w:val="footer"/>
    <w:basedOn w:val="Normal"/>
    <w:link w:val="FooterChar"/>
    <w:uiPriority w:val="99"/>
    <w:qFormat/>
    <w:rsid w:val="002D3BA3"/>
    <w:pPr>
      <w:tabs>
        <w:tab w:val="right" w:pos="113"/>
        <w:tab w:val="right" w:pos="9356"/>
      </w:tabs>
      <w:spacing w:line="240" w:lineRule="auto"/>
    </w:pPr>
    <w:rPr>
      <w:color w:val="323232"/>
      <w:sz w:val="16"/>
    </w:rPr>
  </w:style>
  <w:style w:type="character" w:customStyle="1" w:styleId="FooterChar">
    <w:name w:val="Footer Char"/>
    <w:basedOn w:val="DefaultParagraphFont"/>
    <w:link w:val="Footer"/>
    <w:uiPriority w:val="99"/>
    <w:rsid w:val="002D3BA3"/>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uiPriority w:val="5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AReportDate">
    <w:name w:val="ACMA_ReportDate"/>
    <w:basedOn w:val="ACMAReportSubTitle"/>
    <w:qFormat/>
    <w:rsid w:val="00063A18"/>
    <w:pPr>
      <w:spacing w:after="12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uiPriority w:val="39"/>
    <w:qFormat/>
    <w:rsid w:val="00950159"/>
    <w:pPr>
      <w:spacing w:before="1200" w:line="240" w:lineRule="auto"/>
    </w:pPr>
    <w:rPr>
      <w:b/>
      <w:color w:val="323232"/>
      <w:spacing w:val="-28"/>
      <w:sz w:val="53"/>
    </w:rPr>
  </w:style>
  <w:style w:type="paragraph" w:styleId="Caption">
    <w:name w:val="caption"/>
    <w:aliases w:val="Caption table"/>
    <w:basedOn w:val="Normal"/>
    <w:next w:val="Normal"/>
    <w:link w:val="CaptionChar"/>
    <w:uiPriority w:val="35"/>
    <w:unhideWhenUsed/>
    <w:qFormat/>
    <w:rsid w:val="00E43A73"/>
    <w:rPr>
      <w:b/>
      <w:iCs/>
      <w:sz w:val="20"/>
      <w:szCs w:val="18"/>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aliases w:val="List Bullet 1"/>
    <w:basedOn w:val="Normal"/>
    <w:qFormat/>
    <w:rsid w:val="001C6AEE"/>
    <w:pPr>
      <w:numPr>
        <w:numId w:val="1"/>
      </w:numPr>
      <w:spacing w:after="80"/>
    </w:pPr>
  </w:style>
  <w:style w:type="paragraph" w:styleId="ListBullet2">
    <w:name w:val="List Bullet 2"/>
    <w:basedOn w:val="Normal"/>
    <w:qFormat/>
    <w:rsid w:val="001C6AEE"/>
    <w:pPr>
      <w:numPr>
        <w:numId w:val="2"/>
      </w:numPr>
      <w:spacing w:after="80"/>
    </w:pPr>
  </w:style>
  <w:style w:type="paragraph" w:styleId="ListNumber">
    <w:name w:val="List Number"/>
    <w:basedOn w:val="Normal"/>
    <w:qFormat/>
    <w:rsid w:val="00C24A53"/>
    <w:pPr>
      <w:numPr>
        <w:numId w:val="3"/>
      </w:numPr>
      <w:spacing w:after="80"/>
    </w:pPr>
  </w:style>
  <w:style w:type="paragraph" w:styleId="ListNumber2">
    <w:name w:val="List Number 2"/>
    <w:basedOn w:val="Normal"/>
    <w:qFormat/>
    <w:rsid w:val="00247C59"/>
    <w:pPr>
      <w:numPr>
        <w:numId w:val="4"/>
      </w:numPr>
      <w:spacing w:after="80"/>
      <w:ind w:left="845" w:hanging="544"/>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A629B5"/>
    <w:pPr>
      <w:tabs>
        <w:tab w:val="right" w:leader="dot" w:pos="8789"/>
      </w:tabs>
      <w:spacing w:before="280" w:after="80" w:line="320" w:lineRule="exact"/>
      <w:ind w:right="851"/>
    </w:pPr>
    <w:rPr>
      <w:b/>
      <w:noProof/>
      <w:spacing w:val="-14"/>
      <w:sz w:val="28"/>
    </w:rPr>
  </w:style>
  <w:style w:type="paragraph" w:styleId="TOC2">
    <w:name w:val="toc 2"/>
    <w:basedOn w:val="Normal"/>
    <w:next w:val="Normal"/>
    <w:uiPriority w:val="39"/>
    <w:qFormat/>
    <w:rsid w:val="0008711C"/>
    <w:pPr>
      <w:tabs>
        <w:tab w:val="right" w:pos="8789"/>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08711C"/>
    <w:pPr>
      <w:tabs>
        <w:tab w:val="right" w:pos="8789"/>
      </w:tabs>
      <w:spacing w:after="80" w:line="240" w:lineRule="auto"/>
    </w:pPr>
    <w:rPr>
      <w:noProof/>
      <w:szCs w:val="22"/>
    </w:rPr>
  </w:style>
  <w:style w:type="character" w:styleId="Hyperlink">
    <w:name w:val="Hyperlink"/>
    <w:aliases w:val="CEO_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uiPriority w:val="99"/>
    <w:rsid w:val="00566AB4"/>
    <w:rPr>
      <w:rFonts w:ascii="Arial" w:hAnsi="Arial"/>
      <w:vertAlign w:val="superscript"/>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fn"/>
    <w:basedOn w:val="Normal"/>
    <w:link w:val="FootnoteTextChar"/>
    <w:uiPriority w:val="99"/>
    <w:rsid w:val="00B17EBF"/>
    <w:pPr>
      <w:spacing w:after="60"/>
    </w:pPr>
    <w:rPr>
      <w:sz w:val="16"/>
      <w:szCs w:val="16"/>
    </w:rPr>
  </w:style>
  <w:style w:type="paragraph" w:customStyle="1" w:styleId="TableBody">
    <w:name w:val="Table Body"/>
    <w:basedOn w:val="Normal"/>
    <w:uiPriority w:val="15"/>
    <w:qFormat/>
    <w:rsid w:val="00774FDB"/>
    <w:pPr>
      <w:spacing w:after="0" w:line="240" w:lineRule="auto"/>
    </w:pPr>
  </w:style>
  <w:style w:type="character" w:styleId="CommentReference">
    <w:name w:val="annotation reference"/>
    <w:basedOn w:val="DefaultParagraphFont"/>
    <w:rsid w:val="00EE7F79"/>
    <w:rPr>
      <w:sz w:val="16"/>
      <w:szCs w:val="16"/>
    </w:rPr>
  </w:style>
  <w:style w:type="paragraph" w:styleId="CommentText">
    <w:name w:val="annotation text"/>
    <w:basedOn w:val="Normal"/>
    <w:link w:val="CommentTextChar"/>
    <w:rsid w:val="00EE7F79"/>
    <w:pPr>
      <w:spacing w:line="240" w:lineRule="auto"/>
    </w:pPr>
    <w:rPr>
      <w:szCs w:val="20"/>
    </w:rPr>
  </w:style>
  <w:style w:type="character" w:customStyle="1" w:styleId="CommentTextChar">
    <w:name w:val="Comment Text Char"/>
    <w:basedOn w:val="DefaultParagraphFont"/>
    <w:link w:val="CommentText"/>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semiHidden/>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0B27C0"/>
    <w:pPr>
      <w:numPr>
        <w:numId w:val="6"/>
      </w:numPr>
      <w:spacing w:after="160"/>
    </w:pPr>
    <w:rPr>
      <w:rFonts w:ascii="Arial" w:hAnsi="Arial"/>
      <w:b/>
      <w:bCs/>
      <w:color w:val="323232"/>
      <w:sz w:val="22"/>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0B27C0"/>
    <w:pPr>
      <w:numPr>
        <w:numId w:val="5"/>
      </w:numPr>
      <w:spacing w:after="160"/>
    </w:pPr>
    <w:rPr>
      <w:rFonts w:ascii="Arial" w:hAnsi="Arial"/>
      <w:b/>
      <w:bCs/>
      <w:color w:val="323232"/>
      <w:sz w:val="22"/>
      <w:szCs w:val="20"/>
    </w:rPr>
  </w:style>
  <w:style w:type="character" w:customStyle="1" w:styleId="CaptionChar">
    <w:name w:val="Caption Char"/>
    <w:aliases w:val="Caption table Char"/>
    <w:basedOn w:val="DefaultParagraphFont"/>
    <w:link w:val="Caption"/>
    <w:rsid w:val="00E43A73"/>
    <w:rPr>
      <w:rFonts w:ascii="Arial" w:hAnsi="Arial"/>
      <w:b/>
      <w:iCs/>
      <w:sz w:val="20"/>
      <w:szCs w:val="18"/>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rsid w:val="00971914"/>
    <w:rPr>
      <w:rFonts w:ascii="Arial" w:hAnsi="Arial"/>
      <w:sz w:val="16"/>
    </w:rPr>
  </w:style>
  <w:style w:type="paragraph" w:customStyle="1" w:styleId="Partheading">
    <w:name w:val="Part heading"/>
    <w:basedOn w:val="Heading1"/>
    <w:qFormat/>
    <w:rsid w:val="00FD1033"/>
    <w:pPr>
      <w:numPr>
        <w:numId w:val="7"/>
      </w:numPr>
    </w:pPr>
  </w:style>
  <w:style w:type="paragraph" w:customStyle="1" w:styleId="Numberedheading">
    <w:name w:val="Numbered heading"/>
    <w:basedOn w:val="Heading2"/>
    <w:qFormat/>
    <w:rsid w:val="00FD1033"/>
    <w:pPr>
      <w:numPr>
        <w:numId w:val="7"/>
      </w:numPr>
    </w:pPr>
  </w:style>
  <w:style w:type="paragraph" w:customStyle="1" w:styleId="Heading2noTOC">
    <w:name w:val="Heading 2 no TOC"/>
    <w:qFormat/>
    <w:rsid w:val="00EF73FF"/>
    <w:rPr>
      <w:rFonts w:ascii="Arial" w:hAnsi="Arial" w:cs="Arial"/>
      <w:b/>
      <w:bCs/>
      <w:iCs/>
      <w:sz w:val="28"/>
      <w:szCs w:val="28"/>
    </w:rPr>
  </w:style>
  <w:style w:type="paragraph" w:styleId="ListParagraph">
    <w:name w:val="List Paragraph"/>
    <w:basedOn w:val="Normal"/>
    <w:uiPriority w:val="34"/>
    <w:qFormat/>
    <w:rsid w:val="00663DBF"/>
    <w:pPr>
      <w:spacing w:after="60"/>
      <w:ind w:left="720"/>
    </w:p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uiPriority w:val="99"/>
    <w:rsid w:val="00B17EBF"/>
    <w:rPr>
      <w:rFonts w:ascii="Arial" w:hAnsi="Arial"/>
      <w:sz w:val="16"/>
      <w:szCs w:val="16"/>
    </w:rPr>
  </w:style>
  <w:style w:type="character" w:styleId="UnresolvedMention">
    <w:name w:val="Unresolved Mention"/>
    <w:basedOn w:val="DefaultParagraphFont"/>
    <w:uiPriority w:val="99"/>
    <w:semiHidden/>
    <w:unhideWhenUsed/>
    <w:rsid w:val="00746A68"/>
    <w:rPr>
      <w:color w:val="605E5C"/>
      <w:shd w:val="clear" w:color="auto" w:fill="E1DFDD"/>
    </w:rPr>
  </w:style>
  <w:style w:type="paragraph" w:customStyle="1" w:styleId="Caption-table">
    <w:name w:val="Caption - table"/>
    <w:basedOn w:val="Caption"/>
    <w:next w:val="Normal"/>
    <w:link w:val="Caption-tableChar"/>
    <w:qFormat/>
    <w:rsid w:val="00095DE5"/>
    <w:pPr>
      <w:keepNext/>
      <w:spacing w:after="120"/>
    </w:pPr>
  </w:style>
  <w:style w:type="character" w:customStyle="1" w:styleId="Caption-tableChar">
    <w:name w:val="Caption - table Char"/>
    <w:basedOn w:val="CaptionChar"/>
    <w:link w:val="Caption-table"/>
    <w:rsid w:val="00095DE5"/>
    <w:rPr>
      <w:rFonts w:ascii="Arial" w:hAnsi="Arial"/>
      <w:b/>
      <w:iCs/>
      <w:sz w:val="20"/>
      <w:szCs w:val="18"/>
    </w:rPr>
  </w:style>
  <w:style w:type="paragraph" w:customStyle="1" w:styleId="BlockQuote">
    <w:name w:val="Block Quote"/>
    <w:basedOn w:val="Normal"/>
    <w:link w:val="BlockQuoteChar"/>
    <w:qFormat/>
    <w:rsid w:val="00594796"/>
    <w:pPr>
      <w:ind w:left="680" w:right="680"/>
    </w:pPr>
    <w:rPr>
      <w:i/>
      <w:iCs/>
    </w:rPr>
  </w:style>
  <w:style w:type="character" w:customStyle="1" w:styleId="BlockQuoteChar">
    <w:name w:val="Block Quote Char"/>
    <w:basedOn w:val="DefaultParagraphFont"/>
    <w:link w:val="BlockQuote"/>
    <w:rsid w:val="00594796"/>
    <w:rPr>
      <w:rFonts w:ascii="Arial" w:hAnsi="Arial"/>
      <w:i/>
      <w:iCs/>
      <w:sz w:val="22"/>
    </w:rPr>
  </w:style>
  <w:style w:type="paragraph" w:customStyle="1" w:styleId="AppendixH1">
    <w:name w:val="Appendix H1"/>
    <w:basedOn w:val="Heading1"/>
    <w:next w:val="Normal"/>
    <w:link w:val="AppendixH1Char"/>
    <w:qFormat/>
    <w:rsid w:val="002B57EC"/>
    <w:pPr>
      <w:numPr>
        <w:numId w:val="18"/>
      </w:numPr>
    </w:pPr>
    <w:rPr>
      <w:szCs w:val="44"/>
    </w:rPr>
  </w:style>
  <w:style w:type="paragraph" w:customStyle="1" w:styleId="AppendixH2">
    <w:name w:val="Appendix H2"/>
    <w:basedOn w:val="Heading2"/>
    <w:next w:val="Normal"/>
    <w:link w:val="AppendixH2Char"/>
    <w:qFormat/>
    <w:rsid w:val="002B57EC"/>
    <w:pPr>
      <w:numPr>
        <w:ilvl w:val="0"/>
        <w:numId w:val="19"/>
      </w:numPr>
    </w:pPr>
  </w:style>
  <w:style w:type="character" w:customStyle="1" w:styleId="Heading1Char">
    <w:name w:val="Heading 1 Char"/>
    <w:basedOn w:val="DefaultParagraphFont"/>
    <w:link w:val="Heading1"/>
    <w:rsid w:val="00DD6B3E"/>
    <w:rPr>
      <w:rFonts w:ascii="Arial" w:hAnsi="Arial" w:cs="Arial"/>
      <w:bCs/>
      <w:color w:val="323232"/>
      <w:kern w:val="32"/>
      <w:sz w:val="44"/>
      <w:szCs w:val="32"/>
    </w:rPr>
  </w:style>
  <w:style w:type="character" w:customStyle="1" w:styleId="AppendixH1Char">
    <w:name w:val="Appendix H1 Char"/>
    <w:basedOn w:val="Heading1Char"/>
    <w:link w:val="AppendixH1"/>
    <w:rsid w:val="002B57EC"/>
    <w:rPr>
      <w:rFonts w:ascii="Arial" w:hAnsi="Arial" w:cs="Arial"/>
      <w:bCs/>
      <w:color w:val="323232"/>
      <w:kern w:val="32"/>
      <w:sz w:val="44"/>
      <w:szCs w:val="44"/>
    </w:rPr>
  </w:style>
  <w:style w:type="paragraph" w:styleId="Revision">
    <w:name w:val="Revision"/>
    <w:hidden/>
    <w:semiHidden/>
    <w:rsid w:val="00DF143A"/>
    <w:rPr>
      <w:rFonts w:ascii="Arial" w:hAnsi="Arial"/>
      <w:sz w:val="22"/>
    </w:rPr>
  </w:style>
  <w:style w:type="character" w:customStyle="1" w:styleId="Heading2Char">
    <w:name w:val="Heading 2 Char"/>
    <w:basedOn w:val="DefaultParagraphFont"/>
    <w:link w:val="Heading2"/>
    <w:uiPriority w:val="9"/>
    <w:rsid w:val="00DD6B3E"/>
    <w:rPr>
      <w:rFonts w:ascii="Arial" w:hAnsi="Arial" w:cs="Arial"/>
      <w:b/>
      <w:bCs/>
      <w:iCs/>
      <w:sz w:val="28"/>
      <w:szCs w:val="28"/>
    </w:rPr>
  </w:style>
  <w:style w:type="character" w:customStyle="1" w:styleId="AppendixH2Char">
    <w:name w:val="Appendix H2 Char"/>
    <w:basedOn w:val="Heading2Char"/>
    <w:link w:val="AppendixH2"/>
    <w:rsid w:val="002B57EC"/>
    <w:rPr>
      <w:rFonts w:ascii="Arial" w:hAnsi="Arial" w:cs="Arial"/>
      <w:b/>
      <w:bCs/>
      <w:iCs/>
      <w:sz w:val="28"/>
      <w:szCs w:val="28"/>
    </w:rPr>
  </w:style>
  <w:style w:type="paragraph" w:customStyle="1" w:styleId="Bulletlevel1last">
    <w:name w:val="Bullet level 1 last"/>
    <w:basedOn w:val="Normal"/>
    <w:uiPriority w:val="6"/>
    <w:qFormat/>
    <w:rsid w:val="00717F65"/>
    <w:pPr>
      <w:ind w:left="360" w:hanging="360"/>
    </w:pPr>
    <w:rPr>
      <w:rFonts w:cs="Arial"/>
      <w:sz w:val="20"/>
    </w:rPr>
  </w:style>
  <w:style w:type="paragraph" w:customStyle="1" w:styleId="paragraph">
    <w:name w:val="paragraph"/>
    <w:aliases w:val="a"/>
    <w:basedOn w:val="Normal"/>
    <w:rsid w:val="00902113"/>
    <w:pPr>
      <w:spacing w:before="100" w:beforeAutospacing="1" w:after="100" w:afterAutospacing="1" w:line="240" w:lineRule="auto"/>
    </w:pPr>
    <w:rPr>
      <w:rFonts w:ascii="Times New Roman" w:hAnsi="Times New Roman"/>
      <w:sz w:val="24"/>
    </w:rPr>
  </w:style>
  <w:style w:type="character" w:customStyle="1" w:styleId="normaltextrun">
    <w:name w:val="normaltextrun"/>
    <w:basedOn w:val="DefaultParagraphFont"/>
    <w:rsid w:val="00902113"/>
  </w:style>
  <w:style w:type="character" w:customStyle="1" w:styleId="eop">
    <w:name w:val="eop"/>
    <w:basedOn w:val="DefaultParagraphFont"/>
    <w:rsid w:val="00902113"/>
  </w:style>
  <w:style w:type="table" w:customStyle="1" w:styleId="TableGrid1">
    <w:name w:val="Table Grid1"/>
    <w:basedOn w:val="TableNormal"/>
    <w:next w:val="TableGrid"/>
    <w:uiPriority w:val="59"/>
    <w:rsid w:val="006770D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4Char">
    <w:name w:val="Heading 4 Char"/>
    <w:basedOn w:val="DefaultParagraphFont"/>
    <w:link w:val="Heading4"/>
    <w:rsid w:val="00601693"/>
    <w:rPr>
      <w:rFonts w:ascii="Arial" w:hAnsi="Arial"/>
      <w:bCs/>
      <w:sz w:val="22"/>
      <w:szCs w:val="28"/>
      <w:u w:val="single"/>
    </w:rPr>
  </w:style>
  <w:style w:type="paragraph" w:customStyle="1" w:styleId="ListNumberSub">
    <w:name w:val="List Number  Sub"/>
    <w:basedOn w:val="Normal"/>
    <w:rsid w:val="00FB3CD9"/>
    <w:pPr>
      <w:spacing w:after="160" w:line="259" w:lineRule="auto"/>
      <w:ind w:left="1134" w:hanging="567"/>
    </w:pPr>
    <w:rPr>
      <w:rFonts w:asciiTheme="minorHAnsi" w:eastAsiaTheme="minorHAnsi" w:hAnsiTheme="minorHAnsi" w:cstheme="minorBidi"/>
      <w:szCs w:val="22"/>
      <w:lang w:eastAsia="en-US"/>
    </w:rPr>
  </w:style>
  <w:style w:type="paragraph" w:customStyle="1" w:styleId="Jeanpara">
    <w:name w:val="Jean para"/>
    <w:basedOn w:val="Normal"/>
    <w:rsid w:val="00A510CC"/>
    <w:pPr>
      <w:spacing w:after="0" w:line="240" w:lineRule="auto"/>
      <w:ind w:left="1020" w:hanging="340"/>
    </w:pPr>
    <w:rPr>
      <w:rFonts w:ascii="Times New Roman" w:hAnsi="Times New Roman"/>
      <w:sz w:val="24"/>
      <w:szCs w:val="20"/>
      <w:lang w:val="en-GB" w:eastAsia="ja-JP"/>
    </w:rPr>
  </w:style>
  <w:style w:type="paragraph" w:styleId="TOC9">
    <w:name w:val="toc 9"/>
    <w:basedOn w:val="Normal"/>
    <w:next w:val="Normal"/>
    <w:autoRedefine/>
    <w:semiHidden/>
    <w:unhideWhenUsed/>
    <w:rsid w:val="00915660"/>
    <w:pPr>
      <w:spacing w:after="100"/>
      <w:ind w:left="1760"/>
    </w:pPr>
  </w:style>
  <w:style w:type="character" w:customStyle="1" w:styleId="Heading3Char">
    <w:name w:val="Heading 3 Char"/>
    <w:basedOn w:val="DefaultParagraphFont"/>
    <w:link w:val="Heading3"/>
    <w:rsid w:val="003B0498"/>
    <w:rPr>
      <w:rFonts w:ascii="Arial" w:hAnsi="Arial" w:cs="Arial"/>
      <w:b/>
      <w:bCs/>
      <w:sz w:val="22"/>
      <w:szCs w:val="26"/>
    </w:rPr>
  </w:style>
  <w:style w:type="paragraph" w:customStyle="1" w:styleId="Numberedparagraph">
    <w:name w:val="Numbered paragraph"/>
    <w:basedOn w:val="Normal"/>
    <w:qFormat/>
    <w:rsid w:val="00D7752D"/>
    <w:pPr>
      <w:tabs>
        <w:tab w:val="num" w:pos="567"/>
      </w:tabs>
      <w:ind w:hanging="567"/>
    </w:pPr>
    <w:rPr>
      <w:rFonts w:cs="Arial"/>
      <w:sz w:val="20"/>
    </w:rPr>
  </w:style>
  <w:style w:type="paragraph" w:customStyle="1" w:styleId="Tableheaderrow">
    <w:name w:val="Table header row"/>
    <w:basedOn w:val="Normal"/>
    <w:uiPriority w:val="14"/>
    <w:qFormat/>
    <w:rsid w:val="00D7752D"/>
    <w:pPr>
      <w:spacing w:after="0"/>
    </w:pPr>
    <w:rPr>
      <w:b/>
      <w:sz w:val="20"/>
    </w:rPr>
  </w:style>
  <w:style w:type="table" w:customStyle="1" w:styleId="ACMAtablestyle">
    <w:name w:val="ACMA table style"/>
    <w:basedOn w:val="TableNormal"/>
    <w:uiPriority w:val="99"/>
    <w:rsid w:val="00D7752D"/>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79465">
      <w:bodyDiv w:val="1"/>
      <w:marLeft w:val="0"/>
      <w:marRight w:val="0"/>
      <w:marTop w:val="0"/>
      <w:marBottom w:val="0"/>
      <w:divBdr>
        <w:top w:val="none" w:sz="0" w:space="0" w:color="auto"/>
        <w:left w:val="none" w:sz="0" w:space="0" w:color="auto"/>
        <w:bottom w:val="none" w:sz="0" w:space="0" w:color="auto"/>
        <w:right w:val="none" w:sz="0" w:space="0" w:color="auto"/>
      </w:divBdr>
    </w:div>
    <w:div w:id="51395002">
      <w:bodyDiv w:val="1"/>
      <w:marLeft w:val="0"/>
      <w:marRight w:val="0"/>
      <w:marTop w:val="0"/>
      <w:marBottom w:val="0"/>
      <w:divBdr>
        <w:top w:val="none" w:sz="0" w:space="0" w:color="auto"/>
        <w:left w:val="none" w:sz="0" w:space="0" w:color="auto"/>
        <w:bottom w:val="none" w:sz="0" w:space="0" w:color="auto"/>
        <w:right w:val="none" w:sz="0" w:space="0" w:color="auto"/>
      </w:divBdr>
    </w:div>
    <w:div w:id="101606712">
      <w:bodyDiv w:val="1"/>
      <w:marLeft w:val="0"/>
      <w:marRight w:val="0"/>
      <w:marTop w:val="0"/>
      <w:marBottom w:val="0"/>
      <w:divBdr>
        <w:top w:val="none" w:sz="0" w:space="0" w:color="auto"/>
        <w:left w:val="none" w:sz="0" w:space="0" w:color="auto"/>
        <w:bottom w:val="none" w:sz="0" w:space="0" w:color="auto"/>
        <w:right w:val="none" w:sz="0" w:space="0" w:color="auto"/>
      </w:divBdr>
    </w:div>
    <w:div w:id="374698836">
      <w:bodyDiv w:val="1"/>
      <w:marLeft w:val="0"/>
      <w:marRight w:val="0"/>
      <w:marTop w:val="0"/>
      <w:marBottom w:val="0"/>
      <w:divBdr>
        <w:top w:val="none" w:sz="0" w:space="0" w:color="auto"/>
        <w:left w:val="none" w:sz="0" w:space="0" w:color="auto"/>
        <w:bottom w:val="none" w:sz="0" w:space="0" w:color="auto"/>
        <w:right w:val="none" w:sz="0" w:space="0" w:color="auto"/>
      </w:divBdr>
    </w:div>
    <w:div w:id="405299772">
      <w:bodyDiv w:val="1"/>
      <w:marLeft w:val="0"/>
      <w:marRight w:val="0"/>
      <w:marTop w:val="0"/>
      <w:marBottom w:val="0"/>
      <w:divBdr>
        <w:top w:val="none" w:sz="0" w:space="0" w:color="auto"/>
        <w:left w:val="none" w:sz="0" w:space="0" w:color="auto"/>
        <w:bottom w:val="none" w:sz="0" w:space="0" w:color="auto"/>
        <w:right w:val="none" w:sz="0" w:space="0" w:color="auto"/>
      </w:divBdr>
    </w:div>
    <w:div w:id="456264388">
      <w:bodyDiv w:val="1"/>
      <w:marLeft w:val="0"/>
      <w:marRight w:val="0"/>
      <w:marTop w:val="0"/>
      <w:marBottom w:val="0"/>
      <w:divBdr>
        <w:top w:val="none" w:sz="0" w:space="0" w:color="auto"/>
        <w:left w:val="none" w:sz="0" w:space="0" w:color="auto"/>
        <w:bottom w:val="none" w:sz="0" w:space="0" w:color="auto"/>
        <w:right w:val="none" w:sz="0" w:space="0" w:color="auto"/>
      </w:divBdr>
    </w:div>
    <w:div w:id="707224344">
      <w:bodyDiv w:val="1"/>
      <w:marLeft w:val="0"/>
      <w:marRight w:val="0"/>
      <w:marTop w:val="0"/>
      <w:marBottom w:val="0"/>
      <w:divBdr>
        <w:top w:val="none" w:sz="0" w:space="0" w:color="auto"/>
        <w:left w:val="none" w:sz="0" w:space="0" w:color="auto"/>
        <w:bottom w:val="none" w:sz="0" w:space="0" w:color="auto"/>
        <w:right w:val="none" w:sz="0" w:space="0" w:color="auto"/>
      </w:divBdr>
    </w:div>
    <w:div w:id="881016588">
      <w:bodyDiv w:val="1"/>
      <w:marLeft w:val="0"/>
      <w:marRight w:val="0"/>
      <w:marTop w:val="0"/>
      <w:marBottom w:val="0"/>
      <w:divBdr>
        <w:top w:val="none" w:sz="0" w:space="0" w:color="auto"/>
        <w:left w:val="none" w:sz="0" w:space="0" w:color="auto"/>
        <w:bottom w:val="none" w:sz="0" w:space="0" w:color="auto"/>
        <w:right w:val="none" w:sz="0" w:space="0" w:color="auto"/>
      </w:divBdr>
    </w:div>
    <w:div w:id="882669866">
      <w:bodyDiv w:val="1"/>
      <w:marLeft w:val="0"/>
      <w:marRight w:val="0"/>
      <w:marTop w:val="0"/>
      <w:marBottom w:val="0"/>
      <w:divBdr>
        <w:top w:val="none" w:sz="0" w:space="0" w:color="auto"/>
        <w:left w:val="none" w:sz="0" w:space="0" w:color="auto"/>
        <w:bottom w:val="none" w:sz="0" w:space="0" w:color="auto"/>
        <w:right w:val="none" w:sz="0" w:space="0" w:color="auto"/>
      </w:divBdr>
    </w:div>
    <w:div w:id="936135131">
      <w:bodyDiv w:val="1"/>
      <w:marLeft w:val="0"/>
      <w:marRight w:val="0"/>
      <w:marTop w:val="0"/>
      <w:marBottom w:val="0"/>
      <w:divBdr>
        <w:top w:val="none" w:sz="0" w:space="0" w:color="auto"/>
        <w:left w:val="none" w:sz="0" w:space="0" w:color="auto"/>
        <w:bottom w:val="none" w:sz="0" w:space="0" w:color="auto"/>
        <w:right w:val="none" w:sz="0" w:space="0" w:color="auto"/>
      </w:divBdr>
    </w:div>
    <w:div w:id="972061704">
      <w:bodyDiv w:val="1"/>
      <w:marLeft w:val="0"/>
      <w:marRight w:val="0"/>
      <w:marTop w:val="0"/>
      <w:marBottom w:val="0"/>
      <w:divBdr>
        <w:top w:val="none" w:sz="0" w:space="0" w:color="auto"/>
        <w:left w:val="none" w:sz="0" w:space="0" w:color="auto"/>
        <w:bottom w:val="none" w:sz="0" w:space="0" w:color="auto"/>
        <w:right w:val="none" w:sz="0" w:space="0" w:color="auto"/>
      </w:divBdr>
    </w:div>
    <w:div w:id="1358971986">
      <w:bodyDiv w:val="1"/>
      <w:marLeft w:val="0"/>
      <w:marRight w:val="0"/>
      <w:marTop w:val="0"/>
      <w:marBottom w:val="0"/>
      <w:divBdr>
        <w:top w:val="none" w:sz="0" w:space="0" w:color="auto"/>
        <w:left w:val="none" w:sz="0" w:space="0" w:color="auto"/>
        <w:bottom w:val="none" w:sz="0" w:space="0" w:color="auto"/>
        <w:right w:val="none" w:sz="0" w:space="0" w:color="auto"/>
      </w:divBdr>
    </w:div>
    <w:div w:id="1481458624">
      <w:bodyDiv w:val="1"/>
      <w:marLeft w:val="0"/>
      <w:marRight w:val="0"/>
      <w:marTop w:val="0"/>
      <w:marBottom w:val="0"/>
      <w:divBdr>
        <w:top w:val="none" w:sz="0" w:space="0" w:color="auto"/>
        <w:left w:val="none" w:sz="0" w:space="0" w:color="auto"/>
        <w:bottom w:val="none" w:sz="0" w:space="0" w:color="auto"/>
        <w:right w:val="none" w:sz="0" w:space="0" w:color="auto"/>
      </w:divBdr>
    </w:div>
    <w:div w:id="1565604085">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623733837">
      <w:bodyDiv w:val="1"/>
      <w:marLeft w:val="0"/>
      <w:marRight w:val="0"/>
      <w:marTop w:val="0"/>
      <w:marBottom w:val="0"/>
      <w:divBdr>
        <w:top w:val="none" w:sz="0" w:space="0" w:color="auto"/>
        <w:left w:val="none" w:sz="0" w:space="0" w:color="auto"/>
        <w:bottom w:val="none" w:sz="0" w:space="0" w:color="auto"/>
        <w:right w:val="none" w:sz="0" w:space="0" w:color="auto"/>
      </w:divBdr>
    </w:div>
    <w:div w:id="1744990562">
      <w:bodyDiv w:val="1"/>
      <w:marLeft w:val="0"/>
      <w:marRight w:val="0"/>
      <w:marTop w:val="0"/>
      <w:marBottom w:val="0"/>
      <w:divBdr>
        <w:top w:val="none" w:sz="0" w:space="0" w:color="auto"/>
        <w:left w:val="none" w:sz="0" w:space="0" w:color="auto"/>
        <w:bottom w:val="none" w:sz="0" w:space="0" w:color="auto"/>
        <w:right w:val="none" w:sz="0" w:space="0" w:color="auto"/>
      </w:divBdr>
    </w:div>
    <w:div w:id="1847940425">
      <w:bodyDiv w:val="1"/>
      <w:marLeft w:val="0"/>
      <w:marRight w:val="0"/>
      <w:marTop w:val="0"/>
      <w:marBottom w:val="0"/>
      <w:divBdr>
        <w:top w:val="none" w:sz="0" w:space="0" w:color="auto"/>
        <w:left w:val="none" w:sz="0" w:space="0" w:color="auto"/>
        <w:bottom w:val="none" w:sz="0" w:space="0" w:color="auto"/>
        <w:right w:val="none" w:sz="0" w:space="0" w:color="auto"/>
      </w:divBdr>
    </w:div>
    <w:div w:id="2021270093">
      <w:bodyDiv w:val="1"/>
      <w:marLeft w:val="0"/>
      <w:marRight w:val="0"/>
      <w:marTop w:val="0"/>
      <w:marBottom w:val="0"/>
      <w:divBdr>
        <w:top w:val="none" w:sz="0" w:space="0" w:color="auto"/>
        <w:left w:val="none" w:sz="0" w:space="0" w:color="auto"/>
        <w:bottom w:val="none" w:sz="0" w:space="0" w:color="auto"/>
        <w:right w:val="none" w:sz="0" w:space="0" w:color="auto"/>
      </w:divBdr>
    </w:div>
    <w:div w:id="2145388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mailto:freqplan@acma.gov.au" TargetMode="External"/><Relationship Id="rId26" Type="http://schemas.openxmlformats.org/officeDocument/2006/relationships/hyperlink" Target="https://www.legislation.gov.au/Details/F2021C00635" TargetMode="External"/><Relationship Id="rId39" Type="http://schemas.openxmlformats.org/officeDocument/2006/relationships/hyperlink" Target="https://www.acma.gov.au/node/847" TargetMode="External"/><Relationship Id="rId21" Type="http://schemas.openxmlformats.org/officeDocument/2006/relationships/hyperlink" Target="https://www.acma.gov.au/spectrum-licence-technical-liaison-groups" TargetMode="External"/><Relationship Id="rId34" Type="http://schemas.openxmlformats.org/officeDocument/2006/relationships/hyperlink" Target="https://web.acma.gov.au/rrl/register_search.main_page" TargetMode="External"/><Relationship Id="rId42" Type="http://schemas.openxmlformats.org/officeDocument/2006/relationships/hyperlink" Target="https://www.legislation.gov.au/Details/F2018C00890" TargetMode="External"/><Relationship Id="rId47" Type="http://schemas.openxmlformats.org/officeDocument/2006/relationships/hyperlink" Target="https://www.acma.gov.au/radiocomms-licence-data" TargetMode="External"/><Relationship Id="rId50" Type="http://schemas.openxmlformats.org/officeDocument/2006/relationships/hyperlink" Target="https://www.acma.gov.au/radiocomms-licence-data" TargetMode="External"/><Relationship Id="rId55" Type="http://schemas.openxmlformats.org/officeDocument/2006/relationships/hyperlink" Target="https://www.itu.int/rec/R-REC-P.452/en"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web.acma.gov.au/rrl/register_search.main_page" TargetMode="External"/><Relationship Id="rId11" Type="http://schemas.openxmlformats.org/officeDocument/2006/relationships/endnotes" Target="endnotes.xml"/><Relationship Id="rId24" Type="http://schemas.openxmlformats.org/officeDocument/2006/relationships/hyperlink" Target="https://www.acma.gov.au/node/850" TargetMode="External"/><Relationship Id="rId32" Type="http://schemas.openxmlformats.org/officeDocument/2006/relationships/hyperlink" Target="https://www.acma.gov.au/find-accredited-person" TargetMode="External"/><Relationship Id="rId37" Type="http://schemas.openxmlformats.org/officeDocument/2006/relationships/hyperlink" Target="https://www.acma.gov.au/ralis-frequency-coordination" TargetMode="External"/><Relationship Id="rId40" Type="http://schemas.openxmlformats.org/officeDocument/2006/relationships/hyperlink" Target="https://www.acma.gov.au/node/844" TargetMode="External"/><Relationship Id="rId45" Type="http://schemas.openxmlformats.org/officeDocument/2006/relationships/hyperlink" Target="https://www.comlaw.gov.au/Details/F2015L01113" TargetMode="External"/><Relationship Id="rId53" Type="http://schemas.openxmlformats.org/officeDocument/2006/relationships/hyperlink" Target="https://www.acma.gov.au/convert-hcis-area-description-placemark" TargetMode="External"/><Relationship Id="rId58" Type="http://schemas.openxmlformats.org/officeDocument/2006/relationships/footer" Target="footer4.xml"/><Relationship Id="rId5" Type="http://schemas.openxmlformats.org/officeDocument/2006/relationships/customXml" Target="../customXml/item5.xml"/><Relationship Id="rId19" Type="http://schemas.openxmlformats.org/officeDocument/2006/relationships/hyperlink" Target="https://www.acma.gov.au/consultations/2020-07/planning-options-3700-4200-mhz-band-consultation-22202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freqplan@acma.gov.au" TargetMode="External"/><Relationship Id="rId22" Type="http://schemas.openxmlformats.org/officeDocument/2006/relationships/hyperlink" Target="https://www.acma.gov.au/consultations/2022-02/allocation-awls-34-40-ghz-band-remote-australia-ifc-112022" TargetMode="External"/><Relationship Id="rId27" Type="http://schemas.openxmlformats.org/officeDocument/2006/relationships/hyperlink" Target="https://web.acma.gov.au/rrl/register_search.main_page" TargetMode="External"/><Relationship Id="rId30" Type="http://schemas.openxmlformats.org/officeDocument/2006/relationships/hyperlink" Target="https://www.acma.gov.au/find-accredited-person" TargetMode="External"/><Relationship Id="rId35" Type="http://schemas.openxmlformats.org/officeDocument/2006/relationships/hyperlink" Target="https://www.legislation.gov.au/Details/F2015L00210" TargetMode="External"/><Relationship Id="rId43" Type="http://schemas.openxmlformats.org/officeDocument/2006/relationships/hyperlink" Target="https://www.legislation.gov.au/Details/F2018C00558" TargetMode="External"/><Relationship Id="rId48" Type="http://schemas.openxmlformats.org/officeDocument/2006/relationships/hyperlink" Target="https://www.acma.gov.au/34-ghz-technical-framework" TargetMode="External"/><Relationship Id="rId56" Type="http://schemas.openxmlformats.org/officeDocument/2006/relationships/header" Target="header2.xml"/><Relationship Id="rId8" Type="http://schemas.openxmlformats.org/officeDocument/2006/relationships/settings" Target="settings.xml"/><Relationship Id="rId51" Type="http://schemas.openxmlformats.org/officeDocument/2006/relationships/hyperlink" Target="mailto:freqplan@acma.gov.au" TargetMode="External"/><Relationship Id="rId12" Type="http://schemas.openxmlformats.org/officeDocument/2006/relationships/footer" Target="footer1.xml"/><Relationship Id="rId17" Type="http://schemas.openxmlformats.org/officeDocument/2006/relationships/hyperlink" Target="https://www.acma.gov.au/find-accredited-person" TargetMode="External"/><Relationship Id="rId25" Type="http://schemas.openxmlformats.org/officeDocument/2006/relationships/hyperlink" Target="https://www.acma.gov.au/spectrum-licence-technical-liaison-groups" TargetMode="External"/><Relationship Id="rId33" Type="http://schemas.openxmlformats.org/officeDocument/2006/relationships/hyperlink" Target="https://www.acma.gov.au/find-accredited-person" TargetMode="External"/><Relationship Id="rId38" Type="http://schemas.openxmlformats.org/officeDocument/2006/relationships/hyperlink" Target="https://www.acma.gov.au/node/849" TargetMode="External"/><Relationship Id="rId46" Type="http://schemas.openxmlformats.org/officeDocument/2006/relationships/hyperlink" Target="https://www.acma.gov.au/australian-radiofrequency-spectrum-plan" TargetMode="External"/><Relationship Id="rId59" Type="http://schemas.openxmlformats.org/officeDocument/2006/relationships/fontTable" Target="fontTable.xml"/><Relationship Id="rId20" Type="http://schemas.openxmlformats.org/officeDocument/2006/relationships/hyperlink" Target="https://www.acma.gov.au/consultations/2019-08/optimising-3400-3575-mhz-band-consultation-122019" TargetMode="External"/><Relationship Id="rId41" Type="http://schemas.openxmlformats.org/officeDocument/2006/relationships/hyperlink" Target="https://www.acma.gov.au/radiocomms-licence-data" TargetMode="External"/><Relationship Id="rId54" Type="http://schemas.openxmlformats.org/officeDocument/2006/relationships/hyperlink" Target="https://www.itu.int/rec/R-REC-P.452/en"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acma.gov.au/node/829" TargetMode="External"/><Relationship Id="rId28" Type="http://schemas.openxmlformats.org/officeDocument/2006/relationships/hyperlink" Target="https://www.legislation.gov.au/Details/F2019C00870" TargetMode="External"/><Relationship Id="rId36" Type="http://schemas.openxmlformats.org/officeDocument/2006/relationships/hyperlink" Target="https://www.acma.gov.au/australian-radiofrequency-spectrum-plan" TargetMode="External"/><Relationship Id="rId49" Type="http://schemas.openxmlformats.org/officeDocument/2006/relationships/hyperlink" Target="https://www.acma.gov.au/radiocomms-licence-data" TargetMode="External"/><Relationship Id="rId57" Type="http://schemas.openxmlformats.org/officeDocument/2006/relationships/header" Target="header3.xml"/><Relationship Id="rId10" Type="http://schemas.openxmlformats.org/officeDocument/2006/relationships/footnotes" Target="footnotes.xml"/><Relationship Id="rId31" Type="http://schemas.openxmlformats.org/officeDocument/2006/relationships/hyperlink" Target="https://www.acma.gov.au/ralis-frequency-coordination" TargetMode="External"/><Relationship Id="rId44" Type="http://schemas.openxmlformats.org/officeDocument/2006/relationships/hyperlink" Target="https://www.legislation.gov.au/Details/F2018C00558" TargetMode="External"/><Relationship Id="rId52" Type="http://schemas.openxmlformats.org/officeDocument/2006/relationships/hyperlink" Target="https://www.acma.gov.au/sites/default/files/2019-10/The%20Australian%20spectrum%20map%20grid%202012_0.PDF" TargetMode="External"/><Relationship Id="rId6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acma.gov.au/spectrum-embargoes" TargetMode="External"/><Relationship Id="rId1" Type="http://schemas.openxmlformats.org/officeDocument/2006/relationships/hyperlink" Target="http://www.legislation.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ACMA-System\Templates\ACMA\RALI%20template%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1FF4B4F5C8F2D440B4CCA205CBF80413" ma:contentTypeVersion="6" ma:contentTypeDescription="Create a new document." ma:contentTypeScope="" ma:versionID="94bfe758aee5e3534a681f15d4a0b2fe">
  <xsd:schema xmlns:xsd="http://www.w3.org/2001/XMLSchema" xmlns:xs="http://www.w3.org/2001/XMLSchema" xmlns:p="http://schemas.microsoft.com/office/2006/metadata/properties" xmlns:ns2="1da80267-c79d-47ac-abf4-eeb21d3c7e6c" xmlns:ns3="a564977f-29d5-43a4-86f6-023a887fa49e" targetNamespace="http://schemas.microsoft.com/office/2006/metadata/properties" ma:root="true" ma:fieldsID="706aa270502e216c08461dc2ab153f65" ns2:_="" ns3:_="">
    <xsd:import namespace="1da80267-c79d-47ac-abf4-eeb21d3c7e6c"/>
    <xsd:import namespace="a564977f-29d5-43a4-86f6-023a887fa4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80267-c79d-47ac-abf4-eeb21d3c7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64977f-29d5-43a4-86f6-023a887fa49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0AC4B5-C3BB-43F4-A9FE-9DF191F3698A}">
  <ds:schemaRefs>
    <ds:schemaRef ds:uri="http://schemas.microsoft.com/office/infopath/2007/PartnerControls"/>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1d983eb4-33f7-44b0-aea1-cbdcf0c55136"/>
    <ds:schemaRef ds:uri="http://www.w3.org/XML/1998/namespace"/>
    <ds:schemaRef ds:uri="http://purl.org/dc/terms/"/>
  </ds:schemaRefs>
</ds:datastoreItem>
</file>

<file path=customXml/itemProps2.xml><?xml version="1.0" encoding="utf-8"?>
<ds:datastoreItem xmlns:ds="http://schemas.openxmlformats.org/officeDocument/2006/customXml" ds:itemID="{5C8879E6-B6F7-4C33-B68E-F8EA5794E2E5}">
  <ds:schemaRefs>
    <ds:schemaRef ds:uri="http://schemas.openxmlformats.org/officeDocument/2006/bibliography"/>
  </ds:schemaRefs>
</ds:datastoreItem>
</file>

<file path=customXml/itemProps3.xml><?xml version="1.0" encoding="utf-8"?>
<ds:datastoreItem xmlns:ds="http://schemas.openxmlformats.org/officeDocument/2006/customXml" ds:itemID="{C4F1A319-52A2-42E0-82A7-ABF37DB65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0AA7C9-7073-47C1-8DCF-44FE61398B67}"/>
</file>

<file path=customXml/itemProps5.xml><?xml version="1.0" encoding="utf-8"?>
<ds:datastoreItem xmlns:ds="http://schemas.openxmlformats.org/officeDocument/2006/customXml" ds:itemID="{94B0BC4E-5B12-4877-9A47-ED3122BEF7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RALI template 2019.dotx</Template>
  <TotalTime>1</TotalTime>
  <Pages>42</Pages>
  <Words>13997</Words>
  <Characters>79786</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93596</CharactersWithSpaces>
  <SharedDoc>false</SharedDoc>
  <HyperlinkBase/>
  <HLinks>
    <vt:vector size="552" baseType="variant">
      <vt:variant>
        <vt:i4>2490400</vt:i4>
      </vt:variant>
      <vt:variant>
        <vt:i4>450</vt:i4>
      </vt:variant>
      <vt:variant>
        <vt:i4>0</vt:i4>
      </vt:variant>
      <vt:variant>
        <vt:i4>5</vt:i4>
      </vt:variant>
      <vt:variant>
        <vt:lpwstr>https://www.itu.int/rec/R-REC-P.452/en</vt:lpwstr>
      </vt:variant>
      <vt:variant>
        <vt:lpwstr/>
      </vt:variant>
      <vt:variant>
        <vt:i4>2490400</vt:i4>
      </vt:variant>
      <vt:variant>
        <vt:i4>447</vt:i4>
      </vt:variant>
      <vt:variant>
        <vt:i4>0</vt:i4>
      </vt:variant>
      <vt:variant>
        <vt:i4>5</vt:i4>
      </vt:variant>
      <vt:variant>
        <vt:lpwstr>https://www.itu.int/rec/R-REC-P.452/en</vt:lpwstr>
      </vt:variant>
      <vt:variant>
        <vt:lpwstr/>
      </vt:variant>
      <vt:variant>
        <vt:i4>2293874</vt:i4>
      </vt:variant>
      <vt:variant>
        <vt:i4>444</vt:i4>
      </vt:variant>
      <vt:variant>
        <vt:i4>0</vt:i4>
      </vt:variant>
      <vt:variant>
        <vt:i4>5</vt:i4>
      </vt:variant>
      <vt:variant>
        <vt:lpwstr>https://www.acma.gov.au/convert-hcis-area-description-placemark</vt:lpwstr>
      </vt:variant>
      <vt:variant>
        <vt:lpwstr/>
      </vt:variant>
      <vt:variant>
        <vt:i4>1835111</vt:i4>
      </vt:variant>
      <vt:variant>
        <vt:i4>438</vt:i4>
      </vt:variant>
      <vt:variant>
        <vt:i4>0</vt:i4>
      </vt:variant>
      <vt:variant>
        <vt:i4>5</vt:i4>
      </vt:variant>
      <vt:variant>
        <vt:lpwstr>https://www.acma.gov.au/sites/default/files/2019-10/The Australian spectrum map grid 2012_0.PDF</vt:lpwstr>
      </vt:variant>
      <vt:variant>
        <vt:lpwstr/>
      </vt:variant>
      <vt:variant>
        <vt:i4>4325416</vt:i4>
      </vt:variant>
      <vt:variant>
        <vt:i4>435</vt:i4>
      </vt:variant>
      <vt:variant>
        <vt:i4>0</vt:i4>
      </vt:variant>
      <vt:variant>
        <vt:i4>5</vt:i4>
      </vt:variant>
      <vt:variant>
        <vt:lpwstr>mailto:freqplan@acma.gov.au</vt:lpwstr>
      </vt:variant>
      <vt:variant>
        <vt:lpwstr/>
      </vt:variant>
      <vt:variant>
        <vt:i4>7602211</vt:i4>
      </vt:variant>
      <vt:variant>
        <vt:i4>432</vt:i4>
      </vt:variant>
      <vt:variant>
        <vt:i4>0</vt:i4>
      </vt:variant>
      <vt:variant>
        <vt:i4>5</vt:i4>
      </vt:variant>
      <vt:variant>
        <vt:lpwstr>https://www.acma.gov.au/radiocomms-licence-data</vt:lpwstr>
      </vt:variant>
      <vt:variant>
        <vt:lpwstr/>
      </vt:variant>
      <vt:variant>
        <vt:i4>7602211</vt:i4>
      </vt:variant>
      <vt:variant>
        <vt:i4>429</vt:i4>
      </vt:variant>
      <vt:variant>
        <vt:i4>0</vt:i4>
      </vt:variant>
      <vt:variant>
        <vt:i4>5</vt:i4>
      </vt:variant>
      <vt:variant>
        <vt:lpwstr>https://www.acma.gov.au/radiocomms-licence-data</vt:lpwstr>
      </vt:variant>
      <vt:variant>
        <vt:lpwstr/>
      </vt:variant>
      <vt:variant>
        <vt:i4>2883647</vt:i4>
      </vt:variant>
      <vt:variant>
        <vt:i4>426</vt:i4>
      </vt:variant>
      <vt:variant>
        <vt:i4>0</vt:i4>
      </vt:variant>
      <vt:variant>
        <vt:i4>5</vt:i4>
      </vt:variant>
      <vt:variant>
        <vt:lpwstr>https://www.acma.gov.au/34-ghz-technical-framework</vt:lpwstr>
      </vt:variant>
      <vt:variant>
        <vt:lpwstr/>
      </vt:variant>
      <vt:variant>
        <vt:i4>7602211</vt:i4>
      </vt:variant>
      <vt:variant>
        <vt:i4>423</vt:i4>
      </vt:variant>
      <vt:variant>
        <vt:i4>0</vt:i4>
      </vt:variant>
      <vt:variant>
        <vt:i4>5</vt:i4>
      </vt:variant>
      <vt:variant>
        <vt:lpwstr>https://www.acma.gov.au/radiocomms-licence-data</vt:lpwstr>
      </vt:variant>
      <vt:variant>
        <vt:lpwstr/>
      </vt:variant>
      <vt:variant>
        <vt:i4>4063273</vt:i4>
      </vt:variant>
      <vt:variant>
        <vt:i4>420</vt:i4>
      </vt:variant>
      <vt:variant>
        <vt:i4>0</vt:i4>
      </vt:variant>
      <vt:variant>
        <vt:i4>5</vt:i4>
      </vt:variant>
      <vt:variant>
        <vt:lpwstr>https://www.acma.gov.au/australian-radiofrequency-spectrum-plan</vt:lpwstr>
      </vt:variant>
      <vt:variant>
        <vt:lpwstr/>
      </vt:variant>
      <vt:variant>
        <vt:i4>4915293</vt:i4>
      </vt:variant>
      <vt:variant>
        <vt:i4>417</vt:i4>
      </vt:variant>
      <vt:variant>
        <vt:i4>0</vt:i4>
      </vt:variant>
      <vt:variant>
        <vt:i4>5</vt:i4>
      </vt:variant>
      <vt:variant>
        <vt:lpwstr>https://www.comlaw.gov.au/Details/F2015L01113</vt:lpwstr>
      </vt:variant>
      <vt:variant>
        <vt:lpwstr/>
      </vt:variant>
      <vt:variant>
        <vt:i4>7340067</vt:i4>
      </vt:variant>
      <vt:variant>
        <vt:i4>414</vt:i4>
      </vt:variant>
      <vt:variant>
        <vt:i4>0</vt:i4>
      </vt:variant>
      <vt:variant>
        <vt:i4>5</vt:i4>
      </vt:variant>
      <vt:variant>
        <vt:lpwstr>https://www.legislation.gov.au/Details/F2018C00558</vt:lpwstr>
      </vt:variant>
      <vt:variant>
        <vt:lpwstr/>
      </vt:variant>
      <vt:variant>
        <vt:i4>7340067</vt:i4>
      </vt:variant>
      <vt:variant>
        <vt:i4>411</vt:i4>
      </vt:variant>
      <vt:variant>
        <vt:i4>0</vt:i4>
      </vt:variant>
      <vt:variant>
        <vt:i4>5</vt:i4>
      </vt:variant>
      <vt:variant>
        <vt:lpwstr>https://www.legislation.gov.au/Details/F2018C00558</vt:lpwstr>
      </vt:variant>
      <vt:variant>
        <vt:lpwstr/>
      </vt:variant>
      <vt:variant>
        <vt:i4>7667759</vt:i4>
      </vt:variant>
      <vt:variant>
        <vt:i4>408</vt:i4>
      </vt:variant>
      <vt:variant>
        <vt:i4>0</vt:i4>
      </vt:variant>
      <vt:variant>
        <vt:i4>5</vt:i4>
      </vt:variant>
      <vt:variant>
        <vt:lpwstr>https://www.legislation.gov.au/Details/F2018C00890</vt:lpwstr>
      </vt:variant>
      <vt:variant>
        <vt:lpwstr/>
      </vt:variant>
      <vt:variant>
        <vt:i4>589846</vt:i4>
      </vt:variant>
      <vt:variant>
        <vt:i4>390</vt:i4>
      </vt:variant>
      <vt:variant>
        <vt:i4>0</vt:i4>
      </vt:variant>
      <vt:variant>
        <vt:i4>5</vt:i4>
      </vt:variant>
      <vt:variant>
        <vt:lpwstr/>
      </vt:variant>
      <vt:variant>
        <vt:lpwstr>AppendixE</vt:lpwstr>
      </vt:variant>
      <vt:variant>
        <vt:i4>7602211</vt:i4>
      </vt:variant>
      <vt:variant>
        <vt:i4>387</vt:i4>
      </vt:variant>
      <vt:variant>
        <vt:i4>0</vt:i4>
      </vt:variant>
      <vt:variant>
        <vt:i4>5</vt:i4>
      </vt:variant>
      <vt:variant>
        <vt:lpwstr>https://www.acma.gov.au/radiocomms-licence-data</vt:lpwstr>
      </vt:variant>
      <vt:variant>
        <vt:lpwstr/>
      </vt:variant>
      <vt:variant>
        <vt:i4>1245255</vt:i4>
      </vt:variant>
      <vt:variant>
        <vt:i4>384</vt:i4>
      </vt:variant>
      <vt:variant>
        <vt:i4>0</vt:i4>
      </vt:variant>
      <vt:variant>
        <vt:i4>5</vt:i4>
      </vt:variant>
      <vt:variant>
        <vt:lpwstr>https://www.acma.gov.au/node/844</vt:lpwstr>
      </vt:variant>
      <vt:variant>
        <vt:lpwstr/>
      </vt:variant>
      <vt:variant>
        <vt:i4>1048647</vt:i4>
      </vt:variant>
      <vt:variant>
        <vt:i4>381</vt:i4>
      </vt:variant>
      <vt:variant>
        <vt:i4>0</vt:i4>
      </vt:variant>
      <vt:variant>
        <vt:i4>5</vt:i4>
      </vt:variant>
      <vt:variant>
        <vt:lpwstr>https://www.acma.gov.au/node/847</vt:lpwstr>
      </vt:variant>
      <vt:variant>
        <vt:lpwstr/>
      </vt:variant>
      <vt:variant>
        <vt:i4>1966151</vt:i4>
      </vt:variant>
      <vt:variant>
        <vt:i4>378</vt:i4>
      </vt:variant>
      <vt:variant>
        <vt:i4>0</vt:i4>
      </vt:variant>
      <vt:variant>
        <vt:i4>5</vt:i4>
      </vt:variant>
      <vt:variant>
        <vt:lpwstr>https://www.acma.gov.au/node/849</vt:lpwstr>
      </vt:variant>
      <vt:variant>
        <vt:lpwstr/>
      </vt:variant>
      <vt:variant>
        <vt:i4>655431</vt:i4>
      </vt:variant>
      <vt:variant>
        <vt:i4>375</vt:i4>
      </vt:variant>
      <vt:variant>
        <vt:i4>0</vt:i4>
      </vt:variant>
      <vt:variant>
        <vt:i4>5</vt:i4>
      </vt:variant>
      <vt:variant>
        <vt:lpwstr>https://www.acma.gov.au/ralis-frequency-coordination</vt:lpwstr>
      </vt:variant>
      <vt:variant>
        <vt:lpwstr/>
      </vt:variant>
      <vt:variant>
        <vt:i4>7536657</vt:i4>
      </vt:variant>
      <vt:variant>
        <vt:i4>366</vt:i4>
      </vt:variant>
      <vt:variant>
        <vt:i4>0</vt:i4>
      </vt:variant>
      <vt:variant>
        <vt:i4>5</vt:i4>
      </vt:variant>
      <vt:variant>
        <vt:lpwstr>mailto:FACPolicyExemptions@acma.gov.au</vt:lpwstr>
      </vt:variant>
      <vt:variant>
        <vt:lpwstr/>
      </vt:variant>
      <vt:variant>
        <vt:i4>4063273</vt:i4>
      </vt:variant>
      <vt:variant>
        <vt:i4>363</vt:i4>
      </vt:variant>
      <vt:variant>
        <vt:i4>0</vt:i4>
      </vt:variant>
      <vt:variant>
        <vt:i4>5</vt:i4>
      </vt:variant>
      <vt:variant>
        <vt:lpwstr>https://www.acma.gov.au/australian-radiofrequency-spectrum-plan</vt:lpwstr>
      </vt:variant>
      <vt:variant>
        <vt:lpwstr/>
      </vt:variant>
      <vt:variant>
        <vt:i4>7471144</vt:i4>
      </vt:variant>
      <vt:variant>
        <vt:i4>360</vt:i4>
      </vt:variant>
      <vt:variant>
        <vt:i4>0</vt:i4>
      </vt:variant>
      <vt:variant>
        <vt:i4>5</vt:i4>
      </vt:variant>
      <vt:variant>
        <vt:lpwstr>https://www.legislation.gov.au/Details/F2015L00210</vt:lpwstr>
      </vt:variant>
      <vt:variant>
        <vt:lpwstr/>
      </vt:variant>
      <vt:variant>
        <vt:i4>1507396</vt:i4>
      </vt:variant>
      <vt:variant>
        <vt:i4>354</vt:i4>
      </vt:variant>
      <vt:variant>
        <vt:i4>0</vt:i4>
      </vt:variant>
      <vt:variant>
        <vt:i4>5</vt:i4>
      </vt:variant>
      <vt:variant>
        <vt:lpwstr>https://web.acma.gov.au/rrl/register_search.main_page</vt:lpwstr>
      </vt:variant>
      <vt:variant>
        <vt:lpwstr/>
      </vt:variant>
      <vt:variant>
        <vt:i4>2490491</vt:i4>
      </vt:variant>
      <vt:variant>
        <vt:i4>351</vt:i4>
      </vt:variant>
      <vt:variant>
        <vt:i4>0</vt:i4>
      </vt:variant>
      <vt:variant>
        <vt:i4>5</vt:i4>
      </vt:variant>
      <vt:variant>
        <vt:lpwstr>https://www.acma.gov.au/find-accredited-person</vt:lpwstr>
      </vt:variant>
      <vt:variant>
        <vt:lpwstr/>
      </vt:variant>
      <vt:variant>
        <vt:i4>2490491</vt:i4>
      </vt:variant>
      <vt:variant>
        <vt:i4>348</vt:i4>
      </vt:variant>
      <vt:variant>
        <vt:i4>0</vt:i4>
      </vt:variant>
      <vt:variant>
        <vt:i4>5</vt:i4>
      </vt:variant>
      <vt:variant>
        <vt:lpwstr>https://www.acma.gov.au/find-accredited-person</vt:lpwstr>
      </vt:variant>
      <vt:variant>
        <vt:lpwstr/>
      </vt:variant>
      <vt:variant>
        <vt:i4>1507396</vt:i4>
      </vt:variant>
      <vt:variant>
        <vt:i4>345</vt:i4>
      </vt:variant>
      <vt:variant>
        <vt:i4>0</vt:i4>
      </vt:variant>
      <vt:variant>
        <vt:i4>5</vt:i4>
      </vt:variant>
      <vt:variant>
        <vt:lpwstr>https://web.acma.gov.au/rrl/register_search.main_page</vt:lpwstr>
      </vt:variant>
      <vt:variant>
        <vt:lpwstr/>
      </vt:variant>
      <vt:variant>
        <vt:i4>7602209</vt:i4>
      </vt:variant>
      <vt:variant>
        <vt:i4>342</vt:i4>
      </vt:variant>
      <vt:variant>
        <vt:i4>0</vt:i4>
      </vt:variant>
      <vt:variant>
        <vt:i4>5</vt:i4>
      </vt:variant>
      <vt:variant>
        <vt:lpwstr>https://www.legislation.gov.au/Details/F2019C00870</vt:lpwstr>
      </vt:variant>
      <vt:variant>
        <vt:lpwstr/>
      </vt:variant>
      <vt:variant>
        <vt:i4>1507396</vt:i4>
      </vt:variant>
      <vt:variant>
        <vt:i4>339</vt:i4>
      </vt:variant>
      <vt:variant>
        <vt:i4>0</vt:i4>
      </vt:variant>
      <vt:variant>
        <vt:i4>5</vt:i4>
      </vt:variant>
      <vt:variant>
        <vt:lpwstr>https://web.acma.gov.au/rrl/register_search.main_page</vt:lpwstr>
      </vt:variant>
      <vt:variant>
        <vt:lpwstr/>
      </vt:variant>
      <vt:variant>
        <vt:i4>7798822</vt:i4>
      </vt:variant>
      <vt:variant>
        <vt:i4>336</vt:i4>
      </vt:variant>
      <vt:variant>
        <vt:i4>0</vt:i4>
      </vt:variant>
      <vt:variant>
        <vt:i4>5</vt:i4>
      </vt:variant>
      <vt:variant>
        <vt:lpwstr>https://www.legislation.gov.au/Details/F2021C00635</vt:lpwstr>
      </vt:variant>
      <vt:variant>
        <vt:lpwstr/>
      </vt:variant>
      <vt:variant>
        <vt:i4>196675</vt:i4>
      </vt:variant>
      <vt:variant>
        <vt:i4>333</vt:i4>
      </vt:variant>
      <vt:variant>
        <vt:i4>0</vt:i4>
      </vt:variant>
      <vt:variant>
        <vt:i4>5</vt:i4>
      </vt:variant>
      <vt:variant>
        <vt:lpwstr>https://www.acma.gov.au/spectrum-licence-technical-liaison-groups</vt:lpwstr>
      </vt:variant>
      <vt:variant>
        <vt:lpwstr/>
      </vt:variant>
      <vt:variant>
        <vt:i4>1507398</vt:i4>
      </vt:variant>
      <vt:variant>
        <vt:i4>330</vt:i4>
      </vt:variant>
      <vt:variant>
        <vt:i4>0</vt:i4>
      </vt:variant>
      <vt:variant>
        <vt:i4>5</vt:i4>
      </vt:variant>
      <vt:variant>
        <vt:lpwstr>https://www.acma.gov.au/node/850</vt:lpwstr>
      </vt:variant>
      <vt:variant>
        <vt:lpwstr/>
      </vt:variant>
      <vt:variant>
        <vt:i4>1966145</vt:i4>
      </vt:variant>
      <vt:variant>
        <vt:i4>327</vt:i4>
      </vt:variant>
      <vt:variant>
        <vt:i4>0</vt:i4>
      </vt:variant>
      <vt:variant>
        <vt:i4>5</vt:i4>
      </vt:variant>
      <vt:variant>
        <vt:lpwstr>https://www.acma.gov.au/node/829</vt:lpwstr>
      </vt:variant>
      <vt:variant>
        <vt:lpwstr/>
      </vt:variant>
      <vt:variant>
        <vt:i4>196675</vt:i4>
      </vt:variant>
      <vt:variant>
        <vt:i4>324</vt:i4>
      </vt:variant>
      <vt:variant>
        <vt:i4>0</vt:i4>
      </vt:variant>
      <vt:variant>
        <vt:i4>5</vt:i4>
      </vt:variant>
      <vt:variant>
        <vt:lpwstr>https://www.acma.gov.au/spectrum-licence-technical-liaison-groups</vt:lpwstr>
      </vt:variant>
      <vt:variant>
        <vt:lpwstr/>
      </vt:variant>
      <vt:variant>
        <vt:i4>7864375</vt:i4>
      </vt:variant>
      <vt:variant>
        <vt:i4>321</vt:i4>
      </vt:variant>
      <vt:variant>
        <vt:i4>0</vt:i4>
      </vt:variant>
      <vt:variant>
        <vt:i4>5</vt:i4>
      </vt:variant>
      <vt:variant>
        <vt:lpwstr>https://www.acma.gov.au/consultations/2019-08/optimising-3400-3575-mhz-band-consultation-122019</vt:lpwstr>
      </vt:variant>
      <vt:variant>
        <vt:lpwstr/>
      </vt:variant>
      <vt:variant>
        <vt:i4>393240</vt:i4>
      </vt:variant>
      <vt:variant>
        <vt:i4>318</vt:i4>
      </vt:variant>
      <vt:variant>
        <vt:i4>0</vt:i4>
      </vt:variant>
      <vt:variant>
        <vt:i4>5</vt:i4>
      </vt:variant>
      <vt:variant>
        <vt:lpwstr>https://www.acma.gov.au/consultations/2020-07/planning-options-3700-4200-mhz-band-consultation-222020</vt:lpwstr>
      </vt:variant>
      <vt:variant>
        <vt:lpwstr/>
      </vt:variant>
      <vt:variant>
        <vt:i4>4325416</vt:i4>
      </vt:variant>
      <vt:variant>
        <vt:i4>315</vt:i4>
      </vt:variant>
      <vt:variant>
        <vt:i4>0</vt:i4>
      </vt:variant>
      <vt:variant>
        <vt:i4>5</vt:i4>
      </vt:variant>
      <vt:variant>
        <vt:lpwstr>mailto:freqplan@acma.gov.au</vt:lpwstr>
      </vt:variant>
      <vt:variant>
        <vt:lpwstr/>
      </vt:variant>
      <vt:variant>
        <vt:i4>2490491</vt:i4>
      </vt:variant>
      <vt:variant>
        <vt:i4>312</vt:i4>
      </vt:variant>
      <vt:variant>
        <vt:i4>0</vt:i4>
      </vt:variant>
      <vt:variant>
        <vt:i4>5</vt:i4>
      </vt:variant>
      <vt:variant>
        <vt:lpwstr>https://www.acma.gov.au/find-accredited-person</vt:lpwstr>
      </vt:variant>
      <vt:variant>
        <vt:lpwstr/>
      </vt:variant>
      <vt:variant>
        <vt:i4>1966143</vt:i4>
      </vt:variant>
      <vt:variant>
        <vt:i4>305</vt:i4>
      </vt:variant>
      <vt:variant>
        <vt:i4>0</vt:i4>
      </vt:variant>
      <vt:variant>
        <vt:i4>5</vt:i4>
      </vt:variant>
      <vt:variant>
        <vt:lpwstr/>
      </vt:variant>
      <vt:variant>
        <vt:lpwstr>_Toc95293471</vt:lpwstr>
      </vt:variant>
      <vt:variant>
        <vt:i4>2031679</vt:i4>
      </vt:variant>
      <vt:variant>
        <vt:i4>299</vt:i4>
      </vt:variant>
      <vt:variant>
        <vt:i4>0</vt:i4>
      </vt:variant>
      <vt:variant>
        <vt:i4>5</vt:i4>
      </vt:variant>
      <vt:variant>
        <vt:lpwstr/>
      </vt:variant>
      <vt:variant>
        <vt:lpwstr>_Toc95293470</vt:lpwstr>
      </vt:variant>
      <vt:variant>
        <vt:i4>1441854</vt:i4>
      </vt:variant>
      <vt:variant>
        <vt:i4>293</vt:i4>
      </vt:variant>
      <vt:variant>
        <vt:i4>0</vt:i4>
      </vt:variant>
      <vt:variant>
        <vt:i4>5</vt:i4>
      </vt:variant>
      <vt:variant>
        <vt:lpwstr/>
      </vt:variant>
      <vt:variant>
        <vt:lpwstr>_Toc95293469</vt:lpwstr>
      </vt:variant>
      <vt:variant>
        <vt:i4>1507390</vt:i4>
      </vt:variant>
      <vt:variant>
        <vt:i4>287</vt:i4>
      </vt:variant>
      <vt:variant>
        <vt:i4>0</vt:i4>
      </vt:variant>
      <vt:variant>
        <vt:i4>5</vt:i4>
      </vt:variant>
      <vt:variant>
        <vt:lpwstr/>
      </vt:variant>
      <vt:variant>
        <vt:lpwstr>_Toc95293468</vt:lpwstr>
      </vt:variant>
      <vt:variant>
        <vt:i4>1572926</vt:i4>
      </vt:variant>
      <vt:variant>
        <vt:i4>281</vt:i4>
      </vt:variant>
      <vt:variant>
        <vt:i4>0</vt:i4>
      </vt:variant>
      <vt:variant>
        <vt:i4>5</vt:i4>
      </vt:variant>
      <vt:variant>
        <vt:lpwstr/>
      </vt:variant>
      <vt:variant>
        <vt:lpwstr>_Toc95293467</vt:lpwstr>
      </vt:variant>
      <vt:variant>
        <vt:i4>1638462</vt:i4>
      </vt:variant>
      <vt:variant>
        <vt:i4>275</vt:i4>
      </vt:variant>
      <vt:variant>
        <vt:i4>0</vt:i4>
      </vt:variant>
      <vt:variant>
        <vt:i4>5</vt:i4>
      </vt:variant>
      <vt:variant>
        <vt:lpwstr/>
      </vt:variant>
      <vt:variant>
        <vt:lpwstr>_Toc95293466</vt:lpwstr>
      </vt:variant>
      <vt:variant>
        <vt:i4>1703998</vt:i4>
      </vt:variant>
      <vt:variant>
        <vt:i4>269</vt:i4>
      </vt:variant>
      <vt:variant>
        <vt:i4>0</vt:i4>
      </vt:variant>
      <vt:variant>
        <vt:i4>5</vt:i4>
      </vt:variant>
      <vt:variant>
        <vt:lpwstr/>
      </vt:variant>
      <vt:variant>
        <vt:lpwstr>_Toc95293465</vt:lpwstr>
      </vt:variant>
      <vt:variant>
        <vt:i4>1769534</vt:i4>
      </vt:variant>
      <vt:variant>
        <vt:i4>263</vt:i4>
      </vt:variant>
      <vt:variant>
        <vt:i4>0</vt:i4>
      </vt:variant>
      <vt:variant>
        <vt:i4>5</vt:i4>
      </vt:variant>
      <vt:variant>
        <vt:lpwstr/>
      </vt:variant>
      <vt:variant>
        <vt:lpwstr>_Toc95293464</vt:lpwstr>
      </vt:variant>
      <vt:variant>
        <vt:i4>1835070</vt:i4>
      </vt:variant>
      <vt:variant>
        <vt:i4>257</vt:i4>
      </vt:variant>
      <vt:variant>
        <vt:i4>0</vt:i4>
      </vt:variant>
      <vt:variant>
        <vt:i4>5</vt:i4>
      </vt:variant>
      <vt:variant>
        <vt:lpwstr/>
      </vt:variant>
      <vt:variant>
        <vt:lpwstr>_Toc95293463</vt:lpwstr>
      </vt:variant>
      <vt:variant>
        <vt:i4>1900606</vt:i4>
      </vt:variant>
      <vt:variant>
        <vt:i4>251</vt:i4>
      </vt:variant>
      <vt:variant>
        <vt:i4>0</vt:i4>
      </vt:variant>
      <vt:variant>
        <vt:i4>5</vt:i4>
      </vt:variant>
      <vt:variant>
        <vt:lpwstr/>
      </vt:variant>
      <vt:variant>
        <vt:lpwstr>_Toc95293462</vt:lpwstr>
      </vt:variant>
      <vt:variant>
        <vt:i4>1966142</vt:i4>
      </vt:variant>
      <vt:variant>
        <vt:i4>245</vt:i4>
      </vt:variant>
      <vt:variant>
        <vt:i4>0</vt:i4>
      </vt:variant>
      <vt:variant>
        <vt:i4>5</vt:i4>
      </vt:variant>
      <vt:variant>
        <vt:lpwstr/>
      </vt:variant>
      <vt:variant>
        <vt:lpwstr>_Toc95293461</vt:lpwstr>
      </vt:variant>
      <vt:variant>
        <vt:i4>2031678</vt:i4>
      </vt:variant>
      <vt:variant>
        <vt:i4>239</vt:i4>
      </vt:variant>
      <vt:variant>
        <vt:i4>0</vt:i4>
      </vt:variant>
      <vt:variant>
        <vt:i4>5</vt:i4>
      </vt:variant>
      <vt:variant>
        <vt:lpwstr/>
      </vt:variant>
      <vt:variant>
        <vt:lpwstr>_Toc95293460</vt:lpwstr>
      </vt:variant>
      <vt:variant>
        <vt:i4>1441853</vt:i4>
      </vt:variant>
      <vt:variant>
        <vt:i4>233</vt:i4>
      </vt:variant>
      <vt:variant>
        <vt:i4>0</vt:i4>
      </vt:variant>
      <vt:variant>
        <vt:i4>5</vt:i4>
      </vt:variant>
      <vt:variant>
        <vt:lpwstr/>
      </vt:variant>
      <vt:variant>
        <vt:lpwstr>_Toc95293459</vt:lpwstr>
      </vt:variant>
      <vt:variant>
        <vt:i4>1507389</vt:i4>
      </vt:variant>
      <vt:variant>
        <vt:i4>227</vt:i4>
      </vt:variant>
      <vt:variant>
        <vt:i4>0</vt:i4>
      </vt:variant>
      <vt:variant>
        <vt:i4>5</vt:i4>
      </vt:variant>
      <vt:variant>
        <vt:lpwstr/>
      </vt:variant>
      <vt:variant>
        <vt:lpwstr>_Toc95293458</vt:lpwstr>
      </vt:variant>
      <vt:variant>
        <vt:i4>1572925</vt:i4>
      </vt:variant>
      <vt:variant>
        <vt:i4>221</vt:i4>
      </vt:variant>
      <vt:variant>
        <vt:i4>0</vt:i4>
      </vt:variant>
      <vt:variant>
        <vt:i4>5</vt:i4>
      </vt:variant>
      <vt:variant>
        <vt:lpwstr/>
      </vt:variant>
      <vt:variant>
        <vt:lpwstr>_Toc95293457</vt:lpwstr>
      </vt:variant>
      <vt:variant>
        <vt:i4>1638461</vt:i4>
      </vt:variant>
      <vt:variant>
        <vt:i4>215</vt:i4>
      </vt:variant>
      <vt:variant>
        <vt:i4>0</vt:i4>
      </vt:variant>
      <vt:variant>
        <vt:i4>5</vt:i4>
      </vt:variant>
      <vt:variant>
        <vt:lpwstr/>
      </vt:variant>
      <vt:variant>
        <vt:lpwstr>_Toc95293456</vt:lpwstr>
      </vt:variant>
      <vt:variant>
        <vt:i4>1703997</vt:i4>
      </vt:variant>
      <vt:variant>
        <vt:i4>209</vt:i4>
      </vt:variant>
      <vt:variant>
        <vt:i4>0</vt:i4>
      </vt:variant>
      <vt:variant>
        <vt:i4>5</vt:i4>
      </vt:variant>
      <vt:variant>
        <vt:lpwstr/>
      </vt:variant>
      <vt:variant>
        <vt:lpwstr>_Toc95293455</vt:lpwstr>
      </vt:variant>
      <vt:variant>
        <vt:i4>1769533</vt:i4>
      </vt:variant>
      <vt:variant>
        <vt:i4>203</vt:i4>
      </vt:variant>
      <vt:variant>
        <vt:i4>0</vt:i4>
      </vt:variant>
      <vt:variant>
        <vt:i4>5</vt:i4>
      </vt:variant>
      <vt:variant>
        <vt:lpwstr/>
      </vt:variant>
      <vt:variant>
        <vt:lpwstr>_Toc95293454</vt:lpwstr>
      </vt:variant>
      <vt:variant>
        <vt:i4>1835069</vt:i4>
      </vt:variant>
      <vt:variant>
        <vt:i4>197</vt:i4>
      </vt:variant>
      <vt:variant>
        <vt:i4>0</vt:i4>
      </vt:variant>
      <vt:variant>
        <vt:i4>5</vt:i4>
      </vt:variant>
      <vt:variant>
        <vt:lpwstr/>
      </vt:variant>
      <vt:variant>
        <vt:lpwstr>_Toc95293453</vt:lpwstr>
      </vt:variant>
      <vt:variant>
        <vt:i4>1900605</vt:i4>
      </vt:variant>
      <vt:variant>
        <vt:i4>191</vt:i4>
      </vt:variant>
      <vt:variant>
        <vt:i4>0</vt:i4>
      </vt:variant>
      <vt:variant>
        <vt:i4>5</vt:i4>
      </vt:variant>
      <vt:variant>
        <vt:lpwstr/>
      </vt:variant>
      <vt:variant>
        <vt:lpwstr>_Toc95293452</vt:lpwstr>
      </vt:variant>
      <vt:variant>
        <vt:i4>1966141</vt:i4>
      </vt:variant>
      <vt:variant>
        <vt:i4>185</vt:i4>
      </vt:variant>
      <vt:variant>
        <vt:i4>0</vt:i4>
      </vt:variant>
      <vt:variant>
        <vt:i4>5</vt:i4>
      </vt:variant>
      <vt:variant>
        <vt:lpwstr/>
      </vt:variant>
      <vt:variant>
        <vt:lpwstr>_Toc95293451</vt:lpwstr>
      </vt:variant>
      <vt:variant>
        <vt:i4>2031677</vt:i4>
      </vt:variant>
      <vt:variant>
        <vt:i4>179</vt:i4>
      </vt:variant>
      <vt:variant>
        <vt:i4>0</vt:i4>
      </vt:variant>
      <vt:variant>
        <vt:i4>5</vt:i4>
      </vt:variant>
      <vt:variant>
        <vt:lpwstr/>
      </vt:variant>
      <vt:variant>
        <vt:lpwstr>_Toc95293450</vt:lpwstr>
      </vt:variant>
      <vt:variant>
        <vt:i4>1441852</vt:i4>
      </vt:variant>
      <vt:variant>
        <vt:i4>173</vt:i4>
      </vt:variant>
      <vt:variant>
        <vt:i4>0</vt:i4>
      </vt:variant>
      <vt:variant>
        <vt:i4>5</vt:i4>
      </vt:variant>
      <vt:variant>
        <vt:lpwstr/>
      </vt:variant>
      <vt:variant>
        <vt:lpwstr>_Toc95293449</vt:lpwstr>
      </vt:variant>
      <vt:variant>
        <vt:i4>1507388</vt:i4>
      </vt:variant>
      <vt:variant>
        <vt:i4>167</vt:i4>
      </vt:variant>
      <vt:variant>
        <vt:i4>0</vt:i4>
      </vt:variant>
      <vt:variant>
        <vt:i4>5</vt:i4>
      </vt:variant>
      <vt:variant>
        <vt:lpwstr/>
      </vt:variant>
      <vt:variant>
        <vt:lpwstr>_Toc95293448</vt:lpwstr>
      </vt:variant>
      <vt:variant>
        <vt:i4>1572924</vt:i4>
      </vt:variant>
      <vt:variant>
        <vt:i4>161</vt:i4>
      </vt:variant>
      <vt:variant>
        <vt:i4>0</vt:i4>
      </vt:variant>
      <vt:variant>
        <vt:i4>5</vt:i4>
      </vt:variant>
      <vt:variant>
        <vt:lpwstr/>
      </vt:variant>
      <vt:variant>
        <vt:lpwstr>_Toc95293447</vt:lpwstr>
      </vt:variant>
      <vt:variant>
        <vt:i4>1638460</vt:i4>
      </vt:variant>
      <vt:variant>
        <vt:i4>155</vt:i4>
      </vt:variant>
      <vt:variant>
        <vt:i4>0</vt:i4>
      </vt:variant>
      <vt:variant>
        <vt:i4>5</vt:i4>
      </vt:variant>
      <vt:variant>
        <vt:lpwstr/>
      </vt:variant>
      <vt:variant>
        <vt:lpwstr>_Toc95293446</vt:lpwstr>
      </vt:variant>
      <vt:variant>
        <vt:i4>1703996</vt:i4>
      </vt:variant>
      <vt:variant>
        <vt:i4>149</vt:i4>
      </vt:variant>
      <vt:variant>
        <vt:i4>0</vt:i4>
      </vt:variant>
      <vt:variant>
        <vt:i4>5</vt:i4>
      </vt:variant>
      <vt:variant>
        <vt:lpwstr/>
      </vt:variant>
      <vt:variant>
        <vt:lpwstr>_Toc95293445</vt:lpwstr>
      </vt:variant>
      <vt:variant>
        <vt:i4>1769532</vt:i4>
      </vt:variant>
      <vt:variant>
        <vt:i4>143</vt:i4>
      </vt:variant>
      <vt:variant>
        <vt:i4>0</vt:i4>
      </vt:variant>
      <vt:variant>
        <vt:i4>5</vt:i4>
      </vt:variant>
      <vt:variant>
        <vt:lpwstr/>
      </vt:variant>
      <vt:variant>
        <vt:lpwstr>_Toc95293444</vt:lpwstr>
      </vt:variant>
      <vt:variant>
        <vt:i4>1835068</vt:i4>
      </vt:variant>
      <vt:variant>
        <vt:i4>137</vt:i4>
      </vt:variant>
      <vt:variant>
        <vt:i4>0</vt:i4>
      </vt:variant>
      <vt:variant>
        <vt:i4>5</vt:i4>
      </vt:variant>
      <vt:variant>
        <vt:lpwstr/>
      </vt:variant>
      <vt:variant>
        <vt:lpwstr>_Toc95293443</vt:lpwstr>
      </vt:variant>
      <vt:variant>
        <vt:i4>1900604</vt:i4>
      </vt:variant>
      <vt:variant>
        <vt:i4>131</vt:i4>
      </vt:variant>
      <vt:variant>
        <vt:i4>0</vt:i4>
      </vt:variant>
      <vt:variant>
        <vt:i4>5</vt:i4>
      </vt:variant>
      <vt:variant>
        <vt:lpwstr/>
      </vt:variant>
      <vt:variant>
        <vt:lpwstr>_Toc95293442</vt:lpwstr>
      </vt:variant>
      <vt:variant>
        <vt:i4>1966140</vt:i4>
      </vt:variant>
      <vt:variant>
        <vt:i4>125</vt:i4>
      </vt:variant>
      <vt:variant>
        <vt:i4>0</vt:i4>
      </vt:variant>
      <vt:variant>
        <vt:i4>5</vt:i4>
      </vt:variant>
      <vt:variant>
        <vt:lpwstr/>
      </vt:variant>
      <vt:variant>
        <vt:lpwstr>_Toc95293441</vt:lpwstr>
      </vt:variant>
      <vt:variant>
        <vt:i4>2031676</vt:i4>
      </vt:variant>
      <vt:variant>
        <vt:i4>119</vt:i4>
      </vt:variant>
      <vt:variant>
        <vt:i4>0</vt:i4>
      </vt:variant>
      <vt:variant>
        <vt:i4>5</vt:i4>
      </vt:variant>
      <vt:variant>
        <vt:lpwstr/>
      </vt:variant>
      <vt:variant>
        <vt:lpwstr>_Toc95293440</vt:lpwstr>
      </vt:variant>
      <vt:variant>
        <vt:i4>1441851</vt:i4>
      </vt:variant>
      <vt:variant>
        <vt:i4>113</vt:i4>
      </vt:variant>
      <vt:variant>
        <vt:i4>0</vt:i4>
      </vt:variant>
      <vt:variant>
        <vt:i4>5</vt:i4>
      </vt:variant>
      <vt:variant>
        <vt:lpwstr/>
      </vt:variant>
      <vt:variant>
        <vt:lpwstr>_Toc95293439</vt:lpwstr>
      </vt:variant>
      <vt:variant>
        <vt:i4>1507387</vt:i4>
      </vt:variant>
      <vt:variant>
        <vt:i4>107</vt:i4>
      </vt:variant>
      <vt:variant>
        <vt:i4>0</vt:i4>
      </vt:variant>
      <vt:variant>
        <vt:i4>5</vt:i4>
      </vt:variant>
      <vt:variant>
        <vt:lpwstr/>
      </vt:variant>
      <vt:variant>
        <vt:lpwstr>_Toc95293438</vt:lpwstr>
      </vt:variant>
      <vt:variant>
        <vt:i4>1572923</vt:i4>
      </vt:variant>
      <vt:variant>
        <vt:i4>101</vt:i4>
      </vt:variant>
      <vt:variant>
        <vt:i4>0</vt:i4>
      </vt:variant>
      <vt:variant>
        <vt:i4>5</vt:i4>
      </vt:variant>
      <vt:variant>
        <vt:lpwstr/>
      </vt:variant>
      <vt:variant>
        <vt:lpwstr>_Toc95293437</vt:lpwstr>
      </vt:variant>
      <vt:variant>
        <vt:i4>1638459</vt:i4>
      </vt:variant>
      <vt:variant>
        <vt:i4>95</vt:i4>
      </vt:variant>
      <vt:variant>
        <vt:i4>0</vt:i4>
      </vt:variant>
      <vt:variant>
        <vt:i4>5</vt:i4>
      </vt:variant>
      <vt:variant>
        <vt:lpwstr/>
      </vt:variant>
      <vt:variant>
        <vt:lpwstr>_Toc95293436</vt:lpwstr>
      </vt:variant>
      <vt:variant>
        <vt:i4>1703995</vt:i4>
      </vt:variant>
      <vt:variant>
        <vt:i4>89</vt:i4>
      </vt:variant>
      <vt:variant>
        <vt:i4>0</vt:i4>
      </vt:variant>
      <vt:variant>
        <vt:i4>5</vt:i4>
      </vt:variant>
      <vt:variant>
        <vt:lpwstr/>
      </vt:variant>
      <vt:variant>
        <vt:lpwstr>_Toc95293435</vt:lpwstr>
      </vt:variant>
      <vt:variant>
        <vt:i4>1769531</vt:i4>
      </vt:variant>
      <vt:variant>
        <vt:i4>83</vt:i4>
      </vt:variant>
      <vt:variant>
        <vt:i4>0</vt:i4>
      </vt:variant>
      <vt:variant>
        <vt:i4>5</vt:i4>
      </vt:variant>
      <vt:variant>
        <vt:lpwstr/>
      </vt:variant>
      <vt:variant>
        <vt:lpwstr>_Toc95293434</vt:lpwstr>
      </vt:variant>
      <vt:variant>
        <vt:i4>1835067</vt:i4>
      </vt:variant>
      <vt:variant>
        <vt:i4>77</vt:i4>
      </vt:variant>
      <vt:variant>
        <vt:i4>0</vt:i4>
      </vt:variant>
      <vt:variant>
        <vt:i4>5</vt:i4>
      </vt:variant>
      <vt:variant>
        <vt:lpwstr/>
      </vt:variant>
      <vt:variant>
        <vt:lpwstr>_Toc95293433</vt:lpwstr>
      </vt:variant>
      <vt:variant>
        <vt:i4>1900603</vt:i4>
      </vt:variant>
      <vt:variant>
        <vt:i4>71</vt:i4>
      </vt:variant>
      <vt:variant>
        <vt:i4>0</vt:i4>
      </vt:variant>
      <vt:variant>
        <vt:i4>5</vt:i4>
      </vt:variant>
      <vt:variant>
        <vt:lpwstr/>
      </vt:variant>
      <vt:variant>
        <vt:lpwstr>_Toc95293432</vt:lpwstr>
      </vt:variant>
      <vt:variant>
        <vt:i4>1966139</vt:i4>
      </vt:variant>
      <vt:variant>
        <vt:i4>65</vt:i4>
      </vt:variant>
      <vt:variant>
        <vt:i4>0</vt:i4>
      </vt:variant>
      <vt:variant>
        <vt:i4>5</vt:i4>
      </vt:variant>
      <vt:variant>
        <vt:lpwstr/>
      </vt:variant>
      <vt:variant>
        <vt:lpwstr>_Toc95293431</vt:lpwstr>
      </vt:variant>
      <vt:variant>
        <vt:i4>2031675</vt:i4>
      </vt:variant>
      <vt:variant>
        <vt:i4>59</vt:i4>
      </vt:variant>
      <vt:variant>
        <vt:i4>0</vt:i4>
      </vt:variant>
      <vt:variant>
        <vt:i4>5</vt:i4>
      </vt:variant>
      <vt:variant>
        <vt:lpwstr/>
      </vt:variant>
      <vt:variant>
        <vt:lpwstr>_Toc95293430</vt:lpwstr>
      </vt:variant>
      <vt:variant>
        <vt:i4>1441850</vt:i4>
      </vt:variant>
      <vt:variant>
        <vt:i4>53</vt:i4>
      </vt:variant>
      <vt:variant>
        <vt:i4>0</vt:i4>
      </vt:variant>
      <vt:variant>
        <vt:i4>5</vt:i4>
      </vt:variant>
      <vt:variant>
        <vt:lpwstr/>
      </vt:variant>
      <vt:variant>
        <vt:lpwstr>_Toc95293429</vt:lpwstr>
      </vt:variant>
      <vt:variant>
        <vt:i4>1507386</vt:i4>
      </vt:variant>
      <vt:variant>
        <vt:i4>47</vt:i4>
      </vt:variant>
      <vt:variant>
        <vt:i4>0</vt:i4>
      </vt:variant>
      <vt:variant>
        <vt:i4>5</vt:i4>
      </vt:variant>
      <vt:variant>
        <vt:lpwstr/>
      </vt:variant>
      <vt:variant>
        <vt:lpwstr>_Toc95293428</vt:lpwstr>
      </vt:variant>
      <vt:variant>
        <vt:i4>1572922</vt:i4>
      </vt:variant>
      <vt:variant>
        <vt:i4>41</vt:i4>
      </vt:variant>
      <vt:variant>
        <vt:i4>0</vt:i4>
      </vt:variant>
      <vt:variant>
        <vt:i4>5</vt:i4>
      </vt:variant>
      <vt:variant>
        <vt:lpwstr/>
      </vt:variant>
      <vt:variant>
        <vt:lpwstr>_Toc95293427</vt:lpwstr>
      </vt:variant>
      <vt:variant>
        <vt:i4>1638458</vt:i4>
      </vt:variant>
      <vt:variant>
        <vt:i4>35</vt:i4>
      </vt:variant>
      <vt:variant>
        <vt:i4>0</vt:i4>
      </vt:variant>
      <vt:variant>
        <vt:i4>5</vt:i4>
      </vt:variant>
      <vt:variant>
        <vt:lpwstr/>
      </vt:variant>
      <vt:variant>
        <vt:lpwstr>_Toc95293426</vt:lpwstr>
      </vt:variant>
      <vt:variant>
        <vt:i4>1703994</vt:i4>
      </vt:variant>
      <vt:variant>
        <vt:i4>29</vt:i4>
      </vt:variant>
      <vt:variant>
        <vt:i4>0</vt:i4>
      </vt:variant>
      <vt:variant>
        <vt:i4>5</vt:i4>
      </vt:variant>
      <vt:variant>
        <vt:lpwstr/>
      </vt:variant>
      <vt:variant>
        <vt:lpwstr>_Toc95293425</vt:lpwstr>
      </vt:variant>
      <vt:variant>
        <vt:i4>1769530</vt:i4>
      </vt:variant>
      <vt:variant>
        <vt:i4>23</vt:i4>
      </vt:variant>
      <vt:variant>
        <vt:i4>0</vt:i4>
      </vt:variant>
      <vt:variant>
        <vt:i4>5</vt:i4>
      </vt:variant>
      <vt:variant>
        <vt:lpwstr/>
      </vt:variant>
      <vt:variant>
        <vt:lpwstr>_Toc95293424</vt:lpwstr>
      </vt:variant>
      <vt:variant>
        <vt:i4>1835066</vt:i4>
      </vt:variant>
      <vt:variant>
        <vt:i4>17</vt:i4>
      </vt:variant>
      <vt:variant>
        <vt:i4>0</vt:i4>
      </vt:variant>
      <vt:variant>
        <vt:i4>5</vt:i4>
      </vt:variant>
      <vt:variant>
        <vt:lpwstr/>
      </vt:variant>
      <vt:variant>
        <vt:lpwstr>_Toc95293423</vt:lpwstr>
      </vt:variant>
      <vt:variant>
        <vt:i4>1900602</vt:i4>
      </vt:variant>
      <vt:variant>
        <vt:i4>11</vt:i4>
      </vt:variant>
      <vt:variant>
        <vt:i4>0</vt:i4>
      </vt:variant>
      <vt:variant>
        <vt:i4>5</vt:i4>
      </vt:variant>
      <vt:variant>
        <vt:lpwstr/>
      </vt:variant>
      <vt:variant>
        <vt:lpwstr>_Toc95293422</vt:lpwstr>
      </vt:variant>
      <vt:variant>
        <vt:i4>1966138</vt:i4>
      </vt:variant>
      <vt:variant>
        <vt:i4>5</vt:i4>
      </vt:variant>
      <vt:variant>
        <vt:i4>0</vt:i4>
      </vt:variant>
      <vt:variant>
        <vt:i4>5</vt:i4>
      </vt:variant>
      <vt:variant>
        <vt:lpwstr/>
      </vt:variant>
      <vt:variant>
        <vt:lpwstr>_Toc95293421</vt:lpwstr>
      </vt:variant>
      <vt:variant>
        <vt:i4>4325416</vt:i4>
      </vt:variant>
      <vt:variant>
        <vt:i4>0</vt:i4>
      </vt:variant>
      <vt:variant>
        <vt:i4>0</vt:i4>
      </vt:variant>
      <vt:variant>
        <vt:i4>5</vt:i4>
      </vt:variant>
      <vt:variant>
        <vt:lpwstr>mailto:freqplan@acma.gov.au</vt:lpwstr>
      </vt:variant>
      <vt:variant>
        <vt:lpwstr/>
      </vt:variant>
      <vt:variant>
        <vt:i4>7340130</vt:i4>
      </vt:variant>
      <vt:variant>
        <vt:i4>3</vt:i4>
      </vt:variant>
      <vt:variant>
        <vt:i4>0</vt:i4>
      </vt:variant>
      <vt:variant>
        <vt:i4>5</vt:i4>
      </vt:variant>
      <vt:variant>
        <vt:lpwstr>https://www.acma.gov.au/spectrum-embargoes</vt:lpwstr>
      </vt:variant>
      <vt:variant>
        <vt:lpwstr/>
      </vt:variant>
      <vt:variant>
        <vt:i4>6946865</vt:i4>
      </vt:variant>
      <vt:variant>
        <vt:i4>0</vt:i4>
      </vt:variant>
      <vt:variant>
        <vt:i4>0</vt:i4>
      </vt:variant>
      <vt:variant>
        <vt:i4>5</vt:i4>
      </vt:variant>
      <vt:variant>
        <vt:lpwstr>http://www.legislation.gov.au/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 Kerans</dc:creator>
  <cp:keywords/>
  <dc:description/>
  <cp:lastModifiedBy>Douglas Iles</cp:lastModifiedBy>
  <cp:revision>2</cp:revision>
  <cp:lastPrinted>2019-11-29T04:29:00Z</cp:lastPrinted>
  <dcterms:created xsi:type="dcterms:W3CDTF">2022-09-21T06:50:00Z</dcterms:created>
  <dcterms:modified xsi:type="dcterms:W3CDTF">2022-09-21T06:50:00Z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e48a0fe9-da13-4c34-85ff-207944982f37</vt:lpwstr>
  </property>
  <property fmtid="{D5CDD505-2E9C-101B-9397-08002B2CF9AE}" pid="3" name="ContentTypeId">
    <vt:lpwstr>0x0101001FF4B4F5C8F2D440B4CCA205CBF80413</vt:lpwstr>
  </property>
  <property fmtid="{D5CDD505-2E9C-101B-9397-08002B2CF9AE}" pid="4" name="TitusGUID">
    <vt:lpwstr>2ec0f06c-0561-44f1-8422-24f45d0220d8</vt:lpwstr>
  </property>
</Properties>
</file>