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0F23A" w14:textId="29FC8240" w:rsidR="00BB5BB6" w:rsidRDefault="00B6795E">
      <w:pPr>
        <w:pStyle w:val="ACMAReportTitle"/>
      </w:pPr>
      <w:bookmarkStart w:id="0" w:name="_Toc6298709"/>
      <w:r>
        <w:t>Coordination procedures between earth stations at New Norcia and Tidbinbilla and other services in the bands: 7145-7235 MHz, 8400-8500 MHz, 22.55-23.15 GHz, 31.8-32.3 GHz and 34.2-34.7 GHz</w:t>
      </w:r>
    </w:p>
    <w:p w14:paraId="55F977D5" w14:textId="77777777" w:rsidR="00BB5BB6" w:rsidRDefault="00B6795E">
      <w:pPr>
        <w:pStyle w:val="ACMAInstructions"/>
      </w:pPr>
      <w:r>
        <w:t>Radiocommunications Assignment and Licensing Instruction</w:t>
      </w:r>
    </w:p>
    <w:p w14:paraId="5E76FB45" w14:textId="77777777" w:rsidR="00BB5BB6" w:rsidRDefault="00B6795E">
      <w:pPr>
        <w:pStyle w:val="ACMAReportDate"/>
        <w:rPr>
          <w:b/>
        </w:rPr>
      </w:pPr>
      <w:r>
        <w:rPr>
          <w:b/>
        </w:rPr>
        <w:t>rali: MS 43</w:t>
      </w:r>
    </w:p>
    <w:p w14:paraId="15927E8E" w14:textId="36069AEB" w:rsidR="00BB5BB6" w:rsidRDefault="00B6795E">
      <w:pPr>
        <w:pStyle w:val="ACMAReportDate"/>
        <w:widowControl w:val="0"/>
        <w:rPr>
          <w:b/>
        </w:rPr>
      </w:pPr>
      <w:r>
        <w:rPr>
          <w:b/>
        </w:rPr>
        <w:t xml:space="preserve">date of effect: </w:t>
      </w:r>
      <w:r w:rsidR="00265144">
        <w:rPr>
          <w:b/>
        </w:rPr>
        <w:t>13</w:t>
      </w:r>
      <w:r w:rsidR="00220D56">
        <w:rPr>
          <w:b/>
        </w:rPr>
        <w:t xml:space="preserve"> </w:t>
      </w:r>
      <w:r w:rsidR="001E1DD1">
        <w:rPr>
          <w:b/>
        </w:rPr>
        <w:t>DECEMBER</w:t>
      </w:r>
      <w:r w:rsidR="000702B7">
        <w:rPr>
          <w:b/>
        </w:rPr>
        <w:t xml:space="preserve"> 2022</w:t>
      </w:r>
    </w:p>
    <w:p w14:paraId="300DC40F" w14:textId="77777777" w:rsidR="00BB5BB6" w:rsidRDefault="00B6795E">
      <w:pPr>
        <w:spacing w:after="0" w:line="240" w:lineRule="auto"/>
      </w:pPr>
      <w:r>
        <w:br w:type="page"/>
      </w:r>
    </w:p>
    <w:p w14:paraId="1B274F50" w14:textId="77777777" w:rsidR="00BB5BB6" w:rsidRDefault="00BB5BB6">
      <w:pPr>
        <w:pStyle w:val="Heading1"/>
        <w:rPr>
          <w:szCs w:val="44"/>
        </w:rPr>
        <w:sectPr w:rsidR="00BB5BB6">
          <w:footerReference w:type="default" r:id="rId8"/>
          <w:headerReference w:type="first" r:id="rId9"/>
          <w:type w:val="oddPage"/>
          <w:pgSz w:w="11906" w:h="16838"/>
          <w:pgMar w:top="3251" w:right="1440" w:bottom="1440" w:left="1440" w:header="708" w:footer="708" w:gutter="0"/>
          <w:pgNumType w:fmt="lowerRoman" w:start="1"/>
          <w:cols w:space="708"/>
          <w:titlePg/>
          <w:docGrid w:linePitch="360"/>
        </w:sectPr>
      </w:pPr>
    </w:p>
    <w:p w14:paraId="4E1A7E10" w14:textId="77777777" w:rsidR="00BB5BB6" w:rsidRDefault="00B6795E">
      <w:pPr>
        <w:rPr>
          <w:sz w:val="32"/>
        </w:rPr>
      </w:pPr>
      <w:r>
        <w:rPr>
          <w:sz w:val="32"/>
          <w:szCs w:val="32"/>
        </w:rPr>
        <w:lastRenderedPageBreak/>
        <w:t>Amendment history</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6350"/>
      </w:tblGrid>
      <w:tr w:rsidR="00BB5BB6" w14:paraId="0CB9E514" w14:textId="77777777" w:rsidTr="00D050A2">
        <w:trPr>
          <w:cantSplit/>
          <w:tblHeader/>
        </w:trPr>
        <w:tc>
          <w:tcPr>
            <w:tcW w:w="2263" w:type="dxa"/>
            <w:shd w:val="clear" w:color="auto" w:fill="D9D9D9"/>
          </w:tcPr>
          <w:p w14:paraId="69630905" w14:textId="77777777" w:rsidR="00BB5BB6" w:rsidRDefault="00B6795E">
            <w:pPr>
              <w:pStyle w:val="TableHeading"/>
              <w:spacing w:line="240" w:lineRule="auto"/>
              <w:rPr>
                <w:rFonts w:eastAsiaTheme="minorHAnsi"/>
                <w:szCs w:val="22"/>
              </w:rPr>
            </w:pPr>
            <w:r>
              <w:rPr>
                <w:rFonts w:eastAsiaTheme="minorHAnsi"/>
                <w:szCs w:val="22"/>
              </w:rPr>
              <w:t>Date</w:t>
            </w:r>
          </w:p>
        </w:tc>
        <w:tc>
          <w:tcPr>
            <w:tcW w:w="6350" w:type="dxa"/>
            <w:shd w:val="clear" w:color="auto" w:fill="D9D9D9"/>
          </w:tcPr>
          <w:p w14:paraId="175E0386" w14:textId="77777777" w:rsidR="00BB5BB6" w:rsidRDefault="00B6795E">
            <w:pPr>
              <w:pStyle w:val="TableHeading"/>
              <w:spacing w:line="240" w:lineRule="auto"/>
              <w:rPr>
                <w:rFonts w:eastAsiaTheme="minorHAnsi"/>
                <w:szCs w:val="22"/>
              </w:rPr>
            </w:pPr>
            <w:r>
              <w:rPr>
                <w:rFonts w:eastAsiaTheme="minorHAnsi"/>
                <w:szCs w:val="22"/>
              </w:rPr>
              <w:t>Comments</w:t>
            </w:r>
          </w:p>
        </w:tc>
      </w:tr>
      <w:tr w:rsidR="00BB5BB6" w14:paraId="1EAA9767" w14:textId="77777777" w:rsidTr="00D050A2">
        <w:tc>
          <w:tcPr>
            <w:tcW w:w="2263" w:type="dxa"/>
          </w:tcPr>
          <w:p w14:paraId="5295E8FC" w14:textId="77777777" w:rsidR="00BB5BB6" w:rsidRDefault="00B6795E">
            <w:pPr>
              <w:pStyle w:val="TableBody"/>
              <w:rPr>
                <w:rFonts w:eastAsiaTheme="minorHAnsi"/>
                <w:szCs w:val="22"/>
              </w:rPr>
            </w:pPr>
            <w:r>
              <w:rPr>
                <w:rFonts w:eastAsiaTheme="minorHAnsi"/>
              </w:rPr>
              <w:t>5 November 2015</w:t>
            </w:r>
          </w:p>
        </w:tc>
        <w:tc>
          <w:tcPr>
            <w:tcW w:w="6350" w:type="dxa"/>
          </w:tcPr>
          <w:p w14:paraId="5C17F8A4" w14:textId="0086D397" w:rsidR="00BB5BB6" w:rsidRDefault="00B6795E">
            <w:pPr>
              <w:pStyle w:val="TableBody"/>
              <w:rPr>
                <w:rFonts w:eastAsiaTheme="minorHAnsi"/>
                <w:szCs w:val="22"/>
              </w:rPr>
            </w:pPr>
            <w:r>
              <w:rPr>
                <w:rFonts w:eastAsiaTheme="minorHAnsi"/>
              </w:rPr>
              <w:t xml:space="preserve">Initial draft for public consultation </w:t>
            </w:r>
            <w:r w:rsidR="003D4F26">
              <w:rPr>
                <w:rFonts w:eastAsiaTheme="minorHAnsi"/>
              </w:rPr>
              <w:t>(</w:t>
            </w:r>
            <w:hyperlink r:id="rId10" w:history="1">
              <w:r w:rsidR="003D4F26" w:rsidRPr="003D4F26">
                <w:rPr>
                  <w:rStyle w:val="Hyperlink"/>
                  <w:rFonts w:eastAsiaTheme="minorHAnsi"/>
                </w:rPr>
                <w:t>IFC 27/2015</w:t>
              </w:r>
            </w:hyperlink>
            <w:r w:rsidR="003D4F26">
              <w:rPr>
                <w:rFonts w:eastAsiaTheme="minorHAnsi"/>
              </w:rPr>
              <w:t>)</w:t>
            </w:r>
          </w:p>
        </w:tc>
      </w:tr>
      <w:tr w:rsidR="00BB5BB6" w14:paraId="3A799F5B" w14:textId="77777777" w:rsidTr="00D050A2">
        <w:tc>
          <w:tcPr>
            <w:tcW w:w="2263" w:type="dxa"/>
          </w:tcPr>
          <w:p w14:paraId="117F0C82" w14:textId="77777777" w:rsidR="00BB5BB6" w:rsidRDefault="00B6795E">
            <w:pPr>
              <w:pStyle w:val="TableBody"/>
              <w:rPr>
                <w:rFonts w:eastAsiaTheme="minorHAnsi"/>
                <w:szCs w:val="22"/>
              </w:rPr>
            </w:pPr>
            <w:r>
              <w:rPr>
                <w:rFonts w:eastAsiaTheme="minorHAnsi"/>
              </w:rPr>
              <w:t>29 January 2016</w:t>
            </w:r>
          </w:p>
        </w:tc>
        <w:tc>
          <w:tcPr>
            <w:tcW w:w="6350" w:type="dxa"/>
          </w:tcPr>
          <w:p w14:paraId="520F92A5" w14:textId="77777777" w:rsidR="00BB5BB6" w:rsidRDefault="00B6795E">
            <w:pPr>
              <w:pStyle w:val="TableBody"/>
              <w:rPr>
                <w:rFonts w:eastAsiaTheme="minorHAnsi"/>
                <w:szCs w:val="22"/>
              </w:rPr>
            </w:pPr>
            <w:r>
              <w:rPr>
                <w:rFonts w:eastAsiaTheme="minorHAnsi"/>
              </w:rPr>
              <w:t>Final document released</w:t>
            </w:r>
          </w:p>
        </w:tc>
      </w:tr>
      <w:tr w:rsidR="00BB5BB6" w14:paraId="2EEC24C4" w14:textId="77777777" w:rsidTr="00D050A2">
        <w:tc>
          <w:tcPr>
            <w:tcW w:w="2263" w:type="dxa"/>
          </w:tcPr>
          <w:p w14:paraId="66E3309C" w14:textId="047EC5B5" w:rsidR="00BB5BB6" w:rsidRPr="00474EBC" w:rsidRDefault="00474EBC">
            <w:pPr>
              <w:pStyle w:val="TableBody"/>
              <w:rPr>
                <w:rFonts w:eastAsiaTheme="minorHAnsi"/>
                <w:szCs w:val="22"/>
              </w:rPr>
            </w:pPr>
            <w:r w:rsidRPr="00474EBC">
              <w:rPr>
                <w:rFonts w:eastAsiaTheme="minorHAnsi"/>
                <w:szCs w:val="22"/>
              </w:rPr>
              <w:t xml:space="preserve">22 July </w:t>
            </w:r>
            <w:r w:rsidR="00F9473C" w:rsidRPr="00474EBC">
              <w:rPr>
                <w:rFonts w:eastAsiaTheme="minorHAnsi"/>
                <w:szCs w:val="22"/>
              </w:rPr>
              <w:t>2022</w:t>
            </w:r>
          </w:p>
        </w:tc>
        <w:tc>
          <w:tcPr>
            <w:tcW w:w="6350" w:type="dxa"/>
          </w:tcPr>
          <w:p w14:paraId="5BBD46CF" w14:textId="2BB4FCB7" w:rsidR="00ED6F7E" w:rsidRPr="00474EBC" w:rsidRDefault="00B6795E" w:rsidP="00CB126B">
            <w:pPr>
              <w:pStyle w:val="TableBody"/>
              <w:rPr>
                <w:rFonts w:eastAsiaTheme="minorHAnsi"/>
                <w:szCs w:val="22"/>
              </w:rPr>
            </w:pPr>
            <w:r w:rsidRPr="00474EBC">
              <w:rPr>
                <w:rFonts w:eastAsiaTheme="minorHAnsi"/>
                <w:szCs w:val="22"/>
              </w:rPr>
              <w:t>Update released for public consultation (</w:t>
            </w:r>
            <w:hyperlink r:id="rId11" w:history="1">
              <w:r w:rsidRPr="003D4F26">
                <w:rPr>
                  <w:rStyle w:val="Hyperlink"/>
                  <w:rFonts w:eastAsiaTheme="minorHAnsi"/>
                  <w:szCs w:val="22"/>
                </w:rPr>
                <w:t xml:space="preserve">IFC </w:t>
              </w:r>
              <w:r w:rsidR="00294DCF" w:rsidRPr="003D4F26">
                <w:rPr>
                  <w:rStyle w:val="Hyperlink"/>
                  <w:rFonts w:eastAsiaTheme="minorHAnsi"/>
                  <w:szCs w:val="22"/>
                </w:rPr>
                <w:t>26</w:t>
              </w:r>
              <w:r w:rsidRPr="003D4F26">
                <w:rPr>
                  <w:rStyle w:val="Hyperlink"/>
                  <w:rFonts w:eastAsiaTheme="minorHAnsi"/>
                  <w:szCs w:val="22"/>
                </w:rPr>
                <w:t>/</w:t>
              </w:r>
              <w:r w:rsidR="00F9473C" w:rsidRPr="003D4F26">
                <w:rPr>
                  <w:rStyle w:val="Hyperlink"/>
                  <w:rFonts w:eastAsiaTheme="minorHAnsi"/>
                  <w:szCs w:val="22"/>
                </w:rPr>
                <w:t>2022</w:t>
              </w:r>
            </w:hyperlink>
            <w:r w:rsidRPr="00474EBC">
              <w:rPr>
                <w:rFonts w:eastAsiaTheme="minorHAnsi"/>
                <w:szCs w:val="22"/>
              </w:rPr>
              <w:t>) to</w:t>
            </w:r>
            <w:r w:rsidR="00ED6F7E" w:rsidRPr="00474EBC">
              <w:rPr>
                <w:rFonts w:eastAsiaTheme="minorHAnsi"/>
                <w:szCs w:val="22"/>
              </w:rPr>
              <w:t>:</w:t>
            </w:r>
          </w:p>
          <w:p w14:paraId="68F79728" w14:textId="3422B153" w:rsidR="00ED6F7E" w:rsidRPr="00474EBC" w:rsidRDefault="00B6795E" w:rsidP="00ED6F7E">
            <w:pPr>
              <w:pStyle w:val="TableBody"/>
              <w:numPr>
                <w:ilvl w:val="0"/>
                <w:numId w:val="23"/>
              </w:numPr>
              <w:rPr>
                <w:rFonts w:eastAsiaTheme="minorHAnsi"/>
                <w:szCs w:val="22"/>
              </w:rPr>
            </w:pPr>
            <w:r w:rsidRPr="00474EBC">
              <w:rPr>
                <w:rFonts w:eastAsiaTheme="minorHAnsi"/>
                <w:szCs w:val="22"/>
              </w:rPr>
              <w:t>include requirements for Tidbinbilla</w:t>
            </w:r>
            <w:r w:rsidR="00D8697F" w:rsidRPr="00474EBC">
              <w:rPr>
                <w:rFonts w:eastAsiaTheme="minorHAnsi"/>
                <w:szCs w:val="22"/>
              </w:rPr>
              <w:t>,</w:t>
            </w:r>
          </w:p>
          <w:p w14:paraId="4C4AA738" w14:textId="31F99019" w:rsidR="00ED6F7E" w:rsidRPr="00474EBC" w:rsidRDefault="004A4EBA" w:rsidP="00ED6F7E">
            <w:pPr>
              <w:pStyle w:val="TableBody"/>
              <w:numPr>
                <w:ilvl w:val="0"/>
                <w:numId w:val="23"/>
              </w:numPr>
              <w:rPr>
                <w:rFonts w:eastAsiaTheme="minorHAnsi"/>
                <w:szCs w:val="22"/>
              </w:rPr>
            </w:pPr>
            <w:r w:rsidRPr="00474EBC">
              <w:rPr>
                <w:rFonts w:eastAsiaTheme="minorHAnsi"/>
                <w:szCs w:val="22"/>
              </w:rPr>
              <w:t xml:space="preserve">add </w:t>
            </w:r>
            <w:r w:rsidR="00B6795E" w:rsidRPr="00474EBC">
              <w:rPr>
                <w:rFonts w:eastAsiaTheme="minorHAnsi"/>
                <w:szCs w:val="22"/>
              </w:rPr>
              <w:t>the 22.55-23.15 GHz band</w:t>
            </w:r>
          </w:p>
          <w:p w14:paraId="04C1278D" w14:textId="5379925D" w:rsidR="00BB5BB6" w:rsidRPr="00474EBC" w:rsidRDefault="004A4EBA" w:rsidP="00ED6F7E">
            <w:pPr>
              <w:pStyle w:val="TableBody"/>
              <w:numPr>
                <w:ilvl w:val="0"/>
                <w:numId w:val="23"/>
              </w:numPr>
              <w:rPr>
                <w:rFonts w:eastAsiaTheme="minorHAnsi"/>
                <w:szCs w:val="22"/>
              </w:rPr>
            </w:pPr>
            <w:r w:rsidRPr="00474EBC">
              <w:rPr>
                <w:rFonts w:eastAsiaTheme="minorHAnsi"/>
                <w:szCs w:val="22"/>
              </w:rPr>
              <w:t xml:space="preserve">remove the 26 GHz </w:t>
            </w:r>
            <w:r w:rsidR="006E57E4" w:rsidRPr="00474EBC">
              <w:rPr>
                <w:rFonts w:eastAsiaTheme="minorHAnsi"/>
                <w:szCs w:val="22"/>
              </w:rPr>
              <w:t xml:space="preserve">band </w:t>
            </w:r>
            <w:r w:rsidRPr="00474EBC">
              <w:rPr>
                <w:rFonts w:eastAsiaTheme="minorHAnsi"/>
                <w:szCs w:val="22"/>
              </w:rPr>
              <w:t xml:space="preserve">which </w:t>
            </w:r>
            <w:r w:rsidR="00B70969" w:rsidRPr="00474EBC">
              <w:rPr>
                <w:rFonts w:eastAsiaTheme="minorHAnsi"/>
                <w:szCs w:val="22"/>
              </w:rPr>
              <w:t>is</w:t>
            </w:r>
            <w:r w:rsidR="00E81151" w:rsidRPr="00474EBC">
              <w:rPr>
                <w:rFonts w:eastAsiaTheme="minorHAnsi"/>
                <w:szCs w:val="22"/>
              </w:rPr>
              <w:t xml:space="preserve"> </w:t>
            </w:r>
            <w:r w:rsidRPr="00474EBC">
              <w:rPr>
                <w:rFonts w:eastAsiaTheme="minorHAnsi"/>
                <w:szCs w:val="22"/>
              </w:rPr>
              <w:t>include</w:t>
            </w:r>
            <w:r w:rsidR="00E81151" w:rsidRPr="00474EBC">
              <w:rPr>
                <w:rFonts w:eastAsiaTheme="minorHAnsi"/>
                <w:szCs w:val="22"/>
              </w:rPr>
              <w:t>d</w:t>
            </w:r>
            <w:r w:rsidRPr="00474EBC">
              <w:rPr>
                <w:rFonts w:eastAsiaTheme="minorHAnsi"/>
                <w:szCs w:val="22"/>
              </w:rPr>
              <w:t xml:space="preserve"> in </w:t>
            </w:r>
            <w:r w:rsidR="00ED6F7E" w:rsidRPr="00474EBC">
              <w:rPr>
                <w:rFonts w:eastAsiaTheme="minorHAnsi"/>
                <w:szCs w:val="22"/>
              </w:rPr>
              <w:t xml:space="preserve">RALI </w:t>
            </w:r>
            <w:r w:rsidRPr="00474EBC">
              <w:rPr>
                <w:rFonts w:eastAsiaTheme="minorHAnsi"/>
                <w:szCs w:val="22"/>
              </w:rPr>
              <w:t>MS 46</w:t>
            </w:r>
            <w:r w:rsidR="00B70969" w:rsidRPr="00474EBC">
              <w:rPr>
                <w:rFonts w:eastAsiaTheme="minorHAnsi"/>
                <w:szCs w:val="22"/>
              </w:rPr>
              <w:t xml:space="preserve"> and in </w:t>
            </w:r>
            <w:r w:rsidR="005F7C2A" w:rsidRPr="00474EBC">
              <w:rPr>
                <w:rFonts w:eastAsiaTheme="minorHAnsi"/>
                <w:szCs w:val="22"/>
              </w:rPr>
              <w:t>the Radiocommunications Advisory Guidelines (Managing Interference from Spectrum Licensed Transmitters</w:t>
            </w:r>
            <w:r w:rsidR="00A31046" w:rsidRPr="00474EBC">
              <w:rPr>
                <w:rFonts w:eastAsiaTheme="minorHAnsi"/>
                <w:szCs w:val="22"/>
              </w:rPr>
              <w:t xml:space="preserve"> – 26 GHz Band) 2020</w:t>
            </w:r>
            <w:r w:rsidR="00ED6F7E" w:rsidRPr="00474EBC">
              <w:rPr>
                <w:rFonts w:eastAsiaTheme="minorHAnsi"/>
                <w:szCs w:val="22"/>
              </w:rPr>
              <w:t>.</w:t>
            </w:r>
          </w:p>
          <w:p w14:paraId="72F9CA33" w14:textId="68F4C603" w:rsidR="00C673F5" w:rsidRPr="00474EBC" w:rsidRDefault="00ED6F65" w:rsidP="00ED6F7E">
            <w:pPr>
              <w:pStyle w:val="TableBody"/>
              <w:numPr>
                <w:ilvl w:val="0"/>
                <w:numId w:val="23"/>
              </w:numPr>
              <w:rPr>
                <w:rFonts w:eastAsiaTheme="minorHAnsi"/>
                <w:szCs w:val="22"/>
              </w:rPr>
            </w:pPr>
            <w:r w:rsidRPr="00474EBC">
              <w:rPr>
                <w:rFonts w:eastAsiaTheme="minorHAnsi"/>
                <w:szCs w:val="22"/>
              </w:rPr>
              <w:t xml:space="preserve">For </w:t>
            </w:r>
            <w:r w:rsidR="00C673F5" w:rsidRPr="00474EBC">
              <w:rPr>
                <w:rFonts w:eastAsiaTheme="minorHAnsi"/>
                <w:szCs w:val="22"/>
              </w:rPr>
              <w:t xml:space="preserve">unwanted </w:t>
            </w:r>
            <w:r w:rsidR="00461EA5" w:rsidRPr="00474EBC">
              <w:rPr>
                <w:rFonts w:eastAsiaTheme="minorHAnsi"/>
                <w:szCs w:val="22"/>
              </w:rPr>
              <w:t>emissions levels</w:t>
            </w:r>
            <w:r w:rsidR="00C575C3" w:rsidRPr="00474EBC">
              <w:rPr>
                <w:rFonts w:eastAsiaTheme="minorHAnsi"/>
                <w:szCs w:val="22"/>
              </w:rPr>
              <w:t xml:space="preserve"> (section 2.1.2)</w:t>
            </w:r>
            <w:r w:rsidRPr="00474EBC">
              <w:rPr>
                <w:rFonts w:eastAsiaTheme="minorHAnsi"/>
                <w:szCs w:val="22"/>
              </w:rPr>
              <w:t xml:space="preserve">, include advice that </w:t>
            </w:r>
            <w:proofErr w:type="spellStart"/>
            <w:r w:rsidR="00046FCB" w:rsidRPr="00474EBC">
              <w:rPr>
                <w:rFonts w:eastAsiaTheme="minorHAnsi"/>
                <w:szCs w:val="22"/>
              </w:rPr>
              <w:t>dBc</w:t>
            </w:r>
            <w:proofErr w:type="spellEnd"/>
            <w:r w:rsidR="00046FCB" w:rsidRPr="00474EBC">
              <w:rPr>
                <w:rFonts w:eastAsiaTheme="minorHAnsi"/>
                <w:szCs w:val="22"/>
              </w:rPr>
              <w:t xml:space="preserve"> is </w:t>
            </w:r>
            <w:r w:rsidR="00C3163B" w:rsidRPr="00474EBC">
              <w:rPr>
                <w:rFonts w:eastAsiaTheme="minorHAnsi"/>
                <w:szCs w:val="22"/>
              </w:rPr>
              <w:t>decibels relative to mean power</w:t>
            </w:r>
          </w:p>
          <w:p w14:paraId="34CCC69C" w14:textId="4AB2458B" w:rsidR="00D57D1D" w:rsidRPr="00474EBC" w:rsidRDefault="00C05AB2" w:rsidP="00C3163B">
            <w:pPr>
              <w:pStyle w:val="ListParagraph"/>
              <w:numPr>
                <w:ilvl w:val="0"/>
                <w:numId w:val="23"/>
              </w:numPr>
              <w:rPr>
                <w:rFonts w:eastAsiaTheme="minorHAnsi"/>
                <w:szCs w:val="22"/>
              </w:rPr>
            </w:pPr>
            <w:r w:rsidRPr="00474EBC">
              <w:rPr>
                <w:rFonts w:eastAsiaTheme="minorHAnsi"/>
                <w:szCs w:val="22"/>
              </w:rPr>
              <w:t>c</w:t>
            </w:r>
            <w:r w:rsidR="00D57D1D" w:rsidRPr="00474EBC">
              <w:rPr>
                <w:rFonts w:eastAsiaTheme="minorHAnsi"/>
                <w:szCs w:val="22"/>
              </w:rPr>
              <w:t>orrect Figure 1:</w:t>
            </w:r>
            <w:r w:rsidR="00D57D1D" w:rsidRPr="00474EBC">
              <w:t xml:space="preserve"> </w:t>
            </w:r>
            <w:r w:rsidR="00D57D1D" w:rsidRPr="00474EBC">
              <w:rPr>
                <w:rFonts w:eastAsiaTheme="minorHAnsi"/>
                <w:szCs w:val="22"/>
              </w:rPr>
              <w:t xml:space="preserve">Exclusion area around New Norcia for the bands 8400-8500 MHz and 31.8-32.3 GHz, which was missing </w:t>
            </w:r>
            <w:r w:rsidR="00F071A1" w:rsidRPr="00474EBC">
              <w:rPr>
                <w:szCs w:val="22"/>
              </w:rPr>
              <w:t xml:space="preserve">HCIS cell </w:t>
            </w:r>
            <w:r w:rsidR="00F071A1" w:rsidRPr="00474EBC">
              <w:rPr>
                <w:rFonts w:cs="Calibri"/>
                <w:szCs w:val="22"/>
              </w:rPr>
              <w:t>BU8I7</w:t>
            </w:r>
            <w:r w:rsidR="00D05FD4" w:rsidRPr="00474EBC">
              <w:rPr>
                <w:rFonts w:cs="Calibri"/>
                <w:szCs w:val="22"/>
              </w:rPr>
              <w:t>.</w:t>
            </w:r>
          </w:p>
        </w:tc>
      </w:tr>
      <w:tr w:rsidR="00220D56" w14:paraId="49152EDB" w14:textId="77777777" w:rsidTr="00D050A2">
        <w:tc>
          <w:tcPr>
            <w:tcW w:w="2263" w:type="dxa"/>
          </w:tcPr>
          <w:p w14:paraId="6324CA20" w14:textId="10FB27F0" w:rsidR="00220D56" w:rsidRPr="00D050A2" w:rsidRDefault="00D050A2">
            <w:pPr>
              <w:pStyle w:val="TableBody"/>
              <w:rPr>
                <w:rFonts w:eastAsiaTheme="minorHAnsi"/>
                <w:szCs w:val="22"/>
              </w:rPr>
            </w:pPr>
            <w:r>
              <w:rPr>
                <w:rFonts w:eastAsiaTheme="minorHAnsi"/>
                <w:szCs w:val="22"/>
              </w:rPr>
              <w:t>12 September 2022</w:t>
            </w:r>
          </w:p>
        </w:tc>
        <w:tc>
          <w:tcPr>
            <w:tcW w:w="6350" w:type="dxa"/>
          </w:tcPr>
          <w:p w14:paraId="156B1BC6" w14:textId="04D66F0E" w:rsidR="00220D56" w:rsidRPr="00D050A2" w:rsidRDefault="00D050A2" w:rsidP="00CB126B">
            <w:pPr>
              <w:pStyle w:val="TableBody"/>
              <w:rPr>
                <w:rFonts w:eastAsiaTheme="minorHAnsi"/>
                <w:szCs w:val="22"/>
              </w:rPr>
            </w:pPr>
            <w:r>
              <w:rPr>
                <w:rFonts w:eastAsiaTheme="minorHAnsi"/>
                <w:szCs w:val="22"/>
              </w:rPr>
              <w:t>Minor edits following July 2022 consultation.</w:t>
            </w:r>
          </w:p>
        </w:tc>
      </w:tr>
      <w:tr w:rsidR="00260792" w14:paraId="2381B406" w14:textId="77777777" w:rsidTr="00D050A2">
        <w:tc>
          <w:tcPr>
            <w:tcW w:w="2263" w:type="dxa"/>
          </w:tcPr>
          <w:p w14:paraId="344B41BB" w14:textId="674B85E5" w:rsidR="00260792" w:rsidRDefault="00265144" w:rsidP="00260792">
            <w:pPr>
              <w:pStyle w:val="TableBody"/>
              <w:rPr>
                <w:rFonts w:eastAsiaTheme="minorHAnsi"/>
                <w:szCs w:val="22"/>
              </w:rPr>
            </w:pPr>
            <w:r>
              <w:rPr>
                <w:rFonts w:eastAsiaTheme="minorHAnsi"/>
                <w:szCs w:val="22"/>
              </w:rPr>
              <w:t>13</w:t>
            </w:r>
            <w:r w:rsidR="00220D56">
              <w:rPr>
                <w:rFonts w:eastAsiaTheme="minorHAnsi"/>
                <w:szCs w:val="22"/>
              </w:rPr>
              <w:t xml:space="preserve"> </w:t>
            </w:r>
            <w:r w:rsidR="001E1DD1">
              <w:rPr>
                <w:rFonts w:eastAsiaTheme="minorHAnsi"/>
                <w:szCs w:val="22"/>
              </w:rPr>
              <w:t>December</w:t>
            </w:r>
            <w:r w:rsidR="00220D56">
              <w:rPr>
                <w:rFonts w:eastAsiaTheme="minorHAnsi"/>
                <w:szCs w:val="22"/>
              </w:rPr>
              <w:t xml:space="preserve"> 2022</w:t>
            </w:r>
          </w:p>
        </w:tc>
        <w:tc>
          <w:tcPr>
            <w:tcW w:w="6350" w:type="dxa"/>
          </w:tcPr>
          <w:p w14:paraId="46256432" w14:textId="3671E8D6" w:rsidR="00260792" w:rsidRDefault="004D7D6E" w:rsidP="00260792">
            <w:pPr>
              <w:pStyle w:val="TableBody"/>
              <w:rPr>
                <w:rFonts w:eastAsiaTheme="minorHAnsi"/>
                <w:szCs w:val="22"/>
              </w:rPr>
            </w:pPr>
            <w:r>
              <w:rPr>
                <w:rFonts w:eastAsiaTheme="minorHAnsi"/>
                <w:szCs w:val="22"/>
              </w:rPr>
              <w:t xml:space="preserve">Consequential update to </w:t>
            </w:r>
            <w:r w:rsidR="001E1DD1">
              <w:rPr>
                <w:rFonts w:eastAsiaTheme="minorHAnsi"/>
                <w:szCs w:val="22"/>
              </w:rPr>
              <w:t>Appendix</w:t>
            </w:r>
            <w:r w:rsidR="00220D56">
              <w:rPr>
                <w:rFonts w:eastAsiaTheme="minorHAnsi"/>
                <w:szCs w:val="22"/>
              </w:rPr>
              <w:t xml:space="preserve"> B to reflect changed TOB channel arrangements in t</w:t>
            </w:r>
            <w:r w:rsidR="00220D56" w:rsidRPr="0091088F">
              <w:rPr>
                <w:rFonts w:eastAsiaTheme="minorHAnsi"/>
                <w:szCs w:val="22"/>
              </w:rPr>
              <w:t>he band 7145</w:t>
            </w:r>
            <w:r w:rsidR="00220D56">
              <w:rPr>
                <w:rFonts w:eastAsiaTheme="minorHAnsi"/>
                <w:szCs w:val="22"/>
              </w:rPr>
              <w:t>–</w:t>
            </w:r>
            <w:r w:rsidR="00220D56" w:rsidRPr="0091088F">
              <w:rPr>
                <w:rFonts w:eastAsiaTheme="minorHAnsi"/>
                <w:szCs w:val="22"/>
              </w:rPr>
              <w:t>7235 MHz</w:t>
            </w:r>
            <w:r w:rsidR="00F41A10">
              <w:rPr>
                <w:rFonts w:eastAsiaTheme="minorHAnsi"/>
                <w:szCs w:val="22"/>
              </w:rPr>
              <w:t xml:space="preserve"> as a result of finalisation of consultation </w:t>
            </w:r>
            <w:hyperlink r:id="rId12" w:history="1">
              <w:r w:rsidR="00F41A10" w:rsidRPr="00F41A10">
                <w:rPr>
                  <w:rStyle w:val="Hyperlink"/>
                  <w:rFonts w:eastAsiaTheme="minorHAnsi"/>
                  <w:szCs w:val="22"/>
                </w:rPr>
                <w:t>IFC 19/2022</w:t>
              </w:r>
            </w:hyperlink>
            <w:r w:rsidR="00F41A10">
              <w:rPr>
                <w:rFonts w:eastAsiaTheme="minorHAnsi"/>
                <w:szCs w:val="22"/>
              </w:rPr>
              <w:t xml:space="preserve"> (</w:t>
            </w:r>
            <w:r w:rsidR="00F41A10" w:rsidRPr="00F41A10">
              <w:rPr>
                <w:rFonts w:eastAsiaTheme="minorHAnsi"/>
                <w:szCs w:val="22"/>
              </w:rPr>
              <w:t>Proposed updates to channel arrangements in the 7.2 GHz band</w:t>
            </w:r>
            <w:r w:rsidR="00F41A10">
              <w:rPr>
                <w:rFonts w:eastAsiaTheme="minorHAnsi"/>
                <w:szCs w:val="22"/>
              </w:rPr>
              <w:t>)</w:t>
            </w:r>
            <w:r w:rsidR="00220D56">
              <w:rPr>
                <w:rFonts w:eastAsiaTheme="minorHAnsi"/>
                <w:szCs w:val="22"/>
              </w:rPr>
              <w:t>.</w:t>
            </w:r>
          </w:p>
        </w:tc>
      </w:tr>
    </w:tbl>
    <w:p w14:paraId="41E40633" w14:textId="77777777" w:rsidR="00BB5BB6" w:rsidRDefault="00BB5BB6">
      <w:pPr>
        <w:pStyle w:val="ACMASpaceaftertable"/>
      </w:pPr>
    </w:p>
    <w:p w14:paraId="63CE98F5" w14:textId="77777777" w:rsidR="00BB5BB6" w:rsidRDefault="00B6795E">
      <w:pPr>
        <w:rPr>
          <w:szCs w:val="22"/>
        </w:rPr>
      </w:pPr>
      <w:r>
        <w:rPr>
          <w:szCs w:val="22"/>
        </w:rPr>
        <w:t>Suggestions for improvements to Radiocommunications Assignment and Licensing Instruction MS 43 may be addressed to:</w:t>
      </w:r>
    </w:p>
    <w:p w14:paraId="07CEE552" w14:textId="77777777" w:rsidR="00BB5BB6" w:rsidRDefault="00B6795E">
      <w:pPr>
        <w:rPr>
          <w:szCs w:val="22"/>
        </w:rPr>
      </w:pPr>
      <w:r>
        <w:rPr>
          <w:szCs w:val="22"/>
        </w:rPr>
        <w:t>The Manager, Spectrum Planning Section</w:t>
      </w:r>
      <w:r>
        <w:rPr>
          <w:szCs w:val="22"/>
        </w:rPr>
        <w:br/>
        <w:t>Australian Communications and Media Authority</w:t>
      </w:r>
      <w:r>
        <w:rPr>
          <w:szCs w:val="22"/>
        </w:rPr>
        <w:br/>
        <w:t xml:space="preserve">PO Box 78 </w:t>
      </w:r>
      <w:r>
        <w:rPr>
          <w:szCs w:val="22"/>
        </w:rPr>
        <w:br/>
        <w:t>Belconnen ACT 2616</w:t>
      </w:r>
    </w:p>
    <w:p w14:paraId="27402700" w14:textId="77777777" w:rsidR="00BB5BB6" w:rsidRDefault="00B6795E">
      <w:pPr>
        <w:rPr>
          <w:rFonts w:cstheme="minorHAnsi"/>
          <w:szCs w:val="22"/>
        </w:rPr>
      </w:pPr>
      <w:r>
        <w:rPr>
          <w:rFonts w:cstheme="minorHAnsi"/>
          <w:szCs w:val="22"/>
        </w:rPr>
        <w:t xml:space="preserve">or by email to: </w:t>
      </w:r>
      <w:hyperlink r:id="rId13" w:history="1">
        <w:r>
          <w:rPr>
            <w:rStyle w:val="Hyperlink"/>
            <w:rFonts w:cstheme="minorHAnsi"/>
            <w:szCs w:val="22"/>
          </w:rPr>
          <w:t>freqplan@acma.gov.au</w:t>
        </w:r>
      </w:hyperlink>
      <w:r>
        <w:rPr>
          <w:rFonts w:cstheme="minorHAnsi"/>
          <w:szCs w:val="22"/>
        </w:rPr>
        <w:t>.</w:t>
      </w:r>
    </w:p>
    <w:p w14:paraId="6324E4EB" w14:textId="77777777" w:rsidR="00BB5BB6" w:rsidRDefault="00B6795E">
      <w:pPr>
        <w:rPr>
          <w:szCs w:val="22"/>
        </w:rPr>
      </w:pPr>
      <w:r>
        <w:rPr>
          <w:szCs w:val="22"/>
        </w:rPr>
        <w:t>Please notify the ACMA of any inaccuracy or ambiguity found in this RALI, so that it can be investigated and appropriate action taken.</w:t>
      </w:r>
    </w:p>
    <w:p w14:paraId="196EF4DF" w14:textId="77777777" w:rsidR="00BB5BB6" w:rsidRDefault="00BB5BB6">
      <w:pPr>
        <w:rPr>
          <w:b/>
          <w:sz w:val="52"/>
          <w:szCs w:val="52"/>
        </w:rPr>
        <w:sectPr w:rsidR="00BB5BB6">
          <w:headerReference w:type="even" r:id="rId14"/>
          <w:headerReference w:type="default" r:id="rId15"/>
          <w:footerReference w:type="even" r:id="rId16"/>
          <w:headerReference w:type="first" r:id="rId17"/>
          <w:type w:val="evenPage"/>
          <w:pgSz w:w="11906" w:h="16838"/>
          <w:pgMar w:top="1440" w:right="1440" w:bottom="1440" w:left="1440" w:header="708" w:footer="708" w:gutter="0"/>
          <w:pgNumType w:fmt="lowerRoman" w:start="2"/>
          <w:cols w:space="708"/>
          <w:docGrid w:linePitch="360"/>
        </w:sectPr>
      </w:pPr>
    </w:p>
    <w:sdt>
      <w:sdtPr>
        <w:rPr>
          <w:b w:val="0"/>
          <w:color w:val="auto"/>
          <w:spacing w:val="0"/>
          <w:sz w:val="24"/>
        </w:rPr>
        <w:id w:val="2122026567"/>
        <w:docPartObj>
          <w:docPartGallery w:val="Table of Contents"/>
          <w:docPartUnique/>
        </w:docPartObj>
      </w:sdtPr>
      <w:sdtEndPr>
        <w:rPr>
          <w:bCs/>
          <w:noProof/>
          <w:sz w:val="22"/>
        </w:rPr>
      </w:sdtEndPr>
      <w:sdtContent>
        <w:p w14:paraId="50B4DF42" w14:textId="77777777" w:rsidR="00BB5BB6" w:rsidRDefault="00B6795E">
          <w:pPr>
            <w:pStyle w:val="TOCHeading"/>
          </w:pPr>
          <w:r>
            <w:t>Contents</w:t>
          </w:r>
        </w:p>
        <w:p w14:paraId="194FA5E6" w14:textId="291AE490" w:rsidR="00EF1B85" w:rsidRDefault="00B6795E">
          <w:pPr>
            <w:pStyle w:val="TOC1"/>
            <w:tabs>
              <w:tab w:val="left" w:pos="885"/>
            </w:tabs>
            <w:rPr>
              <w:rFonts w:asciiTheme="minorHAnsi" w:eastAsiaTheme="minorEastAsia" w:hAnsiTheme="minorHAnsi" w:cstheme="minorBidi"/>
              <w:b w:val="0"/>
              <w:spacing w:val="0"/>
              <w:sz w:val="22"/>
              <w:szCs w:val="22"/>
            </w:rPr>
          </w:pPr>
          <w:r>
            <w:fldChar w:fldCharType="begin"/>
          </w:r>
          <w:r>
            <w:instrText xml:space="preserve"> TOC \o "1-3" \h \z \u </w:instrText>
          </w:r>
          <w:r>
            <w:fldChar w:fldCharType="separate"/>
          </w:r>
          <w:hyperlink w:anchor="_Toc121757747" w:history="1">
            <w:r w:rsidR="00EF1B85" w:rsidRPr="00DF7235">
              <w:rPr>
                <w:rStyle w:val="Hyperlink"/>
                <w14:scene3d>
                  <w14:camera w14:prst="orthographicFront"/>
                  <w14:lightRig w14:rig="threePt" w14:dir="t">
                    <w14:rot w14:lat="0" w14:lon="0" w14:rev="0"/>
                  </w14:lightRig>
                </w14:scene3d>
              </w:rPr>
              <w:t>1</w:t>
            </w:r>
            <w:r w:rsidR="00EF1B85">
              <w:rPr>
                <w:rFonts w:asciiTheme="minorHAnsi" w:eastAsiaTheme="minorEastAsia" w:hAnsiTheme="minorHAnsi" w:cstheme="minorBidi"/>
                <w:b w:val="0"/>
                <w:spacing w:val="0"/>
                <w:sz w:val="22"/>
                <w:szCs w:val="22"/>
              </w:rPr>
              <w:tab/>
            </w:r>
            <w:r w:rsidR="00EF1B85" w:rsidRPr="00DF7235">
              <w:rPr>
                <w:rStyle w:val="Hyperlink"/>
              </w:rPr>
              <w:t>Introduction</w:t>
            </w:r>
            <w:r w:rsidR="00EF1B85">
              <w:rPr>
                <w:webHidden/>
              </w:rPr>
              <w:tab/>
            </w:r>
            <w:r w:rsidR="00EF1B85">
              <w:rPr>
                <w:webHidden/>
              </w:rPr>
              <w:fldChar w:fldCharType="begin"/>
            </w:r>
            <w:r w:rsidR="00EF1B85">
              <w:rPr>
                <w:webHidden/>
              </w:rPr>
              <w:instrText xml:space="preserve"> PAGEREF _Toc121757747 \h </w:instrText>
            </w:r>
            <w:r w:rsidR="00EF1B85">
              <w:rPr>
                <w:webHidden/>
              </w:rPr>
            </w:r>
            <w:r w:rsidR="00EF1B85">
              <w:rPr>
                <w:webHidden/>
              </w:rPr>
              <w:fldChar w:fldCharType="separate"/>
            </w:r>
            <w:r w:rsidR="00EF1B85">
              <w:rPr>
                <w:webHidden/>
              </w:rPr>
              <w:t>1</w:t>
            </w:r>
            <w:r w:rsidR="00EF1B85">
              <w:rPr>
                <w:webHidden/>
              </w:rPr>
              <w:fldChar w:fldCharType="end"/>
            </w:r>
          </w:hyperlink>
        </w:p>
        <w:p w14:paraId="1F9C1C7B" w14:textId="6A917DB1" w:rsidR="00EF1B85" w:rsidRDefault="00274AF4">
          <w:pPr>
            <w:pStyle w:val="TOC2"/>
            <w:rPr>
              <w:rFonts w:asciiTheme="minorHAnsi" w:eastAsiaTheme="minorEastAsia" w:hAnsiTheme="minorHAnsi" w:cstheme="minorBidi"/>
              <w:spacing w:val="0"/>
              <w:sz w:val="22"/>
              <w:szCs w:val="22"/>
            </w:rPr>
          </w:pPr>
          <w:hyperlink w:anchor="_Toc121757748" w:history="1">
            <w:r w:rsidR="00EF1B85" w:rsidRPr="00DF7235">
              <w:rPr>
                <w:rStyle w:val="Hyperlink"/>
              </w:rPr>
              <w:t>1.1</w:t>
            </w:r>
            <w:r w:rsidR="00EF1B85">
              <w:rPr>
                <w:rFonts w:asciiTheme="minorHAnsi" w:eastAsiaTheme="minorEastAsia" w:hAnsiTheme="minorHAnsi" w:cstheme="minorBidi"/>
                <w:spacing w:val="0"/>
                <w:sz w:val="22"/>
                <w:szCs w:val="22"/>
              </w:rPr>
              <w:tab/>
            </w:r>
            <w:r w:rsidR="00EF1B85" w:rsidRPr="00DF7235">
              <w:rPr>
                <w:rStyle w:val="Hyperlink"/>
              </w:rPr>
              <w:t>Purpose</w:t>
            </w:r>
            <w:r w:rsidR="00EF1B85">
              <w:rPr>
                <w:webHidden/>
              </w:rPr>
              <w:tab/>
            </w:r>
            <w:r w:rsidR="00EF1B85">
              <w:rPr>
                <w:webHidden/>
              </w:rPr>
              <w:fldChar w:fldCharType="begin"/>
            </w:r>
            <w:r w:rsidR="00EF1B85">
              <w:rPr>
                <w:webHidden/>
              </w:rPr>
              <w:instrText xml:space="preserve"> PAGEREF _Toc121757748 \h </w:instrText>
            </w:r>
            <w:r w:rsidR="00EF1B85">
              <w:rPr>
                <w:webHidden/>
              </w:rPr>
            </w:r>
            <w:r w:rsidR="00EF1B85">
              <w:rPr>
                <w:webHidden/>
              </w:rPr>
              <w:fldChar w:fldCharType="separate"/>
            </w:r>
            <w:r w:rsidR="00EF1B85">
              <w:rPr>
                <w:webHidden/>
              </w:rPr>
              <w:t>1</w:t>
            </w:r>
            <w:r w:rsidR="00EF1B85">
              <w:rPr>
                <w:webHidden/>
              </w:rPr>
              <w:fldChar w:fldCharType="end"/>
            </w:r>
          </w:hyperlink>
        </w:p>
        <w:p w14:paraId="42FD6FCD" w14:textId="4F2EF99A" w:rsidR="00EF1B85" w:rsidRDefault="00274AF4">
          <w:pPr>
            <w:pStyle w:val="TOC2"/>
            <w:rPr>
              <w:rFonts w:asciiTheme="minorHAnsi" w:eastAsiaTheme="minorEastAsia" w:hAnsiTheme="minorHAnsi" w:cstheme="minorBidi"/>
              <w:spacing w:val="0"/>
              <w:sz w:val="22"/>
              <w:szCs w:val="22"/>
            </w:rPr>
          </w:pPr>
          <w:hyperlink w:anchor="_Toc121757749" w:history="1">
            <w:r w:rsidR="00EF1B85" w:rsidRPr="00DF7235">
              <w:rPr>
                <w:rStyle w:val="Hyperlink"/>
              </w:rPr>
              <w:t>1.2</w:t>
            </w:r>
            <w:r w:rsidR="00EF1B85">
              <w:rPr>
                <w:rFonts w:asciiTheme="minorHAnsi" w:eastAsiaTheme="minorEastAsia" w:hAnsiTheme="minorHAnsi" w:cstheme="minorBidi"/>
                <w:spacing w:val="0"/>
                <w:sz w:val="22"/>
                <w:szCs w:val="22"/>
              </w:rPr>
              <w:tab/>
            </w:r>
            <w:r w:rsidR="00EF1B85" w:rsidRPr="00DF7235">
              <w:rPr>
                <w:rStyle w:val="Hyperlink"/>
              </w:rPr>
              <w:t>Background</w:t>
            </w:r>
            <w:r w:rsidR="00EF1B85">
              <w:rPr>
                <w:webHidden/>
              </w:rPr>
              <w:tab/>
            </w:r>
            <w:r w:rsidR="00EF1B85">
              <w:rPr>
                <w:webHidden/>
              </w:rPr>
              <w:fldChar w:fldCharType="begin"/>
            </w:r>
            <w:r w:rsidR="00EF1B85">
              <w:rPr>
                <w:webHidden/>
              </w:rPr>
              <w:instrText xml:space="preserve"> PAGEREF _Toc121757749 \h </w:instrText>
            </w:r>
            <w:r w:rsidR="00EF1B85">
              <w:rPr>
                <w:webHidden/>
              </w:rPr>
            </w:r>
            <w:r w:rsidR="00EF1B85">
              <w:rPr>
                <w:webHidden/>
              </w:rPr>
              <w:fldChar w:fldCharType="separate"/>
            </w:r>
            <w:r w:rsidR="00EF1B85">
              <w:rPr>
                <w:webHidden/>
              </w:rPr>
              <w:t>1</w:t>
            </w:r>
            <w:r w:rsidR="00EF1B85">
              <w:rPr>
                <w:webHidden/>
              </w:rPr>
              <w:fldChar w:fldCharType="end"/>
            </w:r>
          </w:hyperlink>
        </w:p>
        <w:p w14:paraId="0FB6F281" w14:textId="121BE939" w:rsidR="00EF1B85" w:rsidRDefault="00274AF4">
          <w:pPr>
            <w:pStyle w:val="TOC1"/>
            <w:tabs>
              <w:tab w:val="left" w:pos="885"/>
            </w:tabs>
            <w:rPr>
              <w:rFonts w:asciiTheme="minorHAnsi" w:eastAsiaTheme="minorEastAsia" w:hAnsiTheme="minorHAnsi" w:cstheme="minorBidi"/>
              <w:b w:val="0"/>
              <w:spacing w:val="0"/>
              <w:sz w:val="22"/>
              <w:szCs w:val="22"/>
            </w:rPr>
          </w:pPr>
          <w:hyperlink w:anchor="_Toc121757750" w:history="1">
            <w:r w:rsidR="00EF1B85" w:rsidRPr="00DF7235">
              <w:rPr>
                <w:rStyle w:val="Hyperlink"/>
                <w14:scene3d>
                  <w14:camera w14:prst="orthographicFront"/>
                  <w14:lightRig w14:rig="threePt" w14:dir="t">
                    <w14:rot w14:lat="0" w14:lon="0" w14:rev="0"/>
                  </w14:lightRig>
                </w14:scene3d>
              </w:rPr>
              <w:t>2</w:t>
            </w:r>
            <w:r w:rsidR="00EF1B85">
              <w:rPr>
                <w:rFonts w:asciiTheme="minorHAnsi" w:eastAsiaTheme="minorEastAsia" w:hAnsiTheme="minorHAnsi" w:cstheme="minorBidi"/>
                <w:b w:val="0"/>
                <w:spacing w:val="0"/>
                <w:sz w:val="22"/>
                <w:szCs w:val="22"/>
              </w:rPr>
              <w:tab/>
            </w:r>
            <w:r w:rsidR="00EF1B85" w:rsidRPr="00DF7235">
              <w:rPr>
                <w:rStyle w:val="Hyperlink"/>
              </w:rPr>
              <w:t>Frequency coordination procedures</w:t>
            </w:r>
            <w:r w:rsidR="00EF1B85">
              <w:rPr>
                <w:webHidden/>
              </w:rPr>
              <w:tab/>
            </w:r>
            <w:r w:rsidR="00EF1B85">
              <w:rPr>
                <w:webHidden/>
              </w:rPr>
              <w:fldChar w:fldCharType="begin"/>
            </w:r>
            <w:r w:rsidR="00EF1B85">
              <w:rPr>
                <w:webHidden/>
              </w:rPr>
              <w:instrText xml:space="preserve"> PAGEREF _Toc121757750 \h </w:instrText>
            </w:r>
            <w:r w:rsidR="00EF1B85">
              <w:rPr>
                <w:webHidden/>
              </w:rPr>
            </w:r>
            <w:r w:rsidR="00EF1B85">
              <w:rPr>
                <w:webHidden/>
              </w:rPr>
              <w:fldChar w:fldCharType="separate"/>
            </w:r>
            <w:r w:rsidR="00EF1B85">
              <w:rPr>
                <w:webHidden/>
              </w:rPr>
              <w:t>3</w:t>
            </w:r>
            <w:r w:rsidR="00EF1B85">
              <w:rPr>
                <w:webHidden/>
              </w:rPr>
              <w:fldChar w:fldCharType="end"/>
            </w:r>
          </w:hyperlink>
        </w:p>
        <w:p w14:paraId="7881E8F8" w14:textId="1FD5F35D" w:rsidR="00EF1B85" w:rsidRDefault="00274AF4">
          <w:pPr>
            <w:pStyle w:val="TOC2"/>
            <w:rPr>
              <w:rFonts w:asciiTheme="minorHAnsi" w:eastAsiaTheme="minorEastAsia" w:hAnsiTheme="minorHAnsi" w:cstheme="minorBidi"/>
              <w:spacing w:val="0"/>
              <w:sz w:val="22"/>
              <w:szCs w:val="22"/>
            </w:rPr>
          </w:pPr>
          <w:hyperlink w:anchor="_Toc121757751" w:history="1">
            <w:r w:rsidR="00EF1B85" w:rsidRPr="00DF7235">
              <w:rPr>
                <w:rStyle w:val="Hyperlink"/>
              </w:rPr>
              <w:t>2.1</w:t>
            </w:r>
            <w:r w:rsidR="00EF1B85">
              <w:rPr>
                <w:rFonts w:asciiTheme="minorHAnsi" w:eastAsiaTheme="minorEastAsia" w:hAnsiTheme="minorHAnsi" w:cstheme="minorBidi"/>
                <w:spacing w:val="0"/>
                <w:sz w:val="22"/>
                <w:szCs w:val="22"/>
              </w:rPr>
              <w:tab/>
            </w:r>
            <w:r w:rsidR="00EF1B85" w:rsidRPr="00DF7235">
              <w:rPr>
                <w:rStyle w:val="Hyperlink"/>
              </w:rPr>
              <w:t>Coordination criteria</w:t>
            </w:r>
            <w:r w:rsidR="00EF1B85">
              <w:rPr>
                <w:webHidden/>
              </w:rPr>
              <w:tab/>
            </w:r>
            <w:r w:rsidR="00EF1B85">
              <w:rPr>
                <w:webHidden/>
              </w:rPr>
              <w:fldChar w:fldCharType="begin"/>
            </w:r>
            <w:r w:rsidR="00EF1B85">
              <w:rPr>
                <w:webHidden/>
              </w:rPr>
              <w:instrText xml:space="preserve"> PAGEREF _Toc121757751 \h </w:instrText>
            </w:r>
            <w:r w:rsidR="00EF1B85">
              <w:rPr>
                <w:webHidden/>
              </w:rPr>
            </w:r>
            <w:r w:rsidR="00EF1B85">
              <w:rPr>
                <w:webHidden/>
              </w:rPr>
              <w:fldChar w:fldCharType="separate"/>
            </w:r>
            <w:r w:rsidR="00EF1B85">
              <w:rPr>
                <w:webHidden/>
              </w:rPr>
              <w:t>3</w:t>
            </w:r>
            <w:r w:rsidR="00EF1B85">
              <w:rPr>
                <w:webHidden/>
              </w:rPr>
              <w:fldChar w:fldCharType="end"/>
            </w:r>
          </w:hyperlink>
        </w:p>
        <w:p w14:paraId="2AD37572" w14:textId="2678F780" w:rsidR="00EF1B85" w:rsidRDefault="00274AF4">
          <w:pPr>
            <w:pStyle w:val="TOC3"/>
            <w:tabs>
              <w:tab w:val="left" w:pos="885"/>
            </w:tabs>
            <w:rPr>
              <w:rFonts w:asciiTheme="minorHAnsi" w:eastAsiaTheme="minorEastAsia" w:hAnsiTheme="minorHAnsi" w:cstheme="minorBidi"/>
            </w:rPr>
          </w:pPr>
          <w:hyperlink w:anchor="_Toc121757752" w:history="1">
            <w:r w:rsidR="00EF1B85" w:rsidRPr="00DF7235">
              <w:rPr>
                <w:rStyle w:val="Hyperlink"/>
              </w:rPr>
              <w:t>2.1.1</w:t>
            </w:r>
            <w:r w:rsidR="00EF1B85">
              <w:rPr>
                <w:rFonts w:asciiTheme="minorHAnsi" w:eastAsiaTheme="minorEastAsia" w:hAnsiTheme="minorHAnsi" w:cstheme="minorBidi"/>
              </w:rPr>
              <w:tab/>
            </w:r>
            <w:r w:rsidR="00EF1B85" w:rsidRPr="00DF7235">
              <w:rPr>
                <w:rStyle w:val="Hyperlink"/>
              </w:rPr>
              <w:t>Earth station transmit bands</w:t>
            </w:r>
            <w:r w:rsidR="00EF1B85">
              <w:rPr>
                <w:webHidden/>
              </w:rPr>
              <w:tab/>
            </w:r>
            <w:r w:rsidR="00EF1B85">
              <w:rPr>
                <w:webHidden/>
              </w:rPr>
              <w:fldChar w:fldCharType="begin"/>
            </w:r>
            <w:r w:rsidR="00EF1B85">
              <w:rPr>
                <w:webHidden/>
              </w:rPr>
              <w:instrText xml:space="preserve"> PAGEREF _Toc121757752 \h </w:instrText>
            </w:r>
            <w:r w:rsidR="00EF1B85">
              <w:rPr>
                <w:webHidden/>
              </w:rPr>
            </w:r>
            <w:r w:rsidR="00EF1B85">
              <w:rPr>
                <w:webHidden/>
              </w:rPr>
              <w:fldChar w:fldCharType="separate"/>
            </w:r>
            <w:r w:rsidR="00EF1B85">
              <w:rPr>
                <w:webHidden/>
              </w:rPr>
              <w:t>4</w:t>
            </w:r>
            <w:r w:rsidR="00EF1B85">
              <w:rPr>
                <w:webHidden/>
              </w:rPr>
              <w:fldChar w:fldCharType="end"/>
            </w:r>
          </w:hyperlink>
        </w:p>
        <w:p w14:paraId="0D4D59EE" w14:textId="207E8302" w:rsidR="00EF1B85" w:rsidRDefault="00274AF4">
          <w:pPr>
            <w:pStyle w:val="TOC3"/>
            <w:tabs>
              <w:tab w:val="left" w:pos="885"/>
            </w:tabs>
            <w:rPr>
              <w:rFonts w:asciiTheme="minorHAnsi" w:eastAsiaTheme="minorEastAsia" w:hAnsiTheme="minorHAnsi" w:cstheme="minorBidi"/>
            </w:rPr>
          </w:pPr>
          <w:hyperlink w:anchor="_Toc121757753" w:history="1">
            <w:r w:rsidR="00EF1B85" w:rsidRPr="00DF7235">
              <w:rPr>
                <w:rStyle w:val="Hyperlink"/>
              </w:rPr>
              <w:t>2.1.2</w:t>
            </w:r>
            <w:r w:rsidR="00EF1B85">
              <w:rPr>
                <w:rFonts w:asciiTheme="minorHAnsi" w:eastAsiaTheme="minorEastAsia" w:hAnsiTheme="minorHAnsi" w:cstheme="minorBidi"/>
              </w:rPr>
              <w:tab/>
            </w:r>
            <w:r w:rsidR="00EF1B85" w:rsidRPr="00DF7235">
              <w:rPr>
                <w:rStyle w:val="Hyperlink"/>
              </w:rPr>
              <w:t>Earth station receiver bands</w:t>
            </w:r>
            <w:r w:rsidR="00EF1B85">
              <w:rPr>
                <w:webHidden/>
              </w:rPr>
              <w:tab/>
            </w:r>
            <w:r w:rsidR="00EF1B85">
              <w:rPr>
                <w:webHidden/>
              </w:rPr>
              <w:fldChar w:fldCharType="begin"/>
            </w:r>
            <w:r w:rsidR="00EF1B85">
              <w:rPr>
                <w:webHidden/>
              </w:rPr>
              <w:instrText xml:space="preserve"> PAGEREF _Toc121757753 \h </w:instrText>
            </w:r>
            <w:r w:rsidR="00EF1B85">
              <w:rPr>
                <w:webHidden/>
              </w:rPr>
            </w:r>
            <w:r w:rsidR="00EF1B85">
              <w:rPr>
                <w:webHidden/>
              </w:rPr>
              <w:fldChar w:fldCharType="separate"/>
            </w:r>
            <w:r w:rsidR="00EF1B85">
              <w:rPr>
                <w:webHidden/>
              </w:rPr>
              <w:t>4</w:t>
            </w:r>
            <w:r w:rsidR="00EF1B85">
              <w:rPr>
                <w:webHidden/>
              </w:rPr>
              <w:fldChar w:fldCharType="end"/>
            </w:r>
          </w:hyperlink>
        </w:p>
        <w:p w14:paraId="6B7FA5D2" w14:textId="2681EDF4" w:rsidR="00EF1B85" w:rsidRDefault="00274AF4">
          <w:pPr>
            <w:pStyle w:val="TOC3"/>
            <w:tabs>
              <w:tab w:val="left" w:pos="885"/>
            </w:tabs>
            <w:rPr>
              <w:rFonts w:asciiTheme="minorHAnsi" w:eastAsiaTheme="minorEastAsia" w:hAnsiTheme="minorHAnsi" w:cstheme="minorBidi"/>
            </w:rPr>
          </w:pPr>
          <w:hyperlink w:anchor="_Toc121757754" w:history="1">
            <w:r w:rsidR="00EF1B85" w:rsidRPr="00DF7235">
              <w:rPr>
                <w:rStyle w:val="Hyperlink"/>
              </w:rPr>
              <w:t>2.1.3</w:t>
            </w:r>
            <w:r w:rsidR="00EF1B85">
              <w:rPr>
                <w:rFonts w:asciiTheme="minorHAnsi" w:eastAsiaTheme="minorEastAsia" w:hAnsiTheme="minorHAnsi" w:cstheme="minorBidi"/>
              </w:rPr>
              <w:tab/>
            </w:r>
            <w:r w:rsidR="00EF1B85" w:rsidRPr="00DF7235">
              <w:rPr>
                <w:rStyle w:val="Hyperlink"/>
              </w:rPr>
              <w:t>Coordination Procedure</w:t>
            </w:r>
            <w:r w:rsidR="00EF1B85">
              <w:rPr>
                <w:webHidden/>
              </w:rPr>
              <w:tab/>
            </w:r>
            <w:r w:rsidR="00EF1B85">
              <w:rPr>
                <w:webHidden/>
              </w:rPr>
              <w:fldChar w:fldCharType="begin"/>
            </w:r>
            <w:r w:rsidR="00EF1B85">
              <w:rPr>
                <w:webHidden/>
              </w:rPr>
              <w:instrText xml:space="preserve"> PAGEREF _Toc121757754 \h </w:instrText>
            </w:r>
            <w:r w:rsidR="00EF1B85">
              <w:rPr>
                <w:webHidden/>
              </w:rPr>
            </w:r>
            <w:r w:rsidR="00EF1B85">
              <w:rPr>
                <w:webHidden/>
              </w:rPr>
              <w:fldChar w:fldCharType="separate"/>
            </w:r>
            <w:r w:rsidR="00EF1B85">
              <w:rPr>
                <w:webHidden/>
              </w:rPr>
              <w:t>5</w:t>
            </w:r>
            <w:r w:rsidR="00EF1B85">
              <w:rPr>
                <w:webHidden/>
              </w:rPr>
              <w:fldChar w:fldCharType="end"/>
            </w:r>
          </w:hyperlink>
        </w:p>
        <w:p w14:paraId="1B09697E" w14:textId="034AF667" w:rsidR="00EF1B85" w:rsidRDefault="00274AF4">
          <w:pPr>
            <w:pStyle w:val="TOC1"/>
            <w:tabs>
              <w:tab w:val="left" w:pos="885"/>
            </w:tabs>
            <w:rPr>
              <w:rFonts w:asciiTheme="minorHAnsi" w:eastAsiaTheme="minorEastAsia" w:hAnsiTheme="minorHAnsi" w:cstheme="minorBidi"/>
              <w:b w:val="0"/>
              <w:spacing w:val="0"/>
              <w:sz w:val="22"/>
              <w:szCs w:val="22"/>
            </w:rPr>
          </w:pPr>
          <w:hyperlink w:anchor="_Toc121757755" w:history="1">
            <w:r w:rsidR="00EF1B85" w:rsidRPr="00DF7235">
              <w:rPr>
                <w:rStyle w:val="Hyperlink"/>
                <w14:scene3d>
                  <w14:camera w14:prst="orthographicFront"/>
                  <w14:lightRig w14:rig="threePt" w14:dir="t">
                    <w14:rot w14:lat="0" w14:lon="0" w14:rev="0"/>
                  </w14:lightRig>
                </w14:scene3d>
              </w:rPr>
              <w:t>3</w:t>
            </w:r>
            <w:r w:rsidR="00EF1B85">
              <w:rPr>
                <w:rFonts w:asciiTheme="minorHAnsi" w:eastAsiaTheme="minorEastAsia" w:hAnsiTheme="minorHAnsi" w:cstheme="minorBidi"/>
                <w:b w:val="0"/>
                <w:spacing w:val="0"/>
                <w:sz w:val="22"/>
                <w:szCs w:val="22"/>
              </w:rPr>
              <w:tab/>
            </w:r>
            <w:r w:rsidR="00EF1B85" w:rsidRPr="00DF7235">
              <w:rPr>
                <w:rStyle w:val="Hyperlink"/>
              </w:rPr>
              <w:t>Exceptions</w:t>
            </w:r>
            <w:r w:rsidR="00EF1B85">
              <w:rPr>
                <w:webHidden/>
              </w:rPr>
              <w:tab/>
            </w:r>
            <w:r w:rsidR="00EF1B85">
              <w:rPr>
                <w:webHidden/>
              </w:rPr>
              <w:fldChar w:fldCharType="begin"/>
            </w:r>
            <w:r w:rsidR="00EF1B85">
              <w:rPr>
                <w:webHidden/>
              </w:rPr>
              <w:instrText xml:space="preserve"> PAGEREF _Toc121757755 \h </w:instrText>
            </w:r>
            <w:r w:rsidR="00EF1B85">
              <w:rPr>
                <w:webHidden/>
              </w:rPr>
            </w:r>
            <w:r w:rsidR="00EF1B85">
              <w:rPr>
                <w:webHidden/>
              </w:rPr>
              <w:fldChar w:fldCharType="separate"/>
            </w:r>
            <w:r w:rsidR="00EF1B85">
              <w:rPr>
                <w:webHidden/>
              </w:rPr>
              <w:t>11</w:t>
            </w:r>
            <w:r w:rsidR="00EF1B85">
              <w:rPr>
                <w:webHidden/>
              </w:rPr>
              <w:fldChar w:fldCharType="end"/>
            </w:r>
          </w:hyperlink>
        </w:p>
        <w:p w14:paraId="5320D885" w14:textId="35B716DF" w:rsidR="00EF1B85" w:rsidRDefault="00274AF4">
          <w:pPr>
            <w:pStyle w:val="TOC1"/>
            <w:tabs>
              <w:tab w:val="left" w:pos="885"/>
            </w:tabs>
            <w:rPr>
              <w:rFonts w:asciiTheme="minorHAnsi" w:eastAsiaTheme="minorEastAsia" w:hAnsiTheme="minorHAnsi" w:cstheme="minorBidi"/>
              <w:b w:val="0"/>
              <w:spacing w:val="0"/>
              <w:sz w:val="22"/>
              <w:szCs w:val="22"/>
            </w:rPr>
          </w:pPr>
          <w:hyperlink w:anchor="_Toc121757756" w:history="1">
            <w:r w:rsidR="00EF1B85" w:rsidRPr="00DF7235">
              <w:rPr>
                <w:rStyle w:val="Hyperlink"/>
                <w14:scene3d>
                  <w14:camera w14:prst="orthographicFront"/>
                  <w14:lightRig w14:rig="threePt" w14:dir="t">
                    <w14:rot w14:lat="0" w14:lon="0" w14:rev="0"/>
                  </w14:lightRig>
                </w14:scene3d>
              </w:rPr>
              <w:t>4</w:t>
            </w:r>
            <w:r w:rsidR="00EF1B85">
              <w:rPr>
                <w:rFonts w:asciiTheme="minorHAnsi" w:eastAsiaTheme="minorEastAsia" w:hAnsiTheme="minorHAnsi" w:cstheme="minorBidi"/>
                <w:b w:val="0"/>
                <w:spacing w:val="0"/>
                <w:sz w:val="22"/>
                <w:szCs w:val="22"/>
              </w:rPr>
              <w:tab/>
            </w:r>
            <w:r w:rsidR="00EF1B85" w:rsidRPr="00DF7235">
              <w:rPr>
                <w:rStyle w:val="Hyperlink"/>
              </w:rPr>
              <w:t>RALI Authorisation</w:t>
            </w:r>
            <w:r w:rsidR="00EF1B85">
              <w:rPr>
                <w:webHidden/>
              </w:rPr>
              <w:tab/>
            </w:r>
            <w:r w:rsidR="00EF1B85">
              <w:rPr>
                <w:webHidden/>
              </w:rPr>
              <w:fldChar w:fldCharType="begin"/>
            </w:r>
            <w:r w:rsidR="00EF1B85">
              <w:rPr>
                <w:webHidden/>
              </w:rPr>
              <w:instrText xml:space="preserve"> PAGEREF _Toc121757756 \h </w:instrText>
            </w:r>
            <w:r w:rsidR="00EF1B85">
              <w:rPr>
                <w:webHidden/>
              </w:rPr>
            </w:r>
            <w:r w:rsidR="00EF1B85">
              <w:rPr>
                <w:webHidden/>
              </w:rPr>
              <w:fldChar w:fldCharType="separate"/>
            </w:r>
            <w:r w:rsidR="00EF1B85">
              <w:rPr>
                <w:webHidden/>
              </w:rPr>
              <w:t>12</w:t>
            </w:r>
            <w:r w:rsidR="00EF1B85">
              <w:rPr>
                <w:webHidden/>
              </w:rPr>
              <w:fldChar w:fldCharType="end"/>
            </w:r>
          </w:hyperlink>
        </w:p>
        <w:p w14:paraId="2E1F46AD" w14:textId="3CAC4FA3" w:rsidR="00EF1B85" w:rsidRDefault="00274AF4">
          <w:pPr>
            <w:pStyle w:val="TOC1"/>
            <w:rPr>
              <w:rFonts w:asciiTheme="minorHAnsi" w:eastAsiaTheme="minorEastAsia" w:hAnsiTheme="minorHAnsi" w:cstheme="minorBidi"/>
              <w:b w:val="0"/>
              <w:spacing w:val="0"/>
              <w:sz w:val="22"/>
              <w:szCs w:val="22"/>
            </w:rPr>
          </w:pPr>
          <w:hyperlink w:anchor="_Toc121757757" w:history="1">
            <w:r w:rsidR="00EF1B85" w:rsidRPr="00DF7235">
              <w:rPr>
                <w:rStyle w:val="Hyperlink"/>
              </w:rPr>
              <w:t>Appendix A: Antenna pattern for New Norcia and Tidbinbilla</w:t>
            </w:r>
            <w:r w:rsidR="00EF1B85">
              <w:rPr>
                <w:webHidden/>
              </w:rPr>
              <w:tab/>
            </w:r>
            <w:r w:rsidR="00EF1B85">
              <w:rPr>
                <w:webHidden/>
              </w:rPr>
              <w:fldChar w:fldCharType="begin"/>
            </w:r>
            <w:r w:rsidR="00EF1B85">
              <w:rPr>
                <w:webHidden/>
              </w:rPr>
              <w:instrText xml:space="preserve"> PAGEREF _Toc121757757 \h </w:instrText>
            </w:r>
            <w:r w:rsidR="00EF1B85">
              <w:rPr>
                <w:webHidden/>
              </w:rPr>
            </w:r>
            <w:r w:rsidR="00EF1B85">
              <w:rPr>
                <w:webHidden/>
              </w:rPr>
              <w:fldChar w:fldCharType="separate"/>
            </w:r>
            <w:r w:rsidR="00EF1B85">
              <w:rPr>
                <w:webHidden/>
              </w:rPr>
              <w:t>13</w:t>
            </w:r>
            <w:r w:rsidR="00EF1B85">
              <w:rPr>
                <w:webHidden/>
              </w:rPr>
              <w:fldChar w:fldCharType="end"/>
            </w:r>
          </w:hyperlink>
        </w:p>
        <w:p w14:paraId="00E724F5" w14:textId="399DF9F5" w:rsidR="00EF1B85" w:rsidRDefault="00274AF4">
          <w:pPr>
            <w:pStyle w:val="TOC1"/>
            <w:rPr>
              <w:rFonts w:asciiTheme="minorHAnsi" w:eastAsiaTheme="minorEastAsia" w:hAnsiTheme="minorHAnsi" w:cstheme="minorBidi"/>
              <w:b w:val="0"/>
              <w:spacing w:val="0"/>
              <w:sz w:val="22"/>
              <w:szCs w:val="22"/>
            </w:rPr>
          </w:pPr>
          <w:hyperlink w:anchor="_Toc121757758" w:history="1">
            <w:r w:rsidR="00EF1B85" w:rsidRPr="00DF7235">
              <w:rPr>
                <w:rStyle w:val="Hyperlink"/>
              </w:rPr>
              <w:t>Appendix B: Pre-existing Spectrum Arrangements</w:t>
            </w:r>
            <w:r w:rsidR="00EF1B85">
              <w:rPr>
                <w:webHidden/>
              </w:rPr>
              <w:tab/>
            </w:r>
            <w:r w:rsidR="00EF1B85">
              <w:rPr>
                <w:webHidden/>
              </w:rPr>
              <w:fldChar w:fldCharType="begin"/>
            </w:r>
            <w:r w:rsidR="00EF1B85">
              <w:rPr>
                <w:webHidden/>
              </w:rPr>
              <w:instrText xml:space="preserve"> PAGEREF _Toc121757758 \h </w:instrText>
            </w:r>
            <w:r w:rsidR="00EF1B85">
              <w:rPr>
                <w:webHidden/>
              </w:rPr>
            </w:r>
            <w:r w:rsidR="00EF1B85">
              <w:rPr>
                <w:webHidden/>
              </w:rPr>
              <w:fldChar w:fldCharType="separate"/>
            </w:r>
            <w:r w:rsidR="00EF1B85">
              <w:rPr>
                <w:webHidden/>
              </w:rPr>
              <w:t>14</w:t>
            </w:r>
            <w:r w:rsidR="00EF1B85">
              <w:rPr>
                <w:webHidden/>
              </w:rPr>
              <w:fldChar w:fldCharType="end"/>
            </w:r>
          </w:hyperlink>
        </w:p>
        <w:p w14:paraId="3E8170C5" w14:textId="1DA8F08E" w:rsidR="00EF1B85" w:rsidRDefault="00274AF4">
          <w:pPr>
            <w:pStyle w:val="TOC2"/>
            <w:rPr>
              <w:rFonts w:asciiTheme="minorHAnsi" w:eastAsiaTheme="minorEastAsia" w:hAnsiTheme="minorHAnsi" w:cstheme="minorBidi"/>
              <w:spacing w:val="0"/>
              <w:sz w:val="22"/>
              <w:szCs w:val="22"/>
            </w:rPr>
          </w:pPr>
          <w:hyperlink w:anchor="_Toc121757759" w:history="1">
            <w:r w:rsidR="00EF1B85" w:rsidRPr="00DF7235">
              <w:rPr>
                <w:rStyle w:val="Hyperlink"/>
              </w:rPr>
              <w:t>2022 update</w:t>
            </w:r>
            <w:r w:rsidR="00EF1B85">
              <w:rPr>
                <w:webHidden/>
              </w:rPr>
              <w:tab/>
            </w:r>
            <w:r w:rsidR="00EF1B85">
              <w:rPr>
                <w:webHidden/>
              </w:rPr>
              <w:fldChar w:fldCharType="begin"/>
            </w:r>
            <w:r w:rsidR="00EF1B85">
              <w:rPr>
                <w:webHidden/>
              </w:rPr>
              <w:instrText xml:space="preserve"> PAGEREF _Toc121757759 \h </w:instrText>
            </w:r>
            <w:r w:rsidR="00EF1B85">
              <w:rPr>
                <w:webHidden/>
              </w:rPr>
            </w:r>
            <w:r w:rsidR="00EF1B85">
              <w:rPr>
                <w:webHidden/>
              </w:rPr>
              <w:fldChar w:fldCharType="separate"/>
            </w:r>
            <w:r w:rsidR="00EF1B85">
              <w:rPr>
                <w:webHidden/>
              </w:rPr>
              <w:t>14</w:t>
            </w:r>
            <w:r w:rsidR="00EF1B85">
              <w:rPr>
                <w:webHidden/>
              </w:rPr>
              <w:fldChar w:fldCharType="end"/>
            </w:r>
          </w:hyperlink>
        </w:p>
        <w:p w14:paraId="06CFFE07" w14:textId="7AECA25A" w:rsidR="00EF1B85" w:rsidRDefault="00274AF4">
          <w:pPr>
            <w:pStyle w:val="TOC2"/>
            <w:rPr>
              <w:rFonts w:asciiTheme="minorHAnsi" w:eastAsiaTheme="minorEastAsia" w:hAnsiTheme="minorHAnsi" w:cstheme="minorBidi"/>
              <w:spacing w:val="0"/>
              <w:sz w:val="22"/>
              <w:szCs w:val="22"/>
            </w:rPr>
          </w:pPr>
          <w:hyperlink w:anchor="_Toc121757760" w:history="1">
            <w:r w:rsidR="00EF1B85" w:rsidRPr="00DF7235">
              <w:rPr>
                <w:rStyle w:val="Hyperlink"/>
              </w:rPr>
              <w:t>Pre-existing Spectrum Arrangements (as of January 2016)</w:t>
            </w:r>
            <w:r w:rsidR="00EF1B85">
              <w:rPr>
                <w:webHidden/>
              </w:rPr>
              <w:tab/>
            </w:r>
            <w:r w:rsidR="00EF1B85">
              <w:rPr>
                <w:webHidden/>
              </w:rPr>
              <w:fldChar w:fldCharType="begin"/>
            </w:r>
            <w:r w:rsidR="00EF1B85">
              <w:rPr>
                <w:webHidden/>
              </w:rPr>
              <w:instrText xml:space="preserve"> PAGEREF _Toc121757760 \h </w:instrText>
            </w:r>
            <w:r w:rsidR="00EF1B85">
              <w:rPr>
                <w:webHidden/>
              </w:rPr>
            </w:r>
            <w:r w:rsidR="00EF1B85">
              <w:rPr>
                <w:webHidden/>
              </w:rPr>
              <w:fldChar w:fldCharType="separate"/>
            </w:r>
            <w:r w:rsidR="00EF1B85">
              <w:rPr>
                <w:webHidden/>
              </w:rPr>
              <w:t>14</w:t>
            </w:r>
            <w:r w:rsidR="00EF1B85">
              <w:rPr>
                <w:webHidden/>
              </w:rPr>
              <w:fldChar w:fldCharType="end"/>
            </w:r>
          </w:hyperlink>
        </w:p>
        <w:p w14:paraId="745103EB" w14:textId="185967FA" w:rsidR="00EF1B85" w:rsidRDefault="00274AF4">
          <w:pPr>
            <w:pStyle w:val="TOC3"/>
            <w:rPr>
              <w:rFonts w:asciiTheme="minorHAnsi" w:eastAsiaTheme="minorEastAsia" w:hAnsiTheme="minorHAnsi" w:cstheme="minorBidi"/>
            </w:rPr>
          </w:pPr>
          <w:hyperlink w:anchor="_Toc121757761" w:history="1">
            <w:r w:rsidR="00EF1B85" w:rsidRPr="00DF7235">
              <w:rPr>
                <w:rStyle w:val="Hyperlink"/>
              </w:rPr>
              <w:t>Earth Station Transmit Band</w:t>
            </w:r>
            <w:r w:rsidR="00EF1B85">
              <w:rPr>
                <w:webHidden/>
              </w:rPr>
              <w:tab/>
            </w:r>
            <w:r w:rsidR="00EF1B85">
              <w:rPr>
                <w:webHidden/>
              </w:rPr>
              <w:fldChar w:fldCharType="begin"/>
            </w:r>
            <w:r w:rsidR="00EF1B85">
              <w:rPr>
                <w:webHidden/>
              </w:rPr>
              <w:instrText xml:space="preserve"> PAGEREF _Toc121757761 \h </w:instrText>
            </w:r>
            <w:r w:rsidR="00EF1B85">
              <w:rPr>
                <w:webHidden/>
              </w:rPr>
            </w:r>
            <w:r w:rsidR="00EF1B85">
              <w:rPr>
                <w:webHidden/>
              </w:rPr>
              <w:fldChar w:fldCharType="separate"/>
            </w:r>
            <w:r w:rsidR="00EF1B85">
              <w:rPr>
                <w:webHidden/>
              </w:rPr>
              <w:t>14</w:t>
            </w:r>
            <w:r w:rsidR="00EF1B85">
              <w:rPr>
                <w:webHidden/>
              </w:rPr>
              <w:fldChar w:fldCharType="end"/>
            </w:r>
          </w:hyperlink>
        </w:p>
        <w:p w14:paraId="6310431C" w14:textId="55590B49" w:rsidR="00EF1B85" w:rsidRDefault="00274AF4">
          <w:pPr>
            <w:pStyle w:val="TOC3"/>
            <w:rPr>
              <w:rFonts w:asciiTheme="minorHAnsi" w:eastAsiaTheme="minorEastAsia" w:hAnsiTheme="minorHAnsi" w:cstheme="minorBidi"/>
            </w:rPr>
          </w:pPr>
          <w:hyperlink w:anchor="_Toc121757762" w:history="1">
            <w:r w:rsidR="00EF1B85" w:rsidRPr="00DF7235">
              <w:rPr>
                <w:rStyle w:val="Hyperlink"/>
              </w:rPr>
              <w:t>Earth Station Receive Band</w:t>
            </w:r>
            <w:r w:rsidR="00EF1B85">
              <w:rPr>
                <w:webHidden/>
              </w:rPr>
              <w:tab/>
            </w:r>
            <w:r w:rsidR="00EF1B85">
              <w:rPr>
                <w:webHidden/>
              </w:rPr>
              <w:fldChar w:fldCharType="begin"/>
            </w:r>
            <w:r w:rsidR="00EF1B85">
              <w:rPr>
                <w:webHidden/>
              </w:rPr>
              <w:instrText xml:space="preserve"> PAGEREF _Toc121757762 \h </w:instrText>
            </w:r>
            <w:r w:rsidR="00EF1B85">
              <w:rPr>
                <w:webHidden/>
              </w:rPr>
            </w:r>
            <w:r w:rsidR="00EF1B85">
              <w:rPr>
                <w:webHidden/>
              </w:rPr>
              <w:fldChar w:fldCharType="separate"/>
            </w:r>
            <w:r w:rsidR="00EF1B85">
              <w:rPr>
                <w:webHidden/>
              </w:rPr>
              <w:t>15</w:t>
            </w:r>
            <w:r w:rsidR="00EF1B85">
              <w:rPr>
                <w:webHidden/>
              </w:rPr>
              <w:fldChar w:fldCharType="end"/>
            </w:r>
          </w:hyperlink>
        </w:p>
        <w:p w14:paraId="01EB6304" w14:textId="3DC45AA0" w:rsidR="00EF1B85" w:rsidRDefault="00274AF4">
          <w:pPr>
            <w:pStyle w:val="TOC1"/>
            <w:rPr>
              <w:rFonts w:asciiTheme="minorHAnsi" w:eastAsiaTheme="minorEastAsia" w:hAnsiTheme="minorHAnsi" w:cstheme="minorBidi"/>
              <w:b w:val="0"/>
              <w:spacing w:val="0"/>
              <w:sz w:val="22"/>
              <w:szCs w:val="22"/>
            </w:rPr>
          </w:pPr>
          <w:hyperlink w:anchor="_Toc121757763" w:history="1">
            <w:r w:rsidR="00EF1B85" w:rsidRPr="00DF7235">
              <w:rPr>
                <w:rStyle w:val="Hyperlink"/>
              </w:rPr>
              <w:t>Appendix C: Record of spectrum use by ESA and NASA</w:t>
            </w:r>
            <w:r w:rsidR="00EF1B85">
              <w:rPr>
                <w:webHidden/>
              </w:rPr>
              <w:tab/>
            </w:r>
            <w:r w:rsidR="00EF1B85">
              <w:rPr>
                <w:webHidden/>
              </w:rPr>
              <w:fldChar w:fldCharType="begin"/>
            </w:r>
            <w:r w:rsidR="00EF1B85">
              <w:rPr>
                <w:webHidden/>
              </w:rPr>
              <w:instrText xml:space="preserve"> PAGEREF _Toc121757763 \h </w:instrText>
            </w:r>
            <w:r w:rsidR="00EF1B85">
              <w:rPr>
                <w:webHidden/>
              </w:rPr>
            </w:r>
            <w:r w:rsidR="00EF1B85">
              <w:rPr>
                <w:webHidden/>
              </w:rPr>
              <w:fldChar w:fldCharType="separate"/>
            </w:r>
            <w:r w:rsidR="00EF1B85">
              <w:rPr>
                <w:webHidden/>
              </w:rPr>
              <w:t>16</w:t>
            </w:r>
            <w:r w:rsidR="00EF1B85">
              <w:rPr>
                <w:webHidden/>
              </w:rPr>
              <w:fldChar w:fldCharType="end"/>
            </w:r>
          </w:hyperlink>
        </w:p>
        <w:p w14:paraId="3E423BC3" w14:textId="22280224" w:rsidR="00EF1B85" w:rsidRDefault="00274AF4">
          <w:pPr>
            <w:pStyle w:val="TOC1"/>
            <w:rPr>
              <w:rFonts w:asciiTheme="minorHAnsi" w:eastAsiaTheme="minorEastAsia" w:hAnsiTheme="minorHAnsi" w:cstheme="minorBidi"/>
              <w:b w:val="0"/>
              <w:spacing w:val="0"/>
              <w:sz w:val="22"/>
              <w:szCs w:val="22"/>
            </w:rPr>
          </w:pPr>
          <w:hyperlink w:anchor="_Toc121757764" w:history="1">
            <w:r w:rsidR="00EF1B85" w:rsidRPr="00DF7235">
              <w:rPr>
                <w:rStyle w:val="Hyperlink"/>
              </w:rPr>
              <w:t>Appendix D: Exclusion Areas</w:t>
            </w:r>
            <w:r w:rsidR="00EF1B85">
              <w:rPr>
                <w:webHidden/>
              </w:rPr>
              <w:tab/>
            </w:r>
            <w:r w:rsidR="00EF1B85">
              <w:rPr>
                <w:webHidden/>
              </w:rPr>
              <w:fldChar w:fldCharType="begin"/>
            </w:r>
            <w:r w:rsidR="00EF1B85">
              <w:rPr>
                <w:webHidden/>
              </w:rPr>
              <w:instrText xml:space="preserve"> PAGEREF _Toc121757764 \h </w:instrText>
            </w:r>
            <w:r w:rsidR="00EF1B85">
              <w:rPr>
                <w:webHidden/>
              </w:rPr>
            </w:r>
            <w:r w:rsidR="00EF1B85">
              <w:rPr>
                <w:webHidden/>
              </w:rPr>
              <w:fldChar w:fldCharType="separate"/>
            </w:r>
            <w:r w:rsidR="00EF1B85">
              <w:rPr>
                <w:webHidden/>
              </w:rPr>
              <w:t>17</w:t>
            </w:r>
            <w:r w:rsidR="00EF1B85">
              <w:rPr>
                <w:webHidden/>
              </w:rPr>
              <w:fldChar w:fldCharType="end"/>
            </w:r>
          </w:hyperlink>
        </w:p>
        <w:p w14:paraId="0DFB813C" w14:textId="3885CF86" w:rsidR="00EF1B85" w:rsidRDefault="00274AF4">
          <w:pPr>
            <w:pStyle w:val="TOC2"/>
            <w:rPr>
              <w:rFonts w:asciiTheme="minorHAnsi" w:eastAsiaTheme="minorEastAsia" w:hAnsiTheme="minorHAnsi" w:cstheme="minorBidi"/>
              <w:spacing w:val="0"/>
              <w:sz w:val="22"/>
              <w:szCs w:val="22"/>
            </w:rPr>
          </w:pPr>
          <w:hyperlink w:anchor="_Toc121757765" w:history="1">
            <w:r w:rsidR="00EF1B85" w:rsidRPr="00DF7235">
              <w:rPr>
                <w:rStyle w:val="Hyperlink"/>
              </w:rPr>
              <w:t>New Norcia exclusion zone (earth station receive)</w:t>
            </w:r>
            <w:r w:rsidR="00EF1B85">
              <w:rPr>
                <w:webHidden/>
              </w:rPr>
              <w:tab/>
            </w:r>
            <w:r w:rsidR="00EF1B85">
              <w:rPr>
                <w:webHidden/>
              </w:rPr>
              <w:fldChar w:fldCharType="begin"/>
            </w:r>
            <w:r w:rsidR="00EF1B85">
              <w:rPr>
                <w:webHidden/>
              </w:rPr>
              <w:instrText xml:space="preserve"> PAGEREF _Toc121757765 \h </w:instrText>
            </w:r>
            <w:r w:rsidR="00EF1B85">
              <w:rPr>
                <w:webHidden/>
              </w:rPr>
            </w:r>
            <w:r w:rsidR="00EF1B85">
              <w:rPr>
                <w:webHidden/>
              </w:rPr>
              <w:fldChar w:fldCharType="separate"/>
            </w:r>
            <w:r w:rsidR="00EF1B85">
              <w:rPr>
                <w:webHidden/>
              </w:rPr>
              <w:t>17</w:t>
            </w:r>
            <w:r w:rsidR="00EF1B85">
              <w:rPr>
                <w:webHidden/>
              </w:rPr>
              <w:fldChar w:fldCharType="end"/>
            </w:r>
          </w:hyperlink>
        </w:p>
        <w:p w14:paraId="049999AA" w14:textId="520BE6DE" w:rsidR="00EF1B85" w:rsidRDefault="00274AF4">
          <w:pPr>
            <w:pStyle w:val="TOC2"/>
            <w:rPr>
              <w:rFonts w:asciiTheme="minorHAnsi" w:eastAsiaTheme="minorEastAsia" w:hAnsiTheme="minorHAnsi" w:cstheme="minorBidi"/>
              <w:spacing w:val="0"/>
              <w:sz w:val="22"/>
              <w:szCs w:val="22"/>
            </w:rPr>
          </w:pPr>
          <w:hyperlink w:anchor="_Toc121757766" w:history="1">
            <w:r w:rsidR="00EF1B85" w:rsidRPr="00DF7235">
              <w:rPr>
                <w:rStyle w:val="Hyperlink"/>
              </w:rPr>
              <w:t>Tidbinbilla exclusion zone (earth station receive)</w:t>
            </w:r>
            <w:r w:rsidR="00EF1B85">
              <w:rPr>
                <w:webHidden/>
              </w:rPr>
              <w:tab/>
            </w:r>
            <w:r w:rsidR="00EF1B85">
              <w:rPr>
                <w:webHidden/>
              </w:rPr>
              <w:fldChar w:fldCharType="begin"/>
            </w:r>
            <w:r w:rsidR="00EF1B85">
              <w:rPr>
                <w:webHidden/>
              </w:rPr>
              <w:instrText xml:space="preserve"> PAGEREF _Toc121757766 \h </w:instrText>
            </w:r>
            <w:r w:rsidR="00EF1B85">
              <w:rPr>
                <w:webHidden/>
              </w:rPr>
            </w:r>
            <w:r w:rsidR="00EF1B85">
              <w:rPr>
                <w:webHidden/>
              </w:rPr>
              <w:fldChar w:fldCharType="separate"/>
            </w:r>
            <w:r w:rsidR="00EF1B85">
              <w:rPr>
                <w:webHidden/>
              </w:rPr>
              <w:t>18</w:t>
            </w:r>
            <w:r w:rsidR="00EF1B85">
              <w:rPr>
                <w:webHidden/>
              </w:rPr>
              <w:fldChar w:fldCharType="end"/>
            </w:r>
          </w:hyperlink>
        </w:p>
        <w:p w14:paraId="2958B710" w14:textId="13A8D172" w:rsidR="00BB5BB6" w:rsidRDefault="00B6795E">
          <w:r>
            <w:rPr>
              <w:b/>
              <w:bCs/>
              <w:noProof/>
            </w:rPr>
            <w:fldChar w:fldCharType="end"/>
          </w:r>
        </w:p>
      </w:sdtContent>
    </w:sdt>
    <w:p w14:paraId="4B73A1C6" w14:textId="77777777" w:rsidR="00BB5BB6" w:rsidRDefault="00BB5BB6">
      <w:bookmarkStart w:id="1" w:name="_Toc8983846"/>
      <w:bookmarkStart w:id="2" w:name="_Toc8986370"/>
    </w:p>
    <w:p w14:paraId="2E121547" w14:textId="77777777" w:rsidR="00BB5BB6" w:rsidRDefault="00BB5BB6">
      <w:pPr>
        <w:sectPr w:rsidR="00BB5BB6">
          <w:type w:val="oddPage"/>
          <w:pgSz w:w="11906" w:h="16838"/>
          <w:pgMar w:top="1440" w:right="1440" w:bottom="1440" w:left="1440" w:header="708" w:footer="708" w:gutter="0"/>
          <w:pgNumType w:fmt="lowerRoman" w:start="2"/>
          <w:cols w:space="708"/>
          <w:docGrid w:linePitch="360"/>
        </w:sectPr>
      </w:pPr>
    </w:p>
    <w:p w14:paraId="06C7114C" w14:textId="77777777" w:rsidR="00BB5BB6" w:rsidRDefault="00B6795E">
      <w:pPr>
        <w:pStyle w:val="Heading1"/>
      </w:pPr>
      <w:bookmarkStart w:id="3" w:name="_Toc121757747"/>
      <w:r>
        <w:lastRenderedPageBreak/>
        <w:t>Introduction</w:t>
      </w:r>
      <w:bookmarkEnd w:id="0"/>
      <w:bookmarkEnd w:id="1"/>
      <w:bookmarkEnd w:id="2"/>
      <w:bookmarkEnd w:id="3"/>
    </w:p>
    <w:p w14:paraId="1DEF558C" w14:textId="77777777" w:rsidR="00BB5BB6" w:rsidRDefault="00B6795E">
      <w:pPr>
        <w:pStyle w:val="Heading2"/>
      </w:pPr>
      <w:bookmarkStart w:id="4" w:name="_Toc6298710"/>
      <w:bookmarkStart w:id="5" w:name="_Toc8983847"/>
      <w:bookmarkStart w:id="6" w:name="_Toc8986371"/>
      <w:bookmarkStart w:id="7" w:name="_Toc121757748"/>
      <w:r>
        <w:t>Purpose</w:t>
      </w:r>
      <w:bookmarkEnd w:id="4"/>
      <w:bookmarkEnd w:id="5"/>
      <w:bookmarkEnd w:id="6"/>
      <w:bookmarkEnd w:id="7"/>
    </w:p>
    <w:p w14:paraId="55861062" w14:textId="110CA0A3" w:rsidR="00056323" w:rsidRPr="00056323" w:rsidRDefault="00B6795E" w:rsidP="00F34F81">
      <w:pPr>
        <w:rPr>
          <w:szCs w:val="22"/>
        </w:rPr>
      </w:pPr>
      <w:r>
        <w:rPr>
          <w:szCs w:val="22"/>
        </w:rPr>
        <w:t>The purpose of this Radiocommunications Assignment and Licensing Instruction (RALI) is to provide</w:t>
      </w:r>
      <w:r>
        <w:t xml:space="preserve"> </w:t>
      </w:r>
      <w:r>
        <w:rPr>
          <w:szCs w:val="22"/>
        </w:rPr>
        <w:t xml:space="preserve">coordination procedures between services operated in the bands 7145-7235 MHz, 8400-8500 MHz, 22.55-23.15 GHz, 31.8-32.3 GHz and 34.2-34.7 GHz on behalf of the European Space Agency (ESA) at New Norcia and the National Aeronautics and Space Administration (NASA) at Tidbinbilla and other services operating, or planning to operate, in and adjacent to those bands. </w:t>
      </w:r>
      <w:r w:rsidR="00F34F81">
        <w:rPr>
          <w:szCs w:val="22"/>
        </w:rPr>
        <w:t>C</w:t>
      </w:r>
      <w:r w:rsidR="00056323" w:rsidRPr="00DA6F52">
        <w:rPr>
          <w:szCs w:val="22"/>
        </w:rPr>
        <w:t xml:space="preserve">oordination and exclusion requirements for </w:t>
      </w:r>
      <w:r w:rsidR="00F34F81">
        <w:rPr>
          <w:szCs w:val="22"/>
        </w:rPr>
        <w:t xml:space="preserve">these sites in </w:t>
      </w:r>
      <w:r w:rsidR="00056323" w:rsidRPr="00DA6F52">
        <w:rPr>
          <w:szCs w:val="22"/>
        </w:rPr>
        <w:t xml:space="preserve">the 26 GHz band </w:t>
      </w:r>
      <w:r w:rsidR="00F34F81">
        <w:rPr>
          <w:szCs w:val="22"/>
        </w:rPr>
        <w:t xml:space="preserve">(25.5-27 GHz) </w:t>
      </w:r>
      <w:r w:rsidR="00056323" w:rsidRPr="00DA6F52">
        <w:rPr>
          <w:szCs w:val="22"/>
        </w:rPr>
        <w:t xml:space="preserve">are specified in </w:t>
      </w:r>
      <w:hyperlink r:id="rId18" w:history="1">
        <w:r w:rsidR="00056323" w:rsidRPr="00DA6F52">
          <w:rPr>
            <w:rStyle w:val="Hyperlink"/>
            <w:szCs w:val="22"/>
          </w:rPr>
          <w:t>RALI MS 46</w:t>
        </w:r>
      </w:hyperlink>
      <w:r w:rsidR="00056323">
        <w:rPr>
          <w:rStyle w:val="Hyperlink"/>
          <w:szCs w:val="22"/>
        </w:rPr>
        <w:t xml:space="preserve"> </w:t>
      </w:r>
      <w:r w:rsidR="00056323" w:rsidRPr="004D3B6E">
        <w:t xml:space="preserve">and </w:t>
      </w:r>
      <w:hyperlink r:id="rId19" w:history="1">
        <w:r w:rsidR="00056323" w:rsidRPr="00883BCA">
          <w:rPr>
            <w:rStyle w:val="Hyperlink"/>
          </w:rPr>
          <w:t>Radiocommunications Advisory Guidelines (Managing Interference from Spectrum Licensed Transmitters — 26 GHz Band) 2020</w:t>
        </w:r>
      </w:hyperlink>
      <w:r w:rsidR="00056323" w:rsidRPr="00DA6F52">
        <w:rPr>
          <w:szCs w:val="22"/>
        </w:rPr>
        <w:t>.</w:t>
      </w:r>
    </w:p>
    <w:p w14:paraId="1475A0AD" w14:textId="7664F8B5" w:rsidR="00BB5BB6" w:rsidRDefault="00B6795E">
      <w:pPr>
        <w:rPr>
          <w:szCs w:val="22"/>
        </w:rPr>
      </w:pPr>
      <w:r>
        <w:rPr>
          <w:szCs w:val="22"/>
        </w:rPr>
        <w:t>The information in this document reflects the ACMA’s statement of current policy in relation to</w:t>
      </w:r>
      <w:r>
        <w:t xml:space="preserve"> </w:t>
      </w:r>
      <w:r>
        <w:rPr>
          <w:szCs w:val="22"/>
        </w:rPr>
        <w:t xml:space="preserve">coordination procedures between services operated in the bands </w:t>
      </w:r>
      <w:r w:rsidR="00442F74">
        <w:rPr>
          <w:szCs w:val="22"/>
        </w:rPr>
        <w:t>7145-</w:t>
      </w:r>
      <w:r>
        <w:rPr>
          <w:szCs w:val="22"/>
        </w:rPr>
        <w:t xml:space="preserve">7235 MHz, 8400-8500 MHz, 22.55-23.15 GHz, 31.8-32.3 GHz and 34.2-34.7 GHz on behalf of ESA at New Norcia and NASA at Tidbinbilla and other services operating, or planning to operate, in and adjacent to those bands. </w:t>
      </w:r>
      <w:r>
        <w:rPr>
          <w:rFonts w:cs="Calibri"/>
          <w:szCs w:val="22"/>
        </w:rPr>
        <w:t xml:space="preserve">In making decisions, </w:t>
      </w:r>
      <w:r>
        <w:rPr>
          <w:rFonts w:cstheme="minorHAnsi"/>
          <w:szCs w:val="22"/>
        </w:rPr>
        <w:t xml:space="preserve">accredited frequency assigners and the ACMA’s officers </w:t>
      </w:r>
      <w:r>
        <w:rPr>
          <w:rFonts w:cs="Calibri"/>
          <w:szCs w:val="22"/>
        </w:rPr>
        <w:t xml:space="preserve">should take all relevant factors into account and decide each case on its merits. Issues relating to this document that appear to fall outside the enunciated </w:t>
      </w:r>
      <w:r>
        <w:rPr>
          <w:rFonts w:cstheme="minorHAnsi"/>
          <w:szCs w:val="22"/>
        </w:rPr>
        <w:t xml:space="preserve">policy should be referred </w:t>
      </w:r>
      <w:r>
        <w:rPr>
          <w:szCs w:val="22"/>
        </w:rPr>
        <w:t>to:</w:t>
      </w:r>
    </w:p>
    <w:p w14:paraId="7FA1BF46" w14:textId="77777777" w:rsidR="00BB5BB6" w:rsidRDefault="00B6795E">
      <w:pPr>
        <w:rPr>
          <w:szCs w:val="22"/>
        </w:rPr>
      </w:pPr>
      <w:r>
        <w:rPr>
          <w:szCs w:val="22"/>
        </w:rPr>
        <w:t>The Manager, Spectrum Planning Section</w:t>
      </w:r>
      <w:r>
        <w:rPr>
          <w:szCs w:val="22"/>
        </w:rPr>
        <w:br/>
        <w:t>Australian Communications and Media Authority</w:t>
      </w:r>
      <w:r>
        <w:rPr>
          <w:szCs w:val="22"/>
        </w:rPr>
        <w:br/>
        <w:t xml:space="preserve">PO Box 78 </w:t>
      </w:r>
      <w:r>
        <w:rPr>
          <w:szCs w:val="22"/>
        </w:rPr>
        <w:br/>
        <w:t>Belconnen ACT 2616</w:t>
      </w:r>
    </w:p>
    <w:p w14:paraId="7B33DAA2" w14:textId="77777777" w:rsidR="00BB5BB6" w:rsidRDefault="00B6795E">
      <w:pPr>
        <w:rPr>
          <w:rFonts w:cstheme="minorHAnsi"/>
          <w:szCs w:val="22"/>
        </w:rPr>
      </w:pPr>
      <w:r>
        <w:rPr>
          <w:rFonts w:cstheme="minorHAnsi"/>
          <w:szCs w:val="22"/>
        </w:rPr>
        <w:t xml:space="preserve">or by email to: </w:t>
      </w:r>
      <w:hyperlink r:id="rId20" w:history="1">
        <w:r>
          <w:rPr>
            <w:rStyle w:val="Hyperlink"/>
            <w:rFonts w:cstheme="minorHAnsi"/>
            <w:szCs w:val="22"/>
          </w:rPr>
          <w:t>freqplan@acma.gov.au</w:t>
        </w:r>
      </w:hyperlink>
      <w:r>
        <w:rPr>
          <w:rFonts w:cstheme="minorHAnsi"/>
          <w:szCs w:val="22"/>
        </w:rPr>
        <w:t>.</w:t>
      </w:r>
    </w:p>
    <w:p w14:paraId="0F5782F3" w14:textId="77777777" w:rsidR="00BB5BB6" w:rsidRDefault="00B6795E">
      <w:pPr>
        <w:pStyle w:val="Heading2"/>
      </w:pPr>
      <w:bookmarkStart w:id="8" w:name="_Toc121757749"/>
      <w:r>
        <w:t>Background</w:t>
      </w:r>
      <w:bookmarkEnd w:id="8"/>
    </w:p>
    <w:p w14:paraId="2B474EC3" w14:textId="6CB29F8B" w:rsidR="00BB5BB6" w:rsidRDefault="00B6795E">
      <w:pPr>
        <w:rPr>
          <w:szCs w:val="22"/>
        </w:rPr>
      </w:pPr>
      <w:r>
        <w:rPr>
          <w:szCs w:val="22"/>
        </w:rPr>
        <w:t xml:space="preserve">The ongoing operation of the New Norcia earth station facility is conducted under the terms of a </w:t>
      </w:r>
      <w:r w:rsidR="00A01327" w:rsidRPr="00A01327">
        <w:rPr>
          <w:szCs w:val="22"/>
        </w:rPr>
        <w:t>treaty between the Australian government and ESA</w:t>
      </w:r>
      <w:r w:rsidR="009212D6">
        <w:rPr>
          <w:rStyle w:val="FootnoteReference"/>
          <w:szCs w:val="22"/>
        </w:rPr>
        <w:footnoteReference w:id="2"/>
      </w:r>
      <w:r>
        <w:rPr>
          <w:szCs w:val="22"/>
        </w:rPr>
        <w:t>. This treaty, amongst other things, agrees and supports the conduct of ESA’s co-operative space vehicle tracking program in Australia, with the Australian government extending best endeavours support to facilitate and protect the ongoing conduct of the Agreed Activities. The operation of New Norcia is managed in Australia by the Commonwealth Scientific and Industrial Research Organisation (CSIRO).</w:t>
      </w:r>
    </w:p>
    <w:p w14:paraId="69A5684D" w14:textId="54EE038D" w:rsidR="00BB5BB6" w:rsidRDefault="00B6795E">
      <w:pPr>
        <w:rPr>
          <w:szCs w:val="22"/>
        </w:rPr>
      </w:pPr>
      <w:r>
        <w:rPr>
          <w:szCs w:val="22"/>
        </w:rPr>
        <w:t>Similarly, the ongoing operation of the Canberra Deep Space Communication Complex (CDSCC) at Tidbinbilla is conducted under the terms of a government</w:t>
      </w:r>
      <w:r w:rsidR="00025510">
        <w:rPr>
          <w:szCs w:val="22"/>
        </w:rPr>
        <w:t>-</w:t>
      </w:r>
      <w:r>
        <w:rPr>
          <w:szCs w:val="22"/>
        </w:rPr>
        <w:t>to</w:t>
      </w:r>
      <w:r w:rsidR="00025510">
        <w:rPr>
          <w:szCs w:val="22"/>
        </w:rPr>
        <w:t>-</w:t>
      </w:r>
      <w:r>
        <w:rPr>
          <w:szCs w:val="22"/>
        </w:rPr>
        <w:t>government</w:t>
      </w:r>
      <w:r w:rsidR="00A96F86">
        <w:rPr>
          <w:szCs w:val="22"/>
        </w:rPr>
        <w:t xml:space="preserve"> </w:t>
      </w:r>
      <w:r w:rsidR="00A96F86" w:rsidRPr="0054594F">
        <w:rPr>
          <w:szCs w:val="22"/>
        </w:rPr>
        <w:t>treaty between Australia and the USA as well as a Cooperating Agency Agreement between CSIRO and NASA</w:t>
      </w:r>
      <w:r w:rsidR="0031614C" w:rsidRPr="0054594F">
        <w:rPr>
          <w:rStyle w:val="FootnoteReference"/>
          <w:szCs w:val="22"/>
        </w:rPr>
        <w:footnoteReference w:id="3"/>
      </w:r>
      <w:r w:rsidRPr="0054594F">
        <w:rPr>
          <w:szCs w:val="22"/>
        </w:rPr>
        <w:t>.</w:t>
      </w:r>
      <w:r>
        <w:t xml:space="preserve"> The </w:t>
      </w:r>
      <w:r>
        <w:rPr>
          <w:szCs w:val="22"/>
        </w:rPr>
        <w:t xml:space="preserve">CDSCC is </w:t>
      </w:r>
      <w:r>
        <w:rPr>
          <w:szCs w:val="22"/>
        </w:rPr>
        <w:lastRenderedPageBreak/>
        <w:t>part of the NASA Deep Space Network and operations are managed by the CSIRO. It supports spacecraft missions throughout the solar system and radio and radar astronomy observations.</w:t>
      </w:r>
    </w:p>
    <w:p w14:paraId="099F4D88" w14:textId="55F3F2BB" w:rsidR="00BB5BB6" w:rsidRDefault="00B6795E">
      <w:pPr>
        <w:rPr>
          <w:szCs w:val="22"/>
        </w:rPr>
      </w:pPr>
      <w:r>
        <w:rPr>
          <w:szCs w:val="22"/>
        </w:rPr>
        <w:t>To provide support for current and future operations at New Norcia and Tidbinbilla, the ACMA has licensed earth station operations</w:t>
      </w:r>
      <w:r w:rsidR="003620AF">
        <w:rPr>
          <w:szCs w:val="22"/>
        </w:rPr>
        <w:t xml:space="preserve"> </w:t>
      </w:r>
      <w:r w:rsidR="00994C7A">
        <w:rPr>
          <w:szCs w:val="22"/>
        </w:rPr>
        <w:t xml:space="preserve">in the bands 2025-2120 MHz, 2200-2300 MHz, </w:t>
      </w:r>
      <w:r w:rsidR="00994C7A" w:rsidRPr="009539AC">
        <w:rPr>
          <w:rFonts w:cs="Calibri"/>
        </w:rPr>
        <w:t>7145</w:t>
      </w:r>
      <w:r w:rsidR="00994C7A" w:rsidRPr="009539AC">
        <w:rPr>
          <w:rFonts w:cs="Calibri"/>
        </w:rPr>
        <w:noBreakHyphen/>
        <w:t xml:space="preserve">7235 MHz, 8400-8500 MHz, </w:t>
      </w:r>
      <w:r w:rsidR="00994C7A">
        <w:rPr>
          <w:rFonts w:cs="Calibri"/>
        </w:rPr>
        <w:t xml:space="preserve">22.55-23.15 25.5-27 GHz, </w:t>
      </w:r>
      <w:r w:rsidR="00994C7A" w:rsidRPr="009539AC">
        <w:rPr>
          <w:rFonts w:cs="Calibri"/>
        </w:rPr>
        <w:t>31.8</w:t>
      </w:r>
      <w:r w:rsidR="00994C7A" w:rsidRPr="009539AC">
        <w:rPr>
          <w:rFonts w:cs="Calibri"/>
        </w:rPr>
        <w:noBreakHyphen/>
        <w:t>32.3 GHz and 34.2</w:t>
      </w:r>
      <w:r w:rsidR="00994C7A">
        <w:rPr>
          <w:rFonts w:cs="Calibri"/>
        </w:rPr>
        <w:noBreakHyphen/>
      </w:r>
      <w:r w:rsidR="00994C7A" w:rsidRPr="009539AC">
        <w:rPr>
          <w:rFonts w:cs="Calibri"/>
        </w:rPr>
        <w:t>34.7 GHz</w:t>
      </w:r>
      <w:r w:rsidR="00994C7A">
        <w:rPr>
          <w:rFonts w:cs="Calibri"/>
        </w:rPr>
        <w:t xml:space="preserve">.  </w:t>
      </w:r>
      <w:r>
        <w:rPr>
          <w:szCs w:val="22"/>
        </w:rPr>
        <w:t xml:space="preserve"> </w:t>
      </w:r>
    </w:p>
    <w:p w14:paraId="107F0586" w14:textId="70612DA5" w:rsidR="00994C7A" w:rsidRDefault="003A706C">
      <w:pPr>
        <w:rPr>
          <w:szCs w:val="22"/>
        </w:rPr>
      </w:pPr>
      <w:r>
        <w:rPr>
          <w:szCs w:val="22"/>
        </w:rPr>
        <w:t>The ACMA has developed this RALI to provide coordination requirements to be applied to other services (such as fixed and mobile services) in and adjacent to the frequency bands listed in Table 1 and used at the New Norcia and Tidbinbilla facilities.</w:t>
      </w:r>
    </w:p>
    <w:p w14:paraId="3F6E220A" w14:textId="5AF7D28B" w:rsidR="00BB5BB6" w:rsidRPr="00527A39" w:rsidRDefault="00B6795E">
      <w:pPr>
        <w:pStyle w:val="Caption"/>
        <w:keepNext/>
        <w:keepLines/>
      </w:pPr>
      <w:r>
        <w:t>Frequency Bands in use at New Norcia and Tidbinbilla Earth Stations</w:t>
      </w:r>
      <w:r w:rsidR="004103DF">
        <w:t xml:space="preserve"> </w:t>
      </w:r>
      <w:r w:rsidR="004103DF" w:rsidRPr="00527A39">
        <w:t>covered by this RALI</w:t>
      </w:r>
    </w:p>
    <w:tbl>
      <w:tblPr>
        <w:tblStyle w:val="TableGrid"/>
        <w:tblW w:w="0" w:type="auto"/>
        <w:jc w:val="center"/>
        <w:tblLook w:val="04A0" w:firstRow="1" w:lastRow="0" w:firstColumn="1" w:lastColumn="0" w:noHBand="0" w:noVBand="1"/>
      </w:tblPr>
      <w:tblGrid>
        <w:gridCol w:w="1838"/>
        <w:gridCol w:w="2410"/>
        <w:gridCol w:w="3413"/>
      </w:tblGrid>
      <w:tr w:rsidR="00BB5BB6" w14:paraId="050BA036" w14:textId="77777777">
        <w:trPr>
          <w:jc w:val="center"/>
        </w:trPr>
        <w:tc>
          <w:tcPr>
            <w:tcW w:w="1838" w:type="dxa"/>
          </w:tcPr>
          <w:p w14:paraId="7F1CA5FB" w14:textId="77777777" w:rsidR="00BB5BB6" w:rsidRPr="002A531E" w:rsidRDefault="00B6795E" w:rsidP="002A531E">
            <w:pPr>
              <w:jc w:val="center"/>
              <w:rPr>
                <w:b/>
                <w:bCs/>
                <w:szCs w:val="22"/>
              </w:rPr>
            </w:pPr>
            <w:r w:rsidRPr="002A531E">
              <w:rPr>
                <w:b/>
                <w:bCs/>
                <w:szCs w:val="22"/>
              </w:rPr>
              <w:t>Frequency band</w:t>
            </w:r>
          </w:p>
        </w:tc>
        <w:tc>
          <w:tcPr>
            <w:tcW w:w="2410" w:type="dxa"/>
          </w:tcPr>
          <w:p w14:paraId="091891E9" w14:textId="77777777" w:rsidR="00BB5BB6" w:rsidRPr="002A531E" w:rsidRDefault="00B6795E" w:rsidP="002A531E">
            <w:pPr>
              <w:jc w:val="center"/>
              <w:rPr>
                <w:b/>
                <w:bCs/>
                <w:szCs w:val="22"/>
              </w:rPr>
            </w:pPr>
            <w:r w:rsidRPr="002A531E">
              <w:rPr>
                <w:b/>
                <w:bCs/>
                <w:szCs w:val="22"/>
              </w:rPr>
              <w:t>Earth station transmit/receive band</w:t>
            </w:r>
          </w:p>
        </w:tc>
        <w:tc>
          <w:tcPr>
            <w:tcW w:w="3413" w:type="dxa"/>
          </w:tcPr>
          <w:p w14:paraId="0EA257B6" w14:textId="77777777" w:rsidR="00BB5BB6" w:rsidRPr="002A531E" w:rsidRDefault="00B6795E" w:rsidP="002A531E">
            <w:pPr>
              <w:jc w:val="center"/>
              <w:rPr>
                <w:b/>
                <w:bCs/>
                <w:szCs w:val="22"/>
              </w:rPr>
            </w:pPr>
            <w:r w:rsidRPr="002A531E">
              <w:rPr>
                <w:b/>
                <w:bCs/>
                <w:szCs w:val="22"/>
              </w:rPr>
              <w:t>Licenced frequency range</w:t>
            </w:r>
          </w:p>
        </w:tc>
      </w:tr>
      <w:tr w:rsidR="00BB5BB6" w14:paraId="09F42D10" w14:textId="77777777">
        <w:trPr>
          <w:jc w:val="center"/>
        </w:trPr>
        <w:tc>
          <w:tcPr>
            <w:tcW w:w="1838" w:type="dxa"/>
          </w:tcPr>
          <w:p w14:paraId="2A0DE8D9" w14:textId="77777777" w:rsidR="00BB5BB6" w:rsidRDefault="00B6795E" w:rsidP="002A531E">
            <w:pPr>
              <w:jc w:val="center"/>
              <w:rPr>
                <w:szCs w:val="22"/>
              </w:rPr>
            </w:pPr>
            <w:r>
              <w:rPr>
                <w:szCs w:val="22"/>
              </w:rPr>
              <w:t>7 GHz</w:t>
            </w:r>
          </w:p>
        </w:tc>
        <w:tc>
          <w:tcPr>
            <w:tcW w:w="2410" w:type="dxa"/>
          </w:tcPr>
          <w:p w14:paraId="72AA8D45" w14:textId="77777777" w:rsidR="00BB5BB6" w:rsidRDefault="00B6795E">
            <w:pPr>
              <w:jc w:val="center"/>
              <w:rPr>
                <w:szCs w:val="22"/>
              </w:rPr>
            </w:pPr>
            <w:r>
              <w:rPr>
                <w:szCs w:val="22"/>
              </w:rPr>
              <w:t>Transmit</w:t>
            </w:r>
          </w:p>
        </w:tc>
        <w:tc>
          <w:tcPr>
            <w:tcW w:w="3413" w:type="dxa"/>
          </w:tcPr>
          <w:p w14:paraId="13FA7200" w14:textId="77777777" w:rsidR="00BB5BB6" w:rsidRDefault="00B6795E">
            <w:pPr>
              <w:jc w:val="center"/>
              <w:rPr>
                <w:szCs w:val="22"/>
              </w:rPr>
            </w:pPr>
            <w:r>
              <w:rPr>
                <w:szCs w:val="22"/>
              </w:rPr>
              <w:t>7145 – 7235 MHz</w:t>
            </w:r>
          </w:p>
        </w:tc>
      </w:tr>
      <w:tr w:rsidR="00BB5BB6" w14:paraId="376E51EC" w14:textId="77777777">
        <w:trPr>
          <w:jc w:val="center"/>
        </w:trPr>
        <w:tc>
          <w:tcPr>
            <w:tcW w:w="1838" w:type="dxa"/>
          </w:tcPr>
          <w:p w14:paraId="77718817" w14:textId="77777777" w:rsidR="00BB5BB6" w:rsidRDefault="00B6795E" w:rsidP="002A531E">
            <w:pPr>
              <w:jc w:val="center"/>
              <w:rPr>
                <w:szCs w:val="22"/>
              </w:rPr>
            </w:pPr>
            <w:r>
              <w:rPr>
                <w:szCs w:val="22"/>
              </w:rPr>
              <w:t>8.5 GHz</w:t>
            </w:r>
          </w:p>
        </w:tc>
        <w:tc>
          <w:tcPr>
            <w:tcW w:w="2410" w:type="dxa"/>
          </w:tcPr>
          <w:p w14:paraId="597ECCEB" w14:textId="77777777" w:rsidR="00BB5BB6" w:rsidRDefault="00B6795E">
            <w:pPr>
              <w:jc w:val="center"/>
              <w:rPr>
                <w:szCs w:val="22"/>
              </w:rPr>
            </w:pPr>
            <w:r>
              <w:rPr>
                <w:szCs w:val="22"/>
              </w:rPr>
              <w:t>Receive</w:t>
            </w:r>
          </w:p>
        </w:tc>
        <w:tc>
          <w:tcPr>
            <w:tcW w:w="3413" w:type="dxa"/>
          </w:tcPr>
          <w:p w14:paraId="7088493B" w14:textId="77777777" w:rsidR="00BB5BB6" w:rsidRDefault="00B6795E">
            <w:pPr>
              <w:jc w:val="center"/>
              <w:rPr>
                <w:szCs w:val="22"/>
              </w:rPr>
            </w:pPr>
            <w:r>
              <w:rPr>
                <w:szCs w:val="22"/>
              </w:rPr>
              <w:t>8400 – 8500 MHz</w:t>
            </w:r>
          </w:p>
        </w:tc>
      </w:tr>
      <w:tr w:rsidR="00BB5BB6" w14:paraId="42BB3701" w14:textId="77777777">
        <w:trPr>
          <w:jc w:val="center"/>
        </w:trPr>
        <w:tc>
          <w:tcPr>
            <w:tcW w:w="1838" w:type="dxa"/>
          </w:tcPr>
          <w:p w14:paraId="1E499D62" w14:textId="77777777" w:rsidR="00BB5BB6" w:rsidRDefault="00B6795E" w:rsidP="002A531E">
            <w:pPr>
              <w:jc w:val="center"/>
              <w:rPr>
                <w:szCs w:val="22"/>
              </w:rPr>
            </w:pPr>
            <w:r>
              <w:rPr>
                <w:szCs w:val="22"/>
              </w:rPr>
              <w:t>22 GHz</w:t>
            </w:r>
          </w:p>
        </w:tc>
        <w:tc>
          <w:tcPr>
            <w:tcW w:w="2410" w:type="dxa"/>
          </w:tcPr>
          <w:p w14:paraId="0927797E" w14:textId="77777777" w:rsidR="00BB5BB6" w:rsidRDefault="00B6795E">
            <w:pPr>
              <w:jc w:val="center"/>
              <w:rPr>
                <w:szCs w:val="22"/>
              </w:rPr>
            </w:pPr>
            <w:r>
              <w:rPr>
                <w:szCs w:val="22"/>
              </w:rPr>
              <w:t>Transmit</w:t>
            </w:r>
          </w:p>
        </w:tc>
        <w:tc>
          <w:tcPr>
            <w:tcW w:w="3413" w:type="dxa"/>
          </w:tcPr>
          <w:p w14:paraId="4A6C95CA" w14:textId="77777777" w:rsidR="00BB5BB6" w:rsidRDefault="00B6795E">
            <w:pPr>
              <w:jc w:val="center"/>
              <w:rPr>
                <w:szCs w:val="22"/>
              </w:rPr>
            </w:pPr>
            <w:r>
              <w:rPr>
                <w:szCs w:val="22"/>
              </w:rPr>
              <w:t>22.55 – 23.15 GHz</w:t>
            </w:r>
          </w:p>
        </w:tc>
      </w:tr>
      <w:tr w:rsidR="00BB5BB6" w14:paraId="6A3296F4" w14:textId="77777777">
        <w:trPr>
          <w:jc w:val="center"/>
        </w:trPr>
        <w:tc>
          <w:tcPr>
            <w:tcW w:w="1838" w:type="dxa"/>
          </w:tcPr>
          <w:p w14:paraId="7E7C2047" w14:textId="77777777" w:rsidR="00BB5BB6" w:rsidRDefault="00B6795E" w:rsidP="002A531E">
            <w:pPr>
              <w:jc w:val="center"/>
              <w:rPr>
                <w:szCs w:val="22"/>
              </w:rPr>
            </w:pPr>
            <w:r>
              <w:rPr>
                <w:szCs w:val="22"/>
              </w:rPr>
              <w:t>32 GHz</w:t>
            </w:r>
          </w:p>
        </w:tc>
        <w:tc>
          <w:tcPr>
            <w:tcW w:w="2410" w:type="dxa"/>
          </w:tcPr>
          <w:p w14:paraId="7AEF4ACF" w14:textId="77777777" w:rsidR="00BB5BB6" w:rsidRDefault="00B6795E">
            <w:pPr>
              <w:jc w:val="center"/>
              <w:rPr>
                <w:szCs w:val="22"/>
              </w:rPr>
            </w:pPr>
            <w:r>
              <w:rPr>
                <w:szCs w:val="22"/>
              </w:rPr>
              <w:t>Receive</w:t>
            </w:r>
          </w:p>
        </w:tc>
        <w:tc>
          <w:tcPr>
            <w:tcW w:w="3413" w:type="dxa"/>
          </w:tcPr>
          <w:p w14:paraId="4915F3B1" w14:textId="77777777" w:rsidR="00BB5BB6" w:rsidRDefault="00B6795E">
            <w:pPr>
              <w:jc w:val="center"/>
              <w:rPr>
                <w:szCs w:val="22"/>
              </w:rPr>
            </w:pPr>
            <w:r>
              <w:rPr>
                <w:szCs w:val="22"/>
              </w:rPr>
              <w:t>31.8 – 32.3 GHz</w:t>
            </w:r>
          </w:p>
        </w:tc>
      </w:tr>
      <w:tr w:rsidR="00BB5BB6" w14:paraId="73B88762" w14:textId="77777777">
        <w:trPr>
          <w:jc w:val="center"/>
        </w:trPr>
        <w:tc>
          <w:tcPr>
            <w:tcW w:w="1838" w:type="dxa"/>
          </w:tcPr>
          <w:p w14:paraId="31D5FDAF" w14:textId="77777777" w:rsidR="00BB5BB6" w:rsidRDefault="00B6795E" w:rsidP="002A531E">
            <w:pPr>
              <w:jc w:val="center"/>
              <w:rPr>
                <w:szCs w:val="22"/>
              </w:rPr>
            </w:pPr>
            <w:r>
              <w:rPr>
                <w:szCs w:val="22"/>
              </w:rPr>
              <w:t>34 GHz</w:t>
            </w:r>
          </w:p>
        </w:tc>
        <w:tc>
          <w:tcPr>
            <w:tcW w:w="2410" w:type="dxa"/>
          </w:tcPr>
          <w:p w14:paraId="797203C1" w14:textId="77777777" w:rsidR="00BB5BB6" w:rsidRDefault="00B6795E">
            <w:pPr>
              <w:jc w:val="center"/>
              <w:rPr>
                <w:szCs w:val="22"/>
              </w:rPr>
            </w:pPr>
            <w:r>
              <w:rPr>
                <w:szCs w:val="22"/>
              </w:rPr>
              <w:t>Transmit</w:t>
            </w:r>
          </w:p>
        </w:tc>
        <w:tc>
          <w:tcPr>
            <w:tcW w:w="3413" w:type="dxa"/>
          </w:tcPr>
          <w:p w14:paraId="2606F382" w14:textId="77777777" w:rsidR="00BB5BB6" w:rsidRDefault="00B6795E">
            <w:pPr>
              <w:jc w:val="center"/>
              <w:rPr>
                <w:szCs w:val="22"/>
              </w:rPr>
            </w:pPr>
            <w:r>
              <w:rPr>
                <w:szCs w:val="22"/>
              </w:rPr>
              <w:t>34.2 – 34.7 GHz</w:t>
            </w:r>
          </w:p>
        </w:tc>
      </w:tr>
    </w:tbl>
    <w:p w14:paraId="5EC4798C" w14:textId="7493D98C" w:rsidR="00BB5BB6" w:rsidRPr="00DA6F52" w:rsidRDefault="0091016B" w:rsidP="0025671F">
      <w:pPr>
        <w:spacing w:before="240"/>
        <w:rPr>
          <w:szCs w:val="22"/>
        </w:rPr>
      </w:pPr>
      <w:r>
        <w:rPr>
          <w:szCs w:val="22"/>
        </w:rPr>
        <w:t xml:space="preserve">Coordination </w:t>
      </w:r>
      <w:r w:rsidR="00C31620">
        <w:rPr>
          <w:szCs w:val="22"/>
        </w:rPr>
        <w:t>arrangements for</w:t>
      </w:r>
      <w:r w:rsidR="00FE75A7">
        <w:rPr>
          <w:szCs w:val="22"/>
        </w:rPr>
        <w:t xml:space="preserve"> t</w:t>
      </w:r>
      <w:r w:rsidR="00DD691E">
        <w:rPr>
          <w:szCs w:val="22"/>
        </w:rPr>
        <w:t>he New Norcia and Tidbinbilla facilities</w:t>
      </w:r>
      <w:r w:rsidR="0030561B">
        <w:rPr>
          <w:szCs w:val="22"/>
        </w:rPr>
        <w:t xml:space="preserve"> </w:t>
      </w:r>
      <w:r w:rsidR="00C31620">
        <w:rPr>
          <w:szCs w:val="22"/>
        </w:rPr>
        <w:t xml:space="preserve">operations in other frequency </w:t>
      </w:r>
      <w:r w:rsidR="00FE75A7">
        <w:rPr>
          <w:szCs w:val="22"/>
        </w:rPr>
        <w:t>bands</w:t>
      </w:r>
      <w:r w:rsidR="00727DBD">
        <w:rPr>
          <w:szCs w:val="22"/>
        </w:rPr>
        <w:t xml:space="preserve"> </w:t>
      </w:r>
      <w:r w:rsidR="002F4587">
        <w:rPr>
          <w:szCs w:val="22"/>
        </w:rPr>
        <w:t>are</w:t>
      </w:r>
      <w:r w:rsidR="00131428">
        <w:rPr>
          <w:szCs w:val="22"/>
        </w:rPr>
        <w:t xml:space="preserve"> documented in both spectrum licence and apparatus licence technical frameworks depending on the band of operation</w:t>
      </w:r>
      <w:r w:rsidR="00A16E3E">
        <w:rPr>
          <w:szCs w:val="22"/>
        </w:rPr>
        <w:t>.</w:t>
      </w:r>
      <w:r w:rsidR="001632C0">
        <w:rPr>
          <w:szCs w:val="22"/>
        </w:rPr>
        <w:t xml:space="preserve"> </w:t>
      </w:r>
      <w:r w:rsidR="001632C0" w:rsidRPr="00DA6F52">
        <w:rPr>
          <w:szCs w:val="22"/>
        </w:rPr>
        <w:t>For example, c</w:t>
      </w:r>
      <w:r w:rsidR="00807844" w:rsidRPr="00DA6F52">
        <w:rPr>
          <w:szCs w:val="22"/>
        </w:rPr>
        <w:t>oordination</w:t>
      </w:r>
      <w:r w:rsidR="00D541A5" w:rsidRPr="00DA6F52">
        <w:rPr>
          <w:szCs w:val="22"/>
        </w:rPr>
        <w:t xml:space="preserve"> and exclusion</w:t>
      </w:r>
      <w:r w:rsidR="00807844" w:rsidRPr="00DA6F52">
        <w:rPr>
          <w:szCs w:val="22"/>
        </w:rPr>
        <w:t xml:space="preserve"> requirements for the 26 GHz </w:t>
      </w:r>
      <w:r w:rsidR="009329EB">
        <w:rPr>
          <w:szCs w:val="22"/>
        </w:rPr>
        <w:t>(</w:t>
      </w:r>
      <w:r w:rsidR="00B10D6B">
        <w:rPr>
          <w:szCs w:val="22"/>
        </w:rPr>
        <w:t xml:space="preserve">25.5-27 GHz) </w:t>
      </w:r>
      <w:r w:rsidR="00807844" w:rsidRPr="00DA6F52">
        <w:rPr>
          <w:szCs w:val="22"/>
        </w:rPr>
        <w:t xml:space="preserve">band are specified in </w:t>
      </w:r>
      <w:hyperlink r:id="rId21" w:history="1">
        <w:r w:rsidR="00807844" w:rsidRPr="00DA6F52">
          <w:rPr>
            <w:rStyle w:val="Hyperlink"/>
            <w:szCs w:val="22"/>
          </w:rPr>
          <w:t>RALI MS 46</w:t>
        </w:r>
      </w:hyperlink>
      <w:r w:rsidR="00102033">
        <w:rPr>
          <w:rStyle w:val="Hyperlink"/>
          <w:szCs w:val="22"/>
        </w:rPr>
        <w:t xml:space="preserve"> </w:t>
      </w:r>
      <w:r w:rsidR="00102033" w:rsidRPr="004D3B6E">
        <w:t xml:space="preserve">and </w:t>
      </w:r>
      <w:hyperlink r:id="rId22" w:history="1">
        <w:r w:rsidR="00102033" w:rsidRPr="00883BCA">
          <w:rPr>
            <w:rStyle w:val="Hyperlink"/>
          </w:rPr>
          <w:t>Radiocommunications Advisory Guidelines (Managing Interference from Spectrum Licensed Transmitters — 26 GHz Band) 2020</w:t>
        </w:r>
      </w:hyperlink>
      <w:r w:rsidR="00330BBD" w:rsidRPr="004D3B6E">
        <w:rPr>
          <w:rStyle w:val="FootnoteReference"/>
        </w:rPr>
        <w:footnoteReference w:id="4"/>
      </w:r>
      <w:r w:rsidR="009C1AE1" w:rsidRPr="00DA6F52">
        <w:rPr>
          <w:szCs w:val="22"/>
        </w:rPr>
        <w:t>.</w:t>
      </w:r>
    </w:p>
    <w:p w14:paraId="3277D7B6" w14:textId="59CB8A28" w:rsidR="00BB5BB6" w:rsidRDefault="00B6795E">
      <w:pPr>
        <w:rPr>
          <w:rFonts w:cstheme="minorHAnsi"/>
        </w:rPr>
      </w:pPr>
      <w:r>
        <w:rPr>
          <w:rFonts w:cstheme="minorHAnsi"/>
        </w:rPr>
        <w:t xml:space="preserve">To assist in the assessment of requests for short term access, </w:t>
      </w:r>
      <w:r>
        <w:rPr>
          <w:rFonts w:cs="Calibri"/>
        </w:rPr>
        <w:t>infor</w:t>
      </w:r>
      <w:r>
        <w:rPr>
          <w:rFonts w:cstheme="minorHAnsi"/>
        </w:rPr>
        <w:t xml:space="preserve">mation on current frequencies used for space tracking activities by the earth stations at New Norcia and Tidbinbilla is provided on the </w:t>
      </w:r>
      <w:hyperlink r:id="rId23" w:history="1">
        <w:r w:rsidRPr="00991F4B">
          <w:rPr>
            <w:rStyle w:val="Hyperlink"/>
            <w:rFonts w:cstheme="minorHAnsi"/>
          </w:rPr>
          <w:t>ACMA website</w:t>
        </w:r>
      </w:hyperlink>
      <w:r>
        <w:rPr>
          <w:rFonts w:cstheme="minorHAnsi"/>
        </w:rPr>
        <w:t>.</w:t>
      </w:r>
    </w:p>
    <w:p w14:paraId="735F9A03" w14:textId="52B9D48B" w:rsidR="00BB5BB6" w:rsidRDefault="00B6795E">
      <w:pPr>
        <w:pStyle w:val="Heading1"/>
      </w:pPr>
      <w:bookmarkStart w:id="9" w:name="_Toc6298713"/>
      <w:bookmarkStart w:id="10" w:name="_Toc8983850"/>
      <w:bookmarkStart w:id="11" w:name="_Toc8986374"/>
      <w:bookmarkStart w:id="12" w:name="_Toc121757750"/>
      <w:r>
        <w:lastRenderedPageBreak/>
        <w:t>Frequency coordination</w:t>
      </w:r>
      <w:bookmarkEnd w:id="9"/>
      <w:bookmarkEnd w:id="10"/>
      <w:bookmarkEnd w:id="11"/>
      <w:r>
        <w:t xml:space="preserve"> procedures</w:t>
      </w:r>
      <w:bookmarkEnd w:id="12"/>
    </w:p>
    <w:p w14:paraId="35A450EA" w14:textId="3E014C22" w:rsidR="00BB5BB6" w:rsidRDefault="00B6795E">
      <w:pPr>
        <w:rPr>
          <w:rFonts w:cs="Calibri"/>
        </w:rPr>
      </w:pPr>
      <w:bookmarkStart w:id="13" w:name="_Toc8983851"/>
      <w:bookmarkStart w:id="14" w:name="_Toc8986375"/>
      <w:r>
        <w:rPr>
          <w:rFonts w:cs="Calibri"/>
        </w:rPr>
        <w:t>This section sets out the coordination criteria used between services operated in the bands 7145</w:t>
      </w:r>
      <w:r>
        <w:rPr>
          <w:rFonts w:cs="Calibri"/>
        </w:rPr>
        <w:noBreakHyphen/>
        <w:t>7235 MHz, 8400-8500 MHz, 22.55-23.15 GHz, 31.8</w:t>
      </w:r>
      <w:r>
        <w:rPr>
          <w:rFonts w:cs="Calibri"/>
        </w:rPr>
        <w:noBreakHyphen/>
        <w:t>32.3 GHz and 34.2</w:t>
      </w:r>
      <w:r>
        <w:rPr>
          <w:rFonts w:cs="Calibri"/>
        </w:rPr>
        <w:noBreakHyphen/>
        <w:t xml:space="preserve">34.7 GHz on behalf of the European Space Agency (ESA) at New Norcia and the </w:t>
      </w:r>
      <w:r>
        <w:rPr>
          <w:szCs w:val="22"/>
        </w:rPr>
        <w:t>National Aeronautics and Space Administration (NASA) at Tidbinbilla</w:t>
      </w:r>
      <w:r>
        <w:rPr>
          <w:rFonts w:cs="Calibri"/>
        </w:rPr>
        <w:t xml:space="preserve"> and other services planning to operate in and adjacent to those bands.</w:t>
      </w:r>
    </w:p>
    <w:p w14:paraId="6F7EAB8B" w14:textId="77777777" w:rsidR="00581500" w:rsidRPr="00E46617" w:rsidRDefault="00581500" w:rsidP="00581500">
      <w:pPr>
        <w:rPr>
          <w:rFonts w:cs="Calibri"/>
          <w:u w:val="single"/>
        </w:rPr>
      </w:pPr>
      <w:r>
        <w:rPr>
          <w:rFonts w:cs="Calibri"/>
          <w:u w:val="single"/>
        </w:rPr>
        <w:t xml:space="preserve">Note: </w:t>
      </w:r>
      <w:r w:rsidRPr="00E46617">
        <w:rPr>
          <w:rFonts w:cs="Calibri"/>
          <w:u w:val="single"/>
        </w:rPr>
        <w:t>2022 update</w:t>
      </w:r>
    </w:p>
    <w:p w14:paraId="6987DC2B" w14:textId="77777777" w:rsidR="00581500" w:rsidRDefault="00581500" w:rsidP="00581500">
      <w:pPr>
        <w:rPr>
          <w:rFonts w:cs="Calibri"/>
        </w:rPr>
      </w:pPr>
      <w:r>
        <w:rPr>
          <w:rFonts w:cs="Calibri"/>
        </w:rPr>
        <w:t>Both the New Norcia and Tidbinbilla facilities were already authorised to operate in the bands included in the 2022 update of this RALI. Accordingly, f</w:t>
      </w:r>
      <w:r w:rsidRPr="00A01475">
        <w:rPr>
          <w:rFonts w:cs="Calibri"/>
        </w:rPr>
        <w:t xml:space="preserve">or </w:t>
      </w:r>
      <w:r>
        <w:rPr>
          <w:szCs w:val="22"/>
        </w:rPr>
        <w:t xml:space="preserve">earth stations operations at:  </w:t>
      </w:r>
    </w:p>
    <w:p w14:paraId="1C165463" w14:textId="15F10E00" w:rsidR="00581500" w:rsidRPr="00DF0C9D" w:rsidRDefault="00581500" w:rsidP="00581500">
      <w:pPr>
        <w:pStyle w:val="ListParagraph"/>
        <w:numPr>
          <w:ilvl w:val="0"/>
          <w:numId w:val="22"/>
        </w:numPr>
        <w:rPr>
          <w:rFonts w:cs="Calibri"/>
        </w:rPr>
      </w:pPr>
      <w:r>
        <w:rPr>
          <w:szCs w:val="22"/>
        </w:rPr>
        <w:t xml:space="preserve">New Norcia in the band </w:t>
      </w:r>
      <w:r w:rsidRPr="000D2DCD">
        <w:rPr>
          <w:szCs w:val="22"/>
        </w:rPr>
        <w:t>22.55-23.15</w:t>
      </w:r>
      <w:r>
        <w:rPr>
          <w:szCs w:val="22"/>
        </w:rPr>
        <w:t xml:space="preserve"> GHz</w:t>
      </w:r>
      <w:r w:rsidR="00984DDC">
        <w:rPr>
          <w:szCs w:val="22"/>
        </w:rPr>
        <w:t>:</w:t>
      </w:r>
      <w:r>
        <w:rPr>
          <w:szCs w:val="22"/>
        </w:rPr>
        <w:t xml:space="preserve"> </w:t>
      </w:r>
      <w:r w:rsidRPr="00A01475">
        <w:rPr>
          <w:rFonts w:cs="Calibri"/>
        </w:rPr>
        <w:t>the arrangement in this RALI do not apply to existing services authorised before this RALI commenced on</w:t>
      </w:r>
      <w:r w:rsidR="006F3608">
        <w:rPr>
          <w:rFonts w:cs="Calibri"/>
        </w:rPr>
        <w:t xml:space="preserve"> </w:t>
      </w:r>
      <w:r w:rsidR="000702B7">
        <w:rPr>
          <w:rFonts w:cs="Calibri"/>
        </w:rPr>
        <w:t>12</w:t>
      </w:r>
      <w:r w:rsidR="00F17640">
        <w:rPr>
          <w:rFonts w:cs="Calibri"/>
        </w:rPr>
        <w:t xml:space="preserve"> September </w:t>
      </w:r>
      <w:r w:rsidRPr="00DF0C9D">
        <w:rPr>
          <w:rFonts w:cs="Calibri"/>
        </w:rPr>
        <w:t>2022.</w:t>
      </w:r>
    </w:p>
    <w:p w14:paraId="1FB0099F" w14:textId="3BF96686" w:rsidR="00581500" w:rsidRPr="00DF0C9D" w:rsidRDefault="00581500" w:rsidP="00581500">
      <w:pPr>
        <w:pStyle w:val="ListParagraph"/>
        <w:numPr>
          <w:ilvl w:val="0"/>
          <w:numId w:val="22"/>
        </w:numPr>
        <w:rPr>
          <w:rFonts w:cs="Calibri"/>
        </w:rPr>
      </w:pPr>
      <w:r>
        <w:rPr>
          <w:szCs w:val="22"/>
        </w:rPr>
        <w:t xml:space="preserve">Tidbinbilla in the bands </w:t>
      </w:r>
      <w:r w:rsidRPr="00A01475">
        <w:rPr>
          <w:rFonts w:cs="Calibri"/>
        </w:rPr>
        <w:t>7145</w:t>
      </w:r>
      <w:r w:rsidRPr="00A01475">
        <w:rPr>
          <w:rFonts w:cs="Calibri"/>
        </w:rPr>
        <w:noBreakHyphen/>
        <w:t xml:space="preserve">7235 MHz, 8400-8500 MHz, </w:t>
      </w:r>
      <w:r w:rsidRPr="000D2DCD">
        <w:rPr>
          <w:szCs w:val="22"/>
        </w:rPr>
        <w:t>22.55-23.15</w:t>
      </w:r>
      <w:r>
        <w:rPr>
          <w:szCs w:val="22"/>
        </w:rPr>
        <w:t xml:space="preserve"> GHz</w:t>
      </w:r>
      <w:r w:rsidR="00DF0C9D">
        <w:rPr>
          <w:szCs w:val="22"/>
        </w:rPr>
        <w:t>,</w:t>
      </w:r>
      <w:r>
        <w:rPr>
          <w:szCs w:val="22"/>
        </w:rPr>
        <w:t xml:space="preserve"> </w:t>
      </w:r>
      <w:r w:rsidRPr="00A01475">
        <w:rPr>
          <w:rFonts w:cs="Calibri"/>
        </w:rPr>
        <w:t>31.8</w:t>
      </w:r>
      <w:r w:rsidRPr="00A01475">
        <w:rPr>
          <w:rFonts w:cs="Calibri"/>
        </w:rPr>
        <w:noBreakHyphen/>
        <w:t>32.3 GHz and 34.2</w:t>
      </w:r>
      <w:r w:rsidRPr="00A01475">
        <w:rPr>
          <w:rFonts w:cs="Calibri"/>
        </w:rPr>
        <w:noBreakHyphen/>
        <w:t>34.7</w:t>
      </w:r>
      <w:r w:rsidR="00984DDC">
        <w:rPr>
          <w:szCs w:val="22"/>
        </w:rPr>
        <w:t>:</w:t>
      </w:r>
      <w:r>
        <w:rPr>
          <w:szCs w:val="22"/>
        </w:rPr>
        <w:t xml:space="preserve"> </w:t>
      </w:r>
      <w:r w:rsidRPr="00A01475">
        <w:rPr>
          <w:rFonts w:cs="Calibri"/>
        </w:rPr>
        <w:t xml:space="preserve">the arrangement in this RALI do not apply to existing services authorised before this RALI commenced on </w:t>
      </w:r>
      <w:r w:rsidR="006F3608">
        <w:rPr>
          <w:rFonts w:cs="Calibri"/>
        </w:rPr>
        <w:t>12</w:t>
      </w:r>
      <w:r w:rsidR="00F17640">
        <w:rPr>
          <w:rFonts w:cs="Calibri"/>
        </w:rPr>
        <w:t xml:space="preserve"> September </w:t>
      </w:r>
      <w:r w:rsidRPr="00DF0C9D">
        <w:rPr>
          <w:rFonts w:cs="Calibri"/>
        </w:rPr>
        <w:t>2022.</w:t>
      </w:r>
    </w:p>
    <w:p w14:paraId="7BC0E32B" w14:textId="77777777" w:rsidR="00BB5BB6" w:rsidRDefault="00B6795E">
      <w:pPr>
        <w:pStyle w:val="Heading2"/>
        <w:keepNext w:val="0"/>
        <w:numPr>
          <w:ilvl w:val="0"/>
          <w:numId w:val="10"/>
        </w:numPr>
        <w:spacing w:before="0" w:after="240"/>
        <w:ind w:hanging="720"/>
        <w:contextualSpacing/>
      </w:pPr>
      <w:bookmarkStart w:id="15" w:name="_Toc107838416"/>
      <w:bookmarkStart w:id="16" w:name="_Toc107838584"/>
      <w:bookmarkStart w:id="17" w:name="_Toc121757751"/>
      <w:bookmarkEnd w:id="13"/>
      <w:bookmarkEnd w:id="14"/>
      <w:bookmarkEnd w:id="15"/>
      <w:bookmarkEnd w:id="16"/>
      <w:r>
        <w:t>Coordination criteria</w:t>
      </w:r>
      <w:bookmarkEnd w:id="17"/>
    </w:p>
    <w:p w14:paraId="31D7D15F" w14:textId="6691AE1D" w:rsidR="00BB5BB6" w:rsidRDefault="00B6795E">
      <w:pPr>
        <w:rPr>
          <w:rFonts w:cs="Calibri"/>
        </w:rPr>
      </w:pPr>
      <w:r>
        <w:rPr>
          <w:rFonts w:cs="Calibri"/>
        </w:rPr>
        <w:t>The procedures of this section apply to all applications for licensed services.  Airborne services have not been considered in the development of the coordination criteria and will be considered on a case</w:t>
      </w:r>
      <w:r w:rsidR="00984DDC">
        <w:rPr>
          <w:rFonts w:cs="Calibri"/>
        </w:rPr>
        <w:t>-</w:t>
      </w:r>
      <w:r>
        <w:rPr>
          <w:rFonts w:cs="Calibri"/>
        </w:rPr>
        <w:t>by</w:t>
      </w:r>
      <w:r w:rsidR="00984DDC">
        <w:rPr>
          <w:rFonts w:cs="Calibri"/>
        </w:rPr>
        <w:t>-</w:t>
      </w:r>
      <w:r>
        <w:rPr>
          <w:rFonts w:cs="Calibri"/>
        </w:rPr>
        <w:t>case basis.</w:t>
      </w:r>
    </w:p>
    <w:p w14:paraId="3F8800F4" w14:textId="7DD16B5E" w:rsidR="00BB5BB6" w:rsidRDefault="00B6795E">
      <w:pPr>
        <w:rPr>
          <w:rFonts w:cs="Calibri"/>
        </w:rPr>
      </w:pPr>
      <w:r>
        <w:rPr>
          <w:rFonts w:cs="Calibri"/>
        </w:rPr>
        <w:t>For earth station receiver bands</w:t>
      </w:r>
      <w:r w:rsidR="00E810C3">
        <w:rPr>
          <w:rFonts w:cs="Calibri"/>
        </w:rPr>
        <w:t>,</w:t>
      </w:r>
      <w:r>
        <w:rPr>
          <w:rFonts w:cs="Calibri"/>
        </w:rPr>
        <w:t xml:space="preserve"> the coordination area in section 2.1.2 of this RALI is based on a service with the characteristics outlined in Table 2. Any new service that operates above these levels outside of the coordination areas outlined in section 2.1.2 below will need to follow the coordination procedures set out in section 2.1.3.</w:t>
      </w:r>
    </w:p>
    <w:p w14:paraId="5F996981" w14:textId="77777777" w:rsidR="00BB5BB6" w:rsidRDefault="00B6795E">
      <w:pPr>
        <w:pStyle w:val="Caption"/>
        <w:keepNext/>
        <w:keepLines/>
      </w:pPr>
      <w:r>
        <w:t xml:space="preserve">Typical transmitter parameters </w:t>
      </w:r>
    </w:p>
    <w:tbl>
      <w:tblPr>
        <w:tblStyle w:val="TableGrid"/>
        <w:tblW w:w="0" w:type="auto"/>
        <w:jc w:val="center"/>
        <w:tblLook w:val="04A0" w:firstRow="1" w:lastRow="0" w:firstColumn="1" w:lastColumn="0" w:noHBand="0" w:noVBand="1"/>
      </w:tblPr>
      <w:tblGrid>
        <w:gridCol w:w="4595"/>
        <w:gridCol w:w="3066"/>
      </w:tblGrid>
      <w:tr w:rsidR="00BB5BB6" w14:paraId="6BDD555D" w14:textId="77777777">
        <w:trPr>
          <w:jc w:val="center"/>
        </w:trPr>
        <w:tc>
          <w:tcPr>
            <w:tcW w:w="4672" w:type="dxa"/>
          </w:tcPr>
          <w:p w14:paraId="1B71640A" w14:textId="77777777" w:rsidR="00BB5BB6" w:rsidRDefault="00B6795E">
            <w:pPr>
              <w:jc w:val="center"/>
              <w:rPr>
                <w:rFonts w:cs="Calibri"/>
                <w:b/>
              </w:rPr>
            </w:pPr>
            <w:r>
              <w:rPr>
                <w:rFonts w:cs="Calibri"/>
                <w:b/>
              </w:rPr>
              <w:t>System Parameter</w:t>
            </w:r>
          </w:p>
        </w:tc>
        <w:tc>
          <w:tcPr>
            <w:tcW w:w="3120" w:type="dxa"/>
          </w:tcPr>
          <w:p w14:paraId="681795DE" w14:textId="77777777" w:rsidR="00BB5BB6" w:rsidRDefault="00B6795E">
            <w:pPr>
              <w:jc w:val="center"/>
              <w:rPr>
                <w:rFonts w:cs="Calibri"/>
                <w:b/>
              </w:rPr>
            </w:pPr>
            <w:r>
              <w:rPr>
                <w:rFonts w:cs="Calibri"/>
                <w:b/>
              </w:rPr>
              <w:t>Value</w:t>
            </w:r>
          </w:p>
        </w:tc>
      </w:tr>
      <w:tr w:rsidR="00BB5BB6" w14:paraId="3E315BFE" w14:textId="77777777">
        <w:trPr>
          <w:jc w:val="center"/>
        </w:trPr>
        <w:tc>
          <w:tcPr>
            <w:tcW w:w="4672" w:type="dxa"/>
          </w:tcPr>
          <w:p w14:paraId="2520CA52" w14:textId="77777777" w:rsidR="00BB5BB6" w:rsidRDefault="00B6795E">
            <w:pPr>
              <w:rPr>
                <w:rFonts w:cs="Calibri"/>
              </w:rPr>
            </w:pPr>
            <w:r>
              <w:rPr>
                <w:rFonts w:cs="Calibri"/>
              </w:rPr>
              <w:t>Antenna Gain (</w:t>
            </w:r>
            <w:proofErr w:type="spellStart"/>
            <w:r>
              <w:rPr>
                <w:rFonts w:cs="Calibri"/>
              </w:rPr>
              <w:t>dBi</w:t>
            </w:r>
            <w:proofErr w:type="spellEnd"/>
            <w:r>
              <w:rPr>
                <w:rFonts w:cs="Calibri"/>
              </w:rPr>
              <w:t>)</w:t>
            </w:r>
          </w:p>
        </w:tc>
        <w:tc>
          <w:tcPr>
            <w:tcW w:w="3120" w:type="dxa"/>
          </w:tcPr>
          <w:p w14:paraId="75FE773D" w14:textId="77777777" w:rsidR="00BB5BB6" w:rsidRDefault="00B6795E">
            <w:pPr>
              <w:jc w:val="center"/>
              <w:rPr>
                <w:rFonts w:cs="Calibri"/>
              </w:rPr>
            </w:pPr>
            <w:r>
              <w:rPr>
                <w:rFonts w:cs="Calibri"/>
              </w:rPr>
              <w:t>35</w:t>
            </w:r>
          </w:p>
        </w:tc>
      </w:tr>
      <w:tr w:rsidR="00BB5BB6" w14:paraId="5D6E7B12" w14:textId="77777777">
        <w:trPr>
          <w:jc w:val="center"/>
        </w:trPr>
        <w:tc>
          <w:tcPr>
            <w:tcW w:w="4672" w:type="dxa"/>
          </w:tcPr>
          <w:p w14:paraId="06A2EA6E" w14:textId="77777777" w:rsidR="00BB5BB6" w:rsidRDefault="00B6795E">
            <w:pPr>
              <w:rPr>
                <w:rFonts w:cs="Calibri"/>
              </w:rPr>
            </w:pPr>
            <w:r>
              <w:rPr>
                <w:rFonts w:cs="Calibri"/>
              </w:rPr>
              <w:t>Transmitter Power (W)</w:t>
            </w:r>
          </w:p>
        </w:tc>
        <w:tc>
          <w:tcPr>
            <w:tcW w:w="3120" w:type="dxa"/>
          </w:tcPr>
          <w:p w14:paraId="3308388E" w14:textId="77777777" w:rsidR="00BB5BB6" w:rsidRDefault="00B6795E">
            <w:pPr>
              <w:jc w:val="center"/>
              <w:rPr>
                <w:rFonts w:cs="Calibri"/>
              </w:rPr>
            </w:pPr>
            <w:r>
              <w:rPr>
                <w:rFonts w:cs="Calibri"/>
              </w:rPr>
              <w:t>0.7</w:t>
            </w:r>
          </w:p>
        </w:tc>
      </w:tr>
      <w:tr w:rsidR="00BB5BB6" w14:paraId="7198A743" w14:textId="77777777">
        <w:trPr>
          <w:jc w:val="center"/>
        </w:trPr>
        <w:tc>
          <w:tcPr>
            <w:tcW w:w="4672" w:type="dxa"/>
          </w:tcPr>
          <w:p w14:paraId="7274596C" w14:textId="77777777" w:rsidR="00BB5BB6" w:rsidRDefault="00B6795E">
            <w:pPr>
              <w:rPr>
                <w:rFonts w:cs="Calibri"/>
              </w:rPr>
            </w:pPr>
            <w:r>
              <w:rPr>
                <w:rFonts w:cs="Calibri"/>
              </w:rPr>
              <w:t>EIRP (</w:t>
            </w:r>
            <w:proofErr w:type="spellStart"/>
            <w:r>
              <w:rPr>
                <w:rFonts w:cs="Calibri"/>
              </w:rPr>
              <w:t>dBW</w:t>
            </w:r>
            <w:proofErr w:type="spellEnd"/>
            <w:r>
              <w:rPr>
                <w:rFonts w:cs="Calibri"/>
              </w:rPr>
              <w:t>/MHz)</w:t>
            </w:r>
          </w:p>
        </w:tc>
        <w:tc>
          <w:tcPr>
            <w:tcW w:w="3120" w:type="dxa"/>
          </w:tcPr>
          <w:p w14:paraId="7497760C" w14:textId="77777777" w:rsidR="00BB5BB6" w:rsidRDefault="00B6795E">
            <w:pPr>
              <w:jc w:val="center"/>
              <w:rPr>
                <w:rFonts w:cs="Calibri"/>
              </w:rPr>
            </w:pPr>
            <w:r>
              <w:rPr>
                <w:rFonts w:cs="Calibri"/>
              </w:rPr>
              <w:t>-17.4</w:t>
            </w:r>
          </w:p>
        </w:tc>
      </w:tr>
      <w:tr w:rsidR="00BB5BB6" w14:paraId="05449142" w14:textId="77777777">
        <w:trPr>
          <w:jc w:val="center"/>
        </w:trPr>
        <w:tc>
          <w:tcPr>
            <w:tcW w:w="4672" w:type="dxa"/>
          </w:tcPr>
          <w:p w14:paraId="0855ADC1" w14:textId="77777777" w:rsidR="00BB5BB6" w:rsidRDefault="00B6795E">
            <w:pPr>
              <w:rPr>
                <w:rFonts w:cs="Calibri"/>
              </w:rPr>
            </w:pPr>
            <w:r>
              <w:rPr>
                <w:rFonts w:cs="Calibri"/>
              </w:rPr>
              <w:t>Antenna height (m)</w:t>
            </w:r>
          </w:p>
        </w:tc>
        <w:tc>
          <w:tcPr>
            <w:tcW w:w="3120" w:type="dxa"/>
          </w:tcPr>
          <w:p w14:paraId="59F774B1" w14:textId="77777777" w:rsidR="00BB5BB6" w:rsidRDefault="00B6795E">
            <w:pPr>
              <w:jc w:val="center"/>
              <w:rPr>
                <w:rFonts w:cs="Calibri"/>
              </w:rPr>
            </w:pPr>
            <w:r>
              <w:rPr>
                <w:rFonts w:cs="Calibri"/>
              </w:rPr>
              <w:t>30</w:t>
            </w:r>
          </w:p>
        </w:tc>
      </w:tr>
    </w:tbl>
    <w:p w14:paraId="3B2D4402" w14:textId="7B29E26A" w:rsidR="00BB5BB6" w:rsidRDefault="00B6795E" w:rsidP="00AE2FF3">
      <w:pPr>
        <w:spacing w:before="240"/>
        <w:rPr>
          <w:rFonts w:cs="Calibri"/>
        </w:rPr>
      </w:pPr>
      <w:r>
        <w:rPr>
          <w:rFonts w:cs="Calibri"/>
        </w:rPr>
        <w:t>In addition to the coordination requirements below, no new assignment in the bands 8400-8500 MHz and 31.8</w:t>
      </w:r>
      <w:r>
        <w:rPr>
          <w:rFonts w:cs="Calibri"/>
        </w:rPr>
        <w:noBreakHyphen/>
        <w:t>32.3 GHz will be made within the</w:t>
      </w:r>
      <w:r w:rsidR="00E46FB2">
        <w:rPr>
          <w:rFonts w:cs="Calibri"/>
        </w:rPr>
        <w:t xml:space="preserve"> exclusion</w:t>
      </w:r>
      <w:r>
        <w:rPr>
          <w:rFonts w:cs="Calibri"/>
        </w:rPr>
        <w:t xml:space="preserve"> areas given in Annex D.</w:t>
      </w:r>
    </w:p>
    <w:p w14:paraId="5296C3C9" w14:textId="4CDC1B06" w:rsidR="00BB5BB6" w:rsidRDefault="00B6795E" w:rsidP="00877B7B">
      <w:pPr>
        <w:pStyle w:val="Heading3"/>
        <w:widowControl w:val="0"/>
        <w:spacing w:before="0" w:after="240" w:line="240" w:lineRule="auto"/>
        <w:ind w:left="720" w:hanging="720"/>
      </w:pPr>
      <w:bookmarkStart w:id="18" w:name="_Toc440964737"/>
      <w:bookmarkStart w:id="19" w:name="_Toc121757752"/>
      <w:r>
        <w:lastRenderedPageBreak/>
        <w:t>Earth station transmit bands</w:t>
      </w:r>
      <w:bookmarkEnd w:id="18"/>
      <w:bookmarkEnd w:id="19"/>
    </w:p>
    <w:p w14:paraId="7C63E160" w14:textId="33EEEC07" w:rsidR="005F25A6" w:rsidRDefault="005F25A6">
      <w:pPr>
        <w:rPr>
          <w:rFonts w:cs="Calibri"/>
        </w:rPr>
      </w:pPr>
      <w:r>
        <w:t>As a general principle, new s</w:t>
      </w:r>
      <w:r w:rsidRPr="1DB65414">
        <w:rPr>
          <w:rFonts w:cs="Calibri"/>
        </w:rPr>
        <w:t>ervices that operate in and adjacent to the earth station transmit bands (7145-7235 MHz</w:t>
      </w:r>
      <w:r w:rsidR="00833C3A" w:rsidRPr="1DB65414">
        <w:rPr>
          <w:rFonts w:cs="Calibri"/>
        </w:rPr>
        <w:t>, 22.55-23.15 GHz</w:t>
      </w:r>
      <w:r w:rsidRPr="1DB65414">
        <w:rPr>
          <w:rFonts w:cs="Calibri"/>
        </w:rPr>
        <w:t xml:space="preserve"> and 34.2-34.7 GHz)</w:t>
      </w:r>
      <w:r w:rsidR="00961A02" w:rsidRPr="1DB65414">
        <w:rPr>
          <w:rFonts w:cs="Calibri"/>
        </w:rPr>
        <w:t xml:space="preserve"> </w:t>
      </w:r>
      <w:r w:rsidRPr="1DB65414">
        <w:rPr>
          <w:rFonts w:cs="Calibri"/>
        </w:rPr>
        <w:t>do so on the basis that they are not afforded protection from interference from earth station transmitters at the New Norcia or Tidbinbilla facilities.</w:t>
      </w:r>
      <w:r w:rsidR="00053F7C" w:rsidRPr="1DB65414">
        <w:rPr>
          <w:rFonts w:cs="Calibri"/>
        </w:rPr>
        <w:t xml:space="preserve"> </w:t>
      </w:r>
    </w:p>
    <w:p w14:paraId="797AD4F2" w14:textId="6FE18D53" w:rsidR="007053B8" w:rsidRDefault="001A748F">
      <w:pPr>
        <w:rPr>
          <w:u w:val="single"/>
        </w:rPr>
      </w:pPr>
      <w:r>
        <w:rPr>
          <w:u w:val="single"/>
        </w:rPr>
        <w:t>7145</w:t>
      </w:r>
      <w:r w:rsidR="004C0B3C">
        <w:rPr>
          <w:u w:val="single"/>
        </w:rPr>
        <w:t xml:space="preserve">-7235 MHz and </w:t>
      </w:r>
      <w:r w:rsidR="007053B8">
        <w:rPr>
          <w:u w:val="single"/>
        </w:rPr>
        <w:t>34.2-34.7 GHz</w:t>
      </w:r>
    </w:p>
    <w:p w14:paraId="7CE1E5A9" w14:textId="79FC2FAA" w:rsidR="00BB5BB6" w:rsidRDefault="009E6919">
      <w:pPr>
        <w:rPr>
          <w:rFonts w:cs="Calibri"/>
        </w:rPr>
      </w:pPr>
      <w:r>
        <w:rPr>
          <w:rFonts w:cs="Calibri"/>
        </w:rPr>
        <w:t>New s</w:t>
      </w:r>
      <w:r w:rsidR="00B6795E">
        <w:rPr>
          <w:rFonts w:cs="Calibri"/>
        </w:rPr>
        <w:t>ervices that operate in and adjacent to the earth station transmit bands (7145</w:t>
      </w:r>
      <w:r w:rsidR="00B6795E">
        <w:rPr>
          <w:rFonts w:cs="Calibri"/>
        </w:rPr>
        <w:noBreakHyphen/>
        <w:t>7235 MHz</w:t>
      </w:r>
      <w:r w:rsidR="00DA730E">
        <w:rPr>
          <w:rFonts w:cs="Calibri"/>
        </w:rPr>
        <w:t xml:space="preserve"> </w:t>
      </w:r>
      <w:r w:rsidR="00B6795E">
        <w:rPr>
          <w:rFonts w:cs="Calibri"/>
        </w:rPr>
        <w:t>and 34.2</w:t>
      </w:r>
      <w:r w:rsidR="00B6795E">
        <w:rPr>
          <w:rFonts w:cs="Calibri"/>
        </w:rPr>
        <w:noBreakHyphen/>
        <w:t xml:space="preserve">34.7 GHz) do so on the basis that they are not afforded protection from interference from earth station transmitters at the New Norcia or Tidbinbilla facilities. </w:t>
      </w:r>
      <w:r w:rsidR="002020D3" w:rsidRPr="008D56C9">
        <w:rPr>
          <w:rFonts w:cs="Calibri"/>
        </w:rPr>
        <w:t xml:space="preserve">Arrangements for existing services are </w:t>
      </w:r>
      <w:r w:rsidR="00187175" w:rsidRPr="008D56C9">
        <w:rPr>
          <w:rFonts w:cs="Calibri"/>
        </w:rPr>
        <w:t>discussed</w:t>
      </w:r>
      <w:r w:rsidR="002020D3" w:rsidRPr="008D56C9">
        <w:rPr>
          <w:rFonts w:cs="Calibri"/>
        </w:rPr>
        <w:t xml:space="preserve"> in </w:t>
      </w:r>
      <w:r w:rsidR="008D56C9" w:rsidRPr="008D56C9">
        <w:rPr>
          <w:rFonts w:cs="Calibri"/>
        </w:rPr>
        <w:t>Annex B</w:t>
      </w:r>
      <w:r w:rsidR="008D56C9">
        <w:rPr>
          <w:rStyle w:val="FootnoteReference"/>
          <w:rFonts w:cs="Calibri"/>
        </w:rPr>
        <w:footnoteReference w:id="5"/>
      </w:r>
      <w:r w:rsidR="007C01A8" w:rsidRPr="008D56C9">
        <w:rPr>
          <w:rFonts w:cs="Calibri"/>
        </w:rPr>
        <w:t>.</w:t>
      </w:r>
    </w:p>
    <w:p w14:paraId="1354A44B" w14:textId="77777777" w:rsidR="007053B8" w:rsidRPr="007053B8" w:rsidRDefault="007053B8" w:rsidP="00DA730E">
      <w:pPr>
        <w:rPr>
          <w:rFonts w:cs="Calibri"/>
          <w:u w:val="single"/>
        </w:rPr>
      </w:pPr>
      <w:r w:rsidRPr="007053B8">
        <w:rPr>
          <w:rFonts w:cs="Calibri"/>
          <w:u w:val="single"/>
        </w:rPr>
        <w:t>22.55-23.15 GHz</w:t>
      </w:r>
    </w:p>
    <w:p w14:paraId="0B113032" w14:textId="3AF79F9D" w:rsidR="007053B8" w:rsidRDefault="00DA730E" w:rsidP="00DA730E">
      <w:pPr>
        <w:rPr>
          <w:rFonts w:cs="Calibri"/>
        </w:rPr>
      </w:pPr>
      <w:r>
        <w:rPr>
          <w:rFonts w:cs="Calibri"/>
        </w:rPr>
        <w:t>Services that operate in and adjacent to the earth station transmit band</w:t>
      </w:r>
      <w:r w:rsidR="008C471B">
        <w:rPr>
          <w:rFonts w:cs="Calibri"/>
        </w:rPr>
        <w:t xml:space="preserve"> </w:t>
      </w:r>
      <w:r w:rsidR="00F32276">
        <w:rPr>
          <w:rFonts w:cs="Calibri"/>
        </w:rPr>
        <w:t xml:space="preserve">22.55-23.15 GHz </w:t>
      </w:r>
      <w:r w:rsidR="00815DCA">
        <w:rPr>
          <w:rFonts w:cs="Calibri"/>
        </w:rPr>
        <w:t xml:space="preserve">that were authorised </w:t>
      </w:r>
      <w:r w:rsidR="00417C2B">
        <w:rPr>
          <w:rFonts w:cs="Calibri"/>
        </w:rPr>
        <w:t>before the commencement of this RAL</w:t>
      </w:r>
      <w:r w:rsidR="006B70E0">
        <w:rPr>
          <w:rFonts w:cs="Calibri"/>
        </w:rPr>
        <w:t>I</w:t>
      </w:r>
      <w:r w:rsidR="00417C2B">
        <w:rPr>
          <w:rFonts w:cs="Calibri"/>
        </w:rPr>
        <w:t xml:space="preserve"> are protected in accordance with the requirements for fixed-to-point links </w:t>
      </w:r>
      <w:r w:rsidR="006B70E0">
        <w:rPr>
          <w:rFonts w:cs="Calibri"/>
        </w:rPr>
        <w:t>of RALI FX3.</w:t>
      </w:r>
      <w:r w:rsidR="00401454">
        <w:rPr>
          <w:rFonts w:cs="Calibri"/>
        </w:rPr>
        <w:t xml:space="preserve"> If the technical characteristics of an existing </w:t>
      </w:r>
      <w:r w:rsidR="004369A1">
        <w:rPr>
          <w:rFonts w:cs="Calibri"/>
        </w:rPr>
        <w:t xml:space="preserve">service </w:t>
      </w:r>
      <w:r w:rsidR="00271F71">
        <w:rPr>
          <w:rFonts w:cs="Calibri"/>
        </w:rPr>
        <w:t>change, then</w:t>
      </w:r>
      <w:r w:rsidR="00401454">
        <w:rPr>
          <w:rFonts w:cs="Calibri"/>
        </w:rPr>
        <w:t xml:space="preserve"> they will need to be coordinat</w:t>
      </w:r>
      <w:r w:rsidR="008B6FE2">
        <w:rPr>
          <w:rFonts w:cs="Calibri"/>
        </w:rPr>
        <w:t>ed</w:t>
      </w:r>
      <w:r w:rsidR="00401454">
        <w:rPr>
          <w:rFonts w:cs="Calibri"/>
        </w:rPr>
        <w:t xml:space="preserve"> as a new service.</w:t>
      </w:r>
    </w:p>
    <w:p w14:paraId="7E18FE8C" w14:textId="7C7CC1BD" w:rsidR="00DA730E" w:rsidRDefault="000B64A7">
      <w:pPr>
        <w:rPr>
          <w:rFonts w:cs="Calibri"/>
        </w:rPr>
      </w:pPr>
      <w:r>
        <w:rPr>
          <w:rFonts w:cs="Calibri"/>
        </w:rPr>
        <w:t xml:space="preserve">New services (services authorised after the commencement of this RALI) will not be afforded protection from interference from earth station transmitters at the New Norcia or Tidbinbilla facilities. The ACMA encourages </w:t>
      </w:r>
      <w:r w:rsidR="00E91292">
        <w:rPr>
          <w:rFonts w:cs="Calibri"/>
        </w:rPr>
        <w:t>licensees</w:t>
      </w:r>
      <w:r>
        <w:rPr>
          <w:rFonts w:cs="Calibri"/>
        </w:rPr>
        <w:t xml:space="preserve"> to assess the likelihood of interference using the earth station parameters of this RALI and the fixed link protection requirements of RALI FX3.</w:t>
      </w:r>
    </w:p>
    <w:p w14:paraId="54C48ADD" w14:textId="3305A26D" w:rsidR="00BB5BB6" w:rsidRDefault="00B6795E" w:rsidP="00877B7B">
      <w:pPr>
        <w:pStyle w:val="Heading3"/>
        <w:widowControl w:val="0"/>
        <w:spacing w:before="0" w:after="240" w:line="240" w:lineRule="auto"/>
        <w:ind w:left="720" w:hanging="720"/>
      </w:pPr>
      <w:bookmarkStart w:id="20" w:name="_Toc440964738"/>
      <w:bookmarkStart w:id="21" w:name="_Toc121757753"/>
      <w:r>
        <w:t>Earth station receiver bands</w:t>
      </w:r>
      <w:bookmarkEnd w:id="20"/>
      <w:bookmarkEnd w:id="21"/>
    </w:p>
    <w:p w14:paraId="131035C7" w14:textId="77777777" w:rsidR="00BB5BB6" w:rsidRDefault="00B6795E">
      <w:pPr>
        <w:rPr>
          <w:u w:val="single"/>
        </w:rPr>
      </w:pPr>
      <w:r>
        <w:rPr>
          <w:u w:val="single"/>
        </w:rPr>
        <w:t>Co-Channel</w:t>
      </w:r>
    </w:p>
    <w:p w14:paraId="6FEBCB09" w14:textId="77777777" w:rsidR="00BB5BB6" w:rsidRDefault="00B6795E">
      <w:r>
        <w:t xml:space="preserve">Services </w:t>
      </w:r>
      <w:r>
        <w:rPr>
          <w:rFonts w:cs="Calibri"/>
        </w:rPr>
        <w:t>that wish to operate</w:t>
      </w:r>
      <w:r>
        <w:t xml:space="preserve"> in the earth station receive bands within:</w:t>
      </w:r>
    </w:p>
    <w:p w14:paraId="43D91DDE" w14:textId="3346BD4F" w:rsidR="00BB5BB6" w:rsidRDefault="00B6795E">
      <w:pPr>
        <w:pStyle w:val="ListParagraph"/>
        <w:widowControl w:val="0"/>
        <w:numPr>
          <w:ilvl w:val="0"/>
          <w:numId w:val="12"/>
        </w:numPr>
        <w:spacing w:after="0" w:line="240" w:lineRule="auto"/>
      </w:pPr>
      <w:r>
        <w:t xml:space="preserve">400 km of </w:t>
      </w:r>
      <w:r w:rsidR="00544B85">
        <w:t xml:space="preserve">the </w:t>
      </w:r>
      <w:r>
        <w:t>New Norcia Earth station or Tidbinbilla Earth station</w:t>
      </w:r>
      <w:r w:rsidR="00544B85">
        <w:t>s</w:t>
      </w:r>
      <w:r>
        <w:t xml:space="preserve"> below 10 GHz (8400-8500 MHz); and</w:t>
      </w:r>
    </w:p>
    <w:p w14:paraId="7B5BA264" w14:textId="26523351" w:rsidR="00BB5BB6" w:rsidRDefault="00B6795E" w:rsidP="00727E4E">
      <w:pPr>
        <w:pStyle w:val="ListParagraph"/>
        <w:widowControl w:val="0"/>
        <w:numPr>
          <w:ilvl w:val="0"/>
          <w:numId w:val="12"/>
        </w:numPr>
        <w:spacing w:after="120" w:line="240" w:lineRule="auto"/>
        <w:ind w:left="357" w:hanging="357"/>
      </w:pPr>
      <w:r>
        <w:t>200 km of</w:t>
      </w:r>
      <w:r w:rsidR="00544B85">
        <w:t xml:space="preserve"> the</w:t>
      </w:r>
      <w:r>
        <w:t xml:space="preserve"> New Norcia Earth station or Tidbinbilla Earth station</w:t>
      </w:r>
      <w:r w:rsidR="00544B85">
        <w:t>s</w:t>
      </w:r>
      <w:r>
        <w:t xml:space="preserve"> for bands above 10 GHz (31.8-32.3 GHz)  </w:t>
      </w:r>
    </w:p>
    <w:p w14:paraId="7801369A" w14:textId="17F4108C" w:rsidR="00BB5BB6" w:rsidRDefault="00B6795E">
      <w:r>
        <w:t xml:space="preserve">must coordinate their use by using the procedure set out in section </w:t>
      </w:r>
      <w:r w:rsidR="004B28ED">
        <w:t>2</w:t>
      </w:r>
      <w:r>
        <w:t>.1.3 of this RALI. All services wishing to operate in these bands must assume co-channel operation. Additional guidance on coordinating with earth stations can be found in Appendix 7 of the Radio Regulations of the ITU.</w:t>
      </w:r>
    </w:p>
    <w:p w14:paraId="367EF597" w14:textId="77777777" w:rsidR="00BB5BB6" w:rsidRDefault="00B6795E">
      <w:pPr>
        <w:rPr>
          <w:u w:val="single"/>
        </w:rPr>
      </w:pPr>
      <w:r>
        <w:rPr>
          <w:u w:val="single"/>
        </w:rPr>
        <w:t xml:space="preserve">Adjacent Channel </w:t>
      </w:r>
    </w:p>
    <w:p w14:paraId="3FA06A3D" w14:textId="59217841" w:rsidR="00BB5BB6" w:rsidRDefault="00B6795E">
      <w:r>
        <w:t xml:space="preserve">For services to be operated in adjacent bands, considering spectrum planning arrangements at the time this RALI was updated (see Annex B), there are no </w:t>
      </w:r>
      <w:r>
        <w:lastRenderedPageBreak/>
        <w:t>coordination distances and frequency constraints at this point in time, other than the coordination requirements placed on the FSS in RALI MS 38. These will be developed when re-planning activities occur in those bands. In the interim, coordination will be based on the level of unwanted emissions (out-of-band and spurious) from a proposed transmitter in the earth station receive bands. The expectation is that unwanted emission levels will not exceed:</w:t>
      </w:r>
    </w:p>
    <w:p w14:paraId="08186B79" w14:textId="23E00541" w:rsidR="00BB5BB6" w:rsidRDefault="00B6795E">
      <w:pPr>
        <w:ind w:left="1985" w:hanging="1786"/>
        <w:jc w:val="center"/>
      </w:pPr>
      <w:r>
        <w:rPr>
          <w:b/>
        </w:rPr>
        <w:t xml:space="preserve">43+10log(P) </w:t>
      </w:r>
      <w:proofErr w:type="spellStart"/>
      <w:r>
        <w:rPr>
          <w:b/>
        </w:rPr>
        <w:t>dBc</w:t>
      </w:r>
      <w:proofErr w:type="spellEnd"/>
      <w:r>
        <w:t xml:space="preserve"> or </w:t>
      </w:r>
      <w:r>
        <w:rPr>
          <w:b/>
        </w:rPr>
        <w:t xml:space="preserve">70 </w:t>
      </w:r>
      <w:proofErr w:type="spellStart"/>
      <w:r>
        <w:rPr>
          <w:b/>
        </w:rPr>
        <w:t>dBc</w:t>
      </w:r>
      <w:proofErr w:type="spellEnd"/>
      <w:r>
        <w:t>; whichever is less stringent</w:t>
      </w:r>
    </w:p>
    <w:p w14:paraId="2BDFB51C" w14:textId="77777777" w:rsidR="00BB5BB6" w:rsidRDefault="00B6795E">
      <w:r>
        <w:t xml:space="preserve">Where: </w:t>
      </w:r>
    </w:p>
    <w:p w14:paraId="3E5FD1D6" w14:textId="5EC0AA7B" w:rsidR="006C7924" w:rsidRPr="00422185" w:rsidRDefault="00B6795E" w:rsidP="00EB4688">
      <w:pPr>
        <w:spacing w:after="0"/>
        <w:ind w:left="720"/>
      </w:pPr>
      <w:r>
        <w:rPr>
          <w:b/>
        </w:rPr>
        <w:t xml:space="preserve">P </w:t>
      </w:r>
      <w:r w:rsidR="00527EB0">
        <w:t>is t</w:t>
      </w:r>
      <w:r>
        <w:t>he power supplied to the antenna transmission line in watts</w:t>
      </w:r>
      <w:r w:rsidR="00A773F3">
        <w:t>, and</w:t>
      </w:r>
      <w:r w:rsidR="00EB4688">
        <w:t xml:space="preserve"> </w:t>
      </w:r>
      <w:r w:rsidR="00EE4575" w:rsidRPr="00527EB0">
        <w:rPr>
          <w:b/>
          <w:i/>
          <w:iCs/>
        </w:rPr>
        <w:t>x</w:t>
      </w:r>
      <w:r w:rsidR="00A773F3" w:rsidRPr="00527EB0">
        <w:rPr>
          <w:b/>
        </w:rPr>
        <w:t xml:space="preserve"> </w:t>
      </w:r>
      <w:proofErr w:type="spellStart"/>
      <w:r w:rsidR="006C7924" w:rsidRPr="00527EB0">
        <w:rPr>
          <w:b/>
        </w:rPr>
        <w:t>dB</w:t>
      </w:r>
      <w:r w:rsidR="00CB3824" w:rsidRPr="00527EB0">
        <w:rPr>
          <w:b/>
        </w:rPr>
        <w:t>c</w:t>
      </w:r>
      <w:proofErr w:type="spellEnd"/>
      <w:r w:rsidR="00A82B1D">
        <w:rPr>
          <w:bCs/>
        </w:rPr>
        <w:t xml:space="preserve"> </w:t>
      </w:r>
      <w:r w:rsidR="00725D55">
        <w:rPr>
          <w:bCs/>
        </w:rPr>
        <w:t xml:space="preserve">is </w:t>
      </w:r>
      <w:r w:rsidR="003561D5" w:rsidRPr="00422185">
        <w:rPr>
          <w:bCs/>
        </w:rPr>
        <w:t xml:space="preserve">the attenuation (dB) below </w:t>
      </w:r>
      <w:r w:rsidR="00725D55">
        <w:rPr>
          <w:bCs/>
        </w:rPr>
        <w:t>P</w:t>
      </w:r>
      <w:r w:rsidR="00D101F1">
        <w:rPr>
          <w:bCs/>
        </w:rPr>
        <w:t>, i.e</w:t>
      </w:r>
      <w:r w:rsidR="005A014B" w:rsidRPr="00422185">
        <w:rPr>
          <w:bCs/>
        </w:rPr>
        <w:t>. −</w:t>
      </w:r>
      <w:r w:rsidR="00EE4575" w:rsidRPr="00422185">
        <w:rPr>
          <w:bCs/>
        </w:rPr>
        <w:t>x</w:t>
      </w:r>
      <w:r w:rsidR="005A014B" w:rsidRPr="00422185">
        <w:rPr>
          <w:bCs/>
        </w:rPr>
        <w:t xml:space="preserve"> </w:t>
      </w:r>
      <w:proofErr w:type="spellStart"/>
      <w:r w:rsidR="005A014B" w:rsidRPr="00422185">
        <w:rPr>
          <w:bCs/>
        </w:rPr>
        <w:t>dBc</w:t>
      </w:r>
      <w:proofErr w:type="spellEnd"/>
    </w:p>
    <w:p w14:paraId="6350FF20" w14:textId="77777777" w:rsidR="005A014B" w:rsidRPr="005A014B" w:rsidRDefault="005A014B" w:rsidP="005A014B">
      <w:pPr>
        <w:autoSpaceDE w:val="0"/>
        <w:autoSpaceDN w:val="0"/>
        <w:adjustRightInd w:val="0"/>
        <w:spacing w:after="0" w:line="240" w:lineRule="auto"/>
        <w:rPr>
          <w:b/>
        </w:rPr>
      </w:pPr>
    </w:p>
    <w:p w14:paraId="7FAE4B97" w14:textId="653F0594" w:rsidR="00BB5BB6" w:rsidRDefault="00B6795E">
      <w:r>
        <w:t>This value is based on ITU general limit for spurious emissions in the out-of-band domain</w:t>
      </w:r>
      <w:r>
        <w:rPr>
          <w:rStyle w:val="FootnoteReference"/>
        </w:rPr>
        <w:footnoteReference w:id="6"/>
      </w:r>
      <w:r>
        <w:t xml:space="preserve"> and in this case it applies to both out-of-band and spurious emissions. Examples on how to calculate this can be found in Appendix 3 of the ITU Radio Regulations (</w:t>
      </w:r>
      <w:hyperlink r:id="rId24" w:history="1">
        <w:r w:rsidR="00D34DA8" w:rsidRPr="005B7781">
          <w:rPr>
            <w:rStyle w:val="Hyperlink"/>
          </w:rPr>
          <w:t>https://www.itu.int/pub/R-REG-RR</w:t>
        </w:r>
      </w:hyperlink>
      <w:r>
        <w:t>).</w:t>
      </w:r>
      <w:r w:rsidR="00D34DA8">
        <w:t xml:space="preserve"> Note that emissions from adjacent bands into the 8400-8450 MHz and 31.8-32.3 GHz bands should not exceed the protection criterion for deep space research (Recommendation ITU-R SA.1157-1).</w:t>
      </w:r>
    </w:p>
    <w:p w14:paraId="5C96D8A3" w14:textId="77777777" w:rsidR="00BB5BB6" w:rsidRDefault="00B6795E">
      <w:pPr>
        <w:pStyle w:val="Heading3"/>
        <w:widowControl w:val="0"/>
        <w:spacing w:before="0" w:after="0" w:line="240" w:lineRule="auto"/>
        <w:ind w:left="720" w:hanging="720"/>
      </w:pPr>
      <w:bookmarkStart w:id="22" w:name="_Toc440964739"/>
      <w:bookmarkStart w:id="23" w:name="_Toc121757754"/>
      <w:r>
        <w:t>Coordination Procedure</w:t>
      </w:r>
      <w:bookmarkEnd w:id="22"/>
      <w:bookmarkEnd w:id="23"/>
      <w:r>
        <w:t xml:space="preserve"> </w:t>
      </w:r>
    </w:p>
    <w:p w14:paraId="2201DDED" w14:textId="1A4025E9" w:rsidR="00BB5BB6" w:rsidRDefault="00B6795E">
      <w:pPr>
        <w:rPr>
          <w:rFonts w:cs="Calibri"/>
        </w:rPr>
      </w:pPr>
      <w:r>
        <w:rPr>
          <w:rFonts w:cs="Calibri"/>
        </w:rPr>
        <w:t>The values specified in Table 3 and Table 4</w:t>
      </w:r>
      <w:r>
        <w:t xml:space="preserve"> for the New Norcia earth station and Table 5 and Table 6 for the Tidbinbilla earth station are to be used when </w:t>
      </w:r>
      <w:r>
        <w:rPr>
          <w:rFonts w:cs="Calibri"/>
        </w:rPr>
        <w:t xml:space="preserve">calculating the interference between the ESA and NASA earth stations and other services. They are based on the New Norcia 35 m antenna (NNO-1) and Tidbinbilla </w:t>
      </w:r>
      <w:r w:rsidR="00764DB7">
        <w:rPr>
          <w:rFonts w:cs="Calibri"/>
        </w:rPr>
        <w:t xml:space="preserve">34 m and </w:t>
      </w:r>
      <w:r>
        <w:rPr>
          <w:rFonts w:cs="Calibri"/>
        </w:rPr>
        <w:t>70</w:t>
      </w:r>
      <w:r w:rsidR="005511B8">
        <w:rPr>
          <w:rFonts w:cs="Calibri"/>
        </w:rPr>
        <w:t xml:space="preserve"> </w:t>
      </w:r>
      <w:r>
        <w:rPr>
          <w:rFonts w:cs="Calibri"/>
        </w:rPr>
        <w:t xml:space="preserve">m antenna (NASA </w:t>
      </w:r>
      <w:r w:rsidR="00764DB7">
        <w:rPr>
          <w:rFonts w:cs="Calibri"/>
        </w:rPr>
        <w:t>DSS-3</w:t>
      </w:r>
      <w:r w:rsidR="003E6E59">
        <w:rPr>
          <w:rFonts w:cs="Calibri"/>
        </w:rPr>
        <w:t>4</w:t>
      </w:r>
      <w:r w:rsidR="00764DB7">
        <w:rPr>
          <w:rFonts w:cs="Calibri"/>
        </w:rPr>
        <w:t xml:space="preserve"> and </w:t>
      </w:r>
      <w:r>
        <w:rPr>
          <w:rFonts w:cs="Calibri"/>
        </w:rPr>
        <w:t>DSS-43) characteristics and will encompass all smaller antennas within each of the earth stations.</w:t>
      </w:r>
    </w:p>
    <w:p w14:paraId="1E054FD2" w14:textId="77777777" w:rsidR="00BB5BB6" w:rsidRDefault="00B6795E">
      <w:pPr>
        <w:keepNext/>
      </w:pPr>
      <w:r>
        <w:lastRenderedPageBreak/>
        <w:t>The assessment of interference is based on the following method of determining the signal level from the proposed transmitter arriving at the location of the Earth station:</w:t>
      </w:r>
    </w:p>
    <w:p w14:paraId="4CD3FA6A" w14:textId="77777777" w:rsidR="00BB5BB6" w:rsidRDefault="00B6795E">
      <w:pPr>
        <w:keepNext/>
        <w:jc w:val="center"/>
        <w:rPr>
          <w:b/>
          <w:bCs/>
        </w:rPr>
      </w:pPr>
      <w:proofErr w:type="spellStart"/>
      <w:r>
        <w:rPr>
          <w:b/>
          <w:bCs/>
          <w:i/>
        </w:rPr>
        <w:t>PSD</w:t>
      </w:r>
      <w:r>
        <w:rPr>
          <w:b/>
          <w:bCs/>
          <w:i/>
          <w:vertAlign w:val="subscript"/>
        </w:rPr>
        <w:t>tx</w:t>
      </w:r>
      <w:proofErr w:type="spellEnd"/>
      <w:r>
        <w:rPr>
          <w:b/>
          <w:bCs/>
          <w:vertAlign w:val="subscript"/>
        </w:rPr>
        <w:t xml:space="preserve"> </w:t>
      </w:r>
      <w:r>
        <w:rPr>
          <w:b/>
          <w:bCs/>
        </w:rPr>
        <w:t xml:space="preserve">+ </w:t>
      </w:r>
      <w:r>
        <w:rPr>
          <w:b/>
          <w:bCs/>
          <w:i/>
        </w:rPr>
        <w:t>G</w:t>
      </w:r>
      <w:r>
        <w:rPr>
          <w:b/>
          <w:bCs/>
          <w:i/>
          <w:vertAlign w:val="subscript"/>
        </w:rPr>
        <w:t>t</w:t>
      </w:r>
      <w:r>
        <w:rPr>
          <w:b/>
          <w:bCs/>
        </w:rPr>
        <w:t xml:space="preserve"> – </w:t>
      </w:r>
      <w:r>
        <w:rPr>
          <w:b/>
          <w:bCs/>
          <w:i/>
        </w:rPr>
        <w:t>PL</w:t>
      </w:r>
      <w:r>
        <w:rPr>
          <w:b/>
          <w:bCs/>
        </w:rPr>
        <w:t>(</w:t>
      </w:r>
      <w:r>
        <w:rPr>
          <w:b/>
          <w:bCs/>
          <w:i/>
        </w:rPr>
        <w:t>p</w:t>
      </w:r>
      <w:r>
        <w:rPr>
          <w:b/>
          <w:bCs/>
        </w:rPr>
        <w:t xml:space="preserve">) + </w:t>
      </w:r>
      <w:r>
        <w:rPr>
          <w:b/>
          <w:bCs/>
          <w:i/>
        </w:rPr>
        <w:t>G</w:t>
      </w:r>
      <w:r>
        <w:rPr>
          <w:b/>
          <w:bCs/>
          <w:i/>
          <w:vertAlign w:val="subscript"/>
        </w:rPr>
        <w:t>r</w:t>
      </w:r>
      <w:r>
        <w:rPr>
          <w:b/>
          <w:bCs/>
        </w:rPr>
        <w:t xml:space="preserve"> &lt; Interference Threshold Level</w:t>
      </w:r>
    </w:p>
    <w:p w14:paraId="7B3A8727" w14:textId="77777777" w:rsidR="00BB5BB6" w:rsidRDefault="00B6795E">
      <w:pPr>
        <w:keepNext/>
      </w:pPr>
      <w:r>
        <w:t>Where:</w:t>
      </w:r>
    </w:p>
    <w:p w14:paraId="0F5FCA6C" w14:textId="77777777" w:rsidR="00BB5BB6" w:rsidRDefault="00B6795E">
      <w:pPr>
        <w:keepNext/>
        <w:ind w:left="720"/>
      </w:pPr>
      <w:proofErr w:type="spellStart"/>
      <w:r>
        <w:rPr>
          <w:b/>
          <w:i/>
        </w:rPr>
        <w:t>PSD</w:t>
      </w:r>
      <w:r>
        <w:rPr>
          <w:b/>
          <w:i/>
          <w:vertAlign w:val="subscript"/>
        </w:rPr>
        <w:t>tx</w:t>
      </w:r>
      <w:proofErr w:type="spellEnd"/>
      <w:r>
        <w:rPr>
          <w:b/>
        </w:rPr>
        <w:t xml:space="preserve"> </w:t>
      </w:r>
      <w:r>
        <w:t>- Transmitter power spectral density within the transmitter’s occupied bandwidth (</w:t>
      </w:r>
      <w:proofErr w:type="spellStart"/>
      <w:r>
        <w:t>dBW</w:t>
      </w:r>
      <w:proofErr w:type="spellEnd"/>
      <w:r>
        <w:t>/Hz)</w:t>
      </w:r>
    </w:p>
    <w:p w14:paraId="68E55066" w14:textId="51744D26" w:rsidR="00BB5BB6" w:rsidRDefault="00B6795E">
      <w:pPr>
        <w:keepNext/>
        <w:keepLines/>
        <w:ind w:left="720"/>
      </w:pPr>
      <w:r>
        <w:rPr>
          <w:b/>
          <w:i/>
        </w:rPr>
        <w:t>PL</w:t>
      </w:r>
      <w:r>
        <w:rPr>
          <w:b/>
        </w:rPr>
        <w:t>(</w:t>
      </w:r>
      <w:r>
        <w:rPr>
          <w:b/>
          <w:i/>
        </w:rPr>
        <w:t>p</w:t>
      </w:r>
      <w:r>
        <w:rPr>
          <w:b/>
        </w:rPr>
        <w:t>)</w:t>
      </w:r>
      <w:r>
        <w:t xml:space="preserve"> - propagation path loss (dB) along the interference path not exceeded for </w:t>
      </w:r>
      <w:r>
        <w:rPr>
          <w:i/>
        </w:rPr>
        <w:t>p</w:t>
      </w:r>
      <w:r>
        <w:t xml:space="preserve">% time, where </w:t>
      </w:r>
      <w:r>
        <w:rPr>
          <w:i/>
        </w:rPr>
        <w:t>p</w:t>
      </w:r>
      <w:r>
        <w:t xml:space="preserve"> is defined in Table 3 for New Norcia and Table 5 for Tidbinbilla</w:t>
      </w:r>
    </w:p>
    <w:p w14:paraId="404A379D" w14:textId="77777777" w:rsidR="00BB5BB6" w:rsidRDefault="00B6795E">
      <w:pPr>
        <w:keepNext/>
        <w:ind w:firstLine="720"/>
      </w:pPr>
      <w:r>
        <w:rPr>
          <w:b/>
          <w:i/>
        </w:rPr>
        <w:t>G</w:t>
      </w:r>
      <w:r>
        <w:rPr>
          <w:b/>
          <w:i/>
          <w:vertAlign w:val="subscript"/>
        </w:rPr>
        <w:t>t</w:t>
      </w:r>
      <w:r>
        <w:rPr>
          <w:b/>
        </w:rPr>
        <w:t xml:space="preserve"> </w:t>
      </w:r>
      <w:r>
        <w:t>- transmit antenna gain in the direction of the interference path (</w:t>
      </w:r>
      <w:proofErr w:type="spellStart"/>
      <w:r>
        <w:t>dBi</w:t>
      </w:r>
      <w:proofErr w:type="spellEnd"/>
      <w:r>
        <w:t>)</w:t>
      </w:r>
    </w:p>
    <w:p w14:paraId="7A4464B6" w14:textId="6D09E1CA" w:rsidR="00BB5BB6" w:rsidRDefault="00B6795E">
      <w:pPr>
        <w:keepNext/>
        <w:ind w:left="720"/>
      </w:pPr>
      <w:r>
        <w:rPr>
          <w:b/>
          <w:i/>
        </w:rPr>
        <w:t>G</w:t>
      </w:r>
      <w:r>
        <w:rPr>
          <w:b/>
          <w:i/>
          <w:vertAlign w:val="subscript"/>
        </w:rPr>
        <w:t>r</w:t>
      </w:r>
      <w:r>
        <w:rPr>
          <w:b/>
        </w:rPr>
        <w:t xml:space="preserve"> </w:t>
      </w:r>
      <w:r>
        <w:t>- (maximum) receive antenna gain in the direction of the interference path (</w:t>
      </w:r>
      <w:proofErr w:type="spellStart"/>
      <w:r>
        <w:t>dBi</w:t>
      </w:r>
      <w:proofErr w:type="spellEnd"/>
      <w:r>
        <w:t>), see Table 3 for New Norcia and Table 5 for Tidbinbilla</w:t>
      </w:r>
    </w:p>
    <w:p w14:paraId="2CD8A2CA" w14:textId="523EC6CE" w:rsidR="00BB5BB6" w:rsidRDefault="00B6795E">
      <w:pPr>
        <w:keepNext/>
        <w:ind w:left="720"/>
      </w:pPr>
      <w:r>
        <w:rPr>
          <w:b/>
        </w:rPr>
        <w:t>Interference Threshold Level</w:t>
      </w:r>
      <w:r>
        <w:t xml:space="preserve"> - maximum permissible unwanted signal PSD (</w:t>
      </w:r>
      <w:proofErr w:type="spellStart"/>
      <w:r>
        <w:t>dBW</w:t>
      </w:r>
      <w:proofErr w:type="spellEnd"/>
      <w:r>
        <w:t>/Hz); see Table 3 for New Norcia and Table 5 for Tidbinbilla</w:t>
      </w:r>
    </w:p>
    <w:p w14:paraId="0DE9DEDA" w14:textId="232E01D4" w:rsidR="00BB5BB6" w:rsidRDefault="00B6795E">
      <w:r>
        <w:t xml:space="preserve">Coordination calculations are to use propagation model </w:t>
      </w:r>
      <w:hyperlink r:id="rId25" w:history="1">
        <w:r w:rsidRPr="00A87591">
          <w:rPr>
            <w:rStyle w:val="Hyperlink"/>
          </w:rPr>
          <w:t>ITU Recommendation P.452</w:t>
        </w:r>
      </w:hyperlink>
      <w:r w:rsidR="00E46FB2">
        <w:t xml:space="preserve"> </w:t>
      </w:r>
      <w:r>
        <w:t xml:space="preserve">with the values set out in Table 3 for New Norcia and Table 5 for Tidbinbilla. </w:t>
      </w:r>
    </w:p>
    <w:p w14:paraId="6016FEE6" w14:textId="77777777" w:rsidR="00BB5BB6" w:rsidRDefault="00B6795E">
      <w:pPr>
        <w:rPr>
          <w:b/>
          <w:i/>
        </w:rPr>
      </w:pPr>
      <w:r>
        <w:t xml:space="preserve">For services </w:t>
      </w:r>
      <w:r>
        <w:rPr>
          <w:rFonts w:cs="Calibri"/>
        </w:rPr>
        <w:t>that wish to operate</w:t>
      </w:r>
      <w:r>
        <w:t xml:space="preserve"> adjacent to earth station receive bands, the spectral mask attenuation of the emission measured at the earth station band edge shall be factored into the </w:t>
      </w:r>
      <w:proofErr w:type="spellStart"/>
      <w:r>
        <w:rPr>
          <w:b/>
          <w:i/>
        </w:rPr>
        <w:t>PSD</w:t>
      </w:r>
      <w:r>
        <w:rPr>
          <w:b/>
          <w:i/>
          <w:vertAlign w:val="subscript"/>
        </w:rPr>
        <w:t>tx</w:t>
      </w:r>
      <w:proofErr w:type="spellEnd"/>
      <w:r w:rsidRPr="00794A77">
        <w:rPr>
          <w:bCs/>
          <w:iCs/>
        </w:rPr>
        <w:t>.</w:t>
      </w:r>
    </w:p>
    <w:p w14:paraId="6D3DB61D" w14:textId="77777777" w:rsidR="00BB5BB6" w:rsidRDefault="00BB5BB6">
      <w:pPr>
        <w:rPr>
          <w:vertAlign w:val="subscript"/>
        </w:rPr>
      </w:pPr>
    </w:p>
    <w:p w14:paraId="73805A56" w14:textId="1754BE65" w:rsidR="00BB5BB6" w:rsidRDefault="00B6795E">
      <w:pPr>
        <w:pStyle w:val="Caption"/>
        <w:keepNext/>
        <w:keepLines/>
      </w:pPr>
      <w:r>
        <w:lastRenderedPageBreak/>
        <w:t>Receive characteristics for New Norcia earth station</w:t>
      </w:r>
    </w:p>
    <w:tbl>
      <w:tblPr>
        <w:tblStyle w:val="TableGrid"/>
        <w:tblW w:w="8692" w:type="dxa"/>
        <w:tblInd w:w="517" w:type="dxa"/>
        <w:tblLook w:val="04A0" w:firstRow="1" w:lastRow="0" w:firstColumn="1" w:lastColumn="0" w:noHBand="0" w:noVBand="1"/>
      </w:tblPr>
      <w:tblGrid>
        <w:gridCol w:w="2739"/>
        <w:gridCol w:w="1984"/>
        <w:gridCol w:w="1984"/>
        <w:gridCol w:w="1985"/>
      </w:tblGrid>
      <w:tr w:rsidR="00BB5BB6" w14:paraId="4C425850" w14:textId="77777777" w:rsidTr="00CA4DF0">
        <w:tc>
          <w:tcPr>
            <w:tcW w:w="2739" w:type="dxa"/>
            <w:vMerge w:val="restart"/>
            <w:vAlign w:val="center"/>
          </w:tcPr>
          <w:p w14:paraId="1E169359" w14:textId="77777777" w:rsidR="00BB5BB6" w:rsidRDefault="00B6795E">
            <w:pPr>
              <w:keepNext/>
              <w:keepLines/>
              <w:jc w:val="center"/>
              <w:rPr>
                <w:rFonts w:cs="Calibri"/>
                <w:b/>
              </w:rPr>
            </w:pPr>
            <w:r>
              <w:rPr>
                <w:rFonts w:cs="Calibri"/>
                <w:b/>
              </w:rPr>
              <w:t>System parameter</w:t>
            </w:r>
          </w:p>
        </w:tc>
        <w:tc>
          <w:tcPr>
            <w:tcW w:w="5953" w:type="dxa"/>
            <w:gridSpan w:val="3"/>
          </w:tcPr>
          <w:p w14:paraId="631F8BC8" w14:textId="77777777" w:rsidR="00BB5BB6" w:rsidRDefault="00B6795E">
            <w:pPr>
              <w:keepNext/>
              <w:keepLines/>
              <w:jc w:val="center"/>
              <w:rPr>
                <w:rFonts w:cs="Calibri"/>
                <w:b/>
              </w:rPr>
            </w:pPr>
            <w:r>
              <w:rPr>
                <w:rFonts w:cs="Calibri"/>
                <w:b/>
              </w:rPr>
              <w:t>Frequency of Operation (GHz)</w:t>
            </w:r>
          </w:p>
        </w:tc>
      </w:tr>
      <w:tr w:rsidR="001E5C1C" w14:paraId="4BE53B72" w14:textId="77777777" w:rsidTr="00CA4DF0">
        <w:tc>
          <w:tcPr>
            <w:tcW w:w="2739" w:type="dxa"/>
            <w:vMerge/>
            <w:vAlign w:val="center"/>
          </w:tcPr>
          <w:p w14:paraId="2842DB0B" w14:textId="77777777" w:rsidR="001E5C1C" w:rsidRDefault="001E5C1C">
            <w:pPr>
              <w:keepNext/>
              <w:keepLines/>
              <w:jc w:val="center"/>
              <w:rPr>
                <w:rFonts w:cs="Calibri"/>
                <w:b/>
              </w:rPr>
            </w:pPr>
          </w:p>
        </w:tc>
        <w:tc>
          <w:tcPr>
            <w:tcW w:w="1984" w:type="dxa"/>
            <w:vAlign w:val="center"/>
          </w:tcPr>
          <w:p w14:paraId="27D9F0A4" w14:textId="77777777" w:rsidR="001E5C1C" w:rsidRDefault="001E5C1C">
            <w:pPr>
              <w:keepNext/>
              <w:keepLines/>
              <w:jc w:val="center"/>
              <w:rPr>
                <w:rFonts w:cs="Calibri"/>
                <w:b/>
              </w:rPr>
            </w:pPr>
            <w:r>
              <w:rPr>
                <w:rFonts w:cs="Calibri"/>
                <w:b/>
              </w:rPr>
              <w:t>8.4-8.45</w:t>
            </w:r>
          </w:p>
        </w:tc>
        <w:tc>
          <w:tcPr>
            <w:tcW w:w="1984" w:type="dxa"/>
            <w:vAlign w:val="center"/>
          </w:tcPr>
          <w:p w14:paraId="6EF18D88" w14:textId="77777777" w:rsidR="001E5C1C" w:rsidRDefault="001E5C1C" w:rsidP="5B9CA091">
            <w:pPr>
              <w:keepNext/>
              <w:keepLines/>
              <w:jc w:val="center"/>
              <w:rPr>
                <w:rFonts w:cs="Calibri"/>
                <w:b/>
                <w:bCs/>
              </w:rPr>
            </w:pPr>
            <w:r w:rsidRPr="5B9CA091">
              <w:rPr>
                <w:rFonts w:cs="Calibri"/>
                <w:b/>
                <w:bCs/>
              </w:rPr>
              <w:t>8.45-8.5</w:t>
            </w:r>
          </w:p>
        </w:tc>
        <w:tc>
          <w:tcPr>
            <w:tcW w:w="1985" w:type="dxa"/>
            <w:vAlign w:val="center"/>
          </w:tcPr>
          <w:p w14:paraId="0A467438" w14:textId="77777777" w:rsidR="001E5C1C" w:rsidRDefault="001E5C1C">
            <w:pPr>
              <w:keepNext/>
              <w:keepLines/>
              <w:jc w:val="center"/>
              <w:rPr>
                <w:rFonts w:cs="Calibri"/>
                <w:b/>
              </w:rPr>
            </w:pPr>
            <w:r>
              <w:rPr>
                <w:rFonts w:cs="Calibri"/>
                <w:b/>
              </w:rPr>
              <w:t>31.8</w:t>
            </w:r>
            <w:r>
              <w:rPr>
                <w:rFonts w:cs="Calibri"/>
                <w:b/>
              </w:rPr>
              <w:noBreakHyphen/>
              <w:t>32.3</w:t>
            </w:r>
          </w:p>
        </w:tc>
      </w:tr>
      <w:tr w:rsidR="001E5C1C" w14:paraId="5A887EB9" w14:textId="77777777" w:rsidTr="00CA4DF0">
        <w:tc>
          <w:tcPr>
            <w:tcW w:w="2739" w:type="dxa"/>
            <w:vAlign w:val="center"/>
          </w:tcPr>
          <w:p w14:paraId="3426599C" w14:textId="531611F6" w:rsidR="001E5C1C" w:rsidRDefault="001E5C1C">
            <w:pPr>
              <w:keepNext/>
              <w:keepLines/>
              <w:jc w:val="center"/>
              <w:rPr>
                <w:rFonts w:cs="Calibri"/>
                <w:b/>
              </w:rPr>
            </w:pPr>
            <w:r>
              <w:rPr>
                <w:rFonts w:cs="Calibri"/>
                <w:b/>
              </w:rPr>
              <w:t>Interference threshold</w:t>
            </w:r>
            <w:r>
              <w:rPr>
                <w:rStyle w:val="FootnoteReference"/>
                <w:rFonts w:cs="Calibri"/>
                <w:b/>
              </w:rPr>
              <w:footnoteReference w:id="7"/>
            </w:r>
            <w:r>
              <w:rPr>
                <w:rFonts w:cs="Calibri"/>
                <w:b/>
              </w:rPr>
              <w:t xml:space="preserve"> </w:t>
            </w:r>
            <w:r w:rsidR="00665DAD">
              <w:rPr>
                <w:rFonts w:cs="Calibri"/>
                <w:b/>
              </w:rPr>
              <w:t>(</w:t>
            </w:r>
            <w:proofErr w:type="spellStart"/>
            <w:r w:rsidR="00665DAD">
              <w:rPr>
                <w:rFonts w:cs="Calibri"/>
                <w:b/>
              </w:rPr>
              <w:t>dBW</w:t>
            </w:r>
            <w:proofErr w:type="spellEnd"/>
            <w:r w:rsidR="00665DAD">
              <w:rPr>
                <w:rFonts w:cs="Calibri"/>
                <w:b/>
              </w:rPr>
              <w:t>/Hz)</w:t>
            </w:r>
          </w:p>
        </w:tc>
        <w:tc>
          <w:tcPr>
            <w:tcW w:w="1984" w:type="dxa"/>
            <w:vAlign w:val="center"/>
          </w:tcPr>
          <w:p w14:paraId="3E487D4E" w14:textId="55B3E936" w:rsidR="001E5C1C" w:rsidRDefault="001E5C1C">
            <w:pPr>
              <w:keepNext/>
              <w:keepLines/>
              <w:jc w:val="center"/>
              <w:rPr>
                <w:rFonts w:cs="Calibri"/>
                <w:szCs w:val="20"/>
              </w:rPr>
            </w:pPr>
            <w:r>
              <w:rPr>
                <w:rFonts w:cs="Calibri"/>
              </w:rPr>
              <w:t>-220</w:t>
            </w:r>
          </w:p>
        </w:tc>
        <w:tc>
          <w:tcPr>
            <w:tcW w:w="1984" w:type="dxa"/>
            <w:vAlign w:val="center"/>
          </w:tcPr>
          <w:p w14:paraId="7DFBE5AF" w14:textId="18C15CF9" w:rsidR="001E5C1C" w:rsidRDefault="001E5C1C">
            <w:pPr>
              <w:keepNext/>
              <w:keepLines/>
              <w:jc w:val="center"/>
              <w:rPr>
                <w:rFonts w:cs="Calibri"/>
                <w:szCs w:val="20"/>
              </w:rPr>
            </w:pPr>
            <w:r>
              <w:rPr>
                <w:rFonts w:cs="Calibri"/>
              </w:rPr>
              <w:t>-216</w:t>
            </w:r>
          </w:p>
        </w:tc>
        <w:tc>
          <w:tcPr>
            <w:tcW w:w="1985" w:type="dxa"/>
            <w:vAlign w:val="center"/>
          </w:tcPr>
          <w:p w14:paraId="093F400A" w14:textId="69A5EAAA" w:rsidR="001E5C1C" w:rsidRDefault="001E5C1C">
            <w:pPr>
              <w:keepNext/>
              <w:keepLines/>
              <w:jc w:val="center"/>
              <w:rPr>
                <w:rFonts w:cs="Calibri"/>
                <w:szCs w:val="20"/>
              </w:rPr>
            </w:pPr>
            <w:r>
              <w:rPr>
                <w:rFonts w:cs="Calibri"/>
              </w:rPr>
              <w:t>-216</w:t>
            </w:r>
          </w:p>
        </w:tc>
      </w:tr>
      <w:tr w:rsidR="00CA4DF0" w14:paraId="04ECF2C1" w14:textId="77777777" w:rsidTr="00E76631">
        <w:tc>
          <w:tcPr>
            <w:tcW w:w="2739" w:type="dxa"/>
            <w:vAlign w:val="center"/>
          </w:tcPr>
          <w:p w14:paraId="417256CC" w14:textId="77777777" w:rsidR="00CA4DF0" w:rsidRDefault="00CA4DF0">
            <w:pPr>
              <w:keepNext/>
              <w:keepLines/>
              <w:jc w:val="center"/>
              <w:rPr>
                <w:rFonts w:cs="Calibri"/>
                <w:b/>
              </w:rPr>
            </w:pPr>
            <w:r>
              <w:rPr>
                <w:rFonts w:cs="Calibri"/>
                <w:b/>
              </w:rPr>
              <w:t>Antenna coordinates (GDA94)</w:t>
            </w:r>
          </w:p>
        </w:tc>
        <w:tc>
          <w:tcPr>
            <w:tcW w:w="5953" w:type="dxa"/>
            <w:gridSpan w:val="3"/>
            <w:vAlign w:val="center"/>
          </w:tcPr>
          <w:p w14:paraId="640DEA93" w14:textId="2F2ABD9B" w:rsidR="00CA4DF0" w:rsidRDefault="00CA4DF0" w:rsidP="00CA4DF0">
            <w:pPr>
              <w:keepNext/>
              <w:keepLines/>
              <w:jc w:val="center"/>
              <w:rPr>
                <w:rFonts w:cs="Calibri"/>
              </w:rPr>
            </w:pPr>
            <w:r>
              <w:rPr>
                <w:rFonts w:cs="Calibri"/>
                <w:szCs w:val="20"/>
              </w:rPr>
              <w:t>-31.048214°, 116.191444°</w:t>
            </w:r>
          </w:p>
        </w:tc>
      </w:tr>
      <w:tr w:rsidR="001E5C1C" w14:paraId="1C94F946" w14:textId="77777777" w:rsidTr="00CA4DF0">
        <w:tc>
          <w:tcPr>
            <w:tcW w:w="2739" w:type="dxa"/>
            <w:vAlign w:val="center"/>
          </w:tcPr>
          <w:p w14:paraId="1129986E" w14:textId="77777777" w:rsidR="001E5C1C" w:rsidRDefault="001E5C1C">
            <w:pPr>
              <w:keepNext/>
              <w:keepLines/>
              <w:jc w:val="center"/>
              <w:rPr>
                <w:rFonts w:cs="Calibri"/>
                <w:b/>
              </w:rPr>
            </w:pPr>
            <w:r>
              <w:rPr>
                <w:rFonts w:cs="Calibri"/>
                <w:b/>
              </w:rPr>
              <w:t>Antenna height (m)</w:t>
            </w:r>
          </w:p>
        </w:tc>
        <w:tc>
          <w:tcPr>
            <w:tcW w:w="1984" w:type="dxa"/>
            <w:vAlign w:val="center"/>
          </w:tcPr>
          <w:p w14:paraId="03C95DED" w14:textId="77777777" w:rsidR="001E5C1C" w:rsidRDefault="001E5C1C">
            <w:pPr>
              <w:keepNext/>
              <w:keepLines/>
              <w:jc w:val="center"/>
              <w:rPr>
                <w:rFonts w:cs="Calibri"/>
              </w:rPr>
            </w:pPr>
            <w:r>
              <w:rPr>
                <w:rFonts w:cs="Calibri"/>
              </w:rPr>
              <w:t>22.5</w:t>
            </w:r>
          </w:p>
        </w:tc>
        <w:tc>
          <w:tcPr>
            <w:tcW w:w="1984" w:type="dxa"/>
            <w:vAlign w:val="center"/>
          </w:tcPr>
          <w:p w14:paraId="5F24F5C8" w14:textId="77777777" w:rsidR="001E5C1C" w:rsidRDefault="001E5C1C">
            <w:pPr>
              <w:keepNext/>
              <w:keepLines/>
              <w:jc w:val="center"/>
              <w:rPr>
                <w:rFonts w:cs="Calibri"/>
              </w:rPr>
            </w:pPr>
            <w:r>
              <w:rPr>
                <w:rFonts w:cs="Calibri"/>
              </w:rPr>
              <w:t>22.5</w:t>
            </w:r>
          </w:p>
        </w:tc>
        <w:tc>
          <w:tcPr>
            <w:tcW w:w="1985" w:type="dxa"/>
            <w:vAlign w:val="center"/>
          </w:tcPr>
          <w:p w14:paraId="205FF70A" w14:textId="77777777" w:rsidR="001E5C1C" w:rsidRDefault="001E5C1C">
            <w:pPr>
              <w:keepNext/>
              <w:keepLines/>
              <w:jc w:val="center"/>
              <w:rPr>
                <w:rFonts w:cs="Calibri"/>
              </w:rPr>
            </w:pPr>
            <w:r>
              <w:rPr>
                <w:rFonts w:cs="Calibri"/>
              </w:rPr>
              <w:t>22.5</w:t>
            </w:r>
          </w:p>
        </w:tc>
      </w:tr>
      <w:tr w:rsidR="001E5C1C" w14:paraId="1C1C1135" w14:textId="77777777" w:rsidTr="00CA4DF0">
        <w:tc>
          <w:tcPr>
            <w:tcW w:w="2739" w:type="dxa"/>
            <w:vAlign w:val="center"/>
          </w:tcPr>
          <w:p w14:paraId="57AE0D9F" w14:textId="4C43CD1E" w:rsidR="001E5C1C" w:rsidRDefault="001E5C1C">
            <w:pPr>
              <w:keepNext/>
              <w:keepLines/>
              <w:jc w:val="center"/>
              <w:rPr>
                <w:rFonts w:cs="Calibri"/>
                <w:b/>
              </w:rPr>
            </w:pPr>
            <w:r>
              <w:rPr>
                <w:rFonts w:cs="Calibri"/>
                <w:b/>
              </w:rPr>
              <w:t>Antenna diameter (m)</w:t>
            </w:r>
          </w:p>
        </w:tc>
        <w:tc>
          <w:tcPr>
            <w:tcW w:w="1984" w:type="dxa"/>
            <w:vAlign w:val="center"/>
          </w:tcPr>
          <w:p w14:paraId="4B4D6494" w14:textId="68CA126C" w:rsidR="001E5C1C" w:rsidRDefault="001E5C1C">
            <w:pPr>
              <w:keepNext/>
              <w:keepLines/>
              <w:jc w:val="center"/>
              <w:rPr>
                <w:rFonts w:cs="Calibri"/>
              </w:rPr>
            </w:pPr>
            <w:r>
              <w:rPr>
                <w:rFonts w:cs="Calibri"/>
              </w:rPr>
              <w:t>35</w:t>
            </w:r>
          </w:p>
        </w:tc>
        <w:tc>
          <w:tcPr>
            <w:tcW w:w="1984" w:type="dxa"/>
            <w:vAlign w:val="center"/>
          </w:tcPr>
          <w:p w14:paraId="7318571B" w14:textId="29B2DCC1" w:rsidR="001E5C1C" w:rsidRDefault="001E5C1C">
            <w:pPr>
              <w:keepNext/>
              <w:keepLines/>
              <w:jc w:val="center"/>
              <w:rPr>
                <w:rFonts w:cs="Calibri"/>
              </w:rPr>
            </w:pPr>
            <w:r>
              <w:rPr>
                <w:rFonts w:cs="Calibri"/>
              </w:rPr>
              <w:t>35</w:t>
            </w:r>
          </w:p>
        </w:tc>
        <w:tc>
          <w:tcPr>
            <w:tcW w:w="1985" w:type="dxa"/>
            <w:vAlign w:val="center"/>
          </w:tcPr>
          <w:p w14:paraId="36BA1749" w14:textId="147D2589" w:rsidR="001E5C1C" w:rsidRDefault="001E5C1C">
            <w:pPr>
              <w:keepNext/>
              <w:keepLines/>
              <w:jc w:val="center"/>
              <w:rPr>
                <w:rFonts w:cs="Calibri"/>
              </w:rPr>
            </w:pPr>
            <w:r>
              <w:rPr>
                <w:rFonts w:cs="Calibri"/>
              </w:rPr>
              <w:t>35</w:t>
            </w:r>
          </w:p>
        </w:tc>
      </w:tr>
      <w:tr w:rsidR="001E5C1C" w14:paraId="1F74DFFF" w14:textId="77777777" w:rsidTr="00CA4DF0">
        <w:tc>
          <w:tcPr>
            <w:tcW w:w="2739" w:type="dxa"/>
            <w:vAlign w:val="center"/>
          </w:tcPr>
          <w:p w14:paraId="1A2BC694" w14:textId="77777777" w:rsidR="001E5C1C" w:rsidRDefault="001E5C1C">
            <w:pPr>
              <w:keepNext/>
              <w:keepLines/>
              <w:jc w:val="center"/>
              <w:rPr>
                <w:rFonts w:cs="Calibri"/>
                <w:b/>
              </w:rPr>
            </w:pPr>
            <w:r>
              <w:rPr>
                <w:rFonts w:cs="Calibri"/>
                <w:b/>
              </w:rPr>
              <w:t>Minimum elevation angle</w:t>
            </w:r>
          </w:p>
        </w:tc>
        <w:tc>
          <w:tcPr>
            <w:tcW w:w="1984" w:type="dxa"/>
            <w:vAlign w:val="center"/>
          </w:tcPr>
          <w:p w14:paraId="1C6DCE92" w14:textId="77777777" w:rsidR="001E5C1C" w:rsidRDefault="001E5C1C">
            <w:pPr>
              <w:keepNext/>
              <w:keepLines/>
              <w:jc w:val="center"/>
              <w:rPr>
                <w:rFonts w:cs="Calibri"/>
              </w:rPr>
            </w:pPr>
            <w:r>
              <w:rPr>
                <w:rFonts w:cs="Calibri"/>
              </w:rPr>
              <w:t>10°</w:t>
            </w:r>
          </w:p>
        </w:tc>
        <w:tc>
          <w:tcPr>
            <w:tcW w:w="1984" w:type="dxa"/>
            <w:vAlign w:val="center"/>
          </w:tcPr>
          <w:p w14:paraId="3B9A705C" w14:textId="77777777" w:rsidR="001E5C1C" w:rsidRDefault="001E5C1C">
            <w:pPr>
              <w:keepNext/>
              <w:keepLines/>
              <w:jc w:val="center"/>
              <w:rPr>
                <w:rFonts w:cs="Calibri"/>
              </w:rPr>
            </w:pPr>
            <w:r>
              <w:rPr>
                <w:rFonts w:cs="Calibri"/>
              </w:rPr>
              <w:t>5°</w:t>
            </w:r>
          </w:p>
        </w:tc>
        <w:tc>
          <w:tcPr>
            <w:tcW w:w="1985" w:type="dxa"/>
            <w:vAlign w:val="center"/>
          </w:tcPr>
          <w:p w14:paraId="48A5E5FC" w14:textId="77777777" w:rsidR="001E5C1C" w:rsidRDefault="001E5C1C">
            <w:pPr>
              <w:keepNext/>
              <w:keepLines/>
              <w:jc w:val="center"/>
              <w:rPr>
                <w:rFonts w:cs="Calibri"/>
              </w:rPr>
            </w:pPr>
            <w:r>
              <w:rPr>
                <w:rFonts w:cs="Calibri"/>
              </w:rPr>
              <w:t>10°</w:t>
            </w:r>
          </w:p>
        </w:tc>
      </w:tr>
      <w:tr w:rsidR="001E5C1C" w14:paraId="3F6CC3F4" w14:textId="77777777" w:rsidTr="00CA4DF0">
        <w:tc>
          <w:tcPr>
            <w:tcW w:w="2739" w:type="dxa"/>
            <w:vAlign w:val="center"/>
          </w:tcPr>
          <w:p w14:paraId="61C1FF3E" w14:textId="35EAF245" w:rsidR="001E5C1C" w:rsidRDefault="001E5C1C">
            <w:pPr>
              <w:keepNext/>
              <w:keepLines/>
              <w:jc w:val="center"/>
              <w:rPr>
                <w:rFonts w:cs="Calibri"/>
                <w:b/>
              </w:rPr>
            </w:pPr>
            <w:r>
              <w:rPr>
                <w:rFonts w:cs="Calibri"/>
                <w:b/>
              </w:rPr>
              <w:t>Gain (</w:t>
            </w:r>
            <w:proofErr w:type="spellStart"/>
            <w:r>
              <w:rPr>
                <w:rFonts w:cs="Calibri"/>
                <w:b/>
              </w:rPr>
              <w:t>dBi</w:t>
            </w:r>
            <w:proofErr w:type="spellEnd"/>
            <w:r>
              <w:rPr>
                <w:rFonts w:cs="Calibri"/>
                <w:b/>
              </w:rPr>
              <w:t>)</w:t>
            </w:r>
          </w:p>
        </w:tc>
        <w:tc>
          <w:tcPr>
            <w:tcW w:w="1984" w:type="dxa"/>
            <w:vAlign w:val="center"/>
          </w:tcPr>
          <w:p w14:paraId="6A69E3E8" w14:textId="074A5016" w:rsidR="001E5C1C" w:rsidRDefault="001E5C1C">
            <w:pPr>
              <w:keepNext/>
              <w:keepLines/>
              <w:jc w:val="center"/>
              <w:rPr>
                <w:rFonts w:cs="Calibri"/>
              </w:rPr>
            </w:pPr>
            <w:r>
              <w:rPr>
                <w:rFonts w:cs="Calibri"/>
              </w:rPr>
              <w:t>68.8</w:t>
            </w:r>
          </w:p>
        </w:tc>
        <w:tc>
          <w:tcPr>
            <w:tcW w:w="1984" w:type="dxa"/>
            <w:vAlign w:val="center"/>
          </w:tcPr>
          <w:p w14:paraId="7B593B2E" w14:textId="3B4F9F05" w:rsidR="001E5C1C" w:rsidRDefault="001E5C1C">
            <w:pPr>
              <w:keepNext/>
              <w:keepLines/>
              <w:jc w:val="center"/>
              <w:rPr>
                <w:rFonts w:cs="Calibri"/>
              </w:rPr>
            </w:pPr>
            <w:r>
              <w:rPr>
                <w:rFonts w:cs="Calibri"/>
              </w:rPr>
              <w:t>68.8</w:t>
            </w:r>
          </w:p>
        </w:tc>
        <w:tc>
          <w:tcPr>
            <w:tcW w:w="1985" w:type="dxa"/>
            <w:vAlign w:val="center"/>
          </w:tcPr>
          <w:p w14:paraId="243925D3" w14:textId="45264A69" w:rsidR="001E5C1C" w:rsidRDefault="001E5C1C">
            <w:pPr>
              <w:keepNext/>
              <w:keepLines/>
              <w:jc w:val="center"/>
              <w:rPr>
                <w:rFonts w:cs="Calibri"/>
              </w:rPr>
            </w:pPr>
            <w:r>
              <w:rPr>
                <w:rFonts w:cs="Calibri"/>
              </w:rPr>
              <w:t>77.3</w:t>
            </w:r>
          </w:p>
        </w:tc>
      </w:tr>
      <w:tr w:rsidR="001E5C1C" w14:paraId="6C0BBCD1" w14:textId="77777777" w:rsidTr="00CA4DF0">
        <w:tc>
          <w:tcPr>
            <w:tcW w:w="2739" w:type="dxa"/>
            <w:vAlign w:val="center"/>
          </w:tcPr>
          <w:p w14:paraId="0EECB22E" w14:textId="4E29DAF3" w:rsidR="001E5C1C" w:rsidRDefault="001E5C1C" w:rsidP="00727E4E">
            <w:pPr>
              <w:keepNext/>
              <w:keepLines/>
              <w:jc w:val="center"/>
              <w:rPr>
                <w:rFonts w:cs="Calibri"/>
                <w:b/>
              </w:rPr>
            </w:pPr>
            <w:r>
              <w:rPr>
                <w:rFonts w:cs="Calibri"/>
                <w:b/>
              </w:rPr>
              <w:t>Gain in the horizontal direction (</w:t>
            </w:r>
            <w:proofErr w:type="spellStart"/>
            <w:r>
              <w:rPr>
                <w:rFonts w:cs="Calibri"/>
                <w:b/>
              </w:rPr>
              <w:t>dBi</w:t>
            </w:r>
            <w:proofErr w:type="spellEnd"/>
            <w:r>
              <w:rPr>
                <w:rFonts w:cs="Calibri"/>
                <w:b/>
              </w:rPr>
              <w:t>)</w:t>
            </w:r>
          </w:p>
        </w:tc>
        <w:tc>
          <w:tcPr>
            <w:tcW w:w="1984" w:type="dxa"/>
            <w:vAlign w:val="center"/>
          </w:tcPr>
          <w:p w14:paraId="297C4DF4" w14:textId="0DBB7AB7" w:rsidR="001E5C1C" w:rsidRDefault="001E5C1C" w:rsidP="00727E4E">
            <w:pPr>
              <w:keepNext/>
              <w:keepLines/>
              <w:jc w:val="center"/>
              <w:rPr>
                <w:rFonts w:cs="Calibri"/>
              </w:rPr>
            </w:pPr>
            <w:r>
              <w:rPr>
                <w:rFonts w:cs="Calibri"/>
              </w:rPr>
              <w:t>4</w:t>
            </w:r>
          </w:p>
        </w:tc>
        <w:tc>
          <w:tcPr>
            <w:tcW w:w="1984" w:type="dxa"/>
            <w:vAlign w:val="center"/>
          </w:tcPr>
          <w:p w14:paraId="20C748CF" w14:textId="5E6FAF96" w:rsidR="001E5C1C" w:rsidRDefault="001E5C1C" w:rsidP="00727E4E">
            <w:pPr>
              <w:keepNext/>
              <w:keepLines/>
              <w:jc w:val="center"/>
              <w:rPr>
                <w:rFonts w:cs="Calibri"/>
              </w:rPr>
            </w:pPr>
            <w:r>
              <w:rPr>
                <w:rFonts w:cs="Calibri"/>
              </w:rPr>
              <w:t>11.5</w:t>
            </w:r>
          </w:p>
        </w:tc>
        <w:tc>
          <w:tcPr>
            <w:tcW w:w="1985" w:type="dxa"/>
            <w:vAlign w:val="center"/>
          </w:tcPr>
          <w:p w14:paraId="0CAD3660" w14:textId="1AEF5B6B" w:rsidR="001E5C1C" w:rsidRDefault="001E5C1C" w:rsidP="00727E4E">
            <w:pPr>
              <w:keepNext/>
              <w:keepLines/>
              <w:jc w:val="center"/>
              <w:rPr>
                <w:rFonts w:cs="Calibri"/>
              </w:rPr>
            </w:pPr>
            <w:r>
              <w:rPr>
                <w:rFonts w:cs="Calibri"/>
              </w:rPr>
              <w:t>4</w:t>
            </w:r>
          </w:p>
        </w:tc>
      </w:tr>
      <w:tr w:rsidR="00727E4E" w14:paraId="313FDAA3" w14:textId="77777777" w:rsidTr="00CA4DF0">
        <w:tc>
          <w:tcPr>
            <w:tcW w:w="2739" w:type="dxa"/>
            <w:vAlign w:val="center"/>
          </w:tcPr>
          <w:p w14:paraId="4AA6393D" w14:textId="77777777" w:rsidR="00727E4E" w:rsidRDefault="00727E4E" w:rsidP="00E5695B">
            <w:pPr>
              <w:keepNext/>
              <w:keepLines/>
              <w:spacing w:after="120"/>
              <w:jc w:val="center"/>
              <w:rPr>
                <w:rFonts w:cs="Calibri"/>
                <w:b/>
              </w:rPr>
            </w:pPr>
            <w:r>
              <w:rPr>
                <w:rFonts w:cs="Calibri"/>
                <w:b/>
              </w:rPr>
              <w:t>Antenna pattern</w:t>
            </w:r>
          </w:p>
          <w:p w14:paraId="65EEAB94" w14:textId="77777777" w:rsidR="00727E4E" w:rsidRDefault="00727E4E" w:rsidP="00E5695B">
            <w:pPr>
              <w:keepNext/>
              <w:keepLines/>
              <w:spacing w:after="120"/>
              <w:jc w:val="center"/>
              <w:rPr>
                <w:rFonts w:cs="Calibri"/>
                <w:b/>
              </w:rPr>
            </w:pPr>
            <w:r>
              <w:rPr>
                <w:rFonts w:cs="Calibri"/>
                <w:b/>
              </w:rPr>
              <w:t>-Vertical</w:t>
            </w:r>
          </w:p>
          <w:p w14:paraId="1039457A" w14:textId="77777777" w:rsidR="00727E4E" w:rsidRDefault="00727E4E" w:rsidP="00E5695B">
            <w:pPr>
              <w:keepNext/>
              <w:keepLines/>
              <w:jc w:val="center"/>
              <w:rPr>
                <w:rFonts w:cs="Calibri"/>
                <w:b/>
              </w:rPr>
            </w:pPr>
            <w:r>
              <w:rPr>
                <w:rFonts w:cs="Calibri"/>
                <w:b/>
              </w:rPr>
              <w:t>-Horizontal</w:t>
            </w:r>
          </w:p>
        </w:tc>
        <w:tc>
          <w:tcPr>
            <w:tcW w:w="5953" w:type="dxa"/>
            <w:gridSpan w:val="3"/>
            <w:vAlign w:val="center"/>
          </w:tcPr>
          <w:p w14:paraId="1A268B10" w14:textId="77777777" w:rsidR="00836B3C" w:rsidRDefault="00836B3C" w:rsidP="00E5695B">
            <w:pPr>
              <w:spacing w:after="120"/>
              <w:jc w:val="center"/>
              <w:rPr>
                <w:rFonts w:cs="Calibri"/>
              </w:rPr>
            </w:pPr>
          </w:p>
          <w:p w14:paraId="122BB688" w14:textId="2362A37C" w:rsidR="00727E4E" w:rsidRDefault="00727E4E" w:rsidP="00E5695B">
            <w:pPr>
              <w:spacing w:after="120"/>
              <w:jc w:val="center"/>
              <w:rPr>
                <w:rFonts w:cs="Calibri"/>
              </w:rPr>
            </w:pPr>
            <w:r>
              <w:rPr>
                <w:rFonts w:cs="Calibri"/>
              </w:rPr>
              <w:t>See Annex A for vertical pattern</w:t>
            </w:r>
            <w:r>
              <w:rPr>
                <w:rStyle w:val="FootnoteReference"/>
                <w:rFonts w:cs="Calibri"/>
              </w:rPr>
              <w:footnoteReference w:id="8"/>
            </w:r>
          </w:p>
          <w:p w14:paraId="3206282B" w14:textId="77777777" w:rsidR="00727E4E" w:rsidRDefault="00727E4E" w:rsidP="00E5695B">
            <w:pPr>
              <w:jc w:val="center"/>
            </w:pPr>
            <w:r>
              <w:t>Omnidirectional (H)</w:t>
            </w:r>
          </w:p>
        </w:tc>
      </w:tr>
      <w:tr w:rsidR="001E5C1C" w14:paraId="0B280896" w14:textId="77777777" w:rsidTr="00CA4DF0">
        <w:tc>
          <w:tcPr>
            <w:tcW w:w="2739" w:type="dxa"/>
            <w:vAlign w:val="center"/>
          </w:tcPr>
          <w:p w14:paraId="79B3632C" w14:textId="77777777" w:rsidR="001E5C1C" w:rsidRDefault="001E5C1C" w:rsidP="00727E4E">
            <w:pPr>
              <w:keepNext/>
              <w:keepLines/>
              <w:jc w:val="center"/>
              <w:rPr>
                <w:rFonts w:cs="Calibri"/>
                <w:b/>
              </w:rPr>
            </w:pPr>
            <w:r>
              <w:rPr>
                <w:rFonts w:cs="Calibri"/>
                <w:b/>
              </w:rPr>
              <w:t>Percentage of time (</w:t>
            </w:r>
            <w:r>
              <w:rPr>
                <w:b/>
              </w:rPr>
              <w:t>p(%))</w:t>
            </w:r>
          </w:p>
        </w:tc>
        <w:tc>
          <w:tcPr>
            <w:tcW w:w="1984" w:type="dxa"/>
            <w:vAlign w:val="center"/>
          </w:tcPr>
          <w:p w14:paraId="71F08585" w14:textId="77777777" w:rsidR="001E5C1C" w:rsidRDefault="001E5C1C" w:rsidP="00727E4E">
            <w:pPr>
              <w:keepNext/>
              <w:keepLines/>
              <w:jc w:val="center"/>
              <w:rPr>
                <w:rFonts w:cs="Calibri"/>
              </w:rPr>
            </w:pPr>
            <w:r>
              <w:rPr>
                <w:rFonts w:cs="Calibri"/>
              </w:rPr>
              <w:t>0.001</w:t>
            </w:r>
          </w:p>
        </w:tc>
        <w:tc>
          <w:tcPr>
            <w:tcW w:w="1984" w:type="dxa"/>
            <w:vAlign w:val="center"/>
          </w:tcPr>
          <w:p w14:paraId="333F26F1" w14:textId="1F0FC807" w:rsidR="001E5C1C" w:rsidRDefault="001E5C1C" w:rsidP="00727E4E">
            <w:pPr>
              <w:keepNext/>
              <w:keepLines/>
              <w:jc w:val="center"/>
              <w:rPr>
                <w:rFonts w:cs="Calibri"/>
              </w:rPr>
            </w:pPr>
            <w:r>
              <w:rPr>
                <w:rFonts w:cs="Calibri"/>
              </w:rPr>
              <w:t>0.05</w:t>
            </w:r>
          </w:p>
        </w:tc>
        <w:tc>
          <w:tcPr>
            <w:tcW w:w="1985" w:type="dxa"/>
            <w:vAlign w:val="center"/>
          </w:tcPr>
          <w:p w14:paraId="7768D108" w14:textId="77777777" w:rsidR="001E5C1C" w:rsidRDefault="001E5C1C" w:rsidP="00727E4E">
            <w:pPr>
              <w:keepNext/>
              <w:keepLines/>
              <w:jc w:val="center"/>
              <w:rPr>
                <w:rFonts w:cs="Calibri"/>
              </w:rPr>
            </w:pPr>
            <w:r>
              <w:rPr>
                <w:rFonts w:cs="Calibri"/>
              </w:rPr>
              <w:t>0.001</w:t>
            </w:r>
          </w:p>
        </w:tc>
      </w:tr>
      <w:tr w:rsidR="001E5C1C" w14:paraId="1A99E76E" w14:textId="77777777" w:rsidTr="00CA4DF0">
        <w:tc>
          <w:tcPr>
            <w:tcW w:w="2739" w:type="dxa"/>
            <w:vAlign w:val="center"/>
          </w:tcPr>
          <w:p w14:paraId="19DE0C88" w14:textId="77777777" w:rsidR="001E5C1C" w:rsidRDefault="001E5C1C" w:rsidP="00727E4E">
            <w:pPr>
              <w:keepNext/>
              <w:keepLines/>
              <w:jc w:val="center"/>
              <w:rPr>
                <w:rFonts w:cs="Calibri"/>
                <w:b/>
              </w:rPr>
            </w:pPr>
            <w:r>
              <w:rPr>
                <w:rFonts w:cs="Calibri"/>
                <w:b/>
              </w:rPr>
              <w:t>Delta N</w:t>
            </w:r>
          </w:p>
        </w:tc>
        <w:tc>
          <w:tcPr>
            <w:tcW w:w="1984" w:type="dxa"/>
            <w:vAlign w:val="center"/>
          </w:tcPr>
          <w:p w14:paraId="76936D0F" w14:textId="77777777" w:rsidR="001E5C1C" w:rsidRDefault="001E5C1C" w:rsidP="00727E4E">
            <w:pPr>
              <w:keepNext/>
              <w:keepLines/>
              <w:jc w:val="center"/>
              <w:rPr>
                <w:rFonts w:cs="Calibri"/>
              </w:rPr>
            </w:pPr>
            <w:r>
              <w:rPr>
                <w:rFonts w:cs="Calibri"/>
              </w:rPr>
              <w:t>45</w:t>
            </w:r>
          </w:p>
        </w:tc>
        <w:tc>
          <w:tcPr>
            <w:tcW w:w="1984" w:type="dxa"/>
            <w:vAlign w:val="center"/>
          </w:tcPr>
          <w:p w14:paraId="10CBC65F" w14:textId="77777777" w:rsidR="001E5C1C" w:rsidRDefault="001E5C1C" w:rsidP="00727E4E">
            <w:pPr>
              <w:keepNext/>
              <w:keepLines/>
              <w:jc w:val="center"/>
              <w:rPr>
                <w:rFonts w:cs="Calibri"/>
              </w:rPr>
            </w:pPr>
            <w:r>
              <w:rPr>
                <w:rFonts w:cs="Calibri"/>
              </w:rPr>
              <w:t>45</w:t>
            </w:r>
          </w:p>
        </w:tc>
        <w:tc>
          <w:tcPr>
            <w:tcW w:w="1985" w:type="dxa"/>
            <w:vAlign w:val="center"/>
          </w:tcPr>
          <w:p w14:paraId="5153E58B" w14:textId="77777777" w:rsidR="001E5C1C" w:rsidRDefault="001E5C1C" w:rsidP="00727E4E">
            <w:pPr>
              <w:keepNext/>
              <w:keepLines/>
              <w:jc w:val="center"/>
              <w:rPr>
                <w:rFonts w:cs="Calibri"/>
              </w:rPr>
            </w:pPr>
            <w:r>
              <w:rPr>
                <w:rFonts w:cs="Calibri"/>
              </w:rPr>
              <w:t>45</w:t>
            </w:r>
          </w:p>
        </w:tc>
      </w:tr>
      <w:tr w:rsidR="001E5C1C" w14:paraId="46BEC853" w14:textId="77777777" w:rsidTr="00CA4DF0">
        <w:tc>
          <w:tcPr>
            <w:tcW w:w="2739" w:type="dxa"/>
            <w:vAlign w:val="center"/>
          </w:tcPr>
          <w:p w14:paraId="1D5029F3" w14:textId="77777777" w:rsidR="001E5C1C" w:rsidRDefault="001E5C1C" w:rsidP="00727E4E">
            <w:pPr>
              <w:keepNext/>
              <w:keepLines/>
              <w:jc w:val="center"/>
              <w:rPr>
                <w:rFonts w:cs="Calibri"/>
                <w:b/>
              </w:rPr>
            </w:pPr>
            <w:r>
              <w:rPr>
                <w:rFonts w:cs="Calibri"/>
                <w:b/>
              </w:rPr>
              <w:t>Sea Level Surface Refractivity (N</w:t>
            </w:r>
            <w:r>
              <w:rPr>
                <w:rFonts w:cs="Calibri"/>
                <w:b/>
                <w:vertAlign w:val="subscript"/>
              </w:rPr>
              <w:t>o</w:t>
            </w:r>
            <w:r>
              <w:rPr>
                <w:rFonts w:cs="Calibri"/>
                <w:b/>
              </w:rPr>
              <w:t>)</w:t>
            </w:r>
          </w:p>
        </w:tc>
        <w:tc>
          <w:tcPr>
            <w:tcW w:w="1984" w:type="dxa"/>
            <w:vAlign w:val="center"/>
          </w:tcPr>
          <w:p w14:paraId="27661197" w14:textId="77777777" w:rsidR="001E5C1C" w:rsidRDefault="001E5C1C" w:rsidP="00727E4E">
            <w:pPr>
              <w:keepNext/>
              <w:keepLines/>
              <w:jc w:val="center"/>
              <w:rPr>
                <w:rFonts w:cs="Calibri"/>
              </w:rPr>
            </w:pPr>
            <w:r>
              <w:rPr>
                <w:rFonts w:cs="Calibri"/>
              </w:rPr>
              <w:t>327</w:t>
            </w:r>
          </w:p>
        </w:tc>
        <w:tc>
          <w:tcPr>
            <w:tcW w:w="1984" w:type="dxa"/>
            <w:vAlign w:val="center"/>
          </w:tcPr>
          <w:p w14:paraId="11BD9E2F" w14:textId="77777777" w:rsidR="001E5C1C" w:rsidRDefault="001E5C1C" w:rsidP="00727E4E">
            <w:pPr>
              <w:keepNext/>
              <w:keepLines/>
              <w:jc w:val="center"/>
              <w:rPr>
                <w:rFonts w:cs="Calibri"/>
              </w:rPr>
            </w:pPr>
            <w:r>
              <w:rPr>
                <w:rFonts w:cs="Calibri"/>
              </w:rPr>
              <w:t>327</w:t>
            </w:r>
          </w:p>
        </w:tc>
        <w:tc>
          <w:tcPr>
            <w:tcW w:w="1985" w:type="dxa"/>
            <w:vAlign w:val="center"/>
          </w:tcPr>
          <w:p w14:paraId="2B6B1985" w14:textId="77777777" w:rsidR="001E5C1C" w:rsidRDefault="001E5C1C" w:rsidP="00727E4E">
            <w:pPr>
              <w:keepNext/>
              <w:keepLines/>
              <w:jc w:val="center"/>
              <w:rPr>
                <w:rFonts w:cs="Calibri"/>
              </w:rPr>
            </w:pPr>
            <w:r>
              <w:rPr>
                <w:rFonts w:cs="Calibri"/>
              </w:rPr>
              <w:t>327</w:t>
            </w:r>
          </w:p>
        </w:tc>
      </w:tr>
      <w:tr w:rsidR="00727E4E" w14:paraId="67C7B503" w14:textId="77777777" w:rsidTr="00CA4DF0">
        <w:tc>
          <w:tcPr>
            <w:tcW w:w="2739" w:type="dxa"/>
            <w:vAlign w:val="center"/>
          </w:tcPr>
          <w:p w14:paraId="2017FD28" w14:textId="77777777" w:rsidR="00727E4E" w:rsidRDefault="00727E4E" w:rsidP="00727E4E">
            <w:pPr>
              <w:keepNext/>
              <w:keepLines/>
              <w:jc w:val="center"/>
              <w:rPr>
                <w:rFonts w:cs="Calibri"/>
                <w:b/>
              </w:rPr>
            </w:pPr>
            <w:r>
              <w:rPr>
                <w:rFonts w:cs="Calibri"/>
                <w:b/>
              </w:rPr>
              <w:t>Digital elevation model (DEM)</w:t>
            </w:r>
          </w:p>
        </w:tc>
        <w:tc>
          <w:tcPr>
            <w:tcW w:w="5953" w:type="dxa"/>
            <w:gridSpan w:val="3"/>
            <w:vAlign w:val="center"/>
          </w:tcPr>
          <w:p w14:paraId="5357BBAD" w14:textId="77777777" w:rsidR="00727E4E" w:rsidRDefault="00727E4E" w:rsidP="00727E4E">
            <w:pPr>
              <w:keepNext/>
              <w:keepLines/>
              <w:jc w:val="center"/>
              <w:rPr>
                <w:rFonts w:cs="Calibri"/>
              </w:rPr>
            </w:pPr>
            <w:r>
              <w:rPr>
                <w:rFonts w:cs="Calibri"/>
              </w:rPr>
              <w:t>3 arcsecond DEM or better</w:t>
            </w:r>
          </w:p>
        </w:tc>
      </w:tr>
    </w:tbl>
    <w:p w14:paraId="737813C5" w14:textId="77777777" w:rsidR="00BB5BB6" w:rsidRDefault="00BB5BB6">
      <w:pPr>
        <w:rPr>
          <w:rFonts w:cs="Calibri"/>
        </w:rPr>
      </w:pPr>
    </w:p>
    <w:p w14:paraId="609B6B0B" w14:textId="77777777" w:rsidR="00BB5BB6" w:rsidRDefault="00B6795E">
      <w:pPr>
        <w:pStyle w:val="Caption"/>
        <w:keepNext/>
        <w:keepLines/>
      </w:pPr>
      <w:bookmarkStart w:id="24" w:name="_Ref381968155"/>
      <w:r>
        <w:lastRenderedPageBreak/>
        <w:t>Transmitter characteristics for New Norcia earth station</w:t>
      </w:r>
      <w:bookmarkEnd w:id="24"/>
    </w:p>
    <w:tbl>
      <w:tblPr>
        <w:tblStyle w:val="TableGrid"/>
        <w:tblW w:w="8692" w:type="dxa"/>
        <w:tblInd w:w="517" w:type="dxa"/>
        <w:tblLayout w:type="fixed"/>
        <w:tblLook w:val="04A0" w:firstRow="1" w:lastRow="0" w:firstColumn="1" w:lastColumn="0" w:noHBand="0" w:noVBand="1"/>
      </w:tblPr>
      <w:tblGrid>
        <w:gridCol w:w="2739"/>
        <w:gridCol w:w="1488"/>
        <w:gridCol w:w="1488"/>
        <w:gridCol w:w="1488"/>
        <w:gridCol w:w="1489"/>
      </w:tblGrid>
      <w:tr w:rsidR="00BB5BB6" w14:paraId="3CB40EC9" w14:textId="77777777" w:rsidTr="00B1297D">
        <w:tc>
          <w:tcPr>
            <w:tcW w:w="2739" w:type="dxa"/>
            <w:vMerge w:val="restart"/>
            <w:vAlign w:val="center"/>
          </w:tcPr>
          <w:p w14:paraId="45667636" w14:textId="77777777" w:rsidR="00BB5BB6" w:rsidRDefault="00B6795E">
            <w:pPr>
              <w:keepNext/>
              <w:keepLines/>
              <w:jc w:val="center"/>
              <w:rPr>
                <w:rFonts w:cs="Calibri"/>
                <w:b/>
              </w:rPr>
            </w:pPr>
            <w:r>
              <w:rPr>
                <w:rFonts w:cs="Calibri"/>
                <w:b/>
              </w:rPr>
              <w:t>System parameter</w:t>
            </w:r>
          </w:p>
        </w:tc>
        <w:tc>
          <w:tcPr>
            <w:tcW w:w="5953" w:type="dxa"/>
            <w:gridSpan w:val="4"/>
          </w:tcPr>
          <w:p w14:paraId="06D1E111" w14:textId="77777777" w:rsidR="00BB5BB6" w:rsidRDefault="00B6795E">
            <w:pPr>
              <w:keepNext/>
              <w:keepLines/>
              <w:jc w:val="center"/>
              <w:rPr>
                <w:rFonts w:cs="Calibri"/>
                <w:b/>
              </w:rPr>
            </w:pPr>
            <w:r>
              <w:rPr>
                <w:rFonts w:cs="Calibri"/>
                <w:b/>
              </w:rPr>
              <w:t>Frequency of Operation (GHz)</w:t>
            </w:r>
          </w:p>
        </w:tc>
      </w:tr>
      <w:tr w:rsidR="00BB5BB6" w14:paraId="070F09F0" w14:textId="77777777" w:rsidTr="00EC7E12">
        <w:tc>
          <w:tcPr>
            <w:tcW w:w="2739" w:type="dxa"/>
            <w:vMerge/>
            <w:vAlign w:val="center"/>
          </w:tcPr>
          <w:p w14:paraId="62A8050B" w14:textId="77777777" w:rsidR="00BB5BB6" w:rsidRDefault="00BB5BB6">
            <w:pPr>
              <w:keepNext/>
              <w:keepLines/>
              <w:jc w:val="center"/>
              <w:rPr>
                <w:rFonts w:cs="Calibri"/>
                <w:b/>
              </w:rPr>
            </w:pPr>
          </w:p>
        </w:tc>
        <w:tc>
          <w:tcPr>
            <w:tcW w:w="1488" w:type="dxa"/>
          </w:tcPr>
          <w:p w14:paraId="62D65089" w14:textId="77777777" w:rsidR="00BB5BB6" w:rsidRDefault="00B6795E">
            <w:pPr>
              <w:keepNext/>
              <w:keepLines/>
              <w:jc w:val="center"/>
              <w:rPr>
                <w:rFonts w:cs="Calibri"/>
                <w:b/>
              </w:rPr>
            </w:pPr>
            <w:r>
              <w:rPr>
                <w:rFonts w:cs="Calibri"/>
                <w:b/>
              </w:rPr>
              <w:t>7.145-7.190</w:t>
            </w:r>
          </w:p>
        </w:tc>
        <w:tc>
          <w:tcPr>
            <w:tcW w:w="1488" w:type="dxa"/>
            <w:vAlign w:val="center"/>
          </w:tcPr>
          <w:p w14:paraId="52DC73EE" w14:textId="77777777" w:rsidR="00BB5BB6" w:rsidRDefault="00B6795E">
            <w:pPr>
              <w:keepNext/>
              <w:keepLines/>
              <w:jc w:val="center"/>
              <w:rPr>
                <w:rFonts w:cs="Calibri"/>
                <w:b/>
              </w:rPr>
            </w:pPr>
            <w:r>
              <w:rPr>
                <w:rFonts w:cs="Calibri"/>
                <w:b/>
              </w:rPr>
              <w:t>7.190-7.235</w:t>
            </w:r>
          </w:p>
        </w:tc>
        <w:tc>
          <w:tcPr>
            <w:tcW w:w="1488" w:type="dxa"/>
            <w:shd w:val="clear" w:color="auto" w:fill="auto"/>
          </w:tcPr>
          <w:p w14:paraId="6E585B55" w14:textId="5BBED4F3" w:rsidR="00BB5BB6" w:rsidRDefault="00884A56">
            <w:pPr>
              <w:keepNext/>
              <w:keepLines/>
              <w:jc w:val="center"/>
              <w:rPr>
                <w:rFonts w:cs="Calibri"/>
                <w:b/>
              </w:rPr>
            </w:pPr>
            <w:r w:rsidRPr="00142B5C">
              <w:rPr>
                <w:rFonts w:cs="Calibri"/>
                <w:b/>
              </w:rPr>
              <w:t>22.55-23.15</w:t>
            </w:r>
          </w:p>
        </w:tc>
        <w:tc>
          <w:tcPr>
            <w:tcW w:w="1489" w:type="dxa"/>
            <w:vAlign w:val="center"/>
          </w:tcPr>
          <w:p w14:paraId="4EB4BEF8" w14:textId="77777777" w:rsidR="00BB5BB6" w:rsidRDefault="00B6795E">
            <w:pPr>
              <w:keepNext/>
              <w:keepLines/>
              <w:jc w:val="center"/>
              <w:rPr>
                <w:rFonts w:cs="Calibri"/>
                <w:b/>
              </w:rPr>
            </w:pPr>
            <w:r>
              <w:rPr>
                <w:rFonts w:cs="Calibri"/>
                <w:b/>
              </w:rPr>
              <w:t>34.2-34.7</w:t>
            </w:r>
          </w:p>
        </w:tc>
      </w:tr>
      <w:tr w:rsidR="00BB5BB6" w14:paraId="31883096" w14:textId="77777777" w:rsidTr="00EC7E12">
        <w:tc>
          <w:tcPr>
            <w:tcW w:w="2739" w:type="dxa"/>
            <w:vAlign w:val="center"/>
          </w:tcPr>
          <w:p w14:paraId="66FCE77E" w14:textId="77777777" w:rsidR="00BB5BB6" w:rsidRDefault="00B6795E">
            <w:pPr>
              <w:keepNext/>
              <w:keepLines/>
              <w:jc w:val="center"/>
              <w:rPr>
                <w:rFonts w:cs="Calibri"/>
                <w:b/>
              </w:rPr>
            </w:pPr>
            <w:r>
              <w:rPr>
                <w:rFonts w:cs="Calibri"/>
                <w:b/>
              </w:rPr>
              <w:t>Tx Power (</w:t>
            </w:r>
            <w:proofErr w:type="spellStart"/>
            <w:r>
              <w:rPr>
                <w:rFonts w:cs="Calibri"/>
                <w:b/>
              </w:rPr>
              <w:t>dBW</w:t>
            </w:r>
            <w:proofErr w:type="spellEnd"/>
            <w:r>
              <w:rPr>
                <w:rFonts w:cs="Calibri"/>
                <w:b/>
              </w:rPr>
              <w:t>)</w:t>
            </w:r>
          </w:p>
        </w:tc>
        <w:tc>
          <w:tcPr>
            <w:tcW w:w="1488" w:type="dxa"/>
            <w:vAlign w:val="center"/>
          </w:tcPr>
          <w:p w14:paraId="0F49CC88" w14:textId="52D27D55" w:rsidR="00BB5BB6" w:rsidRDefault="00345C01">
            <w:pPr>
              <w:keepNext/>
              <w:keepLines/>
              <w:jc w:val="center"/>
              <w:rPr>
                <w:rFonts w:cs="Calibri"/>
              </w:rPr>
            </w:pPr>
            <w:r>
              <w:rPr>
                <w:rFonts w:cs="Calibri"/>
              </w:rPr>
              <w:t>49</w:t>
            </w:r>
          </w:p>
        </w:tc>
        <w:tc>
          <w:tcPr>
            <w:tcW w:w="1488" w:type="dxa"/>
            <w:vAlign w:val="center"/>
          </w:tcPr>
          <w:p w14:paraId="1D382545" w14:textId="77777777" w:rsidR="00BB5BB6" w:rsidRDefault="00B6795E">
            <w:pPr>
              <w:keepNext/>
              <w:keepLines/>
              <w:jc w:val="center"/>
              <w:rPr>
                <w:rFonts w:cs="Calibri"/>
              </w:rPr>
            </w:pPr>
            <w:r>
              <w:rPr>
                <w:rFonts w:cs="Calibri"/>
              </w:rPr>
              <w:t>43</w:t>
            </w:r>
          </w:p>
        </w:tc>
        <w:tc>
          <w:tcPr>
            <w:tcW w:w="1488" w:type="dxa"/>
            <w:shd w:val="clear" w:color="auto" w:fill="auto"/>
            <w:vAlign w:val="center"/>
          </w:tcPr>
          <w:p w14:paraId="0DFA93D3" w14:textId="0A186B46" w:rsidR="00BB5BB6" w:rsidRDefault="00884A56">
            <w:pPr>
              <w:keepNext/>
              <w:keepLines/>
              <w:jc w:val="center"/>
              <w:rPr>
                <w:rFonts w:cs="Calibri"/>
              </w:rPr>
            </w:pPr>
            <w:r>
              <w:rPr>
                <w:rFonts w:cs="Calibri"/>
              </w:rPr>
              <w:t>30</w:t>
            </w:r>
          </w:p>
        </w:tc>
        <w:tc>
          <w:tcPr>
            <w:tcW w:w="1489" w:type="dxa"/>
            <w:vAlign w:val="center"/>
          </w:tcPr>
          <w:p w14:paraId="6105AB44" w14:textId="77777777" w:rsidR="00BB5BB6" w:rsidRDefault="00B6795E">
            <w:pPr>
              <w:keepNext/>
              <w:keepLines/>
              <w:jc w:val="center"/>
              <w:rPr>
                <w:rFonts w:cs="Calibri"/>
              </w:rPr>
            </w:pPr>
            <w:r>
              <w:rPr>
                <w:rFonts w:cs="Calibri"/>
              </w:rPr>
              <w:t>25</w:t>
            </w:r>
          </w:p>
        </w:tc>
      </w:tr>
      <w:tr w:rsidR="00BB5BB6" w14:paraId="55FFC00C" w14:textId="77777777" w:rsidTr="00EC7E12">
        <w:tc>
          <w:tcPr>
            <w:tcW w:w="2739" w:type="dxa"/>
            <w:vAlign w:val="center"/>
          </w:tcPr>
          <w:p w14:paraId="50BCBF03" w14:textId="161E87E4" w:rsidR="00BB5BB6" w:rsidRDefault="00B6795E">
            <w:pPr>
              <w:keepNext/>
              <w:keepLines/>
              <w:jc w:val="center"/>
              <w:rPr>
                <w:rFonts w:cs="Calibri"/>
                <w:b/>
              </w:rPr>
            </w:pPr>
            <w:r>
              <w:rPr>
                <w:rFonts w:cs="Calibri"/>
                <w:b/>
              </w:rPr>
              <w:t>Tx Spectral power density (</w:t>
            </w:r>
            <w:proofErr w:type="spellStart"/>
            <w:r>
              <w:rPr>
                <w:rFonts w:cs="Calibri"/>
                <w:b/>
              </w:rPr>
              <w:t>dBW</w:t>
            </w:r>
            <w:proofErr w:type="spellEnd"/>
            <w:r>
              <w:rPr>
                <w:rFonts w:cs="Calibri"/>
                <w:b/>
              </w:rPr>
              <w:t>/Hz)</w:t>
            </w:r>
          </w:p>
        </w:tc>
        <w:tc>
          <w:tcPr>
            <w:tcW w:w="1488" w:type="dxa"/>
            <w:vAlign w:val="center"/>
          </w:tcPr>
          <w:p w14:paraId="73F8ABBB" w14:textId="701F0B54" w:rsidR="00BB5BB6" w:rsidRDefault="00345C01" w:rsidP="008317C9">
            <w:pPr>
              <w:keepNext/>
              <w:keepLines/>
              <w:spacing w:after="0"/>
              <w:jc w:val="center"/>
              <w:rPr>
                <w:rFonts w:cs="Calibri"/>
              </w:rPr>
            </w:pPr>
            <w:r>
              <w:rPr>
                <w:rFonts w:cs="Calibri"/>
              </w:rPr>
              <w:t>13</w:t>
            </w:r>
          </w:p>
          <w:p w14:paraId="25E11661" w14:textId="77777777" w:rsidR="00BB5BB6" w:rsidRDefault="00B6795E">
            <w:pPr>
              <w:keepNext/>
              <w:keepLines/>
              <w:jc w:val="center"/>
              <w:rPr>
                <w:rFonts w:cs="Calibri"/>
              </w:rPr>
            </w:pPr>
            <w:r>
              <w:rPr>
                <w:rFonts w:cs="Calibri"/>
              </w:rPr>
              <w:t>(averaged over 4 kHz)</w:t>
            </w:r>
          </w:p>
        </w:tc>
        <w:tc>
          <w:tcPr>
            <w:tcW w:w="1488" w:type="dxa"/>
            <w:vAlign w:val="center"/>
          </w:tcPr>
          <w:p w14:paraId="47243B03" w14:textId="77777777" w:rsidR="00BB5BB6" w:rsidRDefault="00B6795E" w:rsidP="008317C9">
            <w:pPr>
              <w:keepNext/>
              <w:keepLines/>
              <w:spacing w:after="0"/>
              <w:jc w:val="center"/>
              <w:rPr>
                <w:rFonts w:cs="Calibri"/>
              </w:rPr>
            </w:pPr>
            <w:r>
              <w:rPr>
                <w:rFonts w:cs="Calibri"/>
              </w:rPr>
              <w:t>7</w:t>
            </w:r>
          </w:p>
          <w:p w14:paraId="53F8CFA2" w14:textId="77777777" w:rsidR="00BB5BB6" w:rsidRDefault="00B6795E">
            <w:pPr>
              <w:keepNext/>
              <w:keepLines/>
              <w:jc w:val="center"/>
              <w:rPr>
                <w:rFonts w:cs="Calibri"/>
              </w:rPr>
            </w:pPr>
            <w:r>
              <w:rPr>
                <w:rFonts w:cs="Calibri"/>
              </w:rPr>
              <w:t>(averaged over 4 kHz)</w:t>
            </w:r>
          </w:p>
        </w:tc>
        <w:tc>
          <w:tcPr>
            <w:tcW w:w="1488" w:type="dxa"/>
            <w:shd w:val="clear" w:color="auto" w:fill="auto"/>
            <w:vAlign w:val="center"/>
          </w:tcPr>
          <w:p w14:paraId="0B1AAC7E" w14:textId="77777777" w:rsidR="00884A56" w:rsidRDefault="00884A56" w:rsidP="00884A56">
            <w:pPr>
              <w:keepNext/>
              <w:keepLines/>
              <w:spacing w:after="0"/>
              <w:jc w:val="center"/>
              <w:rPr>
                <w:rFonts w:cs="Calibri"/>
              </w:rPr>
            </w:pPr>
            <w:r>
              <w:rPr>
                <w:rFonts w:cs="Calibri"/>
              </w:rPr>
              <w:t>-30</w:t>
            </w:r>
          </w:p>
          <w:p w14:paraId="0B426920" w14:textId="195823D6" w:rsidR="00727E4E" w:rsidRDefault="00884A56" w:rsidP="00884A56">
            <w:pPr>
              <w:keepNext/>
              <w:keepLines/>
              <w:jc w:val="center"/>
              <w:rPr>
                <w:rFonts w:cs="Calibri"/>
              </w:rPr>
            </w:pPr>
            <w:r>
              <w:rPr>
                <w:rFonts w:cs="Calibri"/>
              </w:rPr>
              <w:t>(averaged over 1 MHz)</w:t>
            </w:r>
          </w:p>
        </w:tc>
        <w:tc>
          <w:tcPr>
            <w:tcW w:w="1489" w:type="dxa"/>
            <w:vAlign w:val="center"/>
          </w:tcPr>
          <w:p w14:paraId="0DC799FD" w14:textId="77777777" w:rsidR="00BB5BB6" w:rsidRDefault="00B6795E" w:rsidP="008317C9">
            <w:pPr>
              <w:keepNext/>
              <w:keepLines/>
              <w:spacing w:after="0"/>
              <w:jc w:val="center"/>
              <w:rPr>
                <w:rFonts w:cs="Calibri"/>
              </w:rPr>
            </w:pPr>
            <w:r>
              <w:rPr>
                <w:rFonts w:cs="Calibri"/>
              </w:rPr>
              <w:t>-35</w:t>
            </w:r>
          </w:p>
          <w:p w14:paraId="3D6B3C94" w14:textId="77777777" w:rsidR="00BB5BB6" w:rsidRDefault="00B6795E">
            <w:pPr>
              <w:keepNext/>
              <w:keepLines/>
              <w:jc w:val="center"/>
              <w:rPr>
                <w:rFonts w:cs="Calibri"/>
              </w:rPr>
            </w:pPr>
            <w:r>
              <w:rPr>
                <w:rFonts w:cs="Calibri"/>
              </w:rPr>
              <w:t>(averaged over 1 MHz)</w:t>
            </w:r>
          </w:p>
        </w:tc>
      </w:tr>
      <w:tr w:rsidR="00BB5BB6" w14:paraId="3170B0B5" w14:textId="77777777" w:rsidTr="00B1297D">
        <w:tc>
          <w:tcPr>
            <w:tcW w:w="2739" w:type="dxa"/>
            <w:vAlign w:val="center"/>
          </w:tcPr>
          <w:p w14:paraId="4F7774BC" w14:textId="77777777" w:rsidR="00BB5BB6" w:rsidRDefault="00B6795E">
            <w:pPr>
              <w:keepNext/>
              <w:keepLines/>
              <w:jc w:val="center"/>
              <w:rPr>
                <w:rFonts w:cs="Calibri"/>
                <w:b/>
              </w:rPr>
            </w:pPr>
            <w:r>
              <w:rPr>
                <w:rFonts w:cs="Calibri"/>
                <w:b/>
              </w:rPr>
              <w:t>Antenna coordinates (GDA94)</w:t>
            </w:r>
          </w:p>
        </w:tc>
        <w:tc>
          <w:tcPr>
            <w:tcW w:w="5953" w:type="dxa"/>
            <w:gridSpan w:val="4"/>
            <w:vAlign w:val="center"/>
          </w:tcPr>
          <w:p w14:paraId="34C62B1C" w14:textId="68D84F1D" w:rsidR="00BB5BB6" w:rsidRDefault="00B6795E">
            <w:pPr>
              <w:keepNext/>
              <w:keepLines/>
              <w:jc w:val="center"/>
              <w:rPr>
                <w:rFonts w:cs="Calibri"/>
              </w:rPr>
            </w:pPr>
            <w:r>
              <w:rPr>
                <w:rFonts w:cs="Calibri"/>
                <w:szCs w:val="20"/>
              </w:rPr>
              <w:t xml:space="preserve">-31.048214°, 116.191444° </w:t>
            </w:r>
          </w:p>
        </w:tc>
      </w:tr>
      <w:tr w:rsidR="00BB5BB6" w14:paraId="517E376D" w14:textId="77777777" w:rsidTr="00EC7E12">
        <w:tc>
          <w:tcPr>
            <w:tcW w:w="2739" w:type="dxa"/>
            <w:vAlign w:val="center"/>
          </w:tcPr>
          <w:p w14:paraId="4B37D9EF" w14:textId="108C6649" w:rsidR="00BB5BB6" w:rsidRDefault="00B6795E">
            <w:pPr>
              <w:keepNext/>
              <w:keepLines/>
              <w:jc w:val="center"/>
              <w:rPr>
                <w:rFonts w:cs="Calibri"/>
                <w:b/>
              </w:rPr>
            </w:pPr>
            <w:r>
              <w:rPr>
                <w:rFonts w:cs="Calibri"/>
                <w:b/>
              </w:rPr>
              <w:t>Antenna height</w:t>
            </w:r>
            <w:r w:rsidR="00FD69C9">
              <w:rPr>
                <w:rFonts w:cs="Calibri"/>
                <w:b/>
              </w:rPr>
              <w:t xml:space="preserve"> (m)</w:t>
            </w:r>
          </w:p>
        </w:tc>
        <w:tc>
          <w:tcPr>
            <w:tcW w:w="1488" w:type="dxa"/>
            <w:vAlign w:val="center"/>
          </w:tcPr>
          <w:p w14:paraId="38B078EC" w14:textId="77777777" w:rsidR="00BB5BB6" w:rsidRDefault="00B6795E">
            <w:pPr>
              <w:keepNext/>
              <w:keepLines/>
              <w:jc w:val="center"/>
              <w:rPr>
                <w:rFonts w:cs="Calibri"/>
              </w:rPr>
            </w:pPr>
            <w:r>
              <w:rPr>
                <w:rFonts w:cs="Calibri"/>
              </w:rPr>
              <w:t>22.5</w:t>
            </w:r>
          </w:p>
        </w:tc>
        <w:tc>
          <w:tcPr>
            <w:tcW w:w="1488" w:type="dxa"/>
            <w:vAlign w:val="center"/>
          </w:tcPr>
          <w:p w14:paraId="651BBA11" w14:textId="77777777" w:rsidR="00BB5BB6" w:rsidRDefault="00B6795E">
            <w:pPr>
              <w:keepNext/>
              <w:keepLines/>
              <w:jc w:val="center"/>
              <w:rPr>
                <w:rFonts w:cs="Calibri"/>
              </w:rPr>
            </w:pPr>
            <w:r>
              <w:rPr>
                <w:rFonts w:cs="Calibri"/>
              </w:rPr>
              <w:t>22.5</w:t>
            </w:r>
          </w:p>
        </w:tc>
        <w:tc>
          <w:tcPr>
            <w:tcW w:w="1488" w:type="dxa"/>
            <w:shd w:val="clear" w:color="auto" w:fill="auto"/>
            <w:vAlign w:val="center"/>
          </w:tcPr>
          <w:p w14:paraId="73BE1130" w14:textId="66A8A209" w:rsidR="00BB5BB6" w:rsidRPr="00727E4E" w:rsidRDefault="00884A56">
            <w:pPr>
              <w:keepNext/>
              <w:keepLines/>
              <w:jc w:val="center"/>
              <w:rPr>
                <w:rFonts w:cs="Calibri"/>
              </w:rPr>
            </w:pPr>
            <w:r w:rsidRPr="00727E4E">
              <w:rPr>
                <w:rFonts w:cs="Calibri"/>
              </w:rPr>
              <w:t>22.5</w:t>
            </w:r>
          </w:p>
        </w:tc>
        <w:tc>
          <w:tcPr>
            <w:tcW w:w="1489" w:type="dxa"/>
            <w:vAlign w:val="center"/>
          </w:tcPr>
          <w:p w14:paraId="5DA657AC" w14:textId="77777777" w:rsidR="00BB5BB6" w:rsidRDefault="00B6795E">
            <w:pPr>
              <w:keepNext/>
              <w:keepLines/>
              <w:jc w:val="center"/>
              <w:rPr>
                <w:rFonts w:cs="Calibri"/>
              </w:rPr>
            </w:pPr>
            <w:r>
              <w:rPr>
                <w:rFonts w:cs="Calibri"/>
              </w:rPr>
              <w:t>22.5</w:t>
            </w:r>
          </w:p>
        </w:tc>
      </w:tr>
      <w:tr w:rsidR="00FD69C9" w14:paraId="57D05EAC" w14:textId="77777777" w:rsidTr="00EC7E12">
        <w:tc>
          <w:tcPr>
            <w:tcW w:w="2739" w:type="dxa"/>
            <w:vAlign w:val="center"/>
          </w:tcPr>
          <w:p w14:paraId="635F5B76" w14:textId="3833CDCD" w:rsidR="00FD69C9" w:rsidRDefault="00FD69C9">
            <w:pPr>
              <w:keepNext/>
              <w:keepLines/>
              <w:jc w:val="center"/>
              <w:rPr>
                <w:rFonts w:cs="Calibri"/>
                <w:b/>
              </w:rPr>
            </w:pPr>
            <w:r>
              <w:rPr>
                <w:rFonts w:cs="Calibri"/>
                <w:b/>
              </w:rPr>
              <w:t>Antenna diameter (m)</w:t>
            </w:r>
          </w:p>
        </w:tc>
        <w:tc>
          <w:tcPr>
            <w:tcW w:w="1488" w:type="dxa"/>
            <w:vAlign w:val="center"/>
          </w:tcPr>
          <w:p w14:paraId="5C44A4BE" w14:textId="0C3FFBE8" w:rsidR="00FD69C9" w:rsidRDefault="00FD69C9">
            <w:pPr>
              <w:keepNext/>
              <w:keepLines/>
              <w:jc w:val="center"/>
              <w:rPr>
                <w:rFonts w:cs="Calibri"/>
              </w:rPr>
            </w:pPr>
            <w:r>
              <w:rPr>
                <w:rFonts w:cs="Calibri"/>
              </w:rPr>
              <w:t>35</w:t>
            </w:r>
          </w:p>
        </w:tc>
        <w:tc>
          <w:tcPr>
            <w:tcW w:w="1488" w:type="dxa"/>
            <w:vAlign w:val="center"/>
          </w:tcPr>
          <w:p w14:paraId="5070F5EC" w14:textId="295D7277" w:rsidR="00FD69C9" w:rsidRDefault="00FD69C9">
            <w:pPr>
              <w:keepNext/>
              <w:keepLines/>
              <w:jc w:val="center"/>
              <w:rPr>
                <w:rFonts w:cs="Calibri"/>
              </w:rPr>
            </w:pPr>
            <w:r>
              <w:rPr>
                <w:rFonts w:cs="Calibri"/>
              </w:rPr>
              <w:t>35</w:t>
            </w:r>
          </w:p>
        </w:tc>
        <w:tc>
          <w:tcPr>
            <w:tcW w:w="1488" w:type="dxa"/>
            <w:shd w:val="clear" w:color="auto" w:fill="auto"/>
            <w:vAlign w:val="center"/>
          </w:tcPr>
          <w:p w14:paraId="189743F7" w14:textId="741EBA4E" w:rsidR="00FD69C9" w:rsidRPr="00727E4E" w:rsidRDefault="00884A56">
            <w:pPr>
              <w:keepNext/>
              <w:keepLines/>
              <w:jc w:val="center"/>
              <w:rPr>
                <w:rFonts w:cs="Calibri"/>
              </w:rPr>
            </w:pPr>
            <w:r>
              <w:rPr>
                <w:rFonts w:cs="Calibri"/>
              </w:rPr>
              <w:t>35</w:t>
            </w:r>
          </w:p>
        </w:tc>
        <w:tc>
          <w:tcPr>
            <w:tcW w:w="1489" w:type="dxa"/>
            <w:vAlign w:val="center"/>
          </w:tcPr>
          <w:p w14:paraId="7E171D6A" w14:textId="6B29E22F" w:rsidR="00FD69C9" w:rsidRDefault="00FD69C9">
            <w:pPr>
              <w:keepNext/>
              <w:keepLines/>
              <w:jc w:val="center"/>
              <w:rPr>
                <w:rFonts w:cs="Calibri"/>
              </w:rPr>
            </w:pPr>
            <w:r>
              <w:rPr>
                <w:rFonts w:cs="Calibri"/>
              </w:rPr>
              <w:t>35</w:t>
            </w:r>
          </w:p>
        </w:tc>
      </w:tr>
      <w:tr w:rsidR="00BB5BB6" w14:paraId="18D4F56A" w14:textId="77777777" w:rsidTr="00EC7E12">
        <w:tc>
          <w:tcPr>
            <w:tcW w:w="2739" w:type="dxa"/>
            <w:vAlign w:val="center"/>
          </w:tcPr>
          <w:p w14:paraId="7221378C" w14:textId="77777777" w:rsidR="00BB5BB6" w:rsidRDefault="00B6795E">
            <w:pPr>
              <w:keepNext/>
              <w:keepLines/>
              <w:jc w:val="center"/>
              <w:rPr>
                <w:rFonts w:cs="Calibri"/>
                <w:b/>
              </w:rPr>
            </w:pPr>
            <w:r>
              <w:rPr>
                <w:rFonts w:cs="Calibri"/>
                <w:b/>
              </w:rPr>
              <w:t>Minimum elevation angle</w:t>
            </w:r>
          </w:p>
        </w:tc>
        <w:tc>
          <w:tcPr>
            <w:tcW w:w="1488" w:type="dxa"/>
            <w:vAlign w:val="center"/>
          </w:tcPr>
          <w:p w14:paraId="7F5CE5B9" w14:textId="77777777" w:rsidR="00BB5BB6" w:rsidRDefault="00B6795E">
            <w:pPr>
              <w:keepNext/>
              <w:keepLines/>
              <w:jc w:val="center"/>
              <w:rPr>
                <w:rFonts w:cs="Calibri"/>
              </w:rPr>
            </w:pPr>
            <w:r>
              <w:rPr>
                <w:rFonts w:cs="Calibri"/>
              </w:rPr>
              <w:t>10°</w:t>
            </w:r>
          </w:p>
        </w:tc>
        <w:tc>
          <w:tcPr>
            <w:tcW w:w="1488" w:type="dxa"/>
            <w:vAlign w:val="center"/>
          </w:tcPr>
          <w:p w14:paraId="29E5F1C1" w14:textId="77777777" w:rsidR="00BB5BB6" w:rsidRDefault="00B6795E">
            <w:pPr>
              <w:keepNext/>
              <w:keepLines/>
              <w:jc w:val="center"/>
              <w:rPr>
                <w:rFonts w:cs="Calibri"/>
              </w:rPr>
            </w:pPr>
            <w:r>
              <w:rPr>
                <w:rFonts w:cs="Calibri"/>
              </w:rPr>
              <w:t>5°</w:t>
            </w:r>
          </w:p>
        </w:tc>
        <w:tc>
          <w:tcPr>
            <w:tcW w:w="1488" w:type="dxa"/>
            <w:shd w:val="clear" w:color="auto" w:fill="auto"/>
            <w:vAlign w:val="center"/>
          </w:tcPr>
          <w:p w14:paraId="75784337" w14:textId="6B13118F" w:rsidR="00BB5BB6" w:rsidRPr="00727E4E" w:rsidRDefault="00884A56">
            <w:pPr>
              <w:keepNext/>
              <w:keepLines/>
              <w:jc w:val="center"/>
              <w:rPr>
                <w:rFonts w:cs="Calibri"/>
              </w:rPr>
            </w:pPr>
            <w:r w:rsidRPr="00727E4E">
              <w:rPr>
                <w:rFonts w:cs="Calibri"/>
              </w:rPr>
              <w:t>5°</w:t>
            </w:r>
          </w:p>
        </w:tc>
        <w:tc>
          <w:tcPr>
            <w:tcW w:w="1489" w:type="dxa"/>
            <w:vAlign w:val="center"/>
          </w:tcPr>
          <w:p w14:paraId="21B78779" w14:textId="77777777" w:rsidR="00BB5BB6" w:rsidRDefault="00B6795E">
            <w:pPr>
              <w:keepNext/>
              <w:keepLines/>
              <w:jc w:val="center"/>
              <w:rPr>
                <w:rFonts w:cs="Calibri"/>
              </w:rPr>
            </w:pPr>
            <w:r>
              <w:rPr>
                <w:rFonts w:cs="Calibri"/>
              </w:rPr>
              <w:t>10°</w:t>
            </w:r>
          </w:p>
        </w:tc>
      </w:tr>
      <w:tr w:rsidR="00BB5BB6" w14:paraId="3B572E48" w14:textId="77777777" w:rsidTr="00EC7E12">
        <w:tc>
          <w:tcPr>
            <w:tcW w:w="2739" w:type="dxa"/>
            <w:vAlign w:val="center"/>
          </w:tcPr>
          <w:p w14:paraId="3CD7AFC9" w14:textId="20A84A45" w:rsidR="00BB5BB6" w:rsidRDefault="00B6795E">
            <w:pPr>
              <w:keepNext/>
              <w:keepLines/>
              <w:jc w:val="center"/>
              <w:rPr>
                <w:rFonts w:cs="Calibri"/>
                <w:b/>
              </w:rPr>
            </w:pPr>
            <w:r>
              <w:rPr>
                <w:rFonts w:cs="Calibri"/>
                <w:b/>
              </w:rPr>
              <w:t xml:space="preserve">Gain </w:t>
            </w:r>
            <w:r w:rsidR="00FD69C9">
              <w:rPr>
                <w:rFonts w:cs="Calibri"/>
                <w:b/>
              </w:rPr>
              <w:t>(</w:t>
            </w:r>
            <w:proofErr w:type="spellStart"/>
            <w:r>
              <w:rPr>
                <w:rFonts w:cs="Calibri"/>
                <w:b/>
              </w:rPr>
              <w:t>dBi</w:t>
            </w:r>
            <w:proofErr w:type="spellEnd"/>
            <w:r w:rsidR="00FD69C9">
              <w:rPr>
                <w:rFonts w:cs="Calibri"/>
                <w:b/>
              </w:rPr>
              <w:t>)</w:t>
            </w:r>
          </w:p>
        </w:tc>
        <w:tc>
          <w:tcPr>
            <w:tcW w:w="1488" w:type="dxa"/>
            <w:vAlign w:val="center"/>
          </w:tcPr>
          <w:p w14:paraId="397F886A" w14:textId="316F9FC0" w:rsidR="00BB5BB6" w:rsidRDefault="00B6795E">
            <w:pPr>
              <w:keepNext/>
              <w:keepLines/>
              <w:jc w:val="center"/>
              <w:rPr>
                <w:rFonts w:cs="Calibri"/>
              </w:rPr>
            </w:pPr>
            <w:r>
              <w:rPr>
                <w:rFonts w:cs="Calibri"/>
              </w:rPr>
              <w:t>67.4</w:t>
            </w:r>
          </w:p>
        </w:tc>
        <w:tc>
          <w:tcPr>
            <w:tcW w:w="1488" w:type="dxa"/>
            <w:vAlign w:val="center"/>
          </w:tcPr>
          <w:p w14:paraId="6CA10E8A" w14:textId="047FBC28" w:rsidR="00BB5BB6" w:rsidRDefault="00B6795E">
            <w:pPr>
              <w:keepNext/>
              <w:keepLines/>
              <w:jc w:val="center"/>
              <w:rPr>
                <w:rFonts w:cs="Calibri"/>
              </w:rPr>
            </w:pPr>
            <w:r>
              <w:rPr>
                <w:rFonts w:cs="Calibri"/>
              </w:rPr>
              <w:t>67.4</w:t>
            </w:r>
          </w:p>
        </w:tc>
        <w:tc>
          <w:tcPr>
            <w:tcW w:w="1488" w:type="dxa"/>
            <w:shd w:val="clear" w:color="auto" w:fill="auto"/>
            <w:vAlign w:val="center"/>
          </w:tcPr>
          <w:p w14:paraId="79B7C1A2" w14:textId="72029378" w:rsidR="00BB5BB6" w:rsidRPr="00727E4E" w:rsidRDefault="00E46FB2">
            <w:pPr>
              <w:keepNext/>
              <w:keepLines/>
              <w:jc w:val="center"/>
              <w:rPr>
                <w:rFonts w:cs="Calibri"/>
              </w:rPr>
            </w:pPr>
            <w:r>
              <w:rPr>
                <w:rFonts w:cs="Calibri"/>
              </w:rPr>
              <w:t>76.5</w:t>
            </w:r>
          </w:p>
        </w:tc>
        <w:tc>
          <w:tcPr>
            <w:tcW w:w="1489" w:type="dxa"/>
            <w:vAlign w:val="center"/>
          </w:tcPr>
          <w:p w14:paraId="198C6DA6" w14:textId="034363B5" w:rsidR="00BB5BB6" w:rsidRDefault="00B6795E">
            <w:pPr>
              <w:keepNext/>
              <w:keepLines/>
              <w:jc w:val="center"/>
              <w:rPr>
                <w:rFonts w:cs="Calibri"/>
                <w:szCs w:val="20"/>
              </w:rPr>
            </w:pPr>
            <w:r>
              <w:rPr>
                <w:rFonts w:cs="Calibri"/>
              </w:rPr>
              <w:t>77.0</w:t>
            </w:r>
          </w:p>
        </w:tc>
      </w:tr>
      <w:tr w:rsidR="00FD69C9" w14:paraId="6984BC83" w14:textId="77777777" w:rsidTr="00EC7E12">
        <w:tc>
          <w:tcPr>
            <w:tcW w:w="2739" w:type="dxa"/>
            <w:vAlign w:val="center"/>
          </w:tcPr>
          <w:p w14:paraId="2DA70875" w14:textId="5379BFBD" w:rsidR="00FD69C9" w:rsidRDefault="00FD69C9">
            <w:pPr>
              <w:keepNext/>
              <w:keepLines/>
              <w:jc w:val="center"/>
              <w:rPr>
                <w:rFonts w:cs="Calibri"/>
                <w:b/>
              </w:rPr>
            </w:pPr>
            <w:r>
              <w:rPr>
                <w:rFonts w:cs="Calibri"/>
                <w:b/>
              </w:rPr>
              <w:t>Gain in the horizontal direction (</w:t>
            </w:r>
            <w:proofErr w:type="spellStart"/>
            <w:r>
              <w:rPr>
                <w:rFonts w:cs="Calibri"/>
                <w:b/>
              </w:rPr>
              <w:t>dBi</w:t>
            </w:r>
            <w:proofErr w:type="spellEnd"/>
            <w:r>
              <w:rPr>
                <w:rFonts w:cs="Calibri"/>
                <w:b/>
              </w:rPr>
              <w:t>)</w:t>
            </w:r>
          </w:p>
        </w:tc>
        <w:tc>
          <w:tcPr>
            <w:tcW w:w="1488" w:type="dxa"/>
            <w:vAlign w:val="center"/>
          </w:tcPr>
          <w:p w14:paraId="7BFC2BB2" w14:textId="7F7F723C" w:rsidR="00FD69C9" w:rsidRDefault="00884A56">
            <w:pPr>
              <w:keepNext/>
              <w:keepLines/>
              <w:jc w:val="center"/>
              <w:rPr>
                <w:rFonts w:cs="Calibri"/>
              </w:rPr>
            </w:pPr>
            <w:r>
              <w:rPr>
                <w:rFonts w:cs="Calibri"/>
              </w:rPr>
              <w:t>4</w:t>
            </w:r>
          </w:p>
        </w:tc>
        <w:tc>
          <w:tcPr>
            <w:tcW w:w="1488" w:type="dxa"/>
            <w:vAlign w:val="center"/>
          </w:tcPr>
          <w:p w14:paraId="1425388A" w14:textId="7526C342" w:rsidR="00FD69C9" w:rsidRDefault="00FD69C9">
            <w:pPr>
              <w:keepNext/>
              <w:keepLines/>
              <w:jc w:val="center"/>
              <w:rPr>
                <w:rFonts w:cs="Calibri"/>
              </w:rPr>
            </w:pPr>
            <w:r>
              <w:rPr>
                <w:rFonts w:cs="Calibri"/>
              </w:rPr>
              <w:t>1</w:t>
            </w:r>
            <w:r w:rsidR="00884A56">
              <w:rPr>
                <w:rFonts w:cs="Calibri"/>
              </w:rPr>
              <w:t>1</w:t>
            </w:r>
            <w:r>
              <w:rPr>
                <w:rFonts w:cs="Calibri"/>
              </w:rPr>
              <w:t>.5</w:t>
            </w:r>
          </w:p>
        </w:tc>
        <w:tc>
          <w:tcPr>
            <w:tcW w:w="1488" w:type="dxa"/>
            <w:shd w:val="clear" w:color="auto" w:fill="auto"/>
            <w:vAlign w:val="center"/>
          </w:tcPr>
          <w:p w14:paraId="72F6B6C2" w14:textId="3B9F2E2B" w:rsidR="00FD69C9" w:rsidRPr="00727E4E" w:rsidRDefault="00884A56">
            <w:pPr>
              <w:keepNext/>
              <w:keepLines/>
              <w:jc w:val="center"/>
              <w:rPr>
                <w:rFonts w:cs="Calibri"/>
              </w:rPr>
            </w:pPr>
            <w:r>
              <w:rPr>
                <w:rFonts w:cs="Calibri"/>
              </w:rPr>
              <w:t>11.5</w:t>
            </w:r>
          </w:p>
        </w:tc>
        <w:tc>
          <w:tcPr>
            <w:tcW w:w="1489" w:type="dxa"/>
            <w:vAlign w:val="center"/>
          </w:tcPr>
          <w:p w14:paraId="7DCE2C41" w14:textId="238D74D5" w:rsidR="00FD69C9" w:rsidRDefault="00884A56">
            <w:pPr>
              <w:keepNext/>
              <w:keepLines/>
              <w:jc w:val="center"/>
              <w:rPr>
                <w:rFonts w:cs="Calibri"/>
              </w:rPr>
            </w:pPr>
            <w:r>
              <w:rPr>
                <w:rFonts w:cs="Calibri"/>
              </w:rPr>
              <w:t>4</w:t>
            </w:r>
          </w:p>
        </w:tc>
      </w:tr>
      <w:tr w:rsidR="00BB5BB6" w14:paraId="68221446" w14:textId="77777777" w:rsidTr="00B1297D">
        <w:tc>
          <w:tcPr>
            <w:tcW w:w="2739" w:type="dxa"/>
            <w:vAlign w:val="center"/>
          </w:tcPr>
          <w:p w14:paraId="1A9743BF" w14:textId="77777777" w:rsidR="00BB5BB6" w:rsidRDefault="00B6795E" w:rsidP="00E5695B">
            <w:pPr>
              <w:spacing w:after="120"/>
              <w:jc w:val="center"/>
              <w:rPr>
                <w:rFonts w:cs="Calibri"/>
                <w:b/>
              </w:rPr>
            </w:pPr>
            <w:r>
              <w:rPr>
                <w:rFonts w:cs="Calibri"/>
                <w:b/>
              </w:rPr>
              <w:t>Antenna pattern</w:t>
            </w:r>
          </w:p>
          <w:p w14:paraId="380EA3B8" w14:textId="77777777" w:rsidR="00BB5BB6" w:rsidRDefault="00B6795E" w:rsidP="00E5695B">
            <w:pPr>
              <w:spacing w:after="120"/>
              <w:jc w:val="center"/>
              <w:rPr>
                <w:rFonts w:cs="Calibri"/>
                <w:b/>
              </w:rPr>
            </w:pPr>
            <w:r>
              <w:rPr>
                <w:rFonts w:cs="Calibri"/>
                <w:b/>
              </w:rPr>
              <w:t>-Vertical</w:t>
            </w:r>
          </w:p>
          <w:p w14:paraId="24AB9F90" w14:textId="77777777" w:rsidR="00BB5BB6" w:rsidRDefault="00B6795E" w:rsidP="00E5695B">
            <w:pPr>
              <w:jc w:val="center"/>
              <w:rPr>
                <w:rFonts w:cs="Calibri"/>
                <w:b/>
              </w:rPr>
            </w:pPr>
            <w:r>
              <w:rPr>
                <w:rFonts w:cs="Calibri"/>
                <w:b/>
              </w:rPr>
              <w:t>-Horizontal</w:t>
            </w:r>
          </w:p>
        </w:tc>
        <w:tc>
          <w:tcPr>
            <w:tcW w:w="5953" w:type="dxa"/>
            <w:gridSpan w:val="4"/>
            <w:vAlign w:val="center"/>
          </w:tcPr>
          <w:p w14:paraId="18EB3D52" w14:textId="77777777" w:rsidR="00C36385" w:rsidRDefault="00C36385" w:rsidP="00C36385">
            <w:pPr>
              <w:spacing w:after="120"/>
              <w:jc w:val="center"/>
              <w:rPr>
                <w:rFonts w:cs="Calibri"/>
              </w:rPr>
            </w:pPr>
          </w:p>
          <w:p w14:paraId="31E0844A" w14:textId="2629493C" w:rsidR="004B28ED" w:rsidRDefault="00B6795E" w:rsidP="00C36385">
            <w:pPr>
              <w:spacing w:after="120"/>
              <w:jc w:val="center"/>
              <w:rPr>
                <w:rFonts w:cs="Calibri"/>
              </w:rPr>
            </w:pPr>
            <w:r>
              <w:rPr>
                <w:rFonts w:cs="Calibri"/>
              </w:rPr>
              <w:t>See Annex A for vertical pattern</w:t>
            </w:r>
            <w:r>
              <w:rPr>
                <w:rStyle w:val="FootnoteReference"/>
                <w:rFonts w:cs="Calibri"/>
              </w:rPr>
              <w:footnoteReference w:id="9"/>
            </w:r>
            <w:r>
              <w:rPr>
                <w:rFonts w:cs="Calibri"/>
              </w:rPr>
              <w:t xml:space="preserve"> </w:t>
            </w:r>
          </w:p>
          <w:p w14:paraId="0D3FEADF" w14:textId="77777777" w:rsidR="00BB5BB6" w:rsidRDefault="00B6795E" w:rsidP="00E5695B">
            <w:pPr>
              <w:jc w:val="center"/>
              <w:rPr>
                <w:rFonts w:cs="Calibri"/>
              </w:rPr>
            </w:pPr>
            <w:r>
              <w:rPr>
                <w:rFonts w:cs="Calibri"/>
              </w:rPr>
              <w:t>Omnidirectional</w:t>
            </w:r>
            <w:r w:rsidR="00CA22C2">
              <w:rPr>
                <w:rFonts w:cs="Calibri"/>
              </w:rPr>
              <w:t xml:space="preserve"> (H)</w:t>
            </w:r>
          </w:p>
        </w:tc>
      </w:tr>
    </w:tbl>
    <w:p w14:paraId="7E70A229" w14:textId="77777777" w:rsidR="00BB5BB6" w:rsidRDefault="00BB5BB6"/>
    <w:p w14:paraId="4209EBD7" w14:textId="2758F5FB" w:rsidR="00BB5BB6" w:rsidRDefault="00B6795E">
      <w:pPr>
        <w:pStyle w:val="Caption"/>
        <w:keepNext/>
        <w:keepLines/>
      </w:pPr>
      <w:r>
        <w:lastRenderedPageBreak/>
        <w:t>Receive characteristics for Tidbinbilla earth station</w:t>
      </w:r>
    </w:p>
    <w:tbl>
      <w:tblPr>
        <w:tblStyle w:val="TableGrid"/>
        <w:tblW w:w="8692" w:type="dxa"/>
        <w:tblInd w:w="517" w:type="dxa"/>
        <w:tblLook w:val="04A0" w:firstRow="1" w:lastRow="0" w:firstColumn="1" w:lastColumn="0" w:noHBand="0" w:noVBand="1"/>
      </w:tblPr>
      <w:tblGrid>
        <w:gridCol w:w="3000"/>
        <w:gridCol w:w="1897"/>
        <w:gridCol w:w="1897"/>
        <w:gridCol w:w="1898"/>
      </w:tblGrid>
      <w:tr w:rsidR="00BB5BB6" w14:paraId="6A360EC2" w14:textId="77777777" w:rsidTr="00BB67E0">
        <w:tc>
          <w:tcPr>
            <w:tcW w:w="3000" w:type="dxa"/>
            <w:vMerge w:val="restart"/>
            <w:vAlign w:val="center"/>
          </w:tcPr>
          <w:p w14:paraId="11A97525" w14:textId="77777777" w:rsidR="00BB5BB6" w:rsidRDefault="00B6795E">
            <w:pPr>
              <w:keepNext/>
              <w:keepLines/>
              <w:jc w:val="center"/>
              <w:rPr>
                <w:rFonts w:cs="Calibri"/>
                <w:b/>
              </w:rPr>
            </w:pPr>
            <w:r>
              <w:rPr>
                <w:rFonts w:cs="Calibri"/>
                <w:b/>
              </w:rPr>
              <w:t>System parameter</w:t>
            </w:r>
          </w:p>
        </w:tc>
        <w:tc>
          <w:tcPr>
            <w:tcW w:w="5692" w:type="dxa"/>
            <w:gridSpan w:val="3"/>
          </w:tcPr>
          <w:p w14:paraId="2CFFBE58" w14:textId="77777777" w:rsidR="00BB5BB6" w:rsidRDefault="00B6795E">
            <w:pPr>
              <w:keepNext/>
              <w:keepLines/>
              <w:jc w:val="center"/>
              <w:rPr>
                <w:rFonts w:cs="Calibri"/>
                <w:b/>
              </w:rPr>
            </w:pPr>
            <w:r>
              <w:rPr>
                <w:rFonts w:cs="Calibri"/>
                <w:b/>
              </w:rPr>
              <w:t>Frequency of Operation (GHz)</w:t>
            </w:r>
          </w:p>
        </w:tc>
      </w:tr>
      <w:tr w:rsidR="00012E15" w14:paraId="43E81514" w14:textId="77777777" w:rsidTr="00BB67E0">
        <w:tc>
          <w:tcPr>
            <w:tcW w:w="3000" w:type="dxa"/>
            <w:vMerge/>
            <w:vAlign w:val="center"/>
          </w:tcPr>
          <w:p w14:paraId="36E10BAF" w14:textId="77777777" w:rsidR="00012E15" w:rsidRDefault="00012E15">
            <w:pPr>
              <w:keepNext/>
              <w:keepLines/>
              <w:jc w:val="center"/>
              <w:rPr>
                <w:rFonts w:cs="Calibri"/>
                <w:b/>
              </w:rPr>
            </w:pPr>
          </w:p>
        </w:tc>
        <w:tc>
          <w:tcPr>
            <w:tcW w:w="1897" w:type="dxa"/>
            <w:vAlign w:val="center"/>
          </w:tcPr>
          <w:p w14:paraId="7289FEEE" w14:textId="7E1AB62F" w:rsidR="00012E15" w:rsidRDefault="00012E15">
            <w:pPr>
              <w:keepNext/>
              <w:keepLines/>
              <w:jc w:val="center"/>
              <w:rPr>
                <w:rFonts w:cs="Calibri"/>
                <w:b/>
              </w:rPr>
            </w:pPr>
            <w:r>
              <w:rPr>
                <w:rFonts w:cs="Calibri"/>
                <w:b/>
              </w:rPr>
              <w:t xml:space="preserve">8.4-8.45 </w:t>
            </w:r>
          </w:p>
        </w:tc>
        <w:tc>
          <w:tcPr>
            <w:tcW w:w="1897" w:type="dxa"/>
            <w:vAlign w:val="center"/>
          </w:tcPr>
          <w:p w14:paraId="3305DFCE" w14:textId="61CC2408" w:rsidR="00012E15" w:rsidRDefault="00012E15" w:rsidP="5B9CA091">
            <w:pPr>
              <w:keepNext/>
              <w:keepLines/>
              <w:jc w:val="center"/>
              <w:rPr>
                <w:rFonts w:cs="Calibri"/>
                <w:b/>
                <w:bCs/>
              </w:rPr>
            </w:pPr>
            <w:r w:rsidRPr="5B9CA091">
              <w:rPr>
                <w:rFonts w:cs="Calibri"/>
                <w:b/>
                <w:bCs/>
              </w:rPr>
              <w:t xml:space="preserve">8.45-8.5 </w:t>
            </w:r>
          </w:p>
        </w:tc>
        <w:tc>
          <w:tcPr>
            <w:tcW w:w="1898" w:type="dxa"/>
          </w:tcPr>
          <w:p w14:paraId="3D24B2B1" w14:textId="61554C24" w:rsidR="00012E15" w:rsidRDefault="00012E15">
            <w:pPr>
              <w:keepNext/>
              <w:keepLines/>
              <w:jc w:val="center"/>
              <w:rPr>
                <w:rFonts w:cs="Calibri"/>
                <w:b/>
              </w:rPr>
            </w:pPr>
            <w:r>
              <w:rPr>
                <w:rFonts w:cs="Calibri"/>
                <w:b/>
              </w:rPr>
              <w:t>31.8</w:t>
            </w:r>
            <w:r>
              <w:rPr>
                <w:rFonts w:cs="Calibri"/>
                <w:b/>
              </w:rPr>
              <w:noBreakHyphen/>
              <w:t xml:space="preserve">32.3 </w:t>
            </w:r>
          </w:p>
        </w:tc>
      </w:tr>
      <w:tr w:rsidR="00012E15" w14:paraId="7C42DC4F" w14:textId="77777777" w:rsidTr="00BB67E0">
        <w:tc>
          <w:tcPr>
            <w:tcW w:w="3000" w:type="dxa"/>
            <w:vAlign w:val="center"/>
          </w:tcPr>
          <w:p w14:paraId="397D85DE" w14:textId="7BED95D9" w:rsidR="00012E15" w:rsidRDefault="00012E15">
            <w:pPr>
              <w:keepNext/>
              <w:keepLines/>
              <w:jc w:val="center"/>
              <w:rPr>
                <w:rFonts w:cs="Calibri"/>
                <w:b/>
              </w:rPr>
            </w:pPr>
            <w:r>
              <w:rPr>
                <w:rFonts w:cs="Calibri"/>
                <w:b/>
              </w:rPr>
              <w:t>Interference threshold</w:t>
            </w:r>
            <w:r>
              <w:rPr>
                <w:rStyle w:val="FootnoteReference"/>
                <w:rFonts w:cs="Calibri"/>
                <w:b/>
              </w:rPr>
              <w:footnoteReference w:id="10"/>
            </w:r>
            <w:r>
              <w:rPr>
                <w:rFonts w:cs="Calibri"/>
                <w:b/>
              </w:rPr>
              <w:t xml:space="preserve"> </w:t>
            </w:r>
            <w:r w:rsidR="004A574C">
              <w:rPr>
                <w:rFonts w:cs="Calibri"/>
                <w:b/>
              </w:rPr>
              <w:t>(</w:t>
            </w:r>
            <w:proofErr w:type="spellStart"/>
            <w:r w:rsidR="004A574C">
              <w:rPr>
                <w:rFonts w:cs="Calibri"/>
                <w:b/>
              </w:rPr>
              <w:t>dBW</w:t>
            </w:r>
            <w:proofErr w:type="spellEnd"/>
            <w:r w:rsidR="004A574C">
              <w:rPr>
                <w:rFonts w:cs="Calibri"/>
                <w:b/>
              </w:rPr>
              <w:t>/Hz)</w:t>
            </w:r>
          </w:p>
        </w:tc>
        <w:tc>
          <w:tcPr>
            <w:tcW w:w="1897" w:type="dxa"/>
            <w:vAlign w:val="center"/>
          </w:tcPr>
          <w:p w14:paraId="1F857B2E" w14:textId="2A954459" w:rsidR="00012E15" w:rsidRPr="00FD69C9" w:rsidRDefault="00012E15">
            <w:pPr>
              <w:keepNext/>
              <w:keepLines/>
              <w:jc w:val="center"/>
              <w:rPr>
                <w:rFonts w:cs="Calibri"/>
                <w:szCs w:val="20"/>
              </w:rPr>
            </w:pPr>
            <w:r w:rsidRPr="00FD69C9">
              <w:rPr>
                <w:rFonts w:cs="Calibri"/>
              </w:rPr>
              <w:t>-22</w:t>
            </w:r>
            <w:r>
              <w:rPr>
                <w:rFonts w:cs="Calibri"/>
              </w:rPr>
              <w:t>0</w:t>
            </w:r>
          </w:p>
        </w:tc>
        <w:tc>
          <w:tcPr>
            <w:tcW w:w="1897" w:type="dxa"/>
            <w:vAlign w:val="center"/>
          </w:tcPr>
          <w:p w14:paraId="5ED34BE8" w14:textId="33CCECCA" w:rsidR="00012E15" w:rsidRPr="00FD69C9" w:rsidRDefault="00012E15">
            <w:pPr>
              <w:keepNext/>
              <w:keepLines/>
              <w:jc w:val="center"/>
              <w:rPr>
                <w:rFonts w:cs="Calibri"/>
                <w:szCs w:val="20"/>
              </w:rPr>
            </w:pPr>
            <w:r w:rsidRPr="00FD69C9">
              <w:rPr>
                <w:rFonts w:cs="Calibri"/>
              </w:rPr>
              <w:t>-216</w:t>
            </w:r>
          </w:p>
        </w:tc>
        <w:tc>
          <w:tcPr>
            <w:tcW w:w="1898" w:type="dxa"/>
            <w:vAlign w:val="center"/>
          </w:tcPr>
          <w:p w14:paraId="7569F0AC" w14:textId="67EE68BC" w:rsidR="00012E15" w:rsidRPr="00FD69C9" w:rsidRDefault="00012E15">
            <w:pPr>
              <w:keepNext/>
              <w:keepLines/>
              <w:jc w:val="center"/>
              <w:rPr>
                <w:rFonts w:cs="Calibri"/>
              </w:rPr>
            </w:pPr>
            <w:r w:rsidRPr="00FD69C9">
              <w:rPr>
                <w:rFonts w:cs="Calibri"/>
              </w:rPr>
              <w:t>-21</w:t>
            </w:r>
            <w:r>
              <w:rPr>
                <w:rFonts w:cs="Calibri"/>
              </w:rPr>
              <w:t>6</w:t>
            </w:r>
          </w:p>
        </w:tc>
      </w:tr>
      <w:tr w:rsidR="003E6E59" w14:paraId="06AB1C99" w14:textId="77777777" w:rsidTr="00BB67E0">
        <w:tc>
          <w:tcPr>
            <w:tcW w:w="3000" w:type="dxa"/>
            <w:vAlign w:val="center"/>
          </w:tcPr>
          <w:p w14:paraId="2C0ABD35" w14:textId="77777777" w:rsidR="003E6E59" w:rsidRDefault="003E6E59" w:rsidP="003E6E59">
            <w:pPr>
              <w:keepNext/>
              <w:keepLines/>
              <w:jc w:val="center"/>
              <w:rPr>
                <w:rFonts w:cs="Calibri"/>
                <w:b/>
              </w:rPr>
            </w:pPr>
            <w:r>
              <w:rPr>
                <w:rFonts w:cs="Calibri"/>
                <w:b/>
              </w:rPr>
              <w:t>Antenna coordinates (GDA94)</w:t>
            </w:r>
          </w:p>
        </w:tc>
        <w:tc>
          <w:tcPr>
            <w:tcW w:w="3794" w:type="dxa"/>
            <w:gridSpan w:val="2"/>
            <w:vAlign w:val="center"/>
          </w:tcPr>
          <w:p w14:paraId="5406BAEE" w14:textId="6DC27FEC" w:rsidR="003E6E59" w:rsidRPr="00FD69C9" w:rsidRDefault="003E6E59" w:rsidP="003F6BA6">
            <w:pPr>
              <w:keepNext/>
              <w:keepLines/>
              <w:jc w:val="center"/>
              <w:rPr>
                <w:rFonts w:cs="Calibri"/>
              </w:rPr>
            </w:pPr>
            <w:r w:rsidRPr="00B248F5">
              <w:rPr>
                <w:rFonts w:cs="Calibri"/>
                <w:szCs w:val="20"/>
              </w:rPr>
              <w:t>-35.</w:t>
            </w:r>
            <w:r>
              <w:rPr>
                <w:rFonts w:cs="Calibri"/>
                <w:szCs w:val="20"/>
              </w:rPr>
              <w:t>402424</w:t>
            </w:r>
            <w:r w:rsidRPr="00B248F5">
              <w:rPr>
                <w:rFonts w:cs="Calibri"/>
                <w:szCs w:val="20"/>
              </w:rPr>
              <w:t>°, 148.</w:t>
            </w:r>
            <w:r>
              <w:rPr>
                <w:rFonts w:cs="Calibri"/>
                <w:szCs w:val="20"/>
              </w:rPr>
              <w:t>981267</w:t>
            </w:r>
            <w:r w:rsidRPr="00B248F5">
              <w:rPr>
                <w:rFonts w:cs="Calibri"/>
                <w:szCs w:val="20"/>
              </w:rPr>
              <w:t>°</w:t>
            </w:r>
          </w:p>
        </w:tc>
        <w:tc>
          <w:tcPr>
            <w:tcW w:w="1898" w:type="dxa"/>
            <w:tcBorders>
              <w:left w:val="nil"/>
            </w:tcBorders>
            <w:vAlign w:val="center"/>
          </w:tcPr>
          <w:p w14:paraId="0CA08F6E" w14:textId="3D65F379" w:rsidR="003E6E59" w:rsidRPr="00FD69C9" w:rsidRDefault="003E6E59" w:rsidP="003F6BA6">
            <w:pPr>
              <w:keepNext/>
              <w:keepLines/>
              <w:jc w:val="center"/>
              <w:rPr>
                <w:rFonts w:cs="Calibri"/>
              </w:rPr>
            </w:pPr>
            <w:r>
              <w:rPr>
                <w:rFonts w:cs="Calibri"/>
              </w:rPr>
              <w:t>-35.398479</w:t>
            </w:r>
            <w:r w:rsidRPr="00FD69C9">
              <w:rPr>
                <w:rFonts w:cs="Calibri"/>
                <w:szCs w:val="20"/>
              </w:rPr>
              <w:t>°</w:t>
            </w:r>
            <w:r>
              <w:rPr>
                <w:rFonts w:cs="Calibri"/>
                <w:szCs w:val="20"/>
              </w:rPr>
              <w:t>, 148.981964</w:t>
            </w:r>
            <w:r w:rsidRPr="00FD69C9">
              <w:rPr>
                <w:rFonts w:cs="Calibri"/>
                <w:szCs w:val="20"/>
              </w:rPr>
              <w:t>°</w:t>
            </w:r>
          </w:p>
        </w:tc>
      </w:tr>
      <w:tr w:rsidR="00012E15" w14:paraId="05AE296B" w14:textId="77777777" w:rsidTr="00BB67E0">
        <w:tc>
          <w:tcPr>
            <w:tcW w:w="3000" w:type="dxa"/>
            <w:vAlign w:val="center"/>
          </w:tcPr>
          <w:p w14:paraId="6D74BE72" w14:textId="498FE06C" w:rsidR="00012E15" w:rsidRDefault="00012E15" w:rsidP="004303E6">
            <w:pPr>
              <w:keepNext/>
              <w:keepLines/>
              <w:jc w:val="center"/>
              <w:rPr>
                <w:rFonts w:cs="Calibri"/>
                <w:b/>
              </w:rPr>
            </w:pPr>
            <w:r>
              <w:rPr>
                <w:rFonts w:cs="Calibri"/>
                <w:b/>
              </w:rPr>
              <w:t>Antenna height (m)</w:t>
            </w:r>
          </w:p>
        </w:tc>
        <w:tc>
          <w:tcPr>
            <w:tcW w:w="1897" w:type="dxa"/>
            <w:vAlign w:val="center"/>
          </w:tcPr>
          <w:p w14:paraId="32BB0357" w14:textId="596AD29B" w:rsidR="00012E15" w:rsidRPr="00FD69C9" w:rsidRDefault="00012E15" w:rsidP="009119AB">
            <w:pPr>
              <w:keepNext/>
              <w:keepLines/>
              <w:jc w:val="center"/>
              <w:rPr>
                <w:rFonts w:cs="Calibri"/>
              </w:rPr>
            </w:pPr>
            <w:r w:rsidRPr="00FD69C9">
              <w:rPr>
                <w:rFonts w:cs="Calibri"/>
              </w:rPr>
              <w:t>39</w:t>
            </w:r>
          </w:p>
        </w:tc>
        <w:tc>
          <w:tcPr>
            <w:tcW w:w="1897" w:type="dxa"/>
            <w:vAlign w:val="center"/>
          </w:tcPr>
          <w:p w14:paraId="4B7BF80C" w14:textId="7E6C23CF" w:rsidR="00012E15" w:rsidRPr="00FD69C9" w:rsidRDefault="00012E15" w:rsidP="009119AB">
            <w:pPr>
              <w:keepNext/>
              <w:keepLines/>
              <w:jc w:val="center"/>
              <w:rPr>
                <w:rFonts w:cs="Calibri"/>
              </w:rPr>
            </w:pPr>
            <w:r w:rsidRPr="00FD69C9">
              <w:rPr>
                <w:rFonts w:cs="Calibri"/>
              </w:rPr>
              <w:t>39</w:t>
            </w:r>
          </w:p>
        </w:tc>
        <w:tc>
          <w:tcPr>
            <w:tcW w:w="1898" w:type="dxa"/>
            <w:vAlign w:val="center"/>
          </w:tcPr>
          <w:p w14:paraId="6E531DE1" w14:textId="729D9411" w:rsidR="00012E15" w:rsidRPr="00FD69C9" w:rsidRDefault="00012E15" w:rsidP="009119AB">
            <w:pPr>
              <w:keepNext/>
              <w:keepLines/>
              <w:jc w:val="center"/>
              <w:rPr>
                <w:rFonts w:cs="Calibri"/>
              </w:rPr>
            </w:pPr>
            <w:r w:rsidDel="00F54D29">
              <w:rPr>
                <w:rFonts w:cs="Calibri"/>
              </w:rPr>
              <w:t xml:space="preserve"> </w:t>
            </w:r>
            <w:r>
              <w:rPr>
                <w:rFonts w:cs="Calibri"/>
              </w:rPr>
              <w:t>19</w:t>
            </w:r>
          </w:p>
        </w:tc>
      </w:tr>
      <w:tr w:rsidR="00012E15" w14:paraId="10A1F38A" w14:textId="77777777" w:rsidTr="009119AB">
        <w:trPr>
          <w:trHeight w:val="545"/>
        </w:trPr>
        <w:tc>
          <w:tcPr>
            <w:tcW w:w="3000" w:type="dxa"/>
            <w:vAlign w:val="center"/>
          </w:tcPr>
          <w:p w14:paraId="29365CA2" w14:textId="58E8F1B0" w:rsidR="00012E15" w:rsidRDefault="00012E15" w:rsidP="009119AB">
            <w:pPr>
              <w:keepNext/>
              <w:keepLines/>
              <w:jc w:val="center"/>
              <w:rPr>
                <w:rFonts w:cs="Calibri"/>
                <w:b/>
              </w:rPr>
            </w:pPr>
            <w:r>
              <w:rPr>
                <w:rFonts w:cs="Calibri"/>
                <w:b/>
              </w:rPr>
              <w:t>Antenna diameter (m)</w:t>
            </w:r>
          </w:p>
        </w:tc>
        <w:tc>
          <w:tcPr>
            <w:tcW w:w="1897" w:type="dxa"/>
            <w:vAlign w:val="center"/>
          </w:tcPr>
          <w:p w14:paraId="258C7A7C" w14:textId="4C0B5938" w:rsidR="00012E15" w:rsidRPr="00FD69C9" w:rsidRDefault="00012E15" w:rsidP="009119AB">
            <w:pPr>
              <w:keepNext/>
              <w:keepLines/>
              <w:jc w:val="center"/>
              <w:rPr>
                <w:rFonts w:cs="Calibri"/>
              </w:rPr>
            </w:pPr>
            <w:r>
              <w:rPr>
                <w:rFonts w:cs="Calibri"/>
              </w:rPr>
              <w:t>70</w:t>
            </w:r>
          </w:p>
        </w:tc>
        <w:tc>
          <w:tcPr>
            <w:tcW w:w="1897" w:type="dxa"/>
            <w:vAlign w:val="center"/>
          </w:tcPr>
          <w:p w14:paraId="1943B367" w14:textId="02E2BE30" w:rsidR="00012E15" w:rsidRPr="00D32C66" w:rsidRDefault="00012E15" w:rsidP="009119AB">
            <w:pPr>
              <w:keepNext/>
              <w:keepLines/>
              <w:jc w:val="center"/>
              <w:rPr>
                <w:rFonts w:cs="Calibri"/>
              </w:rPr>
            </w:pPr>
            <w:r w:rsidRPr="00D32C66">
              <w:rPr>
                <w:rFonts w:cs="Calibri"/>
              </w:rPr>
              <w:t>70</w:t>
            </w:r>
          </w:p>
        </w:tc>
        <w:tc>
          <w:tcPr>
            <w:tcW w:w="1898" w:type="dxa"/>
            <w:vAlign w:val="center"/>
          </w:tcPr>
          <w:p w14:paraId="004921CA" w14:textId="55BEF8FB" w:rsidR="00012E15" w:rsidRPr="00FD69C9" w:rsidRDefault="00012E15" w:rsidP="009119AB">
            <w:pPr>
              <w:keepNext/>
              <w:keepLines/>
              <w:jc w:val="center"/>
              <w:rPr>
                <w:rFonts w:cs="Calibri"/>
              </w:rPr>
            </w:pPr>
            <w:r w:rsidDel="00F54D29">
              <w:rPr>
                <w:rFonts w:cs="Calibri"/>
              </w:rPr>
              <w:t xml:space="preserve"> </w:t>
            </w:r>
            <w:r>
              <w:rPr>
                <w:rFonts w:cs="Calibri"/>
              </w:rPr>
              <w:t>34</w:t>
            </w:r>
          </w:p>
        </w:tc>
      </w:tr>
      <w:tr w:rsidR="00012E15" w14:paraId="68C2C243" w14:textId="77777777" w:rsidTr="00BB67E0">
        <w:tc>
          <w:tcPr>
            <w:tcW w:w="3000" w:type="dxa"/>
            <w:vAlign w:val="center"/>
          </w:tcPr>
          <w:p w14:paraId="057797E9" w14:textId="77777777" w:rsidR="00012E15" w:rsidRDefault="00012E15">
            <w:pPr>
              <w:keepNext/>
              <w:keepLines/>
              <w:jc w:val="center"/>
              <w:rPr>
                <w:rFonts w:cs="Calibri"/>
                <w:b/>
              </w:rPr>
            </w:pPr>
            <w:r>
              <w:rPr>
                <w:rFonts w:cs="Calibri"/>
                <w:b/>
              </w:rPr>
              <w:t>Minimum elevation angle</w:t>
            </w:r>
          </w:p>
        </w:tc>
        <w:tc>
          <w:tcPr>
            <w:tcW w:w="1897" w:type="dxa"/>
            <w:vAlign w:val="center"/>
          </w:tcPr>
          <w:p w14:paraId="580B754C" w14:textId="77777777" w:rsidR="00012E15" w:rsidRPr="00FD69C9" w:rsidRDefault="00012E15">
            <w:pPr>
              <w:keepNext/>
              <w:keepLines/>
              <w:jc w:val="center"/>
              <w:rPr>
                <w:rFonts w:cs="Calibri"/>
              </w:rPr>
            </w:pPr>
            <w:r w:rsidRPr="00FD69C9">
              <w:rPr>
                <w:rFonts w:cs="Calibri"/>
              </w:rPr>
              <w:t>10°</w:t>
            </w:r>
          </w:p>
        </w:tc>
        <w:tc>
          <w:tcPr>
            <w:tcW w:w="1897" w:type="dxa"/>
            <w:vAlign w:val="center"/>
          </w:tcPr>
          <w:p w14:paraId="4A9FD287" w14:textId="1A629B63" w:rsidR="00012E15" w:rsidRPr="00D32C66" w:rsidRDefault="00012E15">
            <w:pPr>
              <w:keepNext/>
              <w:keepLines/>
              <w:jc w:val="center"/>
              <w:rPr>
                <w:rFonts w:cs="Calibri"/>
              </w:rPr>
            </w:pPr>
            <w:r w:rsidRPr="00D32C66">
              <w:rPr>
                <w:rFonts w:cs="Calibri"/>
              </w:rPr>
              <w:t>6°</w:t>
            </w:r>
          </w:p>
        </w:tc>
        <w:tc>
          <w:tcPr>
            <w:tcW w:w="1898" w:type="dxa"/>
            <w:vAlign w:val="center"/>
          </w:tcPr>
          <w:p w14:paraId="255FD6DE" w14:textId="77777777" w:rsidR="00012E15" w:rsidRPr="00FD69C9" w:rsidRDefault="00012E15" w:rsidP="00B248F5">
            <w:pPr>
              <w:keepNext/>
              <w:keepLines/>
              <w:spacing w:after="120"/>
              <w:jc w:val="center"/>
              <w:rPr>
                <w:rFonts w:cs="Calibri"/>
              </w:rPr>
            </w:pPr>
            <w:r w:rsidRPr="00FD69C9">
              <w:rPr>
                <w:rFonts w:cs="Calibri"/>
              </w:rPr>
              <w:t>10°</w:t>
            </w:r>
          </w:p>
        </w:tc>
      </w:tr>
      <w:tr w:rsidR="00012E15" w14:paraId="1C926A65" w14:textId="77777777" w:rsidTr="00BB67E0">
        <w:trPr>
          <w:trHeight w:val="547"/>
        </w:trPr>
        <w:tc>
          <w:tcPr>
            <w:tcW w:w="3000" w:type="dxa"/>
            <w:vAlign w:val="center"/>
          </w:tcPr>
          <w:p w14:paraId="12A36659" w14:textId="0407DC2C" w:rsidR="00012E15" w:rsidRDefault="00012E15" w:rsidP="00A55C5D">
            <w:pPr>
              <w:keepNext/>
              <w:keepLines/>
              <w:jc w:val="center"/>
              <w:rPr>
                <w:rFonts w:cs="Calibri"/>
                <w:b/>
              </w:rPr>
            </w:pPr>
            <w:r>
              <w:rPr>
                <w:rFonts w:cs="Calibri"/>
                <w:b/>
              </w:rPr>
              <w:t>Antenna Gain (</w:t>
            </w:r>
            <w:proofErr w:type="spellStart"/>
            <w:r>
              <w:rPr>
                <w:rFonts w:cs="Calibri"/>
                <w:b/>
              </w:rPr>
              <w:t>dBi</w:t>
            </w:r>
            <w:proofErr w:type="spellEnd"/>
            <w:r>
              <w:rPr>
                <w:rFonts w:cs="Calibri"/>
                <w:b/>
              </w:rPr>
              <w:t>)</w:t>
            </w:r>
          </w:p>
        </w:tc>
        <w:tc>
          <w:tcPr>
            <w:tcW w:w="1897" w:type="dxa"/>
            <w:vAlign w:val="center"/>
          </w:tcPr>
          <w:p w14:paraId="219A2E4A" w14:textId="233B63EA" w:rsidR="00012E15" w:rsidRPr="00FD69C9" w:rsidRDefault="00012E15" w:rsidP="009119AB">
            <w:pPr>
              <w:keepNext/>
              <w:keepLines/>
              <w:spacing w:after="120"/>
              <w:jc w:val="center"/>
              <w:rPr>
                <w:rFonts w:cs="Calibri"/>
              </w:rPr>
            </w:pPr>
            <w:r w:rsidRPr="00FD69C9">
              <w:rPr>
                <w:rFonts w:cs="Calibri"/>
              </w:rPr>
              <w:t>74.6</w:t>
            </w:r>
          </w:p>
        </w:tc>
        <w:tc>
          <w:tcPr>
            <w:tcW w:w="1897" w:type="dxa"/>
            <w:vAlign w:val="center"/>
          </w:tcPr>
          <w:p w14:paraId="32EE8B13" w14:textId="14590E0F" w:rsidR="00012E15" w:rsidRPr="00D32C66" w:rsidRDefault="00012E15" w:rsidP="009119AB">
            <w:pPr>
              <w:keepNext/>
              <w:keepLines/>
              <w:spacing w:after="120"/>
              <w:jc w:val="center"/>
              <w:rPr>
                <w:rFonts w:cs="Calibri"/>
              </w:rPr>
            </w:pPr>
            <w:r w:rsidRPr="00D32C66">
              <w:rPr>
                <w:rFonts w:cs="Calibri"/>
              </w:rPr>
              <w:t>74.6</w:t>
            </w:r>
          </w:p>
        </w:tc>
        <w:tc>
          <w:tcPr>
            <w:tcW w:w="1898" w:type="dxa"/>
            <w:vAlign w:val="center"/>
          </w:tcPr>
          <w:p w14:paraId="11D4677A" w14:textId="28613AB8" w:rsidR="00012E15" w:rsidRPr="00B248F5" w:rsidRDefault="00012E15" w:rsidP="00B248F5">
            <w:pPr>
              <w:keepNext/>
              <w:keepLines/>
              <w:spacing w:after="120"/>
              <w:jc w:val="center"/>
              <w:rPr>
                <w:rFonts w:cs="Calibri"/>
              </w:rPr>
            </w:pPr>
            <w:r w:rsidRPr="00B248F5" w:rsidDel="00F54D29">
              <w:rPr>
                <w:rFonts w:cs="Calibri"/>
              </w:rPr>
              <w:t xml:space="preserve"> </w:t>
            </w:r>
            <w:r w:rsidRPr="00B248F5">
              <w:rPr>
                <w:rFonts w:cs="Calibri"/>
              </w:rPr>
              <w:t>79</w:t>
            </w:r>
          </w:p>
        </w:tc>
      </w:tr>
      <w:tr w:rsidR="00012E15" w14:paraId="518AECB0" w14:textId="77777777" w:rsidTr="00BB67E0">
        <w:tc>
          <w:tcPr>
            <w:tcW w:w="3000" w:type="dxa"/>
            <w:vAlign w:val="center"/>
          </w:tcPr>
          <w:p w14:paraId="0AA1D86C" w14:textId="23F67D61" w:rsidR="00012E15" w:rsidRDefault="00012E15">
            <w:pPr>
              <w:keepNext/>
              <w:keepLines/>
              <w:jc w:val="center"/>
              <w:rPr>
                <w:rFonts w:cs="Calibri"/>
                <w:b/>
              </w:rPr>
            </w:pPr>
            <w:r>
              <w:rPr>
                <w:rFonts w:cs="Calibri"/>
                <w:b/>
              </w:rPr>
              <w:t>Gain in the horizontal direction (</w:t>
            </w:r>
            <w:proofErr w:type="spellStart"/>
            <w:r>
              <w:rPr>
                <w:rFonts w:cs="Calibri"/>
                <w:b/>
              </w:rPr>
              <w:t>dBi</w:t>
            </w:r>
            <w:proofErr w:type="spellEnd"/>
            <w:r>
              <w:rPr>
                <w:rFonts w:cs="Calibri"/>
                <w:b/>
              </w:rPr>
              <w:t>)</w:t>
            </w:r>
          </w:p>
        </w:tc>
        <w:tc>
          <w:tcPr>
            <w:tcW w:w="1897" w:type="dxa"/>
            <w:vAlign w:val="center"/>
          </w:tcPr>
          <w:p w14:paraId="7DF852EA" w14:textId="35C6AC46" w:rsidR="00012E15" w:rsidRPr="00FD69C9" w:rsidRDefault="00012E15">
            <w:pPr>
              <w:keepNext/>
              <w:keepLines/>
              <w:jc w:val="center"/>
              <w:rPr>
                <w:rFonts w:cs="Calibri"/>
              </w:rPr>
            </w:pPr>
            <w:r>
              <w:rPr>
                <w:rFonts w:cs="Calibri"/>
              </w:rPr>
              <w:t>7</w:t>
            </w:r>
          </w:p>
        </w:tc>
        <w:tc>
          <w:tcPr>
            <w:tcW w:w="1897" w:type="dxa"/>
            <w:vAlign w:val="center"/>
          </w:tcPr>
          <w:p w14:paraId="3A91D73D" w14:textId="4234AF01" w:rsidR="00012E15" w:rsidRPr="00D32C66" w:rsidRDefault="00012E15">
            <w:pPr>
              <w:keepNext/>
              <w:keepLines/>
              <w:jc w:val="center"/>
              <w:rPr>
                <w:rFonts w:cs="Calibri"/>
              </w:rPr>
            </w:pPr>
            <w:r w:rsidRPr="00D32C66">
              <w:rPr>
                <w:rFonts w:cs="Calibri"/>
              </w:rPr>
              <w:t>12.5</w:t>
            </w:r>
          </w:p>
        </w:tc>
        <w:tc>
          <w:tcPr>
            <w:tcW w:w="1898" w:type="dxa"/>
            <w:vAlign w:val="center"/>
          </w:tcPr>
          <w:p w14:paraId="47EC5BCF" w14:textId="21CBD8F7" w:rsidR="00012E15" w:rsidRPr="00FD69C9" w:rsidRDefault="00012E15">
            <w:pPr>
              <w:keepNext/>
              <w:keepLines/>
              <w:jc w:val="center"/>
              <w:rPr>
                <w:rFonts w:cs="Calibri"/>
              </w:rPr>
            </w:pPr>
            <w:r>
              <w:rPr>
                <w:rFonts w:cs="Calibri"/>
              </w:rPr>
              <w:t>7</w:t>
            </w:r>
          </w:p>
        </w:tc>
      </w:tr>
      <w:tr w:rsidR="00BB5BB6" w14:paraId="04A1BC32" w14:textId="77777777" w:rsidTr="00BB67E0">
        <w:tc>
          <w:tcPr>
            <w:tcW w:w="3000" w:type="dxa"/>
            <w:vAlign w:val="center"/>
          </w:tcPr>
          <w:p w14:paraId="38086B93" w14:textId="77777777" w:rsidR="00BB5BB6" w:rsidRDefault="00B6795E" w:rsidP="00E5695B">
            <w:pPr>
              <w:keepNext/>
              <w:keepLines/>
              <w:spacing w:after="120"/>
              <w:jc w:val="center"/>
              <w:rPr>
                <w:rFonts w:cs="Calibri"/>
                <w:b/>
              </w:rPr>
            </w:pPr>
            <w:r>
              <w:rPr>
                <w:rFonts w:cs="Calibri"/>
                <w:b/>
              </w:rPr>
              <w:t>Antenna pattern</w:t>
            </w:r>
          </w:p>
          <w:p w14:paraId="3613B9CC" w14:textId="77777777" w:rsidR="00BB5BB6" w:rsidRDefault="00B6795E" w:rsidP="00E5695B">
            <w:pPr>
              <w:keepNext/>
              <w:keepLines/>
              <w:spacing w:after="120"/>
              <w:jc w:val="center"/>
              <w:rPr>
                <w:rFonts w:cs="Calibri"/>
                <w:b/>
              </w:rPr>
            </w:pPr>
            <w:r>
              <w:rPr>
                <w:rFonts w:cs="Calibri"/>
                <w:b/>
              </w:rPr>
              <w:t>-Vertical</w:t>
            </w:r>
          </w:p>
          <w:p w14:paraId="2DCBA752" w14:textId="77777777" w:rsidR="00BB5BB6" w:rsidRDefault="00B6795E" w:rsidP="00E5695B">
            <w:pPr>
              <w:keepNext/>
              <w:keepLines/>
              <w:jc w:val="center"/>
              <w:rPr>
                <w:rFonts w:cs="Calibri"/>
                <w:b/>
              </w:rPr>
            </w:pPr>
            <w:r>
              <w:rPr>
                <w:rFonts w:cs="Calibri"/>
                <w:b/>
              </w:rPr>
              <w:t>-Horizontal</w:t>
            </w:r>
          </w:p>
        </w:tc>
        <w:tc>
          <w:tcPr>
            <w:tcW w:w="5692" w:type="dxa"/>
            <w:gridSpan w:val="3"/>
            <w:vAlign w:val="center"/>
          </w:tcPr>
          <w:p w14:paraId="62E0C399" w14:textId="77777777" w:rsidR="00C36385" w:rsidRDefault="00C36385" w:rsidP="00C36385">
            <w:pPr>
              <w:spacing w:after="120"/>
              <w:jc w:val="center"/>
              <w:rPr>
                <w:rFonts w:cs="Calibri"/>
              </w:rPr>
            </w:pPr>
          </w:p>
          <w:p w14:paraId="12377B60" w14:textId="6A192D03" w:rsidR="00BB5BB6" w:rsidRDefault="00B6795E" w:rsidP="00C36385">
            <w:pPr>
              <w:spacing w:after="120"/>
              <w:jc w:val="center"/>
              <w:rPr>
                <w:rFonts w:cs="Calibri"/>
              </w:rPr>
            </w:pPr>
            <w:r>
              <w:rPr>
                <w:rFonts w:cs="Calibri"/>
              </w:rPr>
              <w:t>See Annex A for vertical pattern</w:t>
            </w:r>
            <w:r>
              <w:rPr>
                <w:rStyle w:val="FootnoteReference"/>
                <w:rFonts w:cs="Calibri"/>
              </w:rPr>
              <w:footnoteReference w:id="11"/>
            </w:r>
          </w:p>
          <w:p w14:paraId="7584D9BA" w14:textId="77777777" w:rsidR="00BB5BB6" w:rsidRDefault="00B6795E" w:rsidP="00E5695B">
            <w:pPr>
              <w:jc w:val="center"/>
            </w:pPr>
            <w:r>
              <w:t>Omnidirectional (H)</w:t>
            </w:r>
          </w:p>
        </w:tc>
      </w:tr>
      <w:tr w:rsidR="00012E15" w14:paraId="5F2F64AF" w14:textId="77777777" w:rsidTr="00BB67E0">
        <w:tc>
          <w:tcPr>
            <w:tcW w:w="3000" w:type="dxa"/>
            <w:vAlign w:val="center"/>
          </w:tcPr>
          <w:p w14:paraId="4BBD74F3" w14:textId="77777777" w:rsidR="00012E15" w:rsidRDefault="00012E15">
            <w:pPr>
              <w:keepNext/>
              <w:keepLines/>
              <w:jc w:val="center"/>
              <w:rPr>
                <w:rFonts w:cs="Calibri"/>
                <w:b/>
              </w:rPr>
            </w:pPr>
            <w:r>
              <w:rPr>
                <w:rFonts w:cs="Calibri"/>
                <w:b/>
              </w:rPr>
              <w:t>Percentage of time (</w:t>
            </w:r>
            <w:r>
              <w:rPr>
                <w:b/>
              </w:rPr>
              <w:t>p(%))</w:t>
            </w:r>
          </w:p>
        </w:tc>
        <w:tc>
          <w:tcPr>
            <w:tcW w:w="1897" w:type="dxa"/>
            <w:vAlign w:val="center"/>
          </w:tcPr>
          <w:p w14:paraId="3E3C5D41" w14:textId="7387DF78" w:rsidR="00012E15" w:rsidRPr="00991B18" w:rsidRDefault="00012E15">
            <w:pPr>
              <w:keepNext/>
              <w:keepLines/>
              <w:jc w:val="center"/>
              <w:rPr>
                <w:rFonts w:cs="Calibri"/>
              </w:rPr>
            </w:pPr>
            <w:r w:rsidRPr="00991B18">
              <w:rPr>
                <w:rFonts w:cs="Calibri"/>
              </w:rPr>
              <w:t>0.001</w:t>
            </w:r>
          </w:p>
        </w:tc>
        <w:tc>
          <w:tcPr>
            <w:tcW w:w="1897" w:type="dxa"/>
            <w:vAlign w:val="center"/>
          </w:tcPr>
          <w:p w14:paraId="2CD24B53" w14:textId="6E9DB615" w:rsidR="00012E15" w:rsidRPr="00991B18" w:rsidRDefault="00012E15">
            <w:pPr>
              <w:keepNext/>
              <w:keepLines/>
              <w:jc w:val="center"/>
              <w:rPr>
                <w:rFonts w:cs="Calibri"/>
              </w:rPr>
            </w:pPr>
            <w:r w:rsidRPr="00EB6F8A">
              <w:rPr>
                <w:rFonts w:cs="Calibri"/>
              </w:rPr>
              <w:t>0.05</w:t>
            </w:r>
          </w:p>
        </w:tc>
        <w:tc>
          <w:tcPr>
            <w:tcW w:w="1898" w:type="dxa"/>
            <w:vAlign w:val="center"/>
          </w:tcPr>
          <w:p w14:paraId="193346CA" w14:textId="112CF7F6" w:rsidR="00012E15" w:rsidRPr="00991B18" w:rsidRDefault="00012E15">
            <w:pPr>
              <w:keepNext/>
              <w:keepLines/>
              <w:jc w:val="center"/>
              <w:rPr>
                <w:rFonts w:cs="Calibri"/>
              </w:rPr>
            </w:pPr>
            <w:r w:rsidRPr="00991B18">
              <w:rPr>
                <w:rFonts w:cs="Calibri"/>
              </w:rPr>
              <w:t>0.001</w:t>
            </w:r>
          </w:p>
        </w:tc>
      </w:tr>
      <w:tr w:rsidR="00012E15" w14:paraId="49FECEFE" w14:textId="77777777" w:rsidTr="00BB67E0">
        <w:tc>
          <w:tcPr>
            <w:tcW w:w="3000" w:type="dxa"/>
            <w:vAlign w:val="center"/>
          </w:tcPr>
          <w:p w14:paraId="38367B58" w14:textId="77777777" w:rsidR="00012E15" w:rsidRDefault="00012E15">
            <w:pPr>
              <w:keepNext/>
              <w:keepLines/>
              <w:jc w:val="center"/>
              <w:rPr>
                <w:rFonts w:cs="Calibri"/>
                <w:b/>
              </w:rPr>
            </w:pPr>
            <w:r>
              <w:rPr>
                <w:rFonts w:cs="Calibri"/>
                <w:b/>
              </w:rPr>
              <w:t>Delta N</w:t>
            </w:r>
          </w:p>
        </w:tc>
        <w:tc>
          <w:tcPr>
            <w:tcW w:w="1897" w:type="dxa"/>
            <w:vAlign w:val="center"/>
          </w:tcPr>
          <w:p w14:paraId="1D26BCC8" w14:textId="053153A4" w:rsidR="00012E15" w:rsidRDefault="00012E15">
            <w:pPr>
              <w:keepNext/>
              <w:keepLines/>
              <w:jc w:val="center"/>
              <w:rPr>
                <w:rFonts w:cs="Calibri"/>
              </w:rPr>
            </w:pPr>
            <w:r>
              <w:rPr>
                <w:rFonts w:cs="Calibri"/>
              </w:rPr>
              <w:t>50</w:t>
            </w:r>
          </w:p>
        </w:tc>
        <w:tc>
          <w:tcPr>
            <w:tcW w:w="1897" w:type="dxa"/>
            <w:vAlign w:val="center"/>
          </w:tcPr>
          <w:p w14:paraId="72250804" w14:textId="506261B1" w:rsidR="00012E15" w:rsidRDefault="00012E15">
            <w:pPr>
              <w:keepNext/>
              <w:keepLines/>
              <w:jc w:val="center"/>
              <w:rPr>
                <w:rFonts w:cs="Calibri"/>
              </w:rPr>
            </w:pPr>
            <w:r>
              <w:rPr>
                <w:rFonts w:cs="Calibri"/>
              </w:rPr>
              <w:t>50</w:t>
            </w:r>
          </w:p>
        </w:tc>
        <w:tc>
          <w:tcPr>
            <w:tcW w:w="1898" w:type="dxa"/>
            <w:vAlign w:val="center"/>
          </w:tcPr>
          <w:p w14:paraId="5DBA2A8A" w14:textId="6D6D0BE7" w:rsidR="00012E15" w:rsidRDefault="00012E15">
            <w:pPr>
              <w:keepNext/>
              <w:keepLines/>
              <w:jc w:val="center"/>
              <w:rPr>
                <w:rFonts w:cs="Calibri"/>
              </w:rPr>
            </w:pPr>
            <w:r>
              <w:rPr>
                <w:rFonts w:cs="Calibri"/>
              </w:rPr>
              <w:t>50</w:t>
            </w:r>
          </w:p>
        </w:tc>
      </w:tr>
      <w:tr w:rsidR="00012E15" w14:paraId="68E0C5CD" w14:textId="77777777" w:rsidTr="00BB67E0">
        <w:tc>
          <w:tcPr>
            <w:tcW w:w="3000" w:type="dxa"/>
            <w:vAlign w:val="center"/>
          </w:tcPr>
          <w:p w14:paraId="4F57BE77" w14:textId="77777777" w:rsidR="00012E15" w:rsidRDefault="00012E15">
            <w:pPr>
              <w:keepNext/>
              <w:keepLines/>
              <w:jc w:val="center"/>
              <w:rPr>
                <w:rFonts w:cs="Calibri"/>
                <w:b/>
              </w:rPr>
            </w:pPr>
            <w:r>
              <w:rPr>
                <w:rFonts w:cs="Calibri"/>
                <w:b/>
              </w:rPr>
              <w:t>Sea Level Surface Refractivity (N</w:t>
            </w:r>
            <w:r>
              <w:rPr>
                <w:rFonts w:cs="Calibri"/>
                <w:b/>
                <w:vertAlign w:val="subscript"/>
              </w:rPr>
              <w:t>o</w:t>
            </w:r>
            <w:r>
              <w:rPr>
                <w:rFonts w:cs="Calibri"/>
                <w:b/>
              </w:rPr>
              <w:t>)</w:t>
            </w:r>
          </w:p>
        </w:tc>
        <w:tc>
          <w:tcPr>
            <w:tcW w:w="1897" w:type="dxa"/>
            <w:vAlign w:val="center"/>
          </w:tcPr>
          <w:p w14:paraId="7432AD0D" w14:textId="0B6EA06C" w:rsidR="00012E15" w:rsidRDefault="00012E15">
            <w:pPr>
              <w:keepNext/>
              <w:keepLines/>
              <w:jc w:val="center"/>
              <w:rPr>
                <w:rFonts w:cs="Calibri"/>
              </w:rPr>
            </w:pPr>
            <w:r>
              <w:rPr>
                <w:rFonts w:cs="Calibri"/>
              </w:rPr>
              <w:t>330</w:t>
            </w:r>
          </w:p>
        </w:tc>
        <w:tc>
          <w:tcPr>
            <w:tcW w:w="1897" w:type="dxa"/>
            <w:vAlign w:val="center"/>
          </w:tcPr>
          <w:p w14:paraId="5725B30C" w14:textId="2E0CFA52" w:rsidR="00012E15" w:rsidRDefault="00012E15">
            <w:pPr>
              <w:keepNext/>
              <w:keepLines/>
              <w:jc w:val="center"/>
              <w:rPr>
                <w:rFonts w:cs="Calibri"/>
              </w:rPr>
            </w:pPr>
            <w:r>
              <w:rPr>
                <w:rFonts w:cs="Calibri"/>
              </w:rPr>
              <w:t>330</w:t>
            </w:r>
          </w:p>
        </w:tc>
        <w:tc>
          <w:tcPr>
            <w:tcW w:w="1898" w:type="dxa"/>
            <w:vAlign w:val="center"/>
          </w:tcPr>
          <w:p w14:paraId="6D942F20" w14:textId="6E07B804" w:rsidR="00012E15" w:rsidRDefault="00012E15">
            <w:pPr>
              <w:keepNext/>
              <w:keepLines/>
              <w:jc w:val="center"/>
              <w:rPr>
                <w:rFonts w:cs="Calibri"/>
              </w:rPr>
            </w:pPr>
            <w:r>
              <w:rPr>
                <w:rFonts w:cs="Calibri"/>
              </w:rPr>
              <w:t>330</w:t>
            </w:r>
          </w:p>
        </w:tc>
      </w:tr>
      <w:tr w:rsidR="00BB5BB6" w14:paraId="4A18FBE8" w14:textId="77777777" w:rsidTr="00BB67E0">
        <w:tc>
          <w:tcPr>
            <w:tcW w:w="3000" w:type="dxa"/>
            <w:vAlign w:val="center"/>
          </w:tcPr>
          <w:p w14:paraId="121127F6" w14:textId="77777777" w:rsidR="00BB5BB6" w:rsidRDefault="00B6795E">
            <w:pPr>
              <w:keepNext/>
              <w:keepLines/>
              <w:jc w:val="center"/>
              <w:rPr>
                <w:rFonts w:cs="Calibri"/>
                <w:b/>
              </w:rPr>
            </w:pPr>
            <w:r>
              <w:rPr>
                <w:rFonts w:cs="Calibri"/>
                <w:b/>
              </w:rPr>
              <w:t>Digital elevation model (DEM)</w:t>
            </w:r>
          </w:p>
        </w:tc>
        <w:tc>
          <w:tcPr>
            <w:tcW w:w="5692" w:type="dxa"/>
            <w:gridSpan w:val="3"/>
            <w:vAlign w:val="center"/>
          </w:tcPr>
          <w:p w14:paraId="3736BDB8" w14:textId="77777777" w:rsidR="00BB5BB6" w:rsidRDefault="00B6795E">
            <w:pPr>
              <w:keepNext/>
              <w:keepLines/>
              <w:jc w:val="center"/>
              <w:rPr>
                <w:rFonts w:cs="Calibri"/>
              </w:rPr>
            </w:pPr>
            <w:r>
              <w:rPr>
                <w:rFonts w:cs="Calibri"/>
              </w:rPr>
              <w:t xml:space="preserve">3 </w:t>
            </w:r>
            <w:r w:rsidR="00CF10CE">
              <w:rPr>
                <w:rFonts w:cs="Calibri"/>
              </w:rPr>
              <w:t>arc</w:t>
            </w:r>
            <w:r>
              <w:rPr>
                <w:rFonts w:cs="Calibri"/>
              </w:rPr>
              <w:t>second DEM or better</w:t>
            </w:r>
          </w:p>
        </w:tc>
      </w:tr>
    </w:tbl>
    <w:p w14:paraId="3B84D8BC" w14:textId="77777777" w:rsidR="00BB5BB6" w:rsidRDefault="00BB5BB6">
      <w:pPr>
        <w:rPr>
          <w:rFonts w:cs="Calibri"/>
        </w:rPr>
      </w:pPr>
    </w:p>
    <w:p w14:paraId="727B7BE3" w14:textId="77777777" w:rsidR="00BB5BB6" w:rsidRDefault="00B6795E">
      <w:pPr>
        <w:pStyle w:val="Caption"/>
        <w:keepNext/>
        <w:keepLines/>
      </w:pPr>
      <w:r>
        <w:lastRenderedPageBreak/>
        <w:t>Transmitter characteristics for Tidbinbilla earth station</w:t>
      </w:r>
    </w:p>
    <w:tbl>
      <w:tblPr>
        <w:tblStyle w:val="TableGrid"/>
        <w:tblW w:w="8692" w:type="dxa"/>
        <w:tblInd w:w="517" w:type="dxa"/>
        <w:tblLayout w:type="fixed"/>
        <w:tblLook w:val="04A0" w:firstRow="1" w:lastRow="0" w:firstColumn="1" w:lastColumn="0" w:noHBand="0" w:noVBand="1"/>
      </w:tblPr>
      <w:tblGrid>
        <w:gridCol w:w="2739"/>
        <w:gridCol w:w="1488"/>
        <w:gridCol w:w="1488"/>
        <w:gridCol w:w="1488"/>
        <w:gridCol w:w="1489"/>
      </w:tblGrid>
      <w:tr w:rsidR="00BB5BB6" w14:paraId="4509A433" w14:textId="77777777" w:rsidTr="009D511C">
        <w:tc>
          <w:tcPr>
            <w:tcW w:w="2739" w:type="dxa"/>
            <w:vMerge w:val="restart"/>
            <w:vAlign w:val="center"/>
          </w:tcPr>
          <w:p w14:paraId="064C9A45" w14:textId="77777777" w:rsidR="00BB5BB6" w:rsidRPr="00B248F5" w:rsidRDefault="00B6795E">
            <w:pPr>
              <w:keepNext/>
              <w:keepLines/>
              <w:jc w:val="center"/>
              <w:rPr>
                <w:rFonts w:cs="Calibri"/>
                <w:b/>
              </w:rPr>
            </w:pPr>
            <w:r w:rsidRPr="00B248F5">
              <w:rPr>
                <w:rFonts w:cs="Calibri"/>
                <w:b/>
              </w:rPr>
              <w:t>System parameter</w:t>
            </w:r>
          </w:p>
        </w:tc>
        <w:tc>
          <w:tcPr>
            <w:tcW w:w="5953" w:type="dxa"/>
            <w:gridSpan w:val="4"/>
          </w:tcPr>
          <w:p w14:paraId="43C704A2" w14:textId="77777777" w:rsidR="00BB5BB6" w:rsidRPr="00B248F5" w:rsidRDefault="00B6795E">
            <w:pPr>
              <w:keepNext/>
              <w:keepLines/>
              <w:jc w:val="center"/>
              <w:rPr>
                <w:rFonts w:cs="Calibri"/>
                <w:b/>
              </w:rPr>
            </w:pPr>
            <w:r w:rsidRPr="00B248F5">
              <w:rPr>
                <w:rFonts w:cs="Calibri"/>
                <w:b/>
              </w:rPr>
              <w:t>Frequency of Operation (GHz)</w:t>
            </w:r>
          </w:p>
        </w:tc>
      </w:tr>
      <w:tr w:rsidR="00BB5BB6" w14:paraId="044EBD82" w14:textId="77777777" w:rsidTr="009D511C">
        <w:tc>
          <w:tcPr>
            <w:tcW w:w="2739" w:type="dxa"/>
            <w:vMerge/>
            <w:vAlign w:val="center"/>
          </w:tcPr>
          <w:p w14:paraId="1DED2134" w14:textId="77777777" w:rsidR="00BB5BB6" w:rsidRPr="00B248F5" w:rsidRDefault="00BB5BB6">
            <w:pPr>
              <w:keepNext/>
              <w:keepLines/>
              <w:jc w:val="center"/>
              <w:rPr>
                <w:rFonts w:cs="Calibri"/>
                <w:b/>
              </w:rPr>
            </w:pPr>
          </w:p>
        </w:tc>
        <w:tc>
          <w:tcPr>
            <w:tcW w:w="1488" w:type="dxa"/>
          </w:tcPr>
          <w:p w14:paraId="2D1F9837" w14:textId="69C29563" w:rsidR="00BB5BB6" w:rsidRPr="00B248F5" w:rsidRDefault="00B6795E">
            <w:pPr>
              <w:keepNext/>
              <w:keepLines/>
              <w:jc w:val="center"/>
              <w:rPr>
                <w:rFonts w:cs="Calibri"/>
                <w:b/>
              </w:rPr>
            </w:pPr>
            <w:r w:rsidRPr="00B248F5">
              <w:rPr>
                <w:rFonts w:cs="Calibri"/>
                <w:b/>
              </w:rPr>
              <w:t xml:space="preserve">7.145-7.190 </w:t>
            </w:r>
          </w:p>
        </w:tc>
        <w:tc>
          <w:tcPr>
            <w:tcW w:w="1488" w:type="dxa"/>
            <w:vAlign w:val="center"/>
          </w:tcPr>
          <w:p w14:paraId="301F4508" w14:textId="68E9F01F" w:rsidR="00BB5BB6" w:rsidRPr="00B248F5" w:rsidRDefault="00B6795E">
            <w:pPr>
              <w:keepNext/>
              <w:keepLines/>
              <w:jc w:val="center"/>
              <w:rPr>
                <w:rFonts w:cs="Calibri"/>
                <w:b/>
              </w:rPr>
            </w:pPr>
            <w:r w:rsidRPr="00B248F5">
              <w:rPr>
                <w:rFonts w:cs="Calibri"/>
                <w:b/>
              </w:rPr>
              <w:t xml:space="preserve">7.190-7.235 </w:t>
            </w:r>
          </w:p>
        </w:tc>
        <w:tc>
          <w:tcPr>
            <w:tcW w:w="1488" w:type="dxa"/>
            <w:shd w:val="clear" w:color="auto" w:fill="auto"/>
          </w:tcPr>
          <w:p w14:paraId="3AA80F96" w14:textId="71ADCA72" w:rsidR="00BB5BB6" w:rsidRPr="00B248F5" w:rsidRDefault="00B6795E">
            <w:pPr>
              <w:keepNext/>
              <w:keepLines/>
              <w:jc w:val="center"/>
              <w:rPr>
                <w:rFonts w:cs="Calibri"/>
                <w:b/>
              </w:rPr>
            </w:pPr>
            <w:r w:rsidRPr="00B248F5">
              <w:rPr>
                <w:rFonts w:cs="Calibri"/>
                <w:b/>
              </w:rPr>
              <w:t xml:space="preserve">22.55-23.15 </w:t>
            </w:r>
          </w:p>
        </w:tc>
        <w:tc>
          <w:tcPr>
            <w:tcW w:w="1489" w:type="dxa"/>
            <w:vAlign w:val="center"/>
          </w:tcPr>
          <w:p w14:paraId="5C6AB280" w14:textId="32443475" w:rsidR="00BB5BB6" w:rsidRPr="00B248F5" w:rsidRDefault="00B6795E">
            <w:pPr>
              <w:keepNext/>
              <w:keepLines/>
              <w:jc w:val="center"/>
              <w:rPr>
                <w:rFonts w:cs="Calibri"/>
                <w:b/>
              </w:rPr>
            </w:pPr>
            <w:r w:rsidRPr="00B248F5">
              <w:rPr>
                <w:rFonts w:cs="Calibri"/>
                <w:b/>
              </w:rPr>
              <w:t>34.2-34.7</w:t>
            </w:r>
          </w:p>
        </w:tc>
      </w:tr>
      <w:tr w:rsidR="00BB5BB6" w14:paraId="26AFF9C2" w14:textId="77777777" w:rsidTr="009D511C">
        <w:tc>
          <w:tcPr>
            <w:tcW w:w="2739" w:type="dxa"/>
            <w:vAlign w:val="center"/>
          </w:tcPr>
          <w:p w14:paraId="5BC8D202" w14:textId="6D2816DD" w:rsidR="00535245" w:rsidRPr="00B248F5" w:rsidRDefault="00B6795E" w:rsidP="00D96F4D">
            <w:pPr>
              <w:keepNext/>
              <w:keepLines/>
              <w:spacing w:after="120"/>
              <w:jc w:val="center"/>
              <w:rPr>
                <w:rFonts w:cs="Calibri"/>
                <w:b/>
              </w:rPr>
            </w:pPr>
            <w:r w:rsidRPr="00535245">
              <w:rPr>
                <w:rFonts w:cs="Calibri"/>
                <w:b/>
              </w:rPr>
              <w:t>Tx Power</w:t>
            </w:r>
            <w:r w:rsidR="00810814">
              <w:rPr>
                <w:rFonts w:cs="Calibri"/>
                <w:b/>
              </w:rPr>
              <w:t xml:space="preserve"> </w:t>
            </w:r>
            <w:r w:rsidRPr="00535245">
              <w:rPr>
                <w:rFonts w:cs="Calibri"/>
                <w:b/>
              </w:rPr>
              <w:t>(</w:t>
            </w:r>
            <w:proofErr w:type="spellStart"/>
            <w:r w:rsidRPr="00535245">
              <w:rPr>
                <w:rFonts w:cs="Calibri"/>
                <w:b/>
              </w:rPr>
              <w:t>dBW</w:t>
            </w:r>
            <w:proofErr w:type="spellEnd"/>
            <w:r w:rsidRPr="00535245">
              <w:rPr>
                <w:rFonts w:cs="Calibri"/>
                <w:b/>
              </w:rPr>
              <w:t>)</w:t>
            </w:r>
          </w:p>
        </w:tc>
        <w:tc>
          <w:tcPr>
            <w:tcW w:w="1488" w:type="dxa"/>
            <w:vAlign w:val="center"/>
          </w:tcPr>
          <w:p w14:paraId="422D6FE4" w14:textId="1684CA55" w:rsidR="007309A6" w:rsidRPr="00D32C66" w:rsidRDefault="00B6795E" w:rsidP="00A47063">
            <w:pPr>
              <w:keepNext/>
              <w:keepLines/>
              <w:jc w:val="center"/>
              <w:rPr>
                <w:rFonts w:cs="Calibri"/>
              </w:rPr>
            </w:pPr>
            <w:r w:rsidRPr="00D32C66">
              <w:rPr>
                <w:rFonts w:cs="Calibri"/>
              </w:rPr>
              <w:t>4</w:t>
            </w:r>
            <w:r w:rsidR="00621C4E" w:rsidRPr="00D32C66">
              <w:rPr>
                <w:rFonts w:cs="Calibri"/>
              </w:rPr>
              <w:t>9</w:t>
            </w:r>
          </w:p>
        </w:tc>
        <w:tc>
          <w:tcPr>
            <w:tcW w:w="1488" w:type="dxa"/>
            <w:vAlign w:val="center"/>
          </w:tcPr>
          <w:p w14:paraId="642A5D82" w14:textId="7F52E083" w:rsidR="007309A6" w:rsidRPr="00D32C66" w:rsidRDefault="00B6795E" w:rsidP="007309A6">
            <w:pPr>
              <w:keepNext/>
              <w:keepLines/>
              <w:jc w:val="center"/>
              <w:rPr>
                <w:rFonts w:cs="Calibri"/>
              </w:rPr>
            </w:pPr>
            <w:r w:rsidRPr="00D32C66">
              <w:rPr>
                <w:rFonts w:cs="Calibri"/>
              </w:rPr>
              <w:t>4</w:t>
            </w:r>
            <w:r w:rsidR="00535245" w:rsidRPr="00D32C66">
              <w:rPr>
                <w:rFonts w:cs="Calibri"/>
              </w:rPr>
              <w:t>9</w:t>
            </w:r>
          </w:p>
        </w:tc>
        <w:tc>
          <w:tcPr>
            <w:tcW w:w="1488" w:type="dxa"/>
            <w:shd w:val="clear" w:color="auto" w:fill="auto"/>
            <w:vAlign w:val="center"/>
          </w:tcPr>
          <w:p w14:paraId="485242B5" w14:textId="297C064A" w:rsidR="00535245" w:rsidRPr="00D32C66" w:rsidRDefault="00AE6C0C">
            <w:pPr>
              <w:keepNext/>
              <w:keepLines/>
              <w:jc w:val="center"/>
              <w:rPr>
                <w:rFonts w:cs="Calibri"/>
              </w:rPr>
            </w:pPr>
            <w:r w:rsidRPr="00D32C66" w:rsidDel="00535245">
              <w:rPr>
                <w:rFonts w:cs="Calibri"/>
              </w:rPr>
              <w:t xml:space="preserve"> </w:t>
            </w:r>
            <w:r w:rsidR="00535245" w:rsidRPr="00D32C66">
              <w:rPr>
                <w:rFonts w:cs="Calibri"/>
              </w:rPr>
              <w:t>2</w:t>
            </w:r>
            <w:r w:rsidR="00E35173" w:rsidRPr="00D32C66">
              <w:rPr>
                <w:rFonts w:cs="Calibri"/>
              </w:rPr>
              <w:t>4</w:t>
            </w:r>
          </w:p>
        </w:tc>
        <w:tc>
          <w:tcPr>
            <w:tcW w:w="1489" w:type="dxa"/>
            <w:vAlign w:val="center"/>
          </w:tcPr>
          <w:p w14:paraId="16D5E49C" w14:textId="160A12BC" w:rsidR="00BB5BB6" w:rsidRPr="00D32C66" w:rsidRDefault="00535245">
            <w:pPr>
              <w:keepNext/>
              <w:keepLines/>
              <w:jc w:val="center"/>
              <w:rPr>
                <w:rFonts w:cs="Calibri"/>
              </w:rPr>
            </w:pPr>
            <w:r w:rsidRPr="00D32C66">
              <w:rPr>
                <w:rFonts w:cs="Calibri"/>
              </w:rPr>
              <w:t>29</w:t>
            </w:r>
          </w:p>
        </w:tc>
      </w:tr>
      <w:tr w:rsidR="00BB5BB6" w14:paraId="7ABFF2F3" w14:textId="77777777" w:rsidTr="009D511C">
        <w:tc>
          <w:tcPr>
            <w:tcW w:w="2739" w:type="dxa"/>
            <w:vAlign w:val="center"/>
          </w:tcPr>
          <w:p w14:paraId="480D4D16" w14:textId="2C4FF2AC" w:rsidR="00535245" w:rsidRPr="00B248F5" w:rsidRDefault="00B6795E" w:rsidP="00A23794">
            <w:pPr>
              <w:keepNext/>
              <w:keepLines/>
              <w:spacing w:after="120"/>
              <w:jc w:val="center"/>
              <w:rPr>
                <w:rFonts w:cs="Calibri"/>
                <w:b/>
              </w:rPr>
            </w:pPr>
            <w:r w:rsidRPr="00B248F5">
              <w:rPr>
                <w:rFonts w:cs="Calibri"/>
                <w:b/>
              </w:rPr>
              <w:t>Tx Spectral power density (</w:t>
            </w:r>
            <w:proofErr w:type="spellStart"/>
            <w:r w:rsidRPr="00B248F5">
              <w:rPr>
                <w:rFonts w:cs="Calibri"/>
                <w:b/>
              </w:rPr>
              <w:t>dBW</w:t>
            </w:r>
            <w:proofErr w:type="spellEnd"/>
            <w:r w:rsidRPr="00B248F5">
              <w:rPr>
                <w:rFonts w:cs="Calibri"/>
                <w:b/>
              </w:rPr>
              <w:t>/Hz)</w:t>
            </w:r>
          </w:p>
        </w:tc>
        <w:tc>
          <w:tcPr>
            <w:tcW w:w="1488" w:type="dxa"/>
            <w:vAlign w:val="center"/>
          </w:tcPr>
          <w:p w14:paraId="41531504" w14:textId="1B7D8593" w:rsidR="00BB5BB6" w:rsidRPr="00D32C66" w:rsidRDefault="00535245" w:rsidP="00A47063">
            <w:pPr>
              <w:keepNext/>
              <w:keepLines/>
              <w:spacing w:after="0"/>
              <w:jc w:val="center"/>
              <w:rPr>
                <w:rFonts w:cs="Calibri"/>
              </w:rPr>
            </w:pPr>
            <w:r w:rsidRPr="00D32C66">
              <w:rPr>
                <w:rFonts w:cs="Calibri"/>
              </w:rPr>
              <w:t>13</w:t>
            </w:r>
          </w:p>
          <w:p w14:paraId="2B5A13FE" w14:textId="44A45175" w:rsidR="00BB5BB6" w:rsidRPr="00D32C66" w:rsidRDefault="00B6795E">
            <w:pPr>
              <w:keepNext/>
              <w:keepLines/>
              <w:jc w:val="center"/>
              <w:rPr>
                <w:rFonts w:cs="Calibri"/>
              </w:rPr>
            </w:pPr>
            <w:r w:rsidRPr="00D32C66">
              <w:rPr>
                <w:rFonts w:cs="Calibri"/>
              </w:rPr>
              <w:t>(averaged over 4 kHz)</w:t>
            </w:r>
          </w:p>
        </w:tc>
        <w:tc>
          <w:tcPr>
            <w:tcW w:w="1488" w:type="dxa"/>
            <w:vAlign w:val="center"/>
          </w:tcPr>
          <w:p w14:paraId="39BDD370" w14:textId="397A129F" w:rsidR="00BB5BB6" w:rsidRPr="00D32C66" w:rsidRDefault="00535245" w:rsidP="008317C9">
            <w:pPr>
              <w:keepNext/>
              <w:keepLines/>
              <w:spacing w:after="0"/>
              <w:jc w:val="center"/>
              <w:rPr>
                <w:rFonts w:cs="Calibri"/>
              </w:rPr>
            </w:pPr>
            <w:r w:rsidRPr="00D32C66">
              <w:rPr>
                <w:rFonts w:cs="Calibri"/>
              </w:rPr>
              <w:t>13</w:t>
            </w:r>
          </w:p>
          <w:p w14:paraId="42653333" w14:textId="77777777" w:rsidR="00BB5BB6" w:rsidRPr="00D32C66" w:rsidRDefault="00B6795E">
            <w:pPr>
              <w:keepNext/>
              <w:keepLines/>
              <w:jc w:val="center"/>
              <w:rPr>
                <w:rFonts w:cs="Calibri"/>
              </w:rPr>
            </w:pPr>
            <w:r w:rsidRPr="00D32C66">
              <w:rPr>
                <w:rFonts w:cs="Calibri"/>
              </w:rPr>
              <w:t>(averaged over 4 kHz)</w:t>
            </w:r>
          </w:p>
        </w:tc>
        <w:tc>
          <w:tcPr>
            <w:tcW w:w="1488" w:type="dxa"/>
            <w:shd w:val="clear" w:color="auto" w:fill="auto"/>
            <w:vAlign w:val="center"/>
          </w:tcPr>
          <w:p w14:paraId="7E97EDC3" w14:textId="1B293CC6" w:rsidR="00BB5BB6" w:rsidRPr="00D32C66" w:rsidRDefault="008F27A8" w:rsidP="008317C9">
            <w:pPr>
              <w:keepNext/>
              <w:keepLines/>
              <w:spacing w:after="0"/>
              <w:jc w:val="center"/>
              <w:rPr>
                <w:rFonts w:cs="Calibri"/>
              </w:rPr>
            </w:pPr>
            <w:r w:rsidRPr="00D32C66">
              <w:rPr>
                <w:rFonts w:cs="Calibri"/>
              </w:rPr>
              <w:t>-</w:t>
            </w:r>
            <w:r w:rsidR="00535245" w:rsidRPr="00D32C66">
              <w:rPr>
                <w:rFonts w:cs="Calibri"/>
              </w:rPr>
              <w:t>3</w:t>
            </w:r>
            <w:r w:rsidR="003E6E59" w:rsidRPr="00D32C66">
              <w:rPr>
                <w:rFonts w:cs="Calibri"/>
              </w:rPr>
              <w:t>6</w:t>
            </w:r>
          </w:p>
          <w:p w14:paraId="3F69F841" w14:textId="29B8BAF6" w:rsidR="008F27A8" w:rsidRPr="00D32C66" w:rsidRDefault="008F27A8" w:rsidP="009D511C">
            <w:pPr>
              <w:keepNext/>
              <w:keepLines/>
              <w:jc w:val="center"/>
              <w:rPr>
                <w:rFonts w:cs="Calibri"/>
              </w:rPr>
            </w:pPr>
            <w:r w:rsidRPr="00D32C66">
              <w:rPr>
                <w:rFonts w:cs="Calibri"/>
              </w:rPr>
              <w:t>(averaged over 1 MHz)</w:t>
            </w:r>
          </w:p>
        </w:tc>
        <w:tc>
          <w:tcPr>
            <w:tcW w:w="1489" w:type="dxa"/>
            <w:vAlign w:val="center"/>
          </w:tcPr>
          <w:p w14:paraId="5F65AF73" w14:textId="180D37B2" w:rsidR="00BB5BB6" w:rsidRPr="00D32C66" w:rsidRDefault="00B6795E" w:rsidP="008317C9">
            <w:pPr>
              <w:keepNext/>
              <w:keepLines/>
              <w:spacing w:after="0"/>
              <w:jc w:val="center"/>
              <w:rPr>
                <w:rFonts w:cs="Calibri"/>
              </w:rPr>
            </w:pPr>
            <w:r w:rsidRPr="00D32C66">
              <w:rPr>
                <w:rFonts w:cs="Calibri"/>
              </w:rPr>
              <w:t>-3</w:t>
            </w:r>
            <w:r w:rsidR="00535245" w:rsidRPr="00D32C66">
              <w:rPr>
                <w:rFonts w:cs="Calibri"/>
              </w:rPr>
              <w:t>1</w:t>
            </w:r>
          </w:p>
          <w:p w14:paraId="5B08C6D0" w14:textId="77777777" w:rsidR="00BB5BB6" w:rsidRPr="00D32C66" w:rsidRDefault="00B6795E">
            <w:pPr>
              <w:keepNext/>
              <w:keepLines/>
              <w:jc w:val="center"/>
              <w:rPr>
                <w:rFonts w:cs="Calibri"/>
              </w:rPr>
            </w:pPr>
            <w:r w:rsidRPr="00D32C66">
              <w:rPr>
                <w:rFonts w:cs="Calibri"/>
              </w:rPr>
              <w:t>(averaged over 1 MHz)</w:t>
            </w:r>
          </w:p>
        </w:tc>
      </w:tr>
      <w:tr w:rsidR="00AE6C0C" w14:paraId="10309366" w14:textId="77777777" w:rsidTr="009D511C">
        <w:tc>
          <w:tcPr>
            <w:tcW w:w="2739" w:type="dxa"/>
            <w:vAlign w:val="center"/>
          </w:tcPr>
          <w:p w14:paraId="30D848DE" w14:textId="77777777" w:rsidR="00AE6C0C" w:rsidRPr="00B248F5" w:rsidRDefault="00AE6C0C">
            <w:pPr>
              <w:keepNext/>
              <w:keepLines/>
              <w:jc w:val="center"/>
              <w:rPr>
                <w:rFonts w:cs="Calibri"/>
                <w:b/>
              </w:rPr>
            </w:pPr>
            <w:r w:rsidRPr="00B248F5">
              <w:rPr>
                <w:rFonts w:cs="Calibri"/>
                <w:b/>
              </w:rPr>
              <w:t>Antenna coordinates (GDA94)</w:t>
            </w:r>
          </w:p>
        </w:tc>
        <w:tc>
          <w:tcPr>
            <w:tcW w:w="2976" w:type="dxa"/>
            <w:gridSpan w:val="2"/>
            <w:vAlign w:val="center"/>
          </w:tcPr>
          <w:p w14:paraId="2BEE91B9" w14:textId="7D093258" w:rsidR="00AE6C0C" w:rsidRPr="00B248F5" w:rsidRDefault="00AE6C0C">
            <w:pPr>
              <w:keepNext/>
              <w:keepLines/>
              <w:jc w:val="center"/>
              <w:rPr>
                <w:rFonts w:cs="Calibri"/>
              </w:rPr>
            </w:pPr>
            <w:r w:rsidRPr="00B248F5">
              <w:rPr>
                <w:rFonts w:cs="Calibri"/>
                <w:szCs w:val="20"/>
              </w:rPr>
              <w:t>-35.</w:t>
            </w:r>
            <w:r w:rsidR="00CF32C5">
              <w:rPr>
                <w:rFonts w:cs="Calibri"/>
                <w:szCs w:val="20"/>
              </w:rPr>
              <w:t>402424</w:t>
            </w:r>
            <w:r w:rsidRPr="00B248F5">
              <w:rPr>
                <w:rFonts w:cs="Calibri"/>
                <w:szCs w:val="20"/>
              </w:rPr>
              <w:t>°, 148.</w:t>
            </w:r>
            <w:r w:rsidR="00CF32C5">
              <w:rPr>
                <w:rFonts w:cs="Calibri"/>
                <w:szCs w:val="20"/>
              </w:rPr>
              <w:t>981267</w:t>
            </w:r>
            <w:r w:rsidRPr="00B248F5">
              <w:rPr>
                <w:rFonts w:cs="Calibri"/>
                <w:szCs w:val="20"/>
              </w:rPr>
              <w:t xml:space="preserve">° </w:t>
            </w:r>
          </w:p>
        </w:tc>
        <w:tc>
          <w:tcPr>
            <w:tcW w:w="2977" w:type="dxa"/>
            <w:gridSpan w:val="2"/>
            <w:vAlign w:val="center"/>
          </w:tcPr>
          <w:p w14:paraId="74703866" w14:textId="09686EC6" w:rsidR="00AE6C0C" w:rsidRPr="00B248F5" w:rsidRDefault="00AE6C0C">
            <w:pPr>
              <w:keepNext/>
              <w:keepLines/>
              <w:jc w:val="center"/>
              <w:rPr>
                <w:rFonts w:cs="Calibri"/>
              </w:rPr>
            </w:pPr>
            <w:r>
              <w:rPr>
                <w:rFonts w:cs="Calibri"/>
              </w:rPr>
              <w:t>-35.</w:t>
            </w:r>
            <w:r w:rsidR="003E6E59">
              <w:rPr>
                <w:rFonts w:cs="Calibri"/>
              </w:rPr>
              <w:t>398479</w:t>
            </w:r>
            <w:r w:rsidRPr="00FD69C9">
              <w:rPr>
                <w:rFonts w:cs="Calibri"/>
                <w:szCs w:val="20"/>
              </w:rPr>
              <w:t>°</w:t>
            </w:r>
            <w:r>
              <w:rPr>
                <w:rFonts w:cs="Calibri"/>
                <w:szCs w:val="20"/>
              </w:rPr>
              <w:t>, 148.</w:t>
            </w:r>
            <w:r w:rsidR="003E6E59">
              <w:rPr>
                <w:rFonts w:cs="Calibri"/>
                <w:szCs w:val="20"/>
              </w:rPr>
              <w:t>981964</w:t>
            </w:r>
            <w:r w:rsidRPr="00FD69C9">
              <w:rPr>
                <w:rFonts w:cs="Calibri"/>
                <w:szCs w:val="20"/>
              </w:rPr>
              <w:t>°</w:t>
            </w:r>
          </w:p>
        </w:tc>
      </w:tr>
      <w:tr w:rsidR="00B248F5" w14:paraId="41B010EE" w14:textId="77777777" w:rsidTr="009D511C">
        <w:tc>
          <w:tcPr>
            <w:tcW w:w="2739" w:type="dxa"/>
            <w:vAlign w:val="center"/>
          </w:tcPr>
          <w:p w14:paraId="32936ABA" w14:textId="667A44CD" w:rsidR="00B248F5" w:rsidRPr="00B248F5" w:rsidRDefault="00B248F5" w:rsidP="00D96F4D">
            <w:pPr>
              <w:keepNext/>
              <w:keepLines/>
              <w:spacing w:after="120"/>
              <w:jc w:val="center"/>
              <w:rPr>
                <w:rFonts w:cs="Calibri"/>
                <w:b/>
              </w:rPr>
            </w:pPr>
            <w:r w:rsidRPr="00B248F5">
              <w:rPr>
                <w:rFonts w:cs="Calibri"/>
                <w:b/>
              </w:rPr>
              <w:t>Antenna height (m)</w:t>
            </w:r>
          </w:p>
        </w:tc>
        <w:tc>
          <w:tcPr>
            <w:tcW w:w="1488" w:type="dxa"/>
            <w:vAlign w:val="center"/>
          </w:tcPr>
          <w:p w14:paraId="5C721DA9" w14:textId="5C7F840F" w:rsidR="00B248F5" w:rsidRPr="00B248F5" w:rsidRDefault="00B248F5" w:rsidP="00BA4367">
            <w:pPr>
              <w:keepNext/>
              <w:keepLines/>
              <w:spacing w:after="120"/>
              <w:jc w:val="center"/>
              <w:rPr>
                <w:rFonts w:cs="Calibri"/>
              </w:rPr>
            </w:pPr>
            <w:r w:rsidRPr="00B248F5">
              <w:rPr>
                <w:rFonts w:cs="Calibri"/>
              </w:rPr>
              <w:t>39</w:t>
            </w:r>
          </w:p>
        </w:tc>
        <w:tc>
          <w:tcPr>
            <w:tcW w:w="1488" w:type="dxa"/>
            <w:vAlign w:val="center"/>
          </w:tcPr>
          <w:p w14:paraId="20E8D029" w14:textId="4FB71377" w:rsidR="00B248F5" w:rsidRPr="00B248F5" w:rsidRDefault="00B248F5" w:rsidP="00BA4367">
            <w:pPr>
              <w:keepNext/>
              <w:keepLines/>
              <w:spacing w:after="120"/>
              <w:jc w:val="center"/>
              <w:rPr>
                <w:rFonts w:cs="Calibri"/>
              </w:rPr>
            </w:pPr>
            <w:r w:rsidRPr="00B248F5">
              <w:rPr>
                <w:rFonts w:cs="Calibri"/>
              </w:rPr>
              <w:t>39</w:t>
            </w:r>
          </w:p>
        </w:tc>
        <w:tc>
          <w:tcPr>
            <w:tcW w:w="1488" w:type="dxa"/>
            <w:vAlign w:val="center"/>
          </w:tcPr>
          <w:p w14:paraId="1E8680B9" w14:textId="2BF2957A" w:rsidR="00B248F5" w:rsidRPr="00B248F5" w:rsidRDefault="00B248F5" w:rsidP="00B248F5">
            <w:pPr>
              <w:keepNext/>
              <w:keepLines/>
              <w:spacing w:after="120"/>
              <w:jc w:val="center"/>
              <w:rPr>
                <w:rFonts w:cs="Calibri"/>
              </w:rPr>
            </w:pPr>
            <w:r w:rsidRPr="00B248F5">
              <w:rPr>
                <w:rFonts w:cs="Calibri"/>
              </w:rPr>
              <w:t>19</w:t>
            </w:r>
          </w:p>
        </w:tc>
        <w:tc>
          <w:tcPr>
            <w:tcW w:w="1489" w:type="dxa"/>
            <w:vAlign w:val="center"/>
          </w:tcPr>
          <w:p w14:paraId="29050C28" w14:textId="50641E7E" w:rsidR="00B248F5" w:rsidRPr="00B248F5" w:rsidRDefault="00B248F5" w:rsidP="00B248F5">
            <w:pPr>
              <w:keepNext/>
              <w:keepLines/>
              <w:spacing w:after="120"/>
              <w:jc w:val="center"/>
              <w:rPr>
                <w:rFonts w:cs="Calibri"/>
              </w:rPr>
            </w:pPr>
            <w:r w:rsidRPr="00B248F5">
              <w:rPr>
                <w:rFonts w:cs="Calibri"/>
              </w:rPr>
              <w:t>19</w:t>
            </w:r>
          </w:p>
        </w:tc>
      </w:tr>
      <w:tr w:rsidR="00B248F5" w14:paraId="40994C77" w14:textId="77777777" w:rsidTr="009D511C">
        <w:tc>
          <w:tcPr>
            <w:tcW w:w="2739" w:type="dxa"/>
            <w:vAlign w:val="center"/>
          </w:tcPr>
          <w:p w14:paraId="1A864F5B" w14:textId="12293AAE" w:rsidR="00B248F5" w:rsidRPr="00B248F5" w:rsidRDefault="00B248F5" w:rsidP="00BA4367">
            <w:pPr>
              <w:keepNext/>
              <w:keepLines/>
              <w:spacing w:after="120"/>
              <w:rPr>
                <w:rFonts w:cs="Calibri"/>
                <w:b/>
              </w:rPr>
            </w:pPr>
            <w:r w:rsidRPr="00B248F5">
              <w:rPr>
                <w:rFonts w:cs="Calibri"/>
                <w:b/>
              </w:rPr>
              <w:t>Antenna diameter (m)</w:t>
            </w:r>
          </w:p>
        </w:tc>
        <w:tc>
          <w:tcPr>
            <w:tcW w:w="1488" w:type="dxa"/>
            <w:vAlign w:val="center"/>
          </w:tcPr>
          <w:p w14:paraId="2D9F282E" w14:textId="4A4F8553" w:rsidR="00B248F5" w:rsidRPr="00B248F5" w:rsidRDefault="00B248F5" w:rsidP="00BA4367">
            <w:pPr>
              <w:keepNext/>
              <w:keepLines/>
              <w:spacing w:after="120"/>
              <w:jc w:val="center"/>
              <w:rPr>
                <w:rFonts w:cs="Calibri"/>
              </w:rPr>
            </w:pPr>
            <w:r w:rsidRPr="00B248F5">
              <w:rPr>
                <w:rFonts w:cs="Calibri"/>
              </w:rPr>
              <w:t>70</w:t>
            </w:r>
          </w:p>
        </w:tc>
        <w:tc>
          <w:tcPr>
            <w:tcW w:w="1488" w:type="dxa"/>
            <w:vAlign w:val="center"/>
          </w:tcPr>
          <w:p w14:paraId="4DD5498C" w14:textId="445196DC" w:rsidR="00B248F5" w:rsidRPr="00B248F5" w:rsidRDefault="00B248F5" w:rsidP="00BA4367">
            <w:pPr>
              <w:keepNext/>
              <w:keepLines/>
              <w:spacing w:after="120"/>
              <w:jc w:val="center"/>
              <w:rPr>
                <w:rFonts w:cs="Calibri"/>
              </w:rPr>
            </w:pPr>
            <w:r w:rsidRPr="00B248F5">
              <w:rPr>
                <w:rFonts w:cs="Calibri"/>
              </w:rPr>
              <w:t>70</w:t>
            </w:r>
          </w:p>
        </w:tc>
        <w:tc>
          <w:tcPr>
            <w:tcW w:w="1488" w:type="dxa"/>
          </w:tcPr>
          <w:p w14:paraId="0A735BBA" w14:textId="23640514" w:rsidR="00B248F5" w:rsidRPr="00B248F5" w:rsidRDefault="00B248F5" w:rsidP="00B248F5">
            <w:pPr>
              <w:keepNext/>
              <w:keepLines/>
              <w:spacing w:after="120"/>
              <w:jc w:val="center"/>
              <w:rPr>
                <w:rFonts w:cs="Calibri"/>
              </w:rPr>
            </w:pPr>
            <w:r w:rsidRPr="00B248F5">
              <w:rPr>
                <w:rFonts w:cs="Calibri"/>
              </w:rPr>
              <w:t>34</w:t>
            </w:r>
          </w:p>
        </w:tc>
        <w:tc>
          <w:tcPr>
            <w:tcW w:w="1489" w:type="dxa"/>
            <w:vAlign w:val="center"/>
          </w:tcPr>
          <w:p w14:paraId="06929636" w14:textId="39BD9792" w:rsidR="00B248F5" w:rsidRPr="00B248F5" w:rsidRDefault="00B248F5" w:rsidP="00B248F5">
            <w:pPr>
              <w:keepNext/>
              <w:keepLines/>
              <w:spacing w:after="120"/>
              <w:jc w:val="center"/>
              <w:rPr>
                <w:rFonts w:cs="Calibri"/>
              </w:rPr>
            </w:pPr>
            <w:r w:rsidRPr="00B248F5">
              <w:rPr>
                <w:rFonts w:cs="Calibri"/>
              </w:rPr>
              <w:t>34</w:t>
            </w:r>
          </w:p>
        </w:tc>
      </w:tr>
      <w:tr w:rsidR="0049625D" w14:paraId="52724EA2" w14:textId="77777777" w:rsidTr="009D511C">
        <w:tc>
          <w:tcPr>
            <w:tcW w:w="2739" w:type="dxa"/>
            <w:vAlign w:val="center"/>
          </w:tcPr>
          <w:p w14:paraId="69CDBD4C" w14:textId="1871C017" w:rsidR="0049625D" w:rsidRPr="00B248F5" w:rsidRDefault="0049625D" w:rsidP="0049625D">
            <w:pPr>
              <w:keepNext/>
              <w:keepLines/>
              <w:jc w:val="center"/>
              <w:rPr>
                <w:rFonts w:cs="Calibri"/>
                <w:b/>
              </w:rPr>
            </w:pPr>
            <w:r w:rsidRPr="00B248F5">
              <w:rPr>
                <w:rFonts w:cs="Calibri"/>
                <w:b/>
              </w:rPr>
              <w:t>Minimum elevation angle</w:t>
            </w:r>
          </w:p>
        </w:tc>
        <w:tc>
          <w:tcPr>
            <w:tcW w:w="1488" w:type="dxa"/>
            <w:vAlign w:val="center"/>
          </w:tcPr>
          <w:p w14:paraId="14E3F3DD" w14:textId="506CF77A" w:rsidR="0049625D" w:rsidRPr="00B248F5" w:rsidRDefault="0049625D" w:rsidP="0049625D">
            <w:pPr>
              <w:keepNext/>
              <w:keepLines/>
              <w:jc w:val="center"/>
              <w:rPr>
                <w:rFonts w:cs="Calibri"/>
              </w:rPr>
            </w:pPr>
            <w:r w:rsidRPr="00B248F5">
              <w:rPr>
                <w:rFonts w:cs="Calibri"/>
              </w:rPr>
              <w:t>10°</w:t>
            </w:r>
          </w:p>
        </w:tc>
        <w:tc>
          <w:tcPr>
            <w:tcW w:w="1488" w:type="dxa"/>
            <w:vAlign w:val="center"/>
          </w:tcPr>
          <w:p w14:paraId="080F244E" w14:textId="5E091F23" w:rsidR="0049625D" w:rsidRPr="00B248F5" w:rsidRDefault="00917723" w:rsidP="0049625D">
            <w:pPr>
              <w:keepNext/>
              <w:keepLines/>
              <w:jc w:val="center"/>
              <w:rPr>
                <w:rFonts w:cs="Calibri"/>
              </w:rPr>
            </w:pPr>
            <w:r>
              <w:rPr>
                <w:rFonts w:cs="Calibri"/>
              </w:rPr>
              <w:t>6</w:t>
            </w:r>
            <w:r w:rsidR="0049625D" w:rsidRPr="00B248F5">
              <w:rPr>
                <w:rFonts w:cs="Calibri"/>
              </w:rPr>
              <w:t>°</w:t>
            </w:r>
          </w:p>
        </w:tc>
        <w:tc>
          <w:tcPr>
            <w:tcW w:w="1488" w:type="dxa"/>
          </w:tcPr>
          <w:p w14:paraId="47F06E98" w14:textId="1EFC60A7" w:rsidR="0049625D" w:rsidRPr="00B248F5" w:rsidRDefault="00917723" w:rsidP="0049625D">
            <w:pPr>
              <w:keepNext/>
              <w:keepLines/>
              <w:spacing w:before="120"/>
              <w:jc w:val="center"/>
              <w:rPr>
                <w:rFonts w:cs="Calibri"/>
              </w:rPr>
            </w:pPr>
            <w:r>
              <w:rPr>
                <w:rFonts w:cs="Calibri"/>
              </w:rPr>
              <w:t>6</w:t>
            </w:r>
            <w:r w:rsidR="0049625D" w:rsidRPr="00B248F5">
              <w:rPr>
                <w:rFonts w:cs="Calibri"/>
              </w:rPr>
              <w:t>°</w:t>
            </w:r>
          </w:p>
        </w:tc>
        <w:tc>
          <w:tcPr>
            <w:tcW w:w="1489" w:type="dxa"/>
            <w:vAlign w:val="center"/>
          </w:tcPr>
          <w:p w14:paraId="6DCFA824" w14:textId="6C15E6E7" w:rsidR="0049625D" w:rsidRPr="00B248F5" w:rsidRDefault="0049625D" w:rsidP="0049625D">
            <w:pPr>
              <w:keepNext/>
              <w:keepLines/>
              <w:jc w:val="center"/>
              <w:rPr>
                <w:rFonts w:cs="Calibri"/>
              </w:rPr>
            </w:pPr>
            <w:r w:rsidRPr="00B248F5">
              <w:rPr>
                <w:rFonts w:cs="Calibri"/>
              </w:rPr>
              <w:t>10°</w:t>
            </w:r>
          </w:p>
        </w:tc>
      </w:tr>
      <w:tr w:rsidR="0049625D" w14:paraId="424C728A" w14:textId="77777777" w:rsidTr="009D511C">
        <w:tc>
          <w:tcPr>
            <w:tcW w:w="2739" w:type="dxa"/>
            <w:vAlign w:val="center"/>
          </w:tcPr>
          <w:p w14:paraId="54174992" w14:textId="673A1162" w:rsidR="0049625D" w:rsidRPr="00B248F5" w:rsidRDefault="0049625D" w:rsidP="009D511C">
            <w:pPr>
              <w:keepNext/>
              <w:keepLines/>
              <w:spacing w:after="120"/>
              <w:jc w:val="center"/>
              <w:rPr>
                <w:rFonts w:cs="Calibri"/>
                <w:b/>
              </w:rPr>
            </w:pPr>
            <w:r>
              <w:rPr>
                <w:rFonts w:cs="Calibri"/>
                <w:b/>
              </w:rPr>
              <w:t>Antenna Gain (</w:t>
            </w:r>
            <w:proofErr w:type="spellStart"/>
            <w:r>
              <w:rPr>
                <w:rFonts w:cs="Calibri"/>
                <w:b/>
              </w:rPr>
              <w:t>dBi</w:t>
            </w:r>
            <w:proofErr w:type="spellEnd"/>
            <w:r>
              <w:rPr>
                <w:rFonts w:cs="Calibri"/>
                <w:b/>
              </w:rPr>
              <w:t>)</w:t>
            </w:r>
          </w:p>
        </w:tc>
        <w:tc>
          <w:tcPr>
            <w:tcW w:w="1488" w:type="dxa"/>
            <w:vAlign w:val="center"/>
          </w:tcPr>
          <w:p w14:paraId="1C6E45CD" w14:textId="24D735E8" w:rsidR="0049625D" w:rsidRPr="00B248F5" w:rsidRDefault="0049625D" w:rsidP="009D511C">
            <w:pPr>
              <w:keepNext/>
              <w:keepLines/>
              <w:spacing w:after="120"/>
              <w:jc w:val="center"/>
              <w:rPr>
                <w:rFonts w:cs="Calibri"/>
              </w:rPr>
            </w:pPr>
            <w:r w:rsidRPr="00B248F5">
              <w:rPr>
                <w:rFonts w:cs="Calibri"/>
              </w:rPr>
              <w:t>73.2</w:t>
            </w:r>
          </w:p>
        </w:tc>
        <w:tc>
          <w:tcPr>
            <w:tcW w:w="1488" w:type="dxa"/>
            <w:vAlign w:val="center"/>
          </w:tcPr>
          <w:p w14:paraId="4D788231" w14:textId="6DB7A1A9" w:rsidR="0049625D" w:rsidRPr="00B248F5" w:rsidRDefault="0049625D" w:rsidP="009D511C">
            <w:pPr>
              <w:keepNext/>
              <w:keepLines/>
              <w:spacing w:after="120"/>
              <w:jc w:val="center"/>
              <w:rPr>
                <w:rFonts w:cs="Calibri"/>
              </w:rPr>
            </w:pPr>
            <w:r w:rsidRPr="00B248F5">
              <w:rPr>
                <w:rFonts w:cs="Calibri"/>
              </w:rPr>
              <w:t>73.2</w:t>
            </w:r>
          </w:p>
        </w:tc>
        <w:tc>
          <w:tcPr>
            <w:tcW w:w="1488" w:type="dxa"/>
            <w:vAlign w:val="center"/>
          </w:tcPr>
          <w:p w14:paraId="23277EE6" w14:textId="6500467F" w:rsidR="0049625D" w:rsidRPr="00B248F5" w:rsidRDefault="00AE6C0C" w:rsidP="0049625D">
            <w:pPr>
              <w:keepNext/>
              <w:keepLines/>
              <w:spacing w:after="120"/>
              <w:jc w:val="center"/>
              <w:rPr>
                <w:rFonts w:cs="Calibri"/>
              </w:rPr>
            </w:pPr>
            <w:r w:rsidRPr="00B248F5" w:rsidDel="00AE6C0C">
              <w:rPr>
                <w:rFonts w:cs="Calibri"/>
              </w:rPr>
              <w:t xml:space="preserve"> </w:t>
            </w:r>
            <w:r w:rsidR="0049625D" w:rsidRPr="00B248F5">
              <w:rPr>
                <w:rFonts w:cs="Calibri"/>
              </w:rPr>
              <w:t>75.4</w:t>
            </w:r>
          </w:p>
        </w:tc>
        <w:tc>
          <w:tcPr>
            <w:tcW w:w="1489" w:type="dxa"/>
            <w:vAlign w:val="center"/>
          </w:tcPr>
          <w:p w14:paraId="3D3C0304" w14:textId="1B620B4C" w:rsidR="0049625D" w:rsidRPr="00B248F5" w:rsidRDefault="00AE6C0C" w:rsidP="0049625D">
            <w:pPr>
              <w:keepNext/>
              <w:keepLines/>
              <w:spacing w:after="120"/>
              <w:jc w:val="center"/>
              <w:rPr>
                <w:rFonts w:cs="Calibri"/>
              </w:rPr>
            </w:pPr>
            <w:r w:rsidRPr="00B248F5" w:rsidDel="00AE6C0C">
              <w:rPr>
                <w:rFonts w:cs="Calibri"/>
              </w:rPr>
              <w:t xml:space="preserve"> </w:t>
            </w:r>
            <w:r w:rsidR="0049625D" w:rsidRPr="00B248F5">
              <w:rPr>
                <w:rFonts w:cs="Calibri"/>
              </w:rPr>
              <w:t>79</w:t>
            </w:r>
          </w:p>
        </w:tc>
      </w:tr>
      <w:tr w:rsidR="0049625D" w14:paraId="0DF170EC" w14:textId="77777777" w:rsidTr="009D511C">
        <w:tc>
          <w:tcPr>
            <w:tcW w:w="2739" w:type="dxa"/>
            <w:vAlign w:val="center"/>
          </w:tcPr>
          <w:p w14:paraId="4DA500E4" w14:textId="71BDC632" w:rsidR="0049625D" w:rsidRPr="00B248F5" w:rsidRDefault="00DC17C1" w:rsidP="0049625D">
            <w:pPr>
              <w:keepNext/>
              <w:keepLines/>
              <w:jc w:val="center"/>
              <w:rPr>
                <w:rFonts w:cs="Calibri"/>
                <w:b/>
              </w:rPr>
            </w:pPr>
            <w:r>
              <w:rPr>
                <w:rFonts w:cs="Calibri"/>
                <w:b/>
              </w:rPr>
              <w:t>G</w:t>
            </w:r>
            <w:r w:rsidR="0049625D" w:rsidRPr="00B248F5">
              <w:rPr>
                <w:rFonts w:cs="Calibri"/>
                <w:b/>
              </w:rPr>
              <w:t>ain in the horizontal direction (</w:t>
            </w:r>
            <w:proofErr w:type="spellStart"/>
            <w:r w:rsidR="0049625D" w:rsidRPr="00B248F5">
              <w:rPr>
                <w:rFonts w:cs="Calibri"/>
                <w:b/>
              </w:rPr>
              <w:t>dBi</w:t>
            </w:r>
            <w:proofErr w:type="spellEnd"/>
            <w:r w:rsidR="0049625D" w:rsidRPr="00B248F5">
              <w:rPr>
                <w:rFonts w:cs="Calibri"/>
                <w:b/>
              </w:rPr>
              <w:t>)</w:t>
            </w:r>
          </w:p>
        </w:tc>
        <w:tc>
          <w:tcPr>
            <w:tcW w:w="1488" w:type="dxa"/>
            <w:vAlign w:val="center"/>
          </w:tcPr>
          <w:p w14:paraId="4E1FFB73" w14:textId="69261CD6" w:rsidR="0049625D" w:rsidRPr="00B248F5" w:rsidRDefault="0049625D" w:rsidP="0049625D">
            <w:pPr>
              <w:keepNext/>
              <w:keepLines/>
              <w:jc w:val="center"/>
              <w:rPr>
                <w:rFonts w:cs="Calibri"/>
              </w:rPr>
            </w:pPr>
            <w:r w:rsidRPr="00B248F5">
              <w:rPr>
                <w:rFonts w:cs="Calibri"/>
              </w:rPr>
              <w:t>7</w:t>
            </w:r>
          </w:p>
        </w:tc>
        <w:tc>
          <w:tcPr>
            <w:tcW w:w="1488" w:type="dxa"/>
            <w:vAlign w:val="center"/>
          </w:tcPr>
          <w:p w14:paraId="3BFE55B3" w14:textId="18695C7C" w:rsidR="0049625D" w:rsidRPr="00B248F5" w:rsidRDefault="0049625D" w:rsidP="0049625D">
            <w:pPr>
              <w:keepNext/>
              <w:keepLines/>
              <w:jc w:val="center"/>
              <w:rPr>
                <w:rFonts w:cs="Calibri"/>
              </w:rPr>
            </w:pPr>
            <w:r w:rsidRPr="00B248F5">
              <w:rPr>
                <w:rFonts w:cs="Calibri"/>
              </w:rPr>
              <w:t>1</w:t>
            </w:r>
            <w:r w:rsidR="001D4FE2">
              <w:rPr>
                <w:rFonts w:cs="Calibri"/>
              </w:rPr>
              <w:t>2</w:t>
            </w:r>
            <w:r w:rsidRPr="00B248F5">
              <w:rPr>
                <w:rFonts w:cs="Calibri"/>
              </w:rPr>
              <w:t>.5</w:t>
            </w:r>
          </w:p>
        </w:tc>
        <w:tc>
          <w:tcPr>
            <w:tcW w:w="1488" w:type="dxa"/>
            <w:vAlign w:val="center"/>
          </w:tcPr>
          <w:p w14:paraId="272A9596" w14:textId="1D0DBF51" w:rsidR="0049625D" w:rsidRPr="00B248F5" w:rsidRDefault="0049625D" w:rsidP="0049625D">
            <w:pPr>
              <w:keepNext/>
              <w:keepLines/>
              <w:jc w:val="center"/>
              <w:rPr>
                <w:rFonts w:cs="Calibri"/>
              </w:rPr>
            </w:pPr>
            <w:r w:rsidRPr="00B248F5">
              <w:rPr>
                <w:rFonts w:cs="Calibri"/>
              </w:rPr>
              <w:t>1</w:t>
            </w:r>
            <w:r w:rsidR="001D4FE2">
              <w:rPr>
                <w:rFonts w:cs="Calibri"/>
              </w:rPr>
              <w:t>2</w:t>
            </w:r>
            <w:r w:rsidRPr="00B248F5">
              <w:rPr>
                <w:rFonts w:cs="Calibri"/>
              </w:rPr>
              <w:t>.5</w:t>
            </w:r>
          </w:p>
        </w:tc>
        <w:tc>
          <w:tcPr>
            <w:tcW w:w="1489" w:type="dxa"/>
            <w:vAlign w:val="center"/>
          </w:tcPr>
          <w:p w14:paraId="27B96200" w14:textId="0B63712A" w:rsidR="0049625D" w:rsidRPr="00B248F5" w:rsidRDefault="0049625D" w:rsidP="0049625D">
            <w:pPr>
              <w:keepNext/>
              <w:keepLines/>
              <w:jc w:val="center"/>
              <w:rPr>
                <w:rFonts w:cs="Calibri"/>
              </w:rPr>
            </w:pPr>
            <w:r w:rsidRPr="00B248F5">
              <w:rPr>
                <w:rFonts w:cs="Calibri"/>
              </w:rPr>
              <w:t>7</w:t>
            </w:r>
          </w:p>
        </w:tc>
      </w:tr>
      <w:tr w:rsidR="0049625D" w14:paraId="2247DA24" w14:textId="77777777" w:rsidTr="009D511C">
        <w:tc>
          <w:tcPr>
            <w:tcW w:w="2739" w:type="dxa"/>
            <w:vAlign w:val="center"/>
          </w:tcPr>
          <w:p w14:paraId="09D2F9EB" w14:textId="77777777" w:rsidR="0049625D" w:rsidRPr="00B248F5" w:rsidRDefault="0049625D" w:rsidP="00E5695B">
            <w:pPr>
              <w:spacing w:after="120"/>
              <w:jc w:val="center"/>
              <w:rPr>
                <w:rFonts w:cs="Calibri"/>
                <w:b/>
              </w:rPr>
            </w:pPr>
            <w:r w:rsidRPr="00B248F5">
              <w:rPr>
                <w:rFonts w:cs="Calibri"/>
                <w:b/>
              </w:rPr>
              <w:t>Antenna pattern</w:t>
            </w:r>
          </w:p>
          <w:p w14:paraId="7DCA616B" w14:textId="77777777" w:rsidR="0049625D" w:rsidRPr="00B248F5" w:rsidRDefault="0049625D" w:rsidP="00E5695B">
            <w:pPr>
              <w:spacing w:after="120"/>
              <w:jc w:val="center"/>
              <w:rPr>
                <w:rFonts w:cs="Calibri"/>
                <w:b/>
              </w:rPr>
            </w:pPr>
            <w:r w:rsidRPr="00B248F5">
              <w:rPr>
                <w:rFonts w:cs="Calibri"/>
                <w:b/>
              </w:rPr>
              <w:t>-Vertical</w:t>
            </w:r>
          </w:p>
          <w:p w14:paraId="580836C9" w14:textId="77777777" w:rsidR="0049625D" w:rsidRPr="00B248F5" w:rsidRDefault="0049625D" w:rsidP="00E5695B">
            <w:pPr>
              <w:jc w:val="center"/>
              <w:rPr>
                <w:rFonts w:cs="Calibri"/>
                <w:b/>
              </w:rPr>
            </w:pPr>
            <w:r w:rsidRPr="00B248F5">
              <w:rPr>
                <w:rFonts w:cs="Calibri"/>
                <w:b/>
              </w:rPr>
              <w:t>-Horizontal</w:t>
            </w:r>
          </w:p>
        </w:tc>
        <w:tc>
          <w:tcPr>
            <w:tcW w:w="5953" w:type="dxa"/>
            <w:gridSpan w:val="4"/>
            <w:vAlign w:val="center"/>
          </w:tcPr>
          <w:p w14:paraId="1B53D9A8" w14:textId="77777777" w:rsidR="00C36385" w:rsidRDefault="00C36385" w:rsidP="00C36385">
            <w:pPr>
              <w:spacing w:after="120"/>
              <w:jc w:val="center"/>
              <w:rPr>
                <w:rFonts w:cs="Calibri"/>
              </w:rPr>
            </w:pPr>
          </w:p>
          <w:p w14:paraId="572316F7" w14:textId="1523D94B" w:rsidR="0049625D" w:rsidRPr="00B248F5" w:rsidRDefault="0049625D" w:rsidP="00C36385">
            <w:pPr>
              <w:spacing w:after="120"/>
              <w:jc w:val="center"/>
              <w:rPr>
                <w:rFonts w:cs="Calibri"/>
              </w:rPr>
            </w:pPr>
            <w:r w:rsidRPr="00B248F5">
              <w:rPr>
                <w:rFonts w:cs="Calibri"/>
              </w:rPr>
              <w:t>See Annex A for vertical pattern</w:t>
            </w:r>
            <w:r w:rsidRPr="00B248F5">
              <w:rPr>
                <w:rStyle w:val="FootnoteReference"/>
                <w:rFonts w:cs="Calibri"/>
              </w:rPr>
              <w:footnoteReference w:id="12"/>
            </w:r>
            <w:r w:rsidRPr="00B248F5">
              <w:rPr>
                <w:rFonts w:cs="Calibri"/>
              </w:rPr>
              <w:t xml:space="preserve"> </w:t>
            </w:r>
          </w:p>
          <w:p w14:paraId="7834F27F" w14:textId="77777777" w:rsidR="0049625D" w:rsidRPr="00B248F5" w:rsidRDefault="0049625D" w:rsidP="00E5695B">
            <w:pPr>
              <w:jc w:val="center"/>
              <w:rPr>
                <w:rFonts w:cs="Calibri"/>
              </w:rPr>
            </w:pPr>
            <w:r w:rsidRPr="00B248F5">
              <w:rPr>
                <w:rFonts w:cs="Calibri"/>
              </w:rPr>
              <w:t>Omnidirectional (H)</w:t>
            </w:r>
          </w:p>
        </w:tc>
      </w:tr>
    </w:tbl>
    <w:p w14:paraId="5F54BDCE" w14:textId="77777777" w:rsidR="00BB5BB6" w:rsidRDefault="00B6795E">
      <w:pPr>
        <w:pStyle w:val="Heading1"/>
      </w:pPr>
      <w:bookmarkStart w:id="25" w:name="_Toc513476332"/>
      <w:bookmarkStart w:id="26" w:name="_Toc8983859"/>
      <w:bookmarkStart w:id="27" w:name="_Toc8986383"/>
      <w:bookmarkStart w:id="28" w:name="_Toc121757755"/>
      <w:r>
        <w:lastRenderedPageBreak/>
        <w:t>Exceptions</w:t>
      </w:r>
      <w:bookmarkEnd w:id="25"/>
      <w:bookmarkEnd w:id="26"/>
      <w:bookmarkEnd w:id="27"/>
      <w:bookmarkEnd w:id="28"/>
    </w:p>
    <w:p w14:paraId="51026C8A" w14:textId="09C73B0C" w:rsidR="00BB5BB6" w:rsidRDefault="00B6795E">
      <w:pPr>
        <w:rPr>
          <w:szCs w:val="22"/>
        </w:rPr>
      </w:pPr>
      <w:r>
        <w:rPr>
          <w:szCs w:val="22"/>
        </w:rPr>
        <w:t xml:space="preserve">Exceptions to the requirements of this RALI for prospective assignments </w:t>
      </w:r>
      <w:r w:rsidR="009F6727">
        <w:rPr>
          <w:szCs w:val="22"/>
        </w:rPr>
        <w:t xml:space="preserve">(for example for short term </w:t>
      </w:r>
      <w:r w:rsidR="00000C18">
        <w:rPr>
          <w:szCs w:val="22"/>
        </w:rPr>
        <w:t xml:space="preserve">usage) </w:t>
      </w:r>
      <w:r>
        <w:rPr>
          <w:szCs w:val="22"/>
        </w:rPr>
        <w:t>require case-by-case consideration by the Manager, Spectrum Planning Section.</w:t>
      </w:r>
    </w:p>
    <w:p w14:paraId="650AC8C4" w14:textId="318EE378" w:rsidR="00BB5BB6" w:rsidRDefault="00B6795E">
      <w:pPr>
        <w:rPr>
          <w:rFonts w:cs="Calibri"/>
        </w:rPr>
      </w:pPr>
      <w:r>
        <w:rPr>
          <w:rFonts w:cs="Calibri"/>
        </w:rPr>
        <w:t xml:space="preserve">In case of emergency communications on frequencies other than those identified as currently used by ESA and NASA on the ACMA website, such exceptions will only be allowed where an agreement can be made between the applicant and the </w:t>
      </w:r>
      <w:r w:rsidR="00C00090">
        <w:rPr>
          <w:rFonts w:cs="Calibri"/>
        </w:rPr>
        <w:t>ESA</w:t>
      </w:r>
      <w:r>
        <w:rPr>
          <w:rFonts w:cs="Calibri"/>
        </w:rPr>
        <w:t xml:space="preserve"> or</w:t>
      </w:r>
      <w:r w:rsidR="00C214BF">
        <w:rPr>
          <w:rFonts w:cs="Calibri"/>
        </w:rPr>
        <w:t xml:space="preserve"> </w:t>
      </w:r>
      <w:r w:rsidR="00C214BF">
        <w:rPr>
          <w:szCs w:val="22"/>
        </w:rPr>
        <w:t>NASA</w:t>
      </w:r>
      <w:r>
        <w:rPr>
          <w:rFonts w:cs="Calibri"/>
        </w:rPr>
        <w:t>.</w:t>
      </w:r>
    </w:p>
    <w:p w14:paraId="69C4F0DA" w14:textId="77777777" w:rsidR="00BB5BB6" w:rsidRDefault="00B6795E">
      <w:pPr>
        <w:rPr>
          <w:szCs w:val="22"/>
        </w:rPr>
      </w:pPr>
      <w:r>
        <w:rPr>
          <w:szCs w:val="22"/>
        </w:rPr>
        <w:t>A request for exemption from the requirements of this RALI would need to be accompanied by evidence to support the request.</w:t>
      </w:r>
    </w:p>
    <w:p w14:paraId="4358B961" w14:textId="27AE26CA" w:rsidR="00BB5BB6" w:rsidRDefault="00B6795E">
      <w:pPr>
        <w:rPr>
          <w:rFonts w:cs="Arial"/>
          <w:szCs w:val="22"/>
        </w:rPr>
      </w:pPr>
      <w:r>
        <w:rPr>
          <w:rFonts w:cs="Arial"/>
          <w:szCs w:val="22"/>
        </w:rPr>
        <w:t xml:space="preserve">All requests for exemptions should be submitted to </w:t>
      </w:r>
      <w:hyperlink r:id="rId26" w:history="1">
        <w:r>
          <w:rPr>
            <w:rStyle w:val="Hyperlink"/>
            <w:rFonts w:cs="Arial"/>
            <w:szCs w:val="22"/>
          </w:rPr>
          <w:t>freqplan@acma.gov.au</w:t>
        </w:r>
      </w:hyperlink>
      <w:r>
        <w:rPr>
          <w:rFonts w:cs="Arial"/>
          <w:szCs w:val="22"/>
        </w:rPr>
        <w:t>.</w:t>
      </w:r>
    </w:p>
    <w:p w14:paraId="3DCCA471" w14:textId="77777777" w:rsidR="00BB5BB6" w:rsidRDefault="00B6795E">
      <w:pPr>
        <w:pStyle w:val="Heading1"/>
      </w:pPr>
      <w:bookmarkStart w:id="29" w:name="_Toc8983860"/>
      <w:bookmarkStart w:id="30" w:name="_Toc8986384"/>
      <w:bookmarkStart w:id="31" w:name="_Toc121757756"/>
      <w:r>
        <w:lastRenderedPageBreak/>
        <w:t>RALI Authorisation</w:t>
      </w:r>
      <w:bookmarkEnd w:id="29"/>
      <w:bookmarkEnd w:id="30"/>
      <w:bookmarkEnd w:id="31"/>
    </w:p>
    <w:p w14:paraId="6ECD5399" w14:textId="27AEF663" w:rsidR="00BB5BB6" w:rsidRDefault="006F3608">
      <w:pPr>
        <w:rPr>
          <w:szCs w:val="22"/>
        </w:rPr>
      </w:pPr>
      <w:r>
        <w:rPr>
          <w:szCs w:val="22"/>
        </w:rPr>
        <w:t>Approved</w:t>
      </w:r>
      <w:r w:rsidR="00B6795E">
        <w:rPr>
          <w:szCs w:val="22"/>
        </w:rPr>
        <w:t xml:space="preserve">     </w:t>
      </w:r>
      <w:r w:rsidR="00B6795E">
        <w:rPr>
          <w:szCs w:val="22"/>
        </w:rPr>
        <w:tab/>
      </w:r>
      <w:r w:rsidR="00265144">
        <w:rPr>
          <w:szCs w:val="22"/>
        </w:rPr>
        <w:t>13</w:t>
      </w:r>
      <w:r w:rsidR="00220D56">
        <w:rPr>
          <w:szCs w:val="22"/>
        </w:rPr>
        <w:t xml:space="preserve"> </w:t>
      </w:r>
      <w:r w:rsidR="001E1DD1">
        <w:rPr>
          <w:szCs w:val="22"/>
        </w:rPr>
        <w:t>December</w:t>
      </w:r>
      <w:r w:rsidR="00220D56">
        <w:rPr>
          <w:szCs w:val="22"/>
        </w:rPr>
        <w:t xml:space="preserve"> </w:t>
      </w:r>
      <w:r w:rsidR="00045799">
        <w:rPr>
          <w:szCs w:val="22"/>
        </w:rPr>
        <w:t>2022</w:t>
      </w:r>
    </w:p>
    <w:p w14:paraId="725C18E3" w14:textId="23876560" w:rsidR="000B553B" w:rsidRPr="00AF06C8" w:rsidRDefault="000B553B" w:rsidP="000B553B">
      <w:pPr>
        <w:rPr>
          <w:szCs w:val="22"/>
        </w:rPr>
      </w:pPr>
      <w:r>
        <w:rPr>
          <w:szCs w:val="22"/>
        </w:rPr>
        <w:t>Xavier Halliwell</w:t>
      </w:r>
    </w:p>
    <w:p w14:paraId="560CF889" w14:textId="44A8A7DA" w:rsidR="00BB5BB6" w:rsidRDefault="00B6795E">
      <w:pPr>
        <w:rPr>
          <w:szCs w:val="22"/>
        </w:rPr>
      </w:pPr>
      <w:r>
        <w:rPr>
          <w:szCs w:val="22"/>
        </w:rPr>
        <w:t>Manager</w:t>
      </w:r>
      <w:r>
        <w:rPr>
          <w:szCs w:val="22"/>
        </w:rPr>
        <w:br/>
        <w:t>Spectrum Planning Section</w:t>
      </w:r>
      <w:r>
        <w:rPr>
          <w:szCs w:val="22"/>
        </w:rPr>
        <w:br/>
        <w:t>Spectrum Planning and Engineering Branch</w:t>
      </w:r>
    </w:p>
    <w:p w14:paraId="4AA78599" w14:textId="77777777" w:rsidR="00BB5BB6" w:rsidRDefault="00B6795E">
      <w:pPr>
        <w:rPr>
          <w:szCs w:val="22"/>
        </w:rPr>
      </w:pPr>
      <w:r>
        <w:rPr>
          <w:szCs w:val="22"/>
        </w:rPr>
        <w:t>Communications Infrastructure Division</w:t>
      </w:r>
      <w:r>
        <w:rPr>
          <w:szCs w:val="22"/>
        </w:rPr>
        <w:br/>
        <w:t>Australian Communications and Media Authority</w:t>
      </w:r>
    </w:p>
    <w:p w14:paraId="17BD12A8" w14:textId="50417B99" w:rsidR="00BB5BB6" w:rsidRDefault="00B6795E">
      <w:pPr>
        <w:pStyle w:val="Heading1"/>
        <w:numPr>
          <w:ilvl w:val="0"/>
          <w:numId w:val="0"/>
        </w:numPr>
        <w:rPr>
          <w:szCs w:val="44"/>
        </w:rPr>
      </w:pPr>
      <w:bookmarkStart w:id="32" w:name="_Toc8983861"/>
      <w:bookmarkStart w:id="33" w:name="_Toc8986385"/>
      <w:bookmarkStart w:id="34" w:name="_Toc121757757"/>
      <w:r>
        <w:rPr>
          <w:szCs w:val="44"/>
        </w:rPr>
        <w:lastRenderedPageBreak/>
        <w:t xml:space="preserve">Appendix A: </w:t>
      </w:r>
      <w:bookmarkEnd w:id="32"/>
      <w:bookmarkEnd w:id="33"/>
      <w:r>
        <w:rPr>
          <w:szCs w:val="44"/>
        </w:rPr>
        <w:t xml:space="preserve">Antenna pattern for New Norcia </w:t>
      </w:r>
      <w:r w:rsidR="00A410A5">
        <w:rPr>
          <w:szCs w:val="44"/>
        </w:rPr>
        <w:t>and Tidbi</w:t>
      </w:r>
      <w:r w:rsidR="007827CA">
        <w:rPr>
          <w:szCs w:val="44"/>
        </w:rPr>
        <w:t>nbilla</w:t>
      </w:r>
      <w:bookmarkEnd w:id="34"/>
    </w:p>
    <w:p w14:paraId="4B8162DD" w14:textId="71402B3E" w:rsidR="00BB5BB6" w:rsidRDefault="00B6795E">
      <w:r>
        <w:t>The pattern of the main ESA deep space antenna (NNO-1) at the New Norcia facility is defined by ITU/RR/AP</w:t>
      </w:r>
      <w:r w:rsidR="008C6421">
        <w:t>7</w:t>
      </w:r>
      <w:r>
        <w:t>/ANNEX 3</w:t>
      </w:r>
      <w:r w:rsidR="008C6421">
        <w:t>, modified</w:t>
      </w:r>
      <w:r>
        <w:t>:</w:t>
      </w:r>
    </w:p>
    <w:p w14:paraId="3B02F619" w14:textId="3839B86A" w:rsidR="00BB5BB6" w:rsidRDefault="00B6795E" w:rsidP="00DE6717">
      <w:pPr>
        <w:spacing w:after="120"/>
        <w:rPr>
          <w:vertAlign w:val="subscript"/>
        </w:rPr>
      </w:pPr>
      <w:r>
        <w:t>G(</w:t>
      </w:r>
      <w:r>
        <w:rPr>
          <w:rFonts w:ascii="Symbol" w:eastAsia="Symbol" w:hAnsi="Symbol" w:cs="Symbol"/>
        </w:rPr>
        <w:t></w:t>
      </w:r>
      <w:r>
        <w:rPr>
          <w:rFonts w:ascii="Times New Roman" w:hAnsi="Times New Roman"/>
        </w:rPr>
        <w:t>)</w:t>
      </w:r>
      <w:r>
        <w:t xml:space="preserve"> = </w:t>
      </w:r>
      <w:proofErr w:type="spellStart"/>
      <w:r>
        <w:t>G</w:t>
      </w:r>
      <w:r>
        <w:rPr>
          <w:vertAlign w:val="subscript"/>
        </w:rPr>
        <w:t>max</w:t>
      </w:r>
      <w:proofErr w:type="spellEnd"/>
      <w:r>
        <w:t xml:space="preserve"> – 2.5 </w:t>
      </w:r>
      <w:r>
        <w:rPr>
          <w:rFonts w:ascii="Symbol" w:eastAsia="Symbol" w:hAnsi="Symbol" w:cs="Symbol"/>
        </w:rPr>
        <w:t></w:t>
      </w:r>
      <w:r>
        <w:rPr>
          <w:rFonts w:ascii="Times New Roman" w:hAnsi="Times New Roman"/>
        </w:rPr>
        <w:t xml:space="preserve"> </w:t>
      </w:r>
      <w:r>
        <w:t>10</w:t>
      </w:r>
      <w:r>
        <w:rPr>
          <w:vertAlign w:val="superscript"/>
        </w:rPr>
        <w:t>-3</w:t>
      </w:r>
      <w:r>
        <w:rPr>
          <w:rFonts w:ascii="Times New Roman" w:hAnsi="Times New Roman"/>
        </w:rPr>
        <w:t xml:space="preserve"> </w:t>
      </w:r>
      <w:r>
        <w:rPr>
          <w:rFonts w:ascii="Symbol" w:eastAsia="Symbol" w:hAnsi="Symbol" w:cs="Symbol"/>
        </w:rPr>
        <w:t></w:t>
      </w:r>
      <w:r>
        <w:rPr>
          <w:rFonts w:ascii="Times New Roman" w:hAnsi="Times New Roman"/>
        </w:rPr>
        <w:t xml:space="preserve"> </w:t>
      </w:r>
      <w:r>
        <w:t>(</w:t>
      </w:r>
      <w:r>
        <w:rPr>
          <w:rFonts w:ascii="Symbol" w:eastAsia="Symbol" w:hAnsi="Symbol" w:cs="Symbol"/>
        </w:rPr>
        <w:t></w:t>
      </w:r>
      <w:r>
        <w:rPr>
          <w:rFonts w:ascii="Symbol" w:eastAsia="Symbol" w:hAnsi="Symbol" w:cs="Symbol"/>
        </w:rPr>
        <w:t></w:t>
      </w:r>
      <w:r>
        <w:t>D/</w:t>
      </w:r>
      <w:r>
        <w:rPr>
          <w:rFonts w:ascii="Symbol" w:eastAsia="Symbol" w:hAnsi="Symbol" w:cs="Symbol"/>
        </w:rPr>
        <w:t></w:t>
      </w:r>
      <w:r>
        <w:t>)</w:t>
      </w:r>
      <w:r>
        <w:rPr>
          <w:vertAlign w:val="superscript"/>
        </w:rPr>
        <w:t>2</w:t>
      </w:r>
      <w:r>
        <w:t xml:space="preserve">         </w:t>
      </w:r>
      <w:r w:rsidR="008D0B2B">
        <w:tab/>
      </w:r>
      <w:r>
        <w:t xml:space="preserve">for      0 &lt; </w:t>
      </w:r>
      <w:r>
        <w:rPr>
          <w:rFonts w:ascii="Symbol" w:eastAsia="Symbol" w:hAnsi="Symbol" w:cs="Symbol"/>
        </w:rPr>
        <w:t></w:t>
      </w:r>
      <w:r>
        <w:t xml:space="preserve"> &lt; </w:t>
      </w:r>
      <w:r>
        <w:rPr>
          <w:rFonts w:ascii="Symbol" w:eastAsia="Symbol" w:hAnsi="Symbol" w:cs="Symbol"/>
        </w:rPr>
        <w:t></w:t>
      </w:r>
      <w:r>
        <w:rPr>
          <w:rFonts w:ascii="Times New Roman" w:hAnsi="Times New Roman"/>
          <w:vertAlign w:val="subscript"/>
        </w:rPr>
        <w:t>m</w:t>
      </w:r>
    </w:p>
    <w:p w14:paraId="7BA7EB74" w14:textId="43C3FEAF" w:rsidR="00BB5BB6" w:rsidRDefault="00B6795E" w:rsidP="00DE6717">
      <w:pPr>
        <w:spacing w:after="120"/>
      </w:pPr>
      <w:r>
        <w:t>G(</w:t>
      </w:r>
      <w:r>
        <w:rPr>
          <w:rFonts w:ascii="Symbol" w:eastAsia="Symbol" w:hAnsi="Symbol" w:cs="Symbol"/>
        </w:rPr>
        <w:t></w:t>
      </w:r>
      <w:r>
        <w:rPr>
          <w:rFonts w:ascii="Times New Roman" w:hAnsi="Times New Roman"/>
        </w:rPr>
        <w:t>)</w:t>
      </w:r>
      <w:r>
        <w:t xml:space="preserve"> = G</w:t>
      </w:r>
      <w:r>
        <w:rPr>
          <w:vertAlign w:val="subscript"/>
        </w:rPr>
        <w:t>1</w:t>
      </w:r>
      <w:r>
        <w:t xml:space="preserve">                                             </w:t>
      </w:r>
      <w:r w:rsidR="008D0B2B">
        <w:tab/>
      </w:r>
      <w:proofErr w:type="spellStart"/>
      <w:r>
        <w:t xml:space="preserve">for    </w:t>
      </w:r>
      <w:r w:rsidR="008C6421">
        <w:tab/>
      </w:r>
      <w:r>
        <w:rPr>
          <w:rFonts w:ascii="Symbol" w:eastAsia="Symbol" w:hAnsi="Symbol" w:cs="Symbol"/>
        </w:rPr>
        <w:t></w:t>
      </w:r>
      <w:r>
        <w:rPr>
          <w:rFonts w:ascii="Times New Roman" w:hAnsi="Times New Roman"/>
          <w:vertAlign w:val="subscript"/>
        </w:rPr>
        <w:t>m</w:t>
      </w:r>
      <w:proofErr w:type="spellEnd"/>
      <w:r>
        <w:t xml:space="preserve">   &lt; </w:t>
      </w:r>
      <w:r>
        <w:rPr>
          <w:rFonts w:ascii="Symbol" w:eastAsia="Symbol" w:hAnsi="Symbol" w:cs="Symbol"/>
        </w:rPr>
        <w:t></w:t>
      </w:r>
      <w:r>
        <w:t xml:space="preserve"> &lt; </w:t>
      </w:r>
      <w:r>
        <w:rPr>
          <w:rFonts w:ascii="Symbol" w:eastAsia="Symbol" w:hAnsi="Symbol" w:cs="Symbol"/>
        </w:rPr>
        <w:t></w:t>
      </w:r>
      <w:r>
        <w:rPr>
          <w:rFonts w:ascii="Times New Roman" w:hAnsi="Times New Roman"/>
          <w:vertAlign w:val="subscript"/>
        </w:rPr>
        <w:t>r</w:t>
      </w:r>
      <w:r>
        <w:t xml:space="preserve"> </w:t>
      </w:r>
    </w:p>
    <w:p w14:paraId="7400C131" w14:textId="13CC918D" w:rsidR="00BB5BB6" w:rsidRDefault="00B6795E" w:rsidP="00DE6717">
      <w:pPr>
        <w:spacing w:after="120"/>
      </w:pPr>
      <w:r>
        <w:t>G(</w:t>
      </w:r>
      <w:r>
        <w:rPr>
          <w:rFonts w:ascii="Symbol" w:eastAsia="Symbol" w:hAnsi="Symbol" w:cs="Symbol"/>
        </w:rPr>
        <w:t></w:t>
      </w:r>
      <w:r>
        <w:rPr>
          <w:rFonts w:ascii="Times New Roman" w:hAnsi="Times New Roman"/>
        </w:rPr>
        <w:t xml:space="preserve">) </w:t>
      </w:r>
      <w:r>
        <w:t xml:space="preserve">= </w:t>
      </w:r>
      <w:r w:rsidR="00B248F5">
        <w:t>29</w:t>
      </w:r>
      <w:r>
        <w:t xml:space="preserve"> – 25 </w:t>
      </w:r>
      <w:r>
        <w:rPr>
          <w:rFonts w:ascii="Symbol" w:eastAsia="Symbol" w:hAnsi="Symbol" w:cs="Symbol"/>
        </w:rPr>
        <w:t></w:t>
      </w:r>
      <w:r>
        <w:t xml:space="preserve"> log (</w:t>
      </w:r>
      <w:r>
        <w:rPr>
          <w:rFonts w:ascii="Symbol" w:eastAsia="Symbol" w:hAnsi="Symbol" w:cs="Symbol"/>
        </w:rPr>
        <w:t></w:t>
      </w:r>
      <w:r>
        <w:t>)</w:t>
      </w:r>
      <w:r>
        <w:tab/>
        <w:t xml:space="preserve">                       </w:t>
      </w:r>
      <w:r w:rsidR="008D0B2B">
        <w:tab/>
      </w:r>
      <w:r w:rsidR="008D0B2B">
        <w:tab/>
      </w:r>
      <w:r>
        <w:t xml:space="preserve">for     </w:t>
      </w:r>
      <w:r>
        <w:rPr>
          <w:rFonts w:ascii="Symbol" w:eastAsia="Symbol" w:hAnsi="Symbol" w:cs="Symbol"/>
        </w:rPr>
        <w:t></w:t>
      </w:r>
      <w:r>
        <w:rPr>
          <w:vertAlign w:val="subscript"/>
        </w:rPr>
        <w:t>r</w:t>
      </w:r>
      <w:r>
        <w:t xml:space="preserve">   &lt; </w:t>
      </w:r>
      <w:r>
        <w:rPr>
          <w:rFonts w:ascii="Symbol" w:eastAsia="Symbol" w:hAnsi="Symbol" w:cs="Symbol"/>
        </w:rPr>
        <w:t></w:t>
      </w:r>
      <w:r>
        <w:t xml:space="preserve"> &lt; 48</w:t>
      </w:r>
      <w:r>
        <w:rPr>
          <w:vertAlign w:val="superscript"/>
        </w:rPr>
        <w:t>o</w:t>
      </w:r>
      <w:r>
        <w:t xml:space="preserve"> </w:t>
      </w:r>
    </w:p>
    <w:p w14:paraId="5C005EF9" w14:textId="05CCE728" w:rsidR="00BB5BB6" w:rsidRDefault="00B6795E" w:rsidP="00DE6717">
      <w:pPr>
        <w:spacing w:after="120"/>
        <w:rPr>
          <w:vertAlign w:val="superscript"/>
        </w:rPr>
      </w:pPr>
      <w:r>
        <w:t>G(</w:t>
      </w:r>
      <w:r>
        <w:rPr>
          <w:rFonts w:ascii="Symbol" w:eastAsia="Symbol" w:hAnsi="Symbol" w:cs="Symbol"/>
        </w:rPr>
        <w:t></w:t>
      </w:r>
      <w:r>
        <w:rPr>
          <w:rFonts w:ascii="Times New Roman" w:hAnsi="Times New Roman"/>
        </w:rPr>
        <w:t xml:space="preserve">) </w:t>
      </w:r>
      <w:r>
        <w:t>=  -1</w:t>
      </w:r>
      <w:r w:rsidR="00B248F5">
        <w:t>3</w:t>
      </w:r>
      <w:r>
        <w:tab/>
        <w:t xml:space="preserve">                                         </w:t>
      </w:r>
      <w:r w:rsidR="008D0B2B">
        <w:tab/>
      </w:r>
      <w:r w:rsidR="008D0B2B">
        <w:tab/>
      </w:r>
      <w:r>
        <w:t>for     48</w:t>
      </w:r>
      <w:r>
        <w:rPr>
          <w:vertAlign w:val="superscript"/>
        </w:rPr>
        <w:t>o</w:t>
      </w:r>
      <w:r>
        <w:t xml:space="preserve"> &lt; </w:t>
      </w:r>
      <w:r>
        <w:rPr>
          <w:rFonts w:ascii="Symbol" w:eastAsia="Symbol" w:hAnsi="Symbol" w:cs="Symbol"/>
        </w:rPr>
        <w:t></w:t>
      </w:r>
      <w:r>
        <w:t xml:space="preserve"> &lt; 180</w:t>
      </w:r>
      <w:r>
        <w:rPr>
          <w:vertAlign w:val="superscript"/>
        </w:rPr>
        <w:t>o</w:t>
      </w:r>
    </w:p>
    <w:p w14:paraId="1E0D9AE6" w14:textId="71C223C7" w:rsidR="00BB5BB6" w:rsidRDefault="00B6795E" w:rsidP="00DE6717">
      <w:pPr>
        <w:spacing w:after="120"/>
      </w:pPr>
      <w:r>
        <w:t xml:space="preserve">with: </w:t>
      </w:r>
    </w:p>
    <w:p w14:paraId="0AFC353C" w14:textId="7B2F6A48" w:rsidR="00BB5BB6" w:rsidRDefault="00B6795E" w:rsidP="00DE6717">
      <w:pPr>
        <w:spacing w:after="120"/>
      </w:pPr>
      <w:r>
        <w:t>G</w:t>
      </w:r>
      <w:r>
        <w:rPr>
          <w:vertAlign w:val="subscript"/>
        </w:rPr>
        <w:t>1</w:t>
      </w:r>
      <w:r>
        <w:t xml:space="preserve"> = 15 </w:t>
      </w:r>
      <w:r>
        <w:rPr>
          <w:rFonts w:ascii="Symbol" w:eastAsia="Symbol" w:hAnsi="Symbol" w:cs="Symbol"/>
        </w:rPr>
        <w:t></w:t>
      </w:r>
      <w:r>
        <w:t xml:space="preserve"> log (D/</w:t>
      </w:r>
      <w:r>
        <w:rPr>
          <w:rFonts w:ascii="Symbol" w:eastAsia="Symbol" w:hAnsi="Symbol" w:cs="Symbol"/>
        </w:rPr>
        <w:t></w:t>
      </w:r>
      <w:r>
        <w:t>)</w:t>
      </w:r>
      <w:r w:rsidR="00B248F5">
        <w:t xml:space="preserve"> </w:t>
      </w:r>
      <w:r w:rsidR="00B1245E">
        <w:t>–</w:t>
      </w:r>
      <w:r w:rsidR="00B248F5">
        <w:t xml:space="preserve"> 1</w:t>
      </w:r>
      <w:r w:rsidR="00B1245E">
        <w:t xml:space="preserve"> </w:t>
      </w:r>
      <w:proofErr w:type="spellStart"/>
      <w:r w:rsidR="00B1245E">
        <w:t>dBi</w:t>
      </w:r>
      <w:proofErr w:type="spellEnd"/>
    </w:p>
    <w:p w14:paraId="089303CF" w14:textId="6296265E" w:rsidR="00BB5BB6" w:rsidRPr="00B1245E" w:rsidRDefault="00B6795E" w:rsidP="00DE6717">
      <w:pPr>
        <w:spacing w:after="120"/>
      </w:pPr>
      <w:r>
        <w:rPr>
          <w:rFonts w:ascii="Symbol" w:eastAsia="Symbol" w:hAnsi="Symbol" w:cs="Symbol"/>
        </w:rPr>
        <w:t></w:t>
      </w:r>
      <w:r>
        <w:rPr>
          <w:rFonts w:ascii="Times New Roman" w:hAnsi="Times New Roman"/>
          <w:vertAlign w:val="subscript"/>
        </w:rPr>
        <w:t>m</w:t>
      </w:r>
      <w:r>
        <w:t xml:space="preserve"> = 20 </w:t>
      </w:r>
      <w:r>
        <w:rPr>
          <w:rFonts w:ascii="Symbol" w:eastAsia="Symbol" w:hAnsi="Symbol" w:cs="Symbol"/>
        </w:rPr>
        <w:t></w:t>
      </w:r>
      <w:r>
        <w:t xml:space="preserve"> (</w:t>
      </w:r>
      <w:r>
        <w:rPr>
          <w:rFonts w:ascii="Symbol" w:eastAsia="Symbol" w:hAnsi="Symbol" w:cs="Symbol"/>
        </w:rPr>
        <w:t></w:t>
      </w:r>
      <w:r>
        <w:t xml:space="preserve">/D) </w:t>
      </w:r>
      <w:r>
        <w:rPr>
          <w:rFonts w:ascii="Symbol" w:eastAsia="Symbol" w:hAnsi="Symbol" w:cs="Symbol"/>
        </w:rPr>
        <w:t></w:t>
      </w:r>
      <w:r>
        <w:t xml:space="preserve"> (</w:t>
      </w:r>
      <w:proofErr w:type="spellStart"/>
      <w:r>
        <w:t>G</w:t>
      </w:r>
      <w:r>
        <w:rPr>
          <w:vertAlign w:val="subscript"/>
        </w:rPr>
        <w:t>max</w:t>
      </w:r>
      <w:proofErr w:type="spellEnd"/>
      <w:r>
        <w:t xml:space="preserve"> – G</w:t>
      </w:r>
      <w:r>
        <w:rPr>
          <w:vertAlign w:val="subscript"/>
        </w:rPr>
        <w:t>1</w:t>
      </w:r>
      <w:r>
        <w:t>)</w:t>
      </w:r>
      <w:r>
        <w:rPr>
          <w:vertAlign w:val="superscript"/>
        </w:rPr>
        <w:t>0.5</w:t>
      </w:r>
      <w:r w:rsidR="00B1245E">
        <w:t xml:space="preserve"> degrees</w:t>
      </w:r>
    </w:p>
    <w:p w14:paraId="0B05DAD8" w14:textId="15FB7F63" w:rsidR="00BB5BB6" w:rsidRPr="00B1245E" w:rsidRDefault="00B6795E" w:rsidP="00B576CF">
      <w:pPr>
        <w:spacing w:after="0"/>
      </w:pPr>
      <w:r>
        <w:rPr>
          <w:rFonts w:ascii="Symbol" w:eastAsia="Symbol" w:hAnsi="Symbol" w:cs="Symbol"/>
        </w:rPr>
        <w:t></w:t>
      </w:r>
      <w:r>
        <w:rPr>
          <w:vertAlign w:val="subscript"/>
        </w:rPr>
        <w:t>r</w:t>
      </w:r>
      <w:r>
        <w:t xml:space="preserve"> = 15.85 </w:t>
      </w:r>
      <w:r>
        <w:rPr>
          <w:rFonts w:ascii="Symbol" w:eastAsia="Symbol" w:hAnsi="Symbol" w:cs="Symbol"/>
        </w:rPr>
        <w:t></w:t>
      </w:r>
      <w:r>
        <w:t xml:space="preserve"> (D/</w:t>
      </w:r>
      <w:r>
        <w:rPr>
          <w:rFonts w:ascii="Symbol" w:eastAsia="Symbol" w:hAnsi="Symbol" w:cs="Symbol"/>
        </w:rPr>
        <w:t></w:t>
      </w:r>
      <w:r>
        <w:t>)</w:t>
      </w:r>
      <w:r>
        <w:rPr>
          <w:vertAlign w:val="superscript"/>
        </w:rPr>
        <w:t>-0.6</w:t>
      </w:r>
      <w:r w:rsidR="00B1245E">
        <w:t xml:space="preserve"> degrees</w:t>
      </w:r>
    </w:p>
    <w:p w14:paraId="14CD3DD4" w14:textId="77777777" w:rsidR="002E1A15" w:rsidRDefault="002E1A15" w:rsidP="00B576CF">
      <w:pPr>
        <w:spacing w:after="120"/>
      </w:pPr>
    </w:p>
    <w:p w14:paraId="3520C1DA" w14:textId="539E002C" w:rsidR="002B46A2" w:rsidRDefault="002B46A2" w:rsidP="002B46A2">
      <w:r>
        <w:t>The pattern of the NASA deep space antenna (70</w:t>
      </w:r>
      <w:r w:rsidR="00B72D38">
        <w:t xml:space="preserve"> </w:t>
      </w:r>
      <w:r>
        <w:t>m</w:t>
      </w:r>
      <w:r w:rsidR="00AE6C0C">
        <w:t xml:space="preserve"> and 34</w:t>
      </w:r>
      <w:r w:rsidR="00B72D38">
        <w:t xml:space="preserve"> </w:t>
      </w:r>
      <w:r w:rsidR="00AE6C0C">
        <w:t>m diameter antennas</w:t>
      </w:r>
      <w:r>
        <w:t>) at the Tidbinbilla facility is defined by ITU/RR/AP8/ANNEX 3:</w:t>
      </w:r>
    </w:p>
    <w:p w14:paraId="44B98AE2" w14:textId="523A5BC3" w:rsidR="002B46A2" w:rsidRDefault="002B46A2" w:rsidP="00CF08F5">
      <w:pPr>
        <w:spacing w:after="120"/>
        <w:rPr>
          <w:vertAlign w:val="subscript"/>
        </w:rPr>
      </w:pPr>
      <w:r>
        <w:t>G(</w:t>
      </w:r>
      <w:r>
        <w:rPr>
          <w:rFonts w:ascii="Symbol" w:eastAsia="Symbol" w:hAnsi="Symbol" w:cs="Symbol"/>
        </w:rPr>
        <w:t>j</w:t>
      </w:r>
      <w:r>
        <w:rPr>
          <w:rFonts w:ascii="Times New Roman" w:hAnsi="Times New Roman"/>
        </w:rPr>
        <w:t>)</w:t>
      </w:r>
      <w:r>
        <w:t xml:space="preserve"> = </w:t>
      </w:r>
      <w:proofErr w:type="spellStart"/>
      <w:r>
        <w:t>G</w:t>
      </w:r>
      <w:r>
        <w:rPr>
          <w:vertAlign w:val="subscript"/>
        </w:rPr>
        <w:t>max</w:t>
      </w:r>
      <w:proofErr w:type="spellEnd"/>
      <w:r>
        <w:t xml:space="preserve"> – 2.5 </w:t>
      </w:r>
      <w:r>
        <w:rPr>
          <w:rFonts w:ascii="Symbol" w:eastAsia="Symbol" w:hAnsi="Symbol" w:cs="Symbol"/>
        </w:rPr>
        <w:t>×</w:t>
      </w:r>
      <w:r>
        <w:rPr>
          <w:rFonts w:ascii="Times New Roman" w:hAnsi="Times New Roman"/>
        </w:rPr>
        <w:t xml:space="preserve"> </w:t>
      </w:r>
      <w:r>
        <w:t>10</w:t>
      </w:r>
      <w:r>
        <w:rPr>
          <w:vertAlign w:val="superscript"/>
        </w:rPr>
        <w:t>-3</w:t>
      </w:r>
      <w:r>
        <w:rPr>
          <w:rFonts w:ascii="Times New Roman" w:hAnsi="Times New Roman"/>
        </w:rPr>
        <w:t xml:space="preserve"> </w:t>
      </w:r>
      <w:r>
        <w:rPr>
          <w:rFonts w:ascii="Symbol" w:eastAsia="Symbol" w:hAnsi="Symbol" w:cs="Symbol"/>
        </w:rPr>
        <w:t>×</w:t>
      </w:r>
      <w:r>
        <w:rPr>
          <w:rFonts w:ascii="Times New Roman" w:hAnsi="Times New Roman"/>
        </w:rPr>
        <w:t xml:space="preserve"> </w:t>
      </w:r>
      <w:r>
        <w:t>(</w:t>
      </w:r>
      <w:r>
        <w:rPr>
          <w:rFonts w:ascii="Symbol" w:eastAsia="Symbol" w:hAnsi="Symbol" w:cs="Symbol"/>
        </w:rPr>
        <w:t>j×</w:t>
      </w:r>
      <w:r>
        <w:t>D/</w:t>
      </w:r>
      <w:r>
        <w:rPr>
          <w:rFonts w:ascii="Symbol" w:eastAsia="Symbol" w:hAnsi="Symbol" w:cs="Symbol"/>
        </w:rPr>
        <w:t>l</w:t>
      </w:r>
      <w:r>
        <w:t>)</w:t>
      </w:r>
      <w:r>
        <w:rPr>
          <w:vertAlign w:val="superscript"/>
        </w:rPr>
        <w:t>2</w:t>
      </w:r>
      <w:r>
        <w:t xml:space="preserve">         </w:t>
      </w:r>
      <w:r w:rsidR="000F39C7">
        <w:tab/>
      </w:r>
      <w:r>
        <w:t xml:space="preserve">for      0 &lt; </w:t>
      </w:r>
      <w:r>
        <w:rPr>
          <w:rFonts w:ascii="Symbol" w:eastAsia="Symbol" w:hAnsi="Symbol" w:cs="Symbol"/>
        </w:rPr>
        <w:t>j</w:t>
      </w:r>
      <w:r>
        <w:t xml:space="preserve"> &lt; </w:t>
      </w:r>
      <w:r>
        <w:rPr>
          <w:rFonts w:ascii="Symbol" w:eastAsia="Symbol" w:hAnsi="Symbol" w:cs="Symbol"/>
        </w:rPr>
        <w:t>j</w:t>
      </w:r>
      <w:r>
        <w:rPr>
          <w:rFonts w:ascii="Times New Roman" w:hAnsi="Times New Roman"/>
          <w:vertAlign w:val="subscript"/>
        </w:rPr>
        <w:t>m</w:t>
      </w:r>
    </w:p>
    <w:p w14:paraId="1D11CCE8" w14:textId="23DF1E62" w:rsidR="002B46A2" w:rsidRDefault="002B46A2" w:rsidP="00CF08F5">
      <w:pPr>
        <w:spacing w:after="120"/>
      </w:pPr>
      <w:r>
        <w:t>G(</w:t>
      </w:r>
      <w:r>
        <w:rPr>
          <w:rFonts w:ascii="Symbol" w:eastAsia="Symbol" w:hAnsi="Symbol" w:cs="Symbol"/>
        </w:rPr>
        <w:t>j</w:t>
      </w:r>
      <w:r>
        <w:rPr>
          <w:rFonts w:ascii="Times New Roman" w:hAnsi="Times New Roman"/>
        </w:rPr>
        <w:t>)</w:t>
      </w:r>
      <w:r>
        <w:t xml:space="preserve"> = G</w:t>
      </w:r>
      <w:r>
        <w:rPr>
          <w:vertAlign w:val="subscript"/>
        </w:rPr>
        <w:t>1</w:t>
      </w:r>
      <w:r>
        <w:t xml:space="preserve">                                             </w:t>
      </w:r>
      <w:r w:rsidR="000F39C7">
        <w:tab/>
      </w:r>
      <w:proofErr w:type="spellStart"/>
      <w:r>
        <w:t xml:space="preserve">for     </w:t>
      </w:r>
      <w:r>
        <w:rPr>
          <w:rFonts w:ascii="Symbol" w:eastAsia="Symbol" w:hAnsi="Symbol" w:cs="Symbol"/>
        </w:rPr>
        <w:t>j</w:t>
      </w:r>
      <w:r>
        <w:rPr>
          <w:rFonts w:ascii="Times New Roman" w:hAnsi="Times New Roman"/>
          <w:vertAlign w:val="subscript"/>
        </w:rPr>
        <w:t>m</w:t>
      </w:r>
      <w:proofErr w:type="spellEnd"/>
      <w:r>
        <w:t xml:space="preserve">   &lt; </w:t>
      </w:r>
      <w:r>
        <w:rPr>
          <w:rFonts w:ascii="Symbol" w:eastAsia="Symbol" w:hAnsi="Symbol" w:cs="Symbol"/>
        </w:rPr>
        <w:t>j</w:t>
      </w:r>
      <w:r>
        <w:t xml:space="preserve"> &lt; </w:t>
      </w:r>
      <w:r>
        <w:rPr>
          <w:rFonts w:ascii="Symbol" w:eastAsia="Symbol" w:hAnsi="Symbol" w:cs="Symbol"/>
        </w:rPr>
        <w:t>j</w:t>
      </w:r>
      <w:r>
        <w:rPr>
          <w:rFonts w:ascii="Times New Roman" w:hAnsi="Times New Roman"/>
          <w:vertAlign w:val="subscript"/>
        </w:rPr>
        <w:t>r</w:t>
      </w:r>
      <w:r>
        <w:t xml:space="preserve"> </w:t>
      </w:r>
    </w:p>
    <w:p w14:paraId="4EEE9ABA" w14:textId="419D6793" w:rsidR="002B46A2" w:rsidRDefault="002B46A2" w:rsidP="00CF08F5">
      <w:pPr>
        <w:spacing w:after="120"/>
      </w:pPr>
      <w:r>
        <w:t>G(</w:t>
      </w:r>
      <w:r>
        <w:rPr>
          <w:rFonts w:ascii="Symbol" w:eastAsia="Symbol" w:hAnsi="Symbol" w:cs="Symbol"/>
        </w:rPr>
        <w:t>j</w:t>
      </w:r>
      <w:r>
        <w:rPr>
          <w:rFonts w:ascii="Times New Roman" w:hAnsi="Times New Roman"/>
        </w:rPr>
        <w:t xml:space="preserve">) </w:t>
      </w:r>
      <w:r>
        <w:t xml:space="preserve">= 32 – 25 </w:t>
      </w:r>
      <w:r>
        <w:rPr>
          <w:rFonts w:ascii="Symbol" w:eastAsia="Symbol" w:hAnsi="Symbol" w:cs="Symbol"/>
        </w:rPr>
        <w:t>×</w:t>
      </w:r>
      <w:r>
        <w:t xml:space="preserve"> log (</w:t>
      </w:r>
      <w:r>
        <w:rPr>
          <w:rFonts w:ascii="Symbol" w:eastAsia="Symbol" w:hAnsi="Symbol" w:cs="Symbol"/>
        </w:rPr>
        <w:t>j</w:t>
      </w:r>
      <w:r>
        <w:t>)</w:t>
      </w:r>
      <w:r>
        <w:tab/>
        <w:t xml:space="preserve">                       </w:t>
      </w:r>
      <w:r w:rsidR="000F39C7">
        <w:tab/>
      </w:r>
      <w:r w:rsidR="0085182D">
        <w:tab/>
      </w:r>
      <w:r>
        <w:t xml:space="preserve">for     </w:t>
      </w:r>
      <w:r>
        <w:rPr>
          <w:rFonts w:ascii="Symbol" w:eastAsia="Symbol" w:hAnsi="Symbol" w:cs="Symbol"/>
        </w:rPr>
        <w:t>j</w:t>
      </w:r>
      <w:r>
        <w:rPr>
          <w:vertAlign w:val="subscript"/>
        </w:rPr>
        <w:t>r</w:t>
      </w:r>
      <w:r>
        <w:t xml:space="preserve">   &lt; </w:t>
      </w:r>
      <w:r>
        <w:rPr>
          <w:rFonts w:ascii="Symbol" w:eastAsia="Symbol" w:hAnsi="Symbol" w:cs="Symbol"/>
        </w:rPr>
        <w:t>j</w:t>
      </w:r>
      <w:r>
        <w:t xml:space="preserve"> &lt; 48</w:t>
      </w:r>
      <w:r>
        <w:rPr>
          <w:vertAlign w:val="superscript"/>
        </w:rPr>
        <w:t>o</w:t>
      </w:r>
      <w:r>
        <w:t xml:space="preserve"> </w:t>
      </w:r>
    </w:p>
    <w:p w14:paraId="32B29F1F" w14:textId="4E9B414D" w:rsidR="002B46A2" w:rsidRDefault="002B46A2" w:rsidP="00CF08F5">
      <w:pPr>
        <w:spacing w:after="120"/>
        <w:rPr>
          <w:vertAlign w:val="superscript"/>
        </w:rPr>
      </w:pPr>
      <w:r>
        <w:t>G(</w:t>
      </w:r>
      <w:r>
        <w:rPr>
          <w:rFonts w:ascii="Symbol" w:eastAsia="Symbol" w:hAnsi="Symbol" w:cs="Symbol"/>
        </w:rPr>
        <w:t>j</w:t>
      </w:r>
      <w:r>
        <w:rPr>
          <w:rFonts w:ascii="Times New Roman" w:hAnsi="Times New Roman"/>
        </w:rPr>
        <w:t xml:space="preserve">) </w:t>
      </w:r>
      <w:r>
        <w:t>=  -10</w:t>
      </w:r>
      <w:r>
        <w:tab/>
        <w:t xml:space="preserve">                                         </w:t>
      </w:r>
      <w:r w:rsidR="0085182D">
        <w:tab/>
      </w:r>
      <w:r w:rsidR="000F39C7">
        <w:tab/>
      </w:r>
      <w:r>
        <w:t>for     48</w:t>
      </w:r>
      <w:r>
        <w:rPr>
          <w:vertAlign w:val="superscript"/>
        </w:rPr>
        <w:t>o</w:t>
      </w:r>
      <w:r>
        <w:t xml:space="preserve"> &lt; </w:t>
      </w:r>
      <w:r>
        <w:rPr>
          <w:rFonts w:ascii="Symbol" w:eastAsia="Symbol" w:hAnsi="Symbol" w:cs="Symbol"/>
        </w:rPr>
        <w:t>j</w:t>
      </w:r>
      <w:r>
        <w:t xml:space="preserve"> &lt; 180</w:t>
      </w:r>
      <w:r>
        <w:rPr>
          <w:vertAlign w:val="superscript"/>
        </w:rPr>
        <w:t>o</w:t>
      </w:r>
    </w:p>
    <w:p w14:paraId="57E4D13F" w14:textId="77777777" w:rsidR="002B46A2" w:rsidRDefault="002B46A2" w:rsidP="00CF08F5">
      <w:pPr>
        <w:spacing w:after="120"/>
      </w:pPr>
      <w:r>
        <w:t xml:space="preserve">with: </w:t>
      </w:r>
    </w:p>
    <w:p w14:paraId="003C3B67" w14:textId="68DF7450" w:rsidR="002B46A2" w:rsidRDefault="002B46A2" w:rsidP="00CF08F5">
      <w:pPr>
        <w:spacing w:after="120"/>
      </w:pPr>
      <w:r>
        <w:t>G</w:t>
      </w:r>
      <w:r>
        <w:rPr>
          <w:vertAlign w:val="subscript"/>
        </w:rPr>
        <w:t>1</w:t>
      </w:r>
      <w:r>
        <w:t xml:space="preserve"> = 2 + 15 </w:t>
      </w:r>
      <w:r>
        <w:rPr>
          <w:rFonts w:ascii="Symbol" w:eastAsia="Symbol" w:hAnsi="Symbol" w:cs="Symbol"/>
        </w:rPr>
        <w:t>×</w:t>
      </w:r>
      <w:r>
        <w:t xml:space="preserve"> log (D/</w:t>
      </w:r>
      <w:r>
        <w:rPr>
          <w:rFonts w:ascii="Symbol" w:eastAsia="Symbol" w:hAnsi="Symbol" w:cs="Symbol"/>
        </w:rPr>
        <w:t>l</w:t>
      </w:r>
      <w:r>
        <w:t>)</w:t>
      </w:r>
      <w:r w:rsidR="00B1245E">
        <w:t xml:space="preserve"> </w:t>
      </w:r>
      <w:proofErr w:type="spellStart"/>
      <w:r w:rsidR="00624284">
        <w:t>dBi</w:t>
      </w:r>
      <w:proofErr w:type="spellEnd"/>
    </w:p>
    <w:p w14:paraId="21BF85E8" w14:textId="37CF341E" w:rsidR="002B46A2" w:rsidRPr="00624284" w:rsidRDefault="002B46A2" w:rsidP="00CF08F5">
      <w:pPr>
        <w:spacing w:after="120"/>
      </w:pPr>
      <w:r>
        <w:rPr>
          <w:rFonts w:ascii="Symbol" w:eastAsia="Symbol" w:hAnsi="Symbol" w:cs="Symbol"/>
        </w:rPr>
        <w:t>j</w:t>
      </w:r>
      <w:r>
        <w:rPr>
          <w:rFonts w:ascii="Times New Roman" w:hAnsi="Times New Roman"/>
          <w:vertAlign w:val="subscript"/>
        </w:rPr>
        <w:t>m</w:t>
      </w:r>
      <w:r>
        <w:t xml:space="preserve"> = 20 </w:t>
      </w:r>
      <w:r>
        <w:rPr>
          <w:rFonts w:ascii="Symbol" w:eastAsia="Symbol" w:hAnsi="Symbol" w:cs="Symbol"/>
        </w:rPr>
        <w:t>×</w:t>
      </w:r>
      <w:r>
        <w:t xml:space="preserve"> (</w:t>
      </w:r>
      <w:r>
        <w:rPr>
          <w:rFonts w:ascii="Symbol" w:eastAsia="Symbol" w:hAnsi="Symbol" w:cs="Symbol"/>
        </w:rPr>
        <w:t>l</w:t>
      </w:r>
      <w:r>
        <w:t xml:space="preserve">/D) </w:t>
      </w:r>
      <w:r>
        <w:rPr>
          <w:rFonts w:ascii="Symbol" w:eastAsia="Symbol" w:hAnsi="Symbol" w:cs="Symbol"/>
        </w:rPr>
        <w:t>×</w:t>
      </w:r>
      <w:r>
        <w:t xml:space="preserve"> (</w:t>
      </w:r>
      <w:proofErr w:type="spellStart"/>
      <w:r>
        <w:t>G</w:t>
      </w:r>
      <w:r>
        <w:rPr>
          <w:vertAlign w:val="subscript"/>
        </w:rPr>
        <w:t>max</w:t>
      </w:r>
      <w:proofErr w:type="spellEnd"/>
      <w:r>
        <w:t xml:space="preserve"> – G</w:t>
      </w:r>
      <w:r>
        <w:rPr>
          <w:vertAlign w:val="subscript"/>
        </w:rPr>
        <w:t>1</w:t>
      </w:r>
      <w:r>
        <w:t>)</w:t>
      </w:r>
      <w:r>
        <w:rPr>
          <w:vertAlign w:val="superscript"/>
        </w:rPr>
        <w:t>0.5</w:t>
      </w:r>
      <w:r w:rsidR="00624284">
        <w:t xml:space="preserve"> degrees</w:t>
      </w:r>
    </w:p>
    <w:p w14:paraId="4B80E48E" w14:textId="1488D6FE" w:rsidR="002B46A2" w:rsidRPr="00624284" w:rsidRDefault="002B46A2" w:rsidP="00CF08F5">
      <w:pPr>
        <w:spacing w:after="120"/>
      </w:pPr>
      <w:r>
        <w:rPr>
          <w:rFonts w:ascii="Symbol" w:eastAsia="Symbol" w:hAnsi="Symbol" w:cs="Symbol"/>
        </w:rPr>
        <w:t>j</w:t>
      </w:r>
      <w:r>
        <w:rPr>
          <w:vertAlign w:val="subscript"/>
        </w:rPr>
        <w:t>r</w:t>
      </w:r>
      <w:r>
        <w:t xml:space="preserve"> = 15.85 </w:t>
      </w:r>
      <w:r>
        <w:rPr>
          <w:rFonts w:ascii="Symbol" w:eastAsia="Symbol" w:hAnsi="Symbol" w:cs="Symbol"/>
        </w:rPr>
        <w:t>×</w:t>
      </w:r>
      <w:r>
        <w:t xml:space="preserve"> (D/</w:t>
      </w:r>
      <w:r>
        <w:rPr>
          <w:rFonts w:ascii="Symbol" w:eastAsia="Symbol" w:hAnsi="Symbol" w:cs="Symbol"/>
        </w:rPr>
        <w:t>l</w:t>
      </w:r>
      <w:r>
        <w:t>)</w:t>
      </w:r>
      <w:r>
        <w:rPr>
          <w:vertAlign w:val="superscript"/>
        </w:rPr>
        <w:t>-0.6</w:t>
      </w:r>
      <w:r w:rsidR="00624284">
        <w:t xml:space="preserve"> degrees</w:t>
      </w:r>
    </w:p>
    <w:p w14:paraId="58A6B281" w14:textId="77777777" w:rsidR="00FE5470" w:rsidRDefault="00FE5470" w:rsidP="00DE6717">
      <w:pPr>
        <w:spacing w:after="120"/>
      </w:pPr>
      <w:r>
        <w:t>where:</w:t>
      </w:r>
    </w:p>
    <w:p w14:paraId="0E1AE91D" w14:textId="6C3BE240" w:rsidR="00FE5470" w:rsidRDefault="00FE5470" w:rsidP="00DE6717">
      <w:pPr>
        <w:spacing w:after="120"/>
      </w:pPr>
      <w:r>
        <w:t>G(</w:t>
      </w:r>
      <w:r>
        <w:rPr>
          <w:rFonts w:ascii="Symbol" w:eastAsia="Symbol" w:hAnsi="Symbol" w:cs="Symbol"/>
        </w:rPr>
        <w:t></w:t>
      </w:r>
      <w:r>
        <w:t xml:space="preserve">): antenna gain at off-axis angle </w:t>
      </w:r>
      <w:r>
        <w:rPr>
          <w:rFonts w:ascii="Symbol" w:eastAsia="Symbol" w:hAnsi="Symbol" w:cs="Symbol"/>
        </w:rPr>
        <w:t></w:t>
      </w:r>
      <w:r>
        <w:t>;</w:t>
      </w:r>
    </w:p>
    <w:p w14:paraId="396DC6BE" w14:textId="50C5769A" w:rsidR="00FE5470" w:rsidRDefault="00FE5470" w:rsidP="00DE6717">
      <w:pPr>
        <w:spacing w:after="120"/>
      </w:pPr>
      <w:proofErr w:type="spellStart"/>
      <w:r>
        <w:t>G</w:t>
      </w:r>
      <w:r>
        <w:rPr>
          <w:vertAlign w:val="subscript"/>
        </w:rPr>
        <w:t>max</w:t>
      </w:r>
      <w:proofErr w:type="spellEnd"/>
      <w:r>
        <w:t>: maximum gain (</w:t>
      </w:r>
      <w:proofErr w:type="spellStart"/>
      <w:r>
        <w:t>dBi</w:t>
      </w:r>
      <w:proofErr w:type="spellEnd"/>
      <w:r>
        <w:t>);</w:t>
      </w:r>
      <w:r>
        <w:tab/>
      </w:r>
      <w:r>
        <w:rPr>
          <w:rFonts w:ascii="Symbol" w:eastAsia="Symbol" w:hAnsi="Symbol" w:cs="Symbol"/>
        </w:rPr>
        <w:t></w:t>
      </w:r>
      <w:r>
        <w:t>: off-axis angle (deg</w:t>
      </w:r>
      <w:r w:rsidR="004E463F">
        <w:t>rees</w:t>
      </w:r>
      <w:r>
        <w:t xml:space="preserve">); </w:t>
      </w:r>
    </w:p>
    <w:p w14:paraId="436E2C42" w14:textId="306326A2" w:rsidR="00FE5470" w:rsidRDefault="00FE5470" w:rsidP="00FE5470">
      <w:r>
        <w:t>D: antenna diameter (m);</w:t>
      </w:r>
      <w:r>
        <w:tab/>
      </w:r>
      <w:r w:rsidR="008C6421">
        <w:tab/>
      </w:r>
      <w:r>
        <w:rPr>
          <w:rFonts w:ascii="Symbol" w:eastAsia="Symbol" w:hAnsi="Symbol" w:cs="Symbol"/>
        </w:rPr>
        <w:t></w:t>
      </w:r>
      <w:r w:rsidR="008C6421">
        <w:rPr>
          <w:rFonts w:ascii="Times New Roman" w:hAnsi="Times New Roman"/>
        </w:rPr>
        <w:t>:</w:t>
      </w:r>
      <w:r>
        <w:rPr>
          <w:rFonts w:ascii="Times New Roman" w:hAnsi="Times New Roman"/>
        </w:rPr>
        <w:t xml:space="preserve"> </w:t>
      </w:r>
      <w:r>
        <w:t>wavelength (m).</w:t>
      </w:r>
    </w:p>
    <w:p w14:paraId="6D87E375" w14:textId="349866E5" w:rsidR="00FE5470" w:rsidRDefault="00FE5470" w:rsidP="00FE5470">
      <w:r>
        <w:t xml:space="preserve">In accordance with the provisions of ITU/RR/AR21.15, ESA and NASA will limit its minimum elevation to 5 degrees </w:t>
      </w:r>
      <w:r w:rsidR="00AE6C0C">
        <w:t>(6 deg</w:t>
      </w:r>
      <w:r w:rsidR="004C6785">
        <w:t>rees</w:t>
      </w:r>
      <w:r w:rsidR="00AE6C0C">
        <w:t xml:space="preserve"> for the Tidbinbilla antennas) </w:t>
      </w:r>
      <w:r>
        <w:t>above the horizontal plane for all services except Space Research (deep space), where the minimum elevation is 10 degrees. This limitation results in an antenna gain in the horizontal direction of 14.5</w:t>
      </w:r>
      <w:r w:rsidR="00ED1B26">
        <w:t xml:space="preserve"> </w:t>
      </w:r>
      <w:proofErr w:type="spellStart"/>
      <w:r>
        <w:t>dBi</w:t>
      </w:r>
      <w:proofErr w:type="spellEnd"/>
      <w:r>
        <w:t xml:space="preserve"> (7 </w:t>
      </w:r>
      <w:proofErr w:type="spellStart"/>
      <w:r>
        <w:t>dBi</w:t>
      </w:r>
      <w:proofErr w:type="spellEnd"/>
      <w:r>
        <w:t xml:space="preserve"> for Space Research, deep space) for the New Norcia facility’s deep space antenna and </w:t>
      </w:r>
      <w:r w:rsidR="00AE6C0C">
        <w:t xml:space="preserve">12.5 </w:t>
      </w:r>
      <w:proofErr w:type="spellStart"/>
      <w:r w:rsidR="00AE6C0C">
        <w:t>dBi</w:t>
      </w:r>
      <w:proofErr w:type="spellEnd"/>
      <w:r w:rsidR="00AE6C0C">
        <w:t xml:space="preserve"> (7 </w:t>
      </w:r>
      <w:proofErr w:type="spellStart"/>
      <w:r w:rsidR="00AE6C0C">
        <w:t>dBi</w:t>
      </w:r>
      <w:proofErr w:type="spellEnd"/>
      <w:r w:rsidR="00AE6C0C">
        <w:t xml:space="preserve"> for Space Research, deep space) </w:t>
      </w:r>
      <w:r>
        <w:t>for the Tidbinbilla facility’s antenna, at minimum elevation.</w:t>
      </w:r>
    </w:p>
    <w:p w14:paraId="01F7F0D2" w14:textId="77777777" w:rsidR="00FE5470" w:rsidRDefault="00FE5470" w:rsidP="00FE5470">
      <w:pPr>
        <w:pStyle w:val="Heading2noTOC"/>
        <w:rPr>
          <w:szCs w:val="22"/>
        </w:rPr>
      </w:pPr>
    </w:p>
    <w:p w14:paraId="0B89F74C" w14:textId="57D89552" w:rsidR="00BB5BB6" w:rsidRDefault="00B6795E">
      <w:pPr>
        <w:pStyle w:val="Heading1"/>
        <w:numPr>
          <w:ilvl w:val="0"/>
          <w:numId w:val="0"/>
        </w:numPr>
      </w:pPr>
      <w:bookmarkStart w:id="35" w:name="_Toc121757758"/>
      <w:r>
        <w:rPr>
          <w:szCs w:val="44"/>
        </w:rPr>
        <w:lastRenderedPageBreak/>
        <w:t xml:space="preserve">Appendix B: </w:t>
      </w:r>
      <w:r>
        <w:t>Pre-existing Spectrum Arrangements</w:t>
      </w:r>
      <w:bookmarkEnd w:id="35"/>
      <w:r>
        <w:t xml:space="preserve"> </w:t>
      </w:r>
    </w:p>
    <w:p w14:paraId="3E0D039C" w14:textId="511E2800" w:rsidR="001D2E94" w:rsidRPr="00E46617" w:rsidRDefault="001D2E94" w:rsidP="00F94767">
      <w:pPr>
        <w:pStyle w:val="Heading2"/>
        <w:numPr>
          <w:ilvl w:val="0"/>
          <w:numId w:val="0"/>
        </w:numPr>
        <w:ind w:left="431" w:hanging="431"/>
      </w:pPr>
      <w:bookmarkStart w:id="36" w:name="_Toc121757759"/>
      <w:r w:rsidRPr="00E46617">
        <w:t>2022 update</w:t>
      </w:r>
      <w:bookmarkEnd w:id="36"/>
    </w:p>
    <w:p w14:paraId="14505470" w14:textId="77777777" w:rsidR="001D2E94" w:rsidRDefault="001D2E94" w:rsidP="001D2E94">
      <w:pPr>
        <w:rPr>
          <w:rFonts w:cs="Calibri"/>
        </w:rPr>
      </w:pPr>
      <w:r>
        <w:rPr>
          <w:rFonts w:cs="Calibri"/>
        </w:rPr>
        <w:t>Both the New Norcia and Tidbinbilla facilities were already authorised to operate in the bands included in the 2022 update of this RALI. Accordingly, f</w:t>
      </w:r>
      <w:r w:rsidRPr="00A01475">
        <w:rPr>
          <w:rFonts w:cs="Calibri"/>
        </w:rPr>
        <w:t xml:space="preserve">or </w:t>
      </w:r>
      <w:r>
        <w:rPr>
          <w:szCs w:val="22"/>
        </w:rPr>
        <w:t xml:space="preserve">earth stations operations at:  </w:t>
      </w:r>
    </w:p>
    <w:p w14:paraId="68C3FB37" w14:textId="5DDE106A" w:rsidR="001D2E94" w:rsidRPr="00F17640" w:rsidRDefault="001D2E94" w:rsidP="001D2E94">
      <w:pPr>
        <w:pStyle w:val="ListParagraph"/>
        <w:numPr>
          <w:ilvl w:val="0"/>
          <w:numId w:val="22"/>
        </w:numPr>
        <w:rPr>
          <w:rFonts w:cs="Calibri"/>
        </w:rPr>
      </w:pPr>
      <w:r>
        <w:rPr>
          <w:szCs w:val="22"/>
        </w:rPr>
        <w:t xml:space="preserve">New Norcia in the band </w:t>
      </w:r>
      <w:r w:rsidRPr="000D2DCD">
        <w:rPr>
          <w:szCs w:val="22"/>
        </w:rPr>
        <w:t>22.55-23.15</w:t>
      </w:r>
      <w:r>
        <w:rPr>
          <w:szCs w:val="22"/>
        </w:rPr>
        <w:t xml:space="preserve"> GHz</w:t>
      </w:r>
      <w:r w:rsidR="00DF0C9D">
        <w:rPr>
          <w:szCs w:val="22"/>
        </w:rPr>
        <w:t>:</w:t>
      </w:r>
      <w:r>
        <w:rPr>
          <w:szCs w:val="22"/>
        </w:rPr>
        <w:t xml:space="preserve"> </w:t>
      </w:r>
      <w:r w:rsidRPr="00A01475">
        <w:rPr>
          <w:rFonts w:cs="Calibri"/>
        </w:rPr>
        <w:t xml:space="preserve">the arrangement in this RALI do not </w:t>
      </w:r>
      <w:r w:rsidRPr="00F17640">
        <w:rPr>
          <w:rFonts w:cs="Calibri"/>
        </w:rPr>
        <w:t xml:space="preserve">apply to existing services authorised before this RALI commenced on </w:t>
      </w:r>
      <w:r w:rsidR="008D74D5" w:rsidRPr="00F17640">
        <w:rPr>
          <w:rFonts w:cs="Calibri"/>
        </w:rPr>
        <w:t>12</w:t>
      </w:r>
      <w:r w:rsidR="00F17640">
        <w:rPr>
          <w:rFonts w:cs="Calibri"/>
        </w:rPr>
        <w:t xml:space="preserve"> September </w:t>
      </w:r>
      <w:r w:rsidRPr="00F17640">
        <w:rPr>
          <w:rFonts w:cs="Calibri"/>
        </w:rPr>
        <w:t>2022.</w:t>
      </w:r>
    </w:p>
    <w:p w14:paraId="41896577" w14:textId="5E7F0CF4" w:rsidR="001D2E94" w:rsidRPr="00F17640" w:rsidRDefault="001D2E94" w:rsidP="001D2E94">
      <w:pPr>
        <w:pStyle w:val="ListParagraph"/>
        <w:numPr>
          <w:ilvl w:val="0"/>
          <w:numId w:val="22"/>
        </w:numPr>
        <w:rPr>
          <w:rFonts w:cs="Calibri"/>
        </w:rPr>
      </w:pPr>
      <w:r w:rsidRPr="00F17640">
        <w:rPr>
          <w:szCs w:val="22"/>
        </w:rPr>
        <w:t xml:space="preserve">Tidbinbilla in the bands </w:t>
      </w:r>
      <w:r w:rsidRPr="00F17640">
        <w:rPr>
          <w:rFonts w:cs="Calibri"/>
        </w:rPr>
        <w:t>7145</w:t>
      </w:r>
      <w:r w:rsidRPr="00F17640">
        <w:rPr>
          <w:rFonts w:cs="Calibri"/>
        </w:rPr>
        <w:noBreakHyphen/>
        <w:t xml:space="preserve">7235 MHz, 8400-8500 MHz, </w:t>
      </w:r>
      <w:r w:rsidRPr="00F17640">
        <w:rPr>
          <w:szCs w:val="22"/>
        </w:rPr>
        <w:t>22.55-23.15 GHz</w:t>
      </w:r>
      <w:r w:rsidR="00DF0C9D" w:rsidRPr="00F17640">
        <w:rPr>
          <w:szCs w:val="22"/>
        </w:rPr>
        <w:t>,</w:t>
      </w:r>
      <w:r w:rsidRPr="00F17640">
        <w:rPr>
          <w:szCs w:val="22"/>
        </w:rPr>
        <w:t xml:space="preserve"> </w:t>
      </w:r>
      <w:r w:rsidRPr="00F17640">
        <w:rPr>
          <w:rFonts w:cs="Calibri"/>
        </w:rPr>
        <w:t>31.8</w:t>
      </w:r>
      <w:r w:rsidRPr="00F17640">
        <w:rPr>
          <w:rFonts w:cs="Calibri"/>
        </w:rPr>
        <w:noBreakHyphen/>
        <w:t>32.3 GHz and 34.2</w:t>
      </w:r>
      <w:r w:rsidRPr="00F17640">
        <w:rPr>
          <w:rFonts w:cs="Calibri"/>
        </w:rPr>
        <w:noBreakHyphen/>
        <w:t>34.7</w:t>
      </w:r>
      <w:r w:rsidR="00DF0C9D" w:rsidRPr="00F17640">
        <w:rPr>
          <w:szCs w:val="22"/>
        </w:rPr>
        <w:t>:</w:t>
      </w:r>
      <w:r w:rsidRPr="00F17640">
        <w:rPr>
          <w:szCs w:val="22"/>
        </w:rPr>
        <w:t xml:space="preserve"> </w:t>
      </w:r>
      <w:r w:rsidRPr="00F17640">
        <w:rPr>
          <w:rFonts w:cs="Calibri"/>
        </w:rPr>
        <w:t xml:space="preserve">the arrangement in this RALI do not apply to existing services authorised before this RALI commenced on </w:t>
      </w:r>
      <w:r w:rsidR="00F17640">
        <w:rPr>
          <w:rFonts w:cs="Calibri"/>
        </w:rPr>
        <w:t xml:space="preserve">12 September </w:t>
      </w:r>
      <w:r w:rsidR="00F17640" w:rsidRPr="00F17640">
        <w:rPr>
          <w:rFonts w:cs="Calibri"/>
        </w:rPr>
        <w:t>2022</w:t>
      </w:r>
      <w:r w:rsidRPr="00F17640">
        <w:rPr>
          <w:rFonts w:cs="Calibri"/>
        </w:rPr>
        <w:t>.</w:t>
      </w:r>
    </w:p>
    <w:p w14:paraId="2B42BB70" w14:textId="74E60795" w:rsidR="00ED5373" w:rsidRPr="00A40CD6" w:rsidRDefault="00A40CD6" w:rsidP="00CE328A">
      <w:pPr>
        <w:pStyle w:val="Heading2"/>
        <w:numPr>
          <w:ilvl w:val="0"/>
          <w:numId w:val="0"/>
        </w:numPr>
      </w:pPr>
      <w:bookmarkStart w:id="37" w:name="_Toc121757760"/>
      <w:r w:rsidRPr="00A40CD6">
        <w:t>Pre-existing Spectrum Arrangements (as of January 2016)</w:t>
      </w:r>
      <w:bookmarkEnd w:id="37"/>
    </w:p>
    <w:p w14:paraId="61B62BCD" w14:textId="4BB538BB" w:rsidR="00ED5373" w:rsidRDefault="008515EB" w:rsidP="00ED5373">
      <w:pPr>
        <w:rPr>
          <w:rFonts w:cs="Calibri"/>
        </w:rPr>
      </w:pPr>
      <w:r>
        <w:rPr>
          <w:rFonts w:cs="Calibri"/>
        </w:rPr>
        <w:t xml:space="preserve">The information below is </w:t>
      </w:r>
      <w:r w:rsidR="00ED5373">
        <w:rPr>
          <w:rFonts w:cs="Calibri"/>
        </w:rPr>
        <w:t>summaries spectrum arrangements as relevant to New Norcia at the time this RALI was first developed in 2015. With ESA missions extending to the year 2034 and beyond this RALI is intended as a reference point for the future. This annex is to capture spectrum arrangements with respect to non-space research services, rather than detail usage by space research services in Australia.</w:t>
      </w:r>
    </w:p>
    <w:p w14:paraId="4030EFC4" w14:textId="77777777" w:rsidR="00ED5373" w:rsidRPr="00B83278" w:rsidRDefault="00ED5373" w:rsidP="00DC27FC">
      <w:pPr>
        <w:pStyle w:val="Heading3"/>
        <w:numPr>
          <w:ilvl w:val="0"/>
          <w:numId w:val="0"/>
        </w:numPr>
      </w:pPr>
      <w:bookmarkStart w:id="38" w:name="_Toc440964744"/>
      <w:bookmarkStart w:id="39" w:name="_Toc121757761"/>
      <w:r w:rsidRPr="00B83278">
        <w:t>Earth Station Transmit Band</w:t>
      </w:r>
      <w:bookmarkEnd w:id="38"/>
      <w:bookmarkEnd w:id="39"/>
    </w:p>
    <w:p w14:paraId="306AF783" w14:textId="77777777" w:rsidR="00ED5373" w:rsidRPr="00DC27FC" w:rsidRDefault="00ED5373" w:rsidP="00ED5373">
      <w:pPr>
        <w:rPr>
          <w:rFonts w:cs="Calibri"/>
          <w:bCs/>
          <w:u w:val="single"/>
        </w:rPr>
      </w:pPr>
      <w:r w:rsidRPr="00DC27FC">
        <w:rPr>
          <w:rFonts w:cs="Calibri"/>
          <w:bCs/>
          <w:u w:val="single"/>
        </w:rPr>
        <w:t>7145-7235 MHz (Earth Tx)</w:t>
      </w:r>
    </w:p>
    <w:p w14:paraId="12A6371B" w14:textId="510F9352" w:rsidR="00ED5373" w:rsidRDefault="00ED5373" w:rsidP="00ED5373">
      <w:pPr>
        <w:rPr>
          <w:rFonts w:cs="Calibri"/>
        </w:rPr>
      </w:pPr>
      <w:r>
        <w:rPr>
          <w:rFonts w:cs="Calibri"/>
        </w:rPr>
        <w:t>The band 7145</w:t>
      </w:r>
      <w:r w:rsidRPr="009539AC">
        <w:rPr>
          <w:rFonts w:cs="Calibri"/>
        </w:rPr>
        <w:noBreakHyphen/>
        <w:t>7235 MHz</w:t>
      </w:r>
      <w:r>
        <w:rPr>
          <w:rFonts w:cs="Calibri"/>
        </w:rPr>
        <w:t xml:space="preserve"> is allocated to the Space Research (Earth to space), Fixed and Mobile services. As outlined in </w:t>
      </w:r>
      <w:r w:rsidR="00265144">
        <w:rPr>
          <w:rFonts w:cs="Calibri"/>
        </w:rPr>
        <w:t xml:space="preserve">the </w:t>
      </w:r>
      <w:r>
        <w:rPr>
          <w:rFonts w:cs="Calibri"/>
        </w:rPr>
        <w:t>7.2 GHz channel plan in RALI FX3</w:t>
      </w:r>
      <w:r w:rsidR="00265144">
        <w:rPr>
          <w:rFonts w:cs="Calibri"/>
        </w:rPr>
        <w:t>,</w:t>
      </w:r>
      <w:r>
        <w:rPr>
          <w:rFonts w:cs="Calibri"/>
        </w:rPr>
        <w:t xml:space="preserve"> the band is also used by TOB.</w:t>
      </w:r>
    </w:p>
    <w:p w14:paraId="53103842" w14:textId="6B27CC05" w:rsidR="00ED5373" w:rsidRDefault="00ED5373" w:rsidP="00ED5373">
      <w:pPr>
        <w:rPr>
          <w:rFonts w:cs="Calibri"/>
        </w:rPr>
      </w:pPr>
      <w:r>
        <w:rPr>
          <w:rFonts w:cs="Calibri"/>
        </w:rPr>
        <w:t xml:space="preserve">Earth station licensed operations have been conducted in the band 7145-7235 MHz at Landsdale (Perth, Western Australia) as well as at New Norcia on behalf of ESA without coordination by the ACMA. The impact of operations at New Norcia on TOB services in the Perth area is expected to be less than that of operations at Lansdale. </w:t>
      </w:r>
    </w:p>
    <w:p w14:paraId="4A5492D3" w14:textId="4DFBEF1C" w:rsidR="00ED5373" w:rsidRDefault="00ED5373" w:rsidP="00ED5373">
      <w:pPr>
        <w:rPr>
          <w:rFonts w:cs="Calibri"/>
        </w:rPr>
      </w:pPr>
      <w:r>
        <w:rPr>
          <w:rFonts w:cs="Calibri"/>
        </w:rPr>
        <w:t>No coordination is undertaken by the ACMA between earth station operations at New Norcia and TOB services in the band 7145-7235 MHz. Consequently</w:t>
      </w:r>
      <w:r w:rsidR="004F1B46">
        <w:rPr>
          <w:rFonts w:cs="Calibri"/>
        </w:rPr>
        <w:t>,</w:t>
      </w:r>
      <w:r>
        <w:rPr>
          <w:rFonts w:cs="Calibri"/>
        </w:rPr>
        <w:t xml:space="preserve"> TOB will not be afforded protection from the New Norcia earth station facility. Technical characteristics of the ESA earth station are described in </w:t>
      </w:r>
      <w:r w:rsidRPr="00937717">
        <w:rPr>
          <w:rFonts w:cs="Calibri"/>
        </w:rPr>
        <w:t>Table 1</w:t>
      </w:r>
      <w:r>
        <w:rPr>
          <w:rFonts w:cs="Calibri"/>
        </w:rPr>
        <w:t xml:space="preserve"> of this RALI.</w:t>
      </w:r>
    </w:p>
    <w:p w14:paraId="4D287A61" w14:textId="77777777" w:rsidR="00ED5373" w:rsidRPr="00DC27FC" w:rsidRDefault="00ED5373" w:rsidP="00ED5373">
      <w:pPr>
        <w:rPr>
          <w:rFonts w:cs="Calibri"/>
          <w:bCs/>
          <w:u w:val="single"/>
        </w:rPr>
      </w:pPr>
      <w:r w:rsidRPr="00DC27FC">
        <w:rPr>
          <w:rFonts w:cs="Calibri"/>
          <w:bCs/>
          <w:u w:val="single"/>
        </w:rPr>
        <w:t>34.2-34.7 GHz (Earth Tx)</w:t>
      </w:r>
    </w:p>
    <w:p w14:paraId="24EBAABD" w14:textId="77777777" w:rsidR="00ED5373" w:rsidRDefault="00ED5373" w:rsidP="00ED5373">
      <w:pPr>
        <w:rPr>
          <w:rFonts w:cs="Calibri"/>
        </w:rPr>
      </w:pPr>
      <w:r>
        <w:rPr>
          <w:rFonts w:cs="Calibri"/>
        </w:rPr>
        <w:t>The band 34.2-34.7 GHz is allocated to Space Research (Earth to space)</w:t>
      </w:r>
      <w:r w:rsidRPr="00305A3B">
        <w:rPr>
          <w:rFonts w:cs="Calibri"/>
        </w:rPr>
        <w:t xml:space="preserve"> </w:t>
      </w:r>
      <w:r>
        <w:rPr>
          <w:rFonts w:cs="Calibri"/>
        </w:rPr>
        <w:t>and also allocated to the Fixed Satellite and Radiolocation services.</w:t>
      </w:r>
    </w:p>
    <w:p w14:paraId="638C68AA" w14:textId="77777777" w:rsidR="00ED5373" w:rsidRDefault="00ED5373" w:rsidP="00ED5373">
      <w:pPr>
        <w:rPr>
          <w:rFonts w:cs="Calibri"/>
        </w:rPr>
      </w:pPr>
      <w:r>
        <w:lastRenderedPageBreak/>
        <w:t>At the time this RALI was prepared there are 240 existing assignments in this band, most are licensed to the Victorian Police Department for radiodetermination purposes. No coordination is required.</w:t>
      </w:r>
    </w:p>
    <w:p w14:paraId="146A24F8" w14:textId="77777777" w:rsidR="00ED5373" w:rsidRPr="008D30C5" w:rsidRDefault="00ED5373" w:rsidP="00DC27FC">
      <w:pPr>
        <w:pStyle w:val="Heading3"/>
        <w:numPr>
          <w:ilvl w:val="0"/>
          <w:numId w:val="0"/>
        </w:numPr>
        <w:rPr>
          <w:rFonts w:cs="Calibri"/>
        </w:rPr>
      </w:pPr>
      <w:bookmarkStart w:id="40" w:name="_Toc440964745"/>
      <w:bookmarkStart w:id="41" w:name="_Toc121757762"/>
      <w:r w:rsidRPr="00B83278">
        <w:t>Earth Station Receive</w:t>
      </w:r>
      <w:r w:rsidRPr="008D30C5">
        <w:t xml:space="preserve"> Band</w:t>
      </w:r>
      <w:bookmarkEnd w:id="40"/>
      <w:bookmarkEnd w:id="41"/>
    </w:p>
    <w:p w14:paraId="4718FF82" w14:textId="77777777" w:rsidR="00ED5373" w:rsidRPr="00DC27FC" w:rsidRDefault="00ED5373" w:rsidP="00ED5373">
      <w:pPr>
        <w:rPr>
          <w:rFonts w:cs="Calibri"/>
          <w:bCs/>
          <w:u w:val="single"/>
        </w:rPr>
      </w:pPr>
      <w:r w:rsidRPr="00DC27FC">
        <w:rPr>
          <w:rFonts w:cs="Calibri"/>
          <w:bCs/>
          <w:u w:val="single"/>
        </w:rPr>
        <w:t>8400-8500 MHz (Earth Rx)</w:t>
      </w:r>
    </w:p>
    <w:p w14:paraId="250EE7A9" w14:textId="316A5D5C" w:rsidR="00ED5373" w:rsidRDefault="00ED5373" w:rsidP="00ED5373">
      <w:pPr>
        <w:rPr>
          <w:rFonts w:cs="Calibri"/>
        </w:rPr>
      </w:pPr>
      <w:r>
        <w:rPr>
          <w:rFonts w:cs="Calibri"/>
        </w:rPr>
        <w:t>The band 8400</w:t>
      </w:r>
      <w:r>
        <w:rPr>
          <w:rFonts w:cs="Calibri"/>
        </w:rPr>
        <w:noBreakHyphen/>
        <w:t>8500 MHz is allocated to the Space Research (space to Earth), Fixed and Mobile services. As outlined in the 8.3 GHz channel plan in RALI FX 3 the band 8275-8400</w:t>
      </w:r>
      <w:r w:rsidR="006F75E8">
        <w:rPr>
          <w:rFonts w:cs="Calibri"/>
        </w:rPr>
        <w:t xml:space="preserve"> </w:t>
      </w:r>
      <w:r>
        <w:rPr>
          <w:rFonts w:cs="Calibri"/>
        </w:rPr>
        <w:t>MHz is used for TOB services. The interleaved channel 8 in the 8.3 GHz channel plan (identified for the ABC) extends to 8401 MHz except within 150</w:t>
      </w:r>
      <w:r w:rsidR="006F75E8">
        <w:rPr>
          <w:rFonts w:cs="Calibri"/>
        </w:rPr>
        <w:t xml:space="preserve"> </w:t>
      </w:r>
      <w:r>
        <w:rPr>
          <w:rFonts w:cs="Calibri"/>
        </w:rPr>
        <w:t xml:space="preserve">km of New Norcia where TOB emissions will not exceed 8400 MHz. See RALI FX3 for more details.  </w:t>
      </w:r>
    </w:p>
    <w:p w14:paraId="0F2C492B" w14:textId="588C67C4" w:rsidR="00ED5373" w:rsidRDefault="00ED5373" w:rsidP="00ED5373">
      <w:r w:rsidRPr="00F40D47">
        <w:t>TOB services operat</w:t>
      </w:r>
      <w:r>
        <w:t>e</w:t>
      </w:r>
      <w:r w:rsidRPr="00F40D47">
        <w:t xml:space="preserve"> </w:t>
      </w:r>
      <w:r>
        <w:t xml:space="preserve">on the condition that they do not cause interference to other radiocommunications services. Coordination criteria between TOB transmitters and earth station receivers in the 8400-8500 MHz were included in RALI FX 3 as part of the development of this RALI in 2015. </w:t>
      </w:r>
    </w:p>
    <w:p w14:paraId="5E636DC4" w14:textId="447F330A" w:rsidR="00ED5373" w:rsidRDefault="00ED5373" w:rsidP="00ED5373">
      <w:r>
        <w:t xml:space="preserve">The adjacent band 8500-8550 MHz is designated for use by the Australian Defence Force and the Department of Defence. The band is allocated to radiolocation services. The Department of Defence holds Australia wide licences in this band first issued in 2004.  </w:t>
      </w:r>
    </w:p>
    <w:p w14:paraId="0DCED7A5" w14:textId="77777777" w:rsidR="00ED5373" w:rsidRPr="00DC27FC" w:rsidRDefault="00ED5373" w:rsidP="00ED5373">
      <w:pPr>
        <w:rPr>
          <w:bCs/>
        </w:rPr>
      </w:pPr>
      <w:r w:rsidRPr="00DC27FC">
        <w:rPr>
          <w:rFonts w:cs="Calibri"/>
          <w:bCs/>
          <w:u w:val="single"/>
        </w:rPr>
        <w:t>25.5-27.0 GHz (Earth Rx)</w:t>
      </w:r>
    </w:p>
    <w:p w14:paraId="53338964" w14:textId="77777777" w:rsidR="00ED5373" w:rsidRDefault="00ED5373" w:rsidP="00ED5373">
      <w:pPr>
        <w:rPr>
          <w:rFonts w:cs="Calibri"/>
        </w:rPr>
      </w:pPr>
      <w:r>
        <w:rPr>
          <w:rFonts w:cs="Calibri"/>
        </w:rPr>
        <w:t>The band 25.5-27.0</w:t>
      </w:r>
      <w:r w:rsidRPr="009539AC">
        <w:rPr>
          <w:rFonts w:cs="Calibri"/>
        </w:rPr>
        <w:t xml:space="preserve"> GHz</w:t>
      </w:r>
      <w:r>
        <w:rPr>
          <w:rFonts w:cs="Calibri"/>
        </w:rPr>
        <w:t xml:space="preserve"> is allocated to Earth Exploration (space to Earth), Space Research (space-Earth), Fixed and Mobile services. </w:t>
      </w:r>
      <w:r>
        <w:t>At the time of this RALI there are Body Scanners operating in major airports under a Radiodetermination – Body Scan Licence</w:t>
      </w:r>
      <w:r w:rsidRPr="00034E24">
        <w:t>.  Additionally</w:t>
      </w:r>
      <w:r>
        <w:t xml:space="preserve"> at the time this RALI was developed, there were 108 FSS allocations in the adjacent band 27-30 GHz.</w:t>
      </w:r>
      <w:r w:rsidRPr="00034E24">
        <w:t xml:space="preserve"> </w:t>
      </w:r>
      <w:r>
        <w:t>Coordination criteria between earth station receivers and adjacent FSS in the band 27-30 GHz are included in RALI MS 38.</w:t>
      </w:r>
    </w:p>
    <w:p w14:paraId="2D6A0877" w14:textId="77777777" w:rsidR="00ED5373" w:rsidRPr="00DC27FC" w:rsidRDefault="00ED5373" w:rsidP="00ED5373">
      <w:pPr>
        <w:rPr>
          <w:rFonts w:cs="Calibri"/>
          <w:bCs/>
        </w:rPr>
      </w:pPr>
      <w:r w:rsidRPr="00DC27FC">
        <w:rPr>
          <w:rFonts w:cs="Calibri"/>
          <w:bCs/>
          <w:u w:val="single"/>
        </w:rPr>
        <w:t>31.8-32.3 GHz (Earth Rx)</w:t>
      </w:r>
    </w:p>
    <w:p w14:paraId="57D3907A" w14:textId="77777777" w:rsidR="00ED5373" w:rsidRDefault="00ED5373" w:rsidP="00ED5373">
      <w:pPr>
        <w:rPr>
          <w:rFonts w:cs="Calibri"/>
        </w:rPr>
      </w:pPr>
      <w:r>
        <w:rPr>
          <w:rFonts w:cs="Calibri"/>
        </w:rPr>
        <w:t xml:space="preserve">The band </w:t>
      </w:r>
      <w:r w:rsidRPr="009539AC">
        <w:rPr>
          <w:rFonts w:cs="Calibri"/>
        </w:rPr>
        <w:t>31.8</w:t>
      </w:r>
      <w:r w:rsidRPr="009539AC">
        <w:rPr>
          <w:rFonts w:cs="Calibri"/>
        </w:rPr>
        <w:noBreakHyphen/>
        <w:t>32.3 GHz</w:t>
      </w:r>
      <w:r>
        <w:rPr>
          <w:rFonts w:cs="Calibri"/>
        </w:rPr>
        <w:t xml:space="preserve"> is allocated to Space Research (Deep Space) (space to Earth), Fixed and Radionavigation services. At the time of the RALI there are only Earth receive licenses and no coordination is required. </w:t>
      </w:r>
    </w:p>
    <w:p w14:paraId="66D0274A" w14:textId="77777777" w:rsidR="00BB5BB6" w:rsidRDefault="00B6795E">
      <w:pPr>
        <w:pStyle w:val="Heading1"/>
        <w:numPr>
          <w:ilvl w:val="0"/>
          <w:numId w:val="0"/>
        </w:numPr>
        <w:rPr>
          <w:szCs w:val="44"/>
        </w:rPr>
      </w:pPr>
      <w:bookmarkStart w:id="42" w:name="_Toc121757763"/>
      <w:r>
        <w:rPr>
          <w:szCs w:val="44"/>
        </w:rPr>
        <w:lastRenderedPageBreak/>
        <w:t xml:space="preserve">Appendix C: </w:t>
      </w:r>
      <w:r>
        <w:t>Record of spectrum use by ESA and NASA</w:t>
      </w:r>
      <w:bookmarkEnd w:id="42"/>
    </w:p>
    <w:p w14:paraId="5A8035DF" w14:textId="77777777" w:rsidR="00BB5BB6" w:rsidRDefault="00B6795E">
      <w:pPr>
        <w:rPr>
          <w:rFonts w:cs="Calibri"/>
        </w:rPr>
      </w:pPr>
      <w:r w:rsidRPr="6CD11527">
        <w:rPr>
          <w:rFonts w:cs="Calibri"/>
        </w:rPr>
        <w:t xml:space="preserve">Typical usage details at the New Norcia and Tidbinbilla earth stations will be provided as a link on the RALI </w:t>
      </w:r>
      <w:hyperlink r:id="rId27" w:history="1">
        <w:r w:rsidRPr="6CD11527">
          <w:rPr>
            <w:rStyle w:val="Hyperlink"/>
            <w:rFonts w:cs="Calibri"/>
          </w:rPr>
          <w:t>webpage</w:t>
        </w:r>
      </w:hyperlink>
      <w:r w:rsidRPr="6CD11527">
        <w:rPr>
          <w:rFonts w:cs="Calibri"/>
        </w:rPr>
        <w:t>.</w:t>
      </w:r>
    </w:p>
    <w:p w14:paraId="039F8CC0" w14:textId="77777777" w:rsidR="00BB5BB6" w:rsidRDefault="00B6795E">
      <w:pPr>
        <w:spacing w:after="0" w:line="240" w:lineRule="auto"/>
        <w:rPr>
          <w:szCs w:val="22"/>
        </w:rPr>
      </w:pPr>
      <w:r>
        <w:rPr>
          <w:szCs w:val="22"/>
        </w:rPr>
        <w:br w:type="page"/>
      </w:r>
    </w:p>
    <w:p w14:paraId="1AE741F9" w14:textId="77777777" w:rsidR="00BB5BB6" w:rsidRDefault="00B6795E">
      <w:pPr>
        <w:pStyle w:val="Heading1"/>
        <w:numPr>
          <w:ilvl w:val="0"/>
          <w:numId w:val="0"/>
        </w:numPr>
      </w:pPr>
      <w:bookmarkStart w:id="43" w:name="_Toc121757764"/>
      <w:r>
        <w:rPr>
          <w:szCs w:val="44"/>
        </w:rPr>
        <w:lastRenderedPageBreak/>
        <w:t xml:space="preserve">Appendix D: </w:t>
      </w:r>
      <w:bookmarkStart w:id="44" w:name="_Toc3300460"/>
      <w:r>
        <w:t>Exclusion Areas</w:t>
      </w:r>
      <w:bookmarkEnd w:id="43"/>
      <w:bookmarkEnd w:id="44"/>
    </w:p>
    <w:p w14:paraId="34DAA4FB" w14:textId="3A30B6D0" w:rsidR="00BB5BB6" w:rsidRDefault="00B6795E">
      <w:r>
        <w:rPr>
          <w:rFonts w:cs="Calibri"/>
        </w:rPr>
        <w:t>No new assignments in the bands 8400-8500 MHz and 31.8</w:t>
      </w:r>
      <w:r>
        <w:rPr>
          <w:rFonts w:cs="Calibri"/>
        </w:rPr>
        <w:noBreakHyphen/>
        <w:t>32.3 GHz will be made in the areas described in this annex without the agreement of the earth station licensee. The areas are defined using Hierarchical Cell Identification Scheme (HCIS) cell identifiers, along with a graphical representation. A placemark (</w:t>
      </w:r>
      <w:r w:rsidR="00951F66">
        <w:rPr>
          <w:rFonts w:cs="Calibri"/>
        </w:rPr>
        <w:t>.</w:t>
      </w:r>
      <w:proofErr w:type="spellStart"/>
      <w:r>
        <w:rPr>
          <w:rFonts w:cs="Calibri"/>
        </w:rPr>
        <w:t>kml</w:t>
      </w:r>
      <w:proofErr w:type="spellEnd"/>
      <w:r>
        <w:rPr>
          <w:rFonts w:cs="Calibri"/>
        </w:rPr>
        <w:t xml:space="preserve"> file) representing these areas can be generated using the ACMA HCIS converter (</w:t>
      </w:r>
      <w:hyperlink r:id="rId28" w:history="1">
        <w:r>
          <w:rPr>
            <w:rStyle w:val="Hyperlink"/>
            <w:rFonts w:cs="Calibri"/>
          </w:rPr>
          <w:t>http://www.acma.gov.au/theACMA/convert-hcis-area-description-to-a-placemark</w:t>
        </w:r>
      </w:hyperlink>
      <w:r>
        <w:rPr>
          <w:rFonts w:cs="Calibri"/>
        </w:rPr>
        <w:t>).</w:t>
      </w:r>
    </w:p>
    <w:p w14:paraId="42F7FB83" w14:textId="432015D1" w:rsidR="00BB5BB6" w:rsidRDefault="00B6795E">
      <w:pPr>
        <w:pStyle w:val="Heading2"/>
        <w:numPr>
          <w:ilvl w:val="0"/>
          <w:numId w:val="0"/>
        </w:numPr>
        <w:ind w:left="431" w:hanging="431"/>
      </w:pPr>
      <w:bookmarkStart w:id="45" w:name="_Toc121757765"/>
      <w:r>
        <w:t>New Norcia exclusion zone</w:t>
      </w:r>
      <w:r w:rsidR="00A735A7">
        <w:t xml:space="preserve"> (earth station receive)</w:t>
      </w:r>
      <w:bookmarkEnd w:id="45"/>
    </w:p>
    <w:p w14:paraId="594EBB7B" w14:textId="49AA1EB5" w:rsidR="00951F66" w:rsidRPr="00C804DF" w:rsidRDefault="00B6795E" w:rsidP="00951F66">
      <w:pPr>
        <w:pStyle w:val="Paragraph"/>
        <w:rPr>
          <w:sz w:val="22"/>
          <w:szCs w:val="22"/>
        </w:rPr>
      </w:pPr>
      <w:r w:rsidRPr="00C804DF">
        <w:rPr>
          <w:sz w:val="22"/>
          <w:szCs w:val="22"/>
        </w:rPr>
        <w:t xml:space="preserve">HCIS definition: </w:t>
      </w:r>
      <w:r w:rsidR="00DE6717" w:rsidRPr="00C804DF">
        <w:rPr>
          <w:rFonts w:cs="Calibri"/>
          <w:sz w:val="22"/>
          <w:szCs w:val="22"/>
        </w:rPr>
        <w:t>BU8I7, BU8I8, BU8I9, BU8J7, BU8J8, BU8M2, BU8M3, BU8N, BU8M5, BU8M6, BU8O4, BU7P9, BU8M7, BU8M8, BU8M9, BV2A1, BV2A2, BV2A3, BV2B1, BV2A6, BV2B4</w:t>
      </w:r>
    </w:p>
    <w:p w14:paraId="173E3B01" w14:textId="01C56C07" w:rsidR="00DE6717" w:rsidRDefault="00DE6717" w:rsidP="008B3E64">
      <w:pPr>
        <w:rPr>
          <w:b/>
          <w:kern w:val="28"/>
          <w:sz w:val="32"/>
        </w:rPr>
      </w:pPr>
      <w:r>
        <w:rPr>
          <w:noProof/>
        </w:rPr>
        <w:drawing>
          <wp:inline distT="0" distB="0" distL="0" distR="0" wp14:anchorId="3150A9A0" wp14:editId="6C13E315">
            <wp:extent cx="4871085" cy="3713909"/>
            <wp:effectExtent l="0" t="0" r="5715" b="1270"/>
            <wp:docPr id="6" name="Picture 6" descr="New Norcia exclusion zone (earth station rece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ew Norcia exclusion zone (earth station receiv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1085" cy="3713909"/>
                    </a:xfrm>
                    <a:prstGeom prst="rect">
                      <a:avLst/>
                    </a:prstGeom>
                    <a:noFill/>
                    <a:ln>
                      <a:noFill/>
                    </a:ln>
                  </pic:spPr>
                </pic:pic>
              </a:graphicData>
            </a:graphic>
          </wp:inline>
        </w:drawing>
      </w:r>
    </w:p>
    <w:p w14:paraId="20DF48BF" w14:textId="0EBF5544" w:rsidR="00BB5BB6" w:rsidRDefault="00B6795E" w:rsidP="008B3E64">
      <w:pPr>
        <w:pStyle w:val="Captionfigure"/>
        <w:keepNext w:val="0"/>
      </w:pPr>
      <w:r>
        <w:t>Exclusion area around New Norcia</w:t>
      </w:r>
      <w:r w:rsidR="00DE6717">
        <w:t xml:space="preserve"> for the bands </w:t>
      </w:r>
      <w:r w:rsidR="00DE6717" w:rsidRPr="005A556C">
        <w:t>8400-8500 MHz</w:t>
      </w:r>
      <w:r w:rsidR="001C1DBF">
        <w:t xml:space="preserve"> and </w:t>
      </w:r>
      <w:r w:rsidR="00DE6717" w:rsidRPr="005A556C">
        <w:t>31.8-32.3 GHz</w:t>
      </w:r>
    </w:p>
    <w:p w14:paraId="3B579BDC" w14:textId="34C036FE" w:rsidR="00BB5BB6" w:rsidRDefault="00B6795E" w:rsidP="008B3E64">
      <w:pPr>
        <w:pStyle w:val="Heading2"/>
        <w:numPr>
          <w:ilvl w:val="0"/>
          <w:numId w:val="0"/>
        </w:numPr>
        <w:ind w:left="431" w:hanging="431"/>
      </w:pPr>
      <w:bookmarkStart w:id="46" w:name="_Toc121757766"/>
      <w:r>
        <w:lastRenderedPageBreak/>
        <w:t>Tidbinbilla exclusion zone</w:t>
      </w:r>
      <w:r w:rsidR="004111FD">
        <w:t xml:space="preserve"> (earth station receive)</w:t>
      </w:r>
      <w:bookmarkEnd w:id="46"/>
    </w:p>
    <w:p w14:paraId="2B031BF8" w14:textId="29D73569" w:rsidR="00BB5BB6" w:rsidRDefault="00B6795E" w:rsidP="008B3E64">
      <w:pPr>
        <w:keepNext/>
        <w:rPr>
          <w:rFonts w:cs="Calibri"/>
        </w:rPr>
      </w:pPr>
      <w:r>
        <w:t xml:space="preserve">HCIS definition: </w:t>
      </w:r>
      <w:r w:rsidR="00DE6717" w:rsidRPr="005A556C">
        <w:rPr>
          <w:rFonts w:cs="Calibri"/>
        </w:rPr>
        <w:t>MW4H, MW5</w:t>
      </w:r>
      <w:r w:rsidR="002A5B4E">
        <w:rPr>
          <w:rFonts w:cs="Calibri"/>
        </w:rPr>
        <w:t>E</w:t>
      </w:r>
      <w:r w:rsidR="00DE6717" w:rsidRPr="005A556C">
        <w:rPr>
          <w:rFonts w:cs="Calibri"/>
        </w:rPr>
        <w:t>, MW4D5, MW4D6, MW4D7, MW4D8, MW4D9, MW5A7, MW5A8, MW5A9, MW4L1, MW4L2, MW4L3, MW5I1, MW5F1, MW5F2, MW5F4, MW5F5, MW5F7</w:t>
      </w:r>
    </w:p>
    <w:p w14:paraId="4028D33D" w14:textId="3A069F46" w:rsidR="0084380F" w:rsidRDefault="0084380F" w:rsidP="008B3E64">
      <w:pPr>
        <w:keepNext/>
      </w:pPr>
    </w:p>
    <w:p w14:paraId="3154B2CA" w14:textId="793C99AF" w:rsidR="00BB5BB6" w:rsidRDefault="00DE6717" w:rsidP="008B3E64">
      <w:pPr>
        <w:keepNext/>
        <w:rPr>
          <w:b/>
          <w:kern w:val="28"/>
          <w:sz w:val="32"/>
        </w:rPr>
      </w:pPr>
      <w:r>
        <w:rPr>
          <w:noProof/>
        </w:rPr>
        <w:drawing>
          <wp:inline distT="0" distB="0" distL="0" distR="0" wp14:anchorId="361E7351" wp14:editId="3F1006F1">
            <wp:extent cx="4871085" cy="4136122"/>
            <wp:effectExtent l="0" t="0" r="5715" b="0"/>
            <wp:docPr id="2" name="Picture 2" descr="Tidbinbilla exclusion zone (earth station rece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dbinbilla exclusion zone (earth station receiv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1085" cy="4136122"/>
                    </a:xfrm>
                    <a:prstGeom prst="rect">
                      <a:avLst/>
                    </a:prstGeom>
                    <a:noFill/>
                    <a:ln>
                      <a:noFill/>
                    </a:ln>
                  </pic:spPr>
                </pic:pic>
              </a:graphicData>
            </a:graphic>
          </wp:inline>
        </w:drawing>
      </w:r>
    </w:p>
    <w:p w14:paraId="195BC3FB" w14:textId="65D89F6F" w:rsidR="00BB5BB6" w:rsidRDefault="00B6795E" w:rsidP="008B3E64">
      <w:pPr>
        <w:pStyle w:val="Captionfigure"/>
      </w:pPr>
      <w:r>
        <w:t>Exclusion area around Tidbinbilla</w:t>
      </w:r>
      <w:r w:rsidR="00DE6717">
        <w:t xml:space="preserve"> for the bands </w:t>
      </w:r>
      <w:r w:rsidR="00DE6717" w:rsidRPr="005A556C">
        <w:t>8400-8500 MHz,</w:t>
      </w:r>
      <w:r w:rsidR="001C1DBF">
        <w:t xml:space="preserve"> and </w:t>
      </w:r>
      <w:r w:rsidR="00DE6717" w:rsidRPr="005A556C">
        <w:t>31.8-32.3 GHz</w:t>
      </w:r>
    </w:p>
    <w:p w14:paraId="707A2A6E" w14:textId="77777777" w:rsidR="00BB5BB6" w:rsidRDefault="00BB5BB6"/>
    <w:p w14:paraId="19BAAB49" w14:textId="77777777" w:rsidR="00BB5BB6" w:rsidRDefault="00BB5BB6">
      <w:pPr>
        <w:rPr>
          <w:szCs w:val="22"/>
        </w:rPr>
      </w:pPr>
    </w:p>
    <w:sectPr w:rsidR="00BB5BB6">
      <w:headerReference w:type="even" r:id="rId31"/>
      <w:headerReference w:type="default" r:id="rId32"/>
      <w:footerReference w:type="even" r:id="rId33"/>
      <w:headerReference w:type="first" r:id="rId34"/>
      <w:type w:val="oddPage"/>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1947A" w14:textId="77777777" w:rsidR="008B24D6" w:rsidRDefault="008B24D6">
      <w:r>
        <w:separator/>
      </w:r>
    </w:p>
  </w:endnote>
  <w:endnote w:type="continuationSeparator" w:id="0">
    <w:p w14:paraId="073F39DA" w14:textId="77777777" w:rsidR="008B24D6" w:rsidRDefault="008B24D6">
      <w:r>
        <w:continuationSeparator/>
      </w:r>
    </w:p>
  </w:endnote>
  <w:endnote w:type="continuationNotice" w:id="1">
    <w:p w14:paraId="1CB8AEDD" w14:textId="77777777" w:rsidR="008B24D6" w:rsidRDefault="008B24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83BD4" w14:textId="77777777" w:rsidR="00E35173" w:rsidRDefault="00E35173">
    <w:pPr>
      <w:pStyle w:val="Footer"/>
      <w:framePr w:w="1334" w:h="357" w:hRule="exact" w:vSpace="425" w:wrap="around" w:vAnchor="page" w:hAnchor="page" w:x="1220" w:y="15984"/>
      <w:tabs>
        <w:tab w:val="clear" w:pos="113"/>
        <w:tab w:val="left" w:pos="284"/>
      </w:tabs>
      <w:rPr>
        <w:rFonts w:cs="Arial"/>
      </w:rPr>
    </w:pPr>
    <w:r>
      <w:rPr>
        <w:rFonts w:cs="Arial"/>
        <w:noProof/>
        <w:spacing w:val="-16"/>
        <w:sz w:val="20"/>
        <w:szCs w:val="20"/>
      </w:rPr>
      <w:t>RALI  MS 43</w:t>
    </w:r>
  </w:p>
  <w:p w14:paraId="222BFCEC" w14:textId="63CFF84F" w:rsidR="00E35173" w:rsidRDefault="00E35173">
    <w:pPr>
      <w:pStyle w:val="Footer"/>
      <w:framePr w:w="1334" w:h="357" w:hRule="exact" w:vSpace="425" w:wrap="around" w:vAnchor="page" w:hAnchor="page" w:x="9337" w:y="16047"/>
      <w:pBdr>
        <w:top w:val="single" w:sz="4" w:space="1" w:color="auto"/>
      </w:pBdr>
      <w:tabs>
        <w:tab w:val="clear" w:pos="113"/>
        <w:tab w:val="left" w:pos="284"/>
      </w:tabs>
      <w:jc w:val="right"/>
      <w:rPr>
        <w:rFonts w:cs="Arial"/>
      </w:rPr>
    </w:pPr>
    <w:r>
      <w:rPr>
        <w:rFonts w:cs="Arial"/>
        <w:b/>
        <w:noProof/>
        <w:spacing w:val="-16"/>
        <w:sz w:val="20"/>
        <w:szCs w:val="20"/>
      </w:rPr>
      <w:t>a</w:t>
    </w:r>
    <w:r>
      <w:rPr>
        <w:rFonts w:cs="Arial"/>
        <w:b/>
        <w:noProof/>
        <w:spacing w:val="-15"/>
        <w:sz w:val="20"/>
        <w:szCs w:val="20"/>
      </w:rPr>
      <w:t>c</w:t>
    </w:r>
    <w:r>
      <w:rPr>
        <w:rFonts w:cs="Arial"/>
        <w:b/>
        <w:noProof/>
        <w:spacing w:val="-16"/>
        <w:sz w:val="20"/>
        <w:szCs w:val="20"/>
      </w:rPr>
      <w:t>m</w:t>
    </w:r>
    <w:r>
      <w:rPr>
        <w:rFonts w:cs="Arial"/>
        <w:b/>
        <w:noProof/>
        <w:spacing w:val="-14"/>
        <w:sz w:val="20"/>
        <w:szCs w:val="20"/>
      </w:rPr>
      <w:t>a</w:t>
    </w:r>
    <w:r>
      <w:rPr>
        <w:rFonts w:cs="Arial"/>
      </w:rPr>
      <w:tab/>
      <w:t xml:space="preserve"> |</w:t>
    </w:r>
    <w:r>
      <w:tab/>
    </w:r>
    <w:r>
      <w:fldChar w:fldCharType="begin"/>
    </w:r>
    <w:r>
      <w:instrText xml:space="preserve"> PAGE   \* MERGEFORMAT </w:instrText>
    </w:r>
    <w:r>
      <w:fldChar w:fldCharType="separate"/>
    </w:r>
    <w:r w:rsidR="001E6C18">
      <w:rPr>
        <w:noProof/>
      </w:rPr>
      <w:t>17</w:t>
    </w:r>
    <w:r>
      <w:rPr>
        <w:noProof/>
      </w:rPr>
      <w:fldChar w:fldCharType="end"/>
    </w:r>
  </w:p>
  <w:p w14:paraId="31FECB0E" w14:textId="77777777" w:rsidR="00E35173" w:rsidRDefault="00E351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4F373" w14:textId="4915DDA8" w:rsidR="00E35173" w:rsidRDefault="00E35173">
    <w:pPr>
      <w:pStyle w:val="Footer"/>
      <w:framePr w:w="1334" w:h="357" w:hRule="exact" w:vSpace="425" w:wrap="around" w:vAnchor="page" w:hAnchor="page" w:x="1156" w:y="16126"/>
      <w:pBdr>
        <w:top w:val="single" w:sz="4" w:space="1" w:color="auto"/>
      </w:pBdr>
      <w:tabs>
        <w:tab w:val="clear" w:pos="113"/>
        <w:tab w:val="left" w:pos="284"/>
      </w:tabs>
      <w:jc w:val="right"/>
      <w:rPr>
        <w:rFonts w:cs="Arial"/>
      </w:rPr>
    </w:pPr>
    <w:r>
      <w:rPr>
        <w:rFonts w:cs="Arial"/>
        <w:b/>
        <w:noProof/>
        <w:spacing w:val="-16"/>
        <w:sz w:val="20"/>
        <w:szCs w:val="20"/>
      </w:rPr>
      <w:t>a</w:t>
    </w:r>
    <w:r>
      <w:rPr>
        <w:rFonts w:cs="Arial"/>
        <w:b/>
        <w:noProof/>
        <w:spacing w:val="-15"/>
        <w:sz w:val="20"/>
        <w:szCs w:val="20"/>
      </w:rPr>
      <w:t>c</w:t>
    </w:r>
    <w:r>
      <w:rPr>
        <w:rFonts w:cs="Arial"/>
        <w:b/>
        <w:noProof/>
        <w:spacing w:val="-16"/>
        <w:sz w:val="20"/>
        <w:szCs w:val="20"/>
      </w:rPr>
      <w:t>m</w:t>
    </w:r>
    <w:r>
      <w:rPr>
        <w:rFonts w:cs="Arial"/>
        <w:b/>
        <w:noProof/>
        <w:spacing w:val="-14"/>
        <w:sz w:val="20"/>
        <w:szCs w:val="20"/>
      </w:rPr>
      <w:t>a</w:t>
    </w:r>
    <w:r>
      <w:rPr>
        <w:rFonts w:cs="Arial"/>
      </w:rPr>
      <w:tab/>
      <w:t xml:space="preserve"> |</w:t>
    </w:r>
    <w:r>
      <w:tab/>
    </w:r>
    <w:r>
      <w:fldChar w:fldCharType="begin"/>
    </w:r>
    <w:r>
      <w:instrText xml:space="preserve"> PAGE   \* MERGEFORMAT </w:instrText>
    </w:r>
    <w:r>
      <w:fldChar w:fldCharType="separate"/>
    </w:r>
    <w:r w:rsidR="001E6C18">
      <w:rPr>
        <w:noProof/>
      </w:rPr>
      <w:t>ii</w:t>
    </w:r>
    <w:r>
      <w:rPr>
        <w:noProof/>
      </w:rPr>
      <w:fldChar w:fldCharType="end"/>
    </w:r>
  </w:p>
  <w:p w14:paraId="1C8C8CE0" w14:textId="77777777" w:rsidR="00E35173" w:rsidRDefault="00E35173">
    <w:pPr>
      <w:pStyle w:val="Footer"/>
      <w:framePr w:w="1334" w:h="357" w:hRule="exact" w:vSpace="425" w:wrap="around" w:vAnchor="page" w:hAnchor="page" w:x="9258" w:y="16063"/>
      <w:tabs>
        <w:tab w:val="clear" w:pos="113"/>
        <w:tab w:val="left" w:pos="284"/>
      </w:tabs>
      <w:rPr>
        <w:rFonts w:cs="Arial"/>
      </w:rPr>
    </w:pPr>
    <w:r>
      <w:rPr>
        <w:rFonts w:cs="Arial"/>
        <w:noProof/>
        <w:spacing w:val="-16"/>
        <w:sz w:val="20"/>
        <w:szCs w:val="20"/>
      </w:rPr>
      <w:t>RALI  MS 43</w:t>
    </w:r>
  </w:p>
  <w:p w14:paraId="57052EC9" w14:textId="77777777" w:rsidR="00E35173" w:rsidRDefault="00E35173">
    <w:pPr>
      <w:pStyle w:val="Footer"/>
      <w:tabs>
        <w:tab w:val="clear" w:pos="113"/>
        <w:tab w:val="left" w:pos="2550"/>
      </w:tabs>
    </w:pPr>
    <w:r>
      <w:tab/>
    </w:r>
  </w:p>
  <w:p w14:paraId="7CE0C4CF" w14:textId="77777777" w:rsidR="00E35173" w:rsidRDefault="00E351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A7D50" w14:textId="4338702A" w:rsidR="00E35173" w:rsidRDefault="00E35173">
    <w:pPr>
      <w:pStyle w:val="FooterLeft"/>
      <w:framePr w:wrap="around" w:x="957" w:y="16145"/>
      <w:tabs>
        <w:tab w:val="clear" w:pos="113"/>
        <w:tab w:val="right" w:pos="397"/>
      </w:tabs>
    </w:pPr>
    <w:r>
      <w:fldChar w:fldCharType="begin"/>
    </w:r>
    <w:r>
      <w:instrText xml:space="preserve"> PAGE  \* Arabic  \* MERGEFORMAT </w:instrText>
    </w:r>
    <w:r>
      <w:fldChar w:fldCharType="separate"/>
    </w:r>
    <w:r w:rsidR="001E6C18">
      <w:rPr>
        <w:noProof/>
      </w:rPr>
      <w:t>16</w:t>
    </w:r>
    <w:r>
      <w:fldChar w:fldCharType="end"/>
    </w:r>
    <w:r>
      <w:tab/>
      <w:t>|</w:t>
    </w:r>
    <w:r>
      <w:tab/>
    </w:r>
    <w:r>
      <w:rPr>
        <w:b/>
        <w:noProof/>
        <w:spacing w:val="-16"/>
        <w:sz w:val="20"/>
        <w:szCs w:val="20"/>
      </w:rPr>
      <w:t>a</w:t>
    </w:r>
    <w:r>
      <w:rPr>
        <w:b/>
        <w:noProof/>
        <w:spacing w:val="-15"/>
        <w:sz w:val="20"/>
        <w:szCs w:val="20"/>
      </w:rPr>
      <w:t>c</w:t>
    </w:r>
    <w:r>
      <w:rPr>
        <w:b/>
        <w:noProof/>
        <w:spacing w:val="-16"/>
        <w:sz w:val="20"/>
        <w:szCs w:val="20"/>
      </w:rPr>
      <w:t>m</w:t>
    </w:r>
    <w:r>
      <w:rPr>
        <w:b/>
        <w:noProof/>
        <w:spacing w:val="-14"/>
        <w:sz w:val="20"/>
        <w:szCs w:val="20"/>
      </w:rPr>
      <w:t>a</w:t>
    </w:r>
  </w:p>
  <w:p w14:paraId="0FA64A78" w14:textId="77777777" w:rsidR="00E35173" w:rsidRDefault="00E35173">
    <w:pPr>
      <w:pStyle w:val="Footer"/>
      <w:framePr w:w="1440" w:h="357" w:hRule="exact" w:vSpace="425" w:wrap="around" w:vAnchor="page" w:hAnchor="page" w:x="957" w:y="16145"/>
    </w:pPr>
  </w:p>
  <w:p w14:paraId="7983A05A" w14:textId="77777777" w:rsidR="00E35173" w:rsidRDefault="00E35173">
    <w:pPr>
      <w:pStyle w:val="Footer"/>
      <w:framePr w:w="1334" w:h="357" w:hRule="exact" w:vSpace="425" w:wrap="around" w:vAnchor="page" w:hAnchor="page" w:x="8839" w:y="16172"/>
      <w:tabs>
        <w:tab w:val="clear" w:pos="113"/>
        <w:tab w:val="left" w:pos="284"/>
      </w:tabs>
      <w:rPr>
        <w:rFonts w:cs="Arial"/>
      </w:rPr>
    </w:pPr>
    <w:r>
      <w:rPr>
        <w:rFonts w:cs="Arial"/>
        <w:noProof/>
        <w:spacing w:val="-16"/>
        <w:sz w:val="20"/>
        <w:szCs w:val="20"/>
      </w:rPr>
      <w:t>RALI  MS 43</w:t>
    </w:r>
  </w:p>
  <w:p w14:paraId="49AB96D4" w14:textId="77777777" w:rsidR="00E35173" w:rsidRDefault="00E351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84219" w14:textId="77777777" w:rsidR="008B24D6" w:rsidRDefault="008B24D6">
      <w:r>
        <w:separator/>
      </w:r>
    </w:p>
  </w:footnote>
  <w:footnote w:type="continuationSeparator" w:id="0">
    <w:p w14:paraId="23105998" w14:textId="77777777" w:rsidR="008B24D6" w:rsidRDefault="008B24D6">
      <w:r>
        <w:continuationSeparator/>
      </w:r>
    </w:p>
  </w:footnote>
  <w:footnote w:type="continuationNotice" w:id="1">
    <w:p w14:paraId="3EED8C17" w14:textId="77777777" w:rsidR="008B24D6" w:rsidRDefault="008B24D6">
      <w:pPr>
        <w:spacing w:after="0" w:line="240" w:lineRule="auto"/>
      </w:pPr>
    </w:p>
  </w:footnote>
  <w:footnote w:id="2">
    <w:p w14:paraId="2D43E24C" w14:textId="2A657BE7" w:rsidR="00E35173" w:rsidRDefault="00E35173" w:rsidP="0031614C">
      <w:pPr>
        <w:pStyle w:val="FootnoteText"/>
        <w:spacing w:after="0" w:line="240" w:lineRule="auto"/>
      </w:pPr>
      <w:r>
        <w:rPr>
          <w:rStyle w:val="FootnoteReference"/>
        </w:rPr>
        <w:footnoteRef/>
      </w:r>
      <w:r>
        <w:t xml:space="preserve"> Agreement between the Government of Australia and the European Space Agency for a Co-operative Space Vehicle Tracking Program, </w:t>
      </w:r>
      <w:hyperlink r:id="rId1" w:history="1">
        <w:r w:rsidRPr="00EB7559">
          <w:rPr>
            <w:rStyle w:val="Hyperlink"/>
          </w:rPr>
          <w:t>http://www.austlii.edu.au/au/other/dfat/treaties/ATS/2012/29.html</w:t>
        </w:r>
      </w:hyperlink>
    </w:p>
  </w:footnote>
  <w:footnote w:id="3">
    <w:p w14:paraId="4A6C9854" w14:textId="545F0737" w:rsidR="00E35173" w:rsidRDefault="00E35173" w:rsidP="0031614C">
      <w:pPr>
        <w:pStyle w:val="FootnoteText"/>
        <w:spacing w:after="0" w:line="240" w:lineRule="auto"/>
      </w:pPr>
      <w:r>
        <w:rPr>
          <w:rStyle w:val="FootnoteReference"/>
        </w:rPr>
        <w:footnoteRef/>
      </w:r>
      <w:r>
        <w:t xml:space="preserve"> </w:t>
      </w:r>
      <w:r w:rsidRPr="0031614C">
        <w:t>Agreement between the Government of Australia and the Government of the United States of America for Space Vehicle Tracking and Communication Facilities</w:t>
      </w:r>
      <w:r>
        <w:t xml:space="preserve">, </w:t>
      </w:r>
      <w:hyperlink r:id="rId2" w:history="1">
        <w:r w:rsidR="0054594F" w:rsidRPr="00CC562C">
          <w:rPr>
            <w:rStyle w:val="Hyperlink"/>
          </w:rPr>
          <w:t>http://www.austlii.edu.au/au/other/dfat/nia/2017/30.html</w:t>
        </w:r>
      </w:hyperlink>
    </w:p>
  </w:footnote>
  <w:footnote w:id="4">
    <w:p w14:paraId="2386F904" w14:textId="3008C120" w:rsidR="00330BBD" w:rsidRDefault="00330BBD">
      <w:pPr>
        <w:pStyle w:val="FootnoteText"/>
      </w:pPr>
      <w:r>
        <w:rPr>
          <w:rStyle w:val="FootnoteReference"/>
        </w:rPr>
        <w:footnoteRef/>
      </w:r>
      <w:r>
        <w:t xml:space="preserve"> Requires that </w:t>
      </w:r>
      <w:r w:rsidRPr="00330BBD">
        <w:t xml:space="preserve">emissions from all relevant transmitters operating under a single 26 GHz band spectrum licence must not exceed an aggregate level of -156 </w:t>
      </w:r>
      <w:proofErr w:type="spellStart"/>
      <w:r w:rsidRPr="00330BBD">
        <w:t>dBW</w:t>
      </w:r>
      <w:proofErr w:type="spellEnd"/>
      <w:r w:rsidRPr="00330BBD">
        <w:t>/MHz for 0.001% of the time in any 24 hour period, at the input of the receiver.</w:t>
      </w:r>
    </w:p>
  </w:footnote>
  <w:footnote w:id="5">
    <w:p w14:paraId="614BDC79" w14:textId="3118E723" w:rsidR="00E35173" w:rsidRDefault="00E35173">
      <w:pPr>
        <w:pStyle w:val="FootnoteText"/>
      </w:pPr>
      <w:r>
        <w:rPr>
          <w:rStyle w:val="FootnoteReference"/>
        </w:rPr>
        <w:footnoteRef/>
      </w:r>
      <w:r>
        <w:t xml:space="preserve"> </w:t>
      </w:r>
      <w:r w:rsidR="0081107A">
        <w:t xml:space="preserve">At the </w:t>
      </w:r>
      <w:r w:rsidR="00F22C61">
        <w:t>time</w:t>
      </w:r>
      <w:r w:rsidR="0081107A">
        <w:t xml:space="preserve"> of the 2022 update</w:t>
      </w:r>
      <w:r w:rsidR="00CC2523">
        <w:t xml:space="preserve"> </w:t>
      </w:r>
      <w:r>
        <w:t>34 GHz band is only used in Victoria</w:t>
      </w:r>
      <w:r w:rsidR="00CC2523">
        <w:t>.  In accordance with long standing arrangements</w:t>
      </w:r>
      <w:r>
        <w:t xml:space="preserve"> television </w:t>
      </w:r>
      <w:r w:rsidR="00C163E0">
        <w:t xml:space="preserve">outside </w:t>
      </w:r>
      <w:r>
        <w:t>broadcast services in 7.2 GHz band</w:t>
      </w:r>
      <w:r w:rsidR="00CC6BBA">
        <w:t xml:space="preserve"> </w:t>
      </w:r>
      <w:proofErr w:type="gramStart"/>
      <w:r w:rsidR="00CC6BBA">
        <w:rPr>
          <w:rFonts w:cs="Calibri"/>
        </w:rPr>
        <w:t>are  not be</w:t>
      </w:r>
      <w:proofErr w:type="gramEnd"/>
      <w:r w:rsidR="00CC6BBA">
        <w:rPr>
          <w:rFonts w:cs="Calibri"/>
        </w:rPr>
        <w:t xml:space="preserve"> afforded protection from the New Norcia and Tidbinbilla earth station facilities</w:t>
      </w:r>
      <w:r w:rsidR="00CC6BBA">
        <w:t>.</w:t>
      </w:r>
      <w:r>
        <w:t>.</w:t>
      </w:r>
    </w:p>
  </w:footnote>
  <w:footnote w:id="6">
    <w:p w14:paraId="47AFA140" w14:textId="77777777" w:rsidR="00E35173" w:rsidRDefault="00E35173">
      <w:pPr>
        <w:pStyle w:val="FootnoteText"/>
      </w:pPr>
      <w:r>
        <w:rPr>
          <w:rStyle w:val="FootnoteReference"/>
        </w:rPr>
        <w:footnoteRef/>
      </w:r>
      <w:r>
        <w:t xml:space="preserve"> As per Table 1 of ITU-R Radio Regulations Appendix 3 </w:t>
      </w:r>
    </w:p>
  </w:footnote>
  <w:footnote w:id="7">
    <w:p w14:paraId="62AB43AE" w14:textId="5938104E" w:rsidR="001E5C1C" w:rsidRDefault="001E5C1C" w:rsidP="002E09ED">
      <w:pPr>
        <w:pStyle w:val="FootnoteText"/>
        <w:spacing w:after="0"/>
      </w:pPr>
      <w:r>
        <w:rPr>
          <w:rStyle w:val="FootnoteReference"/>
        </w:rPr>
        <w:footnoteRef/>
      </w:r>
      <w:r>
        <w:t xml:space="preserve"> ITU Radio Regulations Appendix 7 Table 8c and Table 8d</w:t>
      </w:r>
    </w:p>
  </w:footnote>
  <w:footnote w:id="8">
    <w:p w14:paraId="37C9F402" w14:textId="77777777" w:rsidR="00E35173" w:rsidRDefault="00E35173">
      <w:pPr>
        <w:pStyle w:val="FootnoteText"/>
      </w:pPr>
      <w:r>
        <w:rPr>
          <w:rStyle w:val="FootnoteReference"/>
        </w:rPr>
        <w:footnoteRef/>
      </w:r>
      <w:r>
        <w:t xml:space="preserve"> Note that when assessing interference into the New Norcia earth station the receive antenna should be modelled as omnidirectional in the horizontal plane and maximum gain for elevations above the minimum elevation angle. The vertical pattern in Annex A should be used to calculate gain below the minimum elevation angle.</w:t>
      </w:r>
    </w:p>
  </w:footnote>
  <w:footnote w:id="9">
    <w:p w14:paraId="59A2CFCF" w14:textId="77777777" w:rsidR="00E35173" w:rsidRDefault="00E35173">
      <w:pPr>
        <w:pStyle w:val="FootnoteText"/>
      </w:pPr>
      <w:r>
        <w:rPr>
          <w:rStyle w:val="FootnoteReference"/>
        </w:rPr>
        <w:footnoteRef/>
      </w:r>
      <w:r>
        <w:t xml:space="preserve"> Note that when assessing interference from the New Norcia earth station the transmit antenna should be modelled as omnidirectional in the horizontal plane and maximum gain for elevations above the minimum elevation angle in the vertical plan. The vertical pattern in Annex A should be used to calculate gain below the minimum elevation angle.</w:t>
      </w:r>
    </w:p>
  </w:footnote>
  <w:footnote w:id="10">
    <w:p w14:paraId="084F31AD" w14:textId="7BE262D3" w:rsidR="00012E15" w:rsidRDefault="00012E15" w:rsidP="00C00090">
      <w:pPr>
        <w:pStyle w:val="FootnoteText"/>
        <w:spacing w:after="0"/>
      </w:pPr>
      <w:r>
        <w:rPr>
          <w:rStyle w:val="FootnoteReference"/>
        </w:rPr>
        <w:footnoteRef/>
      </w:r>
      <w:r>
        <w:t xml:space="preserve"> ITU Radio Regulations Appendix 7 Table 8c and Table 8d</w:t>
      </w:r>
    </w:p>
  </w:footnote>
  <w:footnote w:id="11">
    <w:p w14:paraId="560B254B" w14:textId="06D15AF7" w:rsidR="00E35173" w:rsidRDefault="00E35173" w:rsidP="00C00090">
      <w:pPr>
        <w:pStyle w:val="FootnoteText"/>
        <w:spacing w:after="0"/>
      </w:pPr>
      <w:r>
        <w:rPr>
          <w:rStyle w:val="FootnoteReference"/>
        </w:rPr>
        <w:footnoteRef/>
      </w:r>
      <w:r>
        <w:t xml:space="preserve"> Note that when assessing interference into the Tidbinbilla earth station the receive antenna should be modelled as omnidirectional in the horizontal plane and maximum gain for elevations above the minimum elevation angle. The vertical pattern in Annex A should be used to calculate gain below the minimum elevation angle.</w:t>
      </w:r>
    </w:p>
  </w:footnote>
  <w:footnote w:id="12">
    <w:p w14:paraId="04A29A12" w14:textId="4573BA94" w:rsidR="00E35173" w:rsidRDefault="00E35173">
      <w:pPr>
        <w:pStyle w:val="FootnoteText"/>
      </w:pPr>
      <w:r>
        <w:rPr>
          <w:rStyle w:val="FootnoteReference"/>
        </w:rPr>
        <w:footnoteRef/>
      </w:r>
      <w:r>
        <w:t xml:space="preserve"> Note that when assessing interference from the Tidbinbilla earth station the transmit antenna should be modelled as omnidirectional in the horizontal plane and maximum gain for elevations above the minimum elevation angle in the vertical plan. The vertical pattern in Annex A should be used to calculate gain below the minimum elevation angle.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A4BA2" w14:textId="190F5506" w:rsidR="00E35173" w:rsidRDefault="00E35173">
    <w:pPr>
      <w:pStyle w:val="Header"/>
      <w:tabs>
        <w:tab w:val="left" w:pos="1560"/>
      </w:tabs>
    </w:pPr>
    <w:r>
      <w:rPr>
        <w:noProof/>
      </w:rPr>
      <w:drawing>
        <wp:anchor distT="0" distB="0" distL="114300" distR="114300" simplePos="0" relativeHeight="251662336" behindDoc="1" locked="0" layoutInCell="1" allowOverlap="1" wp14:anchorId="44146F73" wp14:editId="10F5E5A8">
          <wp:simplePos x="0" y="0"/>
          <wp:positionH relativeFrom="page">
            <wp:align>right</wp:align>
          </wp:positionH>
          <wp:positionV relativeFrom="paragraph">
            <wp:posOffset>-10160</wp:posOffset>
          </wp:positionV>
          <wp:extent cx="7556500" cy="64770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647700"/>
                  </a:xfrm>
                  <a:prstGeom prst="rect">
                    <a:avLst/>
                  </a:prstGeom>
                  <a:extLst>
                    <a:ext uri="{FAA26D3D-D897-4be2-8F04-BA451C77F1D7}">
                      <ma14:placeholderFlag xmlns:oel="http://schemas.microsoft.com/office/2019/extlst"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38648382" w14:textId="77777777" w:rsidR="00E35173" w:rsidRDefault="00E351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BB25A" w14:textId="08F15504" w:rsidR="00803213" w:rsidRDefault="008032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20A7" w14:textId="2D571E7F" w:rsidR="00803213" w:rsidRDefault="008032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351AB" w14:textId="1CC69290" w:rsidR="00803213" w:rsidRDefault="0080321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E8757" w14:textId="7A191D43" w:rsidR="00803213" w:rsidRDefault="0080321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75A6" w14:textId="3084877B" w:rsidR="00E35173" w:rsidRDefault="00E3517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95B08" w14:textId="0239AFC7" w:rsidR="00803213" w:rsidRDefault="008032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EC782A"/>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703632DA"/>
    <w:lvl w:ilvl="0">
      <w:start w:val="1"/>
      <w:numFmt w:val="decimal"/>
      <w:pStyle w:val="ListNumber2"/>
      <w:lvlText w:val="%1."/>
      <w:lvlJc w:val="left"/>
      <w:pPr>
        <w:ind w:left="360" w:hanging="360"/>
      </w:pPr>
      <w:rPr>
        <w:rFonts w:hint="default"/>
      </w:rPr>
    </w:lvl>
  </w:abstractNum>
  <w:abstractNum w:abstractNumId="2" w15:restartNumberingAfterBreak="0">
    <w:nsid w:val="FFFFFF83"/>
    <w:multiLevelType w:val="singleLevel"/>
    <w:tmpl w:val="3E303AD8"/>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3" w15:restartNumberingAfterBreak="0">
    <w:nsid w:val="FFFFFF88"/>
    <w:multiLevelType w:val="singleLevel"/>
    <w:tmpl w:val="34367B10"/>
    <w:lvl w:ilvl="0">
      <w:start w:val="1"/>
      <w:numFmt w:val="decimal"/>
      <w:pStyle w:val="ListNumber"/>
      <w:lvlText w:val="%1."/>
      <w:lvlJc w:val="left"/>
      <w:pPr>
        <w:ind w:left="360" w:hanging="360"/>
      </w:pPr>
      <w:rPr>
        <w:rFonts w:hint="default"/>
        <w:caps/>
        <w:sz w:val="20"/>
      </w:rPr>
    </w:lvl>
  </w:abstractNum>
  <w:abstractNum w:abstractNumId="4" w15:restartNumberingAfterBreak="0">
    <w:nsid w:val="FFFFFF89"/>
    <w:multiLevelType w:val="singleLevel"/>
    <w:tmpl w:val="8D465DE8"/>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5" w15:restartNumberingAfterBreak="0">
    <w:nsid w:val="07527DCE"/>
    <w:multiLevelType w:val="hybridMultilevel"/>
    <w:tmpl w:val="20640D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BB2C53"/>
    <w:multiLevelType w:val="hybridMultilevel"/>
    <w:tmpl w:val="405A5006"/>
    <w:lvl w:ilvl="0" w:tplc="E75E7D02">
      <w:start w:val="1"/>
      <w:numFmt w:val="decimal"/>
      <w:lvlText w:val="2.%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6A1A02"/>
    <w:multiLevelType w:val="hybridMultilevel"/>
    <w:tmpl w:val="C5B659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7086907"/>
    <w:multiLevelType w:val="multilevel"/>
    <w:tmpl w:val="5C382F8A"/>
    <w:lvl w:ilvl="0">
      <w:start w:val="1"/>
      <w:numFmt w:val="decimal"/>
      <w:pStyle w:val="Partheading"/>
      <w:suff w:val="space"/>
      <w:lvlText w:val="Part %1:"/>
      <w:lvlJc w:val="left"/>
      <w:pPr>
        <w:ind w:left="0" w:firstLine="0"/>
      </w:pPr>
      <w:rPr>
        <w:rFonts w:hint="default"/>
      </w:rPr>
    </w:lvl>
    <w:lvl w:ilvl="1">
      <w:start w:val="1"/>
      <w:numFmt w:val="decimal"/>
      <w:pStyle w:val="Numberedheading"/>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1B915F4"/>
    <w:multiLevelType w:val="multilevel"/>
    <w:tmpl w:val="CBBEB100"/>
    <w:lvl w:ilvl="0">
      <w:start w:val="1"/>
      <w:numFmt w:val="decimal"/>
      <w:pStyle w:val="Heading1"/>
      <w:lvlText w:val="%1"/>
      <w:lvlJc w:val="left"/>
      <w:pPr>
        <w:ind w:left="431" w:hanging="43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431" w:hanging="431"/>
      </w:pPr>
      <w:rPr>
        <w:rFonts w:hint="default"/>
      </w:rPr>
    </w:lvl>
    <w:lvl w:ilvl="2">
      <w:start w:val="1"/>
      <w:numFmt w:val="decimal"/>
      <w:pStyle w:val="Heading3"/>
      <w:lvlText w:val="%1.%2.%3"/>
      <w:lvlJc w:val="left"/>
      <w:pPr>
        <w:ind w:left="431" w:hanging="431"/>
      </w:pPr>
      <w:rPr>
        <w:rFonts w:hint="default"/>
      </w:rPr>
    </w:lvl>
    <w:lvl w:ilvl="3">
      <w:start w:val="1"/>
      <w:numFmt w:val="decimal"/>
      <w:pStyle w:val="Heading4"/>
      <w:lvlText w:val="%1.%2.%3.%4"/>
      <w:lvlJc w:val="left"/>
      <w:pPr>
        <w:ind w:left="431" w:hanging="431"/>
      </w:pPr>
      <w:rPr>
        <w:rFonts w:hint="default"/>
      </w:rPr>
    </w:lvl>
    <w:lvl w:ilvl="4">
      <w:start w:val="1"/>
      <w:numFmt w:val="decimal"/>
      <w:pStyle w:val="Heading5"/>
      <w:lvlText w:val="%1.%2.%3.%4.%5"/>
      <w:lvlJc w:val="left"/>
      <w:pPr>
        <w:ind w:left="431" w:hanging="431"/>
      </w:pPr>
      <w:rPr>
        <w:rFonts w:hint="default"/>
      </w:rPr>
    </w:lvl>
    <w:lvl w:ilvl="5">
      <w:start w:val="1"/>
      <w:numFmt w:val="decimal"/>
      <w:pStyle w:val="Heading6"/>
      <w:lvlText w:val="%1.%2.%3.%4.%5.%6"/>
      <w:lvlJc w:val="left"/>
      <w:pPr>
        <w:ind w:left="431" w:hanging="431"/>
      </w:pPr>
      <w:rPr>
        <w:rFonts w:hint="default"/>
      </w:rPr>
    </w:lvl>
    <w:lvl w:ilvl="6">
      <w:start w:val="1"/>
      <w:numFmt w:val="decimal"/>
      <w:pStyle w:val="Heading7"/>
      <w:lvlText w:val="%1.%2.%3.%4.%5.%6.%7"/>
      <w:lvlJc w:val="left"/>
      <w:pPr>
        <w:ind w:left="431" w:hanging="431"/>
      </w:pPr>
      <w:rPr>
        <w:rFonts w:hint="default"/>
      </w:rPr>
    </w:lvl>
    <w:lvl w:ilvl="7">
      <w:start w:val="1"/>
      <w:numFmt w:val="decimal"/>
      <w:pStyle w:val="Heading8"/>
      <w:lvlText w:val="%1.%2.%3.%4.%5.%6.%7.%8"/>
      <w:lvlJc w:val="left"/>
      <w:pPr>
        <w:ind w:left="431" w:hanging="431"/>
      </w:pPr>
      <w:rPr>
        <w:rFonts w:hint="default"/>
      </w:rPr>
    </w:lvl>
    <w:lvl w:ilvl="8">
      <w:start w:val="1"/>
      <w:numFmt w:val="decimal"/>
      <w:pStyle w:val="Heading9"/>
      <w:lvlText w:val="%1.%2.%3.%4.%5.%6.%7.%8.%9"/>
      <w:lvlJc w:val="left"/>
      <w:pPr>
        <w:ind w:left="431" w:hanging="431"/>
      </w:pPr>
      <w:rPr>
        <w:rFonts w:hint="default"/>
      </w:rPr>
    </w:lvl>
  </w:abstractNum>
  <w:abstractNum w:abstractNumId="10" w15:restartNumberingAfterBreak="0">
    <w:nsid w:val="55AA21F0"/>
    <w:multiLevelType w:val="hybridMultilevel"/>
    <w:tmpl w:val="4DDA0712"/>
    <w:lvl w:ilvl="0" w:tplc="59A6BED4">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071478"/>
    <w:multiLevelType w:val="hybridMultilevel"/>
    <w:tmpl w:val="680E522C"/>
    <w:lvl w:ilvl="0" w:tplc="30580B3C">
      <w:start w:val="1"/>
      <w:numFmt w:val="decimal"/>
      <w:pStyle w:val="ACMAFigureHeader"/>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3016D4"/>
    <w:multiLevelType w:val="hybridMultilevel"/>
    <w:tmpl w:val="4B6E399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713EED"/>
    <w:multiLevelType w:val="multilevel"/>
    <w:tmpl w:val="702E28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E3C199E"/>
    <w:multiLevelType w:val="hybridMultilevel"/>
    <w:tmpl w:val="D074B0B0"/>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4"/>
  </w:num>
  <w:num w:numId="2">
    <w:abstractNumId w:val="2"/>
  </w:num>
  <w:num w:numId="3">
    <w:abstractNumId w:val="3"/>
  </w:num>
  <w:num w:numId="4">
    <w:abstractNumId w:val="1"/>
  </w:num>
  <w:num w:numId="5">
    <w:abstractNumId w:val="12"/>
  </w:num>
  <w:num w:numId="6">
    <w:abstractNumId w:val="10"/>
  </w:num>
  <w:num w:numId="7">
    <w:abstractNumId w:val="11"/>
  </w:num>
  <w:num w:numId="8">
    <w:abstractNumId w:val="14"/>
  </w:num>
  <w:num w:numId="9">
    <w:abstractNumId w:val="8"/>
  </w:num>
  <w:num w:numId="10">
    <w:abstractNumId w:val="6"/>
  </w:num>
  <w:num w:numId="11">
    <w:abstractNumId w:val="9"/>
  </w:num>
  <w:num w:numId="12">
    <w:abstractNumId w:val="7"/>
  </w:num>
  <w:num w:numId="13">
    <w:abstractNumId w:val="15"/>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4"/>
  </w:num>
  <w:num w:numId="17">
    <w:abstractNumId w:val="14"/>
  </w:num>
  <w:num w:numId="18">
    <w:abstractNumId w:val="13"/>
  </w:num>
  <w:num w:numId="19">
    <w:abstractNumId w:val="9"/>
  </w:num>
  <w:num w:numId="20">
    <w:abstractNumId w:val="9"/>
  </w:num>
  <w:num w:numId="21">
    <w:abstractNumId w:val="0"/>
  </w:num>
  <w:num w:numId="22">
    <w:abstractNumId w:val="16"/>
  </w:num>
  <w:num w:numId="2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efaultTabStop w:val="284"/>
  <w:evenAndOddHeaders/>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BB6"/>
    <w:rsid w:val="00000C18"/>
    <w:rsid w:val="0000384F"/>
    <w:rsid w:val="0001047A"/>
    <w:rsid w:val="00012E15"/>
    <w:rsid w:val="00013A79"/>
    <w:rsid w:val="000148D2"/>
    <w:rsid w:val="00014E41"/>
    <w:rsid w:val="00025510"/>
    <w:rsid w:val="00031CE7"/>
    <w:rsid w:val="00032FD7"/>
    <w:rsid w:val="000442B0"/>
    <w:rsid w:val="00045799"/>
    <w:rsid w:val="00046FCB"/>
    <w:rsid w:val="000478F8"/>
    <w:rsid w:val="00053F7C"/>
    <w:rsid w:val="0005533D"/>
    <w:rsid w:val="00056323"/>
    <w:rsid w:val="00057E2D"/>
    <w:rsid w:val="000618AD"/>
    <w:rsid w:val="000702B7"/>
    <w:rsid w:val="0007407B"/>
    <w:rsid w:val="00074257"/>
    <w:rsid w:val="00074910"/>
    <w:rsid w:val="00074F09"/>
    <w:rsid w:val="00076AC5"/>
    <w:rsid w:val="00081F6B"/>
    <w:rsid w:val="00083A3A"/>
    <w:rsid w:val="00085E73"/>
    <w:rsid w:val="00085F69"/>
    <w:rsid w:val="000920F1"/>
    <w:rsid w:val="000960FE"/>
    <w:rsid w:val="000A2DFA"/>
    <w:rsid w:val="000B553B"/>
    <w:rsid w:val="000B5F12"/>
    <w:rsid w:val="000B64A7"/>
    <w:rsid w:val="000D05D3"/>
    <w:rsid w:val="000E150A"/>
    <w:rsid w:val="000E2489"/>
    <w:rsid w:val="000E6176"/>
    <w:rsid w:val="000F105F"/>
    <w:rsid w:val="000F1875"/>
    <w:rsid w:val="000F39C7"/>
    <w:rsid w:val="000F5E19"/>
    <w:rsid w:val="00102033"/>
    <w:rsid w:val="00103391"/>
    <w:rsid w:val="00110FCC"/>
    <w:rsid w:val="00116EDA"/>
    <w:rsid w:val="00124B3A"/>
    <w:rsid w:val="00127DCB"/>
    <w:rsid w:val="00131428"/>
    <w:rsid w:val="00131E28"/>
    <w:rsid w:val="001338E9"/>
    <w:rsid w:val="0013461D"/>
    <w:rsid w:val="00136A5F"/>
    <w:rsid w:val="00140661"/>
    <w:rsid w:val="00142892"/>
    <w:rsid w:val="00142B5C"/>
    <w:rsid w:val="00142F15"/>
    <w:rsid w:val="0015181D"/>
    <w:rsid w:val="0015280E"/>
    <w:rsid w:val="001632C0"/>
    <w:rsid w:val="00165861"/>
    <w:rsid w:val="0017149F"/>
    <w:rsid w:val="00173415"/>
    <w:rsid w:val="00173FDC"/>
    <w:rsid w:val="00175C55"/>
    <w:rsid w:val="00183DDD"/>
    <w:rsid w:val="00187175"/>
    <w:rsid w:val="00191B30"/>
    <w:rsid w:val="001A2C74"/>
    <w:rsid w:val="001A534F"/>
    <w:rsid w:val="001A748F"/>
    <w:rsid w:val="001B00A6"/>
    <w:rsid w:val="001B54D4"/>
    <w:rsid w:val="001C1DBF"/>
    <w:rsid w:val="001C279F"/>
    <w:rsid w:val="001C4E2C"/>
    <w:rsid w:val="001D0A52"/>
    <w:rsid w:val="001D2E94"/>
    <w:rsid w:val="001D33B7"/>
    <w:rsid w:val="001D4FE2"/>
    <w:rsid w:val="001E1BE8"/>
    <w:rsid w:val="001E1DD1"/>
    <w:rsid w:val="001E317C"/>
    <w:rsid w:val="001E3B7A"/>
    <w:rsid w:val="001E5C1C"/>
    <w:rsid w:val="001E6C18"/>
    <w:rsid w:val="001F1A8F"/>
    <w:rsid w:val="001F218F"/>
    <w:rsid w:val="00201098"/>
    <w:rsid w:val="002020D3"/>
    <w:rsid w:val="00203810"/>
    <w:rsid w:val="00211CB7"/>
    <w:rsid w:val="00215F3D"/>
    <w:rsid w:val="00220D56"/>
    <w:rsid w:val="002214FA"/>
    <w:rsid w:val="00224753"/>
    <w:rsid w:val="00226C7F"/>
    <w:rsid w:val="00241028"/>
    <w:rsid w:val="00241371"/>
    <w:rsid w:val="00241578"/>
    <w:rsid w:val="0024198D"/>
    <w:rsid w:val="002513F1"/>
    <w:rsid w:val="00252208"/>
    <w:rsid w:val="002545C5"/>
    <w:rsid w:val="002548BA"/>
    <w:rsid w:val="0025671F"/>
    <w:rsid w:val="00260792"/>
    <w:rsid w:val="00265144"/>
    <w:rsid w:val="002704C3"/>
    <w:rsid w:val="00271F71"/>
    <w:rsid w:val="0027330C"/>
    <w:rsid w:val="002748D3"/>
    <w:rsid w:val="00274AF4"/>
    <w:rsid w:val="0027532D"/>
    <w:rsid w:val="00282CB7"/>
    <w:rsid w:val="00287AFA"/>
    <w:rsid w:val="00294DCF"/>
    <w:rsid w:val="00296246"/>
    <w:rsid w:val="002A4067"/>
    <w:rsid w:val="002A531E"/>
    <w:rsid w:val="002A5B4E"/>
    <w:rsid w:val="002B46A2"/>
    <w:rsid w:val="002C39FE"/>
    <w:rsid w:val="002C62CD"/>
    <w:rsid w:val="002D19B6"/>
    <w:rsid w:val="002E09ED"/>
    <w:rsid w:val="002E1A15"/>
    <w:rsid w:val="002E2AFF"/>
    <w:rsid w:val="002E4B8E"/>
    <w:rsid w:val="002F4587"/>
    <w:rsid w:val="002F490D"/>
    <w:rsid w:val="002F5CE8"/>
    <w:rsid w:val="002F5E22"/>
    <w:rsid w:val="002F66EC"/>
    <w:rsid w:val="002F701E"/>
    <w:rsid w:val="00300306"/>
    <w:rsid w:val="00301575"/>
    <w:rsid w:val="0030343E"/>
    <w:rsid w:val="0030561B"/>
    <w:rsid w:val="0031138F"/>
    <w:rsid w:val="00311C7E"/>
    <w:rsid w:val="0031614C"/>
    <w:rsid w:val="0032467E"/>
    <w:rsid w:val="00325743"/>
    <w:rsid w:val="00330BBD"/>
    <w:rsid w:val="00337803"/>
    <w:rsid w:val="00340399"/>
    <w:rsid w:val="00343C64"/>
    <w:rsid w:val="00345C01"/>
    <w:rsid w:val="00346017"/>
    <w:rsid w:val="003561D5"/>
    <w:rsid w:val="00357A30"/>
    <w:rsid w:val="00360443"/>
    <w:rsid w:val="00360471"/>
    <w:rsid w:val="003620AF"/>
    <w:rsid w:val="00363933"/>
    <w:rsid w:val="0037264E"/>
    <w:rsid w:val="00374B88"/>
    <w:rsid w:val="0038175A"/>
    <w:rsid w:val="00384C0B"/>
    <w:rsid w:val="0038625E"/>
    <w:rsid w:val="003928BA"/>
    <w:rsid w:val="003928D6"/>
    <w:rsid w:val="003A4451"/>
    <w:rsid w:val="003A706C"/>
    <w:rsid w:val="003B72D7"/>
    <w:rsid w:val="003C7EED"/>
    <w:rsid w:val="003D11BD"/>
    <w:rsid w:val="003D4F26"/>
    <w:rsid w:val="003D704D"/>
    <w:rsid w:val="003E6E59"/>
    <w:rsid w:val="003F1A3A"/>
    <w:rsid w:val="003F2BF9"/>
    <w:rsid w:val="003F6BA6"/>
    <w:rsid w:val="003F7442"/>
    <w:rsid w:val="003F759B"/>
    <w:rsid w:val="00401454"/>
    <w:rsid w:val="004102C1"/>
    <w:rsid w:val="004103DF"/>
    <w:rsid w:val="004111FD"/>
    <w:rsid w:val="00415C85"/>
    <w:rsid w:val="00417C2B"/>
    <w:rsid w:val="00422185"/>
    <w:rsid w:val="004303E6"/>
    <w:rsid w:val="00432B8C"/>
    <w:rsid w:val="00435064"/>
    <w:rsid w:val="004369A1"/>
    <w:rsid w:val="00442F74"/>
    <w:rsid w:val="0044355D"/>
    <w:rsid w:val="0045112F"/>
    <w:rsid w:val="00453C14"/>
    <w:rsid w:val="00454B27"/>
    <w:rsid w:val="00455139"/>
    <w:rsid w:val="00461846"/>
    <w:rsid w:val="00461EA5"/>
    <w:rsid w:val="00464460"/>
    <w:rsid w:val="00464FEA"/>
    <w:rsid w:val="00474EBC"/>
    <w:rsid w:val="004753B9"/>
    <w:rsid w:val="004755FF"/>
    <w:rsid w:val="0048307D"/>
    <w:rsid w:val="004855F9"/>
    <w:rsid w:val="00485B6A"/>
    <w:rsid w:val="00487CB4"/>
    <w:rsid w:val="0049625D"/>
    <w:rsid w:val="00497C79"/>
    <w:rsid w:val="004A48A0"/>
    <w:rsid w:val="004A4EBA"/>
    <w:rsid w:val="004A574C"/>
    <w:rsid w:val="004A6C0D"/>
    <w:rsid w:val="004B28ED"/>
    <w:rsid w:val="004B3B17"/>
    <w:rsid w:val="004B51D4"/>
    <w:rsid w:val="004C0B3C"/>
    <w:rsid w:val="004C6785"/>
    <w:rsid w:val="004D0F04"/>
    <w:rsid w:val="004D3B6E"/>
    <w:rsid w:val="004D7D6E"/>
    <w:rsid w:val="004E463F"/>
    <w:rsid w:val="004F1B46"/>
    <w:rsid w:val="004F37FD"/>
    <w:rsid w:val="004F38AD"/>
    <w:rsid w:val="004F4D5A"/>
    <w:rsid w:val="00501E91"/>
    <w:rsid w:val="00526C82"/>
    <w:rsid w:val="00527A39"/>
    <w:rsid w:val="00527EB0"/>
    <w:rsid w:val="00535245"/>
    <w:rsid w:val="00536583"/>
    <w:rsid w:val="005438E8"/>
    <w:rsid w:val="00544B85"/>
    <w:rsid w:val="0054594F"/>
    <w:rsid w:val="00545D41"/>
    <w:rsid w:val="005511B8"/>
    <w:rsid w:val="00551699"/>
    <w:rsid w:val="005531D4"/>
    <w:rsid w:val="00555BFF"/>
    <w:rsid w:val="00561D6C"/>
    <w:rsid w:val="0056248D"/>
    <w:rsid w:val="005658D5"/>
    <w:rsid w:val="00570977"/>
    <w:rsid w:val="005724C1"/>
    <w:rsid w:val="005806AA"/>
    <w:rsid w:val="00581500"/>
    <w:rsid w:val="00583FEE"/>
    <w:rsid w:val="00596092"/>
    <w:rsid w:val="005A014B"/>
    <w:rsid w:val="005A12C7"/>
    <w:rsid w:val="005A2CC0"/>
    <w:rsid w:val="005A52A3"/>
    <w:rsid w:val="005B130E"/>
    <w:rsid w:val="005B22FA"/>
    <w:rsid w:val="005B4B42"/>
    <w:rsid w:val="005B5B11"/>
    <w:rsid w:val="005C3251"/>
    <w:rsid w:val="005C45E5"/>
    <w:rsid w:val="005D4346"/>
    <w:rsid w:val="005D6F5A"/>
    <w:rsid w:val="005D71A4"/>
    <w:rsid w:val="005D79D6"/>
    <w:rsid w:val="005E42FA"/>
    <w:rsid w:val="005E476C"/>
    <w:rsid w:val="005F25A6"/>
    <w:rsid w:val="005F7C2A"/>
    <w:rsid w:val="006003EA"/>
    <w:rsid w:val="00604CC4"/>
    <w:rsid w:val="00613BA6"/>
    <w:rsid w:val="00621C4E"/>
    <w:rsid w:val="00621F35"/>
    <w:rsid w:val="006220B6"/>
    <w:rsid w:val="0062362E"/>
    <w:rsid w:val="00623BB5"/>
    <w:rsid w:val="00624284"/>
    <w:rsid w:val="00624AD3"/>
    <w:rsid w:val="00624D35"/>
    <w:rsid w:val="00630036"/>
    <w:rsid w:val="006370E4"/>
    <w:rsid w:val="006428CA"/>
    <w:rsid w:val="00646CAB"/>
    <w:rsid w:val="00646F6F"/>
    <w:rsid w:val="0065241A"/>
    <w:rsid w:val="006562F4"/>
    <w:rsid w:val="006602C7"/>
    <w:rsid w:val="0066158F"/>
    <w:rsid w:val="00665DAD"/>
    <w:rsid w:val="00675C8B"/>
    <w:rsid w:val="006810D0"/>
    <w:rsid w:val="006818E9"/>
    <w:rsid w:val="00691957"/>
    <w:rsid w:val="00697D9F"/>
    <w:rsid w:val="006A0E52"/>
    <w:rsid w:val="006A1211"/>
    <w:rsid w:val="006A3EFD"/>
    <w:rsid w:val="006A4AC2"/>
    <w:rsid w:val="006A4D07"/>
    <w:rsid w:val="006A657B"/>
    <w:rsid w:val="006A6A8A"/>
    <w:rsid w:val="006B2F6C"/>
    <w:rsid w:val="006B3BCC"/>
    <w:rsid w:val="006B4115"/>
    <w:rsid w:val="006B5327"/>
    <w:rsid w:val="006B70E0"/>
    <w:rsid w:val="006C7924"/>
    <w:rsid w:val="006D13C9"/>
    <w:rsid w:val="006D158B"/>
    <w:rsid w:val="006D1E6A"/>
    <w:rsid w:val="006D2499"/>
    <w:rsid w:val="006D24B8"/>
    <w:rsid w:val="006D597B"/>
    <w:rsid w:val="006E57E4"/>
    <w:rsid w:val="006F0B99"/>
    <w:rsid w:val="006F3608"/>
    <w:rsid w:val="006F51DB"/>
    <w:rsid w:val="006F75E8"/>
    <w:rsid w:val="0070403D"/>
    <w:rsid w:val="007043E8"/>
    <w:rsid w:val="007053B8"/>
    <w:rsid w:val="0070601D"/>
    <w:rsid w:val="007143F8"/>
    <w:rsid w:val="00714938"/>
    <w:rsid w:val="00723CA8"/>
    <w:rsid w:val="00723E7A"/>
    <w:rsid w:val="00725D55"/>
    <w:rsid w:val="00727DBD"/>
    <w:rsid w:val="00727E4E"/>
    <w:rsid w:val="007309A6"/>
    <w:rsid w:val="007333EB"/>
    <w:rsid w:val="00735F93"/>
    <w:rsid w:val="00740E53"/>
    <w:rsid w:val="00744BE9"/>
    <w:rsid w:val="00757F00"/>
    <w:rsid w:val="007603C0"/>
    <w:rsid w:val="0076095E"/>
    <w:rsid w:val="007618F7"/>
    <w:rsid w:val="00764DB7"/>
    <w:rsid w:val="007663FA"/>
    <w:rsid w:val="007668B8"/>
    <w:rsid w:val="00770664"/>
    <w:rsid w:val="00772FA9"/>
    <w:rsid w:val="00773A0E"/>
    <w:rsid w:val="00775C06"/>
    <w:rsid w:val="007764AE"/>
    <w:rsid w:val="00777565"/>
    <w:rsid w:val="00777E92"/>
    <w:rsid w:val="007827CA"/>
    <w:rsid w:val="00784AC5"/>
    <w:rsid w:val="00787A43"/>
    <w:rsid w:val="007924DB"/>
    <w:rsid w:val="007934D1"/>
    <w:rsid w:val="007944D0"/>
    <w:rsid w:val="00794A77"/>
    <w:rsid w:val="007955CE"/>
    <w:rsid w:val="00796432"/>
    <w:rsid w:val="007A2DA5"/>
    <w:rsid w:val="007A7509"/>
    <w:rsid w:val="007B03FC"/>
    <w:rsid w:val="007B04A2"/>
    <w:rsid w:val="007B19DD"/>
    <w:rsid w:val="007B1A97"/>
    <w:rsid w:val="007B2A3D"/>
    <w:rsid w:val="007B5087"/>
    <w:rsid w:val="007C01A8"/>
    <w:rsid w:val="007C04B9"/>
    <w:rsid w:val="007C2639"/>
    <w:rsid w:val="007C502A"/>
    <w:rsid w:val="007D4E56"/>
    <w:rsid w:val="007E07E5"/>
    <w:rsid w:val="007E7819"/>
    <w:rsid w:val="007F13E9"/>
    <w:rsid w:val="007F2A8E"/>
    <w:rsid w:val="007F3915"/>
    <w:rsid w:val="008023DF"/>
    <w:rsid w:val="00802E73"/>
    <w:rsid w:val="00803213"/>
    <w:rsid w:val="00807844"/>
    <w:rsid w:val="00810814"/>
    <w:rsid w:val="0081107A"/>
    <w:rsid w:val="0081431F"/>
    <w:rsid w:val="00815DCA"/>
    <w:rsid w:val="0082527B"/>
    <w:rsid w:val="008317C9"/>
    <w:rsid w:val="00833C3A"/>
    <w:rsid w:val="00835609"/>
    <w:rsid w:val="00836B3C"/>
    <w:rsid w:val="008424DD"/>
    <w:rsid w:val="0084380F"/>
    <w:rsid w:val="00846E47"/>
    <w:rsid w:val="00847EF6"/>
    <w:rsid w:val="008502C8"/>
    <w:rsid w:val="008512EC"/>
    <w:rsid w:val="008515EB"/>
    <w:rsid w:val="0085182D"/>
    <w:rsid w:val="0086325E"/>
    <w:rsid w:val="0086689B"/>
    <w:rsid w:val="008747DA"/>
    <w:rsid w:val="00874878"/>
    <w:rsid w:val="00875926"/>
    <w:rsid w:val="00877B7B"/>
    <w:rsid w:val="00883709"/>
    <w:rsid w:val="00883BCA"/>
    <w:rsid w:val="00884A56"/>
    <w:rsid w:val="00887939"/>
    <w:rsid w:val="00897184"/>
    <w:rsid w:val="008B24D6"/>
    <w:rsid w:val="008B3E64"/>
    <w:rsid w:val="008B6FE2"/>
    <w:rsid w:val="008C471B"/>
    <w:rsid w:val="008C5E64"/>
    <w:rsid w:val="008C6421"/>
    <w:rsid w:val="008D03D0"/>
    <w:rsid w:val="008D0B2B"/>
    <w:rsid w:val="008D56C9"/>
    <w:rsid w:val="008D63FA"/>
    <w:rsid w:val="008D74D5"/>
    <w:rsid w:val="008E0C0E"/>
    <w:rsid w:val="008E6358"/>
    <w:rsid w:val="008E6F57"/>
    <w:rsid w:val="008F27A8"/>
    <w:rsid w:val="008F656D"/>
    <w:rsid w:val="008F7827"/>
    <w:rsid w:val="0091016B"/>
    <w:rsid w:val="0091088F"/>
    <w:rsid w:val="009119AB"/>
    <w:rsid w:val="00917723"/>
    <w:rsid w:val="009212D6"/>
    <w:rsid w:val="009212DC"/>
    <w:rsid w:val="0092226C"/>
    <w:rsid w:val="009226E0"/>
    <w:rsid w:val="00922D09"/>
    <w:rsid w:val="009322F2"/>
    <w:rsid w:val="009329EB"/>
    <w:rsid w:val="0093481A"/>
    <w:rsid w:val="00941F16"/>
    <w:rsid w:val="009452FD"/>
    <w:rsid w:val="00951F66"/>
    <w:rsid w:val="00956376"/>
    <w:rsid w:val="00961A02"/>
    <w:rsid w:val="00964354"/>
    <w:rsid w:val="00965411"/>
    <w:rsid w:val="00967597"/>
    <w:rsid w:val="0097423F"/>
    <w:rsid w:val="00982FFC"/>
    <w:rsid w:val="00984DDC"/>
    <w:rsid w:val="009862E2"/>
    <w:rsid w:val="00991B18"/>
    <w:rsid w:val="00991F4B"/>
    <w:rsid w:val="0099416F"/>
    <w:rsid w:val="00994C7A"/>
    <w:rsid w:val="0099674B"/>
    <w:rsid w:val="009A1EE3"/>
    <w:rsid w:val="009C02E9"/>
    <w:rsid w:val="009C0E18"/>
    <w:rsid w:val="009C1AE1"/>
    <w:rsid w:val="009D2AF0"/>
    <w:rsid w:val="009D511C"/>
    <w:rsid w:val="009E1E70"/>
    <w:rsid w:val="009E6919"/>
    <w:rsid w:val="009F274F"/>
    <w:rsid w:val="009F4F8D"/>
    <w:rsid w:val="009F5A51"/>
    <w:rsid w:val="009F6727"/>
    <w:rsid w:val="009F6E07"/>
    <w:rsid w:val="00A01216"/>
    <w:rsid w:val="00A01327"/>
    <w:rsid w:val="00A01D73"/>
    <w:rsid w:val="00A12DE1"/>
    <w:rsid w:val="00A16E3E"/>
    <w:rsid w:val="00A23794"/>
    <w:rsid w:val="00A31046"/>
    <w:rsid w:val="00A3279E"/>
    <w:rsid w:val="00A35FF8"/>
    <w:rsid w:val="00A40CD6"/>
    <w:rsid w:val="00A410A5"/>
    <w:rsid w:val="00A410FF"/>
    <w:rsid w:val="00A42B77"/>
    <w:rsid w:val="00A434CD"/>
    <w:rsid w:val="00A4531F"/>
    <w:rsid w:val="00A47063"/>
    <w:rsid w:val="00A55C5D"/>
    <w:rsid w:val="00A600EE"/>
    <w:rsid w:val="00A63C1A"/>
    <w:rsid w:val="00A71488"/>
    <w:rsid w:val="00A722A2"/>
    <w:rsid w:val="00A735A7"/>
    <w:rsid w:val="00A773F3"/>
    <w:rsid w:val="00A82B1D"/>
    <w:rsid w:val="00A87591"/>
    <w:rsid w:val="00A87A8A"/>
    <w:rsid w:val="00A918F8"/>
    <w:rsid w:val="00A929B2"/>
    <w:rsid w:val="00A935A7"/>
    <w:rsid w:val="00A96F86"/>
    <w:rsid w:val="00AA1AE4"/>
    <w:rsid w:val="00AA2D0C"/>
    <w:rsid w:val="00AA2FFE"/>
    <w:rsid w:val="00AA4218"/>
    <w:rsid w:val="00AB1D89"/>
    <w:rsid w:val="00AB3BA1"/>
    <w:rsid w:val="00AC5F5B"/>
    <w:rsid w:val="00AC72FC"/>
    <w:rsid w:val="00AD115B"/>
    <w:rsid w:val="00AE2FF3"/>
    <w:rsid w:val="00AE46A9"/>
    <w:rsid w:val="00AE6C0C"/>
    <w:rsid w:val="00B10D6B"/>
    <w:rsid w:val="00B1245E"/>
    <w:rsid w:val="00B1297D"/>
    <w:rsid w:val="00B17243"/>
    <w:rsid w:val="00B20E08"/>
    <w:rsid w:val="00B21ECC"/>
    <w:rsid w:val="00B248F5"/>
    <w:rsid w:val="00B32E9D"/>
    <w:rsid w:val="00B412F2"/>
    <w:rsid w:val="00B4231B"/>
    <w:rsid w:val="00B440B9"/>
    <w:rsid w:val="00B45B8C"/>
    <w:rsid w:val="00B46090"/>
    <w:rsid w:val="00B4616A"/>
    <w:rsid w:val="00B47DEE"/>
    <w:rsid w:val="00B569A9"/>
    <w:rsid w:val="00B576CF"/>
    <w:rsid w:val="00B5774D"/>
    <w:rsid w:val="00B60FAF"/>
    <w:rsid w:val="00B61AEB"/>
    <w:rsid w:val="00B63723"/>
    <w:rsid w:val="00B64497"/>
    <w:rsid w:val="00B663DB"/>
    <w:rsid w:val="00B6795E"/>
    <w:rsid w:val="00B70340"/>
    <w:rsid w:val="00B70969"/>
    <w:rsid w:val="00B72D38"/>
    <w:rsid w:val="00B7622D"/>
    <w:rsid w:val="00B806F7"/>
    <w:rsid w:val="00BA1C66"/>
    <w:rsid w:val="00BA3A7B"/>
    <w:rsid w:val="00BA4367"/>
    <w:rsid w:val="00BB5BB6"/>
    <w:rsid w:val="00BB5FED"/>
    <w:rsid w:val="00BB67E0"/>
    <w:rsid w:val="00BC15DC"/>
    <w:rsid w:val="00BD48EE"/>
    <w:rsid w:val="00BD6803"/>
    <w:rsid w:val="00BE351F"/>
    <w:rsid w:val="00BE4DF3"/>
    <w:rsid w:val="00BE59C7"/>
    <w:rsid w:val="00BF0C11"/>
    <w:rsid w:val="00C00090"/>
    <w:rsid w:val="00C0421E"/>
    <w:rsid w:val="00C05AB2"/>
    <w:rsid w:val="00C163E0"/>
    <w:rsid w:val="00C214BF"/>
    <w:rsid w:val="00C313CA"/>
    <w:rsid w:val="00C31620"/>
    <w:rsid w:val="00C3163B"/>
    <w:rsid w:val="00C36385"/>
    <w:rsid w:val="00C44379"/>
    <w:rsid w:val="00C46BA4"/>
    <w:rsid w:val="00C575C3"/>
    <w:rsid w:val="00C61A9E"/>
    <w:rsid w:val="00C63A15"/>
    <w:rsid w:val="00C673F5"/>
    <w:rsid w:val="00C750A2"/>
    <w:rsid w:val="00C757DE"/>
    <w:rsid w:val="00C804DF"/>
    <w:rsid w:val="00CA22C2"/>
    <w:rsid w:val="00CA290E"/>
    <w:rsid w:val="00CA4DF0"/>
    <w:rsid w:val="00CB126B"/>
    <w:rsid w:val="00CB3824"/>
    <w:rsid w:val="00CC17EE"/>
    <w:rsid w:val="00CC2523"/>
    <w:rsid w:val="00CC3580"/>
    <w:rsid w:val="00CC6BBA"/>
    <w:rsid w:val="00CC7DFE"/>
    <w:rsid w:val="00CD18C6"/>
    <w:rsid w:val="00CD2E34"/>
    <w:rsid w:val="00CE328A"/>
    <w:rsid w:val="00CE6328"/>
    <w:rsid w:val="00CE7C3F"/>
    <w:rsid w:val="00CF08F5"/>
    <w:rsid w:val="00CF10CE"/>
    <w:rsid w:val="00CF32C5"/>
    <w:rsid w:val="00CF3588"/>
    <w:rsid w:val="00D050A2"/>
    <w:rsid w:val="00D05FD4"/>
    <w:rsid w:val="00D061EF"/>
    <w:rsid w:val="00D101F1"/>
    <w:rsid w:val="00D1292A"/>
    <w:rsid w:val="00D14EF4"/>
    <w:rsid w:val="00D15BF5"/>
    <w:rsid w:val="00D1779B"/>
    <w:rsid w:val="00D17D23"/>
    <w:rsid w:val="00D2264D"/>
    <w:rsid w:val="00D2630E"/>
    <w:rsid w:val="00D3032D"/>
    <w:rsid w:val="00D31806"/>
    <w:rsid w:val="00D32C66"/>
    <w:rsid w:val="00D34DA8"/>
    <w:rsid w:val="00D52688"/>
    <w:rsid w:val="00D541A5"/>
    <w:rsid w:val="00D57D1D"/>
    <w:rsid w:val="00D67B26"/>
    <w:rsid w:val="00D70C3C"/>
    <w:rsid w:val="00D73A16"/>
    <w:rsid w:val="00D80481"/>
    <w:rsid w:val="00D850DF"/>
    <w:rsid w:val="00D8697F"/>
    <w:rsid w:val="00D96F4D"/>
    <w:rsid w:val="00DA6F21"/>
    <w:rsid w:val="00DA6F52"/>
    <w:rsid w:val="00DA730E"/>
    <w:rsid w:val="00DB01F1"/>
    <w:rsid w:val="00DB7684"/>
    <w:rsid w:val="00DC168C"/>
    <w:rsid w:val="00DC17C1"/>
    <w:rsid w:val="00DC27FC"/>
    <w:rsid w:val="00DC486C"/>
    <w:rsid w:val="00DD0BD7"/>
    <w:rsid w:val="00DD1175"/>
    <w:rsid w:val="00DD5DF7"/>
    <w:rsid w:val="00DD691E"/>
    <w:rsid w:val="00DE1FF6"/>
    <w:rsid w:val="00DE6717"/>
    <w:rsid w:val="00DF065E"/>
    <w:rsid w:val="00DF0B29"/>
    <w:rsid w:val="00DF0C9D"/>
    <w:rsid w:val="00DF1AD9"/>
    <w:rsid w:val="00DF3AF6"/>
    <w:rsid w:val="00DF3F5D"/>
    <w:rsid w:val="00DF643E"/>
    <w:rsid w:val="00DF7FBE"/>
    <w:rsid w:val="00E009BB"/>
    <w:rsid w:val="00E06081"/>
    <w:rsid w:val="00E0637E"/>
    <w:rsid w:val="00E13659"/>
    <w:rsid w:val="00E13F70"/>
    <w:rsid w:val="00E1445F"/>
    <w:rsid w:val="00E25328"/>
    <w:rsid w:val="00E26C93"/>
    <w:rsid w:val="00E35173"/>
    <w:rsid w:val="00E46617"/>
    <w:rsid w:val="00E46FB2"/>
    <w:rsid w:val="00E50F6E"/>
    <w:rsid w:val="00E551C2"/>
    <w:rsid w:val="00E5695B"/>
    <w:rsid w:val="00E56DBF"/>
    <w:rsid w:val="00E5721A"/>
    <w:rsid w:val="00E62AE8"/>
    <w:rsid w:val="00E765B0"/>
    <w:rsid w:val="00E76D13"/>
    <w:rsid w:val="00E810C3"/>
    <w:rsid w:val="00E81151"/>
    <w:rsid w:val="00E84291"/>
    <w:rsid w:val="00E85431"/>
    <w:rsid w:val="00E91292"/>
    <w:rsid w:val="00E93FD4"/>
    <w:rsid w:val="00EA2FC3"/>
    <w:rsid w:val="00EB0185"/>
    <w:rsid w:val="00EB3487"/>
    <w:rsid w:val="00EB4688"/>
    <w:rsid w:val="00EB6F8A"/>
    <w:rsid w:val="00EC147E"/>
    <w:rsid w:val="00EC3E6E"/>
    <w:rsid w:val="00EC7E12"/>
    <w:rsid w:val="00ED06D7"/>
    <w:rsid w:val="00ED0C16"/>
    <w:rsid w:val="00ED1B26"/>
    <w:rsid w:val="00ED304B"/>
    <w:rsid w:val="00ED5373"/>
    <w:rsid w:val="00ED66C9"/>
    <w:rsid w:val="00ED6F65"/>
    <w:rsid w:val="00ED6F7E"/>
    <w:rsid w:val="00EE35E6"/>
    <w:rsid w:val="00EE4575"/>
    <w:rsid w:val="00EE7C72"/>
    <w:rsid w:val="00EF1B85"/>
    <w:rsid w:val="00EF1C5C"/>
    <w:rsid w:val="00EF3DBD"/>
    <w:rsid w:val="00EF75C0"/>
    <w:rsid w:val="00F026DB"/>
    <w:rsid w:val="00F04FC6"/>
    <w:rsid w:val="00F071A1"/>
    <w:rsid w:val="00F07F95"/>
    <w:rsid w:val="00F15E1E"/>
    <w:rsid w:val="00F16BB9"/>
    <w:rsid w:val="00F17640"/>
    <w:rsid w:val="00F207E8"/>
    <w:rsid w:val="00F22C61"/>
    <w:rsid w:val="00F2306C"/>
    <w:rsid w:val="00F2799A"/>
    <w:rsid w:val="00F317CD"/>
    <w:rsid w:val="00F32276"/>
    <w:rsid w:val="00F34F81"/>
    <w:rsid w:val="00F363F5"/>
    <w:rsid w:val="00F41A10"/>
    <w:rsid w:val="00F43455"/>
    <w:rsid w:val="00F43BCB"/>
    <w:rsid w:val="00F54D29"/>
    <w:rsid w:val="00F55675"/>
    <w:rsid w:val="00F63564"/>
    <w:rsid w:val="00F66015"/>
    <w:rsid w:val="00F75CC4"/>
    <w:rsid w:val="00F901FA"/>
    <w:rsid w:val="00F91BDF"/>
    <w:rsid w:val="00F9473C"/>
    <w:rsid w:val="00F94767"/>
    <w:rsid w:val="00FA33A2"/>
    <w:rsid w:val="00FA7680"/>
    <w:rsid w:val="00FB4F74"/>
    <w:rsid w:val="00FC0F12"/>
    <w:rsid w:val="00FC226B"/>
    <w:rsid w:val="00FC32C5"/>
    <w:rsid w:val="00FD059D"/>
    <w:rsid w:val="00FD0F7E"/>
    <w:rsid w:val="00FD69C9"/>
    <w:rsid w:val="00FE5470"/>
    <w:rsid w:val="00FE75A7"/>
    <w:rsid w:val="00FF1DA0"/>
    <w:rsid w:val="00FF489F"/>
    <w:rsid w:val="1DB65414"/>
    <w:rsid w:val="34DADE26"/>
    <w:rsid w:val="5B9CA091"/>
    <w:rsid w:val="612C607D"/>
    <w:rsid w:val="6CD11527"/>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584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qFormat="1"/>
    <w:lsdException w:name="heading 2" w:uiPriority="9" w:qFormat="1"/>
    <w:lsdException w:name="heading 3"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40" w:line="240" w:lineRule="atLeast"/>
    </w:pPr>
    <w:rPr>
      <w:rFonts w:ascii="Arial" w:hAnsi="Arial"/>
      <w:sz w:val="22"/>
    </w:rPr>
  </w:style>
  <w:style w:type="paragraph" w:styleId="Heading1">
    <w:name w:val="heading 1"/>
    <w:basedOn w:val="Normal"/>
    <w:next w:val="Normal"/>
    <w:qFormat/>
    <w:pPr>
      <w:keepNext/>
      <w:pageBreakBefore/>
      <w:widowControl w:val="0"/>
      <w:numPr>
        <w:numId w:val="11"/>
      </w:numPr>
      <w:spacing w:after="360" w:line="550" w:lineRule="exact"/>
      <w:outlineLvl w:val="0"/>
    </w:pPr>
    <w:rPr>
      <w:rFonts w:cs="Arial"/>
      <w:bCs/>
      <w:color w:val="323232"/>
      <w:kern w:val="32"/>
      <w:sz w:val="44"/>
      <w:szCs w:val="32"/>
    </w:rPr>
  </w:style>
  <w:style w:type="paragraph" w:styleId="Heading2">
    <w:name w:val="heading 2"/>
    <w:basedOn w:val="Normal"/>
    <w:next w:val="Normal"/>
    <w:uiPriority w:val="9"/>
    <w:qFormat/>
    <w:pPr>
      <w:keepNext/>
      <w:numPr>
        <w:ilvl w:val="1"/>
        <w:numId w:val="11"/>
      </w:numPr>
      <w:spacing w:before="320" w:after="60"/>
      <w:outlineLvl w:val="1"/>
    </w:pPr>
    <w:rPr>
      <w:rFonts w:cs="Arial"/>
      <w:b/>
      <w:bCs/>
      <w:iCs/>
      <w:sz w:val="28"/>
      <w:szCs w:val="28"/>
    </w:rPr>
  </w:style>
  <w:style w:type="paragraph" w:styleId="Heading3">
    <w:name w:val="heading 3"/>
    <w:basedOn w:val="Normal"/>
    <w:next w:val="Normal"/>
    <w:qFormat/>
    <w:pPr>
      <w:keepNext/>
      <w:numPr>
        <w:ilvl w:val="2"/>
        <w:numId w:val="11"/>
      </w:numPr>
      <w:spacing w:before="60" w:after="60"/>
      <w:outlineLvl w:val="2"/>
    </w:pPr>
    <w:rPr>
      <w:rFonts w:cs="Arial"/>
      <w:b/>
      <w:bCs/>
      <w:szCs w:val="26"/>
    </w:rPr>
  </w:style>
  <w:style w:type="paragraph" w:styleId="Heading4">
    <w:name w:val="heading 4"/>
    <w:basedOn w:val="Normal"/>
    <w:next w:val="Normal"/>
    <w:semiHidden/>
    <w:qFormat/>
    <w:pPr>
      <w:keepNext/>
      <w:numPr>
        <w:ilvl w:val="3"/>
        <w:numId w:val="11"/>
      </w:numPr>
      <w:spacing w:before="240" w:after="60"/>
      <w:outlineLvl w:val="3"/>
    </w:pPr>
    <w:rPr>
      <w:rFonts w:ascii="Times New Roman" w:hAnsi="Times New Roman"/>
      <w:b/>
      <w:bCs/>
      <w:sz w:val="28"/>
      <w:szCs w:val="28"/>
    </w:rPr>
  </w:style>
  <w:style w:type="paragraph" w:styleId="Heading5">
    <w:name w:val="heading 5"/>
    <w:basedOn w:val="Normal"/>
    <w:next w:val="Normal"/>
    <w:semiHidden/>
    <w:qFormat/>
    <w:pPr>
      <w:numPr>
        <w:ilvl w:val="4"/>
        <w:numId w:val="11"/>
      </w:numPr>
      <w:spacing w:before="240" w:after="60"/>
      <w:outlineLvl w:val="4"/>
    </w:pPr>
    <w:rPr>
      <w:b/>
      <w:bCs/>
      <w:i/>
      <w:iCs/>
      <w:sz w:val="26"/>
      <w:szCs w:val="26"/>
    </w:rPr>
  </w:style>
  <w:style w:type="paragraph" w:styleId="Heading6">
    <w:name w:val="heading 6"/>
    <w:basedOn w:val="Normal"/>
    <w:next w:val="Normal"/>
    <w:semiHidden/>
    <w:qFormat/>
    <w:pPr>
      <w:numPr>
        <w:ilvl w:val="5"/>
        <w:numId w:val="11"/>
      </w:numPr>
      <w:spacing w:before="240" w:after="60"/>
      <w:outlineLvl w:val="5"/>
    </w:pPr>
    <w:rPr>
      <w:rFonts w:ascii="Times New Roman" w:hAnsi="Times New Roman"/>
      <w:b/>
      <w:bCs/>
      <w:szCs w:val="22"/>
    </w:rPr>
  </w:style>
  <w:style w:type="paragraph" w:styleId="Heading7">
    <w:name w:val="heading 7"/>
    <w:basedOn w:val="Normal"/>
    <w:next w:val="Normal"/>
    <w:semiHidden/>
    <w:qFormat/>
    <w:pPr>
      <w:numPr>
        <w:ilvl w:val="6"/>
        <w:numId w:val="11"/>
      </w:numPr>
      <w:spacing w:before="240" w:after="60"/>
      <w:outlineLvl w:val="6"/>
    </w:pPr>
    <w:rPr>
      <w:rFonts w:ascii="Times New Roman" w:hAnsi="Times New Roman"/>
    </w:rPr>
  </w:style>
  <w:style w:type="paragraph" w:styleId="Heading8">
    <w:name w:val="heading 8"/>
    <w:basedOn w:val="Normal"/>
    <w:next w:val="Normal"/>
    <w:semiHidden/>
    <w:qFormat/>
    <w:pPr>
      <w:numPr>
        <w:ilvl w:val="7"/>
        <w:numId w:val="11"/>
      </w:numPr>
      <w:spacing w:before="240" w:after="60"/>
      <w:outlineLvl w:val="7"/>
    </w:pPr>
    <w:rPr>
      <w:rFonts w:ascii="Times New Roman" w:hAnsi="Times New Roman"/>
      <w:i/>
      <w:iCs/>
    </w:rPr>
  </w:style>
  <w:style w:type="paragraph" w:styleId="Heading9">
    <w:name w:val="heading 9"/>
    <w:basedOn w:val="Normal"/>
    <w:next w:val="Normal"/>
    <w:semiHidden/>
    <w:qFormat/>
    <w:pPr>
      <w:numPr>
        <w:ilvl w:val="8"/>
        <w:numId w:val="1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spacing w:line="240" w:lineRule="auto"/>
    </w:pPr>
    <w:rPr>
      <w:sz w:val="16"/>
    </w:rPr>
  </w:style>
  <w:style w:type="paragraph" w:styleId="Footer">
    <w:name w:val="footer"/>
    <w:basedOn w:val="Normal"/>
    <w:link w:val="FooterChar"/>
    <w:uiPriority w:val="99"/>
    <w:qFormat/>
    <w:pPr>
      <w:tabs>
        <w:tab w:val="right" w:pos="113"/>
      </w:tabs>
      <w:spacing w:line="240" w:lineRule="auto"/>
    </w:pPr>
    <w:rPr>
      <w:color w:val="323232"/>
      <w:sz w:val="16"/>
    </w:rPr>
  </w:style>
  <w:style w:type="character" w:customStyle="1" w:styleId="FooterChar">
    <w:name w:val="Footer Char"/>
    <w:basedOn w:val="DefaultParagraphFont"/>
    <w:link w:val="Footer"/>
    <w:uiPriority w:val="99"/>
    <w:rPr>
      <w:rFonts w:ascii="Arial" w:hAnsi="Arial"/>
      <w:color w:val="323232"/>
      <w:sz w:val="16"/>
    </w:rPr>
  </w:style>
  <w:style w:type="paragraph" w:customStyle="1" w:styleId="ACMAReportTitle">
    <w:name w:val="ACMA_ReportTitle"/>
    <w:basedOn w:val="Normal"/>
    <w:qFormat/>
    <w:pPr>
      <w:spacing w:after="0" w:line="560" w:lineRule="exact"/>
    </w:pPr>
    <w:rPr>
      <w:b/>
      <w:spacing w:val="-28"/>
      <w:sz w:val="53"/>
    </w:rPr>
  </w:style>
  <w:style w:type="paragraph" w:customStyle="1" w:styleId="ACMAReportSubTitle">
    <w:name w:val="ACMA_ReportSubTitle"/>
    <w:basedOn w:val="Normal"/>
    <w:qFormat/>
    <w:pPr>
      <w:spacing w:after="200" w:line="560" w:lineRule="exact"/>
    </w:pPr>
    <w:rPr>
      <w:color w:val="323232"/>
      <w:spacing w:val="-28"/>
      <w:sz w:val="53"/>
    </w:rPr>
  </w:style>
  <w:style w:type="table" w:styleId="TableGrid">
    <w:name w:val="Table Grid"/>
    <w:basedOn w:val="TableNormal"/>
    <w:uiPriority w:val="5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MAReportDate">
    <w:name w:val="ACMA_ReportDate"/>
    <w:basedOn w:val="ACMAReportSubTitle"/>
    <w:qFormat/>
    <w:pPr>
      <w:spacing w:after="120" w:line="240" w:lineRule="auto"/>
    </w:pPr>
    <w:rPr>
      <w:caps/>
      <w:spacing w:val="-10"/>
      <w:sz w:val="20"/>
    </w:rPr>
  </w:style>
  <w:style w:type="paragraph" w:customStyle="1" w:styleId="TableHeading">
    <w:name w:val="Table Heading"/>
    <w:basedOn w:val="Normal"/>
    <w:qFormat/>
    <w:pPr>
      <w:spacing w:after="0"/>
    </w:pPr>
    <w:rPr>
      <w:b/>
    </w:rPr>
  </w:style>
  <w:style w:type="paragraph" w:customStyle="1" w:styleId="PageNumber">
    <w:name w:val="PageNumber"/>
    <w:basedOn w:val="Normal"/>
    <w:semiHidden/>
    <w:pPr>
      <w:spacing w:line="240" w:lineRule="auto"/>
    </w:pPr>
    <w:rPr>
      <w:sz w:val="16"/>
    </w:rPr>
  </w:style>
  <w:style w:type="paragraph" w:customStyle="1" w:styleId="Copyright">
    <w:name w:val="Copyright"/>
    <w:basedOn w:val="Normal"/>
    <w:semiHidden/>
    <w:pPr>
      <w:spacing w:line="160" w:lineRule="exact"/>
    </w:pPr>
    <w:rPr>
      <w:color w:val="4D4D4F"/>
      <w:sz w:val="13"/>
    </w:rPr>
  </w:style>
  <w:style w:type="paragraph" w:styleId="TOCHeading">
    <w:name w:val="TOC Heading"/>
    <w:basedOn w:val="Normal"/>
    <w:uiPriority w:val="39"/>
    <w:qFormat/>
    <w:pPr>
      <w:spacing w:before="1200" w:line="240" w:lineRule="auto"/>
    </w:pPr>
    <w:rPr>
      <w:b/>
      <w:color w:val="323232"/>
      <w:spacing w:val="-28"/>
      <w:sz w:val="53"/>
    </w:rPr>
  </w:style>
  <w:style w:type="paragraph" w:styleId="Caption">
    <w:name w:val="caption"/>
    <w:aliases w:val="Caption table"/>
    <w:basedOn w:val="Normal"/>
    <w:next w:val="Normal"/>
    <w:qFormat/>
    <w:pPr>
      <w:numPr>
        <w:numId w:val="8"/>
      </w:numPr>
      <w:spacing w:after="0"/>
    </w:pPr>
    <w:rPr>
      <w:b/>
      <w:bCs/>
      <w:color w:val="323232"/>
      <w:szCs w:val="20"/>
    </w:rPr>
  </w:style>
  <w:style w:type="paragraph" w:customStyle="1" w:styleId="BodySubHeader">
    <w:name w:val="BodySubHeader"/>
    <w:basedOn w:val="Normal"/>
    <w:next w:val="Normal"/>
    <w:qFormat/>
    <w:pPr>
      <w:spacing w:before="240" w:after="0"/>
    </w:pPr>
    <w:rPr>
      <w:b/>
      <w:i/>
    </w:rPr>
  </w:style>
  <w:style w:type="paragraph" w:styleId="ListBullet">
    <w:name w:val="List Bullet"/>
    <w:basedOn w:val="Normal"/>
    <w:qFormat/>
    <w:pPr>
      <w:numPr>
        <w:numId w:val="1"/>
      </w:numPr>
      <w:spacing w:after="80"/>
    </w:pPr>
  </w:style>
  <w:style w:type="paragraph" w:styleId="ListBullet2">
    <w:name w:val="List Bullet 2"/>
    <w:basedOn w:val="Normal"/>
    <w:qFormat/>
    <w:pPr>
      <w:numPr>
        <w:numId w:val="2"/>
      </w:numPr>
      <w:spacing w:after="80"/>
    </w:pPr>
  </w:style>
  <w:style w:type="paragraph" w:styleId="ListNumber">
    <w:name w:val="List Number"/>
    <w:basedOn w:val="Normal"/>
    <w:qFormat/>
    <w:pPr>
      <w:numPr>
        <w:numId w:val="3"/>
      </w:numPr>
      <w:spacing w:after="80"/>
    </w:pPr>
  </w:style>
  <w:style w:type="paragraph" w:styleId="ListNumber2">
    <w:name w:val="List Number 2"/>
    <w:basedOn w:val="Normal"/>
    <w:qFormat/>
    <w:pPr>
      <w:numPr>
        <w:numId w:val="4"/>
      </w:numPr>
      <w:spacing w:after="80"/>
    </w:pPr>
  </w:style>
  <w:style w:type="paragraph" w:customStyle="1" w:styleId="URLEmail">
    <w:name w:val="URL/Email"/>
    <w:basedOn w:val="Normal"/>
    <w:semiHidden/>
    <w:rPr>
      <w:color w:val="4D4D4F"/>
      <w:spacing w:val="4"/>
    </w:rPr>
  </w:style>
  <w:style w:type="paragraph" w:customStyle="1" w:styleId="ACMAExecSummaryHeading">
    <w:name w:val="ACMA_ExecSummaryHeading"/>
    <w:basedOn w:val="Normal"/>
    <w:qFormat/>
    <w:pPr>
      <w:spacing w:after="1440" w:line="550" w:lineRule="exact"/>
    </w:pPr>
    <w:rPr>
      <w:b/>
      <w:color w:val="323232"/>
      <w:spacing w:val="-18"/>
      <w:sz w:val="53"/>
    </w:rPr>
  </w:style>
  <w:style w:type="character" w:styleId="PageNumber0">
    <w:name w:val="page number"/>
    <w:basedOn w:val="DefaultParagraphFont"/>
    <w:semiHidden/>
  </w:style>
  <w:style w:type="paragraph" w:styleId="BalloonText">
    <w:name w:val="Balloon Text"/>
    <w:basedOn w:val="Normal"/>
    <w:link w:val="BalloonTextChar"/>
    <w:semiHidden/>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TOC1">
    <w:name w:val="toc 1"/>
    <w:basedOn w:val="Normal"/>
    <w:next w:val="Normal"/>
    <w:uiPriority w:val="39"/>
    <w:qFormat/>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pPr>
      <w:tabs>
        <w:tab w:val="right" w:pos="7615"/>
      </w:tabs>
      <w:spacing w:line="320" w:lineRule="exact"/>
    </w:pPr>
    <w:rPr>
      <w:noProof/>
      <w:color w:val="808285"/>
      <w:sz w:val="28"/>
    </w:rPr>
  </w:style>
  <w:style w:type="paragraph" w:styleId="TOC3">
    <w:name w:val="toc 3"/>
    <w:basedOn w:val="Normal"/>
    <w:next w:val="Normal"/>
    <w:uiPriority w:val="39"/>
    <w:qFormat/>
    <w:pPr>
      <w:tabs>
        <w:tab w:val="right" w:pos="7661"/>
      </w:tabs>
      <w:spacing w:after="80" w:line="240" w:lineRule="auto"/>
    </w:pPr>
    <w:rPr>
      <w:noProof/>
      <w:szCs w:val="22"/>
    </w:rPr>
  </w:style>
  <w:style w:type="character" w:styleId="Hyperlink">
    <w:name w:val="Hyperlink"/>
    <w:basedOn w:val="DefaultParagraphFont"/>
    <w:uiPriority w:val="99"/>
    <w:qFormat/>
    <w:rPr>
      <w:color w:val="0000FF"/>
      <w:u w:val="single"/>
    </w:rPr>
  </w:style>
  <w:style w:type="character" w:styleId="FootnoteReference">
    <w:name w:val="footnote reference"/>
    <w:aliases w:val="Appel note de bas de p,Appel note de bas de p + 11 pt,Italic,Footnote"/>
    <w:basedOn w:val="DefaultParagraphFont"/>
    <w:rPr>
      <w:rFonts w:ascii="Arial" w:hAnsi="Arial"/>
      <w:vertAlign w:val="superscript"/>
    </w:rPr>
  </w:style>
  <w:style w:type="paragraph" w:styleId="FootnoteText">
    <w:name w:val="footnote text"/>
    <w:basedOn w:val="Normal"/>
    <w:link w:val="FootnoteTextChar"/>
    <w:semiHidden/>
    <w:rPr>
      <w:sz w:val="16"/>
      <w:szCs w:val="16"/>
    </w:rPr>
  </w:style>
  <w:style w:type="paragraph" w:customStyle="1" w:styleId="TableBody">
    <w:name w:val="Table Body"/>
    <w:basedOn w:val="Normal"/>
    <w:qFormat/>
    <w:pPr>
      <w:spacing w:after="0" w:line="240" w:lineRule="auto"/>
    </w:p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pPr>
      <w:spacing w:line="240" w:lineRule="auto"/>
    </w:pPr>
    <w:rPr>
      <w:szCs w:val="20"/>
    </w:rPr>
  </w:style>
  <w:style w:type="character" w:customStyle="1" w:styleId="CommentTextChar">
    <w:name w:val="Comment Text Char"/>
    <w:basedOn w:val="DefaultParagraphFont"/>
    <w:link w:val="CommentText"/>
    <w:semiHidden/>
    <w:rPr>
      <w:rFonts w:ascii="Arial" w:hAnsi="Arial"/>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rPr>
      <w:rFonts w:ascii="Arial" w:hAnsi="Arial"/>
      <w:b/>
      <w:bCs/>
    </w:rPr>
  </w:style>
  <w:style w:type="character" w:styleId="FollowedHyperlink">
    <w:name w:val="FollowedHyperlink"/>
    <w:basedOn w:val="DefaultParagraphFont"/>
    <w:semiHidden/>
    <w:rPr>
      <w:color w:val="800080" w:themeColor="followedHyperlink"/>
      <w:u w:val="single"/>
    </w:rPr>
  </w:style>
  <w:style w:type="character" w:styleId="PlaceholderText">
    <w:name w:val="Placeholder Text"/>
    <w:basedOn w:val="DefaultParagraphFont"/>
    <w:uiPriority w:val="99"/>
    <w:semiHidden/>
    <w:rPr>
      <w:color w:val="808080"/>
    </w:rPr>
  </w:style>
  <w:style w:type="paragraph" w:customStyle="1" w:styleId="ACMAInstructions">
    <w:name w:val="ACMA_Instructions"/>
    <w:basedOn w:val="Normal"/>
    <w:qFormat/>
    <w:pPr>
      <w:spacing w:after="200"/>
    </w:pPr>
    <w:rPr>
      <w:rFonts w:cs="Arial"/>
      <w:b/>
      <w:vanish/>
    </w:rPr>
  </w:style>
  <w:style w:type="paragraph" w:customStyle="1" w:styleId="CorporateAddresses">
    <w:name w:val="Corporate Addresses"/>
    <w:basedOn w:val="Normal"/>
    <w:semiHidden/>
    <w:pPr>
      <w:spacing w:line="140" w:lineRule="exact"/>
    </w:pPr>
    <w:rPr>
      <w:color w:val="4D4D4F"/>
      <w:sz w:val="13"/>
    </w:rPr>
  </w:style>
  <w:style w:type="character" w:styleId="Strong">
    <w:name w:val="Strong"/>
    <w:basedOn w:val="DefaultParagraphFont"/>
    <w:semiHidden/>
    <w:qFormat/>
    <w:rPr>
      <w:b/>
      <w:bCs/>
    </w:rPr>
  </w:style>
  <w:style w:type="paragraph" w:customStyle="1" w:styleId="ACMACorporateAddressHeader">
    <w:name w:val="ACMA_CorporateAddressHeader"/>
    <w:basedOn w:val="Normal"/>
    <w:next w:val="ACMACorporateAddresses"/>
    <w:qFormat/>
    <w:pPr>
      <w:tabs>
        <w:tab w:val="left" w:pos="142"/>
      </w:tabs>
      <w:spacing w:before="240" w:after="0" w:line="140" w:lineRule="exact"/>
    </w:pPr>
    <w:rPr>
      <w:b/>
      <w:sz w:val="13"/>
    </w:rPr>
  </w:style>
  <w:style w:type="paragraph" w:customStyle="1" w:styleId="ACMACorporateAddresses">
    <w:name w:val="ACMA_CorporateAddresses"/>
    <w:basedOn w:val="ACMACorporateAddressHeader"/>
    <w:qFormat/>
    <w:pPr>
      <w:spacing w:before="0" w:after="120"/>
    </w:pPr>
    <w:rPr>
      <w:b w:val="0"/>
    </w:rPr>
  </w:style>
  <w:style w:type="paragraph" w:customStyle="1" w:styleId="ACMACopyrightHeader">
    <w:name w:val="ACMA_CopyrightHeader"/>
    <w:basedOn w:val="ACMACorporateAddressHeader"/>
    <w:qFormat/>
    <w:pPr>
      <w:spacing w:before="3000"/>
    </w:pPr>
  </w:style>
  <w:style w:type="paragraph" w:customStyle="1" w:styleId="ACMACClogo">
    <w:name w:val="ACMA_CClogo"/>
    <w:qFormat/>
    <w:pPr>
      <w:spacing w:before="160" w:after="120"/>
    </w:pPr>
    <w:rPr>
      <w:rFonts w:ascii="Arial" w:hAnsi="Arial"/>
      <w:b/>
      <w:sz w:val="13"/>
    </w:rPr>
  </w:style>
  <w:style w:type="paragraph" w:customStyle="1" w:styleId="ListBulletLast">
    <w:name w:val="List Bullet Last"/>
    <w:basedOn w:val="ListBullet"/>
    <w:qFormat/>
    <w:pPr>
      <w:spacing w:after="240"/>
    </w:pPr>
    <w:rPr>
      <w:rFonts w:cs="Arial"/>
    </w:rPr>
  </w:style>
  <w:style w:type="paragraph" w:customStyle="1" w:styleId="ListNumberLast">
    <w:name w:val="List Number Last"/>
    <w:basedOn w:val="ListNumber"/>
    <w:qFormat/>
    <w:pPr>
      <w:spacing w:after="240"/>
      <w:ind w:left="357" w:hanging="357"/>
    </w:pPr>
    <w:rPr>
      <w:rFonts w:cs="Arial"/>
    </w:rPr>
  </w:style>
  <w:style w:type="paragraph" w:customStyle="1" w:styleId="ACMATableHeader">
    <w:name w:val="ACMA_TableHeader"/>
    <w:qFormat/>
    <w:pPr>
      <w:numPr>
        <w:numId w:val="6"/>
      </w:numPr>
      <w:spacing w:after="160"/>
    </w:pPr>
    <w:rPr>
      <w:rFonts w:ascii="Arial" w:hAnsi="Arial"/>
      <w:b/>
      <w:bCs/>
      <w:color w:val="323232"/>
      <w:sz w:val="22"/>
      <w:szCs w:val="20"/>
    </w:rPr>
  </w:style>
  <w:style w:type="paragraph" w:customStyle="1" w:styleId="ACMANotes">
    <w:name w:val="ACMA_Notes"/>
    <w:qFormat/>
    <w:pPr>
      <w:spacing w:before="80"/>
    </w:pPr>
    <w:rPr>
      <w:rFonts w:ascii="Arial" w:hAnsi="Arial" w:cs="Arial"/>
      <w:i/>
      <w:sz w:val="16"/>
    </w:rPr>
  </w:style>
  <w:style w:type="paragraph" w:customStyle="1" w:styleId="ACMANormalTabbed">
    <w:name w:val="ACMA_NormalTabbed"/>
    <w:basedOn w:val="Normal"/>
    <w:qFormat/>
    <w:pPr>
      <w:tabs>
        <w:tab w:val="left" w:pos="1134"/>
      </w:tabs>
    </w:pPr>
  </w:style>
  <w:style w:type="character" w:styleId="Emphasis">
    <w:name w:val="Emphasis"/>
    <w:basedOn w:val="DefaultParagraphFont"/>
    <w:qFormat/>
    <w:rPr>
      <w:i/>
      <w:iCs/>
    </w:rPr>
  </w:style>
  <w:style w:type="paragraph" w:customStyle="1" w:styleId="ListNumber2Last">
    <w:name w:val="List Number 2 Last"/>
    <w:basedOn w:val="ListNumber2"/>
    <w:qFormat/>
    <w:pPr>
      <w:spacing w:after="240"/>
      <w:ind w:left="907"/>
    </w:pPr>
    <w:rPr>
      <w:rFonts w:cs="Arial"/>
    </w:rPr>
  </w:style>
  <w:style w:type="paragraph" w:customStyle="1" w:styleId="ACMASpaceaftertable">
    <w:name w:val="ACMA_Space after table"/>
    <w:basedOn w:val="Normal"/>
    <w:qFormat/>
    <w:rPr>
      <w:rFonts w:cs="Arial"/>
    </w:rPr>
  </w:style>
  <w:style w:type="paragraph" w:customStyle="1" w:styleId="FooterLeft">
    <w:name w:val="Footer Left"/>
    <w:basedOn w:val="Footer"/>
    <w:qFormat/>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pPr>
      <w:numPr>
        <w:numId w:val="5"/>
      </w:numPr>
      <w:spacing w:after="160"/>
    </w:pPr>
    <w:rPr>
      <w:rFonts w:ascii="Arial" w:hAnsi="Arial"/>
      <w:b/>
      <w:bCs/>
      <w:color w:val="323232"/>
      <w:sz w:val="22"/>
      <w:szCs w:val="20"/>
    </w:rPr>
  </w:style>
  <w:style w:type="paragraph" w:customStyle="1" w:styleId="Captionfigure">
    <w:name w:val="Caption figure"/>
    <w:basedOn w:val="Caption"/>
    <w:qFormat/>
    <w:pPr>
      <w:keepNext/>
      <w:numPr>
        <w:numId w:val="7"/>
      </w:numPr>
    </w:pPr>
    <w:rPr>
      <w:rFonts w:cs="Arial"/>
    </w:rPr>
  </w:style>
  <w:style w:type="paragraph" w:customStyle="1" w:styleId="GridTable31">
    <w:name w:val="Grid Table 31"/>
    <w:basedOn w:val="Normal"/>
    <w:qFormat/>
    <w:pPr>
      <w:spacing w:after="0" w:line="240" w:lineRule="auto"/>
    </w:pPr>
    <w:rPr>
      <w:b/>
      <w:color w:val="4D4D4F"/>
      <w:spacing w:val="-28"/>
      <w:sz w:val="53"/>
    </w:rPr>
  </w:style>
  <w:style w:type="character" w:customStyle="1" w:styleId="HeaderChar">
    <w:name w:val="Header Char"/>
    <w:link w:val="Header"/>
    <w:rPr>
      <w:rFonts w:ascii="Arial" w:hAnsi="Arial"/>
      <w:sz w:val="16"/>
    </w:rPr>
  </w:style>
  <w:style w:type="paragraph" w:customStyle="1" w:styleId="Partheading">
    <w:name w:val="Part heading"/>
    <w:basedOn w:val="Heading1"/>
    <w:qFormat/>
    <w:pPr>
      <w:numPr>
        <w:numId w:val="9"/>
      </w:numPr>
    </w:pPr>
  </w:style>
  <w:style w:type="paragraph" w:customStyle="1" w:styleId="Numberedheading">
    <w:name w:val="Numbered heading"/>
    <w:basedOn w:val="Heading2"/>
    <w:qFormat/>
    <w:pPr>
      <w:numPr>
        <w:numId w:val="9"/>
      </w:numPr>
    </w:pPr>
  </w:style>
  <w:style w:type="paragraph" w:customStyle="1" w:styleId="Heading2noTOC">
    <w:name w:val="Heading 2 no TOC"/>
    <w:qFormat/>
    <w:rPr>
      <w:rFonts w:ascii="Arial" w:hAnsi="Arial" w:cs="Arial"/>
      <w:b/>
      <w:bCs/>
      <w:iCs/>
      <w:sz w:val="28"/>
      <w:szCs w:val="28"/>
    </w:rPr>
  </w:style>
  <w:style w:type="paragraph" w:styleId="ListParagraph">
    <w:name w:val="List Paragraph"/>
    <w:basedOn w:val="Normal"/>
    <w:uiPriority w:val="34"/>
    <w:qFormat/>
    <w:pPr>
      <w:ind w:left="720"/>
      <w:contextualSpacing/>
    </w:pPr>
  </w:style>
  <w:style w:type="character" w:customStyle="1" w:styleId="FootnoteTextChar">
    <w:name w:val="Footnote Text Char"/>
    <w:basedOn w:val="DefaultParagraphFont"/>
    <w:link w:val="FootnoteText"/>
    <w:semiHidden/>
    <w:rPr>
      <w:rFonts w:ascii="Arial" w:hAnsi="Arial"/>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Revision">
    <w:name w:val="Revision"/>
    <w:hidden/>
    <w:semiHidden/>
    <w:rsid w:val="00723E7A"/>
    <w:rPr>
      <w:rFonts w:ascii="Arial" w:hAnsi="Arial"/>
      <w:sz w:val="22"/>
    </w:rPr>
  </w:style>
  <w:style w:type="paragraph" w:customStyle="1" w:styleId="Paragraph">
    <w:name w:val="Paragraph"/>
    <w:basedOn w:val="Normal"/>
    <w:uiPriority w:val="3"/>
    <w:qFormat/>
    <w:rsid w:val="00951F66"/>
    <w:rPr>
      <w:rFonts w:cs="Arial"/>
      <w:sz w:val="20"/>
    </w:rPr>
  </w:style>
  <w:style w:type="character" w:customStyle="1" w:styleId="UnresolvedMention2">
    <w:name w:val="Unresolved Mention2"/>
    <w:basedOn w:val="DefaultParagraphFont"/>
    <w:uiPriority w:val="99"/>
    <w:semiHidden/>
    <w:unhideWhenUsed/>
    <w:rsid w:val="00807844"/>
    <w:rPr>
      <w:color w:val="605E5C"/>
      <w:shd w:val="clear" w:color="auto" w:fill="E1DFDD"/>
    </w:rPr>
  </w:style>
  <w:style w:type="character" w:customStyle="1" w:styleId="UnresolvedMention3">
    <w:name w:val="Unresolved Mention3"/>
    <w:basedOn w:val="DefaultParagraphFont"/>
    <w:uiPriority w:val="99"/>
    <w:semiHidden/>
    <w:unhideWhenUsed/>
    <w:rsid w:val="00A96F86"/>
    <w:rPr>
      <w:color w:val="605E5C"/>
      <w:shd w:val="clear" w:color="auto" w:fill="E1DFDD"/>
    </w:rPr>
  </w:style>
  <w:style w:type="character" w:styleId="UnresolvedMention">
    <w:name w:val="Unresolved Mention"/>
    <w:basedOn w:val="DefaultParagraphFont"/>
    <w:uiPriority w:val="99"/>
    <w:semiHidden/>
    <w:unhideWhenUsed/>
    <w:rsid w:val="005459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44099">
      <w:bodyDiv w:val="1"/>
      <w:marLeft w:val="0"/>
      <w:marRight w:val="0"/>
      <w:marTop w:val="0"/>
      <w:marBottom w:val="0"/>
      <w:divBdr>
        <w:top w:val="none" w:sz="0" w:space="0" w:color="auto"/>
        <w:left w:val="none" w:sz="0" w:space="0" w:color="auto"/>
        <w:bottom w:val="none" w:sz="0" w:space="0" w:color="auto"/>
        <w:right w:val="none" w:sz="0" w:space="0" w:color="auto"/>
      </w:divBdr>
    </w:div>
    <w:div w:id="405299772">
      <w:bodyDiv w:val="1"/>
      <w:marLeft w:val="0"/>
      <w:marRight w:val="0"/>
      <w:marTop w:val="0"/>
      <w:marBottom w:val="0"/>
      <w:divBdr>
        <w:top w:val="none" w:sz="0" w:space="0" w:color="auto"/>
        <w:left w:val="none" w:sz="0" w:space="0" w:color="auto"/>
        <w:bottom w:val="none" w:sz="0" w:space="0" w:color="auto"/>
        <w:right w:val="none" w:sz="0" w:space="0" w:color="auto"/>
      </w:divBdr>
    </w:div>
    <w:div w:id="406339426">
      <w:bodyDiv w:val="1"/>
      <w:marLeft w:val="0"/>
      <w:marRight w:val="0"/>
      <w:marTop w:val="0"/>
      <w:marBottom w:val="0"/>
      <w:divBdr>
        <w:top w:val="none" w:sz="0" w:space="0" w:color="auto"/>
        <w:left w:val="none" w:sz="0" w:space="0" w:color="auto"/>
        <w:bottom w:val="none" w:sz="0" w:space="0" w:color="auto"/>
        <w:right w:val="none" w:sz="0" w:space="0" w:color="auto"/>
      </w:divBdr>
    </w:div>
    <w:div w:id="555170215">
      <w:bodyDiv w:val="1"/>
      <w:marLeft w:val="0"/>
      <w:marRight w:val="0"/>
      <w:marTop w:val="0"/>
      <w:marBottom w:val="0"/>
      <w:divBdr>
        <w:top w:val="none" w:sz="0" w:space="0" w:color="auto"/>
        <w:left w:val="none" w:sz="0" w:space="0" w:color="auto"/>
        <w:bottom w:val="none" w:sz="0" w:space="0" w:color="auto"/>
        <w:right w:val="none" w:sz="0" w:space="0" w:color="auto"/>
      </w:divBdr>
    </w:div>
    <w:div w:id="814683596">
      <w:bodyDiv w:val="1"/>
      <w:marLeft w:val="0"/>
      <w:marRight w:val="0"/>
      <w:marTop w:val="0"/>
      <w:marBottom w:val="0"/>
      <w:divBdr>
        <w:top w:val="none" w:sz="0" w:space="0" w:color="auto"/>
        <w:left w:val="none" w:sz="0" w:space="0" w:color="auto"/>
        <w:bottom w:val="none" w:sz="0" w:space="0" w:color="auto"/>
        <w:right w:val="none" w:sz="0" w:space="0" w:color="auto"/>
      </w:divBdr>
    </w:div>
    <w:div w:id="882669866">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847940425">
      <w:bodyDiv w:val="1"/>
      <w:marLeft w:val="0"/>
      <w:marRight w:val="0"/>
      <w:marTop w:val="0"/>
      <w:marBottom w:val="0"/>
      <w:divBdr>
        <w:top w:val="none" w:sz="0" w:space="0" w:color="auto"/>
        <w:left w:val="none" w:sz="0" w:space="0" w:color="auto"/>
        <w:bottom w:val="none" w:sz="0" w:space="0" w:color="auto"/>
        <w:right w:val="none" w:sz="0" w:space="0" w:color="auto"/>
      </w:divBdr>
    </w:div>
    <w:div w:id="202127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reqplan@acma.gov.au" TargetMode="External"/><Relationship Id="rId18" Type="http://schemas.openxmlformats.org/officeDocument/2006/relationships/hyperlink" Target="https://www.acma.gov.au/node/2974" TargetMode="External"/><Relationship Id="rId26" Type="http://schemas.openxmlformats.org/officeDocument/2006/relationships/hyperlink" Target="mailto:freqplan@acma.gov.au" TargetMode="External"/><Relationship Id="rId3" Type="http://schemas.openxmlformats.org/officeDocument/2006/relationships/styles" Target="styles.xml"/><Relationship Id="rId21" Type="http://schemas.openxmlformats.org/officeDocument/2006/relationships/hyperlink" Target="https://www.acma.gov.au/node/2974" TargetMode="Externa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s://webarchive.nla.gov.au/awa/20221128162030/https:/www.acma.gov.au/consultations/2022-06/proposed-updates-channel-arrangements-72-ghz-band-ifc-192022" TargetMode="External"/><Relationship Id="rId17" Type="http://schemas.openxmlformats.org/officeDocument/2006/relationships/header" Target="header4.xml"/><Relationship Id="rId25" Type="http://schemas.openxmlformats.org/officeDocument/2006/relationships/hyperlink" Target="https://www.itu.int/rec/R-REC-P.452/en"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freqplan@acma.gov.au"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barchive.nla.gov.au/awa/20221128181955/https:/www.acma.gov.au/consultations/2022-07/updates-earth-coordination-requirements-consultation-262022" TargetMode="External"/><Relationship Id="rId24" Type="http://schemas.openxmlformats.org/officeDocument/2006/relationships/hyperlink" Target="https://www.itu.int/pub/R-REG-RR"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acma.gov.au/publications/2019-09/instruction/rali-ms43-new-norcia-earth-station-and-other-services" TargetMode="External"/><Relationship Id="rId28" Type="http://schemas.openxmlformats.org/officeDocument/2006/relationships/hyperlink" Target="http://www.acma.gov.au/theACMA/convert-hcis-area-description-to-a-placemark" TargetMode="External"/><Relationship Id="rId36" Type="http://schemas.openxmlformats.org/officeDocument/2006/relationships/theme" Target="theme/theme1.xml"/><Relationship Id="rId10" Type="http://schemas.openxmlformats.org/officeDocument/2006/relationships/hyperlink" Target="https://webarchive.nla.gov.au/awa/20160615185603/http:/www.acma.gov.au/theACMA/coordination-arrangements-with-esa-new-norcia-earth-station" TargetMode="External"/><Relationship Id="rId19" Type="http://schemas.openxmlformats.org/officeDocument/2006/relationships/hyperlink" Target="https://www.legislation.gov.au/Series/F2020L01452"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https://www.legislation.gov.au/Series/F2020L01452" TargetMode="External"/><Relationship Id="rId27" Type="http://schemas.openxmlformats.org/officeDocument/2006/relationships/hyperlink" Target="https://www.acma.gov.au/publications/2019-09/instruction/rali-ms43-new-norcia-earth-station-and-other-services" TargetMode="External"/><Relationship Id="rId30" Type="http://schemas.openxmlformats.org/officeDocument/2006/relationships/image" Target="media/image3.png"/><Relationship Id="rId35" Type="http://schemas.openxmlformats.org/officeDocument/2006/relationships/fontTable" Target="fontTable.xm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austlii.edu.au/au/other/dfat/nia/2017/30.html" TargetMode="External"/><Relationship Id="rId1" Type="http://schemas.openxmlformats.org/officeDocument/2006/relationships/hyperlink" Target="http://www.austlii.edu.au/au/other/dfat/treaties/ATS/2012/29.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E9FB3-CFCB-4A7E-8B06-50905082D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3785</Words>
  <Characters>20069</Characters>
  <Application>Microsoft Office Word</Application>
  <DocSecurity>0</DocSecurity>
  <Lines>685</Lines>
  <Paragraphs>408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23810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2022-12-13T06:13:00Z</dcterms:created>
  <dcterms:modified xsi:type="dcterms:W3CDTF">2022-12-13T06:14:00Z</dcterms:modified>
  <cp:category/>
</cp:coreProperties>
</file>