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2E34" w14:textId="7F206EF2" w:rsidR="00F06E14" w:rsidRPr="00444D89" w:rsidRDefault="00A41D33" w:rsidP="00A51D1A">
      <w:pPr>
        <w:pStyle w:val="Reporttitle"/>
        <w:rPr>
          <w:i/>
          <w:iCs/>
        </w:rPr>
      </w:pPr>
      <w:r>
        <w:t xml:space="preserve">Proposal to </w:t>
      </w:r>
      <w:r w:rsidR="00B24787">
        <w:t>vary</w:t>
      </w:r>
      <w:r>
        <w:t xml:space="preserve"> the </w:t>
      </w:r>
      <w:r w:rsidR="00444D89" w:rsidRPr="00FA57DF">
        <w:t xml:space="preserve">Telecommunications </w:t>
      </w:r>
      <w:r w:rsidRPr="00FA57DF">
        <w:t>Numbering Plan</w:t>
      </w:r>
      <w:r w:rsidR="00444D89" w:rsidRPr="00FA57DF">
        <w:t xml:space="preserve"> 2015</w:t>
      </w:r>
    </w:p>
    <w:p w14:paraId="5D9B63CB" w14:textId="14A61A06" w:rsidR="00F06E14" w:rsidRPr="00E162C4" w:rsidRDefault="00770B3F" w:rsidP="00F06E14">
      <w:pPr>
        <w:pStyle w:val="Reportsubtitle"/>
      </w:pPr>
      <w:r w:rsidRPr="00E162C4">
        <w:t xml:space="preserve">Consultation </w:t>
      </w:r>
      <w:r w:rsidR="00A41D33">
        <w:t>paper</w:t>
      </w:r>
    </w:p>
    <w:p w14:paraId="2D5059F5" w14:textId="411788EE" w:rsidR="00C97736" w:rsidRPr="00E162C4" w:rsidRDefault="00722547"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october</w:t>
      </w:r>
      <w:r w:rsidRPr="00E162C4">
        <w:t xml:space="preserve"> </w:t>
      </w:r>
      <w:r w:rsidR="00BD4421" w:rsidRPr="00E162C4">
        <w:t>20</w:t>
      </w:r>
      <w:r w:rsidR="008E0428" w:rsidRPr="00E162C4">
        <w:t>2</w:t>
      </w:r>
      <w:r w:rsidR="00E162C4">
        <w:t>2</w:t>
      </w:r>
    </w:p>
    <w:p w14:paraId="7E97E577" w14:textId="77777777" w:rsidR="0005011A" w:rsidRPr="00E162C4" w:rsidRDefault="0005011A" w:rsidP="00FC07B9">
      <w:pPr>
        <w:pStyle w:val="ACMACorporateAddressHeader"/>
      </w:pPr>
      <w:r w:rsidRPr="00E162C4">
        <w:lastRenderedPageBreak/>
        <w:t>Canberra</w:t>
      </w:r>
    </w:p>
    <w:p w14:paraId="244B01CA"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6C906A16" w14:textId="77777777" w:rsidR="0005011A" w:rsidRPr="00E162C4" w:rsidRDefault="0005011A" w:rsidP="00FC07B9">
      <w:pPr>
        <w:pStyle w:val="ACMACorporateAddresses"/>
      </w:pPr>
      <w:r w:rsidRPr="00E162C4">
        <w:t>PO Box 78</w:t>
      </w:r>
      <w:r w:rsidRPr="00E162C4">
        <w:br/>
        <w:t>Belconnen ACT 2616</w:t>
      </w:r>
    </w:p>
    <w:p w14:paraId="7B42C7AC"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4BF31116" w14:textId="77777777" w:rsidR="0005011A" w:rsidRPr="00E162C4" w:rsidRDefault="0005011A" w:rsidP="00FC07B9">
      <w:pPr>
        <w:pStyle w:val="ACMACorporateAddressHeader"/>
      </w:pPr>
      <w:r w:rsidRPr="00E162C4">
        <w:t>Melbourne</w:t>
      </w:r>
    </w:p>
    <w:p w14:paraId="46E35FB8"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1BDBF0CF"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5FB1FC4E"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4A2924A3" w14:textId="77777777" w:rsidR="0005011A" w:rsidRPr="00E162C4" w:rsidRDefault="0005011A" w:rsidP="00FC07B9">
      <w:pPr>
        <w:pStyle w:val="ACMACorporateAddressHeader"/>
      </w:pPr>
      <w:r w:rsidRPr="00E162C4">
        <w:t>Sydney</w:t>
      </w:r>
    </w:p>
    <w:p w14:paraId="276F5510"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751F041A"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41ED499D"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472DE2BA" w14:textId="77777777" w:rsidR="00140318" w:rsidRPr="00E162C4" w:rsidRDefault="00140318" w:rsidP="00FC07B9">
      <w:pPr>
        <w:pStyle w:val="ACMACopyrightHeader"/>
      </w:pPr>
      <w:r w:rsidRPr="00E162C4">
        <w:t>Copyright notice</w:t>
      </w:r>
    </w:p>
    <w:p w14:paraId="465FD97A" w14:textId="77777777" w:rsidR="00140318" w:rsidRPr="00E162C4" w:rsidRDefault="00623FF9" w:rsidP="00623FF9">
      <w:pPr>
        <w:pStyle w:val="ACMACClogo"/>
      </w:pPr>
      <w:r w:rsidRPr="00E162C4">
        <w:rPr>
          <w:noProof/>
        </w:rPr>
        <w:drawing>
          <wp:inline distT="0" distB="0" distL="0" distR="0" wp14:anchorId="65715A96" wp14:editId="48AD14B8">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6270A57" w14:textId="77777777" w:rsidR="00AA2DE5" w:rsidRPr="00E162C4" w:rsidRDefault="00D449BE" w:rsidP="00AA2DE5">
      <w:pPr>
        <w:pStyle w:val="ACMACorporateAddresses"/>
        <w:rPr>
          <w:rStyle w:val="Hyperlink"/>
        </w:rPr>
      </w:pPr>
      <w:hyperlink r:id="rId13" w:history="1">
        <w:r w:rsidR="00AA2DE5" w:rsidRPr="00E162C4">
          <w:rPr>
            <w:rStyle w:val="Hyperlink"/>
          </w:rPr>
          <w:t>https://creativecommons.org/licenses/by/4.0/</w:t>
        </w:r>
      </w:hyperlink>
    </w:p>
    <w:p w14:paraId="02C49077"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49E6C513"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E162C4">
        <w:t>2</w:t>
      </w:r>
      <w:r w:rsidRPr="00E162C4">
        <w:t>.</w:t>
      </w:r>
    </w:p>
    <w:p w14:paraId="35234B50" w14:textId="77777777" w:rsidR="00AA2DE5" w:rsidRPr="00E162C4" w:rsidRDefault="00AA2DE5" w:rsidP="00AA2DE5">
      <w:pPr>
        <w:pStyle w:val="ACMACorporateAddresses"/>
      </w:pPr>
      <w:r w:rsidRPr="00E162C4">
        <w:t>All other rights are reserved.</w:t>
      </w:r>
    </w:p>
    <w:p w14:paraId="260D0BA3"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D84424E" w14:textId="77777777" w:rsidR="00AA2DE5" w:rsidRPr="00E162C4" w:rsidRDefault="00AA2DE5" w:rsidP="00AA2DE5">
      <w:pPr>
        <w:pStyle w:val="ACMACorporateAddresses"/>
      </w:pPr>
      <w:r w:rsidRPr="00E162C4">
        <w:t>Written enquiries may be sent to:</w:t>
      </w:r>
    </w:p>
    <w:p w14:paraId="35F09F3A"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6B193555" w14:textId="77777777" w:rsidR="00D16FE3" w:rsidRPr="00E162C4" w:rsidRDefault="00D16FE3" w:rsidP="00D16FE3">
      <w:pPr>
        <w:pStyle w:val="ACMACorporateAddresses"/>
        <w:rPr>
          <w:rStyle w:val="Hyperlink"/>
        </w:rPr>
      </w:pPr>
    </w:p>
    <w:p w14:paraId="411FDFBC"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5F40345" w14:textId="767E7F4A" w:rsidR="00A25A5A"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15779209" w:history="1">
        <w:r w:rsidR="00A25A5A" w:rsidRPr="000B56F4">
          <w:rPr>
            <w:rStyle w:val="Hyperlink"/>
          </w:rPr>
          <w:t>Executive summary</w:t>
        </w:r>
        <w:r w:rsidR="00A25A5A">
          <w:rPr>
            <w:webHidden/>
          </w:rPr>
          <w:tab/>
        </w:r>
        <w:r w:rsidR="00A25A5A">
          <w:rPr>
            <w:webHidden/>
          </w:rPr>
          <w:fldChar w:fldCharType="begin"/>
        </w:r>
        <w:r w:rsidR="00A25A5A">
          <w:rPr>
            <w:webHidden/>
          </w:rPr>
          <w:instrText xml:space="preserve"> PAGEREF _Toc115779209 \h </w:instrText>
        </w:r>
        <w:r w:rsidR="00A25A5A">
          <w:rPr>
            <w:webHidden/>
          </w:rPr>
        </w:r>
        <w:r w:rsidR="00A25A5A">
          <w:rPr>
            <w:webHidden/>
          </w:rPr>
          <w:fldChar w:fldCharType="separate"/>
        </w:r>
        <w:r w:rsidR="00A25A5A">
          <w:rPr>
            <w:webHidden/>
          </w:rPr>
          <w:t>1</w:t>
        </w:r>
        <w:r w:rsidR="00A25A5A">
          <w:rPr>
            <w:webHidden/>
          </w:rPr>
          <w:fldChar w:fldCharType="end"/>
        </w:r>
      </w:hyperlink>
    </w:p>
    <w:p w14:paraId="4D2E1EFE" w14:textId="66DB8699" w:rsidR="00A25A5A" w:rsidRDefault="00A25A5A">
      <w:pPr>
        <w:pStyle w:val="TOC1"/>
        <w:rPr>
          <w:rFonts w:asciiTheme="minorHAnsi" w:eastAsiaTheme="minorEastAsia" w:hAnsiTheme="minorHAnsi" w:cstheme="minorBidi"/>
          <w:b w:val="0"/>
          <w:spacing w:val="0"/>
          <w:sz w:val="22"/>
          <w:szCs w:val="22"/>
        </w:rPr>
      </w:pPr>
      <w:hyperlink w:anchor="_Toc115779210" w:history="1">
        <w:r w:rsidRPr="000B56F4">
          <w:rPr>
            <w:rStyle w:val="Hyperlink"/>
          </w:rPr>
          <w:t>Issues for comment</w:t>
        </w:r>
        <w:r>
          <w:rPr>
            <w:webHidden/>
          </w:rPr>
          <w:tab/>
        </w:r>
        <w:r>
          <w:rPr>
            <w:webHidden/>
          </w:rPr>
          <w:fldChar w:fldCharType="begin"/>
        </w:r>
        <w:r>
          <w:rPr>
            <w:webHidden/>
          </w:rPr>
          <w:instrText xml:space="preserve"> PAGEREF _Toc115779210 \h </w:instrText>
        </w:r>
        <w:r>
          <w:rPr>
            <w:webHidden/>
          </w:rPr>
        </w:r>
        <w:r>
          <w:rPr>
            <w:webHidden/>
          </w:rPr>
          <w:fldChar w:fldCharType="separate"/>
        </w:r>
        <w:r>
          <w:rPr>
            <w:webHidden/>
          </w:rPr>
          <w:t>2</w:t>
        </w:r>
        <w:r>
          <w:rPr>
            <w:webHidden/>
          </w:rPr>
          <w:fldChar w:fldCharType="end"/>
        </w:r>
      </w:hyperlink>
    </w:p>
    <w:p w14:paraId="7D67E790" w14:textId="2081DDAF" w:rsidR="00A25A5A" w:rsidRDefault="00A25A5A">
      <w:pPr>
        <w:pStyle w:val="TOC1"/>
        <w:rPr>
          <w:rFonts w:asciiTheme="minorHAnsi" w:eastAsiaTheme="minorEastAsia" w:hAnsiTheme="minorHAnsi" w:cstheme="minorBidi"/>
          <w:b w:val="0"/>
          <w:spacing w:val="0"/>
          <w:sz w:val="22"/>
          <w:szCs w:val="22"/>
        </w:rPr>
      </w:pPr>
      <w:hyperlink w:anchor="_Toc115779211" w:history="1">
        <w:r w:rsidRPr="000B56F4">
          <w:rPr>
            <w:rStyle w:val="Hyperlink"/>
          </w:rPr>
          <w:t>Background</w:t>
        </w:r>
        <w:r>
          <w:rPr>
            <w:webHidden/>
          </w:rPr>
          <w:tab/>
        </w:r>
        <w:r>
          <w:rPr>
            <w:webHidden/>
          </w:rPr>
          <w:fldChar w:fldCharType="begin"/>
        </w:r>
        <w:r>
          <w:rPr>
            <w:webHidden/>
          </w:rPr>
          <w:instrText xml:space="preserve"> PAGEREF _Toc115779211 \h </w:instrText>
        </w:r>
        <w:r>
          <w:rPr>
            <w:webHidden/>
          </w:rPr>
        </w:r>
        <w:r>
          <w:rPr>
            <w:webHidden/>
          </w:rPr>
          <w:fldChar w:fldCharType="separate"/>
        </w:r>
        <w:r>
          <w:rPr>
            <w:webHidden/>
          </w:rPr>
          <w:t>4</w:t>
        </w:r>
        <w:r>
          <w:rPr>
            <w:webHidden/>
          </w:rPr>
          <w:fldChar w:fldCharType="end"/>
        </w:r>
      </w:hyperlink>
    </w:p>
    <w:p w14:paraId="162B71BB" w14:textId="28E6B687" w:rsidR="00A25A5A" w:rsidRDefault="00A25A5A">
      <w:pPr>
        <w:pStyle w:val="TOC2"/>
        <w:rPr>
          <w:rFonts w:asciiTheme="minorHAnsi" w:eastAsiaTheme="minorEastAsia" w:hAnsiTheme="minorHAnsi" w:cstheme="minorBidi"/>
          <w:spacing w:val="0"/>
          <w:sz w:val="22"/>
          <w:szCs w:val="22"/>
        </w:rPr>
      </w:pPr>
      <w:hyperlink w:anchor="_Toc115779212" w:history="1">
        <w:r w:rsidRPr="000B56F4">
          <w:rPr>
            <w:rStyle w:val="Hyperlink"/>
          </w:rPr>
          <w:t>Regulatory framework</w:t>
        </w:r>
        <w:r>
          <w:rPr>
            <w:webHidden/>
          </w:rPr>
          <w:tab/>
        </w:r>
        <w:r>
          <w:rPr>
            <w:webHidden/>
          </w:rPr>
          <w:fldChar w:fldCharType="begin"/>
        </w:r>
        <w:r>
          <w:rPr>
            <w:webHidden/>
          </w:rPr>
          <w:instrText xml:space="preserve"> PAGEREF _Toc115779212 \h </w:instrText>
        </w:r>
        <w:r>
          <w:rPr>
            <w:webHidden/>
          </w:rPr>
        </w:r>
        <w:r>
          <w:rPr>
            <w:webHidden/>
          </w:rPr>
          <w:fldChar w:fldCharType="separate"/>
        </w:r>
        <w:r>
          <w:rPr>
            <w:webHidden/>
          </w:rPr>
          <w:t>4</w:t>
        </w:r>
        <w:r>
          <w:rPr>
            <w:webHidden/>
          </w:rPr>
          <w:fldChar w:fldCharType="end"/>
        </w:r>
      </w:hyperlink>
    </w:p>
    <w:p w14:paraId="1BB6D480" w14:textId="14603BE1" w:rsidR="00A25A5A" w:rsidRDefault="00A25A5A">
      <w:pPr>
        <w:pStyle w:val="TOC1"/>
        <w:rPr>
          <w:rFonts w:asciiTheme="minorHAnsi" w:eastAsiaTheme="minorEastAsia" w:hAnsiTheme="minorHAnsi" w:cstheme="minorBidi"/>
          <w:b w:val="0"/>
          <w:spacing w:val="0"/>
          <w:sz w:val="22"/>
          <w:szCs w:val="22"/>
        </w:rPr>
      </w:pPr>
      <w:hyperlink w:anchor="_Toc115779213" w:history="1">
        <w:r w:rsidRPr="000B56F4">
          <w:rPr>
            <w:rStyle w:val="Hyperlink"/>
          </w:rPr>
          <w:t>Proposed amendments</w:t>
        </w:r>
        <w:r>
          <w:rPr>
            <w:webHidden/>
          </w:rPr>
          <w:tab/>
        </w:r>
        <w:r>
          <w:rPr>
            <w:webHidden/>
          </w:rPr>
          <w:fldChar w:fldCharType="begin"/>
        </w:r>
        <w:r>
          <w:rPr>
            <w:webHidden/>
          </w:rPr>
          <w:instrText xml:space="preserve"> PAGEREF _Toc115779213 \h </w:instrText>
        </w:r>
        <w:r>
          <w:rPr>
            <w:webHidden/>
          </w:rPr>
        </w:r>
        <w:r>
          <w:rPr>
            <w:webHidden/>
          </w:rPr>
          <w:fldChar w:fldCharType="separate"/>
        </w:r>
        <w:r>
          <w:rPr>
            <w:webHidden/>
          </w:rPr>
          <w:t>5</w:t>
        </w:r>
        <w:r>
          <w:rPr>
            <w:webHidden/>
          </w:rPr>
          <w:fldChar w:fldCharType="end"/>
        </w:r>
      </w:hyperlink>
    </w:p>
    <w:p w14:paraId="5002E381" w14:textId="668F6AC0" w:rsidR="00A25A5A" w:rsidRDefault="00A25A5A">
      <w:pPr>
        <w:pStyle w:val="TOC2"/>
        <w:rPr>
          <w:rFonts w:asciiTheme="minorHAnsi" w:eastAsiaTheme="minorEastAsia" w:hAnsiTheme="minorHAnsi" w:cstheme="minorBidi"/>
          <w:spacing w:val="0"/>
          <w:sz w:val="22"/>
          <w:szCs w:val="22"/>
        </w:rPr>
      </w:pPr>
      <w:hyperlink w:anchor="_Toc115779214" w:history="1">
        <w:r w:rsidRPr="000B56F4">
          <w:rPr>
            <w:rStyle w:val="Hyperlink"/>
          </w:rPr>
          <w:t>1. Supporting scam disruption initiatives</w:t>
        </w:r>
        <w:r>
          <w:rPr>
            <w:webHidden/>
          </w:rPr>
          <w:tab/>
        </w:r>
        <w:r>
          <w:rPr>
            <w:webHidden/>
          </w:rPr>
          <w:fldChar w:fldCharType="begin"/>
        </w:r>
        <w:r>
          <w:rPr>
            <w:webHidden/>
          </w:rPr>
          <w:instrText xml:space="preserve"> PAGEREF _Toc115779214 \h </w:instrText>
        </w:r>
        <w:r>
          <w:rPr>
            <w:webHidden/>
          </w:rPr>
        </w:r>
        <w:r>
          <w:rPr>
            <w:webHidden/>
          </w:rPr>
          <w:fldChar w:fldCharType="separate"/>
        </w:r>
        <w:r>
          <w:rPr>
            <w:webHidden/>
          </w:rPr>
          <w:t>5</w:t>
        </w:r>
        <w:r>
          <w:rPr>
            <w:webHidden/>
          </w:rPr>
          <w:fldChar w:fldCharType="end"/>
        </w:r>
      </w:hyperlink>
    </w:p>
    <w:p w14:paraId="19DE9DC3" w14:textId="4CA422BC" w:rsidR="00A25A5A" w:rsidRDefault="00A25A5A">
      <w:pPr>
        <w:pStyle w:val="TOC2"/>
        <w:rPr>
          <w:rFonts w:asciiTheme="minorHAnsi" w:eastAsiaTheme="minorEastAsia" w:hAnsiTheme="minorHAnsi" w:cstheme="minorBidi"/>
          <w:spacing w:val="0"/>
          <w:sz w:val="22"/>
          <w:szCs w:val="22"/>
        </w:rPr>
      </w:pPr>
      <w:hyperlink w:anchor="_Toc115779215" w:history="1">
        <w:r w:rsidRPr="000B56F4">
          <w:rPr>
            <w:rStyle w:val="Hyperlink"/>
          </w:rPr>
          <w:t>2. Efficient allocation of numbers</w:t>
        </w:r>
        <w:r>
          <w:rPr>
            <w:webHidden/>
          </w:rPr>
          <w:tab/>
        </w:r>
        <w:r>
          <w:rPr>
            <w:webHidden/>
          </w:rPr>
          <w:fldChar w:fldCharType="begin"/>
        </w:r>
        <w:r>
          <w:rPr>
            <w:webHidden/>
          </w:rPr>
          <w:instrText xml:space="preserve"> PAGEREF _Toc115779215 \h </w:instrText>
        </w:r>
        <w:r>
          <w:rPr>
            <w:webHidden/>
          </w:rPr>
        </w:r>
        <w:r>
          <w:rPr>
            <w:webHidden/>
          </w:rPr>
          <w:fldChar w:fldCharType="separate"/>
        </w:r>
        <w:r>
          <w:rPr>
            <w:webHidden/>
          </w:rPr>
          <w:t>8</w:t>
        </w:r>
        <w:r>
          <w:rPr>
            <w:webHidden/>
          </w:rPr>
          <w:fldChar w:fldCharType="end"/>
        </w:r>
      </w:hyperlink>
    </w:p>
    <w:p w14:paraId="0C5709C6" w14:textId="10B85680" w:rsidR="00A25A5A" w:rsidRDefault="00A25A5A">
      <w:pPr>
        <w:pStyle w:val="TOC2"/>
        <w:rPr>
          <w:rFonts w:asciiTheme="minorHAnsi" w:eastAsiaTheme="minorEastAsia" w:hAnsiTheme="minorHAnsi" w:cstheme="minorBidi"/>
          <w:spacing w:val="0"/>
          <w:sz w:val="22"/>
          <w:szCs w:val="22"/>
        </w:rPr>
      </w:pPr>
      <w:hyperlink w:anchor="_Toc115779216" w:history="1">
        <w:r w:rsidRPr="000B56F4">
          <w:rPr>
            <w:rStyle w:val="Hyperlink"/>
          </w:rPr>
          <w:t>3. Availability of geographic numbers</w:t>
        </w:r>
        <w:r>
          <w:rPr>
            <w:webHidden/>
          </w:rPr>
          <w:tab/>
        </w:r>
        <w:r>
          <w:rPr>
            <w:webHidden/>
          </w:rPr>
          <w:fldChar w:fldCharType="begin"/>
        </w:r>
        <w:r>
          <w:rPr>
            <w:webHidden/>
          </w:rPr>
          <w:instrText xml:space="preserve"> PAGEREF _Toc115779216 \h </w:instrText>
        </w:r>
        <w:r>
          <w:rPr>
            <w:webHidden/>
          </w:rPr>
        </w:r>
        <w:r>
          <w:rPr>
            <w:webHidden/>
          </w:rPr>
          <w:fldChar w:fldCharType="separate"/>
        </w:r>
        <w:r>
          <w:rPr>
            <w:webHidden/>
          </w:rPr>
          <w:t>10</w:t>
        </w:r>
        <w:r>
          <w:rPr>
            <w:webHidden/>
          </w:rPr>
          <w:fldChar w:fldCharType="end"/>
        </w:r>
      </w:hyperlink>
    </w:p>
    <w:p w14:paraId="021EB2CC" w14:textId="40FF4199" w:rsidR="00A25A5A" w:rsidRDefault="00A25A5A">
      <w:pPr>
        <w:pStyle w:val="TOC2"/>
        <w:rPr>
          <w:rFonts w:asciiTheme="minorHAnsi" w:eastAsiaTheme="minorEastAsia" w:hAnsiTheme="minorHAnsi" w:cstheme="minorBidi"/>
          <w:spacing w:val="0"/>
          <w:sz w:val="22"/>
          <w:szCs w:val="22"/>
        </w:rPr>
      </w:pPr>
      <w:hyperlink w:anchor="_Toc115779217" w:history="1">
        <w:r w:rsidRPr="000B56F4">
          <w:rPr>
            <w:rStyle w:val="Hyperlink"/>
          </w:rPr>
          <w:t>4. Other amendments</w:t>
        </w:r>
        <w:r>
          <w:rPr>
            <w:webHidden/>
          </w:rPr>
          <w:tab/>
        </w:r>
        <w:r>
          <w:rPr>
            <w:webHidden/>
          </w:rPr>
          <w:fldChar w:fldCharType="begin"/>
        </w:r>
        <w:r>
          <w:rPr>
            <w:webHidden/>
          </w:rPr>
          <w:instrText xml:space="preserve"> PAGEREF _Toc115779217 \h </w:instrText>
        </w:r>
        <w:r>
          <w:rPr>
            <w:webHidden/>
          </w:rPr>
        </w:r>
        <w:r>
          <w:rPr>
            <w:webHidden/>
          </w:rPr>
          <w:fldChar w:fldCharType="separate"/>
        </w:r>
        <w:r>
          <w:rPr>
            <w:webHidden/>
          </w:rPr>
          <w:t>12</w:t>
        </w:r>
        <w:r>
          <w:rPr>
            <w:webHidden/>
          </w:rPr>
          <w:fldChar w:fldCharType="end"/>
        </w:r>
      </w:hyperlink>
    </w:p>
    <w:p w14:paraId="6EBDE29F" w14:textId="1F0F20D5" w:rsidR="00A25A5A" w:rsidRDefault="00A25A5A">
      <w:pPr>
        <w:pStyle w:val="TOC1"/>
        <w:rPr>
          <w:rFonts w:asciiTheme="minorHAnsi" w:eastAsiaTheme="minorEastAsia" w:hAnsiTheme="minorHAnsi" w:cstheme="minorBidi"/>
          <w:b w:val="0"/>
          <w:spacing w:val="0"/>
          <w:sz w:val="22"/>
          <w:szCs w:val="22"/>
        </w:rPr>
      </w:pPr>
      <w:hyperlink w:anchor="_Toc115779218" w:history="1">
        <w:r w:rsidRPr="000B56F4">
          <w:rPr>
            <w:rStyle w:val="Hyperlink"/>
          </w:rPr>
          <w:t>Invitation to comment</w:t>
        </w:r>
        <w:r>
          <w:rPr>
            <w:webHidden/>
          </w:rPr>
          <w:tab/>
        </w:r>
        <w:r>
          <w:rPr>
            <w:webHidden/>
          </w:rPr>
          <w:fldChar w:fldCharType="begin"/>
        </w:r>
        <w:r>
          <w:rPr>
            <w:webHidden/>
          </w:rPr>
          <w:instrText xml:space="preserve"> PAGEREF _Toc115779218 \h </w:instrText>
        </w:r>
        <w:r>
          <w:rPr>
            <w:webHidden/>
          </w:rPr>
        </w:r>
        <w:r>
          <w:rPr>
            <w:webHidden/>
          </w:rPr>
          <w:fldChar w:fldCharType="separate"/>
        </w:r>
        <w:r>
          <w:rPr>
            <w:webHidden/>
          </w:rPr>
          <w:t>14</w:t>
        </w:r>
        <w:r>
          <w:rPr>
            <w:webHidden/>
          </w:rPr>
          <w:fldChar w:fldCharType="end"/>
        </w:r>
      </w:hyperlink>
    </w:p>
    <w:p w14:paraId="05ABD58B" w14:textId="7355262E" w:rsidR="00A25A5A" w:rsidRDefault="00A25A5A">
      <w:pPr>
        <w:pStyle w:val="TOC2"/>
        <w:rPr>
          <w:rFonts w:asciiTheme="minorHAnsi" w:eastAsiaTheme="minorEastAsia" w:hAnsiTheme="minorHAnsi" w:cstheme="minorBidi"/>
          <w:spacing w:val="0"/>
          <w:sz w:val="22"/>
          <w:szCs w:val="22"/>
        </w:rPr>
      </w:pPr>
      <w:hyperlink w:anchor="_Toc115779219" w:history="1">
        <w:r w:rsidRPr="000B56F4">
          <w:rPr>
            <w:rStyle w:val="Hyperlink"/>
          </w:rPr>
          <w:t>Making a submission</w:t>
        </w:r>
        <w:r>
          <w:rPr>
            <w:webHidden/>
          </w:rPr>
          <w:tab/>
        </w:r>
        <w:r>
          <w:rPr>
            <w:webHidden/>
          </w:rPr>
          <w:fldChar w:fldCharType="begin"/>
        </w:r>
        <w:r>
          <w:rPr>
            <w:webHidden/>
          </w:rPr>
          <w:instrText xml:space="preserve"> PAGEREF _Toc115779219 \h </w:instrText>
        </w:r>
        <w:r>
          <w:rPr>
            <w:webHidden/>
          </w:rPr>
        </w:r>
        <w:r>
          <w:rPr>
            <w:webHidden/>
          </w:rPr>
          <w:fldChar w:fldCharType="separate"/>
        </w:r>
        <w:r>
          <w:rPr>
            <w:webHidden/>
          </w:rPr>
          <w:t>14</w:t>
        </w:r>
        <w:r>
          <w:rPr>
            <w:webHidden/>
          </w:rPr>
          <w:fldChar w:fldCharType="end"/>
        </w:r>
      </w:hyperlink>
    </w:p>
    <w:p w14:paraId="7294BB14" w14:textId="2C2BEF91"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4ED9E7B9" w14:textId="77777777" w:rsidR="009D6C71" w:rsidRPr="00444D89" w:rsidRDefault="009D6C71" w:rsidP="00E76C04">
      <w:pPr>
        <w:pStyle w:val="Execsummaryheading"/>
      </w:pPr>
      <w:bookmarkStart w:id="0" w:name="_Toc113535570"/>
      <w:bookmarkStart w:id="1" w:name="_Toc115779209"/>
      <w:r w:rsidRPr="00444D89">
        <w:lastRenderedPageBreak/>
        <w:t>Executive summary</w:t>
      </w:r>
      <w:bookmarkEnd w:id="0"/>
      <w:bookmarkEnd w:id="1"/>
    </w:p>
    <w:p w14:paraId="6E4BCACB" w14:textId="7AD7A36F" w:rsidR="00444D89" w:rsidRDefault="00147819" w:rsidP="00E30146">
      <w:pPr>
        <w:pStyle w:val="Paragraphbeforelist"/>
        <w:rPr>
          <w:iCs/>
          <w:szCs w:val="20"/>
        </w:rPr>
      </w:pPr>
      <w:bookmarkStart w:id="2" w:name="_Toc433122125"/>
      <w:r w:rsidRPr="00277E65">
        <w:t xml:space="preserve">The Australian Communications and Media Authority is </w:t>
      </w:r>
      <w:r w:rsidR="00444D89">
        <w:t>proposing</w:t>
      </w:r>
      <w:r w:rsidR="00444D89" w:rsidRPr="00277E65">
        <w:t xml:space="preserve"> to </w:t>
      </w:r>
      <w:r w:rsidR="00444D89">
        <w:t xml:space="preserve">make </w:t>
      </w:r>
      <w:r w:rsidR="00463FCA">
        <w:t xml:space="preserve">a limited number of </w:t>
      </w:r>
      <w:r w:rsidR="00444D89">
        <w:t>targeted amend</w:t>
      </w:r>
      <w:r w:rsidR="007C7F35">
        <w:t>ment</w:t>
      </w:r>
      <w:r w:rsidR="00B24787">
        <w:t>s to</w:t>
      </w:r>
      <w:r w:rsidR="00444D89" w:rsidRPr="00277E65">
        <w:t xml:space="preserve"> the </w:t>
      </w:r>
      <w:r w:rsidR="00444D89" w:rsidRPr="00FA57DF">
        <w:rPr>
          <w:iCs/>
        </w:rPr>
        <w:t>Telecommunications Numbering Plan 2015</w:t>
      </w:r>
      <w:r w:rsidR="007B5D9E">
        <w:rPr>
          <w:iCs/>
        </w:rPr>
        <w:t xml:space="preserve"> (the </w:t>
      </w:r>
      <w:r w:rsidR="00097FC6">
        <w:rPr>
          <w:iCs/>
        </w:rPr>
        <w:t>n</w:t>
      </w:r>
      <w:r w:rsidR="007B5D9E">
        <w:rPr>
          <w:iCs/>
        </w:rPr>
        <w:t xml:space="preserve">umbering </w:t>
      </w:r>
      <w:r w:rsidR="00097FC6">
        <w:rPr>
          <w:iCs/>
        </w:rPr>
        <w:t>p</w:t>
      </w:r>
      <w:r w:rsidR="007B5D9E">
        <w:rPr>
          <w:iCs/>
        </w:rPr>
        <w:t>lan)</w:t>
      </w:r>
      <w:r w:rsidR="00D03841">
        <w:t xml:space="preserve"> </w:t>
      </w:r>
      <w:r w:rsidR="00444D89">
        <w:t xml:space="preserve">to </w:t>
      </w:r>
      <w:r w:rsidR="00444D89" w:rsidRPr="006529C9">
        <w:rPr>
          <w:iCs/>
          <w:szCs w:val="20"/>
        </w:rPr>
        <w:t>benefit consumers and industry</w:t>
      </w:r>
      <w:r w:rsidR="00444D89">
        <w:rPr>
          <w:iCs/>
          <w:szCs w:val="20"/>
        </w:rPr>
        <w:t xml:space="preserve">. </w:t>
      </w:r>
      <w:r w:rsidR="007B5D9E">
        <w:rPr>
          <w:iCs/>
          <w:szCs w:val="20"/>
        </w:rPr>
        <w:t>These</w:t>
      </w:r>
      <w:r w:rsidR="00444D89" w:rsidRPr="006529C9">
        <w:rPr>
          <w:iCs/>
          <w:szCs w:val="20"/>
        </w:rPr>
        <w:t xml:space="preserve"> amendments are </w:t>
      </w:r>
      <w:r w:rsidR="00444D89" w:rsidRPr="00E30146">
        <w:t>intended</w:t>
      </w:r>
      <w:r w:rsidR="00444D89" w:rsidRPr="006529C9">
        <w:rPr>
          <w:iCs/>
          <w:szCs w:val="20"/>
        </w:rPr>
        <w:t xml:space="preserve"> to</w:t>
      </w:r>
      <w:r w:rsidR="007B5D9E">
        <w:rPr>
          <w:iCs/>
          <w:szCs w:val="20"/>
        </w:rPr>
        <w:t xml:space="preserve"> enhance the </w:t>
      </w:r>
      <w:r w:rsidR="00FD59CE">
        <w:rPr>
          <w:iCs/>
          <w:szCs w:val="20"/>
        </w:rPr>
        <w:t xml:space="preserve">numbering </w:t>
      </w:r>
      <w:r w:rsidR="00463FCA">
        <w:rPr>
          <w:iCs/>
          <w:szCs w:val="20"/>
        </w:rPr>
        <w:t xml:space="preserve">plan’s </w:t>
      </w:r>
      <w:r w:rsidR="007B5D9E">
        <w:rPr>
          <w:iCs/>
          <w:szCs w:val="20"/>
        </w:rPr>
        <w:t>efficiency and effectiveness by</w:t>
      </w:r>
      <w:r w:rsidR="00444D89">
        <w:rPr>
          <w:iCs/>
          <w:szCs w:val="20"/>
        </w:rPr>
        <w:t>:</w:t>
      </w:r>
      <w:r w:rsidR="00444D89" w:rsidRPr="006529C9">
        <w:rPr>
          <w:iCs/>
          <w:szCs w:val="20"/>
        </w:rPr>
        <w:t xml:space="preserve"> </w:t>
      </w:r>
    </w:p>
    <w:p w14:paraId="07945AB7" w14:textId="1D24128D" w:rsidR="00EB3B6F" w:rsidRDefault="00EB3B6F" w:rsidP="00E76C04">
      <w:pPr>
        <w:pStyle w:val="Bulletlevel1"/>
      </w:pPr>
      <w:r>
        <w:t xml:space="preserve">supporting </w:t>
      </w:r>
      <w:r w:rsidR="005026C4">
        <w:t>scam disruption initiatives</w:t>
      </w:r>
    </w:p>
    <w:p w14:paraId="77F0CCB0" w14:textId="7B2C50B7" w:rsidR="00FB3E5A" w:rsidRDefault="0077216B" w:rsidP="00FB3E5A">
      <w:pPr>
        <w:pStyle w:val="Bulletlevel1"/>
      </w:pPr>
      <w:r>
        <w:t xml:space="preserve">enabling </w:t>
      </w:r>
      <w:r w:rsidR="00A21378">
        <w:t xml:space="preserve">efficient </w:t>
      </w:r>
      <w:r w:rsidR="00FB3E5A" w:rsidRPr="00444D89">
        <w:t>allocation of numbers</w:t>
      </w:r>
    </w:p>
    <w:p w14:paraId="7DD534AE" w14:textId="143DA865" w:rsidR="002806B1" w:rsidRDefault="0077216B" w:rsidP="00E76C04">
      <w:pPr>
        <w:pStyle w:val="Bulletlevel1last"/>
      </w:pPr>
      <w:r>
        <w:t>specifying availability of geographic numbers in certain areas</w:t>
      </w:r>
      <w:r w:rsidR="00FB3E5A">
        <w:t>.</w:t>
      </w:r>
    </w:p>
    <w:p w14:paraId="02143417" w14:textId="3465EC46" w:rsidR="00A07386" w:rsidRDefault="00D03841" w:rsidP="00E76C04">
      <w:pPr>
        <w:pStyle w:val="Paragraphbeforelist"/>
        <w:spacing w:after="120"/>
        <w:rPr>
          <w:iCs/>
        </w:rPr>
      </w:pPr>
      <w:r>
        <w:t>W</w:t>
      </w:r>
      <w:r w:rsidR="00444D89">
        <w:t xml:space="preserve">e invite </w:t>
      </w:r>
      <w:r>
        <w:t>feedback</w:t>
      </w:r>
      <w:r w:rsidR="00444D89">
        <w:t xml:space="preserve"> on the draft </w:t>
      </w:r>
      <w:r w:rsidR="004E2544" w:rsidRPr="00DB0250">
        <w:t>Telecommunications Numbering Plan Variation 2022 (No.1)</w:t>
      </w:r>
      <w:r w:rsidR="00D616AA">
        <w:t xml:space="preserve"> (the </w:t>
      </w:r>
      <w:r w:rsidR="00FD59CE">
        <w:t>d</w:t>
      </w:r>
      <w:r w:rsidR="00D616AA">
        <w:t xml:space="preserve">raft </w:t>
      </w:r>
      <w:r w:rsidR="00FD59CE">
        <w:t>v</w:t>
      </w:r>
      <w:r w:rsidR="00D616AA">
        <w:t>ariation)</w:t>
      </w:r>
      <w:r w:rsidR="00A07386">
        <w:t xml:space="preserve">, </w:t>
      </w:r>
      <w:r w:rsidR="00D616AA">
        <w:t xml:space="preserve">including </w:t>
      </w:r>
      <w:r w:rsidR="00A21378">
        <w:t xml:space="preserve">responses to </w:t>
      </w:r>
      <w:r w:rsidR="00D616AA">
        <w:t xml:space="preserve">the specific </w:t>
      </w:r>
      <w:r w:rsidR="00D616AA">
        <w:rPr>
          <w:iCs/>
        </w:rPr>
        <w:t xml:space="preserve">questions in this consultation paper. </w:t>
      </w:r>
      <w:r w:rsidR="00D616AA">
        <w:t>A</w:t>
      </w:r>
      <w:r w:rsidR="00DB0250">
        <w:t xml:space="preserve"> copy of the </w:t>
      </w:r>
      <w:r w:rsidR="00E10616">
        <w:t>n</w:t>
      </w:r>
      <w:r w:rsidR="00DB0250">
        <w:t xml:space="preserve">umbering </w:t>
      </w:r>
      <w:r w:rsidR="00E10616">
        <w:t>p</w:t>
      </w:r>
      <w:r w:rsidR="00DB0250">
        <w:t xml:space="preserve">lan with </w:t>
      </w:r>
      <w:r w:rsidR="00E560F6">
        <w:t>the proposed</w:t>
      </w:r>
      <w:r w:rsidR="00D5099B">
        <w:t xml:space="preserve"> </w:t>
      </w:r>
      <w:r w:rsidR="00A07386">
        <w:t>amendments tracked</w:t>
      </w:r>
      <w:r w:rsidR="00DB0250">
        <w:t xml:space="preserve"> is also provided for ease of reference</w:t>
      </w:r>
      <w:r w:rsidR="00D616AA">
        <w:t>.</w:t>
      </w:r>
      <w:r w:rsidR="00A07386">
        <w:t xml:space="preserve"> </w:t>
      </w:r>
    </w:p>
    <w:p w14:paraId="792A76A8" w14:textId="0A8B0655" w:rsidR="00444D89" w:rsidRDefault="00D616AA" w:rsidP="004E2544">
      <w:pPr>
        <w:pStyle w:val="Paragraph"/>
        <w:rPr>
          <w:iCs/>
        </w:rPr>
      </w:pPr>
      <w:r>
        <w:rPr>
          <w:iCs/>
        </w:rPr>
        <w:t xml:space="preserve">A more holistic review of the </w:t>
      </w:r>
      <w:r w:rsidR="00FD59CE">
        <w:rPr>
          <w:iCs/>
        </w:rPr>
        <w:t>n</w:t>
      </w:r>
      <w:r>
        <w:rPr>
          <w:iCs/>
        </w:rPr>
        <w:t xml:space="preserve">umbering </w:t>
      </w:r>
      <w:r w:rsidR="00FD59CE">
        <w:rPr>
          <w:iCs/>
        </w:rPr>
        <w:t>p</w:t>
      </w:r>
      <w:r>
        <w:rPr>
          <w:iCs/>
        </w:rPr>
        <w:t xml:space="preserve">lan </w:t>
      </w:r>
      <w:r w:rsidR="0077216B">
        <w:rPr>
          <w:iCs/>
        </w:rPr>
        <w:t>will be considered</w:t>
      </w:r>
      <w:r>
        <w:rPr>
          <w:iCs/>
        </w:rPr>
        <w:t xml:space="preserve"> prior to it sunsetting in </w:t>
      </w:r>
      <w:r w:rsidR="00186F2C">
        <w:rPr>
          <w:iCs/>
        </w:rPr>
        <w:t xml:space="preserve">April </w:t>
      </w:r>
      <w:r>
        <w:rPr>
          <w:iCs/>
        </w:rPr>
        <w:t>202</w:t>
      </w:r>
      <w:r w:rsidR="00EB3B6F">
        <w:rPr>
          <w:iCs/>
        </w:rPr>
        <w:t>5</w:t>
      </w:r>
      <w:r>
        <w:rPr>
          <w:iCs/>
        </w:rPr>
        <w:t>.</w:t>
      </w:r>
    </w:p>
    <w:p w14:paraId="432E77C4" w14:textId="5F4B406B" w:rsidR="00A07386" w:rsidRPr="00E162C4" w:rsidRDefault="00A07386" w:rsidP="00A07386">
      <w:pPr>
        <w:pStyle w:val="Heading1"/>
      </w:pPr>
      <w:bookmarkStart w:id="3" w:name="_Toc92265082"/>
      <w:bookmarkStart w:id="4" w:name="_Toc115779210"/>
      <w:r w:rsidRPr="00E162C4">
        <w:lastRenderedPageBreak/>
        <w:t>Issues for comment</w:t>
      </w:r>
      <w:bookmarkEnd w:id="3"/>
      <w:bookmarkEnd w:id="4"/>
    </w:p>
    <w:p w14:paraId="142EBBCD" w14:textId="228BB644" w:rsidR="00A07386" w:rsidRDefault="00A07386" w:rsidP="00FD59CE">
      <w:pPr>
        <w:pStyle w:val="Paragraphbeforelist"/>
        <w:spacing w:after="120"/>
      </w:pPr>
      <w:r>
        <w:t>We</w:t>
      </w:r>
      <w:r w:rsidRPr="00E162C4">
        <w:t xml:space="preserve"> </w:t>
      </w:r>
      <w:r w:rsidR="0077216B">
        <w:t xml:space="preserve">welcome </w:t>
      </w:r>
      <w:r w:rsidRPr="00E162C4">
        <w:t xml:space="preserve">comment on </w:t>
      </w:r>
      <w:r w:rsidR="0077216B">
        <w:t xml:space="preserve">any </w:t>
      </w:r>
      <w:r w:rsidR="00FD59CE">
        <w:t xml:space="preserve">proposed amendment in </w:t>
      </w:r>
      <w:r w:rsidR="0077216B">
        <w:t xml:space="preserve">the </w:t>
      </w:r>
      <w:r w:rsidR="00FD59CE">
        <w:t>d</w:t>
      </w:r>
      <w:r w:rsidR="0077216B">
        <w:t xml:space="preserve">raft </w:t>
      </w:r>
      <w:r w:rsidR="00FD59CE">
        <w:t>v</w:t>
      </w:r>
      <w:r w:rsidR="0077216B">
        <w:t xml:space="preserve">ariation, but are specifically seeking feedback on </w:t>
      </w:r>
      <w:r w:rsidRPr="00E162C4">
        <w:t xml:space="preserve">the </w:t>
      </w:r>
      <w:r w:rsidR="00D616AA">
        <w:t>following</w:t>
      </w:r>
      <w:r>
        <w:t xml:space="preserve"> questions</w:t>
      </w:r>
      <w:r w:rsidR="00D616AA">
        <w:t>:</w:t>
      </w:r>
    </w:p>
    <w:p w14:paraId="1D69B7F7" w14:textId="74D9ADA9" w:rsidR="00211E5E" w:rsidRDefault="0077216B" w:rsidP="00FD59CE">
      <w:pPr>
        <w:pStyle w:val="ListNumber"/>
        <w:numPr>
          <w:ilvl w:val="0"/>
          <w:numId w:val="57"/>
        </w:numPr>
        <w:rPr>
          <w:b/>
          <w:bCs/>
        </w:rPr>
      </w:pPr>
      <w:bookmarkStart w:id="5" w:name="_Hlk114575556"/>
      <w:r w:rsidRPr="00FD59CE">
        <w:rPr>
          <w:b/>
          <w:bCs/>
        </w:rPr>
        <w:t>Initiatives to support scam disruption</w:t>
      </w:r>
    </w:p>
    <w:p w14:paraId="0076C62D" w14:textId="77777777" w:rsidR="007B2490" w:rsidRDefault="0077216B" w:rsidP="00FD59CE">
      <w:pPr>
        <w:pStyle w:val="ListNumber"/>
        <w:numPr>
          <w:ilvl w:val="1"/>
          <w:numId w:val="57"/>
        </w:numPr>
        <w:rPr>
          <w:b/>
          <w:bCs/>
        </w:rPr>
      </w:pPr>
      <w:r>
        <w:t>Do you support these initiatives? Why? Why not?</w:t>
      </w:r>
    </w:p>
    <w:p w14:paraId="0756DD1B" w14:textId="5A3F1648" w:rsidR="00925D91" w:rsidRDefault="00925D91" w:rsidP="00925D91">
      <w:pPr>
        <w:pStyle w:val="ListNumber"/>
        <w:numPr>
          <w:ilvl w:val="1"/>
          <w:numId w:val="57"/>
        </w:numPr>
      </w:pPr>
      <w:r>
        <w:t xml:space="preserve">Is there any specific cost or burden in relation to the proposals? If so, please provide specific detail against each relevant item. </w:t>
      </w:r>
    </w:p>
    <w:p w14:paraId="404FDF43" w14:textId="0C3AED23" w:rsidR="00925D91" w:rsidRDefault="00A07386" w:rsidP="00746A87">
      <w:pPr>
        <w:pStyle w:val="ListNumber"/>
        <w:numPr>
          <w:ilvl w:val="1"/>
          <w:numId w:val="57"/>
        </w:numPr>
      </w:pPr>
      <w:r>
        <w:t xml:space="preserve">If you are a </w:t>
      </w:r>
      <w:bookmarkStart w:id="6" w:name="_Hlk113608294"/>
      <w:r w:rsidR="008752E4">
        <w:t>carriage service provider (</w:t>
      </w:r>
      <w:r w:rsidR="00260D06">
        <w:t>CSP</w:t>
      </w:r>
      <w:r w:rsidR="00250645">
        <w:t>)</w:t>
      </w:r>
      <w:bookmarkEnd w:id="6"/>
      <w:r>
        <w:t xml:space="preserve">, will you promote </w:t>
      </w:r>
      <w:r w:rsidR="00211E5E">
        <w:t xml:space="preserve">the </w:t>
      </w:r>
      <w:r>
        <w:t>use of the 7</w:t>
      </w:r>
      <w:r w:rsidR="00E476BF">
        <w:t>2</w:t>
      </w:r>
      <w:r>
        <w:t>26</w:t>
      </w:r>
      <w:r w:rsidR="00250645">
        <w:t xml:space="preserve"> (SCAM)</w:t>
      </w:r>
      <w:r>
        <w:t xml:space="preserve"> code</w:t>
      </w:r>
      <w:r w:rsidR="00211E5E">
        <w:t xml:space="preserve"> to your customers</w:t>
      </w:r>
      <w:r w:rsidRPr="002E083B">
        <w:t>?</w:t>
      </w:r>
      <w:r w:rsidR="00925D91">
        <w:t xml:space="preserve"> </w:t>
      </w:r>
    </w:p>
    <w:p w14:paraId="6F04C2FB" w14:textId="0C98502D" w:rsidR="00925D91" w:rsidRDefault="00250645" w:rsidP="00925D91">
      <w:pPr>
        <w:pStyle w:val="ListNumber"/>
        <w:numPr>
          <w:ilvl w:val="1"/>
          <w:numId w:val="57"/>
        </w:numPr>
      </w:pPr>
      <w:r>
        <w:t>Should</w:t>
      </w:r>
      <w:r w:rsidR="00A36B6E">
        <w:t xml:space="preserve"> 7226 be classified as </w:t>
      </w:r>
      <w:r w:rsidR="00940CAC">
        <w:t>a</w:t>
      </w:r>
      <w:r w:rsidR="00A36B6E">
        <w:t xml:space="preserve"> community service?</w:t>
      </w:r>
      <w:r w:rsidR="00925D91">
        <w:t xml:space="preserve"> </w:t>
      </w:r>
    </w:p>
    <w:p w14:paraId="07C2E5AC" w14:textId="39616B8A" w:rsidR="00925D91" w:rsidRDefault="00250645" w:rsidP="00925D91">
      <w:pPr>
        <w:pStyle w:val="ListNumber"/>
        <w:numPr>
          <w:ilvl w:val="1"/>
          <w:numId w:val="57"/>
        </w:numPr>
      </w:pPr>
      <w:r>
        <w:t>Should</w:t>
      </w:r>
      <w:r w:rsidR="00A36B6E">
        <w:t xml:space="preserve"> incoming international access be available</w:t>
      </w:r>
      <w:r w:rsidR="00211E5E">
        <w:t xml:space="preserve"> for 7226</w:t>
      </w:r>
      <w:r w:rsidR="00A36B6E">
        <w:t xml:space="preserve">? </w:t>
      </w:r>
    </w:p>
    <w:p w14:paraId="78B4B9B2" w14:textId="21ADDD98" w:rsidR="00211E5E" w:rsidRDefault="00250645" w:rsidP="00FD59CE">
      <w:pPr>
        <w:pStyle w:val="ListNumber"/>
        <w:numPr>
          <w:ilvl w:val="1"/>
          <w:numId w:val="57"/>
        </w:numPr>
      </w:pPr>
      <w:r>
        <w:t>S</w:t>
      </w:r>
      <w:r w:rsidR="00A36B6E">
        <w:t xml:space="preserve">hould </w:t>
      </w:r>
      <w:r w:rsidR="00211E5E">
        <w:t xml:space="preserve">7226 </w:t>
      </w:r>
      <w:r w:rsidR="00A36B6E">
        <w:t xml:space="preserve">be classified as a low charge number? </w:t>
      </w:r>
    </w:p>
    <w:p w14:paraId="68B633D6" w14:textId="3D518131" w:rsidR="00A36B6E" w:rsidRDefault="00250645" w:rsidP="007B2490">
      <w:pPr>
        <w:pStyle w:val="ListNumber"/>
        <w:numPr>
          <w:ilvl w:val="1"/>
          <w:numId w:val="57"/>
        </w:numPr>
      </w:pPr>
      <w:r>
        <w:t xml:space="preserve">Should </w:t>
      </w:r>
      <w:r w:rsidR="00211E5E">
        <w:t>7226</w:t>
      </w:r>
      <w:r>
        <w:t xml:space="preserve"> </w:t>
      </w:r>
      <w:r w:rsidR="00A36B6E">
        <w:t>be classified as a selectable number?</w:t>
      </w:r>
    </w:p>
    <w:p w14:paraId="4288E9DE" w14:textId="761DCFB0" w:rsidR="00A07386" w:rsidRDefault="00BF42B5" w:rsidP="00746A87">
      <w:pPr>
        <w:pStyle w:val="ListNumber"/>
        <w:numPr>
          <w:ilvl w:val="1"/>
          <w:numId w:val="57"/>
        </w:numPr>
        <w:spacing w:after="120"/>
      </w:pPr>
      <w:r>
        <w:t>A</w:t>
      </w:r>
      <w:r w:rsidR="00A07386">
        <w:t xml:space="preserve">re there any reasons </w:t>
      </w:r>
      <w:r w:rsidR="00211E5E">
        <w:t>(</w:t>
      </w:r>
      <w:r w:rsidR="009052C0">
        <w:t>for example</w:t>
      </w:r>
      <w:r w:rsidR="00A51B43">
        <w:t>,</w:t>
      </w:r>
      <w:r w:rsidR="00211E5E">
        <w:t xml:space="preserve"> </w:t>
      </w:r>
      <w:r w:rsidR="00250645">
        <w:t>legitimate use-cases</w:t>
      </w:r>
      <w:r w:rsidR="00211E5E">
        <w:t>)</w:t>
      </w:r>
      <w:r w:rsidR="00250645">
        <w:t xml:space="preserve"> </w:t>
      </w:r>
      <w:r w:rsidR="00A07386">
        <w:t xml:space="preserve">to allow </w:t>
      </w:r>
      <w:r>
        <w:t xml:space="preserve">outbound </w:t>
      </w:r>
      <w:r w:rsidR="00A07386">
        <w:t xml:space="preserve">calls </w:t>
      </w:r>
      <w:r>
        <w:t xml:space="preserve">using </w:t>
      </w:r>
      <w:r w:rsidR="00A07386" w:rsidRPr="00235B61">
        <w:t>freephone, local rate and premium numbers</w:t>
      </w:r>
      <w:r w:rsidR="00A07386" w:rsidRPr="002E083B">
        <w:t>?</w:t>
      </w:r>
    </w:p>
    <w:p w14:paraId="670400F4" w14:textId="32BECA90" w:rsidR="00A07386" w:rsidRDefault="007B2490" w:rsidP="00746A87">
      <w:pPr>
        <w:pStyle w:val="ListNumber"/>
        <w:numPr>
          <w:ilvl w:val="1"/>
          <w:numId w:val="57"/>
        </w:numPr>
      </w:pPr>
      <w:r>
        <w:t xml:space="preserve">Are there any reasons </w:t>
      </w:r>
      <w:r w:rsidR="00260D06">
        <w:t>CSP</w:t>
      </w:r>
      <w:r w:rsidR="00386615">
        <w:t>s</w:t>
      </w:r>
      <w:r>
        <w:t xml:space="preserve"> shouldn’t be registered </w:t>
      </w:r>
      <w:r w:rsidR="00BF42B5">
        <w:t xml:space="preserve">as a precondition to being </w:t>
      </w:r>
      <w:r>
        <w:t>assigned numbers</w:t>
      </w:r>
      <w:r w:rsidR="00260D06">
        <w:t xml:space="preserve"> </w:t>
      </w:r>
      <w:r w:rsidR="00A21378">
        <w:t>on the same network</w:t>
      </w:r>
      <w:r w:rsidR="00A07386">
        <w:t>?</w:t>
      </w:r>
    </w:p>
    <w:p w14:paraId="6D0066C0" w14:textId="354100E3" w:rsidR="00BF42B5" w:rsidRDefault="00925D91" w:rsidP="00925D91">
      <w:pPr>
        <w:pStyle w:val="ListNumber"/>
        <w:numPr>
          <w:ilvl w:val="1"/>
          <w:numId w:val="57"/>
        </w:numPr>
      </w:pPr>
      <w:r>
        <w:t>Under proposed transitional arrangements, i</w:t>
      </w:r>
      <w:r w:rsidR="00A07386">
        <w:t>s</w:t>
      </w:r>
      <w:r>
        <w:t xml:space="preserve"> 90 days</w:t>
      </w:r>
      <w:r w:rsidR="00A07386">
        <w:t xml:space="preserve"> </w:t>
      </w:r>
      <w:r>
        <w:t xml:space="preserve">from commencement of registration provisions </w:t>
      </w:r>
      <w:r w:rsidR="00A07386">
        <w:t xml:space="preserve">sufficient time for </w:t>
      </w:r>
      <w:r w:rsidR="00260D06">
        <w:t>CSP</w:t>
      </w:r>
      <w:r w:rsidR="00A07386">
        <w:t>s that have been assigned numbers to regist</w:t>
      </w:r>
      <w:r w:rsidR="00A21378">
        <w:t>er</w:t>
      </w:r>
      <w:r w:rsidR="00A07386">
        <w:t>?</w:t>
      </w:r>
    </w:p>
    <w:p w14:paraId="055D444A" w14:textId="1676F0B9" w:rsidR="00A07386" w:rsidRDefault="00BF42B5" w:rsidP="00746A87">
      <w:pPr>
        <w:pStyle w:val="ListNumber"/>
        <w:numPr>
          <w:ilvl w:val="1"/>
          <w:numId w:val="57"/>
        </w:numPr>
      </w:pPr>
      <w:r>
        <w:t xml:space="preserve">Is </w:t>
      </w:r>
      <w:r w:rsidR="00925D91">
        <w:t>between 90 to 180 days</w:t>
      </w:r>
      <w:r w:rsidR="007145A4" w:rsidRPr="007145A4">
        <w:t xml:space="preserve"> sufficient </w:t>
      </w:r>
      <w:r w:rsidR="00925D91">
        <w:t xml:space="preserve">time </w:t>
      </w:r>
      <w:r w:rsidR="007145A4" w:rsidRPr="007145A4">
        <w:t xml:space="preserve">for donor </w:t>
      </w:r>
      <w:r w:rsidR="00260D06">
        <w:t>CSP</w:t>
      </w:r>
      <w:r w:rsidR="007145A4" w:rsidRPr="007145A4">
        <w:t xml:space="preserve">s to check the registration status of </w:t>
      </w:r>
      <w:r w:rsidR="00260D06">
        <w:t>CSP</w:t>
      </w:r>
      <w:r w:rsidR="007145A4" w:rsidRPr="007145A4">
        <w:t>s that have been assigned numbers?</w:t>
      </w:r>
    </w:p>
    <w:p w14:paraId="6BFDA55F" w14:textId="70B58739" w:rsidR="0026196C" w:rsidRDefault="0026196C" w:rsidP="00746A87">
      <w:pPr>
        <w:pStyle w:val="ListNumber"/>
        <w:numPr>
          <w:ilvl w:val="1"/>
          <w:numId w:val="57"/>
        </w:numPr>
      </w:pPr>
      <w:r>
        <w:t>Should the numbering plan limit the number of times a number can be provided to another CSP under contractual arrangements (</w:t>
      </w:r>
      <w:r w:rsidR="009052C0">
        <w:t>that is</w:t>
      </w:r>
      <w:r w:rsidR="00A51B43">
        <w:t>,</w:t>
      </w:r>
      <w:r>
        <w:t xml:space="preserve"> assign the number) outside the Numbering System?</w:t>
      </w:r>
    </w:p>
    <w:p w14:paraId="2F3F28CA" w14:textId="62715405" w:rsidR="0026196C" w:rsidRDefault="0026196C" w:rsidP="00746A87">
      <w:pPr>
        <w:pStyle w:val="ListNumber"/>
        <w:numPr>
          <w:ilvl w:val="1"/>
          <w:numId w:val="57"/>
        </w:numPr>
      </w:pPr>
      <w:r>
        <w:t>Should the numbering plan restrict entities which can be assigned numbers to Australian businesses?</w:t>
      </w:r>
    </w:p>
    <w:p w14:paraId="40A1B7B5" w14:textId="4A1C66E9" w:rsidR="00A07386" w:rsidRDefault="00A21378" w:rsidP="00FD59CE">
      <w:pPr>
        <w:pStyle w:val="ListNumber"/>
        <w:numPr>
          <w:ilvl w:val="1"/>
          <w:numId w:val="57"/>
        </w:numPr>
      </w:pPr>
      <w:r w:rsidRPr="00FD59CE">
        <w:t xml:space="preserve">In deciding </w:t>
      </w:r>
      <w:r w:rsidR="00AC70E7">
        <w:t xml:space="preserve">whether </w:t>
      </w:r>
      <w:r w:rsidRPr="00FD59CE">
        <w:t xml:space="preserve">to withdraw numbers used for scam or fraudulent purposes, </w:t>
      </w:r>
      <w:r w:rsidRPr="00E27FB0">
        <w:t>w</w:t>
      </w:r>
      <w:r w:rsidR="00E560F6" w:rsidRPr="00E27FB0">
        <w:t xml:space="preserve">hat </w:t>
      </w:r>
      <w:r w:rsidR="00AC70E7">
        <w:t>should the ACMA consider</w:t>
      </w:r>
      <w:r w:rsidR="00E560F6" w:rsidRPr="00E27FB0">
        <w:t>?</w:t>
      </w:r>
    </w:p>
    <w:p w14:paraId="75BC4978" w14:textId="73EF74FB" w:rsidR="00BF42B5" w:rsidRPr="00EC2C47" w:rsidRDefault="00BF42B5" w:rsidP="00E4645E">
      <w:pPr>
        <w:pStyle w:val="ListNumber"/>
        <w:numPr>
          <w:ilvl w:val="0"/>
          <w:numId w:val="57"/>
        </w:numPr>
      </w:pPr>
      <w:r w:rsidRPr="00E4645E">
        <w:rPr>
          <w:b/>
        </w:rPr>
        <w:t>Efficient allocation of numbers</w:t>
      </w:r>
    </w:p>
    <w:p w14:paraId="04161A89" w14:textId="4DF01B6C" w:rsidR="005E1D33" w:rsidRDefault="005E1D33" w:rsidP="005E1D33">
      <w:pPr>
        <w:pStyle w:val="ListNumber"/>
        <w:numPr>
          <w:ilvl w:val="1"/>
          <w:numId w:val="57"/>
        </w:numPr>
        <w:rPr>
          <w:b/>
          <w:bCs/>
        </w:rPr>
      </w:pPr>
      <w:r>
        <w:t>Do you support these initiatives? Why? Why not?</w:t>
      </w:r>
    </w:p>
    <w:p w14:paraId="5F04BACE" w14:textId="77777777" w:rsidR="005E1D33" w:rsidRDefault="005E1D33" w:rsidP="005E1D33">
      <w:pPr>
        <w:pStyle w:val="ListNumber"/>
        <w:numPr>
          <w:ilvl w:val="1"/>
          <w:numId w:val="57"/>
        </w:numPr>
      </w:pPr>
      <w:r>
        <w:t xml:space="preserve">Is there any specific cost or burden in relation to the proposals? If so, please provide specific detail against each relevant item. </w:t>
      </w:r>
    </w:p>
    <w:p w14:paraId="6A6DA014" w14:textId="127CC59E" w:rsidR="00A07386" w:rsidRDefault="00A07386" w:rsidP="00E4645E">
      <w:pPr>
        <w:pStyle w:val="ListNumber"/>
        <w:numPr>
          <w:ilvl w:val="1"/>
          <w:numId w:val="57"/>
        </w:numPr>
        <w:spacing w:after="120"/>
      </w:pPr>
      <w:r>
        <w:t xml:space="preserve">If you are a </w:t>
      </w:r>
      <w:r w:rsidR="00260D06">
        <w:t>CSP</w:t>
      </w:r>
      <w:r>
        <w:t>, do you anticipate you will be more likely to apply for an allocation of numbers, or a transfer of numbers, via the Numbering System if standard unit sizes are reduced to 10,000 number blocks?</w:t>
      </w:r>
    </w:p>
    <w:p w14:paraId="72C1B45D" w14:textId="6B2943E4" w:rsidR="007D7A4A" w:rsidRDefault="007D7A4A" w:rsidP="00E4645E">
      <w:pPr>
        <w:pStyle w:val="ListNumber"/>
        <w:numPr>
          <w:ilvl w:val="1"/>
          <w:numId w:val="57"/>
        </w:numPr>
        <w:spacing w:after="120"/>
      </w:pPr>
      <w:r>
        <w:t xml:space="preserve">Noting we anticipate changes will be made to the Numbering System by the end of </w:t>
      </w:r>
      <w:r w:rsidR="00EC2C47">
        <w:t>March 2023</w:t>
      </w:r>
      <w:r>
        <w:t xml:space="preserve">, will </w:t>
      </w:r>
      <w:r w:rsidR="00260D06">
        <w:t>CSP</w:t>
      </w:r>
      <w:r w:rsidR="00A07386">
        <w:t xml:space="preserve"> systems be able to accept 10,000 number blocks</w:t>
      </w:r>
      <w:r w:rsidR="00F069B5">
        <w:t xml:space="preserve"> by that time</w:t>
      </w:r>
      <w:r w:rsidR="00A07386">
        <w:t xml:space="preserve">? </w:t>
      </w:r>
      <w:r>
        <w:t xml:space="preserve">If </w:t>
      </w:r>
      <w:r w:rsidR="00260D06">
        <w:t>CSP</w:t>
      </w:r>
      <w:r>
        <w:t xml:space="preserve">s expect they will need longer, </w:t>
      </w:r>
      <w:r w:rsidR="00B572DA">
        <w:t>w</w:t>
      </w:r>
      <w:r w:rsidR="00A07386">
        <w:t>ould a possible workaround be to apply for allocation of 10 x 10,000 number blocks in each transaction? Would this create additional costs?</w:t>
      </w:r>
    </w:p>
    <w:p w14:paraId="458FCAAA" w14:textId="4EFDBE68" w:rsidR="00A07386" w:rsidRPr="00E27FB0" w:rsidRDefault="00A07386" w:rsidP="00E4645E">
      <w:pPr>
        <w:pStyle w:val="ListNumber"/>
        <w:keepLines/>
        <w:numPr>
          <w:ilvl w:val="1"/>
          <w:numId w:val="57"/>
        </w:numPr>
        <w:spacing w:after="120"/>
        <w:rPr>
          <w:szCs w:val="20"/>
        </w:rPr>
      </w:pPr>
      <w:r w:rsidRPr="00E27FB0">
        <w:rPr>
          <w:szCs w:val="20"/>
        </w:rPr>
        <w:t>Are there any disadvantages to requiring transfers of number</w:t>
      </w:r>
      <w:r w:rsidR="00722547">
        <w:rPr>
          <w:szCs w:val="20"/>
        </w:rPr>
        <w:t>s</w:t>
      </w:r>
      <w:r w:rsidRPr="00E27FB0">
        <w:rPr>
          <w:szCs w:val="20"/>
        </w:rPr>
        <w:t xml:space="preserve"> to occur in standard unit sizes under the numbering plan, noting this is already standard practice in the Numbering System?</w:t>
      </w:r>
    </w:p>
    <w:p w14:paraId="54965EEA" w14:textId="63A16D5E" w:rsidR="00A07386" w:rsidRPr="00B4094E" w:rsidRDefault="00A07386" w:rsidP="00E4645E">
      <w:pPr>
        <w:pStyle w:val="ListNumber"/>
        <w:numPr>
          <w:ilvl w:val="1"/>
          <w:numId w:val="57"/>
        </w:numPr>
        <w:spacing w:after="120"/>
      </w:pPr>
      <w:r>
        <w:t xml:space="preserve">Are there any reasons </w:t>
      </w:r>
      <w:r w:rsidRPr="00E4645E">
        <w:t xml:space="preserve">to retain </w:t>
      </w:r>
      <w:r w:rsidR="00A1183E" w:rsidRPr="006C5B4B">
        <w:t>location independent communications services (LICS)</w:t>
      </w:r>
      <w:r w:rsidRPr="002E083B">
        <w:t>?</w:t>
      </w:r>
    </w:p>
    <w:p w14:paraId="7020338D" w14:textId="195E3EB8" w:rsidR="00A07386" w:rsidRDefault="00A07386" w:rsidP="00E4645E">
      <w:pPr>
        <w:pStyle w:val="ListNumber"/>
        <w:numPr>
          <w:ilvl w:val="1"/>
          <w:numId w:val="57"/>
        </w:numPr>
      </w:pPr>
      <w:r>
        <w:lastRenderedPageBreak/>
        <w:t xml:space="preserve">Do you support </w:t>
      </w:r>
      <w:r w:rsidR="00F069B5">
        <w:t>decreasing</w:t>
      </w:r>
      <w:r w:rsidR="007F1740">
        <w:t xml:space="preserve"> </w:t>
      </w:r>
      <w:r>
        <w:t xml:space="preserve">the notice period </w:t>
      </w:r>
      <w:r w:rsidR="00260D06">
        <w:t>CSP</w:t>
      </w:r>
      <w:r>
        <w:t>s must give customers before recalling or replacing a number? Please specify why or why not.</w:t>
      </w:r>
    </w:p>
    <w:p w14:paraId="5EFCE185" w14:textId="41985023" w:rsidR="00A07386" w:rsidRDefault="00A07386" w:rsidP="00E4645E">
      <w:pPr>
        <w:pStyle w:val="ListNumber"/>
        <w:numPr>
          <w:ilvl w:val="1"/>
          <w:numId w:val="57"/>
        </w:numPr>
      </w:pPr>
      <w:r>
        <w:t>Is 90 business days sufficient to allow customers, including small business owners, to make necessary changes to accommodate a new number?</w:t>
      </w:r>
    </w:p>
    <w:p w14:paraId="452AB2E7" w14:textId="43C58AFB" w:rsidR="00226E29" w:rsidRDefault="00226E29" w:rsidP="00226E29">
      <w:pPr>
        <w:pStyle w:val="ListNumber"/>
        <w:numPr>
          <w:ilvl w:val="0"/>
          <w:numId w:val="57"/>
        </w:numPr>
        <w:rPr>
          <w:b/>
          <w:bCs/>
        </w:rPr>
      </w:pPr>
      <w:r>
        <w:rPr>
          <w:b/>
          <w:bCs/>
        </w:rPr>
        <w:t>Availability of geographic number ranges in certain areas</w:t>
      </w:r>
    </w:p>
    <w:p w14:paraId="302EDA88" w14:textId="77777777" w:rsidR="007F1740" w:rsidRDefault="007F1740" w:rsidP="007F1740">
      <w:pPr>
        <w:pStyle w:val="ListNumber"/>
        <w:numPr>
          <w:ilvl w:val="1"/>
          <w:numId w:val="57"/>
        </w:numPr>
        <w:rPr>
          <w:b/>
          <w:bCs/>
        </w:rPr>
      </w:pPr>
      <w:r>
        <w:t>Do you support these initiatives? Why? Why not?</w:t>
      </w:r>
    </w:p>
    <w:p w14:paraId="10826442" w14:textId="77777777" w:rsidR="007F1740" w:rsidRDefault="007F1740" w:rsidP="007F1740">
      <w:pPr>
        <w:pStyle w:val="ListNumber"/>
        <w:numPr>
          <w:ilvl w:val="1"/>
          <w:numId w:val="57"/>
        </w:numPr>
      </w:pPr>
      <w:r>
        <w:t xml:space="preserve">Is there any specific cost or burden in relation to the proposals? If so, please provide specific detail against each relevant item. </w:t>
      </w:r>
    </w:p>
    <w:p w14:paraId="55B61FA0" w14:textId="1A60CE84" w:rsidR="00A07386" w:rsidRDefault="007F1740" w:rsidP="00FD59CE">
      <w:pPr>
        <w:pStyle w:val="ListNumber"/>
        <w:numPr>
          <w:ilvl w:val="0"/>
          <w:numId w:val="57"/>
        </w:numPr>
      </w:pPr>
      <w:r>
        <w:rPr>
          <w:b/>
          <w:bCs/>
        </w:rPr>
        <w:t>Other updates</w:t>
      </w:r>
    </w:p>
    <w:p w14:paraId="4BA68DB6" w14:textId="2F4C87C6" w:rsidR="002E083B" w:rsidRDefault="0061389D" w:rsidP="00FD59CE">
      <w:pPr>
        <w:pStyle w:val="ListNumber"/>
        <w:numPr>
          <w:ilvl w:val="1"/>
          <w:numId w:val="57"/>
        </w:numPr>
      </w:pPr>
      <w:r>
        <w:t xml:space="preserve">Do you have any comments about the </w:t>
      </w:r>
      <w:r w:rsidR="0016758D">
        <w:t>proposal to remove the objects</w:t>
      </w:r>
      <w:r>
        <w:t>?</w:t>
      </w:r>
      <w:bookmarkEnd w:id="2"/>
    </w:p>
    <w:p w14:paraId="659A827A" w14:textId="61FCF857" w:rsidR="0016758D" w:rsidRDefault="0016758D" w:rsidP="00FD59CE">
      <w:pPr>
        <w:pStyle w:val="ListNumber"/>
        <w:numPr>
          <w:ilvl w:val="1"/>
          <w:numId w:val="57"/>
        </w:numPr>
      </w:pPr>
      <w:r>
        <w:t>Do you have any comments about the proposed changes to definitions?</w:t>
      </w:r>
    </w:p>
    <w:p w14:paraId="76E88C1C" w14:textId="4373E0D1" w:rsidR="005E250B" w:rsidRPr="00E162C4" w:rsidRDefault="000A3C40" w:rsidP="002C0530">
      <w:pPr>
        <w:pStyle w:val="Heading1"/>
      </w:pPr>
      <w:bookmarkStart w:id="7" w:name="_Toc113535572"/>
      <w:bookmarkStart w:id="8" w:name="_Toc115779211"/>
      <w:bookmarkEnd w:id="5"/>
      <w:r>
        <w:lastRenderedPageBreak/>
        <w:t>Background</w:t>
      </w:r>
      <w:bookmarkEnd w:id="7"/>
      <w:bookmarkEnd w:id="8"/>
    </w:p>
    <w:p w14:paraId="2B7C64FC" w14:textId="77777777" w:rsidR="00147819" w:rsidRPr="00E162C4" w:rsidRDefault="00147819" w:rsidP="00147819">
      <w:pPr>
        <w:pStyle w:val="Heading2"/>
      </w:pPr>
      <w:bookmarkStart w:id="9" w:name="_Toc113535573"/>
      <w:bookmarkStart w:id="10" w:name="_Toc115779212"/>
      <w:r>
        <w:t>Regulatory framework</w:t>
      </w:r>
      <w:bookmarkEnd w:id="9"/>
      <w:bookmarkEnd w:id="10"/>
    </w:p>
    <w:p w14:paraId="5E3AF162" w14:textId="42E5F98B" w:rsidR="00147819" w:rsidRDefault="00147819" w:rsidP="00147819">
      <w:pPr>
        <w:pStyle w:val="Paragraph"/>
      </w:pPr>
      <w:r w:rsidRPr="00115006">
        <w:t xml:space="preserve">The </w:t>
      </w:r>
      <w:r w:rsidR="00F34163">
        <w:t xml:space="preserve">numbering </w:t>
      </w:r>
      <w:r w:rsidR="00B24787">
        <w:t>p</w:t>
      </w:r>
      <w:r>
        <w:t xml:space="preserve">lan </w:t>
      </w:r>
      <w:r w:rsidRPr="00115006">
        <w:t xml:space="preserve">sets out the framework for the numbering of carriage services in Australia and the use of numbers </w:t>
      </w:r>
      <w:r w:rsidR="00D03841">
        <w:t>for</w:t>
      </w:r>
      <w:r w:rsidRPr="00115006">
        <w:t xml:space="preserve"> the supply of </w:t>
      </w:r>
      <w:r w:rsidR="00753228" w:rsidRPr="00115006">
        <w:t>th</w:t>
      </w:r>
      <w:r w:rsidR="00753228">
        <w:t>o</w:t>
      </w:r>
      <w:r w:rsidR="00753228" w:rsidRPr="00115006">
        <w:t xml:space="preserve">se </w:t>
      </w:r>
      <w:r w:rsidRPr="00115006">
        <w:t xml:space="preserve">services. </w:t>
      </w:r>
      <w:r w:rsidRPr="003E6DDE">
        <w:t xml:space="preserve">It specifies </w:t>
      </w:r>
      <w:r w:rsidRPr="00E97E8F">
        <w:t>the rules for the allocation, transfer, surrender, portability and use of different types of numbers</w:t>
      </w:r>
      <w:r w:rsidR="00D03841">
        <w:t xml:space="preserve"> for</w:t>
      </w:r>
      <w:r w:rsidRPr="00E97E8F">
        <w:t xml:space="preserve"> carriage services.</w:t>
      </w:r>
    </w:p>
    <w:p w14:paraId="30CC03FC" w14:textId="40496219" w:rsidR="005D6EFC" w:rsidRDefault="005D6EFC" w:rsidP="00147819">
      <w:pPr>
        <w:pStyle w:val="Paragraph"/>
      </w:pPr>
      <w:r>
        <w:t xml:space="preserve">The </w:t>
      </w:r>
      <w:r w:rsidR="00D96331">
        <w:t>n</w:t>
      </w:r>
      <w:r w:rsidR="00463FCA">
        <w:t xml:space="preserve">umbering </w:t>
      </w:r>
      <w:r w:rsidR="00D96331">
        <w:t>p</w:t>
      </w:r>
      <w:r w:rsidR="00463FCA">
        <w:t>lan</w:t>
      </w:r>
      <w:r>
        <w:t xml:space="preserve"> was made by the ACMA under subsection 455(1) of the </w:t>
      </w:r>
      <w:r w:rsidRPr="005D6EFC">
        <w:rPr>
          <w:i/>
          <w:iCs/>
        </w:rPr>
        <w:t>Telecommunications Act 1997</w:t>
      </w:r>
      <w:r w:rsidRPr="00F03B5E">
        <w:t xml:space="preserve"> </w:t>
      </w:r>
      <w:r w:rsidR="00F069B5">
        <w:t xml:space="preserve">on </w:t>
      </w:r>
      <w:r w:rsidR="00833A1F">
        <w:t>10 March 2015</w:t>
      </w:r>
      <w:r w:rsidR="00260D06">
        <w:t xml:space="preserve"> </w:t>
      </w:r>
      <w:r>
        <w:t xml:space="preserve">and includes amendments </w:t>
      </w:r>
      <w:r w:rsidR="00186F2C">
        <w:t>under the</w:t>
      </w:r>
      <w:r w:rsidR="00B24787">
        <w:t xml:space="preserve"> </w:t>
      </w:r>
      <w:r w:rsidRPr="00DB0250">
        <w:t>Telecommunications Numbering Plan Variation 2016 (No. 1)</w:t>
      </w:r>
      <w:r w:rsidRPr="00D03841">
        <w:t>,</w:t>
      </w:r>
      <w:r>
        <w:t xml:space="preserve"> registered on the Federal Register of </w:t>
      </w:r>
      <w:r w:rsidR="00D10DBA">
        <w:t>L</w:t>
      </w:r>
      <w:r>
        <w:t>egislation on 5 April 2016.</w:t>
      </w:r>
    </w:p>
    <w:p w14:paraId="4165A62C" w14:textId="291E8362" w:rsidR="00444D89" w:rsidRDefault="006E4F15" w:rsidP="00A93BFC">
      <w:pPr>
        <w:pStyle w:val="Paragraph"/>
      </w:pPr>
      <w:r>
        <w:t xml:space="preserve">The </w:t>
      </w:r>
      <w:r w:rsidR="003250C7">
        <w:t xml:space="preserve">numbering </w:t>
      </w:r>
      <w:r>
        <w:t>plan is</w:t>
      </w:r>
      <w:r w:rsidR="00A93BFC">
        <w:t xml:space="preserve"> supported by a range of industry codes and guidelines </w:t>
      </w:r>
      <w:r w:rsidR="00753228">
        <w:t>and</w:t>
      </w:r>
      <w:r w:rsidR="00A93BFC">
        <w:t xml:space="preserve"> </w:t>
      </w:r>
      <w:r w:rsidR="00A93BFC" w:rsidRPr="002567FC">
        <w:t xml:space="preserve">contractual arrangements between </w:t>
      </w:r>
      <w:r w:rsidR="00260D06">
        <w:t>CSP</w:t>
      </w:r>
      <w:r w:rsidR="00BF386E">
        <w:t>s</w:t>
      </w:r>
      <w:r w:rsidR="00A93BFC" w:rsidRPr="002567FC">
        <w:t>.</w:t>
      </w:r>
    </w:p>
    <w:p w14:paraId="19D6D749" w14:textId="0B9D2746" w:rsidR="00DE2A50" w:rsidRDefault="00DE2A50" w:rsidP="00DE2A50">
      <w:pPr>
        <w:pStyle w:val="Paragraph"/>
        <w:rPr>
          <w:iCs/>
          <w:szCs w:val="20"/>
        </w:rPr>
      </w:pPr>
      <w:r>
        <w:rPr>
          <w:szCs w:val="20"/>
        </w:rPr>
        <w:t xml:space="preserve">The ACMA manages number allocation, transfer and surrender of numbers via the outsourced </w:t>
      </w:r>
      <w:r w:rsidRPr="002F605D">
        <w:rPr>
          <w:iCs/>
          <w:szCs w:val="20"/>
        </w:rPr>
        <w:t>Numbering System</w:t>
      </w:r>
      <w:r>
        <w:rPr>
          <w:iCs/>
          <w:szCs w:val="20"/>
        </w:rPr>
        <w:t xml:space="preserve"> (</w:t>
      </w:r>
      <w:hyperlink r:id="rId24" w:history="1">
        <w:r w:rsidRPr="002F605D">
          <w:rPr>
            <w:rStyle w:val="Hyperlink"/>
            <w:szCs w:val="20"/>
          </w:rPr>
          <w:t>www.thenumberingsystem.com.au</w:t>
        </w:r>
      </w:hyperlink>
      <w:r w:rsidRPr="002F605D">
        <w:rPr>
          <w:iCs/>
          <w:szCs w:val="20"/>
        </w:rPr>
        <w:t>)</w:t>
      </w:r>
      <w:r w:rsidR="00F34163">
        <w:rPr>
          <w:iCs/>
          <w:szCs w:val="20"/>
        </w:rPr>
        <w:t>, which</w:t>
      </w:r>
      <w:r>
        <w:rPr>
          <w:iCs/>
          <w:szCs w:val="20"/>
        </w:rPr>
        <w:t xml:space="preserve"> enables</w:t>
      </w:r>
      <w:r w:rsidRPr="002F605D">
        <w:rPr>
          <w:iCs/>
          <w:szCs w:val="20"/>
        </w:rPr>
        <w:t xml:space="preserve"> </w:t>
      </w:r>
      <w:r w:rsidR="00260D06">
        <w:rPr>
          <w:iCs/>
          <w:szCs w:val="20"/>
        </w:rPr>
        <w:t>CSP</w:t>
      </w:r>
      <w:r w:rsidR="00BF386E">
        <w:rPr>
          <w:iCs/>
          <w:szCs w:val="20"/>
        </w:rPr>
        <w:t>s</w:t>
      </w:r>
      <w:r>
        <w:rPr>
          <w:iCs/>
          <w:szCs w:val="20"/>
        </w:rPr>
        <w:t xml:space="preserve">, </w:t>
      </w:r>
      <w:r w:rsidRPr="002F605D">
        <w:rPr>
          <w:iCs/>
          <w:szCs w:val="20"/>
        </w:rPr>
        <w:t xml:space="preserve">individuals and businesses </w:t>
      </w:r>
      <w:r>
        <w:rPr>
          <w:iCs/>
          <w:szCs w:val="20"/>
        </w:rPr>
        <w:t>to</w:t>
      </w:r>
      <w:r w:rsidRPr="002F605D">
        <w:rPr>
          <w:iCs/>
          <w:szCs w:val="20"/>
        </w:rPr>
        <w:t xml:space="preserve"> purchase different types of numbers</w:t>
      </w:r>
      <w:r>
        <w:rPr>
          <w:iCs/>
          <w:szCs w:val="20"/>
        </w:rPr>
        <w:t>,</w:t>
      </w:r>
      <w:r w:rsidRPr="002F605D">
        <w:rPr>
          <w:iCs/>
          <w:szCs w:val="20"/>
        </w:rPr>
        <w:t xml:space="preserve"> including mobile and </w:t>
      </w:r>
      <w:r>
        <w:rPr>
          <w:iCs/>
          <w:szCs w:val="20"/>
        </w:rPr>
        <w:t>geographic</w:t>
      </w:r>
      <w:r w:rsidRPr="002F605D">
        <w:rPr>
          <w:iCs/>
          <w:szCs w:val="20"/>
        </w:rPr>
        <w:t xml:space="preserve"> numbers.</w:t>
      </w:r>
    </w:p>
    <w:p w14:paraId="5637D390" w14:textId="3AB13B8F" w:rsidR="00857830" w:rsidRDefault="00186F2C" w:rsidP="00857830">
      <w:pPr>
        <w:pStyle w:val="Paragraphbeforelist"/>
        <w:rPr>
          <w:iCs/>
          <w:szCs w:val="20"/>
        </w:rPr>
      </w:pPr>
      <w:r>
        <w:rPr>
          <w:iCs/>
          <w:szCs w:val="20"/>
        </w:rPr>
        <w:t xml:space="preserve">In proposing these amendments, </w:t>
      </w:r>
      <w:r w:rsidR="00166B9F">
        <w:rPr>
          <w:iCs/>
          <w:szCs w:val="20"/>
        </w:rPr>
        <w:t>we</w:t>
      </w:r>
      <w:r w:rsidR="00857830" w:rsidRPr="00857830">
        <w:rPr>
          <w:iCs/>
          <w:szCs w:val="20"/>
        </w:rPr>
        <w:t xml:space="preserve"> </w:t>
      </w:r>
      <w:r w:rsidR="00DB0250">
        <w:rPr>
          <w:iCs/>
          <w:szCs w:val="20"/>
        </w:rPr>
        <w:t>ha</w:t>
      </w:r>
      <w:r w:rsidR="00166B9F">
        <w:rPr>
          <w:iCs/>
          <w:szCs w:val="20"/>
        </w:rPr>
        <w:t>ve</w:t>
      </w:r>
      <w:r w:rsidR="00DB0250" w:rsidRPr="00857830">
        <w:rPr>
          <w:iCs/>
          <w:szCs w:val="20"/>
        </w:rPr>
        <w:t xml:space="preserve"> </w:t>
      </w:r>
      <w:r w:rsidR="00D03841">
        <w:rPr>
          <w:iCs/>
          <w:szCs w:val="20"/>
        </w:rPr>
        <w:t>consider</w:t>
      </w:r>
      <w:r w:rsidR="00DB0250">
        <w:rPr>
          <w:iCs/>
          <w:szCs w:val="20"/>
        </w:rPr>
        <w:t>ed</w:t>
      </w:r>
      <w:r w:rsidR="00857830" w:rsidRPr="00857830">
        <w:rPr>
          <w:iCs/>
          <w:szCs w:val="20"/>
        </w:rPr>
        <w:t xml:space="preserve"> the obligations imposed on </w:t>
      </w:r>
      <w:r w:rsidR="00260D06">
        <w:rPr>
          <w:iCs/>
          <w:szCs w:val="20"/>
        </w:rPr>
        <w:t>CSP</w:t>
      </w:r>
      <w:r w:rsidR="00BF386E">
        <w:rPr>
          <w:iCs/>
          <w:szCs w:val="20"/>
        </w:rPr>
        <w:t>s</w:t>
      </w:r>
      <w:r w:rsidR="00857830">
        <w:rPr>
          <w:iCs/>
          <w:szCs w:val="20"/>
        </w:rPr>
        <w:t xml:space="preserve"> </w:t>
      </w:r>
      <w:r w:rsidR="00857830" w:rsidRPr="00857830">
        <w:rPr>
          <w:iCs/>
          <w:szCs w:val="20"/>
        </w:rPr>
        <w:t>by</w:t>
      </w:r>
      <w:r w:rsidR="00857830">
        <w:rPr>
          <w:iCs/>
          <w:szCs w:val="20"/>
        </w:rPr>
        <w:t>:</w:t>
      </w:r>
    </w:p>
    <w:p w14:paraId="3081C3FC" w14:textId="42B110F9" w:rsidR="00857830" w:rsidRDefault="00857830" w:rsidP="00857830">
      <w:pPr>
        <w:pStyle w:val="Bulletlevel1"/>
        <w:rPr>
          <w:iCs/>
          <w:szCs w:val="20"/>
        </w:rPr>
      </w:pPr>
      <w:r w:rsidRPr="00857830">
        <w:rPr>
          <w:iCs/>
          <w:szCs w:val="20"/>
        </w:rPr>
        <w:t xml:space="preserve">Part 4 of the </w:t>
      </w:r>
      <w:r w:rsidRPr="00857830">
        <w:rPr>
          <w:i/>
          <w:szCs w:val="20"/>
        </w:rPr>
        <w:t>Telecommunications (Consumer Protection and Service Standards) Act 1999</w:t>
      </w:r>
      <w:r w:rsidR="006E4F15">
        <w:rPr>
          <w:i/>
          <w:szCs w:val="20"/>
        </w:rPr>
        <w:t>,</w:t>
      </w:r>
      <w:r w:rsidRPr="00857830">
        <w:rPr>
          <w:iCs/>
          <w:szCs w:val="20"/>
        </w:rPr>
        <w:t xml:space="preserve"> to provide continued access to untimed local calls</w:t>
      </w:r>
    </w:p>
    <w:p w14:paraId="64542E30" w14:textId="7D48592F" w:rsidR="00857830" w:rsidRPr="00857830" w:rsidRDefault="00857830" w:rsidP="00857830">
      <w:pPr>
        <w:pStyle w:val="Bulletlevel1last"/>
        <w:rPr>
          <w:iCs/>
          <w:szCs w:val="20"/>
        </w:rPr>
      </w:pPr>
      <w:r w:rsidRPr="00857830">
        <w:rPr>
          <w:iCs/>
          <w:szCs w:val="20"/>
        </w:rPr>
        <w:t xml:space="preserve">recognised </w:t>
      </w:r>
      <w:r w:rsidRPr="00857830">
        <w:t>international</w:t>
      </w:r>
      <w:r w:rsidRPr="00857830">
        <w:rPr>
          <w:iCs/>
          <w:szCs w:val="20"/>
        </w:rPr>
        <w:t xml:space="preserve"> standards.  </w:t>
      </w:r>
    </w:p>
    <w:p w14:paraId="1DFA596C" w14:textId="254C850B" w:rsidR="000A3C40" w:rsidRPr="00A1183E" w:rsidRDefault="00147819" w:rsidP="00FD59CE">
      <w:pPr>
        <w:pStyle w:val="Paragraph"/>
      </w:pPr>
      <w:r>
        <w:t>The</w:t>
      </w:r>
      <w:r w:rsidR="003250C7">
        <w:t xml:space="preserve"> numbering</w:t>
      </w:r>
      <w:r>
        <w:t xml:space="preserve"> </w:t>
      </w:r>
      <w:r w:rsidR="00B24787">
        <w:t>p</w:t>
      </w:r>
      <w:r>
        <w:t>lan</w:t>
      </w:r>
      <w:r w:rsidR="00C37A86">
        <w:t xml:space="preserve"> </w:t>
      </w:r>
      <w:r>
        <w:rPr>
          <w:color w:val="000000"/>
        </w:rPr>
        <w:t>will sunset on 1 April 2025.</w:t>
      </w:r>
      <w:r w:rsidR="00DD020D">
        <w:rPr>
          <w:rStyle w:val="FootnoteReference"/>
          <w:color w:val="000000"/>
        </w:rPr>
        <w:footnoteReference w:id="2"/>
      </w:r>
      <w:r w:rsidR="00DD020D">
        <w:rPr>
          <w:color w:val="000000"/>
        </w:rPr>
        <w:t xml:space="preserve"> As part of </w:t>
      </w:r>
      <w:r w:rsidR="00B24787">
        <w:rPr>
          <w:color w:val="000000"/>
        </w:rPr>
        <w:t>the sunsetting</w:t>
      </w:r>
      <w:r w:rsidR="00DD020D">
        <w:rPr>
          <w:color w:val="000000"/>
        </w:rPr>
        <w:t xml:space="preserve"> process, </w:t>
      </w:r>
      <w:r w:rsidR="00B24787">
        <w:rPr>
          <w:color w:val="000000"/>
        </w:rPr>
        <w:t>we</w:t>
      </w:r>
      <w:r w:rsidR="00DD020D">
        <w:rPr>
          <w:color w:val="000000"/>
        </w:rPr>
        <w:t xml:space="preserve"> must consider whether the instrument is </w:t>
      </w:r>
      <w:r w:rsidR="00DD020D" w:rsidDel="00AF4618">
        <w:t>operating efficiently and effectively</w:t>
      </w:r>
      <w:r w:rsidR="00DD020D">
        <w:t>.</w:t>
      </w:r>
      <w:r w:rsidR="00EB3B6F">
        <w:t xml:space="preserve"> The proposals </w:t>
      </w:r>
      <w:r w:rsidR="00D54BAF">
        <w:t xml:space="preserve">in this consultation paper </w:t>
      </w:r>
      <w:r w:rsidR="00EB3B6F">
        <w:t>are targeted at key shor</w:t>
      </w:r>
      <w:r w:rsidR="0013708C">
        <w:t>t to medium</w:t>
      </w:r>
      <w:r w:rsidR="00A51B43">
        <w:t>-</w:t>
      </w:r>
      <w:r w:rsidR="00EB3B6F">
        <w:t xml:space="preserve">term </w:t>
      </w:r>
      <w:r w:rsidR="0013708C">
        <w:t>enhancements</w:t>
      </w:r>
      <w:r w:rsidR="00EB3B6F">
        <w:t xml:space="preserve"> to benefit consumers and industry.</w:t>
      </w:r>
    </w:p>
    <w:p w14:paraId="130A0AD1" w14:textId="41D2B92E" w:rsidR="00444D89" w:rsidRDefault="00772D63" w:rsidP="000A3C40">
      <w:pPr>
        <w:pStyle w:val="Paragraph"/>
        <w:rPr>
          <w:color w:val="000000"/>
        </w:rPr>
      </w:pPr>
      <w:r>
        <w:rPr>
          <w:color w:val="000000"/>
        </w:rPr>
        <w:t>The proposed</w:t>
      </w:r>
      <w:r w:rsidR="000A3C40" w:rsidRPr="000A3C40">
        <w:rPr>
          <w:color w:val="000000"/>
        </w:rPr>
        <w:t xml:space="preserve"> amendments </w:t>
      </w:r>
      <w:r>
        <w:rPr>
          <w:color w:val="000000"/>
        </w:rPr>
        <w:t>are</w:t>
      </w:r>
      <w:r w:rsidR="000A3C40">
        <w:rPr>
          <w:color w:val="000000"/>
        </w:rPr>
        <w:t xml:space="preserve"> informed by our direct engagement with industry via </w:t>
      </w:r>
      <w:r w:rsidR="00260D06">
        <w:rPr>
          <w:color w:val="000000"/>
        </w:rPr>
        <w:t xml:space="preserve">our </w:t>
      </w:r>
      <w:r w:rsidR="000A3C40">
        <w:rPr>
          <w:color w:val="000000"/>
        </w:rPr>
        <w:t>Numbering Advisory Committee</w:t>
      </w:r>
      <w:r w:rsidR="00EB3B6F">
        <w:rPr>
          <w:color w:val="000000"/>
        </w:rPr>
        <w:t xml:space="preserve"> established under section 58 of the </w:t>
      </w:r>
      <w:r w:rsidR="00EB3B6F" w:rsidRPr="00FD59CE">
        <w:rPr>
          <w:i/>
          <w:iCs/>
          <w:color w:val="000000"/>
        </w:rPr>
        <w:t>Australian Communications and Media Authority Act 2005</w:t>
      </w:r>
      <w:r w:rsidR="000A3C40">
        <w:rPr>
          <w:color w:val="000000"/>
        </w:rPr>
        <w:t>.</w:t>
      </w:r>
      <w:r w:rsidR="00444D89">
        <w:rPr>
          <w:color w:val="000000"/>
        </w:rPr>
        <w:t xml:space="preserve"> </w:t>
      </w:r>
      <w:r w:rsidR="000A3C40">
        <w:rPr>
          <w:color w:val="000000"/>
        </w:rPr>
        <w:t xml:space="preserve">They also </w:t>
      </w:r>
      <w:r w:rsidR="006D1E0D">
        <w:rPr>
          <w:color w:val="000000"/>
        </w:rPr>
        <w:t>complement</w:t>
      </w:r>
      <w:r w:rsidR="000A3C40">
        <w:rPr>
          <w:color w:val="000000"/>
        </w:rPr>
        <w:t xml:space="preserve"> </w:t>
      </w:r>
      <w:r w:rsidR="00B24787">
        <w:rPr>
          <w:color w:val="000000"/>
        </w:rPr>
        <w:t>our</w:t>
      </w:r>
      <w:r w:rsidR="000A3C40">
        <w:rPr>
          <w:color w:val="000000"/>
        </w:rPr>
        <w:t xml:space="preserve"> broader program of work </w:t>
      </w:r>
      <w:r>
        <w:rPr>
          <w:color w:val="000000"/>
        </w:rPr>
        <w:t>to combat</w:t>
      </w:r>
      <w:r w:rsidR="000A3C40">
        <w:rPr>
          <w:color w:val="000000"/>
        </w:rPr>
        <w:t xml:space="preserve"> scams on telecommunications networks.</w:t>
      </w:r>
    </w:p>
    <w:p w14:paraId="58714266" w14:textId="4078FFE6" w:rsidR="000B4664" w:rsidRPr="00E162C4" w:rsidRDefault="00F03B5E" w:rsidP="000B4664">
      <w:pPr>
        <w:pStyle w:val="Heading1"/>
      </w:pPr>
      <w:bookmarkStart w:id="11" w:name="_Toc113535575"/>
      <w:bookmarkStart w:id="12" w:name="_Toc115779213"/>
      <w:r>
        <w:t xml:space="preserve">Proposed </w:t>
      </w:r>
      <w:r w:rsidR="00444D89">
        <w:t>amendments</w:t>
      </w:r>
      <w:bookmarkEnd w:id="11"/>
      <w:bookmarkEnd w:id="12"/>
    </w:p>
    <w:p w14:paraId="0C0D376C" w14:textId="1F2700C3" w:rsidR="005E250B" w:rsidRPr="00E162C4" w:rsidRDefault="00801CD3" w:rsidP="005E250B">
      <w:pPr>
        <w:pStyle w:val="Heading2"/>
      </w:pPr>
      <w:bookmarkStart w:id="13" w:name="_Toc115779214"/>
      <w:r>
        <w:t xml:space="preserve">1. </w:t>
      </w:r>
      <w:bookmarkStart w:id="14" w:name="_Toc113535576"/>
      <w:r w:rsidR="00444D89">
        <w:t xml:space="preserve">Supporting scam </w:t>
      </w:r>
      <w:r w:rsidR="0025007C">
        <w:t xml:space="preserve">disruption </w:t>
      </w:r>
      <w:r w:rsidR="00444D89">
        <w:t>initiatives</w:t>
      </w:r>
      <w:bookmarkEnd w:id="14"/>
      <w:bookmarkEnd w:id="13"/>
      <w:r w:rsidR="005E250B" w:rsidRPr="00E162C4">
        <w:t xml:space="preserve"> </w:t>
      </w:r>
    </w:p>
    <w:p w14:paraId="7DBDD589" w14:textId="07AB798E" w:rsidR="00FB3E5A" w:rsidRDefault="00E30146" w:rsidP="00166B9F">
      <w:pPr>
        <w:pStyle w:val="Paragraph"/>
      </w:pPr>
      <w:r w:rsidRPr="003B6E25">
        <w:rPr>
          <w:iCs/>
          <w:szCs w:val="20"/>
        </w:rPr>
        <w:t>Phone scams cause significant direct social and economic harms</w:t>
      </w:r>
      <w:r>
        <w:rPr>
          <w:iCs/>
          <w:szCs w:val="20"/>
        </w:rPr>
        <w:t>.</w:t>
      </w:r>
      <w:r w:rsidR="00FB3E5A">
        <w:rPr>
          <w:iCs/>
          <w:szCs w:val="20"/>
        </w:rPr>
        <w:t xml:space="preserve"> The ACMA and industry have been actively engaged in disrupting scams, with new rules in force that require </w:t>
      </w:r>
      <w:r w:rsidR="00260D06">
        <w:rPr>
          <w:iCs/>
          <w:szCs w:val="20"/>
        </w:rPr>
        <w:t>CSP</w:t>
      </w:r>
      <w:r w:rsidR="00D96331">
        <w:rPr>
          <w:iCs/>
          <w:szCs w:val="20"/>
        </w:rPr>
        <w:t>s</w:t>
      </w:r>
      <w:r w:rsidR="00FB3E5A">
        <w:rPr>
          <w:iCs/>
          <w:szCs w:val="20"/>
        </w:rPr>
        <w:t xml:space="preserve"> to use multifactor identification on a range of customer transactions targeted by scammers. There are also new obligations in force requiring </w:t>
      </w:r>
      <w:r w:rsidR="00260D06">
        <w:rPr>
          <w:iCs/>
          <w:szCs w:val="20"/>
        </w:rPr>
        <w:t>CSP</w:t>
      </w:r>
      <w:r w:rsidR="00D96331">
        <w:rPr>
          <w:iCs/>
          <w:szCs w:val="20"/>
        </w:rPr>
        <w:t>s</w:t>
      </w:r>
      <w:r w:rsidR="00FB3E5A">
        <w:rPr>
          <w:iCs/>
          <w:szCs w:val="20"/>
        </w:rPr>
        <w:t xml:space="preserve"> to identify and block scam calls and texts.</w:t>
      </w:r>
    </w:p>
    <w:p w14:paraId="426B3087" w14:textId="6B8CFCAF" w:rsidR="00823155" w:rsidRDefault="00823155" w:rsidP="00823155">
      <w:pPr>
        <w:pStyle w:val="Paragraph"/>
        <w:rPr>
          <w:szCs w:val="20"/>
        </w:rPr>
      </w:pPr>
      <w:r>
        <w:rPr>
          <w:iCs/>
          <w:szCs w:val="20"/>
        </w:rPr>
        <w:t>There is very</w:t>
      </w:r>
      <w:r w:rsidR="00FB3E5A">
        <w:rPr>
          <w:szCs w:val="20"/>
        </w:rPr>
        <w:t xml:space="preserve"> promising data </w:t>
      </w:r>
      <w:r w:rsidR="00D96331">
        <w:rPr>
          <w:szCs w:val="20"/>
        </w:rPr>
        <w:t>that these initiatives are having a positive impact.</w:t>
      </w:r>
      <w:r>
        <w:rPr>
          <w:szCs w:val="20"/>
        </w:rPr>
        <w:t xml:space="preserve"> </w:t>
      </w:r>
      <w:r w:rsidR="00D96331">
        <w:rPr>
          <w:szCs w:val="20"/>
        </w:rPr>
        <w:t>H</w:t>
      </w:r>
      <w:r>
        <w:rPr>
          <w:szCs w:val="20"/>
        </w:rPr>
        <w:t>owever</w:t>
      </w:r>
      <w:r w:rsidR="00F069B5">
        <w:rPr>
          <w:szCs w:val="20"/>
        </w:rPr>
        <w:t>,</w:t>
      </w:r>
      <w:r>
        <w:rPr>
          <w:szCs w:val="20"/>
        </w:rPr>
        <w:t xml:space="preserve"> </w:t>
      </w:r>
      <w:r w:rsidR="00E30146" w:rsidRPr="00637034">
        <w:rPr>
          <w:szCs w:val="20"/>
        </w:rPr>
        <w:t xml:space="preserve">scams are caused by third-party bad actors, </w:t>
      </w:r>
      <w:r w:rsidR="00E30146">
        <w:rPr>
          <w:szCs w:val="20"/>
        </w:rPr>
        <w:t>generally</w:t>
      </w:r>
      <w:r w:rsidR="00E30146" w:rsidRPr="00637034">
        <w:rPr>
          <w:szCs w:val="20"/>
        </w:rPr>
        <w:t xml:space="preserve"> operating offshore. Scammers are determined</w:t>
      </w:r>
      <w:r w:rsidR="008752E4">
        <w:rPr>
          <w:szCs w:val="20"/>
        </w:rPr>
        <w:t xml:space="preserve">, </w:t>
      </w:r>
      <w:r w:rsidR="00E30146" w:rsidRPr="00637034">
        <w:rPr>
          <w:szCs w:val="20"/>
        </w:rPr>
        <w:t>agile</w:t>
      </w:r>
      <w:r w:rsidR="00F34163">
        <w:rPr>
          <w:szCs w:val="20"/>
        </w:rPr>
        <w:t xml:space="preserve"> and decept</w:t>
      </w:r>
      <w:r w:rsidR="008752E4">
        <w:rPr>
          <w:szCs w:val="20"/>
        </w:rPr>
        <w:t xml:space="preserve">ive. </w:t>
      </w:r>
      <w:r w:rsidR="00F34163">
        <w:rPr>
          <w:szCs w:val="20"/>
        </w:rPr>
        <w:t>They</w:t>
      </w:r>
      <w:r w:rsidR="00E30146" w:rsidRPr="00637034">
        <w:rPr>
          <w:szCs w:val="20"/>
        </w:rPr>
        <w:t xml:space="preserve"> adapt to regulatory measures </w:t>
      </w:r>
      <w:r w:rsidR="000A15E6">
        <w:rPr>
          <w:szCs w:val="20"/>
        </w:rPr>
        <w:t xml:space="preserve">and </w:t>
      </w:r>
      <w:r w:rsidR="00E30146" w:rsidRPr="00637034">
        <w:rPr>
          <w:szCs w:val="20"/>
        </w:rPr>
        <w:t>target system</w:t>
      </w:r>
      <w:r w:rsidR="008752E4">
        <w:rPr>
          <w:szCs w:val="20"/>
        </w:rPr>
        <w:t xml:space="preserve"> </w:t>
      </w:r>
      <w:r w:rsidR="008752E4" w:rsidRPr="00637034">
        <w:rPr>
          <w:szCs w:val="20"/>
        </w:rPr>
        <w:t>weaknesses</w:t>
      </w:r>
      <w:r w:rsidR="00E30146" w:rsidRPr="00637034">
        <w:rPr>
          <w:szCs w:val="20"/>
        </w:rPr>
        <w:t xml:space="preserve"> </w:t>
      </w:r>
      <w:r w:rsidR="000A15E6">
        <w:rPr>
          <w:szCs w:val="20"/>
        </w:rPr>
        <w:t>and</w:t>
      </w:r>
      <w:r w:rsidR="00E30146" w:rsidRPr="00637034">
        <w:rPr>
          <w:szCs w:val="20"/>
        </w:rPr>
        <w:t xml:space="preserve"> perceived regulatory gaps.</w:t>
      </w:r>
    </w:p>
    <w:p w14:paraId="271E031D" w14:textId="12A2FC54" w:rsidR="00E30146" w:rsidRDefault="00823155" w:rsidP="00571177">
      <w:pPr>
        <w:pStyle w:val="Paragraph"/>
        <w:rPr>
          <w:szCs w:val="20"/>
        </w:rPr>
      </w:pPr>
      <w:r>
        <w:rPr>
          <w:szCs w:val="20"/>
        </w:rPr>
        <w:t>In this context</w:t>
      </w:r>
      <w:r w:rsidR="005B082E">
        <w:rPr>
          <w:szCs w:val="20"/>
        </w:rPr>
        <w:t xml:space="preserve">, </w:t>
      </w:r>
      <w:r>
        <w:rPr>
          <w:szCs w:val="20"/>
        </w:rPr>
        <w:t>and noting p</w:t>
      </w:r>
      <w:r w:rsidRPr="00541FE2">
        <w:rPr>
          <w:szCs w:val="20"/>
        </w:rPr>
        <w:t xml:space="preserve">hone </w:t>
      </w:r>
      <w:r>
        <w:rPr>
          <w:szCs w:val="20"/>
        </w:rPr>
        <w:t>s</w:t>
      </w:r>
      <w:r w:rsidRPr="00541FE2">
        <w:rPr>
          <w:szCs w:val="20"/>
        </w:rPr>
        <w:t xml:space="preserve">cams </w:t>
      </w:r>
      <w:r>
        <w:rPr>
          <w:szCs w:val="20"/>
        </w:rPr>
        <w:t>are an</w:t>
      </w:r>
      <w:r w:rsidRPr="00541FE2">
        <w:rPr>
          <w:szCs w:val="20"/>
        </w:rPr>
        <w:t xml:space="preserve"> ACMA </w:t>
      </w:r>
      <w:r>
        <w:rPr>
          <w:szCs w:val="20"/>
        </w:rPr>
        <w:t>c</w:t>
      </w:r>
      <w:r w:rsidRPr="00541FE2">
        <w:rPr>
          <w:szCs w:val="20"/>
        </w:rPr>
        <w:t xml:space="preserve">ompliance </w:t>
      </w:r>
      <w:r>
        <w:rPr>
          <w:szCs w:val="20"/>
        </w:rPr>
        <w:t>p</w:t>
      </w:r>
      <w:r w:rsidRPr="00541FE2">
        <w:rPr>
          <w:szCs w:val="20"/>
        </w:rPr>
        <w:t xml:space="preserve">riority </w:t>
      </w:r>
      <w:r>
        <w:rPr>
          <w:szCs w:val="20"/>
        </w:rPr>
        <w:t>in 2022</w:t>
      </w:r>
      <w:r w:rsidR="00BF39DF" w:rsidRPr="001C37E9">
        <w:t>–</w:t>
      </w:r>
      <w:r>
        <w:rPr>
          <w:szCs w:val="20"/>
        </w:rPr>
        <w:t>23</w:t>
      </w:r>
      <w:r w:rsidR="005B082E">
        <w:rPr>
          <w:szCs w:val="20"/>
        </w:rPr>
        <w:t xml:space="preserve">, </w:t>
      </w:r>
      <w:r>
        <w:rPr>
          <w:szCs w:val="20"/>
        </w:rPr>
        <w:t xml:space="preserve">several additional measures are proposed within the </w:t>
      </w:r>
      <w:r w:rsidR="005B082E">
        <w:rPr>
          <w:szCs w:val="20"/>
        </w:rPr>
        <w:t>d</w:t>
      </w:r>
      <w:r>
        <w:rPr>
          <w:szCs w:val="20"/>
        </w:rPr>
        <w:t xml:space="preserve">raft </w:t>
      </w:r>
      <w:r w:rsidR="005B082E">
        <w:rPr>
          <w:szCs w:val="20"/>
        </w:rPr>
        <w:t>v</w:t>
      </w:r>
      <w:r>
        <w:rPr>
          <w:szCs w:val="20"/>
        </w:rPr>
        <w:t xml:space="preserve">ariation to </w:t>
      </w:r>
      <w:r w:rsidR="0013708C">
        <w:rPr>
          <w:szCs w:val="20"/>
        </w:rPr>
        <w:t xml:space="preserve">further </w:t>
      </w:r>
      <w:r>
        <w:rPr>
          <w:szCs w:val="20"/>
        </w:rPr>
        <w:t>support the fight against scammers targeting Australia</w:t>
      </w:r>
      <w:r w:rsidR="0025007C">
        <w:rPr>
          <w:szCs w:val="20"/>
        </w:rPr>
        <w:t>n</w:t>
      </w:r>
      <w:r>
        <w:rPr>
          <w:szCs w:val="20"/>
        </w:rPr>
        <w:t xml:space="preserve">s </w:t>
      </w:r>
      <w:r w:rsidR="0025007C">
        <w:rPr>
          <w:szCs w:val="20"/>
        </w:rPr>
        <w:t xml:space="preserve">via </w:t>
      </w:r>
      <w:r>
        <w:rPr>
          <w:szCs w:val="20"/>
        </w:rPr>
        <w:t>telecommunications services.</w:t>
      </w:r>
    </w:p>
    <w:p w14:paraId="5E56A63F" w14:textId="0793F822" w:rsidR="00674606" w:rsidRPr="00541FE2" w:rsidRDefault="00674606" w:rsidP="00674606">
      <w:pPr>
        <w:pStyle w:val="Heading3"/>
        <w:rPr>
          <w:szCs w:val="20"/>
        </w:rPr>
      </w:pPr>
      <w:r>
        <w:rPr>
          <w:szCs w:val="20"/>
        </w:rPr>
        <w:t>7226 (SCAM) short code</w:t>
      </w:r>
    </w:p>
    <w:p w14:paraId="4BA774BA" w14:textId="238342B9" w:rsidR="005514F3" w:rsidRDefault="00B21D84" w:rsidP="00674606">
      <w:pPr>
        <w:pStyle w:val="Paragraph"/>
        <w:rPr>
          <w:szCs w:val="20"/>
        </w:rPr>
      </w:pPr>
      <w:r>
        <w:rPr>
          <w:szCs w:val="20"/>
        </w:rPr>
        <w:t xml:space="preserve">We propose to amend Schedule 5 to the </w:t>
      </w:r>
      <w:r w:rsidR="003250C7">
        <w:rPr>
          <w:szCs w:val="20"/>
        </w:rPr>
        <w:t xml:space="preserve">numbering </w:t>
      </w:r>
      <w:r w:rsidR="00300D6A">
        <w:rPr>
          <w:szCs w:val="20"/>
        </w:rPr>
        <w:t>p</w:t>
      </w:r>
      <w:r>
        <w:rPr>
          <w:szCs w:val="20"/>
        </w:rPr>
        <w:t>lan to s</w:t>
      </w:r>
      <w:r w:rsidR="00444D89" w:rsidRPr="00674606">
        <w:rPr>
          <w:szCs w:val="20"/>
        </w:rPr>
        <w:t xml:space="preserve">pecify 7226 as a </w:t>
      </w:r>
      <w:r w:rsidR="00A23AEF">
        <w:rPr>
          <w:szCs w:val="20"/>
        </w:rPr>
        <w:t xml:space="preserve">shared </w:t>
      </w:r>
      <w:r w:rsidR="00A23AEF" w:rsidRPr="00674606">
        <w:rPr>
          <w:szCs w:val="20"/>
        </w:rPr>
        <w:t>special service</w:t>
      </w:r>
      <w:r w:rsidR="00444D89" w:rsidRPr="00674606">
        <w:rPr>
          <w:szCs w:val="20"/>
        </w:rPr>
        <w:t xml:space="preserve"> 4</w:t>
      </w:r>
      <w:r w:rsidR="0034748D">
        <w:rPr>
          <w:szCs w:val="20"/>
        </w:rPr>
        <w:t>-</w:t>
      </w:r>
      <w:r w:rsidR="00444D89" w:rsidRPr="00674606">
        <w:rPr>
          <w:szCs w:val="20"/>
        </w:rPr>
        <w:t>digit number</w:t>
      </w:r>
      <w:r w:rsidR="008520A8">
        <w:rPr>
          <w:szCs w:val="20"/>
        </w:rPr>
        <w:t xml:space="preserve"> for community service purposes</w:t>
      </w:r>
      <w:r w:rsidR="00444D89" w:rsidRPr="00674606">
        <w:rPr>
          <w:szCs w:val="20"/>
        </w:rPr>
        <w:t>.</w:t>
      </w:r>
      <w:r w:rsidR="005514F3">
        <w:rPr>
          <w:szCs w:val="20"/>
        </w:rPr>
        <w:t xml:space="preserve"> </w:t>
      </w:r>
      <w:r w:rsidR="0013708C">
        <w:rPr>
          <w:szCs w:val="20"/>
        </w:rPr>
        <w:t xml:space="preserve">7226 spells SCAM on a keypad. </w:t>
      </w:r>
      <w:r w:rsidR="005514F3">
        <w:rPr>
          <w:szCs w:val="20"/>
        </w:rPr>
        <w:t xml:space="preserve">We propose that </w:t>
      </w:r>
      <w:r w:rsidR="005514F3">
        <w:t>incoming international access would not be available</w:t>
      </w:r>
      <w:r w:rsidR="00823155">
        <w:t xml:space="preserve">. </w:t>
      </w:r>
      <w:r w:rsidR="005B082E">
        <w:t xml:space="preserve">We also propose that it </w:t>
      </w:r>
      <w:r w:rsidR="00823155">
        <w:t xml:space="preserve">would </w:t>
      </w:r>
      <w:r w:rsidR="005B082E">
        <w:t xml:space="preserve">not </w:t>
      </w:r>
      <w:r w:rsidR="00823155">
        <w:t>be</w:t>
      </w:r>
      <w:r w:rsidR="005514F3">
        <w:t xml:space="preserve"> a low charge number or</w:t>
      </w:r>
      <w:r w:rsidR="00823155">
        <w:t xml:space="preserve"> </w:t>
      </w:r>
      <w:r w:rsidR="005514F3">
        <w:t>selectable number.</w:t>
      </w:r>
    </w:p>
    <w:p w14:paraId="22D8E15E" w14:textId="14CAFAC3" w:rsidR="00960916" w:rsidRDefault="00960916" w:rsidP="00960916">
      <w:pPr>
        <w:pStyle w:val="Paragraph"/>
        <w:rPr>
          <w:szCs w:val="20"/>
        </w:rPr>
      </w:pPr>
      <w:r>
        <w:rPr>
          <w:szCs w:val="20"/>
        </w:rPr>
        <w:t>Specifying 7</w:t>
      </w:r>
      <w:r w:rsidR="00E94DB1">
        <w:rPr>
          <w:szCs w:val="20"/>
        </w:rPr>
        <w:t>2</w:t>
      </w:r>
      <w:r>
        <w:rPr>
          <w:szCs w:val="20"/>
        </w:rPr>
        <w:t>26 will</w:t>
      </w:r>
      <w:r w:rsidRPr="00674606">
        <w:rPr>
          <w:szCs w:val="20"/>
        </w:rPr>
        <w:t xml:space="preserve"> support</w:t>
      </w:r>
      <w:r w:rsidR="00823155">
        <w:rPr>
          <w:szCs w:val="20"/>
        </w:rPr>
        <w:t xml:space="preserve"> </w:t>
      </w:r>
      <w:r w:rsidRPr="00674606">
        <w:rPr>
          <w:szCs w:val="20"/>
        </w:rPr>
        <w:t>industry</w:t>
      </w:r>
      <w:r w:rsidR="00823155">
        <w:rPr>
          <w:szCs w:val="20"/>
        </w:rPr>
        <w:t xml:space="preserve"> </w:t>
      </w:r>
      <w:r w:rsidRPr="00674606">
        <w:rPr>
          <w:szCs w:val="20"/>
        </w:rPr>
        <w:t>initiative</w:t>
      </w:r>
      <w:r w:rsidR="00823155">
        <w:rPr>
          <w:szCs w:val="20"/>
        </w:rPr>
        <w:t>s</w:t>
      </w:r>
      <w:r w:rsidRPr="00674606">
        <w:rPr>
          <w:szCs w:val="20"/>
        </w:rPr>
        <w:t xml:space="preserve"> to enable </w:t>
      </w:r>
      <w:r w:rsidR="00260D06">
        <w:rPr>
          <w:szCs w:val="20"/>
        </w:rPr>
        <w:t>CSP</w:t>
      </w:r>
      <w:r w:rsidR="005B082E">
        <w:rPr>
          <w:szCs w:val="20"/>
        </w:rPr>
        <w:t xml:space="preserve"> </w:t>
      </w:r>
      <w:r w:rsidR="00823155">
        <w:rPr>
          <w:szCs w:val="20"/>
        </w:rPr>
        <w:t>customers</w:t>
      </w:r>
      <w:r w:rsidR="005B082E">
        <w:rPr>
          <w:szCs w:val="20"/>
        </w:rPr>
        <w:t xml:space="preserve"> </w:t>
      </w:r>
      <w:r w:rsidRPr="00674606">
        <w:rPr>
          <w:szCs w:val="20"/>
        </w:rPr>
        <w:t>to report scam</w:t>
      </w:r>
      <w:r w:rsidR="005F35AC">
        <w:rPr>
          <w:szCs w:val="20"/>
        </w:rPr>
        <w:t xml:space="preserve"> </w:t>
      </w:r>
      <w:r w:rsidR="0034748D">
        <w:rPr>
          <w:szCs w:val="20"/>
        </w:rPr>
        <w:t>texts</w:t>
      </w:r>
      <w:r w:rsidR="0034748D" w:rsidRPr="00674606">
        <w:rPr>
          <w:szCs w:val="20"/>
        </w:rPr>
        <w:t xml:space="preserve"> </w:t>
      </w:r>
      <w:r w:rsidRPr="00674606">
        <w:rPr>
          <w:szCs w:val="20"/>
        </w:rPr>
        <w:t xml:space="preserve">to </w:t>
      </w:r>
      <w:r w:rsidR="00823155">
        <w:rPr>
          <w:szCs w:val="20"/>
        </w:rPr>
        <w:t>their provider via a</w:t>
      </w:r>
      <w:r w:rsidRPr="00674606">
        <w:rPr>
          <w:szCs w:val="20"/>
        </w:rPr>
        <w:t xml:space="preserve"> single short code.</w:t>
      </w:r>
      <w:r>
        <w:rPr>
          <w:szCs w:val="20"/>
        </w:rPr>
        <w:t xml:space="preserve"> It is not intended to be a </w:t>
      </w:r>
      <w:r w:rsidRPr="001A420C">
        <w:rPr>
          <w:szCs w:val="20"/>
        </w:rPr>
        <w:t xml:space="preserve">mandatory or a single solution, but </w:t>
      </w:r>
      <w:r>
        <w:rPr>
          <w:szCs w:val="20"/>
        </w:rPr>
        <w:t xml:space="preserve">an additional </w:t>
      </w:r>
      <w:r w:rsidRPr="001A420C">
        <w:rPr>
          <w:szCs w:val="20"/>
        </w:rPr>
        <w:t xml:space="preserve">tool </w:t>
      </w:r>
      <w:r>
        <w:rPr>
          <w:szCs w:val="20"/>
        </w:rPr>
        <w:t>to</w:t>
      </w:r>
      <w:r w:rsidRPr="001A420C">
        <w:rPr>
          <w:szCs w:val="20"/>
        </w:rPr>
        <w:t xml:space="preserve"> </w:t>
      </w:r>
      <w:r w:rsidR="00692E57">
        <w:rPr>
          <w:szCs w:val="20"/>
        </w:rPr>
        <w:t xml:space="preserve">assist </w:t>
      </w:r>
      <w:r w:rsidR="00260D06">
        <w:rPr>
          <w:szCs w:val="20"/>
        </w:rPr>
        <w:t>CSP</w:t>
      </w:r>
      <w:r w:rsidR="00692E57">
        <w:rPr>
          <w:szCs w:val="20"/>
        </w:rPr>
        <w:t xml:space="preserve">-level </w:t>
      </w:r>
      <w:r w:rsidRPr="001A420C">
        <w:rPr>
          <w:szCs w:val="20"/>
        </w:rPr>
        <w:t>disrupt</w:t>
      </w:r>
      <w:r w:rsidR="00692E57">
        <w:rPr>
          <w:szCs w:val="20"/>
        </w:rPr>
        <w:t>ion of</w:t>
      </w:r>
      <w:r w:rsidRPr="001A420C">
        <w:rPr>
          <w:szCs w:val="20"/>
        </w:rPr>
        <w:t xml:space="preserve"> scams.</w:t>
      </w:r>
      <w:r w:rsidR="00823155">
        <w:rPr>
          <w:szCs w:val="20"/>
        </w:rPr>
        <w:t xml:space="preserve"> </w:t>
      </w:r>
      <w:r w:rsidR="00260D06">
        <w:rPr>
          <w:szCs w:val="20"/>
        </w:rPr>
        <w:t>CSP</w:t>
      </w:r>
      <w:r w:rsidR="005B082E">
        <w:rPr>
          <w:szCs w:val="20"/>
        </w:rPr>
        <w:t>s</w:t>
      </w:r>
      <w:r w:rsidR="00823155">
        <w:rPr>
          <w:szCs w:val="20"/>
        </w:rPr>
        <w:t xml:space="preserve"> would determine if they provide the number to their customers for use, and how the </w:t>
      </w:r>
      <w:r w:rsidR="00940CAC">
        <w:rPr>
          <w:szCs w:val="20"/>
        </w:rPr>
        <w:t xml:space="preserve">resulting </w:t>
      </w:r>
      <w:r w:rsidR="00823155">
        <w:rPr>
          <w:szCs w:val="20"/>
        </w:rPr>
        <w:t>data is used to identify and act on scams.</w:t>
      </w:r>
      <w:r w:rsidRPr="001A420C">
        <w:rPr>
          <w:szCs w:val="20"/>
        </w:rPr>
        <w:t xml:space="preserve"> </w:t>
      </w:r>
    </w:p>
    <w:p w14:paraId="2AFA24E9" w14:textId="519D2962" w:rsidR="00D10DBA" w:rsidRDefault="00823155" w:rsidP="002A6610">
      <w:pPr>
        <w:pStyle w:val="Paragraph"/>
        <w:rPr>
          <w:szCs w:val="20"/>
        </w:rPr>
      </w:pPr>
      <w:r>
        <w:rPr>
          <w:szCs w:val="20"/>
        </w:rPr>
        <w:t>A</w:t>
      </w:r>
      <w:r w:rsidR="0025007C">
        <w:rPr>
          <w:szCs w:val="20"/>
        </w:rPr>
        <w:t xml:space="preserve"> similar</w:t>
      </w:r>
      <w:r w:rsidR="00B21D84">
        <w:rPr>
          <w:szCs w:val="20"/>
        </w:rPr>
        <w:t xml:space="preserve"> </w:t>
      </w:r>
      <w:r w:rsidR="00B21D84" w:rsidRPr="001A420C">
        <w:rPr>
          <w:szCs w:val="20"/>
        </w:rPr>
        <w:t xml:space="preserve">7726 Spam Reporting System, developed by the Global System for Mobile Communications, is currently used in the US, </w:t>
      </w:r>
      <w:r w:rsidR="0034748D">
        <w:rPr>
          <w:szCs w:val="20"/>
        </w:rPr>
        <w:t>UK</w:t>
      </w:r>
      <w:r w:rsidR="00B21D84" w:rsidRPr="001A420C">
        <w:rPr>
          <w:szCs w:val="20"/>
        </w:rPr>
        <w:t xml:space="preserve"> and New Zealand. This system enables consumers to forward unsolicited</w:t>
      </w:r>
      <w:r w:rsidR="002A6610">
        <w:rPr>
          <w:szCs w:val="20"/>
        </w:rPr>
        <w:t xml:space="preserve"> </w:t>
      </w:r>
      <w:r w:rsidR="00166B9F">
        <w:rPr>
          <w:szCs w:val="20"/>
        </w:rPr>
        <w:t>text</w:t>
      </w:r>
      <w:r w:rsidR="00166B9F" w:rsidRPr="001A420C">
        <w:rPr>
          <w:szCs w:val="20"/>
        </w:rPr>
        <w:t xml:space="preserve"> </w:t>
      </w:r>
      <w:r w:rsidR="00B21D84" w:rsidRPr="001A420C">
        <w:rPr>
          <w:szCs w:val="20"/>
        </w:rPr>
        <w:t>communications to 7726.</w:t>
      </w:r>
    </w:p>
    <w:p w14:paraId="10B01568" w14:textId="11B6DF10" w:rsidR="002A6610" w:rsidRPr="002A6610" w:rsidRDefault="002A6610" w:rsidP="002A6610">
      <w:pPr>
        <w:pStyle w:val="Paragraph"/>
        <w:rPr>
          <w:szCs w:val="20"/>
        </w:rPr>
      </w:pPr>
      <w:r w:rsidRPr="002A6610">
        <w:t>We do not propose specifying 7</w:t>
      </w:r>
      <w:r w:rsidR="005F35AC">
        <w:t>7</w:t>
      </w:r>
      <w:r w:rsidRPr="002A6610">
        <w:t>26 (SPAM)</w:t>
      </w:r>
      <w:r w:rsidR="00D10DBA">
        <w:t xml:space="preserve"> as part of this variation</w:t>
      </w:r>
      <w:r>
        <w:t xml:space="preserve"> </w:t>
      </w:r>
      <w:r w:rsidR="00BB015C">
        <w:t>so that we</w:t>
      </w:r>
      <w:r w:rsidR="00EC1466" w:rsidRPr="00EC1466">
        <w:t xml:space="preserve"> </w:t>
      </w:r>
      <w:r w:rsidR="00BB015C">
        <w:t xml:space="preserve">clearly </w:t>
      </w:r>
      <w:r w:rsidR="00EC1466">
        <w:t>differentiate b</w:t>
      </w:r>
      <w:r w:rsidR="00BB015C">
        <w:t xml:space="preserve">etween scam and spam </w:t>
      </w:r>
      <w:r w:rsidR="00EC1466" w:rsidRPr="00EC1466">
        <w:t>reporting</w:t>
      </w:r>
      <w:r w:rsidR="00EC1466">
        <w:t>. T</w:t>
      </w:r>
      <w:r w:rsidR="00EC1466" w:rsidRPr="002A6610">
        <w:t xml:space="preserve">he </w:t>
      </w:r>
      <w:r w:rsidRPr="002A6610">
        <w:t xml:space="preserve">ACMA </w:t>
      </w:r>
      <w:r w:rsidR="00EC1466" w:rsidRPr="002A6610">
        <w:t>regulat</w:t>
      </w:r>
      <w:r w:rsidR="00EC1466">
        <w:t>es spam</w:t>
      </w:r>
      <w:r w:rsidR="0025007C">
        <w:t xml:space="preserve">, which is </w:t>
      </w:r>
      <w:r w:rsidR="00D079DF">
        <w:t xml:space="preserve">defined as being </w:t>
      </w:r>
      <w:r w:rsidR="0025007C">
        <w:t>commercial electronic messaging,</w:t>
      </w:r>
      <w:r w:rsidR="00EC1466">
        <w:t xml:space="preserve"> </w:t>
      </w:r>
      <w:r w:rsidRPr="002A6610">
        <w:t xml:space="preserve">under the </w:t>
      </w:r>
      <w:r w:rsidRPr="002A6610">
        <w:rPr>
          <w:i/>
          <w:iCs/>
        </w:rPr>
        <w:t>Spam Act 2003</w:t>
      </w:r>
      <w:r w:rsidR="00692E57">
        <w:t>. C</w:t>
      </w:r>
      <w:r w:rsidR="00EC1466">
        <w:t xml:space="preserve">onsumers </w:t>
      </w:r>
      <w:r w:rsidR="00E16A3E">
        <w:t xml:space="preserve">can make a complaint about spam directly to the ACMA via our website: </w:t>
      </w:r>
      <w:hyperlink r:id="rId25" w:history="1">
        <w:r w:rsidR="00E16A3E" w:rsidRPr="00C93942">
          <w:rPr>
            <w:rStyle w:val="Hyperlink"/>
          </w:rPr>
          <w:t>www.acma.gov.au/spam-complaint-form</w:t>
        </w:r>
      </w:hyperlink>
      <w:r w:rsidR="00E16A3E">
        <w:t xml:space="preserve">. </w:t>
      </w:r>
    </w:p>
    <w:p w14:paraId="5B2B7A24" w14:textId="0620AF01" w:rsidR="003F173C" w:rsidRPr="00E162C4" w:rsidRDefault="003F173C" w:rsidP="003F173C">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E162C4">
        <w:t>Question 1</w:t>
      </w:r>
      <w:r w:rsidR="00A33177">
        <w:t>.1</w:t>
      </w:r>
    </w:p>
    <w:p w14:paraId="7E01F5DF" w14:textId="3B976A6F" w:rsidR="003F173C" w:rsidRDefault="00A33177" w:rsidP="003F173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Do you support these initiatives? Why? Why not?</w:t>
      </w:r>
      <w:r w:rsidR="002A6610">
        <w:t xml:space="preserve"> </w:t>
      </w:r>
    </w:p>
    <w:p w14:paraId="4420C362" w14:textId="6B8B11E3" w:rsidR="003F173C" w:rsidRPr="00E162C4" w:rsidRDefault="003F173C" w:rsidP="003F173C">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A33177">
        <w:t>1.</w:t>
      </w:r>
      <w:r w:rsidR="002A6610">
        <w:t>2</w:t>
      </w:r>
    </w:p>
    <w:p w14:paraId="430DE17B" w14:textId="729C04E6" w:rsidR="003F173C" w:rsidRDefault="00A33177" w:rsidP="003F173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Is there any specific cost or burden in relation to the proposals? If so, please provide specific detail against each relevant item.</w:t>
      </w:r>
    </w:p>
    <w:p w14:paraId="5E8A6F8E" w14:textId="09673E02" w:rsidR="008520A8" w:rsidRPr="00A33177" w:rsidRDefault="008520A8" w:rsidP="00A3317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A33177">
        <w:t xml:space="preserve">Question </w:t>
      </w:r>
      <w:r w:rsidR="00A33177" w:rsidRPr="00A33177">
        <w:t>1.</w:t>
      </w:r>
      <w:r w:rsidRPr="00A33177">
        <w:t>3</w:t>
      </w:r>
    </w:p>
    <w:p w14:paraId="6C2B70FE" w14:textId="09B24897" w:rsidR="008520A8" w:rsidRDefault="00A33177" w:rsidP="003F173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If you are a </w:t>
      </w:r>
      <w:r w:rsidR="00260D06">
        <w:t>CSP</w:t>
      </w:r>
      <w:r>
        <w:t>, will you promote the use of the 7226 (SCAM) code to your customers</w:t>
      </w:r>
      <w:r w:rsidRPr="002E083B">
        <w:t>?</w:t>
      </w:r>
    </w:p>
    <w:p w14:paraId="43A83214" w14:textId="1EAC619B" w:rsidR="00A33177" w:rsidRPr="00A33177" w:rsidRDefault="00A33177" w:rsidP="00A3317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A33177">
        <w:t>Question 1.4</w:t>
      </w:r>
    </w:p>
    <w:p w14:paraId="219848A2" w14:textId="2B84C673" w:rsidR="00A33177" w:rsidRDefault="00A33177" w:rsidP="003F173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Should 7226 be classified as </w:t>
      </w:r>
      <w:r w:rsidR="00940CAC">
        <w:t>a</w:t>
      </w:r>
      <w:r>
        <w:t xml:space="preserve"> community service?</w:t>
      </w:r>
    </w:p>
    <w:p w14:paraId="563D2D3F" w14:textId="35FD370B" w:rsidR="00A33177" w:rsidRPr="00A33177" w:rsidRDefault="00A33177" w:rsidP="00A3317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A33177">
        <w:t>Question 1.</w:t>
      </w:r>
      <w:r>
        <w:t>5</w:t>
      </w:r>
    </w:p>
    <w:p w14:paraId="163DFCD9" w14:textId="72FE6933" w:rsidR="00A33177" w:rsidRDefault="00A33177" w:rsidP="003F173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Should incoming international access be available for 7226?</w:t>
      </w:r>
    </w:p>
    <w:p w14:paraId="2516B3A1" w14:textId="65ACFB40" w:rsidR="00A33177" w:rsidRDefault="00A33177" w:rsidP="00A3317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A33177">
        <w:t>Question 1.</w:t>
      </w:r>
      <w:r>
        <w:t>6</w:t>
      </w:r>
    </w:p>
    <w:p w14:paraId="5E08F9F3" w14:textId="0398B0B2" w:rsidR="00A33177" w:rsidRDefault="00A33177" w:rsidP="003F173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Should 7226 be classified as a low charge number?</w:t>
      </w:r>
    </w:p>
    <w:p w14:paraId="55861A83" w14:textId="577731CF" w:rsidR="00A33177" w:rsidRDefault="00A33177" w:rsidP="00A33177">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A33177">
        <w:t>Question 1.</w:t>
      </w:r>
      <w:r>
        <w:t>7</w:t>
      </w:r>
    </w:p>
    <w:p w14:paraId="18596A4B" w14:textId="0606ACE9" w:rsidR="00A33177" w:rsidRPr="003F173C" w:rsidRDefault="00A33177" w:rsidP="003F173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Should 7226 be classified as a selectable number?</w:t>
      </w:r>
    </w:p>
    <w:p w14:paraId="76085759" w14:textId="6EBD7327" w:rsidR="00674606" w:rsidRPr="00674606" w:rsidRDefault="0025007C" w:rsidP="00674606">
      <w:pPr>
        <w:pStyle w:val="Heading3"/>
        <w:rPr>
          <w:szCs w:val="20"/>
        </w:rPr>
      </w:pPr>
      <w:r>
        <w:rPr>
          <w:szCs w:val="20"/>
        </w:rPr>
        <w:t>Limiting f</w:t>
      </w:r>
      <w:r w:rsidR="00674606" w:rsidRPr="00B34F7F">
        <w:rPr>
          <w:szCs w:val="20"/>
        </w:rPr>
        <w:t>reephone, local rate and premium rate numbers</w:t>
      </w:r>
      <w:r w:rsidR="00674606">
        <w:rPr>
          <w:szCs w:val="20"/>
        </w:rPr>
        <w:t xml:space="preserve"> </w:t>
      </w:r>
    </w:p>
    <w:p w14:paraId="447071E6" w14:textId="7F11924F" w:rsidR="001A420C" w:rsidRDefault="001A420C" w:rsidP="00674606">
      <w:pPr>
        <w:pStyle w:val="Paragraph"/>
        <w:rPr>
          <w:szCs w:val="20"/>
        </w:rPr>
      </w:pPr>
      <w:r>
        <w:rPr>
          <w:szCs w:val="20"/>
        </w:rPr>
        <w:t xml:space="preserve">We propose to amend the definitions of </w:t>
      </w:r>
      <w:r w:rsidRPr="00674606">
        <w:rPr>
          <w:szCs w:val="20"/>
        </w:rPr>
        <w:t>freephone, local rate and premium rate numbers</w:t>
      </w:r>
      <w:r>
        <w:rPr>
          <w:szCs w:val="20"/>
        </w:rPr>
        <w:t xml:space="preserve"> under section 15 of the </w:t>
      </w:r>
      <w:r w:rsidR="00F34163">
        <w:rPr>
          <w:szCs w:val="20"/>
        </w:rPr>
        <w:t xml:space="preserve">numbering </w:t>
      </w:r>
      <w:r w:rsidR="00300D6A">
        <w:rPr>
          <w:szCs w:val="20"/>
        </w:rPr>
        <w:t>p</w:t>
      </w:r>
      <w:r>
        <w:rPr>
          <w:szCs w:val="20"/>
        </w:rPr>
        <w:t xml:space="preserve">lan </w:t>
      </w:r>
      <w:r w:rsidR="00FB5FAD">
        <w:rPr>
          <w:szCs w:val="20"/>
        </w:rPr>
        <w:t>so they can only be used for</w:t>
      </w:r>
      <w:r>
        <w:rPr>
          <w:szCs w:val="20"/>
        </w:rPr>
        <w:t xml:space="preserve"> </w:t>
      </w:r>
      <w:r w:rsidR="00692E57">
        <w:rPr>
          <w:szCs w:val="20"/>
        </w:rPr>
        <w:t>inbound</w:t>
      </w:r>
      <w:r w:rsidR="00692E57" w:rsidRPr="00674606">
        <w:rPr>
          <w:szCs w:val="20"/>
        </w:rPr>
        <w:t xml:space="preserve"> </w:t>
      </w:r>
      <w:r w:rsidRPr="00674606">
        <w:rPr>
          <w:szCs w:val="20"/>
        </w:rPr>
        <w:t>calls</w:t>
      </w:r>
      <w:r w:rsidR="007C6DDA">
        <w:rPr>
          <w:szCs w:val="20"/>
        </w:rPr>
        <w:t xml:space="preserve"> (</w:t>
      </w:r>
      <w:r w:rsidR="009052C0">
        <w:rPr>
          <w:szCs w:val="20"/>
        </w:rPr>
        <w:t>that is</w:t>
      </w:r>
      <w:r w:rsidR="00BF39DF">
        <w:rPr>
          <w:szCs w:val="20"/>
        </w:rPr>
        <w:t>,</w:t>
      </w:r>
      <w:r w:rsidR="007C6DDA">
        <w:rPr>
          <w:szCs w:val="20"/>
        </w:rPr>
        <w:t xml:space="preserve"> numbers </w:t>
      </w:r>
      <w:r w:rsidR="00BF39DF">
        <w:rPr>
          <w:szCs w:val="20"/>
        </w:rPr>
        <w:t xml:space="preserve">that </w:t>
      </w:r>
      <w:r w:rsidR="007C6DDA">
        <w:rPr>
          <w:szCs w:val="20"/>
        </w:rPr>
        <w:t>consumers can call)</w:t>
      </w:r>
      <w:r>
        <w:rPr>
          <w:szCs w:val="20"/>
        </w:rPr>
        <w:t>.</w:t>
      </w:r>
    </w:p>
    <w:p w14:paraId="4B67E338" w14:textId="2F98134C" w:rsidR="00853D97" w:rsidRDefault="005920C1" w:rsidP="00674606">
      <w:pPr>
        <w:pStyle w:val="Paragraph"/>
        <w:rPr>
          <w:szCs w:val="20"/>
        </w:rPr>
      </w:pPr>
      <w:r>
        <w:rPr>
          <w:szCs w:val="20"/>
        </w:rPr>
        <w:t xml:space="preserve">Industry has identified that </w:t>
      </w:r>
      <w:r w:rsidRPr="00674606">
        <w:rPr>
          <w:szCs w:val="20"/>
        </w:rPr>
        <w:t xml:space="preserve">freephone, local rate and premium rate numbers </w:t>
      </w:r>
      <w:r w:rsidR="007C6DDA">
        <w:rPr>
          <w:szCs w:val="20"/>
        </w:rPr>
        <w:t>have been</w:t>
      </w:r>
      <w:r w:rsidR="00853D97" w:rsidRPr="00674606">
        <w:rPr>
          <w:szCs w:val="20"/>
        </w:rPr>
        <w:t xml:space="preserve"> </w:t>
      </w:r>
      <w:r w:rsidRPr="00674606">
        <w:rPr>
          <w:szCs w:val="20"/>
        </w:rPr>
        <w:t>misused to make scam calls look legitimate</w:t>
      </w:r>
      <w:r w:rsidR="00BF39DF">
        <w:rPr>
          <w:szCs w:val="20"/>
        </w:rPr>
        <w:t>;</w:t>
      </w:r>
      <w:r w:rsidR="00853D97">
        <w:rPr>
          <w:szCs w:val="20"/>
        </w:rPr>
        <w:t xml:space="preserve"> for example, by </w:t>
      </w:r>
      <w:r w:rsidR="00692E57">
        <w:rPr>
          <w:szCs w:val="20"/>
        </w:rPr>
        <w:t xml:space="preserve">spoofing or </w:t>
      </w:r>
      <w:r w:rsidR="00853D97">
        <w:rPr>
          <w:szCs w:val="20"/>
        </w:rPr>
        <w:t>over-stamping offshore scam calls with numbers such as 1800.</w:t>
      </w:r>
    </w:p>
    <w:p w14:paraId="05344AEA" w14:textId="586D667F" w:rsidR="003F173C" w:rsidRDefault="00853D97" w:rsidP="003F173C">
      <w:pPr>
        <w:pStyle w:val="Paragraph"/>
        <w:rPr>
          <w:szCs w:val="20"/>
        </w:rPr>
      </w:pPr>
      <w:r>
        <w:rPr>
          <w:szCs w:val="20"/>
        </w:rPr>
        <w:t xml:space="preserve">Communications Alliance </w:t>
      </w:r>
      <w:r w:rsidR="00692E57">
        <w:rPr>
          <w:szCs w:val="20"/>
        </w:rPr>
        <w:t xml:space="preserve">members </w:t>
      </w:r>
      <w:r>
        <w:rPr>
          <w:szCs w:val="20"/>
        </w:rPr>
        <w:t>ha</w:t>
      </w:r>
      <w:r w:rsidR="00692E57">
        <w:rPr>
          <w:szCs w:val="20"/>
        </w:rPr>
        <w:t>ve</w:t>
      </w:r>
      <w:r w:rsidR="007C6DDA">
        <w:rPr>
          <w:szCs w:val="20"/>
        </w:rPr>
        <w:t xml:space="preserve"> indicated</w:t>
      </w:r>
      <w:r>
        <w:rPr>
          <w:szCs w:val="20"/>
        </w:rPr>
        <w:t xml:space="preserve"> that there is no legitimate case for out</w:t>
      </w:r>
      <w:r w:rsidR="00692E57">
        <w:rPr>
          <w:szCs w:val="20"/>
        </w:rPr>
        <w:t>bound</w:t>
      </w:r>
      <w:r>
        <w:rPr>
          <w:szCs w:val="20"/>
        </w:rPr>
        <w:t xml:space="preserve"> calls to use these numbers</w:t>
      </w:r>
      <w:r w:rsidR="005B082E">
        <w:rPr>
          <w:szCs w:val="20"/>
        </w:rPr>
        <w:t>. They consider that</w:t>
      </w:r>
      <w:r>
        <w:rPr>
          <w:szCs w:val="20"/>
        </w:rPr>
        <w:t xml:space="preserve"> the </w:t>
      </w:r>
      <w:r w:rsidR="005B082E">
        <w:rPr>
          <w:szCs w:val="20"/>
        </w:rPr>
        <w:t>n</w:t>
      </w:r>
      <w:r>
        <w:rPr>
          <w:szCs w:val="20"/>
        </w:rPr>
        <w:t xml:space="preserve">umbering </w:t>
      </w:r>
      <w:r w:rsidR="005B082E">
        <w:rPr>
          <w:szCs w:val="20"/>
        </w:rPr>
        <w:t>p</w:t>
      </w:r>
      <w:r>
        <w:rPr>
          <w:szCs w:val="20"/>
        </w:rPr>
        <w:t xml:space="preserve">lan should provide clarity to industry about the use of these numbers </w:t>
      </w:r>
      <w:r w:rsidR="005B082E">
        <w:rPr>
          <w:szCs w:val="20"/>
        </w:rPr>
        <w:t>by</w:t>
      </w:r>
      <w:r>
        <w:rPr>
          <w:szCs w:val="20"/>
        </w:rPr>
        <w:t xml:space="preserve"> </w:t>
      </w:r>
      <w:r w:rsidR="005920C1">
        <w:rPr>
          <w:szCs w:val="20"/>
        </w:rPr>
        <w:t>align</w:t>
      </w:r>
      <w:r w:rsidR="005B082E">
        <w:rPr>
          <w:szCs w:val="20"/>
        </w:rPr>
        <w:t>ing</w:t>
      </w:r>
      <w:r w:rsidR="005920C1">
        <w:rPr>
          <w:szCs w:val="20"/>
        </w:rPr>
        <w:t xml:space="preserve"> with t</w:t>
      </w:r>
      <w:r w:rsidR="001A420C">
        <w:rPr>
          <w:szCs w:val="20"/>
        </w:rPr>
        <w:t xml:space="preserve">he </w:t>
      </w:r>
      <w:r w:rsidR="001A420C" w:rsidRPr="00674606">
        <w:rPr>
          <w:szCs w:val="20"/>
        </w:rPr>
        <w:t xml:space="preserve">industry code </w:t>
      </w:r>
      <w:hyperlink r:id="rId26" w:history="1">
        <w:r w:rsidR="001A420C" w:rsidRPr="00674606">
          <w:rPr>
            <w:rStyle w:val="Hyperlink"/>
            <w:szCs w:val="20"/>
          </w:rPr>
          <w:t xml:space="preserve">C661:2022 </w:t>
        </w:r>
        <w:r w:rsidR="001A420C" w:rsidRPr="00030465">
          <w:rPr>
            <w:rStyle w:val="Hyperlink"/>
            <w:i/>
            <w:iCs/>
            <w:szCs w:val="20"/>
          </w:rPr>
          <w:t>Reducing Scam Calls and Scam SMs</w:t>
        </w:r>
      </w:hyperlink>
      <w:r w:rsidR="001A420C" w:rsidRPr="00674606">
        <w:rPr>
          <w:szCs w:val="20"/>
        </w:rPr>
        <w:t>,</w:t>
      </w:r>
      <w:r w:rsidR="00D903E4">
        <w:rPr>
          <w:szCs w:val="20"/>
        </w:rPr>
        <w:t xml:space="preserve"> </w:t>
      </w:r>
      <w:r w:rsidR="005920C1">
        <w:rPr>
          <w:szCs w:val="20"/>
        </w:rPr>
        <w:t xml:space="preserve">which </w:t>
      </w:r>
      <w:r w:rsidR="001A420C">
        <w:rPr>
          <w:szCs w:val="20"/>
        </w:rPr>
        <w:t xml:space="preserve">prohibits use of these types of numbers for </w:t>
      </w:r>
      <w:r w:rsidR="00300D6A">
        <w:rPr>
          <w:szCs w:val="20"/>
        </w:rPr>
        <w:t>outgoing</w:t>
      </w:r>
      <w:r w:rsidR="001A420C">
        <w:rPr>
          <w:szCs w:val="20"/>
        </w:rPr>
        <w:t xml:space="preserve"> calls.</w:t>
      </w:r>
    </w:p>
    <w:p w14:paraId="1F835704" w14:textId="3ECB75D7" w:rsidR="007C6DDA" w:rsidRDefault="007C6DDA" w:rsidP="003F173C">
      <w:pPr>
        <w:pStyle w:val="Paragraph"/>
        <w:rPr>
          <w:szCs w:val="20"/>
        </w:rPr>
      </w:pPr>
      <w:r>
        <w:rPr>
          <w:szCs w:val="20"/>
        </w:rPr>
        <w:t>Such an amendment will provide consistency and clarity to industry, while further disrupting methods used by scammers.</w:t>
      </w:r>
    </w:p>
    <w:p w14:paraId="422AA369" w14:textId="0DBABCE8" w:rsidR="003F173C" w:rsidRPr="00E162C4" w:rsidRDefault="003F173C" w:rsidP="003F173C">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801CD3">
        <w:t>1.8</w:t>
      </w:r>
    </w:p>
    <w:p w14:paraId="78CBDA05" w14:textId="6026E399" w:rsidR="003F173C" w:rsidRDefault="00801CD3" w:rsidP="003F173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Are there any reasons (</w:t>
      </w:r>
      <w:r w:rsidR="009052C0">
        <w:t>for example</w:t>
      </w:r>
      <w:r w:rsidR="00A51B43">
        <w:t>,</w:t>
      </w:r>
      <w:r>
        <w:t xml:space="preserve"> legitimate use-cases) to allow outbound calls using </w:t>
      </w:r>
      <w:r w:rsidRPr="00235B61">
        <w:t>freephone, local rate and premium numbers</w:t>
      </w:r>
      <w:r w:rsidRPr="002E083B">
        <w:t>?</w:t>
      </w:r>
    </w:p>
    <w:p w14:paraId="0EBA6F41" w14:textId="7BADBB63" w:rsidR="00674606" w:rsidRDefault="00674606" w:rsidP="00674606">
      <w:pPr>
        <w:pStyle w:val="Heading3"/>
        <w:rPr>
          <w:szCs w:val="20"/>
        </w:rPr>
      </w:pPr>
      <w:r>
        <w:rPr>
          <w:szCs w:val="20"/>
        </w:rPr>
        <w:t>Registration in the Numbering System</w:t>
      </w:r>
    </w:p>
    <w:p w14:paraId="48E0E196" w14:textId="58AC3439" w:rsidR="005026C4" w:rsidRDefault="00564649" w:rsidP="00674606">
      <w:pPr>
        <w:pStyle w:val="Paragraph"/>
        <w:rPr>
          <w:szCs w:val="20"/>
        </w:rPr>
      </w:pPr>
      <w:r>
        <w:rPr>
          <w:szCs w:val="20"/>
        </w:rPr>
        <w:t xml:space="preserve">We propose </w:t>
      </w:r>
      <w:r w:rsidR="00260D06">
        <w:rPr>
          <w:szCs w:val="20"/>
        </w:rPr>
        <w:t>CSP</w:t>
      </w:r>
      <w:r w:rsidR="005B082E">
        <w:rPr>
          <w:szCs w:val="20"/>
        </w:rPr>
        <w:t>s</w:t>
      </w:r>
      <w:r>
        <w:rPr>
          <w:szCs w:val="20"/>
        </w:rPr>
        <w:t xml:space="preserve"> </w:t>
      </w:r>
      <w:r w:rsidR="005026C4">
        <w:rPr>
          <w:szCs w:val="20"/>
        </w:rPr>
        <w:t>should</w:t>
      </w:r>
      <w:r>
        <w:rPr>
          <w:szCs w:val="20"/>
        </w:rPr>
        <w:t xml:space="preserve"> </w:t>
      </w:r>
      <w:r w:rsidR="00CA358A">
        <w:rPr>
          <w:szCs w:val="20"/>
        </w:rPr>
        <w:t xml:space="preserve">be </w:t>
      </w:r>
      <w:r w:rsidRPr="00674606">
        <w:rPr>
          <w:szCs w:val="20"/>
        </w:rPr>
        <w:t>register</w:t>
      </w:r>
      <w:r w:rsidR="00CA358A">
        <w:rPr>
          <w:szCs w:val="20"/>
        </w:rPr>
        <w:t>ed</w:t>
      </w:r>
      <w:r w:rsidRPr="00674606">
        <w:rPr>
          <w:szCs w:val="20"/>
        </w:rPr>
        <w:t xml:space="preserve"> under section 122 of the </w:t>
      </w:r>
      <w:r w:rsidR="003250C7">
        <w:rPr>
          <w:szCs w:val="20"/>
        </w:rPr>
        <w:t xml:space="preserve">numbering </w:t>
      </w:r>
      <w:r w:rsidR="00300D6A">
        <w:rPr>
          <w:szCs w:val="20"/>
        </w:rPr>
        <w:t>p</w:t>
      </w:r>
      <w:r w:rsidRPr="00674606">
        <w:rPr>
          <w:szCs w:val="20"/>
        </w:rPr>
        <w:t>lan</w:t>
      </w:r>
      <w:r>
        <w:rPr>
          <w:szCs w:val="20"/>
        </w:rPr>
        <w:t xml:space="preserve"> before they can be </w:t>
      </w:r>
      <w:r w:rsidR="00D67D8A">
        <w:rPr>
          <w:szCs w:val="20"/>
        </w:rPr>
        <w:t xml:space="preserve">provided </w:t>
      </w:r>
      <w:r>
        <w:rPr>
          <w:szCs w:val="20"/>
        </w:rPr>
        <w:t>numbers</w:t>
      </w:r>
      <w:r w:rsidR="00D67D8A">
        <w:rPr>
          <w:szCs w:val="20"/>
        </w:rPr>
        <w:t xml:space="preserve"> under commercial agreements, also known as assigning a number</w:t>
      </w:r>
      <w:r>
        <w:rPr>
          <w:szCs w:val="20"/>
        </w:rPr>
        <w:t>.</w:t>
      </w:r>
      <w:r w:rsidR="00F77365">
        <w:rPr>
          <w:szCs w:val="20"/>
        </w:rPr>
        <w:t xml:space="preserve"> </w:t>
      </w:r>
      <w:r w:rsidR="00300D6A">
        <w:rPr>
          <w:szCs w:val="20"/>
        </w:rPr>
        <w:t>In practice</w:t>
      </w:r>
      <w:r w:rsidR="008749E7">
        <w:rPr>
          <w:szCs w:val="20"/>
        </w:rPr>
        <w:t>,</w:t>
      </w:r>
      <w:r w:rsidR="00300D6A">
        <w:rPr>
          <w:szCs w:val="20"/>
        </w:rPr>
        <w:t xml:space="preserve"> this will require </w:t>
      </w:r>
      <w:r w:rsidR="00260D06">
        <w:rPr>
          <w:szCs w:val="20"/>
        </w:rPr>
        <w:t>CSP</w:t>
      </w:r>
      <w:r w:rsidR="00CA358A" w:rsidRPr="00A1183E">
        <w:rPr>
          <w:szCs w:val="20"/>
        </w:rPr>
        <w:t>s</w:t>
      </w:r>
      <w:r w:rsidR="00300D6A" w:rsidRPr="00A1183E">
        <w:rPr>
          <w:szCs w:val="20"/>
        </w:rPr>
        <w:t xml:space="preserve"> </w:t>
      </w:r>
      <w:r w:rsidR="005F35AC" w:rsidRPr="00A1183E">
        <w:rPr>
          <w:szCs w:val="20"/>
        </w:rPr>
        <w:t xml:space="preserve">receiving assigned numbers </w:t>
      </w:r>
      <w:r w:rsidR="00300D6A" w:rsidRPr="00A1183E">
        <w:rPr>
          <w:szCs w:val="20"/>
        </w:rPr>
        <w:t>to register in the Numbering System</w:t>
      </w:r>
      <w:r w:rsidR="00AB42C6" w:rsidRPr="00A1183E">
        <w:rPr>
          <w:szCs w:val="20"/>
        </w:rPr>
        <w:t xml:space="preserve">. It will also require </w:t>
      </w:r>
      <w:r w:rsidR="005F35AC" w:rsidRPr="00A1183E">
        <w:rPr>
          <w:szCs w:val="20"/>
        </w:rPr>
        <w:t xml:space="preserve">the </w:t>
      </w:r>
      <w:r w:rsidR="00260D06">
        <w:rPr>
          <w:szCs w:val="20"/>
        </w:rPr>
        <w:t>CSP</w:t>
      </w:r>
      <w:r w:rsidR="005F35AC" w:rsidRPr="00A1183E">
        <w:rPr>
          <w:szCs w:val="20"/>
        </w:rPr>
        <w:t xml:space="preserve"> assigning </w:t>
      </w:r>
      <w:r w:rsidR="005026C4">
        <w:rPr>
          <w:szCs w:val="20"/>
        </w:rPr>
        <w:t xml:space="preserve">a </w:t>
      </w:r>
      <w:r w:rsidR="005F35AC" w:rsidRPr="00A1183E">
        <w:rPr>
          <w:szCs w:val="20"/>
        </w:rPr>
        <w:t xml:space="preserve">number </w:t>
      </w:r>
      <w:r w:rsidR="00D67D8A">
        <w:rPr>
          <w:szCs w:val="20"/>
        </w:rPr>
        <w:t>to another CSP</w:t>
      </w:r>
      <w:r w:rsidR="00D12124">
        <w:rPr>
          <w:szCs w:val="20"/>
        </w:rPr>
        <w:t xml:space="preserve"> </w:t>
      </w:r>
      <w:r w:rsidR="00863B33" w:rsidRPr="00030465">
        <w:t xml:space="preserve">to </w:t>
      </w:r>
      <w:r w:rsidR="005026C4">
        <w:rPr>
          <w:szCs w:val="20"/>
        </w:rPr>
        <w:t xml:space="preserve">confirm a </w:t>
      </w:r>
      <w:r w:rsidR="00260D06">
        <w:rPr>
          <w:szCs w:val="20"/>
        </w:rPr>
        <w:t>CSP</w:t>
      </w:r>
      <w:r w:rsidR="00030465">
        <w:rPr>
          <w:szCs w:val="20"/>
        </w:rPr>
        <w:t>’</w:t>
      </w:r>
      <w:r w:rsidR="00940CAC">
        <w:rPr>
          <w:szCs w:val="20"/>
        </w:rPr>
        <w:t>s</w:t>
      </w:r>
      <w:r w:rsidR="00940CAC" w:rsidRPr="00030465">
        <w:t xml:space="preserve"> </w:t>
      </w:r>
      <w:r w:rsidR="00863B33" w:rsidRPr="00030465">
        <w:t xml:space="preserve">registration status </w:t>
      </w:r>
      <w:r w:rsidR="00BD566C" w:rsidRPr="00030465">
        <w:t>in the Numbering</w:t>
      </w:r>
      <w:r w:rsidR="00BD566C">
        <w:rPr>
          <w:szCs w:val="20"/>
        </w:rPr>
        <w:t xml:space="preserve"> System</w:t>
      </w:r>
      <w:r w:rsidR="00CA358A">
        <w:rPr>
          <w:szCs w:val="20"/>
        </w:rPr>
        <w:t xml:space="preserve"> before </w:t>
      </w:r>
      <w:r w:rsidR="00D67D8A">
        <w:rPr>
          <w:szCs w:val="20"/>
        </w:rPr>
        <w:t xml:space="preserve">providing </w:t>
      </w:r>
      <w:r w:rsidR="00CA358A">
        <w:rPr>
          <w:szCs w:val="20"/>
        </w:rPr>
        <w:t>a number</w:t>
      </w:r>
      <w:r w:rsidR="00300D6A">
        <w:rPr>
          <w:szCs w:val="20"/>
        </w:rPr>
        <w:t>.</w:t>
      </w:r>
      <w:r w:rsidR="00BF4D49">
        <w:rPr>
          <w:szCs w:val="20"/>
        </w:rPr>
        <w:t xml:space="preserve"> </w:t>
      </w:r>
    </w:p>
    <w:p w14:paraId="675D5A82" w14:textId="7B87EE77" w:rsidR="00564649" w:rsidRDefault="00F77365" w:rsidP="00674606">
      <w:pPr>
        <w:pStyle w:val="Paragraph"/>
        <w:rPr>
          <w:szCs w:val="20"/>
        </w:rPr>
      </w:pPr>
      <w:r>
        <w:rPr>
          <w:szCs w:val="20"/>
        </w:rPr>
        <w:t xml:space="preserve">This </w:t>
      </w:r>
      <w:r w:rsidR="00DE2A50">
        <w:rPr>
          <w:szCs w:val="20"/>
        </w:rPr>
        <w:t>amendment is</w:t>
      </w:r>
      <w:r>
        <w:rPr>
          <w:szCs w:val="20"/>
        </w:rPr>
        <w:t xml:space="preserve"> consistent with current obligations </w:t>
      </w:r>
      <w:r w:rsidR="003250C7">
        <w:rPr>
          <w:szCs w:val="20"/>
        </w:rPr>
        <w:t xml:space="preserve">that </w:t>
      </w:r>
      <w:r w:rsidR="008749E7">
        <w:rPr>
          <w:szCs w:val="20"/>
        </w:rPr>
        <w:t xml:space="preserve">require </w:t>
      </w:r>
      <w:r w:rsidR="00260D06">
        <w:rPr>
          <w:szCs w:val="20"/>
        </w:rPr>
        <w:t>CSP</w:t>
      </w:r>
      <w:r w:rsidR="004136FF">
        <w:rPr>
          <w:szCs w:val="20"/>
        </w:rPr>
        <w:t>s</w:t>
      </w:r>
      <w:r>
        <w:rPr>
          <w:szCs w:val="20"/>
        </w:rPr>
        <w:t xml:space="preserve"> to be registered in the Numbering System </w:t>
      </w:r>
      <w:r w:rsidR="008749E7">
        <w:rPr>
          <w:szCs w:val="20"/>
        </w:rPr>
        <w:t>before numbers can be</w:t>
      </w:r>
      <w:r w:rsidR="00DE2A50">
        <w:rPr>
          <w:szCs w:val="20"/>
        </w:rPr>
        <w:t xml:space="preserve"> allocated </w:t>
      </w:r>
      <w:r w:rsidR="00E16A3E">
        <w:rPr>
          <w:szCs w:val="20"/>
        </w:rPr>
        <w:t xml:space="preserve">to them by the ACMA </w:t>
      </w:r>
      <w:r w:rsidR="008749E7">
        <w:rPr>
          <w:szCs w:val="20"/>
        </w:rPr>
        <w:t>or</w:t>
      </w:r>
      <w:r w:rsidR="00DE2A50">
        <w:rPr>
          <w:szCs w:val="20"/>
        </w:rPr>
        <w:t xml:space="preserve"> transferred to them by another </w:t>
      </w:r>
      <w:r w:rsidR="00260D06">
        <w:rPr>
          <w:szCs w:val="20"/>
        </w:rPr>
        <w:t>CSP</w:t>
      </w:r>
      <w:r w:rsidR="00DE2A50">
        <w:rPr>
          <w:szCs w:val="20"/>
        </w:rPr>
        <w:t>.</w:t>
      </w:r>
      <w:r w:rsidR="00BF4D49">
        <w:rPr>
          <w:szCs w:val="20"/>
        </w:rPr>
        <w:t xml:space="preserve"> </w:t>
      </w:r>
    </w:p>
    <w:p w14:paraId="789EF753" w14:textId="6144498F" w:rsidR="00564649" w:rsidRDefault="00564649" w:rsidP="00674606">
      <w:pPr>
        <w:pStyle w:val="Paragraph"/>
        <w:rPr>
          <w:szCs w:val="20"/>
        </w:rPr>
      </w:pPr>
      <w:r>
        <w:rPr>
          <w:szCs w:val="20"/>
        </w:rPr>
        <w:t xml:space="preserve">Assigned numbers </w:t>
      </w:r>
      <w:r>
        <w:t xml:space="preserve">are commercially transferred from one </w:t>
      </w:r>
      <w:r w:rsidR="00260D06">
        <w:t>CSP</w:t>
      </w:r>
      <w:r w:rsidR="004136FF">
        <w:t xml:space="preserve"> </w:t>
      </w:r>
      <w:r>
        <w:t xml:space="preserve">to another on the same network. Unlike numbers transferred under section 86 of the </w:t>
      </w:r>
      <w:r w:rsidR="003250C7">
        <w:t xml:space="preserve">numbering </w:t>
      </w:r>
      <w:r w:rsidR="00300D6A">
        <w:t>p</w:t>
      </w:r>
      <w:r>
        <w:t xml:space="preserve">lan, assignment occurs outside </w:t>
      </w:r>
      <w:r w:rsidR="004136FF">
        <w:t xml:space="preserve">of </w:t>
      </w:r>
      <w:r>
        <w:t>the Numbering System.</w:t>
      </w:r>
      <w:r w:rsidR="006656F5">
        <w:t xml:space="preserve"> </w:t>
      </w:r>
      <w:r w:rsidR="000E60B4">
        <w:rPr>
          <w:szCs w:val="20"/>
        </w:rPr>
        <w:t>We</w:t>
      </w:r>
      <w:r w:rsidR="00444D89" w:rsidRPr="00674606">
        <w:rPr>
          <w:szCs w:val="20"/>
        </w:rPr>
        <w:t xml:space="preserve"> </w:t>
      </w:r>
      <w:r w:rsidR="00DB66FB">
        <w:rPr>
          <w:szCs w:val="20"/>
        </w:rPr>
        <w:t>consequently</w:t>
      </w:r>
      <w:r w:rsidR="00444D89" w:rsidRPr="00674606">
        <w:rPr>
          <w:szCs w:val="20"/>
        </w:rPr>
        <w:t xml:space="preserve"> ha</w:t>
      </w:r>
      <w:r w:rsidR="000E60B4">
        <w:rPr>
          <w:szCs w:val="20"/>
        </w:rPr>
        <w:t>ve</w:t>
      </w:r>
      <w:r w:rsidR="00444D89" w:rsidRPr="00674606">
        <w:rPr>
          <w:szCs w:val="20"/>
        </w:rPr>
        <w:t xml:space="preserve"> li</w:t>
      </w:r>
      <w:r w:rsidR="005026C4">
        <w:rPr>
          <w:szCs w:val="20"/>
        </w:rPr>
        <w:t xml:space="preserve">mited </w:t>
      </w:r>
      <w:r w:rsidR="00444D89" w:rsidRPr="00674606">
        <w:rPr>
          <w:szCs w:val="20"/>
        </w:rPr>
        <w:t xml:space="preserve">visibility of </w:t>
      </w:r>
      <w:r w:rsidR="00902955">
        <w:rPr>
          <w:szCs w:val="20"/>
        </w:rPr>
        <w:t>assigned</w:t>
      </w:r>
      <w:r w:rsidR="00444D89" w:rsidRPr="00674606">
        <w:rPr>
          <w:szCs w:val="20"/>
        </w:rPr>
        <w:t xml:space="preserve"> number</w:t>
      </w:r>
      <w:r w:rsidR="00902955">
        <w:rPr>
          <w:szCs w:val="20"/>
        </w:rPr>
        <w:t xml:space="preserve">s or </w:t>
      </w:r>
      <w:r w:rsidR="00444D89" w:rsidRPr="00674606">
        <w:rPr>
          <w:szCs w:val="20"/>
        </w:rPr>
        <w:t xml:space="preserve">the </w:t>
      </w:r>
      <w:r w:rsidR="00260D06">
        <w:rPr>
          <w:szCs w:val="20"/>
        </w:rPr>
        <w:t>CSP</w:t>
      </w:r>
      <w:r w:rsidR="004136FF">
        <w:rPr>
          <w:szCs w:val="20"/>
        </w:rPr>
        <w:t>s</w:t>
      </w:r>
      <w:r w:rsidR="004136FF" w:rsidRPr="00674606">
        <w:rPr>
          <w:szCs w:val="20"/>
        </w:rPr>
        <w:t xml:space="preserve"> </w:t>
      </w:r>
      <w:r w:rsidR="00CC1A1B">
        <w:rPr>
          <w:szCs w:val="20"/>
        </w:rPr>
        <w:t xml:space="preserve">that </w:t>
      </w:r>
      <w:r w:rsidR="001137F9">
        <w:rPr>
          <w:szCs w:val="20"/>
        </w:rPr>
        <w:t xml:space="preserve">use </w:t>
      </w:r>
      <w:r w:rsidR="00902955">
        <w:rPr>
          <w:szCs w:val="20"/>
        </w:rPr>
        <w:t>them</w:t>
      </w:r>
      <w:r w:rsidR="00444D89" w:rsidRPr="00674606">
        <w:rPr>
          <w:szCs w:val="20"/>
        </w:rPr>
        <w:t>.</w:t>
      </w:r>
    </w:p>
    <w:p w14:paraId="3B0FE7E5" w14:textId="1F689430" w:rsidR="00564649" w:rsidRDefault="00444D89" w:rsidP="00674606">
      <w:pPr>
        <w:pStyle w:val="Paragraph"/>
        <w:rPr>
          <w:szCs w:val="20"/>
        </w:rPr>
      </w:pPr>
      <w:r w:rsidRPr="00674606">
        <w:rPr>
          <w:szCs w:val="20"/>
        </w:rPr>
        <w:t xml:space="preserve">This amendment will provide </w:t>
      </w:r>
      <w:r w:rsidR="00564649">
        <w:rPr>
          <w:szCs w:val="20"/>
        </w:rPr>
        <w:t xml:space="preserve">greater </w:t>
      </w:r>
      <w:r w:rsidR="00E97BB1">
        <w:rPr>
          <w:szCs w:val="20"/>
        </w:rPr>
        <w:t>transparency</w:t>
      </w:r>
      <w:r w:rsidR="00E97BB1" w:rsidRPr="00674606">
        <w:rPr>
          <w:szCs w:val="20"/>
        </w:rPr>
        <w:t xml:space="preserve"> </w:t>
      </w:r>
      <w:r w:rsidRPr="00674606">
        <w:rPr>
          <w:szCs w:val="20"/>
        </w:rPr>
        <w:t xml:space="preserve">of </w:t>
      </w:r>
      <w:r w:rsidR="00260D06">
        <w:rPr>
          <w:szCs w:val="20"/>
        </w:rPr>
        <w:t>CSP</w:t>
      </w:r>
      <w:r w:rsidR="004136FF">
        <w:rPr>
          <w:szCs w:val="20"/>
        </w:rPr>
        <w:t>s</w:t>
      </w:r>
      <w:r w:rsidR="00564649">
        <w:rPr>
          <w:szCs w:val="20"/>
        </w:rPr>
        <w:t xml:space="preserve"> </w:t>
      </w:r>
      <w:r w:rsidR="00CC1A1B">
        <w:rPr>
          <w:szCs w:val="20"/>
        </w:rPr>
        <w:t>that</w:t>
      </w:r>
      <w:r w:rsidR="00564649">
        <w:rPr>
          <w:szCs w:val="20"/>
        </w:rPr>
        <w:t xml:space="preserve"> </w:t>
      </w:r>
      <w:r w:rsidR="00D67D8A">
        <w:rPr>
          <w:szCs w:val="20"/>
        </w:rPr>
        <w:t xml:space="preserve">have been </w:t>
      </w:r>
      <w:r w:rsidR="00D12124">
        <w:rPr>
          <w:szCs w:val="20"/>
        </w:rPr>
        <w:t>assigned</w:t>
      </w:r>
      <w:r w:rsidR="001137F9">
        <w:rPr>
          <w:szCs w:val="20"/>
        </w:rPr>
        <w:t xml:space="preserve"> </w:t>
      </w:r>
      <w:r w:rsidR="00564649">
        <w:rPr>
          <w:szCs w:val="20"/>
        </w:rPr>
        <w:t>Australian numbers</w:t>
      </w:r>
      <w:r w:rsidR="00863B33">
        <w:rPr>
          <w:szCs w:val="20"/>
        </w:rPr>
        <w:t>.</w:t>
      </w:r>
      <w:r w:rsidR="004136FF">
        <w:rPr>
          <w:szCs w:val="20"/>
        </w:rPr>
        <w:t xml:space="preserve"> It is not intended to</w:t>
      </w:r>
      <w:r w:rsidR="005026C4">
        <w:rPr>
          <w:szCs w:val="20"/>
        </w:rPr>
        <w:t>, nor would it,</w:t>
      </w:r>
      <w:r w:rsidR="004136FF">
        <w:rPr>
          <w:szCs w:val="20"/>
        </w:rPr>
        <w:t xml:space="preserve"> create a definitive register of </w:t>
      </w:r>
      <w:r w:rsidR="00260D06">
        <w:rPr>
          <w:szCs w:val="20"/>
        </w:rPr>
        <w:t>CSPs</w:t>
      </w:r>
      <w:r w:rsidR="0098650E">
        <w:rPr>
          <w:szCs w:val="20"/>
        </w:rPr>
        <w:t xml:space="preserve"> </w:t>
      </w:r>
      <w:r w:rsidR="004136FF">
        <w:rPr>
          <w:szCs w:val="20"/>
        </w:rPr>
        <w:t xml:space="preserve">for broader regulatory purposes. </w:t>
      </w:r>
      <w:r w:rsidR="004E2544">
        <w:rPr>
          <w:szCs w:val="20"/>
        </w:rPr>
        <w:t>Rather</w:t>
      </w:r>
      <w:r w:rsidR="005026C4">
        <w:rPr>
          <w:szCs w:val="20"/>
        </w:rPr>
        <w:t>,</w:t>
      </w:r>
      <w:r w:rsidR="004E2544">
        <w:rPr>
          <w:szCs w:val="20"/>
        </w:rPr>
        <w:t xml:space="preserve"> it will </w:t>
      </w:r>
      <w:r w:rsidR="00564649">
        <w:rPr>
          <w:szCs w:val="20"/>
        </w:rPr>
        <w:t>compl</w:t>
      </w:r>
      <w:r w:rsidR="005026C4">
        <w:rPr>
          <w:szCs w:val="20"/>
        </w:rPr>
        <w:t>e</w:t>
      </w:r>
      <w:r w:rsidR="00564649">
        <w:rPr>
          <w:szCs w:val="20"/>
        </w:rPr>
        <w:t xml:space="preserve">ment </w:t>
      </w:r>
      <w:r w:rsidR="00564649" w:rsidRPr="00674606">
        <w:rPr>
          <w:szCs w:val="20"/>
        </w:rPr>
        <w:t xml:space="preserve">new record keeping rules </w:t>
      </w:r>
      <w:r w:rsidR="00564649">
        <w:rPr>
          <w:szCs w:val="20"/>
        </w:rPr>
        <w:t xml:space="preserve">proposed by industry </w:t>
      </w:r>
      <w:r w:rsidR="00564649" w:rsidRPr="00674606">
        <w:rPr>
          <w:szCs w:val="20"/>
        </w:rPr>
        <w:t>in the draft</w:t>
      </w:r>
      <w:r w:rsidR="00564649">
        <w:rPr>
          <w:szCs w:val="20"/>
        </w:rPr>
        <w:t xml:space="preserve"> industry code</w:t>
      </w:r>
      <w:r w:rsidR="00564649" w:rsidRPr="00674606">
        <w:rPr>
          <w:szCs w:val="20"/>
        </w:rPr>
        <w:t xml:space="preserve"> C566:2022 </w:t>
      </w:r>
      <w:r w:rsidR="00564649" w:rsidRPr="0098650E">
        <w:rPr>
          <w:i/>
          <w:iCs/>
          <w:szCs w:val="20"/>
        </w:rPr>
        <w:t>Number Management: Use of Numbers by Customers</w:t>
      </w:r>
      <w:r w:rsidR="005026C4">
        <w:rPr>
          <w:i/>
          <w:iCs/>
          <w:szCs w:val="20"/>
        </w:rPr>
        <w:t xml:space="preserve"> </w:t>
      </w:r>
      <w:r w:rsidR="005026C4" w:rsidRPr="00FD59CE">
        <w:rPr>
          <w:szCs w:val="20"/>
        </w:rPr>
        <w:t xml:space="preserve">that </w:t>
      </w:r>
      <w:r w:rsidR="000E60B4">
        <w:rPr>
          <w:szCs w:val="20"/>
        </w:rPr>
        <w:t>we</w:t>
      </w:r>
      <w:r w:rsidR="005026C4" w:rsidRPr="00FD59CE">
        <w:rPr>
          <w:szCs w:val="20"/>
        </w:rPr>
        <w:t xml:space="preserve"> understand will be submitted for registration in the short</w:t>
      </w:r>
      <w:r w:rsidR="005026C4">
        <w:rPr>
          <w:szCs w:val="20"/>
        </w:rPr>
        <w:t>-</w:t>
      </w:r>
      <w:r w:rsidR="005026C4" w:rsidRPr="00FD59CE">
        <w:rPr>
          <w:szCs w:val="20"/>
        </w:rPr>
        <w:t>term future</w:t>
      </w:r>
      <w:r w:rsidR="00564649" w:rsidRPr="00571177">
        <w:rPr>
          <w:szCs w:val="20"/>
        </w:rPr>
        <w:t>.</w:t>
      </w:r>
    </w:p>
    <w:p w14:paraId="28BB4EBA" w14:textId="632D8F15" w:rsidR="00444D89" w:rsidRDefault="006656F5" w:rsidP="00674606">
      <w:pPr>
        <w:pStyle w:val="Paragraph"/>
        <w:rPr>
          <w:szCs w:val="20"/>
        </w:rPr>
      </w:pPr>
      <w:r>
        <w:rPr>
          <w:szCs w:val="20"/>
        </w:rPr>
        <w:t xml:space="preserve">Increased </w:t>
      </w:r>
      <w:r w:rsidR="00E97BB1">
        <w:rPr>
          <w:szCs w:val="20"/>
        </w:rPr>
        <w:t xml:space="preserve">transparency </w:t>
      </w:r>
      <w:r>
        <w:rPr>
          <w:szCs w:val="20"/>
        </w:rPr>
        <w:t>of</w:t>
      </w:r>
      <w:r w:rsidR="00D903E4">
        <w:rPr>
          <w:szCs w:val="20"/>
        </w:rPr>
        <w:t xml:space="preserve"> number movement and the </w:t>
      </w:r>
      <w:r w:rsidR="00260D06">
        <w:rPr>
          <w:szCs w:val="20"/>
        </w:rPr>
        <w:t>CSP</w:t>
      </w:r>
      <w:r w:rsidR="001B2F3D">
        <w:rPr>
          <w:szCs w:val="20"/>
        </w:rPr>
        <w:t xml:space="preserve">s </w:t>
      </w:r>
      <w:r w:rsidR="00D903E4">
        <w:rPr>
          <w:szCs w:val="20"/>
        </w:rPr>
        <w:t xml:space="preserve">which </w:t>
      </w:r>
      <w:r w:rsidR="00D67D8A">
        <w:rPr>
          <w:szCs w:val="20"/>
        </w:rPr>
        <w:t>have been assigned</w:t>
      </w:r>
      <w:r w:rsidR="001137F9">
        <w:rPr>
          <w:szCs w:val="20"/>
        </w:rPr>
        <w:t xml:space="preserve"> </w:t>
      </w:r>
      <w:r w:rsidR="00814BA5">
        <w:rPr>
          <w:szCs w:val="20"/>
        </w:rPr>
        <w:t xml:space="preserve">numbers </w:t>
      </w:r>
      <w:r w:rsidR="00D903E4">
        <w:rPr>
          <w:szCs w:val="20"/>
        </w:rPr>
        <w:t xml:space="preserve">is </w:t>
      </w:r>
      <w:r w:rsidR="008A132E">
        <w:rPr>
          <w:szCs w:val="20"/>
        </w:rPr>
        <w:t>a key tool in preventing the misuse of numbers</w:t>
      </w:r>
      <w:r w:rsidR="005026C4">
        <w:rPr>
          <w:szCs w:val="20"/>
        </w:rPr>
        <w:t xml:space="preserve"> by scammers</w:t>
      </w:r>
      <w:r w:rsidR="008A132E">
        <w:rPr>
          <w:szCs w:val="20"/>
        </w:rPr>
        <w:t xml:space="preserve">. </w:t>
      </w:r>
      <w:r w:rsidR="003F173C">
        <w:rPr>
          <w:szCs w:val="20"/>
        </w:rPr>
        <w:t xml:space="preserve">We do not expect significant changes to the Numbering System </w:t>
      </w:r>
      <w:r w:rsidR="00942BE5">
        <w:rPr>
          <w:szCs w:val="20"/>
        </w:rPr>
        <w:t xml:space="preserve">will be required </w:t>
      </w:r>
      <w:r w:rsidR="003F173C">
        <w:rPr>
          <w:szCs w:val="20"/>
        </w:rPr>
        <w:t xml:space="preserve">to facilitate this new obligation, noting that </w:t>
      </w:r>
      <w:r w:rsidR="00260D06">
        <w:rPr>
          <w:szCs w:val="20"/>
        </w:rPr>
        <w:t>CSP</w:t>
      </w:r>
      <w:r w:rsidR="004136FF">
        <w:rPr>
          <w:szCs w:val="20"/>
        </w:rPr>
        <w:t>s</w:t>
      </w:r>
      <w:r w:rsidR="003F173C">
        <w:rPr>
          <w:szCs w:val="20"/>
        </w:rPr>
        <w:t xml:space="preserve"> must already register in the Numbering System to be allocated or </w:t>
      </w:r>
      <w:r w:rsidR="005026C4">
        <w:rPr>
          <w:szCs w:val="20"/>
        </w:rPr>
        <w:t xml:space="preserve">to </w:t>
      </w:r>
      <w:r w:rsidR="003F173C">
        <w:rPr>
          <w:szCs w:val="20"/>
        </w:rPr>
        <w:t>transfer numbers</w:t>
      </w:r>
      <w:r w:rsidR="00DA0067">
        <w:rPr>
          <w:szCs w:val="20"/>
        </w:rPr>
        <w:t>.</w:t>
      </w:r>
    </w:p>
    <w:p w14:paraId="02D29A58" w14:textId="13D76493" w:rsidR="00BF4D49" w:rsidRDefault="00BF4D49" w:rsidP="004446FA">
      <w:pPr>
        <w:pStyle w:val="Paragraph"/>
        <w:rPr>
          <w:szCs w:val="20"/>
        </w:rPr>
      </w:pPr>
      <w:r>
        <w:rPr>
          <w:szCs w:val="20"/>
        </w:rPr>
        <w:t xml:space="preserve">We </w:t>
      </w:r>
      <w:r w:rsidR="00942BE5">
        <w:rPr>
          <w:szCs w:val="20"/>
        </w:rPr>
        <w:t>propose</w:t>
      </w:r>
      <w:r>
        <w:rPr>
          <w:szCs w:val="20"/>
        </w:rPr>
        <w:t xml:space="preserve"> </w:t>
      </w:r>
      <w:r w:rsidR="00260D06">
        <w:rPr>
          <w:szCs w:val="20"/>
        </w:rPr>
        <w:t>CSP</w:t>
      </w:r>
      <w:r w:rsidR="004136FF">
        <w:rPr>
          <w:szCs w:val="20"/>
        </w:rPr>
        <w:t>s</w:t>
      </w:r>
      <w:r>
        <w:rPr>
          <w:szCs w:val="20"/>
        </w:rPr>
        <w:t xml:space="preserve"> </w:t>
      </w:r>
      <w:r w:rsidR="004446FA">
        <w:rPr>
          <w:szCs w:val="20"/>
        </w:rPr>
        <w:t xml:space="preserve">that </w:t>
      </w:r>
      <w:r>
        <w:rPr>
          <w:szCs w:val="20"/>
        </w:rPr>
        <w:t xml:space="preserve">currently </w:t>
      </w:r>
      <w:r w:rsidR="00D67D8A">
        <w:rPr>
          <w:szCs w:val="20"/>
        </w:rPr>
        <w:t>have</w:t>
      </w:r>
      <w:r w:rsidR="001137F9">
        <w:rPr>
          <w:szCs w:val="20"/>
        </w:rPr>
        <w:t xml:space="preserve"> </w:t>
      </w:r>
      <w:r>
        <w:rPr>
          <w:szCs w:val="20"/>
        </w:rPr>
        <w:t>assig</w:t>
      </w:r>
      <w:r w:rsidR="00571177">
        <w:rPr>
          <w:szCs w:val="20"/>
        </w:rPr>
        <w:t>ned numbers</w:t>
      </w:r>
      <w:r>
        <w:rPr>
          <w:szCs w:val="20"/>
        </w:rPr>
        <w:t xml:space="preserve"> would be given </w:t>
      </w:r>
      <w:r w:rsidR="001B2F3D">
        <w:rPr>
          <w:szCs w:val="20"/>
        </w:rPr>
        <w:t>90 days</w:t>
      </w:r>
      <w:r>
        <w:rPr>
          <w:szCs w:val="20"/>
        </w:rPr>
        <w:t xml:space="preserve"> to register in the Numbering System</w:t>
      </w:r>
      <w:r w:rsidR="002638E4" w:rsidRPr="002638E4">
        <w:rPr>
          <w:color w:val="FF0000"/>
          <w:szCs w:val="20"/>
        </w:rPr>
        <w:t xml:space="preserve"> </w:t>
      </w:r>
      <w:r w:rsidR="002638E4" w:rsidRPr="002638E4">
        <w:rPr>
          <w:szCs w:val="20"/>
        </w:rPr>
        <w:t>or return the assigned number</w:t>
      </w:r>
      <w:r w:rsidR="002638E4">
        <w:rPr>
          <w:szCs w:val="20"/>
        </w:rPr>
        <w:t>s</w:t>
      </w:r>
      <w:r w:rsidR="00CF4D6C">
        <w:rPr>
          <w:szCs w:val="20"/>
        </w:rPr>
        <w:t xml:space="preserve">. We also propose that </w:t>
      </w:r>
      <w:r w:rsidR="00260D06">
        <w:rPr>
          <w:szCs w:val="20"/>
        </w:rPr>
        <w:t>CSP</w:t>
      </w:r>
      <w:r w:rsidR="00CF4D6C">
        <w:rPr>
          <w:szCs w:val="20"/>
        </w:rPr>
        <w:t>s</w:t>
      </w:r>
      <w:r w:rsidR="00D67D8A">
        <w:rPr>
          <w:szCs w:val="20"/>
        </w:rPr>
        <w:t xml:space="preserve"> </w:t>
      </w:r>
      <w:r w:rsidR="00D12124">
        <w:rPr>
          <w:szCs w:val="20"/>
        </w:rPr>
        <w:t>assigning numbers to third-party CSPs</w:t>
      </w:r>
      <w:r w:rsidR="00CF4D6C">
        <w:rPr>
          <w:szCs w:val="20"/>
        </w:rPr>
        <w:t xml:space="preserve"> </w:t>
      </w:r>
      <w:r w:rsidR="00447549">
        <w:rPr>
          <w:szCs w:val="20"/>
        </w:rPr>
        <w:t xml:space="preserve">will </w:t>
      </w:r>
      <w:r w:rsidR="002638E4">
        <w:rPr>
          <w:szCs w:val="20"/>
        </w:rPr>
        <w:t xml:space="preserve">be required </w:t>
      </w:r>
      <w:r w:rsidR="00447549">
        <w:rPr>
          <w:szCs w:val="20"/>
        </w:rPr>
        <w:t xml:space="preserve">to check </w:t>
      </w:r>
      <w:r w:rsidR="00BD566C">
        <w:rPr>
          <w:szCs w:val="20"/>
        </w:rPr>
        <w:t xml:space="preserve">that </w:t>
      </w:r>
      <w:r w:rsidR="00260D06">
        <w:rPr>
          <w:szCs w:val="20"/>
        </w:rPr>
        <w:t>CSP</w:t>
      </w:r>
      <w:r w:rsidR="004136FF">
        <w:rPr>
          <w:szCs w:val="20"/>
        </w:rPr>
        <w:t>s</w:t>
      </w:r>
      <w:r w:rsidR="00BD566C">
        <w:rPr>
          <w:szCs w:val="20"/>
        </w:rPr>
        <w:t xml:space="preserve"> they have assigned numbers to are registered in the Numbering System</w:t>
      </w:r>
      <w:r w:rsidR="00D67D8A">
        <w:rPr>
          <w:szCs w:val="20"/>
        </w:rPr>
        <w:t>. They must do this</w:t>
      </w:r>
      <w:r w:rsidR="002638E4" w:rsidRPr="002638E4">
        <w:rPr>
          <w:color w:val="FF0000"/>
          <w:szCs w:val="20"/>
        </w:rPr>
        <w:t xml:space="preserve"> </w:t>
      </w:r>
      <w:r w:rsidR="00692E57">
        <w:rPr>
          <w:szCs w:val="20"/>
        </w:rPr>
        <w:t xml:space="preserve">between </w:t>
      </w:r>
      <w:r w:rsidR="002638E4" w:rsidRPr="002638E4">
        <w:rPr>
          <w:szCs w:val="20"/>
        </w:rPr>
        <w:t xml:space="preserve">90 </w:t>
      </w:r>
      <w:r w:rsidR="00692E57">
        <w:rPr>
          <w:szCs w:val="20"/>
        </w:rPr>
        <w:t>and</w:t>
      </w:r>
      <w:r w:rsidR="002638E4" w:rsidRPr="002638E4">
        <w:rPr>
          <w:szCs w:val="20"/>
        </w:rPr>
        <w:t xml:space="preserve"> 180 days </w:t>
      </w:r>
      <w:r w:rsidR="00692E57">
        <w:rPr>
          <w:szCs w:val="20"/>
        </w:rPr>
        <w:t>after</w:t>
      </w:r>
      <w:r w:rsidR="002638E4" w:rsidRPr="002638E4">
        <w:rPr>
          <w:szCs w:val="20"/>
        </w:rPr>
        <w:t xml:space="preserve"> the commencement of the </w:t>
      </w:r>
      <w:r w:rsidR="00692E57">
        <w:rPr>
          <w:szCs w:val="20"/>
        </w:rPr>
        <w:t>variation</w:t>
      </w:r>
      <w:r w:rsidR="00BD566C">
        <w:rPr>
          <w:szCs w:val="20"/>
        </w:rPr>
        <w:t xml:space="preserve">. If </w:t>
      </w:r>
      <w:r w:rsidR="002638E4">
        <w:rPr>
          <w:szCs w:val="20"/>
        </w:rPr>
        <w:t xml:space="preserve">the </w:t>
      </w:r>
      <w:r w:rsidR="00260D06">
        <w:rPr>
          <w:szCs w:val="20"/>
        </w:rPr>
        <w:t>CSP</w:t>
      </w:r>
      <w:r w:rsidR="002638E4">
        <w:rPr>
          <w:szCs w:val="20"/>
        </w:rPr>
        <w:t>s</w:t>
      </w:r>
      <w:r w:rsidR="002638E4" w:rsidRPr="002638E4">
        <w:rPr>
          <w:color w:val="FF0000"/>
          <w:szCs w:val="20"/>
        </w:rPr>
        <w:t xml:space="preserve"> </w:t>
      </w:r>
      <w:r w:rsidR="002638E4" w:rsidRPr="002638E4">
        <w:rPr>
          <w:szCs w:val="20"/>
        </w:rPr>
        <w:t>who have been assigned numbers are not registered</w:t>
      </w:r>
      <w:r w:rsidR="00BD566C">
        <w:rPr>
          <w:szCs w:val="20"/>
        </w:rPr>
        <w:t xml:space="preserve">, </w:t>
      </w:r>
      <w:r w:rsidR="00D67D8A">
        <w:rPr>
          <w:szCs w:val="20"/>
        </w:rPr>
        <w:t xml:space="preserve">the </w:t>
      </w:r>
      <w:r w:rsidR="00260D06">
        <w:rPr>
          <w:szCs w:val="20"/>
        </w:rPr>
        <w:t>CSP</w:t>
      </w:r>
      <w:r w:rsidR="00D67D8A">
        <w:rPr>
          <w:szCs w:val="20"/>
        </w:rPr>
        <w:t xml:space="preserve"> who provided the number</w:t>
      </w:r>
      <w:r w:rsidR="004136FF">
        <w:rPr>
          <w:szCs w:val="20"/>
        </w:rPr>
        <w:t xml:space="preserve"> </w:t>
      </w:r>
      <w:r w:rsidR="00BD566C">
        <w:rPr>
          <w:szCs w:val="20"/>
        </w:rPr>
        <w:t>will need to notify the ACMA.</w:t>
      </w:r>
      <w:r w:rsidR="00692E57">
        <w:rPr>
          <w:szCs w:val="20"/>
        </w:rPr>
        <w:t xml:space="preserve"> After </w:t>
      </w:r>
      <w:r w:rsidR="001B2F3D">
        <w:rPr>
          <w:szCs w:val="20"/>
        </w:rPr>
        <w:t xml:space="preserve">this </w:t>
      </w:r>
      <w:r w:rsidR="00260D06">
        <w:rPr>
          <w:szCs w:val="20"/>
        </w:rPr>
        <w:t xml:space="preserve">transitional </w:t>
      </w:r>
      <w:r w:rsidR="001B2F3D">
        <w:rPr>
          <w:szCs w:val="20"/>
        </w:rPr>
        <w:t>period</w:t>
      </w:r>
      <w:r w:rsidR="00692E57">
        <w:rPr>
          <w:szCs w:val="20"/>
        </w:rPr>
        <w:t xml:space="preserve">, unregistered CSPs </w:t>
      </w:r>
      <w:r w:rsidR="000726B4">
        <w:rPr>
          <w:szCs w:val="20"/>
        </w:rPr>
        <w:t xml:space="preserve">that </w:t>
      </w:r>
      <w:r w:rsidR="00692E57">
        <w:rPr>
          <w:szCs w:val="20"/>
        </w:rPr>
        <w:t xml:space="preserve">assign or are assigned numbers would be in breach of the </w:t>
      </w:r>
      <w:r w:rsidR="00E84ADB">
        <w:rPr>
          <w:szCs w:val="20"/>
        </w:rPr>
        <w:t>n</w:t>
      </w:r>
      <w:r w:rsidR="00692E57">
        <w:rPr>
          <w:szCs w:val="20"/>
        </w:rPr>
        <w:t xml:space="preserve">umbering </w:t>
      </w:r>
      <w:r w:rsidR="00E84ADB">
        <w:rPr>
          <w:szCs w:val="20"/>
        </w:rPr>
        <w:t>p</w:t>
      </w:r>
      <w:r w:rsidR="00692E57">
        <w:rPr>
          <w:szCs w:val="20"/>
        </w:rPr>
        <w:t>lan.</w:t>
      </w:r>
    </w:p>
    <w:p w14:paraId="1A8E2C5E" w14:textId="68599627" w:rsidR="00BF4D49" w:rsidRPr="00E162C4" w:rsidRDefault="00BF4D49" w:rsidP="0098650E">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F54E3B">
        <w:t>1.9</w:t>
      </w:r>
    </w:p>
    <w:p w14:paraId="5B50CEE7" w14:textId="49F7250A" w:rsidR="00BF4D49" w:rsidRDefault="00F54E3B" w:rsidP="0098650E">
      <w:pPr>
        <w:pStyle w:val="Paragraph"/>
        <w:keepNext/>
        <w:keepLines/>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Are there any reasons </w:t>
      </w:r>
      <w:r w:rsidR="00260D06">
        <w:t>CSP</w:t>
      </w:r>
      <w:r>
        <w:t>s shouldn’t be registered as a precondition to being assigned numbers</w:t>
      </w:r>
      <w:r w:rsidR="00D54BAF">
        <w:t xml:space="preserve"> on the same network</w:t>
      </w:r>
      <w:r w:rsidR="004136FF">
        <w:t>?</w:t>
      </w:r>
    </w:p>
    <w:p w14:paraId="41020FB5" w14:textId="3CE55639" w:rsidR="0026196C" w:rsidRDefault="0026196C" w:rsidP="0026196C">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5" w:name="_Hlk115176535"/>
      <w:r>
        <w:t>Question 1.10</w:t>
      </w:r>
    </w:p>
    <w:p w14:paraId="4529A70B" w14:textId="4EF64B02" w:rsidR="0026196C" w:rsidRDefault="0026196C" w:rsidP="0098650E">
      <w:pPr>
        <w:pStyle w:val="Paragraph"/>
        <w:keepNext/>
        <w:keepLines/>
        <w:pBdr>
          <w:top w:val="single" w:sz="4" w:space="1" w:color="auto"/>
          <w:left w:val="single" w:sz="4" w:space="4" w:color="auto"/>
          <w:bottom w:val="single" w:sz="4" w:space="1" w:color="auto"/>
          <w:right w:val="single" w:sz="4" w:space="4" w:color="auto"/>
        </w:pBdr>
        <w:shd w:val="clear" w:color="auto" w:fill="F2F2F2" w:themeFill="background1" w:themeFillShade="F2"/>
      </w:pPr>
      <w:r>
        <w:t>Should the numbering plan limit the number of times a number can be provided to another CSP under contractual arrangements (</w:t>
      </w:r>
      <w:r w:rsidR="009052C0">
        <w:t>that is</w:t>
      </w:r>
      <w:r w:rsidR="00A51B43">
        <w:t>,</w:t>
      </w:r>
      <w:r>
        <w:t xml:space="preserve"> assign the number) outside the Numbering System?</w:t>
      </w:r>
    </w:p>
    <w:p w14:paraId="12D897A7" w14:textId="2FFA7F1C" w:rsidR="0026196C" w:rsidRDefault="0026196C" w:rsidP="0026196C">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pPr>
      <w:r>
        <w:t>Question 1.11</w:t>
      </w:r>
    </w:p>
    <w:p w14:paraId="37EB1F6D" w14:textId="2F30B9BA" w:rsidR="0026196C" w:rsidRDefault="0026196C" w:rsidP="0098650E">
      <w:pPr>
        <w:pStyle w:val="Paragraph"/>
        <w:keepNext/>
        <w:keepLines/>
        <w:pBdr>
          <w:top w:val="single" w:sz="4" w:space="1" w:color="auto"/>
          <w:left w:val="single" w:sz="4" w:space="4" w:color="auto"/>
          <w:bottom w:val="single" w:sz="4" w:space="1" w:color="auto"/>
          <w:right w:val="single" w:sz="4" w:space="4" w:color="auto"/>
        </w:pBdr>
        <w:shd w:val="clear" w:color="auto" w:fill="F2F2F2" w:themeFill="background1" w:themeFillShade="F2"/>
      </w:pPr>
      <w:r>
        <w:t>Should the numbering plan restrict entities which can be assigned numbers to Australian businesses?</w:t>
      </w:r>
    </w:p>
    <w:bookmarkEnd w:id="15"/>
    <w:p w14:paraId="4E8D61A2" w14:textId="546AB320" w:rsidR="003D6610" w:rsidRPr="00E162C4" w:rsidRDefault="003D6610" w:rsidP="0098650E">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F54E3B">
        <w:t>1.1</w:t>
      </w:r>
      <w:r w:rsidR="0026196C">
        <w:t>2</w:t>
      </w:r>
    </w:p>
    <w:p w14:paraId="3F69FFFC" w14:textId="66A3A99D" w:rsidR="00D24473" w:rsidRDefault="00F54E3B" w:rsidP="00D24473">
      <w:pPr>
        <w:pStyle w:val="Paragraph"/>
        <w:keepLines/>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Under proposed </w:t>
      </w:r>
      <w:r w:rsidR="00D54BAF">
        <w:t xml:space="preserve">transitional </w:t>
      </w:r>
      <w:r>
        <w:t xml:space="preserve">arrangements, is 90 days from commencement of registration provisions sufficient time for </w:t>
      </w:r>
      <w:r w:rsidR="00260D06">
        <w:t>CSP</w:t>
      </w:r>
      <w:r>
        <w:t>s that have been assigned numbers to register?</w:t>
      </w:r>
    </w:p>
    <w:p w14:paraId="0350312D" w14:textId="1C66A426" w:rsidR="00F54E3B" w:rsidRPr="00E162C4" w:rsidRDefault="00F54E3B" w:rsidP="00F54E3B">
      <w:pPr>
        <w:pStyle w:val="Heading3"/>
        <w:keepLines/>
        <w:pBdr>
          <w:top w:val="single" w:sz="4" w:space="1"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t>1.1</w:t>
      </w:r>
      <w:r w:rsidR="0026196C">
        <w:t>3</w:t>
      </w:r>
    </w:p>
    <w:p w14:paraId="0A81DCE7" w14:textId="7596C5C2" w:rsidR="00F54E3B" w:rsidRPr="00D24473" w:rsidRDefault="00F54E3B" w:rsidP="000726B4">
      <w:pPr>
        <w:pStyle w:val="Paragraph"/>
        <w:keepLines/>
        <w:pBdr>
          <w:top w:val="single" w:sz="4" w:space="1" w:color="auto"/>
          <w:left w:val="single" w:sz="4" w:space="4" w:color="auto"/>
          <w:bottom w:val="single" w:sz="4" w:space="1" w:color="auto"/>
          <w:right w:val="single" w:sz="4" w:space="4" w:color="auto"/>
        </w:pBdr>
        <w:shd w:val="clear" w:color="auto" w:fill="F2F2F2" w:themeFill="background1" w:themeFillShade="F2"/>
      </w:pPr>
      <w:r>
        <w:t>Is between 90 to 180 days</w:t>
      </w:r>
      <w:r w:rsidRPr="007145A4">
        <w:t xml:space="preserve"> sufficient </w:t>
      </w:r>
      <w:r>
        <w:t xml:space="preserve">time </w:t>
      </w:r>
      <w:r w:rsidRPr="007145A4">
        <w:t xml:space="preserve">for donor </w:t>
      </w:r>
      <w:r w:rsidR="00260D06">
        <w:t>CSP</w:t>
      </w:r>
      <w:r w:rsidRPr="007145A4">
        <w:t xml:space="preserve">s to check the registration status of </w:t>
      </w:r>
      <w:r w:rsidR="00260D06">
        <w:t>CSP</w:t>
      </w:r>
      <w:r w:rsidRPr="007145A4">
        <w:t>s that have been assigned numbers?</w:t>
      </w:r>
    </w:p>
    <w:p w14:paraId="6BB68B01" w14:textId="794EAFC4" w:rsidR="00674606" w:rsidRDefault="00674606" w:rsidP="00674606">
      <w:pPr>
        <w:pStyle w:val="Heading3"/>
        <w:rPr>
          <w:szCs w:val="20"/>
        </w:rPr>
      </w:pPr>
      <w:r>
        <w:rPr>
          <w:szCs w:val="20"/>
        </w:rPr>
        <w:t>Power to withdraw numbers used for scams</w:t>
      </w:r>
    </w:p>
    <w:p w14:paraId="59A8E081" w14:textId="28B41142" w:rsidR="00364080" w:rsidRPr="00166B9F" w:rsidRDefault="00364080" w:rsidP="00364080">
      <w:pPr>
        <w:pStyle w:val="Paragraph"/>
      </w:pPr>
      <w:r>
        <w:rPr>
          <w:szCs w:val="20"/>
        </w:rPr>
        <w:t>W</w:t>
      </w:r>
      <w:r w:rsidRPr="00CD666D">
        <w:rPr>
          <w:szCs w:val="20"/>
        </w:rPr>
        <w:t xml:space="preserve">e propose the ACMA </w:t>
      </w:r>
      <w:r w:rsidRPr="0098650E">
        <w:rPr>
          <w:szCs w:val="20"/>
        </w:rPr>
        <w:t xml:space="preserve">be given </w:t>
      </w:r>
      <w:r w:rsidRPr="00CD666D">
        <w:rPr>
          <w:szCs w:val="20"/>
        </w:rPr>
        <w:t xml:space="preserve">a </w:t>
      </w:r>
      <w:r w:rsidR="00460576">
        <w:rPr>
          <w:szCs w:val="20"/>
        </w:rPr>
        <w:t xml:space="preserve">limited </w:t>
      </w:r>
      <w:r w:rsidRPr="00CD666D">
        <w:rPr>
          <w:szCs w:val="20"/>
        </w:rPr>
        <w:t xml:space="preserve">power to withdraw </w:t>
      </w:r>
      <w:r>
        <w:rPr>
          <w:szCs w:val="20"/>
        </w:rPr>
        <w:t xml:space="preserve">a </w:t>
      </w:r>
      <w:r w:rsidRPr="00CD666D">
        <w:rPr>
          <w:szCs w:val="20"/>
        </w:rPr>
        <w:t xml:space="preserve">number if </w:t>
      </w:r>
      <w:r w:rsidR="001B2F3D">
        <w:rPr>
          <w:szCs w:val="20"/>
        </w:rPr>
        <w:t>we</w:t>
      </w:r>
      <w:r w:rsidRPr="0098650E">
        <w:rPr>
          <w:szCs w:val="20"/>
        </w:rPr>
        <w:t xml:space="preserve"> </w:t>
      </w:r>
      <w:r w:rsidR="001B2F3D">
        <w:rPr>
          <w:szCs w:val="20"/>
        </w:rPr>
        <w:t>have</w:t>
      </w:r>
      <w:r w:rsidRPr="0098650E">
        <w:rPr>
          <w:szCs w:val="20"/>
        </w:rPr>
        <w:t xml:space="preserve"> </w:t>
      </w:r>
      <w:r w:rsidRPr="00CD666D">
        <w:rPr>
          <w:szCs w:val="20"/>
        </w:rPr>
        <w:t xml:space="preserve">reasonable grounds to believe </w:t>
      </w:r>
      <w:r>
        <w:rPr>
          <w:szCs w:val="20"/>
        </w:rPr>
        <w:t>it</w:t>
      </w:r>
      <w:r w:rsidRPr="00CD666D">
        <w:rPr>
          <w:szCs w:val="20"/>
        </w:rPr>
        <w:t xml:space="preserve"> has been used in association with a </w:t>
      </w:r>
      <w:r>
        <w:rPr>
          <w:szCs w:val="20"/>
        </w:rPr>
        <w:t xml:space="preserve">scam communication </w:t>
      </w:r>
      <w:r w:rsidRPr="00CD666D">
        <w:rPr>
          <w:szCs w:val="20"/>
        </w:rPr>
        <w:t xml:space="preserve">or other fraudulent activity. To make use of this power, </w:t>
      </w:r>
      <w:r w:rsidR="001B2F3D">
        <w:rPr>
          <w:szCs w:val="20"/>
        </w:rPr>
        <w:t>we</w:t>
      </w:r>
      <w:r w:rsidRPr="00CD666D">
        <w:rPr>
          <w:szCs w:val="20"/>
        </w:rPr>
        <w:t xml:space="preserve"> must be sa</w:t>
      </w:r>
      <w:r>
        <w:rPr>
          <w:szCs w:val="20"/>
        </w:rPr>
        <w:t xml:space="preserve">tisfied that </w:t>
      </w:r>
      <w:r>
        <w:rPr>
          <w:color w:val="000000"/>
          <w:szCs w:val="20"/>
        </w:rPr>
        <w:t xml:space="preserve">the benefits of withdrawing the number outweigh </w:t>
      </w:r>
      <w:r w:rsidR="00D54BAF">
        <w:rPr>
          <w:color w:val="000000"/>
          <w:szCs w:val="20"/>
        </w:rPr>
        <w:t xml:space="preserve">any adverse </w:t>
      </w:r>
      <w:r>
        <w:rPr>
          <w:color w:val="000000"/>
          <w:szCs w:val="20"/>
        </w:rPr>
        <w:t>technical and financial consequences of doing so.</w:t>
      </w:r>
    </w:p>
    <w:p w14:paraId="1EDB032B" w14:textId="078B1A50" w:rsidR="00364080" w:rsidRDefault="001B2F3D" w:rsidP="00C6187E">
      <w:pPr>
        <w:pStyle w:val="Paragraph"/>
        <w:rPr>
          <w:szCs w:val="20"/>
        </w:rPr>
      </w:pPr>
      <w:r>
        <w:rPr>
          <w:szCs w:val="20"/>
        </w:rPr>
        <w:t>From</w:t>
      </w:r>
      <w:r w:rsidR="00364080">
        <w:rPr>
          <w:szCs w:val="20"/>
        </w:rPr>
        <w:t xml:space="preserve"> time-to-time</w:t>
      </w:r>
      <w:r w:rsidR="000726B4">
        <w:rPr>
          <w:szCs w:val="20"/>
        </w:rPr>
        <w:t>,</w:t>
      </w:r>
      <w:r>
        <w:rPr>
          <w:szCs w:val="20"/>
        </w:rPr>
        <w:t xml:space="preserve"> we are </w:t>
      </w:r>
      <w:r w:rsidR="00364080">
        <w:rPr>
          <w:szCs w:val="20"/>
        </w:rPr>
        <w:t>made aware by law enforcement</w:t>
      </w:r>
      <w:r w:rsidR="00692E57">
        <w:rPr>
          <w:szCs w:val="20"/>
        </w:rPr>
        <w:t xml:space="preserve">, </w:t>
      </w:r>
      <w:r w:rsidR="00364080">
        <w:rPr>
          <w:szCs w:val="20"/>
        </w:rPr>
        <w:t xml:space="preserve">government agencies </w:t>
      </w:r>
      <w:r w:rsidR="00692E57">
        <w:rPr>
          <w:szCs w:val="20"/>
        </w:rPr>
        <w:t xml:space="preserve">or consumers </w:t>
      </w:r>
      <w:r w:rsidR="0022681E">
        <w:rPr>
          <w:szCs w:val="20"/>
        </w:rPr>
        <w:t>about</w:t>
      </w:r>
      <w:r w:rsidR="00364080">
        <w:rPr>
          <w:szCs w:val="20"/>
        </w:rPr>
        <w:t xml:space="preserve"> numbers that are being used </w:t>
      </w:r>
      <w:r w:rsidR="00692E57">
        <w:rPr>
          <w:szCs w:val="20"/>
        </w:rPr>
        <w:t>to</w:t>
      </w:r>
      <w:r w:rsidR="00364080">
        <w:rPr>
          <w:szCs w:val="20"/>
        </w:rPr>
        <w:t xml:space="preserve"> </w:t>
      </w:r>
      <w:r w:rsidR="00460576">
        <w:rPr>
          <w:szCs w:val="20"/>
        </w:rPr>
        <w:t>perpetrat</w:t>
      </w:r>
      <w:r w:rsidR="00692E57">
        <w:rPr>
          <w:szCs w:val="20"/>
        </w:rPr>
        <w:t>e</w:t>
      </w:r>
      <w:r w:rsidR="00460576">
        <w:rPr>
          <w:szCs w:val="20"/>
        </w:rPr>
        <w:t xml:space="preserve"> a</w:t>
      </w:r>
      <w:r w:rsidR="00364080">
        <w:rPr>
          <w:szCs w:val="20"/>
        </w:rPr>
        <w:t xml:space="preserve"> scam or fraudulent activity. </w:t>
      </w:r>
      <w:r w:rsidR="00460576">
        <w:rPr>
          <w:szCs w:val="20"/>
        </w:rPr>
        <w:t>Specifically</w:t>
      </w:r>
      <w:r w:rsidR="00364080" w:rsidRPr="00902955">
        <w:rPr>
          <w:szCs w:val="20"/>
        </w:rPr>
        <w:t xml:space="preserve">, </w:t>
      </w:r>
      <w:r w:rsidR="00692E57">
        <w:rPr>
          <w:szCs w:val="20"/>
        </w:rPr>
        <w:t xml:space="preserve">this </w:t>
      </w:r>
      <w:r w:rsidR="0022681E">
        <w:rPr>
          <w:szCs w:val="20"/>
        </w:rPr>
        <w:t xml:space="preserve">often </w:t>
      </w:r>
      <w:r w:rsidR="00692E57">
        <w:rPr>
          <w:szCs w:val="20"/>
        </w:rPr>
        <w:t xml:space="preserve">involves </w:t>
      </w:r>
      <w:r w:rsidR="00460576">
        <w:rPr>
          <w:szCs w:val="20"/>
        </w:rPr>
        <w:t xml:space="preserve">the </w:t>
      </w:r>
      <w:r w:rsidR="00364080">
        <w:rPr>
          <w:szCs w:val="20"/>
        </w:rPr>
        <w:t xml:space="preserve">misuse of numbers in scam </w:t>
      </w:r>
      <w:r w:rsidR="00460576">
        <w:rPr>
          <w:szCs w:val="20"/>
        </w:rPr>
        <w:t xml:space="preserve">texts, websites and over-the-top applications </w:t>
      </w:r>
      <w:r w:rsidR="00364080">
        <w:rPr>
          <w:szCs w:val="20"/>
        </w:rPr>
        <w:t>to solicit a return call</w:t>
      </w:r>
      <w:r w:rsidR="00460576">
        <w:rPr>
          <w:szCs w:val="20"/>
        </w:rPr>
        <w:t>.</w:t>
      </w:r>
    </w:p>
    <w:p w14:paraId="6551C4B3" w14:textId="051D1157" w:rsidR="00C6187E" w:rsidRDefault="00364080" w:rsidP="00C6187E">
      <w:pPr>
        <w:pStyle w:val="Paragraph"/>
        <w:rPr>
          <w:szCs w:val="20"/>
        </w:rPr>
      </w:pPr>
      <w:r>
        <w:rPr>
          <w:szCs w:val="20"/>
        </w:rPr>
        <w:t>Currently, the ACMA has no explicit power to withdraw a number from use under such circumstances</w:t>
      </w:r>
      <w:r w:rsidR="0022681E">
        <w:rPr>
          <w:szCs w:val="20"/>
        </w:rPr>
        <w:t>.</w:t>
      </w:r>
      <w:r w:rsidR="00460576">
        <w:rPr>
          <w:szCs w:val="20"/>
        </w:rPr>
        <w:t xml:space="preserve"> </w:t>
      </w:r>
      <w:r w:rsidR="0022681E">
        <w:rPr>
          <w:szCs w:val="20"/>
        </w:rPr>
        <w:t>W</w:t>
      </w:r>
      <w:r w:rsidR="00460576">
        <w:rPr>
          <w:szCs w:val="20"/>
        </w:rPr>
        <w:t xml:space="preserve">e </w:t>
      </w:r>
      <w:r w:rsidR="0022681E">
        <w:rPr>
          <w:szCs w:val="20"/>
        </w:rPr>
        <w:t xml:space="preserve">do </w:t>
      </w:r>
      <w:r w:rsidR="00460576">
        <w:rPr>
          <w:szCs w:val="20"/>
        </w:rPr>
        <w:t xml:space="preserve">note some </w:t>
      </w:r>
      <w:r w:rsidR="00260D06">
        <w:rPr>
          <w:szCs w:val="20"/>
        </w:rPr>
        <w:t>CSP</w:t>
      </w:r>
      <w:r w:rsidR="0022681E">
        <w:rPr>
          <w:szCs w:val="20"/>
        </w:rPr>
        <w:t xml:space="preserve">s </w:t>
      </w:r>
      <w:r w:rsidR="00460576">
        <w:rPr>
          <w:szCs w:val="20"/>
        </w:rPr>
        <w:t xml:space="preserve">may take action to remove a number from an end-user under a </w:t>
      </w:r>
      <w:r w:rsidR="00692E57">
        <w:rPr>
          <w:szCs w:val="20"/>
        </w:rPr>
        <w:t>contract</w:t>
      </w:r>
      <w:r w:rsidR="00460576">
        <w:rPr>
          <w:szCs w:val="20"/>
        </w:rPr>
        <w:t xml:space="preserve"> if it becomes evident that the number is being used for scam purposes.</w:t>
      </w:r>
    </w:p>
    <w:p w14:paraId="7BF4AF47" w14:textId="1F06E772" w:rsidR="002F5DBA" w:rsidRDefault="002F5DBA" w:rsidP="002F5DBA">
      <w:pPr>
        <w:pStyle w:val="Paragraph"/>
        <w:rPr>
          <w:szCs w:val="20"/>
        </w:rPr>
      </w:pPr>
      <w:r>
        <w:rPr>
          <w:szCs w:val="20"/>
        </w:rPr>
        <w:t xml:space="preserve">This amendment will increase the regulatory options available </w:t>
      </w:r>
      <w:r w:rsidR="00FD6FBB">
        <w:rPr>
          <w:szCs w:val="20"/>
        </w:rPr>
        <w:t xml:space="preserve">to </w:t>
      </w:r>
      <w:r w:rsidR="000E60B4">
        <w:rPr>
          <w:szCs w:val="20"/>
        </w:rPr>
        <w:t>us</w:t>
      </w:r>
      <w:r w:rsidR="00FD6FBB">
        <w:rPr>
          <w:szCs w:val="20"/>
        </w:rPr>
        <w:t xml:space="preserve"> where</w:t>
      </w:r>
      <w:r w:rsidR="00460576">
        <w:rPr>
          <w:szCs w:val="20"/>
        </w:rPr>
        <w:t xml:space="preserve"> a </w:t>
      </w:r>
      <w:r w:rsidR="00260D06">
        <w:rPr>
          <w:szCs w:val="20"/>
        </w:rPr>
        <w:t>CSP</w:t>
      </w:r>
      <w:r w:rsidR="00460576">
        <w:rPr>
          <w:szCs w:val="20"/>
        </w:rPr>
        <w:t xml:space="preserve"> </w:t>
      </w:r>
      <w:r>
        <w:rPr>
          <w:szCs w:val="20"/>
        </w:rPr>
        <w:t xml:space="preserve">is not taking sufficient steps to </w:t>
      </w:r>
      <w:r w:rsidR="004A1719">
        <w:rPr>
          <w:szCs w:val="20"/>
        </w:rPr>
        <w:t xml:space="preserve">protect Australians and </w:t>
      </w:r>
      <w:r>
        <w:rPr>
          <w:szCs w:val="20"/>
        </w:rPr>
        <w:t xml:space="preserve">prevent numbers from being used by scammers or </w:t>
      </w:r>
      <w:r w:rsidR="00FD6FBB">
        <w:rPr>
          <w:szCs w:val="20"/>
        </w:rPr>
        <w:t xml:space="preserve">for </w:t>
      </w:r>
      <w:r>
        <w:rPr>
          <w:szCs w:val="20"/>
        </w:rPr>
        <w:t>other fraudulent activity.</w:t>
      </w:r>
    </w:p>
    <w:p w14:paraId="60B531C2" w14:textId="322D9AE5" w:rsidR="003E4191" w:rsidRDefault="002F5DBA" w:rsidP="00674606">
      <w:pPr>
        <w:pStyle w:val="Paragraph"/>
        <w:rPr>
          <w:szCs w:val="20"/>
        </w:rPr>
      </w:pPr>
      <w:r>
        <w:rPr>
          <w:szCs w:val="20"/>
        </w:rPr>
        <w:t xml:space="preserve">We note, however, that the proposed power may not be appropriate </w:t>
      </w:r>
      <w:r w:rsidR="00692E57">
        <w:rPr>
          <w:szCs w:val="20"/>
        </w:rPr>
        <w:t>to use in all</w:t>
      </w:r>
      <w:r>
        <w:rPr>
          <w:szCs w:val="20"/>
        </w:rPr>
        <w:t xml:space="preserve"> circumstances</w:t>
      </w:r>
      <w:r w:rsidR="00D54BAF">
        <w:rPr>
          <w:szCs w:val="20"/>
        </w:rPr>
        <w:t>; f</w:t>
      </w:r>
      <w:r>
        <w:rPr>
          <w:szCs w:val="20"/>
        </w:rPr>
        <w:t xml:space="preserve">or </w:t>
      </w:r>
      <w:r w:rsidR="00D54BAF">
        <w:rPr>
          <w:szCs w:val="20"/>
        </w:rPr>
        <w:t>example</w:t>
      </w:r>
      <w:r>
        <w:rPr>
          <w:szCs w:val="20"/>
        </w:rPr>
        <w:t xml:space="preserve">, where </w:t>
      </w:r>
      <w:r w:rsidR="003E4191">
        <w:rPr>
          <w:szCs w:val="20"/>
        </w:rPr>
        <w:t xml:space="preserve">scam calls are made using spoofed </w:t>
      </w:r>
      <w:r w:rsidR="00460576">
        <w:rPr>
          <w:szCs w:val="20"/>
        </w:rPr>
        <w:t xml:space="preserve">or over-stamped </w:t>
      </w:r>
      <w:r w:rsidR="003E4191">
        <w:rPr>
          <w:szCs w:val="20"/>
        </w:rPr>
        <w:t>numbers</w:t>
      </w:r>
      <w:r w:rsidR="008A132E">
        <w:rPr>
          <w:rStyle w:val="FootnoteReference"/>
          <w:szCs w:val="20"/>
        </w:rPr>
        <w:footnoteReference w:id="3"/>
      </w:r>
      <w:r>
        <w:rPr>
          <w:szCs w:val="20"/>
        </w:rPr>
        <w:t xml:space="preserve">, or where </w:t>
      </w:r>
      <w:r w:rsidR="00902955">
        <w:rPr>
          <w:szCs w:val="20"/>
        </w:rPr>
        <w:t xml:space="preserve">scammers use numbers for a very short time before moving onto a new number. </w:t>
      </w:r>
      <w:r w:rsidR="00300D6A">
        <w:rPr>
          <w:szCs w:val="20"/>
        </w:rPr>
        <w:t xml:space="preserve">In both these situations, it is unlikely that </w:t>
      </w:r>
      <w:r w:rsidR="00902955">
        <w:rPr>
          <w:szCs w:val="20"/>
        </w:rPr>
        <w:t xml:space="preserve">withdrawing numbers would be an efficient means of disrupting </w:t>
      </w:r>
      <w:r w:rsidR="00300D6A">
        <w:rPr>
          <w:szCs w:val="20"/>
        </w:rPr>
        <w:t>scam activity</w:t>
      </w:r>
      <w:r w:rsidR="00902955">
        <w:rPr>
          <w:szCs w:val="20"/>
        </w:rPr>
        <w:t>.</w:t>
      </w:r>
    </w:p>
    <w:p w14:paraId="1A6ECAA4" w14:textId="3E071C25" w:rsidR="009A3FB2" w:rsidRDefault="00B06EB4" w:rsidP="009A3FB2">
      <w:pPr>
        <w:pStyle w:val="Paragraph"/>
        <w:rPr>
          <w:lang w:eastAsia="en-US"/>
        </w:rPr>
      </w:pPr>
      <w:r>
        <w:rPr>
          <w:szCs w:val="20"/>
        </w:rPr>
        <w:t>We do not expect significant changes to the Numbering System will be required to facilitate this</w:t>
      </w:r>
      <w:r w:rsidR="003D0F1C">
        <w:rPr>
          <w:szCs w:val="20"/>
        </w:rPr>
        <w:t xml:space="preserve"> </w:t>
      </w:r>
      <w:r>
        <w:rPr>
          <w:szCs w:val="20"/>
        </w:rPr>
        <w:t>obligation</w:t>
      </w:r>
      <w:r w:rsidR="00460576">
        <w:rPr>
          <w:szCs w:val="20"/>
        </w:rPr>
        <w:t xml:space="preserve">, as </w:t>
      </w:r>
      <w:r w:rsidR="0022681E">
        <w:rPr>
          <w:szCs w:val="20"/>
        </w:rPr>
        <w:t>we</w:t>
      </w:r>
      <w:r w:rsidR="00460576">
        <w:rPr>
          <w:szCs w:val="20"/>
        </w:rPr>
        <w:t xml:space="preserve"> already </w:t>
      </w:r>
      <w:r w:rsidR="0022681E">
        <w:rPr>
          <w:szCs w:val="20"/>
        </w:rPr>
        <w:t>have</w:t>
      </w:r>
      <w:r w:rsidR="00460576">
        <w:rPr>
          <w:szCs w:val="20"/>
        </w:rPr>
        <w:t xml:space="preserve"> powers to withdraw numbers under other circumstances</w:t>
      </w:r>
      <w:r>
        <w:rPr>
          <w:szCs w:val="20"/>
        </w:rPr>
        <w:t>.</w:t>
      </w:r>
      <w:r w:rsidR="009A3FB2" w:rsidRPr="009A3FB2">
        <w:rPr>
          <w:lang w:eastAsia="en-US"/>
        </w:rPr>
        <w:t xml:space="preserve"> </w:t>
      </w:r>
    </w:p>
    <w:p w14:paraId="2E086EF6" w14:textId="6441F360" w:rsidR="00B06EB4" w:rsidRDefault="009A3FB2" w:rsidP="00674606">
      <w:pPr>
        <w:pStyle w:val="Paragraph"/>
        <w:rPr>
          <w:szCs w:val="20"/>
        </w:rPr>
      </w:pPr>
      <w:r>
        <w:rPr>
          <w:lang w:eastAsia="en-US"/>
        </w:rPr>
        <w:t>A decision to withdraw numbers used for scam communications or other fraudulent activity would be reviewable under section 127 of the numbering plan.</w:t>
      </w:r>
      <w:r w:rsidR="004D3CE6">
        <w:rPr>
          <w:lang w:eastAsia="en-US"/>
        </w:rPr>
        <w:t xml:space="preserve"> Withdrawn numbers may be re-allocated by the ACMA.</w:t>
      </w:r>
    </w:p>
    <w:p w14:paraId="703FFEF5" w14:textId="1A9C008F" w:rsidR="00BF4D49" w:rsidRPr="00E162C4" w:rsidRDefault="00BF4D49" w:rsidP="00BF4D49">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F54E3B">
        <w:t>1.1</w:t>
      </w:r>
      <w:r w:rsidR="0026196C">
        <w:t>4</w:t>
      </w:r>
    </w:p>
    <w:p w14:paraId="284C25B2" w14:textId="05C8DA7A" w:rsidR="003D6610" w:rsidRDefault="00F54E3B" w:rsidP="00BF4D49">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FD59CE">
        <w:t xml:space="preserve">In deciding </w:t>
      </w:r>
      <w:r w:rsidR="00AC70E7">
        <w:t xml:space="preserve">whether </w:t>
      </w:r>
      <w:r w:rsidRPr="00FD59CE">
        <w:t xml:space="preserve">to withdraw numbers used for scam or fraudulent purposes, </w:t>
      </w:r>
      <w:r w:rsidRPr="00E27FB0">
        <w:t xml:space="preserve">what should the ACMA </w:t>
      </w:r>
      <w:r w:rsidR="00AC70E7">
        <w:t>consider</w:t>
      </w:r>
      <w:r w:rsidRPr="00E27FB0">
        <w:t>?</w:t>
      </w:r>
    </w:p>
    <w:p w14:paraId="114C4E03" w14:textId="3CF5C662" w:rsidR="00674606" w:rsidRPr="00674606" w:rsidRDefault="007D7A4A" w:rsidP="0098650E">
      <w:pPr>
        <w:pStyle w:val="Heading2"/>
        <w:keepLines/>
      </w:pPr>
      <w:bookmarkStart w:id="16" w:name="_Toc115779215"/>
      <w:r>
        <w:t xml:space="preserve">2. </w:t>
      </w:r>
      <w:r w:rsidR="00674606" w:rsidRPr="00674606">
        <w:t>Efficient allocation of numbers</w:t>
      </w:r>
      <w:bookmarkEnd w:id="16"/>
    </w:p>
    <w:p w14:paraId="58698583" w14:textId="307724A9" w:rsidR="00915E28" w:rsidRPr="00915E28" w:rsidRDefault="00007127" w:rsidP="0098650E">
      <w:pPr>
        <w:pStyle w:val="Paragraph"/>
        <w:keepNext/>
        <w:keepLines/>
      </w:pPr>
      <w:r>
        <w:t xml:space="preserve">In response to </w:t>
      </w:r>
      <w:r w:rsidR="00915E28">
        <w:t xml:space="preserve">technological and other industry changes since the </w:t>
      </w:r>
      <w:r w:rsidR="0022681E">
        <w:t xml:space="preserve">numbering </w:t>
      </w:r>
      <w:r w:rsidR="00915E28">
        <w:t xml:space="preserve">plan was </w:t>
      </w:r>
      <w:r w:rsidR="00E61425">
        <w:t>made</w:t>
      </w:r>
      <w:r w:rsidR="007C41E5">
        <w:t xml:space="preserve"> and then varied</w:t>
      </w:r>
      <w:r w:rsidR="00915E28">
        <w:t>, we are proposing the following amendments.</w:t>
      </w:r>
    </w:p>
    <w:p w14:paraId="7575C3EB" w14:textId="67057BC1" w:rsidR="00674606" w:rsidRPr="00674606" w:rsidRDefault="00674606" w:rsidP="0098650E">
      <w:pPr>
        <w:pStyle w:val="Heading3"/>
        <w:keepLines/>
        <w:rPr>
          <w:szCs w:val="20"/>
        </w:rPr>
      </w:pPr>
      <w:r w:rsidRPr="00674606">
        <w:rPr>
          <w:szCs w:val="20"/>
        </w:rPr>
        <w:t>Decrease the size of a standard unit of numbers</w:t>
      </w:r>
    </w:p>
    <w:p w14:paraId="326E297B" w14:textId="217D487F" w:rsidR="007C41E5" w:rsidRDefault="007C41E5" w:rsidP="007C41E5">
      <w:pPr>
        <w:pStyle w:val="Paragraph"/>
        <w:keepNext/>
        <w:keepLines/>
      </w:pPr>
      <w:r>
        <w:t>We propose decreasing the size of a standard unit for premium rate numbers and mobile numbers that may be allocated, transferred or surrendered via the Numbering System from 100,000 to 10,000.</w:t>
      </w:r>
    </w:p>
    <w:p w14:paraId="1BC8DCA6" w14:textId="6DCE3EB8" w:rsidR="00F77365" w:rsidRDefault="00DE2A50" w:rsidP="0098650E">
      <w:pPr>
        <w:pStyle w:val="Paragraph"/>
        <w:keepNext/>
        <w:keepLines/>
      </w:pPr>
      <w:r>
        <w:t xml:space="preserve">The </w:t>
      </w:r>
      <w:r w:rsidR="003250C7">
        <w:t xml:space="preserve">numbering </w:t>
      </w:r>
      <w:r w:rsidR="00915E28">
        <w:t>p</w:t>
      </w:r>
      <w:r>
        <w:t xml:space="preserve">lan specifies the standard unit of numbers </w:t>
      </w:r>
      <w:r w:rsidR="00AF1B74">
        <w:t xml:space="preserve">that </w:t>
      </w:r>
      <w:r>
        <w:t xml:space="preserve">may be allocated via the Numbering System at any one time. A standard unit is </w:t>
      </w:r>
      <w:r w:rsidR="00007127">
        <w:t xml:space="preserve">defined as </w:t>
      </w:r>
      <w:r>
        <w:t xml:space="preserve">a contiguous block of numbers in sequence. Currently, the standard unit for </w:t>
      </w:r>
      <w:r w:rsidRPr="00F77365">
        <w:t>premium rate numbers and mobile numbers</w:t>
      </w:r>
      <w:r w:rsidRPr="00674606">
        <w:t xml:space="preserve"> </w:t>
      </w:r>
      <w:r>
        <w:t>is</w:t>
      </w:r>
      <w:r w:rsidRPr="00674606">
        <w:t xml:space="preserve"> </w:t>
      </w:r>
      <w:r>
        <w:t>1</w:t>
      </w:r>
      <w:r w:rsidRPr="00674606">
        <w:t>00,000</w:t>
      </w:r>
      <w:r>
        <w:t xml:space="preserve"> number</w:t>
      </w:r>
      <w:r w:rsidR="00915E28">
        <w:t>s</w:t>
      </w:r>
      <w:r>
        <w:t>.</w:t>
      </w:r>
    </w:p>
    <w:p w14:paraId="16BA7C25" w14:textId="4EB750FB" w:rsidR="00DE2A50" w:rsidRDefault="00DE2A50" w:rsidP="00674606">
      <w:pPr>
        <w:pStyle w:val="Paragraph"/>
      </w:pPr>
      <w:r>
        <w:t xml:space="preserve">This </w:t>
      </w:r>
      <w:r w:rsidR="00007127">
        <w:t xml:space="preserve">current </w:t>
      </w:r>
      <w:r>
        <w:t xml:space="preserve">block size </w:t>
      </w:r>
      <w:r w:rsidR="00007127">
        <w:t>is</w:t>
      </w:r>
      <w:r w:rsidRPr="00674606">
        <w:t xml:space="preserve"> based on telecommunications network conditioning practices at </w:t>
      </w:r>
      <w:r>
        <w:t xml:space="preserve">the time the </w:t>
      </w:r>
      <w:r w:rsidR="003250C7">
        <w:t xml:space="preserve">numbering </w:t>
      </w:r>
      <w:r w:rsidR="00915E28">
        <w:t>p</w:t>
      </w:r>
      <w:r>
        <w:t>lan was last remade</w:t>
      </w:r>
      <w:r w:rsidRPr="00674606">
        <w:t>.</w:t>
      </w:r>
      <w:r>
        <w:t xml:space="preserve"> </w:t>
      </w:r>
      <w:r w:rsidR="0022681E">
        <w:t>We</w:t>
      </w:r>
      <w:r w:rsidR="00E27FB0">
        <w:t xml:space="preserve"> understand t</w:t>
      </w:r>
      <w:r w:rsidRPr="00674606">
        <w:t xml:space="preserve">echnological changes mean larger </w:t>
      </w:r>
      <w:r w:rsidR="007C41E5">
        <w:t xml:space="preserve">unit </w:t>
      </w:r>
      <w:r w:rsidRPr="00674606">
        <w:t>sizes are no longer necessary.</w:t>
      </w:r>
    </w:p>
    <w:p w14:paraId="375992E5" w14:textId="3AA50A08" w:rsidR="00674606" w:rsidRDefault="00DE2A50" w:rsidP="00674606">
      <w:pPr>
        <w:pStyle w:val="Paragraph"/>
      </w:pPr>
      <w:r>
        <w:t xml:space="preserve">Accordingly, we propose </w:t>
      </w:r>
      <w:r w:rsidR="00674606" w:rsidRPr="00674606">
        <w:t xml:space="preserve">to decrease the </w:t>
      </w:r>
      <w:r w:rsidR="00674606" w:rsidRPr="00F77365">
        <w:t xml:space="preserve">size of a standard unit </w:t>
      </w:r>
      <w:r>
        <w:t>for these types of numbers</w:t>
      </w:r>
      <w:r w:rsidR="00674606" w:rsidRPr="00674606">
        <w:t xml:space="preserve"> to 10,000.</w:t>
      </w:r>
      <w:r>
        <w:t xml:space="preserve"> </w:t>
      </w:r>
      <w:r w:rsidR="00007127">
        <w:rPr>
          <w:szCs w:val="20"/>
        </w:rPr>
        <w:t>It’s</w:t>
      </w:r>
      <w:r w:rsidR="00007127" w:rsidRPr="00674606">
        <w:t xml:space="preserve"> </w:t>
      </w:r>
      <w:r w:rsidR="00674606" w:rsidRPr="00674606">
        <w:t xml:space="preserve">anticipated </w:t>
      </w:r>
      <w:r w:rsidR="00007127">
        <w:t>that</w:t>
      </w:r>
      <w:r w:rsidR="00674606" w:rsidRPr="00674606">
        <w:t xml:space="preserve"> smaller unit sizes </w:t>
      </w:r>
      <w:r w:rsidR="00007127">
        <w:t>will</w:t>
      </w:r>
      <w:r w:rsidR="00674606" w:rsidRPr="00674606">
        <w:t xml:space="preserve"> increase flexibility for industry and encourage the transfer of numbers within the Numbering System.</w:t>
      </w:r>
    </w:p>
    <w:p w14:paraId="61332F89" w14:textId="3642C7B2" w:rsidR="00AA19C4" w:rsidRDefault="00AA19C4" w:rsidP="00674606">
      <w:pPr>
        <w:pStyle w:val="Paragraph"/>
      </w:pPr>
      <w:r>
        <w:t xml:space="preserve">We anticipate that relevant changes will be made to the Numbering System by </w:t>
      </w:r>
      <w:r>
        <w:br/>
      </w:r>
      <w:r w:rsidR="007D7A4A">
        <w:t xml:space="preserve">the end of </w:t>
      </w:r>
      <w:r w:rsidR="00EC2C47">
        <w:t>March 20</w:t>
      </w:r>
      <w:r w:rsidR="007D7A4A">
        <w:t>23</w:t>
      </w:r>
      <w:r>
        <w:t>.</w:t>
      </w:r>
    </w:p>
    <w:p w14:paraId="7FBF081A" w14:textId="39AA693D" w:rsidR="00BF4D49" w:rsidRPr="00E162C4" w:rsidRDefault="00BF4D49" w:rsidP="00B4094E">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7D7A4A">
        <w:t>2.1</w:t>
      </w:r>
    </w:p>
    <w:p w14:paraId="76A0509A" w14:textId="160157D7" w:rsidR="00B4094E" w:rsidRDefault="007D7A4A"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Do you support these initiatives? Why? Why not</w:t>
      </w:r>
      <w:r w:rsidR="00B4094E">
        <w:t>?</w:t>
      </w:r>
    </w:p>
    <w:p w14:paraId="339F2727" w14:textId="7DDE13EF" w:rsidR="00B4094E" w:rsidRDefault="00B4094E" w:rsidP="00B4094E">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7D7A4A">
        <w:t>2.2</w:t>
      </w:r>
    </w:p>
    <w:p w14:paraId="178BF22C" w14:textId="32D7C905" w:rsidR="00B4094E" w:rsidRDefault="007D7A4A"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Is there any specific cost or burden in relation to the proposals? If so, please provide specific detail against each relevant item.</w:t>
      </w:r>
    </w:p>
    <w:p w14:paraId="3A18561A" w14:textId="6C47B9E8" w:rsidR="00B4094E" w:rsidRDefault="00B4094E" w:rsidP="00B4094E">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7D7A4A">
        <w:t>2.3</w:t>
      </w:r>
    </w:p>
    <w:p w14:paraId="3D57CBA4" w14:textId="7FD056F9" w:rsidR="00BF4D49" w:rsidRDefault="007D7A4A"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 xml:space="preserve">If you are a </w:t>
      </w:r>
      <w:r w:rsidR="00260D06">
        <w:t>CSP</w:t>
      </w:r>
      <w:r>
        <w:t>, do you anticipate you will be more likely to apply for an allocation of numbers, or a transfer of numbers, via the Numbering System if standard unit sizes are reduced to 10,000 number blocks?</w:t>
      </w:r>
    </w:p>
    <w:p w14:paraId="349B2625" w14:textId="52C1CA72" w:rsidR="007D7A4A" w:rsidRDefault="007D7A4A" w:rsidP="007D7A4A">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t>2.4</w:t>
      </w:r>
    </w:p>
    <w:p w14:paraId="719CC703" w14:textId="2F0977A7" w:rsidR="007D7A4A" w:rsidRDefault="00833A1F"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 xml:space="preserve">Noting we anticipate changes will be made to the Numbering System by the end of </w:t>
      </w:r>
      <w:r w:rsidR="00EC2C47">
        <w:t>March 20</w:t>
      </w:r>
      <w:r>
        <w:t xml:space="preserve">23, will </w:t>
      </w:r>
      <w:r w:rsidR="00260D06">
        <w:t>CSP</w:t>
      </w:r>
      <w:r>
        <w:t xml:space="preserve"> systems be able to accept 10,000 number blocks by that time? If </w:t>
      </w:r>
      <w:r w:rsidR="00260D06">
        <w:t>CSP</w:t>
      </w:r>
      <w:r>
        <w:t>s expect they will need longer, would a possible workaround be to apply for allocation of 10 x 10,000 number blocks in each transaction? Would this create additional costs?</w:t>
      </w:r>
    </w:p>
    <w:p w14:paraId="12E95015" w14:textId="0A78FD70" w:rsidR="007D7A4A" w:rsidRDefault="007D7A4A" w:rsidP="007D7A4A">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t>2.5</w:t>
      </w:r>
    </w:p>
    <w:p w14:paraId="53F4A3A6" w14:textId="24898BB5" w:rsidR="007D7A4A" w:rsidRDefault="007D7A4A"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rsidRPr="00E27FB0">
        <w:rPr>
          <w:szCs w:val="20"/>
        </w:rPr>
        <w:t>Are there any disadvantages to requiring transfers of number to occur in standard unit sizes under the numbering plan, noting this is already standard practice in the Numbering System?</w:t>
      </w:r>
    </w:p>
    <w:p w14:paraId="7C877467" w14:textId="5F9DA00C" w:rsidR="00674606" w:rsidRDefault="00DE2A50" w:rsidP="00674606">
      <w:pPr>
        <w:pStyle w:val="Heading3"/>
        <w:rPr>
          <w:szCs w:val="20"/>
        </w:rPr>
      </w:pPr>
      <w:r>
        <w:rPr>
          <w:szCs w:val="20"/>
        </w:rPr>
        <w:t>L</w:t>
      </w:r>
      <w:r w:rsidR="00674606" w:rsidRPr="00E313F2">
        <w:rPr>
          <w:szCs w:val="20"/>
        </w:rPr>
        <w:t>ocation independent communications service</w:t>
      </w:r>
      <w:r w:rsidR="00674606">
        <w:rPr>
          <w:szCs w:val="20"/>
        </w:rPr>
        <w:t>s</w:t>
      </w:r>
    </w:p>
    <w:p w14:paraId="0BCC2CFA" w14:textId="55223A05" w:rsidR="003741B1" w:rsidRDefault="000C1996" w:rsidP="00674606">
      <w:pPr>
        <w:pStyle w:val="Paragraph"/>
        <w:rPr>
          <w:szCs w:val="20"/>
        </w:rPr>
      </w:pPr>
      <w:r>
        <w:rPr>
          <w:szCs w:val="20"/>
        </w:rPr>
        <w:t xml:space="preserve">We propose to remove </w:t>
      </w:r>
      <w:r w:rsidRPr="00E313F2">
        <w:rPr>
          <w:szCs w:val="20"/>
        </w:rPr>
        <w:t>location independent communications service</w:t>
      </w:r>
      <w:r>
        <w:rPr>
          <w:szCs w:val="20"/>
        </w:rPr>
        <w:t>s</w:t>
      </w:r>
      <w:r w:rsidRPr="00E313F2">
        <w:rPr>
          <w:szCs w:val="20"/>
        </w:rPr>
        <w:t xml:space="preserve"> (</w:t>
      </w:r>
      <w:r w:rsidRPr="0098650E">
        <w:rPr>
          <w:szCs w:val="20"/>
        </w:rPr>
        <w:t>LICS</w:t>
      </w:r>
      <w:r w:rsidRPr="00E313F2">
        <w:rPr>
          <w:szCs w:val="20"/>
        </w:rPr>
        <w:t>)</w:t>
      </w:r>
      <w:r>
        <w:rPr>
          <w:szCs w:val="20"/>
        </w:rPr>
        <w:t xml:space="preserve"> from the </w:t>
      </w:r>
      <w:r w:rsidR="003250C7">
        <w:rPr>
          <w:szCs w:val="20"/>
        </w:rPr>
        <w:t xml:space="preserve">numbering </w:t>
      </w:r>
      <w:r>
        <w:rPr>
          <w:szCs w:val="20"/>
        </w:rPr>
        <w:t xml:space="preserve">plan. </w:t>
      </w:r>
      <w:r w:rsidR="00DC5043" w:rsidRPr="00E313F2">
        <w:rPr>
          <w:szCs w:val="20"/>
        </w:rPr>
        <w:t xml:space="preserve">The </w:t>
      </w:r>
      <w:r w:rsidR="00DC5043">
        <w:rPr>
          <w:szCs w:val="20"/>
        </w:rPr>
        <w:t>p</w:t>
      </w:r>
      <w:r w:rsidR="00DC5043" w:rsidRPr="00E313F2">
        <w:rPr>
          <w:szCs w:val="20"/>
        </w:rPr>
        <w:t xml:space="preserve">lan currently allows for the use of numbers in association with </w:t>
      </w:r>
      <w:r w:rsidR="00DC5043">
        <w:rPr>
          <w:szCs w:val="20"/>
        </w:rPr>
        <w:t>LICS</w:t>
      </w:r>
      <w:r w:rsidR="00DC5043" w:rsidRPr="00E313F2">
        <w:rPr>
          <w:szCs w:val="20"/>
        </w:rPr>
        <w:t>.</w:t>
      </w:r>
    </w:p>
    <w:p w14:paraId="1606833C" w14:textId="38F352FD" w:rsidR="000C1996" w:rsidRDefault="003741B1" w:rsidP="00674606">
      <w:pPr>
        <w:pStyle w:val="Paragraph"/>
        <w:rPr>
          <w:szCs w:val="20"/>
        </w:rPr>
      </w:pPr>
      <w:r>
        <w:t xml:space="preserve">LICS were originally introduced as non-geographic services available on the 0550 number range. </w:t>
      </w:r>
      <w:r w:rsidR="00674606" w:rsidRPr="00E313F2">
        <w:rPr>
          <w:szCs w:val="20"/>
        </w:rPr>
        <w:t xml:space="preserve">There are currently no </w:t>
      </w:r>
      <w:r w:rsidR="00660F10">
        <w:rPr>
          <w:szCs w:val="20"/>
        </w:rPr>
        <w:t xml:space="preserve">0550 numbers </w:t>
      </w:r>
      <w:r w:rsidR="00674606" w:rsidRPr="00E313F2">
        <w:rPr>
          <w:szCs w:val="20"/>
        </w:rPr>
        <w:t xml:space="preserve">allocated in the Numbering System, </w:t>
      </w:r>
      <w:r w:rsidR="00674606">
        <w:rPr>
          <w:szCs w:val="20"/>
        </w:rPr>
        <w:t xml:space="preserve">and </w:t>
      </w:r>
      <w:r w:rsidR="000C1996">
        <w:rPr>
          <w:szCs w:val="20"/>
        </w:rPr>
        <w:t xml:space="preserve">we understand from </w:t>
      </w:r>
      <w:r w:rsidR="00674606">
        <w:rPr>
          <w:szCs w:val="20"/>
        </w:rPr>
        <w:t xml:space="preserve">industry that </w:t>
      </w:r>
      <w:r w:rsidR="00660F10">
        <w:rPr>
          <w:szCs w:val="20"/>
        </w:rPr>
        <w:t xml:space="preserve">LICS </w:t>
      </w:r>
      <w:r w:rsidR="00674606">
        <w:rPr>
          <w:szCs w:val="20"/>
        </w:rPr>
        <w:t>are now redundant</w:t>
      </w:r>
      <w:r w:rsidR="00674606" w:rsidRPr="00E313F2">
        <w:rPr>
          <w:szCs w:val="20"/>
        </w:rPr>
        <w:t>.</w:t>
      </w:r>
    </w:p>
    <w:p w14:paraId="4CF79CEE" w14:textId="2CC80B17" w:rsidR="00C32F06" w:rsidRDefault="000C1996" w:rsidP="00674606">
      <w:pPr>
        <w:pStyle w:val="Paragraph"/>
        <w:rPr>
          <w:szCs w:val="20"/>
        </w:rPr>
      </w:pPr>
      <w:r>
        <w:rPr>
          <w:szCs w:val="20"/>
        </w:rPr>
        <w:t>Accordingly</w:t>
      </w:r>
      <w:r w:rsidR="00674606" w:rsidRPr="00E313F2">
        <w:rPr>
          <w:szCs w:val="20"/>
        </w:rPr>
        <w:t xml:space="preserve">, we propose </w:t>
      </w:r>
      <w:r w:rsidR="00674606">
        <w:rPr>
          <w:szCs w:val="20"/>
        </w:rPr>
        <w:t xml:space="preserve">to remove LICS from the </w:t>
      </w:r>
      <w:r w:rsidR="003250C7">
        <w:rPr>
          <w:szCs w:val="20"/>
        </w:rPr>
        <w:t xml:space="preserve">numbering </w:t>
      </w:r>
      <w:r w:rsidR="00674606">
        <w:rPr>
          <w:szCs w:val="20"/>
        </w:rPr>
        <w:t>plan</w:t>
      </w:r>
      <w:r>
        <w:rPr>
          <w:szCs w:val="20"/>
        </w:rPr>
        <w:t>, making</w:t>
      </w:r>
      <w:r w:rsidR="00674606">
        <w:rPr>
          <w:szCs w:val="20"/>
        </w:rPr>
        <w:t xml:space="preserve"> </w:t>
      </w:r>
      <w:r w:rsidR="007C41E5">
        <w:rPr>
          <w:szCs w:val="20"/>
        </w:rPr>
        <w:t xml:space="preserve">the </w:t>
      </w:r>
      <w:r w:rsidR="00674606" w:rsidRPr="00E313F2">
        <w:rPr>
          <w:szCs w:val="20"/>
        </w:rPr>
        <w:t xml:space="preserve">prefixes </w:t>
      </w:r>
      <w:r>
        <w:rPr>
          <w:szCs w:val="20"/>
        </w:rPr>
        <w:t xml:space="preserve">available </w:t>
      </w:r>
      <w:r w:rsidR="00674606" w:rsidRPr="00E313F2">
        <w:rPr>
          <w:szCs w:val="20"/>
        </w:rPr>
        <w:t>for mobile services</w:t>
      </w:r>
      <w:r>
        <w:rPr>
          <w:szCs w:val="20"/>
        </w:rPr>
        <w:t xml:space="preserve"> at a future date</w:t>
      </w:r>
      <w:r w:rsidR="00674606" w:rsidRPr="00E313F2">
        <w:rPr>
          <w:szCs w:val="20"/>
        </w:rPr>
        <w:t>.</w:t>
      </w:r>
    </w:p>
    <w:p w14:paraId="30818F06" w14:textId="67D793DF" w:rsidR="00B4094E" w:rsidRPr="00E162C4" w:rsidRDefault="00B4094E" w:rsidP="00B4094E">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7D7A4A">
        <w:t>2.6</w:t>
      </w:r>
    </w:p>
    <w:p w14:paraId="03D9ABBA" w14:textId="1C4911B5" w:rsidR="00B4094E" w:rsidRPr="00B4094E" w:rsidRDefault="007D7A4A"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 xml:space="preserve">Are there any reasons </w:t>
      </w:r>
      <w:r w:rsidRPr="00A1183E">
        <w:t xml:space="preserve">to retain </w:t>
      </w:r>
      <w:r w:rsidRPr="006C5B4B">
        <w:t>LICS</w:t>
      </w:r>
      <w:r w:rsidRPr="002E083B">
        <w:t>?</w:t>
      </w:r>
    </w:p>
    <w:p w14:paraId="380D5217" w14:textId="42445001" w:rsidR="00674606" w:rsidRDefault="00674606" w:rsidP="00674606">
      <w:pPr>
        <w:pStyle w:val="Heading3"/>
        <w:rPr>
          <w:szCs w:val="20"/>
        </w:rPr>
      </w:pPr>
      <w:r>
        <w:rPr>
          <w:szCs w:val="20"/>
        </w:rPr>
        <w:t>Notice period for the withdrawal and replacement of numbers</w:t>
      </w:r>
    </w:p>
    <w:p w14:paraId="54FFEEA7" w14:textId="46F879A1" w:rsidR="000C1996" w:rsidRDefault="000C1996" w:rsidP="00674606">
      <w:pPr>
        <w:pStyle w:val="Paragraph"/>
        <w:rPr>
          <w:szCs w:val="20"/>
        </w:rPr>
      </w:pPr>
      <w:r>
        <w:rPr>
          <w:szCs w:val="20"/>
        </w:rPr>
        <w:t xml:space="preserve">We propose to </w:t>
      </w:r>
      <w:r w:rsidR="00C62652">
        <w:rPr>
          <w:szCs w:val="20"/>
        </w:rPr>
        <w:t xml:space="preserve">decrease the notice period </w:t>
      </w:r>
      <w:r w:rsidR="00260D06">
        <w:rPr>
          <w:szCs w:val="20"/>
        </w:rPr>
        <w:t>CSP</w:t>
      </w:r>
      <w:r w:rsidR="00AF1B74">
        <w:rPr>
          <w:szCs w:val="20"/>
        </w:rPr>
        <w:t xml:space="preserve">s </w:t>
      </w:r>
      <w:r w:rsidR="00C62652">
        <w:rPr>
          <w:szCs w:val="20"/>
        </w:rPr>
        <w:t>must give customer</w:t>
      </w:r>
      <w:r w:rsidR="00381EBD">
        <w:rPr>
          <w:szCs w:val="20"/>
        </w:rPr>
        <w:t>s</w:t>
      </w:r>
      <w:r w:rsidR="00C62652">
        <w:rPr>
          <w:szCs w:val="20"/>
        </w:rPr>
        <w:t xml:space="preserve"> </w:t>
      </w:r>
      <w:r w:rsidR="00AF1B74">
        <w:rPr>
          <w:szCs w:val="20"/>
        </w:rPr>
        <w:t xml:space="preserve">before </w:t>
      </w:r>
      <w:r w:rsidR="00C62652">
        <w:rPr>
          <w:szCs w:val="20"/>
        </w:rPr>
        <w:t xml:space="preserve">recalling or replacing a number. The </w:t>
      </w:r>
      <w:r w:rsidR="003250C7">
        <w:rPr>
          <w:szCs w:val="20"/>
        </w:rPr>
        <w:t xml:space="preserve">numbering </w:t>
      </w:r>
      <w:r w:rsidR="00C62652">
        <w:rPr>
          <w:szCs w:val="20"/>
        </w:rPr>
        <w:t xml:space="preserve">plan allows for </w:t>
      </w:r>
      <w:r w:rsidR="00260D06">
        <w:rPr>
          <w:szCs w:val="20"/>
        </w:rPr>
        <w:t>CSP</w:t>
      </w:r>
      <w:r w:rsidR="00AF1B74">
        <w:rPr>
          <w:szCs w:val="20"/>
        </w:rPr>
        <w:t>s</w:t>
      </w:r>
      <w:r w:rsidR="00C62652">
        <w:rPr>
          <w:szCs w:val="20"/>
        </w:rPr>
        <w:t xml:space="preserve"> to recall and replace numbers in limited circumstances, such as when it is required by law or the customer has asked for or agreed to the recall and replacement of a number.</w:t>
      </w:r>
    </w:p>
    <w:p w14:paraId="28F5A424" w14:textId="0C47026D" w:rsidR="00C62652" w:rsidRDefault="00674606" w:rsidP="00674606">
      <w:pPr>
        <w:pStyle w:val="Paragraph"/>
        <w:rPr>
          <w:szCs w:val="20"/>
        </w:rPr>
      </w:pPr>
      <w:r>
        <w:rPr>
          <w:szCs w:val="20"/>
        </w:rPr>
        <w:t xml:space="preserve">The </w:t>
      </w:r>
      <w:r w:rsidR="003250C7">
        <w:rPr>
          <w:szCs w:val="20"/>
        </w:rPr>
        <w:t xml:space="preserve">numbering </w:t>
      </w:r>
      <w:r w:rsidR="00C62652">
        <w:rPr>
          <w:szCs w:val="20"/>
        </w:rPr>
        <w:t>p</w:t>
      </w:r>
      <w:r>
        <w:rPr>
          <w:szCs w:val="20"/>
        </w:rPr>
        <w:t xml:space="preserve">lan currently requires </w:t>
      </w:r>
      <w:r w:rsidR="00260D06">
        <w:rPr>
          <w:szCs w:val="20"/>
        </w:rPr>
        <w:t>CSP</w:t>
      </w:r>
      <w:r w:rsidR="00C9461D">
        <w:rPr>
          <w:szCs w:val="20"/>
        </w:rPr>
        <w:t>s</w:t>
      </w:r>
      <w:r w:rsidR="00C62652">
        <w:rPr>
          <w:szCs w:val="20"/>
        </w:rPr>
        <w:t xml:space="preserve"> </w:t>
      </w:r>
      <w:r>
        <w:rPr>
          <w:szCs w:val="20"/>
        </w:rPr>
        <w:t xml:space="preserve">to give </w:t>
      </w:r>
      <w:r w:rsidR="00C62652">
        <w:rPr>
          <w:szCs w:val="20"/>
        </w:rPr>
        <w:t>customers</w:t>
      </w:r>
      <w:r>
        <w:rPr>
          <w:szCs w:val="20"/>
        </w:rPr>
        <w:t xml:space="preserve"> a minimum of </w:t>
      </w:r>
      <w:r w:rsidR="00AF1B74">
        <w:rPr>
          <w:szCs w:val="20"/>
        </w:rPr>
        <w:t xml:space="preserve">one </w:t>
      </w:r>
      <w:r>
        <w:rPr>
          <w:szCs w:val="20"/>
        </w:rPr>
        <w:t>year’s notice before recalling or replacing a number.</w:t>
      </w:r>
    </w:p>
    <w:p w14:paraId="1CA8ACB9" w14:textId="57E1300A" w:rsidR="00674606" w:rsidRDefault="00C62652" w:rsidP="00674606">
      <w:pPr>
        <w:pStyle w:val="Paragraph"/>
        <w:rPr>
          <w:szCs w:val="20"/>
        </w:rPr>
      </w:pPr>
      <w:r>
        <w:rPr>
          <w:szCs w:val="20"/>
        </w:rPr>
        <w:t>T</w:t>
      </w:r>
      <w:r w:rsidR="00674606">
        <w:rPr>
          <w:szCs w:val="20"/>
        </w:rPr>
        <w:t xml:space="preserve">his timeframe allowed for </w:t>
      </w:r>
      <w:r w:rsidR="00674606" w:rsidRPr="00024491">
        <w:rPr>
          <w:szCs w:val="20"/>
        </w:rPr>
        <w:t xml:space="preserve">numbers </w:t>
      </w:r>
      <w:r w:rsidR="00674606">
        <w:rPr>
          <w:szCs w:val="20"/>
        </w:rPr>
        <w:t>to be</w:t>
      </w:r>
      <w:r w:rsidR="00674606" w:rsidRPr="00024491">
        <w:rPr>
          <w:szCs w:val="20"/>
        </w:rPr>
        <w:t xml:space="preserve"> changed in </w:t>
      </w:r>
      <w:r w:rsidR="00674606">
        <w:rPr>
          <w:szCs w:val="20"/>
        </w:rPr>
        <w:t xml:space="preserve">annually </w:t>
      </w:r>
      <w:r w:rsidR="00674606" w:rsidRPr="00024491">
        <w:rPr>
          <w:szCs w:val="20"/>
        </w:rPr>
        <w:t>publi</w:t>
      </w:r>
      <w:r w:rsidR="00674606">
        <w:rPr>
          <w:szCs w:val="20"/>
        </w:rPr>
        <w:t>shed</w:t>
      </w:r>
      <w:r w:rsidR="00674606" w:rsidRPr="00024491">
        <w:rPr>
          <w:szCs w:val="20"/>
        </w:rPr>
        <w:t xml:space="preserve"> </w:t>
      </w:r>
      <w:r w:rsidR="008619CC">
        <w:rPr>
          <w:szCs w:val="20"/>
        </w:rPr>
        <w:t xml:space="preserve">hard copy </w:t>
      </w:r>
      <w:r w:rsidR="00674606" w:rsidRPr="00024491">
        <w:rPr>
          <w:szCs w:val="20"/>
        </w:rPr>
        <w:t>telephone book</w:t>
      </w:r>
      <w:r w:rsidR="00674606">
        <w:rPr>
          <w:szCs w:val="20"/>
        </w:rPr>
        <w:t xml:space="preserve">s. As telephone books are no longer </w:t>
      </w:r>
      <w:r w:rsidR="007C41E5">
        <w:rPr>
          <w:szCs w:val="20"/>
        </w:rPr>
        <w:t xml:space="preserve">generally </w:t>
      </w:r>
      <w:r w:rsidR="00674606">
        <w:rPr>
          <w:szCs w:val="20"/>
        </w:rPr>
        <w:t>published</w:t>
      </w:r>
      <w:r w:rsidR="008619CC">
        <w:rPr>
          <w:szCs w:val="20"/>
        </w:rPr>
        <w:t xml:space="preserve"> in hard copy</w:t>
      </w:r>
      <w:r w:rsidR="00674606">
        <w:rPr>
          <w:szCs w:val="20"/>
        </w:rPr>
        <w:t>, we propose to reduce the notice period to 90 calendar days</w:t>
      </w:r>
      <w:r w:rsidR="004E2544">
        <w:rPr>
          <w:szCs w:val="20"/>
        </w:rPr>
        <w:t xml:space="preserve">. We also propose to </w:t>
      </w:r>
      <w:r>
        <w:rPr>
          <w:szCs w:val="20"/>
        </w:rPr>
        <w:t>remove requirement</w:t>
      </w:r>
      <w:r w:rsidR="004E2544">
        <w:rPr>
          <w:szCs w:val="20"/>
        </w:rPr>
        <w:t>s</w:t>
      </w:r>
      <w:r>
        <w:rPr>
          <w:szCs w:val="20"/>
        </w:rPr>
        <w:t xml:space="preserve"> that customer</w:t>
      </w:r>
      <w:r w:rsidR="004E2544">
        <w:rPr>
          <w:szCs w:val="20"/>
        </w:rPr>
        <w:t>s</w:t>
      </w:r>
      <w:r>
        <w:rPr>
          <w:szCs w:val="20"/>
        </w:rPr>
        <w:t xml:space="preserve"> must agree </w:t>
      </w:r>
      <w:r w:rsidR="007C41E5">
        <w:rPr>
          <w:szCs w:val="20"/>
        </w:rPr>
        <w:t xml:space="preserve">to </w:t>
      </w:r>
      <w:r>
        <w:rPr>
          <w:szCs w:val="20"/>
        </w:rPr>
        <w:t>or request a recall and replacement ‘in writing’</w:t>
      </w:r>
      <w:r w:rsidR="004E2544">
        <w:rPr>
          <w:szCs w:val="20"/>
        </w:rPr>
        <w:t>, noting this is inefficient and does not materially increase protections for customers</w:t>
      </w:r>
      <w:r w:rsidR="00674606">
        <w:rPr>
          <w:szCs w:val="20"/>
        </w:rPr>
        <w:t>.</w:t>
      </w:r>
    </w:p>
    <w:p w14:paraId="66494D9D" w14:textId="7043E9CD" w:rsidR="00C62652" w:rsidRDefault="00C62652" w:rsidP="00674606">
      <w:pPr>
        <w:pStyle w:val="Paragraph"/>
        <w:rPr>
          <w:szCs w:val="20"/>
        </w:rPr>
      </w:pPr>
      <w:r>
        <w:rPr>
          <w:szCs w:val="20"/>
        </w:rPr>
        <w:t xml:space="preserve">We propose that 90 calendar days should provide sufficient time for affected customers, including small business owners, to take necessary steps to implement a new number. </w:t>
      </w:r>
    </w:p>
    <w:p w14:paraId="045C19F3" w14:textId="74FCD396" w:rsidR="00B4094E" w:rsidRPr="00E162C4" w:rsidRDefault="00B4094E" w:rsidP="00B4094E">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044A43">
        <w:t>2.7</w:t>
      </w:r>
    </w:p>
    <w:p w14:paraId="786D5A60" w14:textId="7E39A1FE" w:rsidR="00B4094E" w:rsidRDefault="007D7A4A"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 xml:space="preserve">Do you support </w:t>
      </w:r>
      <w:r w:rsidR="00C97244">
        <w:t>decreasing</w:t>
      </w:r>
      <w:r>
        <w:t xml:space="preserve"> the notice period </w:t>
      </w:r>
      <w:r w:rsidR="00260D06">
        <w:t>CSP</w:t>
      </w:r>
      <w:r>
        <w:t>s must give customers before recalling or replacing a number? Please specify why or why not.</w:t>
      </w:r>
    </w:p>
    <w:p w14:paraId="784880CF" w14:textId="41A9D51E" w:rsidR="00B4094E" w:rsidRPr="00E162C4" w:rsidRDefault="00B4094E" w:rsidP="00B4094E">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044A43">
        <w:t>2.8</w:t>
      </w:r>
    </w:p>
    <w:p w14:paraId="1E767736" w14:textId="4667D512" w:rsidR="00B4094E" w:rsidRPr="00B4094E" w:rsidRDefault="00044A43"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Is 90 business days sufficient to allow customers, including small business owners, to make necessary changes to accommodate a new number?</w:t>
      </w:r>
    </w:p>
    <w:p w14:paraId="0DF7029D" w14:textId="7C1113FF" w:rsidR="00674606" w:rsidRPr="00674606" w:rsidRDefault="00044A43" w:rsidP="00674606">
      <w:pPr>
        <w:pStyle w:val="Heading2"/>
      </w:pPr>
      <w:bookmarkStart w:id="17" w:name="_Hlk112942084"/>
      <w:bookmarkStart w:id="18" w:name="_Toc115779216"/>
      <w:r>
        <w:t xml:space="preserve">3. </w:t>
      </w:r>
      <w:bookmarkStart w:id="19" w:name="_Toc113535578"/>
      <w:r w:rsidR="00674606" w:rsidRPr="00674606">
        <w:t>Availability of geographic numbers</w:t>
      </w:r>
      <w:bookmarkEnd w:id="19"/>
      <w:bookmarkEnd w:id="18"/>
    </w:p>
    <w:p w14:paraId="2F4411B9" w14:textId="624F7389" w:rsidR="00FC7F7B" w:rsidRDefault="00C62652" w:rsidP="00166B9F">
      <w:pPr>
        <w:pStyle w:val="CommentText"/>
      </w:pPr>
      <w:r>
        <w:t>We propose</w:t>
      </w:r>
      <w:r w:rsidR="00674606">
        <w:t xml:space="preserve"> to </w:t>
      </w:r>
      <w:r w:rsidR="00381EBD">
        <w:t xml:space="preserve">include </w:t>
      </w:r>
      <w:r w:rsidR="00674606">
        <w:t xml:space="preserve">additional geographic number ranges </w:t>
      </w:r>
      <w:r w:rsidR="00E4527C">
        <w:t xml:space="preserve">in specific areas </w:t>
      </w:r>
      <w:r w:rsidR="00381EBD">
        <w:t>in</w:t>
      </w:r>
      <w:r w:rsidR="00AD1BC1">
        <w:t xml:space="preserve"> Schedule 1</w:t>
      </w:r>
      <w:r w:rsidR="00E4527C">
        <w:t xml:space="preserve"> of the </w:t>
      </w:r>
      <w:r w:rsidR="00D54BAF">
        <w:t>numbering plan</w:t>
      </w:r>
      <w:r w:rsidR="00381EBD">
        <w:t>,</w:t>
      </w:r>
      <w:r w:rsidR="00AD1BC1">
        <w:t xml:space="preserve"> </w:t>
      </w:r>
      <w:r w:rsidR="00FC7F7B">
        <w:t>as set out in Table 1 below</w:t>
      </w:r>
      <w:r w:rsidR="00674606">
        <w:t>.</w:t>
      </w:r>
      <w:r w:rsidR="004D1770">
        <w:t xml:space="preserve"> </w:t>
      </w:r>
      <w:r w:rsidR="00381EBD">
        <w:t xml:space="preserve">These alternative prefixes </w:t>
      </w:r>
      <w:r w:rsidR="00C32F06">
        <w:t>are</w:t>
      </w:r>
      <w:r w:rsidR="00381EBD">
        <w:t xml:space="preserve"> included for </w:t>
      </w:r>
      <w:r w:rsidR="00C32F06">
        <w:t xml:space="preserve">localities </w:t>
      </w:r>
      <w:r w:rsidR="00381EBD">
        <w:t xml:space="preserve">where </w:t>
      </w:r>
      <w:r w:rsidR="00C32F06">
        <w:t>numbers</w:t>
      </w:r>
      <w:r w:rsidR="00FC7F7B">
        <w:t xml:space="preserve"> are predicted to expire in the next 2 to 5 years</w:t>
      </w:r>
      <w:r w:rsidR="00381EBD">
        <w:t>.</w:t>
      </w:r>
      <w:r w:rsidR="00C32F06">
        <w:t xml:space="preserve"> The</w:t>
      </w:r>
      <w:r w:rsidR="00EA3404">
        <w:t xml:space="preserve"> new prefixes</w:t>
      </w:r>
      <w:r w:rsidR="00C32F06">
        <w:t xml:space="preserve"> will not be</w:t>
      </w:r>
      <w:r w:rsidR="00E4527C">
        <w:t xml:space="preserve"> made </w:t>
      </w:r>
      <w:r w:rsidR="00C32F06">
        <w:t>available until current allocations in these areas are exhausted.</w:t>
      </w:r>
    </w:p>
    <w:p w14:paraId="007F7BCE" w14:textId="24DBDC47" w:rsidR="00E4527C" w:rsidRDefault="00E4527C" w:rsidP="00674606">
      <w:pPr>
        <w:pStyle w:val="Paragraph"/>
        <w:rPr>
          <w:szCs w:val="20"/>
        </w:rPr>
      </w:pPr>
      <w:r>
        <w:rPr>
          <w:szCs w:val="20"/>
        </w:rPr>
        <w:t>N</w:t>
      </w:r>
      <w:r w:rsidR="00FC7F7B" w:rsidRPr="003C76E7">
        <w:rPr>
          <w:szCs w:val="20"/>
        </w:rPr>
        <w:t xml:space="preserve">umbering </w:t>
      </w:r>
      <w:r>
        <w:rPr>
          <w:szCs w:val="20"/>
        </w:rPr>
        <w:t>is a key resource th</w:t>
      </w:r>
      <w:r w:rsidR="005831DB">
        <w:rPr>
          <w:szCs w:val="20"/>
        </w:rPr>
        <w:t>at</w:t>
      </w:r>
      <w:r>
        <w:rPr>
          <w:szCs w:val="20"/>
        </w:rPr>
        <w:t xml:space="preserve"> </w:t>
      </w:r>
      <w:r w:rsidR="00FC7F7B" w:rsidRPr="003C76E7">
        <w:rPr>
          <w:szCs w:val="20"/>
        </w:rPr>
        <w:t xml:space="preserve">allows </w:t>
      </w:r>
      <w:r w:rsidR="00260D06">
        <w:rPr>
          <w:szCs w:val="20"/>
        </w:rPr>
        <w:t>CSP</w:t>
      </w:r>
      <w:r w:rsidR="00C9461D">
        <w:rPr>
          <w:szCs w:val="20"/>
        </w:rPr>
        <w:t>s</w:t>
      </w:r>
      <w:r w:rsidR="00FC7F7B" w:rsidRPr="003C76E7">
        <w:rPr>
          <w:szCs w:val="20"/>
        </w:rPr>
        <w:t xml:space="preserve"> to supply services to new customers and promotes competition</w:t>
      </w:r>
      <w:r w:rsidR="00FC7F7B">
        <w:rPr>
          <w:szCs w:val="20"/>
        </w:rPr>
        <w:t xml:space="preserve">. It is therefore necessary to </w:t>
      </w:r>
      <w:r>
        <w:rPr>
          <w:szCs w:val="20"/>
        </w:rPr>
        <w:t>provide</w:t>
      </w:r>
      <w:r w:rsidR="00FC7F7B">
        <w:rPr>
          <w:szCs w:val="20"/>
        </w:rPr>
        <w:t xml:space="preserve"> </w:t>
      </w:r>
      <w:r>
        <w:rPr>
          <w:szCs w:val="20"/>
        </w:rPr>
        <w:t>enough</w:t>
      </w:r>
      <w:r w:rsidR="00FC7F7B">
        <w:rPr>
          <w:szCs w:val="20"/>
        </w:rPr>
        <w:t xml:space="preserve"> </w:t>
      </w:r>
      <w:r w:rsidR="00C97244">
        <w:rPr>
          <w:szCs w:val="20"/>
        </w:rPr>
        <w:t>numbers to meet</w:t>
      </w:r>
      <w:r w:rsidR="008619CC">
        <w:rPr>
          <w:szCs w:val="20"/>
        </w:rPr>
        <w:t xml:space="preserve"> potential demand</w:t>
      </w:r>
      <w:r w:rsidR="00FC7F7B">
        <w:rPr>
          <w:szCs w:val="20"/>
        </w:rPr>
        <w:t>.</w:t>
      </w:r>
      <w:r w:rsidR="00660F10">
        <w:rPr>
          <w:szCs w:val="20"/>
        </w:rPr>
        <w:t xml:space="preserve"> </w:t>
      </w:r>
    </w:p>
    <w:p w14:paraId="0A837E52" w14:textId="456CD914" w:rsidR="008F3753" w:rsidRDefault="00E4527C" w:rsidP="008F3753">
      <w:pPr>
        <w:pStyle w:val="Paragraph"/>
      </w:pPr>
      <w:r>
        <w:rPr>
          <w:szCs w:val="20"/>
        </w:rPr>
        <w:t xml:space="preserve">In making these prefixes available, </w:t>
      </w:r>
      <w:r w:rsidR="005831DB">
        <w:rPr>
          <w:szCs w:val="20"/>
        </w:rPr>
        <w:t>we</w:t>
      </w:r>
      <w:r>
        <w:rPr>
          <w:szCs w:val="20"/>
        </w:rPr>
        <w:t xml:space="preserve"> note </w:t>
      </w:r>
      <w:r w:rsidR="00660F10">
        <w:rPr>
          <w:szCs w:val="20"/>
        </w:rPr>
        <w:t xml:space="preserve">that not all allocated geographic numbers </w:t>
      </w:r>
      <w:r w:rsidR="00EA3404">
        <w:rPr>
          <w:szCs w:val="20"/>
        </w:rPr>
        <w:t xml:space="preserve">in these areas </w:t>
      </w:r>
      <w:r>
        <w:rPr>
          <w:szCs w:val="20"/>
        </w:rPr>
        <w:t>may be</w:t>
      </w:r>
      <w:r w:rsidR="00660F10">
        <w:rPr>
          <w:szCs w:val="20"/>
        </w:rPr>
        <w:t xml:space="preserve"> in use</w:t>
      </w:r>
      <w:r>
        <w:rPr>
          <w:szCs w:val="20"/>
        </w:rPr>
        <w:t xml:space="preserve"> by end-users</w:t>
      </w:r>
      <w:r w:rsidR="00660F10">
        <w:rPr>
          <w:szCs w:val="20"/>
        </w:rPr>
        <w:t>.</w:t>
      </w:r>
      <w:r>
        <w:t xml:space="preserve"> </w:t>
      </w:r>
      <w:r w:rsidR="00A24C8D">
        <w:t>A</w:t>
      </w:r>
      <w:r w:rsidR="00A24C8D" w:rsidRPr="00185BBF">
        <w:t xml:space="preserve">s part of </w:t>
      </w:r>
      <w:r>
        <w:t>the</w:t>
      </w:r>
      <w:r w:rsidR="00A24C8D" w:rsidRPr="00185BBF">
        <w:t xml:space="preserve"> future sunsetting process</w:t>
      </w:r>
      <w:r w:rsidR="00A24C8D">
        <w:t xml:space="preserve">, we </w:t>
      </w:r>
      <w:r w:rsidR="008F3753" w:rsidRPr="00185BBF">
        <w:t xml:space="preserve">may consider the use of geographic numbers, including whether to withdraw unused numbers under section 94 of the </w:t>
      </w:r>
      <w:r w:rsidR="003250C7">
        <w:t xml:space="preserve">numbering </w:t>
      </w:r>
      <w:r w:rsidR="008F3753" w:rsidRPr="00185BBF">
        <w:t xml:space="preserve">plan, </w:t>
      </w:r>
      <w:r w:rsidR="003250C7">
        <w:t xml:space="preserve">before </w:t>
      </w:r>
      <w:r w:rsidR="008F3753" w:rsidRPr="00185BBF">
        <w:t>releasing additional prefixes.</w:t>
      </w:r>
    </w:p>
    <w:p w14:paraId="33F480EC" w14:textId="42A1B190" w:rsidR="001574B2" w:rsidRPr="001574B2" w:rsidRDefault="001574B2" w:rsidP="00A24C8D">
      <w:pPr>
        <w:pStyle w:val="Tableheading"/>
      </w:pPr>
      <w:r>
        <w:t xml:space="preserve">New geographic prefixes to be </w:t>
      </w:r>
      <w:r w:rsidR="00AD1BC1">
        <w:t>included in Schedule 1</w:t>
      </w:r>
    </w:p>
    <w:tbl>
      <w:tblPr>
        <w:tblStyle w:val="ACMAtablestyle"/>
        <w:tblW w:w="7650" w:type="dxa"/>
        <w:tblLayout w:type="fixed"/>
        <w:tblLook w:val="01E0" w:firstRow="1" w:lastRow="1" w:firstColumn="1" w:lastColumn="1" w:noHBand="0" w:noVBand="0"/>
        <w:tblCaption w:val="Table title to go here"/>
        <w:tblDescription w:val="Table description to go here"/>
      </w:tblPr>
      <w:tblGrid>
        <w:gridCol w:w="2739"/>
        <w:gridCol w:w="4911"/>
      </w:tblGrid>
      <w:tr w:rsidR="001574B2" w:rsidRPr="00E162C4" w14:paraId="527EAC7A" w14:textId="77777777" w:rsidTr="001574B2">
        <w:trPr>
          <w:cnfStyle w:val="100000000000" w:firstRow="1" w:lastRow="0" w:firstColumn="0" w:lastColumn="0" w:oddVBand="0" w:evenVBand="0" w:oddHBand="0" w:evenHBand="0" w:firstRowFirstColumn="0" w:firstRowLastColumn="0" w:lastRowFirstColumn="0" w:lastRowLastColumn="0"/>
        </w:trPr>
        <w:tc>
          <w:tcPr>
            <w:tcW w:w="2739" w:type="dxa"/>
          </w:tcPr>
          <w:p w14:paraId="435F39DD" w14:textId="35FD28A2" w:rsidR="001574B2" w:rsidRPr="00E162C4" w:rsidRDefault="001574B2" w:rsidP="0098650E">
            <w:pPr>
              <w:pStyle w:val="Tableheaderrow"/>
              <w:keepNext/>
            </w:pPr>
            <w:r>
              <w:t>Area code and first digits of local number</w:t>
            </w:r>
          </w:p>
        </w:tc>
        <w:tc>
          <w:tcPr>
            <w:tcW w:w="4911" w:type="dxa"/>
          </w:tcPr>
          <w:p w14:paraId="373BA542" w14:textId="3E5F177B" w:rsidR="001574B2" w:rsidRPr="00E162C4" w:rsidRDefault="001574B2" w:rsidP="0098650E">
            <w:pPr>
              <w:pStyle w:val="Tableheaderrow"/>
              <w:keepNext/>
            </w:pPr>
            <w:r>
              <w:t>Localities</w:t>
            </w:r>
          </w:p>
        </w:tc>
      </w:tr>
      <w:tr w:rsidR="001574B2" w:rsidRPr="00E162C4" w14:paraId="036E2028" w14:textId="77777777" w:rsidTr="001574B2">
        <w:trPr>
          <w:cnfStyle w:val="000000100000" w:firstRow="0" w:lastRow="0" w:firstColumn="0" w:lastColumn="0" w:oddVBand="0" w:evenVBand="0" w:oddHBand="1" w:evenHBand="0" w:firstRowFirstColumn="0" w:firstRowLastColumn="0" w:lastRowFirstColumn="0" w:lastRowLastColumn="0"/>
        </w:trPr>
        <w:tc>
          <w:tcPr>
            <w:tcW w:w="2739" w:type="dxa"/>
            <w:shd w:val="clear" w:color="auto" w:fill="auto"/>
          </w:tcPr>
          <w:p w14:paraId="60ABB7EF" w14:textId="7214FD8C" w:rsidR="001574B2" w:rsidRPr="00E162C4" w:rsidRDefault="001574B2" w:rsidP="0098650E">
            <w:pPr>
              <w:pStyle w:val="TableBody"/>
              <w:keepNext/>
            </w:pPr>
            <w:r>
              <w:rPr>
                <w:szCs w:val="20"/>
              </w:rPr>
              <w:t>(02) 35</w:t>
            </w:r>
          </w:p>
        </w:tc>
        <w:tc>
          <w:tcPr>
            <w:tcW w:w="4911" w:type="dxa"/>
            <w:shd w:val="clear" w:color="auto" w:fill="auto"/>
          </w:tcPr>
          <w:p w14:paraId="22B630CA" w14:textId="77777777" w:rsidR="001574B2" w:rsidRPr="001574B2" w:rsidRDefault="001574B2" w:rsidP="0098650E">
            <w:pPr>
              <w:pStyle w:val="Paragraphbeforelist"/>
            </w:pPr>
            <w:r w:rsidRPr="001574B2">
              <w:t>The following charging districts:</w:t>
            </w:r>
          </w:p>
          <w:p w14:paraId="427A7FF0" w14:textId="77777777" w:rsidR="001574B2" w:rsidRPr="001574B2" w:rsidRDefault="001574B2" w:rsidP="0098650E">
            <w:pPr>
              <w:pStyle w:val="Bulletlevel1"/>
            </w:pPr>
            <w:r w:rsidRPr="001574B2">
              <w:t>Kempsey</w:t>
            </w:r>
          </w:p>
          <w:p w14:paraId="708AE9C2" w14:textId="77777777" w:rsidR="001574B2" w:rsidRPr="001574B2" w:rsidRDefault="001574B2" w:rsidP="0098650E">
            <w:pPr>
              <w:pStyle w:val="Bulletlevel1"/>
            </w:pPr>
            <w:r w:rsidRPr="001574B2">
              <w:t>Lord Howe Island</w:t>
            </w:r>
          </w:p>
          <w:p w14:paraId="1C36B3EF" w14:textId="77777777" w:rsidR="001574B2" w:rsidRPr="001574B2" w:rsidRDefault="001574B2" w:rsidP="0098650E">
            <w:pPr>
              <w:pStyle w:val="Bulletlevel1"/>
            </w:pPr>
            <w:r w:rsidRPr="001574B2">
              <w:t>Muswellbrook</w:t>
            </w:r>
          </w:p>
          <w:p w14:paraId="79A1A66C" w14:textId="77777777" w:rsidR="001574B2" w:rsidRPr="001574B2" w:rsidRDefault="001574B2" w:rsidP="0098650E">
            <w:pPr>
              <w:pStyle w:val="Bulletlevel1"/>
            </w:pPr>
            <w:r w:rsidRPr="001574B2">
              <w:t>Singleton</w:t>
            </w:r>
          </w:p>
          <w:p w14:paraId="497A6BD4" w14:textId="77777777" w:rsidR="001574B2" w:rsidRPr="001574B2" w:rsidRDefault="001574B2" w:rsidP="0098650E">
            <w:pPr>
              <w:pStyle w:val="Bulletlevel1"/>
            </w:pPr>
            <w:r w:rsidRPr="001574B2">
              <w:t>Taree</w:t>
            </w:r>
          </w:p>
          <w:p w14:paraId="36BC3014" w14:textId="56103D00" w:rsidR="001574B2" w:rsidRPr="00E162C4" w:rsidRDefault="001574B2" w:rsidP="0098650E">
            <w:pPr>
              <w:pStyle w:val="Bulletlevel1"/>
            </w:pPr>
            <w:r w:rsidRPr="001574B2">
              <w:t>Wauchope</w:t>
            </w:r>
            <w:r w:rsidRPr="00E162C4">
              <w:t xml:space="preserve"> </w:t>
            </w:r>
          </w:p>
        </w:tc>
      </w:tr>
      <w:tr w:rsidR="001574B2" w:rsidRPr="00E162C4" w14:paraId="40632B51" w14:textId="77777777" w:rsidTr="001574B2">
        <w:trPr>
          <w:cnfStyle w:val="000000010000" w:firstRow="0" w:lastRow="0" w:firstColumn="0" w:lastColumn="0" w:oddVBand="0" w:evenVBand="0" w:oddHBand="0" w:evenHBand="1" w:firstRowFirstColumn="0" w:firstRowLastColumn="0" w:lastRowFirstColumn="0" w:lastRowLastColumn="0"/>
        </w:trPr>
        <w:tc>
          <w:tcPr>
            <w:tcW w:w="2739" w:type="dxa"/>
          </w:tcPr>
          <w:p w14:paraId="32D4541B" w14:textId="2E4E9CED" w:rsidR="001574B2" w:rsidRPr="00E162C4" w:rsidRDefault="001574B2" w:rsidP="0098650E">
            <w:pPr>
              <w:pStyle w:val="TableBody"/>
              <w:keepNext/>
            </w:pPr>
            <w:r>
              <w:rPr>
                <w:szCs w:val="20"/>
              </w:rPr>
              <w:t>(03) 60</w:t>
            </w:r>
          </w:p>
        </w:tc>
        <w:tc>
          <w:tcPr>
            <w:tcW w:w="4911" w:type="dxa"/>
          </w:tcPr>
          <w:p w14:paraId="03E1BEAA" w14:textId="77777777" w:rsidR="001574B2" w:rsidRPr="001574B2" w:rsidRDefault="001574B2" w:rsidP="0098650E">
            <w:pPr>
              <w:pStyle w:val="Paragraphbeforelist"/>
            </w:pPr>
            <w:r w:rsidRPr="001574B2">
              <w:t>The following charging districts:</w:t>
            </w:r>
          </w:p>
          <w:p w14:paraId="065C308A" w14:textId="77777777" w:rsidR="001574B2" w:rsidRPr="001574B2" w:rsidRDefault="001574B2" w:rsidP="0098650E">
            <w:pPr>
              <w:pStyle w:val="Bulletlevel1"/>
            </w:pPr>
            <w:r w:rsidRPr="001574B2">
              <w:t>Geeveston</w:t>
            </w:r>
          </w:p>
          <w:p w14:paraId="19BEDB21" w14:textId="77777777" w:rsidR="001574B2" w:rsidRPr="001574B2" w:rsidRDefault="001574B2" w:rsidP="0098650E">
            <w:pPr>
              <w:pStyle w:val="Bulletlevel1"/>
            </w:pPr>
            <w:r w:rsidRPr="001574B2">
              <w:t>Hobart</w:t>
            </w:r>
          </w:p>
          <w:p w14:paraId="49E92EEB" w14:textId="77777777" w:rsidR="001574B2" w:rsidRPr="001574B2" w:rsidRDefault="001574B2" w:rsidP="0098650E">
            <w:pPr>
              <w:pStyle w:val="Bulletlevel1"/>
            </w:pPr>
            <w:r w:rsidRPr="001574B2">
              <w:t>Oatlands</w:t>
            </w:r>
          </w:p>
          <w:p w14:paraId="16AB64C8" w14:textId="7F1B9418" w:rsidR="001574B2" w:rsidRPr="00E162C4" w:rsidRDefault="001574B2" w:rsidP="0098650E">
            <w:pPr>
              <w:pStyle w:val="Bulletlevel1"/>
            </w:pPr>
            <w:r w:rsidRPr="001574B2">
              <w:t>Ouse</w:t>
            </w:r>
          </w:p>
        </w:tc>
      </w:tr>
      <w:tr w:rsidR="001574B2" w:rsidRPr="00E162C4" w14:paraId="13606F6C" w14:textId="77777777" w:rsidTr="001574B2">
        <w:trPr>
          <w:cnfStyle w:val="000000100000" w:firstRow="0" w:lastRow="0" w:firstColumn="0" w:lastColumn="0" w:oddVBand="0" w:evenVBand="0" w:oddHBand="1" w:evenHBand="0" w:firstRowFirstColumn="0" w:firstRowLastColumn="0" w:lastRowFirstColumn="0" w:lastRowLastColumn="0"/>
        </w:trPr>
        <w:tc>
          <w:tcPr>
            <w:tcW w:w="2739" w:type="dxa"/>
            <w:shd w:val="clear" w:color="auto" w:fill="auto"/>
          </w:tcPr>
          <w:p w14:paraId="37819EAA" w14:textId="70391A22" w:rsidR="001574B2" w:rsidRPr="00E162C4" w:rsidRDefault="001574B2" w:rsidP="0098650E">
            <w:pPr>
              <w:pStyle w:val="TableBody"/>
              <w:keepNext/>
            </w:pPr>
            <w:r>
              <w:rPr>
                <w:szCs w:val="20"/>
              </w:rPr>
              <w:t>(07) 73</w:t>
            </w:r>
          </w:p>
        </w:tc>
        <w:tc>
          <w:tcPr>
            <w:tcW w:w="4911" w:type="dxa"/>
            <w:shd w:val="clear" w:color="auto" w:fill="auto"/>
          </w:tcPr>
          <w:p w14:paraId="4E24B6EB" w14:textId="77777777" w:rsidR="001574B2" w:rsidRPr="001574B2" w:rsidRDefault="001574B2" w:rsidP="0098650E">
            <w:pPr>
              <w:pStyle w:val="Paragraphbeforelist"/>
            </w:pPr>
            <w:r w:rsidRPr="001574B2">
              <w:t>The following charging districts:</w:t>
            </w:r>
          </w:p>
          <w:p w14:paraId="718A36B3" w14:textId="77777777" w:rsidR="001574B2" w:rsidRPr="001574B2" w:rsidRDefault="001574B2" w:rsidP="0098650E">
            <w:pPr>
              <w:pStyle w:val="Bulletlevel1"/>
            </w:pPr>
            <w:r w:rsidRPr="001574B2">
              <w:t>Bundaberg</w:t>
            </w:r>
          </w:p>
          <w:p w14:paraId="5E616F5B" w14:textId="77777777" w:rsidR="001574B2" w:rsidRPr="001574B2" w:rsidRDefault="001574B2" w:rsidP="0098650E">
            <w:pPr>
              <w:pStyle w:val="Bulletlevel1"/>
            </w:pPr>
            <w:r w:rsidRPr="001574B2">
              <w:t>Gayndah</w:t>
            </w:r>
          </w:p>
          <w:p w14:paraId="5AF9D97D" w14:textId="77777777" w:rsidR="001574B2" w:rsidRPr="001574B2" w:rsidRDefault="001574B2" w:rsidP="0098650E">
            <w:pPr>
              <w:pStyle w:val="Bulletlevel1"/>
            </w:pPr>
            <w:r w:rsidRPr="001574B2">
              <w:t>Kingaroy</w:t>
            </w:r>
          </w:p>
          <w:p w14:paraId="3E196BAC" w14:textId="77777777" w:rsidR="001574B2" w:rsidRPr="001574B2" w:rsidRDefault="001574B2" w:rsidP="0098650E">
            <w:pPr>
              <w:pStyle w:val="Bulletlevel1"/>
            </w:pPr>
            <w:r w:rsidRPr="001574B2">
              <w:t>Maryborough</w:t>
            </w:r>
          </w:p>
          <w:p w14:paraId="02B0AA3E" w14:textId="5C01497A" w:rsidR="001574B2" w:rsidRPr="00E162C4" w:rsidRDefault="001574B2" w:rsidP="0098650E">
            <w:pPr>
              <w:pStyle w:val="Bulletlevel1"/>
            </w:pPr>
            <w:r w:rsidRPr="001574B2">
              <w:t>Murgon</w:t>
            </w:r>
          </w:p>
        </w:tc>
      </w:tr>
      <w:bookmarkEnd w:id="17"/>
    </w:tbl>
    <w:p w14:paraId="16FDBFCA" w14:textId="77777777" w:rsidR="002806B1" w:rsidRDefault="002806B1" w:rsidP="0098650E">
      <w:pPr>
        <w:pStyle w:val="Paragraph"/>
        <w:spacing w:after="120"/>
        <w:rPr>
          <w:szCs w:val="20"/>
        </w:rPr>
      </w:pPr>
    </w:p>
    <w:p w14:paraId="74F02788" w14:textId="1100EE31" w:rsidR="00444D89" w:rsidRDefault="002806B1" w:rsidP="00674606">
      <w:pPr>
        <w:pStyle w:val="Paragraph"/>
        <w:rPr>
          <w:szCs w:val="20"/>
        </w:rPr>
      </w:pPr>
      <w:r>
        <w:rPr>
          <w:szCs w:val="20"/>
        </w:rPr>
        <w:t>We also propose to</w:t>
      </w:r>
      <w:r w:rsidR="00674606">
        <w:rPr>
          <w:szCs w:val="20"/>
        </w:rPr>
        <w:t xml:space="preserve"> specify certain number ranges as exempt from allocation</w:t>
      </w:r>
      <w:r w:rsidR="00EA3404">
        <w:rPr>
          <w:szCs w:val="20"/>
        </w:rPr>
        <w:t>,</w:t>
      </w:r>
      <w:r>
        <w:rPr>
          <w:szCs w:val="20"/>
        </w:rPr>
        <w:t xml:space="preserve"> as set out in Table 2 below</w:t>
      </w:r>
      <w:r w:rsidR="00674606">
        <w:rPr>
          <w:szCs w:val="20"/>
        </w:rPr>
        <w:t xml:space="preserve">. </w:t>
      </w:r>
      <w:r w:rsidR="000E60B4">
        <w:rPr>
          <w:szCs w:val="20"/>
        </w:rPr>
        <w:t>We have</w:t>
      </w:r>
      <w:r w:rsidR="00674606" w:rsidRPr="00524319">
        <w:rPr>
          <w:szCs w:val="20"/>
        </w:rPr>
        <w:t xml:space="preserve"> designated some numbers for fictional purposes</w:t>
      </w:r>
      <w:r w:rsidR="00974895">
        <w:rPr>
          <w:szCs w:val="20"/>
        </w:rPr>
        <w:t xml:space="preserve">, </w:t>
      </w:r>
      <w:r w:rsidR="00A24C8D">
        <w:rPr>
          <w:szCs w:val="20"/>
        </w:rPr>
        <w:t>for example,</w:t>
      </w:r>
      <w:r w:rsidR="00974895">
        <w:rPr>
          <w:szCs w:val="20"/>
        </w:rPr>
        <w:t xml:space="preserve"> for use in </w:t>
      </w:r>
      <w:r w:rsidR="00E870DD">
        <w:rPr>
          <w:szCs w:val="20"/>
        </w:rPr>
        <w:t>movies, television series and novels</w:t>
      </w:r>
      <w:r>
        <w:rPr>
          <w:szCs w:val="20"/>
        </w:rPr>
        <w:t>.</w:t>
      </w:r>
      <w:r w:rsidR="00E4527C">
        <w:rPr>
          <w:rStyle w:val="FootnoteReference"/>
          <w:szCs w:val="20"/>
        </w:rPr>
        <w:footnoteReference w:id="4"/>
      </w:r>
      <w:r>
        <w:rPr>
          <w:szCs w:val="20"/>
        </w:rPr>
        <w:t xml:space="preserve"> This amendment </w:t>
      </w:r>
      <w:r w:rsidR="00D2687E">
        <w:rPr>
          <w:szCs w:val="20"/>
        </w:rPr>
        <w:t>is to make available certain numbers for fictional use in geographic areas that have not been specified in the past.</w:t>
      </w:r>
    </w:p>
    <w:p w14:paraId="528EFA5A" w14:textId="1E399298" w:rsidR="001574B2" w:rsidRPr="00E162C4" w:rsidRDefault="001574B2" w:rsidP="001574B2">
      <w:pPr>
        <w:pStyle w:val="Tableheading"/>
      </w:pPr>
      <w:r>
        <w:t>Geographic numbers exempt for fictional purposes</w:t>
      </w:r>
    </w:p>
    <w:tbl>
      <w:tblPr>
        <w:tblStyle w:val="ACMAtablestyle"/>
        <w:tblW w:w="7650" w:type="dxa"/>
        <w:tblLayout w:type="fixed"/>
        <w:tblLook w:val="01E0" w:firstRow="1" w:lastRow="1" w:firstColumn="1" w:lastColumn="1" w:noHBand="0" w:noVBand="0"/>
        <w:tblCaption w:val="Table title to go here"/>
        <w:tblDescription w:val="Table description to go here"/>
      </w:tblPr>
      <w:tblGrid>
        <w:gridCol w:w="3114"/>
        <w:gridCol w:w="4536"/>
      </w:tblGrid>
      <w:tr w:rsidR="001574B2" w:rsidRPr="00E162C4" w14:paraId="51963D48" w14:textId="77777777" w:rsidTr="000771CE">
        <w:trPr>
          <w:cnfStyle w:val="100000000000" w:firstRow="1" w:lastRow="0" w:firstColumn="0" w:lastColumn="0" w:oddVBand="0" w:evenVBand="0" w:oddHBand="0" w:evenHBand="0" w:firstRowFirstColumn="0" w:firstRowLastColumn="0" w:lastRowFirstColumn="0" w:lastRowLastColumn="0"/>
        </w:trPr>
        <w:tc>
          <w:tcPr>
            <w:tcW w:w="3114" w:type="dxa"/>
          </w:tcPr>
          <w:p w14:paraId="52272E14" w14:textId="4A4D8ABA" w:rsidR="001574B2" w:rsidRPr="00E162C4" w:rsidRDefault="001574B2" w:rsidP="00B02087">
            <w:pPr>
              <w:pStyle w:val="Tableheaderrow"/>
            </w:pPr>
            <w:r>
              <w:t>Item</w:t>
            </w:r>
          </w:p>
        </w:tc>
        <w:tc>
          <w:tcPr>
            <w:tcW w:w="4536" w:type="dxa"/>
          </w:tcPr>
          <w:p w14:paraId="441F97DF" w14:textId="2C2F11CF" w:rsidR="001574B2" w:rsidRPr="00E162C4" w:rsidRDefault="0098650E" w:rsidP="00B02087">
            <w:pPr>
              <w:pStyle w:val="Tableheaderrow"/>
            </w:pPr>
            <w:r>
              <w:t>Exempt prefixes</w:t>
            </w:r>
          </w:p>
        </w:tc>
      </w:tr>
      <w:tr w:rsidR="001574B2" w:rsidRPr="00E162C4" w14:paraId="0EB474ED" w14:textId="77777777" w:rsidTr="000771CE">
        <w:trPr>
          <w:cnfStyle w:val="000000100000" w:firstRow="0" w:lastRow="0" w:firstColumn="0" w:lastColumn="0" w:oddVBand="0" w:evenVBand="0" w:oddHBand="1" w:evenHBand="0" w:firstRowFirstColumn="0" w:firstRowLastColumn="0" w:lastRowFirstColumn="0" w:lastRowLastColumn="0"/>
        </w:trPr>
        <w:tc>
          <w:tcPr>
            <w:tcW w:w="7650" w:type="dxa"/>
            <w:gridSpan w:val="2"/>
            <w:shd w:val="clear" w:color="auto" w:fill="F2F2F2"/>
          </w:tcPr>
          <w:p w14:paraId="793E255A" w14:textId="78EAF30F" w:rsidR="001574B2" w:rsidRPr="00E162C4" w:rsidRDefault="001574B2" w:rsidP="000771CE">
            <w:pPr>
              <w:pStyle w:val="Tableheaderrow"/>
              <w:jc w:val="both"/>
            </w:pPr>
            <w:r>
              <w:t>2 South East Region</w:t>
            </w:r>
          </w:p>
        </w:tc>
      </w:tr>
      <w:tr w:rsidR="001574B2" w:rsidRPr="001574B2" w14:paraId="14B0C408" w14:textId="77777777" w:rsidTr="000771CE">
        <w:trPr>
          <w:cnfStyle w:val="000000010000" w:firstRow="0" w:lastRow="0" w:firstColumn="0" w:lastColumn="0" w:oddVBand="0" w:evenVBand="0" w:oddHBand="0" w:evenHBand="1" w:firstRowFirstColumn="0" w:firstRowLastColumn="0" w:lastRowFirstColumn="0" w:lastRowLastColumn="0"/>
        </w:trPr>
        <w:tc>
          <w:tcPr>
            <w:tcW w:w="3114" w:type="dxa"/>
            <w:shd w:val="clear" w:color="auto" w:fill="auto"/>
          </w:tcPr>
          <w:p w14:paraId="0BB9C6DB" w14:textId="50C95745" w:rsidR="001574B2" w:rsidRPr="00E162C4" w:rsidRDefault="001574B2" w:rsidP="00B02087">
            <w:pPr>
              <w:pStyle w:val="TableBody"/>
            </w:pPr>
            <w:r>
              <w:t>29</w:t>
            </w:r>
          </w:p>
        </w:tc>
        <w:tc>
          <w:tcPr>
            <w:tcW w:w="4536" w:type="dxa"/>
            <w:shd w:val="clear" w:color="auto" w:fill="auto"/>
          </w:tcPr>
          <w:p w14:paraId="710E6EE9" w14:textId="126DF6FC" w:rsidR="001574B2" w:rsidRPr="00E162C4" w:rsidRDefault="001574B2" w:rsidP="00B02087">
            <w:pPr>
              <w:pStyle w:val="TableBody"/>
            </w:pPr>
            <w:r w:rsidRPr="001574B2">
              <w:t>(03) 70 (except (03) 7010)</w:t>
            </w:r>
          </w:p>
        </w:tc>
      </w:tr>
      <w:tr w:rsidR="001574B2" w:rsidRPr="00E162C4" w14:paraId="7FFE9A8F" w14:textId="77777777" w:rsidTr="000771CE">
        <w:trPr>
          <w:cnfStyle w:val="000000100000" w:firstRow="0" w:lastRow="0" w:firstColumn="0" w:lastColumn="0" w:oddVBand="0" w:evenVBand="0" w:oddHBand="1" w:evenHBand="0" w:firstRowFirstColumn="0" w:firstRowLastColumn="0" w:lastRowFirstColumn="0" w:lastRowLastColumn="0"/>
        </w:trPr>
        <w:tc>
          <w:tcPr>
            <w:tcW w:w="7650" w:type="dxa"/>
            <w:gridSpan w:val="2"/>
            <w:shd w:val="clear" w:color="auto" w:fill="F2F2F2"/>
          </w:tcPr>
          <w:p w14:paraId="034B6F6F" w14:textId="7E6BE746" w:rsidR="001574B2" w:rsidRDefault="001574B2" w:rsidP="000771CE">
            <w:pPr>
              <w:pStyle w:val="TableBody"/>
              <w:jc w:val="both"/>
              <w:rPr>
                <w:sz w:val="18"/>
                <w:szCs w:val="18"/>
              </w:rPr>
            </w:pPr>
            <w:r>
              <w:rPr>
                <w:b/>
                <w:bCs/>
                <w:sz w:val="18"/>
                <w:szCs w:val="18"/>
              </w:rPr>
              <w:t>3 North East Region</w:t>
            </w:r>
          </w:p>
        </w:tc>
      </w:tr>
      <w:tr w:rsidR="001574B2" w:rsidRPr="001574B2" w14:paraId="788C22FF" w14:textId="77777777" w:rsidTr="000771CE">
        <w:trPr>
          <w:cnfStyle w:val="000000010000" w:firstRow="0" w:lastRow="0" w:firstColumn="0" w:lastColumn="0" w:oddVBand="0" w:evenVBand="0" w:oddHBand="0" w:evenHBand="1" w:firstRowFirstColumn="0" w:firstRowLastColumn="0" w:lastRowFirstColumn="0" w:lastRowLastColumn="0"/>
        </w:trPr>
        <w:tc>
          <w:tcPr>
            <w:tcW w:w="3114" w:type="dxa"/>
            <w:shd w:val="clear" w:color="auto" w:fill="auto"/>
          </w:tcPr>
          <w:p w14:paraId="5C5D277E" w14:textId="38E0E81A" w:rsidR="001574B2" w:rsidRPr="00E162C4" w:rsidRDefault="001574B2" w:rsidP="00B02087">
            <w:pPr>
              <w:pStyle w:val="TableBody"/>
            </w:pPr>
            <w:r>
              <w:t>64</w:t>
            </w:r>
          </w:p>
        </w:tc>
        <w:tc>
          <w:tcPr>
            <w:tcW w:w="4536" w:type="dxa"/>
            <w:shd w:val="clear" w:color="auto" w:fill="auto"/>
          </w:tcPr>
          <w:p w14:paraId="7CC0FCA3" w14:textId="39ABB066" w:rsidR="001574B2" w:rsidRPr="00E162C4" w:rsidRDefault="001574B2" w:rsidP="00B02087">
            <w:pPr>
              <w:pStyle w:val="TableBody"/>
            </w:pPr>
            <w:r w:rsidRPr="001574B2">
              <w:t>(07) 70 (except (07) 7010)</w:t>
            </w:r>
          </w:p>
        </w:tc>
      </w:tr>
      <w:tr w:rsidR="001574B2" w:rsidRPr="00E162C4" w14:paraId="645B5CC2" w14:textId="77777777" w:rsidTr="000771CE">
        <w:trPr>
          <w:cnfStyle w:val="000000100000" w:firstRow="0" w:lastRow="0" w:firstColumn="0" w:lastColumn="0" w:oddVBand="0" w:evenVBand="0" w:oddHBand="1" w:evenHBand="0" w:firstRowFirstColumn="0" w:firstRowLastColumn="0" w:lastRowFirstColumn="0" w:lastRowLastColumn="0"/>
        </w:trPr>
        <w:tc>
          <w:tcPr>
            <w:tcW w:w="7650" w:type="dxa"/>
            <w:gridSpan w:val="2"/>
            <w:shd w:val="clear" w:color="auto" w:fill="F2F2F2"/>
          </w:tcPr>
          <w:p w14:paraId="0E9E276E" w14:textId="73DD1539" w:rsidR="001574B2" w:rsidRPr="00E162C4" w:rsidRDefault="001574B2" w:rsidP="000771CE">
            <w:pPr>
              <w:pStyle w:val="TableBody"/>
              <w:jc w:val="both"/>
            </w:pPr>
            <w:r>
              <w:rPr>
                <w:b/>
                <w:bCs/>
                <w:sz w:val="18"/>
                <w:szCs w:val="18"/>
              </w:rPr>
              <w:t>4 Central and West Region</w:t>
            </w:r>
          </w:p>
        </w:tc>
      </w:tr>
      <w:tr w:rsidR="001574B2" w:rsidRPr="001574B2" w14:paraId="37FB9EC5" w14:textId="77777777" w:rsidTr="000771CE">
        <w:trPr>
          <w:cnfStyle w:val="000000010000" w:firstRow="0" w:lastRow="0" w:firstColumn="0" w:lastColumn="0" w:oddVBand="0" w:evenVBand="0" w:oddHBand="0" w:evenHBand="1" w:firstRowFirstColumn="0" w:firstRowLastColumn="0" w:lastRowFirstColumn="0" w:lastRowLastColumn="0"/>
        </w:trPr>
        <w:tc>
          <w:tcPr>
            <w:tcW w:w="3114" w:type="dxa"/>
            <w:shd w:val="clear" w:color="auto" w:fill="auto"/>
          </w:tcPr>
          <w:p w14:paraId="33278048" w14:textId="7DB29CB3" w:rsidR="001574B2" w:rsidRPr="00E162C4" w:rsidRDefault="001574B2" w:rsidP="00B02087">
            <w:pPr>
              <w:pStyle w:val="TableBody"/>
            </w:pPr>
            <w:r>
              <w:t>7</w:t>
            </w:r>
          </w:p>
        </w:tc>
        <w:tc>
          <w:tcPr>
            <w:tcW w:w="4536" w:type="dxa"/>
            <w:shd w:val="clear" w:color="auto" w:fill="auto"/>
          </w:tcPr>
          <w:p w14:paraId="0D711683" w14:textId="6B7B0F46" w:rsidR="001574B2" w:rsidRPr="00E162C4" w:rsidRDefault="001574B2" w:rsidP="00B02087">
            <w:pPr>
              <w:pStyle w:val="TableBody"/>
            </w:pPr>
            <w:r w:rsidRPr="001574B2">
              <w:t>(08) 55 (except (08) 5550)</w:t>
            </w:r>
          </w:p>
        </w:tc>
      </w:tr>
      <w:tr w:rsidR="001574B2" w:rsidRPr="001574B2" w14:paraId="56707A83" w14:textId="77777777" w:rsidTr="0098650E">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55E127A7" w14:textId="06D1F691" w:rsidR="001574B2" w:rsidRDefault="001574B2" w:rsidP="00B02087">
            <w:pPr>
              <w:pStyle w:val="TableBody"/>
            </w:pPr>
            <w:r>
              <w:t>65</w:t>
            </w:r>
          </w:p>
        </w:tc>
        <w:tc>
          <w:tcPr>
            <w:tcW w:w="0" w:type="dxa"/>
            <w:shd w:val="clear" w:color="auto" w:fill="auto"/>
          </w:tcPr>
          <w:p w14:paraId="39BB030A" w14:textId="77EAF122" w:rsidR="001574B2" w:rsidRPr="001574B2" w:rsidRDefault="001574B2" w:rsidP="00B02087">
            <w:pPr>
              <w:pStyle w:val="TableBody"/>
            </w:pPr>
            <w:r w:rsidRPr="001574B2">
              <w:t>(08) 701 (except (08) 7010)</w:t>
            </w:r>
          </w:p>
        </w:tc>
      </w:tr>
    </w:tbl>
    <w:p w14:paraId="3BFC5A11" w14:textId="408887BA" w:rsidR="001574B2" w:rsidRDefault="001574B2" w:rsidP="00674606">
      <w:pPr>
        <w:pStyle w:val="Paragraph"/>
      </w:pPr>
    </w:p>
    <w:p w14:paraId="354BD588" w14:textId="11E62667" w:rsidR="00B4094E" w:rsidRPr="00E162C4" w:rsidRDefault="00B4094E" w:rsidP="00B4094E">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Question</w:t>
      </w:r>
      <w:r w:rsidR="00044A43">
        <w:t xml:space="preserve"> 3.1</w:t>
      </w:r>
    </w:p>
    <w:p w14:paraId="50CBCB87" w14:textId="7DEB6D46" w:rsidR="00B4094E" w:rsidRDefault="00044A43"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Do you support these initiatives? Why? Why not?</w:t>
      </w:r>
    </w:p>
    <w:p w14:paraId="678DBC75" w14:textId="780DB61D" w:rsidR="00B4094E" w:rsidRPr="00E162C4" w:rsidRDefault="00B4094E" w:rsidP="00B4094E">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044A43">
        <w:t>3.2</w:t>
      </w:r>
    </w:p>
    <w:p w14:paraId="1BA94FDC" w14:textId="02F72184" w:rsidR="00B4094E" w:rsidRDefault="00044A43" w:rsidP="00B4094E">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Is there any specific cost or burden in relation to the proposals? If so, please provide specific detail against each relevant item.</w:t>
      </w:r>
    </w:p>
    <w:p w14:paraId="49DC6465" w14:textId="127C280B" w:rsidR="002806B1" w:rsidRPr="00674606" w:rsidRDefault="00044A43" w:rsidP="00044A43">
      <w:pPr>
        <w:pStyle w:val="Heading2"/>
      </w:pPr>
      <w:bookmarkStart w:id="20" w:name="_Toc115779217"/>
      <w:r>
        <w:t xml:space="preserve">4. </w:t>
      </w:r>
      <w:bookmarkStart w:id="21" w:name="_Toc113535579"/>
      <w:r w:rsidR="002806B1">
        <w:t>Other amendments</w:t>
      </w:r>
      <w:bookmarkEnd w:id="21"/>
      <w:bookmarkEnd w:id="20"/>
    </w:p>
    <w:p w14:paraId="6E85A3D3" w14:textId="109ACD3E" w:rsidR="00615554" w:rsidRPr="005D4988" w:rsidRDefault="00974895" w:rsidP="00A51B43">
      <w:pPr>
        <w:pStyle w:val="Paragraphbeforelist"/>
      </w:pPr>
      <w:r>
        <w:t>T</w:t>
      </w:r>
      <w:r w:rsidR="00E24CFA">
        <w:t xml:space="preserve">he </w:t>
      </w:r>
      <w:r w:rsidR="00A45DA3">
        <w:t xml:space="preserve">draft </w:t>
      </w:r>
      <w:r w:rsidR="00E24CFA">
        <w:t xml:space="preserve">variation also </w:t>
      </w:r>
      <w:r w:rsidR="00A45DA3">
        <w:t xml:space="preserve">removes objects from the </w:t>
      </w:r>
      <w:r w:rsidR="007C5052">
        <w:t>numbering plan</w:t>
      </w:r>
      <w:r w:rsidR="00A45DA3">
        <w:t xml:space="preserve">. This will simplify interpretation of the numbering plan by </w:t>
      </w:r>
      <w:r w:rsidR="00980462">
        <w:t>aligning its</w:t>
      </w:r>
      <w:r w:rsidR="00A45DA3">
        <w:t xml:space="preserve"> interpretation directly </w:t>
      </w:r>
      <w:r w:rsidR="00C974D2">
        <w:t>with</w:t>
      </w:r>
      <w:r w:rsidR="00980462">
        <w:t xml:space="preserve"> the</w:t>
      </w:r>
      <w:r w:rsidR="00A45DA3">
        <w:t xml:space="preserve"> </w:t>
      </w:r>
      <w:r w:rsidR="004D3CE6">
        <w:t xml:space="preserve">relevant </w:t>
      </w:r>
      <w:r w:rsidR="00A45DA3">
        <w:t>objects of the</w:t>
      </w:r>
      <w:r w:rsidR="008619CC">
        <w:t xml:space="preserve"> </w:t>
      </w:r>
      <w:r w:rsidR="008619CC" w:rsidRPr="00FD59CE">
        <w:rPr>
          <w:i/>
          <w:iCs/>
        </w:rPr>
        <w:t>Telecommunications Act 1997</w:t>
      </w:r>
      <w:r w:rsidR="00980462">
        <w:rPr>
          <w:i/>
          <w:iCs/>
        </w:rPr>
        <w:t>.</w:t>
      </w:r>
      <w:r w:rsidR="008619CC" w:rsidDel="00A45DA3">
        <w:rPr>
          <w:i/>
        </w:rPr>
        <w:t xml:space="preserve"> </w:t>
      </w:r>
      <w:r w:rsidR="00980462">
        <w:t>These</w:t>
      </w:r>
      <w:r w:rsidR="00A45DA3">
        <w:t xml:space="preserve"> are </w:t>
      </w:r>
      <w:r w:rsidR="00615554" w:rsidRPr="005D4988">
        <w:rPr>
          <w:color w:val="000000"/>
        </w:rPr>
        <w:t>to provide a regulatory framework that promotes:</w:t>
      </w:r>
    </w:p>
    <w:p w14:paraId="17EAB856" w14:textId="41244F24" w:rsidR="00615554" w:rsidRPr="005D4988" w:rsidRDefault="00615554" w:rsidP="005D4988">
      <w:pPr>
        <w:pStyle w:val="Bulletlevel1"/>
        <w:rPr>
          <w:szCs w:val="20"/>
        </w:rPr>
      </w:pPr>
      <w:r w:rsidRPr="005D4988">
        <w:rPr>
          <w:szCs w:val="20"/>
        </w:rPr>
        <w:t>the long</w:t>
      </w:r>
      <w:r w:rsidRPr="005D4988">
        <w:rPr>
          <w:szCs w:val="20"/>
        </w:rPr>
        <w:noBreakHyphen/>
        <w:t>term interests of end</w:t>
      </w:r>
      <w:r w:rsidRPr="005D4988">
        <w:rPr>
          <w:szCs w:val="20"/>
        </w:rPr>
        <w:noBreakHyphen/>
        <w:t>users of carriage services</w:t>
      </w:r>
      <w:r w:rsidR="00857C56">
        <w:rPr>
          <w:szCs w:val="20"/>
        </w:rPr>
        <w:t>,</w:t>
      </w:r>
      <w:r w:rsidRPr="005D4988">
        <w:rPr>
          <w:szCs w:val="20"/>
        </w:rPr>
        <w:t xml:space="preserve"> or of services provided by means of carriage services</w:t>
      </w:r>
    </w:p>
    <w:p w14:paraId="22AE7743" w14:textId="18B2DB88" w:rsidR="00615554" w:rsidRPr="005D4988" w:rsidRDefault="00615554" w:rsidP="005D4988">
      <w:pPr>
        <w:pStyle w:val="Bulletlevel1"/>
        <w:rPr>
          <w:szCs w:val="20"/>
        </w:rPr>
      </w:pPr>
      <w:r w:rsidRPr="005D4988">
        <w:rPr>
          <w:szCs w:val="20"/>
        </w:rPr>
        <w:t>the efficiency and international competitiveness of the Australian telecommunications industry</w:t>
      </w:r>
    </w:p>
    <w:p w14:paraId="1CC89D24" w14:textId="209CB857" w:rsidR="00A45DA3" w:rsidRPr="005D4988" w:rsidRDefault="00615554" w:rsidP="005D4988">
      <w:pPr>
        <w:pStyle w:val="Bulletlevel1"/>
        <w:rPr>
          <w:szCs w:val="20"/>
        </w:rPr>
      </w:pPr>
      <w:r w:rsidRPr="005D4988">
        <w:rPr>
          <w:szCs w:val="20"/>
        </w:rPr>
        <w:t>the availability of accessible and affordable carriage services that enhance the welfare of Australians</w:t>
      </w:r>
    </w:p>
    <w:p w14:paraId="47650BBC" w14:textId="3FCBB78F" w:rsidR="00615554" w:rsidRPr="005D4988" w:rsidRDefault="00615554" w:rsidP="005D4988">
      <w:pPr>
        <w:pStyle w:val="Bulletlevel1"/>
        <w:rPr>
          <w:szCs w:val="20"/>
        </w:rPr>
      </w:pPr>
      <w:r w:rsidRPr="005D4988">
        <w:rPr>
          <w:szCs w:val="20"/>
        </w:rPr>
        <w:t>the supply of diverse and innovative carriage services and content services</w:t>
      </w:r>
    </w:p>
    <w:p w14:paraId="0A7FFB19" w14:textId="054DB348" w:rsidR="00615554" w:rsidRPr="005D4988" w:rsidRDefault="00615554" w:rsidP="005D4988">
      <w:pPr>
        <w:pStyle w:val="Bulletlevel1"/>
        <w:rPr>
          <w:szCs w:val="20"/>
        </w:rPr>
      </w:pPr>
      <w:r w:rsidRPr="005D4988">
        <w:rPr>
          <w:szCs w:val="20"/>
        </w:rPr>
        <w:t>the development of an Australian telecommunications industry that is efficient, competitive and responsive to the needs of the Australian community</w:t>
      </w:r>
    </w:p>
    <w:p w14:paraId="6AD0B2B7" w14:textId="10E3974B" w:rsidR="00615554" w:rsidRPr="005D4988" w:rsidRDefault="00615554" w:rsidP="005D4988">
      <w:pPr>
        <w:pStyle w:val="Bulletlevel1"/>
        <w:rPr>
          <w:szCs w:val="20"/>
        </w:rPr>
      </w:pPr>
      <w:r w:rsidRPr="005D4988">
        <w:rPr>
          <w:szCs w:val="20"/>
        </w:rPr>
        <w:t>the effective participation by all sectors of the Australian telecommunications industry in markets (whether in Australia or elsewhere)</w:t>
      </w:r>
    </w:p>
    <w:p w14:paraId="3497B230" w14:textId="73424147" w:rsidR="00615554" w:rsidRPr="005D4988" w:rsidRDefault="00615554" w:rsidP="00B73AC9">
      <w:pPr>
        <w:pStyle w:val="Bulletlevel1"/>
      </w:pPr>
      <w:r w:rsidRPr="005D4988">
        <w:t>the development of the technical capabilities and skills of the Australian telecommunications industry</w:t>
      </w:r>
    </w:p>
    <w:p w14:paraId="3A9BB9B3" w14:textId="16D64BD4" w:rsidR="00615554" w:rsidRPr="005D4988" w:rsidRDefault="00615554" w:rsidP="00B73AC9">
      <w:pPr>
        <w:pStyle w:val="Bulletlevel1"/>
      </w:pPr>
      <w:r w:rsidRPr="005D4988">
        <w:t>the development of the value</w:t>
      </w:r>
      <w:r w:rsidRPr="005D4988">
        <w:noBreakHyphen/>
        <w:t>adding and export</w:t>
      </w:r>
      <w:r w:rsidRPr="005D4988">
        <w:noBreakHyphen/>
        <w:t>oriented activities of the Australian telecommunications industry</w:t>
      </w:r>
    </w:p>
    <w:p w14:paraId="032FCED7" w14:textId="3627CE1F" w:rsidR="00615554" w:rsidRPr="005D4988" w:rsidRDefault="00615554" w:rsidP="00B73AC9">
      <w:pPr>
        <w:pStyle w:val="Bulletlevel1"/>
      </w:pPr>
      <w:r w:rsidRPr="005D4988">
        <w:t>research and development that contributes to the growth of the Australian telecommunications industry</w:t>
      </w:r>
    </w:p>
    <w:p w14:paraId="5C1EB42B" w14:textId="08FD6542" w:rsidR="00615554" w:rsidRPr="005D4988" w:rsidRDefault="00615554" w:rsidP="005D4988">
      <w:pPr>
        <w:pStyle w:val="Bulletlevel1"/>
        <w:rPr>
          <w:color w:val="000000"/>
          <w:szCs w:val="20"/>
        </w:rPr>
      </w:pPr>
      <w:r w:rsidRPr="005D4988">
        <w:rPr>
          <w:color w:val="000000"/>
          <w:szCs w:val="20"/>
        </w:rPr>
        <w:t>the equitable distribution of benefits from improvements in the efficiency and effectiveness of:</w:t>
      </w:r>
    </w:p>
    <w:p w14:paraId="20F2B9F4" w14:textId="74968568" w:rsidR="00615554" w:rsidRPr="005D4988" w:rsidRDefault="00615554" w:rsidP="005D4988">
      <w:pPr>
        <w:pStyle w:val="Bulletlevel1"/>
        <w:tabs>
          <w:tab w:val="clear" w:pos="295"/>
          <w:tab w:val="num" w:pos="579"/>
        </w:tabs>
        <w:ind w:left="579"/>
        <w:rPr>
          <w:szCs w:val="20"/>
        </w:rPr>
      </w:pPr>
      <w:r w:rsidRPr="005D4988">
        <w:rPr>
          <w:szCs w:val="20"/>
        </w:rPr>
        <w:t>the provision of telecommunications networks and facilities</w:t>
      </w:r>
    </w:p>
    <w:p w14:paraId="1AD49870" w14:textId="536DEC6A" w:rsidR="00615554" w:rsidRPr="005D4988" w:rsidRDefault="00615554" w:rsidP="00B73AC9">
      <w:pPr>
        <w:pStyle w:val="Bulletlevel2last"/>
      </w:pPr>
      <w:r w:rsidRPr="005D4988">
        <w:t>the supply of carriage services</w:t>
      </w:r>
      <w:r w:rsidR="00B73AC9">
        <w:t>.</w:t>
      </w:r>
    </w:p>
    <w:p w14:paraId="3B49E98E" w14:textId="7ADBCF5B" w:rsidR="00445C0B" w:rsidRDefault="00445C0B" w:rsidP="00B73AC9">
      <w:pPr>
        <w:pStyle w:val="Paragraphbeforelist"/>
      </w:pPr>
      <w:r>
        <w:t>Other objects of the Act are to:</w:t>
      </w:r>
    </w:p>
    <w:p w14:paraId="17EE53A0" w14:textId="7A9A32C6" w:rsidR="00445C0B" w:rsidRPr="005D4988" w:rsidRDefault="00445C0B" w:rsidP="00445C0B">
      <w:pPr>
        <w:pStyle w:val="Bulletlevel1"/>
        <w:rPr>
          <w:szCs w:val="20"/>
        </w:rPr>
      </w:pPr>
      <w:r w:rsidRPr="005D4988">
        <w:rPr>
          <w:szCs w:val="20"/>
        </w:rPr>
        <w:t>ensure that standard telephone services and payphones are:</w:t>
      </w:r>
    </w:p>
    <w:p w14:paraId="2D0ACCE2" w14:textId="7FB530AE" w:rsidR="00445C0B" w:rsidRPr="005D4988" w:rsidRDefault="00445C0B" w:rsidP="00445C0B">
      <w:pPr>
        <w:pStyle w:val="Bulletlevel1"/>
        <w:tabs>
          <w:tab w:val="clear" w:pos="295"/>
          <w:tab w:val="num" w:pos="579"/>
        </w:tabs>
        <w:ind w:left="579"/>
        <w:rPr>
          <w:szCs w:val="20"/>
        </w:rPr>
      </w:pPr>
      <w:r w:rsidRPr="005D4988">
        <w:rPr>
          <w:szCs w:val="20"/>
        </w:rPr>
        <w:t xml:space="preserve">reasonably accessible to all people in Australia on an equitable basis, wherever they reside or </w:t>
      </w:r>
      <w:r w:rsidR="00B73AC9">
        <w:rPr>
          <w:szCs w:val="20"/>
        </w:rPr>
        <w:t>conduct</w:t>
      </w:r>
      <w:r w:rsidRPr="005D4988">
        <w:rPr>
          <w:szCs w:val="20"/>
        </w:rPr>
        <w:t xml:space="preserve"> business</w:t>
      </w:r>
    </w:p>
    <w:p w14:paraId="4974B86D" w14:textId="7C223FE8" w:rsidR="00445C0B" w:rsidRDefault="00445C0B" w:rsidP="00445C0B">
      <w:pPr>
        <w:pStyle w:val="Bulletlevel1"/>
        <w:tabs>
          <w:tab w:val="clear" w:pos="295"/>
          <w:tab w:val="num" w:pos="579"/>
        </w:tabs>
        <w:ind w:left="579"/>
        <w:rPr>
          <w:szCs w:val="20"/>
        </w:rPr>
      </w:pPr>
      <w:r w:rsidRPr="005D4988">
        <w:rPr>
          <w:szCs w:val="20"/>
        </w:rPr>
        <w:t>supplied as efficiently and economically as practicable</w:t>
      </w:r>
    </w:p>
    <w:p w14:paraId="5DAEDA01" w14:textId="48FAAA8E" w:rsidR="00445C0B" w:rsidRPr="00445C0B" w:rsidRDefault="00445C0B" w:rsidP="00B73AC9">
      <w:pPr>
        <w:pStyle w:val="Bulletlevel1"/>
        <w:tabs>
          <w:tab w:val="clear" w:pos="295"/>
          <w:tab w:val="num" w:pos="579"/>
        </w:tabs>
        <w:ind w:left="579"/>
        <w:rPr>
          <w:szCs w:val="20"/>
        </w:rPr>
      </w:pPr>
      <w:r w:rsidRPr="00445C0B">
        <w:rPr>
          <w:szCs w:val="20"/>
        </w:rPr>
        <w:t>supplied at performance standards that reasonably meet the social, industrial and commercial needs of the Australian community</w:t>
      </w:r>
    </w:p>
    <w:p w14:paraId="74DAB8A7" w14:textId="2D0DB7B0" w:rsidR="005C1830" w:rsidRPr="005C1830" w:rsidRDefault="00615554" w:rsidP="00B73AC9">
      <w:pPr>
        <w:pStyle w:val="Bulletlevel1last"/>
      </w:pPr>
      <w:r w:rsidRPr="005D4988">
        <w:t xml:space="preserve">provide appropriate community safeguards in relation to telecommunications activities and to </w:t>
      </w:r>
      <w:r w:rsidR="00B73AC9">
        <w:t xml:space="preserve">adequately </w:t>
      </w:r>
      <w:r w:rsidRPr="005D4988">
        <w:t>regulate participants in sections of the Australian telecommunications industry</w:t>
      </w:r>
      <w:r w:rsidR="004D3CE6">
        <w:t>.</w:t>
      </w:r>
    </w:p>
    <w:p w14:paraId="3DD3795D" w14:textId="084BD860" w:rsidR="00C974D2" w:rsidRDefault="00A45DA3" w:rsidP="00D317F6">
      <w:pPr>
        <w:pStyle w:val="ListBullet"/>
        <w:numPr>
          <w:ilvl w:val="0"/>
          <w:numId w:val="0"/>
        </w:numPr>
        <w:spacing w:after="240"/>
      </w:pPr>
      <w:r>
        <w:t>We have also made some minor amendments to definitions to provide consistency with other obligations</w:t>
      </w:r>
      <w:r w:rsidR="00980462">
        <w:t xml:space="preserve">, including changes to </w:t>
      </w:r>
      <w:r w:rsidR="004D3CE6">
        <w:t xml:space="preserve">other </w:t>
      </w:r>
      <w:r w:rsidR="00980462">
        <w:t>legislation.</w:t>
      </w:r>
      <w:r>
        <w:t xml:space="preserve"> </w:t>
      </w:r>
    </w:p>
    <w:p w14:paraId="642707D9" w14:textId="67100CCF" w:rsidR="00615694" w:rsidRDefault="00C974D2" w:rsidP="00D317F6">
      <w:pPr>
        <w:pStyle w:val="ListBullet"/>
        <w:numPr>
          <w:ilvl w:val="0"/>
          <w:numId w:val="0"/>
        </w:numPr>
        <w:spacing w:after="240"/>
      </w:pPr>
      <w:r w:rsidRPr="00C974D2">
        <w:t xml:space="preserve">The definition of age-restricted content in the numbering plan refers to </w:t>
      </w:r>
      <w:r w:rsidR="00F37963">
        <w:t xml:space="preserve">MA15+ and R18+ content within the meaning of </w:t>
      </w:r>
      <w:r w:rsidRPr="00C974D2">
        <w:t xml:space="preserve">clause 15 of Schedule 7 of the </w:t>
      </w:r>
      <w:r w:rsidRPr="005C1830">
        <w:rPr>
          <w:i/>
          <w:iCs/>
        </w:rPr>
        <w:t>Broadcasting Services Act 1992</w:t>
      </w:r>
      <w:r w:rsidRPr="00C974D2">
        <w:t xml:space="preserve">. </w:t>
      </w:r>
      <w:r w:rsidR="00615694">
        <w:t>Th</w:t>
      </w:r>
      <w:r w:rsidR="004D3CE6">
        <w:t xml:space="preserve">is provision </w:t>
      </w:r>
      <w:r w:rsidR="00F37963">
        <w:t xml:space="preserve">of the </w:t>
      </w:r>
      <w:r w:rsidR="00857C56">
        <w:t>o</w:t>
      </w:r>
      <w:r w:rsidR="00F37963">
        <w:t xml:space="preserve">nline content scheme </w:t>
      </w:r>
      <w:r w:rsidR="004D3CE6">
        <w:t xml:space="preserve">has </w:t>
      </w:r>
      <w:r w:rsidR="00615694">
        <w:t xml:space="preserve">since been </w:t>
      </w:r>
      <w:r w:rsidR="004D3CE6">
        <w:t>repealed</w:t>
      </w:r>
      <w:r w:rsidR="00615694">
        <w:t xml:space="preserve"> and replaced by </w:t>
      </w:r>
      <w:r w:rsidR="00F37963">
        <w:t xml:space="preserve">Part 9 of </w:t>
      </w:r>
      <w:r w:rsidR="00615694">
        <w:t xml:space="preserve">the </w:t>
      </w:r>
      <w:r w:rsidR="00615694" w:rsidRPr="00C04D0E">
        <w:rPr>
          <w:i/>
          <w:iCs/>
        </w:rPr>
        <w:t>Online Safety Act 2021</w:t>
      </w:r>
      <w:r w:rsidR="00726742">
        <w:rPr>
          <w:i/>
          <w:iCs/>
        </w:rPr>
        <w:t xml:space="preserve"> </w:t>
      </w:r>
      <w:r w:rsidR="00726742" w:rsidRPr="005C1830">
        <w:t>(the OSA)</w:t>
      </w:r>
      <w:r w:rsidR="00615694" w:rsidRPr="00351A45">
        <w:t>.</w:t>
      </w:r>
      <w:r w:rsidR="00615694">
        <w:t xml:space="preserve"> </w:t>
      </w:r>
      <w:r w:rsidR="008763FC">
        <w:t>Relevant s</w:t>
      </w:r>
      <w:r w:rsidR="00615694">
        <w:t xml:space="preserve">afeguards under </w:t>
      </w:r>
      <w:r w:rsidR="00726742">
        <w:t xml:space="preserve">the </w:t>
      </w:r>
      <w:r w:rsidR="00726742" w:rsidRPr="00F07CD3">
        <w:t>OSA</w:t>
      </w:r>
      <w:r>
        <w:t xml:space="preserve"> </w:t>
      </w:r>
      <w:r w:rsidR="00F37963">
        <w:t xml:space="preserve">now concern </w:t>
      </w:r>
      <w:r w:rsidR="00615694">
        <w:t>Class 2 material</w:t>
      </w:r>
      <w:r w:rsidR="00F37963">
        <w:t xml:space="preserve"> (R18+ and X18+ material)</w:t>
      </w:r>
      <w:r w:rsidR="00615694">
        <w:t xml:space="preserve">. </w:t>
      </w:r>
      <w:r w:rsidR="00F37963">
        <w:t>Accordingly,</w:t>
      </w:r>
      <w:r w:rsidR="00615694">
        <w:t xml:space="preserve"> the definition of age-restricted content has been amended to refer to Class 2 material</w:t>
      </w:r>
      <w:r w:rsidR="00726742">
        <w:t xml:space="preserve"> in Part 9 of the </w:t>
      </w:r>
      <w:r w:rsidR="00F07CD3">
        <w:t>OSA</w:t>
      </w:r>
      <w:r w:rsidR="00615694">
        <w:t>.</w:t>
      </w:r>
      <w:r w:rsidR="006358BA">
        <w:t xml:space="preserve"> </w:t>
      </w:r>
      <w:r w:rsidR="006358BA" w:rsidRPr="006358BA">
        <w:t>This proposed change would provide consistency with the way age-restricted material is treated online.</w:t>
      </w:r>
    </w:p>
    <w:p w14:paraId="0E607992" w14:textId="75D21524" w:rsidR="00F07CD3" w:rsidRDefault="00D317F6" w:rsidP="00D317F6">
      <w:pPr>
        <w:pStyle w:val="ListBullet"/>
        <w:numPr>
          <w:ilvl w:val="0"/>
          <w:numId w:val="0"/>
        </w:numPr>
        <w:spacing w:after="240"/>
      </w:pPr>
      <w:r>
        <w:t>The draft variation also makes associated updates to headings</w:t>
      </w:r>
      <w:r w:rsidR="00857C56">
        <w:t xml:space="preserve"> and </w:t>
      </w:r>
      <w:r>
        <w:t xml:space="preserve">part and section numbering throughout the numbering plan to reflect the proposed amendments. Please note </w:t>
      </w:r>
      <w:r w:rsidR="009052C0">
        <w:t xml:space="preserve">that </w:t>
      </w:r>
      <w:r>
        <w:t>these changes are not reflected in the copy of the numbering plan with proposed amendments tracked</w:t>
      </w:r>
      <w:r w:rsidR="009052C0">
        <w:t>, which has been</w:t>
      </w:r>
      <w:r>
        <w:t xml:space="preserve"> provided as part of this consultation.</w:t>
      </w:r>
    </w:p>
    <w:p w14:paraId="29242F37" w14:textId="77777777" w:rsidR="00A45DA3" w:rsidRPr="00A45DA3" w:rsidRDefault="00A45DA3" w:rsidP="00A45DA3">
      <w:pPr>
        <w:pStyle w:val="ListBullet"/>
        <w:numPr>
          <w:ilvl w:val="0"/>
          <w:numId w:val="0"/>
        </w:numPr>
      </w:pPr>
    </w:p>
    <w:p w14:paraId="4C7D5AA8" w14:textId="798F4338" w:rsidR="00D22E10" w:rsidRPr="00E162C4" w:rsidRDefault="00D22E10" w:rsidP="00D22E10">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rsidR="00044A43">
        <w:t>4.1</w:t>
      </w:r>
    </w:p>
    <w:p w14:paraId="2C5B7E10" w14:textId="77777777" w:rsidR="00A45DA3" w:rsidRDefault="00044A43" w:rsidP="00D22E10">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 xml:space="preserve">Do you have any comments about the </w:t>
      </w:r>
      <w:r w:rsidR="00A45DA3">
        <w:t>proposal to remove the objects?</w:t>
      </w:r>
    </w:p>
    <w:p w14:paraId="264F1D94" w14:textId="07FFA82E" w:rsidR="00A45DA3" w:rsidRPr="00E162C4" w:rsidRDefault="00A45DA3" w:rsidP="00A45DA3">
      <w:pPr>
        <w:pStyle w:val="Heading3"/>
        <w:pBdr>
          <w:top w:val="single" w:sz="4" w:space="0" w:color="auto"/>
          <w:left w:val="single" w:sz="4" w:space="4" w:color="auto"/>
          <w:bottom w:val="single" w:sz="4" w:space="1" w:color="auto"/>
          <w:right w:val="single" w:sz="4" w:space="4" w:color="auto"/>
        </w:pBdr>
        <w:shd w:val="clear" w:color="auto" w:fill="F2F2F2" w:themeFill="background1" w:themeFillShade="F2"/>
      </w:pPr>
      <w:r w:rsidRPr="00E162C4">
        <w:t xml:space="preserve">Question </w:t>
      </w:r>
      <w:r>
        <w:t>4.2</w:t>
      </w:r>
    </w:p>
    <w:p w14:paraId="000BBCD8" w14:textId="1781EA7C" w:rsidR="00D22E10" w:rsidRDefault="00A45DA3" w:rsidP="00D22E10">
      <w:pPr>
        <w:pStyle w:val="Paragraph"/>
        <w:pBdr>
          <w:top w:val="single" w:sz="4" w:space="0" w:color="auto"/>
          <w:left w:val="single" w:sz="4" w:space="4" w:color="auto"/>
          <w:bottom w:val="single" w:sz="4" w:space="1" w:color="auto"/>
          <w:right w:val="single" w:sz="4" w:space="4" w:color="auto"/>
        </w:pBdr>
        <w:shd w:val="clear" w:color="auto" w:fill="F2F2F2" w:themeFill="background1" w:themeFillShade="F2"/>
      </w:pPr>
      <w:r>
        <w:t xml:space="preserve">Do you have any comments about the </w:t>
      </w:r>
      <w:r w:rsidR="00044A43">
        <w:t>proposed changes to definitions?</w:t>
      </w:r>
    </w:p>
    <w:p w14:paraId="6F227F85" w14:textId="77777777" w:rsidR="006C1631" w:rsidRPr="00E162C4" w:rsidRDefault="006C1631" w:rsidP="006C1631">
      <w:pPr>
        <w:pStyle w:val="Heading1"/>
      </w:pPr>
      <w:bookmarkStart w:id="22" w:name="_Toc113535580"/>
      <w:bookmarkStart w:id="23" w:name="_Toc115779218"/>
      <w:r w:rsidRPr="00E162C4">
        <w:t>Invitation to comment</w:t>
      </w:r>
      <w:bookmarkEnd w:id="22"/>
      <w:bookmarkEnd w:id="23"/>
    </w:p>
    <w:p w14:paraId="1982F3DA" w14:textId="77777777" w:rsidR="006C1631" w:rsidRPr="00E162C4" w:rsidRDefault="006C1631" w:rsidP="006C1631">
      <w:pPr>
        <w:pStyle w:val="Heading2"/>
      </w:pPr>
      <w:bookmarkStart w:id="24" w:name="_Toc433122131"/>
      <w:bookmarkStart w:id="25" w:name="_Toc348105637"/>
      <w:bookmarkStart w:id="26" w:name="_Toc300909556"/>
      <w:bookmarkStart w:id="27" w:name="_Toc298924673"/>
      <w:bookmarkStart w:id="28" w:name="_Toc113535581"/>
      <w:bookmarkStart w:id="29" w:name="_Toc348105638"/>
      <w:bookmarkStart w:id="30" w:name="_Toc300909557"/>
      <w:bookmarkStart w:id="31" w:name="_Toc298924674"/>
      <w:bookmarkStart w:id="32" w:name="_Toc274296357"/>
      <w:bookmarkStart w:id="33" w:name="_Toc115779219"/>
      <w:r w:rsidRPr="00E162C4">
        <w:t>Making a submission</w:t>
      </w:r>
      <w:bookmarkEnd w:id="24"/>
      <w:bookmarkEnd w:id="25"/>
      <w:bookmarkEnd w:id="26"/>
      <w:bookmarkEnd w:id="27"/>
      <w:bookmarkEnd w:id="28"/>
      <w:bookmarkEnd w:id="33"/>
    </w:p>
    <w:p w14:paraId="4FD1A047" w14:textId="113B2DF9" w:rsidR="006C1631" w:rsidRPr="00E162C4" w:rsidRDefault="006C5FD4" w:rsidP="006C1631">
      <w:r w:rsidRPr="00E162C4">
        <w:t>We</w:t>
      </w:r>
      <w:r w:rsidR="006C1631" w:rsidRPr="00E162C4">
        <w:t xml:space="preserve"> invite comments on the issues set out in this </w:t>
      </w:r>
      <w:r w:rsidR="00D54BAF">
        <w:t>consultation</w:t>
      </w:r>
      <w:r w:rsidR="00D54BAF" w:rsidRPr="00E162C4">
        <w:t xml:space="preserve"> </w:t>
      </w:r>
      <w:r w:rsidR="006C1631" w:rsidRPr="00E162C4">
        <w:t xml:space="preserve">paper. </w:t>
      </w:r>
    </w:p>
    <w:p w14:paraId="37FE9278" w14:textId="77777777" w:rsidR="0070133D" w:rsidRPr="00E162C4" w:rsidRDefault="00D449BE" w:rsidP="0070133D">
      <w:pPr>
        <w:pStyle w:val="Bulletlevel1"/>
      </w:pPr>
      <w:hyperlink r:id="rId27"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3C45D4CB" w14:textId="77777777" w:rsidR="006C1631" w:rsidRPr="00E162C4" w:rsidRDefault="006C1631" w:rsidP="0070133D">
      <w:pPr>
        <w:pStyle w:val="Bulletlevel1"/>
      </w:pPr>
      <w:r w:rsidRPr="00E162C4">
        <w:t xml:space="preserve">Submissions by post can be sent to: </w:t>
      </w:r>
    </w:p>
    <w:p w14:paraId="5E01495C" w14:textId="77777777" w:rsidR="006C1631" w:rsidRPr="00F03B5E" w:rsidRDefault="006C1631" w:rsidP="006C1631">
      <w:pPr>
        <w:tabs>
          <w:tab w:val="num" w:pos="295"/>
        </w:tabs>
        <w:spacing w:after="0"/>
        <w:ind w:left="295"/>
        <w:rPr>
          <w:szCs w:val="20"/>
        </w:rPr>
      </w:pPr>
      <w:r w:rsidRPr="00F03B5E">
        <w:rPr>
          <w:szCs w:val="20"/>
        </w:rPr>
        <w:t>The Manager</w:t>
      </w:r>
    </w:p>
    <w:p w14:paraId="7268318D" w14:textId="502AAE32" w:rsidR="006C1631" w:rsidRPr="00F03B5E" w:rsidRDefault="00F03B5E" w:rsidP="006C1631">
      <w:pPr>
        <w:spacing w:after="0"/>
        <w:ind w:left="295"/>
        <w:rPr>
          <w:szCs w:val="20"/>
        </w:rPr>
      </w:pPr>
      <w:r w:rsidRPr="00F03B5E">
        <w:rPr>
          <w:szCs w:val="20"/>
        </w:rPr>
        <w:t xml:space="preserve">Numbers </w:t>
      </w:r>
      <w:r w:rsidR="006C1631" w:rsidRPr="00F03B5E">
        <w:rPr>
          <w:szCs w:val="20"/>
        </w:rPr>
        <w:t>Section</w:t>
      </w:r>
    </w:p>
    <w:p w14:paraId="2241D3FA" w14:textId="77777777" w:rsidR="006C1631" w:rsidRPr="00F03B5E" w:rsidRDefault="006C1631" w:rsidP="006C1631">
      <w:pPr>
        <w:spacing w:after="0"/>
        <w:ind w:left="295"/>
        <w:rPr>
          <w:szCs w:val="20"/>
        </w:rPr>
      </w:pPr>
      <w:r w:rsidRPr="00F03B5E">
        <w:rPr>
          <w:szCs w:val="20"/>
        </w:rPr>
        <w:t>Australian Communications and Media Authority</w:t>
      </w:r>
    </w:p>
    <w:p w14:paraId="526DEB12" w14:textId="27C50C7D" w:rsidR="006C1631" w:rsidRPr="00F03B5E" w:rsidRDefault="006C1631" w:rsidP="006C1631">
      <w:pPr>
        <w:spacing w:after="0"/>
        <w:ind w:left="295"/>
        <w:rPr>
          <w:szCs w:val="20"/>
        </w:rPr>
      </w:pPr>
      <w:r w:rsidRPr="00F03B5E">
        <w:rPr>
          <w:szCs w:val="20"/>
        </w:rPr>
        <w:t xml:space="preserve">PO Box </w:t>
      </w:r>
      <w:r w:rsidR="00F03B5E" w:rsidRPr="00F03B5E">
        <w:rPr>
          <w:szCs w:val="20"/>
        </w:rPr>
        <w:t>13112</w:t>
      </w:r>
    </w:p>
    <w:p w14:paraId="7D52C65A" w14:textId="77777777" w:rsidR="00F03B5E" w:rsidRPr="00F03B5E" w:rsidRDefault="00F03B5E" w:rsidP="00F03B5E">
      <w:pPr>
        <w:spacing w:after="0"/>
        <w:ind w:left="295"/>
        <w:rPr>
          <w:szCs w:val="20"/>
        </w:rPr>
      </w:pPr>
      <w:r w:rsidRPr="00F03B5E">
        <w:rPr>
          <w:szCs w:val="20"/>
        </w:rPr>
        <w:t>Law Courts</w:t>
      </w:r>
    </w:p>
    <w:p w14:paraId="5DDFF5CB" w14:textId="4180DBC4" w:rsidR="006C1631" w:rsidRPr="00E162C4" w:rsidRDefault="00F03B5E" w:rsidP="006C1631">
      <w:pPr>
        <w:ind w:left="295"/>
        <w:rPr>
          <w:szCs w:val="20"/>
        </w:rPr>
      </w:pPr>
      <w:r w:rsidRPr="00F03B5E">
        <w:rPr>
          <w:szCs w:val="20"/>
        </w:rPr>
        <w:t>Melbourne</w:t>
      </w:r>
      <w:r w:rsidR="006C1631" w:rsidRPr="00F03B5E">
        <w:rPr>
          <w:szCs w:val="20"/>
        </w:rPr>
        <w:t xml:space="preserve"> </w:t>
      </w:r>
      <w:r w:rsidRPr="00F03B5E">
        <w:rPr>
          <w:szCs w:val="20"/>
        </w:rPr>
        <w:t>VIC 8010</w:t>
      </w:r>
    </w:p>
    <w:p w14:paraId="73E547EE" w14:textId="51DCAAA2" w:rsidR="006C1631" w:rsidRPr="00E162C4" w:rsidRDefault="006C1631" w:rsidP="006C1631">
      <w:r w:rsidRPr="00E162C4">
        <w:t xml:space="preserve">The closing date for submissions is </w:t>
      </w:r>
      <w:r w:rsidR="00445C0B">
        <w:t>5pm</w:t>
      </w:r>
      <w:r w:rsidR="00A24C8D">
        <w:t xml:space="preserve"> (AE</w:t>
      </w:r>
      <w:r w:rsidR="00445C0B">
        <w:t>D</w:t>
      </w:r>
      <w:r w:rsidR="00A24C8D">
        <w:t>ST)</w:t>
      </w:r>
      <w:r w:rsidRPr="00E162C4">
        <w:t xml:space="preserve">, </w:t>
      </w:r>
      <w:r w:rsidR="007D2966">
        <w:rPr>
          <w:b/>
          <w:bCs/>
        </w:rPr>
        <w:t>Fri</w:t>
      </w:r>
      <w:r w:rsidR="005B7891">
        <w:rPr>
          <w:b/>
          <w:bCs/>
        </w:rPr>
        <w:t xml:space="preserve">day 4 </w:t>
      </w:r>
      <w:r w:rsidR="007D2966">
        <w:rPr>
          <w:b/>
          <w:bCs/>
        </w:rPr>
        <w:t>November</w:t>
      </w:r>
      <w:r w:rsidR="00444D89">
        <w:rPr>
          <w:b/>
          <w:bCs/>
        </w:rPr>
        <w:t xml:space="preserve"> 2022</w:t>
      </w:r>
      <w:r w:rsidRPr="00E162C4">
        <w:t>.</w:t>
      </w:r>
    </w:p>
    <w:p w14:paraId="3E0577D6" w14:textId="5A8562C8" w:rsidR="006C1631" w:rsidRPr="00E162C4" w:rsidRDefault="006C1631" w:rsidP="006C1631">
      <w:pPr>
        <w:rPr>
          <w:szCs w:val="20"/>
        </w:rPr>
      </w:pPr>
      <w:r w:rsidRPr="00E162C4">
        <w:t xml:space="preserve">Consultation enquiries can be emailed </w:t>
      </w:r>
      <w:r w:rsidRPr="00E162C4">
        <w:rPr>
          <w:szCs w:val="20"/>
        </w:rPr>
        <w:t xml:space="preserve">to </w:t>
      </w:r>
      <w:hyperlink r:id="rId28" w:history="1">
        <w:r w:rsidR="00F03B5E" w:rsidRPr="00F03B5E">
          <w:rPr>
            <w:rStyle w:val="Hyperlink"/>
            <w:szCs w:val="20"/>
          </w:rPr>
          <w:t>numbering@acma.gov.au</w:t>
        </w:r>
      </w:hyperlink>
      <w:r w:rsidRPr="00F03B5E">
        <w:rPr>
          <w:szCs w:val="20"/>
        </w:rPr>
        <w:t>.</w:t>
      </w:r>
    </w:p>
    <w:p w14:paraId="72D328AD" w14:textId="77777777" w:rsidR="006C1631" w:rsidRPr="00E162C4" w:rsidRDefault="006C1631" w:rsidP="005B2F0D">
      <w:pPr>
        <w:pStyle w:val="Heading4"/>
      </w:pPr>
      <w:bookmarkStart w:id="34" w:name="_Toc348105639"/>
      <w:bookmarkStart w:id="35" w:name="_Toc300909558"/>
      <w:bookmarkStart w:id="36" w:name="_Hlk59627494"/>
      <w:bookmarkEnd w:id="29"/>
      <w:bookmarkEnd w:id="30"/>
      <w:r w:rsidRPr="00E162C4">
        <w:t>Publication of submissions</w:t>
      </w:r>
      <w:bookmarkEnd w:id="31"/>
      <w:bookmarkEnd w:id="32"/>
      <w:bookmarkEnd w:id="34"/>
      <w:bookmarkEnd w:id="35"/>
    </w:p>
    <w:p w14:paraId="29CC702E" w14:textId="77777777" w:rsidR="006C1631" w:rsidRPr="00E162C4" w:rsidRDefault="006C5FD4" w:rsidP="006C1631">
      <w:bookmarkStart w:id="37" w:name="_Toc348105640"/>
      <w:bookmarkStart w:id="38" w:name="_Toc300909559"/>
      <w:bookmarkStart w:id="39"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22F86DF4" w14:textId="77777777" w:rsidR="006C1631" w:rsidRPr="00E162C4" w:rsidRDefault="006C1631" w:rsidP="006C1631">
      <w:r w:rsidRPr="00E162C4">
        <w:t>Confidential information will not be published or otherwise released unless required or authorised by law.</w:t>
      </w:r>
    </w:p>
    <w:p w14:paraId="2F9EE9EE" w14:textId="77777777" w:rsidR="006C1631" w:rsidRPr="00E162C4" w:rsidRDefault="006C1631" w:rsidP="005B2F0D">
      <w:pPr>
        <w:pStyle w:val="Heading4"/>
      </w:pPr>
      <w:r w:rsidRPr="00E162C4">
        <w:t>Privacy</w:t>
      </w:r>
    </w:p>
    <w:p w14:paraId="7E812374"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29"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37"/>
    <w:bookmarkEnd w:id="38"/>
    <w:bookmarkEnd w:id="39"/>
    <w:p w14:paraId="3B3A0ABC"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0" w:history="1">
        <w:r w:rsidR="00E21056" w:rsidRPr="00E162C4">
          <w:rPr>
            <w:rStyle w:val="Hyperlink"/>
          </w:rPr>
          <w:t>privacy policy</w:t>
        </w:r>
      </w:hyperlink>
      <w:r w:rsidRPr="00E162C4">
        <w:t>.</w:t>
      </w:r>
      <w:r w:rsidR="00A4193E" w:rsidRPr="00E162C4">
        <w:t xml:space="preserve"> </w:t>
      </w:r>
    </w:p>
    <w:bookmarkEnd w:id="36"/>
    <w:p w14:paraId="628362C7" w14:textId="5FC52A25" w:rsidR="00FF3C69" w:rsidRPr="00E162C4" w:rsidRDefault="00FF3C69" w:rsidP="00851F3F"/>
    <w:sectPr w:rsidR="00FF3C69" w:rsidRPr="00E162C4" w:rsidSect="00C77380">
      <w:headerReference w:type="even" r:id="rId31"/>
      <w:headerReference w:type="default" r:id="rId32"/>
      <w:footerReference w:type="even" r:id="rId33"/>
      <w:footerReference w:type="default" r:id="rId3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F513" w14:textId="77777777" w:rsidR="003B1624" w:rsidRDefault="003B1624">
      <w:r>
        <w:separator/>
      </w:r>
    </w:p>
  </w:endnote>
  <w:endnote w:type="continuationSeparator" w:id="0">
    <w:p w14:paraId="030617C3" w14:textId="77777777" w:rsidR="003B1624" w:rsidRDefault="003B1624">
      <w:r>
        <w:continuationSeparator/>
      </w:r>
    </w:p>
  </w:endnote>
  <w:endnote w:type="continuationNotice" w:id="1">
    <w:p w14:paraId="39558927" w14:textId="77777777" w:rsidR="003B1624" w:rsidRDefault="003B1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780" w14:textId="77777777" w:rsidR="005E250B" w:rsidRDefault="005E250B" w:rsidP="005E250B">
    <w:pPr>
      <w:pStyle w:val="Footer"/>
      <w:jc w:val="right"/>
    </w:pPr>
    <w:r w:rsidRPr="005E250B">
      <w:rPr>
        <w:noProof/>
        <w:vertAlign w:val="subscript"/>
      </w:rPr>
      <w:drawing>
        <wp:inline distT="0" distB="0" distL="0" distR="0" wp14:anchorId="66504456" wp14:editId="305A91D4">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42B4"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2C74"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7FAB"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6ADA56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25AB"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05A2E352"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752D"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1A460DBA"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A64C"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F17B51D"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CC3F"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72626779"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63D3" w14:textId="77777777" w:rsidR="003B1624" w:rsidRDefault="003B1624" w:rsidP="00EA0969">
      <w:pPr>
        <w:spacing w:after="0"/>
      </w:pPr>
      <w:r>
        <w:separator/>
      </w:r>
    </w:p>
  </w:footnote>
  <w:footnote w:type="continuationSeparator" w:id="0">
    <w:p w14:paraId="3060417A" w14:textId="77777777" w:rsidR="003B1624" w:rsidRDefault="003B1624">
      <w:r>
        <w:continuationSeparator/>
      </w:r>
    </w:p>
  </w:footnote>
  <w:footnote w:type="continuationNotice" w:id="1">
    <w:p w14:paraId="1BC55EAF" w14:textId="77777777" w:rsidR="003B1624" w:rsidRDefault="003B1624">
      <w:pPr>
        <w:spacing w:after="0" w:line="240" w:lineRule="auto"/>
      </w:pPr>
    </w:p>
  </w:footnote>
  <w:footnote w:id="2">
    <w:p w14:paraId="33CACAB3" w14:textId="5914FD94" w:rsidR="00DD020D" w:rsidRDefault="00DD020D">
      <w:pPr>
        <w:pStyle w:val="FootnoteText"/>
      </w:pPr>
      <w:r>
        <w:rPr>
          <w:rStyle w:val="FootnoteReference"/>
        </w:rPr>
        <w:footnoteRef/>
      </w:r>
      <w:r>
        <w:t xml:space="preserve"> </w:t>
      </w:r>
      <w:r w:rsidR="00C37A86">
        <w:rPr>
          <w:rFonts w:cs="Arial"/>
        </w:rPr>
        <w:t xml:space="preserve">Under Part 4 of the </w:t>
      </w:r>
      <w:r w:rsidR="00C37A86">
        <w:rPr>
          <w:rFonts w:cs="Arial"/>
          <w:i/>
        </w:rPr>
        <w:t>Legislation Act 2003,</w:t>
      </w:r>
      <w:r w:rsidR="00C37A86">
        <w:rPr>
          <w:rFonts w:cs="Arial"/>
        </w:rPr>
        <w:t xml:space="preserve"> most legislative instruments ‘sunset’ (that is, they are automatically repealed) on the first 1 April or 1 October on or after the tenth anniversary of their registration on the Federal Register of </w:t>
      </w:r>
      <w:r w:rsidR="00D54BAF">
        <w:rPr>
          <w:rFonts w:cs="Arial"/>
        </w:rPr>
        <w:t>Legislation</w:t>
      </w:r>
      <w:r w:rsidR="00C37A86">
        <w:rPr>
          <w:rFonts w:cs="Arial"/>
        </w:rPr>
        <w:t xml:space="preserve"> (FRL).</w:t>
      </w:r>
    </w:p>
  </w:footnote>
  <w:footnote w:id="3">
    <w:p w14:paraId="49408D86" w14:textId="4EC17ADC" w:rsidR="008A132E" w:rsidRDefault="008A132E">
      <w:pPr>
        <w:pStyle w:val="FootnoteText"/>
      </w:pPr>
      <w:r>
        <w:rPr>
          <w:rStyle w:val="FootnoteReference"/>
        </w:rPr>
        <w:footnoteRef/>
      </w:r>
      <w:r>
        <w:t xml:space="preserve"> Spoofing refers to the unauthorised use of a number for the purposes of deliberately masking or misleading the recipient of the call or SMs about the identity of the originating caller or sender.</w:t>
      </w:r>
    </w:p>
  </w:footnote>
  <w:footnote w:id="4">
    <w:p w14:paraId="62446CE6" w14:textId="14735577" w:rsidR="00E4527C" w:rsidRDefault="00E4527C">
      <w:pPr>
        <w:pStyle w:val="FootnoteText"/>
      </w:pPr>
      <w:r>
        <w:rPr>
          <w:rStyle w:val="FootnoteReference"/>
        </w:rPr>
        <w:footnoteRef/>
      </w:r>
      <w:r>
        <w:t xml:space="preserve"> </w:t>
      </w:r>
      <w:r>
        <w:rPr>
          <w:szCs w:val="20"/>
        </w:rPr>
        <w:t xml:space="preserve">The complete list is </w:t>
      </w:r>
      <w:r w:rsidRPr="00524319">
        <w:rPr>
          <w:szCs w:val="20"/>
        </w:rPr>
        <w:t>available</w:t>
      </w:r>
      <w:r>
        <w:rPr>
          <w:szCs w:val="20"/>
        </w:rPr>
        <w:t xml:space="preserve"> on the ACMA’s website: </w:t>
      </w:r>
      <w:hyperlink r:id="rId1" w:history="1">
        <w:r w:rsidRPr="00A24C8D">
          <w:rPr>
            <w:rStyle w:val="Hyperlink"/>
            <w:szCs w:val="20"/>
          </w:rPr>
          <w:t>www.acma.gov.au/phone-numbers-fictional-purposes</w:t>
        </w:r>
      </w:hyperlink>
      <w:r>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3F5E" w14:textId="77777777" w:rsidR="00C053A1" w:rsidRPr="00A5474E" w:rsidRDefault="0021426C" w:rsidP="00A5474E">
    <w:pPr>
      <w:pStyle w:val="Header"/>
    </w:pPr>
    <w:r>
      <w:rPr>
        <w:noProof/>
      </w:rPr>
      <w:drawing>
        <wp:inline distT="0" distB="0" distL="0" distR="0" wp14:anchorId="76A3AF42" wp14:editId="00876C3E">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1447"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3358"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D2D8"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1584B58" w14:textId="77777777" w:rsidTr="003B0421">
      <w:trPr>
        <w:trHeight w:hRule="exact" w:val="988"/>
      </w:trPr>
      <w:tc>
        <w:tcPr>
          <w:tcW w:w="7678" w:type="dxa"/>
          <w:shd w:val="clear" w:color="auto" w:fill="auto"/>
        </w:tcPr>
        <w:p w14:paraId="2D604588" w14:textId="77777777" w:rsidR="00971914" w:rsidRDefault="00971914" w:rsidP="00971914">
          <w:pPr>
            <w:pStyle w:val="Header"/>
          </w:pPr>
        </w:p>
      </w:tc>
    </w:tr>
    <w:tr w:rsidR="00971914" w14:paraId="6726F6A6" w14:textId="77777777" w:rsidTr="003B0421">
      <w:tc>
        <w:tcPr>
          <w:tcW w:w="7678" w:type="dxa"/>
          <w:shd w:val="clear" w:color="auto" w:fill="auto"/>
        </w:tcPr>
        <w:p w14:paraId="134F601D" w14:textId="77777777" w:rsidR="00971914" w:rsidRDefault="00971914" w:rsidP="00971914">
          <w:pPr>
            <w:pStyle w:val="GridTable31"/>
          </w:pPr>
          <w:r>
            <w:t xml:space="preserve">Contents </w:t>
          </w:r>
          <w:r w:rsidRPr="00915B1C">
            <w:rPr>
              <w:b w:val="0"/>
              <w:spacing w:val="0"/>
              <w:sz w:val="28"/>
              <w:szCs w:val="28"/>
            </w:rPr>
            <w:t>(Continued)</w:t>
          </w:r>
        </w:p>
      </w:tc>
    </w:tr>
    <w:tr w:rsidR="00971914" w14:paraId="5FEDCEB4" w14:textId="77777777" w:rsidTr="003B0421">
      <w:trPr>
        <w:trHeight w:val="1220"/>
      </w:trPr>
      <w:tc>
        <w:tcPr>
          <w:tcW w:w="7678" w:type="dxa"/>
          <w:shd w:val="clear" w:color="auto" w:fill="auto"/>
        </w:tcPr>
        <w:p w14:paraId="5CD12E65" w14:textId="77777777" w:rsidR="00971914" w:rsidRDefault="00971914" w:rsidP="00971914"/>
      </w:tc>
    </w:tr>
  </w:tbl>
  <w:p w14:paraId="411FAC7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5741A79" w14:textId="77777777" w:rsidTr="003B0421">
      <w:trPr>
        <w:trHeight w:hRule="exact" w:val="988"/>
      </w:trPr>
      <w:tc>
        <w:tcPr>
          <w:tcW w:w="7678" w:type="dxa"/>
          <w:shd w:val="clear" w:color="auto" w:fill="auto"/>
        </w:tcPr>
        <w:p w14:paraId="4779C47F" w14:textId="77777777" w:rsidR="00971914" w:rsidRDefault="00971914" w:rsidP="00971914">
          <w:pPr>
            <w:pStyle w:val="Header"/>
          </w:pPr>
        </w:p>
      </w:tc>
    </w:tr>
    <w:tr w:rsidR="00971914" w14:paraId="123A319B" w14:textId="77777777" w:rsidTr="003B0421">
      <w:tc>
        <w:tcPr>
          <w:tcW w:w="7678" w:type="dxa"/>
          <w:shd w:val="clear" w:color="auto" w:fill="auto"/>
        </w:tcPr>
        <w:p w14:paraId="722861BB" w14:textId="77777777" w:rsidR="00971914" w:rsidRDefault="00971914" w:rsidP="00971914">
          <w:pPr>
            <w:pStyle w:val="GridTable31"/>
          </w:pPr>
          <w:r>
            <w:t xml:space="preserve">Contents </w:t>
          </w:r>
          <w:r w:rsidRPr="00915B1C">
            <w:rPr>
              <w:b w:val="0"/>
              <w:spacing w:val="0"/>
              <w:sz w:val="28"/>
              <w:szCs w:val="28"/>
            </w:rPr>
            <w:t>(Continued)</w:t>
          </w:r>
        </w:p>
      </w:tc>
    </w:tr>
    <w:tr w:rsidR="00971914" w14:paraId="22E72FD0" w14:textId="77777777" w:rsidTr="003B0421">
      <w:trPr>
        <w:trHeight w:val="1220"/>
      </w:trPr>
      <w:tc>
        <w:tcPr>
          <w:tcW w:w="7678" w:type="dxa"/>
          <w:shd w:val="clear" w:color="auto" w:fill="auto"/>
        </w:tcPr>
        <w:p w14:paraId="5D8DC5B9" w14:textId="77777777" w:rsidR="00971914" w:rsidRDefault="00971914" w:rsidP="00971914"/>
      </w:tc>
    </w:tr>
  </w:tbl>
  <w:p w14:paraId="1A21FDBB"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7A4B"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776F"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multilevel"/>
    <w:tmpl w:val="9D10EB4C"/>
    <w:lvl w:ilvl="0">
      <w:start w:val="1"/>
      <w:numFmt w:val="decimal"/>
      <w:pStyle w:val="ListNumber"/>
      <w:lvlText w:val="%1."/>
      <w:lvlJc w:val="left"/>
      <w:pPr>
        <w:ind w:left="360" w:hanging="360"/>
      </w:pPr>
      <w:rPr>
        <w:rFonts w:hint="default"/>
        <w:b w:val="0"/>
        <w:bCs/>
        <w:caps/>
        <w:sz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882D38"/>
    <w:multiLevelType w:val="hybridMultilevel"/>
    <w:tmpl w:val="DE60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D410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F08E9"/>
    <w:multiLevelType w:val="multilevel"/>
    <w:tmpl w:val="0C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B906E8"/>
    <w:multiLevelType w:val="hybridMultilevel"/>
    <w:tmpl w:val="2F16A42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 w15:restartNumberingAfterBreak="0">
    <w:nsid w:val="18F3512A"/>
    <w:multiLevelType w:val="hybridMultilevel"/>
    <w:tmpl w:val="D8049F9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1" w15:restartNumberingAfterBreak="0">
    <w:nsid w:val="199A5A02"/>
    <w:multiLevelType w:val="hybridMultilevel"/>
    <w:tmpl w:val="2996C090"/>
    <w:lvl w:ilvl="0" w:tplc="EC52A9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BD63F9"/>
    <w:multiLevelType w:val="hybridMultilevel"/>
    <w:tmpl w:val="022C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31AF346E"/>
    <w:multiLevelType w:val="multilevel"/>
    <w:tmpl w:val="0C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0273DA"/>
    <w:multiLevelType w:val="hybridMultilevel"/>
    <w:tmpl w:val="D3609F48"/>
    <w:lvl w:ilvl="0" w:tplc="A7504FE8">
      <w:start w:val="1"/>
      <w:numFmt w:val="bullet"/>
      <w:lvlText w:val="-"/>
      <w:lvlJc w:val="left"/>
      <w:pPr>
        <w:ind w:left="720" w:hanging="360"/>
      </w:pPr>
      <w:rPr>
        <w:rFonts w:ascii="Arial" w:eastAsiaTheme="minorHAnsi" w:hAnsi="Arial" w:cs="Arial" w:hint="default"/>
        <w:color w:val="4F4F4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766A9"/>
    <w:multiLevelType w:val="hybridMultilevel"/>
    <w:tmpl w:val="5A666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256BFE"/>
    <w:multiLevelType w:val="hybridMultilevel"/>
    <w:tmpl w:val="DC2E7EF4"/>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0331D6"/>
    <w:multiLevelType w:val="hybridMultilevel"/>
    <w:tmpl w:val="439C235E"/>
    <w:lvl w:ilvl="0" w:tplc="7D4AF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5F62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35111"/>
    <w:multiLevelType w:val="hybridMultilevel"/>
    <w:tmpl w:val="918AF342"/>
    <w:lvl w:ilvl="0" w:tplc="0C090017">
      <w:start w:val="1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EC56E2"/>
    <w:multiLevelType w:val="hybridMultilevel"/>
    <w:tmpl w:val="B192A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E4088E"/>
    <w:multiLevelType w:val="hybridMultilevel"/>
    <w:tmpl w:val="AB98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B42FC"/>
    <w:multiLevelType w:val="hybridMultilevel"/>
    <w:tmpl w:val="970ACA46"/>
    <w:lvl w:ilvl="0" w:tplc="A404C372">
      <w:start w:val="1"/>
      <w:numFmt w:val="lowerRoman"/>
      <w:lvlText w:val="(%1)"/>
      <w:lvlJc w:val="left"/>
      <w:pPr>
        <w:ind w:left="1288" w:hanging="72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0" w15:restartNumberingAfterBreak="0">
    <w:nsid w:val="69A40C2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DC703D"/>
    <w:multiLevelType w:val="hybridMultilevel"/>
    <w:tmpl w:val="90A44E56"/>
    <w:lvl w:ilvl="0" w:tplc="530C51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D2700C"/>
    <w:multiLevelType w:val="hybridMultilevel"/>
    <w:tmpl w:val="DFAC63C0"/>
    <w:lvl w:ilvl="0" w:tplc="16A8968E">
      <w:start w:val="1"/>
      <w:numFmt w:val="decimal"/>
      <w:lvlText w:val="%1."/>
      <w:lvlJc w:val="left"/>
      <w:pPr>
        <w:tabs>
          <w:tab w:val="num" w:pos="540"/>
        </w:tabs>
        <w:ind w:left="540" w:hanging="360"/>
      </w:pPr>
      <w:rPr>
        <w:rFonts w:ascii="Arial" w:hAnsi="Arial" w:cs="Arial" w:hint="default"/>
        <w:i w:val="0"/>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61BA7"/>
    <w:multiLevelType w:val="hybridMultilevel"/>
    <w:tmpl w:val="18827B14"/>
    <w:lvl w:ilvl="0" w:tplc="8C32E77C">
      <w:start w:val="1"/>
      <w:numFmt w:val="bullet"/>
      <w:pStyle w:val="ACMABulletLevel1"/>
      <w:lvlText w:val=""/>
      <w:lvlJc w:val="left"/>
      <w:pPr>
        <w:ind w:left="720" w:hanging="360"/>
      </w:pPr>
      <w:rPr>
        <w:rFonts w:ascii="Symbol" w:hAnsi="Symbol" w:cs="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4F7D7A"/>
    <w:multiLevelType w:val="hybridMultilevel"/>
    <w:tmpl w:val="688E8492"/>
    <w:lvl w:ilvl="0" w:tplc="7DEA10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07C47"/>
    <w:multiLevelType w:val="hybridMultilevel"/>
    <w:tmpl w:val="DD3E204E"/>
    <w:lvl w:ilvl="0" w:tplc="091A76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EC65D8"/>
    <w:multiLevelType w:val="hybridMultilevel"/>
    <w:tmpl w:val="BCEAD06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4"/>
  </w:num>
  <w:num w:numId="6">
    <w:abstractNumId w:val="28"/>
  </w:num>
  <w:num w:numId="7">
    <w:abstractNumId w:val="23"/>
  </w:num>
  <w:num w:numId="8">
    <w:abstractNumId w:val="27"/>
  </w:num>
  <w:num w:numId="9">
    <w:abstractNumId w:val="33"/>
  </w:num>
  <w:num w:numId="10">
    <w:abstractNumId w:val="7"/>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5"/>
  </w:num>
  <w:num w:numId="17">
    <w:abstractNumId w:val="2"/>
    <w:lvlOverride w:ilvl="0">
      <w:startOverride w:val="1"/>
    </w:lvlOverride>
  </w:num>
  <w:num w:numId="18">
    <w:abstractNumId w:val="3"/>
  </w:num>
  <w:num w:numId="19">
    <w:abstractNumId w:val="3"/>
  </w:num>
  <w:num w:numId="20">
    <w:abstractNumId w:val="13"/>
  </w:num>
  <w:num w:numId="21">
    <w:abstractNumId w:val="32"/>
  </w:num>
  <w:num w:numId="22">
    <w:abstractNumId w:val="3"/>
  </w:num>
  <w:num w:numId="23">
    <w:abstractNumId w:val="3"/>
  </w:num>
  <w:num w:numId="24">
    <w:abstractNumId w:val="34"/>
  </w:num>
  <w:num w:numId="25">
    <w:abstractNumId w:val="19"/>
  </w:num>
  <w:num w:numId="26">
    <w:abstractNumId w:val="3"/>
  </w:num>
  <w:num w:numId="27">
    <w:abstractNumId w:val="3"/>
  </w:num>
  <w:num w:numId="28">
    <w:abstractNumId w:val="5"/>
  </w:num>
  <w:num w:numId="29">
    <w:abstractNumId w:val="3"/>
  </w:num>
  <w:num w:numId="30">
    <w:abstractNumId w:val="3"/>
  </w:num>
  <w:num w:numId="31">
    <w:abstractNumId w:val="12"/>
  </w:num>
  <w:num w:numId="32">
    <w:abstractNumId w:val="26"/>
  </w:num>
  <w:num w:numId="33">
    <w:abstractNumId w:val="3"/>
  </w:num>
  <w:num w:numId="34">
    <w:abstractNumId w:val="3"/>
  </w:num>
  <w:num w:numId="35">
    <w:abstractNumId w:val="3"/>
  </w:num>
  <w:num w:numId="36">
    <w:abstractNumId w:val="3"/>
  </w:num>
  <w:num w:numId="37">
    <w:abstractNumId w:val="17"/>
  </w:num>
  <w:num w:numId="38">
    <w:abstractNumId w:val="3"/>
  </w:num>
  <w:num w:numId="39">
    <w:abstractNumId w:val="3"/>
  </w:num>
  <w:num w:numId="40">
    <w:abstractNumId w:val="3"/>
  </w:num>
  <w:num w:numId="41">
    <w:abstractNumId w:val="35"/>
  </w:num>
  <w:num w:numId="42">
    <w:abstractNumId w:val="3"/>
  </w:num>
  <w:num w:numId="43">
    <w:abstractNumId w:val="3"/>
  </w:num>
  <w:num w:numId="44">
    <w:abstractNumId w:val="3"/>
  </w:num>
  <w:num w:numId="45">
    <w:abstractNumId w:val="18"/>
  </w:num>
  <w:num w:numId="46">
    <w:abstractNumId w:val="3"/>
  </w:num>
  <w:num w:numId="47">
    <w:abstractNumId w:val="3"/>
  </w:num>
  <w:num w:numId="48">
    <w:abstractNumId w:val="3"/>
  </w:num>
  <w:num w:numId="49">
    <w:abstractNumId w:val="3"/>
  </w:num>
  <w:num w:numId="50">
    <w:abstractNumId w:val="3"/>
  </w:num>
  <w:num w:numId="51">
    <w:abstractNumId w:val="2"/>
  </w:num>
  <w:num w:numId="52">
    <w:abstractNumId w:val="2"/>
  </w:num>
  <w:num w:numId="53">
    <w:abstractNumId w:val="20"/>
  </w:num>
  <w:num w:numId="54">
    <w:abstractNumId w:val="22"/>
  </w:num>
  <w:num w:numId="55">
    <w:abstractNumId w:val="8"/>
  </w:num>
  <w:num w:numId="56">
    <w:abstractNumId w:val="30"/>
  </w:num>
  <w:num w:numId="57">
    <w:abstractNumId w:val="6"/>
  </w:num>
  <w:num w:numId="58">
    <w:abstractNumId w:val="24"/>
  </w:num>
  <w:num w:numId="59">
    <w:abstractNumId w:val="16"/>
  </w:num>
  <w:num w:numId="60">
    <w:abstractNumId w:val="2"/>
  </w:num>
  <w:num w:numId="61">
    <w:abstractNumId w:val="2"/>
  </w:num>
  <w:num w:numId="62">
    <w:abstractNumId w:val="2"/>
  </w:num>
  <w:num w:numId="63">
    <w:abstractNumId w:val="10"/>
  </w:num>
  <w:num w:numId="64">
    <w:abstractNumId w:val="11"/>
  </w:num>
  <w:num w:numId="65">
    <w:abstractNumId w:val="37"/>
  </w:num>
  <w:num w:numId="66">
    <w:abstractNumId w:val="29"/>
  </w:num>
  <w:num w:numId="67">
    <w:abstractNumId w:val="9"/>
  </w:num>
  <w:num w:numId="68">
    <w:abstractNumId w:val="36"/>
  </w:num>
  <w:num w:numId="69">
    <w:abstractNumId w:val="25"/>
  </w:num>
  <w:num w:numId="70">
    <w:abstractNumId w:val="21"/>
  </w:num>
  <w:num w:numId="71">
    <w:abstractNumId w:val="31"/>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33"/>
    <w:rsid w:val="00007127"/>
    <w:rsid w:val="00010667"/>
    <w:rsid w:val="000129D5"/>
    <w:rsid w:val="00015AE7"/>
    <w:rsid w:val="00016E21"/>
    <w:rsid w:val="0001719C"/>
    <w:rsid w:val="0002224E"/>
    <w:rsid w:val="00023A36"/>
    <w:rsid w:val="000245E5"/>
    <w:rsid w:val="00026F91"/>
    <w:rsid w:val="00030465"/>
    <w:rsid w:val="00032621"/>
    <w:rsid w:val="00044390"/>
    <w:rsid w:val="00044A43"/>
    <w:rsid w:val="0004764C"/>
    <w:rsid w:val="0005011A"/>
    <w:rsid w:val="0005045A"/>
    <w:rsid w:val="00051B9E"/>
    <w:rsid w:val="00051C1E"/>
    <w:rsid w:val="000539F9"/>
    <w:rsid w:val="00054C27"/>
    <w:rsid w:val="00055EC3"/>
    <w:rsid w:val="000563CE"/>
    <w:rsid w:val="000659B6"/>
    <w:rsid w:val="00066626"/>
    <w:rsid w:val="0006686F"/>
    <w:rsid w:val="0006722A"/>
    <w:rsid w:val="000726B4"/>
    <w:rsid w:val="000732CF"/>
    <w:rsid w:val="00073AED"/>
    <w:rsid w:val="00075B96"/>
    <w:rsid w:val="000771CE"/>
    <w:rsid w:val="0008196A"/>
    <w:rsid w:val="00085FF6"/>
    <w:rsid w:val="000915ED"/>
    <w:rsid w:val="0009209D"/>
    <w:rsid w:val="0009463C"/>
    <w:rsid w:val="000969BD"/>
    <w:rsid w:val="000969BF"/>
    <w:rsid w:val="00097FC6"/>
    <w:rsid w:val="000A0C22"/>
    <w:rsid w:val="000A1400"/>
    <w:rsid w:val="000A15E6"/>
    <w:rsid w:val="000A3C40"/>
    <w:rsid w:val="000A3C43"/>
    <w:rsid w:val="000A4A51"/>
    <w:rsid w:val="000A5D2B"/>
    <w:rsid w:val="000B4664"/>
    <w:rsid w:val="000B5DE3"/>
    <w:rsid w:val="000C0A57"/>
    <w:rsid w:val="000C1996"/>
    <w:rsid w:val="000C230C"/>
    <w:rsid w:val="000C6AB4"/>
    <w:rsid w:val="000D197F"/>
    <w:rsid w:val="000D4DED"/>
    <w:rsid w:val="000D71D9"/>
    <w:rsid w:val="000D76E0"/>
    <w:rsid w:val="000D7E8B"/>
    <w:rsid w:val="000E4449"/>
    <w:rsid w:val="000E6097"/>
    <w:rsid w:val="000E60B4"/>
    <w:rsid w:val="000F1957"/>
    <w:rsid w:val="00103829"/>
    <w:rsid w:val="00111FCE"/>
    <w:rsid w:val="001137F9"/>
    <w:rsid w:val="001229A5"/>
    <w:rsid w:val="0012489B"/>
    <w:rsid w:val="00130017"/>
    <w:rsid w:val="00130F91"/>
    <w:rsid w:val="00131771"/>
    <w:rsid w:val="001349ED"/>
    <w:rsid w:val="001357BC"/>
    <w:rsid w:val="00135A76"/>
    <w:rsid w:val="0013708C"/>
    <w:rsid w:val="00137424"/>
    <w:rsid w:val="00140318"/>
    <w:rsid w:val="00141AD9"/>
    <w:rsid w:val="00145AF5"/>
    <w:rsid w:val="00146CE6"/>
    <w:rsid w:val="00147819"/>
    <w:rsid w:val="001517CC"/>
    <w:rsid w:val="00152903"/>
    <w:rsid w:val="00153FD5"/>
    <w:rsid w:val="0015614F"/>
    <w:rsid w:val="001574B2"/>
    <w:rsid w:val="001577C2"/>
    <w:rsid w:val="001633C4"/>
    <w:rsid w:val="00166B9F"/>
    <w:rsid w:val="0016758D"/>
    <w:rsid w:val="001704D5"/>
    <w:rsid w:val="00171591"/>
    <w:rsid w:val="00173981"/>
    <w:rsid w:val="0017719D"/>
    <w:rsid w:val="00183FD7"/>
    <w:rsid w:val="00185BBF"/>
    <w:rsid w:val="00185CAB"/>
    <w:rsid w:val="00186F2C"/>
    <w:rsid w:val="001875B7"/>
    <w:rsid w:val="00187CB3"/>
    <w:rsid w:val="0019050A"/>
    <w:rsid w:val="001910D4"/>
    <w:rsid w:val="001976E3"/>
    <w:rsid w:val="001A420C"/>
    <w:rsid w:val="001A44EC"/>
    <w:rsid w:val="001A5350"/>
    <w:rsid w:val="001B2F3D"/>
    <w:rsid w:val="001B58AA"/>
    <w:rsid w:val="001B7E48"/>
    <w:rsid w:val="001C145E"/>
    <w:rsid w:val="001C17CE"/>
    <w:rsid w:val="001C1968"/>
    <w:rsid w:val="001C36CA"/>
    <w:rsid w:val="001C44D1"/>
    <w:rsid w:val="001C6AEE"/>
    <w:rsid w:val="001C7630"/>
    <w:rsid w:val="001D6D15"/>
    <w:rsid w:val="001F15A6"/>
    <w:rsid w:val="001F50F7"/>
    <w:rsid w:val="001F70A0"/>
    <w:rsid w:val="001F7435"/>
    <w:rsid w:val="001F7558"/>
    <w:rsid w:val="00201EE2"/>
    <w:rsid w:val="00202E98"/>
    <w:rsid w:val="00205B57"/>
    <w:rsid w:val="00211E5E"/>
    <w:rsid w:val="002129F3"/>
    <w:rsid w:val="0021426C"/>
    <w:rsid w:val="002157E0"/>
    <w:rsid w:val="00216A57"/>
    <w:rsid w:val="00217448"/>
    <w:rsid w:val="00221313"/>
    <w:rsid w:val="0022334F"/>
    <w:rsid w:val="00226819"/>
    <w:rsid w:val="0022681E"/>
    <w:rsid w:val="00226E29"/>
    <w:rsid w:val="002310CF"/>
    <w:rsid w:val="00233101"/>
    <w:rsid w:val="00233817"/>
    <w:rsid w:val="0023539A"/>
    <w:rsid w:val="00235B61"/>
    <w:rsid w:val="002367FF"/>
    <w:rsid w:val="00240CE9"/>
    <w:rsid w:val="002434BA"/>
    <w:rsid w:val="0024429D"/>
    <w:rsid w:val="00246089"/>
    <w:rsid w:val="00246093"/>
    <w:rsid w:val="00246702"/>
    <w:rsid w:val="00247C59"/>
    <w:rsid w:val="00247F2E"/>
    <w:rsid w:val="0025007C"/>
    <w:rsid w:val="00250645"/>
    <w:rsid w:val="00250ADC"/>
    <w:rsid w:val="00250B07"/>
    <w:rsid w:val="00253BFE"/>
    <w:rsid w:val="00257403"/>
    <w:rsid w:val="00257553"/>
    <w:rsid w:val="00260D06"/>
    <w:rsid w:val="00260FB2"/>
    <w:rsid w:val="0026196C"/>
    <w:rsid w:val="00262128"/>
    <w:rsid w:val="002638E4"/>
    <w:rsid w:val="0027165D"/>
    <w:rsid w:val="00273CEB"/>
    <w:rsid w:val="002806B1"/>
    <w:rsid w:val="00281C89"/>
    <w:rsid w:val="0028282F"/>
    <w:rsid w:val="0029593B"/>
    <w:rsid w:val="00296C81"/>
    <w:rsid w:val="00297FC5"/>
    <w:rsid w:val="002A0417"/>
    <w:rsid w:val="002A16D8"/>
    <w:rsid w:val="002A1BC8"/>
    <w:rsid w:val="002A3EF2"/>
    <w:rsid w:val="002A6610"/>
    <w:rsid w:val="002A6E47"/>
    <w:rsid w:val="002B0DED"/>
    <w:rsid w:val="002B19A2"/>
    <w:rsid w:val="002B381A"/>
    <w:rsid w:val="002B4FCC"/>
    <w:rsid w:val="002B7408"/>
    <w:rsid w:val="002B7CFD"/>
    <w:rsid w:val="002C0530"/>
    <w:rsid w:val="002C210F"/>
    <w:rsid w:val="002D1F43"/>
    <w:rsid w:val="002D3600"/>
    <w:rsid w:val="002D3C86"/>
    <w:rsid w:val="002E083B"/>
    <w:rsid w:val="002E4DDC"/>
    <w:rsid w:val="002F3E12"/>
    <w:rsid w:val="002F5DBA"/>
    <w:rsid w:val="00300D6A"/>
    <w:rsid w:val="00302480"/>
    <w:rsid w:val="00302758"/>
    <w:rsid w:val="00303F32"/>
    <w:rsid w:val="00306402"/>
    <w:rsid w:val="003165E6"/>
    <w:rsid w:val="003215B5"/>
    <w:rsid w:val="003221CF"/>
    <w:rsid w:val="003233ED"/>
    <w:rsid w:val="00324D9F"/>
    <w:rsid w:val="003250C7"/>
    <w:rsid w:val="003253EE"/>
    <w:rsid w:val="00327948"/>
    <w:rsid w:val="0033000F"/>
    <w:rsid w:val="00330137"/>
    <w:rsid w:val="00331AD7"/>
    <w:rsid w:val="00332011"/>
    <w:rsid w:val="00332518"/>
    <w:rsid w:val="00332925"/>
    <w:rsid w:val="00332E3F"/>
    <w:rsid w:val="003332ED"/>
    <w:rsid w:val="003368DC"/>
    <w:rsid w:val="0034490B"/>
    <w:rsid w:val="00345927"/>
    <w:rsid w:val="0034748D"/>
    <w:rsid w:val="00350584"/>
    <w:rsid w:val="00351857"/>
    <w:rsid w:val="00351A45"/>
    <w:rsid w:val="00351AE0"/>
    <w:rsid w:val="003545E8"/>
    <w:rsid w:val="003607E5"/>
    <w:rsid w:val="003610E1"/>
    <w:rsid w:val="00364080"/>
    <w:rsid w:val="0036502E"/>
    <w:rsid w:val="003671BE"/>
    <w:rsid w:val="00372485"/>
    <w:rsid w:val="00373200"/>
    <w:rsid w:val="00373890"/>
    <w:rsid w:val="003741B1"/>
    <w:rsid w:val="00375EF5"/>
    <w:rsid w:val="003767A5"/>
    <w:rsid w:val="003803BD"/>
    <w:rsid w:val="00381D15"/>
    <w:rsid w:val="00381EBD"/>
    <w:rsid w:val="00385254"/>
    <w:rsid w:val="00386615"/>
    <w:rsid w:val="00390D91"/>
    <w:rsid w:val="003933E8"/>
    <w:rsid w:val="00394031"/>
    <w:rsid w:val="00396DC2"/>
    <w:rsid w:val="003A04DB"/>
    <w:rsid w:val="003A3473"/>
    <w:rsid w:val="003A5F5B"/>
    <w:rsid w:val="003A789A"/>
    <w:rsid w:val="003B12EC"/>
    <w:rsid w:val="003B1624"/>
    <w:rsid w:val="003B3E54"/>
    <w:rsid w:val="003C03B8"/>
    <w:rsid w:val="003C4620"/>
    <w:rsid w:val="003C76E7"/>
    <w:rsid w:val="003C77E0"/>
    <w:rsid w:val="003D0F1C"/>
    <w:rsid w:val="003D17D7"/>
    <w:rsid w:val="003D2678"/>
    <w:rsid w:val="003D6610"/>
    <w:rsid w:val="003D71A3"/>
    <w:rsid w:val="003E2B8A"/>
    <w:rsid w:val="003E4191"/>
    <w:rsid w:val="003F10EE"/>
    <w:rsid w:val="003F16F6"/>
    <w:rsid w:val="003F173C"/>
    <w:rsid w:val="003F4DC7"/>
    <w:rsid w:val="003F5235"/>
    <w:rsid w:val="004027E4"/>
    <w:rsid w:val="004074F8"/>
    <w:rsid w:val="0041071D"/>
    <w:rsid w:val="00412CA8"/>
    <w:rsid w:val="004136FF"/>
    <w:rsid w:val="00414AFC"/>
    <w:rsid w:val="004151A7"/>
    <w:rsid w:val="00415310"/>
    <w:rsid w:val="00421709"/>
    <w:rsid w:val="00423763"/>
    <w:rsid w:val="0042762F"/>
    <w:rsid w:val="00427DC7"/>
    <w:rsid w:val="004304F4"/>
    <w:rsid w:val="00431613"/>
    <w:rsid w:val="00431792"/>
    <w:rsid w:val="0043297A"/>
    <w:rsid w:val="00432EB2"/>
    <w:rsid w:val="0043714F"/>
    <w:rsid w:val="004438B5"/>
    <w:rsid w:val="004445C3"/>
    <w:rsid w:val="004445DE"/>
    <w:rsid w:val="004446FA"/>
    <w:rsid w:val="00444D89"/>
    <w:rsid w:val="0044517F"/>
    <w:rsid w:val="00445C0B"/>
    <w:rsid w:val="00446822"/>
    <w:rsid w:val="00447037"/>
    <w:rsid w:val="00447549"/>
    <w:rsid w:val="0045124D"/>
    <w:rsid w:val="00454596"/>
    <w:rsid w:val="00455543"/>
    <w:rsid w:val="0045605D"/>
    <w:rsid w:val="00460576"/>
    <w:rsid w:val="0046135B"/>
    <w:rsid w:val="00461D47"/>
    <w:rsid w:val="00463FCA"/>
    <w:rsid w:val="004718CC"/>
    <w:rsid w:val="00481695"/>
    <w:rsid w:val="00486FF6"/>
    <w:rsid w:val="00495A96"/>
    <w:rsid w:val="00495BB3"/>
    <w:rsid w:val="004A1719"/>
    <w:rsid w:val="004A56BB"/>
    <w:rsid w:val="004A610C"/>
    <w:rsid w:val="004A70D6"/>
    <w:rsid w:val="004B1751"/>
    <w:rsid w:val="004C0253"/>
    <w:rsid w:val="004D1770"/>
    <w:rsid w:val="004D3CE6"/>
    <w:rsid w:val="004D4BE9"/>
    <w:rsid w:val="004D56FF"/>
    <w:rsid w:val="004E2544"/>
    <w:rsid w:val="004E39D3"/>
    <w:rsid w:val="004E508A"/>
    <w:rsid w:val="004E616D"/>
    <w:rsid w:val="004F1BDE"/>
    <w:rsid w:val="004F2CEE"/>
    <w:rsid w:val="004F556E"/>
    <w:rsid w:val="004F591C"/>
    <w:rsid w:val="004F7F44"/>
    <w:rsid w:val="005026C4"/>
    <w:rsid w:val="005037B4"/>
    <w:rsid w:val="005079BF"/>
    <w:rsid w:val="0051269A"/>
    <w:rsid w:val="005219E7"/>
    <w:rsid w:val="00531B9A"/>
    <w:rsid w:val="00531D15"/>
    <w:rsid w:val="00537604"/>
    <w:rsid w:val="00542377"/>
    <w:rsid w:val="005476EB"/>
    <w:rsid w:val="005514F3"/>
    <w:rsid w:val="00551782"/>
    <w:rsid w:val="00552A43"/>
    <w:rsid w:val="00563EF1"/>
    <w:rsid w:val="00564649"/>
    <w:rsid w:val="005652E8"/>
    <w:rsid w:val="005659DF"/>
    <w:rsid w:val="00566AB4"/>
    <w:rsid w:val="00571177"/>
    <w:rsid w:val="00573812"/>
    <w:rsid w:val="005758C5"/>
    <w:rsid w:val="00575AC5"/>
    <w:rsid w:val="0057605D"/>
    <w:rsid w:val="00581347"/>
    <w:rsid w:val="00581AC9"/>
    <w:rsid w:val="005831DB"/>
    <w:rsid w:val="00583305"/>
    <w:rsid w:val="005849F8"/>
    <w:rsid w:val="00584B51"/>
    <w:rsid w:val="005920C1"/>
    <w:rsid w:val="005938DF"/>
    <w:rsid w:val="00594E9C"/>
    <w:rsid w:val="005A099B"/>
    <w:rsid w:val="005A2D9C"/>
    <w:rsid w:val="005A55FE"/>
    <w:rsid w:val="005A6A11"/>
    <w:rsid w:val="005B082E"/>
    <w:rsid w:val="005B151B"/>
    <w:rsid w:val="005B2F0D"/>
    <w:rsid w:val="005B4AED"/>
    <w:rsid w:val="005B7891"/>
    <w:rsid w:val="005C1830"/>
    <w:rsid w:val="005C34EF"/>
    <w:rsid w:val="005D2502"/>
    <w:rsid w:val="005D40BB"/>
    <w:rsid w:val="005D47F3"/>
    <w:rsid w:val="005D4988"/>
    <w:rsid w:val="005D49BF"/>
    <w:rsid w:val="005D4AA5"/>
    <w:rsid w:val="005D6EFC"/>
    <w:rsid w:val="005D6F4E"/>
    <w:rsid w:val="005D7C73"/>
    <w:rsid w:val="005E1D33"/>
    <w:rsid w:val="005E250B"/>
    <w:rsid w:val="005E3ACD"/>
    <w:rsid w:val="005E5D11"/>
    <w:rsid w:val="005E7226"/>
    <w:rsid w:val="005E7A57"/>
    <w:rsid w:val="005F24B0"/>
    <w:rsid w:val="005F35AC"/>
    <w:rsid w:val="00604315"/>
    <w:rsid w:val="00604E26"/>
    <w:rsid w:val="0060523F"/>
    <w:rsid w:val="006052CF"/>
    <w:rsid w:val="00607B8D"/>
    <w:rsid w:val="00611F5C"/>
    <w:rsid w:val="0061389D"/>
    <w:rsid w:val="00615554"/>
    <w:rsid w:val="00615694"/>
    <w:rsid w:val="00616E09"/>
    <w:rsid w:val="00622A3B"/>
    <w:rsid w:val="00622EEA"/>
    <w:rsid w:val="0062396C"/>
    <w:rsid w:val="00623FF9"/>
    <w:rsid w:val="0062437D"/>
    <w:rsid w:val="00627D4E"/>
    <w:rsid w:val="006324AC"/>
    <w:rsid w:val="00632B89"/>
    <w:rsid w:val="0063346D"/>
    <w:rsid w:val="00634478"/>
    <w:rsid w:val="006358BA"/>
    <w:rsid w:val="00644373"/>
    <w:rsid w:val="00645915"/>
    <w:rsid w:val="00646CC4"/>
    <w:rsid w:val="00650E40"/>
    <w:rsid w:val="006519C3"/>
    <w:rsid w:val="00652B30"/>
    <w:rsid w:val="00656345"/>
    <w:rsid w:val="00656DC6"/>
    <w:rsid w:val="00660EC6"/>
    <w:rsid w:val="00660F10"/>
    <w:rsid w:val="00664110"/>
    <w:rsid w:val="00664D17"/>
    <w:rsid w:val="006656F5"/>
    <w:rsid w:val="00666520"/>
    <w:rsid w:val="00667C5B"/>
    <w:rsid w:val="00674606"/>
    <w:rsid w:val="006774C3"/>
    <w:rsid w:val="00684F52"/>
    <w:rsid w:val="00691EB8"/>
    <w:rsid w:val="00692CDE"/>
    <w:rsid w:val="00692E57"/>
    <w:rsid w:val="00693073"/>
    <w:rsid w:val="006977FF"/>
    <w:rsid w:val="006A01FA"/>
    <w:rsid w:val="006A0E9E"/>
    <w:rsid w:val="006A14A1"/>
    <w:rsid w:val="006A1F0F"/>
    <w:rsid w:val="006A25C7"/>
    <w:rsid w:val="006A3432"/>
    <w:rsid w:val="006A3ECF"/>
    <w:rsid w:val="006A4AAD"/>
    <w:rsid w:val="006A4CCA"/>
    <w:rsid w:val="006A6DA2"/>
    <w:rsid w:val="006A7AB2"/>
    <w:rsid w:val="006B0765"/>
    <w:rsid w:val="006B0912"/>
    <w:rsid w:val="006B52DE"/>
    <w:rsid w:val="006B5717"/>
    <w:rsid w:val="006B582F"/>
    <w:rsid w:val="006B5EB2"/>
    <w:rsid w:val="006C0CEB"/>
    <w:rsid w:val="006C1631"/>
    <w:rsid w:val="006C3B1E"/>
    <w:rsid w:val="006C47FD"/>
    <w:rsid w:val="006C5666"/>
    <w:rsid w:val="006C5B4B"/>
    <w:rsid w:val="006C5C19"/>
    <w:rsid w:val="006C5FD4"/>
    <w:rsid w:val="006C70A0"/>
    <w:rsid w:val="006D1E0D"/>
    <w:rsid w:val="006D27CB"/>
    <w:rsid w:val="006D2F08"/>
    <w:rsid w:val="006D576C"/>
    <w:rsid w:val="006D5865"/>
    <w:rsid w:val="006E4B1B"/>
    <w:rsid w:val="006E4F15"/>
    <w:rsid w:val="006E5445"/>
    <w:rsid w:val="006E7A6B"/>
    <w:rsid w:val="006E7D93"/>
    <w:rsid w:val="006F1D7C"/>
    <w:rsid w:val="006F326F"/>
    <w:rsid w:val="0070133D"/>
    <w:rsid w:val="007029A3"/>
    <w:rsid w:val="00706E4E"/>
    <w:rsid w:val="0070791C"/>
    <w:rsid w:val="0071383C"/>
    <w:rsid w:val="007141A7"/>
    <w:rsid w:val="007145A4"/>
    <w:rsid w:val="00715722"/>
    <w:rsid w:val="00715BAF"/>
    <w:rsid w:val="00721032"/>
    <w:rsid w:val="00721B55"/>
    <w:rsid w:val="00722547"/>
    <w:rsid w:val="00726742"/>
    <w:rsid w:val="00726CE4"/>
    <w:rsid w:val="00733868"/>
    <w:rsid w:val="00734143"/>
    <w:rsid w:val="00737471"/>
    <w:rsid w:val="00737E47"/>
    <w:rsid w:val="00740EAC"/>
    <w:rsid w:val="00742893"/>
    <w:rsid w:val="00744956"/>
    <w:rsid w:val="00745A5C"/>
    <w:rsid w:val="00745FE8"/>
    <w:rsid w:val="0074605F"/>
    <w:rsid w:val="00746A87"/>
    <w:rsid w:val="00747E94"/>
    <w:rsid w:val="00753228"/>
    <w:rsid w:val="00754C83"/>
    <w:rsid w:val="00760824"/>
    <w:rsid w:val="00761E5C"/>
    <w:rsid w:val="00763901"/>
    <w:rsid w:val="00765DF8"/>
    <w:rsid w:val="00766749"/>
    <w:rsid w:val="00767C1B"/>
    <w:rsid w:val="00770B3F"/>
    <w:rsid w:val="007714A9"/>
    <w:rsid w:val="007719DB"/>
    <w:rsid w:val="0077216B"/>
    <w:rsid w:val="00772D63"/>
    <w:rsid w:val="00774F88"/>
    <w:rsid w:val="00774FDB"/>
    <w:rsid w:val="00777BA2"/>
    <w:rsid w:val="00781408"/>
    <w:rsid w:val="00784F7F"/>
    <w:rsid w:val="007878BD"/>
    <w:rsid w:val="00796F25"/>
    <w:rsid w:val="007A0CB3"/>
    <w:rsid w:val="007A2E98"/>
    <w:rsid w:val="007A3BA3"/>
    <w:rsid w:val="007A6CC0"/>
    <w:rsid w:val="007A7FEC"/>
    <w:rsid w:val="007B1499"/>
    <w:rsid w:val="007B1BBF"/>
    <w:rsid w:val="007B2490"/>
    <w:rsid w:val="007B2960"/>
    <w:rsid w:val="007B355D"/>
    <w:rsid w:val="007B5D9E"/>
    <w:rsid w:val="007B7980"/>
    <w:rsid w:val="007C0DEF"/>
    <w:rsid w:val="007C41E5"/>
    <w:rsid w:val="007C5052"/>
    <w:rsid w:val="007C5D5A"/>
    <w:rsid w:val="007C607F"/>
    <w:rsid w:val="007C6DDA"/>
    <w:rsid w:val="007C79DD"/>
    <w:rsid w:val="007C7F35"/>
    <w:rsid w:val="007D1A97"/>
    <w:rsid w:val="007D2966"/>
    <w:rsid w:val="007D2CD6"/>
    <w:rsid w:val="007D3063"/>
    <w:rsid w:val="007D3CEB"/>
    <w:rsid w:val="007D7A4A"/>
    <w:rsid w:val="007D7BC5"/>
    <w:rsid w:val="007E7683"/>
    <w:rsid w:val="007F1740"/>
    <w:rsid w:val="007F49FA"/>
    <w:rsid w:val="007F54C4"/>
    <w:rsid w:val="007F5547"/>
    <w:rsid w:val="007F6C29"/>
    <w:rsid w:val="007F6E9A"/>
    <w:rsid w:val="00800CCD"/>
    <w:rsid w:val="00801CD3"/>
    <w:rsid w:val="00801FEB"/>
    <w:rsid w:val="008044D4"/>
    <w:rsid w:val="00810AB4"/>
    <w:rsid w:val="00814BA5"/>
    <w:rsid w:val="00817B56"/>
    <w:rsid w:val="00821A88"/>
    <w:rsid w:val="00823155"/>
    <w:rsid w:val="0082322E"/>
    <w:rsid w:val="0082495D"/>
    <w:rsid w:val="00831AC3"/>
    <w:rsid w:val="00833A1F"/>
    <w:rsid w:val="00836FCE"/>
    <w:rsid w:val="008408FF"/>
    <w:rsid w:val="00851F3F"/>
    <w:rsid w:val="008520A8"/>
    <w:rsid w:val="0085231E"/>
    <w:rsid w:val="00853D97"/>
    <w:rsid w:val="00856EDC"/>
    <w:rsid w:val="00857830"/>
    <w:rsid w:val="00857C56"/>
    <w:rsid w:val="00860299"/>
    <w:rsid w:val="008619CC"/>
    <w:rsid w:val="008623B5"/>
    <w:rsid w:val="00863B33"/>
    <w:rsid w:val="0086545D"/>
    <w:rsid w:val="00870ABA"/>
    <w:rsid w:val="008710E1"/>
    <w:rsid w:val="008716E5"/>
    <w:rsid w:val="00872C9D"/>
    <w:rsid w:val="008749E7"/>
    <w:rsid w:val="008752E4"/>
    <w:rsid w:val="00875D51"/>
    <w:rsid w:val="008763FC"/>
    <w:rsid w:val="00881CA9"/>
    <w:rsid w:val="00883628"/>
    <w:rsid w:val="00883FF2"/>
    <w:rsid w:val="00885544"/>
    <w:rsid w:val="0088634E"/>
    <w:rsid w:val="00893AB8"/>
    <w:rsid w:val="008A04C8"/>
    <w:rsid w:val="008A132E"/>
    <w:rsid w:val="008A1E92"/>
    <w:rsid w:val="008A4066"/>
    <w:rsid w:val="008A6913"/>
    <w:rsid w:val="008B5049"/>
    <w:rsid w:val="008B618C"/>
    <w:rsid w:val="008B70F3"/>
    <w:rsid w:val="008B71C4"/>
    <w:rsid w:val="008B76DF"/>
    <w:rsid w:val="008C10F4"/>
    <w:rsid w:val="008C65F7"/>
    <w:rsid w:val="008E0428"/>
    <w:rsid w:val="008E4767"/>
    <w:rsid w:val="008E7A8C"/>
    <w:rsid w:val="008F3753"/>
    <w:rsid w:val="0090203B"/>
    <w:rsid w:val="00902955"/>
    <w:rsid w:val="00903285"/>
    <w:rsid w:val="0090350B"/>
    <w:rsid w:val="00903AB1"/>
    <w:rsid w:val="009052C0"/>
    <w:rsid w:val="00906F40"/>
    <w:rsid w:val="0090731E"/>
    <w:rsid w:val="0091439D"/>
    <w:rsid w:val="00915B1C"/>
    <w:rsid w:val="00915E28"/>
    <w:rsid w:val="009174F3"/>
    <w:rsid w:val="0091797D"/>
    <w:rsid w:val="009217A6"/>
    <w:rsid w:val="00923CBA"/>
    <w:rsid w:val="00925D91"/>
    <w:rsid w:val="00926703"/>
    <w:rsid w:val="009269BD"/>
    <w:rsid w:val="00927691"/>
    <w:rsid w:val="00927A5F"/>
    <w:rsid w:val="00930510"/>
    <w:rsid w:val="00935B63"/>
    <w:rsid w:val="00936E95"/>
    <w:rsid w:val="00937906"/>
    <w:rsid w:val="0094078F"/>
    <w:rsid w:val="00940CAC"/>
    <w:rsid w:val="00940FA3"/>
    <w:rsid w:val="00941FB0"/>
    <w:rsid w:val="009426D4"/>
    <w:rsid w:val="00942BE5"/>
    <w:rsid w:val="00947F25"/>
    <w:rsid w:val="00950159"/>
    <w:rsid w:val="0095490B"/>
    <w:rsid w:val="00960916"/>
    <w:rsid w:val="00960A33"/>
    <w:rsid w:val="00970DF8"/>
    <w:rsid w:val="00971914"/>
    <w:rsid w:val="00974363"/>
    <w:rsid w:val="00974895"/>
    <w:rsid w:val="00980462"/>
    <w:rsid w:val="00980DBF"/>
    <w:rsid w:val="00981898"/>
    <w:rsid w:val="0098650E"/>
    <w:rsid w:val="0099577C"/>
    <w:rsid w:val="009977FD"/>
    <w:rsid w:val="009A021C"/>
    <w:rsid w:val="009A25CC"/>
    <w:rsid w:val="009A3FB2"/>
    <w:rsid w:val="009B24A5"/>
    <w:rsid w:val="009B2601"/>
    <w:rsid w:val="009B38B2"/>
    <w:rsid w:val="009B4E9E"/>
    <w:rsid w:val="009C1690"/>
    <w:rsid w:val="009C20D5"/>
    <w:rsid w:val="009C6881"/>
    <w:rsid w:val="009C7759"/>
    <w:rsid w:val="009D043D"/>
    <w:rsid w:val="009D07C8"/>
    <w:rsid w:val="009D4C85"/>
    <w:rsid w:val="009D6C71"/>
    <w:rsid w:val="009E0631"/>
    <w:rsid w:val="009E16D0"/>
    <w:rsid w:val="009E2051"/>
    <w:rsid w:val="009E38FD"/>
    <w:rsid w:val="009E4BBF"/>
    <w:rsid w:val="009F13D6"/>
    <w:rsid w:val="009F25E6"/>
    <w:rsid w:val="009F4C6B"/>
    <w:rsid w:val="009F78A8"/>
    <w:rsid w:val="00A017E0"/>
    <w:rsid w:val="00A02AD6"/>
    <w:rsid w:val="00A07096"/>
    <w:rsid w:val="00A07318"/>
    <w:rsid w:val="00A07386"/>
    <w:rsid w:val="00A11370"/>
    <w:rsid w:val="00A1183E"/>
    <w:rsid w:val="00A21378"/>
    <w:rsid w:val="00A224CE"/>
    <w:rsid w:val="00A22522"/>
    <w:rsid w:val="00A233ED"/>
    <w:rsid w:val="00A23AEF"/>
    <w:rsid w:val="00A24AFD"/>
    <w:rsid w:val="00A24C8D"/>
    <w:rsid w:val="00A24F5C"/>
    <w:rsid w:val="00A25005"/>
    <w:rsid w:val="00A253F0"/>
    <w:rsid w:val="00A25A5A"/>
    <w:rsid w:val="00A32F96"/>
    <w:rsid w:val="00A33177"/>
    <w:rsid w:val="00A36292"/>
    <w:rsid w:val="00A36B6E"/>
    <w:rsid w:val="00A40871"/>
    <w:rsid w:val="00A412AB"/>
    <w:rsid w:val="00A4193E"/>
    <w:rsid w:val="00A41D33"/>
    <w:rsid w:val="00A440E0"/>
    <w:rsid w:val="00A442EF"/>
    <w:rsid w:val="00A44609"/>
    <w:rsid w:val="00A45DA3"/>
    <w:rsid w:val="00A47040"/>
    <w:rsid w:val="00A51B43"/>
    <w:rsid w:val="00A51D1A"/>
    <w:rsid w:val="00A5418D"/>
    <w:rsid w:val="00A5474E"/>
    <w:rsid w:val="00A64234"/>
    <w:rsid w:val="00A70ADF"/>
    <w:rsid w:val="00A71466"/>
    <w:rsid w:val="00A721F5"/>
    <w:rsid w:val="00A74B5E"/>
    <w:rsid w:val="00A813C5"/>
    <w:rsid w:val="00A81BED"/>
    <w:rsid w:val="00A81EC4"/>
    <w:rsid w:val="00A824E8"/>
    <w:rsid w:val="00A82661"/>
    <w:rsid w:val="00A83B37"/>
    <w:rsid w:val="00A85C35"/>
    <w:rsid w:val="00A93BFC"/>
    <w:rsid w:val="00A967FD"/>
    <w:rsid w:val="00AA19C4"/>
    <w:rsid w:val="00AA2DE5"/>
    <w:rsid w:val="00AA589E"/>
    <w:rsid w:val="00AB156C"/>
    <w:rsid w:val="00AB42C6"/>
    <w:rsid w:val="00AB6814"/>
    <w:rsid w:val="00AC04BA"/>
    <w:rsid w:val="00AC0E39"/>
    <w:rsid w:val="00AC70E7"/>
    <w:rsid w:val="00AD1BC1"/>
    <w:rsid w:val="00AD3082"/>
    <w:rsid w:val="00AD32B4"/>
    <w:rsid w:val="00AD4AD0"/>
    <w:rsid w:val="00AD5090"/>
    <w:rsid w:val="00AD5436"/>
    <w:rsid w:val="00AD60CD"/>
    <w:rsid w:val="00AD6C8C"/>
    <w:rsid w:val="00AE091D"/>
    <w:rsid w:val="00AE3B60"/>
    <w:rsid w:val="00AE53A1"/>
    <w:rsid w:val="00AF0E61"/>
    <w:rsid w:val="00AF1B74"/>
    <w:rsid w:val="00AF2484"/>
    <w:rsid w:val="00AF63E7"/>
    <w:rsid w:val="00AF64D3"/>
    <w:rsid w:val="00AF6E17"/>
    <w:rsid w:val="00B0165D"/>
    <w:rsid w:val="00B01B60"/>
    <w:rsid w:val="00B031F3"/>
    <w:rsid w:val="00B052A4"/>
    <w:rsid w:val="00B06EB4"/>
    <w:rsid w:val="00B125DE"/>
    <w:rsid w:val="00B13FDD"/>
    <w:rsid w:val="00B21D84"/>
    <w:rsid w:val="00B227C0"/>
    <w:rsid w:val="00B22EB2"/>
    <w:rsid w:val="00B24787"/>
    <w:rsid w:val="00B2486C"/>
    <w:rsid w:val="00B27442"/>
    <w:rsid w:val="00B31167"/>
    <w:rsid w:val="00B329D8"/>
    <w:rsid w:val="00B32BB9"/>
    <w:rsid w:val="00B33AE1"/>
    <w:rsid w:val="00B37C38"/>
    <w:rsid w:val="00B4094E"/>
    <w:rsid w:val="00B4288C"/>
    <w:rsid w:val="00B42EFE"/>
    <w:rsid w:val="00B43262"/>
    <w:rsid w:val="00B44100"/>
    <w:rsid w:val="00B46CBA"/>
    <w:rsid w:val="00B46F94"/>
    <w:rsid w:val="00B572DA"/>
    <w:rsid w:val="00B579EB"/>
    <w:rsid w:val="00B6003C"/>
    <w:rsid w:val="00B614F8"/>
    <w:rsid w:val="00B61F03"/>
    <w:rsid w:val="00B626E4"/>
    <w:rsid w:val="00B72F4A"/>
    <w:rsid w:val="00B73AC9"/>
    <w:rsid w:val="00B83C27"/>
    <w:rsid w:val="00B84BC3"/>
    <w:rsid w:val="00B84BDD"/>
    <w:rsid w:val="00B92812"/>
    <w:rsid w:val="00BA66BC"/>
    <w:rsid w:val="00BB015C"/>
    <w:rsid w:val="00BB34E6"/>
    <w:rsid w:val="00BB45A1"/>
    <w:rsid w:val="00BB6335"/>
    <w:rsid w:val="00BB7686"/>
    <w:rsid w:val="00BB7802"/>
    <w:rsid w:val="00BC23F9"/>
    <w:rsid w:val="00BC3421"/>
    <w:rsid w:val="00BC732C"/>
    <w:rsid w:val="00BD4421"/>
    <w:rsid w:val="00BD566C"/>
    <w:rsid w:val="00BD6836"/>
    <w:rsid w:val="00BE2580"/>
    <w:rsid w:val="00BE266D"/>
    <w:rsid w:val="00BE3938"/>
    <w:rsid w:val="00BE4C11"/>
    <w:rsid w:val="00BE71C0"/>
    <w:rsid w:val="00BF0A48"/>
    <w:rsid w:val="00BF386E"/>
    <w:rsid w:val="00BF39DF"/>
    <w:rsid w:val="00BF42B5"/>
    <w:rsid w:val="00BF4D49"/>
    <w:rsid w:val="00BF5574"/>
    <w:rsid w:val="00BF610C"/>
    <w:rsid w:val="00C0060B"/>
    <w:rsid w:val="00C01A6C"/>
    <w:rsid w:val="00C0277D"/>
    <w:rsid w:val="00C02F26"/>
    <w:rsid w:val="00C04D0E"/>
    <w:rsid w:val="00C053A1"/>
    <w:rsid w:val="00C16198"/>
    <w:rsid w:val="00C16D89"/>
    <w:rsid w:val="00C2083D"/>
    <w:rsid w:val="00C24466"/>
    <w:rsid w:val="00C24A53"/>
    <w:rsid w:val="00C326BC"/>
    <w:rsid w:val="00C32F06"/>
    <w:rsid w:val="00C34A05"/>
    <w:rsid w:val="00C35CCE"/>
    <w:rsid w:val="00C37A86"/>
    <w:rsid w:val="00C4032F"/>
    <w:rsid w:val="00C41F21"/>
    <w:rsid w:val="00C44047"/>
    <w:rsid w:val="00C45155"/>
    <w:rsid w:val="00C5498F"/>
    <w:rsid w:val="00C55235"/>
    <w:rsid w:val="00C6187E"/>
    <w:rsid w:val="00C62652"/>
    <w:rsid w:val="00C64CD0"/>
    <w:rsid w:val="00C65F61"/>
    <w:rsid w:val="00C6684F"/>
    <w:rsid w:val="00C70166"/>
    <w:rsid w:val="00C70E70"/>
    <w:rsid w:val="00C75F8D"/>
    <w:rsid w:val="00C77380"/>
    <w:rsid w:val="00C87E8A"/>
    <w:rsid w:val="00C913D6"/>
    <w:rsid w:val="00C9461D"/>
    <w:rsid w:val="00C97244"/>
    <w:rsid w:val="00C974D2"/>
    <w:rsid w:val="00C97736"/>
    <w:rsid w:val="00CA345A"/>
    <w:rsid w:val="00CA358A"/>
    <w:rsid w:val="00CB1E82"/>
    <w:rsid w:val="00CB4BA8"/>
    <w:rsid w:val="00CB52D7"/>
    <w:rsid w:val="00CC1A1B"/>
    <w:rsid w:val="00CC6732"/>
    <w:rsid w:val="00CD666D"/>
    <w:rsid w:val="00CD6ACF"/>
    <w:rsid w:val="00CE083A"/>
    <w:rsid w:val="00CE3C96"/>
    <w:rsid w:val="00CE51A8"/>
    <w:rsid w:val="00CF0BFE"/>
    <w:rsid w:val="00CF369B"/>
    <w:rsid w:val="00CF3B54"/>
    <w:rsid w:val="00CF4D6C"/>
    <w:rsid w:val="00D00E28"/>
    <w:rsid w:val="00D0269E"/>
    <w:rsid w:val="00D03276"/>
    <w:rsid w:val="00D03841"/>
    <w:rsid w:val="00D05D6C"/>
    <w:rsid w:val="00D06865"/>
    <w:rsid w:val="00D079DF"/>
    <w:rsid w:val="00D10DBA"/>
    <w:rsid w:val="00D12124"/>
    <w:rsid w:val="00D15810"/>
    <w:rsid w:val="00D16ACD"/>
    <w:rsid w:val="00D16D4E"/>
    <w:rsid w:val="00D16FE3"/>
    <w:rsid w:val="00D22E10"/>
    <w:rsid w:val="00D24473"/>
    <w:rsid w:val="00D2687E"/>
    <w:rsid w:val="00D270B1"/>
    <w:rsid w:val="00D27F41"/>
    <w:rsid w:val="00D317F6"/>
    <w:rsid w:val="00D320B7"/>
    <w:rsid w:val="00D36441"/>
    <w:rsid w:val="00D4064E"/>
    <w:rsid w:val="00D4160C"/>
    <w:rsid w:val="00D43B47"/>
    <w:rsid w:val="00D449BE"/>
    <w:rsid w:val="00D44E9B"/>
    <w:rsid w:val="00D47AEB"/>
    <w:rsid w:val="00D508A5"/>
    <w:rsid w:val="00D5099B"/>
    <w:rsid w:val="00D50DB9"/>
    <w:rsid w:val="00D51302"/>
    <w:rsid w:val="00D52C43"/>
    <w:rsid w:val="00D53CDC"/>
    <w:rsid w:val="00D54034"/>
    <w:rsid w:val="00D54BAF"/>
    <w:rsid w:val="00D61243"/>
    <w:rsid w:val="00D616AA"/>
    <w:rsid w:val="00D6507F"/>
    <w:rsid w:val="00D67D8A"/>
    <w:rsid w:val="00D730BC"/>
    <w:rsid w:val="00D73912"/>
    <w:rsid w:val="00D85226"/>
    <w:rsid w:val="00D87B94"/>
    <w:rsid w:val="00D903E4"/>
    <w:rsid w:val="00D923CC"/>
    <w:rsid w:val="00D92D49"/>
    <w:rsid w:val="00D92EC1"/>
    <w:rsid w:val="00D96331"/>
    <w:rsid w:val="00D96DEA"/>
    <w:rsid w:val="00DA0067"/>
    <w:rsid w:val="00DA2DD1"/>
    <w:rsid w:val="00DA3014"/>
    <w:rsid w:val="00DA4E41"/>
    <w:rsid w:val="00DB0250"/>
    <w:rsid w:val="00DB117A"/>
    <w:rsid w:val="00DB5173"/>
    <w:rsid w:val="00DB66FB"/>
    <w:rsid w:val="00DB7873"/>
    <w:rsid w:val="00DC187B"/>
    <w:rsid w:val="00DC4A2E"/>
    <w:rsid w:val="00DC5043"/>
    <w:rsid w:val="00DD020D"/>
    <w:rsid w:val="00DD1A43"/>
    <w:rsid w:val="00DD73C2"/>
    <w:rsid w:val="00DE2A50"/>
    <w:rsid w:val="00DE319B"/>
    <w:rsid w:val="00DE3524"/>
    <w:rsid w:val="00DF2E7D"/>
    <w:rsid w:val="00DF34FE"/>
    <w:rsid w:val="00DF56AA"/>
    <w:rsid w:val="00DF56AF"/>
    <w:rsid w:val="00DF58C2"/>
    <w:rsid w:val="00DF78E7"/>
    <w:rsid w:val="00E001D6"/>
    <w:rsid w:val="00E10616"/>
    <w:rsid w:val="00E110E0"/>
    <w:rsid w:val="00E15371"/>
    <w:rsid w:val="00E162C4"/>
    <w:rsid w:val="00E16742"/>
    <w:rsid w:val="00E16A3E"/>
    <w:rsid w:val="00E170CF"/>
    <w:rsid w:val="00E21056"/>
    <w:rsid w:val="00E24104"/>
    <w:rsid w:val="00E24CFA"/>
    <w:rsid w:val="00E27FB0"/>
    <w:rsid w:val="00E30146"/>
    <w:rsid w:val="00E302D0"/>
    <w:rsid w:val="00E31D62"/>
    <w:rsid w:val="00E3228A"/>
    <w:rsid w:val="00E35707"/>
    <w:rsid w:val="00E36AA1"/>
    <w:rsid w:val="00E41ECB"/>
    <w:rsid w:val="00E42676"/>
    <w:rsid w:val="00E42FE1"/>
    <w:rsid w:val="00E4527C"/>
    <w:rsid w:val="00E4645E"/>
    <w:rsid w:val="00E476BF"/>
    <w:rsid w:val="00E5426D"/>
    <w:rsid w:val="00E54FDB"/>
    <w:rsid w:val="00E560F6"/>
    <w:rsid w:val="00E5617D"/>
    <w:rsid w:val="00E563D7"/>
    <w:rsid w:val="00E61425"/>
    <w:rsid w:val="00E644F6"/>
    <w:rsid w:val="00E663F4"/>
    <w:rsid w:val="00E666F2"/>
    <w:rsid w:val="00E66DD4"/>
    <w:rsid w:val="00E67E03"/>
    <w:rsid w:val="00E71872"/>
    <w:rsid w:val="00E743E7"/>
    <w:rsid w:val="00E748CC"/>
    <w:rsid w:val="00E74F15"/>
    <w:rsid w:val="00E75415"/>
    <w:rsid w:val="00E76C04"/>
    <w:rsid w:val="00E775B1"/>
    <w:rsid w:val="00E77682"/>
    <w:rsid w:val="00E810A7"/>
    <w:rsid w:val="00E8152A"/>
    <w:rsid w:val="00E84ADB"/>
    <w:rsid w:val="00E870DD"/>
    <w:rsid w:val="00E93629"/>
    <w:rsid w:val="00E93B5C"/>
    <w:rsid w:val="00E94CEC"/>
    <w:rsid w:val="00E94DB1"/>
    <w:rsid w:val="00E97BB1"/>
    <w:rsid w:val="00EA04EF"/>
    <w:rsid w:val="00EA0969"/>
    <w:rsid w:val="00EA3404"/>
    <w:rsid w:val="00EA53C3"/>
    <w:rsid w:val="00EA6C79"/>
    <w:rsid w:val="00EA6F19"/>
    <w:rsid w:val="00EB3B6F"/>
    <w:rsid w:val="00EB7090"/>
    <w:rsid w:val="00EC1466"/>
    <w:rsid w:val="00EC1BBE"/>
    <w:rsid w:val="00EC2B68"/>
    <w:rsid w:val="00EC2C47"/>
    <w:rsid w:val="00EC3AEF"/>
    <w:rsid w:val="00EC5CD7"/>
    <w:rsid w:val="00ED4F1B"/>
    <w:rsid w:val="00EE2581"/>
    <w:rsid w:val="00EE5FB3"/>
    <w:rsid w:val="00EE7F79"/>
    <w:rsid w:val="00EF5B54"/>
    <w:rsid w:val="00EF715A"/>
    <w:rsid w:val="00F03B5E"/>
    <w:rsid w:val="00F069B5"/>
    <w:rsid w:val="00F06E14"/>
    <w:rsid w:val="00F07CD3"/>
    <w:rsid w:val="00F167CF"/>
    <w:rsid w:val="00F179D4"/>
    <w:rsid w:val="00F2254F"/>
    <w:rsid w:val="00F22A23"/>
    <w:rsid w:val="00F33C56"/>
    <w:rsid w:val="00F34163"/>
    <w:rsid w:val="00F347C7"/>
    <w:rsid w:val="00F34848"/>
    <w:rsid w:val="00F361D7"/>
    <w:rsid w:val="00F362B2"/>
    <w:rsid w:val="00F37963"/>
    <w:rsid w:val="00F42D46"/>
    <w:rsid w:val="00F4496C"/>
    <w:rsid w:val="00F44F3A"/>
    <w:rsid w:val="00F51F10"/>
    <w:rsid w:val="00F529A5"/>
    <w:rsid w:val="00F5310D"/>
    <w:rsid w:val="00F5336F"/>
    <w:rsid w:val="00F54E3B"/>
    <w:rsid w:val="00F60F00"/>
    <w:rsid w:val="00F614C0"/>
    <w:rsid w:val="00F71829"/>
    <w:rsid w:val="00F77365"/>
    <w:rsid w:val="00F81880"/>
    <w:rsid w:val="00F82565"/>
    <w:rsid w:val="00F83848"/>
    <w:rsid w:val="00F84127"/>
    <w:rsid w:val="00F975E9"/>
    <w:rsid w:val="00FA1B7D"/>
    <w:rsid w:val="00FA3DF2"/>
    <w:rsid w:val="00FA57DF"/>
    <w:rsid w:val="00FB2BA2"/>
    <w:rsid w:val="00FB3E5A"/>
    <w:rsid w:val="00FB5FAD"/>
    <w:rsid w:val="00FB7453"/>
    <w:rsid w:val="00FC07B9"/>
    <w:rsid w:val="00FC4E21"/>
    <w:rsid w:val="00FC5F6D"/>
    <w:rsid w:val="00FC7F7B"/>
    <w:rsid w:val="00FD0107"/>
    <w:rsid w:val="00FD2C2F"/>
    <w:rsid w:val="00FD3B31"/>
    <w:rsid w:val="00FD3E35"/>
    <w:rsid w:val="00FD59CE"/>
    <w:rsid w:val="00FD6FBB"/>
    <w:rsid w:val="00FE1823"/>
    <w:rsid w:val="00FE229A"/>
    <w:rsid w:val="00FE487A"/>
    <w:rsid w:val="00FF0569"/>
    <w:rsid w:val="00FF206E"/>
    <w:rsid w:val="00FF398F"/>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6BF5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Footnote text,ACMA Footnote Text,ABA Footnote Text"/>
    <w:basedOn w:val="Normal"/>
    <w:link w:val="FootnoteTextChar"/>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tabs>
        <w:tab w:val="clear" w:pos="1021"/>
        <w:tab w:val="num" w:pos="720"/>
      </w:tabs>
      <w:ind w:left="720" w:hanging="360"/>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9"/>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NumberedList">
    <w:name w:val="ACMA Numbered List"/>
    <w:rsid w:val="00F03B5E"/>
    <w:pPr>
      <w:numPr>
        <w:numId w:val="20"/>
      </w:numPr>
      <w:spacing w:before="20" w:after="20"/>
    </w:pPr>
    <w:rPr>
      <w:szCs w:val="20"/>
      <w:lang w:eastAsia="en-US"/>
    </w:rPr>
  </w:style>
  <w:style w:type="paragraph" w:customStyle="1" w:styleId="ACMABulletLevel1">
    <w:name w:val="ACMA Bullet Level 1"/>
    <w:basedOn w:val="Normal"/>
    <w:rsid w:val="009E4BBF"/>
    <w:pPr>
      <w:numPr>
        <w:numId w:val="24"/>
      </w:numPr>
      <w:spacing w:after="164"/>
    </w:pPr>
    <w:rPr>
      <w:color w:val="4D4D4F"/>
      <w:sz w:val="21"/>
    </w:rPr>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Bullets"/>
    <w:basedOn w:val="Normal"/>
    <w:link w:val="ListParagraphChar"/>
    <w:uiPriority w:val="34"/>
    <w:qFormat/>
    <w:rsid w:val="009E4BBF"/>
    <w:pPr>
      <w:spacing w:after="160" w:line="252" w:lineRule="auto"/>
      <w:ind w:left="720"/>
      <w:contextualSpacing/>
    </w:pPr>
    <w:rPr>
      <w:rFonts w:ascii="Calibri" w:eastAsiaTheme="minorHAnsi" w:hAnsi="Calibri" w:cs="Calibri"/>
      <w:sz w:val="22"/>
      <w:szCs w:val="22"/>
      <w:lang w:eastAsia="en-US"/>
    </w:r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link w:val="ListParagraph"/>
    <w:uiPriority w:val="34"/>
    <w:rsid w:val="00444D89"/>
    <w:rPr>
      <w:rFonts w:ascii="Calibri" w:eastAsiaTheme="minorHAnsi" w:hAnsi="Calibri" w:cs="Calibri"/>
      <w:sz w:val="22"/>
      <w:szCs w:val="22"/>
      <w:lang w:eastAsia="en-US"/>
    </w:rPr>
  </w:style>
  <w:style w:type="character" w:customStyle="1" w:styleId="FootnoteTextChar">
    <w:name w:val="Footnote Text Char"/>
    <w:aliases w:val="Footnote text Char,ACMA Footnote Text Char,ABA Footnote Text Char"/>
    <w:basedOn w:val="DefaultParagraphFont"/>
    <w:link w:val="FootnoteText"/>
    <w:rsid w:val="00444D89"/>
    <w:rPr>
      <w:rFonts w:ascii="Arial" w:hAnsi="Arial"/>
      <w:sz w:val="16"/>
      <w:szCs w:val="16"/>
    </w:rPr>
  </w:style>
  <w:style w:type="paragraph" w:customStyle="1" w:styleId="ACMABodyText">
    <w:name w:val="ACMA Body Text"/>
    <w:link w:val="ACMABodyTextChar"/>
    <w:rsid w:val="001574B2"/>
    <w:pPr>
      <w:suppressAutoHyphens/>
      <w:snapToGrid w:val="0"/>
      <w:spacing w:before="80" w:after="120" w:line="280" w:lineRule="atLeast"/>
    </w:pPr>
    <w:rPr>
      <w:szCs w:val="20"/>
      <w:lang w:eastAsia="en-US"/>
    </w:rPr>
  </w:style>
  <w:style w:type="character" w:customStyle="1" w:styleId="ACMABodyTextChar">
    <w:name w:val="ACMA Body Text Char"/>
    <w:basedOn w:val="DefaultParagraphFont"/>
    <w:link w:val="ACMABodyText"/>
    <w:locked/>
    <w:rsid w:val="00306402"/>
    <w:rPr>
      <w:szCs w:val="20"/>
      <w:lang w:eastAsia="en-US"/>
    </w:rPr>
  </w:style>
  <w:style w:type="paragraph" w:customStyle="1" w:styleId="Default">
    <w:name w:val="Default"/>
    <w:rsid w:val="00E24CFA"/>
    <w:pPr>
      <w:autoSpaceDE w:val="0"/>
      <w:autoSpaceDN w:val="0"/>
      <w:adjustRightInd w:val="0"/>
    </w:pPr>
    <w:rPr>
      <w:rFonts w:ascii="Arial" w:hAnsi="Arial" w:cs="Arial"/>
      <w:color w:val="000000"/>
    </w:rPr>
  </w:style>
  <w:style w:type="paragraph" w:customStyle="1" w:styleId="subsection">
    <w:name w:val="subsection"/>
    <w:basedOn w:val="Normal"/>
    <w:rsid w:val="00615554"/>
    <w:pPr>
      <w:spacing w:before="100" w:beforeAutospacing="1" w:after="100" w:afterAutospacing="1" w:line="240" w:lineRule="auto"/>
    </w:pPr>
    <w:rPr>
      <w:rFonts w:ascii="Times New Roman" w:hAnsi="Times New Roman"/>
      <w:sz w:val="24"/>
    </w:rPr>
  </w:style>
  <w:style w:type="paragraph" w:customStyle="1" w:styleId="paragraph0">
    <w:name w:val="paragraph"/>
    <w:basedOn w:val="Normal"/>
    <w:rsid w:val="00615554"/>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615554"/>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938">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77752266">
      <w:bodyDiv w:val="1"/>
      <w:marLeft w:val="0"/>
      <w:marRight w:val="0"/>
      <w:marTop w:val="0"/>
      <w:marBottom w:val="0"/>
      <w:divBdr>
        <w:top w:val="none" w:sz="0" w:space="0" w:color="auto"/>
        <w:left w:val="none" w:sz="0" w:space="0" w:color="auto"/>
        <w:bottom w:val="none" w:sz="0" w:space="0" w:color="auto"/>
        <w:right w:val="none" w:sz="0" w:space="0" w:color="auto"/>
      </w:divBdr>
    </w:div>
    <w:div w:id="524712426">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61683159">
      <w:bodyDiv w:val="1"/>
      <w:marLeft w:val="0"/>
      <w:marRight w:val="0"/>
      <w:marTop w:val="0"/>
      <w:marBottom w:val="0"/>
      <w:divBdr>
        <w:top w:val="none" w:sz="0" w:space="0" w:color="auto"/>
        <w:left w:val="none" w:sz="0" w:space="0" w:color="auto"/>
        <w:bottom w:val="none" w:sz="0" w:space="0" w:color="auto"/>
        <w:right w:val="none" w:sz="0" w:space="0" w:color="auto"/>
      </w:divBdr>
    </w:div>
    <w:div w:id="863174882">
      <w:bodyDiv w:val="1"/>
      <w:marLeft w:val="0"/>
      <w:marRight w:val="0"/>
      <w:marTop w:val="0"/>
      <w:marBottom w:val="0"/>
      <w:divBdr>
        <w:top w:val="none" w:sz="0" w:space="0" w:color="auto"/>
        <w:left w:val="none" w:sz="0" w:space="0" w:color="auto"/>
        <w:bottom w:val="none" w:sz="0" w:space="0" w:color="auto"/>
        <w:right w:val="none" w:sz="0" w:space="0" w:color="auto"/>
      </w:divBdr>
    </w:div>
    <w:div w:id="892035737">
      <w:bodyDiv w:val="1"/>
      <w:marLeft w:val="0"/>
      <w:marRight w:val="0"/>
      <w:marTop w:val="0"/>
      <w:marBottom w:val="0"/>
      <w:divBdr>
        <w:top w:val="none" w:sz="0" w:space="0" w:color="auto"/>
        <w:left w:val="none" w:sz="0" w:space="0" w:color="auto"/>
        <w:bottom w:val="none" w:sz="0" w:space="0" w:color="auto"/>
        <w:right w:val="none" w:sz="0" w:space="0" w:color="auto"/>
      </w:divBdr>
    </w:div>
    <w:div w:id="922833565">
      <w:bodyDiv w:val="1"/>
      <w:marLeft w:val="0"/>
      <w:marRight w:val="0"/>
      <w:marTop w:val="0"/>
      <w:marBottom w:val="0"/>
      <w:divBdr>
        <w:top w:val="none" w:sz="0" w:space="0" w:color="auto"/>
        <w:left w:val="none" w:sz="0" w:space="0" w:color="auto"/>
        <w:bottom w:val="none" w:sz="0" w:space="0" w:color="auto"/>
        <w:right w:val="none" w:sz="0" w:space="0" w:color="auto"/>
      </w:divBdr>
    </w:div>
    <w:div w:id="1266427792">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38876271">
      <w:bodyDiv w:val="1"/>
      <w:marLeft w:val="0"/>
      <w:marRight w:val="0"/>
      <w:marTop w:val="0"/>
      <w:marBottom w:val="0"/>
      <w:divBdr>
        <w:top w:val="none" w:sz="0" w:space="0" w:color="auto"/>
        <w:left w:val="none" w:sz="0" w:space="0" w:color="auto"/>
        <w:bottom w:val="none" w:sz="0" w:space="0" w:color="auto"/>
        <w:right w:val="none" w:sz="0" w:space="0" w:color="auto"/>
      </w:divBdr>
    </w:div>
    <w:div w:id="1673675999">
      <w:bodyDiv w:val="1"/>
      <w:marLeft w:val="0"/>
      <w:marRight w:val="0"/>
      <w:marTop w:val="0"/>
      <w:marBottom w:val="0"/>
      <w:divBdr>
        <w:top w:val="none" w:sz="0" w:space="0" w:color="auto"/>
        <w:left w:val="none" w:sz="0" w:space="0" w:color="auto"/>
        <w:bottom w:val="none" w:sz="0" w:space="0" w:color="auto"/>
        <w:right w:val="none" w:sz="0" w:space="0" w:color="auto"/>
      </w:divBdr>
    </w:div>
    <w:div w:id="1726099897">
      <w:bodyDiv w:val="1"/>
      <w:marLeft w:val="0"/>
      <w:marRight w:val="0"/>
      <w:marTop w:val="0"/>
      <w:marBottom w:val="0"/>
      <w:divBdr>
        <w:top w:val="none" w:sz="0" w:space="0" w:color="auto"/>
        <w:left w:val="none" w:sz="0" w:space="0" w:color="auto"/>
        <w:bottom w:val="none" w:sz="0" w:space="0" w:color="auto"/>
        <w:right w:val="none" w:sz="0" w:space="0" w:color="auto"/>
      </w:divBdr>
    </w:div>
    <w:div w:id="1850636932">
      <w:bodyDiv w:val="1"/>
      <w:marLeft w:val="0"/>
      <w:marRight w:val="0"/>
      <w:marTop w:val="0"/>
      <w:marBottom w:val="0"/>
      <w:divBdr>
        <w:top w:val="none" w:sz="0" w:space="0" w:color="auto"/>
        <w:left w:val="none" w:sz="0" w:space="0" w:color="auto"/>
        <w:bottom w:val="none" w:sz="0" w:space="0" w:color="auto"/>
        <w:right w:val="none" w:sz="0" w:space="0" w:color="auto"/>
      </w:divBdr>
    </w:div>
    <w:div w:id="1892618313">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commsalliance.com.au/__data/assets/pdf_file/0015/72150/C661_2022.pdf"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spam-complaint-form"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publication-sub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www.thenumberingsystem.com.au/"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mailto:numbering@acma.gov.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have-your-say" TargetMode="External"/><Relationship Id="rId30" Type="http://schemas.openxmlformats.org/officeDocument/2006/relationships/hyperlink" Target="https://www.acma.gov.au/privacy-policy"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phone-numbers-fictional-purp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4609</Words>
  <Characters>24662</Characters>
  <Application>Microsoft Office Word</Application>
  <DocSecurity>0</DocSecurity>
  <Lines>560</Lines>
  <Paragraphs>328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2022-10-04T01:34:00Z</dcterms:created>
  <dcterms:modified xsi:type="dcterms:W3CDTF">2022-10-04T01:34:00Z</dcterms:modified>
  <cp:category/>
</cp:coreProperties>
</file>