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E7AA" w14:textId="77777777" w:rsidR="006C11BC" w:rsidRPr="006C11BC" w:rsidRDefault="006C11BC" w:rsidP="006C11BC">
      <w:pPr>
        <w:pStyle w:val="Reporttitle"/>
        <w:rPr>
          <w:b w:val="0"/>
          <w:bCs/>
        </w:rPr>
      </w:pPr>
      <w:r w:rsidRPr="006C11BC">
        <w:rPr>
          <w:b w:val="0"/>
          <w:bCs/>
        </w:rPr>
        <w:t xml:space="preserve">Automatic sunsetting of </w:t>
      </w:r>
    </w:p>
    <w:p w14:paraId="28017295" w14:textId="17980769" w:rsidR="006C11BC" w:rsidRPr="006C11BC" w:rsidRDefault="006C11BC" w:rsidP="006C11BC">
      <w:pPr>
        <w:pStyle w:val="Reporttitle"/>
        <w:rPr>
          <w:b w:val="0"/>
          <w:bCs/>
        </w:rPr>
      </w:pPr>
      <w:r w:rsidRPr="006C11BC">
        <w:rPr>
          <w:b w:val="0"/>
          <w:bCs/>
        </w:rPr>
        <w:t>legislative instruments</w:t>
      </w:r>
    </w:p>
    <w:p w14:paraId="0A1D494B" w14:textId="51F7BC59" w:rsidR="00F06E14" w:rsidRPr="00E162C4" w:rsidRDefault="006C11BC" w:rsidP="006C11BC">
      <w:pPr>
        <w:pStyle w:val="Reporttitle"/>
      </w:pPr>
      <w:r w:rsidRPr="006C11BC">
        <w:t>Proposal to remake the Radiocommunications (Mid-West Radio Quiet Zone) Frequency Band Plan 2011</w:t>
      </w:r>
    </w:p>
    <w:p w14:paraId="20916A7C" w14:textId="5157D4C5" w:rsidR="00F06E14" w:rsidRPr="00E162C4" w:rsidRDefault="00770B3F" w:rsidP="00F06E14">
      <w:pPr>
        <w:pStyle w:val="Reportsubtitle"/>
      </w:pPr>
      <w:r w:rsidRPr="00E162C4">
        <w:t xml:space="preserve">Consultation </w:t>
      </w:r>
      <w:r w:rsidR="006C11BC">
        <w:t>paper</w:t>
      </w:r>
    </w:p>
    <w:p w14:paraId="05AEDF48" w14:textId="625A3227" w:rsidR="00C97736" w:rsidRPr="00E162C4" w:rsidRDefault="00996B9B"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OCTOBER</w:t>
      </w:r>
      <w:r w:rsidRPr="00E162C4">
        <w:t xml:space="preserve"> </w:t>
      </w:r>
      <w:r w:rsidR="00BD4421" w:rsidRPr="00E162C4">
        <w:t>20</w:t>
      </w:r>
      <w:r w:rsidR="008E0428" w:rsidRPr="00E162C4">
        <w:t>2</w:t>
      </w:r>
      <w:r w:rsidR="00E162C4">
        <w:t>2</w:t>
      </w:r>
    </w:p>
    <w:p w14:paraId="20B88488" w14:textId="77777777" w:rsidR="0005011A" w:rsidRPr="00E162C4" w:rsidRDefault="0005011A" w:rsidP="00FC07B9">
      <w:pPr>
        <w:pStyle w:val="ACMACorporateAddressHeader"/>
      </w:pPr>
      <w:r w:rsidRPr="00E162C4">
        <w:lastRenderedPageBreak/>
        <w:t>Canberra</w:t>
      </w:r>
    </w:p>
    <w:p w14:paraId="61C111CC"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46D4A862" w14:textId="77777777" w:rsidR="0005011A" w:rsidRPr="00E162C4" w:rsidRDefault="0005011A" w:rsidP="00FC07B9">
      <w:pPr>
        <w:pStyle w:val="ACMACorporateAddresses"/>
      </w:pPr>
      <w:r w:rsidRPr="00E162C4">
        <w:t>PO Box 78</w:t>
      </w:r>
      <w:r w:rsidRPr="00E162C4">
        <w:br/>
        <w:t>Belconnen ACT 2616</w:t>
      </w:r>
    </w:p>
    <w:p w14:paraId="674C994E"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00A24026" w14:textId="77777777" w:rsidR="0005011A" w:rsidRPr="00E162C4" w:rsidRDefault="0005011A" w:rsidP="00FC07B9">
      <w:pPr>
        <w:pStyle w:val="ACMACorporateAddressHeader"/>
      </w:pPr>
      <w:r w:rsidRPr="00E162C4">
        <w:t>Melbourne</w:t>
      </w:r>
    </w:p>
    <w:p w14:paraId="6B839A1D"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32BC401A"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7AF3E44F"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798A93BF" w14:textId="77777777" w:rsidR="0005011A" w:rsidRPr="00E162C4" w:rsidRDefault="0005011A" w:rsidP="00FC07B9">
      <w:pPr>
        <w:pStyle w:val="ACMACorporateAddressHeader"/>
      </w:pPr>
      <w:r w:rsidRPr="00E162C4">
        <w:t>Sydney</w:t>
      </w:r>
    </w:p>
    <w:p w14:paraId="5452F9B3"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0E4236DA"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1D3EEF1D"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1267DB91" w14:textId="77777777" w:rsidR="00140318" w:rsidRPr="00E162C4" w:rsidRDefault="00140318" w:rsidP="00FC07B9">
      <w:pPr>
        <w:pStyle w:val="ACMACopyrightHeader"/>
      </w:pPr>
      <w:r w:rsidRPr="00E162C4">
        <w:t>Copyright notice</w:t>
      </w:r>
    </w:p>
    <w:p w14:paraId="355F0DB6" w14:textId="77777777" w:rsidR="00140318" w:rsidRPr="00E162C4" w:rsidRDefault="00623FF9" w:rsidP="00623FF9">
      <w:pPr>
        <w:pStyle w:val="ACMACClogo"/>
      </w:pPr>
      <w:r w:rsidRPr="00E162C4">
        <w:rPr>
          <w:noProof/>
        </w:rPr>
        <w:drawing>
          <wp:inline distT="0" distB="0" distL="0" distR="0" wp14:anchorId="6116068E" wp14:editId="2506695A">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A9DD643" w14:textId="77777777" w:rsidR="00AA2DE5" w:rsidRPr="00E162C4" w:rsidRDefault="00BE3792" w:rsidP="00AA2DE5">
      <w:pPr>
        <w:pStyle w:val="ACMACorporateAddresses"/>
        <w:rPr>
          <w:rStyle w:val="Hyperlink"/>
        </w:rPr>
      </w:pPr>
      <w:hyperlink r:id="rId13" w:history="1">
        <w:r w:rsidR="00AA2DE5" w:rsidRPr="00E162C4">
          <w:rPr>
            <w:rStyle w:val="Hyperlink"/>
          </w:rPr>
          <w:t>https://creativecommons.org/licenses/by/4.0/</w:t>
        </w:r>
      </w:hyperlink>
    </w:p>
    <w:p w14:paraId="34318555" w14:textId="77777777" w:rsidR="00AA2DE5" w:rsidRPr="00E162C4" w:rsidRDefault="00AA2DE5" w:rsidP="00AA2DE5">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6AD4E22C"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E162C4">
        <w:t>2</w:t>
      </w:r>
      <w:r w:rsidRPr="00E162C4">
        <w:t>.</w:t>
      </w:r>
    </w:p>
    <w:p w14:paraId="03F59917" w14:textId="77777777" w:rsidR="00AA2DE5" w:rsidRPr="00E162C4" w:rsidRDefault="00AA2DE5" w:rsidP="00AA2DE5">
      <w:pPr>
        <w:pStyle w:val="ACMACorporateAddresses"/>
      </w:pPr>
      <w:r w:rsidRPr="00E162C4">
        <w:t>All other rights are reserved.</w:t>
      </w:r>
    </w:p>
    <w:p w14:paraId="7FFEB86E"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9F65330" w14:textId="77777777" w:rsidR="00AA2DE5" w:rsidRPr="00E162C4" w:rsidRDefault="00AA2DE5" w:rsidP="00AA2DE5">
      <w:pPr>
        <w:pStyle w:val="ACMACorporateAddresses"/>
      </w:pPr>
      <w:r w:rsidRPr="00E162C4">
        <w:t>Written enquiries may be sent to:</w:t>
      </w:r>
    </w:p>
    <w:p w14:paraId="29E242C3"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68280303" w14:textId="77777777" w:rsidR="00D16FE3" w:rsidRPr="00E162C4" w:rsidRDefault="00D16FE3" w:rsidP="00D16FE3">
      <w:pPr>
        <w:pStyle w:val="ACMACorporateAddresses"/>
        <w:rPr>
          <w:rStyle w:val="Hyperlink"/>
        </w:rPr>
      </w:pPr>
    </w:p>
    <w:p w14:paraId="62087190"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6DAEDD92" w14:textId="5861E775" w:rsidR="00BE3792"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16470265" w:history="1">
        <w:r w:rsidR="00BE3792" w:rsidRPr="00F444B2">
          <w:rPr>
            <w:rStyle w:val="Hyperlink"/>
          </w:rPr>
          <w:t>Executive summary</w:t>
        </w:r>
        <w:r w:rsidR="00BE3792">
          <w:rPr>
            <w:webHidden/>
          </w:rPr>
          <w:tab/>
        </w:r>
        <w:r w:rsidR="00BE3792">
          <w:rPr>
            <w:webHidden/>
          </w:rPr>
          <w:fldChar w:fldCharType="begin"/>
        </w:r>
        <w:r w:rsidR="00BE3792">
          <w:rPr>
            <w:webHidden/>
          </w:rPr>
          <w:instrText xml:space="preserve"> PAGEREF _Toc116470265 \h </w:instrText>
        </w:r>
        <w:r w:rsidR="00BE3792">
          <w:rPr>
            <w:webHidden/>
          </w:rPr>
        </w:r>
        <w:r w:rsidR="00BE3792">
          <w:rPr>
            <w:webHidden/>
          </w:rPr>
          <w:fldChar w:fldCharType="separate"/>
        </w:r>
        <w:r w:rsidR="00BE3792">
          <w:rPr>
            <w:webHidden/>
          </w:rPr>
          <w:t>1</w:t>
        </w:r>
        <w:r w:rsidR="00BE3792">
          <w:rPr>
            <w:webHidden/>
          </w:rPr>
          <w:fldChar w:fldCharType="end"/>
        </w:r>
      </w:hyperlink>
    </w:p>
    <w:p w14:paraId="687729A4" w14:textId="0EF38313" w:rsidR="00BE3792" w:rsidRDefault="00BE3792">
      <w:pPr>
        <w:pStyle w:val="TOC1"/>
        <w:rPr>
          <w:rFonts w:asciiTheme="minorHAnsi" w:eastAsiaTheme="minorEastAsia" w:hAnsiTheme="minorHAnsi" w:cstheme="minorBidi"/>
          <w:b w:val="0"/>
          <w:spacing w:val="0"/>
          <w:sz w:val="22"/>
          <w:szCs w:val="22"/>
        </w:rPr>
      </w:pPr>
      <w:hyperlink w:anchor="_Toc116470266" w:history="1">
        <w:r w:rsidRPr="00F444B2">
          <w:rPr>
            <w:rStyle w:val="Hyperlink"/>
          </w:rPr>
          <w:t>About the band plan</w:t>
        </w:r>
        <w:r>
          <w:rPr>
            <w:webHidden/>
          </w:rPr>
          <w:tab/>
        </w:r>
        <w:r>
          <w:rPr>
            <w:webHidden/>
          </w:rPr>
          <w:fldChar w:fldCharType="begin"/>
        </w:r>
        <w:r>
          <w:rPr>
            <w:webHidden/>
          </w:rPr>
          <w:instrText xml:space="preserve"> PAGEREF _Toc116470266 \h </w:instrText>
        </w:r>
        <w:r>
          <w:rPr>
            <w:webHidden/>
          </w:rPr>
        </w:r>
        <w:r>
          <w:rPr>
            <w:webHidden/>
          </w:rPr>
          <w:fldChar w:fldCharType="separate"/>
        </w:r>
        <w:r>
          <w:rPr>
            <w:webHidden/>
          </w:rPr>
          <w:t>2</w:t>
        </w:r>
        <w:r>
          <w:rPr>
            <w:webHidden/>
          </w:rPr>
          <w:fldChar w:fldCharType="end"/>
        </w:r>
      </w:hyperlink>
    </w:p>
    <w:p w14:paraId="3E855F4E" w14:textId="6C5A309B" w:rsidR="00BE3792" w:rsidRDefault="00BE3792">
      <w:pPr>
        <w:pStyle w:val="TOC2"/>
        <w:rPr>
          <w:rFonts w:asciiTheme="minorHAnsi" w:eastAsiaTheme="minorEastAsia" w:hAnsiTheme="minorHAnsi" w:cstheme="minorBidi"/>
          <w:spacing w:val="0"/>
          <w:sz w:val="22"/>
          <w:szCs w:val="22"/>
        </w:rPr>
      </w:pPr>
      <w:hyperlink w:anchor="_Toc116470267" w:history="1">
        <w:r w:rsidRPr="00F444B2">
          <w:rPr>
            <w:rStyle w:val="Hyperlink"/>
          </w:rPr>
          <w:t>Band plan</w:t>
        </w:r>
        <w:r>
          <w:rPr>
            <w:webHidden/>
          </w:rPr>
          <w:tab/>
        </w:r>
        <w:r>
          <w:rPr>
            <w:webHidden/>
          </w:rPr>
          <w:fldChar w:fldCharType="begin"/>
        </w:r>
        <w:r>
          <w:rPr>
            <w:webHidden/>
          </w:rPr>
          <w:instrText xml:space="preserve"> PAGEREF _Toc116470267 \h </w:instrText>
        </w:r>
        <w:r>
          <w:rPr>
            <w:webHidden/>
          </w:rPr>
        </w:r>
        <w:r>
          <w:rPr>
            <w:webHidden/>
          </w:rPr>
          <w:fldChar w:fldCharType="separate"/>
        </w:r>
        <w:r>
          <w:rPr>
            <w:webHidden/>
          </w:rPr>
          <w:t>2</w:t>
        </w:r>
        <w:r>
          <w:rPr>
            <w:webHidden/>
          </w:rPr>
          <w:fldChar w:fldCharType="end"/>
        </w:r>
      </w:hyperlink>
    </w:p>
    <w:p w14:paraId="1DA60E4D" w14:textId="3AEB6519" w:rsidR="00BE3792" w:rsidRDefault="00BE3792">
      <w:pPr>
        <w:pStyle w:val="TOC1"/>
        <w:rPr>
          <w:rFonts w:asciiTheme="minorHAnsi" w:eastAsiaTheme="minorEastAsia" w:hAnsiTheme="minorHAnsi" w:cstheme="minorBidi"/>
          <w:b w:val="0"/>
          <w:spacing w:val="0"/>
          <w:sz w:val="22"/>
          <w:szCs w:val="22"/>
        </w:rPr>
      </w:pPr>
      <w:hyperlink w:anchor="_Toc116470268" w:history="1">
        <w:r w:rsidRPr="00F444B2">
          <w:rPr>
            <w:rStyle w:val="Hyperlink"/>
          </w:rPr>
          <w:t>Issues for comment</w:t>
        </w:r>
        <w:r>
          <w:rPr>
            <w:webHidden/>
          </w:rPr>
          <w:tab/>
        </w:r>
        <w:r>
          <w:rPr>
            <w:webHidden/>
          </w:rPr>
          <w:fldChar w:fldCharType="begin"/>
        </w:r>
        <w:r>
          <w:rPr>
            <w:webHidden/>
          </w:rPr>
          <w:instrText xml:space="preserve"> PAGEREF _Toc116470268 \h </w:instrText>
        </w:r>
        <w:r>
          <w:rPr>
            <w:webHidden/>
          </w:rPr>
        </w:r>
        <w:r>
          <w:rPr>
            <w:webHidden/>
          </w:rPr>
          <w:fldChar w:fldCharType="separate"/>
        </w:r>
        <w:r>
          <w:rPr>
            <w:webHidden/>
          </w:rPr>
          <w:t>3</w:t>
        </w:r>
        <w:r>
          <w:rPr>
            <w:webHidden/>
          </w:rPr>
          <w:fldChar w:fldCharType="end"/>
        </w:r>
      </w:hyperlink>
    </w:p>
    <w:p w14:paraId="067F6715" w14:textId="2564BFFB" w:rsidR="00BE3792" w:rsidRDefault="00BE3792">
      <w:pPr>
        <w:pStyle w:val="TOC2"/>
        <w:rPr>
          <w:rFonts w:asciiTheme="minorHAnsi" w:eastAsiaTheme="minorEastAsia" w:hAnsiTheme="minorHAnsi" w:cstheme="minorBidi"/>
          <w:spacing w:val="0"/>
          <w:sz w:val="22"/>
          <w:szCs w:val="22"/>
        </w:rPr>
      </w:pPr>
      <w:hyperlink w:anchor="_Toc116470269" w:history="1">
        <w:r w:rsidRPr="00F444B2">
          <w:rPr>
            <w:rStyle w:val="Hyperlink"/>
          </w:rPr>
          <w:t>Need for the band plan</w:t>
        </w:r>
        <w:r>
          <w:rPr>
            <w:webHidden/>
          </w:rPr>
          <w:tab/>
        </w:r>
        <w:r>
          <w:rPr>
            <w:webHidden/>
          </w:rPr>
          <w:fldChar w:fldCharType="begin"/>
        </w:r>
        <w:r>
          <w:rPr>
            <w:webHidden/>
          </w:rPr>
          <w:instrText xml:space="preserve"> PAGEREF _Toc116470269 \h </w:instrText>
        </w:r>
        <w:r>
          <w:rPr>
            <w:webHidden/>
          </w:rPr>
        </w:r>
        <w:r>
          <w:rPr>
            <w:webHidden/>
          </w:rPr>
          <w:fldChar w:fldCharType="separate"/>
        </w:r>
        <w:r>
          <w:rPr>
            <w:webHidden/>
          </w:rPr>
          <w:t>3</w:t>
        </w:r>
        <w:r>
          <w:rPr>
            <w:webHidden/>
          </w:rPr>
          <w:fldChar w:fldCharType="end"/>
        </w:r>
      </w:hyperlink>
    </w:p>
    <w:p w14:paraId="60A25290" w14:textId="73AEDB66" w:rsidR="00BE3792" w:rsidRDefault="00BE3792">
      <w:pPr>
        <w:pStyle w:val="TOC2"/>
        <w:rPr>
          <w:rFonts w:asciiTheme="minorHAnsi" w:eastAsiaTheme="minorEastAsia" w:hAnsiTheme="minorHAnsi" w:cstheme="minorBidi"/>
          <w:spacing w:val="0"/>
          <w:sz w:val="22"/>
          <w:szCs w:val="22"/>
        </w:rPr>
      </w:pPr>
      <w:hyperlink w:anchor="_Toc116470270" w:history="1">
        <w:r w:rsidRPr="00F444B2">
          <w:rPr>
            <w:rStyle w:val="Hyperlink"/>
          </w:rPr>
          <w:t>Effectiveness and efficiency of the instrument</w:t>
        </w:r>
        <w:r>
          <w:rPr>
            <w:webHidden/>
          </w:rPr>
          <w:tab/>
        </w:r>
        <w:r>
          <w:rPr>
            <w:webHidden/>
          </w:rPr>
          <w:fldChar w:fldCharType="begin"/>
        </w:r>
        <w:r>
          <w:rPr>
            <w:webHidden/>
          </w:rPr>
          <w:instrText xml:space="preserve"> PAGEREF _Toc116470270 \h </w:instrText>
        </w:r>
        <w:r>
          <w:rPr>
            <w:webHidden/>
          </w:rPr>
        </w:r>
        <w:r>
          <w:rPr>
            <w:webHidden/>
          </w:rPr>
          <w:fldChar w:fldCharType="separate"/>
        </w:r>
        <w:r>
          <w:rPr>
            <w:webHidden/>
          </w:rPr>
          <w:t>3</w:t>
        </w:r>
        <w:r>
          <w:rPr>
            <w:webHidden/>
          </w:rPr>
          <w:fldChar w:fldCharType="end"/>
        </w:r>
      </w:hyperlink>
    </w:p>
    <w:p w14:paraId="4E465885" w14:textId="54515865" w:rsidR="00BE3792" w:rsidRDefault="00BE3792">
      <w:pPr>
        <w:pStyle w:val="TOC2"/>
        <w:rPr>
          <w:rFonts w:asciiTheme="minorHAnsi" w:eastAsiaTheme="minorEastAsia" w:hAnsiTheme="minorHAnsi" w:cstheme="minorBidi"/>
          <w:spacing w:val="0"/>
          <w:sz w:val="22"/>
          <w:szCs w:val="22"/>
        </w:rPr>
      </w:pPr>
      <w:hyperlink w:anchor="_Toc116470271" w:history="1">
        <w:r w:rsidRPr="00F444B2">
          <w:rPr>
            <w:rStyle w:val="Hyperlink"/>
          </w:rPr>
          <w:t>Potential enhancements</w:t>
        </w:r>
        <w:r>
          <w:rPr>
            <w:webHidden/>
          </w:rPr>
          <w:tab/>
        </w:r>
        <w:r>
          <w:rPr>
            <w:webHidden/>
          </w:rPr>
          <w:fldChar w:fldCharType="begin"/>
        </w:r>
        <w:r>
          <w:rPr>
            <w:webHidden/>
          </w:rPr>
          <w:instrText xml:space="preserve"> PAGEREF _Toc116470271 \h </w:instrText>
        </w:r>
        <w:r>
          <w:rPr>
            <w:webHidden/>
          </w:rPr>
        </w:r>
        <w:r>
          <w:rPr>
            <w:webHidden/>
          </w:rPr>
          <w:fldChar w:fldCharType="separate"/>
        </w:r>
        <w:r>
          <w:rPr>
            <w:webHidden/>
          </w:rPr>
          <w:t>4</w:t>
        </w:r>
        <w:r>
          <w:rPr>
            <w:webHidden/>
          </w:rPr>
          <w:fldChar w:fldCharType="end"/>
        </w:r>
      </w:hyperlink>
    </w:p>
    <w:p w14:paraId="7BBEC9F8" w14:textId="566A132C" w:rsidR="00BE3792" w:rsidRDefault="00BE3792">
      <w:pPr>
        <w:pStyle w:val="TOC2"/>
        <w:rPr>
          <w:rFonts w:asciiTheme="minorHAnsi" w:eastAsiaTheme="minorEastAsia" w:hAnsiTheme="minorHAnsi" w:cstheme="minorBidi"/>
          <w:spacing w:val="0"/>
          <w:sz w:val="22"/>
          <w:szCs w:val="22"/>
        </w:rPr>
      </w:pPr>
      <w:hyperlink w:anchor="_Toc116470272" w:history="1">
        <w:r w:rsidRPr="00F444B2">
          <w:rPr>
            <w:rStyle w:val="Hyperlink"/>
          </w:rPr>
          <w:t>Proposed suppression of Spectrum Embargo 41</w:t>
        </w:r>
        <w:r>
          <w:rPr>
            <w:webHidden/>
          </w:rPr>
          <w:tab/>
        </w:r>
        <w:r>
          <w:rPr>
            <w:webHidden/>
          </w:rPr>
          <w:fldChar w:fldCharType="begin"/>
        </w:r>
        <w:r>
          <w:rPr>
            <w:webHidden/>
          </w:rPr>
          <w:instrText xml:space="preserve"> PAGEREF _Toc116470272 \h </w:instrText>
        </w:r>
        <w:r>
          <w:rPr>
            <w:webHidden/>
          </w:rPr>
        </w:r>
        <w:r>
          <w:rPr>
            <w:webHidden/>
          </w:rPr>
          <w:fldChar w:fldCharType="separate"/>
        </w:r>
        <w:r>
          <w:rPr>
            <w:webHidden/>
          </w:rPr>
          <w:t>6</w:t>
        </w:r>
        <w:r>
          <w:rPr>
            <w:webHidden/>
          </w:rPr>
          <w:fldChar w:fldCharType="end"/>
        </w:r>
      </w:hyperlink>
    </w:p>
    <w:p w14:paraId="61571F42" w14:textId="2FF52609" w:rsidR="00BE3792" w:rsidRDefault="00BE3792">
      <w:pPr>
        <w:pStyle w:val="TOC1"/>
        <w:rPr>
          <w:rFonts w:asciiTheme="minorHAnsi" w:eastAsiaTheme="minorEastAsia" w:hAnsiTheme="minorHAnsi" w:cstheme="minorBidi"/>
          <w:b w:val="0"/>
          <w:spacing w:val="0"/>
          <w:sz w:val="22"/>
          <w:szCs w:val="22"/>
        </w:rPr>
      </w:pPr>
      <w:hyperlink w:anchor="_Toc116470273" w:history="1">
        <w:r w:rsidRPr="00F444B2">
          <w:rPr>
            <w:rStyle w:val="Hyperlink"/>
          </w:rPr>
          <w:t>Invitation to comment</w:t>
        </w:r>
        <w:r>
          <w:rPr>
            <w:webHidden/>
          </w:rPr>
          <w:tab/>
        </w:r>
        <w:r>
          <w:rPr>
            <w:webHidden/>
          </w:rPr>
          <w:fldChar w:fldCharType="begin"/>
        </w:r>
        <w:r>
          <w:rPr>
            <w:webHidden/>
          </w:rPr>
          <w:instrText xml:space="preserve"> PAGEREF _Toc116470273 \h </w:instrText>
        </w:r>
        <w:r>
          <w:rPr>
            <w:webHidden/>
          </w:rPr>
        </w:r>
        <w:r>
          <w:rPr>
            <w:webHidden/>
          </w:rPr>
          <w:fldChar w:fldCharType="separate"/>
        </w:r>
        <w:r>
          <w:rPr>
            <w:webHidden/>
          </w:rPr>
          <w:t>7</w:t>
        </w:r>
        <w:r>
          <w:rPr>
            <w:webHidden/>
          </w:rPr>
          <w:fldChar w:fldCharType="end"/>
        </w:r>
      </w:hyperlink>
    </w:p>
    <w:p w14:paraId="66572408" w14:textId="3A37A330" w:rsidR="00BE3792" w:rsidRDefault="00BE3792">
      <w:pPr>
        <w:pStyle w:val="TOC2"/>
        <w:rPr>
          <w:rFonts w:asciiTheme="minorHAnsi" w:eastAsiaTheme="minorEastAsia" w:hAnsiTheme="minorHAnsi" w:cstheme="minorBidi"/>
          <w:spacing w:val="0"/>
          <w:sz w:val="22"/>
          <w:szCs w:val="22"/>
        </w:rPr>
      </w:pPr>
      <w:hyperlink w:anchor="_Toc116470274" w:history="1">
        <w:r w:rsidRPr="00F444B2">
          <w:rPr>
            <w:rStyle w:val="Hyperlink"/>
          </w:rPr>
          <w:t>Making a submission</w:t>
        </w:r>
        <w:r>
          <w:rPr>
            <w:webHidden/>
          </w:rPr>
          <w:tab/>
        </w:r>
        <w:r>
          <w:rPr>
            <w:webHidden/>
          </w:rPr>
          <w:fldChar w:fldCharType="begin"/>
        </w:r>
        <w:r>
          <w:rPr>
            <w:webHidden/>
          </w:rPr>
          <w:instrText xml:space="preserve"> PAGEREF _Toc116470274 \h </w:instrText>
        </w:r>
        <w:r>
          <w:rPr>
            <w:webHidden/>
          </w:rPr>
        </w:r>
        <w:r>
          <w:rPr>
            <w:webHidden/>
          </w:rPr>
          <w:fldChar w:fldCharType="separate"/>
        </w:r>
        <w:r>
          <w:rPr>
            <w:webHidden/>
          </w:rPr>
          <w:t>7</w:t>
        </w:r>
        <w:r>
          <w:rPr>
            <w:webHidden/>
          </w:rPr>
          <w:fldChar w:fldCharType="end"/>
        </w:r>
      </w:hyperlink>
    </w:p>
    <w:p w14:paraId="380E26D1" w14:textId="6D9E619C" w:rsidR="00BE3792" w:rsidRDefault="00BE3792">
      <w:pPr>
        <w:pStyle w:val="TOC1"/>
        <w:rPr>
          <w:rFonts w:asciiTheme="minorHAnsi" w:eastAsiaTheme="minorEastAsia" w:hAnsiTheme="minorHAnsi" w:cstheme="minorBidi"/>
          <w:b w:val="0"/>
          <w:spacing w:val="0"/>
          <w:sz w:val="22"/>
          <w:szCs w:val="22"/>
        </w:rPr>
      </w:pPr>
      <w:hyperlink w:anchor="_Toc116470275" w:history="1">
        <w:r w:rsidRPr="00F444B2">
          <w:rPr>
            <w:rStyle w:val="Hyperlink"/>
          </w:rPr>
          <w:t>Appendix A: Spectrum planning arrangements for the ARQZWA</w:t>
        </w:r>
        <w:r>
          <w:rPr>
            <w:webHidden/>
          </w:rPr>
          <w:tab/>
        </w:r>
        <w:r>
          <w:rPr>
            <w:webHidden/>
          </w:rPr>
          <w:fldChar w:fldCharType="begin"/>
        </w:r>
        <w:r>
          <w:rPr>
            <w:webHidden/>
          </w:rPr>
          <w:instrText xml:space="preserve"> PAGEREF _Toc116470275 \h </w:instrText>
        </w:r>
        <w:r>
          <w:rPr>
            <w:webHidden/>
          </w:rPr>
        </w:r>
        <w:r>
          <w:rPr>
            <w:webHidden/>
          </w:rPr>
          <w:fldChar w:fldCharType="separate"/>
        </w:r>
        <w:r>
          <w:rPr>
            <w:webHidden/>
          </w:rPr>
          <w:t>8</w:t>
        </w:r>
        <w:r>
          <w:rPr>
            <w:webHidden/>
          </w:rPr>
          <w:fldChar w:fldCharType="end"/>
        </w:r>
      </w:hyperlink>
    </w:p>
    <w:p w14:paraId="11F3E696" w14:textId="5E4E5F87" w:rsidR="00BE3792" w:rsidRDefault="00BE3792">
      <w:pPr>
        <w:pStyle w:val="TOC2"/>
        <w:rPr>
          <w:rFonts w:asciiTheme="minorHAnsi" w:eastAsiaTheme="minorEastAsia" w:hAnsiTheme="minorHAnsi" w:cstheme="minorBidi"/>
          <w:spacing w:val="0"/>
          <w:sz w:val="22"/>
          <w:szCs w:val="22"/>
        </w:rPr>
      </w:pPr>
      <w:hyperlink w:anchor="_Toc116470276" w:history="1">
        <w:r w:rsidRPr="00F444B2">
          <w:rPr>
            <w:rStyle w:val="Hyperlink"/>
          </w:rPr>
          <w:t>Spectrum Embargo 41</w:t>
        </w:r>
        <w:r>
          <w:rPr>
            <w:webHidden/>
          </w:rPr>
          <w:tab/>
        </w:r>
        <w:r>
          <w:rPr>
            <w:webHidden/>
          </w:rPr>
          <w:fldChar w:fldCharType="begin"/>
        </w:r>
        <w:r>
          <w:rPr>
            <w:webHidden/>
          </w:rPr>
          <w:instrText xml:space="preserve"> PAGEREF _Toc116470276 \h </w:instrText>
        </w:r>
        <w:r>
          <w:rPr>
            <w:webHidden/>
          </w:rPr>
        </w:r>
        <w:r>
          <w:rPr>
            <w:webHidden/>
          </w:rPr>
          <w:fldChar w:fldCharType="separate"/>
        </w:r>
        <w:r>
          <w:rPr>
            <w:webHidden/>
          </w:rPr>
          <w:t>8</w:t>
        </w:r>
        <w:r>
          <w:rPr>
            <w:webHidden/>
          </w:rPr>
          <w:fldChar w:fldCharType="end"/>
        </w:r>
      </w:hyperlink>
    </w:p>
    <w:p w14:paraId="54E1C6FB" w14:textId="7D0FBA88" w:rsidR="00BE3792" w:rsidRDefault="00BE3792">
      <w:pPr>
        <w:pStyle w:val="TOC2"/>
        <w:rPr>
          <w:rFonts w:asciiTheme="minorHAnsi" w:eastAsiaTheme="minorEastAsia" w:hAnsiTheme="minorHAnsi" w:cstheme="minorBidi"/>
          <w:spacing w:val="0"/>
          <w:sz w:val="22"/>
          <w:szCs w:val="22"/>
        </w:rPr>
      </w:pPr>
      <w:hyperlink w:anchor="_Toc116470277" w:history="1">
        <w:r w:rsidRPr="00F444B2">
          <w:rPr>
            <w:rStyle w:val="Hyperlink"/>
          </w:rPr>
          <w:t>Radiocommunications Assignment and Licensing Instruction MS32</w:t>
        </w:r>
        <w:r>
          <w:rPr>
            <w:webHidden/>
          </w:rPr>
          <w:tab/>
        </w:r>
        <w:r>
          <w:rPr>
            <w:webHidden/>
          </w:rPr>
          <w:fldChar w:fldCharType="begin"/>
        </w:r>
        <w:r>
          <w:rPr>
            <w:webHidden/>
          </w:rPr>
          <w:instrText xml:space="preserve"> PAGEREF _Toc116470277 \h </w:instrText>
        </w:r>
        <w:r>
          <w:rPr>
            <w:webHidden/>
          </w:rPr>
        </w:r>
        <w:r>
          <w:rPr>
            <w:webHidden/>
          </w:rPr>
          <w:fldChar w:fldCharType="separate"/>
        </w:r>
        <w:r>
          <w:rPr>
            <w:webHidden/>
          </w:rPr>
          <w:t>8</w:t>
        </w:r>
        <w:r>
          <w:rPr>
            <w:webHidden/>
          </w:rPr>
          <w:fldChar w:fldCharType="end"/>
        </w:r>
      </w:hyperlink>
    </w:p>
    <w:p w14:paraId="749B77C0" w14:textId="167F7DD7" w:rsidR="00BE3792" w:rsidRDefault="00BE3792">
      <w:pPr>
        <w:pStyle w:val="TOC2"/>
        <w:rPr>
          <w:rFonts w:asciiTheme="minorHAnsi" w:eastAsiaTheme="minorEastAsia" w:hAnsiTheme="minorHAnsi" w:cstheme="minorBidi"/>
          <w:spacing w:val="0"/>
          <w:sz w:val="22"/>
          <w:szCs w:val="22"/>
        </w:rPr>
      </w:pPr>
      <w:hyperlink w:anchor="_Toc116470278" w:history="1">
        <w:r w:rsidRPr="00F444B2">
          <w:rPr>
            <w:rStyle w:val="Hyperlink"/>
          </w:rPr>
          <w:t>Australian Radiofrequency Spectrum Plan</w:t>
        </w:r>
        <w:r>
          <w:rPr>
            <w:webHidden/>
          </w:rPr>
          <w:tab/>
        </w:r>
        <w:r>
          <w:rPr>
            <w:webHidden/>
          </w:rPr>
          <w:fldChar w:fldCharType="begin"/>
        </w:r>
        <w:r>
          <w:rPr>
            <w:webHidden/>
          </w:rPr>
          <w:instrText xml:space="preserve"> PAGEREF _Toc116470278 \h </w:instrText>
        </w:r>
        <w:r>
          <w:rPr>
            <w:webHidden/>
          </w:rPr>
        </w:r>
        <w:r>
          <w:rPr>
            <w:webHidden/>
          </w:rPr>
          <w:fldChar w:fldCharType="separate"/>
        </w:r>
        <w:r>
          <w:rPr>
            <w:webHidden/>
          </w:rPr>
          <w:t>9</w:t>
        </w:r>
        <w:r>
          <w:rPr>
            <w:webHidden/>
          </w:rPr>
          <w:fldChar w:fldCharType="end"/>
        </w:r>
      </w:hyperlink>
    </w:p>
    <w:p w14:paraId="0B4E0886" w14:textId="0E1C676E" w:rsidR="00BE3792" w:rsidRDefault="00BE3792">
      <w:pPr>
        <w:pStyle w:val="TOC2"/>
        <w:rPr>
          <w:rFonts w:asciiTheme="minorHAnsi" w:eastAsiaTheme="minorEastAsia" w:hAnsiTheme="minorHAnsi" w:cstheme="minorBidi"/>
          <w:spacing w:val="0"/>
          <w:sz w:val="22"/>
          <w:szCs w:val="22"/>
        </w:rPr>
      </w:pPr>
      <w:hyperlink w:anchor="_Toc116470279" w:history="1">
        <w:r w:rsidRPr="00F444B2">
          <w:rPr>
            <w:rStyle w:val="Hyperlink"/>
          </w:rPr>
          <w:t>Licensing arrangements</w:t>
        </w:r>
        <w:r>
          <w:rPr>
            <w:webHidden/>
          </w:rPr>
          <w:tab/>
        </w:r>
        <w:r>
          <w:rPr>
            <w:webHidden/>
          </w:rPr>
          <w:fldChar w:fldCharType="begin"/>
        </w:r>
        <w:r>
          <w:rPr>
            <w:webHidden/>
          </w:rPr>
          <w:instrText xml:space="preserve"> PAGEREF _Toc116470279 \h </w:instrText>
        </w:r>
        <w:r>
          <w:rPr>
            <w:webHidden/>
          </w:rPr>
        </w:r>
        <w:r>
          <w:rPr>
            <w:webHidden/>
          </w:rPr>
          <w:fldChar w:fldCharType="separate"/>
        </w:r>
        <w:r>
          <w:rPr>
            <w:webHidden/>
          </w:rPr>
          <w:t>9</w:t>
        </w:r>
        <w:r>
          <w:rPr>
            <w:webHidden/>
          </w:rPr>
          <w:fldChar w:fldCharType="end"/>
        </w:r>
      </w:hyperlink>
    </w:p>
    <w:p w14:paraId="4BA9B540" w14:textId="0D1F3C33" w:rsidR="00BE3792" w:rsidRDefault="00BE3792">
      <w:pPr>
        <w:pStyle w:val="TOC2"/>
        <w:rPr>
          <w:rFonts w:asciiTheme="minorHAnsi" w:eastAsiaTheme="minorEastAsia" w:hAnsiTheme="minorHAnsi" w:cstheme="minorBidi"/>
          <w:spacing w:val="0"/>
          <w:sz w:val="22"/>
          <w:szCs w:val="22"/>
        </w:rPr>
      </w:pPr>
      <w:hyperlink w:anchor="_Toc116470280" w:history="1">
        <w:r w:rsidRPr="00F444B2">
          <w:rPr>
            <w:rStyle w:val="Hyperlink"/>
          </w:rPr>
          <w:t>Summary</w:t>
        </w:r>
        <w:r>
          <w:rPr>
            <w:webHidden/>
          </w:rPr>
          <w:tab/>
        </w:r>
        <w:r>
          <w:rPr>
            <w:webHidden/>
          </w:rPr>
          <w:fldChar w:fldCharType="begin"/>
        </w:r>
        <w:r>
          <w:rPr>
            <w:webHidden/>
          </w:rPr>
          <w:instrText xml:space="preserve"> PAGEREF _Toc116470280 \h </w:instrText>
        </w:r>
        <w:r>
          <w:rPr>
            <w:webHidden/>
          </w:rPr>
        </w:r>
        <w:r>
          <w:rPr>
            <w:webHidden/>
          </w:rPr>
          <w:fldChar w:fldCharType="separate"/>
        </w:r>
        <w:r>
          <w:rPr>
            <w:webHidden/>
          </w:rPr>
          <w:t>10</w:t>
        </w:r>
        <w:r>
          <w:rPr>
            <w:webHidden/>
          </w:rPr>
          <w:fldChar w:fldCharType="end"/>
        </w:r>
      </w:hyperlink>
    </w:p>
    <w:p w14:paraId="489B3769" w14:textId="1D5DE88F" w:rsidR="00BE3792" w:rsidRDefault="00BE3792">
      <w:pPr>
        <w:pStyle w:val="TOC1"/>
        <w:rPr>
          <w:rFonts w:asciiTheme="minorHAnsi" w:eastAsiaTheme="minorEastAsia" w:hAnsiTheme="minorHAnsi" w:cstheme="minorBidi"/>
          <w:b w:val="0"/>
          <w:spacing w:val="0"/>
          <w:sz w:val="22"/>
          <w:szCs w:val="22"/>
        </w:rPr>
      </w:pPr>
      <w:hyperlink w:anchor="_Toc116470281" w:history="1">
        <w:r w:rsidRPr="00F444B2">
          <w:rPr>
            <w:rStyle w:val="Hyperlink"/>
          </w:rPr>
          <w:t>Appendix B: Provisions in class licences relevant to the band plan</w:t>
        </w:r>
        <w:r>
          <w:rPr>
            <w:webHidden/>
          </w:rPr>
          <w:tab/>
        </w:r>
        <w:r>
          <w:rPr>
            <w:webHidden/>
          </w:rPr>
          <w:fldChar w:fldCharType="begin"/>
        </w:r>
        <w:r>
          <w:rPr>
            <w:webHidden/>
          </w:rPr>
          <w:instrText xml:space="preserve"> PAGEREF _Toc116470281 \h </w:instrText>
        </w:r>
        <w:r>
          <w:rPr>
            <w:webHidden/>
          </w:rPr>
        </w:r>
        <w:r>
          <w:rPr>
            <w:webHidden/>
          </w:rPr>
          <w:fldChar w:fldCharType="separate"/>
        </w:r>
        <w:r>
          <w:rPr>
            <w:webHidden/>
          </w:rPr>
          <w:t>13</w:t>
        </w:r>
        <w:r>
          <w:rPr>
            <w:webHidden/>
          </w:rPr>
          <w:fldChar w:fldCharType="end"/>
        </w:r>
      </w:hyperlink>
    </w:p>
    <w:p w14:paraId="0BED0135" w14:textId="05A984D9"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7925EF74" w14:textId="77777777" w:rsidR="0019084B" w:rsidRPr="00E162C4" w:rsidRDefault="0019084B" w:rsidP="0019084B">
      <w:pPr>
        <w:pStyle w:val="Execsummaryheading"/>
      </w:pPr>
      <w:bookmarkStart w:id="0" w:name="_Toc92265078"/>
      <w:bookmarkStart w:id="1" w:name="_Toc116470265"/>
      <w:r w:rsidRPr="00E162C4">
        <w:lastRenderedPageBreak/>
        <w:t>Executive summary</w:t>
      </w:r>
      <w:bookmarkEnd w:id="0"/>
      <w:bookmarkEnd w:id="1"/>
    </w:p>
    <w:p w14:paraId="18A6BEAD" w14:textId="2A7E2BCC" w:rsidR="005610F9" w:rsidRDefault="0019084B" w:rsidP="0019084B">
      <w:pPr>
        <w:pStyle w:val="Paragraph"/>
      </w:pPr>
      <w:r>
        <w:t xml:space="preserve">The </w:t>
      </w:r>
      <w:hyperlink r:id="rId24" w:history="1">
        <w:r w:rsidRPr="00DF3226">
          <w:rPr>
            <w:rStyle w:val="Hyperlink"/>
          </w:rPr>
          <w:t>Radiocommunications (Mid-West Radio Quiet Zone) Frequency Band Plan 2011</w:t>
        </w:r>
      </w:hyperlink>
      <w:r>
        <w:t xml:space="preserve"> (the </w:t>
      </w:r>
      <w:r w:rsidR="00360AC6">
        <w:t>b</w:t>
      </w:r>
      <w:r>
        <w:t xml:space="preserve">and </w:t>
      </w:r>
      <w:r w:rsidR="00360AC6">
        <w:t>p</w:t>
      </w:r>
      <w:r>
        <w:t xml:space="preserve">lan) is part of a multi-tiered spectrum planning regulatory arrangement in place to support the </w:t>
      </w:r>
      <w:r w:rsidRPr="00134982">
        <w:t xml:space="preserve">Australian Radio Quiet Zone Western Australia </w:t>
      </w:r>
      <w:r>
        <w:t>(</w:t>
      </w:r>
      <w:r w:rsidRPr="00134982">
        <w:t>ARQZWA</w:t>
      </w:r>
      <w:r>
        <w:t xml:space="preserve">) and its ongoing viability for radio astronomy services. </w:t>
      </w:r>
    </w:p>
    <w:p w14:paraId="2BB2F10B" w14:textId="3CD61F9F" w:rsidR="00360AC6" w:rsidRDefault="00F10725" w:rsidP="005610F9">
      <w:pPr>
        <w:pStyle w:val="Paragraph"/>
      </w:pPr>
      <w:r>
        <w:t xml:space="preserve">Under Part 4 of Chapter 3 of the </w:t>
      </w:r>
      <w:r w:rsidRPr="007A7F6A">
        <w:rPr>
          <w:i/>
          <w:iCs/>
        </w:rPr>
        <w:t>Legislation Act 2003</w:t>
      </w:r>
      <w:r>
        <w:t>, most legislative instruments ‘sunset</w:t>
      </w:r>
      <w:r w:rsidR="00360AC6">
        <w:t>’.</w:t>
      </w:r>
      <w:r>
        <w:t xml:space="preserve"> </w:t>
      </w:r>
      <w:r w:rsidR="00360AC6">
        <w:t>T</w:t>
      </w:r>
      <w:r>
        <w:t>hat is, they are automatically repealed on 1 April or 1 October that first occurs 10 years after they are registered. This is an automatic process applying to most legislative instruments</w:t>
      </w:r>
      <w:r w:rsidR="00360AC6">
        <w:t>,</w:t>
      </w:r>
      <w:r>
        <w:t xml:space="preserve"> regardless of their content. </w:t>
      </w:r>
    </w:p>
    <w:p w14:paraId="3AB0A4D1" w14:textId="0334CE80" w:rsidR="005610F9" w:rsidRDefault="00F10725" w:rsidP="005610F9">
      <w:pPr>
        <w:pStyle w:val="Paragraph"/>
      </w:pPr>
      <w:r>
        <w:t xml:space="preserve">The </w:t>
      </w:r>
      <w:r w:rsidR="00360AC6">
        <w:t>b</w:t>
      </w:r>
      <w:r>
        <w:t xml:space="preserve">and </w:t>
      </w:r>
      <w:r w:rsidR="00360AC6">
        <w:t>p</w:t>
      </w:r>
      <w:r>
        <w:t xml:space="preserve">lan is due to sunset on 1 April 2023. </w:t>
      </w:r>
      <w:r w:rsidR="00360AC6">
        <w:t xml:space="preserve">We have </w:t>
      </w:r>
      <w:r w:rsidR="005610F9">
        <w:t xml:space="preserve">formed the preliminary view that the </w:t>
      </w:r>
      <w:r w:rsidR="00360AC6">
        <w:t>b</w:t>
      </w:r>
      <w:r w:rsidR="005610F9">
        <w:t xml:space="preserve">and </w:t>
      </w:r>
      <w:r w:rsidR="00360AC6">
        <w:t>p</w:t>
      </w:r>
      <w:r w:rsidR="005610F9">
        <w:t>lan is operating effectively and efficiently</w:t>
      </w:r>
      <w:r w:rsidR="00360AC6">
        <w:t>,</w:t>
      </w:r>
      <w:r w:rsidR="005610F9">
        <w:t xml:space="preserve"> and continues to form a necessary and useful part of the legislative framework. </w:t>
      </w:r>
    </w:p>
    <w:p w14:paraId="0A306AD1" w14:textId="5B4C0437" w:rsidR="005610F9" w:rsidRDefault="005610F9" w:rsidP="005610F9">
      <w:pPr>
        <w:pStyle w:val="Paragraph"/>
      </w:pPr>
      <w:r>
        <w:t>The ACMA proposes to remake the Radiocommunications (Mid-West Radio Quiet Zone) Frequency Band Plan 2011 with only such minor changes as are referred to below</w:t>
      </w:r>
      <w:r w:rsidR="00CF07EA">
        <w:t>,</w:t>
      </w:r>
      <w:r>
        <w:t xml:space="preserve"> and to retitle it the </w:t>
      </w:r>
      <w:r w:rsidRPr="007B29E6">
        <w:t>Radiocommunications (Australian Radio Quiet Zone Western Australia) Frequency Band Plan 2023</w:t>
      </w:r>
      <w:r w:rsidRPr="00CF07EA">
        <w:t>.</w:t>
      </w:r>
      <w:r>
        <w:t xml:space="preserve"> A draft of the proposed new band plan is available in the key documents section of this consultation. </w:t>
      </w:r>
    </w:p>
    <w:p w14:paraId="68B42CFA" w14:textId="660BC8B9" w:rsidR="005610F9" w:rsidRDefault="00CF07EA" w:rsidP="005610F9">
      <w:pPr>
        <w:pStyle w:val="Paragraph"/>
      </w:pPr>
      <w:r>
        <w:t xml:space="preserve">We </w:t>
      </w:r>
      <w:r w:rsidR="005610F9">
        <w:t>invite comment</w:t>
      </w:r>
      <w:r>
        <w:t>s</w:t>
      </w:r>
      <w:r w:rsidR="005610F9">
        <w:t xml:space="preserve"> from interested </w:t>
      </w:r>
      <w:r w:rsidR="005610F9" w:rsidRPr="00323B31">
        <w:t xml:space="preserve">parties on the proposed </w:t>
      </w:r>
      <w:r w:rsidR="008F590F">
        <w:t>new band plan</w:t>
      </w:r>
      <w:r w:rsidR="005610F9" w:rsidRPr="00323B31">
        <w:t xml:space="preserve"> by </w:t>
      </w:r>
      <w:r w:rsidR="005610F9" w:rsidRPr="00323B31">
        <w:rPr>
          <w:b/>
          <w:bCs/>
        </w:rPr>
        <w:t>COB, Monday 1</w:t>
      </w:r>
      <w:r w:rsidR="00323B31" w:rsidRPr="00323B31">
        <w:rPr>
          <w:b/>
          <w:bCs/>
        </w:rPr>
        <w:t>4</w:t>
      </w:r>
      <w:r w:rsidR="005610F9" w:rsidRPr="00323B31">
        <w:rPr>
          <w:b/>
          <w:bCs/>
        </w:rPr>
        <w:t xml:space="preserve"> November 2022</w:t>
      </w:r>
      <w:r w:rsidR="005610F9" w:rsidRPr="00323B31">
        <w:t>. Information</w:t>
      </w:r>
      <w:r w:rsidR="005610F9">
        <w:t xml:space="preserve"> about making a submission is in the </w:t>
      </w:r>
      <w:hyperlink w:anchor="_Invitation_to_comment" w:history="1">
        <w:r w:rsidRPr="00CF07EA">
          <w:rPr>
            <w:rStyle w:val="Hyperlink"/>
          </w:rPr>
          <w:t>Invitation to comment</w:t>
        </w:r>
      </w:hyperlink>
      <w:r w:rsidR="005610F9">
        <w:t xml:space="preserve"> section of this consultation paper. </w:t>
      </w:r>
    </w:p>
    <w:p w14:paraId="617DF6DC" w14:textId="2CDDE713" w:rsidR="0019084B" w:rsidRPr="00E162C4" w:rsidRDefault="0019084B" w:rsidP="0019084B"/>
    <w:p w14:paraId="22CDA97D" w14:textId="77777777" w:rsidR="006C11BC" w:rsidRDefault="006C11BC" w:rsidP="006C11BC">
      <w:pPr>
        <w:pStyle w:val="Paragraph"/>
      </w:pPr>
    </w:p>
    <w:p w14:paraId="290450D9" w14:textId="0A8B75C2" w:rsidR="005E250B" w:rsidRPr="00E162C4" w:rsidRDefault="00604F4B" w:rsidP="002C0530">
      <w:pPr>
        <w:pStyle w:val="Heading1"/>
      </w:pPr>
      <w:bookmarkStart w:id="2" w:name="_Toc116470266"/>
      <w:r>
        <w:lastRenderedPageBreak/>
        <w:t xml:space="preserve">About the </w:t>
      </w:r>
      <w:r w:rsidR="00CF07EA">
        <w:t>b</w:t>
      </w:r>
      <w:r>
        <w:t xml:space="preserve">and </w:t>
      </w:r>
      <w:r w:rsidR="00CF07EA">
        <w:t>p</w:t>
      </w:r>
      <w:r>
        <w:t>lan</w:t>
      </w:r>
      <w:bookmarkEnd w:id="2"/>
    </w:p>
    <w:p w14:paraId="2BC2A509" w14:textId="6D4C9620" w:rsidR="00A020BC" w:rsidRDefault="00A020BC" w:rsidP="00A020BC">
      <w:pPr>
        <w:pStyle w:val="Paragraph"/>
      </w:pPr>
      <w:bookmarkStart w:id="3" w:name="_Hlk26868779"/>
      <w:r>
        <w:t>The ACMA established the</w:t>
      </w:r>
      <w:r w:rsidRPr="00134982">
        <w:t xml:space="preserve"> Australian Radio Quiet Zone Western Australia </w:t>
      </w:r>
      <w:r>
        <w:t>(</w:t>
      </w:r>
      <w:r w:rsidRPr="00134982">
        <w:t>ARQZWA</w:t>
      </w:r>
      <w:r>
        <w:t xml:space="preserve">) on 11 April 2005 with the introduction of Spectrum Embargo 41. The </w:t>
      </w:r>
      <w:r w:rsidRPr="00134982">
        <w:t>ARQZWA</w:t>
      </w:r>
      <w:r>
        <w:t xml:space="preserve"> aims to maintain the ‘radio-quietness’ of a site in remote Western Australia, near Boolardy Station, around 300 km </w:t>
      </w:r>
      <w:r w:rsidR="008F590F">
        <w:t>n</w:t>
      </w:r>
      <w:r>
        <w:t>orth-</w:t>
      </w:r>
      <w:r w:rsidR="008F590F">
        <w:t>w</w:t>
      </w:r>
      <w:r>
        <w:t>est of Geraldton. The area has very low levels of radiofrequency energy because of its low population and remote location.</w:t>
      </w:r>
    </w:p>
    <w:p w14:paraId="65420443" w14:textId="00ACF2AA" w:rsidR="00A020BC" w:rsidRDefault="00A020BC" w:rsidP="00A020BC">
      <w:pPr>
        <w:pStyle w:val="Paragraph"/>
      </w:pPr>
      <w:r>
        <w:t>The ARQZWA facilitate</w:t>
      </w:r>
      <w:r w:rsidR="00540083">
        <w:t>s</w:t>
      </w:r>
      <w:r>
        <w:t xml:space="preserve"> the development and use of new radioastronomy technologies at that location, and </w:t>
      </w:r>
      <w:r w:rsidR="008F590F">
        <w:t>support</w:t>
      </w:r>
      <w:r w:rsidR="00540083">
        <w:t>s</w:t>
      </w:r>
      <w:r>
        <w:t xml:space="preserve"> Australia</w:t>
      </w:r>
      <w:r w:rsidR="00540083">
        <w:t>’</w:t>
      </w:r>
      <w:r>
        <w:t xml:space="preserve">s </w:t>
      </w:r>
      <w:r w:rsidR="007B29E6">
        <w:t>hosting of</w:t>
      </w:r>
      <w:r>
        <w:t xml:space="preserve"> the Square Kilometre Array (SKA). </w:t>
      </w:r>
      <w:r w:rsidR="00540083">
        <w:t>S</w:t>
      </w:r>
      <w:r>
        <w:t xml:space="preserve">ince 2005, the Murchison Radioastronomy Observatory (MRO) has been developed at the centre of the </w:t>
      </w:r>
      <w:r w:rsidR="00971529">
        <w:t>A</w:t>
      </w:r>
      <w:r>
        <w:t>RQZ</w:t>
      </w:r>
      <w:r w:rsidR="00971529">
        <w:t>WA</w:t>
      </w:r>
      <w:r>
        <w:t xml:space="preserve">. It is home to </w:t>
      </w:r>
      <w:r w:rsidR="00971529">
        <w:t>several significant</w:t>
      </w:r>
      <w:r>
        <w:t xml:space="preserve"> radioastronomy projects</w:t>
      </w:r>
      <w:r w:rsidR="00540083">
        <w:t>,</w:t>
      </w:r>
      <w:r w:rsidR="00971529">
        <w:t xml:space="preserve"> with the construction of the SKA set to commence in 2023</w:t>
      </w:r>
      <w:r>
        <w:t>.</w:t>
      </w:r>
    </w:p>
    <w:p w14:paraId="1569C754" w14:textId="1ADC4776" w:rsidR="00A020BC" w:rsidRDefault="00A020BC" w:rsidP="00604F4B">
      <w:pPr>
        <w:pStyle w:val="Paragraph"/>
      </w:pPr>
      <w:r>
        <w:t>There is a multi-tiered spectrum planning regulatory arrangement in place to support the ARQZWA and its ongoing viability for radio astronomy services. This include</w:t>
      </w:r>
      <w:r w:rsidR="00604F4B">
        <w:t xml:space="preserve">s the </w:t>
      </w:r>
      <w:hyperlink r:id="rId25" w:history="1">
        <w:r w:rsidRPr="00DF3226">
          <w:rPr>
            <w:rStyle w:val="Hyperlink"/>
          </w:rPr>
          <w:t>Radiocommunications (Mid-West Radio Quiet Zone) Frequency Band Plan 2011</w:t>
        </w:r>
      </w:hyperlink>
      <w:r>
        <w:t xml:space="preserve"> (the </w:t>
      </w:r>
      <w:r w:rsidR="00906B30">
        <w:t>b</w:t>
      </w:r>
      <w:r>
        <w:t xml:space="preserve">and </w:t>
      </w:r>
      <w:r w:rsidR="00906B30">
        <w:t>p</w:t>
      </w:r>
      <w:r>
        <w:t>lan)</w:t>
      </w:r>
      <w:r w:rsidR="00604F4B">
        <w:t>.</w:t>
      </w:r>
    </w:p>
    <w:p w14:paraId="09B84D57" w14:textId="134AE9B9" w:rsidR="00A020BC" w:rsidRDefault="00604F4B" w:rsidP="00604F4B">
      <w:pPr>
        <w:pStyle w:val="Paragraph"/>
      </w:pPr>
      <w:r>
        <w:t xml:space="preserve">Other parts of the ARQZWA spectrum planning arrangements are described in </w:t>
      </w:r>
      <w:hyperlink w:anchor="_Appendix_A:_Spectrum" w:history="1">
        <w:r w:rsidRPr="00835489">
          <w:rPr>
            <w:rStyle w:val="Hyperlink"/>
          </w:rPr>
          <w:t>Appendix A</w:t>
        </w:r>
      </w:hyperlink>
      <w:r>
        <w:t xml:space="preserve">. </w:t>
      </w:r>
    </w:p>
    <w:p w14:paraId="70B2A762" w14:textId="0FAE4626" w:rsidR="00A020BC" w:rsidRPr="00382F5F" w:rsidRDefault="00A020BC" w:rsidP="00A020BC">
      <w:pPr>
        <w:pStyle w:val="Heading2"/>
      </w:pPr>
      <w:bookmarkStart w:id="4" w:name="_Toc105509759"/>
      <w:bookmarkStart w:id="5" w:name="_Toc116470267"/>
      <w:r w:rsidRPr="00382F5F">
        <w:t xml:space="preserve">Band </w:t>
      </w:r>
      <w:r w:rsidR="00CF07EA">
        <w:t>p</w:t>
      </w:r>
      <w:r w:rsidRPr="00382F5F">
        <w:t>lan</w:t>
      </w:r>
      <w:bookmarkEnd w:id="4"/>
      <w:bookmarkEnd w:id="5"/>
      <w:r w:rsidRPr="00382F5F">
        <w:t xml:space="preserve"> </w:t>
      </w:r>
    </w:p>
    <w:p w14:paraId="10CC50FE" w14:textId="33B3795C" w:rsidR="00A020BC" w:rsidRDefault="00A020BC" w:rsidP="00A020BC">
      <w:pPr>
        <w:pStyle w:val="Paragraph"/>
      </w:pPr>
      <w:r>
        <w:t xml:space="preserve">A frequency band plan made under section 32 of the </w:t>
      </w:r>
      <w:r w:rsidR="00971529" w:rsidRPr="00971529">
        <w:rPr>
          <w:i/>
          <w:iCs/>
        </w:rPr>
        <w:t>Radiocommunications</w:t>
      </w:r>
      <w:r w:rsidRPr="00971529">
        <w:rPr>
          <w:i/>
          <w:iCs/>
        </w:rPr>
        <w:t xml:space="preserve"> Act</w:t>
      </w:r>
      <w:r w:rsidR="00971529" w:rsidRPr="00971529">
        <w:rPr>
          <w:i/>
          <w:iCs/>
        </w:rPr>
        <w:t xml:space="preserve"> 1992</w:t>
      </w:r>
      <w:r w:rsidR="00971529">
        <w:t xml:space="preserve"> (Radiocommunications Act)</w:t>
      </w:r>
      <w:r>
        <w:t xml:space="preserve"> must set out the purpose</w:t>
      </w:r>
      <w:r w:rsidR="00971529">
        <w:t>,</w:t>
      </w:r>
      <w:r>
        <w:t xml:space="preserve"> or purposes</w:t>
      </w:r>
      <w:r w:rsidR="00971529">
        <w:t>,</w:t>
      </w:r>
      <w:r>
        <w:t xml:space="preserve"> for which the frequency band or bands </w:t>
      </w:r>
      <w:r w:rsidR="00971529">
        <w:t>designated</w:t>
      </w:r>
      <w:r>
        <w:t xml:space="preserve"> in it can be used. The use of a frequency band may include the reservation of spectrum in that band for the prevention or control of interference to radiocommunications.</w:t>
      </w:r>
    </w:p>
    <w:p w14:paraId="094BD374" w14:textId="10F111A9" w:rsidR="00A020BC" w:rsidRDefault="00A020BC" w:rsidP="00A020BC">
      <w:pPr>
        <w:pStyle w:val="Paragraph"/>
      </w:pPr>
      <w:r>
        <w:t xml:space="preserve">The </w:t>
      </w:r>
      <w:r w:rsidR="001A5ABF">
        <w:t>b</w:t>
      </w:r>
      <w:r>
        <w:t xml:space="preserve">and </w:t>
      </w:r>
      <w:r w:rsidR="001A5ABF">
        <w:t>p</w:t>
      </w:r>
      <w:r>
        <w:t xml:space="preserve">lan commenced on 11 July 2011. </w:t>
      </w:r>
      <w:r w:rsidR="001A5ABF">
        <w:t xml:space="preserve">It </w:t>
      </w:r>
      <w:r>
        <w:t xml:space="preserve">establishes a radio quiet zone (RQZ) in the </w:t>
      </w:r>
      <w:r w:rsidR="001A5ABF">
        <w:t>m</w:t>
      </w:r>
      <w:r>
        <w:t>id-</w:t>
      </w:r>
      <w:r w:rsidR="001A5ABF">
        <w:t>w</w:t>
      </w:r>
      <w:r>
        <w:t>est region of Western Australia.</w:t>
      </w:r>
      <w:r w:rsidRPr="00E162C4">
        <w:t xml:space="preserve"> </w:t>
      </w:r>
    </w:p>
    <w:p w14:paraId="3CFBBEF1" w14:textId="33254842" w:rsidR="00A020BC" w:rsidRDefault="00A020BC" w:rsidP="00A020BC">
      <w:pPr>
        <w:pStyle w:val="Paragraph"/>
        <w:spacing w:after="80"/>
      </w:pPr>
      <w:r>
        <w:t xml:space="preserve">The </w:t>
      </w:r>
      <w:r w:rsidR="001A5ABF">
        <w:t>b</w:t>
      </w:r>
      <w:r>
        <w:t xml:space="preserve">and </w:t>
      </w:r>
      <w:r w:rsidR="001A5ABF">
        <w:t>p</w:t>
      </w:r>
      <w:r>
        <w:t xml:space="preserve">lan establishes </w:t>
      </w:r>
      <w:r w:rsidR="001A5ABF">
        <w:t>2</w:t>
      </w:r>
      <w:r>
        <w:t xml:space="preserve"> zones: </w:t>
      </w:r>
    </w:p>
    <w:p w14:paraId="20D8E710" w14:textId="6E03CD64" w:rsidR="00A020BC" w:rsidRDefault="00A020BC" w:rsidP="00A020BC">
      <w:pPr>
        <w:pStyle w:val="Bulletlevel1"/>
      </w:pPr>
      <w:r w:rsidRPr="00382F5F">
        <w:rPr>
          <w:b/>
          <w:bCs/>
        </w:rPr>
        <w:t>RQZ (inner)</w:t>
      </w:r>
      <w:r w:rsidR="001A5ABF">
        <w:rPr>
          <w:b/>
          <w:bCs/>
        </w:rPr>
        <w:t>:</w:t>
      </w:r>
      <w:r>
        <w:t xml:space="preserve"> within the frequency range 70 MHz</w:t>
      </w:r>
      <w:r w:rsidR="001A5ABF">
        <w:t xml:space="preserve"> to </w:t>
      </w:r>
      <w:r>
        <w:t>25.25 GHz, and within a distance of 70 k</w:t>
      </w:r>
      <w:r w:rsidR="001A5ABF">
        <w:t>m</w:t>
      </w:r>
      <w:r>
        <w:t xml:space="preserve"> from the ARQZWA centre point (</w:t>
      </w:r>
      <w:r w:rsidRPr="00134982">
        <w:t>latitude 26.704167° South, longitude 116.658889° East</w:t>
      </w:r>
      <w:r>
        <w:t xml:space="preserve">) </w:t>
      </w:r>
    </w:p>
    <w:p w14:paraId="3C251D8A" w14:textId="3003CBCC" w:rsidR="00A020BC" w:rsidRDefault="00A020BC" w:rsidP="00A020BC">
      <w:pPr>
        <w:pStyle w:val="Bulletlevel1last"/>
      </w:pPr>
      <w:r w:rsidRPr="00382F5F">
        <w:rPr>
          <w:b/>
          <w:bCs/>
        </w:rPr>
        <w:t>RQZ (outer)</w:t>
      </w:r>
      <w:r w:rsidR="001A5ABF">
        <w:rPr>
          <w:b/>
          <w:bCs/>
        </w:rPr>
        <w:t>:</w:t>
      </w:r>
      <w:r>
        <w:t xml:space="preserve"> within the frequency range 70 MHz</w:t>
      </w:r>
      <w:r w:rsidR="001A5ABF">
        <w:t xml:space="preserve"> to </w:t>
      </w:r>
      <w:r>
        <w:t>25.25 GHz, and between a distance of 70 to 150 k</w:t>
      </w:r>
      <w:r w:rsidR="001A5ABF">
        <w:t>m</w:t>
      </w:r>
      <w:r>
        <w:t xml:space="preserve"> from the ARQZWA centre point (</w:t>
      </w:r>
      <w:r w:rsidRPr="00134982">
        <w:t>latitude 26.704167° South, longitude 116.658889° East</w:t>
      </w:r>
      <w:r>
        <w:t>)</w:t>
      </w:r>
      <w:r w:rsidR="008F590F">
        <w:t>.</w:t>
      </w:r>
      <w:r>
        <w:t xml:space="preserve"> </w:t>
      </w:r>
    </w:p>
    <w:p w14:paraId="76EB10F8" w14:textId="64A6B4DD" w:rsidR="00A020BC" w:rsidRDefault="00A020BC" w:rsidP="00A020BC">
      <w:pPr>
        <w:pStyle w:val="Paragraph"/>
      </w:pPr>
      <w:r>
        <w:t xml:space="preserve">Services authorised to operate in the RQZ (inner) zone </w:t>
      </w:r>
      <w:r w:rsidR="001A5ABF">
        <w:t xml:space="preserve">that </w:t>
      </w:r>
      <w:r>
        <w:t>are not radio astronomy services</w:t>
      </w:r>
      <w:r w:rsidR="001A5ABF">
        <w:t xml:space="preserve"> –</w:t>
      </w:r>
      <w:r>
        <w:t xml:space="preserve"> in relation to radio astronomy services</w:t>
      </w:r>
      <w:r w:rsidR="001A5ABF">
        <w:t xml:space="preserve"> – are defined as secondary services</w:t>
      </w:r>
      <w:r>
        <w:t xml:space="preserve">. Applicants for new licences within both the RQZ (inner) and RQZ (outer) zones are required to consult with the MRO entity before applying for a licence. The MRO entity </w:t>
      </w:r>
      <w:r w:rsidR="00971529">
        <w:t>is</w:t>
      </w:r>
      <w:r>
        <w:t xml:space="preserve"> responsible for operating the Murchison Radioastronomy Observatory</w:t>
      </w:r>
      <w:r w:rsidR="00971529">
        <w:t>. The entity</w:t>
      </w:r>
      <w:r>
        <w:t xml:space="preserve"> is</w:t>
      </w:r>
      <w:r w:rsidR="00971529">
        <w:t xml:space="preserve"> currently</w:t>
      </w:r>
      <w:r>
        <w:t xml:space="preserve"> the </w:t>
      </w:r>
      <w:r w:rsidRPr="00382F5F">
        <w:t xml:space="preserve">Commonwealth Scientific and Industrial Research Organisation </w:t>
      </w:r>
      <w:r>
        <w:t xml:space="preserve">(CSIRO). </w:t>
      </w:r>
    </w:p>
    <w:p w14:paraId="2090DE73" w14:textId="77777777" w:rsidR="00A020BC" w:rsidRPr="00E162C4" w:rsidRDefault="00A020BC" w:rsidP="003253EE">
      <w:pPr>
        <w:pStyle w:val="Paragraph"/>
      </w:pPr>
    </w:p>
    <w:p w14:paraId="551B408A" w14:textId="28ECF028" w:rsidR="000B4664" w:rsidRDefault="00604F4B" w:rsidP="000B4664">
      <w:pPr>
        <w:pStyle w:val="Heading1"/>
      </w:pPr>
      <w:bookmarkStart w:id="6" w:name="_Toc116470268"/>
      <w:bookmarkEnd w:id="3"/>
      <w:r>
        <w:lastRenderedPageBreak/>
        <w:t>Issues for comment</w:t>
      </w:r>
      <w:bookmarkEnd w:id="6"/>
    </w:p>
    <w:p w14:paraId="24C5F138" w14:textId="36BA6280" w:rsidR="00604F4B" w:rsidRPr="00604F4B" w:rsidRDefault="00604F4B" w:rsidP="00604F4B">
      <w:r>
        <w:t xml:space="preserve">The ACMA is seeking comment on the continuing need for the </w:t>
      </w:r>
      <w:r w:rsidR="001A5ABF">
        <w:t>b</w:t>
      </w:r>
      <w:r>
        <w:t xml:space="preserve">and </w:t>
      </w:r>
      <w:r w:rsidR="001A5ABF">
        <w:t>p</w:t>
      </w:r>
      <w:r>
        <w:t xml:space="preserve">lan, and its effectiveness and efficiency. </w:t>
      </w:r>
    </w:p>
    <w:p w14:paraId="15C89B34" w14:textId="31402690" w:rsidR="00604F4B" w:rsidRDefault="00946B1B" w:rsidP="005E250B">
      <w:pPr>
        <w:pStyle w:val="Heading2"/>
      </w:pPr>
      <w:bookmarkStart w:id="7" w:name="_Toc116470269"/>
      <w:r>
        <w:t>N</w:t>
      </w:r>
      <w:r w:rsidR="00604F4B">
        <w:t xml:space="preserve">eed for the </w:t>
      </w:r>
      <w:r>
        <w:t>b</w:t>
      </w:r>
      <w:r w:rsidR="00604F4B">
        <w:t xml:space="preserve">and </w:t>
      </w:r>
      <w:r>
        <w:t>p</w:t>
      </w:r>
      <w:r w:rsidR="00604F4B">
        <w:t>lan</w:t>
      </w:r>
      <w:bookmarkEnd w:id="7"/>
    </w:p>
    <w:p w14:paraId="044BDB97" w14:textId="05E617D6" w:rsidR="0056323D" w:rsidRDefault="00835489" w:rsidP="0056323D">
      <w:pPr>
        <w:pStyle w:val="Paragraph"/>
      </w:pPr>
      <w:r>
        <w:t xml:space="preserve">The </w:t>
      </w:r>
      <w:r w:rsidR="00946B1B">
        <w:t>b</w:t>
      </w:r>
      <w:r>
        <w:t xml:space="preserve">and </w:t>
      </w:r>
      <w:r w:rsidR="00946B1B">
        <w:t>p</w:t>
      </w:r>
      <w:r>
        <w:t xml:space="preserve">lan is an important part of the regulatory framework in place to support the ARQZWA. </w:t>
      </w:r>
      <w:r w:rsidR="0056323D">
        <w:t xml:space="preserve">Maintaining the </w:t>
      </w:r>
      <w:r w:rsidR="007B29E6">
        <w:t xml:space="preserve">band </w:t>
      </w:r>
      <w:r w:rsidR="0074301A">
        <w:t>p</w:t>
      </w:r>
      <w:r w:rsidR="0056323D">
        <w:t xml:space="preserve">lan, which has legislative force, would provide greater </w:t>
      </w:r>
      <w:r w:rsidR="00186A3B">
        <w:t xml:space="preserve">predictability </w:t>
      </w:r>
      <w:r w:rsidR="0056323D">
        <w:t xml:space="preserve">for all parties </w:t>
      </w:r>
      <w:r w:rsidR="00971529">
        <w:t xml:space="preserve">by maintaining the radio quietness of the ARQZWA while facilitating access to other users in the area </w:t>
      </w:r>
      <w:r w:rsidR="0074301A">
        <w:t>(</w:t>
      </w:r>
      <w:r w:rsidR="00971529">
        <w:t>where appropriate</w:t>
      </w:r>
      <w:r w:rsidR="0074301A">
        <w:t>)</w:t>
      </w:r>
      <w:r w:rsidR="00971529">
        <w:t xml:space="preserve">. </w:t>
      </w:r>
      <w:r w:rsidR="0074301A">
        <w:t xml:space="preserve">We </w:t>
      </w:r>
      <w:r w:rsidR="0056323D">
        <w:t>consider the provision of additional certainty is desirable.</w:t>
      </w:r>
      <w:r w:rsidR="00971529">
        <w:t xml:space="preserve"> </w:t>
      </w:r>
    </w:p>
    <w:p w14:paraId="46D75C13" w14:textId="1122429C" w:rsidR="00604F4B" w:rsidRDefault="0056323D" w:rsidP="0056323D">
      <w:pPr>
        <w:pStyle w:val="Paragraph"/>
      </w:pPr>
      <w:r>
        <w:t xml:space="preserve">In particular, the ACMA considers the certainty that the </w:t>
      </w:r>
      <w:r w:rsidR="0074301A">
        <w:t>b</w:t>
      </w:r>
      <w:r>
        <w:t xml:space="preserve">and </w:t>
      </w:r>
      <w:r w:rsidR="0074301A">
        <w:t>p</w:t>
      </w:r>
      <w:r>
        <w:t xml:space="preserve">lan provides will continue to assist the Commonwealth to maintain the suitability of the site for radio astronomy, while managing the impacts on other </w:t>
      </w:r>
      <w:r w:rsidR="001E026E">
        <w:t>uses</w:t>
      </w:r>
      <w:r>
        <w:t>, including mining, in the surrounding areas.</w:t>
      </w:r>
    </w:p>
    <w:p w14:paraId="4EF40F75" w14:textId="77777777" w:rsidR="00604F4B" w:rsidRPr="00E43130" w:rsidRDefault="00604F4B" w:rsidP="00604F4B">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szCs w:val="24"/>
        </w:rPr>
      </w:pPr>
      <w:r w:rsidRPr="00E43130">
        <w:t>Question 1</w:t>
      </w:r>
      <w:r w:rsidRPr="00E43130">
        <w:rPr>
          <w:szCs w:val="24"/>
        </w:rPr>
        <w:t xml:space="preserve"> </w:t>
      </w:r>
    </w:p>
    <w:p w14:paraId="0401CB15" w14:textId="50410868" w:rsidR="00604F4B" w:rsidRPr="005D195C" w:rsidRDefault="00604F4B" w:rsidP="00604F4B">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b w:val="0"/>
          <w:bCs w:val="0"/>
        </w:rPr>
      </w:pPr>
      <w:r w:rsidRPr="005D195C">
        <w:rPr>
          <w:b w:val="0"/>
          <w:bCs w:val="0"/>
          <w:szCs w:val="24"/>
        </w:rPr>
        <w:t xml:space="preserve">Is the </w:t>
      </w:r>
      <w:r w:rsidR="0074301A">
        <w:rPr>
          <w:b w:val="0"/>
          <w:bCs w:val="0"/>
          <w:szCs w:val="24"/>
        </w:rPr>
        <w:t>b</w:t>
      </w:r>
      <w:r>
        <w:rPr>
          <w:b w:val="0"/>
          <w:bCs w:val="0"/>
          <w:szCs w:val="24"/>
        </w:rPr>
        <w:t xml:space="preserve">and </w:t>
      </w:r>
      <w:r w:rsidR="0074301A">
        <w:rPr>
          <w:b w:val="0"/>
          <w:bCs w:val="0"/>
          <w:szCs w:val="24"/>
        </w:rPr>
        <w:t>p</w:t>
      </w:r>
      <w:r>
        <w:rPr>
          <w:b w:val="0"/>
          <w:bCs w:val="0"/>
          <w:szCs w:val="24"/>
        </w:rPr>
        <w:t>lan</w:t>
      </w:r>
      <w:r w:rsidRPr="005D195C">
        <w:rPr>
          <w:b w:val="0"/>
          <w:bCs w:val="0"/>
          <w:szCs w:val="24"/>
        </w:rPr>
        <w:t xml:space="preserve"> still needed? If so, why? If not, why not?</w:t>
      </w:r>
    </w:p>
    <w:p w14:paraId="69EACEC5" w14:textId="77777777" w:rsidR="00604F4B" w:rsidRPr="00E43130" w:rsidRDefault="00604F4B" w:rsidP="00E01B5D">
      <w:pPr>
        <w:pStyle w:val="Heading2"/>
      </w:pPr>
      <w:bookmarkStart w:id="8" w:name="_Toc116470270"/>
      <w:r w:rsidRPr="00E43130">
        <w:t>Effectiveness and efficiency of the instrument</w:t>
      </w:r>
      <w:bookmarkEnd w:id="8"/>
    </w:p>
    <w:p w14:paraId="1E52A784" w14:textId="751575D5" w:rsidR="00604F4B" w:rsidRDefault="0074301A" w:rsidP="00C126B2">
      <w:pPr>
        <w:pStyle w:val="Paragraph"/>
      </w:pPr>
      <w:r>
        <w:t xml:space="preserve">Our </w:t>
      </w:r>
      <w:r w:rsidR="00843448">
        <w:t>assessment is that</w:t>
      </w:r>
      <w:r w:rsidR="00835489" w:rsidRPr="00835489">
        <w:t xml:space="preserve"> current regulatory arrangements in support of the ARQZWA are </w:t>
      </w:r>
      <w:r w:rsidR="0072131D">
        <w:t xml:space="preserve">largely </w:t>
      </w:r>
      <w:r w:rsidR="00835489" w:rsidRPr="00835489">
        <w:t xml:space="preserve">operating effectively. </w:t>
      </w:r>
      <w:r w:rsidR="00082FD0">
        <w:t xml:space="preserve">We have </w:t>
      </w:r>
      <w:r w:rsidR="00835489" w:rsidRPr="00835489">
        <w:t>not been required to adjudicate in negotiations between the MRO entity and prospective licensees around the ARQZWA area</w:t>
      </w:r>
      <w:r w:rsidR="00835489">
        <w:t>.</w:t>
      </w:r>
      <w:r w:rsidR="00835489" w:rsidRPr="00835489">
        <w:t xml:space="preserve"> Further, there have been no reports </w:t>
      </w:r>
      <w:r w:rsidR="00835489">
        <w:t xml:space="preserve">to the ACMA </w:t>
      </w:r>
      <w:r w:rsidR="00835489" w:rsidRPr="00835489">
        <w:t xml:space="preserve">of interference to radioastronomy services within the ARQZWA. </w:t>
      </w:r>
    </w:p>
    <w:p w14:paraId="3D353CEB" w14:textId="5C9F5F6F" w:rsidR="001A6D69" w:rsidRPr="00E162C4" w:rsidRDefault="0056323D" w:rsidP="00595E76">
      <w:pPr>
        <w:pStyle w:val="Paragraph"/>
        <w:spacing w:before="240"/>
      </w:pPr>
      <w:r>
        <w:t xml:space="preserve">Table 1 shows the number of assignments within each of the zones of the </w:t>
      </w:r>
      <w:r w:rsidR="00715C56">
        <w:t>b</w:t>
      </w:r>
      <w:r>
        <w:t xml:space="preserve">and </w:t>
      </w:r>
      <w:r w:rsidR="00715C56">
        <w:t>p</w:t>
      </w:r>
      <w:r>
        <w:t xml:space="preserve">lan. </w:t>
      </w:r>
      <w:r w:rsidR="00595E76">
        <w:t xml:space="preserve">Of the 268 assignments currently registered within the area covered by the </w:t>
      </w:r>
      <w:r w:rsidR="00C15E3C">
        <w:t>p</w:t>
      </w:r>
      <w:r w:rsidR="00595E76">
        <w:t xml:space="preserve">lan, 123 assignments were issued after </w:t>
      </w:r>
      <w:r w:rsidR="00C15E3C">
        <w:t xml:space="preserve">its </w:t>
      </w:r>
      <w:r w:rsidR="00595E76">
        <w:t>commencement</w:t>
      </w:r>
      <w:r w:rsidR="00C126B2">
        <w:t xml:space="preserve">. </w:t>
      </w:r>
    </w:p>
    <w:p w14:paraId="3E6EE30E" w14:textId="1BEB181A" w:rsidR="001A6D69" w:rsidRPr="00E162C4" w:rsidRDefault="00595E76" w:rsidP="001A6D69">
      <w:pPr>
        <w:pStyle w:val="Tableheading"/>
      </w:pPr>
      <w:r>
        <w:t xml:space="preserve">Assignments within the area covered by the </w:t>
      </w:r>
      <w:r w:rsidR="00FF3A53">
        <w:t>b</w:t>
      </w:r>
      <w:r>
        <w:t xml:space="preserve">and </w:t>
      </w:r>
      <w:r w:rsidR="00FF3A53">
        <w:t>p</w:t>
      </w:r>
      <w:r>
        <w:t xml:space="preserve">lan </w:t>
      </w:r>
    </w:p>
    <w:tbl>
      <w:tblPr>
        <w:tblStyle w:val="ACMAtablestyle"/>
        <w:tblW w:w="7792" w:type="dxa"/>
        <w:tblLayout w:type="fixed"/>
        <w:tblLook w:val="01E0" w:firstRow="1" w:lastRow="1" w:firstColumn="1" w:lastColumn="1" w:noHBand="0" w:noVBand="0"/>
        <w:tblCaption w:val="Table title to go here"/>
        <w:tblDescription w:val="Table description to go here"/>
      </w:tblPr>
      <w:tblGrid>
        <w:gridCol w:w="1838"/>
        <w:gridCol w:w="2552"/>
        <w:gridCol w:w="3402"/>
      </w:tblGrid>
      <w:tr w:rsidR="001A6D69" w:rsidRPr="00E162C4" w14:paraId="0A994092" w14:textId="77777777" w:rsidTr="0001531B">
        <w:trPr>
          <w:cnfStyle w:val="100000000000" w:firstRow="1" w:lastRow="0" w:firstColumn="0" w:lastColumn="0" w:oddVBand="0" w:evenVBand="0" w:oddHBand="0" w:evenHBand="0" w:firstRowFirstColumn="0" w:firstRowLastColumn="0" w:lastRowFirstColumn="0" w:lastRowLastColumn="0"/>
        </w:trPr>
        <w:tc>
          <w:tcPr>
            <w:tcW w:w="1838" w:type="dxa"/>
          </w:tcPr>
          <w:p w14:paraId="3F096834" w14:textId="25084D2D" w:rsidR="001A6D69" w:rsidRPr="00E162C4" w:rsidRDefault="001A6D69" w:rsidP="00091918">
            <w:pPr>
              <w:pStyle w:val="Tableheaderrow"/>
            </w:pPr>
            <w:r>
              <w:t xml:space="preserve">Band </w:t>
            </w:r>
            <w:r w:rsidR="00FF3A53">
              <w:t>p</w:t>
            </w:r>
            <w:r>
              <w:t>lan zone</w:t>
            </w:r>
          </w:p>
        </w:tc>
        <w:tc>
          <w:tcPr>
            <w:tcW w:w="2552" w:type="dxa"/>
          </w:tcPr>
          <w:p w14:paraId="66EF5DBE" w14:textId="2E3BF412" w:rsidR="001A6D69" w:rsidRPr="00E162C4" w:rsidRDefault="001A6D69" w:rsidP="00091918">
            <w:pPr>
              <w:pStyle w:val="Tableheaderrow"/>
            </w:pPr>
            <w:r>
              <w:t>Current assignments</w:t>
            </w:r>
          </w:p>
        </w:tc>
        <w:tc>
          <w:tcPr>
            <w:tcW w:w="3402" w:type="dxa"/>
          </w:tcPr>
          <w:p w14:paraId="07EC2D79" w14:textId="7F6DA3A2" w:rsidR="001A6D69" w:rsidRPr="00A85C35" w:rsidRDefault="001A6D69" w:rsidP="00091918">
            <w:pPr>
              <w:pStyle w:val="Tableheaderrow"/>
            </w:pPr>
            <w:r>
              <w:t xml:space="preserve">Assignments since commencement of the </w:t>
            </w:r>
            <w:r w:rsidR="00C15E3C">
              <w:t>b</w:t>
            </w:r>
            <w:r>
              <w:t xml:space="preserve">and </w:t>
            </w:r>
            <w:r w:rsidR="00C15E3C">
              <w:t>p</w:t>
            </w:r>
            <w:r>
              <w:t>lan</w:t>
            </w:r>
          </w:p>
        </w:tc>
      </w:tr>
      <w:tr w:rsidR="001A6D69" w:rsidRPr="00E162C4" w14:paraId="1A7D779E" w14:textId="77777777" w:rsidTr="0001531B">
        <w:trPr>
          <w:cnfStyle w:val="000000100000" w:firstRow="0" w:lastRow="0" w:firstColumn="0" w:lastColumn="0" w:oddVBand="0" w:evenVBand="0" w:oddHBand="1" w:evenHBand="0" w:firstRowFirstColumn="0" w:firstRowLastColumn="0" w:lastRowFirstColumn="0" w:lastRowLastColumn="0"/>
        </w:trPr>
        <w:tc>
          <w:tcPr>
            <w:tcW w:w="1838" w:type="dxa"/>
            <w:shd w:val="clear" w:color="auto" w:fill="auto"/>
          </w:tcPr>
          <w:p w14:paraId="344ECAB3" w14:textId="60F61E78" w:rsidR="001A6D69" w:rsidRPr="00E162C4" w:rsidRDefault="001A6D69" w:rsidP="00091918">
            <w:pPr>
              <w:pStyle w:val="TableBody"/>
            </w:pPr>
            <w:r w:rsidRPr="001A6D69">
              <w:t>RQZ (inner)</w:t>
            </w:r>
          </w:p>
        </w:tc>
        <w:tc>
          <w:tcPr>
            <w:tcW w:w="2552" w:type="dxa"/>
            <w:shd w:val="clear" w:color="auto" w:fill="auto"/>
          </w:tcPr>
          <w:p w14:paraId="4DC30E91" w14:textId="2ABABB0C" w:rsidR="001A6D69" w:rsidRPr="00E162C4" w:rsidRDefault="00153B01" w:rsidP="00091918">
            <w:pPr>
              <w:pStyle w:val="TableBody"/>
            </w:pPr>
            <w:r>
              <w:t>6</w:t>
            </w:r>
          </w:p>
        </w:tc>
        <w:tc>
          <w:tcPr>
            <w:tcW w:w="3402" w:type="dxa"/>
            <w:shd w:val="clear" w:color="auto" w:fill="auto"/>
          </w:tcPr>
          <w:p w14:paraId="4F12ACD6" w14:textId="20A66E21" w:rsidR="001A6D69" w:rsidRPr="00E162C4" w:rsidRDefault="0001531B" w:rsidP="00091918">
            <w:pPr>
              <w:pStyle w:val="TableBody"/>
            </w:pPr>
            <w:r>
              <w:t>0</w:t>
            </w:r>
          </w:p>
        </w:tc>
      </w:tr>
      <w:tr w:rsidR="001A6D69" w:rsidRPr="00E162C4" w14:paraId="74F6DB4E" w14:textId="77777777" w:rsidTr="0001531B">
        <w:trPr>
          <w:cnfStyle w:val="000000010000" w:firstRow="0" w:lastRow="0" w:firstColumn="0" w:lastColumn="0" w:oddVBand="0" w:evenVBand="0" w:oddHBand="0" w:evenHBand="1" w:firstRowFirstColumn="0" w:firstRowLastColumn="0" w:lastRowFirstColumn="0" w:lastRowLastColumn="0"/>
        </w:trPr>
        <w:tc>
          <w:tcPr>
            <w:tcW w:w="1838" w:type="dxa"/>
          </w:tcPr>
          <w:p w14:paraId="5A62B520" w14:textId="20C113E5" w:rsidR="001A6D69" w:rsidRPr="00E162C4" w:rsidRDefault="001A6D69" w:rsidP="00091918">
            <w:pPr>
              <w:pStyle w:val="TableBody"/>
            </w:pPr>
            <w:r>
              <w:t>RQZ (outer)</w:t>
            </w:r>
          </w:p>
        </w:tc>
        <w:tc>
          <w:tcPr>
            <w:tcW w:w="2552" w:type="dxa"/>
          </w:tcPr>
          <w:p w14:paraId="17CB6678" w14:textId="02BA24DE" w:rsidR="001A6D69" w:rsidRPr="00E162C4" w:rsidRDefault="0001531B" w:rsidP="00091918">
            <w:pPr>
              <w:pStyle w:val="TableBody"/>
            </w:pPr>
            <w:r>
              <w:t>268</w:t>
            </w:r>
          </w:p>
        </w:tc>
        <w:tc>
          <w:tcPr>
            <w:tcW w:w="3402" w:type="dxa"/>
          </w:tcPr>
          <w:p w14:paraId="7126B4E6" w14:textId="4F35D4AE" w:rsidR="001A6D69" w:rsidRPr="00E162C4" w:rsidRDefault="0001531B" w:rsidP="00091918">
            <w:pPr>
              <w:pStyle w:val="TableBody"/>
            </w:pPr>
            <w:r>
              <w:t>123</w:t>
            </w:r>
          </w:p>
        </w:tc>
      </w:tr>
    </w:tbl>
    <w:p w14:paraId="66AB75BD" w14:textId="31C6F82C" w:rsidR="001A6D69" w:rsidRPr="00E162C4" w:rsidRDefault="001A6D69" w:rsidP="001A6D69">
      <w:pPr>
        <w:pStyle w:val="Tableorfigurenote"/>
      </w:pPr>
      <w:r>
        <w:t xml:space="preserve">Based on the ACMA Register of Radiocommunications Licences as at </w:t>
      </w:r>
      <w:r w:rsidR="00E35FC3">
        <w:t>1</w:t>
      </w:r>
      <w:r>
        <w:t xml:space="preserve"> August 2022</w:t>
      </w:r>
      <w:r w:rsidRPr="00E162C4">
        <w:t>.</w:t>
      </w:r>
    </w:p>
    <w:p w14:paraId="296DC868" w14:textId="001E9DA4" w:rsidR="00595E76" w:rsidRPr="00E162C4" w:rsidRDefault="00595E76" w:rsidP="00595E76">
      <w:pPr>
        <w:pStyle w:val="Paragraph"/>
      </w:pPr>
      <w:r>
        <w:t xml:space="preserve">Table 2 outlines the top 5 licence holders within the area covered by the </w:t>
      </w:r>
      <w:r w:rsidR="002D3112">
        <w:t>b</w:t>
      </w:r>
      <w:r>
        <w:t xml:space="preserve">and </w:t>
      </w:r>
      <w:r w:rsidR="002D3112">
        <w:t>p</w:t>
      </w:r>
      <w:r>
        <w:t>lan. Telstra hold</w:t>
      </w:r>
      <w:r w:rsidR="008F590F">
        <w:t>s</w:t>
      </w:r>
      <w:r>
        <w:t xml:space="preserve"> over one-third of assignments</w:t>
      </w:r>
      <w:r w:rsidR="002D3112">
        <w:t>,</w:t>
      </w:r>
      <w:r>
        <w:t xml:space="preserve"> with Big Bell Gold Operations and Crosslands Resources holding 19 per</w:t>
      </w:r>
      <w:r w:rsidR="00F10725">
        <w:t xml:space="preserve"> </w:t>
      </w:r>
      <w:r>
        <w:t xml:space="preserve">cent each of assignments in the area. </w:t>
      </w:r>
    </w:p>
    <w:p w14:paraId="73AE13B9" w14:textId="52E853D9" w:rsidR="00595E76" w:rsidRPr="00E162C4" w:rsidRDefault="00595E76" w:rsidP="00444ADD">
      <w:pPr>
        <w:pStyle w:val="Tableheading"/>
        <w:keepLines/>
      </w:pPr>
      <w:r>
        <w:lastRenderedPageBreak/>
        <w:t xml:space="preserve">Top 5 licensees within the area covered by the </w:t>
      </w:r>
      <w:r w:rsidR="002D3112">
        <w:t>b</w:t>
      </w:r>
      <w:r>
        <w:t xml:space="preserve">and </w:t>
      </w:r>
      <w:r w:rsidR="002D3112">
        <w:t>p</w:t>
      </w:r>
      <w:r>
        <w:t>lan</w:t>
      </w:r>
    </w:p>
    <w:tbl>
      <w:tblPr>
        <w:tblStyle w:val="ACMAtablestyle"/>
        <w:tblW w:w="6941" w:type="dxa"/>
        <w:tblLayout w:type="fixed"/>
        <w:tblLook w:val="01E0" w:firstRow="1" w:lastRow="1" w:firstColumn="1" w:lastColumn="1" w:noHBand="0" w:noVBand="0"/>
        <w:tblCaption w:val="Table title to go here"/>
        <w:tblDescription w:val="Table description to go here"/>
      </w:tblPr>
      <w:tblGrid>
        <w:gridCol w:w="3256"/>
        <w:gridCol w:w="1559"/>
        <w:gridCol w:w="2126"/>
      </w:tblGrid>
      <w:tr w:rsidR="00595E76" w:rsidRPr="00E162C4" w14:paraId="4C3A84F8" w14:textId="77777777" w:rsidTr="00595E76">
        <w:trPr>
          <w:cnfStyle w:val="100000000000" w:firstRow="1" w:lastRow="0" w:firstColumn="0" w:lastColumn="0" w:oddVBand="0" w:evenVBand="0" w:oddHBand="0" w:evenHBand="0" w:firstRowFirstColumn="0" w:firstRowLastColumn="0" w:lastRowFirstColumn="0" w:lastRowLastColumn="0"/>
        </w:trPr>
        <w:tc>
          <w:tcPr>
            <w:tcW w:w="3256" w:type="dxa"/>
          </w:tcPr>
          <w:p w14:paraId="78378728" w14:textId="48621F93" w:rsidR="00595E76" w:rsidRPr="00E162C4" w:rsidRDefault="00203DB5" w:rsidP="00444ADD">
            <w:pPr>
              <w:pStyle w:val="Tableheaderrow"/>
              <w:keepNext/>
              <w:keepLines/>
            </w:pPr>
            <w:r>
              <w:t>Licensee</w:t>
            </w:r>
          </w:p>
        </w:tc>
        <w:tc>
          <w:tcPr>
            <w:tcW w:w="1559" w:type="dxa"/>
          </w:tcPr>
          <w:p w14:paraId="0548F98E" w14:textId="77777777" w:rsidR="00595E76" w:rsidRPr="00E162C4" w:rsidRDefault="00595E76" w:rsidP="00444ADD">
            <w:pPr>
              <w:pStyle w:val="Tableheaderrow"/>
              <w:keepNext/>
              <w:keepLines/>
            </w:pPr>
            <w:r>
              <w:t>Current assignments</w:t>
            </w:r>
          </w:p>
        </w:tc>
        <w:tc>
          <w:tcPr>
            <w:tcW w:w="2126" w:type="dxa"/>
          </w:tcPr>
          <w:p w14:paraId="5B9A5EFA" w14:textId="1EB3973A" w:rsidR="00595E76" w:rsidRPr="00A85C35" w:rsidRDefault="00595E76" w:rsidP="00444ADD">
            <w:pPr>
              <w:pStyle w:val="Tableheaderrow"/>
              <w:keepNext/>
              <w:keepLines/>
            </w:pPr>
            <w:r>
              <w:t>Percentage of current assignments</w:t>
            </w:r>
          </w:p>
        </w:tc>
      </w:tr>
      <w:tr w:rsidR="00595E76" w:rsidRPr="00E162C4" w14:paraId="556DDD39" w14:textId="77777777" w:rsidTr="00595E76">
        <w:trPr>
          <w:cnfStyle w:val="000000100000" w:firstRow="0" w:lastRow="0" w:firstColumn="0" w:lastColumn="0" w:oddVBand="0" w:evenVBand="0" w:oddHBand="1" w:evenHBand="0" w:firstRowFirstColumn="0" w:firstRowLastColumn="0" w:lastRowFirstColumn="0" w:lastRowLastColumn="0"/>
        </w:trPr>
        <w:tc>
          <w:tcPr>
            <w:tcW w:w="3256" w:type="dxa"/>
            <w:vAlign w:val="bottom"/>
          </w:tcPr>
          <w:p w14:paraId="7C0C0A5D" w14:textId="3CE9576E" w:rsidR="00595E76" w:rsidRPr="00F10725" w:rsidRDefault="00595E76" w:rsidP="00444ADD">
            <w:pPr>
              <w:pStyle w:val="TableBody"/>
              <w:keepNext/>
              <w:keepLines/>
            </w:pPr>
            <w:r w:rsidRPr="00444ADD">
              <w:t>Telstra Corporation Limited</w:t>
            </w:r>
          </w:p>
        </w:tc>
        <w:tc>
          <w:tcPr>
            <w:tcW w:w="1559" w:type="dxa"/>
            <w:vAlign w:val="bottom"/>
          </w:tcPr>
          <w:p w14:paraId="74F67DAE" w14:textId="4F4F4C40" w:rsidR="00595E76" w:rsidRPr="00F10725" w:rsidRDefault="00595E76" w:rsidP="00444ADD">
            <w:pPr>
              <w:pStyle w:val="TableBody"/>
              <w:keepNext/>
              <w:keepLines/>
            </w:pPr>
            <w:r w:rsidRPr="00444ADD">
              <w:t>92</w:t>
            </w:r>
          </w:p>
        </w:tc>
        <w:tc>
          <w:tcPr>
            <w:tcW w:w="2126" w:type="dxa"/>
            <w:vAlign w:val="bottom"/>
          </w:tcPr>
          <w:p w14:paraId="2F406BA1" w14:textId="4B843B37" w:rsidR="00595E76" w:rsidRPr="00F10725" w:rsidRDefault="00595E76" w:rsidP="00444ADD">
            <w:pPr>
              <w:pStyle w:val="TableBody"/>
              <w:keepNext/>
              <w:keepLines/>
            </w:pPr>
            <w:r w:rsidRPr="00444ADD">
              <w:t>34%</w:t>
            </w:r>
          </w:p>
        </w:tc>
      </w:tr>
      <w:tr w:rsidR="00595E76" w:rsidRPr="00E162C4" w14:paraId="29516292" w14:textId="77777777" w:rsidTr="00595E76">
        <w:trPr>
          <w:cnfStyle w:val="000000010000" w:firstRow="0" w:lastRow="0" w:firstColumn="0" w:lastColumn="0" w:oddVBand="0" w:evenVBand="0" w:oddHBand="0" w:evenHBand="1" w:firstRowFirstColumn="0" w:firstRowLastColumn="0" w:lastRowFirstColumn="0" w:lastRowLastColumn="0"/>
        </w:trPr>
        <w:tc>
          <w:tcPr>
            <w:tcW w:w="3256" w:type="dxa"/>
            <w:vAlign w:val="bottom"/>
          </w:tcPr>
          <w:p w14:paraId="2F0062D1" w14:textId="2AE09967" w:rsidR="00595E76" w:rsidRPr="00F10725" w:rsidRDefault="00595E76" w:rsidP="00444ADD">
            <w:pPr>
              <w:pStyle w:val="TableBody"/>
              <w:keepNext/>
              <w:keepLines/>
            </w:pPr>
            <w:r w:rsidRPr="00444ADD">
              <w:t>Big Bell Gold Operations Pty Ltd</w:t>
            </w:r>
          </w:p>
        </w:tc>
        <w:tc>
          <w:tcPr>
            <w:tcW w:w="1559" w:type="dxa"/>
            <w:vAlign w:val="bottom"/>
          </w:tcPr>
          <w:p w14:paraId="3CDBB8E1" w14:textId="0569D7E4" w:rsidR="00595E76" w:rsidRPr="00F10725" w:rsidRDefault="00595E76" w:rsidP="00444ADD">
            <w:pPr>
              <w:pStyle w:val="TableBody"/>
              <w:keepNext/>
              <w:keepLines/>
            </w:pPr>
            <w:r w:rsidRPr="00444ADD">
              <w:t>50</w:t>
            </w:r>
          </w:p>
        </w:tc>
        <w:tc>
          <w:tcPr>
            <w:tcW w:w="2126" w:type="dxa"/>
            <w:vAlign w:val="bottom"/>
          </w:tcPr>
          <w:p w14:paraId="5450581E" w14:textId="488C06A4" w:rsidR="00595E76" w:rsidRPr="00F10725" w:rsidRDefault="00595E76" w:rsidP="00444ADD">
            <w:pPr>
              <w:pStyle w:val="TableBody"/>
              <w:keepNext/>
              <w:keepLines/>
            </w:pPr>
            <w:r w:rsidRPr="00444ADD">
              <w:t>19%</w:t>
            </w:r>
          </w:p>
        </w:tc>
      </w:tr>
      <w:tr w:rsidR="00595E76" w:rsidRPr="00E162C4" w14:paraId="4198E39C" w14:textId="77777777" w:rsidTr="00595E76">
        <w:trPr>
          <w:cnfStyle w:val="000000100000" w:firstRow="0" w:lastRow="0" w:firstColumn="0" w:lastColumn="0" w:oddVBand="0" w:evenVBand="0" w:oddHBand="1" w:evenHBand="0" w:firstRowFirstColumn="0" w:firstRowLastColumn="0" w:lastRowFirstColumn="0" w:lastRowLastColumn="0"/>
        </w:trPr>
        <w:tc>
          <w:tcPr>
            <w:tcW w:w="3256" w:type="dxa"/>
            <w:vAlign w:val="bottom"/>
          </w:tcPr>
          <w:p w14:paraId="6ADB7DD1" w14:textId="051A1794" w:rsidR="00595E76" w:rsidRPr="00F10725" w:rsidRDefault="00595E76" w:rsidP="00444ADD">
            <w:pPr>
              <w:pStyle w:val="TableBody"/>
              <w:keepNext/>
              <w:keepLines/>
            </w:pPr>
            <w:r w:rsidRPr="00444ADD">
              <w:t>Crosslands Resources Ltd</w:t>
            </w:r>
          </w:p>
        </w:tc>
        <w:tc>
          <w:tcPr>
            <w:tcW w:w="1559" w:type="dxa"/>
            <w:vAlign w:val="bottom"/>
          </w:tcPr>
          <w:p w14:paraId="0176B3B7" w14:textId="56F181A7" w:rsidR="00595E76" w:rsidRPr="00F10725" w:rsidRDefault="00595E76" w:rsidP="00444ADD">
            <w:pPr>
              <w:pStyle w:val="TableBody"/>
              <w:keepNext/>
              <w:keepLines/>
            </w:pPr>
            <w:r w:rsidRPr="00444ADD">
              <w:t>50</w:t>
            </w:r>
          </w:p>
        </w:tc>
        <w:tc>
          <w:tcPr>
            <w:tcW w:w="2126" w:type="dxa"/>
            <w:vAlign w:val="bottom"/>
          </w:tcPr>
          <w:p w14:paraId="41D91F77" w14:textId="0A07CE38" w:rsidR="00595E76" w:rsidRPr="00F10725" w:rsidRDefault="00595E76" w:rsidP="00444ADD">
            <w:pPr>
              <w:pStyle w:val="TableBody"/>
              <w:keepNext/>
              <w:keepLines/>
            </w:pPr>
            <w:r w:rsidRPr="00444ADD">
              <w:t>19%</w:t>
            </w:r>
          </w:p>
        </w:tc>
      </w:tr>
      <w:tr w:rsidR="00595E76" w:rsidRPr="00E162C4" w14:paraId="51C5105B" w14:textId="77777777" w:rsidTr="00595E76">
        <w:trPr>
          <w:cnfStyle w:val="000000010000" w:firstRow="0" w:lastRow="0" w:firstColumn="0" w:lastColumn="0" w:oddVBand="0" w:evenVBand="0" w:oddHBand="0" w:evenHBand="1" w:firstRowFirstColumn="0" w:firstRowLastColumn="0" w:lastRowFirstColumn="0" w:lastRowLastColumn="0"/>
        </w:trPr>
        <w:tc>
          <w:tcPr>
            <w:tcW w:w="3256" w:type="dxa"/>
            <w:vAlign w:val="bottom"/>
          </w:tcPr>
          <w:p w14:paraId="2C30BE34" w14:textId="687EF90E" w:rsidR="00595E76" w:rsidRPr="00F10725" w:rsidRDefault="00595E76" w:rsidP="00444ADD">
            <w:pPr>
              <w:pStyle w:val="TableBody"/>
              <w:keepNext/>
              <w:keepLines/>
            </w:pPr>
            <w:r w:rsidRPr="00444ADD">
              <w:t>DBNGP (WA) Nominees Pty Ltd</w:t>
            </w:r>
          </w:p>
        </w:tc>
        <w:tc>
          <w:tcPr>
            <w:tcW w:w="1559" w:type="dxa"/>
            <w:vAlign w:val="bottom"/>
          </w:tcPr>
          <w:p w14:paraId="64FD8E2E" w14:textId="6A258F8F" w:rsidR="00595E76" w:rsidRPr="00F10725" w:rsidRDefault="00595E76" w:rsidP="00444ADD">
            <w:pPr>
              <w:pStyle w:val="TableBody"/>
              <w:keepNext/>
              <w:keepLines/>
            </w:pPr>
            <w:r w:rsidRPr="00444ADD">
              <w:t>20</w:t>
            </w:r>
          </w:p>
        </w:tc>
        <w:tc>
          <w:tcPr>
            <w:tcW w:w="2126" w:type="dxa"/>
            <w:vAlign w:val="bottom"/>
          </w:tcPr>
          <w:p w14:paraId="6E446AE0" w14:textId="3E015C5B" w:rsidR="00595E76" w:rsidRPr="00F10725" w:rsidRDefault="00595E76" w:rsidP="00444ADD">
            <w:pPr>
              <w:pStyle w:val="TableBody"/>
              <w:keepNext/>
              <w:keepLines/>
            </w:pPr>
            <w:r w:rsidRPr="00444ADD">
              <w:t>7%</w:t>
            </w:r>
          </w:p>
        </w:tc>
      </w:tr>
      <w:tr w:rsidR="00595E76" w:rsidRPr="00E162C4" w14:paraId="1EA22756" w14:textId="77777777" w:rsidTr="00595E76">
        <w:trPr>
          <w:cnfStyle w:val="000000100000" w:firstRow="0" w:lastRow="0" w:firstColumn="0" w:lastColumn="0" w:oddVBand="0" w:evenVBand="0" w:oddHBand="1" w:evenHBand="0" w:firstRowFirstColumn="0" w:firstRowLastColumn="0" w:lastRowFirstColumn="0" w:lastRowLastColumn="0"/>
        </w:trPr>
        <w:tc>
          <w:tcPr>
            <w:tcW w:w="3256" w:type="dxa"/>
            <w:vAlign w:val="bottom"/>
          </w:tcPr>
          <w:p w14:paraId="72CCB676" w14:textId="39BEA7B1" w:rsidR="00595E76" w:rsidRPr="00F10725" w:rsidRDefault="00595E76" w:rsidP="00444ADD">
            <w:pPr>
              <w:pStyle w:val="TableBody"/>
              <w:keepNext/>
              <w:keepLines/>
            </w:pPr>
            <w:r w:rsidRPr="00444ADD">
              <w:t>Shire of Murchison</w:t>
            </w:r>
          </w:p>
        </w:tc>
        <w:tc>
          <w:tcPr>
            <w:tcW w:w="1559" w:type="dxa"/>
            <w:vAlign w:val="bottom"/>
          </w:tcPr>
          <w:p w14:paraId="3280B625" w14:textId="05B578ED" w:rsidR="00595E76" w:rsidRPr="00F10725" w:rsidRDefault="00595E76" w:rsidP="00444ADD">
            <w:pPr>
              <w:pStyle w:val="TableBody"/>
              <w:keepNext/>
              <w:keepLines/>
            </w:pPr>
            <w:r w:rsidRPr="00444ADD">
              <w:t>8</w:t>
            </w:r>
          </w:p>
        </w:tc>
        <w:tc>
          <w:tcPr>
            <w:tcW w:w="2126" w:type="dxa"/>
            <w:vAlign w:val="bottom"/>
          </w:tcPr>
          <w:p w14:paraId="0ED864DD" w14:textId="20F82B2C" w:rsidR="00595E76" w:rsidRPr="00F10725" w:rsidRDefault="00595E76" w:rsidP="00444ADD">
            <w:pPr>
              <w:pStyle w:val="TableBody"/>
              <w:keepNext/>
              <w:keepLines/>
            </w:pPr>
            <w:r w:rsidRPr="00444ADD">
              <w:t>3%</w:t>
            </w:r>
          </w:p>
        </w:tc>
      </w:tr>
    </w:tbl>
    <w:p w14:paraId="4DCBD8CC" w14:textId="77777777" w:rsidR="00595E76" w:rsidRPr="00E162C4" w:rsidRDefault="00595E76" w:rsidP="00444ADD">
      <w:pPr>
        <w:pStyle w:val="Tableorfigurenote"/>
        <w:keepNext/>
        <w:keepLines/>
      </w:pPr>
      <w:r>
        <w:t>Based on the ACMA Register of Radiocommunications Licences as at 1 August 2022</w:t>
      </w:r>
      <w:r w:rsidRPr="00E162C4">
        <w:t>.</w:t>
      </w:r>
    </w:p>
    <w:p w14:paraId="63F130EB" w14:textId="70EAA8D5" w:rsidR="00604F4B" w:rsidRDefault="00604F4B" w:rsidP="00604F4B">
      <w:pPr>
        <w:pStyle w:val="Paragraph"/>
        <w:spacing w:before="240"/>
      </w:pPr>
      <w:r w:rsidRPr="00E43130">
        <w:t xml:space="preserve">The ACMA has conducted preliminary consultation with representatives of the </w:t>
      </w:r>
      <w:r w:rsidR="00835489">
        <w:t>CSIRO</w:t>
      </w:r>
      <w:r>
        <w:t>.</w:t>
      </w:r>
      <w:r w:rsidR="00835489">
        <w:t xml:space="preserve"> </w:t>
      </w:r>
      <w:r w:rsidR="00835489" w:rsidRPr="00835489">
        <w:t xml:space="preserve">Under current arrangements in the </w:t>
      </w:r>
      <w:r w:rsidR="002D3112">
        <w:t>b</w:t>
      </w:r>
      <w:r w:rsidR="00835489" w:rsidRPr="00835489">
        <w:t xml:space="preserve">and </w:t>
      </w:r>
      <w:r w:rsidR="002D3112">
        <w:t>p</w:t>
      </w:r>
      <w:r w:rsidR="00835489" w:rsidRPr="00835489">
        <w:t xml:space="preserve">lan and RALI MS 32, </w:t>
      </w:r>
      <w:r w:rsidR="00196045">
        <w:t>prospective</w:t>
      </w:r>
      <w:r w:rsidR="00196045" w:rsidRPr="00835489">
        <w:t xml:space="preserve"> licensees around the ARQZWA</w:t>
      </w:r>
      <w:r w:rsidR="00196045">
        <w:t xml:space="preserve"> are required to consult </w:t>
      </w:r>
      <w:r w:rsidR="00196045" w:rsidRPr="00835489">
        <w:t xml:space="preserve">CSIRO as the </w:t>
      </w:r>
      <w:r w:rsidR="002D3112">
        <w:t>‘</w:t>
      </w:r>
      <w:r w:rsidR="00196045" w:rsidRPr="00835489">
        <w:t>MRO entity</w:t>
      </w:r>
      <w:r w:rsidR="002D3112">
        <w:t>’</w:t>
      </w:r>
      <w:r w:rsidR="00196045">
        <w:t xml:space="preserve"> on their proposals</w:t>
      </w:r>
      <w:r w:rsidR="00835489">
        <w:t>.</w:t>
      </w:r>
      <w:r w:rsidR="00445BAB">
        <w:t xml:space="preserve"> The CSIRO ha</w:t>
      </w:r>
      <w:r w:rsidR="007A7F6A">
        <w:t>s</w:t>
      </w:r>
      <w:r w:rsidR="00445BAB">
        <w:t xml:space="preserve"> advised that </w:t>
      </w:r>
      <w:r w:rsidR="007A7F6A">
        <w:t>it</w:t>
      </w:r>
      <w:r w:rsidR="00445BAB">
        <w:t xml:space="preserve"> work</w:t>
      </w:r>
      <w:r w:rsidR="007A7F6A">
        <w:t>s</w:t>
      </w:r>
      <w:r w:rsidR="00445BAB">
        <w:t xml:space="preserve"> with </w:t>
      </w:r>
      <w:r w:rsidR="00196045">
        <w:t xml:space="preserve">prospective </w:t>
      </w:r>
      <w:r w:rsidR="00445BAB">
        <w:t xml:space="preserve">licensees </w:t>
      </w:r>
      <w:r w:rsidR="00C126B2">
        <w:t>in</w:t>
      </w:r>
      <w:r w:rsidR="00445BAB">
        <w:t xml:space="preserve"> the </w:t>
      </w:r>
      <w:r w:rsidR="00445BAB" w:rsidRPr="00835489">
        <w:t>ARQZWA</w:t>
      </w:r>
      <w:r w:rsidR="00445BAB">
        <w:t xml:space="preserve"> to facilitate operations as much as possible. </w:t>
      </w:r>
    </w:p>
    <w:p w14:paraId="31251DA2" w14:textId="66CE7B2C" w:rsidR="00196045" w:rsidRPr="00E43130" w:rsidRDefault="00196045" w:rsidP="00196045">
      <w:pPr>
        <w:pStyle w:val="Paragraph"/>
        <w:spacing w:before="240"/>
      </w:pPr>
      <w:r>
        <w:t xml:space="preserve">CSIRO have </w:t>
      </w:r>
      <w:r w:rsidR="00E442B0">
        <w:t xml:space="preserve">also </w:t>
      </w:r>
      <w:r>
        <w:t xml:space="preserve">advised that in the interest of stability for all stakeholders, it will not seek any technical changes to the parameters of the </w:t>
      </w:r>
      <w:r w:rsidR="00E442B0">
        <w:t>b</w:t>
      </w:r>
      <w:r>
        <w:t xml:space="preserve">and </w:t>
      </w:r>
      <w:r w:rsidR="00E442B0">
        <w:t>p</w:t>
      </w:r>
      <w:r>
        <w:t>lan (</w:t>
      </w:r>
      <w:r w:rsidR="00E442B0">
        <w:t xml:space="preserve">for example, </w:t>
      </w:r>
      <w:r>
        <w:t>geographic scope, frequency bands).</w:t>
      </w:r>
    </w:p>
    <w:p w14:paraId="36EE8987" w14:textId="13B9D4CB" w:rsidR="00604F4B" w:rsidRPr="00E43130" w:rsidRDefault="00604F4B" w:rsidP="00604F4B">
      <w:pPr>
        <w:pStyle w:val="Paragraph"/>
        <w:spacing w:before="240"/>
      </w:pPr>
      <w:r>
        <w:t xml:space="preserve">We are </w:t>
      </w:r>
      <w:r w:rsidRPr="00E43130">
        <w:t xml:space="preserve">not aware of any </w:t>
      </w:r>
      <w:r w:rsidR="004B36A1">
        <w:t>major</w:t>
      </w:r>
      <w:r w:rsidR="0072131D">
        <w:t xml:space="preserve"> </w:t>
      </w:r>
      <w:r w:rsidRPr="00E43130">
        <w:t xml:space="preserve">concerns about the operation of the </w:t>
      </w:r>
      <w:r w:rsidR="00E442B0">
        <w:t>b</w:t>
      </w:r>
      <w:r w:rsidR="00835489">
        <w:t xml:space="preserve">and </w:t>
      </w:r>
      <w:r w:rsidR="00E442B0">
        <w:t>p</w:t>
      </w:r>
      <w:r w:rsidR="00835489">
        <w:t>lan</w:t>
      </w:r>
      <w:r w:rsidRPr="00E43130">
        <w:t xml:space="preserve">. </w:t>
      </w:r>
      <w:r w:rsidR="00835489">
        <w:t xml:space="preserve">Therefore, our view is that the </w:t>
      </w:r>
      <w:r w:rsidR="00203DB5">
        <w:t xml:space="preserve">band </w:t>
      </w:r>
      <w:r w:rsidR="00E442B0">
        <w:t>p</w:t>
      </w:r>
      <w:r w:rsidR="00835489">
        <w:t xml:space="preserve">lan is </w:t>
      </w:r>
      <w:r w:rsidR="004B36A1">
        <w:t xml:space="preserve">largely </w:t>
      </w:r>
      <w:r w:rsidR="00835489">
        <w:t xml:space="preserve">operating effectively and efficiently. </w:t>
      </w:r>
    </w:p>
    <w:p w14:paraId="781ED7EE" w14:textId="77777777" w:rsidR="00604F4B" w:rsidRPr="00E43130" w:rsidRDefault="00604F4B" w:rsidP="00604F4B">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szCs w:val="24"/>
        </w:rPr>
      </w:pPr>
      <w:r w:rsidRPr="00E43130">
        <w:rPr>
          <w:szCs w:val="24"/>
        </w:rPr>
        <w:t>Question 2</w:t>
      </w:r>
    </w:p>
    <w:p w14:paraId="524EC823" w14:textId="3D55E5D4" w:rsidR="00604F4B" w:rsidRPr="005D195C" w:rsidRDefault="00604F4B" w:rsidP="00604F4B">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b w:val="0"/>
          <w:bCs w:val="0"/>
          <w:szCs w:val="24"/>
        </w:rPr>
      </w:pPr>
      <w:r w:rsidRPr="005D195C">
        <w:rPr>
          <w:b w:val="0"/>
          <w:bCs w:val="0"/>
          <w:szCs w:val="24"/>
        </w:rPr>
        <w:t xml:space="preserve">Is the </w:t>
      </w:r>
      <w:r w:rsidR="00E442B0">
        <w:rPr>
          <w:b w:val="0"/>
          <w:bCs w:val="0"/>
          <w:szCs w:val="24"/>
        </w:rPr>
        <w:t>b</w:t>
      </w:r>
      <w:r>
        <w:rPr>
          <w:b w:val="0"/>
          <w:bCs w:val="0"/>
          <w:szCs w:val="24"/>
        </w:rPr>
        <w:t xml:space="preserve">and </w:t>
      </w:r>
      <w:r w:rsidR="00E442B0">
        <w:rPr>
          <w:b w:val="0"/>
          <w:bCs w:val="0"/>
          <w:szCs w:val="24"/>
        </w:rPr>
        <w:t>p</w:t>
      </w:r>
      <w:r>
        <w:rPr>
          <w:b w:val="0"/>
          <w:bCs w:val="0"/>
          <w:szCs w:val="24"/>
        </w:rPr>
        <w:t>lan</w:t>
      </w:r>
      <w:r w:rsidRPr="005D195C">
        <w:rPr>
          <w:b w:val="0"/>
          <w:bCs w:val="0"/>
          <w:szCs w:val="24"/>
        </w:rPr>
        <w:t xml:space="preserve"> effective and efficient? If not, why not?</w:t>
      </w:r>
    </w:p>
    <w:p w14:paraId="2085E7BF" w14:textId="77777777" w:rsidR="00604F4B" w:rsidRPr="00E43130" w:rsidRDefault="00604F4B" w:rsidP="00E01B5D">
      <w:pPr>
        <w:pStyle w:val="Heading2"/>
      </w:pPr>
      <w:bookmarkStart w:id="9" w:name="_Toc116470271"/>
      <w:r w:rsidRPr="00E43130">
        <w:t>Potential enhancements</w:t>
      </w:r>
      <w:bookmarkEnd w:id="9"/>
    </w:p>
    <w:p w14:paraId="788F6DCF" w14:textId="070579FC" w:rsidR="007E4EE8" w:rsidRDefault="007E4EE8" w:rsidP="007E4EE8">
      <w:pPr>
        <w:pStyle w:val="Paragraph"/>
      </w:pPr>
      <w:r>
        <w:t xml:space="preserve">The ACMA is seeking stakeholder comments on potential amendments to the </w:t>
      </w:r>
      <w:r w:rsidR="00FF3A53">
        <w:t>b</w:t>
      </w:r>
      <w:r>
        <w:t xml:space="preserve">and </w:t>
      </w:r>
      <w:r w:rsidR="00FF3A53">
        <w:t>p</w:t>
      </w:r>
      <w:r>
        <w:t xml:space="preserve">lan as discussed below. </w:t>
      </w:r>
      <w:bookmarkStart w:id="10" w:name="_Hlk111115635"/>
    </w:p>
    <w:p w14:paraId="5F309848" w14:textId="390E66ED" w:rsidR="00735093" w:rsidRDefault="00735093" w:rsidP="00735093">
      <w:pPr>
        <w:pStyle w:val="Heading3"/>
      </w:pPr>
      <w:r>
        <w:t>Operation of services authorised under class licence</w:t>
      </w:r>
    </w:p>
    <w:p w14:paraId="40CE0CD9" w14:textId="6B0E8255" w:rsidR="00AE6B24" w:rsidRDefault="008B3B2D" w:rsidP="00EA7E79">
      <w:pPr>
        <w:pStyle w:val="Paragraph"/>
      </w:pPr>
      <w:r>
        <w:t xml:space="preserve">Section 137 of the Radiocommunications Act states that the ACMA </w:t>
      </w:r>
      <w:bookmarkEnd w:id="10"/>
      <w:r>
        <w:t xml:space="preserve">must not issue a class licence that is inconsistent with the spectrum plan or any relevant frequency band plan. </w:t>
      </w:r>
      <w:r w:rsidR="00EA7E79">
        <w:t xml:space="preserve">Under the current version of the </w:t>
      </w:r>
      <w:r w:rsidR="00E442B0">
        <w:t>b</w:t>
      </w:r>
      <w:r w:rsidR="00EA7E79">
        <w:t xml:space="preserve">and </w:t>
      </w:r>
      <w:r w:rsidR="00E442B0">
        <w:t>p</w:t>
      </w:r>
      <w:r w:rsidR="00EA7E79">
        <w:t xml:space="preserve">lan, section 7 </w:t>
      </w:r>
      <w:r w:rsidR="00AE6B24">
        <w:t xml:space="preserve">describes the permitted purposes of an applicable frequency band. This includes any additional services mentioned in section 8 of the </w:t>
      </w:r>
      <w:r w:rsidR="00FF3A53">
        <w:t>b</w:t>
      </w:r>
      <w:r w:rsidR="00AE6B24">
        <w:t xml:space="preserve">and </w:t>
      </w:r>
      <w:r w:rsidR="00FF3A53">
        <w:t>p</w:t>
      </w:r>
      <w:r w:rsidR="00AE6B24">
        <w:t xml:space="preserve">lan. </w:t>
      </w:r>
      <w:r w:rsidR="00196045">
        <w:t xml:space="preserve">Subsection </w:t>
      </w:r>
      <w:r w:rsidR="00AE6B24">
        <w:t>8(1) states (emphasis added):</w:t>
      </w:r>
    </w:p>
    <w:p w14:paraId="18C3F264" w14:textId="6A064D4F" w:rsidR="00AE6B24" w:rsidRPr="00203DB5" w:rsidRDefault="00AE6B24" w:rsidP="00AE6B24">
      <w:pPr>
        <w:pStyle w:val="Paragraph"/>
        <w:ind w:left="284"/>
        <w:rPr>
          <w:sz w:val="18"/>
          <w:szCs w:val="18"/>
        </w:rPr>
      </w:pPr>
      <w:r w:rsidRPr="00203DB5">
        <w:rPr>
          <w:sz w:val="18"/>
          <w:szCs w:val="18"/>
        </w:rPr>
        <w:t xml:space="preserve">An applicable frequency band may also be used for services provided under an </w:t>
      </w:r>
      <w:r w:rsidRPr="00203DB5">
        <w:rPr>
          <w:sz w:val="18"/>
          <w:szCs w:val="18"/>
          <w:u w:val="single"/>
        </w:rPr>
        <w:t>apparatus licence</w:t>
      </w:r>
      <w:r w:rsidRPr="00203DB5">
        <w:rPr>
          <w:sz w:val="18"/>
          <w:szCs w:val="18"/>
        </w:rPr>
        <w:t xml:space="preserve"> whether issued before or after the commencement of this Frequency Band Plan.</w:t>
      </w:r>
    </w:p>
    <w:p w14:paraId="6281108D" w14:textId="7B435D9E" w:rsidR="00E96E2C" w:rsidRDefault="00E96E2C" w:rsidP="00EA7E79">
      <w:pPr>
        <w:pStyle w:val="Paragraph"/>
      </w:pPr>
      <w:r>
        <w:t xml:space="preserve">Strict interpretation of </w:t>
      </w:r>
      <w:r w:rsidR="00196045">
        <w:t>s</w:t>
      </w:r>
      <w:r>
        <w:t xml:space="preserve">ection 137 of the Radiocommunications Act and the </w:t>
      </w:r>
      <w:r w:rsidR="009A28C8">
        <w:t>b</w:t>
      </w:r>
      <w:r>
        <w:t xml:space="preserve">and </w:t>
      </w:r>
      <w:r w:rsidR="009A28C8">
        <w:t>p</w:t>
      </w:r>
      <w:r>
        <w:t xml:space="preserve">lan together could conclude that </w:t>
      </w:r>
      <w:r w:rsidR="00AE6B24">
        <w:t xml:space="preserve">services </w:t>
      </w:r>
      <w:r w:rsidR="00196045">
        <w:t xml:space="preserve">provided using radiocommunications devices </w:t>
      </w:r>
      <w:r w:rsidR="00AE6B24">
        <w:t xml:space="preserve">authorised via class licence are not able to be </w:t>
      </w:r>
      <w:r w:rsidR="00196045">
        <w:t>provided</w:t>
      </w:r>
      <w:r w:rsidR="00AE6B24">
        <w:t xml:space="preserve"> in the areas and frequency bands covered by the </w:t>
      </w:r>
      <w:r w:rsidR="009A28C8">
        <w:t>b</w:t>
      </w:r>
      <w:r w:rsidR="00AE6B24">
        <w:t xml:space="preserve">and </w:t>
      </w:r>
      <w:r w:rsidR="009A28C8">
        <w:t>p</w:t>
      </w:r>
      <w:r w:rsidR="00AE6B24">
        <w:t>lan.</w:t>
      </w:r>
      <w:r w:rsidR="00885904">
        <w:t xml:space="preserve"> </w:t>
      </w:r>
    </w:p>
    <w:p w14:paraId="20C1CB77" w14:textId="77622330" w:rsidR="008B3B2D" w:rsidRDefault="00885904" w:rsidP="00EA7E79">
      <w:pPr>
        <w:pStyle w:val="Paragraph"/>
      </w:pPr>
      <w:r>
        <w:t xml:space="preserve">However, there </w:t>
      </w:r>
      <w:r w:rsidR="00E96E2C">
        <w:t xml:space="preserve">may be </w:t>
      </w:r>
      <w:r>
        <w:t xml:space="preserve">some instances where it is </w:t>
      </w:r>
      <w:r w:rsidR="00CA4518">
        <w:t xml:space="preserve">necessary </w:t>
      </w:r>
      <w:r>
        <w:t xml:space="preserve">for </w:t>
      </w:r>
      <w:r w:rsidR="00196045">
        <w:t xml:space="preserve">radiocommunications </w:t>
      </w:r>
      <w:r>
        <w:t>devices authorised via class licence to be used within the areas and frequency bands covered by the</w:t>
      </w:r>
      <w:r w:rsidR="00203DB5">
        <w:t xml:space="preserve"> band</w:t>
      </w:r>
      <w:r>
        <w:t xml:space="preserve"> </w:t>
      </w:r>
      <w:r w:rsidR="009A28C8">
        <w:t>p</w:t>
      </w:r>
      <w:r>
        <w:t>lan.</w:t>
      </w:r>
      <w:r w:rsidR="00E96E2C">
        <w:t xml:space="preserve"> </w:t>
      </w:r>
    </w:p>
    <w:p w14:paraId="39BDFE62" w14:textId="3B7DF640" w:rsidR="00AC5F76" w:rsidRDefault="00AC5F76" w:rsidP="00EA7E79">
      <w:pPr>
        <w:pStyle w:val="Paragraph"/>
      </w:pPr>
      <w:r>
        <w:lastRenderedPageBreak/>
        <w:t xml:space="preserve">The interaction </w:t>
      </w:r>
      <w:r w:rsidR="00CC0569">
        <w:t xml:space="preserve">between </w:t>
      </w:r>
      <w:r>
        <w:t xml:space="preserve">class licences and the </w:t>
      </w:r>
      <w:r w:rsidR="009A28C8">
        <w:t>b</w:t>
      </w:r>
      <w:r>
        <w:t xml:space="preserve">and </w:t>
      </w:r>
      <w:r w:rsidR="009A28C8">
        <w:t>p</w:t>
      </w:r>
      <w:r>
        <w:t xml:space="preserve">lan was considered when the </w:t>
      </w:r>
      <w:r w:rsidR="00203DB5">
        <w:t xml:space="preserve">band </w:t>
      </w:r>
      <w:r w:rsidR="009A28C8">
        <w:t>p</w:t>
      </w:r>
      <w:r>
        <w:t xml:space="preserve">lan was made. </w:t>
      </w:r>
      <w:r w:rsidR="009A28C8">
        <w:t>We</w:t>
      </w:r>
      <w:r>
        <w:t xml:space="preserve"> proposed to </w:t>
      </w:r>
      <w:r w:rsidR="00196045">
        <w:t xml:space="preserve">include conditions in </w:t>
      </w:r>
      <w:r w:rsidR="0072131D">
        <w:t>several</w:t>
      </w:r>
      <w:r>
        <w:t xml:space="preserve"> class licences</w:t>
      </w:r>
      <w:r w:rsidR="008C5597">
        <w:t>,</w:t>
      </w:r>
      <w:r>
        <w:t xml:space="preserve"> </w:t>
      </w:r>
      <w:r w:rsidR="00196045">
        <w:t xml:space="preserve">such </w:t>
      </w:r>
      <w:r>
        <w:t xml:space="preserve">that </w:t>
      </w:r>
      <w:r w:rsidRPr="00AC5F76">
        <w:t xml:space="preserve">operation </w:t>
      </w:r>
      <w:r w:rsidR="00196045">
        <w:t xml:space="preserve">of radiocommunications transmitters </w:t>
      </w:r>
      <w:r w:rsidRPr="00AC5F76">
        <w:t xml:space="preserve">must not cause harmful interference to radio astronomy receivers operating at the centre of </w:t>
      </w:r>
      <w:r>
        <w:t>the A</w:t>
      </w:r>
      <w:r w:rsidRPr="00AC5F76">
        <w:t>RQZ</w:t>
      </w:r>
      <w:r>
        <w:t>WA</w:t>
      </w:r>
      <w:r w:rsidRPr="00AC5F76">
        <w:t xml:space="preserve"> and must be consistent with the </w:t>
      </w:r>
      <w:r w:rsidR="008C5597">
        <w:t>b</w:t>
      </w:r>
      <w:r>
        <w:t xml:space="preserve">and </w:t>
      </w:r>
      <w:r w:rsidR="008C5597">
        <w:t>p</w:t>
      </w:r>
      <w:r>
        <w:t xml:space="preserve">lan. However, it was decided to </w:t>
      </w:r>
      <w:r w:rsidR="00196045">
        <w:t xml:space="preserve">include </w:t>
      </w:r>
      <w:r w:rsidRPr="00AC5F76">
        <w:t xml:space="preserve">conditions only </w:t>
      </w:r>
      <w:r w:rsidR="00196045">
        <w:t>i</w:t>
      </w:r>
      <w:r w:rsidRPr="00AC5F76">
        <w:t xml:space="preserve">n </w:t>
      </w:r>
      <w:r>
        <w:t>class</w:t>
      </w:r>
      <w:r w:rsidRPr="00AC5F76">
        <w:t xml:space="preserve"> licences where sufficient protections </w:t>
      </w:r>
      <w:r w:rsidR="00196045">
        <w:t>did not</w:t>
      </w:r>
      <w:r w:rsidRPr="00AC5F76">
        <w:t xml:space="preserve"> already exist</w:t>
      </w:r>
      <w:r w:rsidR="00196045">
        <w:t>, with those</w:t>
      </w:r>
      <w:r w:rsidRPr="00AC5F76">
        <w:t xml:space="preserve"> conditions </w:t>
      </w:r>
      <w:r w:rsidR="00196045">
        <w:t xml:space="preserve">being </w:t>
      </w:r>
      <w:r w:rsidRPr="00AC5F76">
        <w:t xml:space="preserve">no more </w:t>
      </w:r>
      <w:r w:rsidR="00196045">
        <w:t xml:space="preserve">extensive </w:t>
      </w:r>
      <w:r w:rsidRPr="00AC5F76">
        <w:t xml:space="preserve">than necessary to provide adequate protection to </w:t>
      </w:r>
      <w:r w:rsidR="00196045">
        <w:t>radio</w:t>
      </w:r>
      <w:r w:rsidR="008F590F">
        <w:t xml:space="preserve"> </w:t>
      </w:r>
      <w:r w:rsidR="00196045">
        <w:t xml:space="preserve">astronomy services within </w:t>
      </w:r>
      <w:r w:rsidRPr="00AC5F76">
        <w:t xml:space="preserve">the </w:t>
      </w:r>
      <w:r w:rsidR="00196045">
        <w:t>ARQZWA</w:t>
      </w:r>
      <w:r w:rsidRPr="00AC5F76">
        <w:t>.</w:t>
      </w:r>
    </w:p>
    <w:p w14:paraId="453A8F30" w14:textId="781A3136" w:rsidR="005610F9" w:rsidRDefault="005610F9" w:rsidP="005610F9">
      <w:pPr>
        <w:pStyle w:val="Paragraph"/>
      </w:pPr>
      <w:r>
        <w:t xml:space="preserve">Appendix B lists the 15 current class licences and any current provisions related to the ARQZWA included within them. An example is the </w:t>
      </w:r>
      <w:hyperlink r:id="rId26" w:history="1">
        <w:r w:rsidR="00891C15" w:rsidRPr="00891C15">
          <w:rPr>
            <w:rStyle w:val="Hyperlink"/>
          </w:rPr>
          <w:t>Radiocommunications (Low Interference Potential Devices) Class Licence 2015</w:t>
        </w:r>
      </w:hyperlink>
      <w:r w:rsidR="00D5503F">
        <w:t xml:space="preserve">. This </w:t>
      </w:r>
      <w:r w:rsidRPr="00891C15">
        <w:t>states that operations within 70 k</w:t>
      </w:r>
      <w:r w:rsidR="009D478B">
        <w:t>m</w:t>
      </w:r>
      <w:r w:rsidRPr="00891C15">
        <w:t xml:space="preserve"> of the MRO are not authorised if they will cause interference with the operation of radio astronomy observations by the </w:t>
      </w:r>
      <w:r w:rsidR="008F590F">
        <w:t>o</w:t>
      </w:r>
      <w:r w:rsidRPr="00891C15">
        <w:t>bservatory.</w:t>
      </w:r>
      <w:r>
        <w:t xml:space="preserve"> </w:t>
      </w:r>
    </w:p>
    <w:p w14:paraId="4C9580B0" w14:textId="77231732" w:rsidR="00AC5F76" w:rsidRDefault="00AC5F76" w:rsidP="00EA7E79">
      <w:pPr>
        <w:pStyle w:val="Paragraph"/>
      </w:pPr>
      <w:r>
        <w:t xml:space="preserve">Nonetheless, there </w:t>
      </w:r>
      <w:r w:rsidR="00196045">
        <w:t>may be</w:t>
      </w:r>
      <w:r>
        <w:t xml:space="preserve"> inconsistenc</w:t>
      </w:r>
      <w:r w:rsidR="00196045">
        <w:t>ies</w:t>
      </w:r>
      <w:r>
        <w:t xml:space="preserve"> in current </w:t>
      </w:r>
      <w:r w:rsidR="00196045">
        <w:t xml:space="preserve">class licensing </w:t>
      </w:r>
      <w:r>
        <w:t xml:space="preserve">arrangements </w:t>
      </w:r>
      <w:r w:rsidR="009D478B">
        <w:t xml:space="preserve">that </w:t>
      </w:r>
      <w:r w:rsidR="00CA4518">
        <w:t xml:space="preserve">need </w:t>
      </w:r>
      <w:r>
        <w:t xml:space="preserve">to be addressed. </w:t>
      </w:r>
      <w:r w:rsidR="009D478B">
        <w:t>We</w:t>
      </w:r>
      <w:r>
        <w:t xml:space="preserve"> would like to explore whether the provisions of the </w:t>
      </w:r>
      <w:r w:rsidR="00F477BB">
        <w:t>b</w:t>
      </w:r>
      <w:r>
        <w:t xml:space="preserve">and </w:t>
      </w:r>
      <w:r w:rsidR="00F477BB">
        <w:t>p</w:t>
      </w:r>
      <w:r>
        <w:t>lan need to be reviewed regard</w:t>
      </w:r>
      <w:r w:rsidR="00F477BB">
        <w:t>ing</w:t>
      </w:r>
      <w:r>
        <w:t xml:space="preserve"> operations authorised by a class licence and </w:t>
      </w:r>
      <w:r w:rsidR="008F590F">
        <w:t xml:space="preserve">any </w:t>
      </w:r>
      <w:r>
        <w:t xml:space="preserve">potential inconsistencies between the </w:t>
      </w:r>
      <w:r w:rsidR="00F477BB">
        <w:t>b</w:t>
      </w:r>
      <w:r>
        <w:t xml:space="preserve">and </w:t>
      </w:r>
      <w:r w:rsidR="00F477BB">
        <w:t>p</w:t>
      </w:r>
      <w:r>
        <w:t>lan and class licences.</w:t>
      </w:r>
    </w:p>
    <w:p w14:paraId="27BF1BFA" w14:textId="174D2262" w:rsidR="00E96E2C" w:rsidRDefault="00E96E2C" w:rsidP="007E4EE8">
      <w:pPr>
        <w:pStyle w:val="Heading4"/>
        <w:keepNext/>
        <w:keepLines/>
      </w:pPr>
      <w:r>
        <w:t xml:space="preserve">Option 1: Maintain current </w:t>
      </w:r>
      <w:r w:rsidR="00C651D2">
        <w:t>b</w:t>
      </w:r>
      <w:r>
        <w:t xml:space="preserve">and </w:t>
      </w:r>
      <w:r w:rsidR="00C651D2">
        <w:t>p</w:t>
      </w:r>
      <w:r>
        <w:t>lan provisions</w:t>
      </w:r>
    </w:p>
    <w:p w14:paraId="228B0484" w14:textId="3B683F80" w:rsidR="00E96E2C" w:rsidRDefault="00E96E2C" w:rsidP="007E4EE8">
      <w:pPr>
        <w:pStyle w:val="Paragraph"/>
        <w:keepNext/>
        <w:keepLines/>
      </w:pPr>
      <w:r>
        <w:t xml:space="preserve">If it is considered desirable for services </w:t>
      </w:r>
      <w:r w:rsidR="00196045">
        <w:t xml:space="preserve">provided via </w:t>
      </w:r>
      <w:r>
        <w:t xml:space="preserve">class licence to </w:t>
      </w:r>
      <w:r w:rsidR="00196045">
        <w:t xml:space="preserve">not be permitted </w:t>
      </w:r>
      <w:r w:rsidR="00562A36">
        <w:t xml:space="preserve">in all cases </w:t>
      </w:r>
      <w:r>
        <w:t xml:space="preserve">within the geographic area and frequency band covered by the </w:t>
      </w:r>
      <w:r w:rsidR="00C651D2">
        <w:t>b</w:t>
      </w:r>
      <w:r>
        <w:t xml:space="preserve">and </w:t>
      </w:r>
      <w:r w:rsidR="00C651D2">
        <w:t>p</w:t>
      </w:r>
      <w:r>
        <w:t xml:space="preserve">lan, no changes </w:t>
      </w:r>
      <w:r w:rsidR="00A327D0">
        <w:t xml:space="preserve">will be </w:t>
      </w:r>
      <w:r>
        <w:t>required to the current provisions of the</w:t>
      </w:r>
      <w:r w:rsidR="001705CB">
        <w:t xml:space="preserve"> band</w:t>
      </w:r>
      <w:r>
        <w:t xml:space="preserve"> </w:t>
      </w:r>
      <w:r w:rsidR="00C651D2">
        <w:t>p</w:t>
      </w:r>
      <w:r>
        <w:t xml:space="preserve">lan. </w:t>
      </w:r>
    </w:p>
    <w:p w14:paraId="7A5A448C" w14:textId="5215A81D" w:rsidR="00AC5F76" w:rsidRDefault="00E96E2C" w:rsidP="00EA7E79">
      <w:pPr>
        <w:pStyle w:val="Paragraph"/>
      </w:pPr>
      <w:r>
        <w:t xml:space="preserve">However, modifications would be required to various </w:t>
      </w:r>
      <w:r w:rsidR="00735093">
        <w:t xml:space="preserve">class licences to explicitly exclude the geographic area and frequency band covered by the </w:t>
      </w:r>
      <w:r w:rsidR="00C651D2">
        <w:t>b</w:t>
      </w:r>
      <w:r w:rsidR="00735093">
        <w:t xml:space="preserve">and </w:t>
      </w:r>
      <w:r w:rsidR="00C651D2">
        <w:t>p</w:t>
      </w:r>
      <w:r w:rsidR="00735093">
        <w:t xml:space="preserve">lan from their scope. Appendix B lists the 15 current class licences and </w:t>
      </w:r>
      <w:r w:rsidR="00222791">
        <w:t>identifie</w:t>
      </w:r>
      <w:r w:rsidR="008F590F">
        <w:t>s</w:t>
      </w:r>
      <w:r w:rsidR="00222791">
        <w:t xml:space="preserve"> current provisions related to the ARQZWA included within them, if any</w:t>
      </w:r>
      <w:r w:rsidR="00314A19">
        <w:t>.</w:t>
      </w:r>
      <w:r w:rsidR="00735093">
        <w:t xml:space="preserve"> </w:t>
      </w:r>
    </w:p>
    <w:p w14:paraId="354E1F0E" w14:textId="3AE5C18F" w:rsidR="00E96E2C" w:rsidRDefault="00E96E2C" w:rsidP="00735093">
      <w:pPr>
        <w:pStyle w:val="Heading4"/>
      </w:pPr>
      <w:r>
        <w:t xml:space="preserve">Option 2: Include class licences as an </w:t>
      </w:r>
      <w:r w:rsidR="00C651D2">
        <w:t>‘</w:t>
      </w:r>
      <w:r>
        <w:t>additional service</w:t>
      </w:r>
      <w:r w:rsidR="00C651D2">
        <w:t>’</w:t>
      </w:r>
      <w:r>
        <w:t xml:space="preserve"> in the </w:t>
      </w:r>
      <w:r w:rsidR="00C651D2">
        <w:t>b</w:t>
      </w:r>
      <w:r>
        <w:t xml:space="preserve">and </w:t>
      </w:r>
      <w:r w:rsidR="00C651D2">
        <w:t>p</w:t>
      </w:r>
      <w:r>
        <w:t>lan</w:t>
      </w:r>
    </w:p>
    <w:p w14:paraId="6AA87EAF" w14:textId="0E8EBDB6" w:rsidR="00885904" w:rsidRDefault="00E96E2C" w:rsidP="00885904">
      <w:pPr>
        <w:pStyle w:val="Paragraph"/>
      </w:pPr>
      <w:r>
        <w:t xml:space="preserve">If it is desirable for services </w:t>
      </w:r>
      <w:r w:rsidR="00196045">
        <w:t>provided</w:t>
      </w:r>
      <w:r>
        <w:t xml:space="preserve"> via class licence to be permitted within the ARQZWA</w:t>
      </w:r>
      <w:r w:rsidR="007E4EE8">
        <w:t xml:space="preserve"> in any case</w:t>
      </w:r>
      <w:r>
        <w:t>, th</w:t>
      </w:r>
      <w:r w:rsidR="00A327D0">
        <w:t>o</w:t>
      </w:r>
      <w:r>
        <w:t>se services</w:t>
      </w:r>
      <w:r w:rsidR="00A327D0">
        <w:t xml:space="preserve"> would</w:t>
      </w:r>
      <w:r>
        <w:t xml:space="preserve"> need to be included in </w:t>
      </w:r>
      <w:r w:rsidR="00196045">
        <w:t>s</w:t>
      </w:r>
      <w:r>
        <w:t xml:space="preserve">ection 8 of the </w:t>
      </w:r>
      <w:r w:rsidR="00981D26">
        <w:t>b</w:t>
      </w:r>
      <w:r>
        <w:t xml:space="preserve">and </w:t>
      </w:r>
      <w:r w:rsidR="00981D26">
        <w:t>p</w:t>
      </w:r>
      <w:r>
        <w:t xml:space="preserve">lan as an additional service. A potential </w:t>
      </w:r>
      <w:r w:rsidR="00196045">
        <w:t>amendment</w:t>
      </w:r>
      <w:r>
        <w:t xml:space="preserve"> to </w:t>
      </w:r>
      <w:r w:rsidR="00196045">
        <w:t xml:space="preserve">section 8 </w:t>
      </w:r>
      <w:r w:rsidR="00885904">
        <w:t xml:space="preserve">of the </w:t>
      </w:r>
      <w:r w:rsidR="001705CB">
        <w:t xml:space="preserve">band </w:t>
      </w:r>
      <w:r w:rsidR="00981D26">
        <w:t>p</w:t>
      </w:r>
      <w:r w:rsidR="00885904">
        <w:t xml:space="preserve">lan </w:t>
      </w:r>
      <w:r>
        <w:t xml:space="preserve">to facilitate this </w:t>
      </w:r>
      <w:r w:rsidR="00196045">
        <w:t xml:space="preserve">would be required by adding a new subsection (5), </w:t>
      </w:r>
      <w:r w:rsidR="00885904">
        <w:t>as follows</w:t>
      </w:r>
      <w:r w:rsidR="00196045">
        <w:t>:</w:t>
      </w:r>
      <w:r w:rsidR="00885904">
        <w:t xml:space="preserve"> </w:t>
      </w:r>
    </w:p>
    <w:p w14:paraId="5D10E28E" w14:textId="7FC4B9E1" w:rsidR="00885904" w:rsidRPr="001705CB" w:rsidRDefault="00196045" w:rsidP="00196045">
      <w:pPr>
        <w:pStyle w:val="Paragraph"/>
        <w:ind w:left="709" w:hanging="425"/>
        <w:rPr>
          <w:sz w:val="18"/>
          <w:szCs w:val="18"/>
        </w:rPr>
      </w:pPr>
      <w:r w:rsidRPr="001705CB">
        <w:rPr>
          <w:sz w:val="18"/>
          <w:szCs w:val="18"/>
        </w:rPr>
        <w:t>(5)</w:t>
      </w:r>
      <w:r w:rsidRPr="001705CB">
        <w:rPr>
          <w:sz w:val="18"/>
          <w:szCs w:val="18"/>
        </w:rPr>
        <w:tab/>
      </w:r>
      <w:r w:rsidR="00885904" w:rsidRPr="001705CB">
        <w:rPr>
          <w:sz w:val="18"/>
          <w:szCs w:val="18"/>
        </w:rPr>
        <w:t xml:space="preserve">An applicable frequency band may also be used for services provided under </w:t>
      </w:r>
      <w:r w:rsidRPr="001705CB">
        <w:rPr>
          <w:sz w:val="18"/>
          <w:szCs w:val="18"/>
        </w:rPr>
        <w:t>a</w:t>
      </w:r>
      <w:r w:rsidR="00885904" w:rsidRPr="001705CB">
        <w:rPr>
          <w:sz w:val="18"/>
          <w:szCs w:val="18"/>
        </w:rPr>
        <w:t xml:space="preserve"> class licence whether issued before or after the commencement of this </w:t>
      </w:r>
      <w:r w:rsidRPr="001705CB">
        <w:rPr>
          <w:sz w:val="18"/>
          <w:szCs w:val="18"/>
        </w:rPr>
        <w:t>f</w:t>
      </w:r>
      <w:r w:rsidR="00885904" w:rsidRPr="001705CB">
        <w:rPr>
          <w:sz w:val="18"/>
          <w:szCs w:val="18"/>
        </w:rPr>
        <w:t xml:space="preserve">requency </w:t>
      </w:r>
      <w:r w:rsidRPr="001705CB">
        <w:rPr>
          <w:sz w:val="18"/>
          <w:szCs w:val="18"/>
        </w:rPr>
        <w:t>b</w:t>
      </w:r>
      <w:r w:rsidR="00885904" w:rsidRPr="001705CB">
        <w:rPr>
          <w:sz w:val="18"/>
          <w:szCs w:val="18"/>
        </w:rPr>
        <w:t xml:space="preserve">and </w:t>
      </w:r>
      <w:r w:rsidRPr="001705CB">
        <w:rPr>
          <w:sz w:val="18"/>
          <w:szCs w:val="18"/>
        </w:rPr>
        <w:t>p</w:t>
      </w:r>
      <w:r w:rsidR="00885904" w:rsidRPr="001705CB">
        <w:rPr>
          <w:sz w:val="18"/>
          <w:szCs w:val="18"/>
        </w:rPr>
        <w:t>lan.</w:t>
      </w:r>
    </w:p>
    <w:p w14:paraId="47469991" w14:textId="1510B554" w:rsidR="00AC5F76" w:rsidRDefault="00885904" w:rsidP="00AC5F76">
      <w:pPr>
        <w:pStyle w:val="Paragraph"/>
      </w:pPr>
      <w:r>
        <w:t xml:space="preserve">In cases where the operation authorised by a class licence is not desirable within the ARQZWA, </w:t>
      </w:r>
      <w:r w:rsidR="00E96E2C">
        <w:t xml:space="preserve">the relevant area and frequency range can </w:t>
      </w:r>
      <w:r w:rsidR="007E4EE8">
        <w:t xml:space="preserve">then </w:t>
      </w:r>
      <w:r w:rsidR="00E96E2C">
        <w:t xml:space="preserve">be considered for explicit exclusion from the class licence. This is the case, for example, in the </w:t>
      </w:r>
      <w:hyperlink r:id="rId27" w:history="1">
        <w:r w:rsidR="00E96E2C" w:rsidRPr="00885904">
          <w:rPr>
            <w:rStyle w:val="Hyperlink"/>
          </w:rPr>
          <w:t>Radiocommunications (Intelligent Transport Systems) Class Licence 2017</w:t>
        </w:r>
      </w:hyperlink>
      <w:r w:rsidR="00E96E2C">
        <w:t xml:space="preserve"> where operations within </w:t>
      </w:r>
      <w:r w:rsidR="00E96E2C" w:rsidRPr="00E96E2C">
        <w:t>70 k</w:t>
      </w:r>
      <w:r w:rsidR="00AA395F">
        <w:t>m</w:t>
      </w:r>
      <w:r w:rsidR="00E96E2C" w:rsidRPr="00E96E2C">
        <w:t xml:space="preserve"> of the Murchison Radioastronomy Observatory are not authorised</w:t>
      </w:r>
      <w:r w:rsidR="00E96E2C">
        <w:t>.</w:t>
      </w:r>
    </w:p>
    <w:p w14:paraId="7D81D5ED" w14:textId="3D09128F" w:rsidR="00222791" w:rsidRDefault="00222791" w:rsidP="00AC5F76">
      <w:pPr>
        <w:pStyle w:val="Paragraph"/>
      </w:pPr>
      <w:r>
        <w:t xml:space="preserve">The preferred option for the ACMA is </w:t>
      </w:r>
      <w:r w:rsidR="00F10725">
        <w:t>O</w:t>
      </w:r>
      <w:r>
        <w:t>ption 2</w:t>
      </w:r>
      <w:r w:rsidR="00AA395F">
        <w:t>,</w:t>
      </w:r>
      <w:r>
        <w:t xml:space="preserve"> as it provides the flexibility to authorise class</w:t>
      </w:r>
      <w:r w:rsidR="00AA395F">
        <w:t>-</w:t>
      </w:r>
      <w:r>
        <w:t>licen</w:t>
      </w:r>
      <w:r w:rsidR="008F590F">
        <w:t>s</w:t>
      </w:r>
      <w:r>
        <w:t xml:space="preserve">ed services within the ARQZWA where necessary. </w:t>
      </w:r>
    </w:p>
    <w:p w14:paraId="5B15245F" w14:textId="2019D6E3" w:rsidR="00604F4B" w:rsidRPr="00E43130" w:rsidRDefault="00AA395F" w:rsidP="00604F4B">
      <w:pPr>
        <w:pStyle w:val="Paragraph"/>
        <w:spacing w:before="240"/>
      </w:pPr>
      <w:r>
        <w:t xml:space="preserve">We are seeking </w:t>
      </w:r>
      <w:r w:rsidR="00735093">
        <w:t xml:space="preserve">stakeholder views on the treatment of services </w:t>
      </w:r>
      <w:r w:rsidR="00717897">
        <w:t>provided</w:t>
      </w:r>
      <w:r w:rsidR="00735093">
        <w:t xml:space="preserve"> via class licence within the ARQZWA. </w:t>
      </w:r>
      <w:r w:rsidR="00604F4B" w:rsidRPr="00E43130">
        <w:t xml:space="preserve"> </w:t>
      </w:r>
    </w:p>
    <w:p w14:paraId="552134C4" w14:textId="77777777" w:rsidR="00604F4B" w:rsidRPr="00E43130" w:rsidRDefault="00604F4B" w:rsidP="00604F4B">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szCs w:val="24"/>
        </w:rPr>
      </w:pPr>
      <w:r w:rsidRPr="00E43130">
        <w:rPr>
          <w:szCs w:val="24"/>
        </w:rPr>
        <w:lastRenderedPageBreak/>
        <w:t>Question 3</w:t>
      </w:r>
    </w:p>
    <w:p w14:paraId="75F21E63" w14:textId="5C66870A" w:rsidR="00604F4B" w:rsidRPr="005D195C" w:rsidRDefault="00735093" w:rsidP="00604F4B">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b w:val="0"/>
          <w:bCs w:val="0"/>
          <w:szCs w:val="24"/>
        </w:rPr>
      </w:pPr>
      <w:r>
        <w:rPr>
          <w:b w:val="0"/>
          <w:bCs w:val="0"/>
          <w:szCs w:val="24"/>
        </w:rPr>
        <w:t xml:space="preserve">Should </w:t>
      </w:r>
      <w:r w:rsidR="00AA395F">
        <w:rPr>
          <w:b w:val="0"/>
          <w:bCs w:val="0"/>
          <w:szCs w:val="24"/>
        </w:rPr>
        <w:t>O</w:t>
      </w:r>
      <w:r>
        <w:rPr>
          <w:b w:val="0"/>
          <w:bCs w:val="0"/>
          <w:szCs w:val="24"/>
        </w:rPr>
        <w:t xml:space="preserve">ption 1 or </w:t>
      </w:r>
      <w:r w:rsidR="00AA395F">
        <w:rPr>
          <w:b w:val="0"/>
          <w:bCs w:val="0"/>
          <w:szCs w:val="24"/>
        </w:rPr>
        <w:t>O</w:t>
      </w:r>
      <w:r>
        <w:rPr>
          <w:b w:val="0"/>
          <w:bCs w:val="0"/>
          <w:szCs w:val="24"/>
        </w:rPr>
        <w:t xml:space="preserve">ption 2 be pursued regarding the operation of services </w:t>
      </w:r>
      <w:r w:rsidR="00717897">
        <w:rPr>
          <w:b w:val="0"/>
          <w:bCs w:val="0"/>
          <w:szCs w:val="24"/>
        </w:rPr>
        <w:t>provided</w:t>
      </w:r>
      <w:r>
        <w:rPr>
          <w:b w:val="0"/>
          <w:bCs w:val="0"/>
          <w:szCs w:val="24"/>
        </w:rPr>
        <w:t xml:space="preserve"> via class licence within the ARQZWA</w:t>
      </w:r>
      <w:r w:rsidR="00604F4B" w:rsidRPr="005D195C">
        <w:rPr>
          <w:b w:val="0"/>
          <w:bCs w:val="0"/>
          <w:szCs w:val="24"/>
        </w:rPr>
        <w:t xml:space="preserve">? </w:t>
      </w:r>
      <w:r>
        <w:rPr>
          <w:b w:val="0"/>
          <w:bCs w:val="0"/>
          <w:szCs w:val="24"/>
        </w:rPr>
        <w:t>W</w:t>
      </w:r>
      <w:r w:rsidR="00604F4B" w:rsidRPr="005D195C">
        <w:rPr>
          <w:b w:val="0"/>
          <w:bCs w:val="0"/>
          <w:szCs w:val="24"/>
        </w:rPr>
        <w:t>hy?</w:t>
      </w:r>
    </w:p>
    <w:p w14:paraId="7FF24889" w14:textId="27C94AA7" w:rsidR="00E01B5D" w:rsidRPr="00735093" w:rsidRDefault="00735093" w:rsidP="00735093">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b w:val="0"/>
          <w:bCs w:val="0"/>
          <w:szCs w:val="24"/>
        </w:rPr>
      </w:pPr>
      <w:r>
        <w:rPr>
          <w:b w:val="0"/>
          <w:bCs w:val="0"/>
          <w:szCs w:val="24"/>
        </w:rPr>
        <w:t xml:space="preserve">If </w:t>
      </w:r>
      <w:r w:rsidR="00AA395F">
        <w:rPr>
          <w:b w:val="0"/>
          <w:bCs w:val="0"/>
          <w:szCs w:val="24"/>
        </w:rPr>
        <w:t>O</w:t>
      </w:r>
      <w:r>
        <w:rPr>
          <w:b w:val="0"/>
          <w:bCs w:val="0"/>
          <w:szCs w:val="24"/>
        </w:rPr>
        <w:t>ption</w:t>
      </w:r>
      <w:r w:rsidR="00AA395F">
        <w:rPr>
          <w:b w:val="0"/>
          <w:bCs w:val="0"/>
          <w:szCs w:val="24"/>
        </w:rPr>
        <w:t xml:space="preserve"> 2</w:t>
      </w:r>
      <w:r>
        <w:rPr>
          <w:b w:val="0"/>
          <w:bCs w:val="0"/>
          <w:szCs w:val="24"/>
        </w:rPr>
        <w:t>, which class licences should be modified</w:t>
      </w:r>
      <w:r w:rsidR="008F590F">
        <w:rPr>
          <w:b w:val="0"/>
          <w:bCs w:val="0"/>
          <w:szCs w:val="24"/>
        </w:rPr>
        <w:t>, if any,</w:t>
      </w:r>
      <w:r>
        <w:rPr>
          <w:b w:val="0"/>
          <w:bCs w:val="0"/>
          <w:szCs w:val="24"/>
        </w:rPr>
        <w:t xml:space="preserve"> </w:t>
      </w:r>
      <w:r w:rsidR="0072131D">
        <w:rPr>
          <w:b w:val="0"/>
          <w:bCs w:val="0"/>
          <w:szCs w:val="24"/>
        </w:rPr>
        <w:t>and what changes</w:t>
      </w:r>
      <w:r w:rsidR="008F590F">
        <w:rPr>
          <w:b w:val="0"/>
          <w:bCs w:val="0"/>
          <w:szCs w:val="24"/>
        </w:rPr>
        <w:t>, if any,</w:t>
      </w:r>
      <w:r w:rsidR="0072131D">
        <w:rPr>
          <w:b w:val="0"/>
          <w:bCs w:val="0"/>
          <w:szCs w:val="24"/>
        </w:rPr>
        <w:t xml:space="preserve"> should be made regarding </w:t>
      </w:r>
      <w:r>
        <w:rPr>
          <w:b w:val="0"/>
          <w:bCs w:val="0"/>
          <w:szCs w:val="24"/>
        </w:rPr>
        <w:t>operations within the ARQZWA</w:t>
      </w:r>
      <w:r w:rsidR="00604F4B" w:rsidRPr="005D195C">
        <w:rPr>
          <w:b w:val="0"/>
          <w:bCs w:val="0"/>
          <w:szCs w:val="24"/>
        </w:rPr>
        <w:t xml:space="preserve">? </w:t>
      </w:r>
      <w:r>
        <w:rPr>
          <w:b w:val="0"/>
          <w:bCs w:val="0"/>
          <w:szCs w:val="24"/>
        </w:rPr>
        <w:t>W</w:t>
      </w:r>
      <w:r w:rsidR="00604F4B" w:rsidRPr="005D195C">
        <w:rPr>
          <w:b w:val="0"/>
          <w:bCs w:val="0"/>
          <w:szCs w:val="24"/>
        </w:rPr>
        <w:t>hy?</w:t>
      </w:r>
    </w:p>
    <w:p w14:paraId="3E594FC9" w14:textId="77777777" w:rsidR="004B36A1" w:rsidRDefault="004B36A1" w:rsidP="004B36A1">
      <w:pPr>
        <w:pStyle w:val="Heading3"/>
      </w:pPr>
    </w:p>
    <w:p w14:paraId="2F032ECE" w14:textId="251C9DAC" w:rsidR="004B36A1" w:rsidRDefault="004B36A1" w:rsidP="004B36A1">
      <w:pPr>
        <w:pStyle w:val="Heading3"/>
      </w:pPr>
      <w:r>
        <w:t>Supplementary radio quiet zones</w:t>
      </w:r>
    </w:p>
    <w:p w14:paraId="7D0D56B0" w14:textId="1AB1C4CD" w:rsidR="004B36A1" w:rsidRDefault="004B36A1" w:rsidP="004B36A1">
      <w:pPr>
        <w:pStyle w:val="Paragraph"/>
      </w:pPr>
      <w:r>
        <w:t xml:space="preserve">The current </w:t>
      </w:r>
      <w:r w:rsidR="00B42480">
        <w:t>b</w:t>
      </w:r>
      <w:r>
        <w:t xml:space="preserve">and </w:t>
      </w:r>
      <w:r w:rsidR="00B42480">
        <w:t>p</w:t>
      </w:r>
      <w:r>
        <w:t>lan refers to the</w:t>
      </w:r>
      <w:r w:rsidR="008F590F">
        <w:t xml:space="preserve"> possible</w:t>
      </w:r>
      <w:r>
        <w:t xml:space="preserve"> establishment of supplementary radio quiet zones. </w:t>
      </w:r>
      <w:r w:rsidR="005610F9">
        <w:t>T</w:t>
      </w:r>
      <w:r w:rsidR="00F10725">
        <w:t xml:space="preserve">hese </w:t>
      </w:r>
      <w:r>
        <w:t xml:space="preserve">provisions have not been used since the commencement of the </w:t>
      </w:r>
      <w:r w:rsidR="001705CB">
        <w:t xml:space="preserve">band </w:t>
      </w:r>
      <w:r w:rsidR="00B42480">
        <w:t>p</w:t>
      </w:r>
      <w:r>
        <w:t xml:space="preserve">lan. </w:t>
      </w:r>
      <w:r w:rsidR="00B42480">
        <w:t>U</w:t>
      </w:r>
      <w:r>
        <w:t xml:space="preserve">se of these provisions would require a variation to the </w:t>
      </w:r>
      <w:r w:rsidR="00B42480">
        <w:t>b</w:t>
      </w:r>
      <w:r>
        <w:t xml:space="preserve">and </w:t>
      </w:r>
      <w:r w:rsidR="00B42480">
        <w:t>p</w:t>
      </w:r>
      <w:r>
        <w:t xml:space="preserve">lan. </w:t>
      </w:r>
    </w:p>
    <w:p w14:paraId="587BD6BF" w14:textId="1199217B" w:rsidR="00996B9B" w:rsidRDefault="004B36A1" w:rsidP="00323B31">
      <w:pPr>
        <w:pStyle w:val="Paragraph"/>
      </w:pPr>
      <w:r>
        <w:t>We are proposing to remove supplementary radio quiet zone</w:t>
      </w:r>
      <w:r w:rsidR="00FB510B">
        <w:t xml:space="preserve"> provision</w:t>
      </w:r>
      <w:r>
        <w:t xml:space="preserve">s to further streamline the instrument. Should the establishment of supplementary radio quiet zones </w:t>
      </w:r>
      <w:r w:rsidR="00222791">
        <w:t>become necessary, the development of a new band plan</w:t>
      </w:r>
      <w:r w:rsidR="00575DE8">
        <w:t xml:space="preserve"> –</w:t>
      </w:r>
      <w:r w:rsidR="00222791">
        <w:t xml:space="preserve"> or </w:t>
      </w:r>
      <w:r w:rsidR="00575DE8">
        <w:t xml:space="preserve">a </w:t>
      </w:r>
      <w:r w:rsidR="00222791">
        <w:t xml:space="preserve">variation to </w:t>
      </w:r>
      <w:r w:rsidR="00FB510B">
        <w:t xml:space="preserve">the </w:t>
      </w:r>
      <w:r w:rsidR="00222791">
        <w:t>existing band plan</w:t>
      </w:r>
      <w:r w:rsidR="00575DE8">
        <w:t xml:space="preserve"> –</w:t>
      </w:r>
      <w:r w:rsidR="00222791">
        <w:t xml:space="preserve"> would be considered in consultation with </w:t>
      </w:r>
      <w:r w:rsidR="008F590F">
        <w:t>stakeholders</w:t>
      </w:r>
      <w:r w:rsidR="00222791">
        <w:t xml:space="preserve">. </w:t>
      </w:r>
    </w:p>
    <w:p w14:paraId="21EA33EE" w14:textId="546B326F" w:rsidR="00996B9B" w:rsidRDefault="00996B9B" w:rsidP="00996B9B">
      <w:pPr>
        <w:pStyle w:val="Heading3"/>
      </w:pPr>
      <w:bookmarkStart w:id="11" w:name="_Hlk114841488"/>
      <w:r>
        <w:t>Other amendments</w:t>
      </w:r>
    </w:p>
    <w:p w14:paraId="091A7EB7" w14:textId="4955640C" w:rsidR="00996B9B" w:rsidRDefault="00996B9B" w:rsidP="00996B9B">
      <w:pPr>
        <w:pStyle w:val="Paragraph"/>
      </w:pPr>
      <w:r>
        <w:t xml:space="preserve">The current </w:t>
      </w:r>
      <w:r w:rsidR="005302F4">
        <w:t>b</w:t>
      </w:r>
      <w:r>
        <w:t xml:space="preserve">and </w:t>
      </w:r>
      <w:r w:rsidR="005302F4">
        <w:t>p</w:t>
      </w:r>
      <w:r>
        <w:t xml:space="preserve">lan uses the term </w:t>
      </w:r>
      <w:r w:rsidR="005302F4">
        <w:t>‘</w:t>
      </w:r>
      <w:r>
        <w:t>MRO entity</w:t>
      </w:r>
      <w:r w:rsidR="005302F4">
        <w:t>’</w:t>
      </w:r>
      <w:r>
        <w:t xml:space="preserve"> to refer to the </w:t>
      </w:r>
      <w:r w:rsidRPr="00996B9B">
        <w:t xml:space="preserve">entity responsible for operating the Murchison Radioastronomy Observatory. The entity is currently the Commonwealth Scientific and Industrial Research Organisation (CSIRO). </w:t>
      </w:r>
      <w:r>
        <w:t>To simplify the instrument, we are proposing to refer directly to the CSIRO instead of the MRO entity in the</w:t>
      </w:r>
      <w:r w:rsidRPr="00996B9B">
        <w:t xml:space="preserve"> </w:t>
      </w:r>
      <w:r w:rsidRPr="001705CB">
        <w:t>Radiocommunications (Australian Radio Quiet Zone Western Australia) Frequency Band Plan</w:t>
      </w:r>
      <w:r w:rsidRPr="00996B9B">
        <w:t xml:space="preserve"> 2023</w:t>
      </w:r>
      <w:r>
        <w:t xml:space="preserve">. </w:t>
      </w:r>
    </w:p>
    <w:bookmarkEnd w:id="11"/>
    <w:p w14:paraId="51BC7A35" w14:textId="7F63D3CF" w:rsidR="007E4EE8" w:rsidRPr="00E43130" w:rsidRDefault="007E4EE8" w:rsidP="007E4EE8">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szCs w:val="24"/>
        </w:rPr>
      </w:pPr>
      <w:r w:rsidRPr="00E43130">
        <w:rPr>
          <w:szCs w:val="24"/>
        </w:rPr>
        <w:t xml:space="preserve">Question </w:t>
      </w:r>
      <w:r>
        <w:rPr>
          <w:szCs w:val="24"/>
        </w:rPr>
        <w:t>4</w:t>
      </w:r>
    </w:p>
    <w:p w14:paraId="54E2634E" w14:textId="22981A9A" w:rsidR="007E4EE8" w:rsidRPr="005D195C" w:rsidRDefault="007E4EE8" w:rsidP="007E4EE8">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b w:val="0"/>
          <w:bCs w:val="0"/>
          <w:szCs w:val="24"/>
        </w:rPr>
      </w:pPr>
      <w:r>
        <w:rPr>
          <w:b w:val="0"/>
          <w:bCs w:val="0"/>
          <w:szCs w:val="24"/>
        </w:rPr>
        <w:t xml:space="preserve">Do you support the making of the </w:t>
      </w:r>
      <w:r w:rsidRPr="001705CB">
        <w:rPr>
          <w:b w:val="0"/>
          <w:bCs w:val="0"/>
          <w:szCs w:val="24"/>
        </w:rPr>
        <w:t>Radiocommunications (Australian Radio Quiet Zone Western Australia) Frequency Band Plan 2023</w:t>
      </w:r>
      <w:r w:rsidRPr="005D195C">
        <w:rPr>
          <w:b w:val="0"/>
          <w:bCs w:val="0"/>
          <w:szCs w:val="24"/>
        </w:rPr>
        <w:t xml:space="preserve">? </w:t>
      </w:r>
      <w:r>
        <w:rPr>
          <w:b w:val="0"/>
          <w:bCs w:val="0"/>
          <w:szCs w:val="24"/>
        </w:rPr>
        <w:t>If not, w</w:t>
      </w:r>
      <w:r w:rsidRPr="005D195C">
        <w:rPr>
          <w:b w:val="0"/>
          <w:bCs w:val="0"/>
          <w:szCs w:val="24"/>
        </w:rPr>
        <w:t>hy</w:t>
      </w:r>
      <w:r w:rsidR="008F590F">
        <w:rPr>
          <w:b w:val="0"/>
          <w:bCs w:val="0"/>
          <w:szCs w:val="24"/>
        </w:rPr>
        <w:t xml:space="preserve"> not</w:t>
      </w:r>
      <w:r w:rsidRPr="005D195C">
        <w:rPr>
          <w:b w:val="0"/>
          <w:bCs w:val="0"/>
          <w:szCs w:val="24"/>
        </w:rPr>
        <w:t>?</w:t>
      </w:r>
    </w:p>
    <w:p w14:paraId="3AF65406" w14:textId="368CAD1E" w:rsidR="00E01B5D" w:rsidRPr="00E43130" w:rsidRDefault="00E01B5D" w:rsidP="007E4EE8">
      <w:pPr>
        <w:pStyle w:val="Heading2"/>
      </w:pPr>
      <w:bookmarkStart w:id="12" w:name="_Toc116470272"/>
      <w:r>
        <w:t xml:space="preserve">Proposed suppression of </w:t>
      </w:r>
      <w:r w:rsidR="00762C0B">
        <w:t>S</w:t>
      </w:r>
      <w:r w:rsidR="00CD718E">
        <w:t xml:space="preserve">pectrum </w:t>
      </w:r>
      <w:r w:rsidR="00762C0B">
        <w:t>E</w:t>
      </w:r>
      <w:r>
        <w:t>mbargo 41</w:t>
      </w:r>
      <w:bookmarkEnd w:id="12"/>
    </w:p>
    <w:p w14:paraId="1F16395F" w14:textId="0CD5876B" w:rsidR="00C126B2" w:rsidRDefault="00C126B2" w:rsidP="00C126B2">
      <w:pPr>
        <w:pStyle w:val="Paragraph"/>
      </w:pPr>
      <w:r>
        <w:t xml:space="preserve">As discussed in </w:t>
      </w:r>
      <w:hyperlink w:anchor="_Appendix_A:_Spectrum" w:history="1">
        <w:r w:rsidRPr="00835489">
          <w:rPr>
            <w:rStyle w:val="Hyperlink"/>
          </w:rPr>
          <w:t>Appendix A</w:t>
        </w:r>
      </w:hyperlink>
      <w:r>
        <w:t xml:space="preserve">, </w:t>
      </w:r>
      <w:hyperlink r:id="rId28" w:history="1">
        <w:r w:rsidR="00717897">
          <w:rPr>
            <w:rStyle w:val="Hyperlink"/>
          </w:rPr>
          <w:t>S</w:t>
        </w:r>
        <w:r w:rsidRPr="00717897">
          <w:rPr>
            <w:rStyle w:val="Hyperlink"/>
          </w:rPr>
          <w:t xml:space="preserve">pectrum </w:t>
        </w:r>
        <w:r w:rsidR="00717897">
          <w:rPr>
            <w:rStyle w:val="Hyperlink"/>
          </w:rPr>
          <w:t>E</w:t>
        </w:r>
        <w:r w:rsidRPr="00717897">
          <w:rPr>
            <w:rStyle w:val="Hyperlink"/>
          </w:rPr>
          <w:t>mbargo 41</w:t>
        </w:r>
      </w:hyperlink>
      <w:r>
        <w:t xml:space="preserve"> currently form</w:t>
      </w:r>
      <w:r w:rsidR="00CD718E">
        <w:t>s</w:t>
      </w:r>
      <w:r>
        <w:t xml:space="preserve"> part of the regulatory arrangement in place to support the ARQZWA. Spectrum embargos </w:t>
      </w:r>
      <w:r w:rsidRPr="00C126B2">
        <w:t>are policy statements by the ACMA outlining the circumstances where it is likely to refuse to issue an apparatus licence in parts of the spectrum.</w:t>
      </w:r>
    </w:p>
    <w:p w14:paraId="4B707813" w14:textId="24642F14" w:rsidR="00841DA7" w:rsidRDefault="00C126B2" w:rsidP="00841DA7">
      <w:pPr>
        <w:pStyle w:val="Paragraph"/>
        <w:spacing w:after="80"/>
      </w:pPr>
      <w:r>
        <w:t xml:space="preserve">Spectrum Embargo 41 prevents </w:t>
      </w:r>
      <w:r w:rsidRPr="00C126B2">
        <w:t>new assignments in the frequency range 70 MHz</w:t>
      </w:r>
      <w:r w:rsidR="0079759B">
        <w:t xml:space="preserve"> to </w:t>
      </w:r>
      <w:r w:rsidRPr="00C126B2">
        <w:t>25.25 GHz within 70 k</w:t>
      </w:r>
      <w:r w:rsidR="0079759B">
        <w:t>m</w:t>
      </w:r>
      <w:r w:rsidRPr="00C126B2">
        <w:t xml:space="preserve"> of the ARQZWA</w:t>
      </w:r>
      <w:r>
        <w:t xml:space="preserve">. </w:t>
      </w:r>
      <w:r w:rsidR="00841DA7">
        <w:t xml:space="preserve">This </w:t>
      </w:r>
      <w:r w:rsidR="008F590F">
        <w:t>replicates</w:t>
      </w:r>
      <w:r w:rsidR="00841DA7">
        <w:t xml:space="preserve"> the RQZ (inner) zone of the </w:t>
      </w:r>
      <w:r w:rsidR="0079759B">
        <w:t>b</w:t>
      </w:r>
      <w:r w:rsidR="00841DA7">
        <w:t xml:space="preserve">and </w:t>
      </w:r>
      <w:r w:rsidR="0079759B">
        <w:t>p</w:t>
      </w:r>
      <w:r w:rsidR="00841DA7">
        <w:t xml:space="preserve">lan. The </w:t>
      </w:r>
      <w:r w:rsidR="001705CB">
        <w:t xml:space="preserve">band </w:t>
      </w:r>
      <w:r w:rsidR="0079759B">
        <w:t>p</w:t>
      </w:r>
      <w:r w:rsidR="00841DA7">
        <w:t>lan outlines the following requirements for the RQZ (inner) zone:</w:t>
      </w:r>
    </w:p>
    <w:p w14:paraId="5B655701" w14:textId="7D66DF85" w:rsidR="00841DA7" w:rsidRDefault="007A7F6A" w:rsidP="00841DA7">
      <w:pPr>
        <w:pStyle w:val="Bulletlevel1"/>
      </w:pPr>
      <w:r>
        <w:t>S</w:t>
      </w:r>
      <w:r w:rsidR="00841DA7" w:rsidRPr="00841DA7">
        <w:t xml:space="preserve">ervices authorised to operate </w:t>
      </w:r>
      <w:r w:rsidR="0079759B">
        <w:t>that</w:t>
      </w:r>
      <w:r w:rsidR="0079759B" w:rsidRPr="00841DA7">
        <w:t xml:space="preserve"> </w:t>
      </w:r>
      <w:r w:rsidR="00841DA7" w:rsidRPr="00841DA7">
        <w:t xml:space="preserve">are not radio astronomy services are taken to be </w:t>
      </w:r>
      <w:r w:rsidR="0079759B">
        <w:t>‘</w:t>
      </w:r>
      <w:r w:rsidR="00841DA7" w:rsidRPr="00841DA7">
        <w:t>secondary</w:t>
      </w:r>
      <w:r w:rsidR="00717897">
        <w:t xml:space="preserve"> services</w:t>
      </w:r>
      <w:r w:rsidR="0079759B">
        <w:t>’</w:t>
      </w:r>
      <w:r w:rsidR="00841DA7" w:rsidRPr="00841DA7">
        <w:t xml:space="preserve"> in relation to radio astronomy services. </w:t>
      </w:r>
    </w:p>
    <w:p w14:paraId="1AA70443" w14:textId="2B7310D6" w:rsidR="00C126B2" w:rsidRDefault="00841DA7" w:rsidP="00841DA7">
      <w:pPr>
        <w:pStyle w:val="Bulletlevel1last"/>
      </w:pPr>
      <w:r w:rsidRPr="00841DA7">
        <w:t xml:space="preserve">Applicants for new </w:t>
      </w:r>
      <w:r w:rsidR="00717897">
        <w:t xml:space="preserve">apparatus </w:t>
      </w:r>
      <w:r w:rsidRPr="00841DA7">
        <w:t>licences are required to consult with the MRO entity before applying for a licence.</w:t>
      </w:r>
    </w:p>
    <w:p w14:paraId="17024419" w14:textId="54B6ED9D" w:rsidR="00E01B5D" w:rsidRDefault="00841DA7" w:rsidP="00E01B5D">
      <w:pPr>
        <w:pStyle w:val="Paragraph"/>
        <w:spacing w:before="240"/>
      </w:pPr>
      <w:r>
        <w:t>Given the</w:t>
      </w:r>
      <w:r w:rsidR="00CA4518">
        <w:t xml:space="preserve"> </w:t>
      </w:r>
      <w:r w:rsidR="008F590F">
        <w:t>identical</w:t>
      </w:r>
      <w:r>
        <w:t xml:space="preserve"> requirements of the </w:t>
      </w:r>
      <w:r w:rsidR="0079759B">
        <w:t>b</w:t>
      </w:r>
      <w:r>
        <w:t xml:space="preserve">and </w:t>
      </w:r>
      <w:r w:rsidR="0079759B">
        <w:t>p</w:t>
      </w:r>
      <w:r>
        <w:t xml:space="preserve">lan, Spectrum Embargo 41 appears to be unnecessary. Therefore, </w:t>
      </w:r>
      <w:r w:rsidR="0079759B">
        <w:t>we are</w:t>
      </w:r>
      <w:r w:rsidR="00E01B5D" w:rsidRPr="00E43130">
        <w:t xml:space="preserve"> seeking stakeholder comments on </w:t>
      </w:r>
      <w:r>
        <w:t xml:space="preserve">the suppression of Spectrum Embargo 41. </w:t>
      </w:r>
    </w:p>
    <w:p w14:paraId="5DC7C7E6" w14:textId="41562897" w:rsidR="00E01B5D" w:rsidRPr="00E43130" w:rsidRDefault="00E01B5D" w:rsidP="00E01B5D">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szCs w:val="24"/>
        </w:rPr>
      </w:pPr>
      <w:r w:rsidRPr="00E43130">
        <w:rPr>
          <w:szCs w:val="24"/>
        </w:rPr>
        <w:t xml:space="preserve">Question </w:t>
      </w:r>
      <w:r w:rsidR="007E4EE8">
        <w:rPr>
          <w:szCs w:val="24"/>
        </w:rPr>
        <w:t>6</w:t>
      </w:r>
    </w:p>
    <w:p w14:paraId="5386EB8B" w14:textId="697D61A9" w:rsidR="00604F4B" w:rsidRPr="005D195C" w:rsidRDefault="00841DA7" w:rsidP="00604F4B">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b w:val="0"/>
          <w:bCs w:val="0"/>
        </w:rPr>
      </w:pPr>
      <w:r>
        <w:rPr>
          <w:b w:val="0"/>
          <w:bCs w:val="0"/>
          <w:szCs w:val="24"/>
        </w:rPr>
        <w:t xml:space="preserve">Is the </w:t>
      </w:r>
      <w:r w:rsidR="00CA4518">
        <w:rPr>
          <w:b w:val="0"/>
          <w:bCs w:val="0"/>
          <w:szCs w:val="24"/>
        </w:rPr>
        <w:t xml:space="preserve">proposed </w:t>
      </w:r>
      <w:r>
        <w:rPr>
          <w:b w:val="0"/>
          <w:bCs w:val="0"/>
          <w:szCs w:val="24"/>
        </w:rPr>
        <w:t>suppression of Spectrum Embargo 41 supported</w:t>
      </w:r>
      <w:r w:rsidR="00E01B5D" w:rsidRPr="005D195C">
        <w:rPr>
          <w:b w:val="0"/>
          <w:bCs w:val="0"/>
          <w:szCs w:val="24"/>
        </w:rPr>
        <w:t xml:space="preserve">? If </w:t>
      </w:r>
      <w:r>
        <w:rPr>
          <w:b w:val="0"/>
          <w:bCs w:val="0"/>
          <w:szCs w:val="24"/>
        </w:rPr>
        <w:t>not</w:t>
      </w:r>
      <w:r w:rsidR="00E01B5D" w:rsidRPr="005D195C">
        <w:rPr>
          <w:b w:val="0"/>
          <w:bCs w:val="0"/>
          <w:szCs w:val="24"/>
        </w:rPr>
        <w:t>, why</w:t>
      </w:r>
      <w:r w:rsidR="008F590F">
        <w:rPr>
          <w:b w:val="0"/>
          <w:bCs w:val="0"/>
          <w:szCs w:val="24"/>
        </w:rPr>
        <w:t xml:space="preserve"> not</w:t>
      </w:r>
      <w:r w:rsidR="00E01B5D" w:rsidRPr="005D195C">
        <w:rPr>
          <w:b w:val="0"/>
          <w:bCs w:val="0"/>
          <w:szCs w:val="24"/>
        </w:rPr>
        <w:t>?</w:t>
      </w:r>
    </w:p>
    <w:p w14:paraId="287BEA8A" w14:textId="77777777" w:rsidR="006C1631" w:rsidRPr="00E162C4" w:rsidRDefault="006C1631" w:rsidP="006C1631">
      <w:pPr>
        <w:pStyle w:val="Heading1"/>
      </w:pPr>
      <w:bookmarkStart w:id="13" w:name="_Invitation_to_comment"/>
      <w:bookmarkStart w:id="14" w:name="_Toc116470273"/>
      <w:bookmarkEnd w:id="13"/>
      <w:r w:rsidRPr="00E162C4">
        <w:lastRenderedPageBreak/>
        <w:t>Invitation to comment</w:t>
      </w:r>
      <w:bookmarkEnd w:id="14"/>
    </w:p>
    <w:p w14:paraId="51BFF3E4" w14:textId="08C68738" w:rsidR="002C530D" w:rsidRPr="000F5182" w:rsidRDefault="002C530D" w:rsidP="002C530D">
      <w:pPr>
        <w:rPr>
          <w:rFonts w:cs="Arial"/>
        </w:rPr>
      </w:pPr>
      <w:bookmarkStart w:id="15" w:name="_Toc433122131"/>
      <w:bookmarkStart w:id="16" w:name="_Toc348105637"/>
      <w:bookmarkStart w:id="17" w:name="_Toc300909556"/>
      <w:bookmarkStart w:id="18" w:name="_Toc298924673"/>
      <w:bookmarkStart w:id="19" w:name="_Toc348105638"/>
      <w:bookmarkStart w:id="20" w:name="_Toc300909557"/>
      <w:bookmarkStart w:id="21" w:name="_Toc298924674"/>
      <w:bookmarkStart w:id="22" w:name="_Toc274296357"/>
      <w:r w:rsidRPr="000F5182">
        <w:rPr>
          <w:rFonts w:cs="Arial"/>
        </w:rPr>
        <w:t xml:space="preserve">Comments are sought from the public regarding </w:t>
      </w:r>
      <w:r w:rsidR="0079759B">
        <w:rPr>
          <w:rFonts w:cs="Arial"/>
        </w:rPr>
        <w:t xml:space="preserve">our </w:t>
      </w:r>
      <w:r w:rsidRPr="000F5182">
        <w:rPr>
          <w:rFonts w:cs="Arial"/>
        </w:rPr>
        <w:t>proposal to remake</w:t>
      </w:r>
      <w:r w:rsidRPr="001321C6">
        <w:t xml:space="preserve"> </w:t>
      </w:r>
      <w:r w:rsidRPr="001321C6">
        <w:rPr>
          <w:rFonts w:cs="Arial"/>
        </w:rPr>
        <w:t>the Radiocommunications (Mid-West Radio Quiet Zone) Frequency Band Plan 2011</w:t>
      </w:r>
      <w:r>
        <w:rPr>
          <w:rFonts w:cs="Arial"/>
        </w:rPr>
        <w:t>,</w:t>
      </w:r>
      <w:r w:rsidRPr="000F5182">
        <w:rPr>
          <w:rFonts w:cs="Arial"/>
        </w:rPr>
        <w:t xml:space="preserve"> with</w:t>
      </w:r>
      <w:r w:rsidR="007A7F6A">
        <w:rPr>
          <w:rFonts w:cs="Arial"/>
        </w:rPr>
        <w:t xml:space="preserve"> minor changes</w:t>
      </w:r>
      <w:r>
        <w:rPr>
          <w:rFonts w:cs="Arial"/>
        </w:rPr>
        <w:t>,</w:t>
      </w:r>
      <w:r w:rsidRPr="000F5182">
        <w:rPr>
          <w:rFonts w:cs="Arial"/>
        </w:rPr>
        <w:t xml:space="preserve"> on the basis that</w:t>
      </w:r>
      <w:r>
        <w:rPr>
          <w:rFonts w:cs="Arial"/>
        </w:rPr>
        <w:t xml:space="preserve"> it</w:t>
      </w:r>
      <w:r w:rsidRPr="000F5182">
        <w:rPr>
          <w:rFonts w:cs="Arial"/>
        </w:rPr>
        <w:t xml:space="preserve"> is operating effectively and efficiently.</w:t>
      </w:r>
    </w:p>
    <w:p w14:paraId="34E18687" w14:textId="77777777" w:rsidR="006C1631" w:rsidRPr="00E162C4" w:rsidRDefault="006C1631" w:rsidP="006C1631">
      <w:pPr>
        <w:pStyle w:val="Heading2"/>
      </w:pPr>
      <w:bookmarkStart w:id="23" w:name="_Toc116470274"/>
      <w:r w:rsidRPr="00E162C4">
        <w:t>Making a submission</w:t>
      </w:r>
      <w:bookmarkEnd w:id="15"/>
      <w:bookmarkEnd w:id="16"/>
      <w:bookmarkEnd w:id="17"/>
      <w:bookmarkEnd w:id="18"/>
      <w:bookmarkEnd w:id="23"/>
    </w:p>
    <w:p w14:paraId="4AF2AD14" w14:textId="79F084B4" w:rsidR="006C1631" w:rsidRPr="00E162C4" w:rsidRDefault="006C5FD4" w:rsidP="006C1631">
      <w:r w:rsidRPr="00E162C4">
        <w:t>We</w:t>
      </w:r>
      <w:r w:rsidR="006C1631" w:rsidRPr="00E162C4">
        <w:t xml:space="preserve"> invite comments on the issues set out in this </w:t>
      </w:r>
      <w:r w:rsidR="008F590F">
        <w:t>consultation</w:t>
      </w:r>
      <w:r w:rsidR="006C1631" w:rsidRPr="00E162C4">
        <w:t xml:space="preserve"> paper. </w:t>
      </w:r>
    </w:p>
    <w:p w14:paraId="5AE6AF68" w14:textId="77777777" w:rsidR="0070133D" w:rsidRPr="00E162C4" w:rsidRDefault="00BE3792" w:rsidP="0070133D">
      <w:pPr>
        <w:pStyle w:val="Bulletlevel1"/>
      </w:pPr>
      <w:hyperlink r:id="rId29" w:history="1">
        <w:r w:rsidR="0070133D" w:rsidRPr="00E162C4">
          <w:rPr>
            <w:rStyle w:val="Hyperlink"/>
          </w:rPr>
          <w:t>Online submissions</w:t>
        </w:r>
      </w:hyperlink>
      <w:r w:rsidR="0070133D" w:rsidRPr="00E162C4">
        <w:t xml:space="preserve"> can be made by uploading a document. Submissions in</w:t>
      </w:r>
      <w:r w:rsidR="00396DC2" w:rsidRPr="00E162C4">
        <w:t xml:space="preserve"> PDF, </w:t>
      </w:r>
      <w:r w:rsidR="0070133D" w:rsidRPr="00E162C4">
        <w:t>Microsoft Word or Rich Text Format are preferred.</w:t>
      </w:r>
    </w:p>
    <w:p w14:paraId="5EE40C22" w14:textId="77777777" w:rsidR="006C1631" w:rsidRPr="00E162C4" w:rsidRDefault="006C1631" w:rsidP="0070133D">
      <w:pPr>
        <w:pStyle w:val="Bulletlevel1"/>
      </w:pPr>
      <w:r w:rsidRPr="00E162C4">
        <w:t xml:space="preserve">Submissions by post can be sent to: </w:t>
      </w:r>
    </w:p>
    <w:p w14:paraId="6DB26F02" w14:textId="77777777" w:rsidR="006C1631" w:rsidRPr="00E01B5D" w:rsidRDefault="006C1631" w:rsidP="006C1631">
      <w:pPr>
        <w:tabs>
          <w:tab w:val="num" w:pos="295"/>
        </w:tabs>
        <w:spacing w:after="0"/>
        <w:ind w:left="295"/>
        <w:rPr>
          <w:szCs w:val="20"/>
        </w:rPr>
      </w:pPr>
      <w:r w:rsidRPr="00E01B5D">
        <w:rPr>
          <w:szCs w:val="20"/>
        </w:rPr>
        <w:t>The Manager</w:t>
      </w:r>
    </w:p>
    <w:p w14:paraId="715986D3" w14:textId="0FED0E5C" w:rsidR="006C1631" w:rsidRPr="00E01B5D" w:rsidRDefault="002C530D" w:rsidP="006C1631">
      <w:pPr>
        <w:spacing w:after="0"/>
        <w:ind w:left="295"/>
        <w:rPr>
          <w:szCs w:val="20"/>
        </w:rPr>
      </w:pPr>
      <w:r w:rsidRPr="00E01B5D">
        <w:rPr>
          <w:szCs w:val="20"/>
        </w:rPr>
        <w:t>Spectrum Planning Section</w:t>
      </w:r>
    </w:p>
    <w:p w14:paraId="12964A76" w14:textId="77777777" w:rsidR="006C1631" w:rsidRPr="00E01B5D" w:rsidRDefault="006C1631" w:rsidP="006C1631">
      <w:pPr>
        <w:spacing w:after="0"/>
        <w:ind w:left="295"/>
        <w:rPr>
          <w:szCs w:val="20"/>
        </w:rPr>
      </w:pPr>
      <w:r w:rsidRPr="00E01B5D">
        <w:rPr>
          <w:szCs w:val="20"/>
        </w:rPr>
        <w:t>Australian Communications and Media Authority</w:t>
      </w:r>
    </w:p>
    <w:p w14:paraId="2AB34372" w14:textId="77777777" w:rsidR="006C1631" w:rsidRPr="00E01B5D" w:rsidRDefault="006C1631" w:rsidP="006C1631">
      <w:pPr>
        <w:spacing w:after="0"/>
        <w:ind w:left="295"/>
        <w:rPr>
          <w:szCs w:val="20"/>
        </w:rPr>
      </w:pPr>
      <w:r w:rsidRPr="00E01B5D">
        <w:rPr>
          <w:szCs w:val="20"/>
        </w:rPr>
        <w:t>PO Box 78</w:t>
      </w:r>
    </w:p>
    <w:p w14:paraId="3A2F3731" w14:textId="77777777" w:rsidR="006C1631" w:rsidRPr="00E162C4" w:rsidRDefault="006C1631" w:rsidP="006C1631">
      <w:pPr>
        <w:ind w:left="295"/>
        <w:rPr>
          <w:szCs w:val="20"/>
        </w:rPr>
      </w:pPr>
      <w:r w:rsidRPr="00E01B5D">
        <w:rPr>
          <w:szCs w:val="20"/>
        </w:rPr>
        <w:t>Belconnen ACT 2616</w:t>
      </w:r>
    </w:p>
    <w:p w14:paraId="40653748" w14:textId="2DFFC016" w:rsidR="006C1631" w:rsidRPr="00E162C4" w:rsidRDefault="006C1631" w:rsidP="006C1631">
      <w:r w:rsidRPr="00E162C4">
        <w:t xml:space="preserve">The closing date for submissions is </w:t>
      </w:r>
      <w:r w:rsidRPr="00323B31">
        <w:rPr>
          <w:b/>
          <w:bCs/>
        </w:rPr>
        <w:t xml:space="preserve">COB, </w:t>
      </w:r>
      <w:r w:rsidR="00323B31" w:rsidRPr="00323B31">
        <w:rPr>
          <w:b/>
          <w:bCs/>
        </w:rPr>
        <w:t>Monday 14 November 2022</w:t>
      </w:r>
      <w:r w:rsidRPr="00E162C4">
        <w:t>.</w:t>
      </w:r>
    </w:p>
    <w:p w14:paraId="06068EE4" w14:textId="743D26E1" w:rsidR="006C1631" w:rsidRPr="00E162C4" w:rsidRDefault="006C1631" w:rsidP="006C1631">
      <w:pPr>
        <w:rPr>
          <w:szCs w:val="20"/>
        </w:rPr>
      </w:pPr>
      <w:r w:rsidRPr="00E162C4">
        <w:t xml:space="preserve">Consultation enquiries can be emailed </w:t>
      </w:r>
      <w:r w:rsidRPr="00E162C4">
        <w:rPr>
          <w:szCs w:val="20"/>
        </w:rPr>
        <w:t>to</w:t>
      </w:r>
      <w:r w:rsidR="002C530D">
        <w:rPr>
          <w:szCs w:val="20"/>
        </w:rPr>
        <w:t xml:space="preserve"> </w:t>
      </w:r>
      <w:hyperlink r:id="rId30" w:history="1">
        <w:r w:rsidR="002C530D" w:rsidRPr="00596226">
          <w:rPr>
            <w:rStyle w:val="Hyperlink"/>
            <w:szCs w:val="20"/>
          </w:rPr>
          <w:t>freqplan@acma.gov.au</w:t>
        </w:r>
      </w:hyperlink>
      <w:r w:rsidR="002C530D">
        <w:rPr>
          <w:szCs w:val="20"/>
        </w:rPr>
        <w:t xml:space="preserve">. </w:t>
      </w:r>
    </w:p>
    <w:p w14:paraId="44A46A1D" w14:textId="77777777" w:rsidR="006C1631" w:rsidRPr="00E162C4" w:rsidRDefault="006C1631" w:rsidP="005B2F0D">
      <w:pPr>
        <w:pStyle w:val="Heading4"/>
      </w:pPr>
      <w:bookmarkStart w:id="24" w:name="_Toc348105639"/>
      <w:bookmarkStart w:id="25" w:name="_Toc300909558"/>
      <w:bookmarkStart w:id="26" w:name="_Hlk59627494"/>
      <w:bookmarkEnd w:id="19"/>
      <w:bookmarkEnd w:id="20"/>
      <w:r w:rsidRPr="00E162C4">
        <w:t>Publication of submissions</w:t>
      </w:r>
      <w:bookmarkEnd w:id="21"/>
      <w:bookmarkEnd w:id="22"/>
      <w:bookmarkEnd w:id="24"/>
      <w:bookmarkEnd w:id="25"/>
    </w:p>
    <w:p w14:paraId="7287B798" w14:textId="77777777" w:rsidR="006C1631" w:rsidRPr="00E162C4" w:rsidRDefault="006C5FD4" w:rsidP="006C1631">
      <w:bookmarkStart w:id="27" w:name="_Toc348105640"/>
      <w:bookmarkStart w:id="28" w:name="_Toc300909559"/>
      <w:bookmarkStart w:id="29" w:name="_Toc265246234"/>
      <w:r w:rsidRPr="00E162C4">
        <w:t>We</w:t>
      </w:r>
      <w:r w:rsidR="006C1631" w:rsidRPr="00E162C4">
        <w:t xml:space="preserve"> publish submissions on our website</w:t>
      </w:r>
      <w:r w:rsidR="006C1631" w:rsidRPr="00E162C4">
        <w:rPr>
          <w:rFonts w:cs="Arial"/>
        </w:rPr>
        <w:t>, including personal information (such as names and contact details)</w:t>
      </w:r>
      <w:r w:rsidR="006C1631" w:rsidRPr="00E162C4">
        <w:t xml:space="preserve">, except for information that you have claimed (and we have accepted) is confidential. </w:t>
      </w:r>
    </w:p>
    <w:p w14:paraId="5B9B32FC" w14:textId="77777777" w:rsidR="006C1631" w:rsidRPr="00E162C4" w:rsidRDefault="006C1631" w:rsidP="006C1631">
      <w:r w:rsidRPr="00E162C4">
        <w:t>Confidential information will not be published or otherwise released unless required or authorised by law.</w:t>
      </w:r>
    </w:p>
    <w:p w14:paraId="6BFFD59F" w14:textId="77777777" w:rsidR="006C1631" w:rsidRPr="00E162C4" w:rsidRDefault="006C1631" w:rsidP="005B2F0D">
      <w:pPr>
        <w:pStyle w:val="Heading4"/>
      </w:pPr>
      <w:r w:rsidRPr="00E162C4">
        <w:t>Privacy</w:t>
      </w:r>
    </w:p>
    <w:p w14:paraId="50B31A10" w14:textId="77777777" w:rsidR="006C1631" w:rsidRPr="00E162C4" w:rsidRDefault="00E21056" w:rsidP="005B2F0D">
      <w:pPr>
        <w:pStyle w:val="Paragraph"/>
      </w:pPr>
      <w:r w:rsidRPr="00E162C4">
        <w:t>View</w:t>
      </w:r>
      <w:r w:rsidR="006C1631" w:rsidRPr="00E162C4">
        <w:t xml:space="preserve"> information about </w:t>
      </w:r>
      <w:r w:rsidRPr="00E162C4">
        <w:t xml:space="preserve">our policy on the </w:t>
      </w:r>
      <w:hyperlink r:id="rId31" w:history="1">
        <w:r w:rsidRPr="00E162C4">
          <w:rPr>
            <w:rStyle w:val="Hyperlink"/>
          </w:rPr>
          <w:t>publication of submissions</w:t>
        </w:r>
      </w:hyperlink>
      <w:r w:rsidRPr="00E162C4">
        <w:t xml:space="preserve">, including </w:t>
      </w:r>
      <w:r w:rsidR="006C1631" w:rsidRPr="00E162C4">
        <w:t>collection of personal information during consultation and how we handle that information</w:t>
      </w:r>
      <w:r w:rsidRPr="00E162C4">
        <w:t>.</w:t>
      </w:r>
    </w:p>
    <w:bookmarkEnd w:id="27"/>
    <w:bookmarkEnd w:id="28"/>
    <w:bookmarkEnd w:id="29"/>
    <w:p w14:paraId="01FBC7D6" w14:textId="77777777" w:rsidR="00A4193E" w:rsidRPr="00E162C4" w:rsidRDefault="006C1631" w:rsidP="005B2F0D">
      <w:pPr>
        <w:pStyle w:val="Paragraph"/>
      </w:pPr>
      <w:r w:rsidRPr="00E162C4">
        <w:t xml:space="preserve">Information on the </w:t>
      </w:r>
      <w:r w:rsidRPr="00E162C4">
        <w:rPr>
          <w:i/>
        </w:rPr>
        <w:t>Privacy Act 1988</w:t>
      </w:r>
      <w:r w:rsidR="006A4CCA" w:rsidRPr="00E162C4">
        <w:rPr>
          <w:i/>
        </w:rPr>
        <w:t xml:space="preserve">, </w:t>
      </w:r>
      <w:r w:rsidRPr="00E162C4">
        <w:t xml:space="preserve">how to access or correct personal information, how to make a privacy complaint and how we will deal with </w:t>
      </w:r>
      <w:r w:rsidR="006C5FD4" w:rsidRPr="00E162C4">
        <w:t xml:space="preserve">any </w:t>
      </w:r>
      <w:r w:rsidRPr="00E162C4">
        <w:t>complaint</w:t>
      </w:r>
      <w:r w:rsidR="006C5FD4" w:rsidRPr="00E162C4">
        <w:t>s</w:t>
      </w:r>
      <w:r w:rsidR="00BB6335" w:rsidRPr="00E162C4">
        <w:t>,</w:t>
      </w:r>
      <w:r w:rsidR="00CF0BFE" w:rsidRPr="00E162C4">
        <w:t xml:space="preserve"> </w:t>
      </w:r>
      <w:r w:rsidRPr="00E162C4">
        <w:t xml:space="preserve">is available </w:t>
      </w:r>
      <w:r w:rsidR="00E21056" w:rsidRPr="00E162C4">
        <w:t xml:space="preserve">in our </w:t>
      </w:r>
      <w:hyperlink r:id="rId32" w:history="1">
        <w:r w:rsidR="00E21056" w:rsidRPr="00E162C4">
          <w:rPr>
            <w:rStyle w:val="Hyperlink"/>
          </w:rPr>
          <w:t>privacy policy</w:t>
        </w:r>
      </w:hyperlink>
      <w:r w:rsidRPr="00E162C4">
        <w:t>.</w:t>
      </w:r>
      <w:r w:rsidR="00A4193E" w:rsidRPr="00E162C4">
        <w:t xml:space="preserve"> </w:t>
      </w:r>
    </w:p>
    <w:p w14:paraId="332DFF0F" w14:textId="31073888" w:rsidR="00240CE9" w:rsidRPr="00E162C4" w:rsidRDefault="00FF3C69" w:rsidP="00FF3C69">
      <w:pPr>
        <w:pStyle w:val="Heading1"/>
      </w:pPr>
      <w:bookmarkStart w:id="30" w:name="_Appendix_A:_Spectrum"/>
      <w:bookmarkStart w:id="31" w:name="_Toc348105641"/>
      <w:bookmarkStart w:id="32" w:name="_Toc116470275"/>
      <w:bookmarkEnd w:id="26"/>
      <w:bookmarkEnd w:id="30"/>
      <w:r w:rsidRPr="00E162C4">
        <w:lastRenderedPageBreak/>
        <w:t>Appendix A</w:t>
      </w:r>
      <w:bookmarkEnd w:id="31"/>
      <w:r w:rsidR="00023A36" w:rsidRPr="00E162C4">
        <w:t xml:space="preserve">: </w:t>
      </w:r>
      <w:r w:rsidR="00A020BC" w:rsidRPr="00A020BC">
        <w:t>Spectrum planning arrangements for the ARQZWA</w:t>
      </w:r>
      <w:bookmarkEnd w:id="32"/>
    </w:p>
    <w:p w14:paraId="35325B3E" w14:textId="77777777" w:rsidR="00604F4B" w:rsidRDefault="00604F4B" w:rsidP="00604F4B">
      <w:pPr>
        <w:pStyle w:val="Paragraph"/>
        <w:spacing w:after="80"/>
      </w:pPr>
      <w:bookmarkStart w:id="33" w:name="_Toc105509760"/>
      <w:r>
        <w:t>There is a multi-tiered spectrum planning regulatory arrangement in place to support the ARQZWA and its ongoing viability for radio astronomy services. This includes:</w:t>
      </w:r>
    </w:p>
    <w:p w14:paraId="67E31E61" w14:textId="402CB696" w:rsidR="00604F4B" w:rsidRDefault="00604F4B" w:rsidP="00604F4B">
      <w:pPr>
        <w:pStyle w:val="Bulletlevel1"/>
      </w:pPr>
      <w:r>
        <w:t xml:space="preserve">The </w:t>
      </w:r>
      <w:hyperlink r:id="rId33" w:history="1">
        <w:r w:rsidRPr="00DF3226">
          <w:rPr>
            <w:rStyle w:val="Hyperlink"/>
          </w:rPr>
          <w:t>Radiocommunications (Mid-West Radio Quiet Zone) Frequency Band Plan 2011</w:t>
        </w:r>
      </w:hyperlink>
      <w:r>
        <w:t xml:space="preserve"> (the </w:t>
      </w:r>
      <w:r w:rsidR="00FF3A53">
        <w:t>b</w:t>
      </w:r>
      <w:r>
        <w:t xml:space="preserve">and </w:t>
      </w:r>
      <w:r w:rsidR="00FF3A53">
        <w:t>p</w:t>
      </w:r>
      <w:r>
        <w:t>lan)</w:t>
      </w:r>
    </w:p>
    <w:p w14:paraId="0F116CAC" w14:textId="77777777" w:rsidR="00604F4B" w:rsidRDefault="00BE3792" w:rsidP="00604F4B">
      <w:pPr>
        <w:pStyle w:val="Bulletlevel1"/>
      </w:pPr>
      <w:hyperlink r:id="rId34" w:history="1">
        <w:r w:rsidR="00604F4B" w:rsidRPr="006D1F98">
          <w:rPr>
            <w:rStyle w:val="Hyperlink"/>
          </w:rPr>
          <w:t>Spectrum Embargo 41</w:t>
        </w:r>
      </w:hyperlink>
    </w:p>
    <w:p w14:paraId="2A82B882" w14:textId="61C0DC80" w:rsidR="00604F4B" w:rsidRDefault="00BE3792" w:rsidP="00604F4B">
      <w:pPr>
        <w:pStyle w:val="Bulletlevel1"/>
      </w:pPr>
      <w:hyperlink r:id="rId35" w:history="1">
        <w:r w:rsidR="00604F4B" w:rsidRPr="002D0375">
          <w:rPr>
            <w:rStyle w:val="Hyperlink"/>
          </w:rPr>
          <w:t>Radiocommunications Assignment and Licensing Instruction (RALI) MS32</w:t>
        </w:r>
      </w:hyperlink>
    </w:p>
    <w:p w14:paraId="73ED2BA4" w14:textId="7B8F6BFE" w:rsidR="00604F4B" w:rsidRDefault="00604F4B" w:rsidP="00604F4B">
      <w:pPr>
        <w:pStyle w:val="Bulletlevel1"/>
      </w:pPr>
      <w:r>
        <w:t xml:space="preserve">Provisions in the </w:t>
      </w:r>
      <w:hyperlink r:id="rId36" w:history="1">
        <w:r w:rsidRPr="002D0375">
          <w:rPr>
            <w:rStyle w:val="Hyperlink"/>
          </w:rPr>
          <w:t>Australian Radiofrequency Spectrum Pla</w:t>
        </w:r>
        <w:r w:rsidR="00717897">
          <w:rPr>
            <w:rStyle w:val="Hyperlink"/>
          </w:rPr>
          <w:t>n 2021</w:t>
        </w:r>
      </w:hyperlink>
      <w:r>
        <w:t xml:space="preserve"> (ARSP)</w:t>
      </w:r>
    </w:p>
    <w:p w14:paraId="6CB0194D" w14:textId="77777777" w:rsidR="00604F4B" w:rsidRDefault="00604F4B" w:rsidP="00604F4B">
      <w:pPr>
        <w:pStyle w:val="Bulletlevel1last"/>
      </w:pPr>
      <w:r>
        <w:t xml:space="preserve">Specific arrangements in relevant spectrum, class and apparatus licences. </w:t>
      </w:r>
    </w:p>
    <w:p w14:paraId="3AC7A060" w14:textId="5CF691B5" w:rsidR="00604F4B" w:rsidRDefault="00604F4B" w:rsidP="00604F4B">
      <w:pPr>
        <w:pStyle w:val="Paragraph"/>
      </w:pPr>
      <w:r>
        <w:t>This appendix describes the spectrum planning regulatory arrangements in place as at September 2022</w:t>
      </w:r>
      <w:r w:rsidR="003D7A30">
        <w:t>,</w:t>
      </w:r>
      <w:r>
        <w:t xml:space="preserve"> with the exception of the </w:t>
      </w:r>
      <w:r w:rsidR="003D7A30">
        <w:t>b</w:t>
      </w:r>
      <w:r>
        <w:t xml:space="preserve">and </w:t>
      </w:r>
      <w:r w:rsidR="003D7A30">
        <w:t>p</w:t>
      </w:r>
      <w:r>
        <w:t>lan</w:t>
      </w:r>
      <w:r w:rsidR="003D7A30">
        <w:t>. This</w:t>
      </w:r>
      <w:r>
        <w:t xml:space="preserve"> is discussed in the body of this document. </w:t>
      </w:r>
    </w:p>
    <w:p w14:paraId="49026B62" w14:textId="0F16D236" w:rsidR="00717897" w:rsidRDefault="00717897" w:rsidP="00604F4B">
      <w:pPr>
        <w:pStyle w:val="Paragraph"/>
      </w:pPr>
      <w:r>
        <w:t xml:space="preserve">Under section 299 of the Radiocommunications Act, </w:t>
      </w:r>
      <w:r w:rsidR="002114F5">
        <w:t>we</w:t>
      </w:r>
      <w:r w:rsidR="000E514D">
        <w:t xml:space="preserve"> must have regard to any </w:t>
      </w:r>
      <w:r w:rsidR="000E514D" w:rsidRPr="000E514D">
        <w:t>agreement, treaty or convention between Australia and another country or countries that makes provision in relation to radio emission</w:t>
      </w:r>
      <w:r w:rsidR="000E514D">
        <w:t xml:space="preserve">. Australia is party to the </w:t>
      </w:r>
      <w:hyperlink r:id="rId37" w:history="1">
        <w:r w:rsidR="000E514D" w:rsidRPr="000E514D">
          <w:rPr>
            <w:rStyle w:val="Hyperlink"/>
          </w:rPr>
          <w:t>Convention Establishing the Square Kilometre Array Observatory</w:t>
        </w:r>
      </w:hyperlink>
      <w:r w:rsidR="000E514D">
        <w:t xml:space="preserve">. </w:t>
      </w:r>
      <w:r w:rsidR="002114F5">
        <w:t>We</w:t>
      </w:r>
      <w:r w:rsidR="000E514D">
        <w:t xml:space="preserve"> must have regard to this convention. </w:t>
      </w:r>
    </w:p>
    <w:p w14:paraId="125B7231" w14:textId="77777777" w:rsidR="00A020BC" w:rsidRPr="00E162C4" w:rsidRDefault="00A020BC" w:rsidP="00A020BC">
      <w:pPr>
        <w:pStyle w:val="Heading2"/>
      </w:pPr>
      <w:bookmarkStart w:id="34" w:name="_Toc116470276"/>
      <w:r>
        <w:t>Spectrum Embargo 41</w:t>
      </w:r>
      <w:bookmarkEnd w:id="33"/>
      <w:bookmarkEnd w:id="34"/>
    </w:p>
    <w:p w14:paraId="59387C65" w14:textId="6A9AAA06" w:rsidR="00A020BC" w:rsidRDefault="00BE3792" w:rsidP="00A020BC">
      <w:pPr>
        <w:pStyle w:val="Paragraph"/>
      </w:pPr>
      <w:hyperlink r:id="rId38" w:history="1">
        <w:r w:rsidR="00A020BC" w:rsidRPr="00DC60D1">
          <w:rPr>
            <w:rStyle w:val="Hyperlink"/>
          </w:rPr>
          <w:t>Spectrum embargoes</w:t>
        </w:r>
      </w:hyperlink>
      <w:r w:rsidR="00A020BC">
        <w:t xml:space="preserve"> </w:t>
      </w:r>
      <w:r w:rsidR="00A020BC" w:rsidRPr="006D1F98">
        <w:t xml:space="preserve">are </w:t>
      </w:r>
      <w:r w:rsidR="002114F5">
        <w:t xml:space="preserve">ACMA </w:t>
      </w:r>
      <w:r w:rsidR="00A020BC" w:rsidRPr="006D1F98">
        <w:t xml:space="preserve">policy statements outlining the circumstances where </w:t>
      </w:r>
      <w:r w:rsidR="002114F5">
        <w:t xml:space="preserve">we are </w:t>
      </w:r>
      <w:r w:rsidR="00A020BC" w:rsidRPr="006D1F98">
        <w:t xml:space="preserve">likely to refuse to issue an apparatus licence in parts of the spectrum. </w:t>
      </w:r>
    </w:p>
    <w:p w14:paraId="67090A2D" w14:textId="6BFB8A15" w:rsidR="00A020BC" w:rsidRDefault="00BE3792" w:rsidP="00A020BC">
      <w:pPr>
        <w:pStyle w:val="Paragraph"/>
      </w:pPr>
      <w:hyperlink r:id="rId39" w:history="1">
        <w:r w:rsidR="00A020BC" w:rsidRPr="006D1F98">
          <w:rPr>
            <w:rStyle w:val="Hyperlink"/>
          </w:rPr>
          <w:t>Spectrum Embargo 41</w:t>
        </w:r>
      </w:hyperlink>
      <w:r w:rsidR="00A020BC">
        <w:t xml:space="preserve"> was created on 11 April 2005. The embargo was the first step in establishing the ARQZWA</w:t>
      </w:r>
      <w:r w:rsidR="00A1019C">
        <w:t xml:space="preserve">. It </w:t>
      </w:r>
      <w:r w:rsidR="00A020BC">
        <w:t>prevent</w:t>
      </w:r>
      <w:r w:rsidR="00A1019C">
        <w:t>ed</w:t>
      </w:r>
      <w:r w:rsidR="00A020BC">
        <w:t xml:space="preserve"> the assignment of apparatus licences within the frequency range </w:t>
      </w:r>
      <w:r w:rsidR="00A020BC" w:rsidRPr="006D1F98">
        <w:t>108 MHz</w:t>
      </w:r>
      <w:r w:rsidR="00A1019C">
        <w:t xml:space="preserve"> to </w:t>
      </w:r>
      <w:r w:rsidR="00A020BC" w:rsidRPr="006D1F98">
        <w:t>25.25 GHz</w:t>
      </w:r>
      <w:r w:rsidR="00A020BC">
        <w:t xml:space="preserve"> </w:t>
      </w:r>
      <w:r w:rsidR="00020DD6">
        <w:t xml:space="preserve">(but excluding bands managed under the </w:t>
      </w:r>
      <w:r w:rsidR="00020DD6">
        <w:rPr>
          <w:i/>
          <w:iCs/>
        </w:rPr>
        <w:t xml:space="preserve">Broadcasting Services Act </w:t>
      </w:r>
      <w:r w:rsidR="00020DD6" w:rsidRPr="001705CB">
        <w:rPr>
          <w:i/>
          <w:iCs/>
        </w:rPr>
        <w:t>1992</w:t>
      </w:r>
      <w:r w:rsidR="00020DD6">
        <w:t xml:space="preserve">) </w:t>
      </w:r>
      <w:r w:rsidR="00A020BC">
        <w:t>within 100 k</w:t>
      </w:r>
      <w:r w:rsidR="00A1019C">
        <w:t>m</w:t>
      </w:r>
      <w:r w:rsidR="00A020BC">
        <w:t xml:space="preserve"> of </w:t>
      </w:r>
      <w:proofErr w:type="spellStart"/>
      <w:r w:rsidR="00A020BC">
        <w:t>Mileura</w:t>
      </w:r>
      <w:proofErr w:type="spellEnd"/>
      <w:r w:rsidR="00A020BC">
        <w:t xml:space="preserve"> Station (Latitude 26° 22’ 58.7” South, Longitude 117° 19’ 6” East).</w:t>
      </w:r>
    </w:p>
    <w:p w14:paraId="60D8583B" w14:textId="6F00BD78" w:rsidR="00A020BC" w:rsidRDefault="00A020BC" w:rsidP="00A020BC">
      <w:pPr>
        <w:pStyle w:val="Paragraph"/>
      </w:pPr>
      <w:r>
        <w:t>The embargo has evolved since its initial establishment</w:t>
      </w:r>
      <w:r w:rsidR="00A1019C">
        <w:t>,</w:t>
      </w:r>
      <w:r>
        <w:t xml:space="preserve"> including a shift in the centre location, frequency range and radius of the area included in the embargo. The current embargo, which was last reviewed on 19 December 2014, prevents new assignments in the frequency range 70 MHz</w:t>
      </w:r>
      <w:r w:rsidR="00A1019C">
        <w:t xml:space="preserve"> to </w:t>
      </w:r>
      <w:r>
        <w:t>25.25 GHz within 70 k</w:t>
      </w:r>
      <w:r w:rsidR="00A1019C">
        <w:t>m</w:t>
      </w:r>
      <w:r>
        <w:t xml:space="preserve"> of the ARQZWA centre at latitude 26.704167° South, longitude 116.658889° East</w:t>
      </w:r>
      <w:r w:rsidR="00A1019C">
        <w:t>.</w:t>
      </w:r>
      <w:r>
        <w:rPr>
          <w:rStyle w:val="FootnoteReference"/>
        </w:rPr>
        <w:footnoteReference w:id="2"/>
      </w:r>
    </w:p>
    <w:p w14:paraId="66BDC13F" w14:textId="0A718A0D" w:rsidR="00A020BC" w:rsidRDefault="00A020BC" w:rsidP="00A020BC">
      <w:pPr>
        <w:pStyle w:val="Heading2"/>
      </w:pPr>
      <w:bookmarkStart w:id="35" w:name="_Toc105509761"/>
      <w:bookmarkStart w:id="36" w:name="_Toc116470277"/>
      <w:r>
        <w:t>Radiocommunications Assignment and Licensing Instruction MS32</w:t>
      </w:r>
      <w:bookmarkEnd w:id="35"/>
      <w:bookmarkEnd w:id="36"/>
    </w:p>
    <w:p w14:paraId="18AB8AB8" w14:textId="17C1A1D3" w:rsidR="00A020BC" w:rsidRDefault="00A020BC" w:rsidP="00A020BC">
      <w:pPr>
        <w:rPr>
          <w:rFonts w:cs="Arial"/>
        </w:rPr>
      </w:pPr>
      <w:r>
        <w:rPr>
          <w:rFonts w:cs="Arial"/>
        </w:rPr>
        <w:t xml:space="preserve">Radiocommunications Assignment and Licensing Instructions (RALIs) provide advice on frequency assignment policy and coordination procedures. They reflect </w:t>
      </w:r>
      <w:r w:rsidR="00A1019C">
        <w:rPr>
          <w:rFonts w:cs="Arial"/>
        </w:rPr>
        <w:t xml:space="preserve">our </w:t>
      </w:r>
      <w:r>
        <w:rPr>
          <w:rFonts w:cs="Arial"/>
        </w:rPr>
        <w:t>current policies and set the technical framework for the operation of radiocommunications equipment and services.</w:t>
      </w:r>
    </w:p>
    <w:p w14:paraId="07F57FDA" w14:textId="21AA6ED7" w:rsidR="00A020BC" w:rsidRDefault="00BE3792" w:rsidP="00A020BC">
      <w:pPr>
        <w:rPr>
          <w:rFonts w:cs="Arial"/>
        </w:rPr>
      </w:pPr>
      <w:hyperlink r:id="rId40" w:history="1">
        <w:r w:rsidR="00A020BC" w:rsidRPr="00DF3226">
          <w:rPr>
            <w:rStyle w:val="Hyperlink"/>
            <w:rFonts w:cs="Arial"/>
          </w:rPr>
          <w:t>RALI MS32</w:t>
        </w:r>
      </w:hyperlink>
      <w:r w:rsidR="00A020BC">
        <w:rPr>
          <w:rFonts w:cs="Arial"/>
        </w:rPr>
        <w:t xml:space="preserve"> sets out processes to coordinate apparatus licensed services with</w:t>
      </w:r>
      <w:r w:rsidR="000E514D">
        <w:rPr>
          <w:rFonts w:cs="Arial"/>
        </w:rPr>
        <w:t>in</w:t>
      </w:r>
      <w:r w:rsidR="00A020BC">
        <w:rPr>
          <w:rFonts w:cs="Arial"/>
        </w:rPr>
        <w:t xml:space="preserve"> the ARQZWA</w:t>
      </w:r>
      <w:r w:rsidR="00A1019C">
        <w:rPr>
          <w:rFonts w:cs="Arial"/>
        </w:rPr>
        <w:t xml:space="preserve">. It </w:t>
      </w:r>
      <w:r w:rsidR="00A020BC">
        <w:rPr>
          <w:rFonts w:cs="Arial"/>
        </w:rPr>
        <w:t xml:space="preserve">provides criteria for assessment of proposed assignments within a </w:t>
      </w:r>
      <w:r w:rsidR="00A020BC">
        <w:rPr>
          <w:rFonts w:cs="Arial"/>
        </w:rPr>
        <w:lastRenderedPageBreak/>
        <w:t>coordination zone. Th</w:t>
      </w:r>
      <w:r w:rsidR="009B1A51">
        <w:rPr>
          <w:rFonts w:cs="Arial"/>
        </w:rPr>
        <w:t xml:space="preserve">is </w:t>
      </w:r>
      <w:r w:rsidR="00A020BC">
        <w:rPr>
          <w:rFonts w:cs="Arial"/>
        </w:rPr>
        <w:t>zone lies between the embargo area and a radius of up to 260 k</w:t>
      </w:r>
      <w:r w:rsidR="009B1A51">
        <w:rPr>
          <w:rFonts w:cs="Arial"/>
        </w:rPr>
        <w:t>m</w:t>
      </w:r>
      <w:r w:rsidR="00A020BC">
        <w:rPr>
          <w:rFonts w:cs="Arial"/>
        </w:rPr>
        <w:t xml:space="preserve"> from the centre of the RQZ, depending on frequency.</w:t>
      </w:r>
    </w:p>
    <w:p w14:paraId="70367ADA" w14:textId="021BF475" w:rsidR="00A020BC" w:rsidRDefault="00A020BC" w:rsidP="00A020BC">
      <w:pPr>
        <w:rPr>
          <w:rFonts w:cs="Arial"/>
        </w:rPr>
      </w:pPr>
      <w:r w:rsidRPr="00DF3226">
        <w:rPr>
          <w:rFonts w:cs="Arial"/>
        </w:rPr>
        <w:t>In cases where interference from the proposed</w:t>
      </w:r>
      <w:r w:rsidR="000E514D">
        <w:rPr>
          <w:rFonts w:cs="Arial"/>
        </w:rPr>
        <w:t xml:space="preserve"> radiocommunications</w:t>
      </w:r>
      <w:r w:rsidRPr="00DF3226">
        <w:rPr>
          <w:rFonts w:cs="Arial"/>
        </w:rPr>
        <w:t xml:space="preserve"> transmitter would exceed the threshold levels specified in this RALI</w:t>
      </w:r>
      <w:r>
        <w:rPr>
          <w:rFonts w:cs="Arial"/>
        </w:rPr>
        <w:t>,</w:t>
      </w:r>
      <w:r w:rsidRPr="00DF3226">
        <w:rPr>
          <w:rFonts w:cs="Arial"/>
        </w:rPr>
        <w:t xml:space="preserve"> the prospective licensee must </w:t>
      </w:r>
      <w:r>
        <w:rPr>
          <w:rFonts w:cs="Arial"/>
        </w:rPr>
        <w:t>implement</w:t>
      </w:r>
      <w:r w:rsidRPr="00DF3226">
        <w:rPr>
          <w:rFonts w:cs="Arial"/>
        </w:rPr>
        <w:t xml:space="preserve"> interference</w:t>
      </w:r>
      <w:r w:rsidR="006B04B6">
        <w:rPr>
          <w:rFonts w:cs="Arial"/>
        </w:rPr>
        <w:t>-</w:t>
      </w:r>
      <w:r w:rsidRPr="00DF3226">
        <w:rPr>
          <w:rFonts w:cs="Arial"/>
        </w:rPr>
        <w:t xml:space="preserve">mitigation measures and consult with the MRO entity </w:t>
      </w:r>
      <w:r w:rsidR="006B04B6">
        <w:rPr>
          <w:rFonts w:cs="Arial"/>
        </w:rPr>
        <w:t xml:space="preserve">to </w:t>
      </w:r>
      <w:r w:rsidRPr="00DF3226">
        <w:rPr>
          <w:rFonts w:cs="Arial"/>
        </w:rPr>
        <w:t xml:space="preserve">reach agreement </w:t>
      </w:r>
      <w:r w:rsidR="006B04B6">
        <w:rPr>
          <w:rFonts w:cs="Arial"/>
        </w:rPr>
        <w:t xml:space="preserve">on </w:t>
      </w:r>
      <w:r>
        <w:rPr>
          <w:rFonts w:cs="Arial"/>
        </w:rPr>
        <w:t>adequate</w:t>
      </w:r>
      <w:r w:rsidRPr="00DF3226">
        <w:rPr>
          <w:rFonts w:cs="Arial"/>
        </w:rPr>
        <w:t xml:space="preserve"> interference protection.</w:t>
      </w:r>
    </w:p>
    <w:p w14:paraId="1121CB19" w14:textId="0479F849" w:rsidR="00200446" w:rsidRPr="00E162C4" w:rsidRDefault="00200446" w:rsidP="00A020BC">
      <w:r>
        <w:rPr>
          <w:rFonts w:cs="Arial"/>
        </w:rPr>
        <w:t>Whe</w:t>
      </w:r>
      <w:r w:rsidR="00020DD6">
        <w:rPr>
          <w:rFonts w:cs="Arial"/>
        </w:rPr>
        <w:t>re</w:t>
      </w:r>
      <w:r>
        <w:rPr>
          <w:rFonts w:cs="Arial"/>
        </w:rPr>
        <w:t xml:space="preserve"> applicable, the coordination processes in RALI MS32 are also applied to radiocommunications transmitters operating under spectrum licences.  </w:t>
      </w:r>
    </w:p>
    <w:p w14:paraId="7513E0EC" w14:textId="77777777" w:rsidR="00A020BC" w:rsidRPr="00E162C4" w:rsidRDefault="00A020BC" w:rsidP="00A020BC">
      <w:pPr>
        <w:pStyle w:val="Heading2"/>
      </w:pPr>
      <w:bookmarkStart w:id="37" w:name="_Toc105509762"/>
      <w:bookmarkStart w:id="38" w:name="_Toc116470278"/>
      <w:r>
        <w:t>Australian Radiofrequency Spectrum Plan</w:t>
      </w:r>
      <w:bookmarkEnd w:id="37"/>
      <w:bookmarkEnd w:id="38"/>
    </w:p>
    <w:p w14:paraId="16A8B4F3" w14:textId="49233090" w:rsidR="00A020BC" w:rsidRDefault="00A020BC" w:rsidP="00A020BC">
      <w:pPr>
        <w:pStyle w:val="Paragraphbeforelist"/>
      </w:pPr>
      <w:r>
        <w:t xml:space="preserve">Section 32 of the Act requires that a frequency band plan must be consistent with the </w:t>
      </w:r>
      <w:hyperlink r:id="rId41" w:history="1">
        <w:r w:rsidRPr="00C509D5">
          <w:rPr>
            <w:rStyle w:val="Hyperlink"/>
          </w:rPr>
          <w:t>Australian Radiofrequency Spectrum Pla</w:t>
        </w:r>
        <w:r w:rsidR="000E514D">
          <w:rPr>
            <w:rStyle w:val="Hyperlink"/>
          </w:rPr>
          <w:t>n 2021</w:t>
        </w:r>
      </w:hyperlink>
      <w:r>
        <w:t xml:space="preserve"> (</w:t>
      </w:r>
      <w:r w:rsidR="00762C0B">
        <w:t xml:space="preserve">the </w:t>
      </w:r>
      <w:r w:rsidR="005E4052">
        <w:t>s</w:t>
      </w:r>
      <w:r w:rsidR="00762C0B">
        <w:t xml:space="preserve">pectrum </w:t>
      </w:r>
      <w:r w:rsidR="005E4052">
        <w:t>p</w:t>
      </w:r>
      <w:r w:rsidR="00762C0B">
        <w:t>lan</w:t>
      </w:r>
      <w:r>
        <w:t xml:space="preserve">). </w:t>
      </w:r>
    </w:p>
    <w:p w14:paraId="61328174" w14:textId="4C21E696" w:rsidR="00A020BC" w:rsidRDefault="00A020BC" w:rsidP="00A020BC">
      <w:pPr>
        <w:pStyle w:val="Paragraphbeforelist"/>
      </w:pPr>
      <w:r>
        <w:t xml:space="preserve">While the </w:t>
      </w:r>
      <w:r w:rsidR="00C116B3">
        <w:t>s</w:t>
      </w:r>
      <w:r w:rsidR="00762C0B">
        <w:t xml:space="preserve">pectrum </w:t>
      </w:r>
      <w:r w:rsidR="00C116B3">
        <w:t>p</w:t>
      </w:r>
      <w:r w:rsidR="00762C0B">
        <w:t xml:space="preserve">lan </w:t>
      </w:r>
      <w:r>
        <w:t xml:space="preserve">makes provision for radio astronomy in a number of bands, it does not make specific provision for radio astronomy in the full range of bands that are identified for operation in the ARQZWA and set out in the </w:t>
      </w:r>
      <w:r w:rsidR="00E027D8">
        <w:t>b</w:t>
      </w:r>
      <w:r>
        <w:t xml:space="preserve">and </w:t>
      </w:r>
      <w:r w:rsidR="00E027D8">
        <w:t>p</w:t>
      </w:r>
      <w:r>
        <w:t>lan.</w:t>
      </w:r>
    </w:p>
    <w:p w14:paraId="699D1B4D" w14:textId="1D6DE192" w:rsidR="00A020BC" w:rsidRDefault="00A020BC" w:rsidP="00A020BC">
      <w:pPr>
        <w:pStyle w:val="Paragraphbeforelist"/>
      </w:pPr>
      <w:r>
        <w:t xml:space="preserve">In order to achieve consistency, subsection 10(8) of the </w:t>
      </w:r>
      <w:r w:rsidR="007F12B2">
        <w:t>s</w:t>
      </w:r>
      <w:r w:rsidR="00762C0B">
        <w:t xml:space="preserve">pectrum </w:t>
      </w:r>
      <w:r w:rsidR="007F12B2">
        <w:t>p</w:t>
      </w:r>
      <w:r w:rsidR="00762C0B">
        <w:t xml:space="preserve">lan </w:t>
      </w:r>
      <w:r>
        <w:t xml:space="preserve">specifies that a frequency </w:t>
      </w:r>
      <w:r w:rsidR="000E514D">
        <w:t xml:space="preserve">band </w:t>
      </w:r>
      <w:r>
        <w:t>may be used for a radio astronomy service if provision is made for such use in a frequency band plan.</w:t>
      </w:r>
    </w:p>
    <w:p w14:paraId="4B2D42D9" w14:textId="138706A6" w:rsidR="00A020BC" w:rsidRDefault="00A020BC" w:rsidP="00A020BC">
      <w:pPr>
        <w:pStyle w:val="Paragraphbeforelist"/>
      </w:pPr>
      <w:r>
        <w:t xml:space="preserve">Australian footnote </w:t>
      </w:r>
      <w:r w:rsidRPr="00FB1F27">
        <w:t xml:space="preserve">AUS103 </w:t>
      </w:r>
      <w:r>
        <w:t xml:space="preserve">to the </w:t>
      </w:r>
      <w:r w:rsidR="007F12B2">
        <w:t>s</w:t>
      </w:r>
      <w:r w:rsidR="00762C0B">
        <w:t xml:space="preserve">pectrum </w:t>
      </w:r>
      <w:r w:rsidR="007F12B2">
        <w:t>p</w:t>
      </w:r>
      <w:r w:rsidR="00762C0B">
        <w:t xml:space="preserve">lan </w:t>
      </w:r>
      <w:r>
        <w:t>also sets out that</w:t>
      </w:r>
      <w:r w:rsidR="007F12B2">
        <w:t>:</w:t>
      </w:r>
      <w:r>
        <w:t xml:space="preserve"> </w:t>
      </w:r>
      <w:r w:rsidR="007F12B2">
        <w:t>‘</w:t>
      </w:r>
      <w:r>
        <w:t>t</w:t>
      </w:r>
      <w:r w:rsidRPr="00FB1F27">
        <w:t>he Murchison Radioastronomy Observatory (MRO) (latitude 26° 42' 10.4" S, longitude 116° 39' 37.0" E) hosts the Australian Square Kilometre Array Pathfinder (ASKAP) operating in the band 700–1 800 MHz and the Murchison Widefield Array (MWA) operating in the band 80–300 MHz</w:t>
      </w:r>
      <w:r w:rsidR="007F12B2">
        <w:t>’</w:t>
      </w:r>
      <w:r w:rsidRPr="00FB1F27">
        <w:t>.</w:t>
      </w:r>
    </w:p>
    <w:p w14:paraId="226A4B90" w14:textId="3B93FF90" w:rsidR="00A020BC" w:rsidRDefault="00762C0B" w:rsidP="00A020BC">
      <w:pPr>
        <w:pStyle w:val="Heading2"/>
      </w:pPr>
      <w:bookmarkStart w:id="39" w:name="_Toc105509763"/>
      <w:bookmarkStart w:id="40" w:name="_Toc116470279"/>
      <w:r>
        <w:t xml:space="preserve">Licensing </w:t>
      </w:r>
      <w:r w:rsidR="00A020BC">
        <w:t>arrangements</w:t>
      </w:r>
      <w:bookmarkEnd w:id="39"/>
      <w:bookmarkEnd w:id="40"/>
    </w:p>
    <w:p w14:paraId="62E186C9" w14:textId="77777777" w:rsidR="00A020BC" w:rsidRPr="00E162C4" w:rsidRDefault="00A020BC" w:rsidP="00A020BC">
      <w:pPr>
        <w:pStyle w:val="Heading3"/>
      </w:pPr>
      <w:r>
        <w:t>Spectrum licences</w:t>
      </w:r>
    </w:p>
    <w:p w14:paraId="00FCC50F" w14:textId="72CC731E" w:rsidR="00A020BC" w:rsidRDefault="00A020BC" w:rsidP="00A020BC">
      <w:pPr>
        <w:pStyle w:val="Paragraph"/>
      </w:pPr>
      <w:r>
        <w:t xml:space="preserve">Since the establishment of the ARQZWA, all </w:t>
      </w:r>
      <w:r w:rsidR="00200446">
        <w:t>relevant</w:t>
      </w:r>
      <w:r>
        <w:t xml:space="preserve"> spectrum licences have either been issued or re-issued to include measures to protect </w:t>
      </w:r>
      <w:r w:rsidRPr="00575C7A">
        <w:t xml:space="preserve">radio astronomy receivers </w:t>
      </w:r>
      <w:r>
        <w:t xml:space="preserve">operating within the ARQZWA from harmful interference. </w:t>
      </w:r>
    </w:p>
    <w:p w14:paraId="7C208379" w14:textId="77777777" w:rsidR="00A020BC" w:rsidRPr="00E162C4" w:rsidRDefault="00A020BC" w:rsidP="00A020BC">
      <w:pPr>
        <w:pStyle w:val="Heading3"/>
      </w:pPr>
      <w:r>
        <w:t>Class licences</w:t>
      </w:r>
    </w:p>
    <w:p w14:paraId="0660AD8D" w14:textId="3DAD4CF7" w:rsidR="00A020BC" w:rsidRDefault="00A020BC" w:rsidP="00A020BC">
      <w:pPr>
        <w:pStyle w:val="Paragraph"/>
      </w:pPr>
      <w:r>
        <w:t xml:space="preserve">Under section 137 of the Radiocommunications Act, </w:t>
      </w:r>
      <w:r w:rsidR="007F12B2">
        <w:t>we</w:t>
      </w:r>
      <w:r>
        <w:t xml:space="preserve"> must not issue a class licence that is inconsistent with the </w:t>
      </w:r>
      <w:r w:rsidR="007F12B2">
        <w:t>s</w:t>
      </w:r>
      <w:r w:rsidR="00762C0B">
        <w:t xml:space="preserve">pectrum </w:t>
      </w:r>
      <w:r w:rsidR="007F12B2">
        <w:t>p</w:t>
      </w:r>
      <w:r w:rsidR="00762C0B">
        <w:t xml:space="preserve">lan </w:t>
      </w:r>
      <w:r>
        <w:t xml:space="preserve">or a frequency band plan.  </w:t>
      </w:r>
    </w:p>
    <w:p w14:paraId="45EEAB27" w14:textId="07EC2FC6" w:rsidR="00A020BC" w:rsidRDefault="00D3705C" w:rsidP="00A020BC">
      <w:pPr>
        <w:pStyle w:val="Paragraph"/>
        <w:spacing w:after="80"/>
      </w:pPr>
      <w:bookmarkStart w:id="41" w:name="_Hlk114490857"/>
      <w:r>
        <w:t>C</w:t>
      </w:r>
      <w:r w:rsidR="00A020BC">
        <w:t>lauses are included in the following class licences</w:t>
      </w:r>
      <w:r w:rsidR="007F12B2">
        <w:t xml:space="preserve">. They </w:t>
      </w:r>
      <w:r w:rsidR="008132D1">
        <w:t xml:space="preserve">require </w:t>
      </w:r>
      <w:r w:rsidR="00A020BC">
        <w:t xml:space="preserve">that a </w:t>
      </w:r>
      <w:r w:rsidR="000E514D">
        <w:t xml:space="preserve">radiocommunications </w:t>
      </w:r>
      <w:r w:rsidR="00A020BC">
        <w:t>transmitter operati</w:t>
      </w:r>
      <w:r w:rsidR="008132D1">
        <w:t xml:space="preserve">ng under the class licence </w:t>
      </w:r>
      <w:r w:rsidR="00A020BC">
        <w:t>must not cause harmful interference to radio astronomy receivers operating at the centre of the</w:t>
      </w:r>
      <w:r w:rsidR="007F12B2">
        <w:t> </w:t>
      </w:r>
      <w:r w:rsidR="00A020BC">
        <w:t>ARQZWA:</w:t>
      </w:r>
      <w:bookmarkEnd w:id="41"/>
    </w:p>
    <w:p w14:paraId="7028C218" w14:textId="77777777" w:rsidR="00A020BC" w:rsidRDefault="00A020BC" w:rsidP="00A020BC">
      <w:pPr>
        <w:pStyle w:val="Bulletlevel1"/>
      </w:pPr>
      <w:r>
        <w:t xml:space="preserve">the </w:t>
      </w:r>
      <w:hyperlink r:id="rId42" w:history="1">
        <w:r w:rsidRPr="008C77D3">
          <w:rPr>
            <w:rStyle w:val="Hyperlink"/>
          </w:rPr>
          <w:t>Radiocommunications (Low Interference Potential Devices) Class Licence 2015</w:t>
        </w:r>
      </w:hyperlink>
      <w:r>
        <w:t xml:space="preserve"> </w:t>
      </w:r>
    </w:p>
    <w:p w14:paraId="66AB0522" w14:textId="75252225" w:rsidR="00A020BC" w:rsidRDefault="00A020BC" w:rsidP="00A020BC">
      <w:pPr>
        <w:pStyle w:val="Bulletlevel1"/>
      </w:pPr>
      <w:r>
        <w:t>the</w:t>
      </w:r>
      <w:r w:rsidRPr="002D0375">
        <w:t xml:space="preserve"> </w:t>
      </w:r>
      <w:hyperlink r:id="rId43" w:history="1">
        <w:r w:rsidRPr="002D0375">
          <w:rPr>
            <w:rStyle w:val="Hyperlink"/>
          </w:rPr>
          <w:t>Radiocommunications (Communication with Space Object) Class Licence 2015</w:t>
        </w:r>
      </w:hyperlink>
    </w:p>
    <w:p w14:paraId="49F0D147" w14:textId="6166DC1D" w:rsidR="00A020BC" w:rsidRPr="00E162C4" w:rsidRDefault="00A020BC" w:rsidP="00A020BC">
      <w:pPr>
        <w:pStyle w:val="Bulletlevel1last"/>
      </w:pPr>
      <w:r>
        <w:t xml:space="preserve">the </w:t>
      </w:r>
      <w:hyperlink r:id="rId44" w:history="1">
        <w:r w:rsidRPr="002D0375">
          <w:rPr>
            <w:rStyle w:val="Hyperlink"/>
          </w:rPr>
          <w:t>Radiocommunications (Citizen Band Radio Stations) Class Licence 2015</w:t>
        </w:r>
      </w:hyperlink>
      <w:r w:rsidR="008F590F">
        <w:rPr>
          <w:rStyle w:val="Hyperlink"/>
          <w:u w:val="none"/>
        </w:rPr>
        <w:t>.</w:t>
      </w:r>
    </w:p>
    <w:p w14:paraId="36996829" w14:textId="77777777" w:rsidR="00A020BC" w:rsidRPr="00E162C4" w:rsidRDefault="00A020BC" w:rsidP="00A020BC">
      <w:pPr>
        <w:pStyle w:val="Heading3"/>
      </w:pPr>
      <w:r>
        <w:lastRenderedPageBreak/>
        <w:t>Apparatus licences</w:t>
      </w:r>
    </w:p>
    <w:p w14:paraId="363DBECB" w14:textId="08ACDCB4" w:rsidR="00A020BC" w:rsidRPr="00E162C4" w:rsidRDefault="00A020BC" w:rsidP="00A020BC">
      <w:pPr>
        <w:pStyle w:val="Paragraph"/>
        <w:keepNext/>
      </w:pPr>
      <w:r>
        <w:t>Special condition 52A is typically included on</w:t>
      </w:r>
      <w:r w:rsidR="000E514D">
        <w:t xml:space="preserve"> apparatus</w:t>
      </w:r>
      <w:r>
        <w:t xml:space="preserve"> licences where the area of operation could potentially include </w:t>
      </w:r>
      <w:r w:rsidR="006D12D1">
        <w:t>or be close to</w:t>
      </w:r>
      <w:r>
        <w:t xml:space="preserve"> the ARQZWA. </w:t>
      </w:r>
    </w:p>
    <w:p w14:paraId="79CD39AD" w14:textId="77777777" w:rsidR="00A020BC" w:rsidRDefault="00A020BC" w:rsidP="001705CB">
      <w:pPr>
        <w:pStyle w:val="Paragraphbeforelist"/>
        <w:keepNext/>
        <w:keepLines/>
      </w:pPr>
      <w:r>
        <w:t xml:space="preserve">Special condition 52A states: </w:t>
      </w:r>
    </w:p>
    <w:p w14:paraId="512A8A12" w14:textId="6EBA4787" w:rsidR="00A020BC" w:rsidRPr="001705CB" w:rsidRDefault="00A020BC" w:rsidP="001705CB">
      <w:pPr>
        <w:pStyle w:val="Paragraph"/>
        <w:keepNext/>
        <w:keepLines/>
        <w:ind w:left="284"/>
        <w:rPr>
          <w:sz w:val="18"/>
          <w:szCs w:val="18"/>
        </w:rPr>
      </w:pPr>
      <w:r w:rsidRPr="001705CB">
        <w:rPr>
          <w:sz w:val="18"/>
          <w:szCs w:val="18"/>
        </w:rPr>
        <w:t>This service must not cause interference to radioastronomy services operating within the Australian Radio Quiet Zone Western Australia (ARQZWA) as defined in the Radiocommunications (Mid-West Radio Quiet Zone) Frequency Band Plan.</w:t>
      </w:r>
    </w:p>
    <w:p w14:paraId="67FFC7DA" w14:textId="7B56E9EB" w:rsidR="00A020BC" w:rsidRDefault="00A020BC" w:rsidP="001705CB">
      <w:pPr>
        <w:pStyle w:val="Paragraph"/>
        <w:keepNext/>
        <w:keepLines/>
        <w:ind w:left="284"/>
      </w:pPr>
      <w:r w:rsidRPr="001705CB">
        <w:rPr>
          <w:sz w:val="18"/>
          <w:szCs w:val="18"/>
        </w:rPr>
        <w:t>This service is coordinated as per the consultative process and coordination zone parameters of the Radiocommunications Assignment and Licensing Instruction ‘Coordination of Apparatus licensed Services within the Australian Radio Qui</w:t>
      </w:r>
      <w:r w:rsidR="000E514D" w:rsidRPr="001705CB">
        <w:rPr>
          <w:sz w:val="18"/>
          <w:szCs w:val="18"/>
        </w:rPr>
        <w:t>e</w:t>
      </w:r>
      <w:r w:rsidRPr="001705CB">
        <w:rPr>
          <w:sz w:val="18"/>
          <w:szCs w:val="18"/>
        </w:rPr>
        <w:t>t Zone Western Australia’ (RALI MS32).</w:t>
      </w:r>
    </w:p>
    <w:p w14:paraId="5AA2E4F0" w14:textId="77777777" w:rsidR="00A020BC" w:rsidRPr="00E162C4" w:rsidRDefault="00A020BC" w:rsidP="00A020BC">
      <w:pPr>
        <w:pStyle w:val="Heading2"/>
      </w:pPr>
      <w:bookmarkStart w:id="42" w:name="_Toc105509764"/>
      <w:bookmarkStart w:id="43" w:name="_Toc116470280"/>
      <w:r>
        <w:t>Summary</w:t>
      </w:r>
      <w:bookmarkEnd w:id="42"/>
      <w:bookmarkEnd w:id="43"/>
    </w:p>
    <w:p w14:paraId="3635B6DC" w14:textId="4D5879BE" w:rsidR="00A020BC" w:rsidRDefault="00A020BC" w:rsidP="00A020BC">
      <w:pPr>
        <w:sectPr w:rsidR="00A020BC" w:rsidSect="00C77380">
          <w:headerReference w:type="even" r:id="rId45"/>
          <w:headerReference w:type="default" r:id="rId46"/>
          <w:footerReference w:type="even" r:id="rId47"/>
          <w:footerReference w:type="default" r:id="rId48"/>
          <w:pgSz w:w="11906" w:h="16838" w:code="9"/>
          <w:pgMar w:top="1945" w:right="3101" w:bottom="1134" w:left="1134" w:header="709" w:footer="119" w:gutter="0"/>
          <w:pgNumType w:start="1"/>
          <w:cols w:space="708"/>
          <w:docGrid w:linePitch="360"/>
        </w:sectPr>
      </w:pPr>
      <w:r>
        <w:t xml:space="preserve">Figure 1 illustrates the combined effect of the </w:t>
      </w:r>
      <w:r w:rsidR="007A4346">
        <w:t>b</w:t>
      </w:r>
      <w:r>
        <w:t xml:space="preserve">and </w:t>
      </w:r>
      <w:r w:rsidR="007A4346">
        <w:t>p</w:t>
      </w:r>
      <w:r>
        <w:t>lan, Spectrum Embargo 41 and RALI MS32</w:t>
      </w:r>
      <w:r w:rsidR="007A4346">
        <w:t xml:space="preserve">. </w:t>
      </w:r>
      <w:r>
        <w:t xml:space="preserve">Figure 2 illustrates the geographic coverage of the various regulatory arrangements. </w:t>
      </w:r>
    </w:p>
    <w:p w14:paraId="45B4F06F" w14:textId="77777777" w:rsidR="00A020BC" w:rsidRDefault="00A020BC" w:rsidP="00A020BC"/>
    <w:p w14:paraId="4978BC59" w14:textId="77777777" w:rsidR="00A020BC" w:rsidRPr="00E162C4" w:rsidRDefault="00A020BC" w:rsidP="00A020BC">
      <w:pPr>
        <w:pStyle w:val="Figureheading"/>
        <w:rPr>
          <w:noProof/>
        </w:rPr>
      </w:pPr>
      <w:r>
        <w:t>Spectrum planning regulatory arrangements for ARQZWA</w:t>
      </w:r>
    </w:p>
    <w:tbl>
      <w:tblPr>
        <w:tblW w:w="1212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73"/>
        <w:gridCol w:w="236"/>
        <w:gridCol w:w="1508"/>
        <w:gridCol w:w="1020"/>
        <w:gridCol w:w="1019"/>
        <w:gridCol w:w="1019"/>
        <w:gridCol w:w="1019"/>
        <w:gridCol w:w="1019"/>
        <w:gridCol w:w="1019"/>
        <w:gridCol w:w="1019"/>
        <w:gridCol w:w="1019"/>
      </w:tblGrid>
      <w:tr w:rsidR="00A020BC" w:rsidRPr="007F403D" w14:paraId="330B1438" w14:textId="77777777" w:rsidTr="00091918">
        <w:trPr>
          <w:trHeight w:val="300"/>
        </w:trPr>
        <w:tc>
          <w:tcPr>
            <w:tcW w:w="1555" w:type="dxa"/>
            <w:tcBorders>
              <w:top w:val="nil"/>
              <w:left w:val="nil"/>
              <w:bottom w:val="single" w:sz="4" w:space="0" w:color="auto"/>
              <w:right w:val="single" w:sz="4" w:space="0" w:color="auto"/>
            </w:tcBorders>
            <w:shd w:val="clear" w:color="auto" w:fill="auto"/>
            <w:noWrap/>
            <w:vAlign w:val="bottom"/>
            <w:hideMark/>
          </w:tcPr>
          <w:p w14:paraId="37DE7CFF" w14:textId="77777777" w:rsidR="00A020BC" w:rsidRPr="007F403D" w:rsidRDefault="00A020BC" w:rsidP="00091918">
            <w:pPr>
              <w:pStyle w:val="ACMAFigureHeader"/>
              <w:numPr>
                <w:ilvl w:val="0"/>
                <w:numId w:val="0"/>
              </w:numPr>
              <w:ind w:left="1021"/>
            </w:pPr>
          </w:p>
        </w:tc>
        <w:tc>
          <w:tcPr>
            <w:tcW w:w="10570" w:type="dxa"/>
            <w:gridSpan w:val="11"/>
            <w:tcBorders>
              <w:left w:val="single" w:sz="4" w:space="0" w:color="auto"/>
            </w:tcBorders>
          </w:tcPr>
          <w:p w14:paraId="6D6E143B" w14:textId="77777777" w:rsidR="00A020BC" w:rsidRPr="007F403D" w:rsidRDefault="00A020BC" w:rsidP="00091918">
            <w:pPr>
              <w:keepNext/>
              <w:keepLines/>
              <w:spacing w:after="0" w:line="240" w:lineRule="auto"/>
              <w:jc w:val="center"/>
              <w:rPr>
                <w:rFonts w:ascii="Calibri" w:hAnsi="Calibri" w:cs="Calibri"/>
                <w:b/>
                <w:bCs/>
                <w:color w:val="000000"/>
              </w:rPr>
            </w:pPr>
            <w:r w:rsidRPr="007F403D">
              <w:rPr>
                <w:rFonts w:ascii="Calibri" w:hAnsi="Calibri" w:cs="Calibri"/>
                <w:b/>
                <w:bCs/>
                <w:color w:val="000000"/>
              </w:rPr>
              <w:t>Distance from centre (km)</w:t>
            </w:r>
          </w:p>
        </w:tc>
      </w:tr>
      <w:tr w:rsidR="00A020BC" w:rsidRPr="007F403D" w14:paraId="313FF0A2" w14:textId="77777777" w:rsidTr="00091918">
        <w:trPr>
          <w:trHeight w:val="300"/>
        </w:trPr>
        <w:tc>
          <w:tcPr>
            <w:tcW w:w="1555" w:type="dxa"/>
            <w:tcBorders>
              <w:top w:val="single" w:sz="4" w:space="0" w:color="auto"/>
            </w:tcBorders>
            <w:shd w:val="clear" w:color="auto" w:fill="auto"/>
            <w:noWrap/>
            <w:vAlign w:val="bottom"/>
            <w:hideMark/>
          </w:tcPr>
          <w:p w14:paraId="4B137AB1" w14:textId="56435E44" w:rsidR="00A020BC" w:rsidRPr="007F403D" w:rsidRDefault="00A020BC" w:rsidP="00091918">
            <w:pPr>
              <w:keepNext/>
              <w:keepLines/>
              <w:spacing w:after="0" w:line="240" w:lineRule="auto"/>
              <w:jc w:val="center"/>
              <w:rPr>
                <w:rFonts w:ascii="Calibri" w:hAnsi="Calibri" w:cs="Calibri"/>
                <w:b/>
                <w:bCs/>
                <w:color w:val="000000"/>
              </w:rPr>
            </w:pPr>
            <w:r w:rsidRPr="007F403D">
              <w:rPr>
                <w:rFonts w:ascii="Calibri" w:hAnsi="Calibri" w:cs="Calibri"/>
                <w:b/>
                <w:bCs/>
                <w:color w:val="000000"/>
              </w:rPr>
              <w:t xml:space="preserve">Frequency </w:t>
            </w:r>
            <w:r w:rsidR="007A4346">
              <w:rPr>
                <w:rFonts w:ascii="Calibri" w:hAnsi="Calibri" w:cs="Calibri"/>
                <w:b/>
                <w:bCs/>
                <w:color w:val="000000"/>
              </w:rPr>
              <w:t>b</w:t>
            </w:r>
            <w:r w:rsidRPr="007F403D">
              <w:rPr>
                <w:rFonts w:ascii="Calibri" w:hAnsi="Calibri" w:cs="Calibri"/>
                <w:b/>
                <w:bCs/>
                <w:color w:val="000000"/>
              </w:rPr>
              <w:t>and (MHz)</w:t>
            </w:r>
          </w:p>
        </w:tc>
        <w:tc>
          <w:tcPr>
            <w:tcW w:w="673" w:type="dxa"/>
            <w:tcBorders>
              <w:bottom w:val="single" w:sz="24" w:space="0" w:color="FF0000"/>
            </w:tcBorders>
            <w:shd w:val="clear" w:color="auto" w:fill="auto"/>
            <w:noWrap/>
            <w:vAlign w:val="center"/>
            <w:hideMark/>
          </w:tcPr>
          <w:p w14:paraId="4556A3AE" w14:textId="71843449"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0</w:t>
            </w:r>
            <w:r w:rsidR="007A4346">
              <w:rPr>
                <w:rFonts w:ascii="Calibri" w:hAnsi="Calibri" w:cs="Calibri"/>
                <w:color w:val="000000"/>
              </w:rPr>
              <w:t>–</w:t>
            </w:r>
            <w:r w:rsidRPr="007F403D">
              <w:rPr>
                <w:rFonts w:ascii="Calibri" w:hAnsi="Calibri" w:cs="Calibri"/>
                <w:color w:val="000000"/>
              </w:rPr>
              <w:t>70</w:t>
            </w:r>
          </w:p>
        </w:tc>
        <w:tc>
          <w:tcPr>
            <w:tcW w:w="236" w:type="dxa"/>
            <w:tcBorders>
              <w:bottom w:val="nil"/>
            </w:tcBorders>
            <w:shd w:val="clear" w:color="auto" w:fill="auto"/>
          </w:tcPr>
          <w:p w14:paraId="27D219B6" w14:textId="77777777" w:rsidR="00A020BC" w:rsidRPr="003C6607" w:rsidRDefault="00A020BC" w:rsidP="00091918">
            <w:pPr>
              <w:keepNext/>
              <w:keepLines/>
              <w:spacing w:after="0" w:line="240" w:lineRule="auto"/>
              <w:jc w:val="center"/>
              <w:rPr>
                <w:rFonts w:ascii="Calibri" w:hAnsi="Calibri" w:cs="Calibri"/>
                <w:color w:val="000000"/>
                <w:sz w:val="2"/>
                <w:szCs w:val="2"/>
              </w:rPr>
            </w:pPr>
          </w:p>
        </w:tc>
        <w:tc>
          <w:tcPr>
            <w:tcW w:w="1508" w:type="dxa"/>
            <w:tcBorders>
              <w:bottom w:val="single" w:sz="24" w:space="0" w:color="4BACC6" w:themeColor="accent5"/>
            </w:tcBorders>
            <w:shd w:val="clear" w:color="auto" w:fill="auto"/>
            <w:noWrap/>
            <w:vAlign w:val="center"/>
            <w:hideMark/>
          </w:tcPr>
          <w:p w14:paraId="42312A3E" w14:textId="77D6CFB3"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70</w:t>
            </w:r>
            <w:r w:rsidR="007A4346">
              <w:rPr>
                <w:rFonts w:ascii="Calibri" w:hAnsi="Calibri" w:cs="Calibri"/>
                <w:color w:val="000000"/>
              </w:rPr>
              <w:t>–</w:t>
            </w:r>
            <w:r w:rsidRPr="007F403D">
              <w:rPr>
                <w:rFonts w:ascii="Calibri" w:hAnsi="Calibri" w:cs="Calibri"/>
                <w:color w:val="000000"/>
              </w:rPr>
              <w:t>100</w:t>
            </w:r>
          </w:p>
        </w:tc>
        <w:tc>
          <w:tcPr>
            <w:tcW w:w="1020" w:type="dxa"/>
            <w:tcBorders>
              <w:bottom w:val="single" w:sz="24" w:space="0" w:color="4BACC6" w:themeColor="accent5"/>
            </w:tcBorders>
            <w:shd w:val="clear" w:color="auto" w:fill="auto"/>
            <w:noWrap/>
            <w:vAlign w:val="center"/>
            <w:hideMark/>
          </w:tcPr>
          <w:p w14:paraId="732E5F2B" w14:textId="06EAF78C"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100</w:t>
            </w:r>
            <w:r w:rsidR="007A4346">
              <w:rPr>
                <w:rFonts w:ascii="Calibri" w:hAnsi="Calibri" w:cs="Calibri"/>
                <w:color w:val="000000"/>
              </w:rPr>
              <w:t>–</w:t>
            </w:r>
            <w:r w:rsidRPr="007F403D">
              <w:rPr>
                <w:rFonts w:ascii="Calibri" w:hAnsi="Calibri" w:cs="Calibri"/>
                <w:color w:val="000000"/>
              </w:rPr>
              <w:t>120</w:t>
            </w:r>
          </w:p>
        </w:tc>
        <w:tc>
          <w:tcPr>
            <w:tcW w:w="1019" w:type="dxa"/>
            <w:tcBorders>
              <w:bottom w:val="single" w:sz="24" w:space="0" w:color="4BACC6" w:themeColor="accent5"/>
            </w:tcBorders>
            <w:shd w:val="clear" w:color="auto" w:fill="auto"/>
            <w:noWrap/>
            <w:vAlign w:val="center"/>
            <w:hideMark/>
          </w:tcPr>
          <w:p w14:paraId="5505DBDF" w14:textId="7F277086"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120</w:t>
            </w:r>
            <w:r w:rsidR="007A4346">
              <w:rPr>
                <w:rFonts w:ascii="Calibri" w:hAnsi="Calibri" w:cs="Calibri"/>
                <w:color w:val="000000"/>
              </w:rPr>
              <w:t>–</w:t>
            </w:r>
            <w:r w:rsidRPr="007F403D">
              <w:rPr>
                <w:rFonts w:ascii="Calibri" w:hAnsi="Calibri" w:cs="Calibri"/>
                <w:color w:val="000000"/>
              </w:rPr>
              <w:t>140</w:t>
            </w:r>
          </w:p>
        </w:tc>
        <w:tc>
          <w:tcPr>
            <w:tcW w:w="1019" w:type="dxa"/>
            <w:tcBorders>
              <w:bottom w:val="single" w:sz="24" w:space="0" w:color="4BACC6" w:themeColor="accent5"/>
            </w:tcBorders>
            <w:shd w:val="clear" w:color="auto" w:fill="auto"/>
            <w:noWrap/>
            <w:vAlign w:val="center"/>
            <w:hideMark/>
          </w:tcPr>
          <w:p w14:paraId="5CD0DF8A" w14:textId="2714CD80"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140</w:t>
            </w:r>
            <w:r w:rsidR="007A4346">
              <w:rPr>
                <w:rFonts w:ascii="Calibri" w:hAnsi="Calibri" w:cs="Calibri"/>
                <w:color w:val="000000"/>
              </w:rPr>
              <w:t>–</w:t>
            </w:r>
            <w:r w:rsidRPr="007F403D">
              <w:rPr>
                <w:rFonts w:ascii="Calibri" w:hAnsi="Calibri" w:cs="Calibri"/>
                <w:color w:val="000000"/>
              </w:rPr>
              <w:t>145</w:t>
            </w:r>
          </w:p>
        </w:tc>
        <w:tc>
          <w:tcPr>
            <w:tcW w:w="1019" w:type="dxa"/>
            <w:tcBorders>
              <w:bottom w:val="single" w:sz="24" w:space="0" w:color="4BACC6" w:themeColor="accent5"/>
            </w:tcBorders>
            <w:shd w:val="clear" w:color="auto" w:fill="auto"/>
            <w:noWrap/>
            <w:vAlign w:val="center"/>
            <w:hideMark/>
          </w:tcPr>
          <w:p w14:paraId="541C8FB1" w14:textId="641C750D"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145</w:t>
            </w:r>
            <w:r w:rsidR="007A4346">
              <w:rPr>
                <w:rFonts w:ascii="Calibri" w:hAnsi="Calibri" w:cs="Calibri"/>
                <w:color w:val="000000"/>
              </w:rPr>
              <w:t>–</w:t>
            </w:r>
            <w:r w:rsidRPr="007F403D">
              <w:rPr>
                <w:rFonts w:ascii="Calibri" w:hAnsi="Calibri" w:cs="Calibri"/>
                <w:color w:val="000000"/>
              </w:rPr>
              <w:t>150</w:t>
            </w:r>
          </w:p>
        </w:tc>
        <w:tc>
          <w:tcPr>
            <w:tcW w:w="1019" w:type="dxa"/>
            <w:shd w:val="clear" w:color="auto" w:fill="auto"/>
            <w:noWrap/>
            <w:vAlign w:val="center"/>
            <w:hideMark/>
          </w:tcPr>
          <w:p w14:paraId="66C15BFB" w14:textId="32C34D7D"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150</w:t>
            </w:r>
            <w:r w:rsidR="007A4346">
              <w:rPr>
                <w:rFonts w:ascii="Calibri" w:hAnsi="Calibri" w:cs="Calibri"/>
                <w:color w:val="000000"/>
              </w:rPr>
              <w:t>–</w:t>
            </w:r>
            <w:r w:rsidRPr="007F403D">
              <w:rPr>
                <w:rFonts w:ascii="Calibri" w:hAnsi="Calibri" w:cs="Calibri"/>
                <w:color w:val="000000"/>
              </w:rPr>
              <w:t>165</w:t>
            </w:r>
          </w:p>
        </w:tc>
        <w:tc>
          <w:tcPr>
            <w:tcW w:w="1019" w:type="dxa"/>
            <w:shd w:val="clear" w:color="auto" w:fill="auto"/>
            <w:noWrap/>
            <w:vAlign w:val="center"/>
            <w:hideMark/>
          </w:tcPr>
          <w:p w14:paraId="22F28E7E" w14:textId="09807F1E"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165</w:t>
            </w:r>
            <w:r w:rsidR="007A4346">
              <w:rPr>
                <w:rFonts w:ascii="Calibri" w:hAnsi="Calibri" w:cs="Calibri"/>
                <w:color w:val="000000"/>
              </w:rPr>
              <w:t>–</w:t>
            </w:r>
            <w:r w:rsidRPr="007F403D">
              <w:rPr>
                <w:rFonts w:ascii="Calibri" w:hAnsi="Calibri" w:cs="Calibri"/>
                <w:color w:val="000000"/>
              </w:rPr>
              <w:t>180</w:t>
            </w:r>
          </w:p>
        </w:tc>
        <w:tc>
          <w:tcPr>
            <w:tcW w:w="1019" w:type="dxa"/>
            <w:shd w:val="clear" w:color="auto" w:fill="auto"/>
            <w:noWrap/>
            <w:vAlign w:val="center"/>
            <w:hideMark/>
          </w:tcPr>
          <w:p w14:paraId="4E51373D" w14:textId="2199590C"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180</w:t>
            </w:r>
            <w:r w:rsidR="007A4346">
              <w:rPr>
                <w:rFonts w:ascii="Calibri" w:hAnsi="Calibri" w:cs="Calibri"/>
                <w:color w:val="000000"/>
              </w:rPr>
              <w:t>–</w:t>
            </w:r>
            <w:r w:rsidRPr="007F403D">
              <w:rPr>
                <w:rFonts w:ascii="Calibri" w:hAnsi="Calibri" w:cs="Calibri"/>
                <w:color w:val="000000"/>
              </w:rPr>
              <w:t>190</w:t>
            </w:r>
          </w:p>
        </w:tc>
        <w:tc>
          <w:tcPr>
            <w:tcW w:w="1019" w:type="dxa"/>
            <w:shd w:val="clear" w:color="auto" w:fill="auto"/>
            <w:noWrap/>
            <w:vAlign w:val="center"/>
            <w:hideMark/>
          </w:tcPr>
          <w:p w14:paraId="1CC0F33B" w14:textId="12F9EF37"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190</w:t>
            </w:r>
            <w:r w:rsidR="007A4346">
              <w:rPr>
                <w:rFonts w:ascii="Calibri" w:hAnsi="Calibri" w:cs="Calibri"/>
                <w:color w:val="000000"/>
              </w:rPr>
              <w:t>–</w:t>
            </w:r>
            <w:r w:rsidRPr="007F403D">
              <w:rPr>
                <w:rFonts w:ascii="Calibri" w:hAnsi="Calibri" w:cs="Calibri"/>
                <w:color w:val="000000"/>
              </w:rPr>
              <w:t>260</w:t>
            </w:r>
          </w:p>
        </w:tc>
      </w:tr>
      <w:tr w:rsidR="00A020BC" w:rsidRPr="007F403D" w14:paraId="160CD3CE" w14:textId="77777777" w:rsidTr="00091918">
        <w:trPr>
          <w:trHeight w:val="300"/>
        </w:trPr>
        <w:tc>
          <w:tcPr>
            <w:tcW w:w="1555" w:type="dxa"/>
            <w:tcBorders>
              <w:right w:val="single" w:sz="24" w:space="0" w:color="FF0000"/>
            </w:tcBorders>
            <w:shd w:val="clear" w:color="auto" w:fill="auto"/>
            <w:noWrap/>
            <w:vAlign w:val="bottom"/>
            <w:hideMark/>
          </w:tcPr>
          <w:p w14:paraId="7CFF344A" w14:textId="195AB9E5"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70</w:t>
            </w:r>
            <w:r w:rsidR="007A4346">
              <w:rPr>
                <w:rFonts w:ascii="Calibri" w:hAnsi="Calibri" w:cs="Calibri"/>
                <w:color w:val="000000"/>
              </w:rPr>
              <w:t>–</w:t>
            </w:r>
            <w:r w:rsidRPr="007F403D">
              <w:rPr>
                <w:rFonts w:ascii="Calibri" w:hAnsi="Calibri" w:cs="Calibri"/>
                <w:color w:val="000000"/>
              </w:rPr>
              <w:t>100</w:t>
            </w:r>
          </w:p>
        </w:tc>
        <w:tc>
          <w:tcPr>
            <w:tcW w:w="673" w:type="dxa"/>
            <w:tcBorders>
              <w:top w:val="single" w:sz="24" w:space="0" w:color="FF0000"/>
              <w:left w:val="single" w:sz="24" w:space="0" w:color="FF0000"/>
              <w:right w:val="single" w:sz="24" w:space="0" w:color="FF0000"/>
            </w:tcBorders>
            <w:shd w:val="clear" w:color="auto" w:fill="FDE9D9" w:themeFill="accent6" w:themeFillTint="33"/>
            <w:noWrap/>
            <w:vAlign w:val="bottom"/>
            <w:hideMark/>
          </w:tcPr>
          <w:p w14:paraId="6585F8FC" w14:textId="77777777" w:rsidR="00A020BC" w:rsidRPr="007F403D" w:rsidRDefault="00A020BC" w:rsidP="00091918">
            <w:pPr>
              <w:keepNext/>
              <w:keepLines/>
              <w:spacing w:after="0" w:line="240" w:lineRule="auto"/>
              <w:rPr>
                <w:rFonts w:ascii="Calibri" w:hAnsi="Calibri" w:cs="Calibri"/>
                <w:color w:val="000000"/>
              </w:rPr>
            </w:pPr>
            <w:r w:rsidRPr="007F403D">
              <w:rPr>
                <w:rFonts w:ascii="Calibri" w:hAnsi="Calibri" w:cs="Calibri"/>
                <w:color w:val="000000"/>
              </w:rPr>
              <w:t> </w:t>
            </w:r>
          </w:p>
        </w:tc>
        <w:tc>
          <w:tcPr>
            <w:tcW w:w="236" w:type="dxa"/>
            <w:tcBorders>
              <w:top w:val="nil"/>
              <w:left w:val="single" w:sz="24" w:space="0" w:color="FF0000"/>
              <w:bottom w:val="nil"/>
              <w:right w:val="single" w:sz="24" w:space="0" w:color="4BACC6" w:themeColor="accent5"/>
            </w:tcBorders>
            <w:shd w:val="clear" w:color="auto" w:fill="auto"/>
          </w:tcPr>
          <w:p w14:paraId="5FADD05C" w14:textId="77777777" w:rsidR="00A020BC" w:rsidRPr="003C6607" w:rsidRDefault="00A020BC" w:rsidP="00091918">
            <w:pPr>
              <w:keepNext/>
              <w:keepLines/>
              <w:spacing w:after="0" w:line="240" w:lineRule="auto"/>
              <w:rPr>
                <w:rFonts w:ascii="Calibri" w:hAnsi="Calibri" w:cs="Calibri"/>
                <w:color w:val="000000"/>
                <w:sz w:val="2"/>
                <w:szCs w:val="2"/>
              </w:rPr>
            </w:pPr>
          </w:p>
        </w:tc>
        <w:tc>
          <w:tcPr>
            <w:tcW w:w="1508" w:type="dxa"/>
            <w:tcBorders>
              <w:top w:val="single" w:sz="24" w:space="0" w:color="4BACC6" w:themeColor="accent5"/>
              <w:left w:val="single" w:sz="24" w:space="0" w:color="4BACC6" w:themeColor="accent5"/>
            </w:tcBorders>
            <w:shd w:val="clear" w:color="auto" w:fill="FDE9D9" w:themeFill="accent6" w:themeFillTint="33"/>
            <w:noWrap/>
            <w:vAlign w:val="bottom"/>
            <w:hideMark/>
          </w:tcPr>
          <w:p w14:paraId="2A1F3A15" w14:textId="77777777" w:rsidR="00A020BC" w:rsidRPr="007F403D" w:rsidRDefault="00A020BC" w:rsidP="00091918">
            <w:pPr>
              <w:keepNext/>
              <w:keepLines/>
              <w:spacing w:after="0" w:line="240" w:lineRule="auto"/>
              <w:rPr>
                <w:rFonts w:ascii="Calibri" w:hAnsi="Calibri" w:cs="Calibri"/>
                <w:color w:val="000000"/>
              </w:rPr>
            </w:pPr>
          </w:p>
        </w:tc>
        <w:tc>
          <w:tcPr>
            <w:tcW w:w="1020" w:type="dxa"/>
            <w:tcBorders>
              <w:top w:val="single" w:sz="24" w:space="0" w:color="4BACC6" w:themeColor="accent5"/>
            </w:tcBorders>
            <w:shd w:val="clear" w:color="auto" w:fill="FDE9D9" w:themeFill="accent6" w:themeFillTint="33"/>
            <w:noWrap/>
            <w:vAlign w:val="bottom"/>
            <w:hideMark/>
          </w:tcPr>
          <w:p w14:paraId="0B03F73F"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top w:val="single" w:sz="24" w:space="0" w:color="4BACC6" w:themeColor="accent5"/>
            </w:tcBorders>
            <w:shd w:val="clear" w:color="auto" w:fill="FDE9D9" w:themeFill="accent6" w:themeFillTint="33"/>
            <w:noWrap/>
            <w:vAlign w:val="bottom"/>
            <w:hideMark/>
          </w:tcPr>
          <w:p w14:paraId="3230E788"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top w:val="single" w:sz="24" w:space="0" w:color="4BACC6" w:themeColor="accent5"/>
            </w:tcBorders>
            <w:shd w:val="clear" w:color="auto" w:fill="FDE9D9" w:themeFill="accent6" w:themeFillTint="33"/>
            <w:noWrap/>
            <w:vAlign w:val="bottom"/>
            <w:hideMark/>
          </w:tcPr>
          <w:p w14:paraId="192F165D"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top w:val="single" w:sz="24" w:space="0" w:color="4BACC6" w:themeColor="accent5"/>
              <w:right w:val="single" w:sz="24" w:space="0" w:color="4BACC6" w:themeColor="accent5"/>
            </w:tcBorders>
            <w:shd w:val="clear" w:color="auto" w:fill="FDE9D9" w:themeFill="accent6" w:themeFillTint="33"/>
            <w:noWrap/>
            <w:vAlign w:val="bottom"/>
            <w:hideMark/>
          </w:tcPr>
          <w:p w14:paraId="3E79ABFA"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24" w:space="0" w:color="4BACC6" w:themeColor="accent5"/>
            </w:tcBorders>
            <w:shd w:val="clear" w:color="auto" w:fill="FDE9D9" w:themeFill="accent6" w:themeFillTint="33"/>
            <w:noWrap/>
            <w:vAlign w:val="bottom"/>
            <w:hideMark/>
          </w:tcPr>
          <w:p w14:paraId="5CC76684"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FDE9D9" w:themeFill="accent6" w:themeFillTint="33"/>
            <w:noWrap/>
            <w:vAlign w:val="bottom"/>
            <w:hideMark/>
          </w:tcPr>
          <w:p w14:paraId="68B4C7D8"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FDE9D9" w:themeFill="accent6" w:themeFillTint="33"/>
            <w:noWrap/>
            <w:vAlign w:val="bottom"/>
            <w:hideMark/>
          </w:tcPr>
          <w:p w14:paraId="7A6386E7"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FDE9D9" w:themeFill="accent6" w:themeFillTint="33"/>
            <w:noWrap/>
            <w:vAlign w:val="bottom"/>
            <w:hideMark/>
          </w:tcPr>
          <w:p w14:paraId="573B392A" w14:textId="77777777" w:rsidR="00A020BC" w:rsidRPr="007F403D" w:rsidRDefault="00A020BC" w:rsidP="00091918">
            <w:pPr>
              <w:keepNext/>
              <w:keepLines/>
              <w:spacing w:after="0" w:line="240" w:lineRule="auto"/>
              <w:rPr>
                <w:rFonts w:ascii="Times New Roman" w:hAnsi="Times New Roman"/>
                <w:szCs w:val="20"/>
              </w:rPr>
            </w:pPr>
          </w:p>
        </w:tc>
      </w:tr>
      <w:tr w:rsidR="00A020BC" w:rsidRPr="007F403D" w14:paraId="202E1B8E" w14:textId="77777777" w:rsidTr="00091918">
        <w:trPr>
          <w:trHeight w:val="300"/>
        </w:trPr>
        <w:tc>
          <w:tcPr>
            <w:tcW w:w="1555" w:type="dxa"/>
            <w:tcBorders>
              <w:right w:val="single" w:sz="24" w:space="0" w:color="FF0000"/>
            </w:tcBorders>
            <w:shd w:val="clear" w:color="auto" w:fill="auto"/>
            <w:noWrap/>
            <w:vAlign w:val="bottom"/>
            <w:hideMark/>
          </w:tcPr>
          <w:p w14:paraId="05264D9F" w14:textId="489A4069"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100</w:t>
            </w:r>
            <w:r w:rsidR="007A4346">
              <w:rPr>
                <w:rFonts w:ascii="Calibri" w:hAnsi="Calibri" w:cs="Calibri"/>
                <w:color w:val="000000"/>
              </w:rPr>
              <w:t>–</w:t>
            </w:r>
            <w:r w:rsidRPr="007F403D">
              <w:rPr>
                <w:rFonts w:ascii="Calibri" w:hAnsi="Calibri" w:cs="Calibri"/>
                <w:color w:val="000000"/>
              </w:rPr>
              <w:t>30</w:t>
            </w:r>
          </w:p>
        </w:tc>
        <w:tc>
          <w:tcPr>
            <w:tcW w:w="673" w:type="dxa"/>
            <w:tcBorders>
              <w:left w:val="single" w:sz="24" w:space="0" w:color="FF0000"/>
              <w:right w:val="single" w:sz="24" w:space="0" w:color="FF0000"/>
            </w:tcBorders>
            <w:shd w:val="clear" w:color="auto" w:fill="FDE9D9" w:themeFill="accent6" w:themeFillTint="33"/>
            <w:noWrap/>
            <w:vAlign w:val="bottom"/>
            <w:hideMark/>
          </w:tcPr>
          <w:p w14:paraId="297C80B0" w14:textId="77777777" w:rsidR="00A020BC" w:rsidRPr="007F403D" w:rsidRDefault="00A020BC" w:rsidP="00091918">
            <w:pPr>
              <w:keepNext/>
              <w:keepLines/>
              <w:spacing w:after="0" w:line="240" w:lineRule="auto"/>
              <w:rPr>
                <w:rFonts w:ascii="Calibri" w:hAnsi="Calibri" w:cs="Calibri"/>
                <w:color w:val="000000"/>
              </w:rPr>
            </w:pPr>
            <w:r w:rsidRPr="007F403D">
              <w:rPr>
                <w:rFonts w:ascii="Calibri" w:hAnsi="Calibri" w:cs="Calibri"/>
                <w:color w:val="000000"/>
              </w:rPr>
              <w:t> </w:t>
            </w:r>
          </w:p>
        </w:tc>
        <w:tc>
          <w:tcPr>
            <w:tcW w:w="236" w:type="dxa"/>
            <w:tcBorders>
              <w:top w:val="nil"/>
              <w:left w:val="single" w:sz="24" w:space="0" w:color="FF0000"/>
              <w:bottom w:val="nil"/>
              <w:right w:val="single" w:sz="24" w:space="0" w:color="4BACC6" w:themeColor="accent5"/>
            </w:tcBorders>
            <w:shd w:val="clear" w:color="auto" w:fill="auto"/>
          </w:tcPr>
          <w:p w14:paraId="2861B50F" w14:textId="77777777" w:rsidR="00A020BC" w:rsidRPr="003C6607" w:rsidRDefault="00A020BC" w:rsidP="00091918">
            <w:pPr>
              <w:keepNext/>
              <w:keepLines/>
              <w:spacing w:after="0" w:line="240" w:lineRule="auto"/>
              <w:rPr>
                <w:rFonts w:ascii="Calibri" w:hAnsi="Calibri" w:cs="Calibri"/>
                <w:color w:val="000000"/>
                <w:sz w:val="2"/>
                <w:szCs w:val="2"/>
              </w:rPr>
            </w:pPr>
          </w:p>
        </w:tc>
        <w:tc>
          <w:tcPr>
            <w:tcW w:w="1508" w:type="dxa"/>
            <w:tcBorders>
              <w:left w:val="single" w:sz="24" w:space="0" w:color="4BACC6" w:themeColor="accent5"/>
            </w:tcBorders>
            <w:shd w:val="clear" w:color="auto" w:fill="FDE9D9" w:themeFill="accent6" w:themeFillTint="33"/>
            <w:noWrap/>
            <w:vAlign w:val="bottom"/>
            <w:hideMark/>
          </w:tcPr>
          <w:p w14:paraId="476BC11D" w14:textId="77777777" w:rsidR="00A020BC" w:rsidRPr="007F403D" w:rsidRDefault="00A020BC" w:rsidP="00091918">
            <w:pPr>
              <w:keepNext/>
              <w:keepLines/>
              <w:spacing w:after="0" w:line="240" w:lineRule="auto"/>
              <w:rPr>
                <w:rFonts w:ascii="Calibri" w:hAnsi="Calibri" w:cs="Calibri"/>
                <w:color w:val="000000"/>
              </w:rPr>
            </w:pPr>
          </w:p>
        </w:tc>
        <w:tc>
          <w:tcPr>
            <w:tcW w:w="1020" w:type="dxa"/>
            <w:shd w:val="clear" w:color="auto" w:fill="FDE9D9" w:themeFill="accent6" w:themeFillTint="33"/>
            <w:noWrap/>
            <w:vAlign w:val="bottom"/>
            <w:hideMark/>
          </w:tcPr>
          <w:p w14:paraId="0BDC4603"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FDE9D9" w:themeFill="accent6" w:themeFillTint="33"/>
            <w:noWrap/>
            <w:vAlign w:val="bottom"/>
            <w:hideMark/>
          </w:tcPr>
          <w:p w14:paraId="1C7697B7"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FDE9D9" w:themeFill="accent6" w:themeFillTint="33"/>
            <w:noWrap/>
            <w:vAlign w:val="bottom"/>
            <w:hideMark/>
          </w:tcPr>
          <w:p w14:paraId="0CA70AEB"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right w:val="single" w:sz="24" w:space="0" w:color="4BACC6" w:themeColor="accent5"/>
            </w:tcBorders>
            <w:shd w:val="clear" w:color="auto" w:fill="FDE9D9" w:themeFill="accent6" w:themeFillTint="33"/>
            <w:noWrap/>
            <w:vAlign w:val="bottom"/>
            <w:hideMark/>
          </w:tcPr>
          <w:p w14:paraId="7F5A9F20"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24" w:space="0" w:color="4BACC6" w:themeColor="accent5"/>
            </w:tcBorders>
            <w:shd w:val="clear" w:color="auto" w:fill="FDE9D9" w:themeFill="accent6" w:themeFillTint="33"/>
            <w:noWrap/>
            <w:vAlign w:val="bottom"/>
            <w:hideMark/>
          </w:tcPr>
          <w:p w14:paraId="529792F3"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FDE9D9" w:themeFill="accent6" w:themeFillTint="33"/>
            <w:noWrap/>
            <w:vAlign w:val="bottom"/>
            <w:hideMark/>
          </w:tcPr>
          <w:p w14:paraId="1BED45BA"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FDE9D9" w:themeFill="accent6" w:themeFillTint="33"/>
            <w:noWrap/>
            <w:vAlign w:val="bottom"/>
            <w:hideMark/>
          </w:tcPr>
          <w:p w14:paraId="7898B50D"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FDE9D9" w:themeFill="accent6" w:themeFillTint="33"/>
            <w:noWrap/>
            <w:vAlign w:val="bottom"/>
            <w:hideMark/>
          </w:tcPr>
          <w:p w14:paraId="1566B4AD" w14:textId="77777777" w:rsidR="00A020BC" w:rsidRPr="007F403D" w:rsidRDefault="00A020BC" w:rsidP="00091918">
            <w:pPr>
              <w:keepNext/>
              <w:keepLines/>
              <w:spacing w:after="0" w:line="240" w:lineRule="auto"/>
              <w:rPr>
                <w:rFonts w:ascii="Times New Roman" w:hAnsi="Times New Roman"/>
                <w:szCs w:val="20"/>
              </w:rPr>
            </w:pPr>
          </w:p>
        </w:tc>
      </w:tr>
      <w:tr w:rsidR="00A020BC" w:rsidRPr="007F403D" w14:paraId="41DFA267" w14:textId="77777777" w:rsidTr="00091918">
        <w:trPr>
          <w:trHeight w:val="300"/>
        </w:trPr>
        <w:tc>
          <w:tcPr>
            <w:tcW w:w="1555" w:type="dxa"/>
            <w:tcBorders>
              <w:right w:val="single" w:sz="24" w:space="0" w:color="FF0000"/>
            </w:tcBorders>
            <w:shd w:val="clear" w:color="auto" w:fill="auto"/>
            <w:noWrap/>
            <w:vAlign w:val="bottom"/>
            <w:hideMark/>
          </w:tcPr>
          <w:p w14:paraId="23E3CDBC" w14:textId="77777777"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230–400</w:t>
            </w:r>
          </w:p>
        </w:tc>
        <w:tc>
          <w:tcPr>
            <w:tcW w:w="673" w:type="dxa"/>
            <w:tcBorders>
              <w:left w:val="single" w:sz="24" w:space="0" w:color="FF0000"/>
              <w:right w:val="single" w:sz="24" w:space="0" w:color="FF0000"/>
            </w:tcBorders>
            <w:shd w:val="clear" w:color="auto" w:fill="FDE9D9" w:themeFill="accent6" w:themeFillTint="33"/>
            <w:noWrap/>
            <w:vAlign w:val="bottom"/>
            <w:hideMark/>
          </w:tcPr>
          <w:p w14:paraId="75587325" w14:textId="77777777" w:rsidR="00A020BC" w:rsidRPr="007F403D" w:rsidRDefault="00A020BC" w:rsidP="00091918">
            <w:pPr>
              <w:keepNext/>
              <w:keepLines/>
              <w:spacing w:after="0" w:line="240" w:lineRule="auto"/>
              <w:rPr>
                <w:rFonts w:ascii="Calibri" w:hAnsi="Calibri" w:cs="Calibri"/>
                <w:color w:val="000000"/>
              </w:rPr>
            </w:pPr>
            <w:r w:rsidRPr="007F403D">
              <w:rPr>
                <w:rFonts w:ascii="Calibri" w:hAnsi="Calibri" w:cs="Calibri"/>
                <w:color w:val="000000"/>
              </w:rPr>
              <w:t> </w:t>
            </w:r>
          </w:p>
        </w:tc>
        <w:tc>
          <w:tcPr>
            <w:tcW w:w="236" w:type="dxa"/>
            <w:tcBorders>
              <w:top w:val="nil"/>
              <w:left w:val="single" w:sz="24" w:space="0" w:color="FF0000"/>
              <w:bottom w:val="nil"/>
              <w:right w:val="single" w:sz="24" w:space="0" w:color="4BACC6" w:themeColor="accent5"/>
            </w:tcBorders>
            <w:shd w:val="clear" w:color="auto" w:fill="auto"/>
          </w:tcPr>
          <w:p w14:paraId="5D464814" w14:textId="77777777" w:rsidR="00A020BC" w:rsidRPr="003C6607" w:rsidRDefault="00A020BC" w:rsidP="00091918">
            <w:pPr>
              <w:keepNext/>
              <w:keepLines/>
              <w:spacing w:after="0" w:line="240" w:lineRule="auto"/>
              <w:rPr>
                <w:rFonts w:ascii="Calibri" w:hAnsi="Calibri" w:cs="Calibri"/>
                <w:color w:val="000000"/>
                <w:sz w:val="2"/>
                <w:szCs w:val="2"/>
              </w:rPr>
            </w:pPr>
          </w:p>
        </w:tc>
        <w:tc>
          <w:tcPr>
            <w:tcW w:w="1508" w:type="dxa"/>
            <w:tcBorders>
              <w:left w:val="single" w:sz="24" w:space="0" w:color="4BACC6" w:themeColor="accent5"/>
            </w:tcBorders>
            <w:shd w:val="clear" w:color="auto" w:fill="FDE9D9" w:themeFill="accent6" w:themeFillTint="33"/>
            <w:noWrap/>
            <w:vAlign w:val="bottom"/>
            <w:hideMark/>
          </w:tcPr>
          <w:p w14:paraId="6C4807FF" w14:textId="77777777" w:rsidR="00A020BC" w:rsidRPr="007F403D" w:rsidRDefault="00A020BC" w:rsidP="00091918">
            <w:pPr>
              <w:keepNext/>
              <w:keepLines/>
              <w:spacing w:after="0" w:line="240" w:lineRule="auto"/>
              <w:rPr>
                <w:rFonts w:ascii="Calibri" w:hAnsi="Calibri" w:cs="Calibri"/>
                <w:color w:val="000000"/>
              </w:rPr>
            </w:pPr>
          </w:p>
        </w:tc>
        <w:tc>
          <w:tcPr>
            <w:tcW w:w="1020" w:type="dxa"/>
            <w:shd w:val="clear" w:color="auto" w:fill="FDE9D9" w:themeFill="accent6" w:themeFillTint="33"/>
            <w:noWrap/>
            <w:vAlign w:val="bottom"/>
            <w:hideMark/>
          </w:tcPr>
          <w:p w14:paraId="2267AE96"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FDE9D9" w:themeFill="accent6" w:themeFillTint="33"/>
            <w:noWrap/>
            <w:vAlign w:val="bottom"/>
            <w:hideMark/>
          </w:tcPr>
          <w:p w14:paraId="7EA16829"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FDE9D9" w:themeFill="accent6" w:themeFillTint="33"/>
            <w:noWrap/>
            <w:vAlign w:val="bottom"/>
            <w:hideMark/>
          </w:tcPr>
          <w:p w14:paraId="1125EB87"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right w:val="single" w:sz="24" w:space="0" w:color="4BACC6" w:themeColor="accent5"/>
            </w:tcBorders>
            <w:shd w:val="clear" w:color="auto" w:fill="FDE9D9" w:themeFill="accent6" w:themeFillTint="33"/>
            <w:noWrap/>
            <w:vAlign w:val="bottom"/>
            <w:hideMark/>
          </w:tcPr>
          <w:p w14:paraId="76C94C9E"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24" w:space="0" w:color="4BACC6" w:themeColor="accent5"/>
            </w:tcBorders>
            <w:shd w:val="clear" w:color="auto" w:fill="FDE9D9" w:themeFill="accent6" w:themeFillTint="33"/>
            <w:noWrap/>
            <w:vAlign w:val="bottom"/>
            <w:hideMark/>
          </w:tcPr>
          <w:p w14:paraId="238D3A8B"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FDE9D9" w:themeFill="accent6" w:themeFillTint="33"/>
            <w:noWrap/>
            <w:vAlign w:val="bottom"/>
            <w:hideMark/>
          </w:tcPr>
          <w:p w14:paraId="7C0BA4C2"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auto"/>
            <w:noWrap/>
            <w:vAlign w:val="bottom"/>
            <w:hideMark/>
          </w:tcPr>
          <w:p w14:paraId="65BCA481"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auto"/>
            <w:noWrap/>
            <w:vAlign w:val="bottom"/>
            <w:hideMark/>
          </w:tcPr>
          <w:p w14:paraId="10FFD6C9" w14:textId="77777777" w:rsidR="00A020BC" w:rsidRPr="007F403D" w:rsidRDefault="00A020BC" w:rsidP="00091918">
            <w:pPr>
              <w:keepNext/>
              <w:keepLines/>
              <w:spacing w:after="0" w:line="240" w:lineRule="auto"/>
              <w:rPr>
                <w:rFonts w:ascii="Times New Roman" w:hAnsi="Times New Roman"/>
                <w:szCs w:val="20"/>
              </w:rPr>
            </w:pPr>
          </w:p>
        </w:tc>
      </w:tr>
      <w:tr w:rsidR="00A020BC" w:rsidRPr="007F403D" w14:paraId="623160D3" w14:textId="77777777" w:rsidTr="00091918">
        <w:trPr>
          <w:trHeight w:val="300"/>
        </w:trPr>
        <w:tc>
          <w:tcPr>
            <w:tcW w:w="1555" w:type="dxa"/>
            <w:tcBorders>
              <w:right w:val="single" w:sz="24" w:space="0" w:color="FF0000"/>
            </w:tcBorders>
            <w:shd w:val="clear" w:color="auto" w:fill="auto"/>
            <w:noWrap/>
            <w:vAlign w:val="bottom"/>
            <w:hideMark/>
          </w:tcPr>
          <w:p w14:paraId="3B662AE6" w14:textId="77777777"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400–520</w:t>
            </w:r>
          </w:p>
        </w:tc>
        <w:tc>
          <w:tcPr>
            <w:tcW w:w="673" w:type="dxa"/>
            <w:tcBorders>
              <w:left w:val="single" w:sz="24" w:space="0" w:color="FF0000"/>
              <w:right w:val="single" w:sz="24" w:space="0" w:color="FF0000"/>
            </w:tcBorders>
            <w:shd w:val="clear" w:color="auto" w:fill="FDE9D9" w:themeFill="accent6" w:themeFillTint="33"/>
            <w:noWrap/>
            <w:vAlign w:val="bottom"/>
            <w:hideMark/>
          </w:tcPr>
          <w:p w14:paraId="59889F75" w14:textId="77777777" w:rsidR="00A020BC" w:rsidRPr="007F403D" w:rsidRDefault="00A020BC" w:rsidP="00091918">
            <w:pPr>
              <w:keepNext/>
              <w:keepLines/>
              <w:spacing w:after="0" w:line="240" w:lineRule="auto"/>
              <w:rPr>
                <w:rFonts w:ascii="Calibri" w:hAnsi="Calibri" w:cs="Calibri"/>
                <w:color w:val="000000"/>
              </w:rPr>
            </w:pPr>
            <w:r w:rsidRPr="007F403D">
              <w:rPr>
                <w:rFonts w:ascii="Calibri" w:hAnsi="Calibri" w:cs="Calibri"/>
                <w:color w:val="000000"/>
              </w:rPr>
              <w:t> </w:t>
            </w:r>
          </w:p>
        </w:tc>
        <w:tc>
          <w:tcPr>
            <w:tcW w:w="236" w:type="dxa"/>
            <w:tcBorders>
              <w:top w:val="nil"/>
              <w:left w:val="single" w:sz="24" w:space="0" w:color="FF0000"/>
              <w:bottom w:val="nil"/>
              <w:right w:val="single" w:sz="24" w:space="0" w:color="4BACC6" w:themeColor="accent5"/>
            </w:tcBorders>
            <w:shd w:val="clear" w:color="auto" w:fill="auto"/>
          </w:tcPr>
          <w:p w14:paraId="695A268A" w14:textId="77777777" w:rsidR="00A020BC" w:rsidRPr="003C6607" w:rsidRDefault="00A020BC" w:rsidP="00091918">
            <w:pPr>
              <w:keepNext/>
              <w:keepLines/>
              <w:spacing w:after="0" w:line="240" w:lineRule="auto"/>
              <w:rPr>
                <w:rFonts w:ascii="Calibri" w:hAnsi="Calibri" w:cs="Calibri"/>
                <w:color w:val="000000"/>
                <w:sz w:val="2"/>
                <w:szCs w:val="2"/>
              </w:rPr>
            </w:pPr>
          </w:p>
        </w:tc>
        <w:tc>
          <w:tcPr>
            <w:tcW w:w="1508" w:type="dxa"/>
            <w:tcBorders>
              <w:left w:val="single" w:sz="24" w:space="0" w:color="4BACC6" w:themeColor="accent5"/>
              <w:bottom w:val="single" w:sz="4" w:space="0" w:color="auto"/>
            </w:tcBorders>
            <w:shd w:val="clear" w:color="auto" w:fill="FDE9D9" w:themeFill="accent6" w:themeFillTint="33"/>
            <w:noWrap/>
            <w:vAlign w:val="bottom"/>
            <w:hideMark/>
          </w:tcPr>
          <w:p w14:paraId="42857092" w14:textId="77777777" w:rsidR="00A020BC" w:rsidRPr="007F403D" w:rsidRDefault="00A020BC" w:rsidP="00091918">
            <w:pPr>
              <w:keepNext/>
              <w:keepLines/>
              <w:spacing w:after="0" w:line="240" w:lineRule="auto"/>
              <w:rPr>
                <w:rFonts w:ascii="Calibri" w:hAnsi="Calibri" w:cs="Calibri"/>
                <w:color w:val="000000"/>
              </w:rPr>
            </w:pPr>
          </w:p>
        </w:tc>
        <w:tc>
          <w:tcPr>
            <w:tcW w:w="1020" w:type="dxa"/>
            <w:tcBorders>
              <w:bottom w:val="single" w:sz="4" w:space="0" w:color="auto"/>
            </w:tcBorders>
            <w:shd w:val="clear" w:color="auto" w:fill="FDE9D9" w:themeFill="accent6" w:themeFillTint="33"/>
            <w:noWrap/>
            <w:vAlign w:val="bottom"/>
            <w:hideMark/>
          </w:tcPr>
          <w:p w14:paraId="143C7539"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bottom w:val="single" w:sz="4" w:space="0" w:color="auto"/>
            </w:tcBorders>
            <w:shd w:val="clear" w:color="auto" w:fill="FDE9D9" w:themeFill="accent6" w:themeFillTint="33"/>
            <w:noWrap/>
            <w:vAlign w:val="bottom"/>
            <w:hideMark/>
          </w:tcPr>
          <w:p w14:paraId="6E69B990"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bottom w:val="single" w:sz="4" w:space="0" w:color="auto"/>
            </w:tcBorders>
            <w:shd w:val="clear" w:color="auto" w:fill="FDE9D9" w:themeFill="accent6" w:themeFillTint="33"/>
            <w:noWrap/>
            <w:vAlign w:val="bottom"/>
            <w:hideMark/>
          </w:tcPr>
          <w:p w14:paraId="6900A971"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bottom w:val="single" w:sz="4" w:space="0" w:color="auto"/>
              <w:right w:val="single" w:sz="24" w:space="0" w:color="4BACC6" w:themeColor="accent5"/>
            </w:tcBorders>
            <w:shd w:val="clear" w:color="auto" w:fill="FDE9D9" w:themeFill="accent6" w:themeFillTint="33"/>
            <w:noWrap/>
            <w:vAlign w:val="bottom"/>
            <w:hideMark/>
          </w:tcPr>
          <w:p w14:paraId="5971560D"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24" w:space="0" w:color="4BACC6" w:themeColor="accent5"/>
            </w:tcBorders>
            <w:shd w:val="clear" w:color="auto" w:fill="FDE9D9" w:themeFill="accent6" w:themeFillTint="33"/>
            <w:noWrap/>
            <w:vAlign w:val="bottom"/>
            <w:hideMark/>
          </w:tcPr>
          <w:p w14:paraId="6BFF102E"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auto"/>
            <w:noWrap/>
            <w:vAlign w:val="bottom"/>
            <w:hideMark/>
          </w:tcPr>
          <w:p w14:paraId="331C9E49"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auto"/>
            <w:noWrap/>
            <w:vAlign w:val="bottom"/>
            <w:hideMark/>
          </w:tcPr>
          <w:p w14:paraId="6BF12DCF"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auto"/>
            <w:noWrap/>
            <w:vAlign w:val="bottom"/>
            <w:hideMark/>
          </w:tcPr>
          <w:p w14:paraId="1E774F7E" w14:textId="77777777" w:rsidR="00A020BC" w:rsidRPr="007F403D" w:rsidRDefault="00A020BC" w:rsidP="00091918">
            <w:pPr>
              <w:keepNext/>
              <w:keepLines/>
              <w:spacing w:after="0" w:line="240" w:lineRule="auto"/>
              <w:rPr>
                <w:rFonts w:ascii="Times New Roman" w:hAnsi="Times New Roman"/>
                <w:szCs w:val="20"/>
              </w:rPr>
            </w:pPr>
          </w:p>
        </w:tc>
      </w:tr>
      <w:tr w:rsidR="00A020BC" w:rsidRPr="007F403D" w14:paraId="601D2F77" w14:textId="77777777" w:rsidTr="00091918">
        <w:trPr>
          <w:trHeight w:val="300"/>
        </w:trPr>
        <w:tc>
          <w:tcPr>
            <w:tcW w:w="1555" w:type="dxa"/>
            <w:tcBorders>
              <w:right w:val="single" w:sz="24" w:space="0" w:color="FF0000"/>
            </w:tcBorders>
            <w:shd w:val="clear" w:color="auto" w:fill="auto"/>
            <w:noWrap/>
            <w:vAlign w:val="bottom"/>
            <w:hideMark/>
          </w:tcPr>
          <w:p w14:paraId="1B5C6681" w14:textId="77777777"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520–694</w:t>
            </w:r>
          </w:p>
        </w:tc>
        <w:tc>
          <w:tcPr>
            <w:tcW w:w="673" w:type="dxa"/>
            <w:tcBorders>
              <w:left w:val="single" w:sz="24" w:space="0" w:color="FF0000"/>
              <w:right w:val="single" w:sz="24" w:space="0" w:color="FF0000"/>
            </w:tcBorders>
            <w:shd w:val="clear" w:color="auto" w:fill="FDE9D9" w:themeFill="accent6" w:themeFillTint="33"/>
            <w:noWrap/>
            <w:vAlign w:val="bottom"/>
            <w:hideMark/>
          </w:tcPr>
          <w:p w14:paraId="42D53343" w14:textId="77777777" w:rsidR="00A020BC" w:rsidRPr="007F403D" w:rsidRDefault="00A020BC" w:rsidP="00091918">
            <w:pPr>
              <w:keepNext/>
              <w:keepLines/>
              <w:spacing w:after="0" w:line="240" w:lineRule="auto"/>
              <w:rPr>
                <w:rFonts w:ascii="Calibri" w:hAnsi="Calibri" w:cs="Calibri"/>
                <w:color w:val="000000"/>
              </w:rPr>
            </w:pPr>
            <w:r w:rsidRPr="007F403D">
              <w:rPr>
                <w:rFonts w:ascii="Calibri" w:hAnsi="Calibri" w:cs="Calibri"/>
                <w:color w:val="000000"/>
              </w:rPr>
              <w:t> </w:t>
            </w:r>
          </w:p>
        </w:tc>
        <w:tc>
          <w:tcPr>
            <w:tcW w:w="236" w:type="dxa"/>
            <w:tcBorders>
              <w:top w:val="nil"/>
              <w:left w:val="single" w:sz="24" w:space="0" w:color="FF0000"/>
              <w:bottom w:val="nil"/>
              <w:right w:val="single" w:sz="24" w:space="0" w:color="4BACC6" w:themeColor="accent5"/>
            </w:tcBorders>
            <w:shd w:val="clear" w:color="auto" w:fill="auto"/>
          </w:tcPr>
          <w:p w14:paraId="081C675C" w14:textId="77777777" w:rsidR="00A020BC" w:rsidRPr="003C6607" w:rsidRDefault="00A020BC" w:rsidP="00091918">
            <w:pPr>
              <w:keepNext/>
              <w:keepLines/>
              <w:spacing w:after="0" w:line="240" w:lineRule="auto"/>
              <w:rPr>
                <w:rFonts w:ascii="Calibri" w:hAnsi="Calibri" w:cs="Calibri"/>
                <w:color w:val="000000"/>
                <w:sz w:val="2"/>
                <w:szCs w:val="2"/>
              </w:rPr>
            </w:pPr>
          </w:p>
        </w:tc>
        <w:tc>
          <w:tcPr>
            <w:tcW w:w="1508" w:type="dxa"/>
            <w:tcBorders>
              <w:left w:val="single" w:sz="24" w:space="0" w:color="4BACC6" w:themeColor="accent5"/>
              <w:bottom w:val="single" w:sz="4" w:space="0" w:color="auto"/>
            </w:tcBorders>
            <w:shd w:val="clear" w:color="auto" w:fill="FDE9D9" w:themeFill="accent6" w:themeFillTint="33"/>
            <w:noWrap/>
            <w:vAlign w:val="bottom"/>
            <w:hideMark/>
          </w:tcPr>
          <w:p w14:paraId="44B5FBFA" w14:textId="77777777" w:rsidR="00A020BC" w:rsidRPr="007F403D" w:rsidRDefault="00A020BC" w:rsidP="00091918">
            <w:pPr>
              <w:keepNext/>
              <w:keepLines/>
              <w:spacing w:after="0" w:line="240" w:lineRule="auto"/>
              <w:rPr>
                <w:rFonts w:ascii="Calibri" w:hAnsi="Calibri" w:cs="Calibri"/>
                <w:color w:val="000000"/>
              </w:rPr>
            </w:pPr>
          </w:p>
        </w:tc>
        <w:tc>
          <w:tcPr>
            <w:tcW w:w="1020" w:type="dxa"/>
            <w:tcBorders>
              <w:bottom w:val="single" w:sz="4" w:space="0" w:color="auto"/>
            </w:tcBorders>
            <w:shd w:val="clear" w:color="auto" w:fill="FDE9D9" w:themeFill="accent6" w:themeFillTint="33"/>
            <w:noWrap/>
            <w:vAlign w:val="bottom"/>
            <w:hideMark/>
          </w:tcPr>
          <w:p w14:paraId="14909192"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bottom w:val="single" w:sz="4" w:space="0" w:color="auto"/>
            </w:tcBorders>
            <w:shd w:val="clear" w:color="auto" w:fill="FDE9D9" w:themeFill="accent6" w:themeFillTint="33"/>
            <w:noWrap/>
            <w:vAlign w:val="bottom"/>
            <w:hideMark/>
          </w:tcPr>
          <w:p w14:paraId="092D4929"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bottom w:val="single" w:sz="4" w:space="0" w:color="auto"/>
            </w:tcBorders>
            <w:shd w:val="clear" w:color="auto" w:fill="FDE9D9" w:themeFill="accent6" w:themeFillTint="33"/>
            <w:noWrap/>
            <w:vAlign w:val="bottom"/>
            <w:hideMark/>
          </w:tcPr>
          <w:p w14:paraId="295C696F"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bottom w:val="single" w:sz="4" w:space="0" w:color="auto"/>
              <w:right w:val="single" w:sz="24" w:space="0" w:color="4BACC6" w:themeColor="accent5"/>
            </w:tcBorders>
            <w:shd w:val="clear" w:color="auto" w:fill="FDE9D9" w:themeFill="accent6" w:themeFillTint="33"/>
            <w:noWrap/>
            <w:vAlign w:val="bottom"/>
            <w:hideMark/>
          </w:tcPr>
          <w:p w14:paraId="5945A25C"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24" w:space="0" w:color="4BACC6" w:themeColor="accent5"/>
              <w:bottom w:val="single" w:sz="4" w:space="0" w:color="auto"/>
            </w:tcBorders>
            <w:shd w:val="clear" w:color="auto" w:fill="FDE9D9" w:themeFill="accent6" w:themeFillTint="33"/>
            <w:noWrap/>
            <w:vAlign w:val="bottom"/>
            <w:hideMark/>
          </w:tcPr>
          <w:p w14:paraId="5F7297DC"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bottom w:val="single" w:sz="4" w:space="0" w:color="auto"/>
            </w:tcBorders>
            <w:shd w:val="clear" w:color="auto" w:fill="FDE9D9" w:themeFill="accent6" w:themeFillTint="33"/>
            <w:noWrap/>
            <w:vAlign w:val="bottom"/>
            <w:hideMark/>
          </w:tcPr>
          <w:p w14:paraId="4A38B71A"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FDE9D9" w:themeFill="accent6" w:themeFillTint="33"/>
            <w:noWrap/>
            <w:vAlign w:val="bottom"/>
            <w:hideMark/>
          </w:tcPr>
          <w:p w14:paraId="7CD534A9"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auto"/>
            <w:noWrap/>
            <w:vAlign w:val="bottom"/>
            <w:hideMark/>
          </w:tcPr>
          <w:p w14:paraId="1A523DE5" w14:textId="77777777" w:rsidR="00A020BC" w:rsidRPr="007F403D" w:rsidRDefault="00A020BC" w:rsidP="00091918">
            <w:pPr>
              <w:keepNext/>
              <w:keepLines/>
              <w:spacing w:after="0" w:line="240" w:lineRule="auto"/>
              <w:rPr>
                <w:rFonts w:ascii="Times New Roman" w:hAnsi="Times New Roman"/>
                <w:szCs w:val="20"/>
              </w:rPr>
            </w:pPr>
          </w:p>
        </w:tc>
      </w:tr>
      <w:tr w:rsidR="00A020BC" w:rsidRPr="007F403D" w14:paraId="3727738A" w14:textId="77777777" w:rsidTr="00091918">
        <w:trPr>
          <w:trHeight w:val="300"/>
        </w:trPr>
        <w:tc>
          <w:tcPr>
            <w:tcW w:w="1555" w:type="dxa"/>
            <w:tcBorders>
              <w:right w:val="single" w:sz="24" w:space="0" w:color="FF0000"/>
            </w:tcBorders>
            <w:shd w:val="clear" w:color="auto" w:fill="auto"/>
            <w:noWrap/>
            <w:vAlign w:val="bottom"/>
            <w:hideMark/>
          </w:tcPr>
          <w:p w14:paraId="5AB2C7B0" w14:textId="77777777"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694–1000</w:t>
            </w:r>
          </w:p>
        </w:tc>
        <w:tc>
          <w:tcPr>
            <w:tcW w:w="673" w:type="dxa"/>
            <w:tcBorders>
              <w:left w:val="single" w:sz="24" w:space="0" w:color="FF0000"/>
              <w:right w:val="single" w:sz="24" w:space="0" w:color="FF0000"/>
            </w:tcBorders>
            <w:shd w:val="clear" w:color="auto" w:fill="FDE9D9" w:themeFill="accent6" w:themeFillTint="33"/>
            <w:noWrap/>
            <w:vAlign w:val="bottom"/>
            <w:hideMark/>
          </w:tcPr>
          <w:p w14:paraId="17A39484" w14:textId="77777777" w:rsidR="00A020BC" w:rsidRPr="007F403D" w:rsidRDefault="00A020BC" w:rsidP="00091918">
            <w:pPr>
              <w:keepNext/>
              <w:keepLines/>
              <w:spacing w:after="0" w:line="240" w:lineRule="auto"/>
              <w:rPr>
                <w:rFonts w:ascii="Calibri" w:hAnsi="Calibri" w:cs="Calibri"/>
                <w:color w:val="000000"/>
              </w:rPr>
            </w:pPr>
            <w:r w:rsidRPr="007F403D">
              <w:rPr>
                <w:rFonts w:ascii="Calibri" w:hAnsi="Calibri" w:cs="Calibri"/>
                <w:color w:val="000000"/>
              </w:rPr>
              <w:t> </w:t>
            </w:r>
          </w:p>
        </w:tc>
        <w:tc>
          <w:tcPr>
            <w:tcW w:w="236" w:type="dxa"/>
            <w:tcBorders>
              <w:top w:val="nil"/>
              <w:left w:val="single" w:sz="24" w:space="0" w:color="FF0000"/>
              <w:bottom w:val="nil"/>
              <w:right w:val="single" w:sz="24" w:space="0" w:color="4BACC6" w:themeColor="accent5"/>
            </w:tcBorders>
            <w:shd w:val="clear" w:color="auto" w:fill="auto"/>
          </w:tcPr>
          <w:p w14:paraId="79853CCE" w14:textId="77777777" w:rsidR="00A020BC" w:rsidRPr="003C6607" w:rsidRDefault="00A020BC" w:rsidP="00091918">
            <w:pPr>
              <w:keepNext/>
              <w:keepLines/>
              <w:spacing w:after="0" w:line="240" w:lineRule="auto"/>
              <w:rPr>
                <w:rFonts w:ascii="Calibri" w:hAnsi="Calibri" w:cs="Calibri"/>
                <w:color w:val="000000"/>
                <w:sz w:val="2"/>
                <w:szCs w:val="2"/>
              </w:rPr>
            </w:pPr>
          </w:p>
        </w:tc>
        <w:tc>
          <w:tcPr>
            <w:tcW w:w="1508" w:type="dxa"/>
            <w:tcBorders>
              <w:top w:val="single" w:sz="4" w:space="0" w:color="auto"/>
              <w:left w:val="single" w:sz="24" w:space="0" w:color="4BACC6" w:themeColor="accent5"/>
              <w:bottom w:val="single" w:sz="4" w:space="0" w:color="auto"/>
              <w:right w:val="single" w:sz="4" w:space="0" w:color="auto"/>
            </w:tcBorders>
            <w:shd w:val="clear" w:color="auto" w:fill="FDE9D9" w:themeFill="accent6" w:themeFillTint="33"/>
            <w:noWrap/>
            <w:vAlign w:val="bottom"/>
            <w:hideMark/>
          </w:tcPr>
          <w:p w14:paraId="077A952A" w14:textId="77777777" w:rsidR="00A020BC" w:rsidRPr="007F403D" w:rsidRDefault="00A020BC" w:rsidP="00091918">
            <w:pPr>
              <w:keepNext/>
              <w:keepLines/>
              <w:spacing w:after="0" w:line="240" w:lineRule="auto"/>
              <w:rPr>
                <w:rFonts w:ascii="Calibri" w:hAnsi="Calibri" w:cs="Calibri"/>
                <w:color w:val="000000"/>
              </w:rPr>
            </w:pPr>
          </w:p>
        </w:tc>
        <w:tc>
          <w:tcPr>
            <w:tcW w:w="10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04B91626"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4B935186"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6DAB517A"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top w:val="single" w:sz="4" w:space="0" w:color="auto"/>
              <w:left w:val="single" w:sz="4" w:space="0" w:color="auto"/>
              <w:bottom w:val="single" w:sz="4" w:space="0" w:color="auto"/>
              <w:right w:val="single" w:sz="24" w:space="0" w:color="4BACC6" w:themeColor="accent5"/>
            </w:tcBorders>
            <w:shd w:val="clear" w:color="auto" w:fill="auto"/>
            <w:noWrap/>
            <w:vAlign w:val="bottom"/>
            <w:hideMark/>
          </w:tcPr>
          <w:p w14:paraId="6061A051"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24" w:space="0" w:color="4BACC6" w:themeColor="accent5"/>
              <w:right w:val="single" w:sz="4" w:space="0" w:color="auto"/>
            </w:tcBorders>
            <w:shd w:val="clear" w:color="auto" w:fill="auto"/>
            <w:noWrap/>
            <w:vAlign w:val="bottom"/>
            <w:hideMark/>
          </w:tcPr>
          <w:p w14:paraId="1C502BF4"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4" w:space="0" w:color="auto"/>
            </w:tcBorders>
            <w:shd w:val="clear" w:color="auto" w:fill="auto"/>
            <w:noWrap/>
            <w:vAlign w:val="bottom"/>
            <w:hideMark/>
          </w:tcPr>
          <w:p w14:paraId="4AB2F207"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auto"/>
            <w:noWrap/>
            <w:vAlign w:val="bottom"/>
            <w:hideMark/>
          </w:tcPr>
          <w:p w14:paraId="4DFBCDD5"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auto"/>
            <w:noWrap/>
            <w:vAlign w:val="bottom"/>
            <w:hideMark/>
          </w:tcPr>
          <w:p w14:paraId="501455AB" w14:textId="77777777" w:rsidR="00A020BC" w:rsidRPr="007F403D" w:rsidRDefault="00A020BC" w:rsidP="00091918">
            <w:pPr>
              <w:keepNext/>
              <w:keepLines/>
              <w:spacing w:after="0" w:line="240" w:lineRule="auto"/>
              <w:rPr>
                <w:rFonts w:ascii="Times New Roman" w:hAnsi="Times New Roman"/>
                <w:szCs w:val="20"/>
              </w:rPr>
            </w:pPr>
          </w:p>
        </w:tc>
      </w:tr>
      <w:tr w:rsidR="00A020BC" w:rsidRPr="007F403D" w14:paraId="065661A5" w14:textId="77777777" w:rsidTr="00091918">
        <w:trPr>
          <w:trHeight w:val="300"/>
        </w:trPr>
        <w:tc>
          <w:tcPr>
            <w:tcW w:w="1555" w:type="dxa"/>
            <w:tcBorders>
              <w:right w:val="single" w:sz="24" w:space="0" w:color="FF0000"/>
            </w:tcBorders>
            <w:shd w:val="clear" w:color="auto" w:fill="auto"/>
            <w:noWrap/>
            <w:vAlign w:val="bottom"/>
            <w:hideMark/>
          </w:tcPr>
          <w:p w14:paraId="7F88369E" w14:textId="77777777"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1000–2300</w:t>
            </w:r>
          </w:p>
        </w:tc>
        <w:tc>
          <w:tcPr>
            <w:tcW w:w="673" w:type="dxa"/>
            <w:tcBorders>
              <w:left w:val="single" w:sz="24" w:space="0" w:color="FF0000"/>
              <w:right w:val="single" w:sz="24" w:space="0" w:color="FF0000"/>
            </w:tcBorders>
            <w:shd w:val="clear" w:color="auto" w:fill="FDE9D9" w:themeFill="accent6" w:themeFillTint="33"/>
            <w:noWrap/>
            <w:vAlign w:val="bottom"/>
            <w:hideMark/>
          </w:tcPr>
          <w:p w14:paraId="27A44229" w14:textId="77777777" w:rsidR="00A020BC" w:rsidRPr="007F403D" w:rsidRDefault="00A020BC" w:rsidP="00091918">
            <w:pPr>
              <w:keepNext/>
              <w:keepLines/>
              <w:spacing w:after="0" w:line="240" w:lineRule="auto"/>
              <w:rPr>
                <w:rFonts w:ascii="Calibri" w:hAnsi="Calibri" w:cs="Calibri"/>
                <w:color w:val="000000"/>
              </w:rPr>
            </w:pPr>
            <w:r w:rsidRPr="007F403D">
              <w:rPr>
                <w:rFonts w:ascii="Calibri" w:hAnsi="Calibri" w:cs="Calibri"/>
                <w:color w:val="000000"/>
              </w:rPr>
              <w:t> </w:t>
            </w:r>
          </w:p>
        </w:tc>
        <w:tc>
          <w:tcPr>
            <w:tcW w:w="236" w:type="dxa"/>
            <w:tcBorders>
              <w:top w:val="nil"/>
              <w:left w:val="single" w:sz="24" w:space="0" w:color="FF0000"/>
              <w:bottom w:val="nil"/>
              <w:right w:val="single" w:sz="24" w:space="0" w:color="4BACC6" w:themeColor="accent5"/>
            </w:tcBorders>
            <w:shd w:val="clear" w:color="auto" w:fill="auto"/>
          </w:tcPr>
          <w:p w14:paraId="638AF4FC" w14:textId="77777777" w:rsidR="00A020BC" w:rsidRPr="003C6607" w:rsidRDefault="00A020BC" w:rsidP="00091918">
            <w:pPr>
              <w:keepNext/>
              <w:keepLines/>
              <w:spacing w:after="0" w:line="240" w:lineRule="auto"/>
              <w:rPr>
                <w:rFonts w:ascii="Calibri" w:hAnsi="Calibri" w:cs="Calibri"/>
                <w:color w:val="000000"/>
                <w:sz w:val="2"/>
                <w:szCs w:val="2"/>
              </w:rPr>
            </w:pPr>
          </w:p>
        </w:tc>
        <w:tc>
          <w:tcPr>
            <w:tcW w:w="1508" w:type="dxa"/>
            <w:tcBorders>
              <w:top w:val="single" w:sz="4" w:space="0" w:color="auto"/>
              <w:left w:val="single" w:sz="24" w:space="0" w:color="4BACC6" w:themeColor="accent5"/>
              <w:bottom w:val="single" w:sz="4" w:space="0" w:color="auto"/>
              <w:right w:val="single" w:sz="4" w:space="0" w:color="auto"/>
            </w:tcBorders>
            <w:shd w:val="clear" w:color="auto" w:fill="FDE9D9" w:themeFill="accent6" w:themeFillTint="33"/>
            <w:noWrap/>
            <w:vAlign w:val="bottom"/>
            <w:hideMark/>
          </w:tcPr>
          <w:p w14:paraId="64E55C6F" w14:textId="77777777" w:rsidR="00A020BC" w:rsidRPr="007F403D" w:rsidRDefault="00A020BC" w:rsidP="00091918">
            <w:pPr>
              <w:keepNext/>
              <w:keepLines/>
              <w:spacing w:after="0" w:line="240" w:lineRule="auto"/>
              <w:rPr>
                <w:rFonts w:ascii="Calibri" w:hAnsi="Calibri" w:cs="Calibri"/>
                <w:color w:val="000000"/>
              </w:rPr>
            </w:pPr>
          </w:p>
        </w:tc>
        <w:tc>
          <w:tcPr>
            <w:tcW w:w="10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4E17F5F3"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08434D23"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2F3BC"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top w:val="single" w:sz="4" w:space="0" w:color="auto"/>
              <w:left w:val="single" w:sz="4" w:space="0" w:color="auto"/>
              <w:bottom w:val="single" w:sz="4" w:space="0" w:color="auto"/>
              <w:right w:val="single" w:sz="24" w:space="0" w:color="4BACC6" w:themeColor="accent5"/>
            </w:tcBorders>
            <w:shd w:val="clear" w:color="auto" w:fill="auto"/>
            <w:noWrap/>
            <w:vAlign w:val="bottom"/>
            <w:hideMark/>
          </w:tcPr>
          <w:p w14:paraId="3B7D39BB"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24" w:space="0" w:color="4BACC6" w:themeColor="accent5"/>
              <w:right w:val="single" w:sz="4" w:space="0" w:color="auto"/>
            </w:tcBorders>
            <w:shd w:val="clear" w:color="auto" w:fill="auto"/>
            <w:noWrap/>
            <w:vAlign w:val="bottom"/>
            <w:hideMark/>
          </w:tcPr>
          <w:p w14:paraId="4E1C8AE2"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4" w:space="0" w:color="auto"/>
            </w:tcBorders>
            <w:shd w:val="clear" w:color="auto" w:fill="auto"/>
            <w:noWrap/>
            <w:vAlign w:val="bottom"/>
            <w:hideMark/>
          </w:tcPr>
          <w:p w14:paraId="3808D2AC"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auto"/>
            <w:noWrap/>
            <w:vAlign w:val="bottom"/>
            <w:hideMark/>
          </w:tcPr>
          <w:p w14:paraId="4586F0C4"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auto"/>
            <w:noWrap/>
            <w:vAlign w:val="bottom"/>
            <w:hideMark/>
          </w:tcPr>
          <w:p w14:paraId="64CF78B3" w14:textId="77777777" w:rsidR="00A020BC" w:rsidRPr="007F403D" w:rsidRDefault="00A020BC" w:rsidP="00091918">
            <w:pPr>
              <w:keepNext/>
              <w:keepLines/>
              <w:spacing w:after="0" w:line="240" w:lineRule="auto"/>
              <w:rPr>
                <w:rFonts w:ascii="Times New Roman" w:hAnsi="Times New Roman"/>
                <w:szCs w:val="20"/>
              </w:rPr>
            </w:pPr>
          </w:p>
        </w:tc>
      </w:tr>
      <w:tr w:rsidR="00A020BC" w:rsidRPr="007F403D" w14:paraId="245FE07D" w14:textId="77777777" w:rsidTr="00091918">
        <w:trPr>
          <w:trHeight w:val="300"/>
        </w:trPr>
        <w:tc>
          <w:tcPr>
            <w:tcW w:w="1555" w:type="dxa"/>
            <w:tcBorders>
              <w:right w:val="single" w:sz="24" w:space="0" w:color="FF0000"/>
            </w:tcBorders>
            <w:shd w:val="clear" w:color="auto" w:fill="auto"/>
            <w:noWrap/>
            <w:vAlign w:val="bottom"/>
            <w:hideMark/>
          </w:tcPr>
          <w:p w14:paraId="3AEC98A9" w14:textId="77777777"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2300–6000</w:t>
            </w:r>
          </w:p>
        </w:tc>
        <w:tc>
          <w:tcPr>
            <w:tcW w:w="673" w:type="dxa"/>
            <w:tcBorders>
              <w:left w:val="single" w:sz="24" w:space="0" w:color="FF0000"/>
              <w:right w:val="single" w:sz="24" w:space="0" w:color="FF0000"/>
            </w:tcBorders>
            <w:shd w:val="clear" w:color="auto" w:fill="FDE9D9" w:themeFill="accent6" w:themeFillTint="33"/>
            <w:noWrap/>
            <w:vAlign w:val="bottom"/>
            <w:hideMark/>
          </w:tcPr>
          <w:p w14:paraId="21A95B32" w14:textId="77777777" w:rsidR="00A020BC" w:rsidRPr="007F403D" w:rsidRDefault="00A020BC" w:rsidP="00091918">
            <w:pPr>
              <w:keepNext/>
              <w:keepLines/>
              <w:spacing w:after="0" w:line="240" w:lineRule="auto"/>
              <w:rPr>
                <w:rFonts w:ascii="Calibri" w:hAnsi="Calibri" w:cs="Calibri"/>
                <w:color w:val="000000"/>
              </w:rPr>
            </w:pPr>
            <w:r w:rsidRPr="007F403D">
              <w:rPr>
                <w:rFonts w:ascii="Calibri" w:hAnsi="Calibri" w:cs="Calibri"/>
                <w:color w:val="000000"/>
              </w:rPr>
              <w:t> </w:t>
            </w:r>
          </w:p>
        </w:tc>
        <w:tc>
          <w:tcPr>
            <w:tcW w:w="236" w:type="dxa"/>
            <w:tcBorders>
              <w:top w:val="nil"/>
              <w:left w:val="single" w:sz="24" w:space="0" w:color="FF0000"/>
              <w:bottom w:val="nil"/>
              <w:right w:val="single" w:sz="24" w:space="0" w:color="4BACC6" w:themeColor="accent5"/>
            </w:tcBorders>
            <w:shd w:val="clear" w:color="auto" w:fill="auto"/>
          </w:tcPr>
          <w:p w14:paraId="791C51CC" w14:textId="77777777" w:rsidR="00A020BC" w:rsidRPr="003C6607" w:rsidRDefault="00A020BC" w:rsidP="00091918">
            <w:pPr>
              <w:keepNext/>
              <w:keepLines/>
              <w:spacing w:after="0" w:line="240" w:lineRule="auto"/>
              <w:rPr>
                <w:rFonts w:ascii="Calibri" w:hAnsi="Calibri" w:cs="Calibri"/>
                <w:color w:val="000000"/>
                <w:sz w:val="2"/>
                <w:szCs w:val="2"/>
              </w:rPr>
            </w:pPr>
          </w:p>
        </w:tc>
        <w:tc>
          <w:tcPr>
            <w:tcW w:w="1508" w:type="dxa"/>
            <w:tcBorders>
              <w:top w:val="single" w:sz="4" w:space="0" w:color="auto"/>
              <w:left w:val="single" w:sz="24" w:space="0" w:color="4BACC6" w:themeColor="accent5"/>
              <w:bottom w:val="single" w:sz="4" w:space="0" w:color="auto"/>
              <w:right w:val="single" w:sz="4" w:space="0" w:color="auto"/>
            </w:tcBorders>
            <w:shd w:val="clear" w:color="auto" w:fill="FDE9D9" w:themeFill="accent6" w:themeFillTint="33"/>
            <w:noWrap/>
            <w:vAlign w:val="bottom"/>
            <w:hideMark/>
          </w:tcPr>
          <w:p w14:paraId="4E7AE7A2" w14:textId="77777777" w:rsidR="00A020BC" w:rsidRPr="007F403D" w:rsidRDefault="00A020BC" w:rsidP="00091918">
            <w:pPr>
              <w:keepNext/>
              <w:keepLines/>
              <w:spacing w:after="0" w:line="240" w:lineRule="auto"/>
              <w:rPr>
                <w:rFonts w:ascii="Calibri" w:hAnsi="Calibri" w:cs="Calibri"/>
                <w:color w:val="000000"/>
              </w:rPr>
            </w:pPr>
          </w:p>
        </w:tc>
        <w:tc>
          <w:tcPr>
            <w:tcW w:w="10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5C151AAD"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D3D1C"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E21FC"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top w:val="single" w:sz="4" w:space="0" w:color="auto"/>
              <w:left w:val="single" w:sz="4" w:space="0" w:color="auto"/>
              <w:bottom w:val="single" w:sz="4" w:space="0" w:color="auto"/>
              <w:right w:val="single" w:sz="24" w:space="0" w:color="4BACC6" w:themeColor="accent5"/>
            </w:tcBorders>
            <w:shd w:val="clear" w:color="auto" w:fill="auto"/>
            <w:noWrap/>
            <w:vAlign w:val="bottom"/>
            <w:hideMark/>
          </w:tcPr>
          <w:p w14:paraId="163A669D"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24" w:space="0" w:color="4BACC6" w:themeColor="accent5"/>
              <w:right w:val="single" w:sz="4" w:space="0" w:color="auto"/>
            </w:tcBorders>
            <w:shd w:val="clear" w:color="auto" w:fill="auto"/>
            <w:noWrap/>
            <w:vAlign w:val="bottom"/>
            <w:hideMark/>
          </w:tcPr>
          <w:p w14:paraId="597F5300"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4" w:space="0" w:color="auto"/>
            </w:tcBorders>
            <w:shd w:val="clear" w:color="auto" w:fill="auto"/>
            <w:noWrap/>
            <w:vAlign w:val="bottom"/>
            <w:hideMark/>
          </w:tcPr>
          <w:p w14:paraId="04A014A9"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auto"/>
            <w:noWrap/>
            <w:vAlign w:val="bottom"/>
            <w:hideMark/>
          </w:tcPr>
          <w:p w14:paraId="0C455789"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auto"/>
            <w:noWrap/>
            <w:vAlign w:val="bottom"/>
            <w:hideMark/>
          </w:tcPr>
          <w:p w14:paraId="5B3BE8D3" w14:textId="77777777" w:rsidR="00A020BC" w:rsidRPr="007F403D" w:rsidRDefault="00A020BC" w:rsidP="00091918">
            <w:pPr>
              <w:keepNext/>
              <w:keepLines/>
              <w:spacing w:after="0" w:line="240" w:lineRule="auto"/>
              <w:rPr>
                <w:rFonts w:ascii="Times New Roman" w:hAnsi="Times New Roman"/>
                <w:szCs w:val="20"/>
              </w:rPr>
            </w:pPr>
          </w:p>
        </w:tc>
      </w:tr>
      <w:tr w:rsidR="00A020BC" w:rsidRPr="007F403D" w14:paraId="4D89A9EE" w14:textId="77777777" w:rsidTr="00091918">
        <w:trPr>
          <w:trHeight w:val="300"/>
        </w:trPr>
        <w:tc>
          <w:tcPr>
            <w:tcW w:w="1555" w:type="dxa"/>
            <w:tcBorders>
              <w:right w:val="single" w:sz="24" w:space="0" w:color="FF0000"/>
            </w:tcBorders>
            <w:shd w:val="clear" w:color="auto" w:fill="auto"/>
            <w:noWrap/>
            <w:vAlign w:val="bottom"/>
            <w:hideMark/>
          </w:tcPr>
          <w:p w14:paraId="0D33DC3A" w14:textId="77777777"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6000–10000</w:t>
            </w:r>
          </w:p>
        </w:tc>
        <w:tc>
          <w:tcPr>
            <w:tcW w:w="673" w:type="dxa"/>
            <w:tcBorders>
              <w:left w:val="single" w:sz="24" w:space="0" w:color="FF0000"/>
              <w:right w:val="single" w:sz="24" w:space="0" w:color="FF0000"/>
            </w:tcBorders>
            <w:shd w:val="clear" w:color="auto" w:fill="FDE9D9" w:themeFill="accent6" w:themeFillTint="33"/>
            <w:noWrap/>
            <w:vAlign w:val="bottom"/>
            <w:hideMark/>
          </w:tcPr>
          <w:p w14:paraId="1994551F" w14:textId="77777777" w:rsidR="00A020BC" w:rsidRPr="007F403D" w:rsidRDefault="00A020BC" w:rsidP="00091918">
            <w:pPr>
              <w:keepNext/>
              <w:keepLines/>
              <w:spacing w:after="0" w:line="240" w:lineRule="auto"/>
              <w:rPr>
                <w:rFonts w:ascii="Calibri" w:hAnsi="Calibri" w:cs="Calibri"/>
                <w:color w:val="000000"/>
              </w:rPr>
            </w:pPr>
            <w:r w:rsidRPr="007F403D">
              <w:rPr>
                <w:rFonts w:ascii="Calibri" w:hAnsi="Calibri" w:cs="Calibri"/>
                <w:color w:val="000000"/>
              </w:rPr>
              <w:t> </w:t>
            </w:r>
          </w:p>
        </w:tc>
        <w:tc>
          <w:tcPr>
            <w:tcW w:w="236" w:type="dxa"/>
            <w:tcBorders>
              <w:top w:val="nil"/>
              <w:left w:val="single" w:sz="24" w:space="0" w:color="FF0000"/>
              <w:bottom w:val="nil"/>
              <w:right w:val="single" w:sz="24" w:space="0" w:color="4BACC6" w:themeColor="accent5"/>
            </w:tcBorders>
            <w:shd w:val="clear" w:color="auto" w:fill="auto"/>
          </w:tcPr>
          <w:p w14:paraId="6A9234A4" w14:textId="77777777" w:rsidR="00A020BC" w:rsidRPr="003C6607" w:rsidRDefault="00A020BC" w:rsidP="00091918">
            <w:pPr>
              <w:keepNext/>
              <w:keepLines/>
              <w:spacing w:after="0" w:line="240" w:lineRule="auto"/>
              <w:rPr>
                <w:rFonts w:ascii="Calibri" w:hAnsi="Calibri" w:cs="Calibri"/>
                <w:color w:val="000000"/>
                <w:sz w:val="2"/>
                <w:szCs w:val="2"/>
              </w:rPr>
            </w:pPr>
          </w:p>
        </w:tc>
        <w:tc>
          <w:tcPr>
            <w:tcW w:w="1508" w:type="dxa"/>
            <w:tcBorders>
              <w:top w:val="single" w:sz="4" w:space="0" w:color="auto"/>
              <w:left w:val="single" w:sz="24" w:space="0" w:color="4BACC6" w:themeColor="accent5"/>
              <w:right w:val="single" w:sz="4" w:space="0" w:color="auto"/>
            </w:tcBorders>
            <w:shd w:val="clear" w:color="auto" w:fill="FDE9D9" w:themeFill="accent6" w:themeFillTint="33"/>
            <w:noWrap/>
            <w:vAlign w:val="bottom"/>
            <w:hideMark/>
          </w:tcPr>
          <w:p w14:paraId="05FA6221" w14:textId="77777777" w:rsidR="00A020BC" w:rsidRPr="007F403D" w:rsidRDefault="00A020BC" w:rsidP="00091918">
            <w:pPr>
              <w:keepNext/>
              <w:keepLines/>
              <w:spacing w:after="0" w:line="240" w:lineRule="auto"/>
              <w:rPr>
                <w:rFonts w:ascii="Calibri" w:hAnsi="Calibri" w:cs="Calibri"/>
                <w:color w:val="000000"/>
              </w:rPr>
            </w:pPr>
          </w:p>
        </w:tc>
        <w:tc>
          <w:tcPr>
            <w:tcW w:w="1020" w:type="dxa"/>
            <w:tcBorders>
              <w:top w:val="single" w:sz="4" w:space="0" w:color="auto"/>
              <w:left w:val="single" w:sz="4" w:space="0" w:color="auto"/>
              <w:right w:val="single" w:sz="4" w:space="0" w:color="auto"/>
            </w:tcBorders>
            <w:shd w:val="clear" w:color="auto" w:fill="auto"/>
            <w:noWrap/>
            <w:vAlign w:val="bottom"/>
            <w:hideMark/>
          </w:tcPr>
          <w:p w14:paraId="71934AB3"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top w:val="single" w:sz="4" w:space="0" w:color="auto"/>
              <w:left w:val="single" w:sz="4" w:space="0" w:color="auto"/>
              <w:right w:val="single" w:sz="4" w:space="0" w:color="auto"/>
            </w:tcBorders>
            <w:shd w:val="clear" w:color="auto" w:fill="auto"/>
            <w:noWrap/>
            <w:vAlign w:val="bottom"/>
            <w:hideMark/>
          </w:tcPr>
          <w:p w14:paraId="3AA5B681"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top w:val="single" w:sz="4" w:space="0" w:color="auto"/>
              <w:left w:val="single" w:sz="4" w:space="0" w:color="auto"/>
              <w:right w:val="single" w:sz="4" w:space="0" w:color="auto"/>
            </w:tcBorders>
            <w:shd w:val="clear" w:color="auto" w:fill="auto"/>
            <w:noWrap/>
            <w:vAlign w:val="bottom"/>
            <w:hideMark/>
          </w:tcPr>
          <w:p w14:paraId="025747E9"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top w:val="single" w:sz="4" w:space="0" w:color="auto"/>
              <w:left w:val="single" w:sz="4" w:space="0" w:color="auto"/>
              <w:right w:val="single" w:sz="24" w:space="0" w:color="4BACC6" w:themeColor="accent5"/>
            </w:tcBorders>
            <w:shd w:val="clear" w:color="auto" w:fill="auto"/>
            <w:noWrap/>
            <w:vAlign w:val="bottom"/>
            <w:hideMark/>
          </w:tcPr>
          <w:p w14:paraId="696E6F56"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24" w:space="0" w:color="4BACC6" w:themeColor="accent5"/>
              <w:right w:val="single" w:sz="4" w:space="0" w:color="auto"/>
            </w:tcBorders>
            <w:shd w:val="clear" w:color="auto" w:fill="auto"/>
            <w:noWrap/>
            <w:vAlign w:val="bottom"/>
            <w:hideMark/>
          </w:tcPr>
          <w:p w14:paraId="4CB23134"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4" w:space="0" w:color="auto"/>
            </w:tcBorders>
            <w:shd w:val="clear" w:color="auto" w:fill="auto"/>
            <w:noWrap/>
            <w:vAlign w:val="bottom"/>
            <w:hideMark/>
          </w:tcPr>
          <w:p w14:paraId="6B166524"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auto"/>
            <w:noWrap/>
            <w:vAlign w:val="bottom"/>
            <w:hideMark/>
          </w:tcPr>
          <w:p w14:paraId="5532FA55"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auto"/>
            <w:noWrap/>
            <w:vAlign w:val="bottom"/>
            <w:hideMark/>
          </w:tcPr>
          <w:p w14:paraId="1FBA6A38" w14:textId="77777777" w:rsidR="00A020BC" w:rsidRPr="007F403D" w:rsidRDefault="00A020BC" w:rsidP="00091918">
            <w:pPr>
              <w:keepNext/>
              <w:keepLines/>
              <w:spacing w:after="0" w:line="240" w:lineRule="auto"/>
              <w:rPr>
                <w:rFonts w:ascii="Times New Roman" w:hAnsi="Times New Roman"/>
                <w:szCs w:val="20"/>
              </w:rPr>
            </w:pPr>
          </w:p>
        </w:tc>
      </w:tr>
      <w:tr w:rsidR="00A020BC" w:rsidRPr="007F403D" w14:paraId="450330C8" w14:textId="77777777" w:rsidTr="00091918">
        <w:trPr>
          <w:trHeight w:val="300"/>
        </w:trPr>
        <w:tc>
          <w:tcPr>
            <w:tcW w:w="1555" w:type="dxa"/>
            <w:tcBorders>
              <w:right w:val="single" w:sz="24" w:space="0" w:color="FF0000"/>
            </w:tcBorders>
            <w:shd w:val="clear" w:color="auto" w:fill="auto"/>
            <w:noWrap/>
            <w:vAlign w:val="bottom"/>
            <w:hideMark/>
          </w:tcPr>
          <w:p w14:paraId="3548E328" w14:textId="77777777" w:rsidR="00A020BC" w:rsidRPr="007F403D" w:rsidRDefault="00A020BC" w:rsidP="00091918">
            <w:pPr>
              <w:keepNext/>
              <w:keepLines/>
              <w:spacing w:after="0" w:line="240" w:lineRule="auto"/>
              <w:jc w:val="center"/>
              <w:rPr>
                <w:rFonts w:ascii="Calibri" w:hAnsi="Calibri" w:cs="Calibri"/>
                <w:color w:val="000000"/>
              </w:rPr>
            </w:pPr>
            <w:r w:rsidRPr="007F403D">
              <w:rPr>
                <w:rFonts w:ascii="Calibri" w:hAnsi="Calibri" w:cs="Calibri"/>
                <w:color w:val="000000"/>
              </w:rPr>
              <w:t>10000–25250</w:t>
            </w:r>
          </w:p>
        </w:tc>
        <w:tc>
          <w:tcPr>
            <w:tcW w:w="673" w:type="dxa"/>
            <w:tcBorders>
              <w:left w:val="single" w:sz="24" w:space="0" w:color="FF0000"/>
              <w:bottom w:val="single" w:sz="24" w:space="0" w:color="FF0000"/>
              <w:right w:val="single" w:sz="24" w:space="0" w:color="FF0000"/>
            </w:tcBorders>
            <w:shd w:val="clear" w:color="auto" w:fill="FDE9D9" w:themeFill="accent6" w:themeFillTint="33"/>
            <w:noWrap/>
            <w:vAlign w:val="bottom"/>
            <w:hideMark/>
          </w:tcPr>
          <w:p w14:paraId="483F4B40" w14:textId="77777777" w:rsidR="00A020BC" w:rsidRPr="007F403D" w:rsidRDefault="00A020BC" w:rsidP="00091918">
            <w:pPr>
              <w:keepNext/>
              <w:keepLines/>
              <w:spacing w:after="0" w:line="240" w:lineRule="auto"/>
              <w:rPr>
                <w:rFonts w:ascii="Calibri" w:hAnsi="Calibri" w:cs="Calibri"/>
                <w:color w:val="000000"/>
              </w:rPr>
            </w:pPr>
            <w:r w:rsidRPr="007F403D">
              <w:rPr>
                <w:rFonts w:ascii="Calibri" w:hAnsi="Calibri" w:cs="Calibri"/>
                <w:color w:val="000000"/>
              </w:rPr>
              <w:t> </w:t>
            </w:r>
          </w:p>
        </w:tc>
        <w:tc>
          <w:tcPr>
            <w:tcW w:w="236" w:type="dxa"/>
            <w:tcBorders>
              <w:top w:val="nil"/>
              <w:left w:val="single" w:sz="24" w:space="0" w:color="FF0000"/>
              <w:bottom w:val="nil"/>
              <w:right w:val="single" w:sz="24" w:space="0" w:color="4BACC6" w:themeColor="accent5"/>
            </w:tcBorders>
            <w:shd w:val="clear" w:color="auto" w:fill="auto"/>
          </w:tcPr>
          <w:p w14:paraId="3F36A84C" w14:textId="77777777" w:rsidR="00A020BC" w:rsidRPr="003C6607" w:rsidRDefault="00A020BC" w:rsidP="00091918">
            <w:pPr>
              <w:keepNext/>
              <w:keepLines/>
              <w:spacing w:after="0" w:line="240" w:lineRule="auto"/>
              <w:rPr>
                <w:rFonts w:ascii="Calibri" w:hAnsi="Calibri" w:cs="Calibri"/>
                <w:color w:val="000000"/>
                <w:sz w:val="2"/>
                <w:szCs w:val="2"/>
              </w:rPr>
            </w:pPr>
          </w:p>
        </w:tc>
        <w:tc>
          <w:tcPr>
            <w:tcW w:w="1508" w:type="dxa"/>
            <w:tcBorders>
              <w:left w:val="single" w:sz="24" w:space="0" w:color="4BACC6" w:themeColor="accent5"/>
              <w:bottom w:val="single" w:sz="24" w:space="0" w:color="4BACC6" w:themeColor="accent5"/>
              <w:right w:val="single" w:sz="4" w:space="0" w:color="auto"/>
            </w:tcBorders>
            <w:shd w:val="clear" w:color="auto" w:fill="FDE9D9" w:themeFill="accent6" w:themeFillTint="33"/>
            <w:noWrap/>
            <w:vAlign w:val="bottom"/>
            <w:hideMark/>
          </w:tcPr>
          <w:p w14:paraId="2EE3417B" w14:textId="77777777" w:rsidR="00A020BC" w:rsidRPr="007F403D" w:rsidRDefault="00A020BC" w:rsidP="00091918">
            <w:pPr>
              <w:keepNext/>
              <w:keepLines/>
              <w:spacing w:after="0" w:line="240" w:lineRule="auto"/>
              <w:rPr>
                <w:rFonts w:ascii="Calibri" w:hAnsi="Calibri" w:cs="Calibri"/>
                <w:color w:val="000000"/>
              </w:rPr>
            </w:pPr>
          </w:p>
        </w:tc>
        <w:tc>
          <w:tcPr>
            <w:tcW w:w="1020" w:type="dxa"/>
            <w:tcBorders>
              <w:left w:val="single" w:sz="4" w:space="0" w:color="auto"/>
              <w:bottom w:val="single" w:sz="24" w:space="0" w:color="4BACC6" w:themeColor="accent5"/>
              <w:right w:val="single" w:sz="4" w:space="0" w:color="auto"/>
            </w:tcBorders>
            <w:shd w:val="clear" w:color="auto" w:fill="auto"/>
            <w:noWrap/>
            <w:vAlign w:val="bottom"/>
            <w:hideMark/>
          </w:tcPr>
          <w:p w14:paraId="5F53C54D"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4" w:space="0" w:color="auto"/>
              <w:bottom w:val="single" w:sz="24" w:space="0" w:color="4BACC6" w:themeColor="accent5"/>
              <w:right w:val="single" w:sz="4" w:space="0" w:color="auto"/>
            </w:tcBorders>
            <w:shd w:val="clear" w:color="auto" w:fill="auto"/>
            <w:noWrap/>
            <w:vAlign w:val="bottom"/>
            <w:hideMark/>
          </w:tcPr>
          <w:p w14:paraId="2BC50EF7"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4" w:space="0" w:color="auto"/>
              <w:bottom w:val="single" w:sz="24" w:space="0" w:color="4BACC6" w:themeColor="accent5"/>
              <w:right w:val="single" w:sz="4" w:space="0" w:color="auto"/>
            </w:tcBorders>
            <w:shd w:val="clear" w:color="auto" w:fill="auto"/>
            <w:noWrap/>
            <w:vAlign w:val="bottom"/>
            <w:hideMark/>
          </w:tcPr>
          <w:p w14:paraId="41DBD41A"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4" w:space="0" w:color="auto"/>
              <w:bottom w:val="single" w:sz="24" w:space="0" w:color="4BACC6" w:themeColor="accent5"/>
              <w:right w:val="single" w:sz="24" w:space="0" w:color="4BACC6" w:themeColor="accent5"/>
            </w:tcBorders>
            <w:shd w:val="clear" w:color="auto" w:fill="auto"/>
            <w:noWrap/>
            <w:vAlign w:val="bottom"/>
            <w:hideMark/>
          </w:tcPr>
          <w:p w14:paraId="2964B008"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24" w:space="0" w:color="4BACC6" w:themeColor="accent5"/>
              <w:bottom w:val="single" w:sz="4" w:space="0" w:color="auto"/>
              <w:right w:val="single" w:sz="4" w:space="0" w:color="auto"/>
            </w:tcBorders>
            <w:shd w:val="clear" w:color="auto" w:fill="auto"/>
            <w:noWrap/>
            <w:vAlign w:val="bottom"/>
            <w:hideMark/>
          </w:tcPr>
          <w:p w14:paraId="16C1DA6E" w14:textId="77777777" w:rsidR="00A020BC" w:rsidRPr="007F403D" w:rsidRDefault="00A020BC" w:rsidP="00091918">
            <w:pPr>
              <w:keepNext/>
              <w:keepLines/>
              <w:spacing w:after="0" w:line="240" w:lineRule="auto"/>
              <w:rPr>
                <w:rFonts w:ascii="Times New Roman" w:hAnsi="Times New Roman"/>
                <w:szCs w:val="20"/>
              </w:rPr>
            </w:pPr>
          </w:p>
        </w:tc>
        <w:tc>
          <w:tcPr>
            <w:tcW w:w="1019" w:type="dxa"/>
            <w:tcBorders>
              <w:left w:val="single" w:sz="4" w:space="0" w:color="auto"/>
              <w:bottom w:val="single" w:sz="4" w:space="0" w:color="auto"/>
            </w:tcBorders>
            <w:shd w:val="clear" w:color="auto" w:fill="auto"/>
            <w:noWrap/>
            <w:vAlign w:val="bottom"/>
            <w:hideMark/>
          </w:tcPr>
          <w:p w14:paraId="25E5784B"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auto"/>
            <w:noWrap/>
            <w:vAlign w:val="bottom"/>
            <w:hideMark/>
          </w:tcPr>
          <w:p w14:paraId="6F448FEA" w14:textId="77777777" w:rsidR="00A020BC" w:rsidRPr="007F403D" w:rsidRDefault="00A020BC" w:rsidP="00091918">
            <w:pPr>
              <w:keepNext/>
              <w:keepLines/>
              <w:spacing w:after="0" w:line="240" w:lineRule="auto"/>
              <w:rPr>
                <w:rFonts w:ascii="Times New Roman" w:hAnsi="Times New Roman"/>
                <w:szCs w:val="20"/>
              </w:rPr>
            </w:pPr>
          </w:p>
        </w:tc>
        <w:tc>
          <w:tcPr>
            <w:tcW w:w="1019" w:type="dxa"/>
            <w:shd w:val="clear" w:color="auto" w:fill="auto"/>
            <w:noWrap/>
            <w:vAlign w:val="bottom"/>
            <w:hideMark/>
          </w:tcPr>
          <w:p w14:paraId="3451E677" w14:textId="77777777" w:rsidR="00A020BC" w:rsidRPr="007F403D" w:rsidRDefault="00A020BC" w:rsidP="00091918">
            <w:pPr>
              <w:keepNext/>
              <w:keepLines/>
              <w:spacing w:after="0" w:line="240" w:lineRule="auto"/>
              <w:rPr>
                <w:rFonts w:ascii="Times New Roman" w:hAnsi="Times New Roman"/>
                <w:szCs w:val="20"/>
              </w:rPr>
            </w:pPr>
          </w:p>
        </w:tc>
      </w:tr>
    </w:tbl>
    <w:p w14:paraId="2673426C" w14:textId="77777777" w:rsidR="00A020BC" w:rsidRDefault="00A020BC" w:rsidP="00A020BC"/>
    <w:tbl>
      <w:tblPr>
        <w:tblStyle w:val="TableGrid"/>
        <w:tblW w:w="0" w:type="auto"/>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773"/>
      </w:tblGrid>
      <w:tr w:rsidR="00A020BC" w14:paraId="54EDDA03" w14:textId="77777777" w:rsidTr="00091918">
        <w:tc>
          <w:tcPr>
            <w:tcW w:w="426" w:type="dxa"/>
            <w:tcBorders>
              <w:top w:val="single" w:sz="18" w:space="0" w:color="FF0000"/>
              <w:left w:val="single" w:sz="18" w:space="0" w:color="FF0000"/>
              <w:bottom w:val="single" w:sz="18" w:space="0" w:color="FF0000"/>
              <w:right w:val="single" w:sz="18" w:space="0" w:color="FF0000"/>
            </w:tcBorders>
          </w:tcPr>
          <w:p w14:paraId="2EC7F3F0" w14:textId="77777777" w:rsidR="00A020BC" w:rsidRDefault="00A020BC" w:rsidP="00091918">
            <w:pPr>
              <w:keepNext/>
              <w:keepLines/>
              <w:spacing w:after="0" w:line="240" w:lineRule="auto"/>
            </w:pPr>
          </w:p>
        </w:tc>
        <w:tc>
          <w:tcPr>
            <w:tcW w:w="10773" w:type="dxa"/>
            <w:tcBorders>
              <w:left w:val="single" w:sz="18" w:space="0" w:color="FF0000"/>
            </w:tcBorders>
          </w:tcPr>
          <w:p w14:paraId="47E61BB3" w14:textId="73032630" w:rsidR="00A020BC" w:rsidRDefault="00A020BC" w:rsidP="00D3705C">
            <w:pPr>
              <w:keepNext/>
              <w:keepLines/>
              <w:spacing w:after="60" w:line="240" w:lineRule="auto"/>
            </w:pPr>
            <w:r w:rsidRPr="001705CB">
              <w:rPr>
                <w:b/>
                <w:bCs/>
              </w:rPr>
              <w:t xml:space="preserve">Band </w:t>
            </w:r>
            <w:r w:rsidR="007A4346">
              <w:rPr>
                <w:b/>
                <w:bCs/>
              </w:rPr>
              <w:t>p</w:t>
            </w:r>
            <w:r w:rsidRPr="001705CB">
              <w:rPr>
                <w:b/>
                <w:bCs/>
              </w:rPr>
              <w:t>lan</w:t>
            </w:r>
            <w:r w:rsidR="007A4346" w:rsidRPr="001705CB">
              <w:rPr>
                <w:b/>
                <w:bCs/>
              </w:rPr>
              <w:t>:</w:t>
            </w:r>
            <w:r>
              <w:t xml:space="preserve"> </w:t>
            </w:r>
            <w:r w:rsidR="007A4346">
              <w:t>R</w:t>
            </w:r>
            <w:r w:rsidR="006D12D1">
              <w:t xml:space="preserve">adiocommunications transmitters </w:t>
            </w:r>
            <w:r w:rsidR="005B5772">
              <w:t xml:space="preserve">are </w:t>
            </w:r>
            <w:r w:rsidR="006D12D1">
              <w:t xml:space="preserve">taken to be a secondary </w:t>
            </w:r>
            <w:r>
              <w:t xml:space="preserve">service </w:t>
            </w:r>
            <w:r w:rsidR="006D12D1">
              <w:t>in relation to radio astronomy</w:t>
            </w:r>
            <w:r>
              <w:t>; MRO</w:t>
            </w:r>
            <w:r w:rsidR="000E514D">
              <w:t xml:space="preserve"> entity</w:t>
            </w:r>
            <w:r>
              <w:t xml:space="preserve"> consultation required</w:t>
            </w:r>
            <w:r w:rsidR="006D12D1">
              <w:t>.</w:t>
            </w:r>
          </w:p>
          <w:p w14:paraId="61C16FE0" w14:textId="67AA71F7" w:rsidR="00A020BC" w:rsidRDefault="00A020BC" w:rsidP="00091918">
            <w:pPr>
              <w:keepNext/>
              <w:keepLines/>
              <w:spacing w:after="0" w:line="240" w:lineRule="auto"/>
            </w:pPr>
            <w:r w:rsidRPr="001705CB">
              <w:rPr>
                <w:b/>
                <w:bCs/>
              </w:rPr>
              <w:t>Spectrum Embargo 41</w:t>
            </w:r>
            <w:r w:rsidR="007A4346" w:rsidRPr="001705CB">
              <w:rPr>
                <w:b/>
                <w:bCs/>
              </w:rPr>
              <w:t>:</w:t>
            </w:r>
            <w:r>
              <w:t xml:space="preserve"> </w:t>
            </w:r>
            <w:r w:rsidR="007A4346">
              <w:t>R</w:t>
            </w:r>
            <w:r w:rsidR="006D12D1">
              <w:t xml:space="preserve">estriction on the issue of new apparatus </w:t>
            </w:r>
            <w:r>
              <w:t>licences</w:t>
            </w:r>
            <w:r w:rsidR="007A4346">
              <w:t>.</w:t>
            </w:r>
          </w:p>
        </w:tc>
      </w:tr>
      <w:tr w:rsidR="00A020BC" w14:paraId="5E5A25E6" w14:textId="77777777" w:rsidTr="00091918">
        <w:tc>
          <w:tcPr>
            <w:tcW w:w="426" w:type="dxa"/>
            <w:tcBorders>
              <w:top w:val="single" w:sz="18" w:space="0" w:color="FF0000"/>
              <w:bottom w:val="single" w:sz="18" w:space="0" w:color="00B0F0"/>
            </w:tcBorders>
          </w:tcPr>
          <w:p w14:paraId="43D185AC" w14:textId="77777777" w:rsidR="00A020BC" w:rsidRPr="0060744A" w:rsidRDefault="00A020BC" w:rsidP="00091918">
            <w:pPr>
              <w:keepNext/>
              <w:keepLines/>
              <w:spacing w:after="0" w:line="240" w:lineRule="auto"/>
              <w:contextualSpacing/>
              <w:rPr>
                <w:sz w:val="12"/>
                <w:szCs w:val="16"/>
              </w:rPr>
            </w:pPr>
          </w:p>
        </w:tc>
        <w:tc>
          <w:tcPr>
            <w:tcW w:w="10773" w:type="dxa"/>
          </w:tcPr>
          <w:p w14:paraId="5801F67E" w14:textId="77777777" w:rsidR="00A020BC" w:rsidRPr="0060744A" w:rsidRDefault="00A020BC" w:rsidP="00091918">
            <w:pPr>
              <w:keepNext/>
              <w:keepLines/>
              <w:spacing w:after="0" w:line="240" w:lineRule="auto"/>
              <w:contextualSpacing/>
              <w:rPr>
                <w:sz w:val="12"/>
                <w:szCs w:val="16"/>
              </w:rPr>
            </w:pPr>
          </w:p>
        </w:tc>
      </w:tr>
      <w:tr w:rsidR="00A020BC" w14:paraId="273CC4EC" w14:textId="77777777" w:rsidTr="00091918">
        <w:tc>
          <w:tcPr>
            <w:tcW w:w="426" w:type="dxa"/>
            <w:tcBorders>
              <w:top w:val="single" w:sz="18" w:space="0" w:color="00B0F0"/>
              <w:left w:val="single" w:sz="18" w:space="0" w:color="00B0F0"/>
              <w:bottom w:val="single" w:sz="18" w:space="0" w:color="00B0F0"/>
              <w:right w:val="single" w:sz="18" w:space="0" w:color="00B0F0"/>
            </w:tcBorders>
          </w:tcPr>
          <w:p w14:paraId="436CD87F" w14:textId="77777777" w:rsidR="00A020BC" w:rsidRDefault="00A020BC" w:rsidP="00091918">
            <w:pPr>
              <w:keepNext/>
              <w:keepLines/>
              <w:spacing w:after="0" w:line="240" w:lineRule="auto"/>
            </w:pPr>
          </w:p>
        </w:tc>
        <w:tc>
          <w:tcPr>
            <w:tcW w:w="10773" w:type="dxa"/>
            <w:tcBorders>
              <w:left w:val="single" w:sz="18" w:space="0" w:color="00B0F0"/>
            </w:tcBorders>
          </w:tcPr>
          <w:p w14:paraId="41BA6836" w14:textId="70ABE267" w:rsidR="00A020BC" w:rsidRDefault="00A020BC" w:rsidP="00091918">
            <w:pPr>
              <w:keepNext/>
              <w:keepLines/>
              <w:spacing w:after="0" w:line="240" w:lineRule="auto"/>
            </w:pPr>
            <w:r w:rsidRPr="001705CB">
              <w:rPr>
                <w:b/>
                <w:bCs/>
              </w:rPr>
              <w:t xml:space="preserve">Band </w:t>
            </w:r>
            <w:r w:rsidR="007A4346" w:rsidRPr="001705CB">
              <w:rPr>
                <w:b/>
                <w:bCs/>
              </w:rPr>
              <w:t>p</w:t>
            </w:r>
            <w:r w:rsidRPr="001705CB">
              <w:rPr>
                <w:b/>
                <w:bCs/>
              </w:rPr>
              <w:t>lan</w:t>
            </w:r>
            <w:r w:rsidR="007A4346" w:rsidRPr="001705CB">
              <w:rPr>
                <w:b/>
                <w:bCs/>
              </w:rPr>
              <w:t>:</w:t>
            </w:r>
            <w:r>
              <w:t xml:space="preserve"> MRO </w:t>
            </w:r>
            <w:r w:rsidR="000E514D">
              <w:t xml:space="preserve">entity </w:t>
            </w:r>
            <w:r>
              <w:t>consultation required</w:t>
            </w:r>
            <w:r w:rsidR="007A4346">
              <w:t>.</w:t>
            </w:r>
          </w:p>
        </w:tc>
      </w:tr>
      <w:tr w:rsidR="00A020BC" w14:paraId="5B4B31E8" w14:textId="77777777" w:rsidTr="00091918">
        <w:trPr>
          <w:trHeight w:val="170"/>
        </w:trPr>
        <w:tc>
          <w:tcPr>
            <w:tcW w:w="426" w:type="dxa"/>
            <w:tcBorders>
              <w:top w:val="single" w:sz="18" w:space="0" w:color="00B0F0"/>
            </w:tcBorders>
          </w:tcPr>
          <w:p w14:paraId="615B5B63" w14:textId="77777777" w:rsidR="00A020BC" w:rsidRPr="0060744A" w:rsidRDefault="00A020BC" w:rsidP="00091918">
            <w:pPr>
              <w:keepNext/>
              <w:keepLines/>
              <w:spacing w:after="0" w:line="240" w:lineRule="auto"/>
              <w:contextualSpacing/>
              <w:rPr>
                <w:sz w:val="12"/>
                <w:szCs w:val="16"/>
              </w:rPr>
            </w:pPr>
          </w:p>
        </w:tc>
        <w:tc>
          <w:tcPr>
            <w:tcW w:w="10773" w:type="dxa"/>
          </w:tcPr>
          <w:p w14:paraId="08CDD403" w14:textId="77777777" w:rsidR="00A020BC" w:rsidRPr="0060744A" w:rsidRDefault="00A020BC" w:rsidP="00091918">
            <w:pPr>
              <w:keepNext/>
              <w:keepLines/>
              <w:spacing w:after="0" w:line="240" w:lineRule="auto"/>
              <w:contextualSpacing/>
              <w:rPr>
                <w:sz w:val="12"/>
                <w:szCs w:val="16"/>
              </w:rPr>
            </w:pPr>
          </w:p>
        </w:tc>
      </w:tr>
      <w:tr w:rsidR="00A020BC" w14:paraId="7CA00C60" w14:textId="77777777" w:rsidTr="00091918">
        <w:tc>
          <w:tcPr>
            <w:tcW w:w="426" w:type="dxa"/>
            <w:shd w:val="clear" w:color="auto" w:fill="FDE9D9" w:themeFill="accent6" w:themeFillTint="33"/>
          </w:tcPr>
          <w:p w14:paraId="6EC681AC" w14:textId="77777777" w:rsidR="00A020BC" w:rsidRDefault="00A020BC" w:rsidP="00091918">
            <w:pPr>
              <w:keepNext/>
              <w:keepLines/>
              <w:spacing w:after="0" w:line="240" w:lineRule="auto"/>
            </w:pPr>
          </w:p>
        </w:tc>
        <w:tc>
          <w:tcPr>
            <w:tcW w:w="10773" w:type="dxa"/>
          </w:tcPr>
          <w:p w14:paraId="50698F01" w14:textId="2329BF7B" w:rsidR="00A020BC" w:rsidRDefault="00A020BC" w:rsidP="00091918">
            <w:pPr>
              <w:keepNext/>
              <w:keepLines/>
              <w:spacing w:after="0" w:line="240" w:lineRule="auto"/>
            </w:pPr>
            <w:r w:rsidRPr="001705CB">
              <w:rPr>
                <w:b/>
                <w:bCs/>
              </w:rPr>
              <w:t>RALI MS32</w:t>
            </w:r>
            <w:r w:rsidR="007A4346" w:rsidRPr="001705CB">
              <w:rPr>
                <w:b/>
                <w:bCs/>
              </w:rPr>
              <w:t>:</w:t>
            </w:r>
            <w:r>
              <w:t xml:space="preserve"> </w:t>
            </w:r>
            <w:r w:rsidR="00E84438">
              <w:t>Defines c</w:t>
            </w:r>
            <w:r>
              <w:t xml:space="preserve">oordination </w:t>
            </w:r>
            <w:r w:rsidR="00E84438">
              <w:t xml:space="preserve">criteria for radiocommunications transmitters operating within a specified distance </w:t>
            </w:r>
            <w:r w:rsidR="00D3705C">
              <w:t xml:space="preserve">from the centre </w:t>
            </w:r>
            <w:r w:rsidR="00E84438">
              <w:t>of the ARQZWA</w:t>
            </w:r>
            <w:r>
              <w:t xml:space="preserve">; MRO </w:t>
            </w:r>
            <w:r w:rsidR="000E514D">
              <w:t xml:space="preserve">entity </w:t>
            </w:r>
            <w:r>
              <w:t xml:space="preserve">consultation required where coordination </w:t>
            </w:r>
            <w:r w:rsidR="00E84438">
              <w:t xml:space="preserve">criteria </w:t>
            </w:r>
            <w:r w:rsidR="00D3705C">
              <w:t>are</w:t>
            </w:r>
            <w:r>
              <w:t xml:space="preserve"> not met</w:t>
            </w:r>
            <w:r w:rsidR="007A4346">
              <w:t>.</w:t>
            </w:r>
            <w:r>
              <w:t xml:space="preserve"> </w:t>
            </w:r>
          </w:p>
        </w:tc>
      </w:tr>
    </w:tbl>
    <w:p w14:paraId="2307B81C" w14:textId="77777777" w:rsidR="00A020BC" w:rsidRDefault="00A020BC" w:rsidP="00A020BC">
      <w:pPr>
        <w:keepNext/>
        <w:keepLines/>
      </w:pPr>
    </w:p>
    <w:p w14:paraId="7A2EE01D" w14:textId="77777777" w:rsidR="00A020BC" w:rsidRDefault="00A020BC" w:rsidP="00A020BC">
      <w:pPr>
        <w:sectPr w:rsidR="00A020BC" w:rsidSect="0060744A">
          <w:pgSz w:w="16838" w:h="11906" w:orient="landscape" w:code="9"/>
          <w:pgMar w:top="1134" w:right="1945" w:bottom="568" w:left="1134" w:header="709" w:footer="119" w:gutter="0"/>
          <w:cols w:space="708"/>
          <w:docGrid w:linePitch="360"/>
        </w:sectPr>
      </w:pPr>
    </w:p>
    <w:p w14:paraId="73589F7C" w14:textId="77777777" w:rsidR="00A020BC" w:rsidRPr="00E162C4" w:rsidRDefault="00A020BC" w:rsidP="00A020BC">
      <w:pPr>
        <w:pStyle w:val="Figureheading"/>
        <w:rPr>
          <w:noProof/>
        </w:rPr>
      </w:pPr>
      <w:r>
        <w:lastRenderedPageBreak/>
        <w:t>Geographic coverage of regulatory arrangements for ARQZWA</w:t>
      </w:r>
    </w:p>
    <w:p w14:paraId="29EB4811" w14:textId="77777777" w:rsidR="00A020BC" w:rsidRDefault="00A020BC" w:rsidP="00A020BC">
      <w:r w:rsidRPr="000103D1">
        <w:rPr>
          <w:noProof/>
        </w:rPr>
        <w:drawing>
          <wp:inline distT="0" distB="0" distL="0" distR="0" wp14:anchorId="2CE40BD5" wp14:editId="1D7EE1A4">
            <wp:extent cx="4871085" cy="4586605"/>
            <wp:effectExtent l="0" t="0" r="5715" b="4445"/>
            <wp:docPr id="2" name="Picture 4" descr="Figure 2: Geographic coverage of regulatory arrangements for ARQZWA">
              <a:extLst xmlns:a="http://schemas.openxmlformats.org/drawingml/2006/main">
                <a:ext uri="{FF2B5EF4-FFF2-40B4-BE49-F238E27FC236}">
                  <a16:creationId xmlns:a16="http://schemas.microsoft.com/office/drawing/2014/main" id="{DE8F9613-E326-4976-86E3-627A6F1E9C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Figure 2: Geographic coverage of regulatory arrangements for ARQZWA">
                      <a:extLst>
                        <a:ext uri="{FF2B5EF4-FFF2-40B4-BE49-F238E27FC236}">
                          <a16:creationId xmlns:a16="http://schemas.microsoft.com/office/drawing/2014/main" id="{DE8F9613-E326-4976-86E3-627A6F1E9C31}"/>
                        </a:ext>
                      </a:extLst>
                    </pic:cNvPr>
                    <pic:cNvPicPr>
                      <a:picLocks noChangeAspect="1"/>
                    </pic:cNvPicPr>
                  </pic:nvPicPr>
                  <pic:blipFill>
                    <a:blip r:embed="rId49" cstate="screen">
                      <a:extLst>
                        <a:ext uri="{28A0092B-C50C-407E-A947-70E740481C1C}">
                          <a14:useLocalDpi xmlns:a14="http://schemas.microsoft.com/office/drawing/2010/main"/>
                        </a:ext>
                      </a:extLst>
                    </a:blip>
                    <a:stretch>
                      <a:fillRect/>
                    </a:stretch>
                  </pic:blipFill>
                  <pic:spPr>
                    <a:xfrm>
                      <a:off x="0" y="0"/>
                      <a:ext cx="4871085" cy="4586605"/>
                    </a:xfrm>
                    <a:prstGeom prst="rect">
                      <a:avLst/>
                    </a:prstGeom>
                  </pic:spPr>
                </pic:pic>
              </a:graphicData>
            </a:graphic>
          </wp:inline>
        </w:drawing>
      </w:r>
    </w:p>
    <w:p w14:paraId="42387CEE" w14:textId="04DED48F" w:rsidR="00A020BC" w:rsidRDefault="00A020BC" w:rsidP="00A020BC">
      <w:pPr>
        <w:pStyle w:val="Bulletlevel1"/>
      </w:pPr>
      <w:r>
        <w:t>Inner dark red shaded circle</w:t>
      </w:r>
      <w:r w:rsidR="007A4346">
        <w:t>:</w:t>
      </w:r>
      <w:r>
        <w:t xml:space="preserve"> 50 k</w:t>
      </w:r>
      <w:r w:rsidR="007A4346">
        <w:t>m</w:t>
      </w:r>
      <w:r>
        <w:t xml:space="preserve"> radius (coordination point for RALI MS32)</w:t>
      </w:r>
      <w:r w:rsidR="007A4346">
        <w:t>.</w:t>
      </w:r>
    </w:p>
    <w:p w14:paraId="0C1D9E9D" w14:textId="687A19D8" w:rsidR="00A020BC" w:rsidRDefault="00A020BC" w:rsidP="00A020BC">
      <w:pPr>
        <w:pStyle w:val="Bulletlevel1"/>
      </w:pPr>
      <w:r>
        <w:t>Outer red shaded circle</w:t>
      </w:r>
      <w:r w:rsidR="007A4346">
        <w:t>:</w:t>
      </w:r>
      <w:r>
        <w:t xml:space="preserve"> 70 k</w:t>
      </w:r>
      <w:r w:rsidR="007A4346">
        <w:t>m</w:t>
      </w:r>
      <w:r>
        <w:t xml:space="preserve"> radius (</w:t>
      </w:r>
      <w:r w:rsidR="007A4346">
        <w:t>i</w:t>
      </w:r>
      <w:r>
        <w:t xml:space="preserve">nner zone of the ARQZWA </w:t>
      </w:r>
      <w:r w:rsidR="007A4346">
        <w:t>b</w:t>
      </w:r>
      <w:r>
        <w:t xml:space="preserve">and </w:t>
      </w:r>
      <w:r w:rsidR="007A4346">
        <w:t>p</w:t>
      </w:r>
      <w:r>
        <w:t>lan)</w:t>
      </w:r>
      <w:r w:rsidR="007A4346">
        <w:t>.</w:t>
      </w:r>
    </w:p>
    <w:p w14:paraId="675AB2F1" w14:textId="4B78ABEA" w:rsidR="00A020BC" w:rsidRDefault="00A020BC" w:rsidP="00A020BC">
      <w:pPr>
        <w:pStyle w:val="Bulletlevel1"/>
      </w:pPr>
      <w:r>
        <w:t>Red line</w:t>
      </w:r>
      <w:r w:rsidR="007A4346">
        <w:t>:</w:t>
      </w:r>
      <w:r>
        <w:t xml:space="preserve"> 150 k</w:t>
      </w:r>
      <w:r w:rsidR="007A4346">
        <w:t>m</w:t>
      </w:r>
      <w:r>
        <w:t xml:space="preserve"> radius (</w:t>
      </w:r>
      <w:r w:rsidR="007A4346">
        <w:t>o</w:t>
      </w:r>
      <w:r>
        <w:t xml:space="preserve">uter zone of the ARQZWA </w:t>
      </w:r>
      <w:r w:rsidR="007A4346">
        <w:t>b</w:t>
      </w:r>
      <w:r>
        <w:t xml:space="preserve">and </w:t>
      </w:r>
      <w:r w:rsidR="007A4346">
        <w:t>p</w:t>
      </w:r>
      <w:r>
        <w:t>lan)</w:t>
      </w:r>
      <w:r w:rsidR="007A4346">
        <w:t>.</w:t>
      </w:r>
    </w:p>
    <w:p w14:paraId="1D8FB373" w14:textId="6F37A487" w:rsidR="00A020BC" w:rsidRPr="00E162C4" w:rsidRDefault="00A020BC" w:rsidP="00A020BC">
      <w:pPr>
        <w:pStyle w:val="Bulletlevel1"/>
      </w:pPr>
      <w:r>
        <w:t xml:space="preserve">Other circles of various radii indicate the coordination thresholds for different </w:t>
      </w:r>
      <w:r w:rsidR="00E84438">
        <w:t>frequency ranges specified in the Annex to</w:t>
      </w:r>
      <w:r>
        <w:t xml:space="preserve"> RALI MS32</w:t>
      </w:r>
      <w:r w:rsidR="007A4346">
        <w:t>.</w:t>
      </w:r>
    </w:p>
    <w:p w14:paraId="13C3FEE3" w14:textId="5F248A2E" w:rsidR="00FF3C69" w:rsidRDefault="00FF3C69" w:rsidP="00851F3F"/>
    <w:p w14:paraId="25C4FD4F" w14:textId="03AAEE64" w:rsidR="00835489" w:rsidRPr="00E43130" w:rsidRDefault="00835489" w:rsidP="00835489">
      <w:pPr>
        <w:pStyle w:val="Heading1"/>
      </w:pPr>
      <w:bookmarkStart w:id="44" w:name="_Appendix_B:_proposed"/>
      <w:bookmarkStart w:id="45" w:name="_Toc94262036"/>
      <w:bookmarkStart w:id="46" w:name="_Hlk93579534"/>
      <w:bookmarkStart w:id="47" w:name="_Toc116470281"/>
      <w:bookmarkEnd w:id="44"/>
      <w:r w:rsidRPr="00E43130">
        <w:lastRenderedPageBreak/>
        <w:t xml:space="preserve">Appendix </w:t>
      </w:r>
      <w:r>
        <w:t>B</w:t>
      </w:r>
      <w:r w:rsidRPr="00E43130">
        <w:t xml:space="preserve">: </w:t>
      </w:r>
      <w:bookmarkEnd w:id="45"/>
      <w:r w:rsidR="007659B4">
        <w:t>Provisions in</w:t>
      </w:r>
      <w:r w:rsidR="008B3B2D">
        <w:t xml:space="preserve"> class licences </w:t>
      </w:r>
      <w:r w:rsidR="007659B4">
        <w:t xml:space="preserve">relevant to </w:t>
      </w:r>
      <w:r w:rsidR="008B3B2D">
        <w:t xml:space="preserve">the </w:t>
      </w:r>
      <w:r w:rsidR="007A4346">
        <w:t>b</w:t>
      </w:r>
      <w:r w:rsidR="008B3B2D">
        <w:t xml:space="preserve">and </w:t>
      </w:r>
      <w:r w:rsidR="007A4346">
        <w:t>p</w:t>
      </w:r>
      <w:r w:rsidR="008B3B2D">
        <w:t>lan</w:t>
      </w:r>
      <w:bookmarkEnd w:id="47"/>
    </w:p>
    <w:tbl>
      <w:tblPr>
        <w:tblStyle w:val="ACMAtablestyle"/>
        <w:tblW w:w="0" w:type="auto"/>
        <w:tblLook w:val="04A0" w:firstRow="1" w:lastRow="0" w:firstColumn="1" w:lastColumn="0" w:noHBand="0" w:noVBand="1"/>
      </w:tblPr>
      <w:tblGrid>
        <w:gridCol w:w="3830"/>
        <w:gridCol w:w="3831"/>
      </w:tblGrid>
      <w:tr w:rsidR="00AE6B24" w14:paraId="5854550F" w14:textId="77777777" w:rsidTr="00AE6B24">
        <w:trPr>
          <w:cnfStyle w:val="100000000000" w:firstRow="1" w:lastRow="0" w:firstColumn="0" w:lastColumn="0" w:oddVBand="0" w:evenVBand="0" w:oddHBand="0" w:evenHBand="0" w:firstRowFirstColumn="0" w:firstRowLastColumn="0" w:lastRowFirstColumn="0" w:lastRowLastColumn="0"/>
        </w:trPr>
        <w:tc>
          <w:tcPr>
            <w:tcW w:w="3830" w:type="dxa"/>
          </w:tcPr>
          <w:bookmarkEnd w:id="46"/>
          <w:p w14:paraId="6F8BD42D" w14:textId="4F881937" w:rsidR="00AE6B24" w:rsidRPr="00F94AD6" w:rsidRDefault="0009362A" w:rsidP="00851F3F">
            <w:pPr>
              <w:rPr>
                <w:b/>
                <w:bCs/>
              </w:rPr>
            </w:pPr>
            <w:r w:rsidRPr="00F94AD6">
              <w:rPr>
                <w:b/>
                <w:bCs/>
              </w:rPr>
              <w:t xml:space="preserve">Class </w:t>
            </w:r>
            <w:r w:rsidR="00060059">
              <w:rPr>
                <w:b/>
                <w:bCs/>
              </w:rPr>
              <w:t>l</w:t>
            </w:r>
            <w:r w:rsidRPr="00F94AD6">
              <w:rPr>
                <w:b/>
                <w:bCs/>
              </w:rPr>
              <w:t>icence</w:t>
            </w:r>
          </w:p>
        </w:tc>
        <w:tc>
          <w:tcPr>
            <w:tcW w:w="3831" w:type="dxa"/>
          </w:tcPr>
          <w:p w14:paraId="6257AB52" w14:textId="70843069" w:rsidR="00AE6B24" w:rsidRPr="00F94AD6" w:rsidRDefault="00222791" w:rsidP="00851F3F">
            <w:pPr>
              <w:rPr>
                <w:b/>
                <w:bCs/>
              </w:rPr>
            </w:pPr>
            <w:r w:rsidRPr="00F94AD6">
              <w:rPr>
                <w:b/>
                <w:bCs/>
              </w:rPr>
              <w:t>Provisions regarding the ARQZWA</w:t>
            </w:r>
          </w:p>
        </w:tc>
      </w:tr>
      <w:tr w:rsidR="00AE6B24" w14:paraId="036993DB" w14:textId="77777777" w:rsidTr="00AE6B24">
        <w:trPr>
          <w:cnfStyle w:val="000000100000" w:firstRow="0" w:lastRow="0" w:firstColumn="0" w:lastColumn="0" w:oddVBand="0" w:evenVBand="0" w:oddHBand="1" w:evenHBand="0" w:firstRowFirstColumn="0" w:firstRowLastColumn="0" w:lastRowFirstColumn="0" w:lastRowLastColumn="0"/>
        </w:trPr>
        <w:tc>
          <w:tcPr>
            <w:tcW w:w="3830" w:type="dxa"/>
          </w:tcPr>
          <w:p w14:paraId="49A5E422" w14:textId="2D4286EF" w:rsidR="00AE6B24" w:rsidRDefault="00BE3792" w:rsidP="00851F3F">
            <w:hyperlink r:id="rId50" w:history="1">
              <w:r w:rsidR="00AE6B24" w:rsidRPr="00994E8B">
                <w:rPr>
                  <w:rStyle w:val="Hyperlink"/>
                </w:rPr>
                <w:t>Radiocommunications (27 MHz Handphone Stations) Class Licence 2015</w:t>
              </w:r>
            </w:hyperlink>
          </w:p>
        </w:tc>
        <w:tc>
          <w:tcPr>
            <w:tcW w:w="3831" w:type="dxa"/>
          </w:tcPr>
          <w:p w14:paraId="20C1F64B" w14:textId="77777777" w:rsidR="007659B4" w:rsidRDefault="00222791" w:rsidP="00851F3F">
            <w:r w:rsidRPr="00222791">
              <w:t>None</w:t>
            </w:r>
            <w:r w:rsidR="008B3B2D" w:rsidRPr="00222791">
              <w:t xml:space="preserve">. </w:t>
            </w:r>
          </w:p>
          <w:p w14:paraId="7C2DC849" w14:textId="281FD3FD" w:rsidR="00AE6B24" w:rsidRPr="00230610" w:rsidRDefault="008B3B2D" w:rsidP="00851F3F">
            <w:r w:rsidRPr="00222791">
              <w:t xml:space="preserve">Frequencies included in the class licence are outside of the scope of the </w:t>
            </w:r>
            <w:r w:rsidR="00060059">
              <w:t>b</w:t>
            </w:r>
            <w:r w:rsidRPr="00222791">
              <w:t xml:space="preserve">and </w:t>
            </w:r>
            <w:r w:rsidR="00060059">
              <w:t>p</w:t>
            </w:r>
            <w:r w:rsidRPr="00222791">
              <w:t xml:space="preserve">lan. </w:t>
            </w:r>
          </w:p>
        </w:tc>
      </w:tr>
      <w:tr w:rsidR="00AE6B24" w14:paraId="044EE619" w14:textId="77777777" w:rsidTr="00AE6B24">
        <w:trPr>
          <w:cnfStyle w:val="000000010000" w:firstRow="0" w:lastRow="0" w:firstColumn="0" w:lastColumn="0" w:oddVBand="0" w:evenVBand="0" w:oddHBand="0" w:evenHBand="1" w:firstRowFirstColumn="0" w:firstRowLastColumn="0" w:lastRowFirstColumn="0" w:lastRowLastColumn="0"/>
        </w:trPr>
        <w:tc>
          <w:tcPr>
            <w:tcW w:w="3830" w:type="dxa"/>
          </w:tcPr>
          <w:p w14:paraId="793535D0" w14:textId="0A04E5E3" w:rsidR="00AE6B24" w:rsidRDefault="00BE3792" w:rsidP="00851F3F">
            <w:hyperlink r:id="rId51" w:history="1">
              <w:r w:rsidR="0009362A" w:rsidRPr="00994E8B">
                <w:rPr>
                  <w:rStyle w:val="Hyperlink"/>
                </w:rPr>
                <w:t>Radiocommunications (Aircraft and Aeronautical Mobile Stations) Class Licence 2016</w:t>
              </w:r>
            </w:hyperlink>
          </w:p>
        </w:tc>
        <w:tc>
          <w:tcPr>
            <w:tcW w:w="3831" w:type="dxa"/>
          </w:tcPr>
          <w:p w14:paraId="78F217E1" w14:textId="77777777" w:rsidR="007659B4" w:rsidRDefault="00222791" w:rsidP="00851F3F">
            <w:r w:rsidRPr="00F94AD6">
              <w:t xml:space="preserve">None. </w:t>
            </w:r>
          </w:p>
          <w:p w14:paraId="095E5E28" w14:textId="7712546E" w:rsidR="00AE6B24" w:rsidRPr="00222791" w:rsidRDefault="00222791" w:rsidP="00851F3F">
            <w:r w:rsidRPr="00F94AD6">
              <w:t>However, this c</w:t>
            </w:r>
            <w:r w:rsidR="008B3B2D" w:rsidRPr="00222791">
              <w:t xml:space="preserve">lass licence includes frequencies and </w:t>
            </w:r>
            <w:r w:rsidR="00994E8B" w:rsidRPr="00222791">
              <w:t xml:space="preserve">the </w:t>
            </w:r>
            <w:r w:rsidR="008B3B2D" w:rsidRPr="00222791">
              <w:t xml:space="preserve">geographic area covered by the </w:t>
            </w:r>
            <w:r w:rsidR="00060059">
              <w:t>b</w:t>
            </w:r>
            <w:r w:rsidR="008B3B2D" w:rsidRPr="00222791">
              <w:t xml:space="preserve">and </w:t>
            </w:r>
            <w:r w:rsidR="00060059">
              <w:t>p</w:t>
            </w:r>
            <w:r w:rsidR="008B3B2D" w:rsidRPr="00222791">
              <w:t>lan</w:t>
            </w:r>
            <w:bookmarkStart w:id="48" w:name="_Ref115943828"/>
            <w:r w:rsidR="00060059">
              <w:t>.</w:t>
            </w:r>
            <w:r w:rsidR="008F590F">
              <w:rPr>
                <w:rStyle w:val="FootnoteReference"/>
              </w:rPr>
              <w:footnoteReference w:id="3"/>
            </w:r>
            <w:bookmarkEnd w:id="48"/>
            <w:r w:rsidR="008B3B2D" w:rsidRPr="00222791">
              <w:t xml:space="preserve"> </w:t>
            </w:r>
          </w:p>
        </w:tc>
      </w:tr>
      <w:tr w:rsidR="00AE6B24" w14:paraId="3F708944" w14:textId="77777777" w:rsidTr="00AE6B24">
        <w:trPr>
          <w:cnfStyle w:val="000000100000" w:firstRow="0" w:lastRow="0" w:firstColumn="0" w:lastColumn="0" w:oddVBand="0" w:evenVBand="0" w:oddHBand="1" w:evenHBand="0" w:firstRowFirstColumn="0" w:firstRowLastColumn="0" w:lastRowFirstColumn="0" w:lastRowLastColumn="0"/>
        </w:trPr>
        <w:tc>
          <w:tcPr>
            <w:tcW w:w="3830" w:type="dxa"/>
          </w:tcPr>
          <w:p w14:paraId="1229E9C3" w14:textId="7426C425" w:rsidR="00AE6B24" w:rsidRDefault="00BE3792" w:rsidP="00851F3F">
            <w:hyperlink r:id="rId52" w:history="1">
              <w:r w:rsidR="0009362A" w:rsidRPr="00994E8B">
                <w:rPr>
                  <w:rStyle w:val="Hyperlink"/>
                </w:rPr>
                <w:t>Radiocommunications (Body Scanning – Aviation Security) Class Licence 2018</w:t>
              </w:r>
            </w:hyperlink>
          </w:p>
        </w:tc>
        <w:tc>
          <w:tcPr>
            <w:tcW w:w="3831" w:type="dxa"/>
          </w:tcPr>
          <w:p w14:paraId="44039DA4" w14:textId="77777777" w:rsidR="007659B4" w:rsidRDefault="00222791" w:rsidP="00851F3F">
            <w:r w:rsidRPr="00222791">
              <w:t>None</w:t>
            </w:r>
            <w:r w:rsidR="0009362A" w:rsidRPr="00222791">
              <w:t xml:space="preserve">. </w:t>
            </w:r>
          </w:p>
          <w:p w14:paraId="6CF99FB3" w14:textId="48C74098" w:rsidR="00AE6B24" w:rsidRPr="00222791" w:rsidRDefault="00222791" w:rsidP="00851F3F">
            <w:r w:rsidRPr="005B3F40">
              <w:t>However, this c</w:t>
            </w:r>
            <w:r w:rsidR="008B3B2D" w:rsidRPr="00222791">
              <w:t>lass licence</w:t>
            </w:r>
            <w:r w:rsidR="008F590F">
              <w:t xml:space="preserve"> is</w:t>
            </w:r>
            <w:r w:rsidR="008B3B2D" w:rsidRPr="00222791">
              <w:t xml:space="preserve"> </w:t>
            </w:r>
            <w:r w:rsidR="0009362A" w:rsidRPr="00222791">
              <w:t>limited to security</w:t>
            </w:r>
            <w:r w:rsidR="009955A3">
              <w:t>-</w:t>
            </w:r>
            <w:r w:rsidR="0009362A" w:rsidRPr="00222791">
              <w:t>controlled airports</w:t>
            </w:r>
            <w:r w:rsidR="008B3B2D" w:rsidRPr="00222791">
              <w:t xml:space="preserve">, of which there are none within the area covered by the </w:t>
            </w:r>
            <w:r w:rsidR="009955A3">
              <w:t>b</w:t>
            </w:r>
            <w:r w:rsidR="008B3B2D" w:rsidRPr="00222791">
              <w:t xml:space="preserve">and </w:t>
            </w:r>
            <w:r w:rsidR="009955A3">
              <w:t>p</w:t>
            </w:r>
            <w:r w:rsidR="008B3B2D" w:rsidRPr="00222791">
              <w:t>lan</w:t>
            </w:r>
            <w:r w:rsidR="0009362A" w:rsidRPr="00222791">
              <w:t>.</w:t>
            </w:r>
          </w:p>
        </w:tc>
      </w:tr>
      <w:tr w:rsidR="00AE6B24" w14:paraId="7E2DB56B" w14:textId="77777777" w:rsidTr="00AE6B24">
        <w:trPr>
          <w:cnfStyle w:val="000000010000" w:firstRow="0" w:lastRow="0" w:firstColumn="0" w:lastColumn="0" w:oddVBand="0" w:evenVBand="0" w:oddHBand="0" w:evenHBand="1" w:firstRowFirstColumn="0" w:firstRowLastColumn="0" w:lastRowFirstColumn="0" w:lastRowLastColumn="0"/>
        </w:trPr>
        <w:tc>
          <w:tcPr>
            <w:tcW w:w="3830" w:type="dxa"/>
          </w:tcPr>
          <w:p w14:paraId="4159E375" w14:textId="5907B73E" w:rsidR="00AE6B24" w:rsidRDefault="00BE3792" w:rsidP="00851F3F">
            <w:hyperlink r:id="rId53" w:history="1">
              <w:r w:rsidR="0009362A" w:rsidRPr="00994E8B">
                <w:rPr>
                  <w:rStyle w:val="Hyperlink"/>
                </w:rPr>
                <w:t>Radiocommunications (Cellular Mobile Telecommunications Devices) Class Licence 2014</w:t>
              </w:r>
            </w:hyperlink>
          </w:p>
        </w:tc>
        <w:tc>
          <w:tcPr>
            <w:tcW w:w="3831" w:type="dxa"/>
          </w:tcPr>
          <w:p w14:paraId="71E17A16" w14:textId="77777777" w:rsidR="007659B4" w:rsidRDefault="00222791" w:rsidP="00851F3F">
            <w:r w:rsidRPr="005B3F40">
              <w:t xml:space="preserve">None. </w:t>
            </w:r>
          </w:p>
          <w:p w14:paraId="3077C783" w14:textId="4288EC3D" w:rsidR="00AE6B24" w:rsidRPr="00222791" w:rsidRDefault="00222791" w:rsidP="00851F3F">
            <w:r w:rsidRPr="005B3F40">
              <w:t>This</w:t>
            </w:r>
            <w:r w:rsidR="00994E8B" w:rsidRPr="00222791">
              <w:t xml:space="preserve"> class licence</w:t>
            </w:r>
            <w:r w:rsidR="008F590F">
              <w:t xml:space="preserve"> is</w:t>
            </w:r>
            <w:r w:rsidR="00994E8B" w:rsidRPr="00222791">
              <w:t xml:space="preserve"> </w:t>
            </w:r>
            <w:r w:rsidR="008B3B2D" w:rsidRPr="00222791">
              <w:t>limited to communications with licensed public telecommunications service (PTS) base stations.</w:t>
            </w:r>
            <w:r w:rsidR="00994E8B" w:rsidRPr="00222791">
              <w:t xml:space="preserve"> However, this could include frequencies and the geographic area covered by the </w:t>
            </w:r>
            <w:r w:rsidR="00702834">
              <w:t>b</w:t>
            </w:r>
            <w:r w:rsidR="00994E8B" w:rsidRPr="00222791">
              <w:t xml:space="preserve">and </w:t>
            </w:r>
            <w:r w:rsidR="00702834">
              <w:t>p</w:t>
            </w:r>
            <w:r w:rsidR="00994E8B" w:rsidRPr="00222791">
              <w:t>lan.</w:t>
            </w:r>
          </w:p>
        </w:tc>
      </w:tr>
      <w:tr w:rsidR="00AE6B24" w14:paraId="68D86D47" w14:textId="77777777" w:rsidTr="00AE6B24">
        <w:trPr>
          <w:cnfStyle w:val="000000100000" w:firstRow="0" w:lastRow="0" w:firstColumn="0" w:lastColumn="0" w:oddVBand="0" w:evenVBand="0" w:oddHBand="1" w:evenHBand="0" w:firstRowFirstColumn="0" w:firstRowLastColumn="0" w:lastRowFirstColumn="0" w:lastRowLastColumn="0"/>
        </w:trPr>
        <w:tc>
          <w:tcPr>
            <w:tcW w:w="3830" w:type="dxa"/>
          </w:tcPr>
          <w:p w14:paraId="5819CD97" w14:textId="237662B4" w:rsidR="00AE6B24" w:rsidRDefault="00BE3792" w:rsidP="00851F3F">
            <w:hyperlink r:id="rId54" w:history="1">
              <w:r w:rsidR="008B3B2D" w:rsidRPr="00994E8B">
                <w:rPr>
                  <w:rStyle w:val="Hyperlink"/>
                </w:rPr>
                <w:t>Radiocommunications (Citizen Band Radio Stations) Class Licence 2015</w:t>
              </w:r>
            </w:hyperlink>
          </w:p>
        </w:tc>
        <w:tc>
          <w:tcPr>
            <w:tcW w:w="3831" w:type="dxa"/>
          </w:tcPr>
          <w:p w14:paraId="70F101A1" w14:textId="1C956E05" w:rsidR="00AE6B24" w:rsidRDefault="00222791" w:rsidP="00851F3F">
            <w:r>
              <w:t xml:space="preserve">Operations within </w:t>
            </w:r>
            <w:r w:rsidRPr="00885904">
              <w:t>70 k</w:t>
            </w:r>
            <w:r w:rsidR="00DF4D81">
              <w:t>m</w:t>
            </w:r>
            <w:r w:rsidRPr="00885904">
              <w:t xml:space="preserve"> of the Murchison Radioastronomy Observatory</w:t>
            </w:r>
            <w:r>
              <w:t xml:space="preserve"> are not authorised if they will cause interference </w:t>
            </w:r>
            <w:r>
              <w:rPr>
                <w:color w:val="000000"/>
                <w:shd w:val="clear" w:color="auto" w:fill="FFFFFF"/>
              </w:rPr>
              <w:t xml:space="preserve">with the operation of radio astronomy observations by the </w:t>
            </w:r>
            <w:r w:rsidR="00DF4D81">
              <w:rPr>
                <w:color w:val="000000"/>
                <w:shd w:val="clear" w:color="auto" w:fill="FFFFFF"/>
              </w:rPr>
              <w:t>o</w:t>
            </w:r>
            <w:r>
              <w:rPr>
                <w:color w:val="000000"/>
                <w:shd w:val="clear" w:color="auto" w:fill="FFFFFF"/>
              </w:rPr>
              <w:t>bservatory</w:t>
            </w:r>
            <w:r>
              <w:t>.</w:t>
            </w:r>
          </w:p>
        </w:tc>
      </w:tr>
      <w:tr w:rsidR="00AE6B24" w14:paraId="59E9115B" w14:textId="77777777" w:rsidTr="00AE6B24">
        <w:trPr>
          <w:cnfStyle w:val="000000010000" w:firstRow="0" w:lastRow="0" w:firstColumn="0" w:lastColumn="0" w:oddVBand="0" w:evenVBand="0" w:oddHBand="0" w:evenHBand="1" w:firstRowFirstColumn="0" w:firstRowLastColumn="0" w:lastRowFirstColumn="0" w:lastRowLastColumn="0"/>
        </w:trPr>
        <w:tc>
          <w:tcPr>
            <w:tcW w:w="3830" w:type="dxa"/>
          </w:tcPr>
          <w:p w14:paraId="17345BA7" w14:textId="15FC338F" w:rsidR="00AE6B24" w:rsidRDefault="00BE3792" w:rsidP="00851F3F">
            <w:hyperlink r:id="rId55" w:history="1">
              <w:r w:rsidR="00994E8B" w:rsidRPr="00994E8B">
                <w:rPr>
                  <w:rStyle w:val="Hyperlink"/>
                </w:rPr>
                <w:t>Radiocommunications (Communication with Space Object) Class Licence 2015</w:t>
              </w:r>
            </w:hyperlink>
          </w:p>
        </w:tc>
        <w:tc>
          <w:tcPr>
            <w:tcW w:w="3831" w:type="dxa"/>
          </w:tcPr>
          <w:p w14:paraId="4EACE564" w14:textId="7FDBAF06" w:rsidR="00AE6B24" w:rsidRDefault="005B3F40" w:rsidP="00851F3F">
            <w:r>
              <w:t>Includes a note regarding operations within the RQZ (inner) zone.</w:t>
            </w:r>
          </w:p>
        </w:tc>
      </w:tr>
      <w:tr w:rsidR="00AE6B24" w14:paraId="7BE8B716" w14:textId="77777777" w:rsidTr="00AE6B24">
        <w:trPr>
          <w:cnfStyle w:val="000000100000" w:firstRow="0" w:lastRow="0" w:firstColumn="0" w:lastColumn="0" w:oddVBand="0" w:evenVBand="0" w:oddHBand="1" w:evenHBand="0" w:firstRowFirstColumn="0" w:firstRowLastColumn="0" w:lastRowFirstColumn="0" w:lastRowLastColumn="0"/>
        </w:trPr>
        <w:tc>
          <w:tcPr>
            <w:tcW w:w="3830" w:type="dxa"/>
          </w:tcPr>
          <w:p w14:paraId="524F9304" w14:textId="217A98E8" w:rsidR="00AE6B24" w:rsidRDefault="00BE3792" w:rsidP="00851F3F">
            <w:hyperlink r:id="rId56" w:history="1">
              <w:r w:rsidR="00994E8B" w:rsidRPr="00994E8B">
                <w:rPr>
                  <w:rStyle w:val="Hyperlink"/>
                </w:rPr>
                <w:t>Radiocommunications (Cordless Communications Devices) Class Licence 2014</w:t>
              </w:r>
            </w:hyperlink>
          </w:p>
        </w:tc>
        <w:tc>
          <w:tcPr>
            <w:tcW w:w="3831" w:type="dxa"/>
          </w:tcPr>
          <w:p w14:paraId="4262B5E9" w14:textId="77777777" w:rsidR="007659B4" w:rsidRDefault="005B3F40" w:rsidP="00851F3F">
            <w:r w:rsidRPr="005B3F40">
              <w:t xml:space="preserve">None. </w:t>
            </w:r>
          </w:p>
          <w:p w14:paraId="51C7DFFC" w14:textId="766A3E7D" w:rsidR="00AE6B24" w:rsidRDefault="005B3F40" w:rsidP="00851F3F">
            <w:r w:rsidRPr="005B3F40">
              <w:t>However, this c</w:t>
            </w:r>
            <w:r w:rsidR="00885904" w:rsidRPr="005B3F40">
              <w:t>lass licence includes frequencies and the geographic area covered</w:t>
            </w:r>
            <w:r w:rsidR="00885904">
              <w:t xml:space="preserve"> by the </w:t>
            </w:r>
            <w:r w:rsidR="000918DD">
              <w:t>b</w:t>
            </w:r>
            <w:r w:rsidR="00885904">
              <w:t xml:space="preserve">and </w:t>
            </w:r>
            <w:r w:rsidR="000918DD">
              <w:t>p</w:t>
            </w:r>
            <w:r w:rsidR="00885904">
              <w:t>la</w:t>
            </w:r>
            <w:r w:rsidR="006317FB">
              <w:t>n.</w:t>
            </w:r>
            <w:r w:rsidR="00251C75" w:rsidRPr="006317FB">
              <w:rPr>
                <w:vertAlign w:val="superscript"/>
              </w:rPr>
              <w:fldChar w:fldCharType="begin"/>
            </w:r>
            <w:r w:rsidR="00251C75" w:rsidRPr="006317FB">
              <w:rPr>
                <w:vertAlign w:val="superscript"/>
              </w:rPr>
              <w:instrText xml:space="preserve"> NOTEREF _Ref115943828 \h  \* MERGEFORMAT </w:instrText>
            </w:r>
            <w:r w:rsidR="00251C75" w:rsidRPr="006317FB">
              <w:rPr>
                <w:vertAlign w:val="superscript"/>
              </w:rPr>
            </w:r>
            <w:r w:rsidR="00251C75" w:rsidRPr="006317FB">
              <w:rPr>
                <w:vertAlign w:val="superscript"/>
              </w:rPr>
              <w:fldChar w:fldCharType="separate"/>
            </w:r>
            <w:r w:rsidR="00251C75" w:rsidRPr="006317FB">
              <w:rPr>
                <w:vertAlign w:val="superscript"/>
              </w:rPr>
              <w:t>2</w:t>
            </w:r>
            <w:r w:rsidR="00251C75" w:rsidRPr="006317FB">
              <w:rPr>
                <w:vertAlign w:val="superscript"/>
              </w:rPr>
              <w:fldChar w:fldCharType="end"/>
            </w:r>
          </w:p>
        </w:tc>
      </w:tr>
      <w:tr w:rsidR="00AE6B24" w14:paraId="4420A583" w14:textId="77777777" w:rsidTr="00AE6B24">
        <w:trPr>
          <w:cnfStyle w:val="000000010000" w:firstRow="0" w:lastRow="0" w:firstColumn="0" w:lastColumn="0" w:oddVBand="0" w:evenVBand="0" w:oddHBand="0" w:evenHBand="1" w:firstRowFirstColumn="0" w:firstRowLastColumn="0" w:lastRowFirstColumn="0" w:lastRowLastColumn="0"/>
        </w:trPr>
        <w:tc>
          <w:tcPr>
            <w:tcW w:w="3830" w:type="dxa"/>
          </w:tcPr>
          <w:p w14:paraId="3BF482D8" w14:textId="2DAFC851" w:rsidR="00AE6B24" w:rsidRDefault="00BE3792" w:rsidP="00885904">
            <w:hyperlink r:id="rId57" w:history="1">
              <w:r w:rsidR="00885904" w:rsidRPr="00885904">
                <w:rPr>
                  <w:rStyle w:val="Hyperlink"/>
                </w:rPr>
                <w:t>Radiocommunications (Emergency Locating Devices) Class Licence 2016</w:t>
              </w:r>
            </w:hyperlink>
          </w:p>
        </w:tc>
        <w:tc>
          <w:tcPr>
            <w:tcW w:w="3831" w:type="dxa"/>
          </w:tcPr>
          <w:p w14:paraId="1DAFAC57" w14:textId="77777777" w:rsidR="007659B4" w:rsidRDefault="005B3F40" w:rsidP="00851F3F">
            <w:r>
              <w:t xml:space="preserve">None. </w:t>
            </w:r>
          </w:p>
          <w:p w14:paraId="2E4C6738" w14:textId="7C6EAA88" w:rsidR="00AE6B24" w:rsidRDefault="005B3F40" w:rsidP="00851F3F">
            <w:r>
              <w:t>However, this c</w:t>
            </w:r>
            <w:r w:rsidR="00885904">
              <w:t xml:space="preserve">lass licence includes frequencies and the geographic area covered by the </w:t>
            </w:r>
            <w:r w:rsidR="000918DD">
              <w:t>b</w:t>
            </w:r>
            <w:r w:rsidR="00885904">
              <w:t xml:space="preserve">and </w:t>
            </w:r>
            <w:r w:rsidR="000918DD">
              <w:t>p</w:t>
            </w:r>
            <w:r w:rsidR="00885904">
              <w:t>la</w:t>
            </w:r>
            <w:r w:rsidR="006317FB">
              <w:t>n.</w:t>
            </w:r>
            <w:r w:rsidR="00251C75" w:rsidRPr="00251C75">
              <w:rPr>
                <w:vertAlign w:val="superscript"/>
              </w:rPr>
              <w:fldChar w:fldCharType="begin"/>
            </w:r>
            <w:r w:rsidR="00251C75" w:rsidRPr="00251C75">
              <w:rPr>
                <w:vertAlign w:val="superscript"/>
              </w:rPr>
              <w:instrText xml:space="preserve"> NOTEREF _Ref115943828 \h </w:instrText>
            </w:r>
            <w:r w:rsidR="00251C75">
              <w:rPr>
                <w:vertAlign w:val="superscript"/>
              </w:rPr>
              <w:instrText xml:space="preserve"> \* MERGEFORMAT </w:instrText>
            </w:r>
            <w:r w:rsidR="00251C75" w:rsidRPr="00251C75">
              <w:rPr>
                <w:vertAlign w:val="superscript"/>
              </w:rPr>
            </w:r>
            <w:r w:rsidR="00251C75" w:rsidRPr="00251C75">
              <w:rPr>
                <w:vertAlign w:val="superscript"/>
              </w:rPr>
              <w:fldChar w:fldCharType="separate"/>
            </w:r>
            <w:r w:rsidR="00251C75" w:rsidRPr="00251C75">
              <w:rPr>
                <w:vertAlign w:val="superscript"/>
              </w:rPr>
              <w:t>2</w:t>
            </w:r>
            <w:r w:rsidR="00251C75" w:rsidRPr="00251C75">
              <w:rPr>
                <w:vertAlign w:val="superscript"/>
              </w:rPr>
              <w:fldChar w:fldCharType="end"/>
            </w:r>
          </w:p>
        </w:tc>
      </w:tr>
      <w:tr w:rsidR="00AE6B24" w14:paraId="7D392AF8" w14:textId="77777777" w:rsidTr="00AE6B24">
        <w:trPr>
          <w:cnfStyle w:val="000000100000" w:firstRow="0" w:lastRow="0" w:firstColumn="0" w:lastColumn="0" w:oddVBand="0" w:evenVBand="0" w:oddHBand="1" w:evenHBand="0" w:firstRowFirstColumn="0" w:firstRowLastColumn="0" w:lastRowFirstColumn="0" w:lastRowLastColumn="0"/>
        </w:trPr>
        <w:tc>
          <w:tcPr>
            <w:tcW w:w="3830" w:type="dxa"/>
          </w:tcPr>
          <w:p w14:paraId="331EE795" w14:textId="4730D876" w:rsidR="00AE6B24" w:rsidRDefault="00BE3792" w:rsidP="00851F3F">
            <w:hyperlink r:id="rId58" w:history="1">
              <w:r w:rsidR="00885904" w:rsidRPr="00885904">
                <w:rPr>
                  <w:rStyle w:val="Hyperlink"/>
                </w:rPr>
                <w:t>Radiocommunications (Intelligent Transport Systems) Class Licence 2017</w:t>
              </w:r>
            </w:hyperlink>
          </w:p>
        </w:tc>
        <w:tc>
          <w:tcPr>
            <w:tcW w:w="3831" w:type="dxa"/>
          </w:tcPr>
          <w:p w14:paraId="43A71E10" w14:textId="3C91148C" w:rsidR="00AE6B24" w:rsidRDefault="00885904" w:rsidP="00851F3F">
            <w:r>
              <w:t>O</w:t>
            </w:r>
            <w:r w:rsidR="00735093">
              <w:t>p</w:t>
            </w:r>
            <w:r>
              <w:t xml:space="preserve">erations within </w:t>
            </w:r>
            <w:r w:rsidRPr="00885904">
              <w:t>70 k</w:t>
            </w:r>
            <w:r w:rsidR="006317FB">
              <w:t>m</w:t>
            </w:r>
            <w:r w:rsidRPr="00885904">
              <w:t xml:space="preserve"> of the Murchison Radioastronomy Observatory</w:t>
            </w:r>
            <w:r>
              <w:t xml:space="preserve"> are not authorised. </w:t>
            </w:r>
          </w:p>
        </w:tc>
      </w:tr>
      <w:tr w:rsidR="00AE6B24" w14:paraId="05E862A1" w14:textId="77777777" w:rsidTr="00AE6B24">
        <w:trPr>
          <w:cnfStyle w:val="000000010000" w:firstRow="0" w:lastRow="0" w:firstColumn="0" w:lastColumn="0" w:oddVBand="0" w:evenVBand="0" w:oddHBand="0" w:evenHBand="1" w:firstRowFirstColumn="0" w:firstRowLastColumn="0" w:lastRowFirstColumn="0" w:lastRowLastColumn="0"/>
        </w:trPr>
        <w:tc>
          <w:tcPr>
            <w:tcW w:w="3830" w:type="dxa"/>
          </w:tcPr>
          <w:p w14:paraId="36500C59" w14:textId="697BB247" w:rsidR="00AE6B24" w:rsidRDefault="00BE3792" w:rsidP="00851F3F">
            <w:hyperlink r:id="rId59" w:history="1">
              <w:r w:rsidR="00735093" w:rsidRPr="00735093">
                <w:rPr>
                  <w:rStyle w:val="Hyperlink"/>
                </w:rPr>
                <w:t>Radiocommunications (Low Interference Potential Devices) Class Licence 2015</w:t>
              </w:r>
            </w:hyperlink>
          </w:p>
        </w:tc>
        <w:tc>
          <w:tcPr>
            <w:tcW w:w="3831" w:type="dxa"/>
          </w:tcPr>
          <w:p w14:paraId="37F67B63" w14:textId="13344A14" w:rsidR="00AE6B24" w:rsidRDefault="00735093" w:rsidP="00851F3F">
            <w:r>
              <w:t xml:space="preserve">Operations within </w:t>
            </w:r>
            <w:r w:rsidRPr="00885904">
              <w:t>70 k</w:t>
            </w:r>
            <w:r w:rsidR="006317FB">
              <w:t>m</w:t>
            </w:r>
            <w:r w:rsidRPr="00885904">
              <w:t xml:space="preserve"> of the Murchison Radioastronomy Observatory</w:t>
            </w:r>
            <w:r>
              <w:t xml:space="preserve"> are not authorised</w:t>
            </w:r>
            <w:r w:rsidR="00222791">
              <w:t xml:space="preserve"> if they will cause interference </w:t>
            </w:r>
            <w:r w:rsidR="00222791" w:rsidRPr="00F94AD6">
              <w:t xml:space="preserve">with the operation of radio astronomy observations by the </w:t>
            </w:r>
            <w:r w:rsidR="006317FB">
              <w:t>o</w:t>
            </w:r>
            <w:r w:rsidR="00222791" w:rsidRPr="00F94AD6">
              <w:t>bservatory</w:t>
            </w:r>
            <w:r>
              <w:t>.</w:t>
            </w:r>
          </w:p>
        </w:tc>
      </w:tr>
      <w:tr w:rsidR="00AE6B24" w14:paraId="71C5FFF6" w14:textId="77777777" w:rsidTr="00AE6B24">
        <w:trPr>
          <w:cnfStyle w:val="000000100000" w:firstRow="0" w:lastRow="0" w:firstColumn="0" w:lastColumn="0" w:oddVBand="0" w:evenVBand="0" w:oddHBand="1" w:evenHBand="0" w:firstRowFirstColumn="0" w:firstRowLastColumn="0" w:lastRowFirstColumn="0" w:lastRowLastColumn="0"/>
        </w:trPr>
        <w:tc>
          <w:tcPr>
            <w:tcW w:w="3830" w:type="dxa"/>
          </w:tcPr>
          <w:p w14:paraId="3F1C6FEA" w14:textId="7381516F" w:rsidR="00AE6B24" w:rsidRDefault="00BE3792" w:rsidP="00851F3F">
            <w:hyperlink r:id="rId60" w:history="1">
              <w:r w:rsidR="00735093" w:rsidRPr="00735093">
                <w:rPr>
                  <w:rStyle w:val="Hyperlink"/>
                </w:rPr>
                <w:t>Radiocommunications (Maritime Ship Station — 27 MHz and VHF) Class Licence 2015</w:t>
              </w:r>
            </w:hyperlink>
          </w:p>
        </w:tc>
        <w:tc>
          <w:tcPr>
            <w:tcW w:w="3831" w:type="dxa"/>
          </w:tcPr>
          <w:p w14:paraId="40FE2B0A" w14:textId="0EEAFC39" w:rsidR="00AE6B24" w:rsidRDefault="00735093" w:rsidP="00851F3F">
            <w:r w:rsidRPr="00735093">
              <w:t xml:space="preserve">Class licence limited to </w:t>
            </w:r>
            <w:r w:rsidR="00C64A17">
              <w:rPr>
                <w:color w:val="000000"/>
                <w:shd w:val="clear" w:color="auto" w:fill="FFFFFF"/>
              </w:rPr>
              <w:t>maritime ship stations (not on land</w:t>
            </w:r>
            <w:r w:rsidR="00193DA2">
              <w:rPr>
                <w:color w:val="000000"/>
                <w:shd w:val="clear" w:color="auto" w:fill="FFFFFF"/>
              </w:rPr>
              <w:t xml:space="preserve"> and therefore not within the ARQZWA</w:t>
            </w:r>
            <w:r w:rsidR="00C64A17">
              <w:rPr>
                <w:color w:val="000000"/>
                <w:shd w:val="clear" w:color="auto" w:fill="FFFFFF"/>
              </w:rPr>
              <w:t xml:space="preserve">). </w:t>
            </w:r>
          </w:p>
        </w:tc>
      </w:tr>
      <w:tr w:rsidR="00C64A17" w14:paraId="7AB9B1FA" w14:textId="77777777" w:rsidTr="00AE6B24">
        <w:trPr>
          <w:cnfStyle w:val="000000010000" w:firstRow="0" w:lastRow="0" w:firstColumn="0" w:lastColumn="0" w:oddVBand="0" w:evenVBand="0" w:oddHBand="0" w:evenHBand="1" w:firstRowFirstColumn="0" w:firstRowLastColumn="0" w:lastRowFirstColumn="0" w:lastRowLastColumn="0"/>
        </w:trPr>
        <w:tc>
          <w:tcPr>
            <w:tcW w:w="3830" w:type="dxa"/>
          </w:tcPr>
          <w:p w14:paraId="53F97EB2" w14:textId="334A13FA" w:rsidR="00C64A17" w:rsidRDefault="00BE3792" w:rsidP="00C64A17">
            <w:hyperlink r:id="rId61" w:history="1">
              <w:r w:rsidR="00C64A17" w:rsidRPr="00C64A17">
                <w:rPr>
                  <w:rStyle w:val="Hyperlink"/>
                </w:rPr>
                <w:t>Radiocommunications (Overseas Amateurs Visiting Australia) Class Licence 2015</w:t>
              </w:r>
            </w:hyperlink>
          </w:p>
        </w:tc>
        <w:tc>
          <w:tcPr>
            <w:tcW w:w="3831" w:type="dxa"/>
          </w:tcPr>
          <w:p w14:paraId="1D7548DE" w14:textId="77777777" w:rsidR="007659B4" w:rsidRDefault="00230610" w:rsidP="00C64A17">
            <w:r>
              <w:t xml:space="preserve">None. </w:t>
            </w:r>
          </w:p>
          <w:p w14:paraId="257E5619" w14:textId="407BE93F" w:rsidR="00C64A17" w:rsidRDefault="00230610" w:rsidP="00C64A17">
            <w:r>
              <w:t>However, this c</w:t>
            </w:r>
            <w:r w:rsidR="00C64A17">
              <w:t xml:space="preserve">lass licence includes frequencies and the geographic area covered by the </w:t>
            </w:r>
            <w:r w:rsidR="000918DD">
              <w:t>b</w:t>
            </w:r>
            <w:r w:rsidR="00C64A17">
              <w:t xml:space="preserve">and </w:t>
            </w:r>
            <w:r w:rsidR="000918DD">
              <w:t>p</w:t>
            </w:r>
            <w:r w:rsidR="00C64A17">
              <w:t>la</w:t>
            </w:r>
            <w:r w:rsidR="000918DD">
              <w:t>n.</w:t>
            </w:r>
            <w:r w:rsidR="00251C75" w:rsidRPr="00251C75">
              <w:rPr>
                <w:vertAlign w:val="superscript"/>
              </w:rPr>
              <w:fldChar w:fldCharType="begin"/>
            </w:r>
            <w:r w:rsidR="00251C75" w:rsidRPr="00251C75">
              <w:rPr>
                <w:vertAlign w:val="superscript"/>
              </w:rPr>
              <w:instrText xml:space="preserve"> NOTEREF _Ref115943828 \h </w:instrText>
            </w:r>
            <w:r w:rsidR="00251C75">
              <w:rPr>
                <w:vertAlign w:val="superscript"/>
              </w:rPr>
              <w:instrText xml:space="preserve"> \* MERGEFORMAT </w:instrText>
            </w:r>
            <w:r w:rsidR="00251C75" w:rsidRPr="00251C75">
              <w:rPr>
                <w:vertAlign w:val="superscript"/>
              </w:rPr>
            </w:r>
            <w:r w:rsidR="00251C75" w:rsidRPr="00251C75">
              <w:rPr>
                <w:vertAlign w:val="superscript"/>
              </w:rPr>
              <w:fldChar w:fldCharType="separate"/>
            </w:r>
            <w:r w:rsidR="00251C75" w:rsidRPr="00251C75">
              <w:rPr>
                <w:vertAlign w:val="superscript"/>
              </w:rPr>
              <w:t>2</w:t>
            </w:r>
            <w:r w:rsidR="00251C75" w:rsidRPr="00251C75">
              <w:rPr>
                <w:vertAlign w:val="superscript"/>
              </w:rPr>
              <w:fldChar w:fldCharType="end"/>
            </w:r>
          </w:p>
        </w:tc>
      </w:tr>
      <w:tr w:rsidR="00C64A17" w14:paraId="46473A1E" w14:textId="77777777" w:rsidTr="00AE6B24">
        <w:trPr>
          <w:cnfStyle w:val="000000100000" w:firstRow="0" w:lastRow="0" w:firstColumn="0" w:lastColumn="0" w:oddVBand="0" w:evenVBand="0" w:oddHBand="1" w:evenHBand="0" w:firstRowFirstColumn="0" w:firstRowLastColumn="0" w:lastRowFirstColumn="0" w:lastRowLastColumn="0"/>
        </w:trPr>
        <w:tc>
          <w:tcPr>
            <w:tcW w:w="3830" w:type="dxa"/>
          </w:tcPr>
          <w:p w14:paraId="40EDCD2A" w14:textId="2F81463E" w:rsidR="00C64A17" w:rsidRDefault="00BE3792" w:rsidP="00C64A17">
            <w:hyperlink r:id="rId62" w:history="1">
              <w:r w:rsidR="00C64A17" w:rsidRPr="00C64A17">
                <w:rPr>
                  <w:rStyle w:val="Hyperlink"/>
                </w:rPr>
                <w:t>Radiocommunications (Public Safety and Emergency Response) Class Licence 2013</w:t>
              </w:r>
            </w:hyperlink>
          </w:p>
        </w:tc>
        <w:tc>
          <w:tcPr>
            <w:tcW w:w="3831" w:type="dxa"/>
          </w:tcPr>
          <w:p w14:paraId="40029892" w14:textId="77777777" w:rsidR="007659B4" w:rsidRDefault="00230610" w:rsidP="00C64A17">
            <w:r>
              <w:t xml:space="preserve">None. </w:t>
            </w:r>
          </w:p>
          <w:p w14:paraId="7DE49C25" w14:textId="21FEB08A" w:rsidR="00C64A17" w:rsidRDefault="00230610" w:rsidP="00C64A17">
            <w:r>
              <w:t>However, this c</w:t>
            </w:r>
            <w:r w:rsidR="00C64A17">
              <w:t xml:space="preserve">lass licence includes frequencies and the geographic area covered by the </w:t>
            </w:r>
            <w:r w:rsidR="000918DD">
              <w:t>b</w:t>
            </w:r>
            <w:r w:rsidR="00C64A17">
              <w:t xml:space="preserve">and </w:t>
            </w:r>
            <w:r w:rsidR="000918DD">
              <w:t>p</w:t>
            </w:r>
            <w:r w:rsidR="00C64A17">
              <w:t>la</w:t>
            </w:r>
            <w:r w:rsidR="000918DD">
              <w:t>n.</w:t>
            </w:r>
            <w:r w:rsidR="00251C75" w:rsidRPr="00251C75">
              <w:rPr>
                <w:vertAlign w:val="superscript"/>
              </w:rPr>
              <w:fldChar w:fldCharType="begin"/>
            </w:r>
            <w:r w:rsidR="00251C75" w:rsidRPr="00251C75">
              <w:rPr>
                <w:vertAlign w:val="superscript"/>
              </w:rPr>
              <w:instrText xml:space="preserve"> NOTEREF _Ref115943828 \h </w:instrText>
            </w:r>
            <w:r w:rsidR="00251C75">
              <w:rPr>
                <w:vertAlign w:val="superscript"/>
              </w:rPr>
              <w:instrText xml:space="preserve"> \* MERGEFORMAT </w:instrText>
            </w:r>
            <w:r w:rsidR="00251C75" w:rsidRPr="00251C75">
              <w:rPr>
                <w:vertAlign w:val="superscript"/>
              </w:rPr>
            </w:r>
            <w:r w:rsidR="00251C75" w:rsidRPr="00251C75">
              <w:rPr>
                <w:vertAlign w:val="superscript"/>
              </w:rPr>
              <w:fldChar w:fldCharType="separate"/>
            </w:r>
            <w:r w:rsidR="00251C75" w:rsidRPr="00251C75">
              <w:rPr>
                <w:vertAlign w:val="superscript"/>
              </w:rPr>
              <w:t>2</w:t>
            </w:r>
            <w:r w:rsidR="00251C75" w:rsidRPr="00251C75">
              <w:rPr>
                <w:vertAlign w:val="superscript"/>
              </w:rPr>
              <w:fldChar w:fldCharType="end"/>
            </w:r>
          </w:p>
        </w:tc>
      </w:tr>
      <w:tr w:rsidR="00C64A17" w14:paraId="5EDF9083" w14:textId="77777777" w:rsidTr="00AE6B24">
        <w:trPr>
          <w:cnfStyle w:val="000000010000" w:firstRow="0" w:lastRow="0" w:firstColumn="0" w:lastColumn="0" w:oddVBand="0" w:evenVBand="0" w:oddHBand="0" w:evenHBand="1" w:firstRowFirstColumn="0" w:firstRowLastColumn="0" w:lastRowFirstColumn="0" w:lastRowLastColumn="0"/>
        </w:trPr>
        <w:tc>
          <w:tcPr>
            <w:tcW w:w="3830" w:type="dxa"/>
          </w:tcPr>
          <w:p w14:paraId="0EC9DF89" w14:textId="77777777" w:rsidR="00C64A17" w:rsidRDefault="00BE3792" w:rsidP="001705CB">
            <w:pPr>
              <w:keepNext/>
              <w:keepLines/>
              <w:rPr>
                <w:rStyle w:val="Hyperlink"/>
              </w:rPr>
            </w:pPr>
            <w:hyperlink r:id="rId63" w:history="1">
              <w:r w:rsidR="00C64A17" w:rsidRPr="00C64A17">
                <w:rPr>
                  <w:rStyle w:val="Hyperlink"/>
                </w:rPr>
                <w:t>Radiocommunications (Radio-controlled Models) Class Licence 2015</w:t>
              </w:r>
            </w:hyperlink>
          </w:p>
          <w:p w14:paraId="6ABA97D1" w14:textId="77777777" w:rsidR="006317FB" w:rsidRPr="001705CB" w:rsidRDefault="006317FB" w:rsidP="001705CB">
            <w:pPr>
              <w:keepNext/>
              <w:keepLines/>
            </w:pPr>
          </w:p>
          <w:p w14:paraId="4364B2E7" w14:textId="77777777" w:rsidR="006317FB" w:rsidRPr="001705CB" w:rsidRDefault="006317FB" w:rsidP="001705CB">
            <w:pPr>
              <w:keepNext/>
              <w:keepLines/>
            </w:pPr>
          </w:p>
          <w:p w14:paraId="358D6259" w14:textId="135F203E" w:rsidR="006317FB" w:rsidRPr="006317FB" w:rsidRDefault="006317FB" w:rsidP="001705CB">
            <w:pPr>
              <w:keepNext/>
              <w:keepLines/>
              <w:jc w:val="right"/>
            </w:pPr>
          </w:p>
        </w:tc>
        <w:tc>
          <w:tcPr>
            <w:tcW w:w="3831" w:type="dxa"/>
          </w:tcPr>
          <w:p w14:paraId="2FACD5D0" w14:textId="77777777" w:rsidR="007659B4" w:rsidRDefault="00230610" w:rsidP="001705CB">
            <w:pPr>
              <w:keepNext/>
              <w:keepLines/>
            </w:pPr>
            <w:r>
              <w:t>None</w:t>
            </w:r>
            <w:r w:rsidR="00C64A17">
              <w:t xml:space="preserve">. </w:t>
            </w:r>
          </w:p>
          <w:p w14:paraId="0C02B4D2" w14:textId="76ABFBA6" w:rsidR="00C64A17" w:rsidRDefault="00C64A17" w:rsidP="001705CB">
            <w:pPr>
              <w:keepNext/>
              <w:keepLines/>
            </w:pPr>
            <w:r>
              <w:t xml:space="preserve">Frequencies included in the class licence are outside of the scope of the </w:t>
            </w:r>
            <w:r w:rsidR="000918DD">
              <w:t>b</w:t>
            </w:r>
            <w:r>
              <w:t xml:space="preserve">and </w:t>
            </w:r>
            <w:r w:rsidR="000918DD">
              <w:t>p</w:t>
            </w:r>
            <w:r>
              <w:t>lan.</w:t>
            </w:r>
          </w:p>
        </w:tc>
      </w:tr>
      <w:tr w:rsidR="00C64A17" w14:paraId="28634C75" w14:textId="77777777" w:rsidTr="00AE6B24">
        <w:trPr>
          <w:cnfStyle w:val="000000100000" w:firstRow="0" w:lastRow="0" w:firstColumn="0" w:lastColumn="0" w:oddVBand="0" w:evenVBand="0" w:oddHBand="1" w:evenHBand="0" w:firstRowFirstColumn="0" w:firstRowLastColumn="0" w:lastRowFirstColumn="0" w:lastRowLastColumn="0"/>
        </w:trPr>
        <w:tc>
          <w:tcPr>
            <w:tcW w:w="3830" w:type="dxa"/>
          </w:tcPr>
          <w:p w14:paraId="41B7E295" w14:textId="0D13C702" w:rsidR="00C64A17" w:rsidRDefault="00BE3792" w:rsidP="001705CB">
            <w:pPr>
              <w:keepNext/>
              <w:keepLines/>
            </w:pPr>
            <w:hyperlink r:id="rId64" w:history="1">
              <w:r w:rsidR="00C64A17" w:rsidRPr="00C64A17">
                <w:rPr>
                  <w:rStyle w:val="Hyperlink"/>
                </w:rPr>
                <w:t>Radiocommunications (Radionavigation—Satellite Service) Class Licence 2015</w:t>
              </w:r>
            </w:hyperlink>
          </w:p>
        </w:tc>
        <w:tc>
          <w:tcPr>
            <w:tcW w:w="3831" w:type="dxa"/>
          </w:tcPr>
          <w:p w14:paraId="73486C0E" w14:textId="77777777" w:rsidR="007659B4" w:rsidRDefault="00230610" w:rsidP="001705CB">
            <w:pPr>
              <w:keepNext/>
              <w:keepLines/>
            </w:pPr>
            <w:r>
              <w:t>None</w:t>
            </w:r>
            <w:r w:rsidR="00C64A17">
              <w:t xml:space="preserve">. </w:t>
            </w:r>
          </w:p>
          <w:p w14:paraId="467C44AC" w14:textId="37D96106" w:rsidR="00C64A17" w:rsidRDefault="00C64A17" w:rsidP="001705CB">
            <w:pPr>
              <w:keepNext/>
              <w:keepLines/>
            </w:pPr>
            <w:r>
              <w:t xml:space="preserve">Authorises </w:t>
            </w:r>
            <w:r w:rsidR="007E4EE8">
              <w:t xml:space="preserve">RNSS </w:t>
            </w:r>
            <w:r>
              <w:t>receivers only</w:t>
            </w:r>
            <w:r w:rsidR="007659B4">
              <w:t xml:space="preserve"> – therefore no interference potential to radio astronomy</w:t>
            </w:r>
            <w:r>
              <w:t>.</w:t>
            </w:r>
          </w:p>
        </w:tc>
      </w:tr>
    </w:tbl>
    <w:p w14:paraId="4B5F2C37" w14:textId="77777777" w:rsidR="00AE6B24" w:rsidRPr="00E162C4" w:rsidRDefault="00AE6B24" w:rsidP="00501400">
      <w:pPr>
        <w:keepNext/>
        <w:keepLines/>
      </w:pPr>
    </w:p>
    <w:sectPr w:rsidR="00AE6B24" w:rsidRPr="00E162C4" w:rsidSect="00835489">
      <w:headerReference w:type="even" r:id="rId65"/>
      <w:headerReference w:type="default" r:id="rId66"/>
      <w:footerReference w:type="even" r:id="rId67"/>
      <w:footerReference w:type="default" r:id="rId68"/>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750E" w14:textId="77777777" w:rsidR="006C11BC" w:rsidRDefault="006C11BC">
      <w:r>
        <w:separator/>
      </w:r>
    </w:p>
  </w:endnote>
  <w:endnote w:type="continuationSeparator" w:id="0">
    <w:p w14:paraId="3D7BBB59" w14:textId="77777777" w:rsidR="006C11BC" w:rsidRDefault="006C11BC">
      <w:r>
        <w:continuationSeparator/>
      </w:r>
    </w:p>
  </w:endnote>
  <w:endnote w:type="continuationNotice" w:id="1">
    <w:p w14:paraId="61F0E14A" w14:textId="77777777" w:rsidR="00085242" w:rsidRDefault="00085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992F" w14:textId="77777777" w:rsidR="005E250B" w:rsidRDefault="005E250B" w:rsidP="005E250B">
    <w:pPr>
      <w:pStyle w:val="Footer"/>
      <w:jc w:val="right"/>
    </w:pPr>
    <w:r w:rsidRPr="005E250B">
      <w:rPr>
        <w:noProof/>
        <w:vertAlign w:val="subscript"/>
      </w:rPr>
      <w:drawing>
        <wp:inline distT="0" distB="0" distL="0" distR="0" wp14:anchorId="6B0586FD" wp14:editId="4E1881C9">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A921"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664340DC" w14:textId="77777777" w:rsidR="00C053A1" w:rsidRPr="00A5474E" w:rsidRDefault="00C053A1"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A435"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FBD1"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0680"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47A72ED9"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151E"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72CAEF18"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6ECC"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05B24794"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B955" w14:textId="77777777" w:rsidR="00A020BC" w:rsidRPr="00622A3B" w:rsidRDefault="00A020BC"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41D7D502" w14:textId="77777777" w:rsidR="00A020BC" w:rsidRPr="00A5474E" w:rsidRDefault="00A020BC"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A2C9" w14:textId="77777777" w:rsidR="00A020BC" w:rsidRPr="00622A3B" w:rsidRDefault="00A020BC"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582ACF56" w14:textId="77777777" w:rsidR="00A020BC" w:rsidRPr="00A5474E" w:rsidRDefault="00A020BC"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D2C1"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0CC42E27"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6780" w14:textId="77777777" w:rsidR="006C11BC" w:rsidRDefault="006C11BC" w:rsidP="00EA0969">
      <w:pPr>
        <w:spacing w:after="0"/>
      </w:pPr>
      <w:r>
        <w:separator/>
      </w:r>
    </w:p>
  </w:footnote>
  <w:footnote w:type="continuationSeparator" w:id="0">
    <w:p w14:paraId="6D09E068" w14:textId="77777777" w:rsidR="006C11BC" w:rsidRDefault="006C11BC">
      <w:r>
        <w:continuationSeparator/>
      </w:r>
    </w:p>
  </w:footnote>
  <w:footnote w:type="continuationNotice" w:id="1">
    <w:p w14:paraId="4C6A71E5" w14:textId="77777777" w:rsidR="00085242" w:rsidRDefault="00085242">
      <w:pPr>
        <w:spacing w:after="0" w:line="240" w:lineRule="auto"/>
      </w:pPr>
    </w:p>
  </w:footnote>
  <w:footnote w:id="2">
    <w:p w14:paraId="7055036B" w14:textId="77777777" w:rsidR="00A020BC" w:rsidRDefault="00A020BC" w:rsidP="00A020BC">
      <w:pPr>
        <w:pStyle w:val="FootnoteText"/>
      </w:pPr>
      <w:r>
        <w:rPr>
          <w:rStyle w:val="FootnoteReference"/>
        </w:rPr>
        <w:footnoteRef/>
      </w:r>
      <w:r>
        <w:t xml:space="preserve"> GDA94 datum. </w:t>
      </w:r>
    </w:p>
  </w:footnote>
  <w:footnote w:id="3">
    <w:p w14:paraId="15676463" w14:textId="51F43D09" w:rsidR="008F590F" w:rsidRDefault="008F590F">
      <w:pPr>
        <w:pStyle w:val="FootnoteText"/>
      </w:pPr>
      <w:r>
        <w:rPr>
          <w:rStyle w:val="FootnoteReference"/>
        </w:rPr>
        <w:footnoteRef/>
      </w:r>
      <w:r>
        <w:t xml:space="preserve"> </w:t>
      </w:r>
      <w:bookmarkStart w:id="49" w:name="_Hlk115944015"/>
      <w:r>
        <w:t xml:space="preserve">This class licence did not require conditions for protection of radio astronomy services in the ARQZWA as the risk of interference to the </w:t>
      </w:r>
      <w:r w:rsidR="00251C75">
        <w:t xml:space="preserve">observatory was considered to be low. </w:t>
      </w:r>
      <w:bookmarkEnd w:id="4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7316" w14:textId="77777777" w:rsidR="00C053A1" w:rsidRPr="00A5474E" w:rsidRDefault="0021426C" w:rsidP="00A5474E">
    <w:pPr>
      <w:pStyle w:val="Header"/>
    </w:pPr>
    <w:r>
      <w:rPr>
        <w:noProof/>
      </w:rPr>
      <w:drawing>
        <wp:inline distT="0" distB="0" distL="0" distR="0" wp14:anchorId="4429DB22" wp14:editId="14C880E5">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E932" w14:textId="77777777" w:rsidR="00C053A1" w:rsidRDefault="00C05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F38F"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5F4A"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A8F5"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2C993D2" w14:textId="77777777" w:rsidTr="003B0421">
      <w:trPr>
        <w:trHeight w:hRule="exact" w:val="988"/>
      </w:trPr>
      <w:tc>
        <w:tcPr>
          <w:tcW w:w="7678" w:type="dxa"/>
          <w:shd w:val="clear" w:color="auto" w:fill="auto"/>
        </w:tcPr>
        <w:p w14:paraId="4E4C5E46" w14:textId="77777777" w:rsidR="00971914" w:rsidRDefault="00971914" w:rsidP="00971914">
          <w:pPr>
            <w:pStyle w:val="Header"/>
          </w:pPr>
        </w:p>
      </w:tc>
    </w:tr>
    <w:tr w:rsidR="00971914" w14:paraId="1FC95A24" w14:textId="77777777" w:rsidTr="003B0421">
      <w:tc>
        <w:tcPr>
          <w:tcW w:w="7678" w:type="dxa"/>
          <w:shd w:val="clear" w:color="auto" w:fill="auto"/>
        </w:tcPr>
        <w:p w14:paraId="6A38CACF" w14:textId="77777777" w:rsidR="00971914" w:rsidRDefault="00971914" w:rsidP="00971914">
          <w:pPr>
            <w:pStyle w:val="GridTable31"/>
          </w:pPr>
          <w:r>
            <w:t xml:space="preserve">Contents </w:t>
          </w:r>
          <w:r w:rsidRPr="00915B1C">
            <w:rPr>
              <w:b w:val="0"/>
              <w:spacing w:val="0"/>
              <w:sz w:val="28"/>
              <w:szCs w:val="28"/>
            </w:rPr>
            <w:t>(Continued)</w:t>
          </w:r>
        </w:p>
      </w:tc>
    </w:tr>
    <w:tr w:rsidR="00971914" w14:paraId="66779118" w14:textId="77777777" w:rsidTr="003B0421">
      <w:trPr>
        <w:trHeight w:val="1220"/>
      </w:trPr>
      <w:tc>
        <w:tcPr>
          <w:tcW w:w="7678" w:type="dxa"/>
          <w:shd w:val="clear" w:color="auto" w:fill="auto"/>
        </w:tcPr>
        <w:p w14:paraId="0A93E2FC" w14:textId="77777777" w:rsidR="00971914" w:rsidRDefault="00971914" w:rsidP="00971914"/>
      </w:tc>
    </w:tr>
  </w:tbl>
  <w:p w14:paraId="140644BA"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DABF5F8" w14:textId="77777777" w:rsidTr="003B0421">
      <w:trPr>
        <w:trHeight w:hRule="exact" w:val="988"/>
      </w:trPr>
      <w:tc>
        <w:tcPr>
          <w:tcW w:w="7678" w:type="dxa"/>
          <w:shd w:val="clear" w:color="auto" w:fill="auto"/>
        </w:tcPr>
        <w:p w14:paraId="130E10EC" w14:textId="77777777" w:rsidR="00971914" w:rsidRDefault="00971914" w:rsidP="00971914">
          <w:pPr>
            <w:pStyle w:val="Header"/>
          </w:pPr>
        </w:p>
      </w:tc>
    </w:tr>
    <w:tr w:rsidR="00971914" w14:paraId="6E87D1FC" w14:textId="77777777" w:rsidTr="003B0421">
      <w:tc>
        <w:tcPr>
          <w:tcW w:w="7678" w:type="dxa"/>
          <w:shd w:val="clear" w:color="auto" w:fill="auto"/>
        </w:tcPr>
        <w:p w14:paraId="6907E277" w14:textId="77777777" w:rsidR="00971914" w:rsidRDefault="00971914" w:rsidP="00971914">
          <w:pPr>
            <w:pStyle w:val="GridTable31"/>
          </w:pPr>
          <w:r>
            <w:t xml:space="preserve">Contents </w:t>
          </w:r>
          <w:r w:rsidRPr="00915B1C">
            <w:rPr>
              <w:b w:val="0"/>
              <w:spacing w:val="0"/>
              <w:sz w:val="28"/>
              <w:szCs w:val="28"/>
            </w:rPr>
            <w:t>(Continued)</w:t>
          </w:r>
        </w:p>
      </w:tc>
    </w:tr>
    <w:tr w:rsidR="00971914" w14:paraId="7F0CEF11" w14:textId="77777777" w:rsidTr="003B0421">
      <w:trPr>
        <w:trHeight w:val="1220"/>
      </w:trPr>
      <w:tc>
        <w:tcPr>
          <w:tcW w:w="7678" w:type="dxa"/>
          <w:shd w:val="clear" w:color="auto" w:fill="auto"/>
        </w:tcPr>
        <w:p w14:paraId="6B8F99D2" w14:textId="77777777" w:rsidR="00971914" w:rsidRDefault="00971914" w:rsidP="00971914"/>
      </w:tc>
    </w:tr>
  </w:tbl>
  <w:p w14:paraId="2E3C6107"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0D45" w14:textId="77777777" w:rsidR="00A020BC" w:rsidRDefault="00A020B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F03D" w14:textId="77777777" w:rsidR="00A020BC" w:rsidRDefault="00A020B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4228"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3191627"/>
    <w:multiLevelType w:val="hybridMultilevel"/>
    <w:tmpl w:val="238AC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6"/>
  </w:num>
  <w:num w:numId="6">
    <w:abstractNumId w:val="11"/>
  </w:num>
  <w:num w:numId="7">
    <w:abstractNumId w:val="9"/>
  </w:num>
  <w:num w:numId="8">
    <w:abstractNumId w:val="10"/>
  </w:num>
  <w:num w:numId="9">
    <w:abstractNumId w:val="12"/>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7"/>
  </w:num>
  <w:num w:numId="17">
    <w:abstractNumId w:val="2"/>
    <w:lvlOverride w:ilvl="0">
      <w:startOverride w:val="1"/>
    </w:lvlOverride>
  </w:num>
  <w:num w:numId="18">
    <w:abstractNumId w:val="3"/>
  </w:num>
  <w:num w:numId="19">
    <w:abstractNumId w:val="3"/>
  </w:num>
  <w:num w:numId="20">
    <w:abstractNumId w:val="3"/>
  </w:num>
  <w:num w:numId="21">
    <w:abstractNumId w:val="3"/>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BC"/>
    <w:rsid w:val="00010667"/>
    <w:rsid w:val="000129D5"/>
    <w:rsid w:val="0001531B"/>
    <w:rsid w:val="00015AE7"/>
    <w:rsid w:val="00016E21"/>
    <w:rsid w:val="0001719C"/>
    <w:rsid w:val="00020DD6"/>
    <w:rsid w:val="0002224E"/>
    <w:rsid w:val="00023A36"/>
    <w:rsid w:val="000245E5"/>
    <w:rsid w:val="00026F91"/>
    <w:rsid w:val="00032621"/>
    <w:rsid w:val="0004764C"/>
    <w:rsid w:val="0005011A"/>
    <w:rsid w:val="0005045A"/>
    <w:rsid w:val="00051C1E"/>
    <w:rsid w:val="000539F9"/>
    <w:rsid w:val="00054C27"/>
    <w:rsid w:val="00055EC3"/>
    <w:rsid w:val="000563CE"/>
    <w:rsid w:val="00060059"/>
    <w:rsid w:val="000659B6"/>
    <w:rsid w:val="0006686F"/>
    <w:rsid w:val="0006722A"/>
    <w:rsid w:val="000732CF"/>
    <w:rsid w:val="00075B96"/>
    <w:rsid w:val="0008196A"/>
    <w:rsid w:val="00082FD0"/>
    <w:rsid w:val="000848FD"/>
    <w:rsid w:val="00085242"/>
    <w:rsid w:val="000915ED"/>
    <w:rsid w:val="000918DD"/>
    <w:rsid w:val="0009209D"/>
    <w:rsid w:val="000932C2"/>
    <w:rsid w:val="0009362A"/>
    <w:rsid w:val="0009463C"/>
    <w:rsid w:val="000969BD"/>
    <w:rsid w:val="000969BF"/>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514D"/>
    <w:rsid w:val="000E6097"/>
    <w:rsid w:val="00103829"/>
    <w:rsid w:val="00111FCE"/>
    <w:rsid w:val="001229A5"/>
    <w:rsid w:val="0012489B"/>
    <w:rsid w:val="00130017"/>
    <w:rsid w:val="00130F91"/>
    <w:rsid w:val="001349ED"/>
    <w:rsid w:val="00137424"/>
    <w:rsid w:val="00140318"/>
    <w:rsid w:val="00141AD9"/>
    <w:rsid w:val="00146CE6"/>
    <w:rsid w:val="00152903"/>
    <w:rsid w:val="00153B01"/>
    <w:rsid w:val="00153FD5"/>
    <w:rsid w:val="0015614F"/>
    <w:rsid w:val="001577C2"/>
    <w:rsid w:val="001633C4"/>
    <w:rsid w:val="00166E6F"/>
    <w:rsid w:val="001704D5"/>
    <w:rsid w:val="001705CB"/>
    <w:rsid w:val="00171591"/>
    <w:rsid w:val="00173981"/>
    <w:rsid w:val="0017719D"/>
    <w:rsid w:val="00183FD7"/>
    <w:rsid w:val="00185CAB"/>
    <w:rsid w:val="00186A3B"/>
    <w:rsid w:val="001875B7"/>
    <w:rsid w:val="00187CB3"/>
    <w:rsid w:val="0019050A"/>
    <w:rsid w:val="0019084B"/>
    <w:rsid w:val="001910D4"/>
    <w:rsid w:val="00193DA2"/>
    <w:rsid w:val="00196045"/>
    <w:rsid w:val="001976E3"/>
    <w:rsid w:val="001A44EC"/>
    <w:rsid w:val="001A5ABF"/>
    <w:rsid w:val="001A6D69"/>
    <w:rsid w:val="001B3580"/>
    <w:rsid w:val="001B58AA"/>
    <w:rsid w:val="001B7E48"/>
    <w:rsid w:val="001C17CE"/>
    <w:rsid w:val="001C36CA"/>
    <w:rsid w:val="001C44D1"/>
    <w:rsid w:val="001C6AEE"/>
    <w:rsid w:val="001C7630"/>
    <w:rsid w:val="001D6D15"/>
    <w:rsid w:val="001E026E"/>
    <w:rsid w:val="001F50F7"/>
    <w:rsid w:val="001F7558"/>
    <w:rsid w:val="00200446"/>
    <w:rsid w:val="00201EE2"/>
    <w:rsid w:val="00203DB5"/>
    <w:rsid w:val="00205B57"/>
    <w:rsid w:val="002114F5"/>
    <w:rsid w:val="0021426C"/>
    <w:rsid w:val="002157E0"/>
    <w:rsid w:val="00216A57"/>
    <w:rsid w:val="00217448"/>
    <w:rsid w:val="00222791"/>
    <w:rsid w:val="0022334F"/>
    <w:rsid w:val="00226819"/>
    <w:rsid w:val="00230610"/>
    <w:rsid w:val="00233101"/>
    <w:rsid w:val="00233817"/>
    <w:rsid w:val="0023539A"/>
    <w:rsid w:val="002367FF"/>
    <w:rsid w:val="00240CE9"/>
    <w:rsid w:val="002434BA"/>
    <w:rsid w:val="00246089"/>
    <w:rsid w:val="00246093"/>
    <w:rsid w:val="00246702"/>
    <w:rsid w:val="00247C59"/>
    <w:rsid w:val="00247F2E"/>
    <w:rsid w:val="00250ADC"/>
    <w:rsid w:val="00250B07"/>
    <w:rsid w:val="00251C75"/>
    <w:rsid w:val="00257553"/>
    <w:rsid w:val="00260FB2"/>
    <w:rsid w:val="00262128"/>
    <w:rsid w:val="0027165D"/>
    <w:rsid w:val="00273CEB"/>
    <w:rsid w:val="00281C89"/>
    <w:rsid w:val="0028282F"/>
    <w:rsid w:val="0029593B"/>
    <w:rsid w:val="00297FC5"/>
    <w:rsid w:val="002A0417"/>
    <w:rsid w:val="002A16D8"/>
    <w:rsid w:val="002A1BC8"/>
    <w:rsid w:val="002A3EF2"/>
    <w:rsid w:val="002B0DED"/>
    <w:rsid w:val="002B19A2"/>
    <w:rsid w:val="002B381A"/>
    <w:rsid w:val="002B4FCC"/>
    <w:rsid w:val="002B7408"/>
    <w:rsid w:val="002B7CFD"/>
    <w:rsid w:val="002C0530"/>
    <w:rsid w:val="002C210F"/>
    <w:rsid w:val="002C530D"/>
    <w:rsid w:val="002D3112"/>
    <w:rsid w:val="002D3600"/>
    <w:rsid w:val="002D6E9D"/>
    <w:rsid w:val="002E4DDC"/>
    <w:rsid w:val="00302480"/>
    <w:rsid w:val="00302758"/>
    <w:rsid w:val="00314A19"/>
    <w:rsid w:val="003165E6"/>
    <w:rsid w:val="003215B5"/>
    <w:rsid w:val="003221CF"/>
    <w:rsid w:val="003233ED"/>
    <w:rsid w:val="00323B31"/>
    <w:rsid w:val="00324D9F"/>
    <w:rsid w:val="003253EE"/>
    <w:rsid w:val="00327948"/>
    <w:rsid w:val="0033000F"/>
    <w:rsid w:val="00332011"/>
    <w:rsid w:val="00332518"/>
    <w:rsid w:val="00332925"/>
    <w:rsid w:val="00332E3F"/>
    <w:rsid w:val="003332ED"/>
    <w:rsid w:val="003360D6"/>
    <w:rsid w:val="003368DC"/>
    <w:rsid w:val="0034490B"/>
    <w:rsid w:val="00345927"/>
    <w:rsid w:val="00350584"/>
    <w:rsid w:val="00351857"/>
    <w:rsid w:val="003545E8"/>
    <w:rsid w:val="00360AC6"/>
    <w:rsid w:val="003610E1"/>
    <w:rsid w:val="003671BE"/>
    <w:rsid w:val="00372485"/>
    <w:rsid w:val="00372C7A"/>
    <w:rsid w:val="00373200"/>
    <w:rsid w:val="00375EF5"/>
    <w:rsid w:val="003767A5"/>
    <w:rsid w:val="003803BD"/>
    <w:rsid w:val="00381D15"/>
    <w:rsid w:val="00385254"/>
    <w:rsid w:val="00390D91"/>
    <w:rsid w:val="003933E8"/>
    <w:rsid w:val="00394031"/>
    <w:rsid w:val="00396DC2"/>
    <w:rsid w:val="003A04DB"/>
    <w:rsid w:val="003A5F5B"/>
    <w:rsid w:val="003A789A"/>
    <w:rsid w:val="003B12EC"/>
    <w:rsid w:val="003C03B8"/>
    <w:rsid w:val="003C728E"/>
    <w:rsid w:val="003C77E0"/>
    <w:rsid w:val="003D17D7"/>
    <w:rsid w:val="003D2678"/>
    <w:rsid w:val="003D71A3"/>
    <w:rsid w:val="003D7A30"/>
    <w:rsid w:val="003E2B8A"/>
    <w:rsid w:val="003F0CF4"/>
    <w:rsid w:val="003F10EE"/>
    <w:rsid w:val="003F16F6"/>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4ADD"/>
    <w:rsid w:val="00445BAB"/>
    <w:rsid w:val="00447037"/>
    <w:rsid w:val="0045124D"/>
    <w:rsid w:val="00454596"/>
    <w:rsid w:val="0045605D"/>
    <w:rsid w:val="0046135B"/>
    <w:rsid w:val="00461D47"/>
    <w:rsid w:val="004718CC"/>
    <w:rsid w:val="00481695"/>
    <w:rsid w:val="00486FF6"/>
    <w:rsid w:val="00495A96"/>
    <w:rsid w:val="00495BB3"/>
    <w:rsid w:val="004A56BB"/>
    <w:rsid w:val="004A70D6"/>
    <w:rsid w:val="004B1751"/>
    <w:rsid w:val="004B36A1"/>
    <w:rsid w:val="004B444F"/>
    <w:rsid w:val="004C0253"/>
    <w:rsid w:val="004D56FF"/>
    <w:rsid w:val="004E39D3"/>
    <w:rsid w:val="004E508A"/>
    <w:rsid w:val="004E616D"/>
    <w:rsid w:val="004F1BDE"/>
    <w:rsid w:val="004F2CEE"/>
    <w:rsid w:val="004F556E"/>
    <w:rsid w:val="004F591C"/>
    <w:rsid w:val="004F7F44"/>
    <w:rsid w:val="00501400"/>
    <w:rsid w:val="005037B4"/>
    <w:rsid w:val="005079BF"/>
    <w:rsid w:val="0051269A"/>
    <w:rsid w:val="005219E7"/>
    <w:rsid w:val="005302F4"/>
    <w:rsid w:val="00531B9A"/>
    <w:rsid w:val="00531D15"/>
    <w:rsid w:val="00537604"/>
    <w:rsid w:val="00540083"/>
    <w:rsid w:val="00542377"/>
    <w:rsid w:val="005476EB"/>
    <w:rsid w:val="00551782"/>
    <w:rsid w:val="00552DFC"/>
    <w:rsid w:val="005610F9"/>
    <w:rsid w:val="00562A36"/>
    <w:rsid w:val="0056323D"/>
    <w:rsid w:val="00563EF1"/>
    <w:rsid w:val="00566AB4"/>
    <w:rsid w:val="00573812"/>
    <w:rsid w:val="00575AC5"/>
    <w:rsid w:val="00575DE8"/>
    <w:rsid w:val="0057605D"/>
    <w:rsid w:val="00581347"/>
    <w:rsid w:val="00581AC9"/>
    <w:rsid w:val="005849F8"/>
    <w:rsid w:val="00584B51"/>
    <w:rsid w:val="005938DF"/>
    <w:rsid w:val="00594E9C"/>
    <w:rsid w:val="00595E76"/>
    <w:rsid w:val="005A099B"/>
    <w:rsid w:val="005A2D9C"/>
    <w:rsid w:val="005A55FE"/>
    <w:rsid w:val="005A6A11"/>
    <w:rsid w:val="005A7C29"/>
    <w:rsid w:val="005B2F0D"/>
    <w:rsid w:val="005B3F40"/>
    <w:rsid w:val="005B4AED"/>
    <w:rsid w:val="005B5772"/>
    <w:rsid w:val="005C34EF"/>
    <w:rsid w:val="005D2502"/>
    <w:rsid w:val="005D40BB"/>
    <w:rsid w:val="005D47F3"/>
    <w:rsid w:val="005D49BF"/>
    <w:rsid w:val="005D4AA5"/>
    <w:rsid w:val="005D6F4E"/>
    <w:rsid w:val="005D7C73"/>
    <w:rsid w:val="005E250B"/>
    <w:rsid w:val="005E3ACD"/>
    <w:rsid w:val="005E4052"/>
    <w:rsid w:val="005E7226"/>
    <w:rsid w:val="005E7A57"/>
    <w:rsid w:val="005F24B0"/>
    <w:rsid w:val="005F61AC"/>
    <w:rsid w:val="00604315"/>
    <w:rsid w:val="00604E26"/>
    <w:rsid w:val="00604F4B"/>
    <w:rsid w:val="0060523F"/>
    <w:rsid w:val="006052CF"/>
    <w:rsid w:val="00607B8D"/>
    <w:rsid w:val="00611F5C"/>
    <w:rsid w:val="00616E09"/>
    <w:rsid w:val="00622A3B"/>
    <w:rsid w:val="00622EEA"/>
    <w:rsid w:val="0062396C"/>
    <w:rsid w:val="00623FF9"/>
    <w:rsid w:val="0062437D"/>
    <w:rsid w:val="00627D4E"/>
    <w:rsid w:val="006317FB"/>
    <w:rsid w:val="00632B89"/>
    <w:rsid w:val="0063346D"/>
    <w:rsid w:val="00634478"/>
    <w:rsid w:val="00644373"/>
    <w:rsid w:val="00644AF1"/>
    <w:rsid w:val="00645915"/>
    <w:rsid w:val="00646CC4"/>
    <w:rsid w:val="006519C3"/>
    <w:rsid w:val="00652B30"/>
    <w:rsid w:val="00656345"/>
    <w:rsid w:val="00656DC6"/>
    <w:rsid w:val="00660EC6"/>
    <w:rsid w:val="00664110"/>
    <w:rsid w:val="00664D17"/>
    <w:rsid w:val="00666520"/>
    <w:rsid w:val="00667C5B"/>
    <w:rsid w:val="00691EB8"/>
    <w:rsid w:val="00692CDE"/>
    <w:rsid w:val="00693073"/>
    <w:rsid w:val="006977FF"/>
    <w:rsid w:val="006A01FA"/>
    <w:rsid w:val="006A0E9E"/>
    <w:rsid w:val="006A25C7"/>
    <w:rsid w:val="006A3ECF"/>
    <w:rsid w:val="006A4AAD"/>
    <w:rsid w:val="006A4CCA"/>
    <w:rsid w:val="006A6DA2"/>
    <w:rsid w:val="006A7AB2"/>
    <w:rsid w:val="006B04B6"/>
    <w:rsid w:val="006B0765"/>
    <w:rsid w:val="006B0912"/>
    <w:rsid w:val="006B52DE"/>
    <w:rsid w:val="006B5717"/>
    <w:rsid w:val="006B582F"/>
    <w:rsid w:val="006B5EB2"/>
    <w:rsid w:val="006C0CEB"/>
    <w:rsid w:val="006C11BC"/>
    <w:rsid w:val="006C1631"/>
    <w:rsid w:val="006C3B1E"/>
    <w:rsid w:val="006C47FD"/>
    <w:rsid w:val="006C5C19"/>
    <w:rsid w:val="006C5FD4"/>
    <w:rsid w:val="006C70A0"/>
    <w:rsid w:val="006D12D1"/>
    <w:rsid w:val="006D27CB"/>
    <w:rsid w:val="006D2F08"/>
    <w:rsid w:val="006D576C"/>
    <w:rsid w:val="006D5865"/>
    <w:rsid w:val="006E4B1B"/>
    <w:rsid w:val="006E5445"/>
    <w:rsid w:val="006E7D93"/>
    <w:rsid w:val="006F1D7C"/>
    <w:rsid w:val="0070133D"/>
    <w:rsid w:val="00702834"/>
    <w:rsid w:val="007029A3"/>
    <w:rsid w:val="00706E4E"/>
    <w:rsid w:val="0070791C"/>
    <w:rsid w:val="0071383C"/>
    <w:rsid w:val="007141A7"/>
    <w:rsid w:val="00715722"/>
    <w:rsid w:val="00715BAF"/>
    <w:rsid w:val="00715C56"/>
    <w:rsid w:val="00717897"/>
    <w:rsid w:val="00721032"/>
    <w:rsid w:val="0072131D"/>
    <w:rsid w:val="00721B55"/>
    <w:rsid w:val="00726CE4"/>
    <w:rsid w:val="00734143"/>
    <w:rsid w:val="00735093"/>
    <w:rsid w:val="00737E47"/>
    <w:rsid w:val="00740EAC"/>
    <w:rsid w:val="0074301A"/>
    <w:rsid w:val="00744956"/>
    <w:rsid w:val="00745A5C"/>
    <w:rsid w:val="0074605F"/>
    <w:rsid w:val="00747E94"/>
    <w:rsid w:val="00754C83"/>
    <w:rsid w:val="00761E5C"/>
    <w:rsid w:val="00762C0B"/>
    <w:rsid w:val="007659B4"/>
    <w:rsid w:val="00765DF8"/>
    <w:rsid w:val="00766749"/>
    <w:rsid w:val="00767C1B"/>
    <w:rsid w:val="00770B3F"/>
    <w:rsid w:val="007714A9"/>
    <w:rsid w:val="00774F88"/>
    <w:rsid w:val="00774FDB"/>
    <w:rsid w:val="00777BA2"/>
    <w:rsid w:val="00781408"/>
    <w:rsid w:val="00784F7F"/>
    <w:rsid w:val="007878BD"/>
    <w:rsid w:val="00796F25"/>
    <w:rsid w:val="0079759B"/>
    <w:rsid w:val="007A2E98"/>
    <w:rsid w:val="007A3BA3"/>
    <w:rsid w:val="007A4346"/>
    <w:rsid w:val="007A6CC0"/>
    <w:rsid w:val="007A7F6A"/>
    <w:rsid w:val="007A7FEC"/>
    <w:rsid w:val="007B1499"/>
    <w:rsid w:val="007B1BBF"/>
    <w:rsid w:val="007B2960"/>
    <w:rsid w:val="007B29E6"/>
    <w:rsid w:val="007B355D"/>
    <w:rsid w:val="007B7980"/>
    <w:rsid w:val="007C0DEF"/>
    <w:rsid w:val="007C5D5A"/>
    <w:rsid w:val="007C607F"/>
    <w:rsid w:val="007C79DD"/>
    <w:rsid w:val="007D1A97"/>
    <w:rsid w:val="007D2CD6"/>
    <w:rsid w:val="007D3063"/>
    <w:rsid w:val="007D3CEB"/>
    <w:rsid w:val="007E4EE8"/>
    <w:rsid w:val="007E7683"/>
    <w:rsid w:val="007F12B2"/>
    <w:rsid w:val="007F49FA"/>
    <w:rsid w:val="007F54C4"/>
    <w:rsid w:val="007F6E9A"/>
    <w:rsid w:val="00800CCD"/>
    <w:rsid w:val="00801FEB"/>
    <w:rsid w:val="008044D4"/>
    <w:rsid w:val="0081066F"/>
    <w:rsid w:val="00810AB4"/>
    <w:rsid w:val="008132D1"/>
    <w:rsid w:val="00817B56"/>
    <w:rsid w:val="00821A88"/>
    <w:rsid w:val="0082322E"/>
    <w:rsid w:val="0082495D"/>
    <w:rsid w:val="00831AC3"/>
    <w:rsid w:val="00835489"/>
    <w:rsid w:val="00836FCE"/>
    <w:rsid w:val="008408FF"/>
    <w:rsid w:val="00841DA7"/>
    <w:rsid w:val="00843448"/>
    <w:rsid w:val="00851F3F"/>
    <w:rsid w:val="00856EDC"/>
    <w:rsid w:val="008623B5"/>
    <w:rsid w:val="00870ABA"/>
    <w:rsid w:val="008710E1"/>
    <w:rsid w:val="008716E5"/>
    <w:rsid w:val="00881CA9"/>
    <w:rsid w:val="00883628"/>
    <w:rsid w:val="00885544"/>
    <w:rsid w:val="00885904"/>
    <w:rsid w:val="0088634E"/>
    <w:rsid w:val="00891C15"/>
    <w:rsid w:val="00893AB8"/>
    <w:rsid w:val="008A04C8"/>
    <w:rsid w:val="008A4066"/>
    <w:rsid w:val="008A6913"/>
    <w:rsid w:val="008B3B2D"/>
    <w:rsid w:val="008B70F3"/>
    <w:rsid w:val="008B71C4"/>
    <w:rsid w:val="008B76DF"/>
    <w:rsid w:val="008C10F4"/>
    <w:rsid w:val="008C37BC"/>
    <w:rsid w:val="008C5597"/>
    <w:rsid w:val="008C65F7"/>
    <w:rsid w:val="008E0428"/>
    <w:rsid w:val="008E4767"/>
    <w:rsid w:val="008E7A8C"/>
    <w:rsid w:val="008F590F"/>
    <w:rsid w:val="0090203B"/>
    <w:rsid w:val="00903285"/>
    <w:rsid w:val="00906B30"/>
    <w:rsid w:val="00906F40"/>
    <w:rsid w:val="0090731E"/>
    <w:rsid w:val="00915B1C"/>
    <w:rsid w:val="009174F3"/>
    <w:rsid w:val="0091797D"/>
    <w:rsid w:val="00923CBA"/>
    <w:rsid w:val="00926703"/>
    <w:rsid w:val="00927691"/>
    <w:rsid w:val="00927A5F"/>
    <w:rsid w:val="00930510"/>
    <w:rsid w:val="00935B63"/>
    <w:rsid w:val="00936E95"/>
    <w:rsid w:val="009379D3"/>
    <w:rsid w:val="0094078F"/>
    <w:rsid w:val="00940FA3"/>
    <w:rsid w:val="00941FB0"/>
    <w:rsid w:val="009426D4"/>
    <w:rsid w:val="00946B1B"/>
    <w:rsid w:val="00947F25"/>
    <w:rsid w:val="00950159"/>
    <w:rsid w:val="0095490B"/>
    <w:rsid w:val="00960A33"/>
    <w:rsid w:val="00967A0E"/>
    <w:rsid w:val="00971529"/>
    <w:rsid w:val="00971914"/>
    <w:rsid w:val="00974363"/>
    <w:rsid w:val="00976C18"/>
    <w:rsid w:val="00981898"/>
    <w:rsid w:val="00981D26"/>
    <w:rsid w:val="00985757"/>
    <w:rsid w:val="00994E8B"/>
    <w:rsid w:val="009955A3"/>
    <w:rsid w:val="0099577C"/>
    <w:rsid w:val="00996B9B"/>
    <w:rsid w:val="009A021C"/>
    <w:rsid w:val="009A25CC"/>
    <w:rsid w:val="009A28C8"/>
    <w:rsid w:val="009A2E63"/>
    <w:rsid w:val="009B1A51"/>
    <w:rsid w:val="009B24A5"/>
    <w:rsid w:val="009B2601"/>
    <w:rsid w:val="009B4E9E"/>
    <w:rsid w:val="009C1690"/>
    <w:rsid w:val="009C6881"/>
    <w:rsid w:val="009C7759"/>
    <w:rsid w:val="009D043D"/>
    <w:rsid w:val="009D07C8"/>
    <w:rsid w:val="009D478B"/>
    <w:rsid w:val="009D4C85"/>
    <w:rsid w:val="009D6C71"/>
    <w:rsid w:val="009E0631"/>
    <w:rsid w:val="009E16D0"/>
    <w:rsid w:val="009E2051"/>
    <w:rsid w:val="009E38FD"/>
    <w:rsid w:val="009F13D6"/>
    <w:rsid w:val="009F4C6B"/>
    <w:rsid w:val="009F78A8"/>
    <w:rsid w:val="00A017E0"/>
    <w:rsid w:val="00A020BC"/>
    <w:rsid w:val="00A02AD6"/>
    <w:rsid w:val="00A07096"/>
    <w:rsid w:val="00A07318"/>
    <w:rsid w:val="00A1019C"/>
    <w:rsid w:val="00A11370"/>
    <w:rsid w:val="00A224CE"/>
    <w:rsid w:val="00A22522"/>
    <w:rsid w:val="00A24AFD"/>
    <w:rsid w:val="00A24F5C"/>
    <w:rsid w:val="00A327D0"/>
    <w:rsid w:val="00A32F96"/>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24E8"/>
    <w:rsid w:val="00A82661"/>
    <w:rsid w:val="00A85C35"/>
    <w:rsid w:val="00A967FD"/>
    <w:rsid w:val="00AA2DE5"/>
    <w:rsid w:val="00AA395F"/>
    <w:rsid w:val="00AB156C"/>
    <w:rsid w:val="00AB6814"/>
    <w:rsid w:val="00AC04BA"/>
    <w:rsid w:val="00AC0E39"/>
    <w:rsid w:val="00AC5F76"/>
    <w:rsid w:val="00AD3082"/>
    <w:rsid w:val="00AD32B4"/>
    <w:rsid w:val="00AD4AD0"/>
    <w:rsid w:val="00AD5436"/>
    <w:rsid w:val="00AD60CD"/>
    <w:rsid w:val="00AD6C8C"/>
    <w:rsid w:val="00AE091D"/>
    <w:rsid w:val="00AE3B60"/>
    <w:rsid w:val="00AE53A1"/>
    <w:rsid w:val="00AE6B24"/>
    <w:rsid w:val="00AF2484"/>
    <w:rsid w:val="00AF63E7"/>
    <w:rsid w:val="00AF6E17"/>
    <w:rsid w:val="00B0165D"/>
    <w:rsid w:val="00B01B60"/>
    <w:rsid w:val="00B031F3"/>
    <w:rsid w:val="00B052A4"/>
    <w:rsid w:val="00B125DE"/>
    <w:rsid w:val="00B13FDD"/>
    <w:rsid w:val="00B22EB2"/>
    <w:rsid w:val="00B27442"/>
    <w:rsid w:val="00B31167"/>
    <w:rsid w:val="00B32480"/>
    <w:rsid w:val="00B329D8"/>
    <w:rsid w:val="00B32BB9"/>
    <w:rsid w:val="00B33AE1"/>
    <w:rsid w:val="00B37C38"/>
    <w:rsid w:val="00B42480"/>
    <w:rsid w:val="00B4288C"/>
    <w:rsid w:val="00B43262"/>
    <w:rsid w:val="00B44100"/>
    <w:rsid w:val="00B46CBA"/>
    <w:rsid w:val="00B46F94"/>
    <w:rsid w:val="00B6003C"/>
    <w:rsid w:val="00B61F03"/>
    <w:rsid w:val="00B626E4"/>
    <w:rsid w:val="00B72F4A"/>
    <w:rsid w:val="00B83C27"/>
    <w:rsid w:val="00B84BC3"/>
    <w:rsid w:val="00B84BDD"/>
    <w:rsid w:val="00B92812"/>
    <w:rsid w:val="00BA66BC"/>
    <w:rsid w:val="00BB45A1"/>
    <w:rsid w:val="00BB6335"/>
    <w:rsid w:val="00BB7686"/>
    <w:rsid w:val="00BB7802"/>
    <w:rsid w:val="00BC23F9"/>
    <w:rsid w:val="00BC3421"/>
    <w:rsid w:val="00BC732C"/>
    <w:rsid w:val="00BD4421"/>
    <w:rsid w:val="00BE2580"/>
    <w:rsid w:val="00BE266D"/>
    <w:rsid w:val="00BE3792"/>
    <w:rsid w:val="00BE3938"/>
    <w:rsid w:val="00BE4C11"/>
    <w:rsid w:val="00BE71C0"/>
    <w:rsid w:val="00BF610C"/>
    <w:rsid w:val="00BF6E49"/>
    <w:rsid w:val="00C0060B"/>
    <w:rsid w:val="00C01A6C"/>
    <w:rsid w:val="00C0277D"/>
    <w:rsid w:val="00C02F26"/>
    <w:rsid w:val="00C053A1"/>
    <w:rsid w:val="00C116B3"/>
    <w:rsid w:val="00C126B2"/>
    <w:rsid w:val="00C15E3C"/>
    <w:rsid w:val="00C16198"/>
    <w:rsid w:val="00C17564"/>
    <w:rsid w:val="00C2083D"/>
    <w:rsid w:val="00C24466"/>
    <w:rsid w:val="00C24A53"/>
    <w:rsid w:val="00C34A05"/>
    <w:rsid w:val="00C35CCE"/>
    <w:rsid w:val="00C4032F"/>
    <w:rsid w:val="00C41F21"/>
    <w:rsid w:val="00C44047"/>
    <w:rsid w:val="00C45155"/>
    <w:rsid w:val="00C5498F"/>
    <w:rsid w:val="00C55235"/>
    <w:rsid w:val="00C64A17"/>
    <w:rsid w:val="00C64CD0"/>
    <w:rsid w:val="00C651D2"/>
    <w:rsid w:val="00C65F61"/>
    <w:rsid w:val="00C6684F"/>
    <w:rsid w:val="00C70E70"/>
    <w:rsid w:val="00C75F8D"/>
    <w:rsid w:val="00C77380"/>
    <w:rsid w:val="00C87E8A"/>
    <w:rsid w:val="00C913D6"/>
    <w:rsid w:val="00C97736"/>
    <w:rsid w:val="00CA00A6"/>
    <w:rsid w:val="00CA345A"/>
    <w:rsid w:val="00CA4518"/>
    <w:rsid w:val="00CB1E82"/>
    <w:rsid w:val="00CB4BA8"/>
    <w:rsid w:val="00CB52D7"/>
    <w:rsid w:val="00CC0569"/>
    <w:rsid w:val="00CC6732"/>
    <w:rsid w:val="00CD6ACF"/>
    <w:rsid w:val="00CD718E"/>
    <w:rsid w:val="00CE3C96"/>
    <w:rsid w:val="00CE51A8"/>
    <w:rsid w:val="00CF07EA"/>
    <w:rsid w:val="00CF0BFE"/>
    <w:rsid w:val="00CF369B"/>
    <w:rsid w:val="00D00E28"/>
    <w:rsid w:val="00D0269E"/>
    <w:rsid w:val="00D03276"/>
    <w:rsid w:val="00D05D6C"/>
    <w:rsid w:val="00D15810"/>
    <w:rsid w:val="00D16D4E"/>
    <w:rsid w:val="00D16FE3"/>
    <w:rsid w:val="00D27F41"/>
    <w:rsid w:val="00D36441"/>
    <w:rsid w:val="00D3705C"/>
    <w:rsid w:val="00D4064E"/>
    <w:rsid w:val="00D43B47"/>
    <w:rsid w:val="00D44E9B"/>
    <w:rsid w:val="00D47AEB"/>
    <w:rsid w:val="00D50DB9"/>
    <w:rsid w:val="00D51302"/>
    <w:rsid w:val="00D52C43"/>
    <w:rsid w:val="00D5503F"/>
    <w:rsid w:val="00D61243"/>
    <w:rsid w:val="00D6507F"/>
    <w:rsid w:val="00D730BC"/>
    <w:rsid w:val="00D73912"/>
    <w:rsid w:val="00D85226"/>
    <w:rsid w:val="00D87B94"/>
    <w:rsid w:val="00D92D49"/>
    <w:rsid w:val="00D92EC1"/>
    <w:rsid w:val="00D96DEA"/>
    <w:rsid w:val="00DA4E41"/>
    <w:rsid w:val="00DB117A"/>
    <w:rsid w:val="00DB5173"/>
    <w:rsid w:val="00DB7873"/>
    <w:rsid w:val="00DC187B"/>
    <w:rsid w:val="00DD1A43"/>
    <w:rsid w:val="00DD73C2"/>
    <w:rsid w:val="00DE319B"/>
    <w:rsid w:val="00DF34FE"/>
    <w:rsid w:val="00DF4D81"/>
    <w:rsid w:val="00DF56AA"/>
    <w:rsid w:val="00DF56AF"/>
    <w:rsid w:val="00DF78E7"/>
    <w:rsid w:val="00E01B5D"/>
    <w:rsid w:val="00E027D8"/>
    <w:rsid w:val="00E110E0"/>
    <w:rsid w:val="00E15371"/>
    <w:rsid w:val="00E162C4"/>
    <w:rsid w:val="00E21056"/>
    <w:rsid w:val="00E24104"/>
    <w:rsid w:val="00E302D0"/>
    <w:rsid w:val="00E35707"/>
    <w:rsid w:val="00E35FC3"/>
    <w:rsid w:val="00E36AA1"/>
    <w:rsid w:val="00E41ECB"/>
    <w:rsid w:val="00E42676"/>
    <w:rsid w:val="00E442B0"/>
    <w:rsid w:val="00E5426D"/>
    <w:rsid w:val="00E54FDB"/>
    <w:rsid w:val="00E5617D"/>
    <w:rsid w:val="00E563D7"/>
    <w:rsid w:val="00E663F4"/>
    <w:rsid w:val="00E666F2"/>
    <w:rsid w:val="00E66DD4"/>
    <w:rsid w:val="00E71872"/>
    <w:rsid w:val="00E748CC"/>
    <w:rsid w:val="00E74F15"/>
    <w:rsid w:val="00E75415"/>
    <w:rsid w:val="00E775B1"/>
    <w:rsid w:val="00E77682"/>
    <w:rsid w:val="00E810A7"/>
    <w:rsid w:val="00E8152A"/>
    <w:rsid w:val="00E84438"/>
    <w:rsid w:val="00E93629"/>
    <w:rsid w:val="00E93B5C"/>
    <w:rsid w:val="00E94CEC"/>
    <w:rsid w:val="00E96E2C"/>
    <w:rsid w:val="00EA04EF"/>
    <w:rsid w:val="00EA0969"/>
    <w:rsid w:val="00EA0D28"/>
    <w:rsid w:val="00EA53C3"/>
    <w:rsid w:val="00EA6C79"/>
    <w:rsid w:val="00EA6F19"/>
    <w:rsid w:val="00EA7E79"/>
    <w:rsid w:val="00EB7090"/>
    <w:rsid w:val="00EC1BBE"/>
    <w:rsid w:val="00EC2B68"/>
    <w:rsid w:val="00EC3AEF"/>
    <w:rsid w:val="00EC5CD7"/>
    <w:rsid w:val="00EE5FB3"/>
    <w:rsid w:val="00EE7F79"/>
    <w:rsid w:val="00EF715A"/>
    <w:rsid w:val="00F06E14"/>
    <w:rsid w:val="00F10725"/>
    <w:rsid w:val="00F179D4"/>
    <w:rsid w:val="00F22A23"/>
    <w:rsid w:val="00F33C56"/>
    <w:rsid w:val="00F347C7"/>
    <w:rsid w:val="00F34848"/>
    <w:rsid w:val="00F361D7"/>
    <w:rsid w:val="00F4231F"/>
    <w:rsid w:val="00F42D46"/>
    <w:rsid w:val="00F4496C"/>
    <w:rsid w:val="00F44F3A"/>
    <w:rsid w:val="00F477BB"/>
    <w:rsid w:val="00F51F10"/>
    <w:rsid w:val="00F529A5"/>
    <w:rsid w:val="00F5310D"/>
    <w:rsid w:val="00F60F00"/>
    <w:rsid w:val="00F614C0"/>
    <w:rsid w:val="00F83848"/>
    <w:rsid w:val="00F94AD6"/>
    <w:rsid w:val="00F975E9"/>
    <w:rsid w:val="00FA1B7D"/>
    <w:rsid w:val="00FB510B"/>
    <w:rsid w:val="00FC07B9"/>
    <w:rsid w:val="00FC4E21"/>
    <w:rsid w:val="00FC5F6D"/>
    <w:rsid w:val="00FD0107"/>
    <w:rsid w:val="00FD2C2F"/>
    <w:rsid w:val="00FD3B31"/>
    <w:rsid w:val="00FE1823"/>
    <w:rsid w:val="00FE487A"/>
    <w:rsid w:val="00FF0569"/>
    <w:rsid w:val="00FF206E"/>
    <w:rsid w:val="00FF3A53"/>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5DCD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uiPriority w:val="99"/>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
    <w:basedOn w:val="DefaultParagraphFont"/>
    <w:semiHidden/>
    <w:rsid w:val="00566AB4"/>
    <w:rPr>
      <w:rFonts w:ascii="Arial" w:hAnsi="Arial"/>
      <w:vertAlign w:val="superscript"/>
    </w:rPr>
  </w:style>
  <w:style w:type="paragraph" w:styleId="FootnoteText">
    <w:name w:val="footnote text"/>
    <w:aliases w:val="Footnote text,ACMA Footnote Text,footnote text,Footnote Text Char Char,Footnote Text Char1 Char Char,Footnote Text Char Char Char Char,Footnote Text Char1 Char Char Char Char,Footnote Text Char Char Char Char Char Char,f"/>
    <w:basedOn w:val="Normal"/>
    <w:link w:val="FootnoteTextChar"/>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customStyle="1" w:styleId="FootnoteTextChar">
    <w:name w:val="Footnote Text Char"/>
    <w:aliases w:val="Footnote text Char,ACMA Footnote Text Char,footnote text Char,Footnote Text Char Char Char,Footnote Text Char1 Char Char Char,Footnote Text Char Char Char Char Char,Footnote Text Char1 Char Char Char Char Char,f Char"/>
    <w:basedOn w:val="DefaultParagraphFont"/>
    <w:link w:val="FootnoteText"/>
    <w:locked/>
    <w:rsid w:val="00A020BC"/>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915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Details/F2022C00281" TargetMode="External"/><Relationship Id="rId21" Type="http://schemas.openxmlformats.org/officeDocument/2006/relationships/footer" Target="footer4.xml"/><Relationship Id="rId42" Type="http://schemas.openxmlformats.org/officeDocument/2006/relationships/hyperlink" Target="https://www.legislation.gov.au/Details/F2022C00281" TargetMode="External"/><Relationship Id="rId47" Type="http://schemas.openxmlformats.org/officeDocument/2006/relationships/footer" Target="footer7.xml"/><Relationship Id="rId63" Type="http://schemas.openxmlformats.org/officeDocument/2006/relationships/hyperlink" Target="https://www.legislation.gov.au/Details/F2021C00629" TargetMode="External"/><Relationship Id="rId68"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acma.gov.au/have-your-say" TargetMode="Externa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F2011L01520" TargetMode="External"/><Relationship Id="rId32" Type="http://schemas.openxmlformats.org/officeDocument/2006/relationships/hyperlink" Target="https://www.acma.gov.au/privacy-policy" TargetMode="External"/><Relationship Id="rId37" Type="http://schemas.openxmlformats.org/officeDocument/2006/relationships/hyperlink" Target="https://www.aph.gov.au/-/media/02_Parliamentary_Business/24_Committees/244_Joint_Committees/JSCT/2019/Convention_SKA/SKAO_Convention_Signed_12_March_2019.pdf" TargetMode="External"/><Relationship Id="rId40" Type="http://schemas.openxmlformats.org/officeDocument/2006/relationships/hyperlink" Target="https://www.acma.gov.au/publications/2019-08/instruction/rali-ms32-mid-west-radio-quiet-zone" TargetMode="External"/><Relationship Id="rId45" Type="http://schemas.openxmlformats.org/officeDocument/2006/relationships/header" Target="header7.xml"/><Relationship Id="rId53" Type="http://schemas.openxmlformats.org/officeDocument/2006/relationships/hyperlink" Target="https://www.legislation.gov.au/Details/F2021C00641" TargetMode="External"/><Relationship Id="rId58" Type="http://schemas.openxmlformats.org/officeDocument/2006/relationships/hyperlink" Target="https://www.legislation.gov.au/Details/F2021C01285" TargetMode="External"/><Relationship Id="rId66" Type="http://schemas.openxmlformats.org/officeDocument/2006/relationships/header" Target="header10.xml"/><Relationship Id="rId5" Type="http://schemas.openxmlformats.org/officeDocument/2006/relationships/webSettings" Target="webSettings.xml"/><Relationship Id="rId61" Type="http://schemas.openxmlformats.org/officeDocument/2006/relationships/hyperlink" Target="https://www.legislation.gov.au/Series/F2015L01114" TargetMode="External"/><Relationship Id="rId19" Type="http://schemas.openxmlformats.org/officeDocument/2006/relationships/header" Target="header5.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legislation.gov.au/Details/F2021C01285" TargetMode="External"/><Relationship Id="rId30" Type="http://schemas.openxmlformats.org/officeDocument/2006/relationships/hyperlink" Target="mailto:freqplan@acma.gov.au" TargetMode="External"/><Relationship Id="rId35" Type="http://schemas.openxmlformats.org/officeDocument/2006/relationships/hyperlink" Target="https://www.acma.gov.au/publications/2019-08/instruction/rali-ms32-mid-west-radio-quiet-zone" TargetMode="External"/><Relationship Id="rId43" Type="http://schemas.openxmlformats.org/officeDocument/2006/relationships/hyperlink" Target="https://www.legislation.gov.au/Details/F2022C00699" TargetMode="External"/><Relationship Id="rId48" Type="http://schemas.openxmlformats.org/officeDocument/2006/relationships/footer" Target="footer8.xml"/><Relationship Id="rId56" Type="http://schemas.openxmlformats.org/officeDocument/2006/relationships/hyperlink" Target="https://www.legislation.gov.au/Details/F2021C00645" TargetMode="External"/><Relationship Id="rId64" Type="http://schemas.openxmlformats.org/officeDocument/2006/relationships/hyperlink" Target="https://www.legislation.gov.au/Series/F2015L01510"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legislation.gov.au/Details/F2021C00648"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legislation.gov.au/Details/F2011L01520" TargetMode="External"/><Relationship Id="rId33" Type="http://schemas.openxmlformats.org/officeDocument/2006/relationships/hyperlink" Target="https://www.legislation.gov.au/Details/F2011L01520" TargetMode="External"/><Relationship Id="rId38" Type="http://schemas.openxmlformats.org/officeDocument/2006/relationships/hyperlink" Target="https://www.acma.gov.au/spectrum-embargoes" TargetMode="External"/><Relationship Id="rId46" Type="http://schemas.openxmlformats.org/officeDocument/2006/relationships/header" Target="header8.xml"/><Relationship Id="rId59" Type="http://schemas.openxmlformats.org/officeDocument/2006/relationships/hyperlink" Target="https://www.legislation.gov.au/Details/F2022C00281" TargetMode="External"/><Relationship Id="rId67" Type="http://schemas.openxmlformats.org/officeDocument/2006/relationships/footer" Target="footer9.xml"/><Relationship Id="rId20" Type="http://schemas.openxmlformats.org/officeDocument/2006/relationships/header" Target="header6.xml"/><Relationship Id="rId41" Type="http://schemas.openxmlformats.org/officeDocument/2006/relationships/hyperlink" Target="https://www.legislation.gov.au/Details/F2021L00617" TargetMode="External"/><Relationship Id="rId54" Type="http://schemas.openxmlformats.org/officeDocument/2006/relationships/hyperlink" Target="https://www.legislation.gov.au/Details/F2021C00632" TargetMode="External"/><Relationship Id="rId62" Type="http://schemas.openxmlformats.org/officeDocument/2006/relationships/hyperlink" Target="https://www.legislation.gov.au/Details/F2021C00640"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publications/2019-10/rules/embargo-41" TargetMode="External"/><Relationship Id="rId36" Type="http://schemas.openxmlformats.org/officeDocument/2006/relationships/hyperlink" Target="https://www.legislation.gov.au/Details/F2021L00617" TargetMode="External"/><Relationship Id="rId49" Type="http://schemas.openxmlformats.org/officeDocument/2006/relationships/image" Target="media/image4.jpeg"/><Relationship Id="rId57" Type="http://schemas.openxmlformats.org/officeDocument/2006/relationships/hyperlink" Target="https://www.legislation.gov.au/Details/F2021C00646" TargetMode="External"/><Relationship Id="rId10" Type="http://schemas.openxmlformats.org/officeDocument/2006/relationships/header" Target="header2.xml"/><Relationship Id="rId31" Type="http://schemas.openxmlformats.org/officeDocument/2006/relationships/hyperlink" Target="https://www.acma.gov.au/publication-submissions" TargetMode="External"/><Relationship Id="rId44" Type="http://schemas.openxmlformats.org/officeDocument/2006/relationships/hyperlink" Target="https://www.legislation.gov.au/Details/F2021C00632" TargetMode="External"/><Relationship Id="rId52" Type="http://schemas.openxmlformats.org/officeDocument/2006/relationships/hyperlink" Target="https://www.legislation.gov.au/Details/F2021C01284" TargetMode="External"/><Relationship Id="rId60" Type="http://schemas.openxmlformats.org/officeDocument/2006/relationships/hyperlink" Target="https://www.legislation.gov.au/Series/F2015L01197" TargetMode="External"/><Relationship Id="rId65"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39" Type="http://schemas.openxmlformats.org/officeDocument/2006/relationships/hyperlink" Target="https://www.acma.gov.au/publications/2019-10/rules/embargo-41" TargetMode="External"/><Relationship Id="rId34" Type="http://schemas.openxmlformats.org/officeDocument/2006/relationships/hyperlink" Target="https://www.acma.gov.au/publications/2019-10/rules/embargo-41" TargetMode="External"/><Relationship Id="rId50" Type="http://schemas.openxmlformats.org/officeDocument/2006/relationships/hyperlink" Target="https://www.legislation.gov.au/Details/F2021C00637" TargetMode="External"/><Relationship Id="rId55" Type="http://schemas.openxmlformats.org/officeDocument/2006/relationships/hyperlink" Target="https://www.legislation.gov.au/Details/F2022C00699"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4903</Words>
  <Characters>27213</Characters>
  <Application>Microsoft Office Word</Application>
  <DocSecurity>0</DocSecurity>
  <Lines>824</Lines>
  <Paragraphs>373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2022-10-12T01:28:00Z</dcterms:created>
  <dcterms:modified xsi:type="dcterms:W3CDTF">2022-10-12T01:31:00Z</dcterms:modified>
  <cp:category/>
</cp:coreProperties>
</file>