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9EA73" w14:textId="2AEB3D64" w:rsidR="00F06E14" w:rsidRPr="00A51D1A" w:rsidRDefault="00034905" w:rsidP="00A51D1A">
      <w:pPr>
        <w:pStyle w:val="Reporttitle"/>
      </w:pPr>
      <w:r>
        <w:t xml:space="preserve">Replanning the 2 GHz band: </w:t>
      </w:r>
      <w:r w:rsidR="009809B7">
        <w:t xml:space="preserve">Review of the 2 GHz Television Outside Broadcast </w:t>
      </w:r>
      <w:r w:rsidR="00FA216D">
        <w:t xml:space="preserve">Frequency </w:t>
      </w:r>
      <w:r w:rsidR="009809B7">
        <w:t>Band Plan</w:t>
      </w:r>
    </w:p>
    <w:p w14:paraId="78742939" w14:textId="76CC166D" w:rsidR="00F06E14" w:rsidRDefault="00770B3F" w:rsidP="00F06E14">
      <w:pPr>
        <w:pStyle w:val="Reportsubtitle"/>
      </w:pPr>
      <w:r>
        <w:t xml:space="preserve">Consultation </w:t>
      </w:r>
      <w:r w:rsidR="00BD39F8">
        <w:t>paper</w:t>
      </w:r>
    </w:p>
    <w:p w14:paraId="1A9C3F41" w14:textId="6D5A74A7" w:rsidR="00C97736" w:rsidRDefault="000C35F4" w:rsidP="00EC4D84">
      <w:pPr>
        <w:pStyle w:val="Reportdate"/>
        <w:spacing w:after="240"/>
      </w:pPr>
      <w:r>
        <w:t>DECE</w:t>
      </w:r>
      <w:r w:rsidR="00D25DBF">
        <w:t>M</w:t>
      </w:r>
      <w:r>
        <w:t>BER</w:t>
      </w:r>
      <w:r w:rsidR="00BD4421">
        <w:t xml:space="preserve"> 20</w:t>
      </w:r>
      <w:r w:rsidR="008E0428">
        <w:t>2</w:t>
      </w:r>
      <w:r w:rsidR="003253EE">
        <w:t>1</w:t>
      </w:r>
    </w:p>
    <w:p w14:paraId="2D47FF89" w14:textId="1AB74237" w:rsidR="00EC4D84" w:rsidRDefault="00EC4D84" w:rsidP="00EC2B68">
      <w:pPr>
        <w:pStyle w:val="Reportdate"/>
        <w:spacing w:after="720"/>
      </w:pPr>
      <w:r>
        <w:t>updated 7 february 2022</w:t>
      </w:r>
    </w:p>
    <w:p w14:paraId="09612EAF" w14:textId="77777777" w:rsidR="00EC4D84" w:rsidRDefault="00EC4D84" w:rsidP="00EC2B68">
      <w:pPr>
        <w:pStyle w:val="Reportdate"/>
        <w:spacing w:after="720"/>
      </w:pPr>
    </w:p>
    <w:p w14:paraId="1B5E5BAE" w14:textId="7008BF35" w:rsidR="00EC4D84" w:rsidRPr="000D76E0" w:rsidRDefault="00EC4D84" w:rsidP="00EC2B68">
      <w:pPr>
        <w:pStyle w:val="Reportdate"/>
        <w:spacing w:after="720"/>
        <w:rPr>
          <w:rFonts w:cs="Arial"/>
        </w:rPr>
        <w:sectPr w:rsidR="00EC4D84" w:rsidRPr="000D76E0"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p>
    <w:p w14:paraId="0DEFF250" w14:textId="77777777" w:rsidR="0005011A" w:rsidRPr="00F44F3A" w:rsidRDefault="0005011A" w:rsidP="00FC07B9">
      <w:pPr>
        <w:pStyle w:val="ACMACorporateAddressHeader"/>
      </w:pPr>
      <w:r w:rsidRPr="00F44F3A">
        <w:lastRenderedPageBreak/>
        <w:t>Canberra</w:t>
      </w:r>
    </w:p>
    <w:p w14:paraId="492FA135"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4348464B" w14:textId="77777777" w:rsidR="0005011A" w:rsidRPr="00FC07B9" w:rsidRDefault="0005011A" w:rsidP="00FC07B9">
      <w:pPr>
        <w:pStyle w:val="ACMACorporateAddresses"/>
      </w:pPr>
      <w:r w:rsidRPr="00FC07B9">
        <w:t>PO Box 78</w:t>
      </w:r>
      <w:r w:rsidRPr="00FC07B9">
        <w:br/>
        <w:t>Belconnen ACT 2616</w:t>
      </w:r>
    </w:p>
    <w:p w14:paraId="46BD957F"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721CF257" w14:textId="77777777" w:rsidR="0005011A" w:rsidRPr="00F44F3A" w:rsidRDefault="0005011A" w:rsidP="00FC07B9">
      <w:pPr>
        <w:pStyle w:val="ACMACorporateAddressHeader"/>
      </w:pPr>
      <w:r w:rsidRPr="00F44F3A">
        <w:t>Melbourne</w:t>
      </w:r>
    </w:p>
    <w:p w14:paraId="5B89DF33"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5344A16F"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0AF20D79"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02FB8EE3" w14:textId="77777777" w:rsidR="0005011A" w:rsidRPr="00F44F3A" w:rsidRDefault="0005011A" w:rsidP="00FC07B9">
      <w:pPr>
        <w:pStyle w:val="ACMACorporateAddressHeader"/>
      </w:pPr>
      <w:r w:rsidRPr="00F44F3A">
        <w:t>Sydney</w:t>
      </w:r>
    </w:p>
    <w:p w14:paraId="07A54939"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6AF6D05F"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19A4B3FB"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5E9968E4" w14:textId="77777777" w:rsidR="00140318" w:rsidRPr="006D46E5" w:rsidRDefault="00140318" w:rsidP="00FC07B9">
      <w:pPr>
        <w:pStyle w:val="ACMACopyrightHeader"/>
      </w:pPr>
      <w:r w:rsidRPr="00140318">
        <w:t>Copyright notice</w:t>
      </w:r>
    </w:p>
    <w:p w14:paraId="3E59E252" w14:textId="77777777" w:rsidR="00140318" w:rsidRPr="006D46E5" w:rsidRDefault="00623FF9" w:rsidP="00623FF9">
      <w:pPr>
        <w:pStyle w:val="ACMACClogo"/>
      </w:pPr>
      <w:r w:rsidRPr="00623FF9">
        <w:rPr>
          <w:noProof/>
        </w:rPr>
        <w:drawing>
          <wp:inline distT="0" distB="0" distL="0" distR="0" wp14:anchorId="323DEE42" wp14:editId="0CEA2BF4">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194C486C" w14:textId="77777777" w:rsidR="00AA2DE5" w:rsidRDefault="00DE3472" w:rsidP="00AA2DE5">
      <w:pPr>
        <w:pStyle w:val="ACMACorporateAddresses"/>
        <w:rPr>
          <w:rStyle w:val="Hyperlink"/>
        </w:rPr>
      </w:pPr>
      <w:hyperlink r:id="rId13" w:history="1">
        <w:r w:rsidR="00AA2DE5">
          <w:rPr>
            <w:rStyle w:val="Hyperlink"/>
          </w:rPr>
          <w:t>https://creativecommons.org/licenses/by/4.0/</w:t>
        </w:r>
      </w:hyperlink>
    </w:p>
    <w:p w14:paraId="1E83088A" w14:textId="77777777" w:rsidR="00AA2DE5" w:rsidRDefault="00AA2DE5" w:rsidP="00AA2DE5">
      <w:pPr>
        <w:pStyle w:val="ACMACorporateAddresses"/>
      </w:pPr>
      <w:r>
        <w:t xml:space="preserve">With the exception of coats of arms, logos, emblems, images, other third-party material or devices protected by a trademark, this content is made available under the terms of the Creative Commons Attribution 4.0 International (CC BY 4.0) licence. </w:t>
      </w:r>
    </w:p>
    <w:p w14:paraId="23EB5D8B" w14:textId="77777777" w:rsidR="00AA2DE5" w:rsidRDefault="00AA2DE5" w:rsidP="00AA2DE5">
      <w:pPr>
        <w:pStyle w:val="ACMACorporateAddresses"/>
      </w:pPr>
      <w:r>
        <w:t>We request attribution as © Commonwealth of Australia (Australian Communications and Media Authority) 20</w:t>
      </w:r>
      <w:r w:rsidR="00C41F21">
        <w:t>2</w:t>
      </w:r>
      <w:r w:rsidR="00023A36">
        <w:t>1</w:t>
      </w:r>
      <w:r>
        <w:t>.</w:t>
      </w:r>
    </w:p>
    <w:p w14:paraId="177054F2" w14:textId="77777777" w:rsidR="00AA2DE5" w:rsidRDefault="00AA2DE5" w:rsidP="00AA2DE5">
      <w:pPr>
        <w:pStyle w:val="ACMACorporateAddresses"/>
      </w:pPr>
      <w:r>
        <w:t>All other rights are reserved.</w:t>
      </w:r>
    </w:p>
    <w:p w14:paraId="4B778B46" w14:textId="77777777" w:rsidR="00AA2DE5" w:rsidRDefault="00AA2DE5" w:rsidP="00AA2DE5">
      <w:pPr>
        <w:pStyle w:val="ACMACorporateAddresses"/>
      </w:pPr>
      <w: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4426E195" w14:textId="77777777" w:rsidR="00AA2DE5" w:rsidRDefault="00AA2DE5" w:rsidP="00AA2DE5">
      <w:pPr>
        <w:pStyle w:val="ACMACorporateAddresses"/>
      </w:pPr>
      <w:r>
        <w:t>Written enquiries may be sent to:</w:t>
      </w:r>
    </w:p>
    <w:p w14:paraId="22A8F336" w14:textId="77777777" w:rsidR="00AA2DE5" w:rsidRDefault="00AA2DE5" w:rsidP="00AA2DE5">
      <w:pPr>
        <w:pStyle w:val="ACMACorporateAddresses"/>
        <w:rPr>
          <w:rStyle w:val="Hyperlink"/>
        </w:rPr>
      </w:pPr>
      <w:r>
        <w:t xml:space="preserve">Manager, Editorial </w:t>
      </w:r>
      <w:r w:rsidR="000245E5">
        <w:t>Services</w:t>
      </w:r>
      <w:r>
        <w:br/>
        <w:t>PO Box 13112</w:t>
      </w:r>
      <w:r>
        <w:br/>
        <w:t>Law Courts</w:t>
      </w:r>
      <w:r>
        <w:br/>
        <w:t>Melbourne VIC 8010</w:t>
      </w:r>
      <w:r>
        <w:br/>
        <w:t xml:space="preserve">Email: </w:t>
      </w:r>
      <w:hyperlink r:id="rId14" w:history="1">
        <w:r>
          <w:rPr>
            <w:rStyle w:val="Hyperlink"/>
          </w:rPr>
          <w:t>info@acma.gov.au</w:t>
        </w:r>
      </w:hyperlink>
    </w:p>
    <w:p w14:paraId="46872F8A" w14:textId="77777777" w:rsidR="00D16FE3" w:rsidRDefault="00D16FE3" w:rsidP="00D16FE3">
      <w:pPr>
        <w:pStyle w:val="ACMACorporateAddresses"/>
        <w:rPr>
          <w:rStyle w:val="Hyperlink"/>
        </w:rPr>
      </w:pPr>
    </w:p>
    <w:p w14:paraId="4B37A191" w14:textId="77777777" w:rsidR="00D16FE3" w:rsidRPr="00D16FE3" w:rsidRDefault="00D16FE3" w:rsidP="00D16FE3">
      <w:pPr>
        <w:pStyle w:val="ACMACorporateAddresses"/>
        <w:sectPr w:rsidR="00D16FE3" w:rsidRPr="00D16FE3">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02BBE723" w14:textId="275D5627" w:rsidR="00494877" w:rsidRDefault="006A3ECF">
      <w:pPr>
        <w:pStyle w:val="TOC1"/>
        <w:rPr>
          <w:rFonts w:asciiTheme="minorHAnsi" w:eastAsiaTheme="minorEastAsia" w:hAnsiTheme="minorHAnsi" w:cstheme="minorBidi"/>
          <w:b w:val="0"/>
          <w:spacing w:val="0"/>
          <w:sz w:val="22"/>
          <w:szCs w:val="22"/>
        </w:rPr>
      </w:pPr>
      <w:r>
        <w:rPr>
          <w:rFonts w:cs="Arial"/>
        </w:rPr>
        <w:lastRenderedPageBreak/>
        <w:fldChar w:fldCharType="begin"/>
      </w:r>
      <w:r>
        <w:rPr>
          <w:rFonts w:cs="Arial"/>
        </w:rPr>
        <w:instrText xml:space="preserve"> TOC \o "1-2" \h \z \t "Exec summary heading,1" </w:instrText>
      </w:r>
      <w:r>
        <w:rPr>
          <w:rFonts w:cs="Arial"/>
        </w:rPr>
        <w:fldChar w:fldCharType="separate"/>
      </w:r>
      <w:hyperlink w:anchor="_Toc88819868" w:history="1">
        <w:r w:rsidR="00494877" w:rsidRPr="00060792">
          <w:rPr>
            <w:rStyle w:val="Hyperlink"/>
          </w:rPr>
          <w:t>Executive summary</w:t>
        </w:r>
        <w:r w:rsidR="00494877">
          <w:rPr>
            <w:webHidden/>
          </w:rPr>
          <w:tab/>
        </w:r>
        <w:r w:rsidR="00494877">
          <w:rPr>
            <w:webHidden/>
          </w:rPr>
          <w:fldChar w:fldCharType="begin"/>
        </w:r>
        <w:r w:rsidR="00494877">
          <w:rPr>
            <w:webHidden/>
          </w:rPr>
          <w:instrText xml:space="preserve"> PAGEREF _Toc88819868 \h </w:instrText>
        </w:r>
        <w:r w:rsidR="00494877">
          <w:rPr>
            <w:webHidden/>
          </w:rPr>
        </w:r>
        <w:r w:rsidR="00494877">
          <w:rPr>
            <w:webHidden/>
          </w:rPr>
          <w:fldChar w:fldCharType="separate"/>
        </w:r>
        <w:r w:rsidR="00FF6EDD">
          <w:rPr>
            <w:webHidden/>
          </w:rPr>
          <w:t>1</w:t>
        </w:r>
        <w:r w:rsidR="00494877">
          <w:rPr>
            <w:webHidden/>
          </w:rPr>
          <w:fldChar w:fldCharType="end"/>
        </w:r>
      </w:hyperlink>
    </w:p>
    <w:p w14:paraId="7D9ED7A4" w14:textId="0E21290A" w:rsidR="00494877" w:rsidRDefault="00DE3472">
      <w:pPr>
        <w:pStyle w:val="TOC1"/>
        <w:rPr>
          <w:rFonts w:asciiTheme="minorHAnsi" w:eastAsiaTheme="minorEastAsia" w:hAnsiTheme="minorHAnsi" w:cstheme="minorBidi"/>
          <w:b w:val="0"/>
          <w:spacing w:val="0"/>
          <w:sz w:val="22"/>
          <w:szCs w:val="22"/>
        </w:rPr>
      </w:pPr>
      <w:hyperlink w:anchor="_Toc88819869" w:history="1">
        <w:r w:rsidR="00494877" w:rsidRPr="00060792">
          <w:rPr>
            <w:rStyle w:val="Hyperlink"/>
          </w:rPr>
          <w:t>Issue/s for comment</w:t>
        </w:r>
        <w:r w:rsidR="00494877">
          <w:rPr>
            <w:webHidden/>
          </w:rPr>
          <w:tab/>
        </w:r>
        <w:r w:rsidR="00494877">
          <w:rPr>
            <w:webHidden/>
          </w:rPr>
          <w:fldChar w:fldCharType="begin"/>
        </w:r>
        <w:r w:rsidR="00494877">
          <w:rPr>
            <w:webHidden/>
          </w:rPr>
          <w:instrText xml:space="preserve"> PAGEREF _Toc88819869 \h </w:instrText>
        </w:r>
        <w:r w:rsidR="00494877">
          <w:rPr>
            <w:webHidden/>
          </w:rPr>
        </w:r>
        <w:r w:rsidR="00494877">
          <w:rPr>
            <w:webHidden/>
          </w:rPr>
          <w:fldChar w:fldCharType="separate"/>
        </w:r>
        <w:r w:rsidR="00FF6EDD">
          <w:rPr>
            <w:webHidden/>
          </w:rPr>
          <w:t>3</w:t>
        </w:r>
        <w:r w:rsidR="00494877">
          <w:rPr>
            <w:webHidden/>
          </w:rPr>
          <w:fldChar w:fldCharType="end"/>
        </w:r>
      </w:hyperlink>
    </w:p>
    <w:p w14:paraId="51C3BC0B" w14:textId="7BCB26CD" w:rsidR="00494877" w:rsidRDefault="00DE3472">
      <w:pPr>
        <w:pStyle w:val="TOC1"/>
        <w:rPr>
          <w:rFonts w:asciiTheme="minorHAnsi" w:eastAsiaTheme="minorEastAsia" w:hAnsiTheme="minorHAnsi" w:cstheme="minorBidi"/>
          <w:b w:val="0"/>
          <w:spacing w:val="0"/>
          <w:sz w:val="22"/>
          <w:szCs w:val="22"/>
        </w:rPr>
      </w:pPr>
      <w:hyperlink w:anchor="_Toc88819870" w:history="1">
        <w:r w:rsidR="00494877" w:rsidRPr="00060792">
          <w:rPr>
            <w:rStyle w:val="Hyperlink"/>
          </w:rPr>
          <w:t>Introduction</w:t>
        </w:r>
        <w:r w:rsidR="00494877">
          <w:rPr>
            <w:webHidden/>
          </w:rPr>
          <w:tab/>
        </w:r>
        <w:r w:rsidR="00494877">
          <w:rPr>
            <w:webHidden/>
          </w:rPr>
          <w:fldChar w:fldCharType="begin"/>
        </w:r>
        <w:r w:rsidR="00494877">
          <w:rPr>
            <w:webHidden/>
          </w:rPr>
          <w:instrText xml:space="preserve"> PAGEREF _Toc88819870 \h </w:instrText>
        </w:r>
        <w:r w:rsidR="00494877">
          <w:rPr>
            <w:webHidden/>
          </w:rPr>
        </w:r>
        <w:r w:rsidR="00494877">
          <w:rPr>
            <w:webHidden/>
          </w:rPr>
          <w:fldChar w:fldCharType="separate"/>
        </w:r>
        <w:r w:rsidR="00FF6EDD">
          <w:rPr>
            <w:webHidden/>
          </w:rPr>
          <w:t>4</w:t>
        </w:r>
        <w:r w:rsidR="00494877">
          <w:rPr>
            <w:webHidden/>
          </w:rPr>
          <w:fldChar w:fldCharType="end"/>
        </w:r>
      </w:hyperlink>
    </w:p>
    <w:p w14:paraId="5D11E084" w14:textId="07805659" w:rsidR="00494877" w:rsidRDefault="00DE3472">
      <w:pPr>
        <w:pStyle w:val="TOC2"/>
        <w:rPr>
          <w:rFonts w:asciiTheme="minorHAnsi" w:eastAsiaTheme="minorEastAsia" w:hAnsiTheme="minorHAnsi" w:cstheme="minorBidi"/>
          <w:spacing w:val="0"/>
          <w:sz w:val="22"/>
          <w:szCs w:val="22"/>
        </w:rPr>
      </w:pPr>
      <w:hyperlink w:anchor="_Toc88819871" w:history="1">
        <w:r w:rsidR="00494877" w:rsidRPr="00060792">
          <w:rPr>
            <w:rStyle w:val="Hyperlink"/>
          </w:rPr>
          <w:t>Background</w:t>
        </w:r>
        <w:r w:rsidR="00494877">
          <w:rPr>
            <w:webHidden/>
          </w:rPr>
          <w:tab/>
        </w:r>
        <w:r w:rsidR="00494877">
          <w:rPr>
            <w:webHidden/>
          </w:rPr>
          <w:fldChar w:fldCharType="begin"/>
        </w:r>
        <w:r w:rsidR="00494877">
          <w:rPr>
            <w:webHidden/>
          </w:rPr>
          <w:instrText xml:space="preserve"> PAGEREF _Toc88819871 \h </w:instrText>
        </w:r>
        <w:r w:rsidR="00494877">
          <w:rPr>
            <w:webHidden/>
          </w:rPr>
        </w:r>
        <w:r w:rsidR="00494877">
          <w:rPr>
            <w:webHidden/>
          </w:rPr>
          <w:fldChar w:fldCharType="separate"/>
        </w:r>
        <w:r w:rsidR="00FF6EDD">
          <w:rPr>
            <w:webHidden/>
          </w:rPr>
          <w:t>4</w:t>
        </w:r>
        <w:r w:rsidR="00494877">
          <w:rPr>
            <w:webHidden/>
          </w:rPr>
          <w:fldChar w:fldCharType="end"/>
        </w:r>
      </w:hyperlink>
    </w:p>
    <w:p w14:paraId="11DEFEB9" w14:textId="7BBFDD55" w:rsidR="00494877" w:rsidRDefault="00DE3472">
      <w:pPr>
        <w:pStyle w:val="TOC2"/>
        <w:rPr>
          <w:rFonts w:asciiTheme="minorHAnsi" w:eastAsiaTheme="minorEastAsia" w:hAnsiTheme="minorHAnsi" w:cstheme="minorBidi"/>
          <w:spacing w:val="0"/>
          <w:sz w:val="22"/>
          <w:szCs w:val="22"/>
        </w:rPr>
      </w:pPr>
      <w:hyperlink w:anchor="_Toc88819872" w:history="1">
        <w:r w:rsidR="00494877" w:rsidRPr="00060792">
          <w:rPr>
            <w:rStyle w:val="Hyperlink"/>
          </w:rPr>
          <w:t>Proposed frequency band plans for the 2 GHz band</w:t>
        </w:r>
        <w:r w:rsidR="00494877">
          <w:rPr>
            <w:webHidden/>
          </w:rPr>
          <w:tab/>
        </w:r>
        <w:r w:rsidR="00494877">
          <w:rPr>
            <w:webHidden/>
          </w:rPr>
          <w:fldChar w:fldCharType="begin"/>
        </w:r>
        <w:r w:rsidR="00494877">
          <w:rPr>
            <w:webHidden/>
          </w:rPr>
          <w:instrText xml:space="preserve"> PAGEREF _Toc88819872 \h </w:instrText>
        </w:r>
        <w:r w:rsidR="00494877">
          <w:rPr>
            <w:webHidden/>
          </w:rPr>
        </w:r>
        <w:r w:rsidR="00494877">
          <w:rPr>
            <w:webHidden/>
          </w:rPr>
          <w:fldChar w:fldCharType="separate"/>
        </w:r>
        <w:r w:rsidR="00FF6EDD">
          <w:rPr>
            <w:webHidden/>
          </w:rPr>
          <w:t>4</w:t>
        </w:r>
        <w:r w:rsidR="00494877">
          <w:rPr>
            <w:webHidden/>
          </w:rPr>
          <w:fldChar w:fldCharType="end"/>
        </w:r>
      </w:hyperlink>
    </w:p>
    <w:p w14:paraId="32DEBFB9" w14:textId="4E640B02" w:rsidR="00494877" w:rsidRDefault="00DE3472">
      <w:pPr>
        <w:pStyle w:val="TOC2"/>
        <w:rPr>
          <w:rFonts w:asciiTheme="minorHAnsi" w:eastAsiaTheme="minorEastAsia" w:hAnsiTheme="minorHAnsi" w:cstheme="minorBidi"/>
          <w:spacing w:val="0"/>
          <w:sz w:val="22"/>
          <w:szCs w:val="22"/>
        </w:rPr>
      </w:pPr>
      <w:hyperlink w:anchor="_Toc88819873" w:history="1">
        <w:r w:rsidR="00494877" w:rsidRPr="00060792">
          <w:rPr>
            <w:rStyle w:val="Hyperlink"/>
          </w:rPr>
          <w:t>Implementation progress</w:t>
        </w:r>
        <w:r w:rsidR="00494877">
          <w:rPr>
            <w:webHidden/>
          </w:rPr>
          <w:tab/>
        </w:r>
        <w:r w:rsidR="00494877">
          <w:rPr>
            <w:webHidden/>
          </w:rPr>
          <w:fldChar w:fldCharType="begin"/>
        </w:r>
        <w:r w:rsidR="00494877">
          <w:rPr>
            <w:webHidden/>
          </w:rPr>
          <w:instrText xml:space="preserve"> PAGEREF _Toc88819873 \h </w:instrText>
        </w:r>
        <w:r w:rsidR="00494877">
          <w:rPr>
            <w:webHidden/>
          </w:rPr>
        </w:r>
        <w:r w:rsidR="00494877">
          <w:rPr>
            <w:webHidden/>
          </w:rPr>
          <w:fldChar w:fldCharType="separate"/>
        </w:r>
        <w:r w:rsidR="00FF6EDD">
          <w:rPr>
            <w:webHidden/>
          </w:rPr>
          <w:t>5</w:t>
        </w:r>
        <w:r w:rsidR="00494877">
          <w:rPr>
            <w:webHidden/>
          </w:rPr>
          <w:fldChar w:fldCharType="end"/>
        </w:r>
      </w:hyperlink>
    </w:p>
    <w:p w14:paraId="266DDEBF" w14:textId="69DF18D1" w:rsidR="00494877" w:rsidRDefault="00DE3472">
      <w:pPr>
        <w:pStyle w:val="TOC1"/>
        <w:rPr>
          <w:rFonts w:asciiTheme="minorHAnsi" w:eastAsiaTheme="minorEastAsia" w:hAnsiTheme="minorHAnsi" w:cstheme="minorBidi"/>
          <w:b w:val="0"/>
          <w:spacing w:val="0"/>
          <w:sz w:val="22"/>
          <w:szCs w:val="22"/>
        </w:rPr>
      </w:pPr>
      <w:hyperlink w:anchor="_Toc88819874" w:history="1">
        <w:r w:rsidR="00494877" w:rsidRPr="00060792">
          <w:rPr>
            <w:rStyle w:val="Hyperlink"/>
          </w:rPr>
          <w:t>2 GHz MSS band plan</w:t>
        </w:r>
        <w:r w:rsidR="00494877">
          <w:rPr>
            <w:webHidden/>
          </w:rPr>
          <w:tab/>
        </w:r>
        <w:r w:rsidR="00494877">
          <w:rPr>
            <w:webHidden/>
          </w:rPr>
          <w:fldChar w:fldCharType="begin"/>
        </w:r>
        <w:r w:rsidR="00494877">
          <w:rPr>
            <w:webHidden/>
          </w:rPr>
          <w:instrText xml:space="preserve"> PAGEREF _Toc88819874 \h </w:instrText>
        </w:r>
        <w:r w:rsidR="00494877">
          <w:rPr>
            <w:webHidden/>
          </w:rPr>
        </w:r>
        <w:r w:rsidR="00494877">
          <w:rPr>
            <w:webHidden/>
          </w:rPr>
          <w:fldChar w:fldCharType="separate"/>
        </w:r>
        <w:r w:rsidR="00FF6EDD">
          <w:rPr>
            <w:webHidden/>
          </w:rPr>
          <w:t>6</w:t>
        </w:r>
        <w:r w:rsidR="00494877">
          <w:rPr>
            <w:webHidden/>
          </w:rPr>
          <w:fldChar w:fldCharType="end"/>
        </w:r>
      </w:hyperlink>
    </w:p>
    <w:p w14:paraId="60070440" w14:textId="020AD05E" w:rsidR="00494877" w:rsidRDefault="00DE3472">
      <w:pPr>
        <w:pStyle w:val="TOC2"/>
        <w:rPr>
          <w:rFonts w:asciiTheme="minorHAnsi" w:eastAsiaTheme="minorEastAsia" w:hAnsiTheme="minorHAnsi" w:cstheme="minorBidi"/>
          <w:spacing w:val="0"/>
          <w:sz w:val="22"/>
          <w:szCs w:val="22"/>
        </w:rPr>
      </w:pPr>
      <w:hyperlink w:anchor="_Toc88819875" w:history="1">
        <w:r w:rsidR="00494877" w:rsidRPr="00060792">
          <w:rPr>
            <w:rStyle w:val="Hyperlink"/>
          </w:rPr>
          <w:t>Transition timeframes</w:t>
        </w:r>
        <w:r w:rsidR="00494877">
          <w:rPr>
            <w:webHidden/>
          </w:rPr>
          <w:tab/>
        </w:r>
        <w:r w:rsidR="00494877">
          <w:rPr>
            <w:webHidden/>
          </w:rPr>
          <w:fldChar w:fldCharType="begin"/>
        </w:r>
        <w:r w:rsidR="00494877">
          <w:rPr>
            <w:webHidden/>
          </w:rPr>
          <w:instrText xml:space="preserve"> PAGEREF _Toc88819875 \h </w:instrText>
        </w:r>
        <w:r w:rsidR="00494877">
          <w:rPr>
            <w:webHidden/>
          </w:rPr>
        </w:r>
        <w:r w:rsidR="00494877">
          <w:rPr>
            <w:webHidden/>
          </w:rPr>
          <w:fldChar w:fldCharType="separate"/>
        </w:r>
        <w:r w:rsidR="00FF6EDD">
          <w:rPr>
            <w:webHidden/>
          </w:rPr>
          <w:t>6</w:t>
        </w:r>
        <w:r w:rsidR="00494877">
          <w:rPr>
            <w:webHidden/>
          </w:rPr>
          <w:fldChar w:fldCharType="end"/>
        </w:r>
      </w:hyperlink>
    </w:p>
    <w:p w14:paraId="083AF44E" w14:textId="408615BB" w:rsidR="00494877" w:rsidRDefault="00DE3472">
      <w:pPr>
        <w:pStyle w:val="TOC2"/>
        <w:rPr>
          <w:rFonts w:asciiTheme="minorHAnsi" w:eastAsiaTheme="minorEastAsia" w:hAnsiTheme="minorHAnsi" w:cstheme="minorBidi"/>
          <w:spacing w:val="0"/>
          <w:sz w:val="22"/>
          <w:szCs w:val="22"/>
        </w:rPr>
      </w:pPr>
      <w:hyperlink w:anchor="_Toc88819876" w:history="1">
        <w:r w:rsidR="00494877" w:rsidRPr="00060792">
          <w:rPr>
            <w:rStyle w:val="Hyperlink"/>
          </w:rPr>
          <w:t>TOB and MSS licensing arrangements during the transition period</w:t>
        </w:r>
        <w:r w:rsidR="00494877">
          <w:rPr>
            <w:webHidden/>
          </w:rPr>
          <w:tab/>
        </w:r>
        <w:r w:rsidR="00494877">
          <w:rPr>
            <w:webHidden/>
          </w:rPr>
          <w:fldChar w:fldCharType="begin"/>
        </w:r>
        <w:r w:rsidR="00494877">
          <w:rPr>
            <w:webHidden/>
          </w:rPr>
          <w:instrText xml:space="preserve"> PAGEREF _Toc88819876 \h </w:instrText>
        </w:r>
        <w:r w:rsidR="00494877">
          <w:rPr>
            <w:webHidden/>
          </w:rPr>
        </w:r>
        <w:r w:rsidR="00494877">
          <w:rPr>
            <w:webHidden/>
          </w:rPr>
          <w:fldChar w:fldCharType="separate"/>
        </w:r>
        <w:r w:rsidR="00FF6EDD">
          <w:rPr>
            <w:webHidden/>
          </w:rPr>
          <w:t>10</w:t>
        </w:r>
        <w:r w:rsidR="00494877">
          <w:rPr>
            <w:webHidden/>
          </w:rPr>
          <w:fldChar w:fldCharType="end"/>
        </w:r>
      </w:hyperlink>
    </w:p>
    <w:p w14:paraId="58BAFAC6" w14:textId="1436FCC7" w:rsidR="00494877" w:rsidRDefault="00DE3472">
      <w:pPr>
        <w:pStyle w:val="TOC2"/>
        <w:rPr>
          <w:rFonts w:asciiTheme="minorHAnsi" w:eastAsiaTheme="minorEastAsia" w:hAnsiTheme="minorHAnsi" w:cstheme="minorBidi"/>
          <w:spacing w:val="0"/>
          <w:sz w:val="22"/>
          <w:szCs w:val="22"/>
        </w:rPr>
      </w:pPr>
      <w:hyperlink w:anchor="_Toc88819877" w:history="1">
        <w:r w:rsidR="00494877" w:rsidRPr="00060792">
          <w:rPr>
            <w:rStyle w:val="Hyperlink"/>
          </w:rPr>
          <w:t>Complementary ground component and direct air-to-ground services</w:t>
        </w:r>
        <w:r w:rsidR="00494877">
          <w:rPr>
            <w:webHidden/>
          </w:rPr>
          <w:tab/>
        </w:r>
        <w:r w:rsidR="00494877">
          <w:rPr>
            <w:webHidden/>
          </w:rPr>
          <w:fldChar w:fldCharType="begin"/>
        </w:r>
        <w:r w:rsidR="00494877">
          <w:rPr>
            <w:webHidden/>
          </w:rPr>
          <w:instrText xml:space="preserve"> PAGEREF _Toc88819877 \h </w:instrText>
        </w:r>
        <w:r w:rsidR="00494877">
          <w:rPr>
            <w:webHidden/>
          </w:rPr>
        </w:r>
        <w:r w:rsidR="00494877">
          <w:rPr>
            <w:webHidden/>
          </w:rPr>
          <w:fldChar w:fldCharType="separate"/>
        </w:r>
        <w:r w:rsidR="00FF6EDD">
          <w:rPr>
            <w:webHidden/>
          </w:rPr>
          <w:t>11</w:t>
        </w:r>
        <w:r w:rsidR="00494877">
          <w:rPr>
            <w:webHidden/>
          </w:rPr>
          <w:fldChar w:fldCharType="end"/>
        </w:r>
      </w:hyperlink>
    </w:p>
    <w:p w14:paraId="18335EBD" w14:textId="00B04423" w:rsidR="00494877" w:rsidRDefault="00DE3472">
      <w:pPr>
        <w:pStyle w:val="TOC2"/>
        <w:rPr>
          <w:rFonts w:asciiTheme="minorHAnsi" w:eastAsiaTheme="minorEastAsia" w:hAnsiTheme="minorHAnsi" w:cstheme="minorBidi"/>
          <w:spacing w:val="0"/>
          <w:sz w:val="22"/>
          <w:szCs w:val="22"/>
        </w:rPr>
      </w:pPr>
      <w:hyperlink w:anchor="_Toc88819878" w:history="1">
        <w:r w:rsidR="00494877" w:rsidRPr="00060792">
          <w:rPr>
            <w:rStyle w:val="Hyperlink"/>
          </w:rPr>
          <w:t>Consequential amendments to other spectrum planning arrangements</w:t>
        </w:r>
        <w:r w:rsidR="00494877">
          <w:rPr>
            <w:webHidden/>
          </w:rPr>
          <w:tab/>
        </w:r>
        <w:r w:rsidR="00494877">
          <w:rPr>
            <w:webHidden/>
          </w:rPr>
          <w:fldChar w:fldCharType="begin"/>
        </w:r>
        <w:r w:rsidR="00494877">
          <w:rPr>
            <w:webHidden/>
          </w:rPr>
          <w:instrText xml:space="preserve"> PAGEREF _Toc88819878 \h </w:instrText>
        </w:r>
        <w:r w:rsidR="00494877">
          <w:rPr>
            <w:webHidden/>
          </w:rPr>
        </w:r>
        <w:r w:rsidR="00494877">
          <w:rPr>
            <w:webHidden/>
          </w:rPr>
          <w:fldChar w:fldCharType="separate"/>
        </w:r>
        <w:r w:rsidR="00FF6EDD">
          <w:rPr>
            <w:webHidden/>
          </w:rPr>
          <w:t>11</w:t>
        </w:r>
        <w:r w:rsidR="00494877">
          <w:rPr>
            <w:webHidden/>
          </w:rPr>
          <w:fldChar w:fldCharType="end"/>
        </w:r>
      </w:hyperlink>
    </w:p>
    <w:p w14:paraId="05C64637" w14:textId="214DF9B1" w:rsidR="00494877" w:rsidRDefault="00DE3472">
      <w:pPr>
        <w:pStyle w:val="TOC1"/>
        <w:rPr>
          <w:rFonts w:asciiTheme="minorHAnsi" w:eastAsiaTheme="minorEastAsia" w:hAnsiTheme="minorHAnsi" w:cstheme="minorBidi"/>
          <w:b w:val="0"/>
          <w:spacing w:val="0"/>
          <w:sz w:val="22"/>
          <w:szCs w:val="22"/>
        </w:rPr>
      </w:pPr>
      <w:hyperlink w:anchor="_Toc88819879" w:history="1">
        <w:r w:rsidR="00494877" w:rsidRPr="00060792">
          <w:rPr>
            <w:rStyle w:val="Hyperlink"/>
          </w:rPr>
          <w:t>Revised TOB band plan</w:t>
        </w:r>
        <w:r w:rsidR="00494877">
          <w:rPr>
            <w:webHidden/>
          </w:rPr>
          <w:tab/>
        </w:r>
        <w:r w:rsidR="00494877">
          <w:rPr>
            <w:webHidden/>
          </w:rPr>
          <w:fldChar w:fldCharType="begin"/>
        </w:r>
        <w:r w:rsidR="00494877">
          <w:rPr>
            <w:webHidden/>
          </w:rPr>
          <w:instrText xml:space="preserve"> PAGEREF _Toc88819879 \h </w:instrText>
        </w:r>
        <w:r w:rsidR="00494877">
          <w:rPr>
            <w:webHidden/>
          </w:rPr>
        </w:r>
        <w:r w:rsidR="00494877">
          <w:rPr>
            <w:webHidden/>
          </w:rPr>
          <w:fldChar w:fldCharType="separate"/>
        </w:r>
        <w:r w:rsidR="00FF6EDD">
          <w:rPr>
            <w:webHidden/>
          </w:rPr>
          <w:t>12</w:t>
        </w:r>
        <w:r w:rsidR="00494877">
          <w:rPr>
            <w:webHidden/>
          </w:rPr>
          <w:fldChar w:fldCharType="end"/>
        </w:r>
      </w:hyperlink>
    </w:p>
    <w:p w14:paraId="22805F62" w14:textId="56D53AEA" w:rsidR="00494877" w:rsidRDefault="00DE3472">
      <w:pPr>
        <w:pStyle w:val="TOC1"/>
        <w:rPr>
          <w:rFonts w:asciiTheme="minorHAnsi" w:eastAsiaTheme="minorEastAsia" w:hAnsiTheme="minorHAnsi" w:cstheme="minorBidi"/>
          <w:b w:val="0"/>
          <w:spacing w:val="0"/>
          <w:sz w:val="22"/>
          <w:szCs w:val="22"/>
        </w:rPr>
      </w:pPr>
      <w:hyperlink w:anchor="_Toc88819880" w:history="1">
        <w:r w:rsidR="00494877" w:rsidRPr="00060792">
          <w:rPr>
            <w:rStyle w:val="Hyperlink"/>
          </w:rPr>
          <w:t>Relocation arrangements for TOB services</w:t>
        </w:r>
        <w:r w:rsidR="00494877">
          <w:rPr>
            <w:webHidden/>
          </w:rPr>
          <w:tab/>
        </w:r>
        <w:r w:rsidR="00494877">
          <w:rPr>
            <w:webHidden/>
          </w:rPr>
          <w:fldChar w:fldCharType="begin"/>
        </w:r>
        <w:r w:rsidR="00494877">
          <w:rPr>
            <w:webHidden/>
          </w:rPr>
          <w:instrText xml:space="preserve"> PAGEREF _Toc88819880 \h </w:instrText>
        </w:r>
        <w:r w:rsidR="00494877">
          <w:rPr>
            <w:webHidden/>
          </w:rPr>
        </w:r>
        <w:r w:rsidR="00494877">
          <w:rPr>
            <w:webHidden/>
          </w:rPr>
          <w:fldChar w:fldCharType="separate"/>
        </w:r>
        <w:r w:rsidR="00FF6EDD">
          <w:rPr>
            <w:webHidden/>
          </w:rPr>
          <w:t>13</w:t>
        </w:r>
        <w:r w:rsidR="00494877">
          <w:rPr>
            <w:webHidden/>
          </w:rPr>
          <w:fldChar w:fldCharType="end"/>
        </w:r>
      </w:hyperlink>
    </w:p>
    <w:p w14:paraId="31D7FD4E" w14:textId="189BB6B9" w:rsidR="00494877" w:rsidRDefault="00DE3472">
      <w:pPr>
        <w:pStyle w:val="TOC1"/>
        <w:rPr>
          <w:rFonts w:asciiTheme="minorHAnsi" w:eastAsiaTheme="minorEastAsia" w:hAnsiTheme="minorHAnsi" w:cstheme="minorBidi"/>
          <w:b w:val="0"/>
          <w:spacing w:val="0"/>
          <w:sz w:val="22"/>
          <w:szCs w:val="22"/>
        </w:rPr>
      </w:pPr>
      <w:hyperlink w:anchor="_Toc88819881" w:history="1">
        <w:r w:rsidR="00494877" w:rsidRPr="00060792">
          <w:rPr>
            <w:rStyle w:val="Hyperlink"/>
          </w:rPr>
          <w:t>Invitation to comment</w:t>
        </w:r>
        <w:r w:rsidR="00494877">
          <w:rPr>
            <w:webHidden/>
          </w:rPr>
          <w:tab/>
        </w:r>
        <w:r w:rsidR="00494877">
          <w:rPr>
            <w:webHidden/>
          </w:rPr>
          <w:fldChar w:fldCharType="begin"/>
        </w:r>
        <w:r w:rsidR="00494877">
          <w:rPr>
            <w:webHidden/>
          </w:rPr>
          <w:instrText xml:space="preserve"> PAGEREF _Toc88819881 \h </w:instrText>
        </w:r>
        <w:r w:rsidR="00494877">
          <w:rPr>
            <w:webHidden/>
          </w:rPr>
        </w:r>
        <w:r w:rsidR="00494877">
          <w:rPr>
            <w:webHidden/>
          </w:rPr>
          <w:fldChar w:fldCharType="separate"/>
        </w:r>
        <w:r w:rsidR="00FF6EDD">
          <w:rPr>
            <w:webHidden/>
          </w:rPr>
          <w:t>14</w:t>
        </w:r>
        <w:r w:rsidR="00494877">
          <w:rPr>
            <w:webHidden/>
          </w:rPr>
          <w:fldChar w:fldCharType="end"/>
        </w:r>
      </w:hyperlink>
    </w:p>
    <w:p w14:paraId="461D76D9" w14:textId="14002A47" w:rsidR="00494877" w:rsidRDefault="00DE3472">
      <w:pPr>
        <w:pStyle w:val="TOC2"/>
        <w:rPr>
          <w:rFonts w:asciiTheme="minorHAnsi" w:eastAsiaTheme="minorEastAsia" w:hAnsiTheme="minorHAnsi" w:cstheme="minorBidi"/>
          <w:spacing w:val="0"/>
          <w:sz w:val="22"/>
          <w:szCs w:val="22"/>
        </w:rPr>
      </w:pPr>
      <w:hyperlink w:anchor="_Toc88819882" w:history="1">
        <w:r w:rsidR="00494877" w:rsidRPr="00060792">
          <w:rPr>
            <w:rStyle w:val="Hyperlink"/>
          </w:rPr>
          <w:t>Making a submission</w:t>
        </w:r>
        <w:r w:rsidR="00494877">
          <w:rPr>
            <w:webHidden/>
          </w:rPr>
          <w:tab/>
        </w:r>
        <w:r w:rsidR="00494877">
          <w:rPr>
            <w:webHidden/>
          </w:rPr>
          <w:fldChar w:fldCharType="begin"/>
        </w:r>
        <w:r w:rsidR="00494877">
          <w:rPr>
            <w:webHidden/>
          </w:rPr>
          <w:instrText xml:space="preserve"> PAGEREF _Toc88819882 \h </w:instrText>
        </w:r>
        <w:r w:rsidR="00494877">
          <w:rPr>
            <w:webHidden/>
          </w:rPr>
        </w:r>
        <w:r w:rsidR="00494877">
          <w:rPr>
            <w:webHidden/>
          </w:rPr>
          <w:fldChar w:fldCharType="separate"/>
        </w:r>
        <w:r w:rsidR="00FF6EDD">
          <w:rPr>
            <w:webHidden/>
          </w:rPr>
          <w:t>14</w:t>
        </w:r>
        <w:r w:rsidR="00494877">
          <w:rPr>
            <w:webHidden/>
          </w:rPr>
          <w:fldChar w:fldCharType="end"/>
        </w:r>
      </w:hyperlink>
    </w:p>
    <w:p w14:paraId="4A2BF15D" w14:textId="736530AE" w:rsidR="004D56FF" w:rsidRPr="000D76E0" w:rsidRDefault="006A3ECF">
      <w:pPr>
        <w:rPr>
          <w:rFonts w:cs="Arial"/>
        </w:rPr>
        <w:sectPr w:rsidR="004D56FF" w:rsidRPr="000D76E0"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Pr>
          <w:rFonts w:cs="Arial"/>
          <w:noProof/>
          <w:spacing w:val="-14"/>
          <w:sz w:val="28"/>
        </w:rPr>
        <w:fldChar w:fldCharType="end"/>
      </w:r>
    </w:p>
    <w:p w14:paraId="12D76071" w14:textId="77777777" w:rsidR="009D6C71" w:rsidRPr="009174F3" w:rsidRDefault="009D6C71" w:rsidP="009174F3">
      <w:pPr>
        <w:pStyle w:val="Execsummaryheading"/>
      </w:pPr>
      <w:bookmarkStart w:id="0" w:name="_Toc88819868"/>
      <w:r w:rsidRPr="009174F3">
        <w:lastRenderedPageBreak/>
        <w:t>Executive summary</w:t>
      </w:r>
      <w:bookmarkEnd w:id="0"/>
    </w:p>
    <w:p w14:paraId="3D6C4CA5" w14:textId="11DE002C" w:rsidR="00F23B76" w:rsidRDefault="00F23B76" w:rsidP="003253EE">
      <w:pPr>
        <w:rPr>
          <w:rFonts w:cs="Arial"/>
        </w:rPr>
      </w:pPr>
      <w:bookmarkStart w:id="1" w:name="_Toc433122125"/>
      <w:r>
        <w:rPr>
          <w:rFonts w:cs="Arial"/>
        </w:rPr>
        <w:t xml:space="preserve">The Australian Communications and Media Authority </w:t>
      </w:r>
      <w:r w:rsidR="00722440">
        <w:rPr>
          <w:rFonts w:cs="Arial"/>
        </w:rPr>
        <w:t xml:space="preserve">(ACMA) </w:t>
      </w:r>
      <w:r w:rsidR="004A589C">
        <w:rPr>
          <w:rFonts w:cs="Arial"/>
        </w:rPr>
        <w:t xml:space="preserve">is </w:t>
      </w:r>
      <w:r w:rsidR="00D478E0">
        <w:rPr>
          <w:rFonts w:cs="Arial"/>
        </w:rPr>
        <w:t xml:space="preserve">reviewing the </w:t>
      </w:r>
      <w:hyperlink r:id="rId24" w:history="1">
        <w:r w:rsidR="00976046" w:rsidRPr="00E21D7D">
          <w:rPr>
            <w:rStyle w:val="Hyperlink"/>
            <w:rFonts w:cs="Arial"/>
          </w:rPr>
          <w:t>Television Outside Broadcast (1980–2110 MHz and 2170–2300 MHz) Frequency Band Plan 2012</w:t>
        </w:r>
      </w:hyperlink>
      <w:r w:rsidR="00976046" w:rsidRPr="00976046">
        <w:rPr>
          <w:rFonts w:cs="Arial"/>
        </w:rPr>
        <w:t xml:space="preserve"> (the </w:t>
      </w:r>
      <w:r w:rsidR="007F605C">
        <w:rPr>
          <w:rFonts w:cs="Arial"/>
        </w:rPr>
        <w:t>current</w:t>
      </w:r>
      <w:r w:rsidR="002F4025">
        <w:rPr>
          <w:rFonts w:cs="Arial"/>
        </w:rPr>
        <w:t xml:space="preserve"> </w:t>
      </w:r>
      <w:r w:rsidR="00976046" w:rsidRPr="00976046">
        <w:rPr>
          <w:rFonts w:cs="Arial"/>
        </w:rPr>
        <w:t>TOB band plan), which sets outs the purposes for which the</w:t>
      </w:r>
      <w:r w:rsidR="00976046">
        <w:rPr>
          <w:rFonts w:cs="Arial"/>
        </w:rPr>
        <w:t xml:space="preserve"> 2</w:t>
      </w:r>
      <w:r w:rsidR="008854EE">
        <w:rPr>
          <w:rFonts w:cs="Arial"/>
        </w:rPr>
        <w:t xml:space="preserve"> GHz </w:t>
      </w:r>
      <w:r w:rsidR="00976046" w:rsidRPr="00976046">
        <w:rPr>
          <w:rFonts w:cs="Arial"/>
        </w:rPr>
        <w:t>band may be used.</w:t>
      </w:r>
    </w:p>
    <w:p w14:paraId="6FBF2521" w14:textId="78624549" w:rsidR="00F37DDE" w:rsidRDefault="00957D3C" w:rsidP="00A87F0C">
      <w:pPr>
        <w:pStyle w:val="Paragraph"/>
      </w:pPr>
      <w:r>
        <w:t xml:space="preserve">As an outcome of the ACMA’s </w:t>
      </w:r>
      <w:hyperlink r:id="rId25" w:history="1">
        <w:r w:rsidRPr="00512740">
          <w:rPr>
            <w:rStyle w:val="Hyperlink"/>
          </w:rPr>
          <w:t>review of the 2 GHz band</w:t>
        </w:r>
      </w:hyperlink>
      <w:r>
        <w:t xml:space="preserve">, we are developing spectrum management arrangements to support </w:t>
      </w:r>
      <w:r w:rsidR="00E96E30">
        <w:t>the</w:t>
      </w:r>
      <w:r>
        <w:t xml:space="preserve"> introduction of mobile-satellite services (MSS) in the frequency bands 1980–2010 MHz and 2170–2200 MHz</w:t>
      </w:r>
      <w:r w:rsidR="00970A80">
        <w:t>,</w:t>
      </w:r>
      <w:r>
        <w:t xml:space="preserve"> and to facilitate ce</w:t>
      </w:r>
      <w:r w:rsidR="00B707C1">
        <w:t>asing</w:t>
      </w:r>
      <w:r>
        <w:t xml:space="preserve"> television outside broadcast (TOB) services in these bands.</w:t>
      </w:r>
      <w:r w:rsidR="00A87F0C">
        <w:t xml:space="preserve"> </w:t>
      </w:r>
      <w:r w:rsidR="00B94459">
        <w:t>T</w:t>
      </w:r>
      <w:r w:rsidR="00B94459" w:rsidRPr="000C35F4">
        <w:t xml:space="preserve">hese arrangements were </w:t>
      </w:r>
      <w:r w:rsidR="00BF175E">
        <w:t>explained</w:t>
      </w:r>
      <w:r w:rsidR="00B94459" w:rsidRPr="000C35F4">
        <w:t xml:space="preserve"> in the 2 GHz </w:t>
      </w:r>
      <w:hyperlink r:id="rId26" w:history="1">
        <w:r w:rsidR="00B94459" w:rsidRPr="007C7F49">
          <w:rPr>
            <w:rStyle w:val="Hyperlink"/>
          </w:rPr>
          <w:t>outcomes paper</w:t>
        </w:r>
      </w:hyperlink>
      <w:r w:rsidR="00B94459" w:rsidRPr="000C35F4">
        <w:t xml:space="preserve"> published in January 2021, in which we detailed our decisions to replan the 2</w:t>
      </w:r>
      <w:r w:rsidR="00B94459">
        <w:t> </w:t>
      </w:r>
      <w:r w:rsidR="00B94459" w:rsidRPr="000C35F4">
        <w:t>GHz band</w:t>
      </w:r>
      <w:r w:rsidR="00F37DDE">
        <w:t>.</w:t>
      </w:r>
    </w:p>
    <w:p w14:paraId="71DD553C" w14:textId="0B93F293" w:rsidR="00957D3C" w:rsidRPr="00702EA1" w:rsidRDefault="003D31F9" w:rsidP="003253EE">
      <w:r w:rsidRPr="003D31F9">
        <w:t>The 2 GHz band is currently used</w:t>
      </w:r>
      <w:r w:rsidR="00B94459" w:rsidRPr="003D31F9">
        <w:t xml:space="preserve"> for </w:t>
      </w:r>
      <w:r>
        <w:t>TOB</w:t>
      </w:r>
      <w:r w:rsidR="00B94459" w:rsidRPr="003D31F9">
        <w:t xml:space="preserve"> services</w:t>
      </w:r>
      <w:r w:rsidRPr="003D31F9">
        <w:t xml:space="preserve"> on a shared and non-exclusive basis for short-term applications</w:t>
      </w:r>
      <w:r w:rsidR="00B707C1">
        <w:t>,</w:t>
      </w:r>
      <w:r w:rsidRPr="003D31F9">
        <w:t xml:space="preserve"> such as covering special events.</w:t>
      </w:r>
      <w:r w:rsidR="00B707C1">
        <w:t xml:space="preserve"> </w:t>
      </w:r>
      <w:r w:rsidRPr="003D31F9">
        <w:t xml:space="preserve">To support </w:t>
      </w:r>
      <w:r w:rsidR="00492A71">
        <w:t>the</w:t>
      </w:r>
      <w:r w:rsidRPr="003D31F9">
        <w:t xml:space="preserve"> introduction of MSS in the band, </w:t>
      </w:r>
      <w:r w:rsidR="00C35D28">
        <w:t>we propose</w:t>
      </w:r>
      <w:r w:rsidR="008A651B">
        <w:t>d in the outcomes paper</w:t>
      </w:r>
      <w:r w:rsidR="00697BF5">
        <w:t xml:space="preserve"> </w:t>
      </w:r>
      <w:r w:rsidRPr="003D31F9">
        <w:t xml:space="preserve">that TOB </w:t>
      </w:r>
      <w:r w:rsidR="00FB73ED">
        <w:t xml:space="preserve">services </w:t>
      </w:r>
      <w:r w:rsidRPr="003D31F9">
        <w:t xml:space="preserve">be required to cease operating in the band </w:t>
      </w:r>
      <w:r w:rsidR="0000648D">
        <w:t xml:space="preserve">in metropolitan areas </w:t>
      </w:r>
      <w:r w:rsidRPr="003D31F9">
        <w:t>over a transition period of 5</w:t>
      </w:r>
      <w:r w:rsidR="00B83337">
        <w:t> </w:t>
      </w:r>
      <w:r w:rsidRPr="003D31F9">
        <w:t>years</w:t>
      </w:r>
      <w:r w:rsidR="0000648D">
        <w:t xml:space="preserve">, ending </w:t>
      </w:r>
      <w:r w:rsidR="00DD4322">
        <w:t>28 February</w:t>
      </w:r>
      <w:r w:rsidR="0000648D">
        <w:t xml:space="preserve"> 2026</w:t>
      </w:r>
      <w:r w:rsidRPr="003D31F9">
        <w:t xml:space="preserve">. </w:t>
      </w:r>
      <w:r w:rsidR="00B83337">
        <w:t>In non-metropolitan areas (all remaining parts of Australia</w:t>
      </w:r>
      <w:r w:rsidR="00DE27C0">
        <w:t>), w</w:t>
      </w:r>
      <w:r w:rsidRPr="003D31F9">
        <w:t>e propose</w:t>
      </w:r>
      <w:r w:rsidR="008A651B">
        <w:t>d</w:t>
      </w:r>
      <w:r w:rsidRPr="003D31F9">
        <w:t xml:space="preserve"> a shorter transition period </w:t>
      </w:r>
      <w:r w:rsidR="001A49BB">
        <w:t>of 3</w:t>
      </w:r>
      <w:r w:rsidR="00011476">
        <w:t> </w:t>
      </w:r>
      <w:r w:rsidR="001A49BB">
        <w:t xml:space="preserve">years, ending </w:t>
      </w:r>
      <w:r w:rsidR="00351E01">
        <w:t>29 February</w:t>
      </w:r>
      <w:r w:rsidR="001A49BB">
        <w:t xml:space="preserve"> 2024. This is intended to support earlier introduction of </w:t>
      </w:r>
      <w:r w:rsidR="005E0AEC">
        <w:t xml:space="preserve">MSS </w:t>
      </w:r>
      <w:r w:rsidR="005E0AEC" w:rsidRPr="003D31F9">
        <w:t>where TOB usage is limited and infrequent</w:t>
      </w:r>
      <w:r w:rsidR="005E0AEC">
        <w:t xml:space="preserve">, or </w:t>
      </w:r>
      <w:r w:rsidR="00EE6BBF">
        <w:t>non-existent</w:t>
      </w:r>
      <w:r w:rsidR="005E0AEC">
        <w:t>.</w:t>
      </w:r>
    </w:p>
    <w:p w14:paraId="438FDB59" w14:textId="0EA2C32F" w:rsidR="00925604" w:rsidRDefault="00925604" w:rsidP="007D689A">
      <w:pPr>
        <w:pStyle w:val="Paragraphbeforelist"/>
      </w:pPr>
      <w:r>
        <w:t xml:space="preserve">To </w:t>
      </w:r>
      <w:r w:rsidR="00813DC4">
        <w:t>implement these arrangements</w:t>
      </w:r>
      <w:r>
        <w:t xml:space="preserve">, we propose to </w:t>
      </w:r>
      <w:r w:rsidR="00FB30A1">
        <w:t>repeal</w:t>
      </w:r>
      <w:r>
        <w:t xml:space="preserve"> </w:t>
      </w:r>
      <w:r w:rsidR="004B0486">
        <w:t xml:space="preserve">the </w:t>
      </w:r>
      <w:r w:rsidR="007F605C">
        <w:t>current</w:t>
      </w:r>
      <w:r w:rsidR="002F4025">
        <w:t xml:space="preserve"> </w:t>
      </w:r>
      <w:r w:rsidR="004B0486">
        <w:t xml:space="preserve">TOB band </w:t>
      </w:r>
      <w:r>
        <w:t xml:space="preserve">plan and replace it with </w:t>
      </w:r>
      <w:r w:rsidR="00B707C1">
        <w:t xml:space="preserve">2 </w:t>
      </w:r>
      <w:r>
        <w:t>new frequency band plans</w:t>
      </w:r>
      <w:r w:rsidR="008C4476">
        <w:t>, namely:</w:t>
      </w:r>
    </w:p>
    <w:p w14:paraId="267787A4" w14:textId="77777777" w:rsidR="008C4476" w:rsidRDefault="008C4476" w:rsidP="008C4476">
      <w:pPr>
        <w:pStyle w:val="ListBullet"/>
      </w:pPr>
      <w:r w:rsidRPr="00D4090B">
        <w:t>Radiocommunications (Mobile-Satellite Service) (1980–2010 MHz and 2170–2200 MHz) Frequency Band Plan 2022</w:t>
      </w:r>
      <w:r>
        <w:t xml:space="preserve"> (the </w:t>
      </w:r>
      <w:r w:rsidRPr="008F1494">
        <w:t>2 GHz MSS band plan</w:t>
      </w:r>
      <w:r>
        <w:t>), which deals with the 2 GHz band as replanned for MSS</w:t>
      </w:r>
    </w:p>
    <w:p w14:paraId="529B5D24" w14:textId="60521A72" w:rsidR="008C4476" w:rsidRDefault="008C4476" w:rsidP="00B707C1">
      <w:pPr>
        <w:pStyle w:val="Bulletlevel1last"/>
      </w:pPr>
      <w:r w:rsidRPr="007F1A95">
        <w:t>Radiocommunications (Television Outside Broadcasting) (2010–2110 MHz and 2200–2300 MHz) Frequency Band Plan 202</w:t>
      </w:r>
      <w:r w:rsidR="003B74D9">
        <w:t xml:space="preserve">2 </w:t>
      </w:r>
      <w:r>
        <w:t>(the</w:t>
      </w:r>
      <w:r w:rsidRPr="00CA2D19">
        <w:rPr>
          <w:b/>
          <w:bCs/>
        </w:rPr>
        <w:t xml:space="preserve"> </w:t>
      </w:r>
      <w:r w:rsidRPr="008F1494">
        <w:t>revised TOB band plan</w:t>
      </w:r>
      <w:r>
        <w:t xml:space="preserve">), dealing with the remaining frequencies </w:t>
      </w:r>
      <w:r w:rsidR="00B707C1">
        <w:t xml:space="preserve">that </w:t>
      </w:r>
      <w:r>
        <w:t>are not affected by the 2 GHz band review and remain planned and licensed for TOB use.</w:t>
      </w:r>
    </w:p>
    <w:p w14:paraId="7173857C" w14:textId="37CF8660" w:rsidR="0089539B" w:rsidRDefault="00B542F6" w:rsidP="00925604">
      <w:pPr>
        <w:pStyle w:val="Bulletlevel1last"/>
        <w:numPr>
          <w:ilvl w:val="0"/>
          <w:numId w:val="0"/>
        </w:numPr>
      </w:pPr>
      <w:r>
        <w:t xml:space="preserve">The 2 GHz MSS band plan </w:t>
      </w:r>
      <w:r w:rsidR="00855FE4">
        <w:t xml:space="preserve">establishes that the band may be used for MSS and provides </w:t>
      </w:r>
      <w:r w:rsidR="00855FE4" w:rsidRPr="00855FE4">
        <w:t xml:space="preserve">certainty to existing and future licensees by setting </w:t>
      </w:r>
      <w:r w:rsidR="00D01DE1">
        <w:t xml:space="preserve">the </w:t>
      </w:r>
      <w:r w:rsidR="00707224">
        <w:t xml:space="preserve">transition deadlines </w:t>
      </w:r>
      <w:r w:rsidR="00855FE4" w:rsidRPr="00855FE4">
        <w:t xml:space="preserve">for when TOB services must </w:t>
      </w:r>
      <w:r w:rsidR="00B707C1">
        <w:t>stop</w:t>
      </w:r>
      <w:r w:rsidR="00B707C1" w:rsidRPr="00855FE4">
        <w:t xml:space="preserve"> </w:t>
      </w:r>
      <w:r w:rsidR="00855FE4" w:rsidRPr="00855FE4">
        <w:t>operating in the band</w:t>
      </w:r>
      <w:r w:rsidR="00D01DE1">
        <w:t xml:space="preserve">. </w:t>
      </w:r>
    </w:p>
    <w:p w14:paraId="0C08C34E" w14:textId="4D07E0CB" w:rsidR="00184C53" w:rsidRDefault="005C50AD" w:rsidP="00925604">
      <w:pPr>
        <w:pStyle w:val="Bulletlevel1last"/>
        <w:numPr>
          <w:ilvl w:val="0"/>
          <w:numId w:val="0"/>
        </w:numPr>
      </w:pPr>
      <w:r>
        <w:t xml:space="preserve">There are some </w:t>
      </w:r>
      <w:r w:rsidR="00867F72">
        <w:t>sporting and event venues</w:t>
      </w:r>
      <w:r>
        <w:t xml:space="preserve"> in regional areas where TOB services are </w:t>
      </w:r>
      <w:r w:rsidR="00815246">
        <w:t>used regularl</w:t>
      </w:r>
      <w:r w:rsidR="00867F72">
        <w:t>y. W</w:t>
      </w:r>
      <w:r w:rsidR="00205DB3">
        <w:t>e propose to allow these to continue operation for an additional 2</w:t>
      </w:r>
      <w:r w:rsidR="008321FD">
        <w:t> </w:t>
      </w:r>
      <w:r w:rsidR="00205DB3">
        <w:t>years to the end of the transition period</w:t>
      </w:r>
      <w:r w:rsidR="00296DED">
        <w:t xml:space="preserve"> </w:t>
      </w:r>
      <w:r w:rsidR="00296DED" w:rsidRPr="00707224">
        <w:t xml:space="preserve">ending </w:t>
      </w:r>
      <w:r w:rsidR="0068495A">
        <w:t>28 February</w:t>
      </w:r>
      <w:r w:rsidR="00296DED" w:rsidRPr="00707224">
        <w:t xml:space="preserve"> 2026.</w:t>
      </w:r>
      <w:r w:rsidR="00205DB3">
        <w:t xml:space="preserve"> </w:t>
      </w:r>
      <w:r w:rsidR="0020630E">
        <w:t xml:space="preserve">We have proposed an initial list of such venues </w:t>
      </w:r>
      <w:r w:rsidR="004D39D6">
        <w:t xml:space="preserve">in the 2 GHz MSS band plan, where they are </w:t>
      </w:r>
      <w:r w:rsidR="00707224" w:rsidRPr="00707224">
        <w:t xml:space="preserve">referred to as </w:t>
      </w:r>
      <w:r w:rsidR="00707224" w:rsidRPr="00FD61A8">
        <w:rPr>
          <w:i/>
          <w:iCs/>
        </w:rPr>
        <w:t>designated areas</w:t>
      </w:r>
      <w:r w:rsidR="004D39D6">
        <w:t>.</w:t>
      </w:r>
    </w:p>
    <w:p w14:paraId="54BDE365" w14:textId="527FF26C" w:rsidR="00C42062" w:rsidRDefault="00205452" w:rsidP="00CC0B0A">
      <w:pPr>
        <w:pStyle w:val="Paragraph"/>
      </w:pPr>
      <w:r>
        <w:t xml:space="preserve">While the </w:t>
      </w:r>
      <w:r w:rsidR="00B90819">
        <w:t xml:space="preserve">2 GHz outcomes paper noted that </w:t>
      </w:r>
      <w:r w:rsidR="00F446FC">
        <w:t xml:space="preserve">replanning arrangements </w:t>
      </w:r>
      <w:r w:rsidR="00073D48">
        <w:t xml:space="preserve">would include support for </w:t>
      </w:r>
      <w:r w:rsidR="00073D48" w:rsidRPr="00C20AC9">
        <w:t>complementary ground component</w:t>
      </w:r>
      <w:r w:rsidR="00073D48" w:rsidRPr="00F33E3A">
        <w:t xml:space="preserve"> </w:t>
      </w:r>
      <w:r w:rsidR="00073D48">
        <w:t>(</w:t>
      </w:r>
      <w:r w:rsidR="00073D48" w:rsidRPr="00F33E3A">
        <w:t>CGC</w:t>
      </w:r>
      <w:r w:rsidR="00073D48">
        <w:t>)</w:t>
      </w:r>
      <w:r w:rsidR="00C34C8F">
        <w:rPr>
          <w:rStyle w:val="FootnoteReference"/>
        </w:rPr>
        <w:footnoteReference w:id="2"/>
      </w:r>
      <w:r w:rsidR="00073D48" w:rsidRPr="00F33E3A">
        <w:t xml:space="preserve"> and </w:t>
      </w:r>
      <w:r w:rsidR="00073D48" w:rsidRPr="00C20AC9">
        <w:t xml:space="preserve">direct air-to-ground communications </w:t>
      </w:r>
      <w:r w:rsidR="00073D48">
        <w:t>(DA2GC)</w:t>
      </w:r>
      <w:r w:rsidR="00C34C8F">
        <w:rPr>
          <w:rStyle w:val="FootnoteReference"/>
        </w:rPr>
        <w:footnoteReference w:id="3"/>
      </w:r>
      <w:r w:rsidR="00073D48" w:rsidRPr="00F33E3A">
        <w:t xml:space="preserve"> services</w:t>
      </w:r>
      <w:r w:rsidR="00DE1121">
        <w:t>, a</w:t>
      </w:r>
      <w:r w:rsidR="006A5AAF" w:rsidRPr="00F33E3A">
        <w:t xml:space="preserve">t this stage we have not made provision </w:t>
      </w:r>
      <w:r w:rsidR="00CC4C25">
        <w:t>for</w:t>
      </w:r>
      <w:r w:rsidR="001D3DA2">
        <w:t xml:space="preserve"> </w:t>
      </w:r>
      <w:r w:rsidR="001D3DA2">
        <w:lastRenderedPageBreak/>
        <w:t xml:space="preserve">them </w:t>
      </w:r>
      <w:r w:rsidR="006A5AAF" w:rsidRPr="00F33E3A">
        <w:t>in the draft 2 GHz MSS band plan</w:t>
      </w:r>
      <w:r w:rsidR="001D3DA2">
        <w:t>.</w:t>
      </w:r>
      <w:r w:rsidR="007701B2">
        <w:t xml:space="preserve"> We intend to </w:t>
      </w:r>
      <w:r w:rsidR="00003709">
        <w:t>deal with these services</w:t>
      </w:r>
      <w:r w:rsidR="00B039B4">
        <w:t xml:space="preserve"> in a later update to the band plan</w:t>
      </w:r>
      <w:r w:rsidR="00722440">
        <w:t>,</w:t>
      </w:r>
      <w:r w:rsidR="00C71273">
        <w:t xml:space="preserve"> </w:t>
      </w:r>
      <w:r w:rsidR="00944CEF">
        <w:t xml:space="preserve">to allow time for further consideration of the best approach. </w:t>
      </w:r>
    </w:p>
    <w:p w14:paraId="598B01B3" w14:textId="58115085" w:rsidR="007F7E87" w:rsidRDefault="007F7E87" w:rsidP="007F7E87">
      <w:pPr>
        <w:pStyle w:val="Paragraph"/>
      </w:pPr>
      <w:r w:rsidRPr="007F7E87">
        <w:t>The revised TOB band plan deals with the remaining frequencies not covered by the 2</w:t>
      </w:r>
      <w:r>
        <w:t> </w:t>
      </w:r>
      <w:r w:rsidRPr="007F7E87">
        <w:t>GHz MSS band plan, which were outside the scope of our review of the 2 GHz band.</w:t>
      </w:r>
      <w:r>
        <w:t xml:space="preserve"> This plan would give effect to the same arrangements for these frequencies</w:t>
      </w:r>
      <w:r w:rsidR="00722440">
        <w:t>,</w:t>
      </w:r>
      <w:r>
        <w:t xml:space="preserve"> as specified in the current TOB band plan. While we have not modified the practical effect of </w:t>
      </w:r>
      <w:r w:rsidR="00453AE3">
        <w:t>this</w:t>
      </w:r>
      <w:r>
        <w:t xml:space="preserve"> band plan, it has been updated to reflect contemporary legislative drafting practices.</w:t>
      </w:r>
    </w:p>
    <w:p w14:paraId="2D41346C" w14:textId="71F58327" w:rsidR="008C4476" w:rsidRDefault="00184C53" w:rsidP="007F7E87">
      <w:pPr>
        <w:pStyle w:val="Paragraph"/>
      </w:pPr>
      <w:bookmarkStart w:id="2" w:name="_Hlk88488546"/>
      <w:r>
        <w:t>We are also working to fa</w:t>
      </w:r>
      <w:r w:rsidR="00855FE4" w:rsidRPr="00855FE4">
        <w:t xml:space="preserve">cilitate the transition of TOB services to </w:t>
      </w:r>
      <w:r>
        <w:t xml:space="preserve">alternative spectrum in the 7.2 GHz </w:t>
      </w:r>
      <w:r w:rsidR="00FD3CF1">
        <w:t>TOB band (7100–7425 MHz</w:t>
      </w:r>
      <w:r w:rsidR="00E50180">
        <w:t xml:space="preserve">) and intend to consult on proposed planning arrangements in Q1 2022. </w:t>
      </w:r>
    </w:p>
    <w:bookmarkEnd w:id="2"/>
    <w:p w14:paraId="61CBF16C" w14:textId="7B5E8A80" w:rsidR="00A366B3" w:rsidRDefault="00722440" w:rsidP="003253EE">
      <w:r>
        <w:rPr>
          <w:rFonts w:eastAsiaTheme="majorEastAsia"/>
        </w:rPr>
        <w:t xml:space="preserve">Alongside </w:t>
      </w:r>
      <w:r w:rsidR="000A1667">
        <w:rPr>
          <w:rFonts w:eastAsiaTheme="majorEastAsia"/>
        </w:rPr>
        <w:t>this paper</w:t>
      </w:r>
      <w:r w:rsidR="000D127E">
        <w:rPr>
          <w:rFonts w:eastAsiaTheme="majorEastAsia"/>
        </w:rPr>
        <w:t>, w</w:t>
      </w:r>
      <w:r w:rsidR="00B87211">
        <w:rPr>
          <w:rFonts w:eastAsiaTheme="majorEastAsia"/>
        </w:rPr>
        <w:t>e are</w:t>
      </w:r>
      <w:r w:rsidR="00A366B3">
        <w:rPr>
          <w:rFonts w:eastAsiaTheme="majorEastAsia"/>
        </w:rPr>
        <w:t xml:space="preserve"> also consulting on proposed licensing arrangements for narrowband MSS</w:t>
      </w:r>
      <w:r>
        <w:rPr>
          <w:rFonts w:eastAsiaTheme="majorEastAsia"/>
        </w:rPr>
        <w:t>,</w:t>
      </w:r>
      <w:r w:rsidR="00A366B3">
        <w:rPr>
          <w:rFonts w:eastAsiaTheme="majorEastAsia"/>
        </w:rPr>
        <w:t xml:space="preserve"> which could result in the introduction of narrowband MSS services in regional areas in early 2022. </w:t>
      </w:r>
      <w:r w:rsidR="00A366B3">
        <w:t>During the TOB transition period</w:t>
      </w:r>
      <w:r w:rsidR="00771762">
        <w:t>,</w:t>
      </w:r>
      <w:r w:rsidR="00A366B3">
        <w:t xml:space="preserve"> the operation of MSS services will be restricted to protect TOB services</w:t>
      </w:r>
      <w:r>
        <w:t>.</w:t>
      </w:r>
      <w:r w:rsidR="00A366B3">
        <w:t xml:space="preserve"> </w:t>
      </w:r>
    </w:p>
    <w:p w14:paraId="6DB8D6A3" w14:textId="77777777" w:rsidR="00715722" w:rsidRPr="00023A36" w:rsidRDefault="00715722" w:rsidP="00715722">
      <w:pPr>
        <w:pStyle w:val="Heading1"/>
      </w:pPr>
      <w:bookmarkStart w:id="3" w:name="_Toc88819869"/>
      <w:r>
        <w:lastRenderedPageBreak/>
        <w:t>Issue</w:t>
      </w:r>
      <w:r w:rsidRPr="003253EE">
        <w:t>/s</w:t>
      </w:r>
      <w:r w:rsidRPr="00023A36">
        <w:t xml:space="preserve"> for comment</w:t>
      </w:r>
      <w:bookmarkEnd w:id="1"/>
      <w:bookmarkEnd w:id="3"/>
    </w:p>
    <w:p w14:paraId="2952EE2F" w14:textId="012EB122" w:rsidR="005E250B" w:rsidRPr="009D4C85" w:rsidRDefault="00715722" w:rsidP="00D61243">
      <w:pPr>
        <w:pStyle w:val="Paragraph"/>
      </w:pPr>
      <w:r w:rsidRPr="00023A36">
        <w:t xml:space="preserve">This </w:t>
      </w:r>
      <w:r w:rsidR="003545E8" w:rsidRPr="00023A36">
        <w:t>consultation</w:t>
      </w:r>
      <w:r w:rsidRPr="00023A36">
        <w:t xml:space="preserve"> does not </w:t>
      </w:r>
      <w:r w:rsidR="003545E8" w:rsidRPr="00023A36">
        <w:t>ask</w:t>
      </w:r>
      <w:r w:rsidRPr="00023A36">
        <w:t xml:space="preserve"> specific questions.</w:t>
      </w:r>
      <w:r w:rsidR="00C91FB9">
        <w:t xml:space="preserve"> T</w:t>
      </w:r>
      <w:r w:rsidRPr="00023A36">
        <w:t xml:space="preserve">he ACMA welcomes comment from interested stakeholders on the issues raised in this </w:t>
      </w:r>
      <w:r w:rsidR="003545E8" w:rsidRPr="00023A36">
        <w:t>consultation</w:t>
      </w:r>
      <w:r w:rsidR="00C91FB9">
        <w:t xml:space="preserve"> paper and the accompanying draft band plans.</w:t>
      </w:r>
    </w:p>
    <w:p w14:paraId="3E8455C4" w14:textId="07414AAE" w:rsidR="00DF0F7D" w:rsidRDefault="00C21E15" w:rsidP="00DF0F7D">
      <w:pPr>
        <w:pStyle w:val="Heading1"/>
      </w:pPr>
      <w:bookmarkStart w:id="4" w:name="_Toc88819870"/>
      <w:r>
        <w:lastRenderedPageBreak/>
        <w:t>Introduction</w:t>
      </w:r>
      <w:bookmarkEnd w:id="4"/>
    </w:p>
    <w:p w14:paraId="245D8BC1" w14:textId="005008EF" w:rsidR="002A2CD8" w:rsidRDefault="002A2CD8" w:rsidP="002A2CD8">
      <w:pPr>
        <w:pStyle w:val="Heading2"/>
      </w:pPr>
      <w:bookmarkStart w:id="5" w:name="_Toc88819871"/>
      <w:r>
        <w:t>Background</w:t>
      </w:r>
      <w:bookmarkEnd w:id="5"/>
    </w:p>
    <w:p w14:paraId="10205346" w14:textId="072111A4" w:rsidR="009943F2" w:rsidRDefault="001A1698" w:rsidP="009943F2">
      <w:pPr>
        <w:pStyle w:val="Paragraphbeforelist"/>
      </w:pPr>
      <w:r>
        <w:t xml:space="preserve">The </w:t>
      </w:r>
      <w:r w:rsidR="00722440">
        <w:t>Australian Communications and Media Authority (</w:t>
      </w:r>
      <w:r>
        <w:t>ACMA</w:t>
      </w:r>
      <w:r w:rsidR="00722440">
        <w:t>)</w:t>
      </w:r>
      <w:r>
        <w:t xml:space="preserve"> </w:t>
      </w:r>
      <w:r w:rsidR="0048574A">
        <w:t>concluded</w:t>
      </w:r>
      <w:r>
        <w:t xml:space="preserve"> a review of the 2 GHz band (</w:t>
      </w:r>
      <w:r w:rsidR="003577AE" w:rsidRPr="003577AE">
        <w:t xml:space="preserve">1980–2010 </w:t>
      </w:r>
      <w:r w:rsidR="003577AE">
        <w:t>MHz paired with</w:t>
      </w:r>
      <w:r w:rsidR="003577AE" w:rsidRPr="003577AE">
        <w:t xml:space="preserve"> 2170–2200 MHz</w:t>
      </w:r>
      <w:r w:rsidR="003577AE">
        <w:t xml:space="preserve">) </w:t>
      </w:r>
      <w:r w:rsidR="0048574A">
        <w:t xml:space="preserve">with the publication of an </w:t>
      </w:r>
      <w:hyperlink r:id="rId27" w:history="1">
        <w:r w:rsidR="0048574A" w:rsidRPr="0048574A">
          <w:rPr>
            <w:rStyle w:val="Hyperlink"/>
          </w:rPr>
          <w:t>outcomes paper</w:t>
        </w:r>
      </w:hyperlink>
      <w:r w:rsidR="0048574A">
        <w:t xml:space="preserve"> in January 2021.</w:t>
      </w:r>
      <w:r w:rsidR="00B4320A">
        <w:t xml:space="preserve"> Th</w:t>
      </w:r>
      <w:r w:rsidR="00172185">
        <w:t>e outcomes</w:t>
      </w:r>
      <w:r w:rsidR="00B4320A">
        <w:t xml:space="preserve"> paper </w:t>
      </w:r>
      <w:r w:rsidR="009943F2">
        <w:t>detailed our decision to replan the band for mobile-satellite services, including</w:t>
      </w:r>
      <w:r w:rsidR="00C22524">
        <w:t xml:space="preserve"> introducing</w:t>
      </w:r>
      <w:r w:rsidR="009943F2">
        <w:t>:</w:t>
      </w:r>
    </w:p>
    <w:p w14:paraId="43276E9C" w14:textId="6F1694A5" w:rsidR="009943F2" w:rsidRDefault="009943F2" w:rsidP="009943F2">
      <w:pPr>
        <w:pStyle w:val="ListBullet"/>
      </w:pPr>
      <w:r>
        <w:t xml:space="preserve">Australia-wide </w:t>
      </w:r>
      <w:r w:rsidR="00722440">
        <w:t>mobile</w:t>
      </w:r>
      <w:r w:rsidR="00F41B47">
        <w:t>-</w:t>
      </w:r>
      <w:r w:rsidR="00722440">
        <w:t>satellite services (</w:t>
      </w:r>
      <w:r w:rsidR="00D2443C">
        <w:t>MSS</w:t>
      </w:r>
      <w:r w:rsidR="00722440">
        <w:t>)</w:t>
      </w:r>
      <w:r>
        <w:t xml:space="preserve"> in the frequency range </w:t>
      </w:r>
      <w:r w:rsidRPr="00D83C76">
        <w:t xml:space="preserve">1980–2005 MHz paired with 2170–2195 MHz </w:t>
      </w:r>
      <w:r>
        <w:t>(a bandwidth of 2 x 25 MHz) for exclusive licensed use</w:t>
      </w:r>
    </w:p>
    <w:p w14:paraId="5ACB29C4" w14:textId="6C07DB5C" w:rsidR="009943F2" w:rsidRDefault="009943F2" w:rsidP="009943F2">
      <w:pPr>
        <w:pStyle w:val="Bulletlevel1last"/>
      </w:pPr>
      <w:r>
        <w:t xml:space="preserve">Australia-wide narrowband </w:t>
      </w:r>
      <w:r w:rsidR="00D2443C">
        <w:t>MSS</w:t>
      </w:r>
      <w:r>
        <w:t xml:space="preserve"> in the range</w:t>
      </w:r>
      <w:r w:rsidR="00722440">
        <w:t>s</w:t>
      </w:r>
      <w:r>
        <w:t xml:space="preserve"> </w:t>
      </w:r>
      <w:r w:rsidRPr="004F4B14">
        <w:t xml:space="preserve">2005–2010 MHz and 2195–2200 MHz (a bandwidth of 2 x 5 MHz) for </w:t>
      </w:r>
      <w:r>
        <w:t xml:space="preserve">shared </w:t>
      </w:r>
      <w:r w:rsidRPr="004F4B14">
        <w:t>use by services such as telemetry, short messaging, and low</w:t>
      </w:r>
      <w:r>
        <w:t>-</w:t>
      </w:r>
      <w:r w:rsidRPr="004F4B14">
        <w:t>date</w:t>
      </w:r>
      <w:r>
        <w:t>-</w:t>
      </w:r>
      <w:r w:rsidRPr="004F4B14">
        <w:t xml:space="preserve">rate services (for example satellite </w:t>
      </w:r>
      <w:r w:rsidR="00722440">
        <w:t>i</w:t>
      </w:r>
      <w:r w:rsidR="0066507E">
        <w:t xml:space="preserve">nternet of </w:t>
      </w:r>
      <w:r w:rsidR="00722440">
        <w:t>t</w:t>
      </w:r>
      <w:r w:rsidR="0066507E">
        <w:t>hings (</w:t>
      </w:r>
      <w:r w:rsidRPr="004F4B14">
        <w:t>IoT</w:t>
      </w:r>
      <w:r w:rsidR="0066507E">
        <w:t>)</w:t>
      </w:r>
      <w:r w:rsidRPr="004F4B14">
        <w:t xml:space="preserve"> applications).</w:t>
      </w:r>
    </w:p>
    <w:p w14:paraId="3EA54ECD" w14:textId="23EF132C" w:rsidR="00302811" w:rsidRDefault="009943F2" w:rsidP="009943F2">
      <w:pPr>
        <w:pStyle w:val="Bulletlevel1last"/>
        <w:numPr>
          <w:ilvl w:val="0"/>
          <w:numId w:val="0"/>
        </w:numPr>
      </w:pPr>
      <w:r w:rsidRPr="0087072D">
        <w:t>The 2 GHz band is currently used for TOB services on a shared and non-exclusive basis for short-term applications</w:t>
      </w:r>
      <w:r w:rsidR="00722440">
        <w:t>,</w:t>
      </w:r>
      <w:r w:rsidRPr="0087072D">
        <w:t xml:space="preserve"> such as covering special events.</w:t>
      </w:r>
      <w:r>
        <w:t xml:space="preserve"> To support </w:t>
      </w:r>
      <w:r w:rsidR="001D03A1">
        <w:t xml:space="preserve">the </w:t>
      </w:r>
      <w:r>
        <w:t xml:space="preserve">introduction of </w:t>
      </w:r>
      <w:r w:rsidR="0091765F">
        <w:t>MSS</w:t>
      </w:r>
      <w:r>
        <w:t xml:space="preserve"> in the band, </w:t>
      </w:r>
      <w:r w:rsidR="00825CDE">
        <w:t xml:space="preserve">we proposed that </w:t>
      </w:r>
      <w:r>
        <w:t xml:space="preserve">TOB services be required to cease operating in the band over a proposed transition period </w:t>
      </w:r>
      <w:r w:rsidR="000F4E5C">
        <w:t xml:space="preserve">ending </w:t>
      </w:r>
      <w:r w:rsidR="003F4A50">
        <w:t>28 February</w:t>
      </w:r>
      <w:r w:rsidR="008516CD">
        <w:t xml:space="preserve"> 2026</w:t>
      </w:r>
      <w:r w:rsidR="00F91DC4">
        <w:t>.</w:t>
      </w:r>
      <w:r w:rsidR="00730D3C">
        <w:t xml:space="preserve"> </w:t>
      </w:r>
      <w:r w:rsidR="00D72BCB">
        <w:t>W</w:t>
      </w:r>
      <w:r w:rsidR="00730D3C">
        <w:t xml:space="preserve">e </w:t>
      </w:r>
      <w:r w:rsidR="00D72BCB">
        <w:t xml:space="preserve">proposed a shorter </w:t>
      </w:r>
      <w:r w:rsidR="00CB6107" w:rsidRPr="00CB6107">
        <w:t xml:space="preserve">transition </w:t>
      </w:r>
      <w:r w:rsidR="00D72BCB">
        <w:t>period</w:t>
      </w:r>
      <w:r w:rsidR="007410F6">
        <w:t xml:space="preserve"> </w:t>
      </w:r>
      <w:r w:rsidR="008516CD">
        <w:t xml:space="preserve">ending </w:t>
      </w:r>
      <w:r w:rsidR="001A3104">
        <w:t>29 February</w:t>
      </w:r>
      <w:r w:rsidR="008516CD">
        <w:t xml:space="preserve"> 2024 </w:t>
      </w:r>
      <w:r w:rsidR="007410F6">
        <w:t xml:space="preserve">in regional and remote areas </w:t>
      </w:r>
      <w:r w:rsidR="00CB6107" w:rsidRPr="00CB6107">
        <w:t>where TOB usage is limited and infrequent</w:t>
      </w:r>
      <w:r w:rsidR="007410F6">
        <w:t>.</w:t>
      </w:r>
    </w:p>
    <w:p w14:paraId="36510321" w14:textId="4C40E354" w:rsidR="00440248" w:rsidRDefault="004358B6" w:rsidP="009943F2">
      <w:pPr>
        <w:pStyle w:val="Bulletlevel1last"/>
        <w:numPr>
          <w:ilvl w:val="0"/>
          <w:numId w:val="0"/>
        </w:numPr>
      </w:pPr>
      <w:r w:rsidRPr="004358B6">
        <w:t xml:space="preserve">Frequencies covered by the 2 GHz band are subject to the </w:t>
      </w:r>
      <w:hyperlink r:id="rId28" w:history="1">
        <w:r w:rsidRPr="0085162D">
          <w:rPr>
            <w:rStyle w:val="Hyperlink"/>
          </w:rPr>
          <w:t>Television Outside Broadcast (1980–2110 MHz and 2170–2300 MHz) Frequency Band Plan 2012</w:t>
        </w:r>
      </w:hyperlink>
      <w:r w:rsidRPr="004358B6">
        <w:t xml:space="preserve"> (the TOB band plan), which sets outs the purposes for which the band may be used</w:t>
      </w:r>
      <w:r w:rsidR="008A4AF4">
        <w:t>.</w:t>
      </w:r>
      <w:r w:rsidR="00687A3C">
        <w:t xml:space="preserve"> </w:t>
      </w:r>
      <w:r w:rsidR="00DC5BF8">
        <w:t>T</w:t>
      </w:r>
      <w:r w:rsidR="00A85703">
        <w:t>hi</w:t>
      </w:r>
      <w:r w:rsidR="00336D8D">
        <w:t xml:space="preserve">s is a legislative instrument </w:t>
      </w:r>
      <w:r w:rsidR="00A85703">
        <w:t xml:space="preserve">made </w:t>
      </w:r>
      <w:r w:rsidR="00336D8D">
        <w:t xml:space="preserve">by the ACMA </w:t>
      </w:r>
      <w:r w:rsidR="00715C39">
        <w:t xml:space="preserve">under section 32 of the </w:t>
      </w:r>
      <w:r w:rsidR="00715C39" w:rsidRPr="00D15AF8">
        <w:rPr>
          <w:i/>
          <w:iCs/>
        </w:rPr>
        <w:t>Radiocommunications Act 1992</w:t>
      </w:r>
      <w:r w:rsidR="00715C39">
        <w:rPr>
          <w:i/>
          <w:iCs/>
        </w:rPr>
        <w:t>.</w:t>
      </w:r>
    </w:p>
    <w:p w14:paraId="5DE4D5B5" w14:textId="6A9E7CC2" w:rsidR="0042516F" w:rsidRDefault="00A85703" w:rsidP="0042516F">
      <w:pPr>
        <w:pStyle w:val="Bulletlevel1last"/>
        <w:numPr>
          <w:ilvl w:val="0"/>
          <w:numId w:val="0"/>
        </w:numPr>
      </w:pPr>
      <w:r>
        <w:t xml:space="preserve">To </w:t>
      </w:r>
      <w:r w:rsidR="00DD69E1">
        <w:t xml:space="preserve">support </w:t>
      </w:r>
      <w:r w:rsidR="008853D3">
        <w:t>the</w:t>
      </w:r>
      <w:r w:rsidR="00DD69E1">
        <w:t xml:space="preserve"> introduction of MSS and facilitate </w:t>
      </w:r>
      <w:r w:rsidR="00722440">
        <w:t>ceasing</w:t>
      </w:r>
      <w:r w:rsidR="00DD69E1">
        <w:t xml:space="preserve"> TOB services in the 2 GHz band</w:t>
      </w:r>
      <w:r>
        <w:t xml:space="preserve">, we propose to </w:t>
      </w:r>
      <w:r w:rsidR="00FB30A1">
        <w:t>repeal</w:t>
      </w:r>
      <w:r>
        <w:t xml:space="preserve"> </w:t>
      </w:r>
      <w:r w:rsidR="00346FF5">
        <w:t xml:space="preserve">the TOB band plan </w:t>
      </w:r>
      <w:r>
        <w:t xml:space="preserve">and </w:t>
      </w:r>
      <w:r w:rsidR="00336D8D">
        <w:t xml:space="preserve">replace it with </w:t>
      </w:r>
      <w:r w:rsidR="00722440">
        <w:t xml:space="preserve">2 </w:t>
      </w:r>
      <w:r w:rsidR="00336D8D">
        <w:t xml:space="preserve">new </w:t>
      </w:r>
      <w:r w:rsidR="00715C39">
        <w:t>frequency band plans covering the relevant frequencies</w:t>
      </w:r>
      <w:r w:rsidR="008C4476">
        <w:t>.</w:t>
      </w:r>
    </w:p>
    <w:p w14:paraId="76647D81" w14:textId="401EF516" w:rsidR="00DF3BDD" w:rsidRDefault="00DF3BDD" w:rsidP="0042516F">
      <w:pPr>
        <w:pStyle w:val="Bulletlevel1last"/>
        <w:numPr>
          <w:ilvl w:val="0"/>
          <w:numId w:val="0"/>
        </w:numPr>
      </w:pPr>
      <w:r>
        <w:t xml:space="preserve">Before making or revoking a frequency band plan, the ACMA is required under the </w:t>
      </w:r>
      <w:r w:rsidRPr="0023531A">
        <w:rPr>
          <w:i/>
          <w:iCs/>
        </w:rPr>
        <w:t>Radiocommunications Act 1992</w:t>
      </w:r>
      <w:r>
        <w:t xml:space="preserve"> to provide the public with reasonable opportunity to make representations to the ACMA on the draft plan and revocation. </w:t>
      </w:r>
      <w:r w:rsidR="00722440">
        <w:t>T</w:t>
      </w:r>
      <w:r w:rsidR="008E00FB">
        <w:t>his paper provide</w:t>
      </w:r>
      <w:r w:rsidR="00722440">
        <w:t>s</w:t>
      </w:r>
      <w:r w:rsidR="008E00FB">
        <w:t xml:space="preserve"> that opportunity.</w:t>
      </w:r>
    </w:p>
    <w:p w14:paraId="16577329" w14:textId="44129C76" w:rsidR="00DF3BDD" w:rsidRDefault="0043273F" w:rsidP="00BD1468">
      <w:pPr>
        <w:pStyle w:val="Heading2"/>
      </w:pPr>
      <w:bookmarkStart w:id="6" w:name="_Toc88819872"/>
      <w:r w:rsidRPr="00BD1468">
        <w:t>Proposed frequency band plans</w:t>
      </w:r>
      <w:r w:rsidR="00B850AF">
        <w:t xml:space="preserve"> for the 2 GHz band</w:t>
      </w:r>
      <w:bookmarkEnd w:id="6"/>
    </w:p>
    <w:p w14:paraId="3FFB0C6D" w14:textId="5024F3B1" w:rsidR="007022B5" w:rsidRDefault="00C234D3" w:rsidP="001753B7">
      <w:pPr>
        <w:pStyle w:val="Paragraph"/>
      </w:pPr>
      <w:r>
        <w:t>T</w:t>
      </w:r>
      <w:r w:rsidR="00ED716E" w:rsidRPr="00CA18D4">
        <w:t xml:space="preserve">he 2 GHz band comprises a subset of frequencies contained in the </w:t>
      </w:r>
      <w:r w:rsidR="00AF1411">
        <w:t xml:space="preserve">current </w:t>
      </w:r>
      <w:r w:rsidR="00ED716E" w:rsidRPr="00CA18D4">
        <w:t xml:space="preserve">TOB </w:t>
      </w:r>
      <w:r w:rsidR="009E12F1">
        <w:t>b</w:t>
      </w:r>
      <w:r w:rsidR="00ED716E" w:rsidRPr="00CA18D4">
        <w:t xml:space="preserve">and </w:t>
      </w:r>
      <w:r w:rsidR="009E12F1">
        <w:t>p</w:t>
      </w:r>
      <w:r w:rsidR="00ED716E" w:rsidRPr="00CA18D4">
        <w:t>lan</w:t>
      </w:r>
      <w:r w:rsidR="00244D15">
        <w:t>. Th</w:t>
      </w:r>
      <w:r w:rsidR="00294764">
        <w:t>e c</w:t>
      </w:r>
      <w:r w:rsidR="009C20A9">
        <w:t xml:space="preserve">urrent TOB </w:t>
      </w:r>
      <w:r w:rsidR="00CB1D76">
        <w:t>band</w:t>
      </w:r>
      <w:r w:rsidR="00244D15">
        <w:t xml:space="preserve"> plan covers the 2 GHz band </w:t>
      </w:r>
      <w:r w:rsidR="002C5EE4">
        <w:t>(30 MHz of paired spectrum)</w:t>
      </w:r>
      <w:r w:rsidR="00722440">
        <w:t>,</w:t>
      </w:r>
      <w:r w:rsidR="002C5EE4">
        <w:t xml:space="preserve"> </w:t>
      </w:r>
      <w:r w:rsidR="00244D15">
        <w:t xml:space="preserve">as well as </w:t>
      </w:r>
      <w:r w:rsidR="00FF379D">
        <w:t>the</w:t>
      </w:r>
      <w:r w:rsidR="00526807">
        <w:t xml:space="preserve"> </w:t>
      </w:r>
      <w:r w:rsidR="00CE031C">
        <w:t xml:space="preserve">adjacent </w:t>
      </w:r>
      <w:r w:rsidR="00281382">
        <w:t>bands</w:t>
      </w:r>
      <w:r w:rsidR="00FF379D">
        <w:t xml:space="preserve"> </w:t>
      </w:r>
      <w:r w:rsidR="00281382" w:rsidRPr="00281382">
        <w:t>2010–2110 and 2200–2300 MHz</w:t>
      </w:r>
      <w:r w:rsidR="00DE5131">
        <w:t>. The adjacent ban</w:t>
      </w:r>
      <w:r w:rsidR="004525FE">
        <w:t>ds</w:t>
      </w:r>
      <w:r w:rsidR="00B300C2">
        <w:t xml:space="preserve"> –</w:t>
      </w:r>
      <w:r w:rsidR="00D54F12">
        <w:t xml:space="preserve"> which</w:t>
      </w:r>
      <w:r w:rsidR="00837186">
        <w:t xml:space="preserve"> </w:t>
      </w:r>
      <w:r w:rsidR="00A051F2">
        <w:t xml:space="preserve">are </w:t>
      </w:r>
      <w:r w:rsidR="00A051F2" w:rsidRPr="00A051F2">
        <w:t>out</w:t>
      </w:r>
      <w:r w:rsidR="00FD4806">
        <w:t>side</w:t>
      </w:r>
      <w:r w:rsidR="00216C97">
        <w:t xml:space="preserve"> </w:t>
      </w:r>
      <w:r w:rsidR="00D54F12">
        <w:t>the</w:t>
      </w:r>
      <w:r w:rsidR="00A051F2" w:rsidRPr="00A051F2">
        <w:t xml:space="preserve"> scope</w:t>
      </w:r>
      <w:r w:rsidR="00CE031C">
        <w:t xml:space="preserve"> of the 2 GHz </w:t>
      </w:r>
      <w:r w:rsidR="00A051F2" w:rsidRPr="00A051F2">
        <w:t>review</w:t>
      </w:r>
      <w:r w:rsidR="00B300C2">
        <w:t xml:space="preserve"> –</w:t>
      </w:r>
      <w:r w:rsidR="00A051F2" w:rsidRPr="00A051F2" w:rsidDel="00526807">
        <w:t xml:space="preserve"> </w:t>
      </w:r>
      <w:r w:rsidR="0008365F">
        <w:t xml:space="preserve">support TOB operations </w:t>
      </w:r>
      <w:r w:rsidR="00924C78" w:rsidRPr="00924C78">
        <w:t>of the free-to-air broadcasters (ABC, Seven, Nine and Ten) and subscription television companies</w:t>
      </w:r>
      <w:r w:rsidR="002452D8" w:rsidRPr="002452D8">
        <w:t xml:space="preserve">. </w:t>
      </w:r>
      <w:r w:rsidR="00194FFF">
        <w:t xml:space="preserve">Figure 1 </w:t>
      </w:r>
      <w:r w:rsidR="00D20471">
        <w:t xml:space="preserve">illustrates the </w:t>
      </w:r>
      <w:r w:rsidR="00EF3A5B">
        <w:t>layout</w:t>
      </w:r>
      <w:r w:rsidR="00497416">
        <w:t xml:space="preserve"> of these parts of the spectrum</w:t>
      </w:r>
      <w:r w:rsidR="00DF4FBE">
        <w:t xml:space="preserve"> and their place in the current and proposed frequency band plans</w:t>
      </w:r>
      <w:r w:rsidR="001753B7">
        <w:t>.</w:t>
      </w:r>
    </w:p>
    <w:p w14:paraId="061E9A3D" w14:textId="01B5C982" w:rsidR="005C7C36" w:rsidRPr="005C7C36" w:rsidRDefault="001A504E" w:rsidP="005C7C36">
      <w:pPr>
        <w:pStyle w:val="Figureheading"/>
        <w:spacing w:after="360"/>
      </w:pPr>
      <w:r>
        <w:lastRenderedPageBreak/>
        <w:t>Current and proposed band</w:t>
      </w:r>
      <w:r w:rsidR="008152D0">
        <w:t xml:space="preserve"> plan f</w:t>
      </w:r>
      <w:r w:rsidR="00C36217">
        <w:t>requency arrangements</w:t>
      </w:r>
    </w:p>
    <w:p w14:paraId="4042EA3D" w14:textId="53ACB39E" w:rsidR="00CE031C" w:rsidRDefault="00053B06" w:rsidP="00E96D99">
      <w:pPr>
        <w:pStyle w:val="Paragraph"/>
      </w:pPr>
      <w:r w:rsidRPr="00053B06">
        <w:rPr>
          <w:noProof/>
        </w:rPr>
        <w:drawing>
          <wp:inline distT="0" distB="0" distL="0" distR="0" wp14:anchorId="342BB44D" wp14:editId="67C7CD04">
            <wp:extent cx="5895917" cy="2400332"/>
            <wp:effectExtent l="0" t="0" r="0" b="0"/>
            <wp:docPr id="8" name="Picture 8" descr="If you need help accessing or reading this diagram, please contact the ACMA's Customer Service Centre by phone on 1300 850 115 or by email at info@acm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f you need help accessing or reading this diagram, please contact the ACMA's Customer Service Centre by phone on 1300 850 115 or by email at info@acma.gov.au"/>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24448" cy="2411947"/>
                    </a:xfrm>
                    <a:prstGeom prst="rect">
                      <a:avLst/>
                    </a:prstGeom>
                    <a:noFill/>
                    <a:ln>
                      <a:noFill/>
                    </a:ln>
                  </pic:spPr>
                </pic:pic>
              </a:graphicData>
            </a:graphic>
          </wp:inline>
        </w:drawing>
      </w:r>
    </w:p>
    <w:p w14:paraId="3C474D65" w14:textId="39BD2F38" w:rsidR="00ED716E" w:rsidRDefault="00F55E1C" w:rsidP="00786C11">
      <w:pPr>
        <w:pStyle w:val="Paragraphbeforelist"/>
        <w:spacing w:before="360"/>
      </w:pPr>
      <w:r>
        <w:t xml:space="preserve">The proposed </w:t>
      </w:r>
      <w:r w:rsidR="0015186F">
        <w:t xml:space="preserve">new </w:t>
      </w:r>
      <w:r w:rsidRPr="00F55E1C">
        <w:t xml:space="preserve">plans are detailed in the </w:t>
      </w:r>
      <w:r w:rsidR="00EE2C67">
        <w:t xml:space="preserve">draft </w:t>
      </w:r>
      <w:r w:rsidRPr="00F55E1C">
        <w:t>legislative instruments accompanying this consultation paper</w:t>
      </w:r>
      <w:r w:rsidR="00ED716E">
        <w:t xml:space="preserve">: </w:t>
      </w:r>
    </w:p>
    <w:p w14:paraId="1670FC5A" w14:textId="440A31F4" w:rsidR="00ED716E" w:rsidRDefault="00722440" w:rsidP="00B87E58">
      <w:pPr>
        <w:pStyle w:val="ListBullet"/>
      </w:pPr>
      <w:r>
        <w:t xml:space="preserve">the </w:t>
      </w:r>
      <w:r w:rsidR="00B87E58" w:rsidRPr="00D4090B">
        <w:t>Radiocommunications (Mobile-Satellite Service) (1980–2010 MHz and 2170–2200 MHz) Frequency Band Plan 2022</w:t>
      </w:r>
      <w:r w:rsidR="00B6753E">
        <w:t xml:space="preserve"> (the </w:t>
      </w:r>
      <w:r w:rsidR="00B6753E" w:rsidRPr="008F1494">
        <w:t>2 GHz MSS band plan</w:t>
      </w:r>
      <w:r w:rsidR="00B6753E">
        <w:t>)</w:t>
      </w:r>
      <w:r w:rsidR="00B87E58">
        <w:t xml:space="preserve">, which </w:t>
      </w:r>
      <w:r w:rsidR="00ED716E">
        <w:t>deal</w:t>
      </w:r>
      <w:r w:rsidR="00B87E58">
        <w:t>s</w:t>
      </w:r>
      <w:r w:rsidR="00ED716E">
        <w:t xml:space="preserve"> with the 2 GHz band </w:t>
      </w:r>
      <w:r w:rsidR="00175A97">
        <w:t>as replanned for MSS</w:t>
      </w:r>
    </w:p>
    <w:p w14:paraId="078DC850" w14:textId="49C03DCE" w:rsidR="00ED716E" w:rsidRDefault="00722440" w:rsidP="007F1A95">
      <w:pPr>
        <w:pStyle w:val="Bulletlevel1last"/>
      </w:pPr>
      <w:r>
        <w:t xml:space="preserve">the </w:t>
      </w:r>
      <w:r w:rsidR="007F1A95" w:rsidRPr="007F1A95">
        <w:t>Radiocommunications (Television Outside Broadcasting) (2010–2110 MHz and 2200–2300 MHz) Frequency Band Plan 202</w:t>
      </w:r>
      <w:r w:rsidR="008A2D69">
        <w:t xml:space="preserve">2 </w:t>
      </w:r>
      <w:r w:rsidR="00B6753E">
        <w:t>(the</w:t>
      </w:r>
      <w:r w:rsidR="00B6753E" w:rsidRPr="00CA2D19">
        <w:rPr>
          <w:b/>
          <w:bCs/>
        </w:rPr>
        <w:t xml:space="preserve"> </w:t>
      </w:r>
      <w:r w:rsidR="00B6753E" w:rsidRPr="008F1494">
        <w:t>revised TOB band plan</w:t>
      </w:r>
      <w:r w:rsidR="00B6753E">
        <w:t>)</w:t>
      </w:r>
      <w:r w:rsidR="002C163C">
        <w:t xml:space="preserve">, </w:t>
      </w:r>
      <w:r w:rsidR="00ED716E">
        <w:t>deal</w:t>
      </w:r>
      <w:r w:rsidR="002C163C">
        <w:t>ing</w:t>
      </w:r>
      <w:r w:rsidR="00ED716E">
        <w:t xml:space="preserve"> with the remaining frequencies </w:t>
      </w:r>
      <w:r>
        <w:t xml:space="preserve">that </w:t>
      </w:r>
      <w:r w:rsidR="00ED716E">
        <w:t xml:space="preserve">are not affected by the 2 GHz </w:t>
      </w:r>
      <w:r w:rsidR="008B3850">
        <w:t>band review</w:t>
      </w:r>
      <w:r w:rsidR="00ED716E">
        <w:t xml:space="preserve"> and remain planned </w:t>
      </w:r>
      <w:r w:rsidR="00AF4836">
        <w:t xml:space="preserve">and licensed </w:t>
      </w:r>
      <w:r w:rsidR="00ED716E">
        <w:t>for TOB use.</w:t>
      </w:r>
    </w:p>
    <w:p w14:paraId="675F0AFD" w14:textId="77777777" w:rsidR="00883D40" w:rsidRDefault="00883D40" w:rsidP="00883D40">
      <w:pPr>
        <w:pStyle w:val="Heading2"/>
      </w:pPr>
      <w:bookmarkStart w:id="7" w:name="_Toc88819873"/>
      <w:r>
        <w:t>Implementation progress</w:t>
      </w:r>
      <w:bookmarkEnd w:id="7"/>
    </w:p>
    <w:p w14:paraId="44356B5E" w14:textId="5ADDE651" w:rsidR="00883D40" w:rsidRDefault="00883D40" w:rsidP="00883D40">
      <w:pPr>
        <w:pStyle w:val="Paragraph"/>
      </w:pPr>
      <w:r>
        <w:t>Our review of the TOB band plan is one part of a broader program of work to implement outcomes of the 2 GHz band review. To date, we</w:t>
      </w:r>
      <w:r w:rsidRPr="008E6447">
        <w:t xml:space="preserve"> have amended </w:t>
      </w:r>
      <w:r w:rsidR="00722440">
        <w:t>2</w:t>
      </w:r>
      <w:r w:rsidR="00722440" w:rsidRPr="008E6447">
        <w:t xml:space="preserve"> </w:t>
      </w:r>
      <w:r w:rsidRPr="008E6447">
        <w:t xml:space="preserve">planning </w:t>
      </w:r>
      <w:r>
        <w:t>documents</w:t>
      </w:r>
      <w:r w:rsidRPr="008E6447">
        <w:t xml:space="preserve">, </w:t>
      </w:r>
      <w:hyperlink r:id="rId30" w:history="1">
        <w:r w:rsidRPr="00140F47">
          <w:rPr>
            <w:rStyle w:val="Hyperlink"/>
          </w:rPr>
          <w:t>Embargo 23</w:t>
        </w:r>
      </w:hyperlink>
      <w:r w:rsidRPr="00140F47">
        <w:t xml:space="preserve"> and </w:t>
      </w:r>
      <w:hyperlink r:id="rId31" w:history="1">
        <w:r w:rsidRPr="00FC502B">
          <w:rPr>
            <w:rStyle w:val="Hyperlink"/>
          </w:rPr>
          <w:t>RALI FX21</w:t>
        </w:r>
      </w:hyperlink>
      <w:r w:rsidRPr="008E6447">
        <w:t xml:space="preserve">, to limit any new or reissued TOB licences to a </w:t>
      </w:r>
      <w:r w:rsidR="00471276">
        <w:t>term</w:t>
      </w:r>
      <w:r w:rsidRPr="008E6447">
        <w:t xml:space="preserve"> of no longer than </w:t>
      </w:r>
      <w:r w:rsidR="00722440">
        <w:t>one</w:t>
      </w:r>
      <w:r w:rsidRPr="008E6447">
        <w:t xml:space="preserve"> year, and to note on these licences that forthcoming replanning activities may require licensees to change frequency or cease transmission.</w:t>
      </w:r>
    </w:p>
    <w:p w14:paraId="52AA8BF1" w14:textId="22B16742" w:rsidR="00883D40" w:rsidRDefault="00883D40" w:rsidP="00883D40">
      <w:pPr>
        <w:pStyle w:val="Paragraph"/>
      </w:pPr>
      <w:r>
        <w:t>We are also conducting a concurrent consultatio</w:t>
      </w:r>
      <w:r w:rsidRPr="00424874">
        <w:t>n on implementing class</w:t>
      </w:r>
      <w:r w:rsidR="00722440" w:rsidRPr="00424874">
        <w:t>-</w:t>
      </w:r>
      <w:r w:rsidRPr="00424874">
        <w:t xml:space="preserve">licensing arrangements to authorise earth stations in the 2 GHz narrowband MSS segment. For further information, please refer to our consultation </w:t>
      </w:r>
      <w:r w:rsidR="005C6567" w:rsidRPr="00424874">
        <w:t xml:space="preserve">paper </w:t>
      </w:r>
      <w:r w:rsidRPr="00424874">
        <w:t xml:space="preserve">on </w:t>
      </w:r>
      <w:hyperlink r:id="rId32" w:history="1">
        <w:r w:rsidRPr="00424874">
          <w:rPr>
            <w:rStyle w:val="Hyperlink"/>
          </w:rPr>
          <w:t>proposed licensing arrangements for 2 GHz narrowband mobile-satellite services</w:t>
        </w:r>
      </w:hyperlink>
      <w:r w:rsidRPr="00424874">
        <w:t>.</w:t>
      </w:r>
    </w:p>
    <w:p w14:paraId="6EE8C8D4" w14:textId="20226A7B" w:rsidR="00860F50" w:rsidRDefault="00860F50" w:rsidP="00BD1468">
      <w:pPr>
        <w:pStyle w:val="Heading1"/>
      </w:pPr>
      <w:bookmarkStart w:id="8" w:name="_Toc88819874"/>
      <w:r>
        <w:lastRenderedPageBreak/>
        <w:t xml:space="preserve">2 GHz MSS band </w:t>
      </w:r>
      <w:r w:rsidR="00211611">
        <w:t>plan</w:t>
      </w:r>
      <w:bookmarkEnd w:id="8"/>
    </w:p>
    <w:p w14:paraId="3EA673CF" w14:textId="22706FFE" w:rsidR="00906FE9" w:rsidRDefault="00906FE9" w:rsidP="00906FE9">
      <w:pPr>
        <w:pStyle w:val="Paragraphbeforelist"/>
      </w:pPr>
      <w:r>
        <w:t xml:space="preserve">The </w:t>
      </w:r>
      <w:r w:rsidR="00225930">
        <w:t xml:space="preserve">draft </w:t>
      </w:r>
      <w:r>
        <w:t xml:space="preserve">2 GHz MSS band plan is designed to achieve the following </w:t>
      </w:r>
      <w:r w:rsidR="000C7D15">
        <w:t xml:space="preserve">key </w:t>
      </w:r>
      <w:r>
        <w:t>objectives:</w:t>
      </w:r>
    </w:p>
    <w:p w14:paraId="12B5A96A" w14:textId="1642010F" w:rsidR="00906FE9" w:rsidRDefault="00906FE9" w:rsidP="00906FE9">
      <w:pPr>
        <w:pStyle w:val="ListBullet"/>
      </w:pPr>
      <w:r>
        <w:t xml:space="preserve">Establish </w:t>
      </w:r>
      <w:r w:rsidR="00253357">
        <w:t xml:space="preserve">that the band may be used for the </w:t>
      </w:r>
      <w:r>
        <w:t>purpose</w:t>
      </w:r>
      <w:r w:rsidR="00253357">
        <w:t xml:space="preserve"> of</w:t>
      </w:r>
      <w:r>
        <w:t xml:space="preserve"> MSS</w:t>
      </w:r>
      <w:r w:rsidR="00816BDC">
        <w:t>.</w:t>
      </w:r>
      <w:r w:rsidR="003418EB">
        <w:rPr>
          <w:rStyle w:val="FootnoteReference"/>
        </w:rPr>
        <w:footnoteReference w:id="4"/>
      </w:r>
      <w:r>
        <w:t xml:space="preserve"> </w:t>
      </w:r>
    </w:p>
    <w:p w14:paraId="5E30F97C" w14:textId="4A463FAB" w:rsidR="00906FE9" w:rsidRDefault="00906FE9" w:rsidP="00906FE9">
      <w:pPr>
        <w:pStyle w:val="ListBullet"/>
      </w:pPr>
      <w:r>
        <w:t>P</w:t>
      </w:r>
      <w:r w:rsidRPr="002C4E5B">
        <w:t xml:space="preserve">rovide certainty to existing and future licensees </w:t>
      </w:r>
      <w:r>
        <w:t>by</w:t>
      </w:r>
      <w:r w:rsidRPr="00322228">
        <w:t xml:space="preserve"> </w:t>
      </w:r>
      <w:r>
        <w:t xml:space="preserve">setting dates </w:t>
      </w:r>
      <w:r w:rsidR="00C079AC">
        <w:t>by which</w:t>
      </w:r>
      <w:r w:rsidRPr="002C4E5B">
        <w:t xml:space="preserve"> TOB services must cease operating in the 2 GHz b</w:t>
      </w:r>
      <w:r>
        <w:t>and, to facilitate the</w:t>
      </w:r>
      <w:r w:rsidRPr="002C4E5B">
        <w:t xml:space="preserve"> transition of TOB services to alternative frequencies</w:t>
      </w:r>
      <w:r>
        <w:t>. The proposed timeframes</w:t>
      </w:r>
      <w:r w:rsidR="00225930">
        <w:t xml:space="preserve"> (discussed below)</w:t>
      </w:r>
      <w:r>
        <w:t xml:space="preserve"> are reflected in the </w:t>
      </w:r>
      <w:r w:rsidR="009D1B77">
        <w:t>draft</w:t>
      </w:r>
      <w:r>
        <w:t xml:space="preserve"> band plan.</w:t>
      </w:r>
    </w:p>
    <w:p w14:paraId="17DFE9CF" w14:textId="6C8256F0" w:rsidR="00906FE9" w:rsidRDefault="009000B1" w:rsidP="00906FE9">
      <w:pPr>
        <w:pStyle w:val="Bulletlevel1last"/>
      </w:pPr>
      <w:r>
        <w:t>Provide ongoing support</w:t>
      </w:r>
      <w:r w:rsidR="00906FE9">
        <w:t xml:space="preserve"> for</w:t>
      </w:r>
      <w:r w:rsidR="00906FE9" w:rsidRPr="00266932">
        <w:t xml:space="preserve"> legacy fixed point-to-point services</w:t>
      </w:r>
      <w:r w:rsidR="00906FE9">
        <w:t xml:space="preserve"> licensed </w:t>
      </w:r>
      <w:r w:rsidR="00816BDC">
        <w:t>before the</w:t>
      </w:r>
      <w:r w:rsidR="00906FE9">
        <w:t xml:space="preserve"> commencement of the TOB band plan in 2012.</w:t>
      </w:r>
      <w:r w:rsidR="00906FE9">
        <w:rPr>
          <w:rStyle w:val="FootnoteReference"/>
          <w:bCs/>
          <w:color w:val="000000" w:themeColor="text1"/>
          <w:sz w:val="22"/>
          <w:szCs w:val="22"/>
        </w:rPr>
        <w:footnoteReference w:id="5"/>
      </w:r>
      <w:r w:rsidR="00906FE9">
        <w:t xml:space="preserve"> </w:t>
      </w:r>
      <w:r w:rsidR="00C16D21">
        <w:t>As these are all in remote areas, w</w:t>
      </w:r>
      <w:r w:rsidR="001A41BF">
        <w:t>e</w:t>
      </w:r>
      <w:r w:rsidR="00906FE9">
        <w:t xml:space="preserve"> consider the continued operation of these services poses a</w:t>
      </w:r>
      <w:r w:rsidR="00C16D21">
        <w:t xml:space="preserve"> </w:t>
      </w:r>
      <w:r w:rsidR="00DB7550">
        <w:t xml:space="preserve">negligible interference </w:t>
      </w:r>
      <w:r w:rsidR="00906FE9">
        <w:t xml:space="preserve">risk to future </w:t>
      </w:r>
      <w:r w:rsidR="00A11571">
        <w:t>MSS</w:t>
      </w:r>
      <w:r w:rsidR="00906FE9">
        <w:t>.</w:t>
      </w:r>
    </w:p>
    <w:p w14:paraId="3D525EBE" w14:textId="77777777" w:rsidR="00BD1468" w:rsidRDefault="00860F50" w:rsidP="00BD1468">
      <w:pPr>
        <w:pStyle w:val="Heading2"/>
      </w:pPr>
      <w:bookmarkStart w:id="9" w:name="_Toc88819875"/>
      <w:r>
        <w:t>Transition timeframes</w:t>
      </w:r>
      <w:bookmarkEnd w:id="9"/>
      <w:r w:rsidR="006011A2">
        <w:t xml:space="preserve"> </w:t>
      </w:r>
    </w:p>
    <w:p w14:paraId="5978823B" w14:textId="75ACB4A6" w:rsidR="001A41BF" w:rsidRPr="002C4E5B" w:rsidRDefault="008D5BB2" w:rsidP="00BD1468">
      <w:pPr>
        <w:pStyle w:val="Heading3"/>
      </w:pPr>
      <w:r>
        <w:t>Metropolitan</w:t>
      </w:r>
      <w:r w:rsidR="002E1C76">
        <w:t xml:space="preserve"> areas</w:t>
      </w:r>
    </w:p>
    <w:p w14:paraId="71C8E017" w14:textId="4B6DC02E" w:rsidR="005B388C" w:rsidRDefault="00FF75FA" w:rsidP="00324F6C">
      <w:pPr>
        <w:pStyle w:val="Paragraph"/>
      </w:pPr>
      <w:r w:rsidRPr="00252388">
        <w:t xml:space="preserve">To implement the </w:t>
      </w:r>
      <w:r w:rsidR="00B936E4">
        <w:t>proposed</w:t>
      </w:r>
      <w:r w:rsidRPr="00252388">
        <w:t xml:space="preserve"> transition timeframe</w:t>
      </w:r>
      <w:r w:rsidR="00D721E1">
        <w:t xml:space="preserve"> </w:t>
      </w:r>
      <w:r w:rsidR="00A11141">
        <w:t>for</w:t>
      </w:r>
      <w:r>
        <w:t xml:space="preserve"> TOB </w:t>
      </w:r>
      <w:r w:rsidR="00A11141">
        <w:t>services</w:t>
      </w:r>
      <w:r w:rsidR="00875CB2">
        <w:t xml:space="preserve"> </w:t>
      </w:r>
      <w:r w:rsidR="00A11141">
        <w:t>to cease operating in the 2 GHz band</w:t>
      </w:r>
      <w:r w:rsidRPr="00252388">
        <w:t>, the draft 2 GHz MSS band plan specifies</w:t>
      </w:r>
      <w:r w:rsidR="00D833D9">
        <w:t xml:space="preserve"> that </w:t>
      </w:r>
      <w:r w:rsidRPr="00252388">
        <w:t>the band must not be used for a TOB service</w:t>
      </w:r>
      <w:r w:rsidR="00DC5CF6">
        <w:t xml:space="preserve"> in a metropolitan area</w:t>
      </w:r>
      <w:r w:rsidR="00D833D9">
        <w:t xml:space="preserve"> from </w:t>
      </w:r>
      <w:r w:rsidR="00D833D9" w:rsidRPr="00252388">
        <w:t>1 March 2026</w:t>
      </w:r>
      <w:r>
        <w:t>.</w:t>
      </w:r>
      <w:r w:rsidR="00D721E1">
        <w:t xml:space="preserve"> </w:t>
      </w:r>
    </w:p>
    <w:p w14:paraId="1BCABD27" w14:textId="69685148" w:rsidR="005B54F4" w:rsidRDefault="00E627EB" w:rsidP="00324F6C">
      <w:pPr>
        <w:pStyle w:val="Paragraph"/>
      </w:pPr>
      <w:r>
        <w:t>Metropolitan areas</w:t>
      </w:r>
      <w:r w:rsidR="00B96719">
        <w:t xml:space="preserve"> are </w:t>
      </w:r>
      <w:r>
        <w:t xml:space="preserve">defined at Schedule </w:t>
      </w:r>
      <w:r w:rsidR="00107BE1">
        <w:t>1</w:t>
      </w:r>
      <w:r w:rsidR="00B96719">
        <w:t xml:space="preserve"> of the draft band pla</w:t>
      </w:r>
      <w:r w:rsidR="00221B9E">
        <w:t>n</w:t>
      </w:r>
      <w:r w:rsidR="006916AC">
        <w:t xml:space="preserve"> and comprise </w:t>
      </w:r>
      <w:r w:rsidR="00CE61FB">
        <w:t xml:space="preserve">populated areas around capital cities and surrounds </w:t>
      </w:r>
      <w:r w:rsidR="00F22371">
        <w:t>where o</w:t>
      </w:r>
      <w:r w:rsidR="004C5C94">
        <w:t xml:space="preserve">peration of </w:t>
      </w:r>
      <w:r w:rsidR="00893670">
        <w:t xml:space="preserve">TOB </w:t>
      </w:r>
      <w:r w:rsidR="004C5C94">
        <w:t>services</w:t>
      </w:r>
      <w:r w:rsidR="00F22371">
        <w:t xml:space="preserve"> is most frequent.</w:t>
      </w:r>
      <w:r w:rsidR="00893670">
        <w:t xml:space="preserve"> </w:t>
      </w:r>
      <w:r w:rsidR="006E423B">
        <w:t>The</w:t>
      </w:r>
      <w:r w:rsidR="00BC1191">
        <w:t>se</w:t>
      </w:r>
      <w:r w:rsidR="006E423B">
        <w:t xml:space="preserve"> area boundaries</w:t>
      </w:r>
      <w:r w:rsidR="0088423E">
        <w:t xml:space="preserve"> are unique to this process and</w:t>
      </w:r>
      <w:r w:rsidR="005D1276">
        <w:t xml:space="preserve"> </w:t>
      </w:r>
      <w:r w:rsidR="00BC1191">
        <w:t>were</w:t>
      </w:r>
      <w:r w:rsidR="005D1276">
        <w:t xml:space="preserve"> informed by </w:t>
      </w:r>
      <w:r w:rsidR="009461D8">
        <w:t xml:space="preserve">our </w:t>
      </w:r>
      <w:r w:rsidR="005D1276">
        <w:t>apparatus licence fee areas, location of sporting stadiums, 2 GHz spectrum</w:t>
      </w:r>
      <w:r w:rsidR="009461D8">
        <w:t>-</w:t>
      </w:r>
      <w:r w:rsidR="006E423B">
        <w:t>licensed</w:t>
      </w:r>
      <w:r w:rsidR="005D1276">
        <w:t xml:space="preserve"> capital city areas</w:t>
      </w:r>
      <w:r w:rsidR="006E423B">
        <w:t>,</w:t>
      </w:r>
      <w:r w:rsidR="005D1276">
        <w:t xml:space="preserve"> and requirements to protect TOB services in </w:t>
      </w:r>
      <w:r w:rsidR="009461D8">
        <w:t>the upper-adjacent band (</w:t>
      </w:r>
      <w:r w:rsidR="005D1276">
        <w:t>2010</w:t>
      </w:r>
      <w:r w:rsidR="009461D8">
        <w:t>–</w:t>
      </w:r>
      <w:r w:rsidR="005D1276">
        <w:t>2110</w:t>
      </w:r>
      <w:r w:rsidR="009461D8">
        <w:t xml:space="preserve"> MHz and </w:t>
      </w:r>
      <w:r w:rsidR="005D1276">
        <w:t>2200</w:t>
      </w:r>
      <w:r w:rsidR="009461D8">
        <w:t>–</w:t>
      </w:r>
      <w:r w:rsidR="005D1276">
        <w:t>2300 MHz</w:t>
      </w:r>
      <w:r w:rsidR="009461D8">
        <w:t>)</w:t>
      </w:r>
      <w:r w:rsidR="005D1276">
        <w:t xml:space="preserve">. </w:t>
      </w:r>
      <w:r w:rsidR="00221B9E">
        <w:t xml:space="preserve">The </w:t>
      </w:r>
      <w:r w:rsidR="0097397F">
        <w:t xml:space="preserve">areas are </w:t>
      </w:r>
      <w:r w:rsidR="00221B9E">
        <w:t>illustrat</w:t>
      </w:r>
      <w:r w:rsidR="0097397F">
        <w:t xml:space="preserve">ed in </w:t>
      </w:r>
      <w:r w:rsidR="00194FFF">
        <w:t>Figure 2</w:t>
      </w:r>
      <w:r w:rsidR="00816BDC">
        <w:t>.</w:t>
      </w:r>
    </w:p>
    <w:p w14:paraId="69B32A06" w14:textId="1227D27D" w:rsidR="00194FFF" w:rsidRDefault="00194FFF" w:rsidP="00816898">
      <w:pPr>
        <w:pStyle w:val="Figureheading"/>
        <w:spacing w:after="120"/>
      </w:pPr>
      <w:r>
        <w:lastRenderedPageBreak/>
        <w:t xml:space="preserve">Map of </w:t>
      </w:r>
      <w:r w:rsidR="00E363A8">
        <w:t xml:space="preserve">proposed </w:t>
      </w:r>
      <w:r>
        <w:t>metropolitan areas</w:t>
      </w:r>
    </w:p>
    <w:p w14:paraId="37BCDBD4" w14:textId="3A924D41" w:rsidR="00C95E81" w:rsidRDefault="00103C8C" w:rsidP="00324F6C">
      <w:pPr>
        <w:pStyle w:val="Paragraph"/>
      </w:pPr>
      <w:r>
        <w:rPr>
          <w:noProof/>
        </w:rPr>
        <w:drawing>
          <wp:inline distT="0" distB="0" distL="0" distR="0" wp14:anchorId="3B31116D" wp14:editId="5F9EE6E8">
            <wp:extent cx="5702432" cy="4881185"/>
            <wp:effectExtent l="0" t="0" r="0" b="0"/>
            <wp:docPr id="2" name="Picture 2" descr="If you need help accessing or reading this diagram, please contact the ACMA's Customer Service Centre by phone on 1300 850 115 or by email at info@acm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f you need help accessing or reading this diagram, please contact the ACMA's Customer Service Centre by phone on 1300 850 115 or by email at info@acma.gov.au"/>
                    <pic:cNvPicPr>
                      <a:picLocks noChangeAspect="1" noChangeArrowheads="1"/>
                    </pic:cNvPicPr>
                  </pic:nvPicPr>
                  <pic:blipFill rotWithShape="1">
                    <a:blip r:embed="rId33"/>
                    <a:srcRect l="15181" t="6451" r="10989" b="4170"/>
                    <a:stretch/>
                  </pic:blipFill>
                  <pic:spPr bwMode="auto">
                    <a:xfrm>
                      <a:off x="0" y="0"/>
                      <a:ext cx="5710413" cy="4888016"/>
                    </a:xfrm>
                    <a:prstGeom prst="rect">
                      <a:avLst/>
                    </a:prstGeom>
                    <a:noFill/>
                    <a:ln>
                      <a:noFill/>
                    </a:ln>
                    <a:extLst>
                      <a:ext uri="{53640926-AAD7-44D8-BBD7-CCE9431645EC}">
                        <a14:shadowObscured xmlns:a14="http://schemas.microsoft.com/office/drawing/2010/main"/>
                      </a:ext>
                    </a:extLst>
                  </pic:spPr>
                </pic:pic>
              </a:graphicData>
            </a:graphic>
          </wp:inline>
        </w:drawing>
      </w:r>
    </w:p>
    <w:p w14:paraId="06135FB4" w14:textId="3EBB62EC" w:rsidR="000E3057" w:rsidRDefault="00B35E61" w:rsidP="007326EE">
      <w:pPr>
        <w:pStyle w:val="Paragraph"/>
      </w:pPr>
      <w:r>
        <w:t xml:space="preserve">While </w:t>
      </w:r>
      <w:r w:rsidR="00F03DAC">
        <w:t xml:space="preserve">TOB </w:t>
      </w:r>
      <w:r>
        <w:t xml:space="preserve">services </w:t>
      </w:r>
      <w:r w:rsidR="00465A74">
        <w:t xml:space="preserve">in </w:t>
      </w:r>
      <w:r w:rsidR="00E22410">
        <w:t xml:space="preserve">metropolitan areas are required </w:t>
      </w:r>
      <w:r>
        <w:t xml:space="preserve">to </w:t>
      </w:r>
      <w:r w:rsidR="00F03DAC">
        <w:t xml:space="preserve">cease operation in the 2 GHz band by </w:t>
      </w:r>
      <w:r w:rsidR="000330AC">
        <w:t>28 February</w:t>
      </w:r>
      <w:r w:rsidR="00F03DAC">
        <w:t xml:space="preserve"> 2026, </w:t>
      </w:r>
      <w:r w:rsidR="00B257F1">
        <w:t xml:space="preserve">we propose </w:t>
      </w:r>
      <w:r w:rsidR="00E2101F">
        <w:t xml:space="preserve">2 </w:t>
      </w:r>
      <w:r w:rsidR="00B257F1">
        <w:t xml:space="preserve">exceptions </w:t>
      </w:r>
      <w:r w:rsidR="00954170">
        <w:t xml:space="preserve">to permit </w:t>
      </w:r>
      <w:r w:rsidR="006043EE">
        <w:t xml:space="preserve">operation </w:t>
      </w:r>
      <w:r w:rsidR="0020245A">
        <w:t>after this date</w:t>
      </w:r>
      <w:r w:rsidR="006043EE">
        <w:t xml:space="preserve">. </w:t>
      </w:r>
      <w:r w:rsidR="00E2101F">
        <w:t>T</w:t>
      </w:r>
      <w:r w:rsidR="00A477D8">
        <w:t xml:space="preserve">hese exceptions </w:t>
      </w:r>
      <w:r w:rsidR="00E2101F">
        <w:t xml:space="preserve">aim </w:t>
      </w:r>
      <w:r w:rsidR="00A477D8">
        <w:t xml:space="preserve">to provide limited flexibility </w:t>
      </w:r>
      <w:r w:rsidR="00FD7DA7">
        <w:t>to support</w:t>
      </w:r>
      <w:r w:rsidR="00797250">
        <w:t xml:space="preserve"> a</w:t>
      </w:r>
      <w:r w:rsidR="00FD7DA7">
        <w:t xml:space="preserve"> TOB </w:t>
      </w:r>
      <w:r w:rsidR="007D71C2">
        <w:t>service</w:t>
      </w:r>
      <w:r w:rsidR="00183A2C">
        <w:t xml:space="preserve"> in special circumstances</w:t>
      </w:r>
      <w:r w:rsidR="007D71C2">
        <w:t xml:space="preserve"> </w:t>
      </w:r>
      <w:r w:rsidR="000E3057">
        <w:t xml:space="preserve">if </w:t>
      </w:r>
      <w:r w:rsidR="006B2195">
        <w:t xml:space="preserve">it </w:t>
      </w:r>
      <w:r w:rsidR="000E3057">
        <w:t>does</w:t>
      </w:r>
      <w:r w:rsidR="006B2195">
        <w:t xml:space="preserve"> </w:t>
      </w:r>
      <w:r w:rsidR="000E3057">
        <w:t>not impact on MSS operations.</w:t>
      </w:r>
      <w:r w:rsidR="00D8728B">
        <w:t xml:space="preserve"> </w:t>
      </w:r>
    </w:p>
    <w:p w14:paraId="5C3BA930" w14:textId="4A2E0827" w:rsidR="007326EE" w:rsidRDefault="00507821" w:rsidP="007326EE">
      <w:pPr>
        <w:pStyle w:val="Paragraph"/>
      </w:pPr>
      <w:r>
        <w:t>The first exception is where ag</w:t>
      </w:r>
      <w:r w:rsidR="00FF75FA" w:rsidRPr="009F1CD9">
        <w:t>reement in writing is obtained from the new licensee</w:t>
      </w:r>
      <w:r>
        <w:t>.</w:t>
      </w:r>
      <w:r w:rsidR="00941B17">
        <w:t xml:space="preserve"> This may be feasible, for example, in cases where </w:t>
      </w:r>
      <w:r w:rsidR="005A0356">
        <w:t xml:space="preserve">a licence has been obtained to operate </w:t>
      </w:r>
      <w:r w:rsidR="00463A76">
        <w:t>an</w:t>
      </w:r>
      <w:r w:rsidR="005F36CA">
        <w:t xml:space="preserve"> MSS</w:t>
      </w:r>
      <w:r w:rsidR="005A0356">
        <w:t xml:space="preserve"> in the 2 GHz band bu</w:t>
      </w:r>
      <w:r w:rsidR="0006107B">
        <w:t>t the licensee has not yet deployed a service</w:t>
      </w:r>
      <w:r w:rsidR="000672E1">
        <w:t xml:space="preserve">. </w:t>
      </w:r>
      <w:r w:rsidR="00F917D8">
        <w:t xml:space="preserve">Another example may be where </w:t>
      </w:r>
      <w:r w:rsidR="00463A76">
        <w:t>an</w:t>
      </w:r>
      <w:r w:rsidR="005F36CA">
        <w:t xml:space="preserve"> MSS</w:t>
      </w:r>
      <w:r w:rsidR="00F917D8">
        <w:t xml:space="preserve"> is in operation but the </w:t>
      </w:r>
      <w:r w:rsidR="00324F6C">
        <w:t xml:space="preserve">licensee considers </w:t>
      </w:r>
      <w:r w:rsidR="000D627A">
        <w:t xml:space="preserve">operation of a TOB service </w:t>
      </w:r>
      <w:r w:rsidR="00CA39B1">
        <w:t xml:space="preserve">in a specified location or a specified area </w:t>
      </w:r>
      <w:r w:rsidR="000D627A">
        <w:t>does not pose a risk</w:t>
      </w:r>
      <w:r w:rsidR="00BF5EE1">
        <w:t xml:space="preserve"> of harmful interference</w:t>
      </w:r>
      <w:r w:rsidR="00911F00">
        <w:t xml:space="preserve">. </w:t>
      </w:r>
      <w:r w:rsidR="00DA00D0">
        <w:t xml:space="preserve">Before operating a TOB service under any such agreement, </w:t>
      </w:r>
      <w:r w:rsidR="0011194B">
        <w:t>a prospective</w:t>
      </w:r>
      <w:r w:rsidR="009A1D27">
        <w:t xml:space="preserve"> operator mu</w:t>
      </w:r>
      <w:r w:rsidR="00754B94">
        <w:t xml:space="preserve">st </w:t>
      </w:r>
      <w:r w:rsidR="007C5EE2">
        <w:t xml:space="preserve">obtain </w:t>
      </w:r>
      <w:r w:rsidR="00601F35">
        <w:t xml:space="preserve">a licence </w:t>
      </w:r>
      <w:r w:rsidR="00E73BD4">
        <w:t xml:space="preserve">from the ACMA </w:t>
      </w:r>
      <w:r w:rsidR="0068198C">
        <w:t xml:space="preserve">under our usual licensing process, </w:t>
      </w:r>
      <w:r w:rsidR="00671322">
        <w:t>and provide a copy of the agreement</w:t>
      </w:r>
      <w:r w:rsidR="007326EE">
        <w:t xml:space="preserve"> to </w:t>
      </w:r>
      <w:r w:rsidR="0068198C">
        <w:t>us</w:t>
      </w:r>
      <w:r w:rsidR="007326EE">
        <w:t>.</w:t>
      </w:r>
      <w:r w:rsidR="0005334A">
        <w:t xml:space="preserve"> </w:t>
      </w:r>
      <w:r w:rsidR="0016760E">
        <w:t xml:space="preserve">The licence will authorise operation of a TOB service only </w:t>
      </w:r>
      <w:r w:rsidR="00BA5FB8">
        <w:t xml:space="preserve">at </w:t>
      </w:r>
      <w:r w:rsidR="0016760E">
        <w:t xml:space="preserve">a location or </w:t>
      </w:r>
      <w:r w:rsidR="00BA5FB8">
        <w:t xml:space="preserve">within an </w:t>
      </w:r>
      <w:r w:rsidR="0016760E">
        <w:t>area specified in a condition of the licence.</w:t>
      </w:r>
    </w:p>
    <w:p w14:paraId="49107380" w14:textId="6EB6D2CC" w:rsidR="00FF75FA" w:rsidRPr="009F1CD9" w:rsidRDefault="00BA5FB8" w:rsidP="007326EE">
      <w:pPr>
        <w:pStyle w:val="Paragraph"/>
      </w:pPr>
      <w:r>
        <w:t xml:space="preserve">The second exception </w:t>
      </w:r>
      <w:r w:rsidR="00D818D9">
        <w:t xml:space="preserve">for a TOB service to operate after </w:t>
      </w:r>
      <w:r w:rsidR="00663703">
        <w:t>28 February</w:t>
      </w:r>
      <w:r w:rsidR="00D818D9">
        <w:t xml:space="preserve"> 2026 is </w:t>
      </w:r>
      <w:r w:rsidR="00F91118">
        <w:t xml:space="preserve">in circumstances </w:t>
      </w:r>
      <w:r w:rsidR="00D818D9">
        <w:t xml:space="preserve">where </w:t>
      </w:r>
      <w:r w:rsidR="00FF75FA" w:rsidRPr="009F1CD9">
        <w:t xml:space="preserve">there is no </w:t>
      </w:r>
      <w:r w:rsidR="002E3370">
        <w:t xml:space="preserve">MSS </w:t>
      </w:r>
      <w:r w:rsidR="00FF75FA" w:rsidRPr="009F1CD9">
        <w:t xml:space="preserve">licensee </w:t>
      </w:r>
      <w:r w:rsidR="002E3370">
        <w:t xml:space="preserve">in a given frequency range or </w:t>
      </w:r>
      <w:r w:rsidR="00F91118">
        <w:t xml:space="preserve">geographical area. </w:t>
      </w:r>
      <w:r w:rsidR="00196F5B">
        <w:t>This may occur, f</w:t>
      </w:r>
      <w:r w:rsidR="00FF75FA" w:rsidRPr="009F1CD9">
        <w:t xml:space="preserve">or example, </w:t>
      </w:r>
      <w:r w:rsidR="00196F5B">
        <w:t xml:space="preserve">if </w:t>
      </w:r>
      <w:r w:rsidR="009A3492">
        <w:t xml:space="preserve">certain </w:t>
      </w:r>
      <w:r w:rsidR="00FF75FA" w:rsidRPr="009F1CD9">
        <w:t xml:space="preserve">licences are not taken up in the forthcoming </w:t>
      </w:r>
      <w:r w:rsidR="009A3492">
        <w:t xml:space="preserve">2 GHz MSS </w:t>
      </w:r>
      <w:r w:rsidR="00FF75FA" w:rsidRPr="009F1CD9">
        <w:t>allocation process</w:t>
      </w:r>
      <w:r w:rsidR="004D7AF4">
        <w:t>,</w:t>
      </w:r>
      <w:r w:rsidR="00FF75FA" w:rsidRPr="009F1CD9">
        <w:t xml:space="preserve"> or </w:t>
      </w:r>
      <w:r w:rsidR="009A3492">
        <w:t xml:space="preserve">if </w:t>
      </w:r>
      <w:r w:rsidR="00FF75FA" w:rsidRPr="009F1CD9">
        <w:t>a</w:t>
      </w:r>
      <w:r w:rsidR="00CB23A2">
        <w:t>n MSS</w:t>
      </w:r>
      <w:r w:rsidR="00FF75FA" w:rsidRPr="009F1CD9">
        <w:t xml:space="preserve"> licensee surrenders a licence</w:t>
      </w:r>
      <w:r w:rsidR="00566A56">
        <w:t xml:space="preserve"> at a later date and there is no </w:t>
      </w:r>
      <w:r w:rsidR="00F00959">
        <w:t>succeeding</w:t>
      </w:r>
      <w:r w:rsidR="00566A56">
        <w:t xml:space="preserve"> licensee. </w:t>
      </w:r>
      <w:r w:rsidR="00CB23A2">
        <w:t>T</w:t>
      </w:r>
      <w:r w:rsidR="00FF75FA" w:rsidRPr="009F1CD9">
        <w:t xml:space="preserve">he ACMA may allow use </w:t>
      </w:r>
      <w:r w:rsidR="00DC7A44">
        <w:t>of</w:t>
      </w:r>
      <w:r w:rsidR="00DC7A44" w:rsidRPr="009F1CD9">
        <w:t xml:space="preserve"> </w:t>
      </w:r>
      <w:r w:rsidR="00FF75FA" w:rsidRPr="009F1CD9">
        <w:t xml:space="preserve">a TOB service in </w:t>
      </w:r>
      <w:r w:rsidR="00CB23A2">
        <w:t xml:space="preserve">these and </w:t>
      </w:r>
      <w:r w:rsidR="00842BF4">
        <w:t xml:space="preserve">similar circumstances in </w:t>
      </w:r>
      <w:r w:rsidR="00FF75FA" w:rsidRPr="009F1CD9">
        <w:t xml:space="preserve">accordance with our usual </w:t>
      </w:r>
      <w:r w:rsidR="00FF75FA" w:rsidRPr="009F1CD9">
        <w:lastRenderedPageBreak/>
        <w:t>licensing process</w:t>
      </w:r>
      <w:r w:rsidR="00D273F0">
        <w:t xml:space="preserve">, </w:t>
      </w:r>
      <w:r w:rsidR="00D22BDE">
        <w:t xml:space="preserve">when </w:t>
      </w:r>
      <w:r w:rsidR="00DC7A44">
        <w:t xml:space="preserve">we are </w:t>
      </w:r>
      <w:r w:rsidR="00D22BDE">
        <w:t xml:space="preserve">satisfied </w:t>
      </w:r>
      <w:r w:rsidR="00B54835" w:rsidRPr="00B54835">
        <w:t xml:space="preserve">that operation of the </w:t>
      </w:r>
      <w:r w:rsidR="00B54835">
        <w:t>TOB service</w:t>
      </w:r>
      <w:r w:rsidR="00B54835" w:rsidRPr="00B54835">
        <w:t xml:space="preserve"> in accordance with the licence would not cause</w:t>
      </w:r>
      <w:r w:rsidR="00211AC7">
        <w:t xml:space="preserve"> harmful</w:t>
      </w:r>
      <w:r w:rsidR="00B54835" w:rsidRPr="00B54835">
        <w:t xml:space="preserve"> interference to a</w:t>
      </w:r>
      <w:r w:rsidR="00E52990">
        <w:t>n</w:t>
      </w:r>
      <w:r w:rsidR="00B54835">
        <w:t xml:space="preserve"> MSS.</w:t>
      </w:r>
    </w:p>
    <w:p w14:paraId="1DA5CFEC" w14:textId="429C7B7A" w:rsidR="002E1C76" w:rsidRPr="002C4E5B" w:rsidRDefault="00BD1468" w:rsidP="002E1C76">
      <w:pPr>
        <w:pStyle w:val="Heading3"/>
      </w:pPr>
      <w:r>
        <w:t>R</w:t>
      </w:r>
      <w:r w:rsidR="002E1C76">
        <w:t xml:space="preserve">egional </w:t>
      </w:r>
      <w:r w:rsidR="00ED37FA">
        <w:t xml:space="preserve">and remote </w:t>
      </w:r>
      <w:r w:rsidR="002E1C76">
        <w:t>areas</w:t>
      </w:r>
    </w:p>
    <w:p w14:paraId="0CA2DCCA" w14:textId="445CA1EA" w:rsidR="00B24A7A" w:rsidRDefault="00266156" w:rsidP="009F1CD9">
      <w:pPr>
        <w:pStyle w:val="Paragraph"/>
      </w:pPr>
      <w:r>
        <w:t>W</w:t>
      </w:r>
      <w:r w:rsidR="00B24A7A">
        <w:t xml:space="preserve">e propose a shorter </w:t>
      </w:r>
      <w:r w:rsidR="00B24A7A" w:rsidRPr="00CB6107">
        <w:t xml:space="preserve">transition </w:t>
      </w:r>
      <w:r w:rsidR="00B24A7A">
        <w:t xml:space="preserve">period </w:t>
      </w:r>
      <w:r w:rsidR="008F52C0">
        <w:t xml:space="preserve">(ending </w:t>
      </w:r>
      <w:r w:rsidR="007C5808">
        <w:t>29 February</w:t>
      </w:r>
      <w:r w:rsidR="008F52C0">
        <w:t xml:space="preserve"> 2024) </w:t>
      </w:r>
      <w:r w:rsidR="00B24A7A">
        <w:t xml:space="preserve">in </w:t>
      </w:r>
      <w:r w:rsidR="00885E31">
        <w:t>regional and remote areas</w:t>
      </w:r>
      <w:r w:rsidR="00B24A7A">
        <w:t>.</w:t>
      </w:r>
      <w:r w:rsidR="00326894">
        <w:t xml:space="preserve"> </w:t>
      </w:r>
      <w:r w:rsidR="00A976AB">
        <w:t xml:space="preserve">These areas comprise all the parts of Australia </w:t>
      </w:r>
      <w:r w:rsidR="00DC7A44">
        <w:t xml:space="preserve">that </w:t>
      </w:r>
      <w:r w:rsidR="00A976AB">
        <w:t>are not metropolitan areas</w:t>
      </w:r>
      <w:r w:rsidR="00DC7A44">
        <w:t>,</w:t>
      </w:r>
      <w:r w:rsidR="00A976AB">
        <w:t xml:space="preserve"> </w:t>
      </w:r>
      <w:r w:rsidR="004A70A0">
        <w:t xml:space="preserve">as </w:t>
      </w:r>
      <w:r w:rsidR="00E5433E">
        <w:t>defined at Schedule 1</w:t>
      </w:r>
      <w:r w:rsidR="00FA13B3">
        <w:t xml:space="preserve"> of the draft band plan</w:t>
      </w:r>
      <w:r w:rsidR="00E5433E">
        <w:t>.</w:t>
      </w:r>
      <w:r w:rsidR="00326894">
        <w:t xml:space="preserve"> The aim of the </w:t>
      </w:r>
      <w:r w:rsidR="00991543">
        <w:t>shorter</w:t>
      </w:r>
      <w:r w:rsidR="00326894">
        <w:t xml:space="preserve"> transition period in these areas is </w:t>
      </w:r>
      <w:r w:rsidR="002075AE">
        <w:t>to allow earlier access to the 2</w:t>
      </w:r>
      <w:r w:rsidR="003C54F2">
        <w:t> </w:t>
      </w:r>
      <w:r w:rsidR="002075AE">
        <w:t>GHz band for MS</w:t>
      </w:r>
      <w:r w:rsidR="00FD2C93">
        <w:t xml:space="preserve">S, </w:t>
      </w:r>
      <w:r w:rsidR="00625441">
        <w:t>since</w:t>
      </w:r>
      <w:r w:rsidR="002075AE" w:rsidRPr="00CB6107">
        <w:t xml:space="preserve"> TOB usage </w:t>
      </w:r>
      <w:r w:rsidR="00A135FB">
        <w:t>in these area</w:t>
      </w:r>
      <w:r w:rsidR="006221DA">
        <w:t>s</w:t>
      </w:r>
      <w:r w:rsidR="00A135FB">
        <w:t xml:space="preserve"> </w:t>
      </w:r>
      <w:r w:rsidR="002075AE" w:rsidRPr="00CB6107">
        <w:t>is limited and infrequent</w:t>
      </w:r>
      <w:r w:rsidR="009B2DBF">
        <w:t>.</w:t>
      </w:r>
    </w:p>
    <w:p w14:paraId="6E4C88C2" w14:textId="7A08C11D" w:rsidR="003B65EA" w:rsidRDefault="00FF75FA" w:rsidP="009F1CD9">
      <w:pPr>
        <w:pStyle w:val="Paragraph"/>
      </w:pPr>
      <w:r>
        <w:t xml:space="preserve">To implement </w:t>
      </w:r>
      <w:r w:rsidR="006221DA">
        <w:t>this</w:t>
      </w:r>
      <w:r>
        <w:t xml:space="preserve"> transition timeframe, the </w:t>
      </w:r>
      <w:r w:rsidR="006011A2" w:rsidRPr="00252388">
        <w:t xml:space="preserve">draft 2 GHz MSS </w:t>
      </w:r>
      <w:r>
        <w:t>band plan requires TOB services to cease operation from 1 March 2024</w:t>
      </w:r>
      <w:r w:rsidR="000B33BB">
        <w:t xml:space="preserve"> in non-metropolitan areas</w:t>
      </w:r>
      <w:r>
        <w:t xml:space="preserve">. </w:t>
      </w:r>
    </w:p>
    <w:p w14:paraId="172BDFD3" w14:textId="1ECA324B" w:rsidR="00FF75FA" w:rsidRPr="008A3B4A" w:rsidRDefault="00F170F7" w:rsidP="009F1CD9">
      <w:pPr>
        <w:pStyle w:val="Paragraph"/>
      </w:pPr>
      <w:r>
        <w:t>TOB s</w:t>
      </w:r>
      <w:r w:rsidR="00FF75FA">
        <w:t xml:space="preserve">ervices provided </w:t>
      </w:r>
      <w:r w:rsidR="00FF75FA" w:rsidRPr="00361196">
        <w:rPr>
          <w:bCs/>
        </w:rPr>
        <w:t>at specified event and sporting venues</w:t>
      </w:r>
      <w:r w:rsidR="00AD6AC0">
        <w:rPr>
          <w:bCs/>
        </w:rPr>
        <w:t xml:space="preserve"> </w:t>
      </w:r>
      <w:r w:rsidR="008D1027">
        <w:rPr>
          <w:bCs/>
        </w:rPr>
        <w:t xml:space="preserve">– </w:t>
      </w:r>
      <w:r w:rsidR="00AD6AC0">
        <w:rPr>
          <w:bCs/>
        </w:rPr>
        <w:t xml:space="preserve">referred to as </w:t>
      </w:r>
      <w:r w:rsidR="00AD6AC0">
        <w:rPr>
          <w:bCs/>
          <w:i/>
          <w:iCs/>
        </w:rPr>
        <w:t xml:space="preserve">designated </w:t>
      </w:r>
      <w:r w:rsidR="003F03D3">
        <w:rPr>
          <w:bCs/>
          <w:i/>
          <w:iCs/>
        </w:rPr>
        <w:t>areas</w:t>
      </w:r>
      <w:r w:rsidR="00AD6AC0">
        <w:rPr>
          <w:bCs/>
        </w:rPr>
        <w:t xml:space="preserve"> in the draft band plan</w:t>
      </w:r>
      <w:r w:rsidR="008D1027">
        <w:rPr>
          <w:bCs/>
        </w:rPr>
        <w:t xml:space="preserve"> –</w:t>
      </w:r>
      <w:r w:rsidR="00FF75FA" w:rsidRPr="00361196">
        <w:rPr>
          <w:bCs/>
        </w:rPr>
        <w:t xml:space="preserve"> </w:t>
      </w:r>
      <w:r w:rsidR="00FF75FA">
        <w:rPr>
          <w:bCs/>
        </w:rPr>
        <w:t xml:space="preserve">may continue to operate </w:t>
      </w:r>
      <w:r w:rsidR="00FF75FA" w:rsidRPr="00361196">
        <w:rPr>
          <w:bCs/>
        </w:rPr>
        <w:t xml:space="preserve">until the end of the </w:t>
      </w:r>
      <w:r w:rsidR="00C72A6E">
        <w:rPr>
          <w:bCs/>
        </w:rPr>
        <w:t>metropolitan</w:t>
      </w:r>
      <w:r w:rsidR="00FF75FA" w:rsidRPr="00361196">
        <w:rPr>
          <w:bCs/>
        </w:rPr>
        <w:t xml:space="preserve"> transition period</w:t>
      </w:r>
      <w:r>
        <w:rPr>
          <w:bCs/>
        </w:rPr>
        <w:t xml:space="preserve"> (</w:t>
      </w:r>
      <w:r w:rsidR="00FF2C1B">
        <w:rPr>
          <w:bCs/>
        </w:rPr>
        <w:t>ending</w:t>
      </w:r>
      <w:r w:rsidR="004164F6">
        <w:rPr>
          <w:bCs/>
        </w:rPr>
        <w:t xml:space="preserve"> </w:t>
      </w:r>
      <w:r w:rsidR="005A52E7">
        <w:rPr>
          <w:bCs/>
        </w:rPr>
        <w:t>28</w:t>
      </w:r>
      <w:r w:rsidR="004164F6">
        <w:rPr>
          <w:bCs/>
        </w:rPr>
        <w:t xml:space="preserve"> </w:t>
      </w:r>
      <w:r w:rsidR="005A52E7">
        <w:t>February</w:t>
      </w:r>
      <w:r w:rsidR="004164F6">
        <w:rPr>
          <w:bCs/>
        </w:rPr>
        <w:t xml:space="preserve"> 2026)</w:t>
      </w:r>
      <w:r w:rsidR="00FF75FA" w:rsidRPr="00361196">
        <w:rPr>
          <w:bCs/>
        </w:rPr>
        <w:t xml:space="preserve">. </w:t>
      </w:r>
      <w:r w:rsidR="00BF4D4B">
        <w:rPr>
          <w:bCs/>
        </w:rPr>
        <w:t xml:space="preserve">Industry stakeholders have advised us that </w:t>
      </w:r>
      <w:r w:rsidR="006838FB">
        <w:rPr>
          <w:bCs/>
        </w:rPr>
        <w:t xml:space="preserve">the same equipment is used </w:t>
      </w:r>
      <w:r w:rsidR="000C4658">
        <w:rPr>
          <w:bCs/>
        </w:rPr>
        <w:t>in both regional and metropolitan areas</w:t>
      </w:r>
      <w:r w:rsidR="0020693B">
        <w:rPr>
          <w:bCs/>
        </w:rPr>
        <w:t xml:space="preserve">. Allowing this equipment to be used in designated </w:t>
      </w:r>
      <w:r w:rsidR="00AE19CB">
        <w:rPr>
          <w:bCs/>
        </w:rPr>
        <w:t>regional</w:t>
      </w:r>
      <w:r w:rsidR="0020693B">
        <w:rPr>
          <w:bCs/>
        </w:rPr>
        <w:t xml:space="preserve"> </w:t>
      </w:r>
      <w:r w:rsidR="003F03D3">
        <w:rPr>
          <w:bCs/>
        </w:rPr>
        <w:t>areas</w:t>
      </w:r>
      <w:r w:rsidR="0020693B">
        <w:rPr>
          <w:bCs/>
        </w:rPr>
        <w:t xml:space="preserve"> </w:t>
      </w:r>
      <w:r w:rsidR="00AE19CB" w:rsidRPr="00361196">
        <w:rPr>
          <w:bCs/>
        </w:rPr>
        <w:t>where regular events are held</w:t>
      </w:r>
      <w:r w:rsidR="00AE19CB">
        <w:rPr>
          <w:bCs/>
        </w:rPr>
        <w:t xml:space="preserve"> </w:t>
      </w:r>
      <w:r w:rsidR="0020693B">
        <w:rPr>
          <w:bCs/>
        </w:rPr>
        <w:t xml:space="preserve">will </w:t>
      </w:r>
      <w:r w:rsidR="00FF75FA" w:rsidRPr="00361196">
        <w:rPr>
          <w:bCs/>
        </w:rPr>
        <w:t xml:space="preserve">provide the maximum transition time for </w:t>
      </w:r>
      <w:r w:rsidR="0069299E">
        <w:rPr>
          <w:bCs/>
        </w:rPr>
        <w:t xml:space="preserve">TOB </w:t>
      </w:r>
      <w:r w:rsidR="00D95528">
        <w:rPr>
          <w:bCs/>
        </w:rPr>
        <w:t>operators</w:t>
      </w:r>
      <w:r w:rsidR="00FF75FA" w:rsidRPr="00361196">
        <w:rPr>
          <w:bCs/>
        </w:rPr>
        <w:t xml:space="preserve">, thereby delaying the impact of equipment replacement costs in relocating to alternative spectrum. </w:t>
      </w:r>
      <w:r w:rsidR="00397CF5">
        <w:rPr>
          <w:bCs/>
        </w:rPr>
        <w:t xml:space="preserve">Designated </w:t>
      </w:r>
      <w:r w:rsidR="003F03D3">
        <w:rPr>
          <w:bCs/>
        </w:rPr>
        <w:t>areas</w:t>
      </w:r>
      <w:r w:rsidR="00397CF5">
        <w:rPr>
          <w:bCs/>
        </w:rPr>
        <w:t xml:space="preserve"> are discussed in further detail below.</w:t>
      </w:r>
    </w:p>
    <w:p w14:paraId="38652D6D" w14:textId="573952FC" w:rsidR="00724C6B" w:rsidRDefault="00FF75FA" w:rsidP="009F1CD9">
      <w:pPr>
        <w:pStyle w:val="Paragraph"/>
      </w:pPr>
      <w:r w:rsidRPr="003240D4">
        <w:t xml:space="preserve">TOB services may also continue to operate in regional areas after </w:t>
      </w:r>
      <w:r w:rsidR="00052ADF">
        <w:t>29 February</w:t>
      </w:r>
      <w:r w:rsidR="006A6234">
        <w:t xml:space="preserve"> 2024 </w:t>
      </w:r>
      <w:r w:rsidRPr="003240D4">
        <w:t xml:space="preserve">in the same </w:t>
      </w:r>
      <w:r w:rsidR="00DC7A44">
        <w:t>2</w:t>
      </w:r>
      <w:r w:rsidR="00DC7A44" w:rsidRPr="003240D4">
        <w:t xml:space="preserve"> </w:t>
      </w:r>
      <w:r w:rsidRPr="003240D4">
        <w:t xml:space="preserve">circumstances described </w:t>
      </w:r>
      <w:r w:rsidR="00C82E40">
        <w:t>for</w:t>
      </w:r>
      <w:r w:rsidR="001A51DB">
        <w:t xml:space="preserve"> </w:t>
      </w:r>
      <w:r w:rsidR="00E72B98">
        <w:t>metropolitan</w:t>
      </w:r>
      <w:r w:rsidR="008F6709">
        <w:t xml:space="preserve"> areas above. T</w:t>
      </w:r>
      <w:r w:rsidRPr="003240D4">
        <w:t>hat is, if agreement is obtained in writing from the new licensee</w:t>
      </w:r>
      <w:r w:rsidR="009860DD">
        <w:t>,</w:t>
      </w:r>
      <w:r w:rsidRPr="003240D4">
        <w:t xml:space="preserve"> or where there is no licensee, the ACMA may allow use for a TOB service in accordance with our usual licensing process.</w:t>
      </w:r>
    </w:p>
    <w:p w14:paraId="3EB3EE00" w14:textId="4BC6610C" w:rsidR="00BD1468" w:rsidRDefault="00BD1468" w:rsidP="00AF1A3B">
      <w:pPr>
        <w:pStyle w:val="Heading3"/>
      </w:pPr>
      <w:r>
        <w:t xml:space="preserve">Designated </w:t>
      </w:r>
      <w:r w:rsidR="003F03D3">
        <w:t>areas</w:t>
      </w:r>
    </w:p>
    <w:p w14:paraId="7504B4B7" w14:textId="639134FB" w:rsidR="00F66ECB" w:rsidRDefault="00492EFC" w:rsidP="00071943">
      <w:pPr>
        <w:pStyle w:val="Paragraph"/>
      </w:pPr>
      <w:r>
        <w:t>Design</w:t>
      </w:r>
      <w:r w:rsidR="00D857DF">
        <w:t xml:space="preserve">ated </w:t>
      </w:r>
      <w:r w:rsidR="003F03D3">
        <w:t>areas</w:t>
      </w:r>
      <w:r w:rsidR="00D857DF">
        <w:t xml:space="preserve"> are dealt with in Schedule 2 of the </w:t>
      </w:r>
      <w:r w:rsidR="00D857DF" w:rsidRPr="00252388">
        <w:t xml:space="preserve">draft 2 GHz MSS </w:t>
      </w:r>
      <w:r w:rsidR="00D857DF">
        <w:t xml:space="preserve">band plan. </w:t>
      </w:r>
      <w:r w:rsidR="00ED0355">
        <w:t>The</w:t>
      </w:r>
      <w:r w:rsidR="00E955EE">
        <w:t xml:space="preserve"> operation of TOB services will be permitted at these locations </w:t>
      </w:r>
      <w:r w:rsidR="006D6CB4">
        <w:t>before</w:t>
      </w:r>
      <w:r w:rsidR="001E1275">
        <w:t xml:space="preserve"> 1 March 2026</w:t>
      </w:r>
      <w:r w:rsidR="00606CF4">
        <w:t xml:space="preserve"> (</w:t>
      </w:r>
      <w:r w:rsidR="0082709E">
        <w:t>in line with transition timing for metropolitan areas)</w:t>
      </w:r>
      <w:r w:rsidR="00D36648">
        <w:t>.</w:t>
      </w:r>
    </w:p>
    <w:p w14:paraId="4B26D08B" w14:textId="4535D0C7" w:rsidR="006F5D3C" w:rsidRDefault="00080AFF" w:rsidP="0072065F">
      <w:pPr>
        <w:pStyle w:val="Paragraph"/>
      </w:pPr>
      <w:r>
        <w:t xml:space="preserve">We have </w:t>
      </w:r>
      <w:r w:rsidR="00C223E2">
        <w:t>specified</w:t>
      </w:r>
      <w:r>
        <w:t xml:space="preserve"> a</w:t>
      </w:r>
      <w:r w:rsidR="00792D5B">
        <w:t>n initial list of d</w:t>
      </w:r>
      <w:r w:rsidR="002A3A3D">
        <w:t xml:space="preserve">esignated </w:t>
      </w:r>
      <w:r w:rsidR="003F03D3">
        <w:t>areas</w:t>
      </w:r>
      <w:r w:rsidR="002A3A3D">
        <w:t xml:space="preserve"> in the draft band plan</w:t>
      </w:r>
      <w:r w:rsidR="00C81F8B">
        <w:t xml:space="preserve">, and welcome feedback on the proposed </w:t>
      </w:r>
      <w:r w:rsidR="003F03D3">
        <w:t>places</w:t>
      </w:r>
      <w:r w:rsidR="00C81F8B">
        <w:t>.</w:t>
      </w:r>
      <w:r w:rsidR="00424F90">
        <w:t xml:space="preserve"> The</w:t>
      </w:r>
      <w:r w:rsidR="009C5BA2">
        <w:t>s</w:t>
      </w:r>
      <w:r w:rsidR="00424F90">
        <w:t xml:space="preserve">e </w:t>
      </w:r>
      <w:r w:rsidR="009C5BA2">
        <w:t xml:space="preserve">are </w:t>
      </w:r>
      <w:r w:rsidR="00424F90">
        <w:t xml:space="preserve">sporting and event venues in regional areas where TOB services are </w:t>
      </w:r>
      <w:r w:rsidR="00203876">
        <w:t xml:space="preserve">expected to be used </w:t>
      </w:r>
      <w:r w:rsidR="00424F90">
        <w:t>regularly</w:t>
      </w:r>
      <w:r w:rsidR="00203876">
        <w:t xml:space="preserve"> (for </w:t>
      </w:r>
      <w:r w:rsidR="00DE0369">
        <w:t>example</w:t>
      </w:r>
      <w:r w:rsidR="0082709E">
        <w:t>,</w:t>
      </w:r>
      <w:r w:rsidR="00DE0369">
        <w:t xml:space="preserve"> </w:t>
      </w:r>
      <w:r w:rsidR="00234FB2">
        <w:t>rugby league</w:t>
      </w:r>
      <w:r w:rsidR="0082709E">
        <w:t xml:space="preserve"> stadiums</w:t>
      </w:r>
      <w:r w:rsidR="00DE0369">
        <w:t xml:space="preserve"> and </w:t>
      </w:r>
      <w:r w:rsidR="0082709E">
        <w:t>motor racing</w:t>
      </w:r>
      <w:r w:rsidR="00234FB2">
        <w:t xml:space="preserve"> in Bathurst</w:t>
      </w:r>
      <w:r w:rsidR="009C5BA2">
        <w:t>)</w:t>
      </w:r>
      <w:r w:rsidR="006F5D3C">
        <w:t>.</w:t>
      </w:r>
    </w:p>
    <w:p w14:paraId="6E4D2630" w14:textId="0C7E4CF0" w:rsidR="00CA02EF" w:rsidRDefault="00BA58A9" w:rsidP="00FD29F6">
      <w:pPr>
        <w:pStyle w:val="Paragraphbeforelist"/>
      </w:pPr>
      <w:r>
        <w:t xml:space="preserve">The </w:t>
      </w:r>
      <w:r w:rsidR="00164B85">
        <w:t xml:space="preserve">proposed </w:t>
      </w:r>
      <w:r>
        <w:t xml:space="preserve">designated areas </w:t>
      </w:r>
      <w:r w:rsidR="00164B85">
        <w:t xml:space="preserve">cover </w:t>
      </w:r>
      <w:r w:rsidR="006000A0">
        <w:t>venues in</w:t>
      </w:r>
      <w:r w:rsidR="00164B85">
        <w:t xml:space="preserve"> the following locations</w:t>
      </w:r>
      <w:r w:rsidR="00DC7A44">
        <w:t>, and are shown in Figure 3</w:t>
      </w:r>
      <w:r>
        <w:t>:</w:t>
      </w:r>
    </w:p>
    <w:p w14:paraId="6CA5DA6C" w14:textId="77777777" w:rsidR="00816E05" w:rsidRDefault="00816E05" w:rsidP="00816E05">
      <w:pPr>
        <w:pStyle w:val="ListBullet"/>
      </w:pPr>
      <w:r>
        <w:t>Ballarat, Victoria</w:t>
      </w:r>
    </w:p>
    <w:p w14:paraId="31B95DC4" w14:textId="77777777" w:rsidR="00816E05" w:rsidRDefault="00816E05" w:rsidP="00816E05">
      <w:pPr>
        <w:pStyle w:val="ListBullet"/>
      </w:pPr>
      <w:r>
        <w:t>Bathurst, New South Wales</w:t>
      </w:r>
    </w:p>
    <w:p w14:paraId="2F4EFDD9" w14:textId="77777777" w:rsidR="00816E05" w:rsidRDefault="00816E05" w:rsidP="00816E05">
      <w:pPr>
        <w:pStyle w:val="ListBullet"/>
      </w:pPr>
      <w:r>
        <w:t>Bendigo, Victoria</w:t>
      </w:r>
    </w:p>
    <w:p w14:paraId="046D38EA" w14:textId="77777777" w:rsidR="00816E05" w:rsidRDefault="00816E05" w:rsidP="00816E05">
      <w:pPr>
        <w:pStyle w:val="ListBullet"/>
      </w:pPr>
      <w:r>
        <w:t>Bunbury, Western Australia</w:t>
      </w:r>
    </w:p>
    <w:p w14:paraId="6D2D1CA2" w14:textId="77777777" w:rsidR="00816E05" w:rsidRDefault="00816E05" w:rsidP="00816E05">
      <w:pPr>
        <w:pStyle w:val="ListBullet"/>
      </w:pPr>
      <w:r>
        <w:t>Cairns, Queensland</w:t>
      </w:r>
    </w:p>
    <w:p w14:paraId="76B05275" w14:textId="77777777" w:rsidR="00816E05" w:rsidRDefault="00816E05" w:rsidP="00816E05">
      <w:pPr>
        <w:pStyle w:val="ListBullet"/>
      </w:pPr>
      <w:r>
        <w:t>Launceston, Tasmania</w:t>
      </w:r>
    </w:p>
    <w:p w14:paraId="071C4A82" w14:textId="77777777" w:rsidR="00816E05" w:rsidRDefault="00816E05" w:rsidP="00816E05">
      <w:pPr>
        <w:pStyle w:val="ListBullet"/>
      </w:pPr>
      <w:r>
        <w:t>Mackay, Queensland</w:t>
      </w:r>
    </w:p>
    <w:p w14:paraId="6363028A" w14:textId="77777777" w:rsidR="00816E05" w:rsidRDefault="00816E05" w:rsidP="00816E05">
      <w:pPr>
        <w:pStyle w:val="ListBullet"/>
      </w:pPr>
      <w:r>
        <w:t>Phillip Island, Victoria</w:t>
      </w:r>
    </w:p>
    <w:p w14:paraId="68655381" w14:textId="77777777" w:rsidR="00816E05" w:rsidRDefault="00816E05" w:rsidP="00816E05">
      <w:pPr>
        <w:pStyle w:val="ListBullet"/>
      </w:pPr>
      <w:r>
        <w:t>Sunshine Coast, Queensland</w:t>
      </w:r>
    </w:p>
    <w:p w14:paraId="124160DF" w14:textId="77777777" w:rsidR="00816E05" w:rsidRDefault="00816E05" w:rsidP="00816E05">
      <w:pPr>
        <w:pStyle w:val="ListBullet"/>
      </w:pPr>
      <w:r>
        <w:t>Townsville, Queensland</w:t>
      </w:r>
    </w:p>
    <w:p w14:paraId="268D5C3D" w14:textId="29A41F34" w:rsidR="00BA58A9" w:rsidRDefault="00816E05" w:rsidP="007115A9">
      <w:pPr>
        <w:pStyle w:val="Bulletlevel1last"/>
      </w:pPr>
      <w:r>
        <w:t>Wanneroo, Western Australia</w:t>
      </w:r>
      <w:r w:rsidR="00FD29F6">
        <w:t>.</w:t>
      </w:r>
    </w:p>
    <w:p w14:paraId="5A40F864" w14:textId="2B5638A9" w:rsidR="00551DFA" w:rsidRDefault="00551DFA" w:rsidP="00F92F76">
      <w:pPr>
        <w:pStyle w:val="Figureheading"/>
        <w:spacing w:after="120"/>
      </w:pPr>
      <w:r>
        <w:lastRenderedPageBreak/>
        <w:t xml:space="preserve">Map of proposed </w:t>
      </w:r>
      <w:r w:rsidR="00BE2938">
        <w:t>designated</w:t>
      </w:r>
      <w:r>
        <w:t xml:space="preserve"> areas</w:t>
      </w:r>
    </w:p>
    <w:p w14:paraId="25C878F2" w14:textId="5BEA0F64" w:rsidR="00D006B4" w:rsidRPr="00D006B4" w:rsidRDefault="00D006B4" w:rsidP="00D006B4">
      <w:pPr>
        <w:pStyle w:val="Paragraph"/>
      </w:pPr>
      <w:r>
        <w:rPr>
          <w:noProof/>
        </w:rPr>
        <w:drawing>
          <wp:inline distT="0" distB="0" distL="0" distR="0" wp14:anchorId="3D5D5D40" wp14:editId="3E327611">
            <wp:extent cx="4871085" cy="3353435"/>
            <wp:effectExtent l="0" t="0" r="5715" b="0"/>
            <wp:docPr id="7" name="Picture 7" descr="If you need help accessing or reading this diagram, please contact the ACMA's Customer Service Centre by phone on 1300 850 115 or by email at info@acm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f you need help accessing or reading this diagram, please contact the ACMA's Customer Service Centre by phone on 1300 850 115 or by email at info@acma.gov.au"/>
                    <pic:cNvPicPr/>
                  </pic:nvPicPr>
                  <pic:blipFill>
                    <a:blip r:embed="rId34"/>
                    <a:stretch>
                      <a:fillRect/>
                    </a:stretch>
                  </pic:blipFill>
                  <pic:spPr>
                    <a:xfrm>
                      <a:off x="0" y="0"/>
                      <a:ext cx="4871085" cy="3353435"/>
                    </a:xfrm>
                    <a:prstGeom prst="rect">
                      <a:avLst/>
                    </a:prstGeom>
                  </pic:spPr>
                </pic:pic>
              </a:graphicData>
            </a:graphic>
          </wp:inline>
        </w:drawing>
      </w:r>
    </w:p>
    <w:p w14:paraId="1904FCB5" w14:textId="4BA245A2" w:rsidR="00247EB0" w:rsidRDefault="00247EB0" w:rsidP="00247EB0">
      <w:pPr>
        <w:pStyle w:val="Paragraph"/>
      </w:pPr>
    </w:p>
    <w:p w14:paraId="447821C5" w14:textId="180F6738" w:rsidR="0072065F" w:rsidRDefault="00187986" w:rsidP="0072065F">
      <w:pPr>
        <w:pStyle w:val="Paragraph"/>
      </w:pPr>
      <w:r>
        <w:t xml:space="preserve">The draft band plan, if made, would permit the ACMA to amend </w:t>
      </w:r>
      <w:r w:rsidR="00C53826">
        <w:t xml:space="preserve">the designated </w:t>
      </w:r>
      <w:r w:rsidR="00961BAB">
        <w:t>areas</w:t>
      </w:r>
      <w:r w:rsidR="00C53826">
        <w:t xml:space="preserve"> </w:t>
      </w:r>
      <w:r w:rsidR="002D2DED">
        <w:t xml:space="preserve">until </w:t>
      </w:r>
      <w:r w:rsidR="00731C88">
        <w:t>28</w:t>
      </w:r>
      <w:r w:rsidR="002D2DED">
        <w:t xml:space="preserve"> </w:t>
      </w:r>
      <w:r w:rsidR="00731C88">
        <w:t>February</w:t>
      </w:r>
      <w:r w:rsidR="002D2DED">
        <w:t xml:space="preserve"> 2026</w:t>
      </w:r>
      <w:r w:rsidR="0072065F">
        <w:t xml:space="preserve"> by way of a notifiable instrument. </w:t>
      </w:r>
      <w:r w:rsidR="00731C88">
        <w:t>Such an instrument is</w:t>
      </w:r>
      <w:r w:rsidR="0072065F">
        <w:t xml:space="preserve"> published on the </w:t>
      </w:r>
      <w:hyperlink r:id="rId35" w:history="1">
        <w:r w:rsidR="0072065F" w:rsidRPr="00EF027B">
          <w:rPr>
            <w:rStyle w:val="Hyperlink"/>
          </w:rPr>
          <w:t>Federal Register of Legislation</w:t>
        </w:r>
      </w:hyperlink>
      <w:r w:rsidR="0072065F">
        <w:t>.</w:t>
      </w:r>
    </w:p>
    <w:p w14:paraId="046513D9" w14:textId="78DADB21" w:rsidR="004E0CE2" w:rsidRDefault="00964741" w:rsidP="00071943">
      <w:pPr>
        <w:pStyle w:val="Paragraph"/>
      </w:pPr>
      <w:r>
        <w:t>In addition to amendments initiated by us, a</w:t>
      </w:r>
      <w:r w:rsidR="004E0CE2" w:rsidRPr="004E0CE2">
        <w:t xml:space="preserve"> person may apply</w:t>
      </w:r>
      <w:r w:rsidR="002376F7">
        <w:t xml:space="preserve"> </w:t>
      </w:r>
      <w:r w:rsidR="004E0CE2" w:rsidRPr="004E0CE2">
        <w:t xml:space="preserve">in writing for the ACMA to </w:t>
      </w:r>
      <w:r w:rsidR="002376F7">
        <w:t xml:space="preserve">designate </w:t>
      </w:r>
      <w:r w:rsidR="00961BAB">
        <w:t>an area</w:t>
      </w:r>
      <w:r w:rsidR="00CE2E64">
        <w:t xml:space="preserve">. </w:t>
      </w:r>
      <w:r w:rsidR="00065865">
        <w:t>We</w:t>
      </w:r>
      <w:r w:rsidR="00CE2E64" w:rsidRPr="00CE2E64">
        <w:t xml:space="preserve"> must decide whether to grant the application within 90 days after the application is made</w:t>
      </w:r>
      <w:r w:rsidR="00065865">
        <w:t xml:space="preserve">. </w:t>
      </w:r>
      <w:r w:rsidR="00DC7A44">
        <w:t xml:space="preserve">If </w:t>
      </w:r>
      <w:r w:rsidR="00DB3816">
        <w:t xml:space="preserve">we decide not to designate the </w:t>
      </w:r>
      <w:r w:rsidR="006F3DC8">
        <w:t xml:space="preserve">proposed </w:t>
      </w:r>
      <w:r w:rsidR="00961BAB">
        <w:t>area</w:t>
      </w:r>
      <w:r w:rsidR="00DB3816">
        <w:t xml:space="preserve">, a range of review and appeal </w:t>
      </w:r>
      <w:r w:rsidR="00F9610C">
        <w:t xml:space="preserve">mechanisms are </w:t>
      </w:r>
      <w:r w:rsidR="006F3DC8">
        <w:t xml:space="preserve">available to the applicant, as </w:t>
      </w:r>
      <w:r w:rsidR="00F9610C">
        <w:t xml:space="preserve">detailed </w:t>
      </w:r>
      <w:r w:rsidR="00AA1E54">
        <w:t>in</w:t>
      </w:r>
      <w:r w:rsidR="00F9610C">
        <w:t xml:space="preserve"> Schedule 2 of the draft band plan.</w:t>
      </w:r>
    </w:p>
    <w:p w14:paraId="7B0CA3CC" w14:textId="5A0FB97C" w:rsidR="00663F73" w:rsidRDefault="00681F60" w:rsidP="00894276">
      <w:pPr>
        <w:pStyle w:val="Heading3"/>
      </w:pPr>
      <w:r>
        <w:t>T</w:t>
      </w:r>
      <w:r w:rsidR="00894276">
        <w:t>ransition</w:t>
      </w:r>
      <w:r w:rsidR="009518EB">
        <w:t xml:space="preserve"> timing</w:t>
      </w:r>
      <w:r w:rsidR="00894276">
        <w:t xml:space="preserve"> considerations</w:t>
      </w:r>
    </w:p>
    <w:p w14:paraId="3AEE5C16" w14:textId="28A49D1A" w:rsidR="00663F73" w:rsidRPr="00A85D75" w:rsidRDefault="00663F73" w:rsidP="00663F73">
      <w:pPr>
        <w:pStyle w:val="Paragraph"/>
      </w:pPr>
      <w:r w:rsidRPr="00A85D75">
        <w:t xml:space="preserve">We anticipate that </w:t>
      </w:r>
      <w:r w:rsidR="002F7F41">
        <w:t>the proposed</w:t>
      </w:r>
      <w:r w:rsidRPr="00A85D75">
        <w:t xml:space="preserve"> </w:t>
      </w:r>
      <w:r w:rsidR="006B1D96">
        <w:t xml:space="preserve">transition </w:t>
      </w:r>
      <w:r w:rsidRPr="00A85D75">
        <w:t>period will allow ongoing TOB operators to relocate to alternative spectrum at</w:t>
      </w:r>
      <w:r>
        <w:t xml:space="preserve"> a</w:t>
      </w:r>
      <w:r w:rsidRPr="00A85D75">
        <w:t xml:space="preserve"> time that aligns </w:t>
      </w:r>
      <w:r>
        <w:t>to the extent possible</w:t>
      </w:r>
      <w:r w:rsidRPr="00A85D75">
        <w:t xml:space="preserve"> with their equipment replacement lifecycles. While satellite services are expected to take some time to be deployed, providing earlier access in regional and remote </w:t>
      </w:r>
      <w:r>
        <w:t>areas</w:t>
      </w:r>
      <w:r w:rsidRPr="00A85D75">
        <w:t xml:space="preserve"> will support initial deployment in areas that are likely to benefit most </w:t>
      </w:r>
      <w:r>
        <w:t>from</w:t>
      </w:r>
      <w:r w:rsidRPr="00A85D75">
        <w:t xml:space="preserve"> new services</w:t>
      </w:r>
      <w:r w:rsidR="001E066C">
        <w:t>,</w:t>
      </w:r>
      <w:r w:rsidRPr="00A85D75">
        <w:t xml:space="preserve"> with minimal impact on TOB</w:t>
      </w:r>
      <w:r w:rsidR="007C5505">
        <w:t xml:space="preserve"> services</w:t>
      </w:r>
      <w:r w:rsidRPr="00A85D75">
        <w:t xml:space="preserve">. </w:t>
      </w:r>
    </w:p>
    <w:p w14:paraId="6D01A876" w14:textId="7F488061" w:rsidR="008B3850" w:rsidRDefault="00FF75FA" w:rsidP="009F1CD9">
      <w:pPr>
        <w:pStyle w:val="Paragraph"/>
      </w:pPr>
      <w:r w:rsidRPr="00CA7ECF">
        <w:t xml:space="preserve">To avoid transition occurring during the summer period where TOB activities are normally at a higher activity level due to coverage of sporting events, </w:t>
      </w:r>
      <w:r w:rsidR="00D814B5">
        <w:t>our</w:t>
      </w:r>
      <w:r w:rsidRPr="00CA7ECF">
        <w:t xml:space="preserve"> view </w:t>
      </w:r>
      <w:r>
        <w:t xml:space="preserve">(stated in the 2 GHz outcomes paper) </w:t>
      </w:r>
      <w:r w:rsidRPr="00CA7ECF">
        <w:t>is that the transition period</w:t>
      </w:r>
      <w:r>
        <w:t>s</w:t>
      </w:r>
      <w:r w:rsidRPr="00CA7ECF">
        <w:t xml:space="preserve"> should </w:t>
      </w:r>
      <w:r>
        <w:t xml:space="preserve">end on </w:t>
      </w:r>
      <w:r w:rsidR="00EE7C85">
        <w:t>29</w:t>
      </w:r>
      <w:r>
        <w:t xml:space="preserve"> </w:t>
      </w:r>
      <w:r w:rsidR="00EE7C85">
        <w:t>February</w:t>
      </w:r>
      <w:r>
        <w:t xml:space="preserve"> 2024 and </w:t>
      </w:r>
      <w:r w:rsidR="00741C32">
        <w:t>28</w:t>
      </w:r>
      <w:r>
        <w:t xml:space="preserve"> </w:t>
      </w:r>
      <w:r w:rsidR="00741C32">
        <w:t>February</w:t>
      </w:r>
      <w:r>
        <w:t xml:space="preserve"> 2026</w:t>
      </w:r>
      <w:r w:rsidR="002D12CB">
        <w:t>.</w:t>
      </w:r>
      <w:r w:rsidR="002D12CB" w:rsidDel="002D12CB">
        <w:t xml:space="preserve"> </w:t>
      </w:r>
    </w:p>
    <w:p w14:paraId="7F9DABDA" w14:textId="09BA9713" w:rsidR="00D20397" w:rsidRDefault="007919B9" w:rsidP="00FF6EDD">
      <w:pPr>
        <w:pStyle w:val="Heading2"/>
        <w:keepLines/>
      </w:pPr>
      <w:bookmarkStart w:id="10" w:name="_Toc88819876"/>
      <w:r>
        <w:lastRenderedPageBreak/>
        <w:t>TOB and MSS l</w:t>
      </w:r>
      <w:r w:rsidR="00D20397">
        <w:t xml:space="preserve">icensing arrangements </w:t>
      </w:r>
      <w:r w:rsidR="003153EC">
        <w:t>during the</w:t>
      </w:r>
      <w:r w:rsidR="00D20397">
        <w:t xml:space="preserve"> transition </w:t>
      </w:r>
      <w:r w:rsidR="003153EC">
        <w:t>period</w:t>
      </w:r>
      <w:bookmarkEnd w:id="10"/>
      <w:r w:rsidR="003153EC">
        <w:t xml:space="preserve"> </w:t>
      </w:r>
    </w:p>
    <w:p w14:paraId="5C5C213D" w14:textId="15A6AE66" w:rsidR="0052149C" w:rsidRDefault="00DD625C" w:rsidP="00FF6EDD">
      <w:pPr>
        <w:pStyle w:val="Paragraph"/>
        <w:keepNext/>
        <w:keepLines/>
      </w:pPr>
      <w:r>
        <w:t>In the 2 G</w:t>
      </w:r>
      <w:r w:rsidR="00546197">
        <w:t>Hz</w:t>
      </w:r>
      <w:r>
        <w:t xml:space="preserve"> outcomes paper</w:t>
      </w:r>
      <w:r w:rsidR="00AA4D14">
        <w:t>, we</w:t>
      </w:r>
      <w:r>
        <w:t xml:space="preserve"> </w:t>
      </w:r>
      <w:r w:rsidR="004603B0">
        <w:t xml:space="preserve">noted that </w:t>
      </w:r>
      <w:r w:rsidR="00BF55CD">
        <w:t>e</w:t>
      </w:r>
      <w:r w:rsidR="00DC7744">
        <w:t>arly</w:t>
      </w:r>
      <w:r w:rsidR="0030620D">
        <w:t xml:space="preserve"> access for narrowband MSS </w:t>
      </w:r>
      <w:r w:rsidR="00091835">
        <w:t>(</w:t>
      </w:r>
      <w:r w:rsidR="00E10EAC" w:rsidRPr="004F4B14">
        <w:t>2005–2010</w:t>
      </w:r>
      <w:r w:rsidR="0066103D">
        <w:t xml:space="preserve"> MHz paired with </w:t>
      </w:r>
      <w:r w:rsidR="00E10EAC" w:rsidRPr="004F4B14">
        <w:t>2195–2200 MHz</w:t>
      </w:r>
      <w:r w:rsidR="00E10EAC">
        <w:t xml:space="preserve">) </w:t>
      </w:r>
      <w:r w:rsidR="0030620D">
        <w:t xml:space="preserve">would be considered. </w:t>
      </w:r>
    </w:p>
    <w:p w14:paraId="3B1858D5" w14:textId="25BF2BCB" w:rsidR="001D5E64" w:rsidRDefault="0066103D" w:rsidP="00FF6EDD">
      <w:pPr>
        <w:pStyle w:val="Paragraph"/>
        <w:keepNext/>
        <w:keepLines/>
      </w:pPr>
      <w:r>
        <w:t>We consider o</w:t>
      </w:r>
      <w:r w:rsidR="00B12708">
        <w:t>peration of n</w:t>
      </w:r>
      <w:r w:rsidR="00010585">
        <w:t xml:space="preserve">arrowband MSS </w:t>
      </w:r>
      <w:r w:rsidR="00B12708">
        <w:t xml:space="preserve">is </w:t>
      </w:r>
      <w:r w:rsidR="0022192A">
        <w:t>feasible</w:t>
      </w:r>
      <w:r w:rsidR="00B12708">
        <w:t xml:space="preserve"> </w:t>
      </w:r>
      <w:r w:rsidR="007705DB">
        <w:t>outside of areas where TOB is used</w:t>
      </w:r>
      <w:r>
        <w:t>,</w:t>
      </w:r>
      <w:r w:rsidR="00DA2BD2">
        <w:t xml:space="preserve"> with appropriate interference management arrangement</w:t>
      </w:r>
      <w:r w:rsidR="0075033E">
        <w:t>s</w:t>
      </w:r>
      <w:r w:rsidR="00DA2BD2">
        <w:t xml:space="preserve"> to protect TOB services during the transition</w:t>
      </w:r>
      <w:r w:rsidR="0075033E">
        <w:t xml:space="preserve"> period</w:t>
      </w:r>
      <w:r w:rsidR="007705DB">
        <w:t>. For example</w:t>
      </w:r>
      <w:r w:rsidR="00DA34CB">
        <w:t>,</w:t>
      </w:r>
      <w:r w:rsidR="00534034">
        <w:t xml:space="preserve"> operation of narrowband MSS would be feasible</w:t>
      </w:r>
      <w:r w:rsidR="007705DB">
        <w:t xml:space="preserve"> </w:t>
      </w:r>
      <w:r w:rsidR="00BC1982">
        <w:t xml:space="preserve">in regional areas </w:t>
      </w:r>
      <w:r w:rsidR="007948C6">
        <w:t xml:space="preserve">outside of </w:t>
      </w:r>
      <w:r w:rsidR="00DA2BD2">
        <w:t>designated</w:t>
      </w:r>
      <w:r w:rsidR="007948C6">
        <w:t xml:space="preserve"> areas </w:t>
      </w:r>
      <w:r w:rsidR="0022192A">
        <w:t xml:space="preserve">and </w:t>
      </w:r>
      <w:r w:rsidR="007948C6">
        <w:t xml:space="preserve">in </w:t>
      </w:r>
      <w:r w:rsidR="00E63199">
        <w:t>remote parts of Australia</w:t>
      </w:r>
      <w:r w:rsidR="00DA2BD2">
        <w:t xml:space="preserve"> where TOB operation is</w:t>
      </w:r>
      <w:r w:rsidR="007948C6">
        <w:t xml:space="preserve"> unlikely</w:t>
      </w:r>
      <w:r w:rsidR="00DA2BD2">
        <w:t xml:space="preserve">. </w:t>
      </w:r>
      <w:r w:rsidR="0052149C">
        <w:t xml:space="preserve">Proposed </w:t>
      </w:r>
      <w:r w:rsidR="001D5E64">
        <w:t xml:space="preserve">arrangements are outlined in </w:t>
      </w:r>
      <w:r w:rsidR="00E63199">
        <w:t xml:space="preserve">our concurrent </w:t>
      </w:r>
      <w:r w:rsidR="003C6FEC">
        <w:t>consultation</w:t>
      </w:r>
      <w:r w:rsidR="00E44109">
        <w:t xml:space="preserve"> </w:t>
      </w:r>
      <w:r w:rsidR="00E63199">
        <w:t xml:space="preserve">paper </w:t>
      </w:r>
      <w:r w:rsidR="00E44109">
        <w:t>on p</w:t>
      </w:r>
      <w:r w:rsidR="00E44109" w:rsidRPr="00487BC9">
        <w:t xml:space="preserve">roposed licensing arrangements for 2 GHz narrowband </w:t>
      </w:r>
      <w:r w:rsidR="003702D8">
        <w:t>MSS.</w:t>
      </w:r>
    </w:p>
    <w:p w14:paraId="551F4F32" w14:textId="04BB9023" w:rsidR="00E30C2D" w:rsidRDefault="00927997" w:rsidP="00E30C2D">
      <w:pPr>
        <w:pStyle w:val="Paragraph"/>
      </w:pPr>
      <w:r>
        <w:t xml:space="preserve">As previously </w:t>
      </w:r>
      <w:r w:rsidR="00CF4C54">
        <w:t>noted</w:t>
      </w:r>
      <w:r w:rsidR="00E63199">
        <w:t>,</w:t>
      </w:r>
      <w:r>
        <w:t xml:space="preserve"> </w:t>
      </w:r>
      <w:r w:rsidR="00E30C2D">
        <w:t xml:space="preserve">the ACMA </w:t>
      </w:r>
      <w:r w:rsidR="00D128DB">
        <w:t>has placed a</w:t>
      </w:r>
      <w:r w:rsidR="00C305B9">
        <w:t xml:space="preserve"> </w:t>
      </w:r>
      <w:r w:rsidR="00DC7A44">
        <w:t>one</w:t>
      </w:r>
      <w:r w:rsidR="00554B52">
        <w:t xml:space="preserve">-year </w:t>
      </w:r>
      <w:r w:rsidR="00E30C2D" w:rsidRPr="008E6447">
        <w:t xml:space="preserve">limit </w:t>
      </w:r>
      <w:r w:rsidR="009448B2">
        <w:t xml:space="preserve">on </w:t>
      </w:r>
      <w:r w:rsidR="002435C9">
        <w:t xml:space="preserve">the term of </w:t>
      </w:r>
      <w:r w:rsidR="00E30C2D" w:rsidRPr="008E6447">
        <w:t xml:space="preserve">any new or reissued TOB licences </w:t>
      </w:r>
      <w:r w:rsidR="00BA2D0B">
        <w:t xml:space="preserve">issued </w:t>
      </w:r>
      <w:r w:rsidR="00EB3249">
        <w:t>during the transition period</w:t>
      </w:r>
      <w:r>
        <w:t xml:space="preserve">. </w:t>
      </w:r>
      <w:r w:rsidR="009F7DBD">
        <w:t>These</w:t>
      </w:r>
      <w:r w:rsidR="00040F3C">
        <w:t xml:space="preserve"> </w:t>
      </w:r>
      <w:r w:rsidR="009A20FC">
        <w:t>licence</w:t>
      </w:r>
      <w:r w:rsidR="009F7DBD">
        <w:t>s</w:t>
      </w:r>
      <w:r w:rsidR="009A20FC">
        <w:t xml:space="preserve"> will include a </w:t>
      </w:r>
      <w:r w:rsidR="00E30C2D" w:rsidRPr="008E6447">
        <w:t xml:space="preserve">note </w:t>
      </w:r>
      <w:r w:rsidR="009A20FC">
        <w:t xml:space="preserve">advising </w:t>
      </w:r>
      <w:r w:rsidR="00E30C2D" w:rsidRPr="008E6447">
        <w:t>that forthcoming replanning activities may require licensees to change frequency or cease transmission.</w:t>
      </w:r>
    </w:p>
    <w:p w14:paraId="64085402" w14:textId="203FC840" w:rsidR="00DB50EC" w:rsidRDefault="00750236" w:rsidP="007D1564">
      <w:pPr>
        <w:pStyle w:val="Paragraph"/>
      </w:pPr>
      <w:r>
        <w:t xml:space="preserve">The ACMA intends to support operation of scientific licences in the 2 GHz band </w:t>
      </w:r>
      <w:r w:rsidR="00DB50EC">
        <w:t>for experimental and demonstration purposes for satellite and other uses on a short-term basis</w:t>
      </w:r>
      <w:r w:rsidR="001626F3">
        <w:t>,</w:t>
      </w:r>
      <w:r w:rsidR="007D1564">
        <w:t xml:space="preserve"> with appropriate interference management arrangement</w:t>
      </w:r>
      <w:r w:rsidR="007B3D6E">
        <w:t>s</w:t>
      </w:r>
      <w:r w:rsidR="007D1564">
        <w:t xml:space="preserve"> to protect TOB services during the transition</w:t>
      </w:r>
      <w:r w:rsidR="007B3D6E">
        <w:t xml:space="preserve"> period</w:t>
      </w:r>
      <w:r w:rsidR="007D1564">
        <w:t>.</w:t>
      </w:r>
    </w:p>
    <w:p w14:paraId="3C78B34C" w14:textId="317D7A90" w:rsidR="00142567" w:rsidRDefault="008374A6" w:rsidP="002F36A2">
      <w:pPr>
        <w:spacing w:after="0"/>
        <w:rPr>
          <w:rFonts w:eastAsiaTheme="majorEastAsia"/>
        </w:rPr>
      </w:pPr>
      <w:r>
        <w:t>D</w:t>
      </w:r>
      <w:r w:rsidR="00E70F16" w:rsidRPr="00A85D75">
        <w:rPr>
          <w:rFonts w:cs="Arial"/>
          <w:szCs w:val="20"/>
        </w:rPr>
        <w:t xml:space="preserve">evelopment of </w:t>
      </w:r>
      <w:r w:rsidR="00D85C04">
        <w:rPr>
          <w:rFonts w:cs="Arial"/>
          <w:szCs w:val="20"/>
        </w:rPr>
        <w:t xml:space="preserve">a </w:t>
      </w:r>
      <w:r w:rsidR="00E70F16" w:rsidRPr="00A85D75">
        <w:rPr>
          <w:rFonts w:cs="Arial"/>
          <w:szCs w:val="20"/>
        </w:rPr>
        <w:t xml:space="preserve">framework for the allocation of licences </w:t>
      </w:r>
      <w:r w:rsidR="00D85C04">
        <w:rPr>
          <w:rFonts w:cs="Arial"/>
          <w:szCs w:val="20"/>
        </w:rPr>
        <w:t xml:space="preserve">for MSS </w:t>
      </w:r>
      <w:r w:rsidR="00E70F16" w:rsidRPr="00A85D75">
        <w:rPr>
          <w:rFonts w:cs="Arial"/>
          <w:szCs w:val="20"/>
        </w:rPr>
        <w:t>in 1980–2005</w:t>
      </w:r>
      <w:r w:rsidR="007B3D6E">
        <w:rPr>
          <w:rFonts w:cs="Arial"/>
          <w:szCs w:val="20"/>
        </w:rPr>
        <w:t xml:space="preserve"> MHz paired with 2</w:t>
      </w:r>
      <w:r w:rsidR="00E70F16" w:rsidRPr="00A85D75">
        <w:rPr>
          <w:rFonts w:cs="Arial"/>
          <w:szCs w:val="20"/>
        </w:rPr>
        <w:t>170–2195 MHz</w:t>
      </w:r>
      <w:r w:rsidR="00E70F16">
        <w:rPr>
          <w:rFonts w:cs="Arial"/>
          <w:szCs w:val="20"/>
        </w:rPr>
        <w:t xml:space="preserve"> </w:t>
      </w:r>
      <w:r w:rsidR="00D85C04">
        <w:rPr>
          <w:rFonts w:cs="Arial"/>
          <w:szCs w:val="20"/>
        </w:rPr>
        <w:t>is expected to commence Q3 2022.</w:t>
      </w:r>
      <w:r w:rsidR="00C418E5">
        <w:rPr>
          <w:rFonts w:cs="Arial"/>
          <w:szCs w:val="20"/>
        </w:rPr>
        <w:t xml:space="preserve"> </w:t>
      </w:r>
      <w:r>
        <w:rPr>
          <w:rFonts w:cs="Arial"/>
          <w:szCs w:val="20"/>
        </w:rPr>
        <w:t>T</w:t>
      </w:r>
      <w:r w:rsidR="00142567" w:rsidRPr="00944235">
        <w:rPr>
          <w:rFonts w:eastAsiaTheme="majorEastAsia"/>
        </w:rPr>
        <w:t xml:space="preserve">iming for an allocation of </w:t>
      </w:r>
      <w:r w:rsidR="00AA5469">
        <w:rPr>
          <w:rFonts w:eastAsiaTheme="majorEastAsia"/>
        </w:rPr>
        <w:t>MSS</w:t>
      </w:r>
      <w:r w:rsidR="00142567" w:rsidRPr="00944235">
        <w:rPr>
          <w:rFonts w:eastAsiaTheme="majorEastAsia"/>
        </w:rPr>
        <w:t xml:space="preserve"> licences will be </w:t>
      </w:r>
      <w:r w:rsidR="00142567">
        <w:rPr>
          <w:rFonts w:eastAsiaTheme="majorEastAsia"/>
        </w:rPr>
        <w:t>considered alongside</w:t>
      </w:r>
      <w:r w:rsidR="00142567" w:rsidRPr="00944235">
        <w:rPr>
          <w:rFonts w:eastAsiaTheme="majorEastAsia"/>
        </w:rPr>
        <w:t xml:space="preserve"> other allocation processes, </w:t>
      </w:r>
      <w:r w:rsidR="00F52A77">
        <w:rPr>
          <w:rFonts w:eastAsiaTheme="majorEastAsia"/>
        </w:rPr>
        <w:t xml:space="preserve">with an indicative allocation </w:t>
      </w:r>
      <w:r w:rsidR="004C3CF1">
        <w:rPr>
          <w:rFonts w:eastAsiaTheme="majorEastAsia"/>
        </w:rPr>
        <w:t xml:space="preserve">occurring after </w:t>
      </w:r>
      <w:r w:rsidR="00142567" w:rsidRPr="00944235">
        <w:rPr>
          <w:rFonts w:eastAsiaTheme="majorEastAsia"/>
        </w:rPr>
        <w:t>mid-2023</w:t>
      </w:r>
      <w:r w:rsidR="00142567">
        <w:rPr>
          <w:rFonts w:eastAsiaTheme="majorEastAsia"/>
        </w:rPr>
        <w:t>.</w:t>
      </w:r>
    </w:p>
    <w:p w14:paraId="41C3304A" w14:textId="77777777" w:rsidR="008852BA" w:rsidRDefault="008852BA" w:rsidP="002F36A2">
      <w:pPr>
        <w:spacing w:after="0"/>
        <w:rPr>
          <w:rFonts w:eastAsiaTheme="majorEastAsia"/>
        </w:rPr>
      </w:pPr>
    </w:p>
    <w:p w14:paraId="17E0381F" w14:textId="46FB6760" w:rsidR="00C60DB1" w:rsidRDefault="008E7C8D" w:rsidP="00C60DB1">
      <w:pPr>
        <w:pStyle w:val="Paragraph"/>
      </w:pPr>
      <w:r>
        <w:rPr>
          <w:rFonts w:eastAsiaTheme="majorEastAsia"/>
        </w:rPr>
        <w:t>We are</w:t>
      </w:r>
      <w:r w:rsidR="002B34F5">
        <w:rPr>
          <w:rFonts w:eastAsiaTheme="majorEastAsia"/>
        </w:rPr>
        <w:t xml:space="preserve"> also </w:t>
      </w:r>
      <w:r w:rsidR="00FE57A0">
        <w:rPr>
          <w:rFonts w:eastAsiaTheme="majorEastAsia"/>
        </w:rPr>
        <w:t>consulting on proposed licensing arrangements for narrowband MSS</w:t>
      </w:r>
      <w:r>
        <w:rPr>
          <w:rFonts w:eastAsiaTheme="majorEastAsia"/>
        </w:rPr>
        <w:t>,</w:t>
      </w:r>
      <w:r w:rsidR="00FE57A0">
        <w:rPr>
          <w:rFonts w:eastAsiaTheme="majorEastAsia"/>
        </w:rPr>
        <w:t xml:space="preserve"> </w:t>
      </w:r>
      <w:r w:rsidR="00482BBB">
        <w:rPr>
          <w:rFonts w:eastAsiaTheme="majorEastAsia"/>
        </w:rPr>
        <w:t>which could result in the introduction of narrowband MSS services in regional areas in early 2022.</w:t>
      </w:r>
      <w:r w:rsidR="00C60DB1">
        <w:rPr>
          <w:rFonts w:eastAsiaTheme="majorEastAsia"/>
        </w:rPr>
        <w:t xml:space="preserve"> </w:t>
      </w:r>
      <w:r w:rsidR="00C60DB1">
        <w:t>During the TOB transition period</w:t>
      </w:r>
      <w:r w:rsidR="000F7AA0">
        <w:t>,</w:t>
      </w:r>
      <w:r w:rsidR="00C60DB1">
        <w:t xml:space="preserve"> operation of MSS services will be restricted to protect TOB services </w:t>
      </w:r>
      <w:r w:rsidR="007C57BD">
        <w:t>during</w:t>
      </w:r>
      <w:r w:rsidR="00C60DB1">
        <w:t xml:space="preserve"> the transition to new arrangements. </w:t>
      </w:r>
      <w:r w:rsidR="008E3AD9">
        <w:t xml:space="preserve"> Proposed </w:t>
      </w:r>
      <w:r w:rsidR="00123CE2">
        <w:t xml:space="preserve">transition and </w:t>
      </w:r>
      <w:r w:rsidR="00D063E7">
        <w:t>licensing arrangements for MS</w:t>
      </w:r>
      <w:r w:rsidR="0059473F">
        <w:t>S</w:t>
      </w:r>
      <w:r w:rsidR="00D063E7">
        <w:t xml:space="preserve"> and TOB a</w:t>
      </w:r>
      <w:r w:rsidR="00E1431E">
        <w:t xml:space="preserve">re </w:t>
      </w:r>
      <w:r w:rsidR="00A366B3">
        <w:t>summarised</w:t>
      </w:r>
      <w:r w:rsidR="008E3AD9">
        <w:t xml:space="preserve"> </w:t>
      </w:r>
      <w:r w:rsidR="00D063E7">
        <w:t xml:space="preserve">in </w:t>
      </w:r>
      <w:r w:rsidR="00934B81">
        <w:t>T</w:t>
      </w:r>
      <w:r w:rsidR="00E1431E">
        <w:t>able 1.</w:t>
      </w:r>
      <w:r w:rsidR="008E3AD9">
        <w:t xml:space="preserve"> </w:t>
      </w:r>
    </w:p>
    <w:p w14:paraId="5D87A7A6" w14:textId="41B17468" w:rsidR="008852BA" w:rsidRDefault="008852BA" w:rsidP="00123CE2">
      <w:pPr>
        <w:pStyle w:val="Tableheading"/>
      </w:pPr>
      <w:r>
        <w:t>MSS and TOB transitional arrangements</w:t>
      </w:r>
      <w:r w:rsidR="00242A35">
        <w:t xml:space="preserve"> in the 2</w:t>
      </w:r>
      <w:r w:rsidR="006F3A64">
        <w:t xml:space="preserve"> </w:t>
      </w:r>
      <w:r w:rsidR="00242A35">
        <w:t>GHz band</w:t>
      </w:r>
      <w:r w:rsidRPr="00025DAD">
        <w:rPr>
          <w:b w:val="0"/>
          <w:bCs w:val="0"/>
          <w:vertAlign w:val="superscript"/>
        </w:rPr>
        <w:t>*</w:t>
      </w:r>
      <w:r>
        <w:t xml:space="preserve"> </w:t>
      </w:r>
    </w:p>
    <w:tbl>
      <w:tblPr>
        <w:tblStyle w:val="ACMAtablestyle"/>
        <w:tblW w:w="5000" w:type="pct"/>
        <w:tblCellMar>
          <w:top w:w="113" w:type="dxa"/>
          <w:bottom w:w="113" w:type="dxa"/>
        </w:tblCellMar>
        <w:tblLook w:val="01E0" w:firstRow="1" w:lastRow="1" w:firstColumn="1" w:lastColumn="1" w:noHBand="0" w:noVBand="0"/>
        <w:tblCaption w:val="Table title to go here"/>
        <w:tblDescription w:val="Table description to go here"/>
      </w:tblPr>
      <w:tblGrid>
        <w:gridCol w:w="1555"/>
        <w:gridCol w:w="2268"/>
        <w:gridCol w:w="3838"/>
      </w:tblGrid>
      <w:tr w:rsidR="00B14A01" w:rsidRPr="006D46E5" w14:paraId="034AB0C1" w14:textId="77777777" w:rsidTr="007A66D8">
        <w:trPr>
          <w:cnfStyle w:val="100000000000" w:firstRow="1" w:lastRow="0" w:firstColumn="0" w:lastColumn="0" w:oddVBand="0" w:evenVBand="0" w:oddHBand="0" w:evenHBand="0" w:firstRowFirstColumn="0" w:firstRowLastColumn="0" w:lastRowFirstColumn="0" w:lastRowLastColumn="0"/>
        </w:trPr>
        <w:tc>
          <w:tcPr>
            <w:tcW w:w="1015" w:type="pct"/>
            <w:tcMar>
              <w:top w:w="57" w:type="dxa"/>
              <w:bottom w:w="57" w:type="dxa"/>
            </w:tcMar>
          </w:tcPr>
          <w:p w14:paraId="38376080" w14:textId="77777777" w:rsidR="008852BA" w:rsidRPr="00930510" w:rsidRDefault="008852BA" w:rsidP="009F7DBD">
            <w:pPr>
              <w:pStyle w:val="Tableheaderrow"/>
              <w:keepNext/>
              <w:spacing w:line="240" w:lineRule="auto"/>
            </w:pPr>
            <w:r>
              <w:t>Area</w:t>
            </w:r>
          </w:p>
        </w:tc>
        <w:tc>
          <w:tcPr>
            <w:tcW w:w="1480" w:type="pct"/>
            <w:tcMar>
              <w:top w:w="57" w:type="dxa"/>
              <w:bottom w:w="57" w:type="dxa"/>
            </w:tcMar>
          </w:tcPr>
          <w:p w14:paraId="3F7DD622" w14:textId="77777777" w:rsidR="008852BA" w:rsidRPr="00930510" w:rsidRDefault="008852BA" w:rsidP="009F7DBD">
            <w:pPr>
              <w:pStyle w:val="Tableheaderrow"/>
              <w:keepNext/>
              <w:spacing w:line="240" w:lineRule="auto"/>
            </w:pPr>
            <w:r>
              <w:t>Service</w:t>
            </w:r>
          </w:p>
        </w:tc>
        <w:tc>
          <w:tcPr>
            <w:tcW w:w="2505" w:type="pct"/>
            <w:tcMar>
              <w:top w:w="57" w:type="dxa"/>
              <w:bottom w:w="57" w:type="dxa"/>
            </w:tcMar>
          </w:tcPr>
          <w:p w14:paraId="598CA2B4" w14:textId="77777777" w:rsidR="008852BA" w:rsidRPr="00930510" w:rsidRDefault="008852BA" w:rsidP="009F7DBD">
            <w:pPr>
              <w:pStyle w:val="Tableheaderrow"/>
              <w:keepNext/>
              <w:spacing w:line="240" w:lineRule="auto"/>
            </w:pPr>
            <w:r>
              <w:t xml:space="preserve">Requirement </w:t>
            </w:r>
          </w:p>
        </w:tc>
      </w:tr>
      <w:tr w:rsidR="00B14A01" w:rsidRPr="00E64F56" w14:paraId="63D87B81" w14:textId="77777777" w:rsidTr="007A66D8">
        <w:trPr>
          <w:cnfStyle w:val="000000100000" w:firstRow="0" w:lastRow="0" w:firstColumn="0" w:lastColumn="0" w:oddVBand="0" w:evenVBand="0" w:oddHBand="1" w:evenHBand="0" w:firstRowFirstColumn="0" w:firstRowLastColumn="0" w:lastRowFirstColumn="0" w:lastRowLastColumn="0"/>
        </w:trPr>
        <w:tc>
          <w:tcPr>
            <w:tcW w:w="1015" w:type="pct"/>
            <w:vMerge w:val="restart"/>
            <w:shd w:val="clear" w:color="auto" w:fill="D9D9D9" w:themeFill="background1" w:themeFillShade="D9"/>
            <w:tcMar>
              <w:top w:w="57" w:type="dxa"/>
              <w:bottom w:w="57" w:type="dxa"/>
            </w:tcMar>
          </w:tcPr>
          <w:p w14:paraId="44E4C2E8" w14:textId="77777777" w:rsidR="00F622E5" w:rsidRPr="00360133" w:rsidRDefault="008852BA" w:rsidP="009F7DBD">
            <w:pPr>
              <w:pStyle w:val="TableBody"/>
              <w:keepNext/>
              <w:spacing w:line="220" w:lineRule="atLeast"/>
              <w:rPr>
                <w:rFonts w:cs="Arial"/>
                <w:b/>
                <w:bCs/>
                <w:sz w:val="18"/>
                <w:szCs w:val="18"/>
              </w:rPr>
            </w:pPr>
            <w:r w:rsidRPr="00360133">
              <w:rPr>
                <w:rFonts w:cs="Arial"/>
                <w:b/>
                <w:bCs/>
                <w:color w:val="000000"/>
                <w:sz w:val="18"/>
                <w:szCs w:val="18"/>
              </w:rPr>
              <w:t>Metropolitan areas and desi</w:t>
            </w:r>
            <w:r w:rsidR="000723DF" w:rsidRPr="00360133">
              <w:rPr>
                <w:rFonts w:cs="Arial"/>
                <w:b/>
                <w:bCs/>
                <w:color w:val="000000"/>
                <w:sz w:val="18"/>
                <w:szCs w:val="18"/>
              </w:rPr>
              <w:t>g</w:t>
            </w:r>
            <w:r w:rsidRPr="00360133">
              <w:rPr>
                <w:rFonts w:cs="Arial"/>
                <w:b/>
                <w:bCs/>
                <w:color w:val="000000"/>
                <w:sz w:val="18"/>
                <w:szCs w:val="18"/>
              </w:rPr>
              <w:t xml:space="preserve">nated areas </w:t>
            </w:r>
          </w:p>
          <w:p w14:paraId="636B9C06" w14:textId="521B9337" w:rsidR="008852BA" w:rsidRPr="00E64F56" w:rsidRDefault="008852BA" w:rsidP="009F7DBD">
            <w:pPr>
              <w:pStyle w:val="TableBody"/>
              <w:keepNext/>
              <w:spacing w:line="220" w:lineRule="atLeast"/>
              <w:rPr>
                <w:rFonts w:cs="Arial"/>
                <w:sz w:val="18"/>
                <w:szCs w:val="18"/>
              </w:rPr>
            </w:pPr>
          </w:p>
        </w:tc>
        <w:tc>
          <w:tcPr>
            <w:tcW w:w="1480" w:type="pct"/>
            <w:tcMar>
              <w:top w:w="57" w:type="dxa"/>
              <w:bottom w:w="57" w:type="dxa"/>
            </w:tcMar>
          </w:tcPr>
          <w:p w14:paraId="324D9010" w14:textId="77777777" w:rsidR="008852BA" w:rsidRPr="00E64F56" w:rsidRDefault="008852BA" w:rsidP="009F7DBD">
            <w:pPr>
              <w:pStyle w:val="TableBody"/>
              <w:keepNext/>
              <w:spacing w:line="220" w:lineRule="atLeast"/>
              <w:rPr>
                <w:rFonts w:cs="Arial"/>
                <w:sz w:val="18"/>
                <w:szCs w:val="18"/>
              </w:rPr>
            </w:pPr>
            <w:r w:rsidRPr="00E64F56">
              <w:rPr>
                <w:rFonts w:cs="Arial"/>
                <w:sz w:val="18"/>
                <w:szCs w:val="18"/>
              </w:rPr>
              <w:t>TOB</w:t>
            </w:r>
          </w:p>
        </w:tc>
        <w:tc>
          <w:tcPr>
            <w:tcW w:w="2505" w:type="pct"/>
            <w:tcMar>
              <w:top w:w="57" w:type="dxa"/>
              <w:bottom w:w="57" w:type="dxa"/>
            </w:tcMar>
          </w:tcPr>
          <w:p w14:paraId="649C8649" w14:textId="1E025165" w:rsidR="008852BA" w:rsidRPr="00E64F56" w:rsidRDefault="008852BA" w:rsidP="009F7DBD">
            <w:pPr>
              <w:pStyle w:val="TableBody"/>
              <w:keepNext/>
              <w:spacing w:line="220" w:lineRule="atLeast"/>
              <w:rPr>
                <w:rFonts w:cs="Arial"/>
                <w:sz w:val="18"/>
                <w:szCs w:val="18"/>
              </w:rPr>
            </w:pPr>
            <w:r w:rsidRPr="00E64F56">
              <w:rPr>
                <w:rFonts w:cs="Arial"/>
                <w:color w:val="000000"/>
                <w:sz w:val="18"/>
                <w:szCs w:val="18"/>
              </w:rPr>
              <w:t xml:space="preserve">Operations cease by </w:t>
            </w:r>
            <w:r w:rsidR="005C7F00">
              <w:rPr>
                <w:rFonts w:cs="Arial"/>
                <w:color w:val="000000"/>
                <w:sz w:val="18"/>
                <w:szCs w:val="18"/>
              </w:rPr>
              <w:t>28</w:t>
            </w:r>
            <w:r w:rsidR="005C7F00">
              <w:t xml:space="preserve"> </w:t>
            </w:r>
            <w:r w:rsidR="005C7F00" w:rsidRPr="005C7F00">
              <w:rPr>
                <w:rFonts w:cs="Arial"/>
                <w:color w:val="000000"/>
                <w:sz w:val="18"/>
                <w:szCs w:val="18"/>
              </w:rPr>
              <w:t>February</w:t>
            </w:r>
            <w:r w:rsidRPr="00E64F56">
              <w:rPr>
                <w:rFonts w:cs="Arial"/>
                <w:color w:val="000000"/>
                <w:sz w:val="18"/>
                <w:szCs w:val="18"/>
              </w:rPr>
              <w:t xml:space="preserve"> 2026</w:t>
            </w:r>
            <w:r w:rsidR="00C60A71">
              <w:rPr>
                <w:rFonts w:cs="Arial"/>
                <w:color w:val="000000"/>
                <w:sz w:val="18"/>
                <w:szCs w:val="18"/>
              </w:rPr>
              <w:t>,</w:t>
            </w:r>
            <w:r w:rsidR="00C60A71">
              <w:rPr>
                <w:rFonts w:cs="Arial"/>
                <w:color w:val="000000"/>
                <w:sz w:val="18"/>
                <w:szCs w:val="18"/>
              </w:rPr>
              <w:br/>
              <w:t>pr</w:t>
            </w:r>
            <w:r w:rsidRPr="00E64F56">
              <w:rPr>
                <w:rFonts w:cs="Arial"/>
                <w:sz w:val="18"/>
                <w:szCs w:val="18"/>
              </w:rPr>
              <w:t>otected from narrowband MSS</w:t>
            </w:r>
            <w:r w:rsidR="00C60A71">
              <w:rPr>
                <w:rFonts w:cs="Arial"/>
                <w:sz w:val="18"/>
                <w:szCs w:val="18"/>
              </w:rPr>
              <w:t xml:space="preserve"> until then</w:t>
            </w:r>
            <w:r w:rsidR="00194FFF">
              <w:rPr>
                <w:rFonts w:cs="Arial"/>
                <w:sz w:val="18"/>
                <w:szCs w:val="18"/>
              </w:rPr>
              <w:t>.</w:t>
            </w:r>
          </w:p>
        </w:tc>
      </w:tr>
      <w:tr w:rsidR="008852BA" w:rsidRPr="00E64F56" w14:paraId="2C5F024F" w14:textId="77777777" w:rsidTr="007A66D8">
        <w:trPr>
          <w:cnfStyle w:val="000000010000" w:firstRow="0" w:lastRow="0" w:firstColumn="0" w:lastColumn="0" w:oddVBand="0" w:evenVBand="0" w:oddHBand="0" w:evenHBand="1" w:firstRowFirstColumn="0" w:firstRowLastColumn="0" w:lastRowFirstColumn="0" w:lastRowLastColumn="0"/>
        </w:trPr>
        <w:tc>
          <w:tcPr>
            <w:tcW w:w="1015" w:type="pct"/>
            <w:vMerge/>
            <w:shd w:val="clear" w:color="auto" w:fill="D9D9D9" w:themeFill="background1" w:themeFillShade="D9"/>
            <w:tcMar>
              <w:top w:w="57" w:type="dxa"/>
              <w:bottom w:w="57" w:type="dxa"/>
            </w:tcMar>
          </w:tcPr>
          <w:p w14:paraId="0306EDAB" w14:textId="283386D9" w:rsidR="008852BA" w:rsidRPr="00E64F56" w:rsidRDefault="008852BA" w:rsidP="009F7DBD">
            <w:pPr>
              <w:pStyle w:val="TableBody"/>
              <w:keepNext/>
              <w:spacing w:line="220" w:lineRule="atLeast"/>
              <w:rPr>
                <w:rFonts w:cs="Arial"/>
                <w:sz w:val="18"/>
                <w:szCs w:val="18"/>
              </w:rPr>
            </w:pPr>
          </w:p>
        </w:tc>
        <w:tc>
          <w:tcPr>
            <w:tcW w:w="1480" w:type="pct"/>
            <w:tcMar>
              <w:top w:w="57" w:type="dxa"/>
              <w:bottom w:w="57" w:type="dxa"/>
            </w:tcMar>
          </w:tcPr>
          <w:p w14:paraId="3BD85884" w14:textId="5C919103" w:rsidR="008852BA" w:rsidRPr="00E64F56" w:rsidRDefault="0010483F" w:rsidP="009F7DBD">
            <w:pPr>
              <w:pStyle w:val="TableBody"/>
              <w:keepNext/>
              <w:spacing w:line="220" w:lineRule="atLeast"/>
              <w:rPr>
                <w:rFonts w:cs="Arial"/>
                <w:sz w:val="18"/>
                <w:szCs w:val="18"/>
              </w:rPr>
            </w:pPr>
            <w:r>
              <w:rPr>
                <w:rFonts w:cs="Arial"/>
                <w:sz w:val="18"/>
                <w:szCs w:val="18"/>
              </w:rPr>
              <w:t xml:space="preserve">Narrowband </w:t>
            </w:r>
            <w:r w:rsidR="00F622E5" w:rsidRPr="00E64F56">
              <w:rPr>
                <w:rFonts w:cs="Arial"/>
                <w:sz w:val="18"/>
                <w:szCs w:val="18"/>
              </w:rPr>
              <w:t>MSS</w:t>
            </w:r>
          </w:p>
        </w:tc>
        <w:tc>
          <w:tcPr>
            <w:tcW w:w="2505" w:type="pct"/>
            <w:tcMar>
              <w:top w:w="57" w:type="dxa"/>
              <w:bottom w:w="57" w:type="dxa"/>
            </w:tcMar>
          </w:tcPr>
          <w:p w14:paraId="75C89DEA" w14:textId="25F5B733" w:rsidR="008852BA" w:rsidRPr="00E64F56" w:rsidRDefault="008852BA" w:rsidP="009F7DBD">
            <w:pPr>
              <w:pStyle w:val="TableBody"/>
              <w:keepNext/>
              <w:spacing w:line="220" w:lineRule="atLeast"/>
              <w:rPr>
                <w:rFonts w:cs="Arial"/>
                <w:sz w:val="18"/>
                <w:szCs w:val="18"/>
              </w:rPr>
            </w:pPr>
            <w:r w:rsidRPr="00E64F56">
              <w:rPr>
                <w:rFonts w:cs="Arial"/>
                <w:color w:val="000000"/>
                <w:sz w:val="18"/>
                <w:szCs w:val="18"/>
              </w:rPr>
              <w:t>Operations not to commence until 1 March 2026</w:t>
            </w:r>
            <w:r w:rsidR="00194FFF">
              <w:rPr>
                <w:rFonts w:cs="Arial"/>
                <w:color w:val="000000"/>
                <w:sz w:val="18"/>
                <w:szCs w:val="18"/>
              </w:rPr>
              <w:t>.</w:t>
            </w:r>
          </w:p>
        </w:tc>
      </w:tr>
      <w:tr w:rsidR="00080199" w:rsidRPr="00E64F56" w14:paraId="797022A3" w14:textId="77777777" w:rsidTr="007A66D8">
        <w:trPr>
          <w:cnfStyle w:val="000000100000" w:firstRow="0" w:lastRow="0" w:firstColumn="0" w:lastColumn="0" w:oddVBand="0" w:evenVBand="0" w:oddHBand="1" w:evenHBand="0" w:firstRowFirstColumn="0" w:firstRowLastColumn="0" w:lastRowFirstColumn="0" w:lastRowLastColumn="0"/>
        </w:trPr>
        <w:tc>
          <w:tcPr>
            <w:tcW w:w="1015" w:type="pct"/>
            <w:vMerge/>
            <w:shd w:val="clear" w:color="auto" w:fill="D9D9D9" w:themeFill="background1" w:themeFillShade="D9"/>
            <w:tcMar>
              <w:top w:w="57" w:type="dxa"/>
              <w:bottom w:w="57" w:type="dxa"/>
            </w:tcMar>
          </w:tcPr>
          <w:p w14:paraId="53A6D575" w14:textId="77777777" w:rsidR="00080199" w:rsidRPr="00E64F56" w:rsidRDefault="00080199" w:rsidP="009F7DBD">
            <w:pPr>
              <w:pStyle w:val="TableBody"/>
              <w:keepNext/>
              <w:spacing w:line="220" w:lineRule="atLeast"/>
              <w:rPr>
                <w:rFonts w:cs="Arial"/>
                <w:sz w:val="18"/>
                <w:szCs w:val="18"/>
              </w:rPr>
            </w:pPr>
          </w:p>
        </w:tc>
        <w:tc>
          <w:tcPr>
            <w:tcW w:w="1480" w:type="pct"/>
            <w:tcMar>
              <w:top w:w="57" w:type="dxa"/>
              <w:bottom w:w="57" w:type="dxa"/>
            </w:tcMar>
          </w:tcPr>
          <w:p w14:paraId="4257C391" w14:textId="7918ECF2" w:rsidR="00080199" w:rsidRDefault="00080199" w:rsidP="009F7DBD">
            <w:pPr>
              <w:pStyle w:val="TableBody"/>
              <w:keepNext/>
              <w:spacing w:line="220" w:lineRule="atLeast"/>
              <w:rPr>
                <w:rFonts w:cs="Arial"/>
                <w:sz w:val="18"/>
                <w:szCs w:val="18"/>
              </w:rPr>
            </w:pPr>
            <w:r>
              <w:rPr>
                <w:rFonts w:cs="Arial"/>
                <w:sz w:val="18"/>
                <w:szCs w:val="18"/>
              </w:rPr>
              <w:t>MSS</w:t>
            </w:r>
            <w:r w:rsidR="00CC735A">
              <w:rPr>
                <w:rFonts w:cs="Arial"/>
                <w:sz w:val="18"/>
                <w:szCs w:val="18"/>
              </w:rPr>
              <w:t xml:space="preserve"> (</w:t>
            </w:r>
            <w:r w:rsidR="0059398C">
              <w:rPr>
                <w:rFonts w:cs="Arial"/>
                <w:sz w:val="18"/>
                <w:szCs w:val="18"/>
              </w:rPr>
              <w:t>2</w:t>
            </w:r>
            <w:r w:rsidR="00285997">
              <w:rPr>
                <w:rFonts w:cs="Arial"/>
                <w:sz w:val="18"/>
                <w:szCs w:val="18"/>
              </w:rPr>
              <w:t xml:space="preserve"> </w:t>
            </w:r>
            <w:r w:rsidR="0059398C">
              <w:rPr>
                <w:rFonts w:cs="Arial"/>
                <w:sz w:val="18"/>
                <w:szCs w:val="18"/>
              </w:rPr>
              <w:t>x</w:t>
            </w:r>
            <w:r w:rsidR="00285997">
              <w:rPr>
                <w:rFonts w:cs="Arial"/>
                <w:sz w:val="18"/>
                <w:szCs w:val="18"/>
              </w:rPr>
              <w:t xml:space="preserve"> </w:t>
            </w:r>
            <w:r w:rsidR="0059398C">
              <w:rPr>
                <w:rFonts w:cs="Arial"/>
                <w:sz w:val="18"/>
                <w:szCs w:val="18"/>
              </w:rPr>
              <w:t>25</w:t>
            </w:r>
            <w:r w:rsidR="00CC735A">
              <w:rPr>
                <w:rFonts w:cs="Arial"/>
                <w:sz w:val="18"/>
                <w:szCs w:val="18"/>
              </w:rPr>
              <w:t xml:space="preserve"> MHz)</w:t>
            </w:r>
          </w:p>
        </w:tc>
        <w:tc>
          <w:tcPr>
            <w:tcW w:w="2505" w:type="pct"/>
            <w:tcMar>
              <w:top w:w="57" w:type="dxa"/>
              <w:bottom w:w="57" w:type="dxa"/>
            </w:tcMar>
          </w:tcPr>
          <w:p w14:paraId="3BF67841" w14:textId="28F5BC27" w:rsidR="00080199" w:rsidRPr="00E64F56" w:rsidRDefault="00E74272" w:rsidP="009F7DBD">
            <w:pPr>
              <w:pStyle w:val="TableBody"/>
              <w:keepNext/>
              <w:spacing w:line="220" w:lineRule="atLeast"/>
              <w:rPr>
                <w:rFonts w:cs="Arial"/>
                <w:color w:val="000000"/>
                <w:sz w:val="18"/>
                <w:szCs w:val="18"/>
              </w:rPr>
            </w:pPr>
            <w:r>
              <w:rPr>
                <w:color w:val="000000"/>
                <w:sz w:val="18"/>
                <w:szCs w:val="18"/>
              </w:rPr>
              <w:t>Licence</w:t>
            </w:r>
            <w:r w:rsidR="00116831">
              <w:rPr>
                <w:color w:val="000000"/>
                <w:sz w:val="18"/>
                <w:szCs w:val="18"/>
              </w:rPr>
              <w:t xml:space="preserve"> </w:t>
            </w:r>
            <w:r w:rsidR="0059398C">
              <w:rPr>
                <w:color w:val="000000"/>
                <w:sz w:val="18"/>
                <w:szCs w:val="18"/>
              </w:rPr>
              <w:t>allocation</w:t>
            </w:r>
            <w:r w:rsidR="00116831">
              <w:rPr>
                <w:color w:val="000000"/>
                <w:sz w:val="18"/>
                <w:szCs w:val="18"/>
              </w:rPr>
              <w:t xml:space="preserve"> arrangements to be determined</w:t>
            </w:r>
            <w:r w:rsidR="00B43A7E">
              <w:rPr>
                <w:color w:val="000000"/>
                <w:sz w:val="18"/>
                <w:szCs w:val="18"/>
              </w:rPr>
              <w:t>.</w:t>
            </w:r>
            <w:r w:rsidR="0059398C">
              <w:rPr>
                <w:color w:val="000000"/>
                <w:sz w:val="18"/>
                <w:szCs w:val="18"/>
              </w:rPr>
              <w:t xml:space="preserve"> </w:t>
            </w:r>
            <w:r w:rsidR="00B43A7E">
              <w:rPr>
                <w:color w:val="000000"/>
                <w:sz w:val="18"/>
                <w:szCs w:val="18"/>
              </w:rPr>
              <w:t>O</w:t>
            </w:r>
            <w:r w:rsidR="0059398C">
              <w:rPr>
                <w:color w:val="000000"/>
                <w:sz w:val="18"/>
                <w:szCs w:val="18"/>
              </w:rPr>
              <w:t>perations</w:t>
            </w:r>
            <w:r w:rsidR="0097664F">
              <w:rPr>
                <w:color w:val="000000"/>
                <w:sz w:val="18"/>
                <w:szCs w:val="18"/>
              </w:rPr>
              <w:t xml:space="preserve"> not to commence until 1 March 2026</w:t>
            </w:r>
            <w:r w:rsidR="00CF5842">
              <w:rPr>
                <w:color w:val="000000"/>
                <w:sz w:val="18"/>
                <w:szCs w:val="18"/>
              </w:rPr>
              <w:t>.</w:t>
            </w:r>
          </w:p>
        </w:tc>
      </w:tr>
      <w:tr w:rsidR="008852BA" w:rsidRPr="00E64F56" w14:paraId="4CD81013" w14:textId="77777777" w:rsidTr="007A66D8">
        <w:trPr>
          <w:cnfStyle w:val="000000010000" w:firstRow="0" w:lastRow="0" w:firstColumn="0" w:lastColumn="0" w:oddVBand="0" w:evenVBand="0" w:oddHBand="0" w:evenHBand="1" w:firstRowFirstColumn="0" w:firstRowLastColumn="0" w:lastRowFirstColumn="0" w:lastRowLastColumn="0"/>
        </w:trPr>
        <w:tc>
          <w:tcPr>
            <w:tcW w:w="1015" w:type="pct"/>
            <w:vMerge w:val="restart"/>
            <w:shd w:val="clear" w:color="auto" w:fill="D9D9D9" w:themeFill="background1" w:themeFillShade="D9"/>
            <w:tcMar>
              <w:top w:w="57" w:type="dxa"/>
              <w:bottom w:w="57" w:type="dxa"/>
            </w:tcMar>
          </w:tcPr>
          <w:p w14:paraId="54B5D98F" w14:textId="77777777" w:rsidR="000A0898" w:rsidRPr="00360133" w:rsidRDefault="000A0898" w:rsidP="009F7DBD">
            <w:pPr>
              <w:pStyle w:val="TableBody"/>
              <w:spacing w:line="220" w:lineRule="atLeast"/>
              <w:rPr>
                <w:rFonts w:cs="Arial"/>
                <w:b/>
                <w:bCs/>
                <w:sz w:val="18"/>
                <w:szCs w:val="18"/>
              </w:rPr>
            </w:pPr>
            <w:r w:rsidRPr="00360133">
              <w:rPr>
                <w:rFonts w:cs="Arial"/>
                <w:b/>
                <w:bCs/>
                <w:sz w:val="18"/>
                <w:szCs w:val="18"/>
              </w:rPr>
              <w:t xml:space="preserve">Outside metropolitan areas and outside </w:t>
            </w:r>
            <w:r w:rsidRPr="00360133">
              <w:rPr>
                <w:rFonts w:cs="Arial"/>
                <w:b/>
                <w:bCs/>
                <w:color w:val="000000"/>
                <w:sz w:val="18"/>
                <w:szCs w:val="18"/>
              </w:rPr>
              <w:t>designated areas</w:t>
            </w:r>
          </w:p>
          <w:p w14:paraId="53E8648B" w14:textId="07B6082E" w:rsidR="008852BA" w:rsidRPr="00E64F56" w:rsidRDefault="008852BA" w:rsidP="009F7DBD">
            <w:pPr>
              <w:pStyle w:val="TableBody"/>
              <w:spacing w:line="220" w:lineRule="atLeast"/>
              <w:rPr>
                <w:rFonts w:cs="Arial"/>
                <w:sz w:val="18"/>
                <w:szCs w:val="18"/>
              </w:rPr>
            </w:pPr>
          </w:p>
        </w:tc>
        <w:tc>
          <w:tcPr>
            <w:tcW w:w="1480" w:type="pct"/>
            <w:tcMar>
              <w:top w:w="57" w:type="dxa"/>
              <w:bottom w:w="57" w:type="dxa"/>
            </w:tcMar>
          </w:tcPr>
          <w:p w14:paraId="15660C27" w14:textId="77777777" w:rsidR="008852BA" w:rsidRPr="00E64F56" w:rsidRDefault="008852BA" w:rsidP="009F7DBD">
            <w:pPr>
              <w:pStyle w:val="TableBody"/>
              <w:spacing w:line="220" w:lineRule="atLeast"/>
              <w:rPr>
                <w:rFonts w:cs="Arial"/>
                <w:sz w:val="18"/>
                <w:szCs w:val="18"/>
              </w:rPr>
            </w:pPr>
            <w:r w:rsidRPr="00E64F56">
              <w:rPr>
                <w:rFonts w:cs="Arial"/>
                <w:sz w:val="18"/>
                <w:szCs w:val="18"/>
              </w:rPr>
              <w:t>TOB</w:t>
            </w:r>
          </w:p>
        </w:tc>
        <w:tc>
          <w:tcPr>
            <w:tcW w:w="2505" w:type="pct"/>
            <w:tcMar>
              <w:top w:w="57" w:type="dxa"/>
              <w:bottom w:w="57" w:type="dxa"/>
            </w:tcMar>
          </w:tcPr>
          <w:p w14:paraId="06ECFDFA" w14:textId="694878C4" w:rsidR="008852BA" w:rsidRPr="00E64F56" w:rsidRDefault="008852BA" w:rsidP="009F7DBD">
            <w:pPr>
              <w:pStyle w:val="TableBody"/>
              <w:spacing w:line="220" w:lineRule="atLeast"/>
              <w:rPr>
                <w:rFonts w:cs="Arial"/>
                <w:sz w:val="18"/>
                <w:szCs w:val="18"/>
              </w:rPr>
            </w:pPr>
            <w:r w:rsidRPr="00E64F56">
              <w:rPr>
                <w:rFonts w:cs="Arial"/>
                <w:sz w:val="18"/>
                <w:szCs w:val="18"/>
              </w:rPr>
              <w:t xml:space="preserve">Operations cease by </w:t>
            </w:r>
            <w:r w:rsidR="005C7F00">
              <w:rPr>
                <w:rFonts w:cs="Arial"/>
                <w:sz w:val="18"/>
                <w:szCs w:val="18"/>
              </w:rPr>
              <w:t>29</w:t>
            </w:r>
            <w:r w:rsidR="005C7F00">
              <w:t xml:space="preserve"> </w:t>
            </w:r>
            <w:r w:rsidR="005C7F00" w:rsidRPr="005C7F00">
              <w:rPr>
                <w:rFonts w:cs="Arial"/>
                <w:sz w:val="18"/>
                <w:szCs w:val="18"/>
              </w:rPr>
              <w:t>February</w:t>
            </w:r>
            <w:r w:rsidRPr="00E64F56">
              <w:rPr>
                <w:rFonts w:cs="Arial"/>
                <w:sz w:val="18"/>
                <w:szCs w:val="18"/>
              </w:rPr>
              <w:t xml:space="preserve"> 2024, protected from narrowband MSS</w:t>
            </w:r>
            <w:r w:rsidR="003E51BC">
              <w:rPr>
                <w:rFonts w:cs="Arial"/>
                <w:sz w:val="18"/>
                <w:szCs w:val="18"/>
              </w:rPr>
              <w:t xml:space="preserve"> until then</w:t>
            </w:r>
            <w:r w:rsidR="00194FFF">
              <w:rPr>
                <w:rFonts w:cs="Arial"/>
                <w:sz w:val="18"/>
                <w:szCs w:val="18"/>
              </w:rPr>
              <w:t>.</w:t>
            </w:r>
          </w:p>
        </w:tc>
      </w:tr>
      <w:tr w:rsidR="008852BA" w:rsidRPr="00E64F56" w14:paraId="640E2DA7" w14:textId="77777777" w:rsidTr="007A66D8">
        <w:trPr>
          <w:cnfStyle w:val="000000100000" w:firstRow="0" w:lastRow="0" w:firstColumn="0" w:lastColumn="0" w:oddVBand="0" w:evenVBand="0" w:oddHBand="1" w:evenHBand="0" w:firstRowFirstColumn="0" w:firstRowLastColumn="0" w:lastRowFirstColumn="0" w:lastRowLastColumn="0"/>
        </w:trPr>
        <w:tc>
          <w:tcPr>
            <w:tcW w:w="1015" w:type="pct"/>
            <w:vMerge/>
            <w:shd w:val="clear" w:color="auto" w:fill="D9D9D9" w:themeFill="background1" w:themeFillShade="D9"/>
            <w:tcMar>
              <w:top w:w="57" w:type="dxa"/>
              <w:bottom w:w="57" w:type="dxa"/>
            </w:tcMar>
          </w:tcPr>
          <w:p w14:paraId="17ED81D8" w14:textId="614FBC2E" w:rsidR="008852BA" w:rsidRPr="00E64F56" w:rsidRDefault="008852BA" w:rsidP="009F7DBD">
            <w:pPr>
              <w:pStyle w:val="TableBody"/>
              <w:spacing w:line="220" w:lineRule="atLeast"/>
              <w:rPr>
                <w:rFonts w:cs="Arial"/>
                <w:sz w:val="18"/>
                <w:szCs w:val="18"/>
              </w:rPr>
            </w:pPr>
          </w:p>
        </w:tc>
        <w:tc>
          <w:tcPr>
            <w:tcW w:w="1480" w:type="pct"/>
            <w:tcMar>
              <w:top w:w="57" w:type="dxa"/>
              <w:bottom w:w="57" w:type="dxa"/>
            </w:tcMar>
          </w:tcPr>
          <w:p w14:paraId="0D9B0640" w14:textId="5385393B" w:rsidR="008852BA" w:rsidRPr="00E64F56" w:rsidRDefault="0010483F" w:rsidP="009F7DBD">
            <w:pPr>
              <w:pStyle w:val="TableBody"/>
              <w:spacing w:line="220" w:lineRule="atLeast"/>
              <w:rPr>
                <w:rFonts w:cs="Arial"/>
                <w:sz w:val="18"/>
                <w:szCs w:val="18"/>
              </w:rPr>
            </w:pPr>
            <w:r>
              <w:rPr>
                <w:rFonts w:cs="Arial"/>
                <w:sz w:val="18"/>
                <w:szCs w:val="18"/>
              </w:rPr>
              <w:t xml:space="preserve">Narrowband </w:t>
            </w:r>
            <w:r w:rsidR="000A0898" w:rsidRPr="00E64F56">
              <w:rPr>
                <w:rFonts w:cs="Arial"/>
                <w:sz w:val="18"/>
                <w:szCs w:val="18"/>
              </w:rPr>
              <w:t>MSS</w:t>
            </w:r>
          </w:p>
        </w:tc>
        <w:tc>
          <w:tcPr>
            <w:tcW w:w="2505" w:type="pct"/>
            <w:tcMar>
              <w:top w:w="57" w:type="dxa"/>
              <w:bottom w:w="57" w:type="dxa"/>
            </w:tcMar>
          </w:tcPr>
          <w:p w14:paraId="5EFB76E0" w14:textId="00DFD6BE" w:rsidR="008852BA" w:rsidRPr="00E64F56" w:rsidRDefault="008852BA" w:rsidP="009F7DBD">
            <w:pPr>
              <w:pStyle w:val="TableBody"/>
              <w:spacing w:after="120" w:line="220" w:lineRule="atLeast"/>
              <w:rPr>
                <w:rFonts w:cs="Arial"/>
                <w:sz w:val="18"/>
                <w:szCs w:val="18"/>
              </w:rPr>
            </w:pPr>
            <w:r w:rsidRPr="00E64F56">
              <w:rPr>
                <w:rFonts w:cs="Arial"/>
                <w:sz w:val="18"/>
                <w:szCs w:val="18"/>
              </w:rPr>
              <w:t xml:space="preserve">Until </w:t>
            </w:r>
            <w:r w:rsidR="008D2151">
              <w:rPr>
                <w:rFonts w:cs="Arial"/>
                <w:sz w:val="18"/>
                <w:szCs w:val="18"/>
              </w:rPr>
              <w:t>29 February</w:t>
            </w:r>
            <w:r w:rsidRPr="00E64F56">
              <w:rPr>
                <w:rFonts w:cs="Arial"/>
                <w:sz w:val="18"/>
                <w:szCs w:val="18"/>
              </w:rPr>
              <w:t xml:space="preserve"> 2024</w:t>
            </w:r>
            <w:r w:rsidR="00CF5842">
              <w:rPr>
                <w:rFonts w:cs="Arial"/>
                <w:sz w:val="18"/>
                <w:szCs w:val="18"/>
              </w:rPr>
              <w:t>,</w:t>
            </w:r>
            <w:r w:rsidRPr="00E64F56">
              <w:rPr>
                <w:rFonts w:cs="Arial"/>
                <w:sz w:val="18"/>
                <w:szCs w:val="18"/>
              </w:rPr>
              <w:t xml:space="preserve"> operation is on </w:t>
            </w:r>
            <w:r w:rsidR="00CF5842">
              <w:rPr>
                <w:rFonts w:cs="Arial"/>
                <w:sz w:val="18"/>
                <w:szCs w:val="18"/>
              </w:rPr>
              <w:t>the</w:t>
            </w:r>
            <w:r w:rsidRPr="00E64F56">
              <w:rPr>
                <w:rFonts w:cs="Arial"/>
                <w:sz w:val="18"/>
                <w:szCs w:val="18"/>
              </w:rPr>
              <w:t xml:space="preserve"> basis of no protection afford</w:t>
            </w:r>
            <w:r w:rsidR="001638D2">
              <w:rPr>
                <w:rFonts w:cs="Arial"/>
                <w:sz w:val="18"/>
                <w:szCs w:val="18"/>
              </w:rPr>
              <w:t>ed</w:t>
            </w:r>
            <w:r w:rsidRPr="00E64F56">
              <w:rPr>
                <w:rFonts w:cs="Arial"/>
                <w:sz w:val="18"/>
                <w:szCs w:val="18"/>
              </w:rPr>
              <w:t xml:space="preserve"> from TOB and no interference to TOB.</w:t>
            </w:r>
          </w:p>
          <w:p w14:paraId="0BFC2B1A" w14:textId="1A746B44" w:rsidR="008852BA" w:rsidRPr="00E64F56" w:rsidRDefault="00F536E1" w:rsidP="009F7DBD">
            <w:pPr>
              <w:pStyle w:val="TableBody"/>
              <w:spacing w:line="220" w:lineRule="atLeast"/>
              <w:rPr>
                <w:rFonts w:cs="Arial"/>
                <w:sz w:val="18"/>
                <w:szCs w:val="18"/>
              </w:rPr>
            </w:pPr>
            <w:r>
              <w:rPr>
                <w:rFonts w:cs="Arial"/>
                <w:sz w:val="18"/>
                <w:szCs w:val="18"/>
              </w:rPr>
              <w:t>From</w:t>
            </w:r>
            <w:r w:rsidR="008852BA" w:rsidRPr="00E64F56">
              <w:rPr>
                <w:rFonts w:cs="Arial"/>
                <w:sz w:val="18"/>
                <w:szCs w:val="18"/>
              </w:rPr>
              <w:t xml:space="preserve"> 1 March 2024 </w:t>
            </w:r>
            <w:r w:rsidR="00BD2E4B">
              <w:rPr>
                <w:rFonts w:cs="Arial"/>
                <w:sz w:val="18"/>
                <w:szCs w:val="18"/>
              </w:rPr>
              <w:t xml:space="preserve">until </w:t>
            </w:r>
            <w:r>
              <w:rPr>
                <w:rFonts w:cs="Arial"/>
                <w:sz w:val="18"/>
                <w:szCs w:val="18"/>
              </w:rPr>
              <w:t>29 February</w:t>
            </w:r>
            <w:r w:rsidR="00BD2E4B">
              <w:rPr>
                <w:rFonts w:cs="Arial"/>
                <w:sz w:val="18"/>
                <w:szCs w:val="18"/>
              </w:rPr>
              <w:t xml:space="preserve"> 2026,</w:t>
            </w:r>
            <w:r w:rsidR="000A0898" w:rsidRPr="00E64F56">
              <w:rPr>
                <w:rFonts w:cs="Arial"/>
                <w:sz w:val="18"/>
                <w:szCs w:val="18"/>
              </w:rPr>
              <w:t xml:space="preserve"> </w:t>
            </w:r>
            <w:r w:rsidR="008852BA" w:rsidRPr="00E64F56">
              <w:rPr>
                <w:rFonts w:cs="Arial"/>
                <w:sz w:val="18"/>
                <w:szCs w:val="18"/>
              </w:rPr>
              <w:t xml:space="preserve">only TOB services in metropolitan areas and </w:t>
            </w:r>
            <w:r w:rsidR="008852BA" w:rsidRPr="00E64F56">
              <w:rPr>
                <w:rFonts w:cs="Arial"/>
                <w:color w:val="000000"/>
                <w:sz w:val="18"/>
                <w:szCs w:val="18"/>
              </w:rPr>
              <w:t>designated areas require protect</w:t>
            </w:r>
            <w:r w:rsidR="00194FFF">
              <w:rPr>
                <w:rFonts w:cs="Arial"/>
                <w:color w:val="000000"/>
                <w:sz w:val="18"/>
                <w:szCs w:val="18"/>
              </w:rPr>
              <w:t>ion.</w:t>
            </w:r>
          </w:p>
        </w:tc>
      </w:tr>
      <w:tr w:rsidR="007651E2" w:rsidRPr="00E64F56" w14:paraId="719A48DC" w14:textId="77777777" w:rsidTr="007A66D8">
        <w:trPr>
          <w:cnfStyle w:val="000000010000" w:firstRow="0" w:lastRow="0" w:firstColumn="0" w:lastColumn="0" w:oddVBand="0" w:evenVBand="0" w:oddHBand="0" w:evenHBand="1" w:firstRowFirstColumn="0" w:firstRowLastColumn="0" w:lastRowFirstColumn="0" w:lastRowLastColumn="0"/>
        </w:trPr>
        <w:tc>
          <w:tcPr>
            <w:tcW w:w="1015" w:type="pct"/>
            <w:vMerge/>
            <w:shd w:val="clear" w:color="auto" w:fill="D9D9D9" w:themeFill="background1" w:themeFillShade="D9"/>
            <w:tcMar>
              <w:top w:w="57" w:type="dxa"/>
              <w:bottom w:w="57" w:type="dxa"/>
            </w:tcMar>
          </w:tcPr>
          <w:p w14:paraId="402676F6" w14:textId="77777777" w:rsidR="007651E2" w:rsidRPr="00E64F56" w:rsidRDefault="007651E2" w:rsidP="009F7DBD">
            <w:pPr>
              <w:pStyle w:val="TableBody"/>
              <w:spacing w:line="220" w:lineRule="atLeast"/>
              <w:rPr>
                <w:rFonts w:cs="Arial"/>
                <w:sz w:val="18"/>
                <w:szCs w:val="18"/>
              </w:rPr>
            </w:pPr>
          </w:p>
        </w:tc>
        <w:tc>
          <w:tcPr>
            <w:tcW w:w="1480" w:type="pct"/>
            <w:tcMar>
              <w:top w:w="57" w:type="dxa"/>
              <w:bottom w:w="57" w:type="dxa"/>
            </w:tcMar>
          </w:tcPr>
          <w:p w14:paraId="1EAE9236" w14:textId="598BFFDA" w:rsidR="007651E2" w:rsidRDefault="007651E2" w:rsidP="009F7DBD">
            <w:pPr>
              <w:pStyle w:val="TableBody"/>
              <w:spacing w:line="220" w:lineRule="atLeast"/>
              <w:rPr>
                <w:rFonts w:cs="Arial"/>
                <w:sz w:val="18"/>
                <w:szCs w:val="18"/>
              </w:rPr>
            </w:pPr>
            <w:r>
              <w:rPr>
                <w:rFonts w:cs="Arial"/>
                <w:sz w:val="18"/>
                <w:szCs w:val="18"/>
              </w:rPr>
              <w:t>MSS (</w:t>
            </w:r>
            <w:r w:rsidR="0059398C">
              <w:rPr>
                <w:rFonts w:cs="Arial"/>
                <w:sz w:val="18"/>
                <w:szCs w:val="18"/>
              </w:rPr>
              <w:t>2</w:t>
            </w:r>
            <w:r w:rsidR="00285997">
              <w:rPr>
                <w:rFonts w:cs="Arial"/>
                <w:sz w:val="18"/>
                <w:szCs w:val="18"/>
              </w:rPr>
              <w:t xml:space="preserve"> </w:t>
            </w:r>
            <w:r w:rsidR="0059398C">
              <w:rPr>
                <w:rFonts w:cs="Arial"/>
                <w:sz w:val="18"/>
                <w:szCs w:val="18"/>
              </w:rPr>
              <w:t>x</w:t>
            </w:r>
            <w:r w:rsidR="00285997">
              <w:rPr>
                <w:rFonts w:cs="Arial"/>
                <w:sz w:val="18"/>
                <w:szCs w:val="18"/>
              </w:rPr>
              <w:t xml:space="preserve"> </w:t>
            </w:r>
            <w:r w:rsidR="0059398C">
              <w:rPr>
                <w:rFonts w:cs="Arial"/>
                <w:sz w:val="18"/>
                <w:szCs w:val="18"/>
              </w:rPr>
              <w:t>25</w:t>
            </w:r>
            <w:r>
              <w:rPr>
                <w:rFonts w:cs="Arial"/>
                <w:sz w:val="18"/>
                <w:szCs w:val="18"/>
              </w:rPr>
              <w:t xml:space="preserve"> MHz)</w:t>
            </w:r>
          </w:p>
        </w:tc>
        <w:tc>
          <w:tcPr>
            <w:tcW w:w="2505" w:type="pct"/>
            <w:tcMar>
              <w:top w:w="57" w:type="dxa"/>
              <w:bottom w:w="57" w:type="dxa"/>
            </w:tcMar>
          </w:tcPr>
          <w:p w14:paraId="3AB0AFF3" w14:textId="270DD83F" w:rsidR="007651E2" w:rsidRDefault="006B4467" w:rsidP="009F7DBD">
            <w:pPr>
              <w:pStyle w:val="TableBody"/>
              <w:spacing w:after="120" w:line="220" w:lineRule="atLeast"/>
              <w:rPr>
                <w:color w:val="000000"/>
                <w:sz w:val="18"/>
                <w:szCs w:val="18"/>
              </w:rPr>
            </w:pPr>
            <w:r>
              <w:rPr>
                <w:color w:val="000000"/>
                <w:sz w:val="18"/>
                <w:szCs w:val="18"/>
              </w:rPr>
              <w:t xml:space="preserve">Licence </w:t>
            </w:r>
            <w:r w:rsidR="0059398C">
              <w:rPr>
                <w:color w:val="000000"/>
                <w:sz w:val="18"/>
                <w:szCs w:val="18"/>
              </w:rPr>
              <w:t>allocation</w:t>
            </w:r>
            <w:r>
              <w:rPr>
                <w:color w:val="000000"/>
                <w:sz w:val="18"/>
                <w:szCs w:val="18"/>
              </w:rPr>
              <w:t xml:space="preserve"> arrangements to be determined</w:t>
            </w:r>
            <w:r w:rsidR="00285997">
              <w:rPr>
                <w:color w:val="000000"/>
                <w:sz w:val="18"/>
                <w:szCs w:val="18"/>
              </w:rPr>
              <w:t>.</w:t>
            </w:r>
          </w:p>
          <w:p w14:paraId="471A3B31" w14:textId="574CECFB" w:rsidR="008B18AE" w:rsidRPr="00E64F56" w:rsidRDefault="008B18AE" w:rsidP="009F7DBD">
            <w:pPr>
              <w:pStyle w:val="TableBody"/>
              <w:spacing w:after="120" w:line="220" w:lineRule="atLeast"/>
              <w:rPr>
                <w:rFonts w:cs="Arial"/>
                <w:sz w:val="18"/>
                <w:szCs w:val="18"/>
              </w:rPr>
            </w:pPr>
            <w:r w:rsidRPr="00E64F56">
              <w:rPr>
                <w:rFonts w:cs="Arial"/>
                <w:sz w:val="18"/>
                <w:szCs w:val="18"/>
              </w:rPr>
              <w:t xml:space="preserve">Until </w:t>
            </w:r>
            <w:r w:rsidR="00BE680D">
              <w:rPr>
                <w:rFonts w:cs="Arial"/>
                <w:sz w:val="18"/>
                <w:szCs w:val="18"/>
              </w:rPr>
              <w:t>29</w:t>
            </w:r>
            <w:r w:rsidR="0059398C" w:rsidRPr="00E64F56">
              <w:rPr>
                <w:rFonts w:cs="Arial"/>
                <w:sz w:val="18"/>
                <w:szCs w:val="18"/>
              </w:rPr>
              <w:t xml:space="preserve"> </w:t>
            </w:r>
            <w:r w:rsidR="00BE680D">
              <w:rPr>
                <w:rFonts w:cs="Arial"/>
                <w:sz w:val="18"/>
                <w:szCs w:val="18"/>
              </w:rPr>
              <w:t>February</w:t>
            </w:r>
            <w:r w:rsidRPr="00E64F56">
              <w:rPr>
                <w:rFonts w:cs="Arial"/>
                <w:sz w:val="18"/>
                <w:szCs w:val="18"/>
              </w:rPr>
              <w:t xml:space="preserve"> 2024</w:t>
            </w:r>
            <w:r w:rsidR="00285997">
              <w:rPr>
                <w:rFonts w:cs="Arial"/>
                <w:sz w:val="18"/>
                <w:szCs w:val="18"/>
              </w:rPr>
              <w:t>,</w:t>
            </w:r>
            <w:r w:rsidRPr="00E64F56">
              <w:rPr>
                <w:rFonts w:cs="Arial"/>
                <w:sz w:val="18"/>
                <w:szCs w:val="18"/>
              </w:rPr>
              <w:t xml:space="preserve"> operation is on </w:t>
            </w:r>
            <w:r w:rsidR="00285997">
              <w:rPr>
                <w:rFonts w:cs="Arial"/>
                <w:sz w:val="18"/>
                <w:szCs w:val="18"/>
              </w:rPr>
              <w:t>the</w:t>
            </w:r>
            <w:r w:rsidRPr="00E64F56">
              <w:rPr>
                <w:rFonts w:cs="Arial"/>
                <w:sz w:val="18"/>
                <w:szCs w:val="18"/>
              </w:rPr>
              <w:t xml:space="preserve"> basis of no protection afford</w:t>
            </w:r>
            <w:r>
              <w:rPr>
                <w:rFonts w:cs="Arial"/>
                <w:sz w:val="18"/>
                <w:szCs w:val="18"/>
              </w:rPr>
              <w:t>ed</w:t>
            </w:r>
            <w:r w:rsidRPr="00E64F56">
              <w:rPr>
                <w:rFonts w:cs="Arial"/>
                <w:sz w:val="18"/>
                <w:szCs w:val="18"/>
              </w:rPr>
              <w:t xml:space="preserve"> from TOB and no interference to TOB.</w:t>
            </w:r>
          </w:p>
          <w:p w14:paraId="2A2BE91A" w14:textId="59068F8F" w:rsidR="007651E2" w:rsidRPr="00E64F56" w:rsidRDefault="00BE680D" w:rsidP="00360133">
            <w:pPr>
              <w:pStyle w:val="TableBody"/>
              <w:spacing w:line="220" w:lineRule="atLeast"/>
              <w:rPr>
                <w:rFonts w:cs="Arial"/>
                <w:sz w:val="18"/>
                <w:szCs w:val="18"/>
              </w:rPr>
            </w:pPr>
            <w:r>
              <w:rPr>
                <w:rFonts w:cs="Arial"/>
                <w:sz w:val="18"/>
                <w:szCs w:val="18"/>
              </w:rPr>
              <w:t>From</w:t>
            </w:r>
            <w:r w:rsidR="008B18AE" w:rsidRPr="00E64F56">
              <w:rPr>
                <w:rFonts w:cs="Arial"/>
                <w:sz w:val="18"/>
                <w:szCs w:val="18"/>
              </w:rPr>
              <w:t xml:space="preserve"> 1 March 2024 </w:t>
            </w:r>
            <w:r w:rsidR="004131DA">
              <w:rPr>
                <w:rFonts w:cs="Arial"/>
                <w:sz w:val="18"/>
                <w:szCs w:val="18"/>
              </w:rPr>
              <w:t xml:space="preserve">until </w:t>
            </w:r>
            <w:r>
              <w:rPr>
                <w:rFonts w:cs="Arial"/>
                <w:sz w:val="18"/>
                <w:szCs w:val="18"/>
              </w:rPr>
              <w:t xml:space="preserve">28 </w:t>
            </w:r>
            <w:r w:rsidRPr="00BE680D">
              <w:rPr>
                <w:rFonts w:cs="Arial"/>
                <w:sz w:val="18"/>
                <w:szCs w:val="18"/>
              </w:rPr>
              <w:t>February</w:t>
            </w:r>
            <w:r w:rsidR="004131DA">
              <w:rPr>
                <w:rFonts w:cs="Arial"/>
                <w:sz w:val="18"/>
                <w:szCs w:val="18"/>
              </w:rPr>
              <w:t xml:space="preserve"> 2026</w:t>
            </w:r>
            <w:r w:rsidR="00275BB8">
              <w:rPr>
                <w:rFonts w:cs="Arial"/>
                <w:sz w:val="18"/>
                <w:szCs w:val="18"/>
              </w:rPr>
              <w:t>,</w:t>
            </w:r>
            <w:r w:rsidR="004131DA">
              <w:rPr>
                <w:rFonts w:cs="Arial"/>
                <w:sz w:val="18"/>
                <w:szCs w:val="18"/>
              </w:rPr>
              <w:t xml:space="preserve"> </w:t>
            </w:r>
            <w:r w:rsidR="008B18AE" w:rsidRPr="00E64F56">
              <w:rPr>
                <w:rFonts w:cs="Arial"/>
                <w:sz w:val="18"/>
                <w:szCs w:val="18"/>
              </w:rPr>
              <w:t xml:space="preserve">only TOB services in metropolitan areas and </w:t>
            </w:r>
            <w:r w:rsidR="008B18AE" w:rsidRPr="00E64F56">
              <w:rPr>
                <w:rFonts w:cs="Arial"/>
                <w:color w:val="000000"/>
                <w:sz w:val="18"/>
                <w:szCs w:val="18"/>
              </w:rPr>
              <w:t>designated areas require protect</w:t>
            </w:r>
            <w:r w:rsidR="008B18AE">
              <w:rPr>
                <w:rFonts w:cs="Arial"/>
                <w:color w:val="000000"/>
                <w:sz w:val="18"/>
                <w:szCs w:val="18"/>
              </w:rPr>
              <w:t>ion</w:t>
            </w:r>
            <w:r w:rsidR="00275BB8">
              <w:rPr>
                <w:rFonts w:cs="Arial"/>
                <w:color w:val="000000"/>
                <w:sz w:val="18"/>
                <w:szCs w:val="18"/>
              </w:rPr>
              <w:t>.</w:t>
            </w:r>
          </w:p>
        </w:tc>
      </w:tr>
    </w:tbl>
    <w:p w14:paraId="1FD545E1" w14:textId="6313472B" w:rsidR="000D5B2A" w:rsidRPr="00194FFF" w:rsidRDefault="008852BA" w:rsidP="00A63C43">
      <w:pPr>
        <w:pStyle w:val="Tableorfigurenote"/>
        <w:spacing w:before="160" w:after="0"/>
        <w:ind w:left="198" w:hanging="85"/>
      </w:pPr>
      <w:r w:rsidRPr="006407B9">
        <w:rPr>
          <w:vertAlign w:val="superscript"/>
        </w:rPr>
        <w:t>*</w:t>
      </w:r>
      <w:r>
        <w:t xml:space="preserve"> </w:t>
      </w:r>
      <w:r w:rsidR="00B20018">
        <w:t>Coexistence arrangements between 2 GHz MSS and TOB</w:t>
      </w:r>
      <w:r>
        <w:t xml:space="preserve"> in the adjacent band (2010</w:t>
      </w:r>
      <w:r w:rsidR="00275BB8">
        <w:t>–</w:t>
      </w:r>
      <w:r>
        <w:t>2110</w:t>
      </w:r>
      <w:r w:rsidR="00275BB8">
        <w:t xml:space="preserve"> </w:t>
      </w:r>
      <w:r>
        <w:t>/</w:t>
      </w:r>
      <w:r w:rsidR="00275BB8">
        <w:t xml:space="preserve"> </w:t>
      </w:r>
      <w:r>
        <w:t>2200</w:t>
      </w:r>
      <w:r w:rsidR="00275BB8">
        <w:t>–</w:t>
      </w:r>
      <w:r>
        <w:t>2300 MHz)</w:t>
      </w:r>
      <w:r w:rsidR="00B20018">
        <w:t xml:space="preserve"> will be developed </w:t>
      </w:r>
      <w:r w:rsidR="00275BB8">
        <w:t xml:space="preserve">and </w:t>
      </w:r>
      <w:r w:rsidR="00B20018">
        <w:t xml:space="preserve">will include </w:t>
      </w:r>
      <w:r w:rsidDel="00D47429">
        <w:t xml:space="preserve">MSS </w:t>
      </w:r>
      <w:r w:rsidR="00D47429">
        <w:t>operations</w:t>
      </w:r>
      <w:r>
        <w:t xml:space="preserve"> </w:t>
      </w:r>
      <w:r w:rsidR="00B20018">
        <w:t xml:space="preserve">being afforded </w:t>
      </w:r>
      <w:r>
        <w:t xml:space="preserve">no protection from </w:t>
      </w:r>
      <w:r w:rsidR="00B20018">
        <w:t xml:space="preserve">adjacent band </w:t>
      </w:r>
      <w:r>
        <w:t xml:space="preserve">TOB </w:t>
      </w:r>
      <w:r w:rsidR="00B20018">
        <w:t>services</w:t>
      </w:r>
      <w:r>
        <w:t>.</w:t>
      </w:r>
    </w:p>
    <w:p w14:paraId="7CFBA923" w14:textId="044D8C89" w:rsidR="00D4090B" w:rsidRDefault="00804305" w:rsidP="00BD1468">
      <w:pPr>
        <w:pStyle w:val="Heading2"/>
      </w:pPr>
      <w:bookmarkStart w:id="11" w:name="_Toc88819877"/>
      <w:r>
        <w:t xml:space="preserve">Complementary ground component and </w:t>
      </w:r>
      <w:r w:rsidR="009537E4">
        <w:t>direct air-to-ground services</w:t>
      </w:r>
      <w:bookmarkEnd w:id="11"/>
    </w:p>
    <w:p w14:paraId="61EC8569" w14:textId="6379F385" w:rsidR="00883AE9" w:rsidRDefault="00C20AC9" w:rsidP="00F33E3A">
      <w:pPr>
        <w:pStyle w:val="Paragraph"/>
      </w:pPr>
      <w:r>
        <w:t xml:space="preserve">The 2 GHz outcomes paper </w:t>
      </w:r>
      <w:r w:rsidR="00154233">
        <w:t xml:space="preserve">noted that we would </w:t>
      </w:r>
      <w:r w:rsidR="001C5F56">
        <w:t>include arrangements in planning</w:t>
      </w:r>
      <w:r w:rsidR="00154233">
        <w:t xml:space="preserve"> the 2 x 25 MHz MSS segment </w:t>
      </w:r>
      <w:r w:rsidR="001C5F56">
        <w:t>to</w:t>
      </w:r>
      <w:r w:rsidRPr="00C20AC9">
        <w:t xml:space="preserve"> support deployment of a complementary ground component (CGC)</w:t>
      </w:r>
      <w:r w:rsidR="001C5F56">
        <w:t>, i</w:t>
      </w:r>
      <w:r w:rsidRPr="00C20AC9">
        <w:t>ncluding direct air-to-ground communications (DA2GC)</w:t>
      </w:r>
      <w:r w:rsidR="008232BA" w:rsidRPr="008232BA">
        <w:t xml:space="preserve"> </w:t>
      </w:r>
      <w:r w:rsidR="008232BA" w:rsidRPr="00C20AC9">
        <w:t>services</w:t>
      </w:r>
      <w:r w:rsidRPr="00C20AC9">
        <w:t>, where a licensee wishes to supplement its mobile-satellite service</w:t>
      </w:r>
      <w:r w:rsidR="001C5F56">
        <w:t>.</w:t>
      </w:r>
    </w:p>
    <w:p w14:paraId="34CE45C2" w14:textId="6390D8F4" w:rsidR="009976E2" w:rsidRDefault="00F33E3A" w:rsidP="00F33E3A">
      <w:pPr>
        <w:pStyle w:val="Paragraph"/>
      </w:pPr>
      <w:r w:rsidRPr="00F33E3A">
        <w:t xml:space="preserve">At this stage, we have not made provision in the draft 2 GHz MSS band plan to allow for operation of CGC and DA2GC services. </w:t>
      </w:r>
      <w:r w:rsidR="00DA5CE7">
        <w:t>Arrangements for these services</w:t>
      </w:r>
      <w:r w:rsidRPr="00F33E3A">
        <w:t xml:space="preserve"> </w:t>
      </w:r>
      <w:r w:rsidR="00AC7B38">
        <w:t xml:space="preserve">do not </w:t>
      </w:r>
      <w:r w:rsidRPr="00F33E3A">
        <w:t xml:space="preserve">need </w:t>
      </w:r>
      <w:r w:rsidR="00AC7B38">
        <w:t>to</w:t>
      </w:r>
      <w:r w:rsidR="00AC7B38" w:rsidRPr="00F33E3A">
        <w:t xml:space="preserve"> </w:t>
      </w:r>
      <w:r w:rsidRPr="00F33E3A">
        <w:t>be finalised until closer to licence allocation (anticipated around mid-2023)</w:t>
      </w:r>
      <w:r w:rsidR="00DA5CE7">
        <w:t>. W</w:t>
      </w:r>
      <w:r w:rsidRPr="00F33E3A">
        <w:t>e propose to address this in a later update to the band plan to allow for further consideration of the best approach. Since we have not previously implemented planning arrangements for these services, we need to consider</w:t>
      </w:r>
      <w:r w:rsidR="00BF1906">
        <w:t>, among other things,</w:t>
      </w:r>
      <w:r w:rsidRPr="00F33E3A">
        <w:t xml:space="preserve"> whether </w:t>
      </w:r>
      <w:r w:rsidR="00AA2E5C" w:rsidRPr="00AA2E5C">
        <w:t xml:space="preserve">there </w:t>
      </w:r>
      <w:r w:rsidR="0008538B">
        <w:t>should be</w:t>
      </w:r>
      <w:r w:rsidRPr="00F33E3A">
        <w:t xml:space="preserve"> </w:t>
      </w:r>
      <w:r w:rsidR="00AA2E5C" w:rsidRPr="00AA2E5C">
        <w:t xml:space="preserve">any restrictions that allow access </w:t>
      </w:r>
      <w:r w:rsidRPr="00F33E3A">
        <w:t xml:space="preserve">only </w:t>
      </w:r>
      <w:r w:rsidR="00AA2E5C" w:rsidRPr="00AA2E5C">
        <w:t>for</w:t>
      </w:r>
      <w:r w:rsidRPr="00F33E3A">
        <w:t xml:space="preserve"> MSS licensees who have deployed an active satellite service</w:t>
      </w:r>
      <w:r w:rsidR="00501E43">
        <w:t>,</w:t>
      </w:r>
      <w:r w:rsidRPr="00F33E3A">
        <w:t xml:space="preserve"> and whether this is best achieved under a frequency band plan or through the licence allocation process.</w:t>
      </w:r>
    </w:p>
    <w:p w14:paraId="65DFE842" w14:textId="5F7E023E" w:rsidR="00FF50E5" w:rsidRDefault="000304D3" w:rsidP="00A53B2C">
      <w:pPr>
        <w:pStyle w:val="Heading2"/>
      </w:pPr>
      <w:bookmarkStart w:id="12" w:name="_Toc88819878"/>
      <w:r>
        <w:t>Consequential amendments</w:t>
      </w:r>
      <w:r w:rsidR="00A53B2C">
        <w:t xml:space="preserve"> to other spectrum planning arrangements</w:t>
      </w:r>
      <w:bookmarkEnd w:id="12"/>
    </w:p>
    <w:p w14:paraId="1F232FFE" w14:textId="63B78A38" w:rsidR="00FF50E5" w:rsidRDefault="00756679" w:rsidP="00A53B2C">
      <w:pPr>
        <w:pStyle w:val="Paragraph"/>
      </w:pPr>
      <w:r w:rsidRPr="00D77838">
        <w:t>If the band plans are made</w:t>
      </w:r>
      <w:r w:rsidR="00D77838">
        <w:t xml:space="preserve">, </w:t>
      </w:r>
      <w:r w:rsidR="00B44C43" w:rsidRPr="00D77838">
        <w:t>c</w:t>
      </w:r>
      <w:r w:rsidR="00FF50E5" w:rsidRPr="00D77838">
        <w:t xml:space="preserve">onsequential updates </w:t>
      </w:r>
      <w:r w:rsidR="00D77838">
        <w:t xml:space="preserve">will be </w:t>
      </w:r>
      <w:r w:rsidR="00B74425">
        <w:t>made t</w:t>
      </w:r>
      <w:r w:rsidR="00FF50E5" w:rsidRPr="00D77838">
        <w:t xml:space="preserve">o ACMA </w:t>
      </w:r>
      <w:r w:rsidR="000B3493" w:rsidRPr="00D77838">
        <w:t>polic</w:t>
      </w:r>
      <w:r w:rsidR="00393799" w:rsidRPr="00D77838">
        <w:t>ies o</w:t>
      </w:r>
      <w:r w:rsidR="00853E56" w:rsidRPr="00D77838">
        <w:t>n</w:t>
      </w:r>
      <w:r w:rsidR="00393799" w:rsidRPr="00D77838">
        <w:t xml:space="preserve"> </w:t>
      </w:r>
      <w:r w:rsidR="00FF50E5" w:rsidRPr="00D77838">
        <w:t xml:space="preserve">licensing and coordination arrangement </w:t>
      </w:r>
      <w:r w:rsidR="00D77838" w:rsidRPr="00D77838">
        <w:t xml:space="preserve">for </w:t>
      </w:r>
      <w:r w:rsidR="00853E56" w:rsidRPr="00D77838">
        <w:t>service</w:t>
      </w:r>
      <w:r w:rsidR="00D77838" w:rsidRPr="00D77838">
        <w:t>s</w:t>
      </w:r>
      <w:r w:rsidR="00853E56" w:rsidRPr="00D77838">
        <w:t xml:space="preserve"> in the 2 G</w:t>
      </w:r>
      <w:r w:rsidR="001D1141" w:rsidRPr="00D77838">
        <w:t>Hz</w:t>
      </w:r>
      <w:r w:rsidR="00853E56" w:rsidRPr="00D77838">
        <w:t xml:space="preserve"> band</w:t>
      </w:r>
      <w:r w:rsidR="00AC7B38">
        <w:t>,</w:t>
      </w:r>
      <w:r w:rsidR="001D1141" w:rsidRPr="00D77838">
        <w:t xml:space="preserve"> as</w:t>
      </w:r>
      <w:r w:rsidR="00D77838" w:rsidRPr="00D77838">
        <w:t xml:space="preserve"> recorded in </w:t>
      </w:r>
      <w:r w:rsidR="001D1141" w:rsidRPr="00D77838">
        <w:t xml:space="preserve"> </w:t>
      </w:r>
      <w:hyperlink r:id="rId36" w:history="1">
        <w:r w:rsidR="00D77838" w:rsidRPr="00D77838">
          <w:rPr>
            <w:rStyle w:val="Hyperlink"/>
          </w:rPr>
          <w:t>Embargo 23</w:t>
        </w:r>
      </w:hyperlink>
      <w:r w:rsidR="00D77838" w:rsidRPr="00D77838">
        <w:t xml:space="preserve"> and </w:t>
      </w:r>
      <w:hyperlink r:id="rId37" w:history="1">
        <w:r w:rsidR="00D77838" w:rsidRPr="00D77838">
          <w:rPr>
            <w:rStyle w:val="Hyperlink"/>
          </w:rPr>
          <w:t>RALI FX21</w:t>
        </w:r>
      </w:hyperlink>
      <w:r w:rsidR="001960BA" w:rsidRPr="00A41249">
        <w:t>.</w:t>
      </w:r>
    </w:p>
    <w:p w14:paraId="4CA43BE4" w14:textId="2EFE6486" w:rsidR="000731FF" w:rsidRDefault="000731FF" w:rsidP="00BD1468">
      <w:pPr>
        <w:pStyle w:val="Heading1"/>
      </w:pPr>
      <w:bookmarkStart w:id="13" w:name="_Toc88819879"/>
      <w:r>
        <w:lastRenderedPageBreak/>
        <w:t>Revised TOB band plan</w:t>
      </w:r>
      <w:bookmarkEnd w:id="13"/>
    </w:p>
    <w:p w14:paraId="7C4D1733" w14:textId="6FE2ADE4" w:rsidR="00B850AF" w:rsidRDefault="00A92716" w:rsidP="00B850AF">
      <w:pPr>
        <w:pStyle w:val="Paragraph"/>
      </w:pPr>
      <w:r>
        <w:t>The revised TOB band plan deals with the remaining frequencies</w:t>
      </w:r>
      <w:r w:rsidR="002B51CB">
        <w:t xml:space="preserve"> (</w:t>
      </w:r>
      <w:r w:rsidR="002B51CB" w:rsidRPr="007F1A95">
        <w:t>2010–2110 MHz and 2200–2300 MHz</w:t>
      </w:r>
      <w:r w:rsidR="002B51CB">
        <w:t>)</w:t>
      </w:r>
      <w:r>
        <w:t xml:space="preserve"> not covered by the 2 GHz MSS band pla</w:t>
      </w:r>
      <w:r w:rsidR="009C7F7A">
        <w:t>n, which were outside the scope of our review of the 2 GHz band.</w:t>
      </w:r>
    </w:p>
    <w:p w14:paraId="6645E2DA" w14:textId="481554C7" w:rsidR="00BA2D05" w:rsidRDefault="006F1A09" w:rsidP="0079769C">
      <w:pPr>
        <w:pStyle w:val="Paragraphbeforelist"/>
      </w:pPr>
      <w:r>
        <w:t>This pla</w:t>
      </w:r>
      <w:r w:rsidR="00DB2598">
        <w:t xml:space="preserve">n would </w:t>
      </w:r>
      <w:r w:rsidR="005D5CA8">
        <w:t xml:space="preserve">give effect to the same </w:t>
      </w:r>
      <w:r w:rsidR="008250F4">
        <w:t xml:space="preserve">arrangements </w:t>
      </w:r>
      <w:r w:rsidR="00DB2598">
        <w:t xml:space="preserve">for these frequencies </w:t>
      </w:r>
      <w:r w:rsidR="008250F4">
        <w:t xml:space="preserve">as </w:t>
      </w:r>
      <w:r w:rsidR="007C6CE1">
        <w:t xml:space="preserve">are </w:t>
      </w:r>
      <w:r w:rsidR="00EA53E4">
        <w:t xml:space="preserve">specified in </w:t>
      </w:r>
      <w:r w:rsidR="008250F4">
        <w:t>the current TOB band plan</w:t>
      </w:r>
      <w:r w:rsidR="00885414">
        <w:t xml:space="preserve">. While we have not modified the practical effect of the </w:t>
      </w:r>
      <w:r w:rsidR="00654C0C">
        <w:t>revised TOB band plan, it has been updated to reflect contemporary legislative drafting practices.</w:t>
      </w:r>
    </w:p>
    <w:p w14:paraId="216FCE19" w14:textId="77777777" w:rsidR="006D5E4A" w:rsidRDefault="006D5E4A" w:rsidP="0079769C">
      <w:pPr>
        <w:pStyle w:val="Paragraphbeforelist"/>
      </w:pPr>
    </w:p>
    <w:p w14:paraId="0084CB35" w14:textId="17EEA1E1" w:rsidR="00241338" w:rsidRPr="00F25F1A" w:rsidRDefault="00451598" w:rsidP="00F25F1A">
      <w:pPr>
        <w:pStyle w:val="Heading1"/>
      </w:pPr>
      <w:bookmarkStart w:id="14" w:name="_Toc88819880"/>
      <w:r w:rsidRPr="00F25F1A">
        <w:lastRenderedPageBreak/>
        <w:t>Relocation arrangements for TOB services</w:t>
      </w:r>
      <w:bookmarkEnd w:id="14"/>
    </w:p>
    <w:p w14:paraId="4547137B" w14:textId="6082C91F" w:rsidR="00451598" w:rsidRDefault="00451598" w:rsidP="00236F21">
      <w:pPr>
        <w:pStyle w:val="Paragraph"/>
      </w:pPr>
      <w:r w:rsidRPr="00451598">
        <w:t xml:space="preserve">The ACMA considers that the majority of services in the 2 GHz band can be accommodated in the 7.2 GHz </w:t>
      </w:r>
      <w:r w:rsidR="00FD3CF1" w:rsidRPr="00451598">
        <w:t>TOB band</w:t>
      </w:r>
      <w:r w:rsidR="00FD3CF1">
        <w:t xml:space="preserve"> </w:t>
      </w:r>
      <w:r w:rsidRPr="00451598">
        <w:t>(7100–7425 MHz)</w:t>
      </w:r>
      <w:r w:rsidR="00977C68">
        <w:t>,</w:t>
      </w:r>
      <w:r w:rsidRPr="00451598">
        <w:t xml:space="preserve"> which has similar arrangements to the 2 GHz band. The 7.2 GHz band has a number of channels </w:t>
      </w:r>
      <w:r w:rsidR="00AC7B38">
        <w:t>that</w:t>
      </w:r>
      <w:r w:rsidR="00AC7B38" w:rsidRPr="00451598">
        <w:t xml:space="preserve"> </w:t>
      </w:r>
      <w:r w:rsidRPr="00451598">
        <w:t>are specifically identified for shared non-exclusive usage</w:t>
      </w:r>
      <w:r w:rsidR="00977C68">
        <w:t>,</w:t>
      </w:r>
      <w:r w:rsidRPr="00451598">
        <w:t xml:space="preserve"> similar to the arrangements </w:t>
      </w:r>
      <w:r w:rsidR="002C1C7A">
        <w:t>for</w:t>
      </w:r>
      <w:r w:rsidRPr="00451598">
        <w:t xml:space="preserve"> the 2 GHz band. With current arrangements in </w:t>
      </w:r>
      <w:r w:rsidR="00441D6B">
        <w:t xml:space="preserve">the </w:t>
      </w:r>
      <w:r w:rsidRPr="00451598">
        <w:t xml:space="preserve">7.2 GHz </w:t>
      </w:r>
      <w:r w:rsidR="00441D6B">
        <w:t>band</w:t>
      </w:r>
      <w:r w:rsidRPr="00451598">
        <w:t xml:space="preserve"> intended to support analog technologies, </w:t>
      </w:r>
      <w:r w:rsidR="00977C68">
        <w:t>we are reviewing</w:t>
      </w:r>
      <w:r w:rsidRPr="00451598">
        <w:t xml:space="preserve"> channel arrangements to reflect current digital technologies </w:t>
      </w:r>
      <w:r w:rsidR="00657BF6">
        <w:t>in use</w:t>
      </w:r>
      <w:r w:rsidRPr="00451598">
        <w:t xml:space="preserve">. </w:t>
      </w:r>
      <w:r w:rsidR="00977C68">
        <w:t>Our intention is to</w:t>
      </w:r>
      <w:r w:rsidRPr="00451598">
        <w:t xml:space="preserve"> develop a </w:t>
      </w:r>
      <w:r w:rsidR="001B1E50">
        <w:t xml:space="preserve">single </w:t>
      </w:r>
      <w:r w:rsidRPr="00451598">
        <w:t>channel plan that replaces current interleaved channelling arrangements.</w:t>
      </w:r>
    </w:p>
    <w:p w14:paraId="47406D98" w14:textId="5CFC8D40" w:rsidR="009F4AF3" w:rsidRDefault="009F4AF3" w:rsidP="009F4AF3">
      <w:pPr>
        <w:pStyle w:val="Paragraph"/>
      </w:pPr>
      <w:r>
        <w:t xml:space="preserve">Accordingly, we are </w:t>
      </w:r>
      <w:r w:rsidR="00A223DF">
        <w:t xml:space="preserve">developing </w:t>
      </w:r>
      <w:r>
        <w:t xml:space="preserve">changes to planning arrangements in the 7.2 GHz band to prepare for migration of TOB services during the 2 GHz transition period. This involves amendments to </w:t>
      </w:r>
      <w:hyperlink r:id="rId38" w:history="1">
        <w:r w:rsidRPr="005C1C42">
          <w:rPr>
            <w:rStyle w:val="Hyperlink"/>
          </w:rPr>
          <w:t>RALI FX3</w:t>
        </w:r>
      </w:hyperlink>
      <w:r>
        <w:t xml:space="preserve"> by modernising channel arrangements in the 7.2</w:t>
      </w:r>
      <w:r w:rsidR="00A223DF">
        <w:t> </w:t>
      </w:r>
      <w:r>
        <w:t xml:space="preserve">GHz band to accommodate additional TOB use. </w:t>
      </w:r>
    </w:p>
    <w:p w14:paraId="0D7C77C2" w14:textId="7A7C4DE0" w:rsidR="00451598" w:rsidRPr="00B850AF" w:rsidRDefault="00A223DF" w:rsidP="00236F21">
      <w:pPr>
        <w:pStyle w:val="Paragraph"/>
      </w:pPr>
      <w:r>
        <w:t>We expect to commence public</w:t>
      </w:r>
      <w:r w:rsidR="009F4AF3">
        <w:t xml:space="preserve"> consultation </w:t>
      </w:r>
      <w:r>
        <w:t>on</w:t>
      </w:r>
      <w:r w:rsidR="009F4AF3">
        <w:t xml:space="preserve"> proposed amendments to RALI FX3 </w:t>
      </w:r>
      <w:r>
        <w:t>in Q1 2022</w:t>
      </w:r>
      <w:r w:rsidR="009F4AF3">
        <w:t>.</w:t>
      </w:r>
    </w:p>
    <w:p w14:paraId="5B98A0A7" w14:textId="77777777" w:rsidR="006C1631" w:rsidRDefault="006C1631" w:rsidP="006C1631">
      <w:pPr>
        <w:pStyle w:val="Heading1"/>
      </w:pPr>
      <w:bookmarkStart w:id="15" w:name="_Toc88819881"/>
      <w:r>
        <w:lastRenderedPageBreak/>
        <w:t>Invitation to comment</w:t>
      </w:r>
      <w:bookmarkEnd w:id="15"/>
    </w:p>
    <w:p w14:paraId="095813B1" w14:textId="77777777" w:rsidR="006C1631" w:rsidRDefault="006C1631" w:rsidP="006C1631">
      <w:pPr>
        <w:pStyle w:val="Heading2"/>
      </w:pPr>
      <w:bookmarkStart w:id="16" w:name="_Toc433122131"/>
      <w:bookmarkStart w:id="17" w:name="_Toc348105637"/>
      <w:bookmarkStart w:id="18" w:name="_Toc300909556"/>
      <w:bookmarkStart w:id="19" w:name="_Toc298924673"/>
      <w:bookmarkStart w:id="20" w:name="_Toc88819882"/>
      <w:bookmarkStart w:id="21" w:name="_Toc348105638"/>
      <w:bookmarkStart w:id="22" w:name="_Toc300909557"/>
      <w:bookmarkStart w:id="23" w:name="_Toc298924674"/>
      <w:bookmarkStart w:id="24" w:name="_Toc274296357"/>
      <w:r>
        <w:t>Making a submission</w:t>
      </w:r>
      <w:bookmarkEnd w:id="16"/>
      <w:bookmarkEnd w:id="17"/>
      <w:bookmarkEnd w:id="18"/>
      <w:bookmarkEnd w:id="19"/>
      <w:bookmarkEnd w:id="20"/>
    </w:p>
    <w:p w14:paraId="12F82BCB" w14:textId="03068FB0" w:rsidR="006C1631" w:rsidRDefault="006C5FD4" w:rsidP="006C1631">
      <w:r>
        <w:t>We</w:t>
      </w:r>
      <w:r w:rsidR="006C1631">
        <w:t xml:space="preserve"> invite comments on the issues set out in this </w:t>
      </w:r>
      <w:r w:rsidR="002E32A5">
        <w:t>consultation</w:t>
      </w:r>
      <w:r w:rsidR="006C1631">
        <w:t xml:space="preserve"> paper. </w:t>
      </w:r>
    </w:p>
    <w:p w14:paraId="55B4D0F4" w14:textId="77777777" w:rsidR="0070133D" w:rsidRDefault="00DE3472" w:rsidP="0070133D">
      <w:pPr>
        <w:pStyle w:val="Bulletlevel1"/>
      </w:pPr>
      <w:hyperlink r:id="rId39" w:history="1">
        <w:r w:rsidR="0070133D">
          <w:rPr>
            <w:rStyle w:val="Hyperlink"/>
          </w:rPr>
          <w:t>Online submissions</w:t>
        </w:r>
      </w:hyperlink>
      <w:r w:rsidR="0070133D">
        <w:t xml:space="preserve"> can be made by </w:t>
      </w:r>
      <w:r w:rsidR="0070133D" w:rsidRPr="0070133D">
        <w:t>uploading</w:t>
      </w:r>
      <w:r w:rsidR="0070133D">
        <w:t xml:space="preserve"> a document. Submissions in</w:t>
      </w:r>
      <w:r w:rsidR="00396DC2">
        <w:t xml:space="preserve"> PDF, </w:t>
      </w:r>
      <w:r w:rsidR="0070133D">
        <w:t>Microsoft Word or Rich Text Format are preferred.</w:t>
      </w:r>
    </w:p>
    <w:p w14:paraId="14C1020D" w14:textId="77777777" w:rsidR="006C1631" w:rsidRDefault="006C1631" w:rsidP="0070133D">
      <w:pPr>
        <w:pStyle w:val="Bulletlevel1"/>
      </w:pPr>
      <w:r>
        <w:t xml:space="preserve">Submissions by post can be sent to: </w:t>
      </w:r>
    </w:p>
    <w:p w14:paraId="4B78654B" w14:textId="77777777" w:rsidR="006C1631" w:rsidRPr="00A274F2" w:rsidRDefault="006C1631" w:rsidP="006C1631">
      <w:pPr>
        <w:tabs>
          <w:tab w:val="num" w:pos="295"/>
        </w:tabs>
        <w:spacing w:after="0"/>
        <w:ind w:left="295"/>
        <w:rPr>
          <w:szCs w:val="20"/>
        </w:rPr>
      </w:pPr>
      <w:r w:rsidRPr="00A274F2">
        <w:rPr>
          <w:szCs w:val="20"/>
        </w:rPr>
        <w:t>The Manager</w:t>
      </w:r>
    </w:p>
    <w:p w14:paraId="64D2CD67" w14:textId="2A3EA174" w:rsidR="006C1631" w:rsidRPr="00A274F2" w:rsidRDefault="00A274F2" w:rsidP="006C1631">
      <w:pPr>
        <w:spacing w:after="0"/>
        <w:ind w:left="295"/>
        <w:rPr>
          <w:szCs w:val="20"/>
        </w:rPr>
      </w:pPr>
      <w:r w:rsidRPr="00A274F2">
        <w:rPr>
          <w:szCs w:val="20"/>
        </w:rPr>
        <w:t>Space Systems Section</w:t>
      </w:r>
    </w:p>
    <w:p w14:paraId="061EDC7C" w14:textId="77777777" w:rsidR="006C1631" w:rsidRPr="00A274F2" w:rsidRDefault="006C1631" w:rsidP="006C1631">
      <w:pPr>
        <w:spacing w:after="0"/>
        <w:ind w:left="295"/>
        <w:rPr>
          <w:szCs w:val="20"/>
        </w:rPr>
      </w:pPr>
      <w:r w:rsidRPr="00A274F2">
        <w:rPr>
          <w:szCs w:val="20"/>
        </w:rPr>
        <w:t>Australian Communications and Media Authority</w:t>
      </w:r>
    </w:p>
    <w:p w14:paraId="68FD4262" w14:textId="77777777" w:rsidR="006C1631" w:rsidRPr="00A274F2" w:rsidRDefault="006C1631" w:rsidP="006C1631">
      <w:pPr>
        <w:spacing w:after="0"/>
        <w:ind w:left="295"/>
        <w:rPr>
          <w:szCs w:val="20"/>
        </w:rPr>
      </w:pPr>
      <w:r w:rsidRPr="00A274F2">
        <w:rPr>
          <w:szCs w:val="20"/>
        </w:rPr>
        <w:t>PO Box 78</w:t>
      </w:r>
    </w:p>
    <w:p w14:paraId="56E8926D" w14:textId="77777777" w:rsidR="006C1631" w:rsidRDefault="006C1631" w:rsidP="006C1631">
      <w:pPr>
        <w:ind w:left="295"/>
        <w:rPr>
          <w:szCs w:val="20"/>
        </w:rPr>
      </w:pPr>
      <w:r w:rsidRPr="00A274F2">
        <w:rPr>
          <w:szCs w:val="20"/>
        </w:rPr>
        <w:t>Belconnen ACT 2616</w:t>
      </w:r>
    </w:p>
    <w:p w14:paraId="33463DDC" w14:textId="0DE0C80F" w:rsidR="006C1631" w:rsidRDefault="006C1631" w:rsidP="006C1631">
      <w:r>
        <w:t xml:space="preserve">The closing date for submissions is COB, </w:t>
      </w:r>
      <w:r w:rsidR="0090395D">
        <w:rPr>
          <w:b/>
          <w:bCs/>
        </w:rPr>
        <w:t xml:space="preserve">Monday </w:t>
      </w:r>
      <w:r w:rsidR="00EC4D84">
        <w:rPr>
          <w:b/>
          <w:bCs/>
        </w:rPr>
        <w:t>28</w:t>
      </w:r>
      <w:r w:rsidR="0090395D">
        <w:rPr>
          <w:b/>
          <w:bCs/>
        </w:rPr>
        <w:t xml:space="preserve"> </w:t>
      </w:r>
      <w:r w:rsidR="00980979">
        <w:rPr>
          <w:b/>
          <w:bCs/>
        </w:rPr>
        <w:t>February 2022</w:t>
      </w:r>
      <w:r>
        <w:t>.</w:t>
      </w:r>
    </w:p>
    <w:p w14:paraId="28BFE7BB" w14:textId="656B7946" w:rsidR="006C1631" w:rsidRDefault="006C1631" w:rsidP="006C1631">
      <w:pPr>
        <w:rPr>
          <w:szCs w:val="20"/>
        </w:rPr>
      </w:pPr>
      <w:r>
        <w:t xml:space="preserve">Consultation enquiries can be emailed </w:t>
      </w:r>
      <w:r>
        <w:rPr>
          <w:szCs w:val="20"/>
        </w:rPr>
        <w:t xml:space="preserve">to </w:t>
      </w:r>
      <w:hyperlink r:id="rId40" w:history="1">
        <w:r w:rsidR="00366E23" w:rsidRPr="00135B74">
          <w:rPr>
            <w:rStyle w:val="Hyperlink"/>
            <w:szCs w:val="20"/>
          </w:rPr>
          <w:t>satellite.coordination@acma.gov.au</w:t>
        </w:r>
      </w:hyperlink>
      <w:r>
        <w:rPr>
          <w:szCs w:val="20"/>
        </w:rPr>
        <w:t>.</w:t>
      </w:r>
    </w:p>
    <w:p w14:paraId="6529BD5C" w14:textId="77777777" w:rsidR="006C1631" w:rsidRDefault="006C1631" w:rsidP="005B2F0D">
      <w:pPr>
        <w:pStyle w:val="Heading4"/>
      </w:pPr>
      <w:bookmarkStart w:id="25" w:name="_Toc348105639"/>
      <w:bookmarkStart w:id="26" w:name="_Toc300909558"/>
      <w:bookmarkStart w:id="27" w:name="_Hlk59627494"/>
      <w:bookmarkEnd w:id="21"/>
      <w:bookmarkEnd w:id="22"/>
      <w:r>
        <w:t xml:space="preserve">Publication of </w:t>
      </w:r>
      <w:r w:rsidRPr="005B2F0D">
        <w:t>submissions</w:t>
      </w:r>
      <w:bookmarkEnd w:id="23"/>
      <w:bookmarkEnd w:id="24"/>
      <w:bookmarkEnd w:id="25"/>
      <w:bookmarkEnd w:id="26"/>
    </w:p>
    <w:p w14:paraId="0D5256C1" w14:textId="77777777" w:rsidR="006C1631" w:rsidRDefault="006C5FD4" w:rsidP="006C1631">
      <w:bookmarkStart w:id="28" w:name="_Toc348105640"/>
      <w:bookmarkStart w:id="29" w:name="_Toc300909559"/>
      <w:bookmarkStart w:id="30" w:name="_Toc265246234"/>
      <w:r>
        <w:t>We</w:t>
      </w:r>
      <w:r w:rsidR="006C1631">
        <w:t xml:space="preserve"> publish submissions on our website</w:t>
      </w:r>
      <w:r w:rsidR="006C1631">
        <w:rPr>
          <w:rFonts w:cs="Arial"/>
        </w:rPr>
        <w:t>, including personal information (such as names and contact details)</w:t>
      </w:r>
      <w:r w:rsidR="006C1631">
        <w:t xml:space="preserve">, except for information that you have claimed (and we have accepted) is confidential. </w:t>
      </w:r>
    </w:p>
    <w:p w14:paraId="2AD6E5E8" w14:textId="77777777" w:rsidR="006C1631" w:rsidRDefault="006C1631" w:rsidP="006C1631">
      <w:r>
        <w:t>Confidential information will not be published or otherwise released unless required or authorised by law.</w:t>
      </w:r>
    </w:p>
    <w:p w14:paraId="113ECD2D" w14:textId="77777777" w:rsidR="006C1631" w:rsidRDefault="006C1631" w:rsidP="005B2F0D">
      <w:pPr>
        <w:pStyle w:val="Heading4"/>
      </w:pPr>
      <w:r>
        <w:t>Privacy</w:t>
      </w:r>
    </w:p>
    <w:p w14:paraId="3151ED4C" w14:textId="77777777" w:rsidR="006C1631" w:rsidRDefault="00E21056" w:rsidP="005B2F0D">
      <w:pPr>
        <w:pStyle w:val="Paragraph"/>
      </w:pPr>
      <w:r>
        <w:t>View</w:t>
      </w:r>
      <w:r w:rsidR="006C1631">
        <w:t xml:space="preserve"> information about </w:t>
      </w:r>
      <w:r>
        <w:t xml:space="preserve">our policy on the </w:t>
      </w:r>
      <w:hyperlink r:id="rId41" w:history="1">
        <w:r>
          <w:rPr>
            <w:rStyle w:val="Hyperlink"/>
          </w:rPr>
          <w:t>p</w:t>
        </w:r>
        <w:r w:rsidRPr="00E21056">
          <w:rPr>
            <w:rStyle w:val="Hyperlink"/>
          </w:rPr>
          <w:t>ublication of submissions</w:t>
        </w:r>
      </w:hyperlink>
      <w:r>
        <w:t xml:space="preserve">, including </w:t>
      </w:r>
      <w:r w:rsidR="006C1631">
        <w:t>collection of personal information during consultation and how we handle that information</w:t>
      </w:r>
      <w:r>
        <w:t>.</w:t>
      </w:r>
    </w:p>
    <w:bookmarkEnd w:id="28"/>
    <w:bookmarkEnd w:id="29"/>
    <w:bookmarkEnd w:id="30"/>
    <w:p w14:paraId="404BAD23" w14:textId="76D0D990" w:rsidR="00FF3C69" w:rsidRPr="00D8323C" w:rsidRDefault="006C1631" w:rsidP="00D8323C">
      <w:pPr>
        <w:pStyle w:val="Paragraph"/>
      </w:pPr>
      <w:r>
        <w:t xml:space="preserve">Information on the </w:t>
      </w:r>
      <w:r>
        <w:rPr>
          <w:i/>
        </w:rPr>
        <w:t>Privacy Act 1988</w:t>
      </w:r>
      <w:r w:rsidR="006A4CCA">
        <w:rPr>
          <w:i/>
        </w:rPr>
        <w:t xml:space="preserve">, </w:t>
      </w:r>
      <w:r>
        <w:t xml:space="preserve">how to access or correct personal information, how to make a privacy complaint and how we will deal with </w:t>
      </w:r>
      <w:r w:rsidR="006C5FD4">
        <w:t xml:space="preserve">any </w:t>
      </w:r>
      <w:r>
        <w:t>complaint</w:t>
      </w:r>
      <w:r w:rsidR="006C5FD4">
        <w:t>s</w:t>
      </w:r>
      <w:r w:rsidR="00BB6335">
        <w:t>,</w:t>
      </w:r>
      <w:r w:rsidR="00CF0BFE">
        <w:t xml:space="preserve"> </w:t>
      </w:r>
      <w:r>
        <w:t xml:space="preserve">is available </w:t>
      </w:r>
      <w:r w:rsidR="00E21056">
        <w:t xml:space="preserve">in our </w:t>
      </w:r>
      <w:hyperlink r:id="rId42" w:history="1">
        <w:r w:rsidR="00E21056" w:rsidRPr="00E21056">
          <w:rPr>
            <w:rStyle w:val="Hyperlink"/>
          </w:rPr>
          <w:t>privacy policy</w:t>
        </w:r>
      </w:hyperlink>
      <w:r>
        <w:t>.</w:t>
      </w:r>
      <w:r w:rsidR="00A4193E">
        <w:t xml:space="preserve"> </w:t>
      </w:r>
      <w:bookmarkEnd w:id="27"/>
    </w:p>
    <w:sectPr w:rsidR="00FF3C69" w:rsidRPr="00D8323C" w:rsidSect="00C77380">
      <w:headerReference w:type="even" r:id="rId43"/>
      <w:headerReference w:type="default" r:id="rId44"/>
      <w:footerReference w:type="even" r:id="rId45"/>
      <w:footerReference w:type="default" r:id="rId46"/>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51E50" w14:textId="77777777" w:rsidR="001F0204" w:rsidRDefault="001F0204">
      <w:r>
        <w:separator/>
      </w:r>
    </w:p>
  </w:endnote>
  <w:endnote w:type="continuationSeparator" w:id="0">
    <w:p w14:paraId="32261F15" w14:textId="77777777" w:rsidR="001F0204" w:rsidRDefault="001F0204">
      <w:r>
        <w:continuationSeparator/>
      </w:r>
    </w:p>
  </w:endnote>
  <w:endnote w:type="continuationNotice" w:id="1">
    <w:p w14:paraId="74F5EEA2" w14:textId="77777777" w:rsidR="001F0204" w:rsidRDefault="001F02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138D9" w14:textId="77777777" w:rsidR="005E250B" w:rsidRDefault="005E250B" w:rsidP="005E250B">
    <w:pPr>
      <w:pStyle w:val="Footer"/>
      <w:jc w:val="right"/>
    </w:pPr>
    <w:r w:rsidRPr="005E250B">
      <w:rPr>
        <w:noProof/>
        <w:vertAlign w:val="subscript"/>
      </w:rPr>
      <w:drawing>
        <wp:inline distT="0" distB="0" distL="0" distR="0" wp14:anchorId="7BC162E1" wp14:editId="44FB3C5C">
          <wp:extent cx="1066800" cy="277368"/>
          <wp:effectExtent l="0" t="0" r="0" b="0"/>
          <wp:docPr id="4" name="Picture 4"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C4202"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7D67"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AB6B3"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047FB9B6"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0237"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6CDFE380"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F31A"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24EE144C"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25243"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7F5A8903"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1B5E"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7F1AEDAA"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387D5" w14:textId="77777777" w:rsidR="001F0204" w:rsidRDefault="001F0204" w:rsidP="00EA0969">
      <w:pPr>
        <w:spacing w:after="0"/>
      </w:pPr>
      <w:r>
        <w:separator/>
      </w:r>
    </w:p>
  </w:footnote>
  <w:footnote w:type="continuationSeparator" w:id="0">
    <w:p w14:paraId="447F701B" w14:textId="77777777" w:rsidR="001F0204" w:rsidRDefault="001F0204">
      <w:r>
        <w:continuationSeparator/>
      </w:r>
    </w:p>
  </w:footnote>
  <w:footnote w:type="continuationNotice" w:id="1">
    <w:p w14:paraId="5F7EB90E" w14:textId="77777777" w:rsidR="001F0204" w:rsidRDefault="001F0204">
      <w:pPr>
        <w:spacing w:after="0" w:line="240" w:lineRule="auto"/>
      </w:pPr>
    </w:p>
  </w:footnote>
  <w:footnote w:id="2">
    <w:p w14:paraId="52A4F9A3" w14:textId="68ED9BA8" w:rsidR="00C34C8F" w:rsidRPr="00DE525E" w:rsidRDefault="00C34C8F">
      <w:pPr>
        <w:pStyle w:val="FootnoteText"/>
      </w:pPr>
      <w:r>
        <w:rPr>
          <w:rStyle w:val="FootnoteReference"/>
        </w:rPr>
        <w:footnoteRef/>
      </w:r>
      <w:r>
        <w:t xml:space="preserve"> </w:t>
      </w:r>
      <w:r w:rsidRPr="00C34C8F">
        <w:t>Complementary ground component refers to a terrestrial wireless broadband network that is deployed to supplement mobile-satellite coverage. It is also sometimes referred to as</w:t>
      </w:r>
      <w:r w:rsidR="00E27A80">
        <w:t xml:space="preserve"> an</w:t>
      </w:r>
      <w:r w:rsidRPr="00C34C8F">
        <w:t xml:space="preserve"> ancillary terrestrial component.</w:t>
      </w:r>
    </w:p>
  </w:footnote>
  <w:footnote w:id="3">
    <w:p w14:paraId="700F00F3" w14:textId="67A3C51E" w:rsidR="00C34C8F" w:rsidRPr="00DE525E" w:rsidRDefault="00C34C8F">
      <w:pPr>
        <w:pStyle w:val="FootnoteText"/>
      </w:pPr>
      <w:r>
        <w:rPr>
          <w:rStyle w:val="FootnoteReference"/>
        </w:rPr>
        <w:footnoteRef/>
      </w:r>
      <w:r>
        <w:t xml:space="preserve"> </w:t>
      </w:r>
      <w:r w:rsidRPr="00C34C8F">
        <w:t>DA2GC is used for the provision of inflight broadband services and involves a ground-based transmitter communicating to aircraft</w:t>
      </w:r>
      <w:r w:rsidR="00940974">
        <w:t>.</w:t>
      </w:r>
    </w:p>
  </w:footnote>
  <w:footnote w:id="4">
    <w:p w14:paraId="67942F86" w14:textId="52D580EE" w:rsidR="003418EB" w:rsidRDefault="003418EB">
      <w:pPr>
        <w:pStyle w:val="FootnoteText"/>
      </w:pPr>
      <w:r>
        <w:rPr>
          <w:rStyle w:val="FootnoteReference"/>
        </w:rPr>
        <w:footnoteRef/>
      </w:r>
      <w:r>
        <w:t xml:space="preserve"> </w:t>
      </w:r>
      <w:r w:rsidR="00931CF2">
        <w:t>We have</w:t>
      </w:r>
      <w:r>
        <w:t xml:space="preserve"> also made </w:t>
      </w:r>
      <w:r w:rsidR="001D027A">
        <w:t xml:space="preserve">provision </w:t>
      </w:r>
      <w:r>
        <w:t xml:space="preserve">in the </w:t>
      </w:r>
      <w:r w:rsidR="001D027A">
        <w:t xml:space="preserve">draft </w:t>
      </w:r>
      <w:r>
        <w:t>band p</w:t>
      </w:r>
      <w:r w:rsidR="001D027A">
        <w:t>l</w:t>
      </w:r>
      <w:r>
        <w:t xml:space="preserve">an to support in </w:t>
      </w:r>
      <w:r w:rsidR="001D027A">
        <w:t xml:space="preserve">TOB services in certain </w:t>
      </w:r>
      <w:r>
        <w:t>exception</w:t>
      </w:r>
      <w:r w:rsidR="000A0EB0">
        <w:t>al</w:t>
      </w:r>
      <w:r>
        <w:t xml:space="preserve"> circumstances</w:t>
      </w:r>
      <w:r w:rsidR="000A0EB0">
        <w:t>.</w:t>
      </w:r>
    </w:p>
  </w:footnote>
  <w:footnote w:id="5">
    <w:p w14:paraId="041962ED" w14:textId="77777777" w:rsidR="00906FE9" w:rsidRPr="004D37E7" w:rsidRDefault="00906FE9" w:rsidP="00906FE9">
      <w:pPr>
        <w:pStyle w:val="FootnoteText"/>
        <w:rPr>
          <w:rFonts w:cs="Arial"/>
        </w:rPr>
      </w:pPr>
      <w:r w:rsidRPr="004D37E7">
        <w:rPr>
          <w:rStyle w:val="FootnoteReference"/>
          <w:rFonts w:cs="Arial"/>
        </w:rPr>
        <w:footnoteRef/>
      </w:r>
      <w:r w:rsidRPr="004D37E7">
        <w:rPr>
          <w:rFonts w:cs="Arial"/>
        </w:rPr>
        <w:t xml:space="preserve"> There are currently 14 legacy point-to-point links, all of which are licensed to Telstra in remote areas of Australia</w:t>
      </w:r>
      <w:r>
        <w:rPr>
          <w:rFonts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0930" w14:textId="77777777" w:rsidR="00C053A1" w:rsidRPr="00A5474E" w:rsidRDefault="0021426C" w:rsidP="00A5474E">
    <w:pPr>
      <w:pStyle w:val="Header"/>
    </w:pPr>
    <w:r>
      <w:rPr>
        <w:noProof/>
      </w:rPr>
      <w:drawing>
        <wp:inline distT="0" distB="0" distL="0" distR="0" wp14:anchorId="60B68084" wp14:editId="546D2F6E">
          <wp:extent cx="6210300" cy="571134"/>
          <wp:effectExtent l="0" t="0" r="0" b="0"/>
          <wp:docPr id="3" name="Picture 3"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85AF1"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C7553"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E06E7"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2A878758" w14:textId="77777777" w:rsidTr="00870D6E">
      <w:trPr>
        <w:trHeight w:hRule="exact" w:val="988"/>
      </w:trPr>
      <w:tc>
        <w:tcPr>
          <w:tcW w:w="7678" w:type="dxa"/>
          <w:shd w:val="clear" w:color="auto" w:fill="auto"/>
        </w:tcPr>
        <w:p w14:paraId="55DD6C10" w14:textId="77777777" w:rsidR="00971914" w:rsidRDefault="00971914" w:rsidP="00971914">
          <w:pPr>
            <w:pStyle w:val="Header"/>
          </w:pPr>
        </w:p>
      </w:tc>
    </w:tr>
    <w:tr w:rsidR="00971914" w14:paraId="780074EF" w14:textId="77777777" w:rsidTr="00870D6E">
      <w:tc>
        <w:tcPr>
          <w:tcW w:w="7678" w:type="dxa"/>
          <w:shd w:val="clear" w:color="auto" w:fill="auto"/>
        </w:tcPr>
        <w:p w14:paraId="2C5FF32B" w14:textId="77777777" w:rsidR="00971914" w:rsidRDefault="00971914" w:rsidP="00971914">
          <w:pPr>
            <w:pStyle w:val="GridTable31"/>
          </w:pPr>
          <w:r>
            <w:t xml:space="preserve">Contents </w:t>
          </w:r>
          <w:r w:rsidRPr="00915B1C">
            <w:rPr>
              <w:b w:val="0"/>
              <w:spacing w:val="0"/>
              <w:sz w:val="28"/>
              <w:szCs w:val="28"/>
            </w:rPr>
            <w:t>(Continued)</w:t>
          </w:r>
        </w:p>
      </w:tc>
    </w:tr>
    <w:tr w:rsidR="00971914" w14:paraId="5613B09A" w14:textId="77777777" w:rsidTr="00870D6E">
      <w:trPr>
        <w:trHeight w:val="1220"/>
      </w:trPr>
      <w:tc>
        <w:tcPr>
          <w:tcW w:w="7678" w:type="dxa"/>
          <w:shd w:val="clear" w:color="auto" w:fill="auto"/>
        </w:tcPr>
        <w:p w14:paraId="4492FD7E" w14:textId="77777777" w:rsidR="00971914" w:rsidRDefault="00971914" w:rsidP="00971914"/>
      </w:tc>
    </w:tr>
  </w:tbl>
  <w:p w14:paraId="4C6AD804"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0C3F78EB" w14:textId="77777777" w:rsidTr="00870D6E">
      <w:trPr>
        <w:trHeight w:hRule="exact" w:val="988"/>
      </w:trPr>
      <w:tc>
        <w:tcPr>
          <w:tcW w:w="7678" w:type="dxa"/>
          <w:shd w:val="clear" w:color="auto" w:fill="auto"/>
        </w:tcPr>
        <w:p w14:paraId="76433B1B" w14:textId="77777777" w:rsidR="00971914" w:rsidRDefault="00971914" w:rsidP="00971914">
          <w:pPr>
            <w:pStyle w:val="Header"/>
          </w:pPr>
        </w:p>
      </w:tc>
    </w:tr>
    <w:tr w:rsidR="00971914" w14:paraId="1809A42A" w14:textId="77777777" w:rsidTr="00870D6E">
      <w:tc>
        <w:tcPr>
          <w:tcW w:w="7678" w:type="dxa"/>
          <w:shd w:val="clear" w:color="auto" w:fill="auto"/>
        </w:tcPr>
        <w:p w14:paraId="7A0E7774" w14:textId="77777777" w:rsidR="00971914" w:rsidRDefault="00971914" w:rsidP="00971914">
          <w:pPr>
            <w:pStyle w:val="GridTable31"/>
          </w:pPr>
          <w:r>
            <w:t xml:space="preserve">Contents </w:t>
          </w:r>
          <w:r w:rsidRPr="00915B1C">
            <w:rPr>
              <w:b w:val="0"/>
              <w:spacing w:val="0"/>
              <w:sz w:val="28"/>
              <w:szCs w:val="28"/>
            </w:rPr>
            <w:t>(Continued)</w:t>
          </w:r>
        </w:p>
      </w:tc>
    </w:tr>
    <w:tr w:rsidR="00971914" w14:paraId="1E4072C3" w14:textId="77777777" w:rsidTr="00870D6E">
      <w:trPr>
        <w:trHeight w:val="1220"/>
      </w:trPr>
      <w:tc>
        <w:tcPr>
          <w:tcW w:w="7678" w:type="dxa"/>
          <w:shd w:val="clear" w:color="auto" w:fill="auto"/>
        </w:tcPr>
        <w:p w14:paraId="44EB9F06" w14:textId="77777777" w:rsidR="00971914" w:rsidRDefault="00971914" w:rsidP="00971914"/>
      </w:tc>
    </w:tr>
  </w:tbl>
  <w:p w14:paraId="297F648E"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1BABF"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214D"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645ED17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15:restartNumberingAfterBreak="0">
    <w:nsid w:val="2F5A5080"/>
    <w:multiLevelType w:val="hybridMultilevel"/>
    <w:tmpl w:val="BE2AF6CE"/>
    <w:lvl w:ilvl="0" w:tplc="D05E2434">
      <w:start w:val="1"/>
      <w:numFmt w:val="bullet"/>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2F883ADB"/>
    <w:multiLevelType w:val="hybridMultilevel"/>
    <w:tmpl w:val="6876F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670402"/>
    <w:multiLevelType w:val="hybridMultilevel"/>
    <w:tmpl w:val="9CD88AF8"/>
    <w:lvl w:ilvl="0" w:tplc="ADEEFA2E">
      <w:start w:val="1"/>
      <w:numFmt w:val="decimal"/>
      <w:lvlText w:val="%1."/>
      <w:lvlJc w:val="left"/>
      <w:pPr>
        <w:ind w:left="720" w:hanging="360"/>
      </w:pPr>
      <w:rPr>
        <w:rFonts w:ascii="Arial" w:hAnsi="Arial" w:cs="Arial" w:hint="default"/>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6"/>
  </w:num>
  <w:num w:numId="6">
    <w:abstractNumId w:val="12"/>
  </w:num>
  <w:num w:numId="7">
    <w:abstractNumId w:val="9"/>
  </w:num>
  <w:num w:numId="8">
    <w:abstractNumId w:val="11"/>
  </w:num>
  <w:num w:numId="9">
    <w:abstractNumId w:val="13"/>
  </w:num>
  <w:num w:numId="10">
    <w:abstractNumId w:val="5"/>
  </w:num>
  <w:num w:numId="11">
    <w:abstractNumId w:val="4"/>
  </w:num>
  <w:num w:numId="12">
    <w:abstractNumId w:val="3"/>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7"/>
  </w:num>
  <w:num w:numId="17">
    <w:abstractNumId w:val="2"/>
    <w:lvlOverride w:ilvl="0">
      <w:startOverride w:val="1"/>
    </w:lvlOverride>
  </w:num>
  <w:num w:numId="18">
    <w:abstractNumId w:val="3"/>
  </w:num>
  <w:num w:numId="19">
    <w:abstractNumId w:val="10"/>
  </w:num>
  <w:num w:numId="20">
    <w:abstractNumId w:val="3"/>
  </w:num>
  <w:num w:numId="21">
    <w:abstractNumId w:val="3"/>
  </w:num>
  <w:num w:numId="2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9B7"/>
    <w:rsid w:val="00001C10"/>
    <w:rsid w:val="000035BC"/>
    <w:rsid w:val="00003709"/>
    <w:rsid w:val="00003CB8"/>
    <w:rsid w:val="0000648D"/>
    <w:rsid w:val="00007CAE"/>
    <w:rsid w:val="00010585"/>
    <w:rsid w:val="00010667"/>
    <w:rsid w:val="000113A6"/>
    <w:rsid w:val="000113D4"/>
    <w:rsid w:val="00011476"/>
    <w:rsid w:val="00011AE9"/>
    <w:rsid w:val="00011B31"/>
    <w:rsid w:val="000129D5"/>
    <w:rsid w:val="00013CA8"/>
    <w:rsid w:val="00015AE7"/>
    <w:rsid w:val="00016E21"/>
    <w:rsid w:val="0001719C"/>
    <w:rsid w:val="00017467"/>
    <w:rsid w:val="00020303"/>
    <w:rsid w:val="00020C3E"/>
    <w:rsid w:val="000216B5"/>
    <w:rsid w:val="0002224E"/>
    <w:rsid w:val="00023A36"/>
    <w:rsid w:val="000245E5"/>
    <w:rsid w:val="00024BAE"/>
    <w:rsid w:val="00025DAD"/>
    <w:rsid w:val="00026A80"/>
    <w:rsid w:val="00026F91"/>
    <w:rsid w:val="000304D3"/>
    <w:rsid w:val="000323CD"/>
    <w:rsid w:val="00032621"/>
    <w:rsid w:val="000326B3"/>
    <w:rsid w:val="000330AC"/>
    <w:rsid w:val="00034905"/>
    <w:rsid w:val="00036D48"/>
    <w:rsid w:val="00037DFD"/>
    <w:rsid w:val="00040F3C"/>
    <w:rsid w:val="00044312"/>
    <w:rsid w:val="000454F9"/>
    <w:rsid w:val="00047442"/>
    <w:rsid w:val="0004764C"/>
    <w:rsid w:val="0005011A"/>
    <w:rsid w:val="0005045A"/>
    <w:rsid w:val="00051C1E"/>
    <w:rsid w:val="00052ADF"/>
    <w:rsid w:val="0005334A"/>
    <w:rsid w:val="0005343B"/>
    <w:rsid w:val="000539F9"/>
    <w:rsid w:val="00053B06"/>
    <w:rsid w:val="00053D89"/>
    <w:rsid w:val="00053EF6"/>
    <w:rsid w:val="00054C27"/>
    <w:rsid w:val="0005510C"/>
    <w:rsid w:val="00055EC3"/>
    <w:rsid w:val="000563CE"/>
    <w:rsid w:val="000566CB"/>
    <w:rsid w:val="00057CE0"/>
    <w:rsid w:val="0006107B"/>
    <w:rsid w:val="000624B9"/>
    <w:rsid w:val="00065865"/>
    <w:rsid w:val="000659B6"/>
    <w:rsid w:val="0006686F"/>
    <w:rsid w:val="000671AD"/>
    <w:rsid w:val="0006722A"/>
    <w:rsid w:val="000672E1"/>
    <w:rsid w:val="00071943"/>
    <w:rsid w:val="000723DF"/>
    <w:rsid w:val="00072C88"/>
    <w:rsid w:val="00072FEC"/>
    <w:rsid w:val="000731FF"/>
    <w:rsid w:val="000732CF"/>
    <w:rsid w:val="00073D48"/>
    <w:rsid w:val="00075B96"/>
    <w:rsid w:val="00076A8A"/>
    <w:rsid w:val="000770DA"/>
    <w:rsid w:val="00077FE6"/>
    <w:rsid w:val="00080199"/>
    <w:rsid w:val="000809FB"/>
    <w:rsid w:val="00080AFF"/>
    <w:rsid w:val="0008196A"/>
    <w:rsid w:val="0008365F"/>
    <w:rsid w:val="0008535F"/>
    <w:rsid w:val="0008538B"/>
    <w:rsid w:val="00087C7A"/>
    <w:rsid w:val="000915ED"/>
    <w:rsid w:val="00091835"/>
    <w:rsid w:val="00091D5D"/>
    <w:rsid w:val="0009209D"/>
    <w:rsid w:val="0009463C"/>
    <w:rsid w:val="000952D4"/>
    <w:rsid w:val="00095ABD"/>
    <w:rsid w:val="00095AEF"/>
    <w:rsid w:val="000969BD"/>
    <w:rsid w:val="000969BF"/>
    <w:rsid w:val="00096CEF"/>
    <w:rsid w:val="00096F5C"/>
    <w:rsid w:val="000A0898"/>
    <w:rsid w:val="000A0C22"/>
    <w:rsid w:val="000A0EB0"/>
    <w:rsid w:val="000A110B"/>
    <w:rsid w:val="000A1400"/>
    <w:rsid w:val="000A1667"/>
    <w:rsid w:val="000A2DC8"/>
    <w:rsid w:val="000A3C43"/>
    <w:rsid w:val="000A4A51"/>
    <w:rsid w:val="000A4C86"/>
    <w:rsid w:val="000A5D2B"/>
    <w:rsid w:val="000A7F31"/>
    <w:rsid w:val="000B0F4C"/>
    <w:rsid w:val="000B13E0"/>
    <w:rsid w:val="000B1BF4"/>
    <w:rsid w:val="000B2CB9"/>
    <w:rsid w:val="000B33BB"/>
    <w:rsid w:val="000B3493"/>
    <w:rsid w:val="000B4664"/>
    <w:rsid w:val="000B5610"/>
    <w:rsid w:val="000B5DE3"/>
    <w:rsid w:val="000B635E"/>
    <w:rsid w:val="000C0A57"/>
    <w:rsid w:val="000C230C"/>
    <w:rsid w:val="000C35F4"/>
    <w:rsid w:val="000C4658"/>
    <w:rsid w:val="000C6AB4"/>
    <w:rsid w:val="000C7D15"/>
    <w:rsid w:val="000D05D3"/>
    <w:rsid w:val="000D0769"/>
    <w:rsid w:val="000D09FD"/>
    <w:rsid w:val="000D127E"/>
    <w:rsid w:val="000D2EDC"/>
    <w:rsid w:val="000D5B2A"/>
    <w:rsid w:val="000D627A"/>
    <w:rsid w:val="000D71D9"/>
    <w:rsid w:val="000D7474"/>
    <w:rsid w:val="000D76E0"/>
    <w:rsid w:val="000D7E8B"/>
    <w:rsid w:val="000E0013"/>
    <w:rsid w:val="000E01DE"/>
    <w:rsid w:val="000E2108"/>
    <w:rsid w:val="000E3057"/>
    <w:rsid w:val="000E3F0F"/>
    <w:rsid w:val="000E4449"/>
    <w:rsid w:val="000E5565"/>
    <w:rsid w:val="000E6097"/>
    <w:rsid w:val="000F4E5C"/>
    <w:rsid w:val="000F6346"/>
    <w:rsid w:val="000F6D6D"/>
    <w:rsid w:val="000F7AA0"/>
    <w:rsid w:val="00103829"/>
    <w:rsid w:val="00103C8C"/>
    <w:rsid w:val="0010483F"/>
    <w:rsid w:val="00107BE1"/>
    <w:rsid w:val="0011194B"/>
    <w:rsid w:val="00111FCE"/>
    <w:rsid w:val="0011475B"/>
    <w:rsid w:val="00116831"/>
    <w:rsid w:val="001219D9"/>
    <w:rsid w:val="00122054"/>
    <w:rsid w:val="001229A5"/>
    <w:rsid w:val="0012351B"/>
    <w:rsid w:val="00123CE2"/>
    <w:rsid w:val="0012489B"/>
    <w:rsid w:val="00125AB5"/>
    <w:rsid w:val="00125D6C"/>
    <w:rsid w:val="00127016"/>
    <w:rsid w:val="001274F5"/>
    <w:rsid w:val="00130017"/>
    <w:rsid w:val="00130F91"/>
    <w:rsid w:val="001349ED"/>
    <w:rsid w:val="00137424"/>
    <w:rsid w:val="0013789C"/>
    <w:rsid w:val="00140318"/>
    <w:rsid w:val="00140F47"/>
    <w:rsid w:val="00141AD9"/>
    <w:rsid w:val="00142567"/>
    <w:rsid w:val="00143FFF"/>
    <w:rsid w:val="00146CE6"/>
    <w:rsid w:val="00147DB8"/>
    <w:rsid w:val="001511EB"/>
    <w:rsid w:val="0015186F"/>
    <w:rsid w:val="00152903"/>
    <w:rsid w:val="00153829"/>
    <w:rsid w:val="00153FD5"/>
    <w:rsid w:val="00154233"/>
    <w:rsid w:val="00155A82"/>
    <w:rsid w:val="0015614F"/>
    <w:rsid w:val="001577C2"/>
    <w:rsid w:val="00160BC9"/>
    <w:rsid w:val="00160E1E"/>
    <w:rsid w:val="001626F3"/>
    <w:rsid w:val="001633C4"/>
    <w:rsid w:val="001638D2"/>
    <w:rsid w:val="00163FE0"/>
    <w:rsid w:val="00164B85"/>
    <w:rsid w:val="00164DF5"/>
    <w:rsid w:val="0016760E"/>
    <w:rsid w:val="001704D5"/>
    <w:rsid w:val="001712C5"/>
    <w:rsid w:val="00171591"/>
    <w:rsid w:val="00172185"/>
    <w:rsid w:val="00173981"/>
    <w:rsid w:val="001753B7"/>
    <w:rsid w:val="00175A97"/>
    <w:rsid w:val="0017719D"/>
    <w:rsid w:val="001771B3"/>
    <w:rsid w:val="00181E1C"/>
    <w:rsid w:val="001830CD"/>
    <w:rsid w:val="00183205"/>
    <w:rsid w:val="00183A2C"/>
    <w:rsid w:val="00183FD7"/>
    <w:rsid w:val="00184523"/>
    <w:rsid w:val="00184C53"/>
    <w:rsid w:val="00185CAB"/>
    <w:rsid w:val="00186014"/>
    <w:rsid w:val="00186C2F"/>
    <w:rsid w:val="001875B7"/>
    <w:rsid w:val="00187986"/>
    <w:rsid w:val="00187A76"/>
    <w:rsid w:val="00187CB3"/>
    <w:rsid w:val="0019050A"/>
    <w:rsid w:val="001910D4"/>
    <w:rsid w:val="00191EB8"/>
    <w:rsid w:val="00194FFF"/>
    <w:rsid w:val="001960BA"/>
    <w:rsid w:val="00196F5B"/>
    <w:rsid w:val="001976E3"/>
    <w:rsid w:val="001A1167"/>
    <w:rsid w:val="001A1698"/>
    <w:rsid w:val="001A3104"/>
    <w:rsid w:val="001A41BF"/>
    <w:rsid w:val="001A44EC"/>
    <w:rsid w:val="001A49BB"/>
    <w:rsid w:val="001A504E"/>
    <w:rsid w:val="001A51DB"/>
    <w:rsid w:val="001B1E50"/>
    <w:rsid w:val="001B2AFB"/>
    <w:rsid w:val="001B58AA"/>
    <w:rsid w:val="001B6C06"/>
    <w:rsid w:val="001B7BB2"/>
    <w:rsid w:val="001B7E48"/>
    <w:rsid w:val="001C17CE"/>
    <w:rsid w:val="001C25F1"/>
    <w:rsid w:val="001C2BE8"/>
    <w:rsid w:val="001C36CA"/>
    <w:rsid w:val="001C3F60"/>
    <w:rsid w:val="001C44D1"/>
    <w:rsid w:val="001C512D"/>
    <w:rsid w:val="001C5F56"/>
    <w:rsid w:val="001C6AEE"/>
    <w:rsid w:val="001C7630"/>
    <w:rsid w:val="001C7908"/>
    <w:rsid w:val="001C7A3A"/>
    <w:rsid w:val="001D027A"/>
    <w:rsid w:val="001D03A1"/>
    <w:rsid w:val="001D1141"/>
    <w:rsid w:val="001D3144"/>
    <w:rsid w:val="001D3DA2"/>
    <w:rsid w:val="001D4B16"/>
    <w:rsid w:val="001D5E64"/>
    <w:rsid w:val="001D6BA8"/>
    <w:rsid w:val="001D6D15"/>
    <w:rsid w:val="001E04D6"/>
    <w:rsid w:val="001E066C"/>
    <w:rsid w:val="001E1275"/>
    <w:rsid w:val="001E4295"/>
    <w:rsid w:val="001E549E"/>
    <w:rsid w:val="001F0204"/>
    <w:rsid w:val="001F50F7"/>
    <w:rsid w:val="001F64A9"/>
    <w:rsid w:val="001F7558"/>
    <w:rsid w:val="00201234"/>
    <w:rsid w:val="00201EE2"/>
    <w:rsid w:val="00201F77"/>
    <w:rsid w:val="00201FB2"/>
    <w:rsid w:val="0020245A"/>
    <w:rsid w:val="002027DA"/>
    <w:rsid w:val="0020329D"/>
    <w:rsid w:val="00203876"/>
    <w:rsid w:val="00204293"/>
    <w:rsid w:val="00205452"/>
    <w:rsid w:val="00205B57"/>
    <w:rsid w:val="00205DB3"/>
    <w:rsid w:val="0020630E"/>
    <w:rsid w:val="0020693B"/>
    <w:rsid w:val="002075AE"/>
    <w:rsid w:val="00211611"/>
    <w:rsid w:val="00211AC7"/>
    <w:rsid w:val="00212BDE"/>
    <w:rsid w:val="0021426C"/>
    <w:rsid w:val="002157E0"/>
    <w:rsid w:val="00215891"/>
    <w:rsid w:val="00216A57"/>
    <w:rsid w:val="00216C97"/>
    <w:rsid w:val="00216E1A"/>
    <w:rsid w:val="00217448"/>
    <w:rsid w:val="00217F4C"/>
    <w:rsid w:val="0022192A"/>
    <w:rsid w:val="00221B9E"/>
    <w:rsid w:val="0022334F"/>
    <w:rsid w:val="00225814"/>
    <w:rsid w:val="00225930"/>
    <w:rsid w:val="00226819"/>
    <w:rsid w:val="00227041"/>
    <w:rsid w:val="00227AE3"/>
    <w:rsid w:val="00231458"/>
    <w:rsid w:val="00233101"/>
    <w:rsid w:val="00233817"/>
    <w:rsid w:val="00234FB2"/>
    <w:rsid w:val="0023531A"/>
    <w:rsid w:val="00235E77"/>
    <w:rsid w:val="002367FF"/>
    <w:rsid w:val="00236CC9"/>
    <w:rsid w:val="00236F21"/>
    <w:rsid w:val="002376F7"/>
    <w:rsid w:val="00240CE9"/>
    <w:rsid w:val="00241338"/>
    <w:rsid w:val="0024181E"/>
    <w:rsid w:val="00242A35"/>
    <w:rsid w:val="002434BA"/>
    <w:rsid w:val="002435C9"/>
    <w:rsid w:val="00243663"/>
    <w:rsid w:val="002441E9"/>
    <w:rsid w:val="00244D15"/>
    <w:rsid w:val="00245139"/>
    <w:rsid w:val="002452D8"/>
    <w:rsid w:val="00246089"/>
    <w:rsid w:val="00246093"/>
    <w:rsid w:val="00246702"/>
    <w:rsid w:val="00247C59"/>
    <w:rsid w:val="00247EB0"/>
    <w:rsid w:val="00247F2E"/>
    <w:rsid w:val="00250592"/>
    <w:rsid w:val="00250ADC"/>
    <w:rsid w:val="00250B07"/>
    <w:rsid w:val="002510BE"/>
    <w:rsid w:val="00253357"/>
    <w:rsid w:val="0025379A"/>
    <w:rsid w:val="002543DA"/>
    <w:rsid w:val="00257553"/>
    <w:rsid w:val="00257AAD"/>
    <w:rsid w:val="00260316"/>
    <w:rsid w:val="00260FB2"/>
    <w:rsid w:val="00262128"/>
    <w:rsid w:val="00263679"/>
    <w:rsid w:val="00266156"/>
    <w:rsid w:val="0027165D"/>
    <w:rsid w:val="00272E2A"/>
    <w:rsid w:val="00273CEB"/>
    <w:rsid w:val="00274BCE"/>
    <w:rsid w:val="00275BB8"/>
    <w:rsid w:val="00281382"/>
    <w:rsid w:val="00281C89"/>
    <w:rsid w:val="0028282F"/>
    <w:rsid w:val="00282EA5"/>
    <w:rsid w:val="002834E8"/>
    <w:rsid w:val="0028398C"/>
    <w:rsid w:val="00285997"/>
    <w:rsid w:val="00290D17"/>
    <w:rsid w:val="00294764"/>
    <w:rsid w:val="0029593B"/>
    <w:rsid w:val="00296DED"/>
    <w:rsid w:val="00297FC5"/>
    <w:rsid w:val="002A0417"/>
    <w:rsid w:val="002A0DD9"/>
    <w:rsid w:val="002A16D8"/>
    <w:rsid w:val="002A1BC8"/>
    <w:rsid w:val="002A2CD8"/>
    <w:rsid w:val="002A2E0C"/>
    <w:rsid w:val="002A3A3D"/>
    <w:rsid w:val="002A3EF2"/>
    <w:rsid w:val="002A5DEC"/>
    <w:rsid w:val="002B0DED"/>
    <w:rsid w:val="002B1048"/>
    <w:rsid w:val="002B19A2"/>
    <w:rsid w:val="002B34F5"/>
    <w:rsid w:val="002B381A"/>
    <w:rsid w:val="002B4FCC"/>
    <w:rsid w:val="002B51CB"/>
    <w:rsid w:val="002B7408"/>
    <w:rsid w:val="002B7CFD"/>
    <w:rsid w:val="002C0530"/>
    <w:rsid w:val="002C067F"/>
    <w:rsid w:val="002C163C"/>
    <w:rsid w:val="002C1C7A"/>
    <w:rsid w:val="002C210F"/>
    <w:rsid w:val="002C37ED"/>
    <w:rsid w:val="002C4AC3"/>
    <w:rsid w:val="002C5EE4"/>
    <w:rsid w:val="002D03EE"/>
    <w:rsid w:val="002D12CB"/>
    <w:rsid w:val="002D1720"/>
    <w:rsid w:val="002D174E"/>
    <w:rsid w:val="002D19E3"/>
    <w:rsid w:val="002D2DED"/>
    <w:rsid w:val="002D3600"/>
    <w:rsid w:val="002E0E2A"/>
    <w:rsid w:val="002E1AA9"/>
    <w:rsid w:val="002E1C76"/>
    <w:rsid w:val="002E32A5"/>
    <w:rsid w:val="002E3370"/>
    <w:rsid w:val="002E4DDC"/>
    <w:rsid w:val="002E500E"/>
    <w:rsid w:val="002E5020"/>
    <w:rsid w:val="002E5D07"/>
    <w:rsid w:val="002E7CA6"/>
    <w:rsid w:val="002F2E64"/>
    <w:rsid w:val="002F36A2"/>
    <w:rsid w:val="002F4025"/>
    <w:rsid w:val="002F4CCC"/>
    <w:rsid w:val="002F7F17"/>
    <w:rsid w:val="002F7F41"/>
    <w:rsid w:val="00300023"/>
    <w:rsid w:val="00302480"/>
    <w:rsid w:val="00302758"/>
    <w:rsid w:val="00302811"/>
    <w:rsid w:val="00304DA0"/>
    <w:rsid w:val="00305F1B"/>
    <w:rsid w:val="0030620D"/>
    <w:rsid w:val="00307532"/>
    <w:rsid w:val="0031075C"/>
    <w:rsid w:val="00312768"/>
    <w:rsid w:val="003141A2"/>
    <w:rsid w:val="003153EC"/>
    <w:rsid w:val="003165E6"/>
    <w:rsid w:val="00317256"/>
    <w:rsid w:val="003215B5"/>
    <w:rsid w:val="003221CF"/>
    <w:rsid w:val="003233ED"/>
    <w:rsid w:val="00323586"/>
    <w:rsid w:val="00323EFB"/>
    <w:rsid w:val="00324D9F"/>
    <w:rsid w:val="00324F6C"/>
    <w:rsid w:val="003253EE"/>
    <w:rsid w:val="00326894"/>
    <w:rsid w:val="00327948"/>
    <w:rsid w:val="0033000F"/>
    <w:rsid w:val="003306E1"/>
    <w:rsid w:val="00331275"/>
    <w:rsid w:val="00332011"/>
    <w:rsid w:val="00332518"/>
    <w:rsid w:val="00332925"/>
    <w:rsid w:val="00332E3F"/>
    <w:rsid w:val="003332ED"/>
    <w:rsid w:val="00333D72"/>
    <w:rsid w:val="003354BD"/>
    <w:rsid w:val="003368DC"/>
    <w:rsid w:val="00336D8D"/>
    <w:rsid w:val="00340976"/>
    <w:rsid w:val="00340AE7"/>
    <w:rsid w:val="003418EB"/>
    <w:rsid w:val="0034490B"/>
    <w:rsid w:val="00345927"/>
    <w:rsid w:val="00345C9F"/>
    <w:rsid w:val="00346FF5"/>
    <w:rsid w:val="003470A2"/>
    <w:rsid w:val="00347BF8"/>
    <w:rsid w:val="00350584"/>
    <w:rsid w:val="00351857"/>
    <w:rsid w:val="00351E01"/>
    <w:rsid w:val="00352364"/>
    <w:rsid w:val="003545E8"/>
    <w:rsid w:val="00356A80"/>
    <w:rsid w:val="00356C07"/>
    <w:rsid w:val="003577AE"/>
    <w:rsid w:val="00357A1B"/>
    <w:rsid w:val="00360133"/>
    <w:rsid w:val="003610E1"/>
    <w:rsid w:val="00366E23"/>
    <w:rsid w:val="003671BE"/>
    <w:rsid w:val="003702D8"/>
    <w:rsid w:val="003716FF"/>
    <w:rsid w:val="00372485"/>
    <w:rsid w:val="00373200"/>
    <w:rsid w:val="00374E1A"/>
    <w:rsid w:val="00375EF5"/>
    <w:rsid w:val="003767A5"/>
    <w:rsid w:val="00376F12"/>
    <w:rsid w:val="00377C63"/>
    <w:rsid w:val="00381D15"/>
    <w:rsid w:val="00385254"/>
    <w:rsid w:val="00390D91"/>
    <w:rsid w:val="00391105"/>
    <w:rsid w:val="00391F3E"/>
    <w:rsid w:val="00392163"/>
    <w:rsid w:val="003933E8"/>
    <w:rsid w:val="00393799"/>
    <w:rsid w:val="00394031"/>
    <w:rsid w:val="00396DC2"/>
    <w:rsid w:val="00396FA3"/>
    <w:rsid w:val="00397CF1"/>
    <w:rsid w:val="00397CF5"/>
    <w:rsid w:val="003A04DB"/>
    <w:rsid w:val="003A04ED"/>
    <w:rsid w:val="003A5F5B"/>
    <w:rsid w:val="003A7505"/>
    <w:rsid w:val="003A7845"/>
    <w:rsid w:val="003A789A"/>
    <w:rsid w:val="003B0D07"/>
    <w:rsid w:val="003B12EC"/>
    <w:rsid w:val="003B65EA"/>
    <w:rsid w:val="003B6699"/>
    <w:rsid w:val="003B74D9"/>
    <w:rsid w:val="003C03B8"/>
    <w:rsid w:val="003C54F2"/>
    <w:rsid w:val="003C67EF"/>
    <w:rsid w:val="003C6FEC"/>
    <w:rsid w:val="003C77E0"/>
    <w:rsid w:val="003D17D7"/>
    <w:rsid w:val="003D2678"/>
    <w:rsid w:val="003D290C"/>
    <w:rsid w:val="003D2E84"/>
    <w:rsid w:val="003D31F9"/>
    <w:rsid w:val="003D4C31"/>
    <w:rsid w:val="003D71A3"/>
    <w:rsid w:val="003E0291"/>
    <w:rsid w:val="003E036E"/>
    <w:rsid w:val="003E2B8A"/>
    <w:rsid w:val="003E39C4"/>
    <w:rsid w:val="003E4CBB"/>
    <w:rsid w:val="003E51BC"/>
    <w:rsid w:val="003F03D3"/>
    <w:rsid w:val="003F10EE"/>
    <w:rsid w:val="003F16F6"/>
    <w:rsid w:val="003F4A50"/>
    <w:rsid w:val="003F4DC7"/>
    <w:rsid w:val="003F5235"/>
    <w:rsid w:val="003F7C2B"/>
    <w:rsid w:val="00400138"/>
    <w:rsid w:val="0040073B"/>
    <w:rsid w:val="004010AF"/>
    <w:rsid w:val="004027E4"/>
    <w:rsid w:val="0041071D"/>
    <w:rsid w:val="004131DA"/>
    <w:rsid w:val="00414ABE"/>
    <w:rsid w:val="00414AFC"/>
    <w:rsid w:val="004151A7"/>
    <w:rsid w:val="00415310"/>
    <w:rsid w:val="004153B8"/>
    <w:rsid w:val="004164EE"/>
    <w:rsid w:val="004164F6"/>
    <w:rsid w:val="0042005B"/>
    <w:rsid w:val="00420D19"/>
    <w:rsid w:val="00421709"/>
    <w:rsid w:val="00422746"/>
    <w:rsid w:val="004232DE"/>
    <w:rsid w:val="00423763"/>
    <w:rsid w:val="00424874"/>
    <w:rsid w:val="00424F90"/>
    <w:rsid w:val="0042516F"/>
    <w:rsid w:val="0042762F"/>
    <w:rsid w:val="004277D1"/>
    <w:rsid w:val="00427DC7"/>
    <w:rsid w:val="00431613"/>
    <w:rsid w:val="00431782"/>
    <w:rsid w:val="00431792"/>
    <w:rsid w:val="0043273F"/>
    <w:rsid w:val="0043297A"/>
    <w:rsid w:val="00432EB2"/>
    <w:rsid w:val="004358B6"/>
    <w:rsid w:val="00435A15"/>
    <w:rsid w:val="00436001"/>
    <w:rsid w:val="0043714F"/>
    <w:rsid w:val="00440248"/>
    <w:rsid w:val="00441D6B"/>
    <w:rsid w:val="00442512"/>
    <w:rsid w:val="004438B5"/>
    <w:rsid w:val="00443966"/>
    <w:rsid w:val="00447037"/>
    <w:rsid w:val="00447DAB"/>
    <w:rsid w:val="004504DE"/>
    <w:rsid w:val="0045124D"/>
    <w:rsid w:val="00451598"/>
    <w:rsid w:val="004523DD"/>
    <w:rsid w:val="004525FE"/>
    <w:rsid w:val="00453AE3"/>
    <w:rsid w:val="00454596"/>
    <w:rsid w:val="0045605D"/>
    <w:rsid w:val="00457449"/>
    <w:rsid w:val="004603B0"/>
    <w:rsid w:val="00460485"/>
    <w:rsid w:val="0046135B"/>
    <w:rsid w:val="00461D47"/>
    <w:rsid w:val="004624B9"/>
    <w:rsid w:val="00463A76"/>
    <w:rsid w:val="00463FC1"/>
    <w:rsid w:val="00464CBD"/>
    <w:rsid w:val="00465A74"/>
    <w:rsid w:val="00466B97"/>
    <w:rsid w:val="00471276"/>
    <w:rsid w:val="004718CC"/>
    <w:rsid w:val="004724DB"/>
    <w:rsid w:val="00473D15"/>
    <w:rsid w:val="004774F0"/>
    <w:rsid w:val="00481695"/>
    <w:rsid w:val="00482B81"/>
    <w:rsid w:val="00482BBB"/>
    <w:rsid w:val="00482E84"/>
    <w:rsid w:val="0048574A"/>
    <w:rsid w:val="00487BC9"/>
    <w:rsid w:val="00487E75"/>
    <w:rsid w:val="0049076E"/>
    <w:rsid w:val="00492A71"/>
    <w:rsid w:val="00492EFC"/>
    <w:rsid w:val="00494877"/>
    <w:rsid w:val="00494CB8"/>
    <w:rsid w:val="00495A96"/>
    <w:rsid w:val="00495BB3"/>
    <w:rsid w:val="00497416"/>
    <w:rsid w:val="004A0E57"/>
    <w:rsid w:val="004A0EF0"/>
    <w:rsid w:val="004A2976"/>
    <w:rsid w:val="004A4165"/>
    <w:rsid w:val="004A45A0"/>
    <w:rsid w:val="004A56BB"/>
    <w:rsid w:val="004A589C"/>
    <w:rsid w:val="004A70A0"/>
    <w:rsid w:val="004A70D6"/>
    <w:rsid w:val="004B0486"/>
    <w:rsid w:val="004B1751"/>
    <w:rsid w:val="004B3F45"/>
    <w:rsid w:val="004B5A3C"/>
    <w:rsid w:val="004B7207"/>
    <w:rsid w:val="004C0253"/>
    <w:rsid w:val="004C3CF1"/>
    <w:rsid w:val="004C3F9E"/>
    <w:rsid w:val="004C5C94"/>
    <w:rsid w:val="004C6FC2"/>
    <w:rsid w:val="004C70ED"/>
    <w:rsid w:val="004D13DC"/>
    <w:rsid w:val="004D2A52"/>
    <w:rsid w:val="004D39D6"/>
    <w:rsid w:val="004D3A50"/>
    <w:rsid w:val="004D3B81"/>
    <w:rsid w:val="004D3FE3"/>
    <w:rsid w:val="004D54AF"/>
    <w:rsid w:val="004D56FF"/>
    <w:rsid w:val="004D681F"/>
    <w:rsid w:val="004D68BC"/>
    <w:rsid w:val="004D7AF4"/>
    <w:rsid w:val="004E0CE2"/>
    <w:rsid w:val="004E39D3"/>
    <w:rsid w:val="004E4D55"/>
    <w:rsid w:val="004E508A"/>
    <w:rsid w:val="004E616D"/>
    <w:rsid w:val="004E6CBF"/>
    <w:rsid w:val="004E76F6"/>
    <w:rsid w:val="004F1BDE"/>
    <w:rsid w:val="004F2CEE"/>
    <w:rsid w:val="004F4D7E"/>
    <w:rsid w:val="004F556E"/>
    <w:rsid w:val="004F591C"/>
    <w:rsid w:val="004F595C"/>
    <w:rsid w:val="004F7F44"/>
    <w:rsid w:val="00501E43"/>
    <w:rsid w:val="00502364"/>
    <w:rsid w:val="00503555"/>
    <w:rsid w:val="005037B4"/>
    <w:rsid w:val="00503924"/>
    <w:rsid w:val="00507821"/>
    <w:rsid w:val="005079BF"/>
    <w:rsid w:val="00507D79"/>
    <w:rsid w:val="00507E24"/>
    <w:rsid w:val="005101CF"/>
    <w:rsid w:val="005114AD"/>
    <w:rsid w:val="0051269A"/>
    <w:rsid w:val="00512740"/>
    <w:rsid w:val="00512C6E"/>
    <w:rsid w:val="005143AF"/>
    <w:rsid w:val="0052149C"/>
    <w:rsid w:val="005219E7"/>
    <w:rsid w:val="005221E8"/>
    <w:rsid w:val="00523367"/>
    <w:rsid w:val="0052377B"/>
    <w:rsid w:val="00526729"/>
    <w:rsid w:val="00526807"/>
    <w:rsid w:val="005302DD"/>
    <w:rsid w:val="00531B9A"/>
    <w:rsid w:val="00531D15"/>
    <w:rsid w:val="0053226A"/>
    <w:rsid w:val="005323B4"/>
    <w:rsid w:val="00534034"/>
    <w:rsid w:val="00534367"/>
    <w:rsid w:val="005364A5"/>
    <w:rsid w:val="005368EB"/>
    <w:rsid w:val="00536E83"/>
    <w:rsid w:val="00537604"/>
    <w:rsid w:val="0054086E"/>
    <w:rsid w:val="005410B8"/>
    <w:rsid w:val="00541576"/>
    <w:rsid w:val="00541CDC"/>
    <w:rsid w:val="00541F58"/>
    <w:rsid w:val="00542370"/>
    <w:rsid w:val="00542377"/>
    <w:rsid w:val="00543366"/>
    <w:rsid w:val="00543514"/>
    <w:rsid w:val="00544270"/>
    <w:rsid w:val="00545F3B"/>
    <w:rsid w:val="00546197"/>
    <w:rsid w:val="005476EB"/>
    <w:rsid w:val="00551782"/>
    <w:rsid w:val="00551DFA"/>
    <w:rsid w:val="0055495B"/>
    <w:rsid w:val="00554B52"/>
    <w:rsid w:val="00556C26"/>
    <w:rsid w:val="005617BD"/>
    <w:rsid w:val="00561AD2"/>
    <w:rsid w:val="00563C54"/>
    <w:rsid w:val="00563EF1"/>
    <w:rsid w:val="00565BA9"/>
    <w:rsid w:val="00566A56"/>
    <w:rsid w:val="00566AB4"/>
    <w:rsid w:val="005727EC"/>
    <w:rsid w:val="00573493"/>
    <w:rsid w:val="00573812"/>
    <w:rsid w:val="005742FF"/>
    <w:rsid w:val="00575AC5"/>
    <w:rsid w:val="0057605D"/>
    <w:rsid w:val="005766DD"/>
    <w:rsid w:val="00581347"/>
    <w:rsid w:val="00581AC9"/>
    <w:rsid w:val="00583208"/>
    <w:rsid w:val="00583F7E"/>
    <w:rsid w:val="005849F8"/>
    <w:rsid w:val="00584BC4"/>
    <w:rsid w:val="00585AF2"/>
    <w:rsid w:val="0058756D"/>
    <w:rsid w:val="00593279"/>
    <w:rsid w:val="005938DF"/>
    <w:rsid w:val="0059398C"/>
    <w:rsid w:val="0059473F"/>
    <w:rsid w:val="00594E9C"/>
    <w:rsid w:val="00596EC5"/>
    <w:rsid w:val="005976ED"/>
    <w:rsid w:val="005A0356"/>
    <w:rsid w:val="005A099B"/>
    <w:rsid w:val="005A2075"/>
    <w:rsid w:val="005A2D9C"/>
    <w:rsid w:val="005A52E7"/>
    <w:rsid w:val="005A55FE"/>
    <w:rsid w:val="005A5A94"/>
    <w:rsid w:val="005A6A11"/>
    <w:rsid w:val="005A7F01"/>
    <w:rsid w:val="005B2F0D"/>
    <w:rsid w:val="005B388C"/>
    <w:rsid w:val="005B4AED"/>
    <w:rsid w:val="005B54F4"/>
    <w:rsid w:val="005C1C42"/>
    <w:rsid w:val="005C34D2"/>
    <w:rsid w:val="005C34EF"/>
    <w:rsid w:val="005C3950"/>
    <w:rsid w:val="005C50AD"/>
    <w:rsid w:val="005C52E4"/>
    <w:rsid w:val="005C6567"/>
    <w:rsid w:val="005C7C36"/>
    <w:rsid w:val="005C7F00"/>
    <w:rsid w:val="005D0208"/>
    <w:rsid w:val="005D1276"/>
    <w:rsid w:val="005D2502"/>
    <w:rsid w:val="005D40BB"/>
    <w:rsid w:val="005D47F3"/>
    <w:rsid w:val="005D49BF"/>
    <w:rsid w:val="005D4AA5"/>
    <w:rsid w:val="005D5CA8"/>
    <w:rsid w:val="005D6F4E"/>
    <w:rsid w:val="005D7C73"/>
    <w:rsid w:val="005E0451"/>
    <w:rsid w:val="005E0AEC"/>
    <w:rsid w:val="005E250B"/>
    <w:rsid w:val="005E390D"/>
    <w:rsid w:val="005E3ACD"/>
    <w:rsid w:val="005E403D"/>
    <w:rsid w:val="005E4049"/>
    <w:rsid w:val="005E49EA"/>
    <w:rsid w:val="005E6A13"/>
    <w:rsid w:val="005E7226"/>
    <w:rsid w:val="005E7A57"/>
    <w:rsid w:val="005F1815"/>
    <w:rsid w:val="005F24B0"/>
    <w:rsid w:val="005F36CA"/>
    <w:rsid w:val="005F53EB"/>
    <w:rsid w:val="005F56EF"/>
    <w:rsid w:val="005F6F9C"/>
    <w:rsid w:val="006000A0"/>
    <w:rsid w:val="0060119C"/>
    <w:rsid w:val="006011A2"/>
    <w:rsid w:val="00601F35"/>
    <w:rsid w:val="0060209F"/>
    <w:rsid w:val="00603602"/>
    <w:rsid w:val="00604315"/>
    <w:rsid w:val="006043EE"/>
    <w:rsid w:val="00604E26"/>
    <w:rsid w:val="0060523F"/>
    <w:rsid w:val="006052CF"/>
    <w:rsid w:val="00606556"/>
    <w:rsid w:val="00606CF4"/>
    <w:rsid w:val="006079FA"/>
    <w:rsid w:val="00607B8D"/>
    <w:rsid w:val="0061064E"/>
    <w:rsid w:val="00611F5C"/>
    <w:rsid w:val="006148C0"/>
    <w:rsid w:val="00616D1D"/>
    <w:rsid w:val="00616E09"/>
    <w:rsid w:val="00621039"/>
    <w:rsid w:val="006221DA"/>
    <w:rsid w:val="00622A3B"/>
    <w:rsid w:val="00622EEA"/>
    <w:rsid w:val="0062396C"/>
    <w:rsid w:val="00623C8B"/>
    <w:rsid w:val="00623FF9"/>
    <w:rsid w:val="0062437D"/>
    <w:rsid w:val="006247C5"/>
    <w:rsid w:val="00625441"/>
    <w:rsid w:val="006269CB"/>
    <w:rsid w:val="00627D4E"/>
    <w:rsid w:val="00630378"/>
    <w:rsid w:val="00632102"/>
    <w:rsid w:val="00632B89"/>
    <w:rsid w:val="0063346D"/>
    <w:rsid w:val="00634478"/>
    <w:rsid w:val="00634A03"/>
    <w:rsid w:val="0063648B"/>
    <w:rsid w:val="006407B9"/>
    <w:rsid w:val="00641FE7"/>
    <w:rsid w:val="00643C0A"/>
    <w:rsid w:val="00644373"/>
    <w:rsid w:val="00645915"/>
    <w:rsid w:val="0064606D"/>
    <w:rsid w:val="00646248"/>
    <w:rsid w:val="00646CC4"/>
    <w:rsid w:val="0065074B"/>
    <w:rsid w:val="00651448"/>
    <w:rsid w:val="0065156E"/>
    <w:rsid w:val="006519C3"/>
    <w:rsid w:val="00652B30"/>
    <w:rsid w:val="00654C0C"/>
    <w:rsid w:val="00654CDD"/>
    <w:rsid w:val="00655B04"/>
    <w:rsid w:val="00655B9B"/>
    <w:rsid w:val="00656345"/>
    <w:rsid w:val="00656B38"/>
    <w:rsid w:val="00656DC6"/>
    <w:rsid w:val="00657BF6"/>
    <w:rsid w:val="00660EC6"/>
    <w:rsid w:val="0066103D"/>
    <w:rsid w:val="00662A0C"/>
    <w:rsid w:val="00663703"/>
    <w:rsid w:val="00663F73"/>
    <w:rsid w:val="00664110"/>
    <w:rsid w:val="00664D17"/>
    <w:rsid w:val="0066507E"/>
    <w:rsid w:val="00665F7A"/>
    <w:rsid w:val="00666520"/>
    <w:rsid w:val="00666C77"/>
    <w:rsid w:val="00667C5B"/>
    <w:rsid w:val="00671322"/>
    <w:rsid w:val="0067283F"/>
    <w:rsid w:val="006738DB"/>
    <w:rsid w:val="00674ADC"/>
    <w:rsid w:val="00676D2B"/>
    <w:rsid w:val="0068198C"/>
    <w:rsid w:val="00681F60"/>
    <w:rsid w:val="006838FB"/>
    <w:rsid w:val="0068495A"/>
    <w:rsid w:val="006869D3"/>
    <w:rsid w:val="00687A3C"/>
    <w:rsid w:val="00687DEF"/>
    <w:rsid w:val="006916AC"/>
    <w:rsid w:val="00691EB8"/>
    <w:rsid w:val="0069299E"/>
    <w:rsid w:val="00692CDE"/>
    <w:rsid w:val="00693073"/>
    <w:rsid w:val="006933E0"/>
    <w:rsid w:val="00693CE4"/>
    <w:rsid w:val="0069692D"/>
    <w:rsid w:val="006977FF"/>
    <w:rsid w:val="00697BF5"/>
    <w:rsid w:val="006A01FA"/>
    <w:rsid w:val="006A0A69"/>
    <w:rsid w:val="006A0E9E"/>
    <w:rsid w:val="006A25C7"/>
    <w:rsid w:val="006A3ECF"/>
    <w:rsid w:val="006A4AAD"/>
    <w:rsid w:val="006A4CCA"/>
    <w:rsid w:val="006A5AAF"/>
    <w:rsid w:val="006A6234"/>
    <w:rsid w:val="006A6DA2"/>
    <w:rsid w:val="006A7AB2"/>
    <w:rsid w:val="006A7D8E"/>
    <w:rsid w:val="006B0765"/>
    <w:rsid w:val="006B1D96"/>
    <w:rsid w:val="006B2195"/>
    <w:rsid w:val="006B4467"/>
    <w:rsid w:val="006B52DE"/>
    <w:rsid w:val="006B5717"/>
    <w:rsid w:val="006B582F"/>
    <w:rsid w:val="006B5EB2"/>
    <w:rsid w:val="006B6D72"/>
    <w:rsid w:val="006B7B76"/>
    <w:rsid w:val="006C0689"/>
    <w:rsid w:val="006C0CEB"/>
    <w:rsid w:val="006C13FB"/>
    <w:rsid w:val="006C1631"/>
    <w:rsid w:val="006C1C97"/>
    <w:rsid w:val="006C3B1E"/>
    <w:rsid w:val="006C47FD"/>
    <w:rsid w:val="006C5395"/>
    <w:rsid w:val="006C5C19"/>
    <w:rsid w:val="006C5D60"/>
    <w:rsid w:val="006C5FD4"/>
    <w:rsid w:val="006C66B6"/>
    <w:rsid w:val="006C699F"/>
    <w:rsid w:val="006C6A03"/>
    <w:rsid w:val="006C70A0"/>
    <w:rsid w:val="006D245C"/>
    <w:rsid w:val="006D27CB"/>
    <w:rsid w:val="006D2F08"/>
    <w:rsid w:val="006D5234"/>
    <w:rsid w:val="006D576C"/>
    <w:rsid w:val="006D5865"/>
    <w:rsid w:val="006D5D55"/>
    <w:rsid w:val="006D5E4A"/>
    <w:rsid w:val="006D6CB4"/>
    <w:rsid w:val="006E2069"/>
    <w:rsid w:val="006E35D1"/>
    <w:rsid w:val="006E3756"/>
    <w:rsid w:val="006E423B"/>
    <w:rsid w:val="006E4B1B"/>
    <w:rsid w:val="006E5445"/>
    <w:rsid w:val="006E7D93"/>
    <w:rsid w:val="006F01D0"/>
    <w:rsid w:val="006F07A9"/>
    <w:rsid w:val="006F1A09"/>
    <w:rsid w:val="006F28BE"/>
    <w:rsid w:val="006F3A64"/>
    <w:rsid w:val="006F3DC8"/>
    <w:rsid w:val="006F420A"/>
    <w:rsid w:val="006F5D3C"/>
    <w:rsid w:val="006F6FE8"/>
    <w:rsid w:val="006F75DA"/>
    <w:rsid w:val="00700091"/>
    <w:rsid w:val="00700C37"/>
    <w:rsid w:val="0070133D"/>
    <w:rsid w:val="007022B5"/>
    <w:rsid w:val="007029A3"/>
    <w:rsid w:val="007047F9"/>
    <w:rsid w:val="00705C37"/>
    <w:rsid w:val="00706E4E"/>
    <w:rsid w:val="00707224"/>
    <w:rsid w:val="0070791C"/>
    <w:rsid w:val="007115A9"/>
    <w:rsid w:val="0071383C"/>
    <w:rsid w:val="007141A7"/>
    <w:rsid w:val="007145A1"/>
    <w:rsid w:val="00715722"/>
    <w:rsid w:val="00715BAF"/>
    <w:rsid w:val="00715C39"/>
    <w:rsid w:val="0072065F"/>
    <w:rsid w:val="00721032"/>
    <w:rsid w:val="00721B55"/>
    <w:rsid w:val="00722440"/>
    <w:rsid w:val="00722489"/>
    <w:rsid w:val="00722A06"/>
    <w:rsid w:val="00724C6B"/>
    <w:rsid w:val="0072626A"/>
    <w:rsid w:val="00726CE4"/>
    <w:rsid w:val="007302AF"/>
    <w:rsid w:val="00730A2E"/>
    <w:rsid w:val="00730D3C"/>
    <w:rsid w:val="00731C88"/>
    <w:rsid w:val="007326EE"/>
    <w:rsid w:val="00734143"/>
    <w:rsid w:val="00737E47"/>
    <w:rsid w:val="00740EAC"/>
    <w:rsid w:val="007410F6"/>
    <w:rsid w:val="00741C32"/>
    <w:rsid w:val="00742458"/>
    <w:rsid w:val="00744956"/>
    <w:rsid w:val="00745A5C"/>
    <w:rsid w:val="0074605F"/>
    <w:rsid w:val="00747E75"/>
    <w:rsid w:val="00747E94"/>
    <w:rsid w:val="00750236"/>
    <w:rsid w:val="0075033E"/>
    <w:rsid w:val="007524D3"/>
    <w:rsid w:val="00752C22"/>
    <w:rsid w:val="0075355E"/>
    <w:rsid w:val="00754B94"/>
    <w:rsid w:val="00754C83"/>
    <w:rsid w:val="00755CEB"/>
    <w:rsid w:val="00756679"/>
    <w:rsid w:val="00757EDA"/>
    <w:rsid w:val="007613FB"/>
    <w:rsid w:val="00761E5C"/>
    <w:rsid w:val="007651E2"/>
    <w:rsid w:val="00765DF8"/>
    <w:rsid w:val="00766749"/>
    <w:rsid w:val="00767368"/>
    <w:rsid w:val="00767C1B"/>
    <w:rsid w:val="007701B2"/>
    <w:rsid w:val="007705DB"/>
    <w:rsid w:val="00770B3F"/>
    <w:rsid w:val="007714A9"/>
    <w:rsid w:val="00771762"/>
    <w:rsid w:val="007733C9"/>
    <w:rsid w:val="00774F88"/>
    <w:rsid w:val="00774FDB"/>
    <w:rsid w:val="00777BA2"/>
    <w:rsid w:val="00781408"/>
    <w:rsid w:val="00781A42"/>
    <w:rsid w:val="00784F7F"/>
    <w:rsid w:val="0078635F"/>
    <w:rsid w:val="00786A44"/>
    <w:rsid w:val="00786C11"/>
    <w:rsid w:val="007878BD"/>
    <w:rsid w:val="007904A6"/>
    <w:rsid w:val="00790822"/>
    <w:rsid w:val="007919B9"/>
    <w:rsid w:val="00792D5B"/>
    <w:rsid w:val="00793C15"/>
    <w:rsid w:val="007948C6"/>
    <w:rsid w:val="00794A05"/>
    <w:rsid w:val="00794AC6"/>
    <w:rsid w:val="00796F25"/>
    <w:rsid w:val="00797250"/>
    <w:rsid w:val="0079769C"/>
    <w:rsid w:val="00797A81"/>
    <w:rsid w:val="007A2190"/>
    <w:rsid w:val="007A21FD"/>
    <w:rsid w:val="007A2E98"/>
    <w:rsid w:val="007A3BA3"/>
    <w:rsid w:val="007A3EE6"/>
    <w:rsid w:val="007A4888"/>
    <w:rsid w:val="007A59E9"/>
    <w:rsid w:val="007A66D8"/>
    <w:rsid w:val="007A6CC0"/>
    <w:rsid w:val="007A7FEC"/>
    <w:rsid w:val="007B1499"/>
    <w:rsid w:val="007B1BBF"/>
    <w:rsid w:val="007B2960"/>
    <w:rsid w:val="007B303B"/>
    <w:rsid w:val="007B355D"/>
    <w:rsid w:val="007B3D6E"/>
    <w:rsid w:val="007B3F06"/>
    <w:rsid w:val="007B705D"/>
    <w:rsid w:val="007B7980"/>
    <w:rsid w:val="007C0DEF"/>
    <w:rsid w:val="007C3830"/>
    <w:rsid w:val="007C4D0C"/>
    <w:rsid w:val="007C4E01"/>
    <w:rsid w:val="007C5505"/>
    <w:rsid w:val="007C57BD"/>
    <w:rsid w:val="007C5808"/>
    <w:rsid w:val="007C5D5A"/>
    <w:rsid w:val="007C5EE2"/>
    <w:rsid w:val="007C607F"/>
    <w:rsid w:val="007C6CE1"/>
    <w:rsid w:val="007C79DD"/>
    <w:rsid w:val="007C7F49"/>
    <w:rsid w:val="007D1564"/>
    <w:rsid w:val="007D1A97"/>
    <w:rsid w:val="007D2CD6"/>
    <w:rsid w:val="007D3063"/>
    <w:rsid w:val="007D35D2"/>
    <w:rsid w:val="007D3CEB"/>
    <w:rsid w:val="007D4DB9"/>
    <w:rsid w:val="007D689A"/>
    <w:rsid w:val="007D71C2"/>
    <w:rsid w:val="007E14E9"/>
    <w:rsid w:val="007E252F"/>
    <w:rsid w:val="007E33BB"/>
    <w:rsid w:val="007E47C1"/>
    <w:rsid w:val="007E4F8A"/>
    <w:rsid w:val="007E72A7"/>
    <w:rsid w:val="007E7683"/>
    <w:rsid w:val="007F07B4"/>
    <w:rsid w:val="007F1A95"/>
    <w:rsid w:val="007F1EFB"/>
    <w:rsid w:val="007F49FA"/>
    <w:rsid w:val="007F5316"/>
    <w:rsid w:val="007F54C4"/>
    <w:rsid w:val="007F5773"/>
    <w:rsid w:val="007F5BA0"/>
    <w:rsid w:val="007F605C"/>
    <w:rsid w:val="007F6E9A"/>
    <w:rsid w:val="007F7CB3"/>
    <w:rsid w:val="007F7E87"/>
    <w:rsid w:val="00800051"/>
    <w:rsid w:val="00800CCD"/>
    <w:rsid w:val="00800D78"/>
    <w:rsid w:val="00801FEB"/>
    <w:rsid w:val="00803752"/>
    <w:rsid w:val="00804305"/>
    <w:rsid w:val="008044D4"/>
    <w:rsid w:val="00810AB4"/>
    <w:rsid w:val="008138C9"/>
    <w:rsid w:val="00813DC4"/>
    <w:rsid w:val="00815246"/>
    <w:rsid w:val="008152D0"/>
    <w:rsid w:val="00816898"/>
    <w:rsid w:val="00816BDC"/>
    <w:rsid w:val="00816E05"/>
    <w:rsid w:val="00817967"/>
    <w:rsid w:val="00817B56"/>
    <w:rsid w:val="00817FA5"/>
    <w:rsid w:val="00821A88"/>
    <w:rsid w:val="0082247D"/>
    <w:rsid w:val="0082322E"/>
    <w:rsid w:val="008232BA"/>
    <w:rsid w:val="00823FBF"/>
    <w:rsid w:val="0082495D"/>
    <w:rsid w:val="008250F4"/>
    <w:rsid w:val="0082560F"/>
    <w:rsid w:val="00825CDE"/>
    <w:rsid w:val="0082709E"/>
    <w:rsid w:val="008304E2"/>
    <w:rsid w:val="00830984"/>
    <w:rsid w:val="00831103"/>
    <w:rsid w:val="00831AC3"/>
    <w:rsid w:val="008321FD"/>
    <w:rsid w:val="00836157"/>
    <w:rsid w:val="0083668C"/>
    <w:rsid w:val="00836FCE"/>
    <w:rsid w:val="00837186"/>
    <w:rsid w:val="008374A6"/>
    <w:rsid w:val="008408FF"/>
    <w:rsid w:val="00842277"/>
    <w:rsid w:val="00842BF4"/>
    <w:rsid w:val="00843DB3"/>
    <w:rsid w:val="008449F9"/>
    <w:rsid w:val="008468DD"/>
    <w:rsid w:val="008469D8"/>
    <w:rsid w:val="00846C71"/>
    <w:rsid w:val="0085162D"/>
    <w:rsid w:val="008516CD"/>
    <w:rsid w:val="00851F3F"/>
    <w:rsid w:val="00852747"/>
    <w:rsid w:val="00853E56"/>
    <w:rsid w:val="0085518C"/>
    <w:rsid w:val="00855FE4"/>
    <w:rsid w:val="00856EDC"/>
    <w:rsid w:val="00860AB7"/>
    <w:rsid w:val="00860F50"/>
    <w:rsid w:val="008623B5"/>
    <w:rsid w:val="00867F72"/>
    <w:rsid w:val="00870ABA"/>
    <w:rsid w:val="00870D6E"/>
    <w:rsid w:val="008710E1"/>
    <w:rsid w:val="008716E5"/>
    <w:rsid w:val="008743FA"/>
    <w:rsid w:val="00875CB2"/>
    <w:rsid w:val="008776C6"/>
    <w:rsid w:val="00881CA9"/>
    <w:rsid w:val="00881F5B"/>
    <w:rsid w:val="00883628"/>
    <w:rsid w:val="00883AE9"/>
    <w:rsid w:val="00883D40"/>
    <w:rsid w:val="0088423E"/>
    <w:rsid w:val="0088526C"/>
    <w:rsid w:val="008852BA"/>
    <w:rsid w:val="008853D3"/>
    <w:rsid w:val="00885414"/>
    <w:rsid w:val="008854EE"/>
    <w:rsid w:val="00885544"/>
    <w:rsid w:val="00885E31"/>
    <w:rsid w:val="0088608E"/>
    <w:rsid w:val="0088634E"/>
    <w:rsid w:val="008870D6"/>
    <w:rsid w:val="008901F0"/>
    <w:rsid w:val="00890F8E"/>
    <w:rsid w:val="00891FF6"/>
    <w:rsid w:val="00892CCD"/>
    <w:rsid w:val="00893670"/>
    <w:rsid w:val="00893AB8"/>
    <w:rsid w:val="00894276"/>
    <w:rsid w:val="0089539B"/>
    <w:rsid w:val="00895A73"/>
    <w:rsid w:val="00895CA5"/>
    <w:rsid w:val="00896C57"/>
    <w:rsid w:val="00896D7B"/>
    <w:rsid w:val="0089767D"/>
    <w:rsid w:val="008A04C8"/>
    <w:rsid w:val="008A07C2"/>
    <w:rsid w:val="008A0F77"/>
    <w:rsid w:val="008A14C9"/>
    <w:rsid w:val="008A1AAF"/>
    <w:rsid w:val="008A2D69"/>
    <w:rsid w:val="008A4066"/>
    <w:rsid w:val="008A4AF4"/>
    <w:rsid w:val="008A5FE5"/>
    <w:rsid w:val="008A651B"/>
    <w:rsid w:val="008A6913"/>
    <w:rsid w:val="008A7550"/>
    <w:rsid w:val="008A7BE1"/>
    <w:rsid w:val="008B18AE"/>
    <w:rsid w:val="008B3850"/>
    <w:rsid w:val="008B70F3"/>
    <w:rsid w:val="008B71C4"/>
    <w:rsid w:val="008B76DF"/>
    <w:rsid w:val="008B7B58"/>
    <w:rsid w:val="008C10F4"/>
    <w:rsid w:val="008C32CA"/>
    <w:rsid w:val="008C4476"/>
    <w:rsid w:val="008C65F7"/>
    <w:rsid w:val="008C6F71"/>
    <w:rsid w:val="008D0ECA"/>
    <w:rsid w:val="008D1027"/>
    <w:rsid w:val="008D2151"/>
    <w:rsid w:val="008D3093"/>
    <w:rsid w:val="008D3D70"/>
    <w:rsid w:val="008D5BB2"/>
    <w:rsid w:val="008D6F21"/>
    <w:rsid w:val="008E00FB"/>
    <w:rsid w:val="008E0428"/>
    <w:rsid w:val="008E1EA0"/>
    <w:rsid w:val="008E2786"/>
    <w:rsid w:val="008E3AD9"/>
    <w:rsid w:val="008E4767"/>
    <w:rsid w:val="008E6447"/>
    <w:rsid w:val="008E684C"/>
    <w:rsid w:val="008E7A8C"/>
    <w:rsid w:val="008E7C8D"/>
    <w:rsid w:val="008E7DEC"/>
    <w:rsid w:val="008F52C0"/>
    <w:rsid w:val="008F6709"/>
    <w:rsid w:val="008F7CBB"/>
    <w:rsid w:val="009000B1"/>
    <w:rsid w:val="009000B7"/>
    <w:rsid w:val="0090203B"/>
    <w:rsid w:val="00902A58"/>
    <w:rsid w:val="00903285"/>
    <w:rsid w:val="0090395D"/>
    <w:rsid w:val="009045B3"/>
    <w:rsid w:val="009057FE"/>
    <w:rsid w:val="009069D2"/>
    <w:rsid w:val="00906F40"/>
    <w:rsid w:val="00906FE9"/>
    <w:rsid w:val="0090731E"/>
    <w:rsid w:val="00911F00"/>
    <w:rsid w:val="0091254A"/>
    <w:rsid w:val="00912C97"/>
    <w:rsid w:val="00915B1C"/>
    <w:rsid w:val="009174F3"/>
    <w:rsid w:val="0091765F"/>
    <w:rsid w:val="0091797D"/>
    <w:rsid w:val="00923CBA"/>
    <w:rsid w:val="00924C78"/>
    <w:rsid w:val="00925604"/>
    <w:rsid w:val="00925910"/>
    <w:rsid w:val="009259BB"/>
    <w:rsid w:val="00926703"/>
    <w:rsid w:val="00927407"/>
    <w:rsid w:val="00927691"/>
    <w:rsid w:val="00927997"/>
    <w:rsid w:val="00927A5F"/>
    <w:rsid w:val="00930510"/>
    <w:rsid w:val="00931CF2"/>
    <w:rsid w:val="00931FA5"/>
    <w:rsid w:val="00933FF9"/>
    <w:rsid w:val="00934B81"/>
    <w:rsid w:val="00935132"/>
    <w:rsid w:val="00935B63"/>
    <w:rsid w:val="00935D1C"/>
    <w:rsid w:val="00936E95"/>
    <w:rsid w:val="0093770B"/>
    <w:rsid w:val="0094078F"/>
    <w:rsid w:val="00940974"/>
    <w:rsid w:val="00940FA3"/>
    <w:rsid w:val="00941B17"/>
    <w:rsid w:val="00941F5E"/>
    <w:rsid w:val="00941FB0"/>
    <w:rsid w:val="00941FDF"/>
    <w:rsid w:val="00942402"/>
    <w:rsid w:val="009426D4"/>
    <w:rsid w:val="00942B7D"/>
    <w:rsid w:val="009448B2"/>
    <w:rsid w:val="00944CEF"/>
    <w:rsid w:val="009461D8"/>
    <w:rsid w:val="009467FB"/>
    <w:rsid w:val="00947F25"/>
    <w:rsid w:val="00950159"/>
    <w:rsid w:val="00951625"/>
    <w:rsid w:val="009518EB"/>
    <w:rsid w:val="009534EE"/>
    <w:rsid w:val="009537E4"/>
    <w:rsid w:val="00954170"/>
    <w:rsid w:val="0095490B"/>
    <w:rsid w:val="00957186"/>
    <w:rsid w:val="00957D3C"/>
    <w:rsid w:val="00960A33"/>
    <w:rsid w:val="009617E7"/>
    <w:rsid w:val="00961B22"/>
    <w:rsid w:val="00961BAB"/>
    <w:rsid w:val="009624A3"/>
    <w:rsid w:val="00963D71"/>
    <w:rsid w:val="00964741"/>
    <w:rsid w:val="00966897"/>
    <w:rsid w:val="0097086C"/>
    <w:rsid w:val="00970A80"/>
    <w:rsid w:val="00971914"/>
    <w:rsid w:val="00971B8B"/>
    <w:rsid w:val="00971ED2"/>
    <w:rsid w:val="0097397F"/>
    <w:rsid w:val="00973C28"/>
    <w:rsid w:val="00973E30"/>
    <w:rsid w:val="00974363"/>
    <w:rsid w:val="00974688"/>
    <w:rsid w:val="00976046"/>
    <w:rsid w:val="0097664F"/>
    <w:rsid w:val="00976D8B"/>
    <w:rsid w:val="00977C68"/>
    <w:rsid w:val="00980979"/>
    <w:rsid w:val="009809B7"/>
    <w:rsid w:val="00981898"/>
    <w:rsid w:val="0098401C"/>
    <w:rsid w:val="009860DD"/>
    <w:rsid w:val="00991543"/>
    <w:rsid w:val="009943F2"/>
    <w:rsid w:val="00995314"/>
    <w:rsid w:val="0099577C"/>
    <w:rsid w:val="00996CF0"/>
    <w:rsid w:val="009976E2"/>
    <w:rsid w:val="009A021C"/>
    <w:rsid w:val="009A1CD4"/>
    <w:rsid w:val="009A1D27"/>
    <w:rsid w:val="009A1D55"/>
    <w:rsid w:val="009A1F72"/>
    <w:rsid w:val="009A20FC"/>
    <w:rsid w:val="009A25CC"/>
    <w:rsid w:val="009A3492"/>
    <w:rsid w:val="009A592D"/>
    <w:rsid w:val="009B0773"/>
    <w:rsid w:val="009B1C4B"/>
    <w:rsid w:val="009B24A5"/>
    <w:rsid w:val="009B2601"/>
    <w:rsid w:val="009B2DBF"/>
    <w:rsid w:val="009B30B2"/>
    <w:rsid w:val="009B4E9E"/>
    <w:rsid w:val="009B7A2B"/>
    <w:rsid w:val="009C0CFD"/>
    <w:rsid w:val="009C1690"/>
    <w:rsid w:val="009C19E6"/>
    <w:rsid w:val="009C20A9"/>
    <w:rsid w:val="009C3CCC"/>
    <w:rsid w:val="009C4644"/>
    <w:rsid w:val="009C5BA2"/>
    <w:rsid w:val="009C6881"/>
    <w:rsid w:val="009C7759"/>
    <w:rsid w:val="009C7980"/>
    <w:rsid w:val="009C7F7A"/>
    <w:rsid w:val="009D043D"/>
    <w:rsid w:val="009D07C8"/>
    <w:rsid w:val="009D1B77"/>
    <w:rsid w:val="009D4C85"/>
    <w:rsid w:val="009D5FB1"/>
    <w:rsid w:val="009D6C71"/>
    <w:rsid w:val="009D70D5"/>
    <w:rsid w:val="009E0631"/>
    <w:rsid w:val="009E12F1"/>
    <w:rsid w:val="009E16D0"/>
    <w:rsid w:val="009E2051"/>
    <w:rsid w:val="009E38FD"/>
    <w:rsid w:val="009F1195"/>
    <w:rsid w:val="009F13D6"/>
    <w:rsid w:val="009F1CD9"/>
    <w:rsid w:val="009F2C16"/>
    <w:rsid w:val="009F4AF3"/>
    <w:rsid w:val="009F4C6B"/>
    <w:rsid w:val="009F529B"/>
    <w:rsid w:val="009F5ACF"/>
    <w:rsid w:val="009F6AF4"/>
    <w:rsid w:val="009F78A8"/>
    <w:rsid w:val="009F7DBD"/>
    <w:rsid w:val="00A017E0"/>
    <w:rsid w:val="00A027B8"/>
    <w:rsid w:val="00A02AD6"/>
    <w:rsid w:val="00A051F2"/>
    <w:rsid w:val="00A05A16"/>
    <w:rsid w:val="00A07096"/>
    <w:rsid w:val="00A0730C"/>
    <w:rsid w:val="00A07318"/>
    <w:rsid w:val="00A11141"/>
    <w:rsid w:val="00A11370"/>
    <w:rsid w:val="00A11571"/>
    <w:rsid w:val="00A1179C"/>
    <w:rsid w:val="00A12C1F"/>
    <w:rsid w:val="00A13092"/>
    <w:rsid w:val="00A135FB"/>
    <w:rsid w:val="00A13726"/>
    <w:rsid w:val="00A13F88"/>
    <w:rsid w:val="00A14F73"/>
    <w:rsid w:val="00A223DF"/>
    <w:rsid w:val="00A224CE"/>
    <w:rsid w:val="00A22522"/>
    <w:rsid w:val="00A24AFD"/>
    <w:rsid w:val="00A24F5C"/>
    <w:rsid w:val="00A264D2"/>
    <w:rsid w:val="00A274F2"/>
    <w:rsid w:val="00A32F96"/>
    <w:rsid w:val="00A33A8C"/>
    <w:rsid w:val="00A366B3"/>
    <w:rsid w:val="00A40648"/>
    <w:rsid w:val="00A40871"/>
    <w:rsid w:val="00A41249"/>
    <w:rsid w:val="00A412AB"/>
    <w:rsid w:val="00A4149D"/>
    <w:rsid w:val="00A4193E"/>
    <w:rsid w:val="00A42631"/>
    <w:rsid w:val="00A440E0"/>
    <w:rsid w:val="00A442EF"/>
    <w:rsid w:val="00A477D8"/>
    <w:rsid w:val="00A51D1A"/>
    <w:rsid w:val="00A53B2C"/>
    <w:rsid w:val="00A5418D"/>
    <w:rsid w:val="00A5474E"/>
    <w:rsid w:val="00A56041"/>
    <w:rsid w:val="00A63C43"/>
    <w:rsid w:val="00A64234"/>
    <w:rsid w:val="00A66B5C"/>
    <w:rsid w:val="00A70ADF"/>
    <w:rsid w:val="00A71466"/>
    <w:rsid w:val="00A73665"/>
    <w:rsid w:val="00A746AD"/>
    <w:rsid w:val="00A74B5E"/>
    <w:rsid w:val="00A80107"/>
    <w:rsid w:val="00A8020D"/>
    <w:rsid w:val="00A80E33"/>
    <w:rsid w:val="00A81BED"/>
    <w:rsid w:val="00A81EC4"/>
    <w:rsid w:val="00A824E8"/>
    <w:rsid w:val="00A82661"/>
    <w:rsid w:val="00A82726"/>
    <w:rsid w:val="00A82DC3"/>
    <w:rsid w:val="00A85703"/>
    <w:rsid w:val="00A87F0C"/>
    <w:rsid w:val="00A92716"/>
    <w:rsid w:val="00A92B43"/>
    <w:rsid w:val="00A938CC"/>
    <w:rsid w:val="00A95D3B"/>
    <w:rsid w:val="00A967FD"/>
    <w:rsid w:val="00A976AB"/>
    <w:rsid w:val="00AA1E54"/>
    <w:rsid w:val="00AA1F1C"/>
    <w:rsid w:val="00AA23C8"/>
    <w:rsid w:val="00AA2DE5"/>
    <w:rsid w:val="00AA2E5C"/>
    <w:rsid w:val="00AA2EF9"/>
    <w:rsid w:val="00AA3C55"/>
    <w:rsid w:val="00AA4D14"/>
    <w:rsid w:val="00AA5469"/>
    <w:rsid w:val="00AA7234"/>
    <w:rsid w:val="00AB0C3A"/>
    <w:rsid w:val="00AB156C"/>
    <w:rsid w:val="00AB2EA4"/>
    <w:rsid w:val="00AB335A"/>
    <w:rsid w:val="00AB3896"/>
    <w:rsid w:val="00AB6814"/>
    <w:rsid w:val="00AB7629"/>
    <w:rsid w:val="00AC04BA"/>
    <w:rsid w:val="00AC0E39"/>
    <w:rsid w:val="00AC36A8"/>
    <w:rsid w:val="00AC6DCA"/>
    <w:rsid w:val="00AC7B38"/>
    <w:rsid w:val="00AD0DD9"/>
    <w:rsid w:val="00AD1D82"/>
    <w:rsid w:val="00AD3082"/>
    <w:rsid w:val="00AD3144"/>
    <w:rsid w:val="00AD32B4"/>
    <w:rsid w:val="00AD3F16"/>
    <w:rsid w:val="00AD4906"/>
    <w:rsid w:val="00AD4AD0"/>
    <w:rsid w:val="00AD5436"/>
    <w:rsid w:val="00AD60CD"/>
    <w:rsid w:val="00AD6AC0"/>
    <w:rsid w:val="00AD6C8C"/>
    <w:rsid w:val="00AD76A1"/>
    <w:rsid w:val="00AE091D"/>
    <w:rsid w:val="00AE19CB"/>
    <w:rsid w:val="00AE3B60"/>
    <w:rsid w:val="00AE53A1"/>
    <w:rsid w:val="00AE7A30"/>
    <w:rsid w:val="00AF1411"/>
    <w:rsid w:val="00AF1A3B"/>
    <w:rsid w:val="00AF2484"/>
    <w:rsid w:val="00AF2BF5"/>
    <w:rsid w:val="00AF42DE"/>
    <w:rsid w:val="00AF44AF"/>
    <w:rsid w:val="00AF45D0"/>
    <w:rsid w:val="00AF478D"/>
    <w:rsid w:val="00AF4836"/>
    <w:rsid w:val="00AF63E7"/>
    <w:rsid w:val="00AF6E17"/>
    <w:rsid w:val="00AF709C"/>
    <w:rsid w:val="00B00439"/>
    <w:rsid w:val="00B01100"/>
    <w:rsid w:val="00B0165D"/>
    <w:rsid w:val="00B01B60"/>
    <w:rsid w:val="00B031F3"/>
    <w:rsid w:val="00B039B4"/>
    <w:rsid w:val="00B04495"/>
    <w:rsid w:val="00B052A4"/>
    <w:rsid w:val="00B10140"/>
    <w:rsid w:val="00B105F8"/>
    <w:rsid w:val="00B113E8"/>
    <w:rsid w:val="00B125DE"/>
    <w:rsid w:val="00B12708"/>
    <w:rsid w:val="00B13FDD"/>
    <w:rsid w:val="00B1465F"/>
    <w:rsid w:val="00B14A01"/>
    <w:rsid w:val="00B156CA"/>
    <w:rsid w:val="00B16EEC"/>
    <w:rsid w:val="00B17CD8"/>
    <w:rsid w:val="00B20018"/>
    <w:rsid w:val="00B21739"/>
    <w:rsid w:val="00B226C8"/>
    <w:rsid w:val="00B22EB2"/>
    <w:rsid w:val="00B24A7A"/>
    <w:rsid w:val="00B257F1"/>
    <w:rsid w:val="00B27442"/>
    <w:rsid w:val="00B300C2"/>
    <w:rsid w:val="00B31167"/>
    <w:rsid w:val="00B32109"/>
    <w:rsid w:val="00B329D8"/>
    <w:rsid w:val="00B32BB9"/>
    <w:rsid w:val="00B33AE1"/>
    <w:rsid w:val="00B34175"/>
    <w:rsid w:val="00B35E61"/>
    <w:rsid w:val="00B36250"/>
    <w:rsid w:val="00B37686"/>
    <w:rsid w:val="00B37C38"/>
    <w:rsid w:val="00B40DAB"/>
    <w:rsid w:val="00B4140A"/>
    <w:rsid w:val="00B423AD"/>
    <w:rsid w:val="00B42804"/>
    <w:rsid w:val="00B4288C"/>
    <w:rsid w:val="00B4320A"/>
    <w:rsid w:val="00B43262"/>
    <w:rsid w:val="00B433EB"/>
    <w:rsid w:val="00B43A7E"/>
    <w:rsid w:val="00B44100"/>
    <w:rsid w:val="00B44C43"/>
    <w:rsid w:val="00B46CBA"/>
    <w:rsid w:val="00B46DB0"/>
    <w:rsid w:val="00B46F94"/>
    <w:rsid w:val="00B520CD"/>
    <w:rsid w:val="00B542F6"/>
    <w:rsid w:val="00B54835"/>
    <w:rsid w:val="00B55E24"/>
    <w:rsid w:val="00B6003C"/>
    <w:rsid w:val="00B60906"/>
    <w:rsid w:val="00B61ED2"/>
    <w:rsid w:val="00B61F03"/>
    <w:rsid w:val="00B6257B"/>
    <w:rsid w:val="00B626DC"/>
    <w:rsid w:val="00B626E4"/>
    <w:rsid w:val="00B631DF"/>
    <w:rsid w:val="00B67349"/>
    <w:rsid w:val="00B6753E"/>
    <w:rsid w:val="00B707C1"/>
    <w:rsid w:val="00B71048"/>
    <w:rsid w:val="00B71EB0"/>
    <w:rsid w:val="00B720CA"/>
    <w:rsid w:val="00B7241F"/>
    <w:rsid w:val="00B7247E"/>
    <w:rsid w:val="00B72A94"/>
    <w:rsid w:val="00B72CA7"/>
    <w:rsid w:val="00B72F4A"/>
    <w:rsid w:val="00B74425"/>
    <w:rsid w:val="00B7657F"/>
    <w:rsid w:val="00B80968"/>
    <w:rsid w:val="00B828B6"/>
    <w:rsid w:val="00B83337"/>
    <w:rsid w:val="00B83C27"/>
    <w:rsid w:val="00B84BC3"/>
    <w:rsid w:val="00B84BDD"/>
    <w:rsid w:val="00B850AF"/>
    <w:rsid w:val="00B85CC3"/>
    <w:rsid w:val="00B87211"/>
    <w:rsid w:val="00B87256"/>
    <w:rsid w:val="00B87515"/>
    <w:rsid w:val="00B876B6"/>
    <w:rsid w:val="00B87E58"/>
    <w:rsid w:val="00B90493"/>
    <w:rsid w:val="00B90819"/>
    <w:rsid w:val="00B91AE6"/>
    <w:rsid w:val="00B92812"/>
    <w:rsid w:val="00B92EB0"/>
    <w:rsid w:val="00B936E4"/>
    <w:rsid w:val="00B93D30"/>
    <w:rsid w:val="00B94459"/>
    <w:rsid w:val="00B94E4D"/>
    <w:rsid w:val="00B95D01"/>
    <w:rsid w:val="00B96719"/>
    <w:rsid w:val="00BA0DC9"/>
    <w:rsid w:val="00BA2D05"/>
    <w:rsid w:val="00BA2D0B"/>
    <w:rsid w:val="00BA58A9"/>
    <w:rsid w:val="00BA5FB8"/>
    <w:rsid w:val="00BA61A4"/>
    <w:rsid w:val="00BB12F6"/>
    <w:rsid w:val="00BB1867"/>
    <w:rsid w:val="00BB1E07"/>
    <w:rsid w:val="00BB4348"/>
    <w:rsid w:val="00BB4512"/>
    <w:rsid w:val="00BB45A1"/>
    <w:rsid w:val="00BB6335"/>
    <w:rsid w:val="00BB71A7"/>
    <w:rsid w:val="00BB7686"/>
    <w:rsid w:val="00BB7802"/>
    <w:rsid w:val="00BC0FB9"/>
    <w:rsid w:val="00BC1191"/>
    <w:rsid w:val="00BC1982"/>
    <w:rsid w:val="00BC23F9"/>
    <w:rsid w:val="00BC2AD6"/>
    <w:rsid w:val="00BC3421"/>
    <w:rsid w:val="00BC732C"/>
    <w:rsid w:val="00BD1468"/>
    <w:rsid w:val="00BD2CC6"/>
    <w:rsid w:val="00BD2E4B"/>
    <w:rsid w:val="00BD39F8"/>
    <w:rsid w:val="00BD4421"/>
    <w:rsid w:val="00BD497F"/>
    <w:rsid w:val="00BE2580"/>
    <w:rsid w:val="00BE266D"/>
    <w:rsid w:val="00BE2938"/>
    <w:rsid w:val="00BE2F26"/>
    <w:rsid w:val="00BE3938"/>
    <w:rsid w:val="00BE4C11"/>
    <w:rsid w:val="00BE680D"/>
    <w:rsid w:val="00BE71C0"/>
    <w:rsid w:val="00BE7646"/>
    <w:rsid w:val="00BF175E"/>
    <w:rsid w:val="00BF1906"/>
    <w:rsid w:val="00BF27C6"/>
    <w:rsid w:val="00BF4D4B"/>
    <w:rsid w:val="00BF55CD"/>
    <w:rsid w:val="00BF5EE1"/>
    <w:rsid w:val="00BF5F7B"/>
    <w:rsid w:val="00BF610C"/>
    <w:rsid w:val="00BF6167"/>
    <w:rsid w:val="00C0060B"/>
    <w:rsid w:val="00C01A6C"/>
    <w:rsid w:val="00C02719"/>
    <w:rsid w:val="00C0277D"/>
    <w:rsid w:val="00C02F26"/>
    <w:rsid w:val="00C03352"/>
    <w:rsid w:val="00C03BF1"/>
    <w:rsid w:val="00C053A1"/>
    <w:rsid w:val="00C079AC"/>
    <w:rsid w:val="00C10037"/>
    <w:rsid w:val="00C13BBC"/>
    <w:rsid w:val="00C16198"/>
    <w:rsid w:val="00C16D21"/>
    <w:rsid w:val="00C17472"/>
    <w:rsid w:val="00C2083D"/>
    <w:rsid w:val="00C20AC9"/>
    <w:rsid w:val="00C218B3"/>
    <w:rsid w:val="00C21A34"/>
    <w:rsid w:val="00C21E15"/>
    <w:rsid w:val="00C223E2"/>
    <w:rsid w:val="00C22524"/>
    <w:rsid w:val="00C234D3"/>
    <w:rsid w:val="00C24A53"/>
    <w:rsid w:val="00C26BFE"/>
    <w:rsid w:val="00C305B9"/>
    <w:rsid w:val="00C3117B"/>
    <w:rsid w:val="00C31747"/>
    <w:rsid w:val="00C3266C"/>
    <w:rsid w:val="00C32BC4"/>
    <w:rsid w:val="00C34A05"/>
    <w:rsid w:val="00C34C8F"/>
    <w:rsid w:val="00C35CCE"/>
    <w:rsid w:val="00C35D28"/>
    <w:rsid w:val="00C36217"/>
    <w:rsid w:val="00C4032F"/>
    <w:rsid w:val="00C4165D"/>
    <w:rsid w:val="00C418E5"/>
    <w:rsid w:val="00C41F21"/>
    <w:rsid w:val="00C42062"/>
    <w:rsid w:val="00C44047"/>
    <w:rsid w:val="00C44C66"/>
    <w:rsid w:val="00C44F6B"/>
    <w:rsid w:val="00C45155"/>
    <w:rsid w:val="00C46DC3"/>
    <w:rsid w:val="00C50F13"/>
    <w:rsid w:val="00C516BD"/>
    <w:rsid w:val="00C51747"/>
    <w:rsid w:val="00C531DA"/>
    <w:rsid w:val="00C53335"/>
    <w:rsid w:val="00C53826"/>
    <w:rsid w:val="00C539CC"/>
    <w:rsid w:val="00C5498F"/>
    <w:rsid w:val="00C55235"/>
    <w:rsid w:val="00C57DF4"/>
    <w:rsid w:val="00C60A71"/>
    <w:rsid w:val="00C60DB1"/>
    <w:rsid w:val="00C6109F"/>
    <w:rsid w:val="00C61939"/>
    <w:rsid w:val="00C64CD0"/>
    <w:rsid w:val="00C64D38"/>
    <w:rsid w:val="00C65F61"/>
    <w:rsid w:val="00C6684F"/>
    <w:rsid w:val="00C67B19"/>
    <w:rsid w:val="00C70421"/>
    <w:rsid w:val="00C707C5"/>
    <w:rsid w:val="00C70E70"/>
    <w:rsid w:val="00C71273"/>
    <w:rsid w:val="00C72A6E"/>
    <w:rsid w:val="00C74367"/>
    <w:rsid w:val="00C75F8D"/>
    <w:rsid w:val="00C77380"/>
    <w:rsid w:val="00C81F8B"/>
    <w:rsid w:val="00C821A9"/>
    <w:rsid w:val="00C826FE"/>
    <w:rsid w:val="00C82E40"/>
    <w:rsid w:val="00C87160"/>
    <w:rsid w:val="00C87E8A"/>
    <w:rsid w:val="00C913D6"/>
    <w:rsid w:val="00C91ABF"/>
    <w:rsid w:val="00C91FB9"/>
    <w:rsid w:val="00C9502C"/>
    <w:rsid w:val="00C95E81"/>
    <w:rsid w:val="00C9714E"/>
    <w:rsid w:val="00C97736"/>
    <w:rsid w:val="00CA02EF"/>
    <w:rsid w:val="00CA345A"/>
    <w:rsid w:val="00CA39B1"/>
    <w:rsid w:val="00CA6E5E"/>
    <w:rsid w:val="00CB1D76"/>
    <w:rsid w:val="00CB1E82"/>
    <w:rsid w:val="00CB1FCE"/>
    <w:rsid w:val="00CB23A2"/>
    <w:rsid w:val="00CB4907"/>
    <w:rsid w:val="00CB4BA8"/>
    <w:rsid w:val="00CB52D7"/>
    <w:rsid w:val="00CB6107"/>
    <w:rsid w:val="00CB6A43"/>
    <w:rsid w:val="00CC0ACA"/>
    <w:rsid w:val="00CC0B0A"/>
    <w:rsid w:val="00CC1E48"/>
    <w:rsid w:val="00CC2198"/>
    <w:rsid w:val="00CC4C25"/>
    <w:rsid w:val="00CC6732"/>
    <w:rsid w:val="00CC6FCF"/>
    <w:rsid w:val="00CC735A"/>
    <w:rsid w:val="00CD0D0A"/>
    <w:rsid w:val="00CD1193"/>
    <w:rsid w:val="00CD6ACF"/>
    <w:rsid w:val="00CE031C"/>
    <w:rsid w:val="00CE2E64"/>
    <w:rsid w:val="00CE3C96"/>
    <w:rsid w:val="00CE41E1"/>
    <w:rsid w:val="00CE51A8"/>
    <w:rsid w:val="00CE61FB"/>
    <w:rsid w:val="00CE6302"/>
    <w:rsid w:val="00CE7D54"/>
    <w:rsid w:val="00CF0BFE"/>
    <w:rsid w:val="00CF1719"/>
    <w:rsid w:val="00CF2039"/>
    <w:rsid w:val="00CF2C48"/>
    <w:rsid w:val="00CF369B"/>
    <w:rsid w:val="00CF466F"/>
    <w:rsid w:val="00CF4C54"/>
    <w:rsid w:val="00CF4D29"/>
    <w:rsid w:val="00CF5842"/>
    <w:rsid w:val="00CF5982"/>
    <w:rsid w:val="00CF5CEF"/>
    <w:rsid w:val="00CF6A68"/>
    <w:rsid w:val="00D006B4"/>
    <w:rsid w:val="00D00E28"/>
    <w:rsid w:val="00D01DE1"/>
    <w:rsid w:val="00D0269E"/>
    <w:rsid w:val="00D03205"/>
    <w:rsid w:val="00D05D6C"/>
    <w:rsid w:val="00D063E7"/>
    <w:rsid w:val="00D111A2"/>
    <w:rsid w:val="00D12180"/>
    <w:rsid w:val="00D128DB"/>
    <w:rsid w:val="00D15810"/>
    <w:rsid w:val="00D15AF8"/>
    <w:rsid w:val="00D16D4E"/>
    <w:rsid w:val="00D16FE3"/>
    <w:rsid w:val="00D20397"/>
    <w:rsid w:val="00D20471"/>
    <w:rsid w:val="00D229ED"/>
    <w:rsid w:val="00D22BDE"/>
    <w:rsid w:val="00D23A04"/>
    <w:rsid w:val="00D2443C"/>
    <w:rsid w:val="00D24C02"/>
    <w:rsid w:val="00D25DBF"/>
    <w:rsid w:val="00D273F0"/>
    <w:rsid w:val="00D27F41"/>
    <w:rsid w:val="00D31E70"/>
    <w:rsid w:val="00D36441"/>
    <w:rsid w:val="00D36648"/>
    <w:rsid w:val="00D3693D"/>
    <w:rsid w:val="00D4064E"/>
    <w:rsid w:val="00D40694"/>
    <w:rsid w:val="00D407C1"/>
    <w:rsid w:val="00D4090B"/>
    <w:rsid w:val="00D411B0"/>
    <w:rsid w:val="00D4209E"/>
    <w:rsid w:val="00D437AC"/>
    <w:rsid w:val="00D43B47"/>
    <w:rsid w:val="00D44E9B"/>
    <w:rsid w:val="00D461BC"/>
    <w:rsid w:val="00D47429"/>
    <w:rsid w:val="00D478E0"/>
    <w:rsid w:val="00D47AEB"/>
    <w:rsid w:val="00D50DB9"/>
    <w:rsid w:val="00D51302"/>
    <w:rsid w:val="00D52C43"/>
    <w:rsid w:val="00D53C58"/>
    <w:rsid w:val="00D53E2C"/>
    <w:rsid w:val="00D54F12"/>
    <w:rsid w:val="00D56114"/>
    <w:rsid w:val="00D61243"/>
    <w:rsid w:val="00D62074"/>
    <w:rsid w:val="00D624C6"/>
    <w:rsid w:val="00D63877"/>
    <w:rsid w:val="00D646AC"/>
    <w:rsid w:val="00D6507F"/>
    <w:rsid w:val="00D66995"/>
    <w:rsid w:val="00D721E1"/>
    <w:rsid w:val="00D72BCB"/>
    <w:rsid w:val="00D730BC"/>
    <w:rsid w:val="00D73912"/>
    <w:rsid w:val="00D77838"/>
    <w:rsid w:val="00D805D4"/>
    <w:rsid w:val="00D814B5"/>
    <w:rsid w:val="00D818D9"/>
    <w:rsid w:val="00D8323C"/>
    <w:rsid w:val="00D833D9"/>
    <w:rsid w:val="00D83988"/>
    <w:rsid w:val="00D85226"/>
    <w:rsid w:val="00D857DF"/>
    <w:rsid w:val="00D85C04"/>
    <w:rsid w:val="00D8613D"/>
    <w:rsid w:val="00D8728B"/>
    <w:rsid w:val="00D87B94"/>
    <w:rsid w:val="00D91DCB"/>
    <w:rsid w:val="00D92D49"/>
    <w:rsid w:val="00D92EC1"/>
    <w:rsid w:val="00D9516A"/>
    <w:rsid w:val="00D95528"/>
    <w:rsid w:val="00D95704"/>
    <w:rsid w:val="00D96DEA"/>
    <w:rsid w:val="00DA00D0"/>
    <w:rsid w:val="00DA0622"/>
    <w:rsid w:val="00DA1337"/>
    <w:rsid w:val="00DA2713"/>
    <w:rsid w:val="00DA2BD2"/>
    <w:rsid w:val="00DA34CB"/>
    <w:rsid w:val="00DA4E41"/>
    <w:rsid w:val="00DA5CE7"/>
    <w:rsid w:val="00DA5CF5"/>
    <w:rsid w:val="00DB117A"/>
    <w:rsid w:val="00DB160D"/>
    <w:rsid w:val="00DB2598"/>
    <w:rsid w:val="00DB2DB3"/>
    <w:rsid w:val="00DB3816"/>
    <w:rsid w:val="00DB50EC"/>
    <w:rsid w:val="00DB5173"/>
    <w:rsid w:val="00DB7550"/>
    <w:rsid w:val="00DB7873"/>
    <w:rsid w:val="00DC187B"/>
    <w:rsid w:val="00DC2B18"/>
    <w:rsid w:val="00DC5BF8"/>
    <w:rsid w:val="00DC5CF6"/>
    <w:rsid w:val="00DC5EFF"/>
    <w:rsid w:val="00DC64C2"/>
    <w:rsid w:val="00DC6F51"/>
    <w:rsid w:val="00DC7744"/>
    <w:rsid w:val="00DC7A44"/>
    <w:rsid w:val="00DD1243"/>
    <w:rsid w:val="00DD1A43"/>
    <w:rsid w:val="00DD1D7E"/>
    <w:rsid w:val="00DD345F"/>
    <w:rsid w:val="00DD4322"/>
    <w:rsid w:val="00DD625C"/>
    <w:rsid w:val="00DD69E1"/>
    <w:rsid w:val="00DD73C2"/>
    <w:rsid w:val="00DD7671"/>
    <w:rsid w:val="00DE0369"/>
    <w:rsid w:val="00DE1121"/>
    <w:rsid w:val="00DE2383"/>
    <w:rsid w:val="00DE27C0"/>
    <w:rsid w:val="00DE319B"/>
    <w:rsid w:val="00DE3472"/>
    <w:rsid w:val="00DE5131"/>
    <w:rsid w:val="00DE525E"/>
    <w:rsid w:val="00DE774C"/>
    <w:rsid w:val="00DF0F7D"/>
    <w:rsid w:val="00DF2E9C"/>
    <w:rsid w:val="00DF34FE"/>
    <w:rsid w:val="00DF3BDD"/>
    <w:rsid w:val="00DF3DF1"/>
    <w:rsid w:val="00DF4BEC"/>
    <w:rsid w:val="00DF4FBE"/>
    <w:rsid w:val="00DF56AA"/>
    <w:rsid w:val="00DF56AF"/>
    <w:rsid w:val="00DF5BB1"/>
    <w:rsid w:val="00DF78E7"/>
    <w:rsid w:val="00E00882"/>
    <w:rsid w:val="00E046B9"/>
    <w:rsid w:val="00E04FD7"/>
    <w:rsid w:val="00E05156"/>
    <w:rsid w:val="00E07252"/>
    <w:rsid w:val="00E10EAC"/>
    <w:rsid w:val="00E110E0"/>
    <w:rsid w:val="00E13108"/>
    <w:rsid w:val="00E1431E"/>
    <w:rsid w:val="00E15371"/>
    <w:rsid w:val="00E16842"/>
    <w:rsid w:val="00E203A1"/>
    <w:rsid w:val="00E20DD9"/>
    <w:rsid w:val="00E2101F"/>
    <w:rsid w:val="00E21056"/>
    <w:rsid w:val="00E21D7D"/>
    <w:rsid w:val="00E22410"/>
    <w:rsid w:val="00E24104"/>
    <w:rsid w:val="00E25B23"/>
    <w:rsid w:val="00E26F3E"/>
    <w:rsid w:val="00E27A80"/>
    <w:rsid w:val="00E302D0"/>
    <w:rsid w:val="00E30A87"/>
    <w:rsid w:val="00E30C2D"/>
    <w:rsid w:val="00E35707"/>
    <w:rsid w:val="00E363A8"/>
    <w:rsid w:val="00E36AA1"/>
    <w:rsid w:val="00E36AF8"/>
    <w:rsid w:val="00E41ECB"/>
    <w:rsid w:val="00E42676"/>
    <w:rsid w:val="00E44109"/>
    <w:rsid w:val="00E463F9"/>
    <w:rsid w:val="00E47630"/>
    <w:rsid w:val="00E50180"/>
    <w:rsid w:val="00E50ABD"/>
    <w:rsid w:val="00E50B8F"/>
    <w:rsid w:val="00E52582"/>
    <w:rsid w:val="00E52990"/>
    <w:rsid w:val="00E5433E"/>
    <w:rsid w:val="00E54FDB"/>
    <w:rsid w:val="00E5617D"/>
    <w:rsid w:val="00E563D7"/>
    <w:rsid w:val="00E60831"/>
    <w:rsid w:val="00E60D66"/>
    <w:rsid w:val="00E627EB"/>
    <w:rsid w:val="00E63199"/>
    <w:rsid w:val="00E646C9"/>
    <w:rsid w:val="00E64F56"/>
    <w:rsid w:val="00E663F4"/>
    <w:rsid w:val="00E666F2"/>
    <w:rsid w:val="00E66960"/>
    <w:rsid w:val="00E66DD4"/>
    <w:rsid w:val="00E66E16"/>
    <w:rsid w:val="00E67784"/>
    <w:rsid w:val="00E70F16"/>
    <w:rsid w:val="00E71872"/>
    <w:rsid w:val="00E72B98"/>
    <w:rsid w:val="00E73292"/>
    <w:rsid w:val="00E73BD4"/>
    <w:rsid w:val="00E74272"/>
    <w:rsid w:val="00E748CC"/>
    <w:rsid w:val="00E74F15"/>
    <w:rsid w:val="00E75415"/>
    <w:rsid w:val="00E775B1"/>
    <w:rsid w:val="00E810A7"/>
    <w:rsid w:val="00E8152A"/>
    <w:rsid w:val="00E81AA4"/>
    <w:rsid w:val="00E82FD8"/>
    <w:rsid w:val="00E84268"/>
    <w:rsid w:val="00E916D3"/>
    <w:rsid w:val="00E93629"/>
    <w:rsid w:val="00E93B5C"/>
    <w:rsid w:val="00E94CEC"/>
    <w:rsid w:val="00E955EE"/>
    <w:rsid w:val="00E95BC6"/>
    <w:rsid w:val="00E96D99"/>
    <w:rsid w:val="00E96E30"/>
    <w:rsid w:val="00EA022B"/>
    <w:rsid w:val="00EA04EF"/>
    <w:rsid w:val="00EA0969"/>
    <w:rsid w:val="00EA1EDB"/>
    <w:rsid w:val="00EA44DC"/>
    <w:rsid w:val="00EA53E4"/>
    <w:rsid w:val="00EA5F27"/>
    <w:rsid w:val="00EA6C79"/>
    <w:rsid w:val="00EA6F19"/>
    <w:rsid w:val="00EB2A9D"/>
    <w:rsid w:val="00EB3249"/>
    <w:rsid w:val="00EB431B"/>
    <w:rsid w:val="00EB4BD4"/>
    <w:rsid w:val="00EB6FB6"/>
    <w:rsid w:val="00EB7090"/>
    <w:rsid w:val="00EB7D1C"/>
    <w:rsid w:val="00EC1BBE"/>
    <w:rsid w:val="00EC2106"/>
    <w:rsid w:val="00EC2B68"/>
    <w:rsid w:val="00EC3AEF"/>
    <w:rsid w:val="00EC4D84"/>
    <w:rsid w:val="00EC52A8"/>
    <w:rsid w:val="00EC5CD7"/>
    <w:rsid w:val="00EC755E"/>
    <w:rsid w:val="00ED0355"/>
    <w:rsid w:val="00ED0B2E"/>
    <w:rsid w:val="00ED37FA"/>
    <w:rsid w:val="00ED716E"/>
    <w:rsid w:val="00EE0018"/>
    <w:rsid w:val="00EE2C67"/>
    <w:rsid w:val="00EE2E34"/>
    <w:rsid w:val="00EE5FB3"/>
    <w:rsid w:val="00EE6BBF"/>
    <w:rsid w:val="00EE7C85"/>
    <w:rsid w:val="00EE7F79"/>
    <w:rsid w:val="00EF027B"/>
    <w:rsid w:val="00EF0543"/>
    <w:rsid w:val="00EF3A5B"/>
    <w:rsid w:val="00EF57EE"/>
    <w:rsid w:val="00EF715A"/>
    <w:rsid w:val="00F0078F"/>
    <w:rsid w:val="00F00959"/>
    <w:rsid w:val="00F03DAC"/>
    <w:rsid w:val="00F06E14"/>
    <w:rsid w:val="00F13910"/>
    <w:rsid w:val="00F13AB5"/>
    <w:rsid w:val="00F13BB8"/>
    <w:rsid w:val="00F15C76"/>
    <w:rsid w:val="00F170F7"/>
    <w:rsid w:val="00F179D4"/>
    <w:rsid w:val="00F17AF4"/>
    <w:rsid w:val="00F22371"/>
    <w:rsid w:val="00F22A23"/>
    <w:rsid w:val="00F23B76"/>
    <w:rsid w:val="00F24001"/>
    <w:rsid w:val="00F2408C"/>
    <w:rsid w:val="00F251A2"/>
    <w:rsid w:val="00F25F10"/>
    <w:rsid w:val="00F25F1A"/>
    <w:rsid w:val="00F26485"/>
    <w:rsid w:val="00F279C5"/>
    <w:rsid w:val="00F315FF"/>
    <w:rsid w:val="00F33C56"/>
    <w:rsid w:val="00F33E3A"/>
    <w:rsid w:val="00F347C7"/>
    <w:rsid w:val="00F34848"/>
    <w:rsid w:val="00F361D7"/>
    <w:rsid w:val="00F37DDE"/>
    <w:rsid w:val="00F40575"/>
    <w:rsid w:val="00F40977"/>
    <w:rsid w:val="00F41B47"/>
    <w:rsid w:val="00F42D46"/>
    <w:rsid w:val="00F4429C"/>
    <w:rsid w:val="00F446FC"/>
    <w:rsid w:val="00F4496C"/>
    <w:rsid w:val="00F449A2"/>
    <w:rsid w:val="00F44F3A"/>
    <w:rsid w:val="00F46419"/>
    <w:rsid w:val="00F47AB7"/>
    <w:rsid w:val="00F47BFE"/>
    <w:rsid w:val="00F51F10"/>
    <w:rsid w:val="00F529A5"/>
    <w:rsid w:val="00F52A77"/>
    <w:rsid w:val="00F5310D"/>
    <w:rsid w:val="00F536E1"/>
    <w:rsid w:val="00F53AF4"/>
    <w:rsid w:val="00F546A7"/>
    <w:rsid w:val="00F55E1C"/>
    <w:rsid w:val="00F5751D"/>
    <w:rsid w:val="00F578B9"/>
    <w:rsid w:val="00F578EE"/>
    <w:rsid w:val="00F578F5"/>
    <w:rsid w:val="00F607BB"/>
    <w:rsid w:val="00F60F00"/>
    <w:rsid w:val="00F614C0"/>
    <w:rsid w:val="00F6165F"/>
    <w:rsid w:val="00F617AF"/>
    <w:rsid w:val="00F61E71"/>
    <w:rsid w:val="00F622E5"/>
    <w:rsid w:val="00F65667"/>
    <w:rsid w:val="00F66ECB"/>
    <w:rsid w:val="00F66F79"/>
    <w:rsid w:val="00F702BC"/>
    <w:rsid w:val="00F71117"/>
    <w:rsid w:val="00F71C9A"/>
    <w:rsid w:val="00F7415D"/>
    <w:rsid w:val="00F75FA1"/>
    <w:rsid w:val="00F769F0"/>
    <w:rsid w:val="00F7738C"/>
    <w:rsid w:val="00F8026F"/>
    <w:rsid w:val="00F8125F"/>
    <w:rsid w:val="00F83133"/>
    <w:rsid w:val="00F83848"/>
    <w:rsid w:val="00F85659"/>
    <w:rsid w:val="00F91118"/>
    <w:rsid w:val="00F917D8"/>
    <w:rsid w:val="00F91DC4"/>
    <w:rsid w:val="00F92F76"/>
    <w:rsid w:val="00F932D5"/>
    <w:rsid w:val="00F93A45"/>
    <w:rsid w:val="00F940A8"/>
    <w:rsid w:val="00F9610C"/>
    <w:rsid w:val="00F975E9"/>
    <w:rsid w:val="00FA13B3"/>
    <w:rsid w:val="00FA1B7D"/>
    <w:rsid w:val="00FA1FC3"/>
    <w:rsid w:val="00FA200A"/>
    <w:rsid w:val="00FA216D"/>
    <w:rsid w:val="00FA217C"/>
    <w:rsid w:val="00FA6E73"/>
    <w:rsid w:val="00FA767E"/>
    <w:rsid w:val="00FB0F4A"/>
    <w:rsid w:val="00FB30A1"/>
    <w:rsid w:val="00FB3E6A"/>
    <w:rsid w:val="00FB4DCE"/>
    <w:rsid w:val="00FB6269"/>
    <w:rsid w:val="00FB6A68"/>
    <w:rsid w:val="00FB73ED"/>
    <w:rsid w:val="00FB7CE5"/>
    <w:rsid w:val="00FC054E"/>
    <w:rsid w:val="00FC07B9"/>
    <w:rsid w:val="00FC09B1"/>
    <w:rsid w:val="00FC1F55"/>
    <w:rsid w:val="00FC383A"/>
    <w:rsid w:val="00FC4E21"/>
    <w:rsid w:val="00FC502B"/>
    <w:rsid w:val="00FC5F6D"/>
    <w:rsid w:val="00FC78A6"/>
    <w:rsid w:val="00FD0107"/>
    <w:rsid w:val="00FD29F6"/>
    <w:rsid w:val="00FD2BFF"/>
    <w:rsid w:val="00FD2C2F"/>
    <w:rsid w:val="00FD2C93"/>
    <w:rsid w:val="00FD3B31"/>
    <w:rsid w:val="00FD3CF1"/>
    <w:rsid w:val="00FD4806"/>
    <w:rsid w:val="00FD576F"/>
    <w:rsid w:val="00FD61A8"/>
    <w:rsid w:val="00FD72B9"/>
    <w:rsid w:val="00FD7DA7"/>
    <w:rsid w:val="00FE1080"/>
    <w:rsid w:val="00FE1149"/>
    <w:rsid w:val="00FE1823"/>
    <w:rsid w:val="00FE2241"/>
    <w:rsid w:val="00FE487A"/>
    <w:rsid w:val="00FE57A0"/>
    <w:rsid w:val="00FF0569"/>
    <w:rsid w:val="00FF206E"/>
    <w:rsid w:val="00FF2C1B"/>
    <w:rsid w:val="00FF2CB3"/>
    <w:rsid w:val="00FF379D"/>
    <w:rsid w:val="00FF3AD3"/>
    <w:rsid w:val="00FF3C69"/>
    <w:rsid w:val="00FF3E8D"/>
    <w:rsid w:val="00FF50E5"/>
    <w:rsid w:val="00FF6E0A"/>
    <w:rsid w:val="00FF6EDD"/>
    <w:rsid w:val="00FF75FA"/>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6C79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390D91"/>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3"/>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aliases w:val="List Bullet 1"/>
    <w:basedOn w:val="Normal"/>
    <w:link w:val="ListBulletChar"/>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aliases w:val="CEO_Hyperlink"/>
    <w:basedOn w:val="DefaultParagraphFont"/>
    <w:uiPriority w:val="99"/>
    <w:qFormat/>
    <w:rsid w:val="00C35CCE"/>
    <w:rPr>
      <w:color w:val="0000FF"/>
      <w:u w:val="single" w:color="0000FF"/>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aliases w:val="Footnote text,ACMA Footnote Text"/>
    <w:basedOn w:val="Normal"/>
    <w:link w:val="FootnoteTextChar"/>
    <w:rsid w:val="00F940A8"/>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rsid w:val="00EE7F79"/>
    <w:pPr>
      <w:spacing w:line="240" w:lineRule="auto"/>
    </w:pPr>
    <w:rPr>
      <w:szCs w:val="20"/>
    </w:rPr>
  </w:style>
  <w:style w:type="character" w:customStyle="1" w:styleId="CommentTextChar">
    <w:name w:val="Comment Text Char"/>
    <w:basedOn w:val="DefaultParagraphFont"/>
    <w:link w:val="CommentText"/>
    <w:uiPriority w:val="99"/>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unhideWhenUsed/>
    <w:rsid w:val="006B52DE"/>
    <w:rPr>
      <w:color w:val="605E5C"/>
      <w:shd w:val="clear" w:color="auto" w:fill="E1DFDD"/>
    </w:rPr>
  </w:style>
  <w:style w:type="character" w:customStyle="1" w:styleId="Heading3Char">
    <w:name w:val="Heading 3 Char"/>
    <w:basedOn w:val="DefaultParagraphFont"/>
    <w:link w:val="Heading3"/>
    <w:uiPriority w:val="2"/>
    <w:rsid w:val="00390D91"/>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D43B47"/>
    <w:pPr>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801FEB"/>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F361D7"/>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390D91"/>
    <w:pPr>
      <w:tabs>
        <w:tab w:val="left" w:pos="720"/>
      </w:tabs>
      <w:spacing w:after="0" w:line="240" w:lineRule="auto"/>
      <w:jc w:val="center"/>
    </w:pPr>
    <w:rPr>
      <w:rFonts w:cs="Arial"/>
      <w:b/>
      <w:bCs/>
      <w:color w:val="FF0000"/>
      <w:sz w:val="32"/>
      <w:lang w:eastAsia="en-US"/>
    </w:rPr>
  </w:style>
  <w:style w:type="paragraph" w:styleId="Revision">
    <w:name w:val="Revision"/>
    <w:hidden/>
    <w:semiHidden/>
    <w:rsid w:val="00023A36"/>
    <w:rPr>
      <w:rFonts w:ascii="Arial" w:hAnsi="Arial"/>
      <w:sz w:val="20"/>
    </w:rPr>
  </w:style>
  <w:style w:type="character" w:customStyle="1" w:styleId="ListBulletChar">
    <w:name w:val="List Bullet Char"/>
    <w:aliases w:val="List Bullet 1 Char"/>
    <w:basedOn w:val="DefaultParagraphFont"/>
    <w:link w:val="ListBullet"/>
    <w:rsid w:val="009943F2"/>
    <w:rPr>
      <w:rFonts w:ascii="Arial" w:hAnsi="Arial"/>
      <w:sz w:val="20"/>
    </w:rPr>
  </w:style>
  <w:style w:type="character" w:customStyle="1" w:styleId="FootnoteTextChar">
    <w:name w:val="Footnote Text Char"/>
    <w:aliases w:val="Footnote text Char,ACMA Footnote Text Char"/>
    <w:basedOn w:val="DefaultParagraphFont"/>
    <w:link w:val="FootnoteText"/>
    <w:rsid w:val="00F940A8"/>
    <w:rPr>
      <w:rFonts w:ascii="Arial" w:hAnsi="Arial"/>
      <w:sz w:val="16"/>
      <w:szCs w:val="16"/>
    </w:rPr>
  </w:style>
  <w:style w:type="paragraph" w:customStyle="1" w:styleId="Paro">
    <w:name w:val="Paro"/>
    <w:basedOn w:val="ListBullet"/>
    <w:qFormat/>
    <w:rsid w:val="00906FE9"/>
  </w:style>
  <w:style w:type="paragraph" w:styleId="ListParagraph">
    <w:name w:val="List Paragraph"/>
    <w:basedOn w:val="Normal"/>
    <w:semiHidden/>
    <w:rsid w:val="00300023"/>
    <w:pPr>
      <w:ind w:left="720"/>
      <w:contextualSpacing/>
    </w:pPr>
  </w:style>
  <w:style w:type="character" w:styleId="Mention">
    <w:name w:val="Mention"/>
    <w:basedOn w:val="DefaultParagraphFont"/>
    <w:uiPriority w:val="99"/>
    <w:unhideWhenUsed/>
    <w:rsid w:val="00F578E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320802">
      <w:bodyDiv w:val="1"/>
      <w:marLeft w:val="0"/>
      <w:marRight w:val="0"/>
      <w:marTop w:val="0"/>
      <w:marBottom w:val="0"/>
      <w:divBdr>
        <w:top w:val="none" w:sz="0" w:space="0" w:color="auto"/>
        <w:left w:val="none" w:sz="0" w:space="0" w:color="auto"/>
        <w:bottom w:val="none" w:sz="0" w:space="0" w:color="auto"/>
        <w:right w:val="none" w:sz="0" w:space="0" w:color="auto"/>
      </w:divBdr>
    </w:div>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444690561">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707489764">
      <w:bodyDiv w:val="1"/>
      <w:marLeft w:val="0"/>
      <w:marRight w:val="0"/>
      <w:marTop w:val="0"/>
      <w:marBottom w:val="0"/>
      <w:divBdr>
        <w:top w:val="none" w:sz="0" w:space="0" w:color="auto"/>
        <w:left w:val="none" w:sz="0" w:space="0" w:color="auto"/>
        <w:bottom w:val="none" w:sz="0" w:space="0" w:color="auto"/>
        <w:right w:val="none" w:sz="0" w:space="0" w:color="auto"/>
      </w:divBdr>
    </w:div>
    <w:div w:id="988559076">
      <w:bodyDiv w:val="1"/>
      <w:marLeft w:val="0"/>
      <w:marRight w:val="0"/>
      <w:marTop w:val="0"/>
      <w:marBottom w:val="0"/>
      <w:divBdr>
        <w:top w:val="none" w:sz="0" w:space="0" w:color="auto"/>
        <w:left w:val="none" w:sz="0" w:space="0" w:color="auto"/>
        <w:bottom w:val="none" w:sz="0" w:space="0" w:color="auto"/>
        <w:right w:val="none" w:sz="0" w:space="0" w:color="auto"/>
      </w:divBdr>
    </w:div>
    <w:div w:id="121761942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465196369">
      <w:bodyDiv w:val="1"/>
      <w:marLeft w:val="0"/>
      <w:marRight w:val="0"/>
      <w:marTop w:val="0"/>
      <w:marBottom w:val="0"/>
      <w:divBdr>
        <w:top w:val="none" w:sz="0" w:space="0" w:color="auto"/>
        <w:left w:val="none" w:sz="0" w:space="0" w:color="auto"/>
        <w:bottom w:val="none" w:sz="0" w:space="0" w:color="auto"/>
        <w:right w:val="none" w:sz="0" w:space="0" w:color="auto"/>
      </w:divBdr>
    </w:div>
    <w:div w:id="1480805895">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596816021">
      <w:bodyDiv w:val="1"/>
      <w:marLeft w:val="0"/>
      <w:marRight w:val="0"/>
      <w:marTop w:val="0"/>
      <w:marBottom w:val="0"/>
      <w:divBdr>
        <w:top w:val="none" w:sz="0" w:space="0" w:color="auto"/>
        <w:left w:val="none" w:sz="0" w:space="0" w:color="auto"/>
        <w:bottom w:val="none" w:sz="0" w:space="0" w:color="auto"/>
        <w:right w:val="none" w:sz="0" w:space="0" w:color="auto"/>
      </w:divBdr>
    </w:div>
    <w:div w:id="1635795661">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acma.gov.au/consultations/2020-07/replanning-options-2-ghz-band-consultation-232020" TargetMode="External"/><Relationship Id="rId39" Type="http://schemas.openxmlformats.org/officeDocument/2006/relationships/hyperlink" Target="https://www.acma.gov.au/have-your-say" TargetMode="External"/><Relationship Id="rId21" Type="http://schemas.openxmlformats.org/officeDocument/2006/relationships/footer" Target="footer4.xml"/><Relationship Id="rId34" Type="http://schemas.openxmlformats.org/officeDocument/2006/relationships/image" Target="media/image6.png"/><Relationship Id="rId42" Type="http://schemas.openxmlformats.org/officeDocument/2006/relationships/hyperlink" Target="https://www.acma.gov.au/privacy-policy" TargetMode="External"/><Relationship Id="rId47" Type="http://schemas.openxmlformats.org/officeDocument/2006/relationships/fontTable" Target="fontTable.xml"/><Relationship Id="rId50"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4.emf"/><Relationship Id="rId11" Type="http://schemas.openxmlformats.org/officeDocument/2006/relationships/hyperlink" Target="http://i.creativecommons.org/l/by/3.0/88x31.png" TargetMode="External"/><Relationship Id="rId24" Type="http://schemas.openxmlformats.org/officeDocument/2006/relationships/hyperlink" Target="https://www.legislation.gov.au/Details/F2012L00731" TargetMode="External"/><Relationship Id="rId32" Type="http://schemas.openxmlformats.org/officeDocument/2006/relationships/hyperlink" Target="file://IWPFIS002/CAI$/Publications/Discussion%20papers%20and%20reports/Consultation%20papers/2021/Review%20of%20TOB%20brand%20plan/Final/on%20proposed%20licensing%20arrangements%20for%202%20GHz%20narrowband%20mobile-satellite%20services." TargetMode="External"/><Relationship Id="rId37" Type="http://schemas.openxmlformats.org/officeDocument/2006/relationships/hyperlink" Target="https://www.acma.gov.au/publications/2019-09/instruction/rali-fx21-television-outside-broadcasting-services" TargetMode="External"/><Relationship Id="rId40" Type="http://schemas.openxmlformats.org/officeDocument/2006/relationships/hyperlink" Target="mailto:satellite.coordination@acma.gov.au" TargetMode="External"/><Relationship Id="rId45"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legislation.gov.au/Details/F2012L00731" TargetMode="External"/><Relationship Id="rId36" Type="http://schemas.openxmlformats.org/officeDocument/2006/relationships/hyperlink" Target="https://www.acma.gov.au/publications/2019-10/rules/embargo-23" TargetMode="External"/><Relationship Id="rId49"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s://www.acma.gov.au/publications/2019-09/instruction/rali-fx21-television-outside-broadcasting-services" TargetMode="External"/><Relationship Id="rId44"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acma.gov.au/consultations/2020-07/replanning-options-2-ghz-band-consultation-232020" TargetMode="External"/><Relationship Id="rId30" Type="http://schemas.openxmlformats.org/officeDocument/2006/relationships/hyperlink" Target="https://www.acma.gov.au/publications/2019-10/rules/embargo-23" TargetMode="External"/><Relationship Id="rId35" Type="http://schemas.openxmlformats.org/officeDocument/2006/relationships/hyperlink" Target="https://www.legislation.gov.au/" TargetMode="External"/><Relationship Id="rId43" Type="http://schemas.openxmlformats.org/officeDocument/2006/relationships/header" Target="header7.xml"/><Relationship Id="rId48"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acma.gov.au/consultations/2020-07/replanning-options-2-ghz-band-consultation-232020" TargetMode="External"/><Relationship Id="rId33" Type="http://schemas.openxmlformats.org/officeDocument/2006/relationships/image" Target="media/image5.png"/><Relationship Id="rId38" Type="http://schemas.openxmlformats.org/officeDocument/2006/relationships/hyperlink" Target="https://www.acma.gov.au/publications/2019-09/instruction/rali-fx3-microwave-fixed-services" TargetMode="External"/><Relationship Id="rId46" Type="http://schemas.openxmlformats.org/officeDocument/2006/relationships/footer" Target="footer8.xml"/><Relationship Id="rId20" Type="http://schemas.openxmlformats.org/officeDocument/2006/relationships/header" Target="header6.xml"/><Relationship Id="rId41" Type="http://schemas.openxmlformats.org/officeDocument/2006/relationships/hyperlink" Target="https://www.acma.gov.au/publication-submission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00ACE45694B3D4892C74020F839F147" ma:contentTypeVersion="16" ma:contentTypeDescription="Create a new document." ma:contentTypeScope="" ma:versionID="9239f4960bea8bb52a849c241c333692">
  <xsd:schema xmlns:xsd="http://www.w3.org/2001/XMLSchema" xmlns:xs="http://www.w3.org/2001/XMLSchema" xmlns:p="http://schemas.microsoft.com/office/2006/metadata/properties" xmlns:ns2="85d45f94-32ec-4546-b73b-9a6848394926" xmlns:ns3="fb919850-406e-4d20-9cee-cf3a55172231" targetNamespace="http://schemas.microsoft.com/office/2006/metadata/properties" ma:root="true" ma:fieldsID="737f86c4e465b9646a10b6e59f1fd544" ns2:_="" ns3:_="">
    <xsd:import namespace="85d45f94-32ec-4546-b73b-9a6848394926"/>
    <xsd:import namespace="fb919850-406e-4d20-9cee-cf3a551722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45f94-32ec-4546-b73b-9a6848394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fe8815-ddc4-4b7c-be07-fec6d2f953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919850-406e-4d20-9cee-cf3a551722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36ea6b-f371-41c9-afaf-5925768188c8}" ma:internalName="TaxCatchAll" ma:showField="CatchAllData" ma:web="fb919850-406e-4d20-9cee-cf3a551722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d45f94-32ec-4546-b73b-9a6848394926">
      <Terms xmlns="http://schemas.microsoft.com/office/infopath/2007/PartnerControls"/>
    </lcf76f155ced4ddcb4097134ff3c332f>
    <TaxCatchAll xmlns="fb919850-406e-4d20-9cee-cf3a55172231" xsi:nil="true"/>
  </documentManagement>
</p:properties>
</file>

<file path=customXml/itemProps1.xml><?xml version="1.0" encoding="utf-8"?>
<ds:datastoreItem xmlns:ds="http://schemas.openxmlformats.org/officeDocument/2006/customXml" ds:itemID="{BA7F8262-1C21-46BC-9DE5-9254E2ABE8DF}">
  <ds:schemaRefs>
    <ds:schemaRef ds:uri="http://schemas.openxmlformats.org/officeDocument/2006/bibliography"/>
  </ds:schemaRefs>
</ds:datastoreItem>
</file>

<file path=customXml/itemProps2.xml><?xml version="1.0" encoding="utf-8"?>
<ds:datastoreItem xmlns:ds="http://schemas.openxmlformats.org/officeDocument/2006/customXml" ds:itemID="{53F2B601-59CF-4D45-BA7B-346F9ACE9BA9}"/>
</file>

<file path=customXml/itemProps3.xml><?xml version="1.0" encoding="utf-8"?>
<ds:datastoreItem xmlns:ds="http://schemas.openxmlformats.org/officeDocument/2006/customXml" ds:itemID="{016ABFD0-A034-47DB-86E6-E91D98805310}"/>
</file>

<file path=customXml/itemProps4.xml><?xml version="1.0" encoding="utf-8"?>
<ds:datastoreItem xmlns:ds="http://schemas.openxmlformats.org/officeDocument/2006/customXml" ds:itemID="{9D63FA0C-3331-456A-BB90-C3AEF35521DC}"/>
</file>

<file path=docProps/app.xml><?xml version="1.0" encoding="utf-8"?>
<Properties xmlns="http://schemas.openxmlformats.org/officeDocument/2006/extended-properties" xmlns:vt="http://schemas.openxmlformats.org/officeDocument/2006/docPropsVTypes">
  <Template>Normal.dotm</Template>
  <TotalTime>0</TotalTime>
  <Pages>18</Pages>
  <Words>4053</Words>
  <Characters>23107</Characters>
  <Application>Microsoft Office Word</Application>
  <DocSecurity>2</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27106</CharactersWithSpaces>
  <SharedDoc>false</SharedDoc>
  <HyperlinkBase/>
  <HLinks>
    <vt:vector size="204" baseType="variant">
      <vt:variant>
        <vt:i4>2097192</vt:i4>
      </vt:variant>
      <vt:variant>
        <vt:i4>144</vt:i4>
      </vt:variant>
      <vt:variant>
        <vt:i4>0</vt:i4>
      </vt:variant>
      <vt:variant>
        <vt:i4>5</vt:i4>
      </vt:variant>
      <vt:variant>
        <vt:lpwstr>https://www.acma.gov.au/privacy-policy</vt:lpwstr>
      </vt:variant>
      <vt:variant>
        <vt:lpwstr/>
      </vt:variant>
      <vt:variant>
        <vt:i4>3473455</vt:i4>
      </vt:variant>
      <vt:variant>
        <vt:i4>141</vt:i4>
      </vt:variant>
      <vt:variant>
        <vt:i4>0</vt:i4>
      </vt:variant>
      <vt:variant>
        <vt:i4>5</vt:i4>
      </vt:variant>
      <vt:variant>
        <vt:lpwstr>https://www.acma.gov.au/publication-submissions</vt:lpwstr>
      </vt:variant>
      <vt:variant>
        <vt:lpwstr/>
      </vt:variant>
      <vt:variant>
        <vt:i4>2752521</vt:i4>
      </vt:variant>
      <vt:variant>
        <vt:i4>138</vt:i4>
      </vt:variant>
      <vt:variant>
        <vt:i4>0</vt:i4>
      </vt:variant>
      <vt:variant>
        <vt:i4>5</vt:i4>
      </vt:variant>
      <vt:variant>
        <vt:lpwstr>mailto:satellite.coordination@acma.gov.au</vt:lpwstr>
      </vt:variant>
      <vt:variant>
        <vt:lpwstr/>
      </vt:variant>
      <vt:variant>
        <vt:i4>5308427</vt:i4>
      </vt:variant>
      <vt:variant>
        <vt:i4>135</vt:i4>
      </vt:variant>
      <vt:variant>
        <vt:i4>0</vt:i4>
      </vt:variant>
      <vt:variant>
        <vt:i4>5</vt:i4>
      </vt:variant>
      <vt:variant>
        <vt:lpwstr>https://www.acma.gov.au/have-your-say</vt:lpwstr>
      </vt:variant>
      <vt:variant>
        <vt:lpwstr/>
      </vt:variant>
      <vt:variant>
        <vt:i4>7274598</vt:i4>
      </vt:variant>
      <vt:variant>
        <vt:i4>132</vt:i4>
      </vt:variant>
      <vt:variant>
        <vt:i4>0</vt:i4>
      </vt:variant>
      <vt:variant>
        <vt:i4>5</vt:i4>
      </vt:variant>
      <vt:variant>
        <vt:lpwstr>https://www.acma.gov.au/publications/2019-09/instruction/rali-fx3-microwave-fixed-services</vt:lpwstr>
      </vt:variant>
      <vt:variant>
        <vt:lpwstr/>
      </vt:variant>
      <vt:variant>
        <vt:i4>7733358</vt:i4>
      </vt:variant>
      <vt:variant>
        <vt:i4>129</vt:i4>
      </vt:variant>
      <vt:variant>
        <vt:i4>0</vt:i4>
      </vt:variant>
      <vt:variant>
        <vt:i4>5</vt:i4>
      </vt:variant>
      <vt:variant>
        <vt:lpwstr>https://www.acma.gov.au/publications/2019-09/instruction/rali-fx21-television-outside-broadcasting-services</vt:lpwstr>
      </vt:variant>
      <vt:variant>
        <vt:lpwstr/>
      </vt:variant>
      <vt:variant>
        <vt:i4>6029322</vt:i4>
      </vt:variant>
      <vt:variant>
        <vt:i4>126</vt:i4>
      </vt:variant>
      <vt:variant>
        <vt:i4>0</vt:i4>
      </vt:variant>
      <vt:variant>
        <vt:i4>5</vt:i4>
      </vt:variant>
      <vt:variant>
        <vt:lpwstr>https://www.acma.gov.au/publications/2019-10/rules/embargo-23</vt:lpwstr>
      </vt:variant>
      <vt:variant>
        <vt:lpwstr/>
      </vt:variant>
      <vt:variant>
        <vt:i4>4128816</vt:i4>
      </vt:variant>
      <vt:variant>
        <vt:i4>123</vt:i4>
      </vt:variant>
      <vt:variant>
        <vt:i4>0</vt:i4>
      </vt:variant>
      <vt:variant>
        <vt:i4>5</vt:i4>
      </vt:variant>
      <vt:variant>
        <vt:lpwstr>https://www.acma.gov.au/five-year-spectrum-outlook</vt:lpwstr>
      </vt:variant>
      <vt:variant>
        <vt:lpwstr/>
      </vt:variant>
      <vt:variant>
        <vt:i4>2687022</vt:i4>
      </vt:variant>
      <vt:variant>
        <vt:i4>120</vt:i4>
      </vt:variant>
      <vt:variant>
        <vt:i4>0</vt:i4>
      </vt:variant>
      <vt:variant>
        <vt:i4>5</vt:i4>
      </vt:variant>
      <vt:variant>
        <vt:lpwstr>https://www.legislation.gov.au/</vt:lpwstr>
      </vt:variant>
      <vt:variant>
        <vt:lpwstr/>
      </vt:variant>
      <vt:variant>
        <vt:i4>7733358</vt:i4>
      </vt:variant>
      <vt:variant>
        <vt:i4>117</vt:i4>
      </vt:variant>
      <vt:variant>
        <vt:i4>0</vt:i4>
      </vt:variant>
      <vt:variant>
        <vt:i4>5</vt:i4>
      </vt:variant>
      <vt:variant>
        <vt:lpwstr>https://www.acma.gov.au/publications/2019-09/instruction/rali-fx21-television-outside-broadcasting-services</vt:lpwstr>
      </vt:variant>
      <vt:variant>
        <vt:lpwstr/>
      </vt:variant>
      <vt:variant>
        <vt:i4>6029322</vt:i4>
      </vt:variant>
      <vt:variant>
        <vt:i4>114</vt:i4>
      </vt:variant>
      <vt:variant>
        <vt:i4>0</vt:i4>
      </vt:variant>
      <vt:variant>
        <vt:i4>5</vt:i4>
      </vt:variant>
      <vt:variant>
        <vt:lpwstr>https://www.acma.gov.au/publications/2019-10/rules/embargo-23</vt:lpwstr>
      </vt:variant>
      <vt:variant>
        <vt:lpwstr/>
      </vt:variant>
      <vt:variant>
        <vt:i4>7405610</vt:i4>
      </vt:variant>
      <vt:variant>
        <vt:i4>111</vt:i4>
      </vt:variant>
      <vt:variant>
        <vt:i4>0</vt:i4>
      </vt:variant>
      <vt:variant>
        <vt:i4>5</vt:i4>
      </vt:variant>
      <vt:variant>
        <vt:lpwstr>https://www.legislation.gov.au/Details/F2012L00731</vt:lpwstr>
      </vt:variant>
      <vt:variant>
        <vt:lpwstr/>
      </vt:variant>
      <vt:variant>
        <vt:i4>7798888</vt:i4>
      </vt:variant>
      <vt:variant>
        <vt:i4>108</vt:i4>
      </vt:variant>
      <vt:variant>
        <vt:i4>0</vt:i4>
      </vt:variant>
      <vt:variant>
        <vt:i4>5</vt:i4>
      </vt:variant>
      <vt:variant>
        <vt:lpwstr>https://www.acma.gov.au/consultations/2020-07/replanning-options-2-ghz-band-consultation-232020</vt:lpwstr>
      </vt:variant>
      <vt:variant>
        <vt:lpwstr/>
      </vt:variant>
      <vt:variant>
        <vt:i4>7798888</vt:i4>
      </vt:variant>
      <vt:variant>
        <vt:i4>105</vt:i4>
      </vt:variant>
      <vt:variant>
        <vt:i4>0</vt:i4>
      </vt:variant>
      <vt:variant>
        <vt:i4>5</vt:i4>
      </vt:variant>
      <vt:variant>
        <vt:lpwstr>https://www.acma.gov.au/consultations/2020-07/replanning-options-2-ghz-band-consultation-232020</vt:lpwstr>
      </vt:variant>
      <vt:variant>
        <vt:lpwstr/>
      </vt:variant>
      <vt:variant>
        <vt:i4>7798888</vt:i4>
      </vt:variant>
      <vt:variant>
        <vt:i4>102</vt:i4>
      </vt:variant>
      <vt:variant>
        <vt:i4>0</vt:i4>
      </vt:variant>
      <vt:variant>
        <vt:i4>5</vt:i4>
      </vt:variant>
      <vt:variant>
        <vt:lpwstr>https://www.acma.gov.au/consultations/2020-07/replanning-options-2-ghz-band-consultation-232020</vt:lpwstr>
      </vt:variant>
      <vt:variant>
        <vt:lpwstr/>
      </vt:variant>
      <vt:variant>
        <vt:i4>7405610</vt:i4>
      </vt:variant>
      <vt:variant>
        <vt:i4>99</vt:i4>
      </vt:variant>
      <vt:variant>
        <vt:i4>0</vt:i4>
      </vt:variant>
      <vt:variant>
        <vt:i4>5</vt:i4>
      </vt:variant>
      <vt:variant>
        <vt:lpwstr>https://www.legislation.gov.au/Details/F2012L00731</vt:lpwstr>
      </vt:variant>
      <vt:variant>
        <vt:lpwstr/>
      </vt:variant>
      <vt:variant>
        <vt:i4>1179708</vt:i4>
      </vt:variant>
      <vt:variant>
        <vt:i4>92</vt:i4>
      </vt:variant>
      <vt:variant>
        <vt:i4>0</vt:i4>
      </vt:variant>
      <vt:variant>
        <vt:i4>5</vt:i4>
      </vt:variant>
      <vt:variant>
        <vt:lpwstr/>
      </vt:variant>
      <vt:variant>
        <vt:lpwstr>_Toc88081257</vt:lpwstr>
      </vt:variant>
      <vt:variant>
        <vt:i4>1245244</vt:i4>
      </vt:variant>
      <vt:variant>
        <vt:i4>86</vt:i4>
      </vt:variant>
      <vt:variant>
        <vt:i4>0</vt:i4>
      </vt:variant>
      <vt:variant>
        <vt:i4>5</vt:i4>
      </vt:variant>
      <vt:variant>
        <vt:lpwstr/>
      </vt:variant>
      <vt:variant>
        <vt:lpwstr>_Toc88081256</vt:lpwstr>
      </vt:variant>
      <vt:variant>
        <vt:i4>1048636</vt:i4>
      </vt:variant>
      <vt:variant>
        <vt:i4>80</vt:i4>
      </vt:variant>
      <vt:variant>
        <vt:i4>0</vt:i4>
      </vt:variant>
      <vt:variant>
        <vt:i4>5</vt:i4>
      </vt:variant>
      <vt:variant>
        <vt:lpwstr/>
      </vt:variant>
      <vt:variant>
        <vt:lpwstr>_Toc88081255</vt:lpwstr>
      </vt:variant>
      <vt:variant>
        <vt:i4>1114172</vt:i4>
      </vt:variant>
      <vt:variant>
        <vt:i4>74</vt:i4>
      </vt:variant>
      <vt:variant>
        <vt:i4>0</vt:i4>
      </vt:variant>
      <vt:variant>
        <vt:i4>5</vt:i4>
      </vt:variant>
      <vt:variant>
        <vt:lpwstr/>
      </vt:variant>
      <vt:variant>
        <vt:lpwstr>_Toc88081254</vt:lpwstr>
      </vt:variant>
      <vt:variant>
        <vt:i4>1441852</vt:i4>
      </vt:variant>
      <vt:variant>
        <vt:i4>68</vt:i4>
      </vt:variant>
      <vt:variant>
        <vt:i4>0</vt:i4>
      </vt:variant>
      <vt:variant>
        <vt:i4>5</vt:i4>
      </vt:variant>
      <vt:variant>
        <vt:lpwstr/>
      </vt:variant>
      <vt:variant>
        <vt:lpwstr>_Toc88081253</vt:lpwstr>
      </vt:variant>
      <vt:variant>
        <vt:i4>1507388</vt:i4>
      </vt:variant>
      <vt:variant>
        <vt:i4>62</vt:i4>
      </vt:variant>
      <vt:variant>
        <vt:i4>0</vt:i4>
      </vt:variant>
      <vt:variant>
        <vt:i4>5</vt:i4>
      </vt:variant>
      <vt:variant>
        <vt:lpwstr/>
      </vt:variant>
      <vt:variant>
        <vt:lpwstr>_Toc88081252</vt:lpwstr>
      </vt:variant>
      <vt:variant>
        <vt:i4>1310780</vt:i4>
      </vt:variant>
      <vt:variant>
        <vt:i4>56</vt:i4>
      </vt:variant>
      <vt:variant>
        <vt:i4>0</vt:i4>
      </vt:variant>
      <vt:variant>
        <vt:i4>5</vt:i4>
      </vt:variant>
      <vt:variant>
        <vt:lpwstr/>
      </vt:variant>
      <vt:variant>
        <vt:lpwstr>_Toc88081251</vt:lpwstr>
      </vt:variant>
      <vt:variant>
        <vt:i4>1376316</vt:i4>
      </vt:variant>
      <vt:variant>
        <vt:i4>50</vt:i4>
      </vt:variant>
      <vt:variant>
        <vt:i4>0</vt:i4>
      </vt:variant>
      <vt:variant>
        <vt:i4>5</vt:i4>
      </vt:variant>
      <vt:variant>
        <vt:lpwstr/>
      </vt:variant>
      <vt:variant>
        <vt:lpwstr>_Toc88081250</vt:lpwstr>
      </vt:variant>
      <vt:variant>
        <vt:i4>1835069</vt:i4>
      </vt:variant>
      <vt:variant>
        <vt:i4>44</vt:i4>
      </vt:variant>
      <vt:variant>
        <vt:i4>0</vt:i4>
      </vt:variant>
      <vt:variant>
        <vt:i4>5</vt:i4>
      </vt:variant>
      <vt:variant>
        <vt:lpwstr/>
      </vt:variant>
      <vt:variant>
        <vt:lpwstr>_Toc88081249</vt:lpwstr>
      </vt:variant>
      <vt:variant>
        <vt:i4>1900605</vt:i4>
      </vt:variant>
      <vt:variant>
        <vt:i4>38</vt:i4>
      </vt:variant>
      <vt:variant>
        <vt:i4>0</vt:i4>
      </vt:variant>
      <vt:variant>
        <vt:i4>5</vt:i4>
      </vt:variant>
      <vt:variant>
        <vt:lpwstr/>
      </vt:variant>
      <vt:variant>
        <vt:lpwstr>_Toc88081248</vt:lpwstr>
      </vt:variant>
      <vt:variant>
        <vt:i4>1179709</vt:i4>
      </vt:variant>
      <vt:variant>
        <vt:i4>32</vt:i4>
      </vt:variant>
      <vt:variant>
        <vt:i4>0</vt:i4>
      </vt:variant>
      <vt:variant>
        <vt:i4>5</vt:i4>
      </vt:variant>
      <vt:variant>
        <vt:lpwstr/>
      </vt:variant>
      <vt:variant>
        <vt:lpwstr>_Toc88081247</vt:lpwstr>
      </vt:variant>
      <vt:variant>
        <vt:i4>1245245</vt:i4>
      </vt:variant>
      <vt:variant>
        <vt:i4>26</vt:i4>
      </vt:variant>
      <vt:variant>
        <vt:i4>0</vt:i4>
      </vt:variant>
      <vt:variant>
        <vt:i4>5</vt:i4>
      </vt:variant>
      <vt:variant>
        <vt:lpwstr/>
      </vt:variant>
      <vt:variant>
        <vt:lpwstr>_Toc88081246</vt:lpwstr>
      </vt:variant>
      <vt:variant>
        <vt:i4>1048637</vt:i4>
      </vt:variant>
      <vt:variant>
        <vt:i4>20</vt:i4>
      </vt:variant>
      <vt:variant>
        <vt:i4>0</vt:i4>
      </vt:variant>
      <vt:variant>
        <vt:i4>5</vt:i4>
      </vt:variant>
      <vt:variant>
        <vt:lpwstr/>
      </vt:variant>
      <vt:variant>
        <vt:lpwstr>_Toc88081245</vt:lpwstr>
      </vt:variant>
      <vt:variant>
        <vt:i4>1114173</vt:i4>
      </vt:variant>
      <vt:variant>
        <vt:i4>14</vt:i4>
      </vt:variant>
      <vt:variant>
        <vt:i4>0</vt:i4>
      </vt:variant>
      <vt:variant>
        <vt:i4>5</vt:i4>
      </vt:variant>
      <vt:variant>
        <vt:lpwstr/>
      </vt:variant>
      <vt:variant>
        <vt:lpwstr>_Toc88081244</vt:lpwstr>
      </vt:variant>
      <vt:variant>
        <vt:i4>1441853</vt:i4>
      </vt:variant>
      <vt:variant>
        <vt:i4>8</vt:i4>
      </vt:variant>
      <vt:variant>
        <vt:i4>0</vt:i4>
      </vt:variant>
      <vt:variant>
        <vt:i4>5</vt:i4>
      </vt:variant>
      <vt:variant>
        <vt:lpwstr/>
      </vt:variant>
      <vt:variant>
        <vt:lpwstr>_Toc88081243</vt:lpwstr>
      </vt:variant>
      <vt:variant>
        <vt:i4>6225960</vt:i4>
      </vt:variant>
      <vt:variant>
        <vt:i4>3</vt:i4>
      </vt:variant>
      <vt:variant>
        <vt:i4>0</vt:i4>
      </vt:variant>
      <vt:variant>
        <vt:i4>5</vt:i4>
      </vt:variant>
      <vt:variant>
        <vt:lpwstr>mailto:info@acma.gov.au</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6553678</vt:i4>
      </vt:variant>
      <vt:variant>
        <vt:i4>0</vt:i4>
      </vt:variant>
      <vt:variant>
        <vt:i4>0</vt:i4>
      </vt:variant>
      <vt:variant>
        <vt:i4>5</vt:i4>
      </vt:variant>
      <vt:variant>
        <vt:lpwstr>mailto:Stuart.Malloch@acma.gov.au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2022-02-28T07:28:00Z</dcterms:created>
  <dcterms:modified xsi:type="dcterms:W3CDTF">2022-02-28T07:30:00Z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0x010100100ACE45694B3D4892C74020F839F147</vt:lpwstr>
  </property>
</Properties>
</file>