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CB139" w14:textId="7B966D2D" w:rsidR="00F06E14" w:rsidRPr="001F7DED" w:rsidRDefault="00BE62CF" w:rsidP="00A51D1A">
      <w:pPr>
        <w:pStyle w:val="Reporttitle"/>
      </w:pPr>
      <w:r w:rsidRPr="001F7DED">
        <w:t>Replanning the 2 GHz band</w:t>
      </w:r>
    </w:p>
    <w:p w14:paraId="49F7CED8" w14:textId="6A27D113" w:rsidR="00F06E14" w:rsidRPr="001F7DED" w:rsidRDefault="00BE62CF" w:rsidP="00F06E14">
      <w:pPr>
        <w:pStyle w:val="Reportsubtitle"/>
      </w:pPr>
      <w:r w:rsidRPr="001F7DED">
        <w:t>Options paper</w:t>
      </w:r>
    </w:p>
    <w:p w14:paraId="42C706F7" w14:textId="51FFCD6C" w:rsidR="00C97736" w:rsidRPr="001F7DED" w:rsidRDefault="009A36FF" w:rsidP="00EC2B68">
      <w:pPr>
        <w:pStyle w:val="Reportdate"/>
        <w:spacing w:after="720"/>
        <w:rPr>
          <w:rFonts w:cs="Arial"/>
        </w:rPr>
        <w:sectPr w:rsidR="00C97736" w:rsidRPr="001F7DED" w:rsidSect="0021426C">
          <w:headerReference w:type="even" r:id="rId8"/>
          <w:headerReference w:type="default" r:id="rId9"/>
          <w:footerReference w:type="even" r:id="rId10"/>
          <w:footerReference w:type="default" r:id="rId11"/>
          <w:headerReference w:type="first" r:id="rId12"/>
          <w:pgSz w:w="11906" w:h="16838" w:code="9"/>
          <w:pgMar w:top="3924" w:right="992" w:bottom="1440" w:left="1134" w:header="709" w:footer="454" w:gutter="0"/>
          <w:cols w:space="708"/>
          <w:docGrid w:linePitch="360"/>
        </w:sectPr>
      </w:pPr>
      <w:r>
        <w:t>JulY</w:t>
      </w:r>
      <w:r w:rsidR="00BD4421" w:rsidRPr="001F7DED">
        <w:t xml:space="preserve"> 20</w:t>
      </w:r>
      <w:r w:rsidR="008E0428" w:rsidRPr="001F7DED">
        <w:t>20</w:t>
      </w:r>
    </w:p>
    <w:p w14:paraId="68630B0B" w14:textId="77777777" w:rsidR="0005011A" w:rsidRPr="001F7DED" w:rsidRDefault="0005011A" w:rsidP="00FC07B9">
      <w:pPr>
        <w:pStyle w:val="ACMACorporateAddressHeader"/>
      </w:pPr>
      <w:r w:rsidRPr="001F7DED">
        <w:lastRenderedPageBreak/>
        <w:t>Canberra</w:t>
      </w:r>
    </w:p>
    <w:p w14:paraId="3AAB929E" w14:textId="77777777" w:rsidR="0005011A" w:rsidRPr="001F7DED" w:rsidRDefault="0005011A" w:rsidP="00FC07B9">
      <w:pPr>
        <w:pStyle w:val="ACMACorporateAddresses"/>
      </w:pPr>
      <w:r w:rsidRPr="001F7DED">
        <w:t xml:space="preserve">Red Building </w:t>
      </w:r>
      <w:r w:rsidRPr="001F7DED">
        <w:br/>
        <w:t>Benjamin Offices</w:t>
      </w:r>
      <w:r w:rsidRPr="001F7DED">
        <w:br/>
        <w:t xml:space="preserve">Chan Street </w:t>
      </w:r>
      <w:r w:rsidRPr="001F7DED">
        <w:br/>
        <w:t>Belconnen ACT</w:t>
      </w:r>
    </w:p>
    <w:p w14:paraId="63248745" w14:textId="77777777" w:rsidR="0005011A" w:rsidRPr="001F7DED" w:rsidRDefault="0005011A" w:rsidP="00FC07B9">
      <w:pPr>
        <w:pStyle w:val="ACMACorporateAddresses"/>
      </w:pPr>
      <w:r w:rsidRPr="001F7DED">
        <w:t>PO Box 78</w:t>
      </w:r>
      <w:r w:rsidRPr="001F7DED">
        <w:br/>
        <w:t>Belconnen ACT 2616</w:t>
      </w:r>
    </w:p>
    <w:p w14:paraId="0B665409" w14:textId="77777777" w:rsidR="00FE1823" w:rsidRPr="001F7DED" w:rsidRDefault="0005011A" w:rsidP="00FC07B9">
      <w:pPr>
        <w:pStyle w:val="ACMACorporateAddresses"/>
      </w:pPr>
      <w:r w:rsidRPr="001F7DED">
        <w:t>T</w:t>
      </w:r>
      <w:r w:rsidR="00537604" w:rsidRPr="001F7DED">
        <w:tab/>
      </w:r>
      <w:r w:rsidRPr="001F7DED">
        <w:t>+61 2 6219 5555</w:t>
      </w:r>
      <w:r w:rsidRPr="001F7DED">
        <w:br/>
        <w:t>F</w:t>
      </w:r>
      <w:r w:rsidR="00537604" w:rsidRPr="001F7DED">
        <w:tab/>
      </w:r>
      <w:r w:rsidRPr="001F7DED">
        <w:t>+61 2 6219 5353</w:t>
      </w:r>
    </w:p>
    <w:p w14:paraId="6FB29B4F" w14:textId="77777777" w:rsidR="0005011A" w:rsidRPr="001F7DED" w:rsidRDefault="0005011A" w:rsidP="00FC07B9">
      <w:pPr>
        <w:pStyle w:val="ACMACorporateAddressHeader"/>
      </w:pPr>
      <w:r w:rsidRPr="001F7DED">
        <w:t>Melbourne</w:t>
      </w:r>
    </w:p>
    <w:p w14:paraId="31FD0ED3" w14:textId="77777777" w:rsidR="0005011A" w:rsidRPr="001F7DED" w:rsidRDefault="0005011A" w:rsidP="00FC07B9">
      <w:pPr>
        <w:pStyle w:val="ACMACorporateAddresses"/>
      </w:pPr>
      <w:r w:rsidRPr="001F7DED">
        <w:t xml:space="preserve">Level 32 </w:t>
      </w:r>
      <w:r w:rsidRPr="001F7DED">
        <w:br/>
        <w:t>Melbourne Central Tower</w:t>
      </w:r>
      <w:r w:rsidRPr="001F7DED">
        <w:br/>
        <w:t xml:space="preserve">360 Elizabeth Street </w:t>
      </w:r>
      <w:r w:rsidR="008C10F4" w:rsidRPr="001F7DED">
        <w:br/>
      </w:r>
      <w:r w:rsidRPr="001F7DED">
        <w:t>Melbourne VIC</w:t>
      </w:r>
    </w:p>
    <w:p w14:paraId="542E887F" w14:textId="77777777" w:rsidR="0005011A" w:rsidRPr="001F7DED" w:rsidRDefault="0005011A" w:rsidP="00FC07B9">
      <w:pPr>
        <w:pStyle w:val="ACMACorporateAddresses"/>
      </w:pPr>
      <w:r w:rsidRPr="001F7DED">
        <w:t>PO Box 13112</w:t>
      </w:r>
      <w:r w:rsidRPr="001F7DED">
        <w:br/>
        <w:t xml:space="preserve">Law Courts </w:t>
      </w:r>
      <w:r w:rsidRPr="001F7DED">
        <w:br/>
        <w:t>Melbourne VIC 8010</w:t>
      </w:r>
    </w:p>
    <w:p w14:paraId="183753CB" w14:textId="77777777" w:rsidR="0005011A" w:rsidRPr="001F7DED" w:rsidRDefault="0005011A" w:rsidP="00FC07B9">
      <w:pPr>
        <w:pStyle w:val="ACMACorporateAddresses"/>
      </w:pPr>
      <w:r w:rsidRPr="001F7DED">
        <w:t>T</w:t>
      </w:r>
      <w:r w:rsidR="00140318" w:rsidRPr="001F7DED">
        <w:tab/>
      </w:r>
      <w:r w:rsidRPr="001F7DED">
        <w:t>+61 3 9963 6800</w:t>
      </w:r>
      <w:r w:rsidRPr="001F7DED">
        <w:br/>
        <w:t>F</w:t>
      </w:r>
      <w:r w:rsidR="00140318" w:rsidRPr="001F7DED">
        <w:tab/>
      </w:r>
      <w:r w:rsidRPr="001F7DED">
        <w:t>+61 3 9963 6899</w:t>
      </w:r>
    </w:p>
    <w:p w14:paraId="1D965C8E" w14:textId="77777777" w:rsidR="0005011A" w:rsidRPr="001F7DED" w:rsidRDefault="0005011A" w:rsidP="00FC07B9">
      <w:pPr>
        <w:pStyle w:val="ACMACorporateAddressHeader"/>
      </w:pPr>
      <w:r w:rsidRPr="001F7DED">
        <w:t>Sydney</w:t>
      </w:r>
    </w:p>
    <w:p w14:paraId="2C6963D7" w14:textId="77777777" w:rsidR="0005011A" w:rsidRPr="001F7DED" w:rsidRDefault="0005011A" w:rsidP="00FC07B9">
      <w:pPr>
        <w:pStyle w:val="ACMACorporateAddresses"/>
      </w:pPr>
      <w:r w:rsidRPr="001F7DED">
        <w:t xml:space="preserve">Level 5 </w:t>
      </w:r>
      <w:r w:rsidRPr="001F7DED">
        <w:br/>
        <w:t>The Bay Centre</w:t>
      </w:r>
      <w:r w:rsidRPr="001F7DED">
        <w:br/>
        <w:t xml:space="preserve">65 Pirrama Road </w:t>
      </w:r>
      <w:r w:rsidRPr="001F7DED">
        <w:br/>
        <w:t>Pyrmont NSW</w:t>
      </w:r>
    </w:p>
    <w:p w14:paraId="6228080B" w14:textId="77777777" w:rsidR="0005011A" w:rsidRPr="001F7DED" w:rsidRDefault="0005011A" w:rsidP="00FC07B9">
      <w:pPr>
        <w:pStyle w:val="ACMACorporateAddresses"/>
      </w:pPr>
      <w:r w:rsidRPr="001F7DED">
        <w:t>PO Box Q500</w:t>
      </w:r>
      <w:r w:rsidRPr="001F7DED">
        <w:br/>
        <w:t xml:space="preserve">Queen Victoria Building </w:t>
      </w:r>
      <w:r w:rsidRPr="001F7DED">
        <w:br/>
        <w:t>NSW 1230</w:t>
      </w:r>
    </w:p>
    <w:p w14:paraId="34C97F24" w14:textId="77777777" w:rsidR="0005011A" w:rsidRPr="001F7DED" w:rsidRDefault="0005011A" w:rsidP="00FC07B9">
      <w:pPr>
        <w:pStyle w:val="ACMACorporateAddresses"/>
      </w:pPr>
      <w:r w:rsidRPr="001F7DED">
        <w:t>T</w:t>
      </w:r>
      <w:r w:rsidR="00140318" w:rsidRPr="001F7DED">
        <w:tab/>
      </w:r>
      <w:r w:rsidRPr="001F7DED">
        <w:t>+61 2 9334 7700</w:t>
      </w:r>
      <w:r w:rsidR="00140318" w:rsidRPr="001F7DED">
        <w:t xml:space="preserve"> or</w:t>
      </w:r>
      <w:r w:rsidRPr="001F7DED">
        <w:t xml:space="preserve"> 1800 226 667</w:t>
      </w:r>
      <w:r w:rsidRPr="001F7DED">
        <w:br/>
        <w:t>F</w:t>
      </w:r>
      <w:r w:rsidR="00140318" w:rsidRPr="001F7DED">
        <w:tab/>
      </w:r>
      <w:r w:rsidRPr="001F7DED">
        <w:t>+61 2 9334 7799</w:t>
      </w:r>
    </w:p>
    <w:p w14:paraId="311F4632" w14:textId="77777777" w:rsidR="00140318" w:rsidRPr="001F7DED" w:rsidRDefault="00140318" w:rsidP="00FC07B9">
      <w:pPr>
        <w:pStyle w:val="ACMACopyrightHeader"/>
      </w:pPr>
      <w:r w:rsidRPr="001F7DED">
        <w:t>Copyright notice</w:t>
      </w:r>
    </w:p>
    <w:p w14:paraId="17D4B5E5" w14:textId="77777777" w:rsidR="00140318" w:rsidRPr="001F7DED" w:rsidRDefault="00623FF9" w:rsidP="00623FF9">
      <w:pPr>
        <w:pStyle w:val="ACMACClogo"/>
      </w:pPr>
      <w:r>
        <w:rPr>
          <w:noProof/>
        </w:rPr>
        <w:drawing>
          <wp:inline distT="0" distB="0" distL="0" distR="0" wp14:anchorId="3E4ACCF1" wp14:editId="5C71FB53">
            <wp:extent cx="838200" cy="295275"/>
            <wp:effectExtent l="0" t="0" r="0" b="0"/>
            <wp:docPr id="527238654" name="Picture 1" title="Creative Commons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5652E1D7" w14:textId="77777777" w:rsidR="00AA2DE5" w:rsidRPr="001F7DED" w:rsidRDefault="00D8615F" w:rsidP="00AA2DE5">
      <w:pPr>
        <w:pStyle w:val="ACMACorporateAddresses"/>
        <w:rPr>
          <w:rStyle w:val="Hyperlink"/>
        </w:rPr>
      </w:pPr>
      <w:hyperlink r:id="rId15" w:history="1">
        <w:r w:rsidR="00AA2DE5" w:rsidRPr="001F7DED">
          <w:rPr>
            <w:rStyle w:val="Hyperlink"/>
          </w:rPr>
          <w:t>https://creativecommons.org/licenses/by/4.0/</w:t>
        </w:r>
      </w:hyperlink>
    </w:p>
    <w:p w14:paraId="44AED22B" w14:textId="77777777" w:rsidR="00AA2DE5" w:rsidRPr="001F7DED" w:rsidRDefault="00AA2DE5" w:rsidP="00AA2DE5">
      <w:pPr>
        <w:pStyle w:val="ACMACorporateAddresses"/>
      </w:pPr>
      <w:r w:rsidRPr="001F7DED">
        <w:t xml:space="preserve">With the exception of coats of arms, logos, emblems, images, other third-party material or devices protected by a trademark, this content is made available under the terms of the Creative Commons Attribution 4.0 International (CC BY 4.0) licence. </w:t>
      </w:r>
    </w:p>
    <w:p w14:paraId="01C18607" w14:textId="77777777" w:rsidR="00AA2DE5" w:rsidRPr="001F7DED" w:rsidRDefault="00AA2DE5" w:rsidP="00AA2DE5">
      <w:pPr>
        <w:pStyle w:val="ACMACorporateAddresses"/>
      </w:pPr>
      <w:r w:rsidRPr="001F7DED">
        <w:t>We request attribution as © Commonwealth of Australia (Australian Communications and Media Authority) 20</w:t>
      </w:r>
      <w:r w:rsidR="00C41F21" w:rsidRPr="001F7DED">
        <w:t>20</w:t>
      </w:r>
      <w:r w:rsidRPr="001F7DED">
        <w:t>.</w:t>
      </w:r>
    </w:p>
    <w:p w14:paraId="783F7C2D" w14:textId="77777777" w:rsidR="00AA2DE5" w:rsidRPr="001F7DED" w:rsidRDefault="00AA2DE5" w:rsidP="00AA2DE5">
      <w:pPr>
        <w:pStyle w:val="ACMACorporateAddresses"/>
      </w:pPr>
      <w:r w:rsidRPr="001F7DED">
        <w:t>All other rights are reserved.</w:t>
      </w:r>
    </w:p>
    <w:p w14:paraId="368BCF0D" w14:textId="77777777" w:rsidR="00AA2DE5" w:rsidRPr="001F7DED" w:rsidRDefault="00AA2DE5" w:rsidP="00AA2DE5">
      <w:pPr>
        <w:pStyle w:val="ACMACorporateAddresses"/>
      </w:pPr>
      <w:r w:rsidRPr="001F7DED">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2C92E424" w14:textId="77777777" w:rsidR="00AA2DE5" w:rsidRPr="001F7DED" w:rsidRDefault="00AA2DE5" w:rsidP="00AA2DE5">
      <w:pPr>
        <w:pStyle w:val="ACMACorporateAddresses"/>
      </w:pPr>
      <w:r w:rsidRPr="001F7DED">
        <w:t>Written enquiries may be sent to:</w:t>
      </w:r>
    </w:p>
    <w:p w14:paraId="1A46F852" w14:textId="77777777" w:rsidR="00AA2DE5" w:rsidRPr="001F7DED" w:rsidRDefault="00AA2DE5" w:rsidP="00AA2DE5">
      <w:pPr>
        <w:pStyle w:val="ACMACorporateAddresses"/>
        <w:rPr>
          <w:rStyle w:val="Hyperlink"/>
        </w:rPr>
      </w:pPr>
      <w:r w:rsidRPr="001F7DED">
        <w:t xml:space="preserve">Manager, Editorial </w:t>
      </w:r>
      <w:r w:rsidR="000245E5" w:rsidRPr="001F7DED">
        <w:t>Services</w:t>
      </w:r>
      <w:r w:rsidRPr="001F7DED">
        <w:br/>
        <w:t>PO Box 13112</w:t>
      </w:r>
      <w:r w:rsidRPr="001F7DED">
        <w:br/>
        <w:t>Law Courts</w:t>
      </w:r>
      <w:r w:rsidRPr="001F7DED">
        <w:br/>
        <w:t>Melbourne VIC 8010</w:t>
      </w:r>
      <w:r w:rsidRPr="001F7DED">
        <w:br/>
        <w:t xml:space="preserve">Email: </w:t>
      </w:r>
      <w:hyperlink r:id="rId16" w:history="1">
        <w:r w:rsidRPr="001F7DED">
          <w:rPr>
            <w:rStyle w:val="Hyperlink"/>
          </w:rPr>
          <w:t>info@acma.gov.au</w:t>
        </w:r>
      </w:hyperlink>
    </w:p>
    <w:p w14:paraId="2FB120F4" w14:textId="77777777" w:rsidR="00D16FE3" w:rsidRPr="001F7DED" w:rsidRDefault="00D16FE3" w:rsidP="00D16FE3">
      <w:pPr>
        <w:pStyle w:val="ACMACorporateAddresses"/>
        <w:rPr>
          <w:rStyle w:val="Hyperlink"/>
        </w:rPr>
      </w:pPr>
    </w:p>
    <w:p w14:paraId="394A0F33" w14:textId="77777777" w:rsidR="00D16FE3" w:rsidRPr="001F7DED" w:rsidRDefault="00D16FE3" w:rsidP="00D16FE3">
      <w:pPr>
        <w:pStyle w:val="ACMACorporateAddresses"/>
        <w:sectPr w:rsidR="00D16FE3" w:rsidRPr="001F7DED">
          <w:headerReference w:type="even" r:id="rId17"/>
          <w:headerReference w:type="default" r:id="rId18"/>
          <w:footerReference w:type="even" r:id="rId19"/>
          <w:footerReference w:type="default" r:id="rId20"/>
          <w:pgSz w:w="11906" w:h="16838" w:code="9"/>
          <w:pgMar w:top="3924" w:right="1797" w:bottom="697" w:left="1134" w:header="709" w:footer="119" w:gutter="0"/>
          <w:cols w:space="708"/>
          <w:docGrid w:linePitch="360"/>
        </w:sectPr>
      </w:pPr>
    </w:p>
    <w:p w14:paraId="24FF94A0" w14:textId="681FF866" w:rsidR="00CC5413" w:rsidRDefault="00C65F61">
      <w:pPr>
        <w:pStyle w:val="TOC1"/>
        <w:rPr>
          <w:rFonts w:asciiTheme="minorHAnsi" w:eastAsiaTheme="minorEastAsia" w:hAnsiTheme="minorHAnsi" w:cstheme="minorBidi"/>
          <w:b w:val="0"/>
          <w:spacing w:val="0"/>
          <w:sz w:val="22"/>
          <w:szCs w:val="22"/>
        </w:rPr>
      </w:pPr>
      <w:r w:rsidRPr="001F7DED">
        <w:rPr>
          <w:rFonts w:cs="Arial"/>
          <w:b w:val="0"/>
        </w:rPr>
        <w:lastRenderedPageBreak/>
        <w:fldChar w:fldCharType="begin"/>
      </w:r>
      <w:r w:rsidRPr="001F7DED">
        <w:rPr>
          <w:rFonts w:cs="Arial"/>
          <w:b w:val="0"/>
        </w:rPr>
        <w:instrText xml:space="preserve"> TOC \o "1-2" \t "Exec summary heading,1" </w:instrText>
      </w:r>
      <w:r w:rsidRPr="001F7DED">
        <w:rPr>
          <w:rFonts w:cs="Arial"/>
          <w:b w:val="0"/>
        </w:rPr>
        <w:fldChar w:fldCharType="separate"/>
      </w:r>
      <w:r w:rsidR="00CC5413">
        <w:t>Executive summary</w:t>
      </w:r>
      <w:r w:rsidR="00CC5413">
        <w:tab/>
      </w:r>
      <w:r w:rsidR="00CC5413">
        <w:fldChar w:fldCharType="begin"/>
      </w:r>
      <w:r w:rsidR="00CC5413">
        <w:instrText xml:space="preserve"> PAGEREF _Toc46316350 \h </w:instrText>
      </w:r>
      <w:r w:rsidR="00CC5413">
        <w:fldChar w:fldCharType="separate"/>
      </w:r>
      <w:r w:rsidR="00CC5413">
        <w:t>1</w:t>
      </w:r>
      <w:r w:rsidR="00CC5413">
        <w:fldChar w:fldCharType="end"/>
      </w:r>
    </w:p>
    <w:p w14:paraId="7BF596C3" w14:textId="4A3C46A1" w:rsidR="00CC5413" w:rsidRDefault="00CC5413">
      <w:pPr>
        <w:pStyle w:val="TOC1"/>
        <w:rPr>
          <w:rFonts w:asciiTheme="minorHAnsi" w:eastAsiaTheme="minorEastAsia" w:hAnsiTheme="minorHAnsi" w:cstheme="minorBidi"/>
          <w:b w:val="0"/>
          <w:spacing w:val="0"/>
          <w:sz w:val="22"/>
          <w:szCs w:val="22"/>
        </w:rPr>
      </w:pPr>
      <w:r>
        <w:t>Issues for comment</w:t>
      </w:r>
      <w:r>
        <w:tab/>
      </w:r>
      <w:r>
        <w:fldChar w:fldCharType="begin"/>
      </w:r>
      <w:r>
        <w:instrText xml:space="preserve"> PAGEREF _Toc46316351 \h </w:instrText>
      </w:r>
      <w:r>
        <w:fldChar w:fldCharType="separate"/>
      </w:r>
      <w:r>
        <w:t>3</w:t>
      </w:r>
      <w:r>
        <w:fldChar w:fldCharType="end"/>
      </w:r>
    </w:p>
    <w:p w14:paraId="17A5B279" w14:textId="7DE15475" w:rsidR="00CC5413" w:rsidRDefault="00CC5413">
      <w:pPr>
        <w:pStyle w:val="TOC1"/>
        <w:rPr>
          <w:rFonts w:asciiTheme="minorHAnsi" w:eastAsiaTheme="minorEastAsia" w:hAnsiTheme="minorHAnsi" w:cstheme="minorBidi"/>
          <w:b w:val="0"/>
          <w:spacing w:val="0"/>
          <w:sz w:val="22"/>
          <w:szCs w:val="22"/>
        </w:rPr>
      </w:pPr>
      <w:r>
        <w:t>Introduction</w:t>
      </w:r>
      <w:r>
        <w:tab/>
      </w:r>
      <w:r>
        <w:fldChar w:fldCharType="begin"/>
      </w:r>
      <w:r>
        <w:instrText xml:space="preserve"> PAGEREF _Toc46316352 \h </w:instrText>
      </w:r>
      <w:r>
        <w:fldChar w:fldCharType="separate"/>
      </w:r>
      <w:r>
        <w:t>4</w:t>
      </w:r>
      <w:r>
        <w:fldChar w:fldCharType="end"/>
      </w:r>
    </w:p>
    <w:p w14:paraId="4ABC9AB5" w14:textId="21B88ECE" w:rsidR="00CC5413" w:rsidRDefault="00CC5413">
      <w:pPr>
        <w:pStyle w:val="TOC2"/>
        <w:rPr>
          <w:rFonts w:asciiTheme="minorHAnsi" w:eastAsiaTheme="minorEastAsia" w:hAnsiTheme="minorHAnsi" w:cstheme="minorBidi"/>
          <w:spacing w:val="0"/>
          <w:sz w:val="22"/>
          <w:szCs w:val="22"/>
        </w:rPr>
      </w:pPr>
      <w:r>
        <w:t>Background and purpose</w:t>
      </w:r>
      <w:r>
        <w:tab/>
      </w:r>
      <w:r>
        <w:fldChar w:fldCharType="begin"/>
      </w:r>
      <w:r>
        <w:instrText xml:space="preserve"> PAGEREF _Toc46316353 \h </w:instrText>
      </w:r>
      <w:r>
        <w:fldChar w:fldCharType="separate"/>
      </w:r>
      <w:r>
        <w:t>4</w:t>
      </w:r>
      <w:r>
        <w:fldChar w:fldCharType="end"/>
      </w:r>
    </w:p>
    <w:p w14:paraId="4087E7EC" w14:textId="6D3E4158" w:rsidR="00CC5413" w:rsidRDefault="00CC5413">
      <w:pPr>
        <w:pStyle w:val="TOC2"/>
        <w:rPr>
          <w:rFonts w:asciiTheme="minorHAnsi" w:eastAsiaTheme="minorEastAsia" w:hAnsiTheme="minorHAnsi" w:cstheme="minorBidi"/>
          <w:spacing w:val="0"/>
          <w:sz w:val="22"/>
          <w:szCs w:val="22"/>
        </w:rPr>
      </w:pPr>
      <w:r>
        <w:t>Legislative and policy environment</w:t>
      </w:r>
      <w:r>
        <w:tab/>
      </w:r>
      <w:r>
        <w:fldChar w:fldCharType="begin"/>
      </w:r>
      <w:r>
        <w:instrText xml:space="preserve"> PAGEREF _Toc46316354 \h </w:instrText>
      </w:r>
      <w:r>
        <w:fldChar w:fldCharType="separate"/>
      </w:r>
      <w:r>
        <w:t>4</w:t>
      </w:r>
      <w:r>
        <w:fldChar w:fldCharType="end"/>
      </w:r>
    </w:p>
    <w:p w14:paraId="38D91E3A" w14:textId="321BEF62" w:rsidR="00CC5413" w:rsidRDefault="00CC5413">
      <w:pPr>
        <w:pStyle w:val="TOC2"/>
        <w:rPr>
          <w:rFonts w:asciiTheme="minorHAnsi" w:eastAsiaTheme="minorEastAsia" w:hAnsiTheme="minorHAnsi" w:cstheme="minorBidi"/>
          <w:spacing w:val="0"/>
          <w:sz w:val="22"/>
          <w:szCs w:val="22"/>
        </w:rPr>
      </w:pPr>
      <w:r>
        <w:t>Issues not within the scope of this paper</w:t>
      </w:r>
      <w:r>
        <w:tab/>
      </w:r>
      <w:r>
        <w:fldChar w:fldCharType="begin"/>
      </w:r>
      <w:r>
        <w:instrText xml:space="preserve"> PAGEREF _Toc46316355 \h </w:instrText>
      </w:r>
      <w:r>
        <w:fldChar w:fldCharType="separate"/>
      </w:r>
      <w:r>
        <w:t>7</w:t>
      </w:r>
      <w:r>
        <w:fldChar w:fldCharType="end"/>
      </w:r>
    </w:p>
    <w:p w14:paraId="7C697A92" w14:textId="0D705DC1" w:rsidR="00CC5413" w:rsidRDefault="00CC5413">
      <w:pPr>
        <w:pStyle w:val="TOC2"/>
        <w:rPr>
          <w:rFonts w:asciiTheme="minorHAnsi" w:eastAsiaTheme="minorEastAsia" w:hAnsiTheme="minorHAnsi" w:cstheme="minorBidi"/>
          <w:spacing w:val="0"/>
          <w:sz w:val="22"/>
          <w:szCs w:val="22"/>
        </w:rPr>
      </w:pPr>
      <w:r>
        <w:t>Next steps</w:t>
      </w:r>
      <w:r>
        <w:tab/>
      </w:r>
      <w:r>
        <w:fldChar w:fldCharType="begin"/>
      </w:r>
      <w:r>
        <w:instrText xml:space="preserve"> PAGEREF _Toc46316356 \h </w:instrText>
      </w:r>
      <w:r>
        <w:fldChar w:fldCharType="separate"/>
      </w:r>
      <w:r>
        <w:t>8</w:t>
      </w:r>
      <w:r>
        <w:fldChar w:fldCharType="end"/>
      </w:r>
    </w:p>
    <w:p w14:paraId="75903BA1" w14:textId="33C2DD29" w:rsidR="00CC5413" w:rsidRDefault="00CC5413">
      <w:pPr>
        <w:pStyle w:val="TOC1"/>
        <w:rPr>
          <w:rFonts w:asciiTheme="minorHAnsi" w:eastAsiaTheme="minorEastAsia" w:hAnsiTheme="minorHAnsi" w:cstheme="minorBidi"/>
          <w:b w:val="0"/>
          <w:spacing w:val="0"/>
          <w:sz w:val="22"/>
          <w:szCs w:val="22"/>
        </w:rPr>
      </w:pPr>
      <w:r>
        <w:t>The process to date</w:t>
      </w:r>
      <w:r>
        <w:tab/>
      </w:r>
      <w:r>
        <w:fldChar w:fldCharType="begin"/>
      </w:r>
      <w:r>
        <w:instrText xml:space="preserve"> PAGEREF _Toc46316357 \h </w:instrText>
      </w:r>
      <w:r>
        <w:fldChar w:fldCharType="separate"/>
      </w:r>
      <w:r>
        <w:t>9</w:t>
      </w:r>
      <w:r>
        <w:fldChar w:fldCharType="end"/>
      </w:r>
    </w:p>
    <w:p w14:paraId="394C94C9" w14:textId="0B24B01E" w:rsidR="00CC5413" w:rsidRDefault="00CC5413">
      <w:pPr>
        <w:pStyle w:val="TOC2"/>
        <w:rPr>
          <w:rFonts w:asciiTheme="minorHAnsi" w:eastAsiaTheme="minorEastAsia" w:hAnsiTheme="minorHAnsi" w:cstheme="minorBidi"/>
          <w:spacing w:val="0"/>
          <w:sz w:val="22"/>
          <w:szCs w:val="22"/>
        </w:rPr>
      </w:pPr>
      <w:r>
        <w:t>Consultation</w:t>
      </w:r>
      <w:r>
        <w:tab/>
      </w:r>
      <w:r>
        <w:fldChar w:fldCharType="begin"/>
      </w:r>
      <w:r>
        <w:instrText xml:space="preserve"> PAGEREF _Toc46316358 \h </w:instrText>
      </w:r>
      <w:r>
        <w:fldChar w:fldCharType="separate"/>
      </w:r>
      <w:r>
        <w:t>9</w:t>
      </w:r>
      <w:r>
        <w:fldChar w:fldCharType="end"/>
      </w:r>
    </w:p>
    <w:p w14:paraId="49F4C241" w14:textId="5CEE9C52" w:rsidR="00CC5413" w:rsidRDefault="00CC5413">
      <w:pPr>
        <w:pStyle w:val="TOC2"/>
        <w:rPr>
          <w:rFonts w:asciiTheme="minorHAnsi" w:eastAsiaTheme="minorEastAsia" w:hAnsiTheme="minorHAnsi" w:cstheme="minorBidi"/>
          <w:spacing w:val="0"/>
          <w:sz w:val="22"/>
          <w:szCs w:val="22"/>
        </w:rPr>
      </w:pPr>
      <w:r>
        <w:t>Summary of submissions</w:t>
      </w:r>
      <w:r>
        <w:tab/>
      </w:r>
      <w:r>
        <w:fldChar w:fldCharType="begin"/>
      </w:r>
      <w:r>
        <w:instrText xml:space="preserve"> PAGEREF _Toc46316359 \h </w:instrText>
      </w:r>
      <w:r>
        <w:fldChar w:fldCharType="separate"/>
      </w:r>
      <w:r>
        <w:t>9</w:t>
      </w:r>
      <w:r>
        <w:fldChar w:fldCharType="end"/>
      </w:r>
    </w:p>
    <w:p w14:paraId="4DCD0C48" w14:textId="6D62DCA1" w:rsidR="00CC5413" w:rsidRDefault="00CC5413">
      <w:pPr>
        <w:pStyle w:val="TOC1"/>
        <w:rPr>
          <w:rFonts w:asciiTheme="minorHAnsi" w:eastAsiaTheme="minorEastAsia" w:hAnsiTheme="minorHAnsi" w:cstheme="minorBidi"/>
          <w:b w:val="0"/>
          <w:spacing w:val="0"/>
          <w:sz w:val="22"/>
          <w:szCs w:val="22"/>
        </w:rPr>
      </w:pPr>
      <w:r>
        <w:t>Case for action</w:t>
      </w:r>
      <w:r>
        <w:tab/>
      </w:r>
      <w:r>
        <w:fldChar w:fldCharType="begin"/>
      </w:r>
      <w:r>
        <w:instrText xml:space="preserve"> PAGEREF _Toc46316360 \h </w:instrText>
      </w:r>
      <w:r>
        <w:fldChar w:fldCharType="separate"/>
      </w:r>
      <w:r>
        <w:t>11</w:t>
      </w:r>
      <w:r>
        <w:fldChar w:fldCharType="end"/>
      </w:r>
    </w:p>
    <w:p w14:paraId="4E5D09BC" w14:textId="65D42E42" w:rsidR="00CC5413" w:rsidRDefault="00CC5413">
      <w:pPr>
        <w:pStyle w:val="TOC2"/>
        <w:rPr>
          <w:rFonts w:asciiTheme="minorHAnsi" w:eastAsiaTheme="minorEastAsia" w:hAnsiTheme="minorHAnsi" w:cstheme="minorBidi"/>
          <w:spacing w:val="0"/>
          <w:sz w:val="22"/>
          <w:szCs w:val="22"/>
        </w:rPr>
      </w:pPr>
      <w:r>
        <w:t>Technology developments and international harmonisation</w:t>
      </w:r>
      <w:r>
        <w:tab/>
      </w:r>
      <w:r>
        <w:fldChar w:fldCharType="begin"/>
      </w:r>
      <w:r>
        <w:instrText xml:space="preserve"> PAGEREF _Toc46316361 \h </w:instrText>
      </w:r>
      <w:r>
        <w:fldChar w:fldCharType="separate"/>
      </w:r>
      <w:r>
        <w:t>11</w:t>
      </w:r>
      <w:r>
        <w:fldChar w:fldCharType="end"/>
      </w:r>
    </w:p>
    <w:p w14:paraId="624B5A7F" w14:textId="7C73FC1A" w:rsidR="00CC5413" w:rsidRDefault="00CC5413">
      <w:pPr>
        <w:pStyle w:val="TOC2"/>
        <w:rPr>
          <w:rFonts w:asciiTheme="minorHAnsi" w:eastAsiaTheme="minorEastAsia" w:hAnsiTheme="minorHAnsi" w:cstheme="minorBidi"/>
          <w:spacing w:val="0"/>
          <w:sz w:val="22"/>
          <w:szCs w:val="22"/>
        </w:rPr>
      </w:pPr>
      <w:r>
        <w:t>Domestic considerations</w:t>
      </w:r>
      <w:r>
        <w:tab/>
      </w:r>
      <w:r>
        <w:fldChar w:fldCharType="begin"/>
      </w:r>
      <w:r>
        <w:instrText xml:space="preserve"> PAGEREF _Toc46316362 \h </w:instrText>
      </w:r>
      <w:r>
        <w:fldChar w:fldCharType="separate"/>
      </w:r>
      <w:r>
        <w:t>13</w:t>
      </w:r>
      <w:r>
        <w:fldChar w:fldCharType="end"/>
      </w:r>
    </w:p>
    <w:p w14:paraId="7FDB94DF" w14:textId="206AA8CC" w:rsidR="00CC5413" w:rsidRDefault="00CC5413">
      <w:pPr>
        <w:pStyle w:val="TOC2"/>
        <w:rPr>
          <w:rFonts w:asciiTheme="minorHAnsi" w:eastAsiaTheme="minorEastAsia" w:hAnsiTheme="minorHAnsi" w:cstheme="minorBidi"/>
          <w:spacing w:val="0"/>
          <w:sz w:val="22"/>
          <w:szCs w:val="22"/>
        </w:rPr>
      </w:pPr>
      <w:r>
        <w:t>Conclusion</w:t>
      </w:r>
      <w:r>
        <w:tab/>
      </w:r>
      <w:r>
        <w:fldChar w:fldCharType="begin"/>
      </w:r>
      <w:r>
        <w:instrText xml:space="preserve"> PAGEREF _Toc46316363 \h </w:instrText>
      </w:r>
      <w:r>
        <w:fldChar w:fldCharType="separate"/>
      </w:r>
      <w:r>
        <w:t>14</w:t>
      </w:r>
      <w:r>
        <w:fldChar w:fldCharType="end"/>
      </w:r>
    </w:p>
    <w:p w14:paraId="25EB2DF1" w14:textId="41E0ED7E" w:rsidR="00CC5413" w:rsidRDefault="00CC5413">
      <w:pPr>
        <w:pStyle w:val="TOC1"/>
        <w:rPr>
          <w:rFonts w:asciiTheme="minorHAnsi" w:eastAsiaTheme="minorEastAsia" w:hAnsiTheme="minorHAnsi" w:cstheme="minorBidi"/>
          <w:b w:val="0"/>
          <w:spacing w:val="0"/>
          <w:sz w:val="22"/>
          <w:szCs w:val="22"/>
        </w:rPr>
      </w:pPr>
      <w:r>
        <w:t>Desirable planning outcomes</w:t>
      </w:r>
      <w:r>
        <w:tab/>
      </w:r>
      <w:r>
        <w:fldChar w:fldCharType="begin"/>
      </w:r>
      <w:r>
        <w:instrText xml:space="preserve"> PAGEREF _Toc46316364 \h </w:instrText>
      </w:r>
      <w:r>
        <w:fldChar w:fldCharType="separate"/>
      </w:r>
      <w:r>
        <w:t>15</w:t>
      </w:r>
      <w:r>
        <w:fldChar w:fldCharType="end"/>
      </w:r>
    </w:p>
    <w:p w14:paraId="4A4E4500" w14:textId="75D8495B" w:rsidR="00CC5413" w:rsidRDefault="00CC5413">
      <w:pPr>
        <w:pStyle w:val="TOC1"/>
        <w:rPr>
          <w:rFonts w:asciiTheme="minorHAnsi" w:eastAsiaTheme="minorEastAsia" w:hAnsiTheme="minorHAnsi" w:cstheme="minorBidi"/>
          <w:b w:val="0"/>
          <w:spacing w:val="0"/>
          <w:sz w:val="22"/>
          <w:szCs w:val="22"/>
        </w:rPr>
      </w:pPr>
      <w:r>
        <w:t>Replanning options</w:t>
      </w:r>
      <w:r>
        <w:tab/>
      </w:r>
      <w:r>
        <w:fldChar w:fldCharType="begin"/>
      </w:r>
      <w:r>
        <w:instrText xml:space="preserve"> PAGEREF _Toc46316365 \h </w:instrText>
      </w:r>
      <w:r>
        <w:fldChar w:fldCharType="separate"/>
      </w:r>
      <w:r>
        <w:t>16</w:t>
      </w:r>
      <w:r>
        <w:fldChar w:fldCharType="end"/>
      </w:r>
    </w:p>
    <w:p w14:paraId="37B9F1A9" w14:textId="2EC0DF22" w:rsidR="00CC5413" w:rsidRDefault="00CC5413">
      <w:pPr>
        <w:pStyle w:val="TOC2"/>
        <w:rPr>
          <w:rFonts w:asciiTheme="minorHAnsi" w:eastAsiaTheme="minorEastAsia" w:hAnsiTheme="minorHAnsi" w:cstheme="minorBidi"/>
          <w:spacing w:val="0"/>
          <w:sz w:val="22"/>
          <w:szCs w:val="22"/>
        </w:rPr>
      </w:pPr>
      <w:r>
        <w:t>Option 1: Television outside broadcast</w:t>
      </w:r>
      <w:r>
        <w:tab/>
      </w:r>
      <w:r>
        <w:fldChar w:fldCharType="begin"/>
      </w:r>
      <w:r>
        <w:instrText xml:space="preserve"> PAGEREF _Toc46316366 \h </w:instrText>
      </w:r>
      <w:r>
        <w:fldChar w:fldCharType="separate"/>
      </w:r>
      <w:r>
        <w:t>17</w:t>
      </w:r>
      <w:r>
        <w:fldChar w:fldCharType="end"/>
      </w:r>
    </w:p>
    <w:p w14:paraId="7378A001" w14:textId="16E872EF" w:rsidR="00CC5413" w:rsidRDefault="00CC5413">
      <w:pPr>
        <w:pStyle w:val="TOC2"/>
        <w:rPr>
          <w:rFonts w:asciiTheme="minorHAnsi" w:eastAsiaTheme="minorEastAsia" w:hAnsiTheme="minorHAnsi" w:cstheme="minorBidi"/>
          <w:spacing w:val="0"/>
          <w:sz w:val="22"/>
          <w:szCs w:val="22"/>
        </w:rPr>
      </w:pPr>
      <w:r>
        <w:t>Option 2: Wireless broadband</w:t>
      </w:r>
      <w:r>
        <w:tab/>
      </w:r>
      <w:r>
        <w:fldChar w:fldCharType="begin"/>
      </w:r>
      <w:r>
        <w:instrText xml:space="preserve"> PAGEREF _Toc46316367 \h </w:instrText>
      </w:r>
      <w:r>
        <w:fldChar w:fldCharType="separate"/>
      </w:r>
      <w:r>
        <w:t>18</w:t>
      </w:r>
      <w:r>
        <w:fldChar w:fldCharType="end"/>
      </w:r>
    </w:p>
    <w:p w14:paraId="759F4EBB" w14:textId="2B6C8710" w:rsidR="00CC5413" w:rsidRDefault="00CC5413">
      <w:pPr>
        <w:pStyle w:val="TOC2"/>
        <w:rPr>
          <w:rFonts w:asciiTheme="minorHAnsi" w:eastAsiaTheme="minorEastAsia" w:hAnsiTheme="minorHAnsi" w:cstheme="minorBidi"/>
          <w:spacing w:val="0"/>
          <w:sz w:val="22"/>
          <w:szCs w:val="22"/>
        </w:rPr>
      </w:pPr>
      <w:r>
        <w:t xml:space="preserve">Option 3: Mobile-satellite service including complementary </w:t>
      </w:r>
      <w:r>
        <w:br/>
        <w:t>ground component</w:t>
      </w:r>
      <w:r>
        <w:tab/>
      </w:r>
      <w:r>
        <w:fldChar w:fldCharType="begin"/>
      </w:r>
      <w:r>
        <w:instrText xml:space="preserve"> PAGEREF _Toc46316368 \h </w:instrText>
      </w:r>
      <w:r>
        <w:fldChar w:fldCharType="separate"/>
      </w:r>
      <w:r>
        <w:t>19</w:t>
      </w:r>
      <w:r>
        <w:fldChar w:fldCharType="end"/>
      </w:r>
    </w:p>
    <w:p w14:paraId="7B9C4C3F" w14:textId="26AD93C1" w:rsidR="00CC5413" w:rsidRDefault="00CC5413">
      <w:pPr>
        <w:pStyle w:val="TOC2"/>
        <w:rPr>
          <w:rFonts w:asciiTheme="minorHAnsi" w:eastAsiaTheme="minorEastAsia" w:hAnsiTheme="minorHAnsi" w:cstheme="minorBidi"/>
          <w:spacing w:val="0"/>
          <w:sz w:val="22"/>
          <w:szCs w:val="22"/>
        </w:rPr>
      </w:pPr>
      <w:r>
        <w:t>Possible option variations</w:t>
      </w:r>
      <w:r>
        <w:tab/>
      </w:r>
      <w:r>
        <w:fldChar w:fldCharType="begin"/>
      </w:r>
      <w:r>
        <w:instrText xml:space="preserve"> PAGEREF _Toc46316369 \h </w:instrText>
      </w:r>
      <w:r>
        <w:fldChar w:fldCharType="separate"/>
      </w:r>
      <w:r>
        <w:t>21</w:t>
      </w:r>
      <w:r>
        <w:fldChar w:fldCharType="end"/>
      </w:r>
    </w:p>
    <w:p w14:paraId="362617E1" w14:textId="71C9C258" w:rsidR="00CC5413" w:rsidRDefault="00CC5413">
      <w:pPr>
        <w:pStyle w:val="TOC2"/>
        <w:rPr>
          <w:rFonts w:asciiTheme="minorHAnsi" w:eastAsiaTheme="minorEastAsia" w:hAnsiTheme="minorHAnsi" w:cstheme="minorBidi"/>
          <w:spacing w:val="0"/>
          <w:sz w:val="22"/>
          <w:szCs w:val="22"/>
        </w:rPr>
      </w:pPr>
      <w:r>
        <w:t>Implementation considerations</w:t>
      </w:r>
      <w:r>
        <w:tab/>
      </w:r>
      <w:r>
        <w:fldChar w:fldCharType="begin"/>
      </w:r>
      <w:r>
        <w:instrText xml:space="preserve"> PAGEREF _Toc46316370 \h </w:instrText>
      </w:r>
      <w:r>
        <w:fldChar w:fldCharType="separate"/>
      </w:r>
      <w:r>
        <w:t>21</w:t>
      </w:r>
      <w:r>
        <w:fldChar w:fldCharType="end"/>
      </w:r>
    </w:p>
    <w:p w14:paraId="6E6EEA7A" w14:textId="31D37DA4" w:rsidR="00CC5413" w:rsidRDefault="00CC5413">
      <w:pPr>
        <w:pStyle w:val="TOC2"/>
        <w:rPr>
          <w:rFonts w:asciiTheme="minorHAnsi" w:eastAsiaTheme="minorEastAsia" w:hAnsiTheme="minorHAnsi" w:cstheme="minorBidi"/>
          <w:spacing w:val="0"/>
          <w:sz w:val="22"/>
          <w:szCs w:val="22"/>
        </w:rPr>
      </w:pPr>
      <w:r>
        <w:t>Summary of options by service type</w:t>
      </w:r>
      <w:r>
        <w:tab/>
      </w:r>
      <w:r>
        <w:fldChar w:fldCharType="begin"/>
      </w:r>
      <w:r>
        <w:instrText xml:space="preserve"> PAGEREF _Toc46316371 \h </w:instrText>
      </w:r>
      <w:r>
        <w:fldChar w:fldCharType="separate"/>
      </w:r>
      <w:r>
        <w:t>22</w:t>
      </w:r>
      <w:r>
        <w:fldChar w:fldCharType="end"/>
      </w:r>
    </w:p>
    <w:p w14:paraId="30263F0F" w14:textId="2FF6534A" w:rsidR="00CC5413" w:rsidRDefault="00CC5413">
      <w:pPr>
        <w:pStyle w:val="TOC1"/>
        <w:rPr>
          <w:rFonts w:asciiTheme="minorHAnsi" w:eastAsiaTheme="minorEastAsia" w:hAnsiTheme="minorHAnsi" w:cstheme="minorBidi"/>
          <w:b w:val="0"/>
          <w:spacing w:val="0"/>
          <w:sz w:val="22"/>
          <w:szCs w:val="22"/>
        </w:rPr>
      </w:pPr>
      <w:r>
        <w:t>Assessment of options</w:t>
      </w:r>
      <w:r>
        <w:tab/>
      </w:r>
      <w:r>
        <w:fldChar w:fldCharType="begin"/>
      </w:r>
      <w:r>
        <w:instrText xml:space="preserve"> PAGEREF _Toc46316372 \h </w:instrText>
      </w:r>
      <w:r>
        <w:fldChar w:fldCharType="separate"/>
      </w:r>
      <w:r>
        <w:t>23</w:t>
      </w:r>
      <w:r>
        <w:fldChar w:fldCharType="end"/>
      </w:r>
    </w:p>
    <w:p w14:paraId="464DFC4A" w14:textId="56F3901C" w:rsidR="00CC5413" w:rsidRDefault="00CC5413">
      <w:pPr>
        <w:pStyle w:val="TOC2"/>
        <w:rPr>
          <w:rFonts w:asciiTheme="minorHAnsi" w:eastAsiaTheme="minorEastAsia" w:hAnsiTheme="minorHAnsi" w:cstheme="minorBidi"/>
          <w:spacing w:val="0"/>
          <w:sz w:val="22"/>
          <w:szCs w:val="22"/>
        </w:rPr>
      </w:pPr>
      <w:r>
        <w:t>Introduction</w:t>
      </w:r>
      <w:r>
        <w:tab/>
      </w:r>
      <w:r>
        <w:fldChar w:fldCharType="begin"/>
      </w:r>
      <w:r>
        <w:instrText xml:space="preserve"> PAGEREF _Toc46316373 \h </w:instrText>
      </w:r>
      <w:r>
        <w:fldChar w:fldCharType="separate"/>
      </w:r>
      <w:r>
        <w:t>23</w:t>
      </w:r>
      <w:r>
        <w:fldChar w:fldCharType="end"/>
      </w:r>
    </w:p>
    <w:p w14:paraId="38D4748E" w14:textId="6A60B31A" w:rsidR="00CC5413" w:rsidRDefault="00CC5413">
      <w:pPr>
        <w:pStyle w:val="TOC2"/>
        <w:rPr>
          <w:rFonts w:asciiTheme="minorHAnsi" w:eastAsiaTheme="minorEastAsia" w:hAnsiTheme="minorHAnsi" w:cstheme="minorBidi"/>
          <w:spacing w:val="0"/>
          <w:sz w:val="22"/>
          <w:szCs w:val="22"/>
        </w:rPr>
      </w:pPr>
      <w:r>
        <w:t>Assessment against desirable planning outcomes</w:t>
      </w:r>
      <w:r>
        <w:tab/>
      </w:r>
      <w:r>
        <w:fldChar w:fldCharType="begin"/>
      </w:r>
      <w:r>
        <w:instrText xml:space="preserve"> PAGEREF _Toc46316374 \h </w:instrText>
      </w:r>
      <w:r>
        <w:fldChar w:fldCharType="separate"/>
      </w:r>
      <w:r>
        <w:t>23</w:t>
      </w:r>
      <w:r>
        <w:fldChar w:fldCharType="end"/>
      </w:r>
    </w:p>
    <w:p w14:paraId="498844FA" w14:textId="3BDDAA6C" w:rsidR="00CC5413" w:rsidRDefault="00CC5413">
      <w:pPr>
        <w:pStyle w:val="TOC2"/>
        <w:rPr>
          <w:rFonts w:asciiTheme="minorHAnsi" w:eastAsiaTheme="minorEastAsia" w:hAnsiTheme="minorHAnsi" w:cstheme="minorBidi"/>
          <w:spacing w:val="0"/>
          <w:sz w:val="22"/>
          <w:szCs w:val="22"/>
        </w:rPr>
      </w:pPr>
      <w:r>
        <w:t>Quantitative cost-benefit analysis</w:t>
      </w:r>
      <w:r>
        <w:tab/>
      </w:r>
      <w:r>
        <w:fldChar w:fldCharType="begin"/>
      </w:r>
      <w:r>
        <w:instrText xml:space="preserve"> PAGEREF _Toc46316375 \h </w:instrText>
      </w:r>
      <w:r>
        <w:fldChar w:fldCharType="separate"/>
      </w:r>
      <w:r>
        <w:t>25</w:t>
      </w:r>
      <w:r>
        <w:fldChar w:fldCharType="end"/>
      </w:r>
    </w:p>
    <w:p w14:paraId="0BCAF90D" w14:textId="27DD3ED6" w:rsidR="00CC5413" w:rsidRDefault="00CC5413">
      <w:pPr>
        <w:pStyle w:val="TOC2"/>
        <w:rPr>
          <w:rFonts w:asciiTheme="minorHAnsi" w:eastAsiaTheme="minorEastAsia" w:hAnsiTheme="minorHAnsi" w:cstheme="minorBidi"/>
          <w:spacing w:val="0"/>
          <w:sz w:val="22"/>
          <w:szCs w:val="22"/>
        </w:rPr>
      </w:pPr>
      <w:r>
        <w:lastRenderedPageBreak/>
        <w:t>Conclusion</w:t>
      </w:r>
      <w:r>
        <w:tab/>
      </w:r>
      <w:r>
        <w:fldChar w:fldCharType="begin"/>
      </w:r>
      <w:r>
        <w:instrText xml:space="preserve"> PAGEREF _Toc46316376 \h </w:instrText>
      </w:r>
      <w:r>
        <w:fldChar w:fldCharType="separate"/>
      </w:r>
      <w:r>
        <w:t>25</w:t>
      </w:r>
      <w:r>
        <w:fldChar w:fldCharType="end"/>
      </w:r>
    </w:p>
    <w:p w14:paraId="04C10D1E" w14:textId="7C3E8431" w:rsidR="00CC5413" w:rsidRDefault="00CC5413">
      <w:pPr>
        <w:pStyle w:val="TOC1"/>
        <w:rPr>
          <w:rFonts w:asciiTheme="minorHAnsi" w:eastAsiaTheme="minorEastAsia" w:hAnsiTheme="minorHAnsi" w:cstheme="minorBidi"/>
          <w:b w:val="0"/>
          <w:spacing w:val="0"/>
          <w:sz w:val="22"/>
          <w:szCs w:val="22"/>
        </w:rPr>
      </w:pPr>
      <w:r>
        <w:t>Invitation to comment</w:t>
      </w:r>
      <w:r>
        <w:tab/>
      </w:r>
      <w:r>
        <w:fldChar w:fldCharType="begin"/>
      </w:r>
      <w:r>
        <w:instrText xml:space="preserve"> PAGEREF _Toc46316377 \h </w:instrText>
      </w:r>
      <w:r>
        <w:fldChar w:fldCharType="separate"/>
      </w:r>
      <w:r>
        <w:t>27</w:t>
      </w:r>
      <w:r>
        <w:fldChar w:fldCharType="end"/>
      </w:r>
    </w:p>
    <w:p w14:paraId="7D20DD82" w14:textId="7FB439F0" w:rsidR="00CC5413" w:rsidRDefault="00CC5413">
      <w:pPr>
        <w:pStyle w:val="TOC2"/>
        <w:rPr>
          <w:rFonts w:asciiTheme="minorHAnsi" w:eastAsiaTheme="minorEastAsia" w:hAnsiTheme="minorHAnsi" w:cstheme="minorBidi"/>
          <w:spacing w:val="0"/>
          <w:sz w:val="22"/>
          <w:szCs w:val="22"/>
        </w:rPr>
      </w:pPr>
      <w:r>
        <w:t>Making a submission</w:t>
      </w:r>
      <w:r>
        <w:tab/>
      </w:r>
      <w:r>
        <w:fldChar w:fldCharType="begin"/>
      </w:r>
      <w:r>
        <w:instrText xml:space="preserve"> PAGEREF _Toc46316378 \h </w:instrText>
      </w:r>
      <w:r>
        <w:fldChar w:fldCharType="separate"/>
      </w:r>
      <w:r>
        <w:t>27</w:t>
      </w:r>
      <w:r>
        <w:fldChar w:fldCharType="end"/>
      </w:r>
    </w:p>
    <w:p w14:paraId="70DECB78" w14:textId="496E1FF8" w:rsidR="00CC5413" w:rsidRDefault="00CC5413">
      <w:pPr>
        <w:pStyle w:val="TOC1"/>
        <w:rPr>
          <w:rFonts w:asciiTheme="minorHAnsi" w:eastAsiaTheme="minorEastAsia" w:hAnsiTheme="minorHAnsi" w:cstheme="minorBidi"/>
          <w:b w:val="0"/>
          <w:spacing w:val="0"/>
          <w:sz w:val="22"/>
          <w:szCs w:val="22"/>
        </w:rPr>
      </w:pPr>
      <w:r>
        <w:t>Appendix A: Responses to the discussion paper</w:t>
      </w:r>
      <w:r>
        <w:tab/>
      </w:r>
      <w:r>
        <w:fldChar w:fldCharType="begin"/>
      </w:r>
      <w:r>
        <w:instrText xml:space="preserve"> PAGEREF _Toc46316379 \h </w:instrText>
      </w:r>
      <w:r>
        <w:fldChar w:fldCharType="separate"/>
      </w:r>
      <w:r>
        <w:t>28</w:t>
      </w:r>
      <w:r>
        <w:fldChar w:fldCharType="end"/>
      </w:r>
    </w:p>
    <w:p w14:paraId="2E30B58D" w14:textId="2999C419" w:rsidR="00CC5413" w:rsidRDefault="00CC5413">
      <w:pPr>
        <w:pStyle w:val="TOC2"/>
        <w:rPr>
          <w:rFonts w:asciiTheme="minorHAnsi" w:eastAsiaTheme="minorEastAsia" w:hAnsiTheme="minorHAnsi" w:cstheme="minorBidi"/>
          <w:spacing w:val="0"/>
          <w:sz w:val="22"/>
          <w:szCs w:val="22"/>
        </w:rPr>
      </w:pPr>
      <w:r>
        <w:t>Overview</w:t>
      </w:r>
      <w:r>
        <w:tab/>
      </w:r>
      <w:r>
        <w:fldChar w:fldCharType="begin"/>
      </w:r>
      <w:r>
        <w:instrText xml:space="preserve"> PAGEREF _Toc46316380 \h </w:instrText>
      </w:r>
      <w:r>
        <w:fldChar w:fldCharType="separate"/>
      </w:r>
      <w:r>
        <w:t>28</w:t>
      </w:r>
      <w:r>
        <w:fldChar w:fldCharType="end"/>
      </w:r>
    </w:p>
    <w:p w14:paraId="1DB1BEE9" w14:textId="51634519" w:rsidR="00CC5413" w:rsidRDefault="00CC5413">
      <w:pPr>
        <w:pStyle w:val="TOC2"/>
        <w:rPr>
          <w:rFonts w:asciiTheme="minorHAnsi" w:eastAsiaTheme="minorEastAsia" w:hAnsiTheme="minorHAnsi" w:cstheme="minorBidi"/>
          <w:spacing w:val="0"/>
          <w:sz w:val="22"/>
          <w:szCs w:val="22"/>
        </w:rPr>
      </w:pPr>
      <w:r>
        <w:t>Consultation questions</w:t>
      </w:r>
      <w:r>
        <w:tab/>
      </w:r>
      <w:r>
        <w:fldChar w:fldCharType="begin"/>
      </w:r>
      <w:r>
        <w:instrText xml:space="preserve"> PAGEREF _Toc46316381 \h </w:instrText>
      </w:r>
      <w:r>
        <w:fldChar w:fldCharType="separate"/>
      </w:r>
      <w:r>
        <w:t>28</w:t>
      </w:r>
      <w:r>
        <w:fldChar w:fldCharType="end"/>
      </w:r>
    </w:p>
    <w:p w14:paraId="46F5BE92" w14:textId="7CD67FF3" w:rsidR="00CC5413" w:rsidRDefault="00CC5413">
      <w:pPr>
        <w:pStyle w:val="TOC2"/>
        <w:rPr>
          <w:rFonts w:asciiTheme="minorHAnsi" w:eastAsiaTheme="minorEastAsia" w:hAnsiTheme="minorHAnsi" w:cstheme="minorBidi"/>
          <w:spacing w:val="0"/>
          <w:sz w:val="22"/>
          <w:szCs w:val="22"/>
        </w:rPr>
      </w:pPr>
      <w:r>
        <w:t>Summary of responses</w:t>
      </w:r>
      <w:r>
        <w:tab/>
      </w:r>
      <w:r>
        <w:fldChar w:fldCharType="begin"/>
      </w:r>
      <w:r>
        <w:instrText xml:space="preserve"> PAGEREF _Toc46316382 \h </w:instrText>
      </w:r>
      <w:r>
        <w:fldChar w:fldCharType="separate"/>
      </w:r>
      <w:r>
        <w:t>28</w:t>
      </w:r>
      <w:r>
        <w:fldChar w:fldCharType="end"/>
      </w:r>
    </w:p>
    <w:p w14:paraId="5C9CBD48" w14:textId="1693940F" w:rsidR="00CC5413" w:rsidRDefault="00CC5413">
      <w:pPr>
        <w:pStyle w:val="TOC1"/>
        <w:rPr>
          <w:rFonts w:asciiTheme="minorHAnsi" w:eastAsiaTheme="minorEastAsia" w:hAnsiTheme="minorHAnsi" w:cstheme="minorBidi"/>
          <w:b w:val="0"/>
          <w:spacing w:val="0"/>
          <w:sz w:val="22"/>
          <w:szCs w:val="22"/>
        </w:rPr>
      </w:pPr>
      <w:r>
        <w:t>Appendix B: Domestic considerations</w:t>
      </w:r>
      <w:r>
        <w:tab/>
      </w:r>
      <w:r>
        <w:fldChar w:fldCharType="begin"/>
      </w:r>
      <w:r>
        <w:instrText xml:space="preserve"> PAGEREF _Toc46316383 \h </w:instrText>
      </w:r>
      <w:r>
        <w:fldChar w:fldCharType="separate"/>
      </w:r>
      <w:r>
        <w:t>33</w:t>
      </w:r>
      <w:r>
        <w:fldChar w:fldCharType="end"/>
      </w:r>
    </w:p>
    <w:p w14:paraId="04164F9F" w14:textId="49C08306" w:rsidR="00CC5413" w:rsidRDefault="00CC5413">
      <w:pPr>
        <w:pStyle w:val="TOC2"/>
        <w:rPr>
          <w:rFonts w:asciiTheme="minorHAnsi" w:eastAsiaTheme="minorEastAsia" w:hAnsiTheme="minorHAnsi" w:cstheme="minorBidi"/>
          <w:spacing w:val="0"/>
          <w:sz w:val="22"/>
          <w:szCs w:val="22"/>
        </w:rPr>
      </w:pPr>
      <w:r>
        <w:t>History and current arrangements</w:t>
      </w:r>
      <w:r>
        <w:tab/>
      </w:r>
      <w:r>
        <w:fldChar w:fldCharType="begin"/>
      </w:r>
      <w:r>
        <w:instrText xml:space="preserve"> PAGEREF _Toc46316384 \h </w:instrText>
      </w:r>
      <w:r>
        <w:fldChar w:fldCharType="separate"/>
      </w:r>
      <w:r>
        <w:t>33</w:t>
      </w:r>
      <w:r>
        <w:fldChar w:fldCharType="end"/>
      </w:r>
    </w:p>
    <w:p w14:paraId="66F93FC8" w14:textId="774A7D21" w:rsidR="00CC5413" w:rsidRDefault="00CC5413">
      <w:pPr>
        <w:pStyle w:val="TOC2"/>
        <w:rPr>
          <w:rFonts w:asciiTheme="minorHAnsi" w:eastAsiaTheme="minorEastAsia" w:hAnsiTheme="minorHAnsi" w:cstheme="minorBidi"/>
          <w:spacing w:val="0"/>
          <w:sz w:val="22"/>
          <w:szCs w:val="22"/>
        </w:rPr>
      </w:pPr>
      <w:r>
        <w:t>Television outside broadcast spectrum considerations</w:t>
      </w:r>
      <w:r>
        <w:tab/>
      </w:r>
      <w:r>
        <w:fldChar w:fldCharType="begin"/>
      </w:r>
      <w:r>
        <w:instrText xml:space="preserve"> PAGEREF _Toc46316385 \h </w:instrText>
      </w:r>
      <w:r>
        <w:fldChar w:fldCharType="separate"/>
      </w:r>
      <w:r>
        <w:t>34</w:t>
      </w:r>
      <w:r>
        <w:fldChar w:fldCharType="end"/>
      </w:r>
    </w:p>
    <w:p w14:paraId="0310BE44" w14:textId="40599B47" w:rsidR="00CC5413" w:rsidRDefault="00CC5413">
      <w:pPr>
        <w:pStyle w:val="TOC2"/>
        <w:rPr>
          <w:rFonts w:asciiTheme="minorHAnsi" w:eastAsiaTheme="minorEastAsia" w:hAnsiTheme="minorHAnsi" w:cstheme="minorBidi"/>
          <w:spacing w:val="0"/>
          <w:sz w:val="22"/>
          <w:szCs w:val="22"/>
        </w:rPr>
      </w:pPr>
      <w:r>
        <w:t>Mobile-satellite spectrum considerations</w:t>
      </w:r>
      <w:r>
        <w:tab/>
      </w:r>
      <w:r>
        <w:fldChar w:fldCharType="begin"/>
      </w:r>
      <w:r>
        <w:instrText xml:space="preserve"> PAGEREF _Toc46316386 \h </w:instrText>
      </w:r>
      <w:r>
        <w:fldChar w:fldCharType="separate"/>
      </w:r>
      <w:r>
        <w:t>36</w:t>
      </w:r>
      <w:r>
        <w:fldChar w:fldCharType="end"/>
      </w:r>
    </w:p>
    <w:p w14:paraId="345FEBAE" w14:textId="41428D6D" w:rsidR="00CC5413" w:rsidRDefault="00CC5413">
      <w:pPr>
        <w:pStyle w:val="TOC2"/>
        <w:rPr>
          <w:rFonts w:asciiTheme="minorHAnsi" w:eastAsiaTheme="minorEastAsia" w:hAnsiTheme="minorHAnsi" w:cstheme="minorBidi"/>
          <w:spacing w:val="0"/>
          <w:sz w:val="22"/>
          <w:szCs w:val="22"/>
        </w:rPr>
      </w:pPr>
      <w:r>
        <w:t>Wireless broadband</w:t>
      </w:r>
      <w:r>
        <w:tab/>
      </w:r>
      <w:r>
        <w:fldChar w:fldCharType="begin"/>
      </w:r>
      <w:r>
        <w:instrText xml:space="preserve"> PAGEREF _Toc46316387 \h </w:instrText>
      </w:r>
      <w:r>
        <w:fldChar w:fldCharType="separate"/>
      </w:r>
      <w:r>
        <w:t>38</w:t>
      </w:r>
      <w:r>
        <w:fldChar w:fldCharType="end"/>
      </w:r>
    </w:p>
    <w:p w14:paraId="5EE135CC" w14:textId="7A979090" w:rsidR="00CC5413" w:rsidRDefault="00CC5413">
      <w:pPr>
        <w:pStyle w:val="TOC2"/>
        <w:rPr>
          <w:rFonts w:asciiTheme="minorHAnsi" w:eastAsiaTheme="minorEastAsia" w:hAnsiTheme="minorHAnsi" w:cstheme="minorBidi"/>
          <w:spacing w:val="0"/>
          <w:sz w:val="22"/>
          <w:szCs w:val="22"/>
        </w:rPr>
      </w:pPr>
      <w:r>
        <w:t>Complementary ground component</w:t>
      </w:r>
      <w:r>
        <w:tab/>
      </w:r>
      <w:r>
        <w:fldChar w:fldCharType="begin"/>
      </w:r>
      <w:r>
        <w:instrText xml:space="preserve"> PAGEREF _Toc46316388 \h </w:instrText>
      </w:r>
      <w:r>
        <w:fldChar w:fldCharType="separate"/>
      </w:r>
      <w:r>
        <w:t>38</w:t>
      </w:r>
      <w:r>
        <w:fldChar w:fldCharType="end"/>
      </w:r>
    </w:p>
    <w:p w14:paraId="00D9BDD0" w14:textId="74242A36" w:rsidR="00CC5413" w:rsidRDefault="00CC5413">
      <w:pPr>
        <w:pStyle w:val="TOC2"/>
        <w:rPr>
          <w:rFonts w:asciiTheme="minorHAnsi" w:eastAsiaTheme="minorEastAsia" w:hAnsiTheme="minorHAnsi" w:cstheme="minorBidi"/>
          <w:spacing w:val="0"/>
          <w:sz w:val="22"/>
          <w:szCs w:val="22"/>
        </w:rPr>
      </w:pPr>
      <w:r>
        <w:t>Direct air-to-ground communications spectrum considerations</w:t>
      </w:r>
      <w:r>
        <w:tab/>
      </w:r>
      <w:r>
        <w:fldChar w:fldCharType="begin"/>
      </w:r>
      <w:r>
        <w:instrText xml:space="preserve"> PAGEREF _Toc46316389 \h </w:instrText>
      </w:r>
      <w:r>
        <w:fldChar w:fldCharType="separate"/>
      </w:r>
      <w:r>
        <w:t>39</w:t>
      </w:r>
      <w:r>
        <w:fldChar w:fldCharType="end"/>
      </w:r>
    </w:p>
    <w:p w14:paraId="3C537ADA" w14:textId="023A5C18" w:rsidR="00CC5413" w:rsidRDefault="00CC5413">
      <w:pPr>
        <w:pStyle w:val="TOC2"/>
        <w:rPr>
          <w:rFonts w:asciiTheme="minorHAnsi" w:eastAsiaTheme="minorEastAsia" w:hAnsiTheme="minorHAnsi" w:cstheme="minorBidi"/>
          <w:spacing w:val="0"/>
          <w:sz w:val="22"/>
          <w:szCs w:val="22"/>
        </w:rPr>
      </w:pPr>
      <w:r>
        <w:t>Mobile-satellite service regulatory and licensing considerations</w:t>
      </w:r>
      <w:r>
        <w:tab/>
      </w:r>
      <w:r>
        <w:fldChar w:fldCharType="begin"/>
      </w:r>
      <w:r>
        <w:instrText xml:space="preserve"> PAGEREF _Toc46316390 \h </w:instrText>
      </w:r>
      <w:r>
        <w:fldChar w:fldCharType="separate"/>
      </w:r>
      <w:r>
        <w:t>40</w:t>
      </w:r>
      <w:r>
        <w:fldChar w:fldCharType="end"/>
      </w:r>
    </w:p>
    <w:p w14:paraId="699CD011" w14:textId="2B4BBD72" w:rsidR="00CC5413" w:rsidRDefault="00CC5413">
      <w:pPr>
        <w:pStyle w:val="TOC2"/>
        <w:rPr>
          <w:rFonts w:asciiTheme="minorHAnsi" w:eastAsiaTheme="minorEastAsia" w:hAnsiTheme="minorHAnsi" w:cstheme="minorBidi"/>
          <w:spacing w:val="0"/>
          <w:sz w:val="22"/>
          <w:szCs w:val="22"/>
        </w:rPr>
      </w:pPr>
      <w:r>
        <w:t>Consideration of spectrum options for other services in the 2 GHz band</w:t>
      </w:r>
      <w:r>
        <w:tab/>
      </w:r>
      <w:r>
        <w:fldChar w:fldCharType="begin"/>
      </w:r>
      <w:r>
        <w:instrText xml:space="preserve"> PAGEREF _Toc46316391 \h </w:instrText>
      </w:r>
      <w:r>
        <w:fldChar w:fldCharType="separate"/>
      </w:r>
      <w:r>
        <w:t>43</w:t>
      </w:r>
      <w:r>
        <w:fldChar w:fldCharType="end"/>
      </w:r>
    </w:p>
    <w:p w14:paraId="3FE6FD6F" w14:textId="43FE84A7" w:rsidR="00CC5413" w:rsidRDefault="00CC5413">
      <w:pPr>
        <w:pStyle w:val="TOC1"/>
        <w:rPr>
          <w:rFonts w:asciiTheme="minorHAnsi" w:eastAsiaTheme="minorEastAsia" w:hAnsiTheme="minorHAnsi" w:cstheme="minorBidi"/>
          <w:b w:val="0"/>
          <w:spacing w:val="0"/>
          <w:sz w:val="22"/>
          <w:szCs w:val="22"/>
        </w:rPr>
      </w:pPr>
      <w:r>
        <w:t>Appendix C: Technical issues</w:t>
      </w:r>
      <w:r>
        <w:tab/>
      </w:r>
      <w:r>
        <w:fldChar w:fldCharType="begin"/>
      </w:r>
      <w:r>
        <w:instrText xml:space="preserve"> PAGEREF _Toc46316392 \h </w:instrText>
      </w:r>
      <w:r>
        <w:fldChar w:fldCharType="separate"/>
      </w:r>
      <w:r>
        <w:t>44</w:t>
      </w:r>
      <w:r>
        <w:fldChar w:fldCharType="end"/>
      </w:r>
    </w:p>
    <w:p w14:paraId="1B955C53" w14:textId="4E6402A7" w:rsidR="00CC5413" w:rsidRDefault="00CC5413">
      <w:pPr>
        <w:pStyle w:val="TOC2"/>
        <w:rPr>
          <w:rFonts w:asciiTheme="minorHAnsi" w:eastAsiaTheme="minorEastAsia" w:hAnsiTheme="minorHAnsi" w:cstheme="minorBidi"/>
          <w:spacing w:val="0"/>
          <w:sz w:val="22"/>
          <w:szCs w:val="22"/>
        </w:rPr>
      </w:pPr>
      <w:r>
        <w:t>Mobile-satellite and wireless broadband services</w:t>
      </w:r>
      <w:r>
        <w:tab/>
      </w:r>
      <w:r>
        <w:fldChar w:fldCharType="begin"/>
      </w:r>
      <w:r>
        <w:instrText xml:space="preserve"> PAGEREF _Toc46316393 \h </w:instrText>
      </w:r>
      <w:r>
        <w:fldChar w:fldCharType="separate"/>
      </w:r>
      <w:r>
        <w:t>44</w:t>
      </w:r>
      <w:r>
        <w:fldChar w:fldCharType="end"/>
      </w:r>
    </w:p>
    <w:p w14:paraId="4C039D31" w14:textId="11481A6B" w:rsidR="00CC5413" w:rsidRDefault="00CC5413">
      <w:pPr>
        <w:pStyle w:val="TOC2"/>
        <w:rPr>
          <w:rFonts w:asciiTheme="minorHAnsi" w:eastAsiaTheme="minorEastAsia" w:hAnsiTheme="minorHAnsi" w:cstheme="minorBidi"/>
          <w:spacing w:val="0"/>
          <w:sz w:val="22"/>
          <w:szCs w:val="22"/>
        </w:rPr>
      </w:pPr>
      <w:r>
        <w:t>Television outside broadcast and wireless broadband services</w:t>
      </w:r>
      <w:r>
        <w:tab/>
      </w:r>
      <w:r>
        <w:fldChar w:fldCharType="begin"/>
      </w:r>
      <w:r>
        <w:instrText xml:space="preserve"> PAGEREF _Toc46316394 \h </w:instrText>
      </w:r>
      <w:r>
        <w:fldChar w:fldCharType="separate"/>
      </w:r>
      <w:r>
        <w:t>47</w:t>
      </w:r>
      <w:r>
        <w:fldChar w:fldCharType="end"/>
      </w:r>
    </w:p>
    <w:p w14:paraId="41B22DC1" w14:textId="5B7B43F3" w:rsidR="00CC5413" w:rsidRDefault="00CC5413">
      <w:pPr>
        <w:pStyle w:val="TOC2"/>
        <w:rPr>
          <w:rFonts w:asciiTheme="minorHAnsi" w:eastAsiaTheme="minorEastAsia" w:hAnsiTheme="minorHAnsi" w:cstheme="minorBidi"/>
          <w:spacing w:val="0"/>
          <w:sz w:val="22"/>
          <w:szCs w:val="22"/>
        </w:rPr>
      </w:pPr>
      <w:r>
        <w:t>Adjacent band compatibility</w:t>
      </w:r>
      <w:r>
        <w:tab/>
      </w:r>
      <w:r>
        <w:fldChar w:fldCharType="begin"/>
      </w:r>
      <w:r>
        <w:instrText xml:space="preserve"> PAGEREF _Toc46316395 \h </w:instrText>
      </w:r>
      <w:r>
        <w:fldChar w:fldCharType="separate"/>
      </w:r>
      <w:r>
        <w:t>48</w:t>
      </w:r>
      <w:r>
        <w:fldChar w:fldCharType="end"/>
      </w:r>
    </w:p>
    <w:p w14:paraId="6B920D7E" w14:textId="227C5136" w:rsidR="00CC5413" w:rsidRDefault="00CC5413">
      <w:pPr>
        <w:pStyle w:val="TOC2"/>
        <w:rPr>
          <w:rFonts w:asciiTheme="minorHAnsi" w:eastAsiaTheme="minorEastAsia" w:hAnsiTheme="minorHAnsi" w:cstheme="minorBidi"/>
          <w:spacing w:val="0"/>
          <w:sz w:val="22"/>
          <w:szCs w:val="22"/>
        </w:rPr>
      </w:pPr>
      <w:r>
        <w:t>Coordination with other services</w:t>
      </w:r>
      <w:r>
        <w:tab/>
      </w:r>
      <w:r>
        <w:fldChar w:fldCharType="begin"/>
      </w:r>
      <w:r>
        <w:instrText xml:space="preserve"> PAGEREF _Toc46316396 \h </w:instrText>
      </w:r>
      <w:r>
        <w:fldChar w:fldCharType="separate"/>
      </w:r>
      <w:r>
        <w:t>49</w:t>
      </w:r>
      <w:r>
        <w:fldChar w:fldCharType="end"/>
      </w:r>
    </w:p>
    <w:p w14:paraId="5D1C8672" w14:textId="17A81D98" w:rsidR="00CC5413" w:rsidRDefault="00CC5413">
      <w:pPr>
        <w:pStyle w:val="TOC1"/>
        <w:rPr>
          <w:rFonts w:asciiTheme="minorHAnsi" w:eastAsiaTheme="minorEastAsia" w:hAnsiTheme="minorHAnsi" w:cstheme="minorBidi"/>
          <w:b w:val="0"/>
          <w:spacing w:val="0"/>
          <w:sz w:val="22"/>
          <w:szCs w:val="22"/>
        </w:rPr>
      </w:pPr>
      <w:r>
        <w:t>Appendix D: Spectrum arrangements and licensing statistics</w:t>
      </w:r>
      <w:r>
        <w:tab/>
      </w:r>
      <w:r>
        <w:fldChar w:fldCharType="begin"/>
      </w:r>
      <w:r>
        <w:instrText xml:space="preserve"> PAGEREF _Toc46316397 \h </w:instrText>
      </w:r>
      <w:r>
        <w:fldChar w:fldCharType="separate"/>
      </w:r>
      <w:r>
        <w:t>50</w:t>
      </w:r>
      <w:r>
        <w:fldChar w:fldCharType="end"/>
      </w:r>
    </w:p>
    <w:p w14:paraId="2A5E9E01" w14:textId="169F6DE4" w:rsidR="00CC5413" w:rsidRDefault="00CC5413">
      <w:pPr>
        <w:pStyle w:val="TOC1"/>
        <w:rPr>
          <w:rFonts w:asciiTheme="minorHAnsi" w:eastAsiaTheme="minorEastAsia" w:hAnsiTheme="minorHAnsi" w:cstheme="minorBidi"/>
          <w:b w:val="0"/>
          <w:spacing w:val="0"/>
          <w:sz w:val="22"/>
          <w:szCs w:val="22"/>
        </w:rPr>
      </w:pPr>
      <w:r>
        <w:t>Appendix E: Television outside broadcast and wireless broadband sharing study</w:t>
      </w:r>
      <w:r>
        <w:tab/>
      </w:r>
      <w:r>
        <w:fldChar w:fldCharType="begin"/>
      </w:r>
      <w:r>
        <w:instrText xml:space="preserve"> PAGEREF _Toc46316398 \h </w:instrText>
      </w:r>
      <w:r>
        <w:fldChar w:fldCharType="separate"/>
      </w:r>
      <w:r>
        <w:t>55</w:t>
      </w:r>
      <w:r>
        <w:fldChar w:fldCharType="end"/>
      </w:r>
    </w:p>
    <w:p w14:paraId="0AE056FF" w14:textId="53CBBB65" w:rsidR="00CC5413" w:rsidRDefault="00CC5413">
      <w:pPr>
        <w:pStyle w:val="TOC2"/>
        <w:rPr>
          <w:rFonts w:asciiTheme="minorHAnsi" w:eastAsiaTheme="minorEastAsia" w:hAnsiTheme="minorHAnsi" w:cstheme="minorBidi"/>
          <w:spacing w:val="0"/>
          <w:sz w:val="22"/>
          <w:szCs w:val="22"/>
        </w:rPr>
      </w:pPr>
      <w:r>
        <w:t>Study parameters</w:t>
      </w:r>
      <w:r>
        <w:tab/>
      </w:r>
      <w:r>
        <w:fldChar w:fldCharType="begin"/>
      </w:r>
      <w:r>
        <w:instrText xml:space="preserve"> PAGEREF _Toc46316399 \h </w:instrText>
      </w:r>
      <w:r>
        <w:fldChar w:fldCharType="separate"/>
      </w:r>
      <w:r>
        <w:t>55</w:t>
      </w:r>
      <w:r>
        <w:fldChar w:fldCharType="end"/>
      </w:r>
    </w:p>
    <w:p w14:paraId="5B7624D0" w14:textId="7D86428E" w:rsidR="00CC5413" w:rsidRDefault="00CC5413">
      <w:pPr>
        <w:pStyle w:val="TOC2"/>
        <w:rPr>
          <w:rFonts w:asciiTheme="minorHAnsi" w:eastAsiaTheme="minorEastAsia" w:hAnsiTheme="minorHAnsi" w:cstheme="minorBidi"/>
          <w:spacing w:val="0"/>
          <w:sz w:val="22"/>
          <w:szCs w:val="22"/>
        </w:rPr>
      </w:pPr>
      <w:r>
        <w:t>Results</w:t>
      </w:r>
      <w:r>
        <w:tab/>
      </w:r>
      <w:r>
        <w:tab/>
      </w:r>
      <w:r>
        <w:fldChar w:fldCharType="begin"/>
      </w:r>
      <w:r>
        <w:instrText xml:space="preserve"> PAGEREF _Toc46316400 \h </w:instrText>
      </w:r>
      <w:r>
        <w:fldChar w:fldCharType="separate"/>
      </w:r>
      <w:r>
        <w:t>57</w:t>
      </w:r>
      <w:r>
        <w:fldChar w:fldCharType="end"/>
      </w:r>
    </w:p>
    <w:p w14:paraId="5E6F37E5" w14:textId="7714EFEA" w:rsidR="00CC5413" w:rsidRDefault="00CC5413">
      <w:pPr>
        <w:pStyle w:val="TOC1"/>
        <w:rPr>
          <w:rFonts w:asciiTheme="minorHAnsi" w:eastAsiaTheme="minorEastAsia" w:hAnsiTheme="minorHAnsi" w:cstheme="minorBidi"/>
          <w:b w:val="0"/>
          <w:spacing w:val="0"/>
          <w:sz w:val="22"/>
          <w:szCs w:val="22"/>
        </w:rPr>
      </w:pPr>
      <w:r>
        <w:lastRenderedPageBreak/>
        <w:t>Appendix F: Geographical area descriptions</w:t>
      </w:r>
      <w:r>
        <w:tab/>
      </w:r>
      <w:r>
        <w:fldChar w:fldCharType="begin"/>
      </w:r>
      <w:r>
        <w:instrText xml:space="preserve"> PAGEREF _Toc46316401 \h </w:instrText>
      </w:r>
      <w:r>
        <w:fldChar w:fldCharType="separate"/>
      </w:r>
      <w:r>
        <w:t>59</w:t>
      </w:r>
      <w:r>
        <w:fldChar w:fldCharType="end"/>
      </w:r>
    </w:p>
    <w:p w14:paraId="6BC04174" w14:textId="572BDDFD" w:rsidR="00CC5413" w:rsidRDefault="00CC5413">
      <w:pPr>
        <w:pStyle w:val="TOC1"/>
        <w:rPr>
          <w:rFonts w:asciiTheme="minorHAnsi" w:eastAsiaTheme="minorEastAsia" w:hAnsiTheme="minorHAnsi" w:cstheme="minorBidi"/>
          <w:b w:val="0"/>
          <w:spacing w:val="0"/>
          <w:sz w:val="22"/>
          <w:szCs w:val="22"/>
        </w:rPr>
      </w:pPr>
      <w:r>
        <w:t>Appendix G: Cost-benefit analysis</w:t>
      </w:r>
      <w:r>
        <w:tab/>
      </w:r>
      <w:r>
        <w:fldChar w:fldCharType="begin"/>
      </w:r>
      <w:r>
        <w:instrText xml:space="preserve"> PAGEREF _Toc46316402 \h </w:instrText>
      </w:r>
      <w:r>
        <w:fldChar w:fldCharType="separate"/>
      </w:r>
      <w:r>
        <w:t>62</w:t>
      </w:r>
      <w:r>
        <w:fldChar w:fldCharType="end"/>
      </w:r>
    </w:p>
    <w:p w14:paraId="499BE33F" w14:textId="6B4E019D" w:rsidR="00CC5413" w:rsidRDefault="00CC5413">
      <w:pPr>
        <w:pStyle w:val="TOC2"/>
        <w:rPr>
          <w:rFonts w:asciiTheme="minorHAnsi" w:eastAsiaTheme="minorEastAsia" w:hAnsiTheme="minorHAnsi" w:cstheme="minorBidi"/>
          <w:spacing w:val="0"/>
          <w:sz w:val="22"/>
          <w:szCs w:val="22"/>
        </w:rPr>
      </w:pPr>
      <w:r>
        <w:t>Results summary</w:t>
      </w:r>
      <w:r>
        <w:tab/>
      </w:r>
      <w:r>
        <w:fldChar w:fldCharType="begin"/>
      </w:r>
      <w:r>
        <w:instrText xml:space="preserve"> PAGEREF _Toc46316403 \h </w:instrText>
      </w:r>
      <w:r>
        <w:fldChar w:fldCharType="separate"/>
      </w:r>
      <w:r>
        <w:t>62</w:t>
      </w:r>
      <w:r>
        <w:fldChar w:fldCharType="end"/>
      </w:r>
    </w:p>
    <w:p w14:paraId="7C69B522" w14:textId="58917681" w:rsidR="00CC5413" w:rsidRDefault="00CC5413">
      <w:pPr>
        <w:pStyle w:val="TOC2"/>
        <w:rPr>
          <w:rFonts w:asciiTheme="minorHAnsi" w:eastAsiaTheme="minorEastAsia" w:hAnsiTheme="minorHAnsi" w:cstheme="minorBidi"/>
          <w:spacing w:val="0"/>
          <w:sz w:val="22"/>
          <w:szCs w:val="22"/>
        </w:rPr>
      </w:pPr>
      <w:r>
        <w:t>Cost-benefit inputs for each option</w:t>
      </w:r>
      <w:r>
        <w:tab/>
      </w:r>
      <w:r>
        <w:fldChar w:fldCharType="begin"/>
      </w:r>
      <w:r>
        <w:instrText xml:space="preserve"> PAGEREF _Toc46316404 \h </w:instrText>
      </w:r>
      <w:r>
        <w:fldChar w:fldCharType="separate"/>
      </w:r>
      <w:r>
        <w:t>63</w:t>
      </w:r>
      <w:r>
        <w:fldChar w:fldCharType="end"/>
      </w:r>
    </w:p>
    <w:p w14:paraId="7E56E3F7" w14:textId="541AB954" w:rsidR="00CC5413" w:rsidRDefault="00CC5413">
      <w:pPr>
        <w:pStyle w:val="TOC2"/>
        <w:rPr>
          <w:rFonts w:asciiTheme="minorHAnsi" w:eastAsiaTheme="minorEastAsia" w:hAnsiTheme="minorHAnsi" w:cstheme="minorBidi"/>
          <w:spacing w:val="0"/>
          <w:sz w:val="22"/>
          <w:szCs w:val="22"/>
        </w:rPr>
      </w:pPr>
      <w:r>
        <w:t>Option comparison</w:t>
      </w:r>
      <w:r>
        <w:tab/>
      </w:r>
      <w:r>
        <w:fldChar w:fldCharType="begin"/>
      </w:r>
      <w:r>
        <w:instrText xml:space="preserve"> PAGEREF _Toc46316405 \h </w:instrText>
      </w:r>
      <w:r>
        <w:fldChar w:fldCharType="separate"/>
      </w:r>
      <w:r>
        <w:t>70</w:t>
      </w:r>
      <w:r>
        <w:fldChar w:fldCharType="end"/>
      </w:r>
    </w:p>
    <w:p w14:paraId="66747C6E" w14:textId="7611FEE5" w:rsidR="00CC5413" w:rsidRDefault="00CC5413">
      <w:pPr>
        <w:pStyle w:val="TOC2"/>
        <w:rPr>
          <w:rFonts w:asciiTheme="minorHAnsi" w:eastAsiaTheme="minorEastAsia" w:hAnsiTheme="minorHAnsi" w:cstheme="minorBidi"/>
          <w:spacing w:val="0"/>
          <w:sz w:val="22"/>
          <w:szCs w:val="22"/>
        </w:rPr>
      </w:pPr>
      <w:r>
        <w:t>Cost-benefit analysis methodology</w:t>
      </w:r>
      <w:r>
        <w:tab/>
      </w:r>
      <w:r>
        <w:fldChar w:fldCharType="begin"/>
      </w:r>
      <w:r>
        <w:instrText xml:space="preserve"> PAGEREF _Toc46316406 \h </w:instrText>
      </w:r>
      <w:r>
        <w:fldChar w:fldCharType="separate"/>
      </w:r>
      <w:r>
        <w:t>72</w:t>
      </w:r>
      <w:r>
        <w:fldChar w:fldCharType="end"/>
      </w:r>
    </w:p>
    <w:p w14:paraId="0D9926A8" w14:textId="1DD671FD" w:rsidR="004D56FF" w:rsidRPr="001F7DED" w:rsidRDefault="00C65F61">
      <w:pPr>
        <w:rPr>
          <w:rFonts w:cs="Arial"/>
        </w:rPr>
        <w:sectPr w:rsidR="004D56FF" w:rsidRPr="001F7DED" w:rsidSect="00C77380">
          <w:headerReference w:type="even" r:id="rId21"/>
          <w:headerReference w:type="default" r:id="rId22"/>
          <w:footerReference w:type="even" r:id="rId23"/>
          <w:footerReference w:type="default" r:id="rId24"/>
          <w:footerReference w:type="first" r:id="rId25"/>
          <w:pgSz w:w="11906" w:h="16838" w:code="9"/>
          <w:pgMar w:top="3646" w:right="3101" w:bottom="1134" w:left="1134" w:header="709" w:footer="119" w:gutter="0"/>
          <w:cols w:space="708"/>
          <w:titlePg/>
          <w:docGrid w:linePitch="360"/>
        </w:sectPr>
      </w:pPr>
      <w:r w:rsidRPr="001F7DED">
        <w:rPr>
          <w:rFonts w:cs="Arial"/>
          <w:b/>
          <w:noProof/>
          <w:spacing w:val="-14"/>
          <w:sz w:val="28"/>
        </w:rPr>
        <w:fldChar w:fldCharType="end"/>
      </w:r>
    </w:p>
    <w:p w14:paraId="476CC1D7" w14:textId="7D44D956" w:rsidR="009D6C71" w:rsidRPr="001F7DED" w:rsidRDefault="009D6C71" w:rsidP="009174F3">
      <w:pPr>
        <w:pStyle w:val="Execsummaryheading"/>
      </w:pPr>
      <w:bookmarkStart w:id="0" w:name="_Toc46316350"/>
      <w:r w:rsidRPr="001F7DED">
        <w:lastRenderedPageBreak/>
        <w:t>Executive summary</w:t>
      </w:r>
      <w:bookmarkEnd w:id="0"/>
    </w:p>
    <w:p w14:paraId="5887D3C3" w14:textId="7950D086" w:rsidR="00EF52F4" w:rsidRDefault="002F35F8" w:rsidP="00354FD6">
      <w:r>
        <w:t>In 2012 th</w:t>
      </w:r>
      <w:r w:rsidR="00AA32BF">
        <w:t xml:space="preserve">e </w:t>
      </w:r>
      <w:r w:rsidR="00157023">
        <w:t>Australian Communication and Media Authority</w:t>
      </w:r>
      <w:r w:rsidR="00D27008">
        <w:t xml:space="preserve"> (</w:t>
      </w:r>
      <w:r w:rsidR="00AA32BF">
        <w:t>ACMA</w:t>
      </w:r>
      <w:r w:rsidR="00D27008">
        <w:t>)</w:t>
      </w:r>
      <w:r w:rsidR="00F1609B">
        <w:t xml:space="preserve"> provided interim access to the </w:t>
      </w:r>
      <w:r w:rsidR="00EF52F4">
        <w:t>2 GHz band (19</w:t>
      </w:r>
      <w:r w:rsidR="3DD7DBE0">
        <w:t>8</w:t>
      </w:r>
      <w:r w:rsidR="00EF52F4">
        <w:t>0</w:t>
      </w:r>
      <w:r w:rsidR="009B3390">
        <w:t>–</w:t>
      </w:r>
      <w:r w:rsidR="00EF52F4">
        <w:t>2010</w:t>
      </w:r>
      <w:r w:rsidR="009B3390">
        <w:t xml:space="preserve"> MHz and </w:t>
      </w:r>
      <w:r w:rsidR="00EF52F4">
        <w:t>2170</w:t>
      </w:r>
      <w:r w:rsidR="009B3390">
        <w:t>–</w:t>
      </w:r>
      <w:r w:rsidR="00EF52F4">
        <w:t>2200</w:t>
      </w:r>
      <w:r w:rsidR="009B3390">
        <w:t> </w:t>
      </w:r>
      <w:r w:rsidR="00EF52F4">
        <w:t xml:space="preserve">MHz) </w:t>
      </w:r>
      <w:r w:rsidR="00F1609B">
        <w:t xml:space="preserve">for </w:t>
      </w:r>
      <w:r w:rsidR="00EF52F4">
        <w:t xml:space="preserve">television outside broadcast </w:t>
      </w:r>
      <w:r w:rsidR="00A40602">
        <w:t xml:space="preserve">(TOB) </w:t>
      </w:r>
      <w:r w:rsidR="00EF52F4">
        <w:t>services</w:t>
      </w:r>
      <w:r w:rsidR="00201A31">
        <w:t xml:space="preserve">, </w:t>
      </w:r>
      <w:r w:rsidR="00EF52F4">
        <w:t>pending a future review of the long-term arrangements for the band.</w:t>
      </w:r>
      <w:r w:rsidR="009B3390">
        <w:t xml:space="preserve"> </w:t>
      </w:r>
      <w:r w:rsidR="0094746E">
        <w:t xml:space="preserve"> </w:t>
      </w:r>
      <w:r w:rsidR="000F55CF">
        <w:t>Provid</w:t>
      </w:r>
      <w:r w:rsidR="003A18C3">
        <w:t>ing</w:t>
      </w:r>
      <w:r w:rsidR="0094746E">
        <w:t xml:space="preserve"> interim </w:t>
      </w:r>
      <w:r w:rsidR="008E1885">
        <w:t>a</w:t>
      </w:r>
      <w:r w:rsidR="00FF1F5B">
        <w:t xml:space="preserve">ccess </w:t>
      </w:r>
      <w:r w:rsidR="00BD4CE0">
        <w:t xml:space="preserve">for </w:t>
      </w:r>
      <w:r w:rsidR="00E47287">
        <w:t xml:space="preserve">TOB services </w:t>
      </w:r>
      <w:r w:rsidR="00412DFA">
        <w:t xml:space="preserve">was intended to </w:t>
      </w:r>
      <w:r w:rsidR="00A124FC">
        <w:t xml:space="preserve">assist </w:t>
      </w:r>
      <w:r w:rsidR="00BC7A1A">
        <w:t xml:space="preserve">the transition </w:t>
      </w:r>
      <w:r w:rsidR="00F72C2D">
        <w:t xml:space="preserve">of TOB services </w:t>
      </w:r>
      <w:r w:rsidR="00F32FED">
        <w:t>in the 2.5 GHz</w:t>
      </w:r>
      <w:r w:rsidR="00B406E6">
        <w:t xml:space="preserve"> (2500</w:t>
      </w:r>
      <w:r w:rsidR="006E79A1">
        <w:t>–</w:t>
      </w:r>
      <w:r w:rsidR="00824B53">
        <w:t xml:space="preserve">2690 MHz) </w:t>
      </w:r>
      <w:r w:rsidR="004E35D8">
        <w:t xml:space="preserve">to new arrangements in bands </w:t>
      </w:r>
      <w:r w:rsidR="0013622D">
        <w:t xml:space="preserve">adjacent to the 2 GHz band. </w:t>
      </w:r>
      <w:r w:rsidR="005F320D">
        <w:t>These changes</w:t>
      </w:r>
      <w:r w:rsidR="007D4C04">
        <w:t xml:space="preserve"> </w:t>
      </w:r>
      <w:r w:rsidR="007D62ED" w:rsidRPr="007D62ED">
        <w:t xml:space="preserve">occurred </w:t>
      </w:r>
      <w:r w:rsidR="00E713BB">
        <w:t>as part of</w:t>
      </w:r>
      <w:r w:rsidR="002D5E3A" w:rsidRPr="007D62ED">
        <w:t xml:space="preserve"> </w:t>
      </w:r>
      <w:r w:rsidR="002D5E3A">
        <w:t>the digital dividend process</w:t>
      </w:r>
      <w:r w:rsidR="006E79A1">
        <w:t>,</w:t>
      </w:r>
      <w:r w:rsidR="00E713BB">
        <w:t xml:space="preserve"> </w:t>
      </w:r>
      <w:r w:rsidR="00471082">
        <w:t>which resulted in</w:t>
      </w:r>
      <w:r w:rsidR="007D62ED" w:rsidRPr="007D62ED">
        <w:t xml:space="preserve"> the </w:t>
      </w:r>
      <w:r w:rsidR="00B246DC">
        <w:t xml:space="preserve">issue of spectrum licences in </w:t>
      </w:r>
      <w:r w:rsidR="007D62ED" w:rsidRPr="007D62ED">
        <w:t>the 2.5 GHz band (2500–2690 MHz</w:t>
      </w:r>
      <w:r w:rsidR="00FA1ECF">
        <w:t>)</w:t>
      </w:r>
      <w:r w:rsidR="008F0566">
        <w:rPr>
          <w:rStyle w:val="FootnoteReference"/>
        </w:rPr>
        <w:footnoteReference w:id="2"/>
      </w:r>
      <w:r w:rsidR="002D6097">
        <w:t xml:space="preserve"> and were completed in 2016</w:t>
      </w:r>
      <w:r w:rsidR="006E79A1">
        <w:t>.</w:t>
      </w:r>
      <w:r w:rsidR="00091550">
        <w:rPr>
          <w:rStyle w:val="FootnoteReference"/>
        </w:rPr>
        <w:footnoteReference w:id="3"/>
      </w:r>
    </w:p>
    <w:p w14:paraId="534B7484" w14:textId="2C5C98AC" w:rsidR="00400AEC" w:rsidRDefault="00400AEC" w:rsidP="00400AEC">
      <w:r>
        <w:t>The ACMA has observed increasing interest in the 2 GHz band for new applications</w:t>
      </w:r>
      <w:r w:rsidR="006E79A1">
        <w:t> </w:t>
      </w:r>
      <w:r>
        <w:t xml:space="preserve">including mobile satellite, wireless broadband and direct air-to-ground communications. </w:t>
      </w:r>
      <w:r w:rsidRPr="001F7DED">
        <w:t>Operators seeking to deliver these services in the 2 GHz band have emerged as the primary access seekers in the replanning process to date.</w:t>
      </w:r>
      <w:r>
        <w:t xml:space="preserve"> As a result, the ACMA considers that a clear case exists for reviewing and potentially changing the spectrum management arrangements in the band. </w:t>
      </w:r>
    </w:p>
    <w:p w14:paraId="1C97C687" w14:textId="25DE09C7" w:rsidR="003A21B9" w:rsidRPr="001F7DED" w:rsidRDefault="003A21B9" w:rsidP="003A21B9">
      <w:r w:rsidRPr="001F7DED">
        <w:t xml:space="preserve">This paper represents the preliminary replanning stage of the 2 GHz band replanning process. It follows the 2019 </w:t>
      </w:r>
      <w:r w:rsidR="006E79A1">
        <w:t>consultation</w:t>
      </w:r>
      <w:r w:rsidRPr="001F7DED">
        <w:t xml:space="preserve">, </w:t>
      </w:r>
      <w:hyperlink r:id="rId26" w:history="1">
        <w:r w:rsidRPr="0070232B">
          <w:rPr>
            <w:rStyle w:val="Hyperlink"/>
          </w:rPr>
          <w:t>Planning of the 2 GHz band</w:t>
        </w:r>
      </w:hyperlink>
      <w:r w:rsidRPr="001F7DED">
        <w:t xml:space="preserve">, which detailed the initial investigation stage of that process. Following consideration of responses to the discussion paper, the ACMA </w:t>
      </w:r>
      <w:r w:rsidR="006D07B9">
        <w:t xml:space="preserve">has </w:t>
      </w:r>
      <w:r w:rsidRPr="001F7DED">
        <w:t>decided to continue with the 2 GHz replanning process by progressing to the next stage</w:t>
      </w:r>
      <w:r>
        <w:t xml:space="preserve">, known as </w:t>
      </w:r>
      <w:r w:rsidRPr="001F7DED">
        <w:t>preliminary replanning.</w:t>
      </w:r>
    </w:p>
    <w:p w14:paraId="3D2C3B86" w14:textId="291838E8" w:rsidR="00B82568" w:rsidRPr="001F7DED" w:rsidRDefault="004D344A" w:rsidP="007D7B53">
      <w:pPr>
        <w:pStyle w:val="Paragraph"/>
      </w:pPr>
      <w:r w:rsidRPr="001F7DED">
        <w:t>This paper analyses planning issues for each of the applications or services interested in using the band, as well as any sharing and coexistence issues.</w:t>
      </w:r>
      <w:r w:rsidR="00883918">
        <w:t xml:space="preserve"> </w:t>
      </w:r>
      <w:r w:rsidR="00400AEC">
        <w:t>W</w:t>
      </w:r>
      <w:r w:rsidRPr="001F7DED">
        <w:t xml:space="preserve">e have identified </w:t>
      </w:r>
      <w:r>
        <w:t>three</w:t>
      </w:r>
      <w:r w:rsidRPr="001F7DED">
        <w:t xml:space="preserve"> broad replanning options</w:t>
      </w:r>
      <w:r w:rsidR="00FA5595">
        <w:t xml:space="preserve"> </w:t>
      </w:r>
      <w:r w:rsidR="00B82568" w:rsidRPr="001F7DED">
        <w:t>for the 2 GHz band</w:t>
      </w:r>
      <w:r w:rsidR="00400AEC">
        <w:t xml:space="preserve">. </w:t>
      </w:r>
      <w:r w:rsidR="00B82568" w:rsidRPr="001F7DED">
        <w:t xml:space="preserve">In developing these options, we have taken into account responses to the 2019 discussion paper, emergent demand for alternative services, requirements for continued operation of </w:t>
      </w:r>
      <w:r w:rsidR="007F6936">
        <w:t>TOB</w:t>
      </w:r>
      <w:r w:rsidR="00B82568" w:rsidRPr="001F7DED">
        <w:t xml:space="preserve"> services, as well as a range of factors embedded in the current legislative and policy environment</w:t>
      </w:r>
      <w:r w:rsidR="004F209D" w:rsidRPr="001F7DED">
        <w:t xml:space="preserve"> for radiofrequency spectrum </w:t>
      </w:r>
      <w:r w:rsidR="00187FFE">
        <w:t>management</w:t>
      </w:r>
      <w:r w:rsidR="004F209D" w:rsidRPr="001F7DED">
        <w:t xml:space="preserve"> in Australia</w:t>
      </w:r>
      <w:r w:rsidR="00B82568" w:rsidRPr="001F7DED">
        <w:t xml:space="preserve">. The foremost of the </w:t>
      </w:r>
      <w:r w:rsidR="004F209D" w:rsidRPr="001F7DED">
        <w:t xml:space="preserve">latter considerations is the statutory requirement to maximise the </w:t>
      </w:r>
      <w:r w:rsidR="00206FBD">
        <w:t xml:space="preserve">overall </w:t>
      </w:r>
      <w:r w:rsidR="004F209D" w:rsidRPr="001F7DED">
        <w:t xml:space="preserve">public benefit derived from </w:t>
      </w:r>
      <w:r w:rsidR="003642C8">
        <w:t xml:space="preserve">using </w:t>
      </w:r>
      <w:r w:rsidR="00071464" w:rsidRPr="001F7DED">
        <w:t>the</w:t>
      </w:r>
      <w:r w:rsidR="004F209D" w:rsidRPr="001F7DED">
        <w:t xml:space="preserve"> spectrum.</w:t>
      </w:r>
    </w:p>
    <w:p w14:paraId="51B1BAC5" w14:textId="3C4F9FD8" w:rsidR="0041141F" w:rsidRPr="001F7DED" w:rsidRDefault="00BE7B40" w:rsidP="006C69EE">
      <w:pPr>
        <w:pStyle w:val="Paragraphbeforelist"/>
      </w:pPr>
      <w:r>
        <w:t xml:space="preserve">A common theme </w:t>
      </w:r>
      <w:r w:rsidR="00BF6CA0">
        <w:t>in</w:t>
      </w:r>
      <w:r w:rsidR="00D61207">
        <w:t xml:space="preserve"> submissions </w:t>
      </w:r>
      <w:r w:rsidR="003223BA">
        <w:t xml:space="preserve">to the 2019 discussion paper </w:t>
      </w:r>
      <w:r w:rsidR="00382A68">
        <w:t xml:space="preserve">was that the </w:t>
      </w:r>
      <w:r w:rsidR="003223BA">
        <w:t xml:space="preserve">available quantity of </w:t>
      </w:r>
      <w:r w:rsidR="00382A68">
        <w:t xml:space="preserve">spectrum in the 2 GHz band </w:t>
      </w:r>
      <w:r w:rsidR="003223BA">
        <w:t xml:space="preserve">(2 x 30 MHz, or 60 MHz in total) </w:t>
      </w:r>
      <w:r w:rsidR="009138E0">
        <w:t xml:space="preserve">is </w:t>
      </w:r>
      <w:r w:rsidR="00BF6CA0">
        <w:t>unlikely to be sufficient to</w:t>
      </w:r>
      <w:r w:rsidR="00D61207">
        <w:t xml:space="preserve"> support all </w:t>
      </w:r>
      <w:r w:rsidR="00B252EC">
        <w:t xml:space="preserve">interested </w:t>
      </w:r>
      <w:r w:rsidR="00D61207">
        <w:t>service</w:t>
      </w:r>
      <w:r w:rsidR="001175DA">
        <w:t xml:space="preserve">s </w:t>
      </w:r>
      <w:r w:rsidR="00D61207">
        <w:t>with dedicated spectrum. With that understanding</w:t>
      </w:r>
      <w:r w:rsidR="00F253A6">
        <w:t>,</w:t>
      </w:r>
      <w:r w:rsidR="00D61207">
        <w:t xml:space="preserve"> </w:t>
      </w:r>
      <w:r w:rsidR="004D344A">
        <w:t>we have</w:t>
      </w:r>
      <w:r w:rsidR="00D61207">
        <w:t xml:space="preserve"> developed </w:t>
      </w:r>
      <w:r w:rsidR="00A145F4">
        <w:t xml:space="preserve">the following </w:t>
      </w:r>
      <w:r w:rsidR="00D61207">
        <w:t xml:space="preserve">three options for </w:t>
      </w:r>
      <w:r w:rsidR="00F253A6">
        <w:t xml:space="preserve">stakeholder consideration, each </w:t>
      </w:r>
      <w:r w:rsidR="00D61207">
        <w:t>with</w:t>
      </w:r>
      <w:r w:rsidR="00F253A6">
        <w:t xml:space="preserve"> a</w:t>
      </w:r>
      <w:r w:rsidR="00D61207">
        <w:t xml:space="preserve"> focus on supporting a single service</w:t>
      </w:r>
      <w:r w:rsidR="00A50DF8">
        <w:t>:</w:t>
      </w:r>
      <w:r w:rsidR="00F253A6">
        <w:t xml:space="preserve"> </w:t>
      </w:r>
    </w:p>
    <w:p w14:paraId="25BE5077" w14:textId="7190E2CC" w:rsidR="00F559D4" w:rsidRPr="001F7DED" w:rsidRDefault="00F559D4" w:rsidP="00334793">
      <w:pPr>
        <w:pStyle w:val="Bulletlevel1"/>
        <w:keepNext/>
        <w:keepLines/>
        <w:tabs>
          <w:tab w:val="clear" w:pos="295"/>
          <w:tab w:val="num" w:pos="863"/>
        </w:tabs>
        <w:rPr>
          <w:b/>
          <w:bCs/>
        </w:rPr>
      </w:pPr>
      <w:r w:rsidRPr="001F7DED">
        <w:rPr>
          <w:b/>
          <w:bCs/>
        </w:rPr>
        <w:lastRenderedPageBreak/>
        <w:t>Option 1</w:t>
      </w:r>
      <w:r w:rsidR="00232664" w:rsidRPr="001F7DED">
        <w:rPr>
          <w:b/>
          <w:bCs/>
        </w:rPr>
        <w:t xml:space="preserve">: </w:t>
      </w:r>
      <w:r w:rsidRPr="001F7DED">
        <w:rPr>
          <w:b/>
          <w:bCs/>
        </w:rPr>
        <w:t>Television outside broadcast</w:t>
      </w:r>
      <w:r w:rsidR="00232664" w:rsidRPr="001F7DED">
        <w:t>—this option responds to industry feedback seeking continued incumbency and certainty for TOB services</w:t>
      </w:r>
      <w:r w:rsidR="00FF19B4">
        <w:t>. It includes</w:t>
      </w:r>
      <w:r w:rsidR="00232664" w:rsidRPr="001F7DED">
        <w:t xml:space="preserve"> the possibility of unlocking the guard band between TOB and adjacent wireless broadband services</w:t>
      </w:r>
      <w:r w:rsidR="00C53E23" w:rsidRPr="001F7DED">
        <w:t xml:space="preserve"> for Australia-wide satellite internet</w:t>
      </w:r>
      <w:r w:rsidR="002C4C42">
        <w:t>-</w:t>
      </w:r>
      <w:r w:rsidR="00C53E23" w:rsidRPr="001F7DED">
        <w:t>of</w:t>
      </w:r>
      <w:r w:rsidR="002C4C42">
        <w:t>-</w:t>
      </w:r>
      <w:r w:rsidR="00C53E23" w:rsidRPr="001F7DED">
        <w:t>things (IoT) applications</w:t>
      </w:r>
      <w:r w:rsidR="00232664" w:rsidRPr="001F7DED">
        <w:t xml:space="preserve">. </w:t>
      </w:r>
    </w:p>
    <w:p w14:paraId="5853C305" w14:textId="5E59A3C5" w:rsidR="00C227AC" w:rsidRPr="00C227AC" w:rsidRDefault="00C227AC" w:rsidP="001277B1">
      <w:pPr>
        <w:pStyle w:val="ListBullet"/>
        <w:tabs>
          <w:tab w:val="clear" w:pos="295"/>
          <w:tab w:val="num" w:pos="579"/>
        </w:tabs>
        <w:rPr>
          <w:b/>
          <w:bCs/>
        </w:rPr>
      </w:pPr>
      <w:r w:rsidRPr="001F7DED">
        <w:rPr>
          <w:b/>
          <w:bCs/>
        </w:rPr>
        <w:t xml:space="preserve">Option </w:t>
      </w:r>
      <w:r>
        <w:rPr>
          <w:b/>
          <w:bCs/>
        </w:rPr>
        <w:t>2</w:t>
      </w:r>
      <w:r w:rsidRPr="001F7DED">
        <w:rPr>
          <w:b/>
          <w:bCs/>
        </w:rPr>
        <w:t xml:space="preserve">: </w:t>
      </w:r>
      <w:r>
        <w:rPr>
          <w:b/>
          <w:bCs/>
        </w:rPr>
        <w:t>W</w:t>
      </w:r>
      <w:r w:rsidRPr="001F7DED">
        <w:rPr>
          <w:b/>
          <w:bCs/>
        </w:rPr>
        <w:t>ireless broadband</w:t>
      </w:r>
      <w:r w:rsidRPr="0061195A">
        <w:t>—</w:t>
      </w:r>
      <w:r>
        <w:t xml:space="preserve">this option </w:t>
      </w:r>
      <w:r w:rsidRPr="0061195A">
        <w:t xml:space="preserve">provides for accommodation of new </w:t>
      </w:r>
      <w:r w:rsidR="00A145F4">
        <w:t xml:space="preserve">wireless broadband services, including </w:t>
      </w:r>
      <w:r w:rsidRPr="0061195A">
        <w:t xml:space="preserve">both </w:t>
      </w:r>
      <w:r w:rsidR="00A145F4">
        <w:t>wide-area and local-area services, as well as direct air-to-ground</w:t>
      </w:r>
      <w:r w:rsidRPr="0061195A">
        <w:t xml:space="preserve"> services</w:t>
      </w:r>
      <w:r w:rsidR="00A145F4">
        <w:t xml:space="preserve">. It </w:t>
      </w:r>
      <w:r w:rsidRPr="0061195A">
        <w:t>also provides spectrum for satellite IoT services Australia-wide in the restricted band (guard band) protecting adjacent band TOB services.</w:t>
      </w:r>
      <w:r>
        <w:t xml:space="preserve"> </w:t>
      </w:r>
      <w:r w:rsidR="00827F2C" w:rsidRPr="001F7DED">
        <w:t xml:space="preserve">One of the key considerations in assessing this option is the impact on existing TOB services </w:t>
      </w:r>
      <w:r w:rsidR="00827F2C">
        <w:t>versus</w:t>
      </w:r>
      <w:r w:rsidR="00827F2C" w:rsidRPr="001F7DED">
        <w:t xml:space="preserve"> </w:t>
      </w:r>
      <w:r w:rsidR="00827F2C">
        <w:t xml:space="preserve">the </w:t>
      </w:r>
      <w:r w:rsidR="00827F2C" w:rsidRPr="001F7DED">
        <w:t xml:space="preserve">benefits of </w:t>
      </w:r>
      <w:r w:rsidR="00827F2C">
        <w:t>introducing</w:t>
      </w:r>
      <w:r w:rsidR="00827F2C" w:rsidRPr="001F7DED">
        <w:t xml:space="preserve"> new services. This paper seeks additional evidence from TOB operators on the potential costs and other impacts that may arise from relocation to alternative spectrum under this</w:t>
      </w:r>
      <w:r w:rsidR="00165A9A">
        <w:t> </w:t>
      </w:r>
      <w:r w:rsidR="00827F2C" w:rsidRPr="001F7DED">
        <w:t>option.</w:t>
      </w:r>
    </w:p>
    <w:p w14:paraId="27B1C7CB" w14:textId="721747A8" w:rsidR="0061195A" w:rsidRPr="00C227AC" w:rsidRDefault="00CE708D" w:rsidP="001277B1">
      <w:pPr>
        <w:pStyle w:val="ListBulletLast"/>
        <w:tabs>
          <w:tab w:val="clear" w:pos="295"/>
          <w:tab w:val="num" w:pos="579"/>
        </w:tabs>
        <w:rPr>
          <w:b/>
          <w:bCs/>
        </w:rPr>
      </w:pPr>
      <w:r w:rsidRPr="00C227AC">
        <w:rPr>
          <w:b/>
          <w:bCs/>
        </w:rPr>
        <w:t xml:space="preserve">Option </w:t>
      </w:r>
      <w:r w:rsidR="00512832">
        <w:rPr>
          <w:b/>
          <w:bCs/>
        </w:rPr>
        <w:t>3</w:t>
      </w:r>
      <w:r w:rsidRPr="00C227AC">
        <w:rPr>
          <w:b/>
          <w:bCs/>
        </w:rPr>
        <w:t xml:space="preserve">: </w:t>
      </w:r>
      <w:r w:rsidR="00FE0C5F" w:rsidRPr="00C227AC">
        <w:rPr>
          <w:b/>
          <w:bCs/>
        </w:rPr>
        <w:t>Mobile-satellite service</w:t>
      </w:r>
      <w:r w:rsidRPr="00512832">
        <w:rPr>
          <w:b/>
        </w:rPr>
        <w:t>—</w:t>
      </w:r>
      <w:r w:rsidRPr="001F7DED">
        <w:t>this option responds to</w:t>
      </w:r>
      <w:r w:rsidR="00FE0C5F" w:rsidRPr="001F7DED">
        <w:t xml:space="preserve"> strong demand for additional spectrum for </w:t>
      </w:r>
      <w:r w:rsidR="0061195A">
        <w:t>mobile</w:t>
      </w:r>
      <w:r w:rsidR="00A73606">
        <w:t>-</w:t>
      </w:r>
      <w:r w:rsidR="0061195A">
        <w:t>satellite</w:t>
      </w:r>
      <w:r w:rsidR="00FE0C5F" w:rsidRPr="001F7DED">
        <w:t xml:space="preserve"> services</w:t>
      </w:r>
      <w:r w:rsidR="008F6F46">
        <w:t xml:space="preserve"> (MSS)</w:t>
      </w:r>
      <w:r w:rsidR="0061195A">
        <w:t>, including those that propose deployment of a complementary ground component</w:t>
      </w:r>
      <w:r w:rsidR="00D92B8C">
        <w:t xml:space="preserve"> </w:t>
      </w:r>
      <w:r w:rsidR="005A3AAA">
        <w:t xml:space="preserve">(a terrestrial network used </w:t>
      </w:r>
      <w:r w:rsidR="00D67C0A">
        <w:t xml:space="preserve">to </w:t>
      </w:r>
      <w:r w:rsidR="005A3AAA" w:rsidRPr="001F7DED">
        <w:t xml:space="preserve">augment satellite services </w:t>
      </w:r>
      <w:r w:rsidR="00686C37">
        <w:t xml:space="preserve">generally </w:t>
      </w:r>
      <w:r w:rsidR="005A3AAA" w:rsidRPr="001F7DED">
        <w:t>in high</w:t>
      </w:r>
      <w:r w:rsidR="00686C37">
        <w:t>er</w:t>
      </w:r>
      <w:r w:rsidR="005A3AAA" w:rsidRPr="001F7DED">
        <w:t xml:space="preserve"> population areas</w:t>
      </w:r>
      <w:r w:rsidR="005A3AAA">
        <w:t xml:space="preserve">) </w:t>
      </w:r>
      <w:r w:rsidR="00D92B8C">
        <w:t>and/or the delivery of IoT services</w:t>
      </w:r>
      <w:r w:rsidR="00FE0C5F" w:rsidRPr="001F7DED">
        <w:t>.</w:t>
      </w:r>
      <w:r w:rsidR="005D47A3">
        <w:t xml:space="preserve"> </w:t>
      </w:r>
      <w:r w:rsidR="00827F2C">
        <w:t xml:space="preserve">As with </w:t>
      </w:r>
      <w:r w:rsidR="00827F2C" w:rsidRPr="00165A9A">
        <w:t>Option</w:t>
      </w:r>
      <w:r w:rsidR="00165A9A">
        <w:t> </w:t>
      </w:r>
      <w:r w:rsidR="00827F2C" w:rsidRPr="00165A9A">
        <w:t>2</w:t>
      </w:r>
      <w:r w:rsidR="00827F2C">
        <w:t>, this option has the greatest impact on existing TOB services and the same considerations will apply.</w:t>
      </w:r>
    </w:p>
    <w:p w14:paraId="714BFF13" w14:textId="5549EC6B" w:rsidR="00F559D4" w:rsidRDefault="005770A0" w:rsidP="00E13098">
      <w:r w:rsidRPr="001F7DED">
        <w:t xml:space="preserve">These options were assessed against </w:t>
      </w:r>
      <w:r w:rsidR="00D34DA3">
        <w:t xml:space="preserve">a </w:t>
      </w:r>
      <w:r w:rsidR="00120066">
        <w:t>set of desirable</w:t>
      </w:r>
      <w:r w:rsidR="00827F2C">
        <w:t xml:space="preserve"> planning</w:t>
      </w:r>
      <w:r w:rsidRPr="001F7DED">
        <w:t xml:space="preserve"> </w:t>
      </w:r>
      <w:r w:rsidR="00BA72AF">
        <w:t xml:space="preserve">outcomes </w:t>
      </w:r>
      <w:r w:rsidR="00CB6D01">
        <w:t xml:space="preserve">and a cost benefit analysis </w:t>
      </w:r>
      <w:r w:rsidRPr="001F7DED">
        <w:t xml:space="preserve">to identify </w:t>
      </w:r>
      <w:r w:rsidR="00EB0277">
        <w:t>a</w:t>
      </w:r>
      <w:r w:rsidRPr="001F7DED">
        <w:t xml:space="preserve"> preferred option that</w:t>
      </w:r>
      <w:r w:rsidR="00495D7F">
        <w:t xml:space="preserve"> the ACMA considers</w:t>
      </w:r>
      <w:r w:rsidRPr="001F7DED">
        <w:t xml:space="preserve"> </w:t>
      </w:r>
      <w:r w:rsidR="00EB0277">
        <w:t xml:space="preserve">is most likely to </w:t>
      </w:r>
      <w:r w:rsidRPr="001F7DED">
        <w:t>maximise the overall public benefit</w:t>
      </w:r>
      <w:r w:rsidR="00EB0277">
        <w:t xml:space="preserve"> derived from using the band</w:t>
      </w:r>
      <w:r w:rsidRPr="001F7DED">
        <w:t xml:space="preserve">. As a result of this analysis, we have identified </w:t>
      </w:r>
      <w:r w:rsidRPr="004256B8">
        <w:t xml:space="preserve">Option </w:t>
      </w:r>
      <w:r w:rsidR="00A9075F" w:rsidRPr="004256B8">
        <w:t>3</w:t>
      </w:r>
      <w:r w:rsidRPr="001F7DED">
        <w:rPr>
          <w:b/>
          <w:bCs/>
        </w:rPr>
        <w:t xml:space="preserve"> </w:t>
      </w:r>
      <w:r w:rsidRPr="001F7DED">
        <w:t xml:space="preserve">as the ACMA’s </w:t>
      </w:r>
      <w:r w:rsidR="00C06026">
        <w:t xml:space="preserve">preliminary </w:t>
      </w:r>
      <w:r w:rsidRPr="001F7DED">
        <w:t>preferred option for replanning the 2 GHz band.</w:t>
      </w:r>
    </w:p>
    <w:p w14:paraId="4E24F04B" w14:textId="50F327AF" w:rsidR="002C66C8" w:rsidRPr="001F7DED" w:rsidRDefault="00F67699" w:rsidP="00E13098">
      <w:r>
        <w:t>D</w:t>
      </w:r>
      <w:r w:rsidR="008E4888">
        <w:t xml:space="preserve">ue to the small number of </w:t>
      </w:r>
      <w:r>
        <w:t xml:space="preserve">TOB </w:t>
      </w:r>
      <w:r w:rsidR="008E4888">
        <w:t>licences</w:t>
      </w:r>
      <w:r w:rsidR="0012513C">
        <w:t xml:space="preserve"> currently</w:t>
      </w:r>
      <w:r>
        <w:t xml:space="preserve"> in the 2 GHz band</w:t>
      </w:r>
      <w:r w:rsidR="003D52C4">
        <w:t xml:space="preserve">, </w:t>
      </w:r>
      <w:r w:rsidR="00A23BF6">
        <w:t xml:space="preserve">the ACMA is of the view that </w:t>
      </w:r>
      <w:r w:rsidR="003D52C4">
        <w:t>the</w:t>
      </w:r>
      <w:r w:rsidR="00AF556B">
        <w:t xml:space="preserve"> </w:t>
      </w:r>
      <w:r w:rsidR="00BB576E">
        <w:t xml:space="preserve">majority </w:t>
      </w:r>
      <w:r w:rsidR="002E781B">
        <w:t>of the</w:t>
      </w:r>
      <w:r w:rsidR="00172827">
        <w:t>se services</w:t>
      </w:r>
      <w:r w:rsidR="002C66C8">
        <w:t xml:space="preserve"> </w:t>
      </w:r>
      <w:r w:rsidR="00FB6131">
        <w:t>could be accommodated in th</w:t>
      </w:r>
      <w:r w:rsidR="00C80977">
        <w:t>e 7.2 GHz</w:t>
      </w:r>
      <w:r w:rsidR="0033583B">
        <w:t xml:space="preserve"> </w:t>
      </w:r>
      <w:r w:rsidR="00006D69">
        <w:t>(7100</w:t>
      </w:r>
      <w:r w:rsidR="00165A9A">
        <w:t>–</w:t>
      </w:r>
      <w:r w:rsidR="00893960">
        <w:t xml:space="preserve">7425 MHz) </w:t>
      </w:r>
      <w:r w:rsidR="00380F12">
        <w:t xml:space="preserve">band </w:t>
      </w:r>
      <w:r w:rsidR="0033583B">
        <w:t xml:space="preserve">or possibly in the 8.3 GHz </w:t>
      </w:r>
      <w:r w:rsidR="00347B00">
        <w:t>(</w:t>
      </w:r>
      <w:r w:rsidR="00C740E0">
        <w:t>8275</w:t>
      </w:r>
      <w:r w:rsidR="00165A9A">
        <w:t>–</w:t>
      </w:r>
      <w:r w:rsidR="00C740E0">
        <w:t>8400</w:t>
      </w:r>
      <w:r w:rsidR="00C53F8F">
        <w:t xml:space="preserve"> MHz)</w:t>
      </w:r>
      <w:r w:rsidR="00930A1B">
        <w:rPr>
          <w:rStyle w:val="FootnoteReference"/>
        </w:rPr>
        <w:footnoteReference w:id="4"/>
      </w:r>
      <w:r w:rsidR="0033583B">
        <w:t xml:space="preserve"> band</w:t>
      </w:r>
      <w:r w:rsidR="0054354E">
        <w:t>,</w:t>
      </w:r>
      <w:r w:rsidR="00E037D2">
        <w:t xml:space="preserve"> </w:t>
      </w:r>
      <w:r w:rsidR="000B59BB">
        <w:t xml:space="preserve">both of </w:t>
      </w:r>
      <w:r w:rsidR="00E037D2">
        <w:t>which support TOB services</w:t>
      </w:r>
      <w:r w:rsidR="00165A9A">
        <w:t>.</w:t>
      </w:r>
      <w:r w:rsidR="00A23B22">
        <w:rPr>
          <w:rStyle w:val="FootnoteReference"/>
        </w:rPr>
        <w:footnoteReference w:id="5"/>
      </w:r>
      <w:r w:rsidR="00E86B67">
        <w:t xml:space="preserve"> </w:t>
      </w:r>
      <w:r w:rsidR="006C49F4">
        <w:t>T</w:t>
      </w:r>
      <w:r w:rsidR="00A74BE7">
        <w:t>hese bands</w:t>
      </w:r>
      <w:r w:rsidR="00FB1AC6">
        <w:t xml:space="preserve"> </w:t>
      </w:r>
      <w:r w:rsidR="005C6F7A">
        <w:t xml:space="preserve">have channels </w:t>
      </w:r>
      <w:r w:rsidR="001E5A17">
        <w:t xml:space="preserve">which are specifically </w:t>
      </w:r>
      <w:r w:rsidR="00975B5E">
        <w:t xml:space="preserve">identified </w:t>
      </w:r>
      <w:r w:rsidR="00EF49B8">
        <w:t xml:space="preserve">for </w:t>
      </w:r>
      <w:r w:rsidR="00FB1AC6">
        <w:t>shared</w:t>
      </w:r>
      <w:r w:rsidR="009562AA">
        <w:t xml:space="preserve"> non-</w:t>
      </w:r>
      <w:r w:rsidR="00E86B67">
        <w:t xml:space="preserve">exclusive usage similar </w:t>
      </w:r>
      <w:r w:rsidR="000C6E73">
        <w:t>to the arrangements</w:t>
      </w:r>
      <w:r w:rsidR="00E86B67">
        <w:t xml:space="preserve"> of the 2 G</w:t>
      </w:r>
      <w:r w:rsidR="000C6E73">
        <w:t>H</w:t>
      </w:r>
      <w:r w:rsidR="00E86B67">
        <w:t>z band</w:t>
      </w:r>
      <w:r w:rsidR="00E948C0">
        <w:t>.</w:t>
      </w:r>
      <w:r w:rsidR="00113A02">
        <w:t xml:space="preserve"> T</w:t>
      </w:r>
      <w:r w:rsidR="004C4044">
        <w:t xml:space="preserve">he </w:t>
      </w:r>
      <w:r w:rsidR="0033583B">
        <w:t xml:space="preserve">ACMA </w:t>
      </w:r>
      <w:r w:rsidR="000C6E73">
        <w:t>notes that current arrangement</w:t>
      </w:r>
      <w:r w:rsidR="00106BA3">
        <w:t>s</w:t>
      </w:r>
      <w:r w:rsidR="00964B47">
        <w:t xml:space="preserve"> in 7.2 and 8.3 GHz</w:t>
      </w:r>
      <w:r w:rsidR="009D2B77">
        <w:t xml:space="preserve"> </w:t>
      </w:r>
      <w:r w:rsidR="000C6E73">
        <w:t xml:space="preserve">are intended to support </w:t>
      </w:r>
      <w:r w:rsidR="00FA40A8">
        <w:t>analog technologies</w:t>
      </w:r>
      <w:r w:rsidR="00BF6003">
        <w:t xml:space="preserve"> and see</w:t>
      </w:r>
      <w:r w:rsidR="00DE25AE">
        <w:t>k</w:t>
      </w:r>
      <w:r w:rsidR="00BF6003">
        <w:t>s industry views as</w:t>
      </w:r>
      <w:r w:rsidR="00CF04A9">
        <w:t xml:space="preserve"> to whether there is need to </w:t>
      </w:r>
      <w:r w:rsidR="00693BF8">
        <w:t xml:space="preserve">update </w:t>
      </w:r>
      <w:r w:rsidR="0021397C">
        <w:t xml:space="preserve">channel </w:t>
      </w:r>
      <w:r w:rsidR="000500BA">
        <w:t xml:space="preserve">arrangements </w:t>
      </w:r>
      <w:r w:rsidR="00875CEC">
        <w:t>t</w:t>
      </w:r>
      <w:r w:rsidR="00A842DC">
        <w:t>o reflect</w:t>
      </w:r>
      <w:r w:rsidR="00D0347E">
        <w:t xml:space="preserve"> </w:t>
      </w:r>
      <w:r w:rsidR="001302BC">
        <w:t xml:space="preserve">current </w:t>
      </w:r>
      <w:r w:rsidR="00D0347E">
        <w:t>digital technologies used</w:t>
      </w:r>
      <w:r w:rsidR="00EC6268">
        <w:t>.</w:t>
      </w:r>
      <w:r w:rsidR="001E2403">
        <w:t xml:space="preserve"> There may also be scope for increased access to ongoing TOB arrangements in the nearby 2010</w:t>
      </w:r>
      <w:r w:rsidR="004256B8">
        <w:t>–</w:t>
      </w:r>
      <w:r w:rsidR="001E2403">
        <w:t>2110 MHz and 2200</w:t>
      </w:r>
      <w:r w:rsidR="004256B8">
        <w:t>–</w:t>
      </w:r>
      <w:r w:rsidR="001E2403">
        <w:t>2300 MHz bands via discussions or third</w:t>
      </w:r>
      <w:r w:rsidR="00970412">
        <w:t>-</w:t>
      </w:r>
      <w:r w:rsidR="001E2403">
        <w:t>party arrangements with licensees in those segments. The ACMA recognises that this likely already occurs to some extent but there may be further opportunities, especially in areas of low TOB use</w:t>
      </w:r>
      <w:r w:rsidR="00970412">
        <w:t>,</w:t>
      </w:r>
      <w:r w:rsidR="001E2403">
        <w:t xml:space="preserve"> such as regional areas and/or where the TOB </w:t>
      </w:r>
      <w:r w:rsidR="00456FF5">
        <w:t>operator</w:t>
      </w:r>
      <w:r w:rsidR="001E2403">
        <w:t xml:space="preserve"> is developing content for the relevant licensee.  </w:t>
      </w:r>
    </w:p>
    <w:p w14:paraId="1E41352E" w14:textId="0A187C33" w:rsidR="005770A0" w:rsidRPr="001F7DED" w:rsidRDefault="00C00D5F" w:rsidP="00E13098">
      <w:r>
        <w:t xml:space="preserve">We invite comment on </w:t>
      </w:r>
      <w:r w:rsidR="00B4614E">
        <w:t>the preliminary preferred option outlined above</w:t>
      </w:r>
      <w:r w:rsidR="003227A4">
        <w:t>,</w:t>
      </w:r>
      <w:r>
        <w:t xml:space="preserve"> and seek f</w:t>
      </w:r>
      <w:r w:rsidR="005770A0" w:rsidRPr="001F7DED">
        <w:t xml:space="preserve">eedback on the issues presented in this paper </w:t>
      </w:r>
      <w:r>
        <w:t xml:space="preserve">to </w:t>
      </w:r>
      <w:r w:rsidR="005770A0" w:rsidRPr="001F7DED">
        <w:t xml:space="preserve">help inform </w:t>
      </w:r>
      <w:r>
        <w:t>further consideration o</w:t>
      </w:r>
      <w:r w:rsidR="006B4592">
        <w:t>f the options and development of planning outcome</w:t>
      </w:r>
      <w:r w:rsidR="00AA5D17">
        <w:t xml:space="preserve">s that </w:t>
      </w:r>
      <w:r w:rsidR="005770A0" w:rsidRPr="001F7DED">
        <w:t>best meet the objective of maximising the overall public benefit</w:t>
      </w:r>
      <w:r w:rsidR="00AA5D17">
        <w:t xml:space="preserve"> derived from</w:t>
      </w:r>
      <w:r w:rsidR="00494A9D">
        <w:t xml:space="preserve"> </w:t>
      </w:r>
      <w:r w:rsidR="00AA5D17">
        <w:t>allocation and use of spectrum</w:t>
      </w:r>
      <w:r w:rsidR="005770A0" w:rsidRPr="001F7DED">
        <w:t>.</w:t>
      </w:r>
    </w:p>
    <w:p w14:paraId="0C66CCE3" w14:textId="77777777" w:rsidR="00715722" w:rsidRPr="001F7DED" w:rsidRDefault="00715722" w:rsidP="00715722">
      <w:pPr>
        <w:pStyle w:val="Heading1"/>
      </w:pPr>
      <w:bookmarkStart w:id="3" w:name="_Toc433122125"/>
      <w:bookmarkStart w:id="4" w:name="_Toc46316351"/>
      <w:r w:rsidRPr="001F7DED">
        <w:lastRenderedPageBreak/>
        <w:t>Issues for comment</w:t>
      </w:r>
      <w:bookmarkEnd w:id="3"/>
      <w:bookmarkEnd w:id="4"/>
    </w:p>
    <w:p w14:paraId="061243F0" w14:textId="77777777" w:rsidR="00236A05" w:rsidRDefault="00236A05" w:rsidP="00236A05">
      <w:r>
        <w:t xml:space="preserve">The ACMA invites comments on the issues set out in this paper. </w:t>
      </w:r>
    </w:p>
    <w:p w14:paraId="05C4FEAC" w14:textId="0B14B482" w:rsidR="00812F3A" w:rsidRPr="00812F3A" w:rsidRDefault="00236A05" w:rsidP="00812F3A">
      <w:pPr>
        <w:rPr>
          <w:iCs/>
        </w:rPr>
      </w:pPr>
      <w:r>
        <w:t xml:space="preserve">Specific questions are featured in the relevant sections of this paper and are collated below. Details on making a submission can be found in the </w:t>
      </w:r>
      <w:hyperlink w:anchor="_Invitation_to_comment" w:history="1">
        <w:r w:rsidR="00A8257D" w:rsidRPr="00BA5549">
          <w:rPr>
            <w:rStyle w:val="Hyperlink"/>
          </w:rPr>
          <w:t>Invitation to comment</w:t>
        </w:r>
      </w:hyperlink>
      <w:r w:rsidR="00A8257D">
        <w:t xml:space="preserve"> </w:t>
      </w:r>
      <w:r>
        <w:t>section</w:t>
      </w:r>
      <w:r>
        <w:rPr>
          <w:i/>
        </w:rPr>
        <w:t xml:space="preserve"> </w:t>
      </w:r>
      <w:r>
        <w:t>at the end of this document</w:t>
      </w:r>
      <w:r>
        <w:rPr>
          <w:i/>
        </w:rPr>
        <w:t>.</w:t>
      </w:r>
      <w:r w:rsidR="0027413D">
        <w:rPr>
          <w:iCs/>
        </w:rPr>
        <w:t xml:space="preserve"> </w:t>
      </w:r>
    </w:p>
    <w:p w14:paraId="0616085C" w14:textId="69D9122D" w:rsidR="00614874" w:rsidRPr="0027413D" w:rsidRDefault="00614874" w:rsidP="00A06306">
      <w:pPr>
        <w:pStyle w:val="Paragraphbeforelist"/>
      </w:pPr>
      <w:r>
        <w:t>The ACMA</w:t>
      </w:r>
      <w:r w:rsidR="0036249D" w:rsidRPr="0036249D">
        <w:t xml:space="preserve"> is </w:t>
      </w:r>
      <w:r>
        <w:t>seeking comment</w:t>
      </w:r>
      <w:r w:rsidR="0036249D" w:rsidRPr="0036249D">
        <w:t xml:space="preserve"> on</w:t>
      </w:r>
      <w:r>
        <w:t>:</w:t>
      </w:r>
    </w:p>
    <w:p w14:paraId="41D88C2D" w14:textId="436DAE00" w:rsidR="0036249D" w:rsidRPr="0036249D" w:rsidRDefault="00206AAD" w:rsidP="001B44EC">
      <w:pPr>
        <w:pStyle w:val="ListNumber"/>
      </w:pPr>
      <w:r>
        <w:t>The f</w:t>
      </w:r>
      <w:r w:rsidR="0036249D" w:rsidRPr="0036249D">
        <w:t>easibility of the timing of any potential commencement of replanning</w:t>
      </w:r>
      <w:r w:rsidR="00BA5549">
        <w:t>.</w:t>
      </w:r>
    </w:p>
    <w:p w14:paraId="2B865F49" w14:textId="61B90499" w:rsidR="0036249D" w:rsidRPr="0036249D" w:rsidRDefault="00614874" w:rsidP="001B44EC">
      <w:pPr>
        <w:pStyle w:val="ListNumber"/>
      </w:pPr>
      <w:r>
        <w:t>The</w:t>
      </w:r>
      <w:r w:rsidR="0036249D" w:rsidRPr="0036249D">
        <w:t xml:space="preserve"> case for action and desirable planning outcomes for the </w:t>
      </w:r>
      <w:r w:rsidR="0036249D">
        <w:t>2 GHz</w:t>
      </w:r>
      <w:r w:rsidR="0036249D" w:rsidRPr="0036249D">
        <w:t xml:space="preserve"> band, including the supporting </w:t>
      </w:r>
      <w:r w:rsidR="00322209">
        <w:t>a</w:t>
      </w:r>
      <w:r w:rsidR="0036249D" w:rsidRPr="0036249D">
        <w:t>ppendices</w:t>
      </w:r>
      <w:r w:rsidR="00BA5549">
        <w:t>.</w:t>
      </w:r>
    </w:p>
    <w:p w14:paraId="5D022B31" w14:textId="11F2502E" w:rsidR="0036249D" w:rsidRPr="0036249D" w:rsidRDefault="00614874" w:rsidP="001B44EC">
      <w:pPr>
        <w:pStyle w:val="ListNumber"/>
      </w:pPr>
      <w:r>
        <w:t>The</w:t>
      </w:r>
      <w:r w:rsidR="0036249D" w:rsidRPr="0036249D">
        <w:t xml:space="preserve"> proposed </w:t>
      </w:r>
      <w:r w:rsidR="00DC23B2">
        <w:t xml:space="preserve">band replanning </w:t>
      </w:r>
      <w:r w:rsidR="0036249D" w:rsidRPr="0036249D">
        <w:t>options, including appropriate values for frequency segment breakpoints as well as any alternative options</w:t>
      </w:r>
      <w:r w:rsidR="00BA5549">
        <w:t>.</w:t>
      </w:r>
    </w:p>
    <w:p w14:paraId="373FCF11" w14:textId="17FAAC16" w:rsidR="0036249D" w:rsidRPr="0036249D" w:rsidRDefault="00614874" w:rsidP="001B44EC">
      <w:pPr>
        <w:pStyle w:val="ListNumber"/>
      </w:pPr>
      <w:r>
        <w:t>V</w:t>
      </w:r>
      <w:r w:rsidR="0036249D" w:rsidRPr="0036249D">
        <w:t>ariations to the proposed options and implementation considerations</w:t>
      </w:r>
      <w:r w:rsidR="00BA5549">
        <w:t>.</w:t>
      </w:r>
    </w:p>
    <w:p w14:paraId="25F797F8" w14:textId="09EB8CE1" w:rsidR="0036249D" w:rsidRPr="0036249D" w:rsidRDefault="00766517" w:rsidP="001B44EC">
      <w:pPr>
        <w:pStyle w:val="ListNumber"/>
      </w:pPr>
      <w:r>
        <w:t>D</w:t>
      </w:r>
      <w:r w:rsidR="0036249D" w:rsidRPr="0036249D">
        <w:t>iscussion and outcomes of the assessment of options, including the cost</w:t>
      </w:r>
      <w:r>
        <w:t>-</w:t>
      </w:r>
      <w:r w:rsidR="0036249D" w:rsidRPr="0036249D">
        <w:t>benefit analysis and its assumptions</w:t>
      </w:r>
      <w:r w:rsidR="00BA5549">
        <w:t xml:space="preserve">. </w:t>
      </w:r>
    </w:p>
    <w:p w14:paraId="5CC4874C" w14:textId="637880D5" w:rsidR="00434B7D" w:rsidRPr="0036249D" w:rsidRDefault="0036249D" w:rsidP="001B44EC">
      <w:pPr>
        <w:pStyle w:val="ListNumber"/>
      </w:pPr>
      <w:r w:rsidRPr="0036249D">
        <w:t xml:space="preserve">The </w:t>
      </w:r>
      <w:r w:rsidR="00766517">
        <w:t>ACMA’s</w:t>
      </w:r>
      <w:r w:rsidRPr="0036249D">
        <w:t xml:space="preserve"> preliminary preferred option.</w:t>
      </w:r>
    </w:p>
    <w:p w14:paraId="0BCFA6D8" w14:textId="08E5D6E7" w:rsidR="004F7C8D" w:rsidRPr="001F7DED" w:rsidRDefault="004F7C8D" w:rsidP="004F7C8D">
      <w:pPr>
        <w:pStyle w:val="Heading1"/>
      </w:pPr>
      <w:bookmarkStart w:id="5" w:name="_Toc46316352"/>
      <w:r w:rsidRPr="001F7DED">
        <w:lastRenderedPageBreak/>
        <w:t>Introduction</w:t>
      </w:r>
      <w:bookmarkEnd w:id="5"/>
    </w:p>
    <w:p w14:paraId="263FD4CB" w14:textId="7A3A8BA9" w:rsidR="004F7C8D" w:rsidRPr="001F7DED" w:rsidRDefault="00870857" w:rsidP="004F7C8D">
      <w:pPr>
        <w:pStyle w:val="Heading2"/>
      </w:pPr>
      <w:bookmarkStart w:id="6" w:name="_Toc46316353"/>
      <w:r>
        <w:t>Background and purpose</w:t>
      </w:r>
      <w:bookmarkEnd w:id="6"/>
    </w:p>
    <w:p w14:paraId="012CE3FB" w14:textId="2246D590" w:rsidR="00FA00AE" w:rsidRPr="001F7DED" w:rsidRDefault="004F7C8D" w:rsidP="00FA00AE">
      <w:pPr>
        <w:pStyle w:val="ListBulletLast"/>
        <w:numPr>
          <w:ilvl w:val="0"/>
          <w:numId w:val="0"/>
        </w:numPr>
        <w:spacing w:line="240" w:lineRule="auto"/>
      </w:pPr>
      <w:r w:rsidRPr="001F7DED">
        <w:t xml:space="preserve">In August 2019, the ACMA released a </w:t>
      </w:r>
      <w:hyperlink r:id="rId27">
        <w:r w:rsidRPr="071E4DFA">
          <w:rPr>
            <w:rStyle w:val="Hyperlink"/>
          </w:rPr>
          <w:t>discussion paper</w:t>
        </w:r>
      </w:hyperlink>
      <w:r w:rsidRPr="001F7DED">
        <w:t xml:space="preserve"> </w:t>
      </w:r>
      <w:r w:rsidR="00FA00AE" w:rsidRPr="001F7DED">
        <w:t>on the initial investigation</w:t>
      </w:r>
      <w:r w:rsidR="00FA00AE" w:rsidRPr="001F7DED">
        <w:rPr>
          <w:i/>
          <w:iCs/>
        </w:rPr>
        <w:t xml:space="preserve"> </w:t>
      </w:r>
      <w:r w:rsidR="00FA00AE" w:rsidRPr="001F7DED">
        <w:t>stage of the 2 GHz band replanning process</w:t>
      </w:r>
      <w:r w:rsidR="00870857">
        <w:t xml:space="preserve">. </w:t>
      </w:r>
      <w:r w:rsidR="00FA00AE" w:rsidRPr="001F7DED">
        <w:t xml:space="preserve">The paper </w:t>
      </w:r>
      <w:r w:rsidRPr="001F7DED">
        <w:t>identif</w:t>
      </w:r>
      <w:r w:rsidR="00FA00AE" w:rsidRPr="001F7DED">
        <w:t>ied</w:t>
      </w:r>
      <w:r w:rsidRPr="001F7DED">
        <w:t xml:space="preserve"> domestic and international considerations for future use of the 2 GHz band</w:t>
      </w:r>
      <w:r w:rsidR="00FA00AE" w:rsidRPr="001F7DED">
        <w:t xml:space="preserve"> and </w:t>
      </w:r>
      <w:r w:rsidRPr="001F7DED">
        <w:t xml:space="preserve">invited comment on possible changes </w:t>
      </w:r>
      <w:r w:rsidR="00702677" w:rsidRPr="001F7DED">
        <w:t>to</w:t>
      </w:r>
      <w:r w:rsidRPr="001F7DED">
        <w:t xml:space="preserve"> planning arrangements for the band</w:t>
      </w:r>
      <w:r w:rsidR="00FA00AE" w:rsidRPr="001F7DED">
        <w:t>.</w:t>
      </w:r>
      <w:r w:rsidR="00FA00AE" w:rsidRPr="001F7DED">
        <w:rPr>
          <w:iCs/>
        </w:rPr>
        <w:t xml:space="preserve"> </w:t>
      </w:r>
      <w:r w:rsidR="00870857">
        <w:rPr>
          <w:iCs/>
        </w:rPr>
        <w:t>The consultation closed on 13 September 2019, with 18 submissions received.</w:t>
      </w:r>
    </w:p>
    <w:p w14:paraId="240DF3FE" w14:textId="342190BE" w:rsidR="003B3202" w:rsidRPr="001F7DED" w:rsidRDefault="005F18E5" w:rsidP="00C1466E">
      <w:r w:rsidRPr="001F7DED">
        <w:t xml:space="preserve">Following considering of </w:t>
      </w:r>
      <w:r w:rsidR="00702677" w:rsidRPr="001F7DED">
        <w:t xml:space="preserve">submissions, the ACMA has decided to </w:t>
      </w:r>
      <w:r w:rsidR="000658C0" w:rsidRPr="001F7DED">
        <w:t xml:space="preserve">progress the band to the </w:t>
      </w:r>
      <w:r w:rsidR="00BE21F4" w:rsidRPr="001F7DED">
        <w:t>preliminary replanning</w:t>
      </w:r>
      <w:r w:rsidR="00BE21F4" w:rsidRPr="001F7DED">
        <w:rPr>
          <w:i/>
          <w:iCs/>
        </w:rPr>
        <w:t xml:space="preserve"> </w:t>
      </w:r>
      <w:r w:rsidR="00BE21F4" w:rsidRPr="001F7DED">
        <w:t xml:space="preserve">stage of the ACMA’s </w:t>
      </w:r>
      <w:r w:rsidR="00E458C1" w:rsidRPr="001F7DED">
        <w:t>spectrum</w:t>
      </w:r>
      <w:r w:rsidR="00BE21F4" w:rsidRPr="001F7DED">
        <w:t xml:space="preserve"> replanning process. </w:t>
      </w:r>
    </w:p>
    <w:p w14:paraId="2634D5B7" w14:textId="18132E6A" w:rsidR="00870857" w:rsidRDefault="00870857" w:rsidP="00870857">
      <w:r w:rsidRPr="001F7DED">
        <w:t>Th</w:t>
      </w:r>
      <w:r>
        <w:t xml:space="preserve">e purpose of this </w:t>
      </w:r>
      <w:r w:rsidRPr="001F7DED">
        <w:t>paper</w:t>
      </w:r>
      <w:r>
        <w:t xml:space="preserve"> is to</w:t>
      </w:r>
      <w:r w:rsidRPr="001F7DED">
        <w:t xml:space="preserve"> present</w:t>
      </w:r>
      <w:r>
        <w:t xml:space="preserve"> </w:t>
      </w:r>
      <w:r w:rsidR="00A41D88">
        <w:t xml:space="preserve">analysis and options </w:t>
      </w:r>
      <w:r>
        <w:t xml:space="preserve">and seek feedback </w:t>
      </w:r>
      <w:r w:rsidR="000F48B7">
        <w:t xml:space="preserve">to inform </w:t>
      </w:r>
      <w:r w:rsidRPr="001F7DED">
        <w:t xml:space="preserve">the next step in the ACMA’s consultation process for </w:t>
      </w:r>
      <w:r>
        <w:t xml:space="preserve">2 GHz </w:t>
      </w:r>
      <w:r w:rsidRPr="001F7DED">
        <w:t xml:space="preserve">band replanning activities. It presents high-level options for replanning and allocating services in the 2 GHz band, </w:t>
      </w:r>
      <w:r w:rsidR="472ACA0E">
        <w:t>considering</w:t>
      </w:r>
      <w:r w:rsidRPr="001F7DED">
        <w:t xml:space="preserve"> information received in submissions to the 2019 discussion paper. </w:t>
      </w:r>
    </w:p>
    <w:p w14:paraId="216FF903" w14:textId="15693E58" w:rsidR="000617F3" w:rsidRDefault="000617F3" w:rsidP="005107D4">
      <w:pPr>
        <w:pStyle w:val="Paragraph"/>
      </w:pPr>
      <w:r>
        <w:t xml:space="preserve">The 2 GHz band is currently used for television outside broadcast (TOB) services on a shared and non-exclusive basis for short-term applications such as covering special events. </w:t>
      </w:r>
      <w:r w:rsidR="00E2515A" w:rsidRPr="00E2515A">
        <w:t>There are currently</w:t>
      </w:r>
      <w:r w:rsidR="0080218D">
        <w:t xml:space="preserve"> </w:t>
      </w:r>
      <w:r w:rsidR="0080218D" w:rsidRPr="0080218D">
        <w:t xml:space="preserve">23 active licences </w:t>
      </w:r>
      <w:r w:rsidR="0080218D">
        <w:t xml:space="preserve">in the band, </w:t>
      </w:r>
      <w:r w:rsidR="0080218D" w:rsidRPr="0080218D">
        <w:t>held by 10 organisations.</w:t>
      </w:r>
      <w:r w:rsidR="00BD29B5">
        <w:rPr>
          <w:rStyle w:val="FootnoteReference"/>
        </w:rPr>
        <w:footnoteReference w:id="6"/>
      </w:r>
      <w:r w:rsidR="00AD15BD">
        <w:t xml:space="preserve"> These comprise </w:t>
      </w:r>
      <w:r w:rsidR="032EBA96">
        <w:t xml:space="preserve">a </w:t>
      </w:r>
      <w:r w:rsidR="00E2515A" w:rsidRPr="00E2515A">
        <w:t>mixture of area-wide and site-specific</w:t>
      </w:r>
      <w:r w:rsidR="00524E19">
        <w:t xml:space="preserve"> apparatus</w:t>
      </w:r>
      <w:r w:rsidR="00E2515A" w:rsidRPr="00E2515A">
        <w:t xml:space="preserve"> licences. The site-specific </w:t>
      </w:r>
      <w:r w:rsidR="002304A0">
        <w:t>l</w:t>
      </w:r>
      <w:r w:rsidR="00E2515A" w:rsidRPr="00E2515A">
        <w:t xml:space="preserve">icences are located in </w:t>
      </w:r>
      <w:r w:rsidR="00373E5E">
        <w:t xml:space="preserve">Sydney, </w:t>
      </w:r>
      <w:r w:rsidR="00E2515A" w:rsidRPr="00E2515A">
        <w:t>Melbourne, Adelaide and Perth.</w:t>
      </w:r>
    </w:p>
    <w:p w14:paraId="53D9D286" w14:textId="126FFBCF" w:rsidR="008217D5" w:rsidRPr="001F7DED" w:rsidRDefault="008217D5" w:rsidP="00870857">
      <w:pPr>
        <w:pStyle w:val="Heading2"/>
      </w:pPr>
      <w:bookmarkStart w:id="7" w:name="_Toc457809930"/>
      <w:bookmarkStart w:id="8" w:name="_Ref461109606"/>
      <w:bookmarkStart w:id="9" w:name="_Toc466017060"/>
      <w:bookmarkStart w:id="10" w:name="_Toc468438955"/>
      <w:bookmarkStart w:id="11" w:name="_Toc468705310"/>
      <w:bookmarkStart w:id="12" w:name="_Ref498078173"/>
      <w:bookmarkStart w:id="13" w:name="_Ref498436813"/>
      <w:bookmarkStart w:id="14" w:name="_Toc519765102"/>
      <w:bookmarkStart w:id="15" w:name="_Toc521585768"/>
      <w:bookmarkStart w:id="16" w:name="_Toc525132230"/>
      <w:bookmarkStart w:id="17" w:name="_Toc5000062"/>
      <w:bookmarkStart w:id="18" w:name="_Toc34727289"/>
      <w:bookmarkStart w:id="19" w:name="_Toc46316354"/>
      <w:bookmarkStart w:id="20" w:name="_Ref517343910"/>
      <w:bookmarkStart w:id="21" w:name="_Toc519765104"/>
      <w:bookmarkStart w:id="22" w:name="_Toc521585770"/>
      <w:bookmarkStart w:id="23" w:name="_Toc482886573"/>
      <w:bookmarkStart w:id="24" w:name="_Toc482886614"/>
      <w:bookmarkStart w:id="25" w:name="_Toc482888955"/>
      <w:bookmarkStart w:id="26" w:name="_Toc482891226"/>
      <w:bookmarkStart w:id="27" w:name="_Toc482891293"/>
      <w:bookmarkStart w:id="28" w:name="_Toc482956502"/>
      <w:bookmarkStart w:id="29" w:name="_Toc484011474"/>
      <w:bookmarkStart w:id="30" w:name="_Toc484511690"/>
      <w:bookmarkStart w:id="31" w:name="_Toc459906709"/>
      <w:bookmarkStart w:id="32" w:name="_Toc464480503"/>
      <w:r w:rsidRPr="001F7DED">
        <w:t xml:space="preserve">Legislative </w:t>
      </w:r>
      <w:r w:rsidRPr="00870857">
        <w:t>and</w:t>
      </w:r>
      <w:r w:rsidRPr="001F7DED">
        <w:t xml:space="preserve"> policy environment</w:t>
      </w:r>
      <w:bookmarkEnd w:id="7"/>
      <w:bookmarkEnd w:id="8"/>
      <w:bookmarkEnd w:id="9"/>
      <w:bookmarkEnd w:id="10"/>
      <w:bookmarkEnd w:id="11"/>
      <w:bookmarkEnd w:id="12"/>
      <w:bookmarkEnd w:id="13"/>
      <w:bookmarkEnd w:id="14"/>
      <w:bookmarkEnd w:id="15"/>
      <w:bookmarkEnd w:id="16"/>
      <w:bookmarkEnd w:id="17"/>
      <w:bookmarkEnd w:id="18"/>
      <w:bookmarkEnd w:id="19"/>
    </w:p>
    <w:p w14:paraId="666E5151" w14:textId="1238DB28" w:rsidR="008217D5" w:rsidRPr="001F7DED" w:rsidRDefault="008217D5" w:rsidP="008217D5">
      <w:r w:rsidRPr="001F7DED">
        <w:t>Managing spectrum efficiently and effectively for the benefit of all Australians is a key priority for the ACMA</w:t>
      </w:r>
      <w:r w:rsidR="00512CA2">
        <w:t>.</w:t>
      </w:r>
      <w:r w:rsidRPr="001F7DED">
        <w:rPr>
          <w:vertAlign w:val="superscript"/>
        </w:rPr>
        <w:footnoteReference w:id="7"/>
      </w:r>
      <w:r w:rsidRPr="001F7DED">
        <w:t xml:space="preserve"> The ACMA draws on a range of legislative and administrative tools and overarching guidance in executing these functions. </w:t>
      </w:r>
    </w:p>
    <w:p w14:paraId="31328D2F" w14:textId="575E938D" w:rsidR="008217D5" w:rsidRPr="001F7DED" w:rsidRDefault="008217D5" w:rsidP="008217D5">
      <w:pPr>
        <w:pStyle w:val="Heading3"/>
        <w:tabs>
          <w:tab w:val="left" w:pos="6540"/>
        </w:tabs>
      </w:pPr>
      <w:r w:rsidRPr="001F7DED">
        <w:t>Guiding legislation</w:t>
      </w:r>
      <w:r w:rsidR="00F82B97">
        <w:t xml:space="preserve"> and policy</w:t>
      </w:r>
      <w:r w:rsidRPr="001F7DED">
        <w:tab/>
      </w:r>
    </w:p>
    <w:p w14:paraId="23B117AD" w14:textId="022BDC47" w:rsidR="00003625" w:rsidRPr="001E5818" w:rsidRDefault="00003625" w:rsidP="00A06306">
      <w:pPr>
        <w:pStyle w:val="Paragraphbeforelist"/>
      </w:pPr>
      <w:r>
        <w:t xml:space="preserve">The ACMA’s decisions are guided by the objects of the </w:t>
      </w:r>
      <w:hyperlink r:id="rId28">
        <w:r w:rsidRPr="071E4DFA">
          <w:rPr>
            <w:rStyle w:val="Hyperlink"/>
            <w:i/>
            <w:iCs/>
          </w:rPr>
          <w:t>Radiocommunications Act 1992</w:t>
        </w:r>
      </w:hyperlink>
      <w:r>
        <w:t xml:space="preserve"> (the </w:t>
      </w:r>
      <w:r w:rsidRPr="00A05EC9">
        <w:t>Act</w:t>
      </w:r>
      <w:r>
        <w:t>)</w:t>
      </w:r>
      <w:r w:rsidRPr="00A05EC9">
        <w:t xml:space="preserve"> to provide for management of the radiofrequency spectrum</w:t>
      </w:r>
      <w:r>
        <w:t>,</w:t>
      </w:r>
      <w:r w:rsidRPr="00A05EC9">
        <w:t xml:space="preserve"> in order to (among other goals)</w:t>
      </w:r>
      <w:r w:rsidRPr="001E5818">
        <w:t>:</w:t>
      </w:r>
    </w:p>
    <w:p w14:paraId="25B67A67" w14:textId="77777777" w:rsidR="008217D5" w:rsidRPr="001F7DED" w:rsidRDefault="008217D5" w:rsidP="00013E6F">
      <w:pPr>
        <w:pStyle w:val="ListBullet"/>
        <w:tabs>
          <w:tab w:val="clear" w:pos="295"/>
          <w:tab w:val="num" w:pos="579"/>
        </w:tabs>
      </w:pPr>
      <w:r w:rsidRPr="001F7DED">
        <w:t>maximise—by ensuring the efficient allocation and use of the spectrum—the overall public benefit derived from using the radiofrequency spectrum</w:t>
      </w:r>
    </w:p>
    <w:p w14:paraId="24B3051D" w14:textId="78725D39" w:rsidR="00003625" w:rsidRDefault="00003625" w:rsidP="00013E6F">
      <w:pPr>
        <w:pStyle w:val="ListBullet"/>
        <w:tabs>
          <w:tab w:val="clear" w:pos="295"/>
          <w:tab w:val="num" w:pos="579"/>
        </w:tabs>
      </w:pPr>
      <w:r>
        <w:t>make adequate provision of the spectrum:</w:t>
      </w:r>
    </w:p>
    <w:p w14:paraId="02D7F717" w14:textId="127BA917" w:rsidR="00003625" w:rsidRDefault="00003625" w:rsidP="00E429D7">
      <w:pPr>
        <w:pStyle w:val="ListBullet"/>
        <w:numPr>
          <w:ilvl w:val="0"/>
          <w:numId w:val="13"/>
        </w:numPr>
      </w:pPr>
      <w:r>
        <w:t xml:space="preserve">for use by agencies involved in the defence or national security of Australia, law enforcement or the provision of emergency services </w:t>
      </w:r>
    </w:p>
    <w:p w14:paraId="322EE0C2" w14:textId="74E75A0A" w:rsidR="00003625" w:rsidRDefault="00003625" w:rsidP="00E429D7">
      <w:pPr>
        <w:pStyle w:val="ListBullet"/>
        <w:numPr>
          <w:ilvl w:val="0"/>
          <w:numId w:val="13"/>
        </w:numPr>
      </w:pPr>
      <w:r>
        <w:t>for use by other public or community services</w:t>
      </w:r>
      <w:r w:rsidR="00BA5549">
        <w:t>.</w:t>
      </w:r>
    </w:p>
    <w:p w14:paraId="4B713D2F" w14:textId="5230FE98" w:rsidR="008217D5" w:rsidRPr="001F7DED" w:rsidRDefault="008217D5" w:rsidP="00013E6F">
      <w:pPr>
        <w:pStyle w:val="ListBullet"/>
        <w:tabs>
          <w:tab w:val="clear" w:pos="295"/>
          <w:tab w:val="num" w:pos="579"/>
        </w:tabs>
      </w:pPr>
      <w:r w:rsidRPr="001F7DED">
        <w:t>provide a responsive and flexible approach to meeting the needs of spectrum users</w:t>
      </w:r>
    </w:p>
    <w:p w14:paraId="52450239" w14:textId="023A0535" w:rsidR="008217D5" w:rsidRPr="001F7DED" w:rsidRDefault="008217D5" w:rsidP="00013E6F">
      <w:pPr>
        <w:pStyle w:val="ListBullet"/>
        <w:tabs>
          <w:tab w:val="clear" w:pos="295"/>
          <w:tab w:val="num" w:pos="579"/>
        </w:tabs>
      </w:pPr>
      <w:r w:rsidRPr="001F7DED">
        <w:t>encourage the use of efficient radiocommunication technologies so that a wide range of services of an adequate quality can be provided</w:t>
      </w:r>
    </w:p>
    <w:p w14:paraId="2C6C942F" w14:textId="2D129E8A" w:rsidR="008217D5" w:rsidRDefault="008217D5" w:rsidP="00013E6F">
      <w:pPr>
        <w:pStyle w:val="ListBullet"/>
        <w:tabs>
          <w:tab w:val="clear" w:pos="295"/>
          <w:tab w:val="num" w:pos="579"/>
        </w:tabs>
      </w:pPr>
      <w:r w:rsidRPr="001F7DED">
        <w:t xml:space="preserve">support the communications policy objectives of the </w:t>
      </w:r>
      <w:r w:rsidR="00BA5549">
        <w:t>Australian</w:t>
      </w:r>
      <w:r w:rsidR="00BA5549" w:rsidRPr="001F7DED">
        <w:t xml:space="preserve"> </w:t>
      </w:r>
      <w:r w:rsidRPr="001F7DED">
        <w:t>Government.</w:t>
      </w:r>
    </w:p>
    <w:p w14:paraId="29FFB4A9" w14:textId="32E854AD" w:rsidR="00003625" w:rsidRDefault="6F2C5C1E" w:rsidP="00003625">
      <w:pPr>
        <w:pStyle w:val="ListBullet"/>
        <w:numPr>
          <w:ilvl w:val="0"/>
          <w:numId w:val="0"/>
        </w:numPr>
        <w:spacing w:before="240"/>
      </w:pPr>
      <w:r>
        <w:t>Several</w:t>
      </w:r>
      <w:r w:rsidR="00003625">
        <w:t xml:space="preserve"> communications policy objectives </w:t>
      </w:r>
      <w:r w:rsidR="008E1632">
        <w:t xml:space="preserve">relevant </w:t>
      </w:r>
      <w:r w:rsidR="00003625">
        <w:t xml:space="preserve">to the replanning considerations in this band have been identified. </w:t>
      </w:r>
    </w:p>
    <w:p w14:paraId="5BE315F5" w14:textId="7224985B" w:rsidR="0060720B" w:rsidRDefault="00003625" w:rsidP="00003625">
      <w:pPr>
        <w:pStyle w:val="ListBullet"/>
        <w:numPr>
          <w:ilvl w:val="0"/>
          <w:numId w:val="0"/>
        </w:numPr>
        <w:spacing w:before="240"/>
      </w:pPr>
      <w:r>
        <w:lastRenderedPageBreak/>
        <w:t xml:space="preserve">The </w:t>
      </w:r>
      <w:hyperlink r:id="rId29">
        <w:r w:rsidRPr="071E4DFA">
          <w:rPr>
            <w:rStyle w:val="Hyperlink"/>
          </w:rPr>
          <w:t>5G–Enabling the future economy</w:t>
        </w:r>
      </w:hyperlink>
      <w:r>
        <w:t xml:space="preserve"> strategy</w:t>
      </w:r>
      <w:r w:rsidR="00846AE6">
        <w:t xml:space="preserve">, </w:t>
      </w:r>
      <w:r>
        <w:t xml:space="preserve">released </w:t>
      </w:r>
      <w:r w:rsidR="001D5F29">
        <w:t>in 2017</w:t>
      </w:r>
      <w:r w:rsidR="00BE12A7">
        <w:t>,</w:t>
      </w:r>
      <w:r w:rsidR="00610F79">
        <w:t xml:space="preserve"> </w:t>
      </w:r>
      <w:r w:rsidR="00DD1D33">
        <w:t>committed to</w:t>
      </w:r>
      <w:r w:rsidR="00D6388B">
        <w:t xml:space="preserve"> </w:t>
      </w:r>
      <w:r w:rsidR="00BA5549">
        <w:t>g</w:t>
      </w:r>
      <w:r w:rsidR="00D6388B">
        <w:t xml:space="preserve">overnment </w:t>
      </w:r>
      <w:r>
        <w:t xml:space="preserve">actions </w:t>
      </w:r>
      <w:r w:rsidR="00BE12A7">
        <w:t>to</w:t>
      </w:r>
      <w:r>
        <w:t xml:space="preserve"> support the timely rollout of 5G in Australia, including making spectrum available in a timely manner</w:t>
      </w:r>
      <w:r w:rsidR="0060720B">
        <w:t>.</w:t>
      </w:r>
    </w:p>
    <w:p w14:paraId="0F993F68" w14:textId="6EB09BB6" w:rsidR="00F92F87" w:rsidRDefault="00D8615F" w:rsidP="00F92F87">
      <w:pPr>
        <w:pStyle w:val="ListBullet"/>
        <w:numPr>
          <w:ilvl w:val="0"/>
          <w:numId w:val="0"/>
        </w:numPr>
        <w:spacing w:before="240"/>
      </w:pPr>
      <w:hyperlink r:id="rId30">
        <w:r w:rsidR="00F92F87" w:rsidRPr="071E4DFA">
          <w:rPr>
            <w:rStyle w:val="Hyperlink"/>
          </w:rPr>
          <w:t>Australia’s Tech Future</w:t>
        </w:r>
      </w:hyperlink>
      <w:r w:rsidR="00BA5549">
        <w:t xml:space="preserve">, </w:t>
      </w:r>
      <w:r w:rsidR="00F92F87">
        <w:t xml:space="preserve">released </w:t>
      </w:r>
      <w:r w:rsidR="15ED06BF">
        <w:t>in</w:t>
      </w:r>
      <w:r w:rsidR="00F92F87">
        <w:t xml:space="preserve"> December 2018</w:t>
      </w:r>
      <w:r w:rsidR="00BA5549">
        <w:t>,</w:t>
      </w:r>
      <w:r w:rsidR="00F92F87">
        <w:t xml:space="preserve"> sets out the Australian Government strategy for Australia’s tech future. </w:t>
      </w:r>
      <w:r w:rsidR="006E3D51">
        <w:t xml:space="preserve">The strategy presents </w:t>
      </w:r>
      <w:r w:rsidR="00F92F87">
        <w:t xml:space="preserve">a vision that Australians have access to world-class digital infrastructure in their personal and working lives with </w:t>
      </w:r>
      <w:r w:rsidR="1D744705">
        <w:t xml:space="preserve">the following </w:t>
      </w:r>
      <w:r w:rsidR="00F92F87">
        <w:t>outcomes</w:t>
      </w:r>
      <w:r w:rsidR="4049BB6E">
        <w:t>:</w:t>
      </w:r>
    </w:p>
    <w:p w14:paraId="05223600" w14:textId="38E6C2C8" w:rsidR="00F92F87" w:rsidRDefault="00F92F87" w:rsidP="00FC26DB">
      <w:pPr>
        <w:pStyle w:val="ListBullet"/>
        <w:tabs>
          <w:tab w:val="clear" w:pos="295"/>
          <w:tab w:val="num" w:pos="579"/>
        </w:tabs>
      </w:pPr>
      <w:r>
        <w:t>Australians have reliable, secure and affordable access to high-speed broadband and mobile communications</w:t>
      </w:r>
      <w:r w:rsidR="00BA5549">
        <w:t>.</w:t>
      </w:r>
    </w:p>
    <w:p w14:paraId="0C7E60D7" w14:textId="63819987" w:rsidR="00F92F87" w:rsidRDefault="00F92F87" w:rsidP="00FC26DB">
      <w:pPr>
        <w:pStyle w:val="ListBullet"/>
        <w:tabs>
          <w:tab w:val="clear" w:pos="295"/>
          <w:tab w:val="num" w:pos="579"/>
        </w:tabs>
      </w:pPr>
      <w:r>
        <w:t>Australia’s communications sector is sustainable and competitive</w:t>
      </w:r>
      <w:r w:rsidR="00BA5549">
        <w:t>.</w:t>
      </w:r>
    </w:p>
    <w:p w14:paraId="6755CC7A" w14:textId="6515EAF0" w:rsidR="00F92F87" w:rsidRDefault="00F92F87" w:rsidP="00FC26DB">
      <w:pPr>
        <w:pStyle w:val="ListBullet"/>
        <w:tabs>
          <w:tab w:val="clear" w:pos="295"/>
          <w:tab w:val="num" w:pos="579"/>
        </w:tabs>
      </w:pPr>
      <w:r>
        <w:t>Australia’s world-leading navigation and positioning infrastructure supports emerging technologies</w:t>
      </w:r>
      <w:r w:rsidR="00BA5549">
        <w:t xml:space="preserve">. </w:t>
      </w:r>
    </w:p>
    <w:p w14:paraId="2AC9B079" w14:textId="5BF86F74" w:rsidR="00F92F87" w:rsidRDefault="00F92F87" w:rsidP="00FC26DB">
      <w:pPr>
        <w:pStyle w:val="ListBulletLast"/>
        <w:tabs>
          <w:tab w:val="clear" w:pos="295"/>
          <w:tab w:val="num" w:pos="579"/>
        </w:tabs>
      </w:pPr>
      <w:r>
        <w:t>Australia’s researchers have the specialised high-performing computing and data infrastructure needed to stay ahead in everything from health to agriculture</w:t>
      </w:r>
      <w:r w:rsidR="7DE283A7">
        <w:t>.</w:t>
      </w:r>
    </w:p>
    <w:p w14:paraId="7E3CE93B" w14:textId="77652315" w:rsidR="00003625" w:rsidRDefault="006B5D44" w:rsidP="00003625">
      <w:pPr>
        <w:pStyle w:val="ListBulletLast"/>
        <w:numPr>
          <w:ilvl w:val="0"/>
          <w:numId w:val="0"/>
        </w:numPr>
      </w:pPr>
      <w:r>
        <w:rPr>
          <w:szCs w:val="20"/>
        </w:rPr>
        <w:t xml:space="preserve">The </w:t>
      </w:r>
      <w:hyperlink r:id="rId31" w:history="1">
        <w:r w:rsidR="00955236">
          <w:rPr>
            <w:rStyle w:val="Hyperlink"/>
            <w:szCs w:val="20"/>
          </w:rPr>
          <w:t>Australian Civil Space Strategy 2019–2028</w:t>
        </w:r>
      </w:hyperlink>
      <w:r>
        <w:rPr>
          <w:szCs w:val="20"/>
        </w:rPr>
        <w:t xml:space="preserve"> is an Australian Government strategy to deliver a globally responsible and respected space sector that lifts the broader economy, and inspires and improves the lives of Australians. </w:t>
      </w:r>
      <w:r>
        <w:t>It</w:t>
      </w:r>
      <w:r w:rsidR="0035542F">
        <w:t xml:space="preserve"> </w:t>
      </w:r>
      <w:r w:rsidR="00003625">
        <w:t xml:space="preserve">contains a number of </w:t>
      </w:r>
      <w:hyperlink r:id="rId32" w:history="1">
        <w:r w:rsidR="00003625" w:rsidRPr="00351078">
          <w:rPr>
            <w:rStyle w:val="Hyperlink"/>
            <w:rFonts w:cs="Times New Roman"/>
          </w:rPr>
          <w:t>priority areas</w:t>
        </w:r>
      </w:hyperlink>
      <w:r w:rsidR="00003625">
        <w:t xml:space="preserve"> that may influence </w:t>
      </w:r>
      <w:r w:rsidR="0067080F">
        <w:t xml:space="preserve">development and deployment of </w:t>
      </w:r>
      <w:r w:rsidR="00003625">
        <w:t>satellite service</w:t>
      </w:r>
      <w:r w:rsidR="0067080F">
        <w:t>s</w:t>
      </w:r>
      <w:r w:rsidR="00003625">
        <w:t xml:space="preserve"> in the </w:t>
      </w:r>
      <w:r w:rsidR="0035542F">
        <w:t xml:space="preserve">2 </w:t>
      </w:r>
      <w:r w:rsidR="0067080F">
        <w:t>GHz</w:t>
      </w:r>
      <w:r w:rsidR="00003625">
        <w:t xml:space="preserve"> band.</w:t>
      </w:r>
    </w:p>
    <w:p w14:paraId="7DFFC6F3" w14:textId="7A74578F" w:rsidR="003E7FDB" w:rsidRDefault="003E7FDB" w:rsidP="00FE3FFA">
      <w:pPr>
        <w:pStyle w:val="Heading3"/>
      </w:pPr>
      <w:r>
        <w:t>Other relevant advice</w:t>
      </w:r>
    </w:p>
    <w:p w14:paraId="31ABA21B" w14:textId="08528477" w:rsidR="00FE3FFA" w:rsidRDefault="00111D91" w:rsidP="00111D91">
      <w:pPr>
        <w:pStyle w:val="Paragraph"/>
      </w:pPr>
      <w:r>
        <w:t xml:space="preserve">While </w:t>
      </w:r>
      <w:r w:rsidR="006E3D51">
        <w:t xml:space="preserve">the </w:t>
      </w:r>
      <w:r w:rsidR="00BA5549">
        <w:t>g</w:t>
      </w:r>
      <w:r>
        <w:t xml:space="preserve">overnment </w:t>
      </w:r>
      <w:r w:rsidR="006E3D51">
        <w:t>has not yet res</w:t>
      </w:r>
      <w:r w:rsidR="00D707BA">
        <w:t>ponded</w:t>
      </w:r>
      <w:r>
        <w:t>, t</w:t>
      </w:r>
      <w:r w:rsidR="00FE3FFA">
        <w:t xml:space="preserve">he ACMA notes the parliamentary report </w:t>
      </w:r>
      <w:hyperlink r:id="rId33" w:history="1">
        <w:r w:rsidR="00FE3FFA" w:rsidRPr="009B092C">
          <w:rPr>
            <w:rStyle w:val="Hyperlink"/>
          </w:rPr>
          <w:t>Next Gen Future: Inquiry into the deployment, adoption and application of 5G in Australia</w:t>
        </w:r>
      </w:hyperlink>
      <w:r w:rsidR="00FE3FFA">
        <w:t xml:space="preserve"> </w:t>
      </w:r>
      <w:r w:rsidR="00A7106E">
        <w:t xml:space="preserve">was </w:t>
      </w:r>
      <w:r w:rsidR="00FE3FFA">
        <w:t xml:space="preserve">finalised in March 2020. Recommendation 1 of this report recommended that the ACMA finalise spectrum allocations expeditiously and </w:t>
      </w:r>
      <w:r w:rsidR="00FE3FFA" w:rsidRPr="00D0492F">
        <w:t>investigate how future spectrum auctions can promote improved market competition for the benefit of consumers</w:t>
      </w:r>
      <w:r w:rsidR="00FE3FFA">
        <w:t xml:space="preserve">. </w:t>
      </w:r>
    </w:p>
    <w:p w14:paraId="02D2ADB6" w14:textId="77777777" w:rsidR="00A47330" w:rsidRPr="0026075D" w:rsidRDefault="00A47330" w:rsidP="00A47330">
      <w:pPr>
        <w:pStyle w:val="Heading3"/>
      </w:pPr>
      <w:r w:rsidRPr="0026075D">
        <w:t xml:space="preserve">Licensing </w:t>
      </w:r>
      <w:r>
        <w:t>arrangements</w:t>
      </w:r>
    </w:p>
    <w:p w14:paraId="675ECB66" w14:textId="7EED6BB0" w:rsidR="00A47330" w:rsidRPr="00A05EC9" w:rsidRDefault="00A47330" w:rsidP="00A47330">
      <w:r w:rsidRPr="00A05EC9">
        <w:t>There are three licen</w:t>
      </w:r>
      <w:r>
        <w:t xml:space="preserve">sing approaches </w:t>
      </w:r>
      <w:r w:rsidRPr="00A05EC9">
        <w:t xml:space="preserve">available to </w:t>
      </w:r>
      <w:r w:rsidR="009E055F">
        <w:t xml:space="preserve">the ACMA </w:t>
      </w:r>
      <w:r w:rsidR="00785D53">
        <w:t xml:space="preserve">for </w:t>
      </w:r>
      <w:r w:rsidRPr="00A05EC9">
        <w:t>authoris</w:t>
      </w:r>
      <w:r w:rsidR="00785D53">
        <w:t>ing</w:t>
      </w:r>
      <w:r w:rsidRPr="00A05EC9">
        <w:t xml:space="preserve"> access to spectrum</w:t>
      </w:r>
      <w:r w:rsidR="00F10D71">
        <w:t xml:space="preserve">: </w:t>
      </w:r>
      <w:r w:rsidRPr="00A05EC9">
        <w:t>spectrum, apparatus and class licences</w:t>
      </w:r>
      <w:r>
        <w:t xml:space="preserve">. These approaches influence how </w:t>
      </w:r>
      <w:r w:rsidR="00785D53">
        <w:t xml:space="preserve">spectrum replanning </w:t>
      </w:r>
      <w:r>
        <w:t>options can be developed and implemented</w:t>
      </w:r>
      <w:r w:rsidRPr="00A05EC9">
        <w:t xml:space="preserve">. </w:t>
      </w:r>
    </w:p>
    <w:p w14:paraId="3AADEF4F" w14:textId="3F8B1961" w:rsidR="00A47330" w:rsidRPr="00A05EC9" w:rsidRDefault="00A47330" w:rsidP="00A47330">
      <w:r w:rsidRPr="00A05EC9">
        <w:t xml:space="preserve">A spectrum licence authorises </w:t>
      </w:r>
      <w:r>
        <w:t xml:space="preserve">the operation of devices within </w:t>
      </w:r>
      <w:r w:rsidRPr="00A05EC9">
        <w:t xml:space="preserve">a </w:t>
      </w:r>
      <w:r>
        <w:t xml:space="preserve">defined </w:t>
      </w:r>
      <w:r w:rsidRPr="00A05EC9">
        <w:t xml:space="preserve">frequency </w:t>
      </w:r>
      <w:r>
        <w:t>range</w:t>
      </w:r>
      <w:r w:rsidRPr="00A05EC9">
        <w:t xml:space="preserve"> </w:t>
      </w:r>
      <w:r>
        <w:t xml:space="preserve">and </w:t>
      </w:r>
      <w:r w:rsidRPr="00A05EC9">
        <w:t>geographic area</w:t>
      </w:r>
      <w:r>
        <w:t>, with a high degree of exclusivity</w:t>
      </w:r>
      <w:r w:rsidRPr="00F26E80">
        <w:t xml:space="preserve">. </w:t>
      </w:r>
      <w:r w:rsidR="008E4C71" w:rsidRPr="008E4C71">
        <w:t>The geographic area can vary in size and can comprise the entire country. Spectrum licences are usually allocated by an auction and have historically been utilised for most bands used to deploy commercial mobile broadband networks</w:t>
      </w:r>
      <w:r w:rsidRPr="00A05EC9">
        <w:t xml:space="preserve"> </w:t>
      </w:r>
      <w:r>
        <w:t>Spectrum licences may be allocated for up to 15 years.</w:t>
      </w:r>
    </w:p>
    <w:p w14:paraId="26D5125C" w14:textId="77777777" w:rsidR="007253EE" w:rsidRDefault="00A47330" w:rsidP="00A47330">
      <w:r w:rsidRPr="00A05EC9">
        <w:t xml:space="preserve">An inherent feature of spectrum licensing is technological flexibility—that is, the </w:t>
      </w:r>
      <w:r>
        <w:t>licence conditions and associated technical framework</w:t>
      </w:r>
      <w:r w:rsidRPr="00A05EC9">
        <w:t xml:space="preserve">, while usually optimised for an expected technology, specify generic technical </w:t>
      </w:r>
      <w:r>
        <w:t>conditions</w:t>
      </w:r>
      <w:r w:rsidRPr="001E5818">
        <w:rPr>
          <w:vertAlign w:val="superscript"/>
        </w:rPr>
        <w:footnoteReference w:id="8"/>
      </w:r>
      <w:r>
        <w:t xml:space="preserve"> and do </w:t>
      </w:r>
      <w:r w:rsidRPr="001E5818">
        <w:t>not expressly mandat</w:t>
      </w:r>
      <w:r>
        <w:t xml:space="preserve">e or limit specific </w:t>
      </w:r>
      <w:r w:rsidRPr="001E5818">
        <w:t>technolog</w:t>
      </w:r>
      <w:r>
        <w:t>ies</w:t>
      </w:r>
      <w:r w:rsidRPr="001E5818">
        <w:t xml:space="preserve"> or service</w:t>
      </w:r>
      <w:r>
        <w:t>s</w:t>
      </w:r>
      <w:r w:rsidRPr="001E5818">
        <w:t xml:space="preserve">. This allows a licensee to deploy any technology </w:t>
      </w:r>
      <w:r>
        <w:t xml:space="preserve">that </w:t>
      </w:r>
      <w:r w:rsidRPr="001E5818">
        <w:t xml:space="preserve">complies with the conditions of the licence. It is up to the licensee to manage interference between </w:t>
      </w:r>
      <w:r>
        <w:t xml:space="preserve">their </w:t>
      </w:r>
      <w:r w:rsidRPr="001E5818">
        <w:t>d</w:t>
      </w:r>
      <w:r w:rsidRPr="00A05EC9">
        <w:t>evices</w:t>
      </w:r>
      <w:r>
        <w:t xml:space="preserve"> (note that </w:t>
      </w:r>
      <w:r w:rsidRPr="00A05EC9">
        <w:t xml:space="preserve">the adoption of international standards </w:t>
      </w:r>
      <w:r>
        <w:t xml:space="preserve">within the technical framework </w:t>
      </w:r>
      <w:r w:rsidRPr="00A05EC9">
        <w:t>mitigates the potential for interference between devices</w:t>
      </w:r>
      <w:r>
        <w:t>)</w:t>
      </w:r>
      <w:r w:rsidRPr="00A05EC9">
        <w:t xml:space="preserve">. </w:t>
      </w:r>
    </w:p>
    <w:p w14:paraId="3DC27FB8" w14:textId="62CE7E6D" w:rsidR="00A47330" w:rsidRPr="005E6D37" w:rsidRDefault="00A47330" w:rsidP="00A47330">
      <w:r w:rsidRPr="00A05EC9">
        <w:lastRenderedPageBreak/>
        <w:t>S</w:t>
      </w:r>
      <w:r w:rsidRPr="005E6D37">
        <w:t xml:space="preserve">pectrum licences are more conducive to </w:t>
      </w:r>
      <w:r>
        <w:t xml:space="preserve">secondary </w:t>
      </w:r>
      <w:r w:rsidRPr="005E6D37">
        <w:t>trading than apparatus licences, due to design features such as their longer tenure and their ability to be sub-divided.</w:t>
      </w:r>
    </w:p>
    <w:p w14:paraId="69AA7D66" w14:textId="60B08519" w:rsidR="00A47330" w:rsidRDefault="00A47330" w:rsidP="00A47330">
      <w:pPr>
        <w:pStyle w:val="Paragraph"/>
      </w:pPr>
      <w:r w:rsidRPr="00A05EC9">
        <w:t>An apparatus licence</w:t>
      </w:r>
      <w:r w:rsidR="00CF7A25">
        <w:t xml:space="preserve"> </w:t>
      </w:r>
      <w:r w:rsidRPr="00A05EC9">
        <w:t xml:space="preserve">authorises the use of a </w:t>
      </w:r>
      <w:r>
        <w:t xml:space="preserve">radiocommunications </w:t>
      </w:r>
      <w:r w:rsidRPr="00A05EC9">
        <w:t xml:space="preserve">device (or group of devices) operating under a </w:t>
      </w:r>
      <w:r>
        <w:t>specific</w:t>
      </w:r>
      <w:r w:rsidRPr="00A05EC9">
        <w:t xml:space="preserve"> radiocommunications service type, in a </w:t>
      </w:r>
      <w:r>
        <w:t>specific</w:t>
      </w:r>
      <w:r w:rsidRPr="00A05EC9">
        <w:t xml:space="preserve"> frequency range, and </w:t>
      </w:r>
      <w:r>
        <w:t xml:space="preserve">traditionally </w:t>
      </w:r>
      <w:r w:rsidRPr="00A05EC9">
        <w:t xml:space="preserve">at </w:t>
      </w:r>
      <w:r>
        <w:t>one or more</w:t>
      </w:r>
      <w:r w:rsidRPr="00A05EC9">
        <w:t xml:space="preserve"> </w:t>
      </w:r>
      <w:r>
        <w:t>specific</w:t>
      </w:r>
      <w:r w:rsidRPr="00A05EC9">
        <w:t xml:space="preserve"> geographic location</w:t>
      </w:r>
      <w:r>
        <w:t>s</w:t>
      </w:r>
      <w:r>
        <w:rPr>
          <w:szCs w:val="20"/>
        </w:rPr>
        <w:t xml:space="preserve"> </w:t>
      </w:r>
      <w:r w:rsidRPr="001E5818">
        <w:t xml:space="preserve">for a period of up to five years. </w:t>
      </w:r>
      <w:r>
        <w:t xml:space="preserve">They are typically issued ‘over-the-counter’ in accordance with coordination rules developed by the ACMA. The ACMA </w:t>
      </w:r>
      <w:hyperlink r:id="rId34" w:history="1">
        <w:r>
          <w:rPr>
            <w:rStyle w:val="Hyperlink"/>
          </w:rPr>
          <w:t>charges f</w:t>
        </w:r>
        <w:r w:rsidRPr="00D870BC">
          <w:rPr>
            <w:rStyle w:val="Hyperlink"/>
          </w:rPr>
          <w:t>ees</w:t>
        </w:r>
      </w:hyperlink>
      <w:r>
        <w:t xml:space="preserve"> for apparatus licences, which </w:t>
      </w:r>
      <w:r w:rsidRPr="00D870BC">
        <w:t xml:space="preserve">cover our costs and give people </w:t>
      </w:r>
      <w:r>
        <w:t>incentive</w:t>
      </w:r>
      <w:r w:rsidRPr="00D870BC">
        <w:t xml:space="preserve"> to use spectrum</w:t>
      </w:r>
      <w:r w:rsidR="007253EE">
        <w:t> </w:t>
      </w:r>
      <w:r w:rsidRPr="00D870BC">
        <w:t>efficiently.</w:t>
      </w:r>
    </w:p>
    <w:p w14:paraId="4C999DCD" w14:textId="56598317" w:rsidR="00A47330" w:rsidRDefault="00A47330" w:rsidP="00A47330">
      <w:r>
        <w:t xml:space="preserve">The ACMA </w:t>
      </w:r>
      <w:r w:rsidR="00CF7A25">
        <w:t>recently</w:t>
      </w:r>
      <w:r>
        <w:t xml:space="preserve"> </w:t>
      </w:r>
      <w:r w:rsidR="00182053">
        <w:t xml:space="preserve">created </w:t>
      </w:r>
      <w:r>
        <w:t>a new apparatus licence type</w:t>
      </w:r>
      <w:r w:rsidR="00D448F0">
        <w:t>—</w:t>
      </w:r>
      <w:r>
        <w:t xml:space="preserve">the </w:t>
      </w:r>
      <w:hyperlink r:id="rId35">
        <w:r w:rsidRPr="24D09117">
          <w:rPr>
            <w:rStyle w:val="Hyperlink"/>
          </w:rPr>
          <w:t>area-wide apparatus licence</w:t>
        </w:r>
      </w:hyperlink>
      <w:r>
        <w:t xml:space="preserve">. </w:t>
      </w:r>
      <w:r w:rsidR="00CF7A25">
        <w:t>This</w:t>
      </w:r>
      <w:r>
        <w:t xml:space="preserve"> authorises </w:t>
      </w:r>
      <w:r w:rsidRPr="00E273C3">
        <w:t xml:space="preserve">the operation of one or more radiocommunications devices within a defined geographic area </w:t>
      </w:r>
      <w:r>
        <w:t xml:space="preserve">within </w:t>
      </w:r>
      <w:r w:rsidRPr="00E273C3">
        <w:t xml:space="preserve">frequencies specified </w:t>
      </w:r>
      <w:r w:rsidR="21EF8E65">
        <w:t>in</w:t>
      </w:r>
      <w:r w:rsidRPr="00E273C3">
        <w:t xml:space="preserve"> the licence, subject to the conditions included on the issued licence. The licence type </w:t>
      </w:r>
      <w:r>
        <w:t>is proposed to</w:t>
      </w:r>
      <w:r w:rsidRPr="00E273C3">
        <w:t xml:space="preserve"> be scalable, enabling its use for authorising different-sized geographic areas and bandwidths. Unlike existing apparatus licence types</w:t>
      </w:r>
      <w:r w:rsidR="00417460">
        <w:t>—</w:t>
      </w:r>
      <w:r w:rsidRPr="00E273C3">
        <w:t xml:space="preserve">which typically align with specific uses and purposes—the </w:t>
      </w:r>
      <w:r w:rsidR="00417460">
        <w:t xml:space="preserve">area-wide apparatus licence </w:t>
      </w:r>
      <w:r>
        <w:t>will</w:t>
      </w:r>
      <w:r w:rsidRPr="00E273C3">
        <w:t xml:space="preserve"> be capable of authorising a variety of services, uses, applications and technologies. </w:t>
      </w:r>
    </w:p>
    <w:p w14:paraId="3C47A2F4" w14:textId="4484C021" w:rsidR="00A47330" w:rsidRDefault="00A47330" w:rsidP="00A47330">
      <w:r w:rsidRPr="00F26E80">
        <w:t>Class licen</w:t>
      </w:r>
      <w:r>
        <w:t>c</w:t>
      </w:r>
      <w:r w:rsidRPr="00F26E80">
        <w:t>es</w:t>
      </w:r>
      <w:r w:rsidR="00417460">
        <w:t xml:space="preserve"> </w:t>
      </w:r>
      <w:r w:rsidRPr="00F26E80">
        <w:t xml:space="preserve">are a </w:t>
      </w:r>
      <w:r>
        <w:t>standing</w:t>
      </w:r>
      <w:r w:rsidRPr="00F26E80">
        <w:t xml:space="preserve"> authorisation to </w:t>
      </w:r>
      <w:r>
        <w:t>access</w:t>
      </w:r>
      <w:r w:rsidRPr="00F26E80">
        <w:t xml:space="preserve"> spe</w:t>
      </w:r>
      <w:r w:rsidRPr="00A05EC9">
        <w:t xml:space="preserve">ctrum without the need to apply to the ACMA for </w:t>
      </w:r>
      <w:r>
        <w:t>an individual licence (hence no fees are paid)</w:t>
      </w:r>
      <w:r w:rsidRPr="00A05EC9">
        <w:t xml:space="preserve">, </w:t>
      </w:r>
      <w:r>
        <w:t xml:space="preserve">subject to </w:t>
      </w:r>
      <w:r w:rsidRPr="00A05EC9">
        <w:t xml:space="preserve">the conditions of </w:t>
      </w:r>
      <w:r>
        <w:t>the</w:t>
      </w:r>
      <w:r w:rsidRPr="00A05EC9">
        <w:t xml:space="preserve"> </w:t>
      </w:r>
      <w:r>
        <w:t xml:space="preserve">relevant class </w:t>
      </w:r>
      <w:r w:rsidRPr="00A05EC9">
        <w:t xml:space="preserve">licence. These conditions </w:t>
      </w:r>
      <w:r w:rsidR="00316B32">
        <w:t xml:space="preserve">include </w:t>
      </w:r>
      <w:r w:rsidRPr="00A05EC9">
        <w:t>technical</w:t>
      </w:r>
      <w:r w:rsidR="00723F22">
        <w:t xml:space="preserve"> and</w:t>
      </w:r>
      <w:r w:rsidRPr="00A05EC9">
        <w:t xml:space="preserve"> geographic </w:t>
      </w:r>
      <w:r w:rsidR="00723F22">
        <w:t xml:space="preserve">matters </w:t>
      </w:r>
      <w:r w:rsidRPr="00A05EC9">
        <w:t xml:space="preserve">and/or pertain to the type of use or class of user. </w:t>
      </w:r>
    </w:p>
    <w:p w14:paraId="2343508C" w14:textId="77777777" w:rsidR="00A47330" w:rsidRPr="0026075D" w:rsidRDefault="00A47330" w:rsidP="00A47330">
      <w:pPr>
        <w:pStyle w:val="Heading3"/>
      </w:pPr>
      <w:r>
        <w:t>Spectrum planning options development</w:t>
      </w:r>
    </w:p>
    <w:p w14:paraId="6875BF88" w14:textId="3416800A" w:rsidR="00A47330" w:rsidRDefault="00252749" w:rsidP="00A47330">
      <w:r>
        <w:t>We are</w:t>
      </w:r>
      <w:r w:rsidRPr="005A1431">
        <w:t xml:space="preserve"> guided in </w:t>
      </w:r>
      <w:r>
        <w:t>our</w:t>
      </w:r>
      <w:r w:rsidRPr="005A1431">
        <w:t xml:space="preserve"> spectrum management functions by </w:t>
      </w:r>
      <w:hyperlink r:id="rId36" w:history="1">
        <w:r w:rsidR="002C755C">
          <w:rPr>
            <w:rStyle w:val="Hyperlink"/>
          </w:rPr>
          <w:t>the object of the Radiocommunications Act 1992</w:t>
        </w:r>
      </w:hyperlink>
      <w:r>
        <w:t>, set out in</w:t>
      </w:r>
      <w:r w:rsidRPr="005A1431">
        <w:t xml:space="preserve"> </w:t>
      </w:r>
      <w:r w:rsidRPr="00F92CD2">
        <w:t>section 3</w:t>
      </w:r>
      <w:r>
        <w:t xml:space="preserve"> of the Act</w:t>
      </w:r>
      <w:r w:rsidRPr="005A1431">
        <w:t xml:space="preserve">. </w:t>
      </w:r>
      <w:r>
        <w:rPr>
          <w:rFonts w:cs="Arial"/>
        </w:rPr>
        <w:t xml:space="preserve">A balanced application of regulatory and market mechanisms is </w:t>
      </w:r>
      <w:r w:rsidR="0043210F">
        <w:rPr>
          <w:rFonts w:cs="Arial"/>
        </w:rPr>
        <w:t xml:space="preserve">often </w:t>
      </w:r>
      <w:r>
        <w:rPr>
          <w:rFonts w:cs="Arial"/>
        </w:rPr>
        <w:t>necessary in order to achieve</w:t>
      </w:r>
      <w:r w:rsidRPr="00880169">
        <w:rPr>
          <w:rFonts w:cs="Arial"/>
        </w:rPr>
        <w:t xml:space="preserve"> key </w:t>
      </w:r>
      <w:r>
        <w:rPr>
          <w:rFonts w:cs="Arial"/>
        </w:rPr>
        <w:t>elements of the object of the Act, in particular</w:t>
      </w:r>
      <w:r w:rsidRPr="00880169">
        <w:rPr>
          <w:rFonts w:cs="Arial"/>
        </w:rPr>
        <w:t xml:space="preserve"> maximising the overall public benefit from</w:t>
      </w:r>
      <w:r>
        <w:rPr>
          <w:rFonts w:cs="Arial"/>
        </w:rPr>
        <w:t xml:space="preserve"> the efficient allocation and</w:t>
      </w:r>
      <w:r w:rsidRPr="00880169">
        <w:rPr>
          <w:rFonts w:cs="Arial"/>
        </w:rPr>
        <w:t xml:space="preserve"> use of the radiofrequency spectrum</w:t>
      </w:r>
      <w:r>
        <w:rPr>
          <w:rFonts w:cs="Arial"/>
        </w:rPr>
        <w:t xml:space="preserve"> and meeting the government’s policy objectives.</w:t>
      </w:r>
      <w:r w:rsidRPr="00853887">
        <w:t xml:space="preserve"> </w:t>
      </w:r>
    </w:p>
    <w:p w14:paraId="5C5D1AA5" w14:textId="01C7FD0D" w:rsidR="00A47330" w:rsidRPr="005E6D37" w:rsidRDefault="003A23AD" w:rsidP="00A47330">
      <w:r>
        <w:t xml:space="preserve">Figure 1 </w:t>
      </w:r>
      <w:r w:rsidR="00D1329A">
        <w:t xml:space="preserve">below </w:t>
      </w:r>
      <w:r w:rsidR="00A47330" w:rsidRPr="00A05EC9">
        <w:t xml:space="preserve">describes </w:t>
      </w:r>
      <w:r w:rsidR="00A47330">
        <w:t xml:space="preserve">the approach the ACMA has used in developing and assessing preliminary replanning options for the </w:t>
      </w:r>
      <w:r w:rsidR="004C1FEC">
        <w:t>2 GHz</w:t>
      </w:r>
      <w:r w:rsidR="00A47330">
        <w:t xml:space="preserve"> band. </w:t>
      </w:r>
      <w:r w:rsidR="00A47330" w:rsidRPr="001E5818">
        <w:t xml:space="preserve">The ACMA will continue to apply </w:t>
      </w:r>
      <w:r w:rsidR="00A47330">
        <w:t>this general approach</w:t>
      </w:r>
      <w:r w:rsidR="00A47330" w:rsidRPr="00A05EC9">
        <w:t xml:space="preserve"> as it considers the responses to t</w:t>
      </w:r>
      <w:r w:rsidR="00A47330" w:rsidRPr="005E6D37">
        <w:t>his paper</w:t>
      </w:r>
      <w:r w:rsidR="00A47330">
        <w:t xml:space="preserve"> and decides on </w:t>
      </w:r>
      <w:r w:rsidR="004C1FEC">
        <w:t>replanning</w:t>
      </w:r>
      <w:r w:rsidR="00A47330">
        <w:t xml:space="preserve"> outcomes for the band</w:t>
      </w:r>
      <w:r w:rsidR="00A47330" w:rsidRPr="005E6D37">
        <w:t>.</w:t>
      </w:r>
    </w:p>
    <w:p w14:paraId="7AD42685" w14:textId="77777777" w:rsidR="00A47330" w:rsidRPr="005E6D37" w:rsidRDefault="00A47330" w:rsidP="00111730">
      <w:pPr>
        <w:pStyle w:val="ACMAFigureHeader"/>
        <w:keepNext/>
        <w:tabs>
          <w:tab w:val="clear" w:pos="1021"/>
          <w:tab w:val="num" w:pos="1305"/>
        </w:tabs>
        <w:spacing w:before="240"/>
      </w:pPr>
      <w:bookmarkStart w:id="33" w:name="_Ref43889827"/>
      <w:r w:rsidRPr="005E6D37">
        <w:lastRenderedPageBreak/>
        <w:t xml:space="preserve">Spectrum </w:t>
      </w:r>
      <w:r>
        <w:t>planning</w:t>
      </w:r>
      <w:r w:rsidRPr="005E6D37">
        <w:t xml:space="preserve"> </w:t>
      </w:r>
      <w:r>
        <w:t>options</w:t>
      </w:r>
      <w:r w:rsidRPr="005E6D37">
        <w:t xml:space="preserve"> framework</w:t>
      </w:r>
      <w:bookmarkEnd w:id="33"/>
    </w:p>
    <w:p w14:paraId="37D6C2D0" w14:textId="6EEEEEF0" w:rsidR="00A47330" w:rsidRDefault="00D752E2" w:rsidP="00A47330">
      <w:pPr>
        <w:pStyle w:val="ACMASpaceaftertable"/>
        <w:rPr>
          <w:szCs w:val="26"/>
        </w:rPr>
      </w:pPr>
      <w:r>
        <w:rPr>
          <w:noProof/>
        </w:rPr>
        <w:drawing>
          <wp:inline distT="0" distB="0" distL="0" distR="0" wp14:anchorId="2F38AD02" wp14:editId="5EC1544D">
            <wp:extent cx="6096000" cy="3356734"/>
            <wp:effectExtent l="0" t="0" r="0" b="0"/>
            <wp:docPr id="2" name="Picture 2" descr="Figure 1: Spectrum planning option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3239" cy="3360720"/>
                    </a:xfrm>
                    <a:prstGeom prst="rect">
                      <a:avLst/>
                    </a:prstGeom>
                    <a:noFill/>
                    <a:ln>
                      <a:noFill/>
                    </a:ln>
                  </pic:spPr>
                </pic:pic>
              </a:graphicData>
            </a:graphic>
          </wp:inline>
        </w:drawing>
      </w:r>
    </w:p>
    <w:p w14:paraId="13EF813C" w14:textId="77777777" w:rsidR="00520028" w:rsidRPr="000C6059" w:rsidRDefault="00520028" w:rsidP="000C6059">
      <w:pPr>
        <w:pStyle w:val="Heading2"/>
      </w:pPr>
      <w:bookmarkStart w:id="34" w:name="_Toc43389514"/>
      <w:bookmarkStart w:id="35" w:name="_Toc46316355"/>
      <w:r w:rsidRPr="000C6059">
        <w:t>Issues not within the scope of this paper</w:t>
      </w:r>
      <w:bookmarkEnd w:id="34"/>
      <w:bookmarkEnd w:id="35"/>
    </w:p>
    <w:p w14:paraId="663D8907" w14:textId="77777777" w:rsidR="00520028" w:rsidRDefault="00520028" w:rsidP="00520028">
      <w:r>
        <w:t>The following issues are not within the scope of this paper.</w:t>
      </w:r>
    </w:p>
    <w:p w14:paraId="61BEAE27" w14:textId="77777777" w:rsidR="00520028" w:rsidRDefault="00520028" w:rsidP="00520028">
      <w:pPr>
        <w:pStyle w:val="BodySubHeader"/>
      </w:pPr>
      <w:r>
        <w:t>Apparatus tax arrangements</w:t>
      </w:r>
    </w:p>
    <w:p w14:paraId="6B2BFB7C" w14:textId="2F9417BF" w:rsidR="00520028" w:rsidRDefault="00520028" w:rsidP="00520028">
      <w:r>
        <w:t xml:space="preserve">A review of the apparatus licence tax arrangements that apply to different services is not within scope of this paper. The ACMA is seeking feedback from industry on its general review of apparatus licence taxes as part of the consultations on the implementation of the </w:t>
      </w:r>
      <w:hyperlink r:id="rId38">
        <w:r w:rsidRPr="24D09117">
          <w:rPr>
            <w:rStyle w:val="Hyperlink"/>
          </w:rPr>
          <w:t>Spectrum Pricing Review</w:t>
        </w:r>
      </w:hyperlink>
      <w:r>
        <w:t xml:space="preserve"> and its annual work program, the </w:t>
      </w:r>
      <w:r w:rsidR="005812C5">
        <w:br/>
      </w:r>
      <w:hyperlink r:id="rId39">
        <w:r w:rsidR="006B406F" w:rsidRPr="24D09117">
          <w:rPr>
            <w:rStyle w:val="Hyperlink"/>
          </w:rPr>
          <w:t>Five-year spectrum outlook</w:t>
        </w:r>
      </w:hyperlink>
      <w:r>
        <w:t>.</w:t>
      </w:r>
      <w:r w:rsidR="002C1B2A">
        <w:t xml:space="preserve"> </w:t>
      </w:r>
      <w:r>
        <w:t>Interested parties are invited to provide the</w:t>
      </w:r>
      <w:r w:rsidR="002C1B2A">
        <w:t>ir</w:t>
      </w:r>
      <w:r>
        <w:t xml:space="preserve"> views on apparatus licence taxes in the 2 GHz band as part of th</w:t>
      </w:r>
      <w:r w:rsidR="2EE118B1">
        <w:t>o</w:t>
      </w:r>
      <w:r>
        <w:t>se processes.</w:t>
      </w:r>
    </w:p>
    <w:p w14:paraId="115BC4C7" w14:textId="77777777" w:rsidR="00520028" w:rsidRDefault="00520028" w:rsidP="00520028">
      <w:pPr>
        <w:pStyle w:val="BodySubHeader"/>
      </w:pPr>
      <w:r>
        <w:t>Detailed licensing and allocation arrangements</w:t>
      </w:r>
    </w:p>
    <w:p w14:paraId="0898BC2C" w14:textId="6EBD1822" w:rsidR="00520028" w:rsidRDefault="00520028" w:rsidP="00520028">
      <w:r>
        <w:t>Detailed licensing and allocation arrangements will be considered as part of any possible re-allocation process after a suitable replanning option is determined. Some licensing and allocation methods are described in this paper where relevant to aid discussion.</w:t>
      </w:r>
    </w:p>
    <w:p w14:paraId="1533CAF0" w14:textId="77777777" w:rsidR="00520028" w:rsidRDefault="00520028" w:rsidP="00520028">
      <w:pPr>
        <w:pStyle w:val="BodySubHeader"/>
      </w:pPr>
      <w:bookmarkStart w:id="36" w:name="_Toc459906714"/>
      <w:bookmarkStart w:id="37" w:name="_Toc464480508"/>
      <w:r>
        <w:t>Engagement in international activities</w:t>
      </w:r>
    </w:p>
    <w:bookmarkEnd w:id="36"/>
    <w:bookmarkEnd w:id="37"/>
    <w:p w14:paraId="7EFD2756" w14:textId="0BC25711" w:rsidR="00520028" w:rsidRDefault="00520028" w:rsidP="00520028">
      <w:pPr>
        <w:rPr>
          <w:rFonts w:cs="Arial"/>
          <w:b/>
          <w:bCs/>
          <w:iCs/>
          <w:sz w:val="28"/>
          <w:szCs w:val="28"/>
        </w:rPr>
      </w:pPr>
      <w:r>
        <w:t>The scope of this paper does not extend to Australian strategies or positions on matters under consideration in international spectrum management forums</w:t>
      </w:r>
      <w:r w:rsidR="00C03799">
        <w:t xml:space="preserve">, </w:t>
      </w:r>
      <w:r>
        <w:t xml:space="preserve">such as the International Telecommunication Union or Asia-Pacific Telecommunity. These matters are dealt with separately through relevant </w:t>
      </w:r>
      <w:r w:rsidR="00893BD1">
        <w:t xml:space="preserve">preparatory processes led by the </w:t>
      </w:r>
      <w:r>
        <w:t>ACMA and</w:t>
      </w:r>
      <w:r w:rsidR="00893BD1">
        <w:t xml:space="preserve">/or the </w:t>
      </w:r>
      <w:r>
        <w:t>Department of Infrastructure</w:t>
      </w:r>
      <w:r w:rsidR="00893BD1">
        <w:t>,</w:t>
      </w:r>
      <w:r>
        <w:t xml:space="preserve"> Transport</w:t>
      </w:r>
      <w:r w:rsidR="00893BD1">
        <w:t>,</w:t>
      </w:r>
      <w:r>
        <w:t xml:space="preserve"> Regional Development and Communications. Stakeholders interested in these processes can </w:t>
      </w:r>
      <w:r w:rsidR="00860388">
        <w:t>find</w:t>
      </w:r>
      <w:r>
        <w:t xml:space="preserve"> more information from the </w:t>
      </w:r>
      <w:hyperlink r:id="rId40" w:history="1">
        <w:r>
          <w:rPr>
            <w:rStyle w:val="Hyperlink"/>
            <w:rFonts w:cs="Arial"/>
          </w:rPr>
          <w:t>ACMA website</w:t>
        </w:r>
      </w:hyperlink>
      <w:r>
        <w:t xml:space="preserve"> or by contacting either the ACMA’s International Radiocommunications Section (</w:t>
      </w:r>
      <w:hyperlink r:id="rId41" w:history="1">
        <w:r w:rsidR="00860388">
          <w:rPr>
            <w:rStyle w:val="Hyperlink"/>
            <w:rFonts w:cs="Arial"/>
          </w:rPr>
          <w:t>irs@acma.gov.au</w:t>
        </w:r>
      </w:hyperlink>
      <w:r>
        <w:t>) or the</w:t>
      </w:r>
      <w:r w:rsidR="0056510F">
        <w:t xml:space="preserve"> Department’s</w:t>
      </w:r>
      <w:r>
        <w:t xml:space="preserve"> International Radiocommunications Section</w:t>
      </w:r>
      <w:r w:rsidR="0056510F">
        <w:t xml:space="preserve"> </w:t>
      </w:r>
      <w:r>
        <w:t>(</w:t>
      </w:r>
      <w:hyperlink r:id="rId42" w:history="1">
        <w:r w:rsidR="00860388">
          <w:rPr>
            <w:rStyle w:val="Hyperlink"/>
          </w:rPr>
          <w:t>wrc@communications.gov.au</w:t>
        </w:r>
      </w:hyperlink>
      <w:r>
        <w:t>).</w:t>
      </w:r>
    </w:p>
    <w:p w14:paraId="6D5C7674" w14:textId="77777777" w:rsidR="009D28C9" w:rsidRPr="001F7DED" w:rsidRDefault="009D28C9" w:rsidP="009D28C9">
      <w:pPr>
        <w:pStyle w:val="Heading2"/>
        <w:keepLines/>
      </w:pPr>
      <w:bookmarkStart w:id="38" w:name="_Toc46316356"/>
      <w:r w:rsidRPr="001F7DED">
        <w:lastRenderedPageBreak/>
        <w:t>Next steps</w:t>
      </w:r>
      <w:bookmarkEnd w:id="38"/>
    </w:p>
    <w:p w14:paraId="0F39291E" w14:textId="77777777" w:rsidR="009D28C9" w:rsidRPr="001F7DED" w:rsidRDefault="009D28C9" w:rsidP="009D28C9">
      <w:pPr>
        <w:pStyle w:val="Paragraph"/>
      </w:pPr>
      <w:r w:rsidRPr="001F7DED">
        <w:t xml:space="preserve">This paper represents the public consultation phase of </w:t>
      </w:r>
      <w:r w:rsidRPr="006B1929">
        <w:t>preliminary replanning</w:t>
      </w:r>
      <w:r w:rsidRPr="001F7DED">
        <w:t>, which is the third stage in the ACMA’s band replanning process. The table below shows the subsequent activities and estimated timing that will follow release of this paper.</w:t>
      </w:r>
    </w:p>
    <w:p w14:paraId="1EEB29CF" w14:textId="67AA6FEE" w:rsidR="009D28C9" w:rsidRPr="001F7DED" w:rsidRDefault="009D28C9" w:rsidP="009D28C9">
      <w:pPr>
        <w:pStyle w:val="Paragraph"/>
      </w:pPr>
      <w:r w:rsidRPr="001F7DED">
        <w:t>Completion of these activities is contingent on a variety of factors including feedback received from stakeholders and consideration by the ACMA Authority.</w:t>
      </w:r>
    </w:p>
    <w:p w14:paraId="3EAFAFBC" w14:textId="77777777" w:rsidR="009D28C9" w:rsidRPr="001F7DED" w:rsidRDefault="009D28C9" w:rsidP="006B1929">
      <w:pPr>
        <w:pStyle w:val="ACMATableHeader"/>
        <w:keepNext/>
        <w:tabs>
          <w:tab w:val="num" w:pos="851"/>
        </w:tabs>
        <w:ind w:hanging="1957"/>
      </w:pPr>
      <w:r w:rsidRPr="001F7DED">
        <w:t>Indicative timeline for replanning the 2 GHz band</w:t>
      </w:r>
    </w:p>
    <w:tbl>
      <w:tblPr>
        <w:tblStyle w:val="TableGrid"/>
        <w:tblW w:w="7950" w:type="dxa"/>
        <w:tblInd w:w="-5" w:type="dxa"/>
        <w:tblLayout w:type="fixed"/>
        <w:tblCellMar>
          <w:top w:w="57" w:type="dxa"/>
          <w:left w:w="57" w:type="dxa"/>
          <w:bottom w:w="57" w:type="dxa"/>
          <w:right w:w="57" w:type="dxa"/>
        </w:tblCellMar>
        <w:tblLook w:val="04A0" w:firstRow="1" w:lastRow="0" w:firstColumn="1" w:lastColumn="0" w:noHBand="0" w:noVBand="1"/>
        <w:tblCaption w:val="Indicative timeline for the progression of one band through the process for consideration of additional spectrum for mobile borabdand services"/>
        <w:tblDescription w:val="includes stage, milestones and indicative timings."/>
      </w:tblPr>
      <w:tblGrid>
        <w:gridCol w:w="2269"/>
        <w:gridCol w:w="4270"/>
        <w:gridCol w:w="1411"/>
      </w:tblGrid>
      <w:tr w:rsidR="00F7555E" w:rsidRPr="001F7DED" w14:paraId="77B5239A" w14:textId="77777777" w:rsidTr="00111730">
        <w:trPr>
          <w:trHeight w:val="86"/>
          <w:tblHeader/>
        </w:trPr>
        <w:tc>
          <w:tcPr>
            <w:tcW w:w="2269" w:type="dxa"/>
            <w:tcBorders>
              <w:top w:val="single" w:sz="4" w:space="0" w:color="auto"/>
              <w:left w:val="single" w:sz="4" w:space="0" w:color="auto"/>
              <w:bottom w:val="single" w:sz="4" w:space="0" w:color="auto"/>
              <w:right w:val="single" w:sz="4" w:space="0" w:color="auto"/>
            </w:tcBorders>
            <w:shd w:val="clear" w:color="auto" w:fill="404040" w:themeFill="text1" w:themeFillTint="BF"/>
            <w:hideMark/>
          </w:tcPr>
          <w:p w14:paraId="74F58859" w14:textId="77777777" w:rsidR="009D28C9" w:rsidRPr="001F7DED" w:rsidRDefault="009D28C9" w:rsidP="005035B2">
            <w:pPr>
              <w:pStyle w:val="TableHeading0"/>
              <w:rPr>
                <w:color w:val="FFFFFF" w:themeColor="background1"/>
              </w:rPr>
            </w:pPr>
            <w:r w:rsidRPr="001F7DED">
              <w:rPr>
                <w:color w:val="FFFFFF" w:themeColor="background1"/>
              </w:rPr>
              <w:t>Stage</w:t>
            </w:r>
          </w:p>
        </w:tc>
        <w:tc>
          <w:tcPr>
            <w:tcW w:w="4270" w:type="dxa"/>
            <w:tcBorders>
              <w:top w:val="single" w:sz="4" w:space="0" w:color="auto"/>
              <w:left w:val="single" w:sz="4" w:space="0" w:color="auto"/>
              <w:bottom w:val="single" w:sz="4" w:space="0" w:color="auto"/>
              <w:right w:val="single" w:sz="4" w:space="0" w:color="auto"/>
            </w:tcBorders>
            <w:shd w:val="clear" w:color="auto" w:fill="404040" w:themeFill="text1" w:themeFillTint="BF"/>
            <w:hideMark/>
          </w:tcPr>
          <w:p w14:paraId="0A7CC25C" w14:textId="77777777" w:rsidR="009D28C9" w:rsidRPr="001F7DED" w:rsidRDefault="009D28C9" w:rsidP="005035B2">
            <w:pPr>
              <w:pStyle w:val="TableHeading0"/>
              <w:rPr>
                <w:color w:val="FFFFFF" w:themeColor="background1"/>
              </w:rPr>
            </w:pPr>
            <w:r w:rsidRPr="001F7DED">
              <w:rPr>
                <w:color w:val="FFFFFF" w:themeColor="background1"/>
              </w:rPr>
              <w:t>Milestone</w:t>
            </w:r>
          </w:p>
        </w:tc>
        <w:tc>
          <w:tcPr>
            <w:tcW w:w="1411" w:type="dxa"/>
            <w:tcBorders>
              <w:top w:val="single" w:sz="4" w:space="0" w:color="auto"/>
              <w:left w:val="single" w:sz="4" w:space="0" w:color="auto"/>
              <w:bottom w:val="single" w:sz="4" w:space="0" w:color="auto"/>
              <w:right w:val="single" w:sz="4" w:space="0" w:color="auto"/>
            </w:tcBorders>
            <w:shd w:val="clear" w:color="auto" w:fill="404040" w:themeFill="text1" w:themeFillTint="BF"/>
            <w:hideMark/>
          </w:tcPr>
          <w:p w14:paraId="6F38F8FE" w14:textId="77777777" w:rsidR="009D28C9" w:rsidRPr="001F7DED" w:rsidRDefault="009D28C9" w:rsidP="005035B2">
            <w:pPr>
              <w:pStyle w:val="TableHeading0"/>
              <w:rPr>
                <w:color w:val="FFFFFF" w:themeColor="background1"/>
              </w:rPr>
            </w:pPr>
            <w:r w:rsidRPr="001F7DED">
              <w:rPr>
                <w:color w:val="FFFFFF" w:themeColor="background1"/>
              </w:rPr>
              <w:t>Date</w:t>
            </w:r>
          </w:p>
        </w:tc>
      </w:tr>
      <w:tr w:rsidR="00F7555E" w:rsidRPr="001F7DED" w14:paraId="40CEAB7B" w14:textId="77777777" w:rsidTr="00111730">
        <w:tc>
          <w:tcPr>
            <w:tcW w:w="22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23CA8B" w14:textId="77777777" w:rsidR="009D28C9" w:rsidRPr="001F7DED" w:rsidRDefault="009D28C9" w:rsidP="005035B2">
            <w:pPr>
              <w:spacing w:after="0"/>
              <w:rPr>
                <w:rFonts w:cs="Arial"/>
                <w:b/>
                <w:sz w:val="18"/>
                <w:szCs w:val="18"/>
              </w:rPr>
            </w:pPr>
            <w:r w:rsidRPr="001F7DED">
              <w:rPr>
                <w:rFonts w:cs="Arial"/>
                <w:b/>
                <w:sz w:val="18"/>
                <w:szCs w:val="18"/>
              </w:rPr>
              <w:t>Stage 3—</w:t>
            </w:r>
            <w:r w:rsidRPr="001F7DED">
              <w:rPr>
                <w:rFonts w:cs="Arial"/>
                <w:b/>
                <w:sz w:val="18"/>
                <w:szCs w:val="18"/>
              </w:rPr>
              <w:br/>
              <w:t>Preliminary replanning</w:t>
            </w:r>
          </w:p>
        </w:tc>
        <w:tc>
          <w:tcPr>
            <w:tcW w:w="4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1E4397" w14:textId="4098706B" w:rsidR="009D28C9" w:rsidRPr="001F7DED" w:rsidRDefault="009D28C9" w:rsidP="005035B2">
            <w:pPr>
              <w:spacing w:after="0"/>
              <w:rPr>
                <w:rFonts w:cs="Arial"/>
                <w:sz w:val="18"/>
                <w:szCs w:val="18"/>
              </w:rPr>
            </w:pPr>
            <w:r w:rsidRPr="001F7DED">
              <w:rPr>
                <w:rFonts w:cs="Arial"/>
                <w:sz w:val="18"/>
                <w:szCs w:val="18"/>
              </w:rPr>
              <w:t xml:space="preserve">Release </w:t>
            </w:r>
            <w:r w:rsidRPr="001F7DED">
              <w:rPr>
                <w:rFonts w:cs="Arial"/>
                <w:i/>
                <w:sz w:val="18"/>
                <w:szCs w:val="18"/>
              </w:rPr>
              <w:t>Replanning the 2 GHz band: options paper</w:t>
            </w:r>
            <w:r w:rsidRPr="001F7DED">
              <w:rPr>
                <w:rFonts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13AC88" w14:textId="4D7AF339" w:rsidR="009D28C9" w:rsidRPr="001F7DED" w:rsidRDefault="00BC7EA8" w:rsidP="005035B2">
            <w:pPr>
              <w:spacing w:after="0"/>
              <w:rPr>
                <w:rFonts w:cs="Arial"/>
                <w:sz w:val="18"/>
                <w:szCs w:val="18"/>
              </w:rPr>
            </w:pPr>
            <w:r>
              <w:rPr>
                <w:rFonts w:cs="Arial"/>
                <w:sz w:val="18"/>
                <w:szCs w:val="18"/>
              </w:rPr>
              <w:t xml:space="preserve">22 </w:t>
            </w:r>
            <w:r w:rsidR="009D28C9" w:rsidRPr="516E91E8">
              <w:rPr>
                <w:rFonts w:cs="Arial"/>
                <w:sz w:val="18"/>
                <w:szCs w:val="18"/>
              </w:rPr>
              <w:t>July</w:t>
            </w:r>
            <w:r w:rsidR="009D28C9" w:rsidRPr="001F7DED">
              <w:rPr>
                <w:rFonts w:cs="Arial"/>
                <w:sz w:val="18"/>
                <w:szCs w:val="18"/>
              </w:rPr>
              <w:t xml:space="preserve"> 2020</w:t>
            </w:r>
          </w:p>
        </w:tc>
      </w:tr>
      <w:tr w:rsidR="00F7555E" w:rsidRPr="001F7DED" w14:paraId="138E2D34" w14:textId="77777777" w:rsidTr="00111730">
        <w:tc>
          <w:tcPr>
            <w:tcW w:w="2269" w:type="dxa"/>
            <w:vMerge/>
            <w:tcBorders>
              <w:top w:val="single" w:sz="4" w:space="0" w:color="auto"/>
              <w:left w:val="single" w:sz="4" w:space="0" w:color="auto"/>
              <w:bottom w:val="single" w:sz="4" w:space="0" w:color="auto"/>
              <w:right w:val="single" w:sz="4" w:space="0" w:color="auto"/>
            </w:tcBorders>
            <w:vAlign w:val="center"/>
            <w:hideMark/>
          </w:tcPr>
          <w:p w14:paraId="539571DD" w14:textId="77777777" w:rsidR="009D28C9" w:rsidRPr="001F7DED" w:rsidRDefault="009D28C9" w:rsidP="005035B2">
            <w:pPr>
              <w:spacing w:after="0"/>
              <w:rPr>
                <w:rFonts w:cs="Arial"/>
                <w:b/>
                <w:sz w:val="18"/>
                <w:szCs w:val="18"/>
              </w:rPr>
            </w:pPr>
          </w:p>
        </w:tc>
        <w:tc>
          <w:tcPr>
            <w:tcW w:w="4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3DFF82" w14:textId="77777777" w:rsidR="009D28C9" w:rsidRPr="001F7DED" w:rsidRDefault="009D28C9" w:rsidP="005035B2">
            <w:pPr>
              <w:spacing w:after="0"/>
              <w:rPr>
                <w:rFonts w:cs="Arial"/>
                <w:sz w:val="18"/>
                <w:szCs w:val="18"/>
              </w:rPr>
            </w:pPr>
            <w:r w:rsidRPr="001F7DED">
              <w:rPr>
                <w:rFonts w:cs="Arial"/>
                <w:sz w:val="18"/>
                <w:szCs w:val="18"/>
              </w:rPr>
              <w:t>Submissions due to options paper</w:t>
            </w:r>
          </w:p>
        </w:tc>
        <w:tc>
          <w:tcPr>
            <w:tcW w:w="14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7FD800" w14:textId="2CD895B3" w:rsidR="009D28C9" w:rsidRPr="00EE3FB1" w:rsidRDefault="006F2697" w:rsidP="005035B2">
            <w:pPr>
              <w:spacing w:after="0"/>
              <w:rPr>
                <w:rFonts w:cs="Arial"/>
                <w:sz w:val="18"/>
                <w:szCs w:val="18"/>
                <w:highlight w:val="yellow"/>
              </w:rPr>
            </w:pPr>
            <w:r w:rsidRPr="006B1929">
              <w:rPr>
                <w:rFonts w:cs="Arial"/>
                <w:sz w:val="18"/>
                <w:szCs w:val="18"/>
              </w:rPr>
              <w:t>2 September</w:t>
            </w:r>
            <w:r w:rsidR="009D28C9" w:rsidRPr="006B1929">
              <w:rPr>
                <w:rFonts w:cs="Arial"/>
                <w:sz w:val="18"/>
                <w:szCs w:val="18"/>
              </w:rPr>
              <w:t xml:space="preserve"> 2020</w:t>
            </w:r>
          </w:p>
        </w:tc>
      </w:tr>
      <w:tr w:rsidR="00F7555E" w:rsidRPr="001F7DED" w14:paraId="7F973CC8" w14:textId="77777777" w:rsidTr="00111730">
        <w:tc>
          <w:tcPr>
            <w:tcW w:w="2269" w:type="dxa"/>
            <w:vMerge/>
            <w:tcBorders>
              <w:top w:val="single" w:sz="4" w:space="0" w:color="auto"/>
              <w:left w:val="single" w:sz="4" w:space="0" w:color="auto"/>
              <w:bottom w:val="single" w:sz="4" w:space="0" w:color="auto"/>
              <w:right w:val="single" w:sz="4" w:space="0" w:color="auto"/>
            </w:tcBorders>
            <w:vAlign w:val="center"/>
            <w:hideMark/>
          </w:tcPr>
          <w:p w14:paraId="5068D604" w14:textId="77777777" w:rsidR="009D28C9" w:rsidRPr="001F7DED" w:rsidRDefault="009D28C9" w:rsidP="005035B2">
            <w:pPr>
              <w:spacing w:after="0"/>
              <w:rPr>
                <w:rFonts w:cs="Arial"/>
                <w:b/>
                <w:sz w:val="18"/>
                <w:szCs w:val="18"/>
              </w:rPr>
            </w:pPr>
          </w:p>
        </w:tc>
        <w:tc>
          <w:tcPr>
            <w:tcW w:w="4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E74525" w14:textId="331D7F9B" w:rsidR="009D28C9" w:rsidRPr="001F7DED" w:rsidRDefault="009D28C9" w:rsidP="005035B2">
            <w:pPr>
              <w:spacing w:after="0"/>
              <w:rPr>
                <w:rFonts w:cs="Arial"/>
                <w:sz w:val="18"/>
                <w:szCs w:val="18"/>
              </w:rPr>
            </w:pPr>
            <w:r w:rsidRPr="001F7DED">
              <w:rPr>
                <w:rFonts w:cs="Arial"/>
                <w:sz w:val="18"/>
                <w:szCs w:val="18"/>
              </w:rPr>
              <w:t xml:space="preserve">Release </w:t>
            </w:r>
            <w:r>
              <w:rPr>
                <w:rFonts w:cs="Arial"/>
                <w:i/>
                <w:iCs/>
                <w:sz w:val="18"/>
                <w:szCs w:val="18"/>
              </w:rPr>
              <w:t>Replanning the 2 GHz band: outcomes paper</w:t>
            </w:r>
          </w:p>
        </w:tc>
        <w:tc>
          <w:tcPr>
            <w:tcW w:w="14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5499A6" w14:textId="6D3FEAAC" w:rsidR="009D28C9" w:rsidRPr="001F7DED" w:rsidRDefault="009D28C9" w:rsidP="005035B2">
            <w:pPr>
              <w:spacing w:after="0"/>
              <w:rPr>
                <w:rFonts w:cs="Arial"/>
                <w:sz w:val="18"/>
                <w:szCs w:val="18"/>
              </w:rPr>
            </w:pPr>
            <w:r>
              <w:rPr>
                <w:rFonts w:cs="Arial"/>
                <w:sz w:val="18"/>
                <w:szCs w:val="18"/>
              </w:rPr>
              <w:t>No</w:t>
            </w:r>
            <w:r w:rsidR="00F9277E">
              <w:rPr>
                <w:rFonts w:cs="Arial"/>
                <w:sz w:val="18"/>
                <w:szCs w:val="18"/>
              </w:rPr>
              <w:t xml:space="preserve"> earlier than</w:t>
            </w:r>
            <w:r w:rsidR="00463867">
              <w:rPr>
                <w:rFonts w:cs="Arial"/>
                <w:sz w:val="18"/>
                <w:szCs w:val="18"/>
              </w:rPr>
              <w:t xml:space="preserve"> </w:t>
            </w:r>
            <w:r>
              <w:rPr>
                <w:rFonts w:cs="Arial"/>
                <w:sz w:val="18"/>
                <w:szCs w:val="18"/>
              </w:rPr>
              <w:t>Q4 2020</w:t>
            </w:r>
          </w:p>
        </w:tc>
      </w:tr>
      <w:tr w:rsidR="009D28C9" w:rsidRPr="001F7DED" w14:paraId="312C1B65" w14:textId="77777777" w:rsidTr="00111730">
        <w:tc>
          <w:tcPr>
            <w:tcW w:w="2269" w:type="dxa"/>
            <w:tcBorders>
              <w:top w:val="single" w:sz="4" w:space="0" w:color="auto"/>
              <w:left w:val="single" w:sz="4" w:space="0" w:color="auto"/>
              <w:bottom w:val="single" w:sz="4" w:space="0" w:color="auto"/>
              <w:right w:val="single" w:sz="4" w:space="0" w:color="auto"/>
            </w:tcBorders>
            <w:hideMark/>
          </w:tcPr>
          <w:p w14:paraId="6803CFCC" w14:textId="77777777" w:rsidR="009D28C9" w:rsidRPr="00603BE2" w:rsidRDefault="009D28C9" w:rsidP="005035B2">
            <w:pPr>
              <w:spacing w:after="0"/>
              <w:rPr>
                <w:rFonts w:cs="Arial"/>
                <w:b/>
                <w:sz w:val="18"/>
                <w:szCs w:val="18"/>
              </w:rPr>
            </w:pPr>
            <w:r w:rsidRPr="00603BE2">
              <w:rPr>
                <w:rFonts w:cs="Arial"/>
                <w:b/>
                <w:sz w:val="18"/>
                <w:szCs w:val="18"/>
              </w:rPr>
              <w:t>Stage 4—</w:t>
            </w:r>
            <w:r w:rsidRPr="00603BE2">
              <w:rPr>
                <w:rFonts w:cs="Arial"/>
                <w:b/>
                <w:sz w:val="18"/>
                <w:szCs w:val="18"/>
              </w:rPr>
              <w:br/>
            </w:r>
            <w:r>
              <w:rPr>
                <w:rFonts w:cs="Arial"/>
                <w:b/>
                <w:sz w:val="18"/>
                <w:szCs w:val="18"/>
              </w:rPr>
              <w:t>R</w:t>
            </w:r>
            <w:r w:rsidRPr="00603BE2">
              <w:rPr>
                <w:rFonts w:cs="Arial"/>
                <w:b/>
                <w:sz w:val="18"/>
                <w:szCs w:val="18"/>
              </w:rPr>
              <w:t>eplanning</w:t>
            </w:r>
          </w:p>
        </w:tc>
        <w:tc>
          <w:tcPr>
            <w:tcW w:w="4270" w:type="dxa"/>
            <w:tcBorders>
              <w:top w:val="single" w:sz="4" w:space="0" w:color="auto"/>
              <w:left w:val="single" w:sz="4" w:space="0" w:color="auto"/>
              <w:bottom w:val="single" w:sz="4" w:space="0" w:color="auto"/>
              <w:right w:val="single" w:sz="4" w:space="0" w:color="auto"/>
            </w:tcBorders>
            <w:hideMark/>
          </w:tcPr>
          <w:p w14:paraId="7547AAC9" w14:textId="77777777" w:rsidR="009D28C9" w:rsidRPr="00603BE2" w:rsidRDefault="009D28C9" w:rsidP="005035B2">
            <w:pPr>
              <w:spacing w:after="0"/>
              <w:rPr>
                <w:rFonts w:cs="Arial"/>
                <w:sz w:val="18"/>
                <w:szCs w:val="18"/>
              </w:rPr>
            </w:pPr>
            <w:r w:rsidRPr="00603BE2">
              <w:rPr>
                <w:rFonts w:cs="Arial"/>
                <w:sz w:val="18"/>
                <w:szCs w:val="18"/>
              </w:rPr>
              <w:t>Commencement of</w:t>
            </w:r>
            <w:r>
              <w:rPr>
                <w:rFonts w:cs="Arial"/>
                <w:sz w:val="18"/>
                <w:szCs w:val="18"/>
              </w:rPr>
              <w:t xml:space="preserve"> replanning</w:t>
            </w:r>
            <w:r w:rsidRPr="00603BE2">
              <w:rPr>
                <w:rFonts w:cs="Arial"/>
                <w:sz w:val="18"/>
                <w:szCs w:val="18"/>
              </w:rPr>
              <w:t xml:space="preserve"> stage, if applicable</w:t>
            </w:r>
          </w:p>
        </w:tc>
        <w:tc>
          <w:tcPr>
            <w:tcW w:w="1411" w:type="dxa"/>
            <w:tcBorders>
              <w:top w:val="single" w:sz="4" w:space="0" w:color="auto"/>
              <w:left w:val="single" w:sz="4" w:space="0" w:color="auto"/>
              <w:bottom w:val="single" w:sz="4" w:space="0" w:color="auto"/>
              <w:right w:val="single" w:sz="4" w:space="0" w:color="auto"/>
            </w:tcBorders>
            <w:hideMark/>
          </w:tcPr>
          <w:p w14:paraId="596FCD84" w14:textId="7F4DF86A" w:rsidR="009D28C9" w:rsidRPr="00603BE2" w:rsidRDefault="00F9277E" w:rsidP="005035B2">
            <w:pPr>
              <w:spacing w:after="0"/>
              <w:rPr>
                <w:rFonts w:cs="Arial"/>
                <w:sz w:val="18"/>
                <w:szCs w:val="18"/>
              </w:rPr>
            </w:pPr>
            <w:r>
              <w:rPr>
                <w:rFonts w:cs="Arial"/>
                <w:sz w:val="18"/>
                <w:szCs w:val="18"/>
              </w:rPr>
              <w:t>No earlier than</w:t>
            </w:r>
            <w:r w:rsidR="009D28C9">
              <w:rPr>
                <w:rFonts w:cs="Arial"/>
                <w:sz w:val="18"/>
                <w:szCs w:val="18"/>
              </w:rPr>
              <w:t xml:space="preserve"> Q1 2021</w:t>
            </w:r>
          </w:p>
        </w:tc>
      </w:tr>
    </w:tbl>
    <w:p w14:paraId="0423AE63" w14:textId="77777777" w:rsidR="009D28C9" w:rsidRPr="001F7DED" w:rsidRDefault="009D28C9" w:rsidP="00111730">
      <w:pPr>
        <w:ind w:left="284"/>
      </w:pPr>
    </w:p>
    <w:p w14:paraId="67E5C462" w14:textId="317D269F" w:rsidR="009D28C9" w:rsidRPr="00937648" w:rsidRDefault="009D28C9" w:rsidP="00937648">
      <w:pPr>
        <w:pStyle w:val="Paragraph"/>
      </w:pPr>
      <w:r w:rsidRPr="00937648">
        <w:t xml:space="preserve">As noted above, a decision on whether the 2 GHz band will be progressed to the replanning stage will be made at the earliest in </w:t>
      </w:r>
      <w:r w:rsidR="00897F29">
        <w:t xml:space="preserve">the fourth quarter of </w:t>
      </w:r>
      <w:r w:rsidRPr="00937648">
        <w:t>2020.</w:t>
      </w:r>
    </w:p>
    <w:p w14:paraId="74ABDB2F" w14:textId="183D8323" w:rsidR="009D28C9" w:rsidRPr="0059721B" w:rsidRDefault="009D28C9" w:rsidP="00937648">
      <w:pPr>
        <w:pStyle w:val="Paragraph"/>
      </w:pPr>
      <w:r w:rsidRPr="00937648">
        <w:t xml:space="preserve">The actions taken in the replanning stage will depend on the replanning option chosen. In the event the ACMA </w:t>
      </w:r>
      <w:r w:rsidR="004F1630" w:rsidRPr="00937648">
        <w:t>concludes</w:t>
      </w:r>
      <w:r w:rsidRPr="00B16007">
        <w:t xml:space="preserve"> the </w:t>
      </w:r>
      <w:r w:rsidR="004F1630" w:rsidRPr="00B16007">
        <w:t>preferred</w:t>
      </w:r>
      <w:r w:rsidRPr="00B16007">
        <w:t xml:space="preserve"> replanning option does not involve re-allocating the band for the issue of spectrum licences, we w</w:t>
      </w:r>
      <w:r w:rsidR="004F1630" w:rsidRPr="00B16007">
        <w:t xml:space="preserve">ill </w:t>
      </w:r>
      <w:r w:rsidRPr="0059721B">
        <w:t>commence development of any necessary technical frameworks and/or allocation instruments for the release of the spectrum by an administrative allocation of apparatus licences.</w:t>
      </w:r>
    </w:p>
    <w:p w14:paraId="00049662" w14:textId="293F7D8D" w:rsidR="009D28C9" w:rsidRPr="00937648" w:rsidRDefault="009D28C9" w:rsidP="00937648">
      <w:pPr>
        <w:pStyle w:val="Paragraph"/>
      </w:pPr>
      <w:r w:rsidRPr="0059721B">
        <w:t>If a replanning decision is made that would involve the issue of spectrum licences, a</w:t>
      </w:r>
      <w:r w:rsidR="00897F29">
        <w:t> </w:t>
      </w:r>
      <w:r w:rsidRPr="0059721B">
        <w:t>separate statutory process w</w:t>
      </w:r>
      <w:r w:rsidR="002B1F3B" w:rsidRPr="0059721B">
        <w:t>ill</w:t>
      </w:r>
      <w:r w:rsidRPr="00DE4422">
        <w:t xml:space="preserve"> be undertaken involving the Minister for Communications, Cyber Safety and Arts</w:t>
      </w:r>
      <w:r w:rsidR="00757F8A" w:rsidRPr="00DE4422">
        <w:t>,</w:t>
      </w:r>
      <w:r w:rsidRPr="00DE4422">
        <w:t xml:space="preserve"> as set out in </w:t>
      </w:r>
      <w:r w:rsidR="002B1F3B" w:rsidRPr="00DE4422">
        <w:t xml:space="preserve">section </w:t>
      </w:r>
      <w:r w:rsidR="00422082">
        <w:t>153</w:t>
      </w:r>
      <w:r w:rsidR="002B1F3B" w:rsidRPr="00DE4422">
        <w:t xml:space="preserve"> of </w:t>
      </w:r>
      <w:r w:rsidRPr="00422082">
        <w:t xml:space="preserve">the </w:t>
      </w:r>
      <w:r w:rsidRPr="00422082">
        <w:rPr>
          <w:i/>
          <w:iCs/>
        </w:rPr>
        <w:t>Radiocommunications Act 1992</w:t>
      </w:r>
      <w:r w:rsidRPr="00937648">
        <w:t>.</w:t>
      </w:r>
    </w:p>
    <w:p w14:paraId="67956E04" w14:textId="77777777" w:rsidR="00520028" w:rsidRDefault="00520028" w:rsidP="00111730">
      <w:pPr>
        <w:pStyle w:val="ACMASpaceaftertable"/>
        <w:ind w:left="284"/>
        <w:rPr>
          <w:szCs w:val="26"/>
        </w:rPr>
      </w:pPr>
    </w:p>
    <w:p w14:paraId="121010EC" w14:textId="4DA39EC0" w:rsidR="0077255C" w:rsidRPr="001F7DED" w:rsidRDefault="00D37E3C" w:rsidP="00354AA7">
      <w:pPr>
        <w:pStyle w:val="Heading1"/>
      </w:pPr>
      <w:bookmarkStart w:id="39" w:name="_Toc46316357"/>
      <w:bookmarkEnd w:id="20"/>
      <w:bookmarkEnd w:id="21"/>
      <w:bookmarkEnd w:id="22"/>
      <w:bookmarkEnd w:id="23"/>
      <w:bookmarkEnd w:id="24"/>
      <w:bookmarkEnd w:id="25"/>
      <w:bookmarkEnd w:id="26"/>
      <w:bookmarkEnd w:id="27"/>
      <w:bookmarkEnd w:id="28"/>
      <w:bookmarkEnd w:id="29"/>
      <w:bookmarkEnd w:id="30"/>
      <w:bookmarkEnd w:id="31"/>
      <w:bookmarkEnd w:id="32"/>
      <w:r>
        <w:lastRenderedPageBreak/>
        <w:t xml:space="preserve">The </w:t>
      </w:r>
      <w:r w:rsidR="00AE64A1" w:rsidRPr="001F7DED">
        <w:t>process</w:t>
      </w:r>
      <w:r>
        <w:t xml:space="preserve"> to date</w:t>
      </w:r>
      <w:bookmarkEnd w:id="39"/>
    </w:p>
    <w:p w14:paraId="0D65F718" w14:textId="77777777" w:rsidR="0077255C" w:rsidRPr="001F7DED" w:rsidRDefault="0077255C" w:rsidP="00354AA7">
      <w:pPr>
        <w:pStyle w:val="Heading2"/>
      </w:pPr>
      <w:bookmarkStart w:id="40" w:name="_Toc519765108"/>
      <w:bookmarkStart w:id="41" w:name="_Toc521585774"/>
      <w:bookmarkStart w:id="42" w:name="_Toc5000066"/>
      <w:bookmarkStart w:id="43" w:name="_Toc33513244"/>
      <w:bookmarkStart w:id="44" w:name="_Toc46316358"/>
      <w:bookmarkStart w:id="45" w:name="_Ref499046185"/>
      <w:bookmarkStart w:id="46" w:name="_Ref499046197"/>
      <w:bookmarkStart w:id="47" w:name="_Ref499109539"/>
      <w:r w:rsidRPr="001F7DED">
        <w:t>Consultation</w:t>
      </w:r>
      <w:bookmarkEnd w:id="40"/>
      <w:bookmarkEnd w:id="41"/>
      <w:bookmarkEnd w:id="42"/>
      <w:bookmarkEnd w:id="43"/>
      <w:bookmarkEnd w:id="44"/>
      <w:r w:rsidRPr="001F7DED">
        <w:t xml:space="preserve"> </w:t>
      </w:r>
      <w:bookmarkEnd w:id="45"/>
      <w:bookmarkEnd w:id="46"/>
      <w:bookmarkEnd w:id="47"/>
    </w:p>
    <w:p w14:paraId="1BC50087" w14:textId="3690BE4D" w:rsidR="0077255C" w:rsidRPr="001F7DED" w:rsidRDefault="005C0263" w:rsidP="00354AA7">
      <w:pPr>
        <w:rPr>
          <w:szCs w:val="20"/>
        </w:rPr>
      </w:pPr>
      <w:r>
        <w:t>In</w:t>
      </w:r>
      <w:r w:rsidR="0077255C" w:rsidRPr="001F7DED">
        <w:t xml:space="preserve"> August 2019, the ACMA released </w:t>
      </w:r>
      <w:r w:rsidR="004D5005" w:rsidRPr="001F7DED">
        <w:t xml:space="preserve">a </w:t>
      </w:r>
      <w:r w:rsidR="0077255C" w:rsidRPr="001F7DED">
        <w:rPr>
          <w:szCs w:val="20"/>
        </w:rPr>
        <w:t>discussion paper</w:t>
      </w:r>
      <w:r w:rsidR="004D5005" w:rsidRPr="001F7DED">
        <w:rPr>
          <w:szCs w:val="20"/>
        </w:rPr>
        <w:t xml:space="preserve"> titled </w:t>
      </w:r>
      <w:hyperlink r:id="rId43" w:history="1">
        <w:r w:rsidR="004D5005" w:rsidRPr="001F7DED">
          <w:rPr>
            <w:rStyle w:val="Hyperlink"/>
            <w:szCs w:val="20"/>
          </w:rPr>
          <w:t xml:space="preserve">Planning </w:t>
        </w:r>
        <w:r w:rsidR="00FB0725" w:rsidRPr="001F7DED">
          <w:rPr>
            <w:rStyle w:val="Hyperlink"/>
            <w:szCs w:val="20"/>
          </w:rPr>
          <w:t>of the 2 GHz band</w:t>
        </w:r>
      </w:hyperlink>
      <w:r w:rsidR="0077255C" w:rsidRPr="001F7DED">
        <w:rPr>
          <w:szCs w:val="20"/>
        </w:rPr>
        <w:t xml:space="preserve">. The paper </w:t>
      </w:r>
      <w:r w:rsidR="00095D84" w:rsidRPr="001F7DED">
        <w:rPr>
          <w:szCs w:val="20"/>
        </w:rPr>
        <w:t xml:space="preserve">examined current </w:t>
      </w:r>
      <w:r w:rsidR="00150DD6">
        <w:rPr>
          <w:szCs w:val="20"/>
        </w:rPr>
        <w:t>use</w:t>
      </w:r>
      <w:r w:rsidR="00095D84" w:rsidRPr="001F7DED">
        <w:rPr>
          <w:szCs w:val="20"/>
        </w:rPr>
        <w:t xml:space="preserve"> of the band, domestic demand</w:t>
      </w:r>
      <w:r w:rsidR="00897F29">
        <w:rPr>
          <w:szCs w:val="20"/>
        </w:rPr>
        <w:t xml:space="preserve"> </w:t>
      </w:r>
      <w:r w:rsidR="00095D84" w:rsidRPr="001F7DED">
        <w:rPr>
          <w:szCs w:val="20"/>
        </w:rPr>
        <w:t>and</w:t>
      </w:r>
      <w:r w:rsidR="00897F29">
        <w:rPr>
          <w:szCs w:val="20"/>
        </w:rPr>
        <w:t xml:space="preserve"> </w:t>
      </w:r>
      <w:r w:rsidR="00095D84" w:rsidRPr="001F7DED">
        <w:rPr>
          <w:szCs w:val="20"/>
        </w:rPr>
        <w:t xml:space="preserve">international trends. It also </w:t>
      </w:r>
      <w:r w:rsidR="0077255C" w:rsidRPr="001F7DED">
        <w:rPr>
          <w:szCs w:val="20"/>
        </w:rPr>
        <w:t>sought industry view</w:t>
      </w:r>
      <w:r w:rsidR="00CA1849" w:rsidRPr="001F7DED">
        <w:rPr>
          <w:szCs w:val="20"/>
        </w:rPr>
        <w:t>s</w:t>
      </w:r>
      <w:r w:rsidR="0077255C" w:rsidRPr="001F7DED">
        <w:rPr>
          <w:szCs w:val="20"/>
        </w:rPr>
        <w:t xml:space="preserve"> on potential </w:t>
      </w:r>
      <w:r w:rsidR="00095D84" w:rsidRPr="001F7DED">
        <w:rPr>
          <w:szCs w:val="20"/>
        </w:rPr>
        <w:t xml:space="preserve">future </w:t>
      </w:r>
      <w:r w:rsidR="0077255C" w:rsidRPr="001F7DED">
        <w:rPr>
          <w:szCs w:val="20"/>
        </w:rPr>
        <w:t xml:space="preserve">uses of the band. </w:t>
      </w:r>
    </w:p>
    <w:p w14:paraId="5BF69361" w14:textId="78A7A1C3" w:rsidR="00A03AAD" w:rsidRDefault="00A03AAD" w:rsidP="00354AA7">
      <w:pPr>
        <w:pStyle w:val="Paragraphbeforelist"/>
        <w:rPr>
          <w:szCs w:val="20"/>
          <w:lang w:val="en"/>
        </w:rPr>
      </w:pPr>
      <w:r>
        <w:rPr>
          <w:lang w:val="en"/>
        </w:rPr>
        <w:t xml:space="preserve">The 2019 discussion paper provided an overview of usage of the 2 GHz band at the national level and an overview of international developments. </w:t>
      </w:r>
      <w:bookmarkStart w:id="48" w:name="_Hlk43124919"/>
      <w:r>
        <w:rPr>
          <w:lang w:val="en"/>
        </w:rPr>
        <w:t xml:space="preserve">It </w:t>
      </w:r>
      <w:bookmarkEnd w:id="48"/>
      <w:r>
        <w:t>identified incumbent and new interests in the 2 GHz band for the following</w:t>
      </w:r>
      <w:r>
        <w:rPr>
          <w:szCs w:val="20"/>
          <w:lang w:val="en"/>
        </w:rPr>
        <w:t xml:space="preserve"> spectrum application</w:t>
      </w:r>
      <w:r w:rsidR="00007A2D">
        <w:rPr>
          <w:szCs w:val="20"/>
          <w:lang w:val="en"/>
        </w:rPr>
        <w:t>s</w:t>
      </w:r>
      <w:r>
        <w:rPr>
          <w:szCs w:val="20"/>
          <w:lang w:val="en"/>
        </w:rPr>
        <w:t xml:space="preserve"> or service uses:</w:t>
      </w:r>
    </w:p>
    <w:p w14:paraId="5E763098" w14:textId="54FE1C30" w:rsidR="00A03AAD" w:rsidRPr="00897F29" w:rsidRDefault="00A03AAD" w:rsidP="00354AA7">
      <w:pPr>
        <w:pStyle w:val="ListBullet"/>
      </w:pPr>
      <w:r w:rsidRPr="00897F29">
        <w:t>Television outside broadcast</w:t>
      </w:r>
      <w:r w:rsidR="14DB7124" w:rsidRPr="00897F29">
        <w:t>.</w:t>
      </w:r>
    </w:p>
    <w:p w14:paraId="1B586A95" w14:textId="5139E99E" w:rsidR="00A03AAD" w:rsidRPr="00897F29" w:rsidRDefault="00A03AAD" w:rsidP="00354AA7">
      <w:pPr>
        <w:pStyle w:val="ListBullet"/>
      </w:pPr>
      <w:r w:rsidRPr="00897F29">
        <w:t>Mobile-satellite services</w:t>
      </w:r>
      <w:r w:rsidR="008F6F46" w:rsidRPr="00897F29">
        <w:t xml:space="preserve"> (MSS)</w:t>
      </w:r>
      <w:r w:rsidR="002C010E" w:rsidRPr="00897F29">
        <w:t xml:space="preserve"> </w:t>
      </w:r>
      <w:r w:rsidRPr="00897F29">
        <w:t>with or without complementary ground component, including satellite IoT</w:t>
      </w:r>
      <w:r w:rsidR="79F4669B" w:rsidRPr="00897F29">
        <w:t>.</w:t>
      </w:r>
    </w:p>
    <w:p w14:paraId="1D80CD14" w14:textId="320CC9E4" w:rsidR="00A03AAD" w:rsidRPr="00897F29" w:rsidRDefault="00A03AAD" w:rsidP="00354AA7">
      <w:pPr>
        <w:pStyle w:val="ListBullet"/>
      </w:pPr>
      <w:r w:rsidRPr="00897F29">
        <w:t>Wide</w:t>
      </w:r>
      <w:r w:rsidR="00007A2D" w:rsidRPr="00897F29">
        <w:t>-</w:t>
      </w:r>
      <w:r w:rsidRPr="00897F29">
        <w:t>area</w:t>
      </w:r>
      <w:r w:rsidR="00007A2D" w:rsidRPr="00897F29">
        <w:t xml:space="preserve"> </w:t>
      </w:r>
      <w:r w:rsidR="00F55D9A" w:rsidRPr="00897F29">
        <w:t>wireless broadband</w:t>
      </w:r>
      <w:r w:rsidRPr="00897F29">
        <w:t xml:space="preserve"> applications</w:t>
      </w:r>
      <w:r w:rsidR="00F55D9A" w:rsidRPr="00897F29">
        <w:t xml:space="preserve">, which we </w:t>
      </w:r>
      <w:r w:rsidRPr="00897F29">
        <w:t>define</w:t>
      </w:r>
      <w:r w:rsidR="00F55D9A" w:rsidRPr="00897F29">
        <w:t xml:space="preserve"> </w:t>
      </w:r>
      <w:r w:rsidRPr="00897F29">
        <w:t xml:space="preserve">as those providing </w:t>
      </w:r>
      <w:r w:rsidR="00F55D9A" w:rsidRPr="00897F29">
        <w:t>wireless broadband</w:t>
      </w:r>
      <w:r w:rsidRPr="00897F29">
        <w:t xml:space="preserve"> services generally using network deployments over large, often contiguous, geographical areas such as those traditionally undertaken by mobile network operators</w:t>
      </w:r>
      <w:r w:rsidR="00F55D9A" w:rsidRPr="00897F29">
        <w:t xml:space="preserve"> </w:t>
      </w:r>
      <w:r w:rsidRPr="00897F29">
        <w:t xml:space="preserve">or some fixed telecommunication providers such as NBN Co. </w:t>
      </w:r>
      <w:r w:rsidR="00F55D9A" w:rsidRPr="00897F29">
        <w:t>Wide-area wireless broadband</w:t>
      </w:r>
      <w:r w:rsidRPr="00897F29">
        <w:t xml:space="preserve"> users benefit from the certainty provided by long</w:t>
      </w:r>
      <w:r w:rsidR="00F55D9A" w:rsidRPr="00897F29">
        <w:t>-</w:t>
      </w:r>
      <w:r w:rsidRPr="00897F29">
        <w:t>term</w:t>
      </w:r>
      <w:r w:rsidR="001D7C70" w:rsidRPr="00897F29">
        <w:t xml:space="preserve"> largely</w:t>
      </w:r>
      <w:r w:rsidRPr="00897F29">
        <w:t xml:space="preserve"> exclusive access to spectrum, often (but not exclusively) through spectrum licences. </w:t>
      </w:r>
    </w:p>
    <w:p w14:paraId="7BA3CD51" w14:textId="7D156680" w:rsidR="00A03AAD" w:rsidRPr="00897F29" w:rsidRDefault="00A03AAD" w:rsidP="00354AA7">
      <w:pPr>
        <w:pStyle w:val="ListBullet"/>
      </w:pPr>
      <w:r w:rsidRPr="00897F29">
        <w:t>Local</w:t>
      </w:r>
      <w:r w:rsidR="00D37453" w:rsidRPr="00897F29">
        <w:t>-</w:t>
      </w:r>
      <w:r w:rsidRPr="00897F29">
        <w:t xml:space="preserve">area </w:t>
      </w:r>
      <w:r w:rsidR="00D37453" w:rsidRPr="00897F29">
        <w:t>wireless broadband</w:t>
      </w:r>
      <w:r w:rsidRPr="00897F29">
        <w:t xml:space="preserve"> applications</w:t>
      </w:r>
      <w:r w:rsidR="00D37453" w:rsidRPr="00897F29">
        <w:t xml:space="preserve">, which we </w:t>
      </w:r>
      <w:r w:rsidRPr="00897F29">
        <w:t>define</w:t>
      </w:r>
      <w:r w:rsidR="00D37453" w:rsidRPr="00897F29">
        <w:t xml:space="preserve"> </w:t>
      </w:r>
      <w:r w:rsidRPr="00897F29">
        <w:t xml:space="preserve">as those providing </w:t>
      </w:r>
      <w:r w:rsidR="00D37453" w:rsidRPr="00897F29">
        <w:t>wireless broadband</w:t>
      </w:r>
      <w:r w:rsidRPr="00897F29">
        <w:t xml:space="preserve"> services (often fixed) over smaller, local geographical areas to subscriber or private networks</w:t>
      </w:r>
      <w:r w:rsidR="004056DB" w:rsidRPr="00897F29">
        <w:t xml:space="preserve">. </w:t>
      </w:r>
      <w:r w:rsidR="649C5905" w:rsidRPr="00897F29">
        <w:t>These include</w:t>
      </w:r>
      <w:r w:rsidR="00881321" w:rsidRPr="00897F29">
        <w:t xml:space="preserve"> services</w:t>
      </w:r>
      <w:r w:rsidRPr="00897F29">
        <w:t xml:space="preserve"> such as those provided by wireless internet </w:t>
      </w:r>
      <w:r w:rsidR="00881321" w:rsidRPr="00897F29">
        <w:t xml:space="preserve">service </w:t>
      </w:r>
      <w:r w:rsidRPr="00897F29">
        <w:t xml:space="preserve">providers (WISPs), miners, local governments and utilities etc. </w:t>
      </w:r>
      <w:r w:rsidR="001354C4" w:rsidRPr="00897F29">
        <w:t xml:space="preserve">Local-area wireless broadband </w:t>
      </w:r>
      <w:r w:rsidRPr="00897F29">
        <w:t>users often benefit from increased flexibility in geographic access to spectrum to tailor their service areas. Apparatus licences issued ‘over the counter’ are usually the preferred licensing and allocation mechanism.</w:t>
      </w:r>
    </w:p>
    <w:p w14:paraId="6687AB3F" w14:textId="0ED9613C" w:rsidR="00A03AAD" w:rsidRPr="00A03AAD" w:rsidRDefault="00A03AAD" w:rsidP="00354AA7">
      <w:pPr>
        <w:pStyle w:val="ListBulletLast"/>
      </w:pPr>
      <w:r>
        <w:t>Direct</w:t>
      </w:r>
      <w:r w:rsidR="009938C2">
        <w:t>-</w:t>
      </w:r>
      <w:r>
        <w:t>air</w:t>
      </w:r>
      <w:r w:rsidR="009938C2">
        <w:t>-</w:t>
      </w:r>
      <w:r>
        <w:t>to</w:t>
      </w:r>
      <w:r w:rsidR="009938C2">
        <w:t>-</w:t>
      </w:r>
      <w:r>
        <w:t xml:space="preserve">ground </w:t>
      </w:r>
      <w:r w:rsidRPr="00897F29">
        <w:t>communications</w:t>
      </w:r>
      <w:r w:rsidR="002C010E">
        <w:t xml:space="preserve"> </w:t>
      </w:r>
      <w:r w:rsidR="009938C2">
        <w:t>for the provision of inflight broadband services to aircraft.</w:t>
      </w:r>
    </w:p>
    <w:p w14:paraId="52CE6949" w14:textId="0C545203" w:rsidR="00A03AAD" w:rsidRDefault="009938C2" w:rsidP="00354AA7">
      <w:pPr>
        <w:pStyle w:val="Heading2"/>
      </w:pPr>
      <w:bookmarkStart w:id="49" w:name="_Toc46316359"/>
      <w:r>
        <w:t>Summary of submissions</w:t>
      </w:r>
      <w:bookmarkEnd w:id="49"/>
    </w:p>
    <w:p w14:paraId="3AEB1296" w14:textId="6286DC8E" w:rsidR="009938C2" w:rsidRDefault="009938C2" w:rsidP="00354AA7">
      <w:r w:rsidRPr="001F7DED">
        <w:rPr>
          <w:szCs w:val="20"/>
        </w:rPr>
        <w:t xml:space="preserve">The ACMA received 18 </w:t>
      </w:r>
      <w:r w:rsidRPr="001F7DED">
        <w:t>submissions to the discussion paper</w:t>
      </w:r>
      <w:r>
        <w:t>—</w:t>
      </w:r>
      <w:r w:rsidRPr="001F7DED">
        <w:t xml:space="preserve">these are available on the </w:t>
      </w:r>
      <w:hyperlink r:id="rId44" w:history="1">
        <w:r w:rsidRPr="001F7DED">
          <w:rPr>
            <w:rStyle w:val="Hyperlink"/>
          </w:rPr>
          <w:t>ACMA website</w:t>
        </w:r>
      </w:hyperlink>
      <w:r w:rsidRPr="001F7DED">
        <w:t xml:space="preserve">. </w:t>
      </w:r>
      <w:r w:rsidRPr="001F7DED">
        <w:rPr>
          <w:szCs w:val="20"/>
        </w:rPr>
        <w:t>This chapter provides an overview of the issues raised in submissions and the outcomes of the consultation. Further detail on the consultation submissions is at</w:t>
      </w:r>
      <w:r w:rsidR="005E589C">
        <w:rPr>
          <w:szCs w:val="20"/>
        </w:rPr>
        <w:t xml:space="preserve"> </w:t>
      </w:r>
      <w:hyperlink w:anchor="_Appendix_A:_Responses" w:history="1">
        <w:r w:rsidR="005E589C" w:rsidRPr="005E589C">
          <w:rPr>
            <w:rStyle w:val="Hyperlink"/>
            <w:szCs w:val="20"/>
          </w:rPr>
          <w:t>Appendix A: Responses to the discussion paper</w:t>
        </w:r>
      </w:hyperlink>
      <w:r w:rsidR="00E92A52">
        <w:t>.</w:t>
      </w:r>
    </w:p>
    <w:p w14:paraId="4D4E21DD" w14:textId="6AC8276C" w:rsidR="008F7063" w:rsidRPr="001F7DED" w:rsidRDefault="007A7A1D" w:rsidP="00354AA7">
      <w:pPr>
        <w:pStyle w:val="Paragraphbeforelist"/>
      </w:pPr>
      <w:r w:rsidRPr="001F7DED">
        <w:t xml:space="preserve">Two key themes </w:t>
      </w:r>
      <w:r w:rsidR="00807760">
        <w:t>emerged</w:t>
      </w:r>
      <w:r w:rsidRPr="001F7DED">
        <w:t xml:space="preserve"> from submissions to the consultation. Firstly, there were divergent views between the various industry sectors seeking access to the band, and secondly, the </w:t>
      </w:r>
      <w:r w:rsidR="002C23EF">
        <w:t>stated</w:t>
      </w:r>
      <w:r w:rsidRPr="001F7DED">
        <w:t xml:space="preserve"> level of demand for </w:t>
      </w:r>
      <w:r w:rsidR="00B5572D">
        <w:t>2 GHz spectrum</w:t>
      </w:r>
      <w:r w:rsidRPr="001F7DED">
        <w:t xml:space="preserve"> significantly exceeds the available supply.</w:t>
      </w:r>
      <w:r w:rsidR="00B25D6D" w:rsidRPr="001F7DED">
        <w:t xml:space="preserve"> </w:t>
      </w:r>
      <w:r w:rsidR="003A43F7" w:rsidRPr="001F7DED">
        <w:t>The</w:t>
      </w:r>
      <w:r w:rsidRPr="001F7DED">
        <w:t>se</w:t>
      </w:r>
      <w:r w:rsidR="003A43F7" w:rsidRPr="001F7DED">
        <w:t xml:space="preserve"> k</w:t>
      </w:r>
      <w:r w:rsidR="006B0833" w:rsidRPr="001F7DED">
        <w:t xml:space="preserve">ey themes </w:t>
      </w:r>
      <w:r w:rsidRPr="001F7DED">
        <w:t xml:space="preserve">and sectoral interests </w:t>
      </w:r>
      <w:r w:rsidR="003A43F7" w:rsidRPr="001F7DED">
        <w:t>are discussed below</w:t>
      </w:r>
      <w:r w:rsidRPr="001F7DED">
        <w:t>:</w:t>
      </w:r>
    </w:p>
    <w:p w14:paraId="180607DC" w14:textId="23B9BD0E" w:rsidR="005201BF" w:rsidRPr="00354AA7" w:rsidRDefault="001A6BE5" w:rsidP="00354AA7">
      <w:pPr>
        <w:pStyle w:val="ListBullet"/>
      </w:pPr>
      <w:r w:rsidRPr="005E589C">
        <w:rPr>
          <w:b/>
          <w:bCs/>
        </w:rPr>
        <w:t>Divergent views</w:t>
      </w:r>
      <w:r w:rsidR="005201BF" w:rsidRPr="00354AA7">
        <w:rPr>
          <w:b/>
          <w:bCs/>
        </w:rPr>
        <w:t>—</w:t>
      </w:r>
      <w:r w:rsidR="005E2E45" w:rsidRPr="005E589C">
        <w:t xml:space="preserve">respondents were generally divided on </w:t>
      </w:r>
      <w:r w:rsidR="00540A85" w:rsidRPr="005E589C">
        <w:t xml:space="preserve">the </w:t>
      </w:r>
      <w:r w:rsidR="005E2E45" w:rsidRPr="005E589C">
        <w:t>future planning of the 2 GHz band</w:t>
      </w:r>
      <w:r w:rsidR="00C732D9" w:rsidRPr="005E589C">
        <w:t>. V</w:t>
      </w:r>
      <w:r w:rsidR="005E2E45" w:rsidRPr="005E589C">
        <w:t xml:space="preserve">iews on optimal future use </w:t>
      </w:r>
      <w:r w:rsidR="00C732D9" w:rsidRPr="005E589C">
        <w:t xml:space="preserve">were </w:t>
      </w:r>
      <w:r w:rsidR="005E2E45" w:rsidRPr="005E589C">
        <w:t xml:space="preserve">aligned with </w:t>
      </w:r>
      <w:r w:rsidR="00C732D9" w:rsidRPr="005E589C">
        <w:t xml:space="preserve">each </w:t>
      </w:r>
      <w:r w:rsidR="005E2E45" w:rsidRPr="005E589C">
        <w:t>respondent</w:t>
      </w:r>
      <w:r w:rsidR="00C732D9" w:rsidRPr="005E589C">
        <w:t>’</w:t>
      </w:r>
      <w:r w:rsidR="005E2E45" w:rsidRPr="005E589C">
        <w:t xml:space="preserve">s industry </w:t>
      </w:r>
      <w:r w:rsidR="00D37CA2" w:rsidRPr="005E589C">
        <w:t>secto</w:t>
      </w:r>
      <w:r w:rsidR="005C7E46" w:rsidRPr="005E589C">
        <w:t>r</w:t>
      </w:r>
      <w:r w:rsidR="00540A85" w:rsidRPr="005E589C">
        <w:t xml:space="preserve">. </w:t>
      </w:r>
      <w:r w:rsidR="00C732D9" w:rsidRPr="005E589C">
        <w:t>Support</w:t>
      </w:r>
      <w:r w:rsidR="005C7E46" w:rsidRPr="005E589C">
        <w:t xml:space="preserve"> was provided for all </w:t>
      </w:r>
      <w:r w:rsidR="00540A85" w:rsidRPr="005E589C">
        <w:t>potential</w:t>
      </w:r>
      <w:r w:rsidR="005C7E46" w:rsidRPr="005E589C">
        <w:t xml:space="preserve"> service types</w:t>
      </w:r>
      <w:r w:rsidR="00CA3D71" w:rsidRPr="005E589C">
        <w:t xml:space="preserve"> including</w:t>
      </w:r>
      <w:r w:rsidR="009B3B8E" w:rsidRPr="005E589C">
        <w:t xml:space="preserve"> </w:t>
      </w:r>
      <w:r w:rsidR="007F6936" w:rsidRPr="005E589C">
        <w:t>TOB</w:t>
      </w:r>
      <w:r w:rsidR="00D213EB" w:rsidRPr="005E589C">
        <w:t xml:space="preserve">, </w:t>
      </w:r>
      <w:r w:rsidR="007F6936" w:rsidRPr="005E589C">
        <w:t>MSS</w:t>
      </w:r>
      <w:r w:rsidR="00D213EB" w:rsidRPr="005E589C">
        <w:t xml:space="preserve"> (including some supporting a complementary ground component), terrestrial wireless broadband and direct air-to-ground communications</w:t>
      </w:r>
      <w:r w:rsidR="005C7E46" w:rsidRPr="005E589C">
        <w:t xml:space="preserve">. </w:t>
      </w:r>
    </w:p>
    <w:p w14:paraId="744C59BC" w14:textId="77777777" w:rsidR="00F23191" w:rsidRPr="00354AA7" w:rsidRDefault="00F23191" w:rsidP="00354AA7">
      <w:pPr>
        <w:pStyle w:val="ListBullet"/>
        <w:keepNext/>
        <w:keepLines/>
      </w:pPr>
      <w:r w:rsidRPr="005E589C">
        <w:rPr>
          <w:b/>
          <w:bCs/>
        </w:rPr>
        <w:lastRenderedPageBreak/>
        <w:t>Television outside broadcast</w:t>
      </w:r>
      <w:r w:rsidRPr="00354AA7">
        <w:rPr>
          <w:b/>
          <w:bCs/>
        </w:rPr>
        <w:t>—</w:t>
      </w:r>
      <w:r w:rsidRPr="005E589C">
        <w:t>all submissions from organisations connected with this service advocated retaining the band for TOB services. They argued this would provide ongoing certainty for the industry and avoid costs associated with relocation to another band. Some respondents indicated sharing the band under geographic separation arrangements may be feasible, with TOB in metro areas and MSS in regional areas. This would be acceptable to these operators if temporary access to spectrum could be granted when major broadcasting events are held in regional areas.</w:t>
      </w:r>
    </w:p>
    <w:p w14:paraId="301B72BD" w14:textId="390A41CC" w:rsidR="00F23191" w:rsidRPr="005E589C" w:rsidRDefault="00F23191" w:rsidP="00354AA7">
      <w:pPr>
        <w:pStyle w:val="ListBullet"/>
      </w:pPr>
      <w:r w:rsidRPr="005E589C">
        <w:rPr>
          <w:b/>
          <w:bCs/>
        </w:rPr>
        <w:t>Mobile-satellite services</w:t>
      </w:r>
      <w:r w:rsidRPr="00354AA7">
        <w:rPr>
          <w:b/>
          <w:bCs/>
        </w:rPr>
        <w:t>—</w:t>
      </w:r>
      <w:r w:rsidRPr="005E589C">
        <w:t>respondents from the satellite industry provided strong support for phasing out TOB services and reallocating the band to MSS, including satellite-based IoT services. In addition to MSS, most mobile-satellite</w:t>
      </w:r>
      <w:r w:rsidRPr="005E589C" w:rsidDel="007F4EC6">
        <w:t xml:space="preserve"> </w:t>
      </w:r>
      <w:r w:rsidRPr="005E589C">
        <w:t>respondents</w:t>
      </w:r>
      <w:r w:rsidRPr="00354AA7">
        <w:rPr>
          <w:rStyle w:val="FootnoteReference"/>
          <w:vertAlign w:val="baseline"/>
        </w:rPr>
        <w:footnoteReference w:id="9"/>
      </w:r>
      <w:r w:rsidRPr="005E589C">
        <w:t xml:space="preserve"> supported inclusion of a complementary ground component</w:t>
      </w:r>
      <w:r w:rsidRPr="00354AA7">
        <w:rPr>
          <w:rStyle w:val="FootnoteReference"/>
          <w:vertAlign w:val="baseline"/>
        </w:rPr>
        <w:footnoteReference w:id="10"/>
      </w:r>
      <w:r w:rsidRPr="005E589C">
        <w:t xml:space="preserve"> to augment satellite services in high population areas where satellite connectivity may be unreliable. </w:t>
      </w:r>
      <w:r w:rsidR="00D66425" w:rsidRPr="005E589C">
        <w:t>C</w:t>
      </w:r>
      <w:r w:rsidR="00A47983" w:rsidRPr="005E589C">
        <w:t xml:space="preserve">omplementary ground component </w:t>
      </w:r>
      <w:r w:rsidR="00E050F6" w:rsidRPr="005E589C">
        <w:t xml:space="preserve">is a terrestrial </w:t>
      </w:r>
      <w:r w:rsidR="00001E3E" w:rsidRPr="005E589C">
        <w:t>network that</w:t>
      </w:r>
      <w:r w:rsidR="00A47983" w:rsidRPr="005E589C">
        <w:t xml:space="preserve"> provides additional flexibility for operators to deploy solutions that are optimised for geography (terrain and built environment), coverage goals, user density, and service-level requirements including throughput and latency</w:t>
      </w:r>
      <w:r w:rsidR="00F05745" w:rsidRPr="005E589C">
        <w:t xml:space="preserve">. </w:t>
      </w:r>
      <w:r w:rsidRPr="005E589C">
        <w:t>Most respondents argued it would not be feasible to share the band with another service, either by sub-dividing the band or geographically separating services. Several operators asserted there is currently not enough spectrum available for mobile-satellite operators to support new demand, including IoT applications.</w:t>
      </w:r>
    </w:p>
    <w:p w14:paraId="280D96CD" w14:textId="77777777" w:rsidR="00F23191" w:rsidRPr="00354AA7" w:rsidRDefault="00F23191" w:rsidP="00354AA7">
      <w:pPr>
        <w:pStyle w:val="ListBullet"/>
      </w:pPr>
      <w:r w:rsidRPr="005E589C">
        <w:rPr>
          <w:b/>
          <w:bCs/>
        </w:rPr>
        <w:t>Terrestrial wireless broadband</w:t>
      </w:r>
      <w:r w:rsidRPr="00354AA7">
        <w:rPr>
          <w:b/>
          <w:bCs/>
        </w:rPr>
        <w:t>—</w:t>
      </w:r>
      <w:r w:rsidRPr="005E589C">
        <w:t>respondents generally had divergent views on the optimal future use of the band including wide-area wireless broadband, local-area wireless broadband, and direct air-to-ground communications (see below). Some respondents indicated the band could be shared with other services via geographic or frequency separation. Replanning of the 2 GHz band was not considered a priority for mobile network operators, an exception being a respondent looking to provide services in metropolitan areas.</w:t>
      </w:r>
    </w:p>
    <w:p w14:paraId="1FEA22F8" w14:textId="0FDF69BF" w:rsidR="00F23191" w:rsidRPr="00F56979" w:rsidRDefault="00F23191" w:rsidP="00354AA7">
      <w:pPr>
        <w:pStyle w:val="ListBullet"/>
        <w:rPr>
          <w:b/>
          <w:bCs/>
        </w:rPr>
      </w:pPr>
      <w:r w:rsidRPr="005E589C">
        <w:rPr>
          <w:b/>
          <w:bCs/>
        </w:rPr>
        <w:t>Direct air-to-ground communications</w:t>
      </w:r>
      <w:r w:rsidRPr="00354AA7">
        <w:rPr>
          <w:b/>
          <w:bCs/>
        </w:rPr>
        <w:t>—</w:t>
      </w:r>
      <w:r w:rsidRPr="005E589C">
        <w:t xml:space="preserve">two respondents advocated for direct air-to-ground communications. Some respondents from other sectors questioned the viability and efficiency of dedicating the 2 GHz band to a direct air-to-ground communications service in Australia where flight paths cross only a small fraction of the landmass. This was contrasted with Europe which has a </w:t>
      </w:r>
      <w:r w:rsidRPr="001F7DED">
        <w:t>much higher density of flight paths and volume of air traffic.</w:t>
      </w:r>
      <w:r w:rsidRPr="001F7DED">
        <w:rPr>
          <w:b/>
          <w:bCs/>
        </w:rPr>
        <w:t xml:space="preserve"> </w:t>
      </w:r>
    </w:p>
    <w:p w14:paraId="6BF6CC38" w14:textId="5B6ED5D5" w:rsidR="00D50072" w:rsidRPr="001F7DED" w:rsidRDefault="001A6BE5" w:rsidP="00354AA7">
      <w:pPr>
        <w:pStyle w:val="ListBulletLast"/>
        <w:rPr>
          <w:rFonts w:eastAsia="Arial"/>
          <w:b/>
          <w:szCs w:val="20"/>
        </w:rPr>
      </w:pPr>
      <w:r w:rsidRPr="003A2DFC">
        <w:rPr>
          <w:b/>
        </w:rPr>
        <w:t>Demand exceeds supply</w:t>
      </w:r>
      <w:r w:rsidR="005201BF" w:rsidRPr="00511548">
        <w:t>—</w:t>
      </w:r>
      <w:r w:rsidR="00D7654B" w:rsidRPr="24D09117">
        <w:t xml:space="preserve">the combined </w:t>
      </w:r>
      <w:r w:rsidR="00C06D2D" w:rsidRPr="24D09117">
        <w:t xml:space="preserve">quantity of spectrum </w:t>
      </w:r>
      <w:r w:rsidR="00540A85" w:rsidRPr="24D09117">
        <w:t>desired</w:t>
      </w:r>
      <w:r w:rsidR="00E010C2" w:rsidRPr="24D09117">
        <w:t xml:space="preserve"> by</w:t>
      </w:r>
      <w:r w:rsidR="00060B0C" w:rsidRPr="00C91515">
        <w:t xml:space="preserve"> </w:t>
      </w:r>
      <w:r w:rsidR="0097283D" w:rsidRPr="00716D25">
        <w:t xml:space="preserve">proponents </w:t>
      </w:r>
      <w:r w:rsidR="009C5976" w:rsidRPr="00E9747A">
        <w:t>seeking access to the band</w:t>
      </w:r>
      <w:r w:rsidR="0027180D">
        <w:t xml:space="preserve"> </w:t>
      </w:r>
      <w:r w:rsidR="00E010C2" w:rsidRPr="001F7DED">
        <w:t xml:space="preserve">exceeds the </w:t>
      </w:r>
      <w:r w:rsidR="007513F3" w:rsidRPr="001F7DED">
        <w:t xml:space="preserve">available bandwidth. </w:t>
      </w:r>
      <w:r w:rsidR="00540A85">
        <w:t xml:space="preserve">Most respondents </w:t>
      </w:r>
      <w:r w:rsidR="007B1124">
        <w:t>want</w:t>
      </w:r>
      <w:r w:rsidR="00540A85">
        <w:t xml:space="preserve"> exclusive access to the band for a single type of service, arguing that spectral or geographic separation between services is not feasible.</w:t>
      </w:r>
    </w:p>
    <w:p w14:paraId="05F4C9D9" w14:textId="77777777" w:rsidR="009938C2" w:rsidRDefault="009938C2" w:rsidP="00245D28">
      <w:pPr>
        <w:pStyle w:val="ListBullet"/>
        <w:numPr>
          <w:ilvl w:val="0"/>
          <w:numId w:val="0"/>
        </w:numPr>
        <w:ind w:left="295" w:hanging="295"/>
        <w:rPr>
          <w:b/>
          <w:bCs/>
        </w:rPr>
      </w:pPr>
      <w:bookmarkStart w:id="50" w:name="_Hlk38365184"/>
    </w:p>
    <w:p w14:paraId="50AF3673" w14:textId="77777777" w:rsidR="004C4EC4" w:rsidRPr="00682165" w:rsidRDefault="004C4EC4" w:rsidP="004C4EC4">
      <w:pPr>
        <w:pStyle w:val="Heading1"/>
      </w:pPr>
      <w:bookmarkStart w:id="51" w:name="_Toc39785972"/>
      <w:bookmarkStart w:id="52" w:name="_Toc46316360"/>
      <w:bookmarkStart w:id="53" w:name="_Toc5000064"/>
      <w:bookmarkEnd w:id="50"/>
      <w:r w:rsidRPr="00682165">
        <w:lastRenderedPageBreak/>
        <w:t>Case for action</w:t>
      </w:r>
      <w:bookmarkEnd w:id="51"/>
      <w:bookmarkEnd w:id="52"/>
    </w:p>
    <w:p w14:paraId="4218D4C5" w14:textId="7CF3666A" w:rsidR="00BF1064" w:rsidRPr="00682165" w:rsidRDefault="00EE5C66" w:rsidP="00BF1064">
      <w:pPr>
        <w:pStyle w:val="Paragraph"/>
      </w:pPr>
      <w:r>
        <w:t xml:space="preserve">We have </w:t>
      </w:r>
      <w:r w:rsidR="00BF1064" w:rsidRPr="00682165">
        <w:t xml:space="preserve">observed </w:t>
      </w:r>
      <w:r w:rsidR="00D07319">
        <w:t>an</w:t>
      </w:r>
      <w:r w:rsidR="00BF1064" w:rsidRPr="00682165">
        <w:t xml:space="preserve"> increasing interest in the use of 2 GHz for a range of new services and applications, as well as preserving existing arrangements for </w:t>
      </w:r>
      <w:r w:rsidR="007F6936">
        <w:t>TOB</w:t>
      </w:r>
      <w:r w:rsidR="00BF1064" w:rsidRPr="00682165">
        <w:t xml:space="preserve">. Submissions to the 2019 paper confirmed significant interest in both preserving existing arrangements and alternative uses for the band. Changes to arrangements </w:t>
      </w:r>
      <w:r w:rsidR="00BF1064">
        <w:t>are likely to</w:t>
      </w:r>
      <w:r w:rsidR="00BF1064" w:rsidRPr="00682165">
        <w:t xml:space="preserve"> be necessary to ensure maximum public benefit is derived from its use, even if only to provide ongoing certainty to the current interim </w:t>
      </w:r>
      <w:r w:rsidR="007F6936">
        <w:t>TOB</w:t>
      </w:r>
      <w:r w:rsidR="00BF1064">
        <w:t xml:space="preserve"> </w:t>
      </w:r>
      <w:r w:rsidR="00BF1064" w:rsidRPr="00682165">
        <w:t xml:space="preserve">arrangements. </w:t>
      </w:r>
    </w:p>
    <w:p w14:paraId="335A61A9" w14:textId="455E7FB9" w:rsidR="00C516DB" w:rsidRDefault="00C516DB" w:rsidP="00C516DB">
      <w:r>
        <w:t>Identifying spectrum use(s) most likely to maximise the public benefit derived from the band is informed by an analysis of existing arrangements in the band and whether potential future uses of the band can be accommodated. This analysis is informed by technology developments occurring in the international environment as well as changes in spectrum demand occurring in the Australian market.</w:t>
      </w:r>
    </w:p>
    <w:p w14:paraId="7F3F2706" w14:textId="11A7E913" w:rsidR="00B22BDC" w:rsidRPr="00682165" w:rsidRDefault="00B22BDC" w:rsidP="00B22BDC">
      <w:pPr>
        <w:pStyle w:val="Heading2"/>
      </w:pPr>
      <w:bookmarkStart w:id="54" w:name="_Toc46316361"/>
      <w:bookmarkStart w:id="55" w:name="_Toc39785973"/>
      <w:r>
        <w:t>Technology developments and international harmonisation</w:t>
      </w:r>
      <w:bookmarkEnd w:id="54"/>
    </w:p>
    <w:p w14:paraId="77CC45A1" w14:textId="77777777" w:rsidR="00B22BDC" w:rsidRPr="00682165" w:rsidRDefault="00B22BDC" w:rsidP="008835BD">
      <w:pPr>
        <w:pStyle w:val="Paragraph"/>
      </w:pPr>
      <w:r w:rsidRPr="00682165">
        <w:t>International spectrum harmonisation and technology standardisation have the potential to offer benefits in Australia including access to equipment produced under economies of scale and technical standards, market accessibility to new international service providers and, depending on the application, global roaming.</w:t>
      </w:r>
    </w:p>
    <w:p w14:paraId="5D2C516A" w14:textId="46B21AA3" w:rsidR="00B22BDC" w:rsidRDefault="00B22BDC" w:rsidP="008835BD">
      <w:pPr>
        <w:pStyle w:val="Paragraph"/>
      </w:pPr>
      <w:r>
        <w:t>Evolution in wireless communication technologies continues to improve the productive capability of the radiofrequency spectrum by allowing for more efficient use (for example by greater spectral efficiency and enabling new services to be delivered). By using the spectrum more efficiently, there is potential for more value to be derived from its use. Technology standards, for example those developed through 3GPP for wireless broadband (in the case of the 2 GHz band relevant to both terrestrial an</w:t>
      </w:r>
      <w:r w:rsidR="00845DBD">
        <w:t>d</w:t>
      </w:r>
      <w:r>
        <w:t xml:space="preserve"> satellite applications), often drive these changes and are important in enabling economies of scale to be developed.</w:t>
      </w:r>
    </w:p>
    <w:p w14:paraId="083C2A1A" w14:textId="5C9CAA7E" w:rsidR="00B22BDC" w:rsidRDefault="00B22BDC" w:rsidP="008835BD">
      <w:pPr>
        <w:pStyle w:val="Paragraph"/>
      </w:pPr>
      <w:r>
        <w:t xml:space="preserve">International spectrum harmonisation decisions of </w:t>
      </w:r>
      <w:r w:rsidR="00BE4997">
        <w:t xml:space="preserve">the </w:t>
      </w:r>
      <w:r>
        <w:t>International Telecommunication Union</w:t>
      </w:r>
      <w:r w:rsidR="00BE4997">
        <w:t xml:space="preserve"> </w:t>
      </w:r>
      <w:r>
        <w:t xml:space="preserve">and decisions by national regulators reflect the extent to which spectrum is used for common purposes globally. Collectively, harmonisation, standardisation and international regulatory developments are important indicators of global trends informing factors such as economies of scale and global roaming. </w:t>
      </w:r>
    </w:p>
    <w:p w14:paraId="34C91A39" w14:textId="25B9AF4D" w:rsidR="00B22BDC" w:rsidRPr="00682165" w:rsidRDefault="00B22BDC" w:rsidP="008835BD">
      <w:pPr>
        <w:pStyle w:val="Paragraph"/>
      </w:pPr>
      <w:r w:rsidRPr="00682165">
        <w:t xml:space="preserve">Internationally, as noted in the 2019 paper, wireless broadband and </w:t>
      </w:r>
      <w:r w:rsidR="007F6936">
        <w:t>MSS</w:t>
      </w:r>
      <w:r w:rsidRPr="00682165">
        <w:t xml:space="preserve"> (</w:t>
      </w:r>
      <w:r>
        <w:t>including</w:t>
      </w:r>
      <w:r w:rsidRPr="00682165">
        <w:t xml:space="preserve"> for </w:t>
      </w:r>
      <w:r>
        <w:t>complementary ground component</w:t>
      </w:r>
      <w:r w:rsidRPr="00682165">
        <w:t xml:space="preserve">) are supported or being considered in the 2 GHz band, with use varying by country and/or region. </w:t>
      </w:r>
    </w:p>
    <w:p w14:paraId="331259DA" w14:textId="7240BB5D" w:rsidR="00806EF4" w:rsidRDefault="007C6418" w:rsidP="00B22BDC">
      <w:r>
        <w:t>Since the release of the 2019 discussion paper, the World Radiocommunication Conference 2019 (WRC-19) considered agenda item 9.1.1 related to the 2 GHz band. The outcome was a minor change to Resolution 212 encouraging administrations to take technical and operational measures to facilitate coexistence and compatibility between terrestrial and satellite components of International Mobile Telecommunications in the 2 GHz band. This outcome has no material bearing on domestic planning considerations.</w:t>
      </w:r>
    </w:p>
    <w:p w14:paraId="21FFDF17" w14:textId="7F2AF9A2" w:rsidR="00B22BDC" w:rsidRPr="00682165" w:rsidRDefault="00B22BDC" w:rsidP="00B22BDC">
      <w:r w:rsidRPr="00682165">
        <w:lastRenderedPageBreak/>
        <w:t xml:space="preserve">In the European Union, the band </w:t>
      </w:r>
      <w:r>
        <w:t xml:space="preserve">is planned for </w:t>
      </w:r>
      <w:r w:rsidR="007F6936">
        <w:t>MSS</w:t>
      </w:r>
      <w:r w:rsidRPr="00682165">
        <w:t>, including the complementary ground component</w:t>
      </w:r>
      <w:r>
        <w:rPr>
          <w:rStyle w:val="FootnoteReference"/>
        </w:rPr>
        <w:footnoteReference w:id="11"/>
      </w:r>
      <w:r>
        <w:t xml:space="preserve"> with licences issued to two operators.</w:t>
      </w:r>
      <w:r>
        <w:rPr>
          <w:rStyle w:val="FootnoteReference"/>
        </w:rPr>
        <w:footnoteReference w:id="12"/>
      </w:r>
      <w:r>
        <w:t xml:space="preserve"> </w:t>
      </w:r>
      <w:r w:rsidRPr="00682165">
        <w:t xml:space="preserve">Administrations in the Asia-Pacific Telecommunity are at different stages of planning or implementing the band for mobile broadband, fixed and/or </w:t>
      </w:r>
      <w:r w:rsidR="007F6936">
        <w:t>MSS</w:t>
      </w:r>
      <w:r w:rsidRPr="00682165">
        <w:t>. In the United States, the band is allocated on a co-primary basis for mobile-satellite service</w:t>
      </w:r>
      <w:r w:rsidR="412F77F7" w:rsidRPr="00682165">
        <w:t>s</w:t>
      </w:r>
      <w:r w:rsidRPr="00682165">
        <w:t xml:space="preserve"> and terrestrial fixed and mobile services. In Canada, the 2 GHz band is allocated to the mobile-satellite service with a requirement for concomitant deployment of an ancillary terrestrial component. This is due to a low population density covering a large landmass where many areas are not easily covered by other technologies.</w:t>
      </w:r>
    </w:p>
    <w:p w14:paraId="701E3BC9" w14:textId="77777777" w:rsidR="00B22BDC" w:rsidRPr="00682165" w:rsidRDefault="00B22BDC" w:rsidP="00B22BDC">
      <w:r w:rsidRPr="00682165">
        <w:t xml:space="preserve">These international trends and developments indicate widespread allocation of the band to MSS and terrestrial wireless broadband services. International circumstances are an important consideration in the Australian domestic context, where significant benefits can be gained from aligning spectrum allocations with major international economies. </w:t>
      </w:r>
    </w:p>
    <w:p w14:paraId="52E88455" w14:textId="5CD411B2" w:rsidR="00B22BDC" w:rsidRPr="00682165" w:rsidRDefault="00B22BDC" w:rsidP="00B22BDC">
      <w:r w:rsidRPr="00682165">
        <w:t xml:space="preserve">International </w:t>
      </w:r>
      <w:r>
        <w:t>harmonisation</w:t>
      </w:r>
      <w:r w:rsidRPr="00682165">
        <w:t xml:space="preserve"> efforts have largely focussed on use of the 2</w:t>
      </w:r>
      <w:r>
        <w:t> </w:t>
      </w:r>
      <w:r w:rsidRPr="00682165">
        <w:t xml:space="preserve">GHz band by two services: </w:t>
      </w:r>
      <w:r w:rsidR="00E462EE">
        <w:t>wireless broadband</w:t>
      </w:r>
      <w:r w:rsidR="00FF5780">
        <w:t xml:space="preserve"> (sometimes referred to as </w:t>
      </w:r>
      <w:r w:rsidRPr="00682165">
        <w:t xml:space="preserve">IMT) and the mobile-satellite service. Activity within this band in the ITU in recent years has focused on </w:t>
      </w:r>
      <w:r>
        <w:t xml:space="preserve">sharing studies </w:t>
      </w:r>
      <w:r w:rsidRPr="00682165">
        <w:t>between IMT and the mobile-satellite service</w:t>
      </w:r>
      <w:r>
        <w:t xml:space="preserve"> with WRC-19 work undertaken on this matter being carried over into the regular ITU work programs outside of the next World Radiocommunication Conference cycle.</w:t>
      </w:r>
    </w:p>
    <w:p w14:paraId="15CB2B29" w14:textId="5910CEB6" w:rsidR="00CE611B" w:rsidRDefault="00B22BDC" w:rsidP="00601808">
      <w:pPr>
        <w:pStyle w:val="Paragraph"/>
      </w:pPr>
      <w:r>
        <w:t>T</w:t>
      </w:r>
      <w:r w:rsidRPr="00682165">
        <w:t xml:space="preserve">he </w:t>
      </w:r>
      <w:r>
        <w:t xml:space="preserve">2 GHz </w:t>
      </w:r>
      <w:r w:rsidRPr="00682165">
        <w:t xml:space="preserve">band </w:t>
      </w:r>
      <w:r>
        <w:t>wa</w:t>
      </w:r>
      <w:r w:rsidRPr="00682165">
        <w:t xml:space="preserve">s </w:t>
      </w:r>
      <w:r>
        <w:t xml:space="preserve">added to the </w:t>
      </w:r>
      <w:r w:rsidRPr="00682165">
        <w:t>3GPP</w:t>
      </w:r>
      <w:r w:rsidRPr="00682165">
        <w:rPr>
          <w:rStyle w:val="FootnoteReference"/>
        </w:rPr>
        <w:footnoteReference w:id="13"/>
      </w:r>
      <w:r>
        <w:t xml:space="preserve"> </w:t>
      </w:r>
      <w:r w:rsidRPr="00682165">
        <w:t xml:space="preserve">mobile broadband </w:t>
      </w:r>
      <w:r>
        <w:t xml:space="preserve">standards as part of release 16 </w:t>
      </w:r>
      <w:r w:rsidRPr="00682165">
        <w:t>(</w:t>
      </w:r>
      <w:r w:rsidRPr="00EE43F1">
        <w:t>TS 38.101-1</w:t>
      </w:r>
      <w:r w:rsidR="000412A7">
        <w:t>)</w:t>
      </w:r>
      <w:r>
        <w:rPr>
          <w:rStyle w:val="FootnoteReference"/>
        </w:rPr>
        <w:footnoteReference w:id="14"/>
      </w:r>
      <w:r>
        <w:t xml:space="preserve"> as band n65 for use in 5G New Radio services. 3GPP conducted studies and released a report</w:t>
      </w:r>
      <w:r w:rsidR="004E492D">
        <w:rPr>
          <w:rStyle w:val="FootnoteReference"/>
        </w:rPr>
        <w:footnoteReference w:id="15"/>
      </w:r>
      <w:r w:rsidR="00782102">
        <w:t xml:space="preserve"> </w:t>
      </w:r>
      <w:r>
        <w:t>regarding 5G satellite services including the use of the 2</w:t>
      </w:r>
      <w:r w:rsidR="00FF5780">
        <w:t xml:space="preserve"> </w:t>
      </w:r>
      <w:r>
        <w:t>GHz band. Further work performed by 3GPP includes sta</w:t>
      </w:r>
      <w:r w:rsidR="00C27D55">
        <w:t>ti</w:t>
      </w:r>
      <w:r>
        <w:t>ng the required specifications for satellite environments</w:t>
      </w:r>
      <w:r w:rsidR="00C27D55">
        <w:t>.</w:t>
      </w:r>
      <w:r w:rsidR="00B02324">
        <w:rPr>
          <w:rStyle w:val="FootnoteReference"/>
        </w:rPr>
        <w:footnoteReference w:id="16"/>
      </w:r>
    </w:p>
    <w:p w14:paraId="7CA792ED" w14:textId="7BA3D38D" w:rsidR="00B22BDC" w:rsidRPr="00682165" w:rsidRDefault="001E2110" w:rsidP="00601808">
      <w:pPr>
        <w:pStyle w:val="Paragraph"/>
      </w:pPr>
      <w:r>
        <w:t>The Global Mobile Suppliers Association equipment database indicates limited equipment availability for terrestrial or satellite mobile equipment operating in the n65 band for 4G.</w:t>
      </w:r>
      <w:r w:rsidR="00F67C25">
        <w:rPr>
          <w:rStyle w:val="FootnoteReference"/>
        </w:rPr>
        <w:footnoteReference w:id="17"/>
      </w:r>
      <w:r>
        <w:t xml:space="preserve"> Further, information on 5G equipment for the 2 GHz band is not yet available, even though it is a recognised 5G band</w:t>
      </w:r>
      <w:r w:rsidR="00F67C25">
        <w:t>.</w:t>
      </w:r>
    </w:p>
    <w:p w14:paraId="43BC99D7" w14:textId="4037CBBF" w:rsidR="00B22BDC" w:rsidRDefault="00B22BDC" w:rsidP="00601808">
      <w:pPr>
        <w:pStyle w:val="Paragraph"/>
      </w:pPr>
      <w:r w:rsidRPr="00682165">
        <w:t xml:space="preserve">Finally, international support for </w:t>
      </w:r>
      <w:r w:rsidR="007F6936">
        <w:t>TOB</w:t>
      </w:r>
      <w:r w:rsidRPr="00682165">
        <w:t xml:space="preserve"> services in the 2 GHz band is negligible. While some countries previously supported </w:t>
      </w:r>
      <w:r w:rsidR="007F6936">
        <w:t>TOB</w:t>
      </w:r>
      <w:r w:rsidRPr="00682165">
        <w:t xml:space="preserve"> in the 2 GHz band, the ACMA is not aware of any ongoing use for this purpose outside of Australia.</w:t>
      </w:r>
      <w:r w:rsidRPr="00682165">
        <w:rPr>
          <w:rStyle w:val="FootnoteReference"/>
        </w:rPr>
        <w:footnoteReference w:id="18"/>
      </w:r>
    </w:p>
    <w:p w14:paraId="3D423C80" w14:textId="4E86F05F" w:rsidR="00FF5780" w:rsidRPr="00682165" w:rsidRDefault="00FF5780" w:rsidP="00601808">
      <w:pPr>
        <w:pStyle w:val="Paragraph"/>
      </w:pPr>
      <w:r>
        <w:lastRenderedPageBreak/>
        <w:t xml:space="preserve">Consequently, the trend internationally is not to use the band for </w:t>
      </w:r>
      <w:r w:rsidR="007F6936">
        <w:t>TOB</w:t>
      </w:r>
      <w:r w:rsidR="0010218C">
        <w:t>. Rather</w:t>
      </w:r>
      <w:r w:rsidR="003F010C">
        <w:t>,</w:t>
      </w:r>
      <w:r w:rsidR="0010218C">
        <w:t xml:space="preserve"> </w:t>
      </w:r>
      <w:r w:rsidR="007F6936">
        <w:t>MSS</w:t>
      </w:r>
      <w:r>
        <w:t xml:space="preserve"> (with or without </w:t>
      </w:r>
      <w:r w:rsidR="003F05B2">
        <w:t>a ground component</w:t>
      </w:r>
      <w:r>
        <w:t>) and</w:t>
      </w:r>
      <w:r w:rsidR="0010218C">
        <w:t>,</w:t>
      </w:r>
      <w:r>
        <w:t xml:space="preserve"> in some cases</w:t>
      </w:r>
      <w:r w:rsidR="0010218C">
        <w:t>,</w:t>
      </w:r>
      <w:r>
        <w:t xml:space="preserve"> </w:t>
      </w:r>
      <w:r w:rsidR="003F05B2">
        <w:t>wireless broadband and direct air-to-ground communications</w:t>
      </w:r>
      <w:r w:rsidR="003F010C">
        <w:t xml:space="preserve"> are gaining prominence</w:t>
      </w:r>
      <w:r w:rsidR="003F05B2">
        <w:t xml:space="preserve">. </w:t>
      </w:r>
    </w:p>
    <w:p w14:paraId="1636FAFF" w14:textId="0013CC87" w:rsidR="000438E1" w:rsidRDefault="00064722" w:rsidP="00AF6323">
      <w:pPr>
        <w:pStyle w:val="Heading2"/>
      </w:pPr>
      <w:bookmarkStart w:id="56" w:name="_Toc46316362"/>
      <w:bookmarkEnd w:id="55"/>
      <w:r>
        <w:t>Domestic considerations</w:t>
      </w:r>
      <w:bookmarkEnd w:id="56"/>
    </w:p>
    <w:p w14:paraId="792928C8" w14:textId="1F24DDE6" w:rsidR="000438E1" w:rsidRDefault="000438E1" w:rsidP="000438E1">
      <w:r>
        <w:t>Domestic considerations include the current and planned availability of spectrum for each use identified, incumbency considerations and the demand case for each use. This will often include consideration of the spectrum environment beyond the band being immediately considered.</w:t>
      </w:r>
    </w:p>
    <w:p w14:paraId="2F8A1724" w14:textId="04598505" w:rsidR="002A3408" w:rsidRDefault="0068066D" w:rsidP="00912982">
      <w:pPr>
        <w:pStyle w:val="Paragraphbeforelist"/>
      </w:pPr>
      <w:r>
        <w:t>T</w:t>
      </w:r>
      <w:r w:rsidR="000438E1">
        <w:t>he range of potential future uses of the 2 GHz band</w:t>
      </w:r>
      <w:r w:rsidR="004B3944">
        <w:t xml:space="preserve"> </w:t>
      </w:r>
      <w:r w:rsidR="006E7C07">
        <w:t>indicates that</w:t>
      </w:r>
      <w:r w:rsidR="002A3408">
        <w:t>:</w:t>
      </w:r>
    </w:p>
    <w:p w14:paraId="53311915" w14:textId="4A76F2E5" w:rsidR="00AE0686" w:rsidRDefault="00346672" w:rsidP="00C42852">
      <w:pPr>
        <w:pStyle w:val="ListBullet"/>
      </w:pPr>
      <w:r>
        <w:t xml:space="preserve">Considering TOB spectrum usage in </w:t>
      </w:r>
      <w:r w:rsidR="006E7C07">
        <w:t xml:space="preserve">the </w:t>
      </w:r>
      <w:r>
        <w:t xml:space="preserve">vicinity of 2 GHz, </w:t>
      </w:r>
      <w:r w:rsidR="006E7C07">
        <w:t xml:space="preserve">the current spectrum available for </w:t>
      </w:r>
      <w:r w:rsidR="007F6936">
        <w:t>TOB</w:t>
      </w:r>
      <w:r w:rsidR="003E1EA8">
        <w:t xml:space="preserve"> </w:t>
      </w:r>
      <w:r w:rsidR="007C7D4B">
        <w:t xml:space="preserve">under </w:t>
      </w:r>
      <w:r w:rsidR="009567E1" w:rsidRPr="009567E1">
        <w:t>RALI FX21: Television outside broadcasting services in the bands 1980</w:t>
      </w:r>
      <w:r w:rsidR="00C912EC">
        <w:t>–</w:t>
      </w:r>
      <w:r w:rsidR="009567E1" w:rsidRPr="009567E1">
        <w:t>2110 MHz and 2170</w:t>
      </w:r>
      <w:r w:rsidR="00C912EC">
        <w:t>–</w:t>
      </w:r>
      <w:r w:rsidR="009567E1" w:rsidRPr="009567E1">
        <w:t>2300 MHz</w:t>
      </w:r>
      <w:r w:rsidR="006E7C07">
        <w:t xml:space="preserve"> (without considering the 2 GHz band) </w:t>
      </w:r>
      <w:r w:rsidR="004056F1">
        <w:t xml:space="preserve">and </w:t>
      </w:r>
      <w:hyperlink r:id="rId45" w:history="1">
        <w:r w:rsidR="009567E1">
          <w:rPr>
            <w:rStyle w:val="Hyperlink"/>
          </w:rPr>
          <w:t>2.5 GHz (2570</w:t>
        </w:r>
        <w:r w:rsidR="00C912EC">
          <w:rPr>
            <w:rStyle w:val="Hyperlink"/>
          </w:rPr>
          <w:t>–</w:t>
        </w:r>
        <w:r w:rsidR="009567E1">
          <w:rPr>
            <w:rStyle w:val="Hyperlink"/>
          </w:rPr>
          <w:t>2620 MHz) mid-band gap</w:t>
        </w:r>
      </w:hyperlink>
      <w:r w:rsidR="004056F1">
        <w:t xml:space="preserve"> spectrum licences </w:t>
      </w:r>
      <w:r w:rsidR="00AD7969">
        <w:t xml:space="preserve">totals </w:t>
      </w:r>
      <w:r w:rsidR="00CB7DC9">
        <w:t>250</w:t>
      </w:r>
      <w:r w:rsidR="00C912EC">
        <w:t> </w:t>
      </w:r>
      <w:r w:rsidR="00CB7DC9">
        <w:t>MHz</w:t>
      </w:r>
      <w:r w:rsidR="00894D26">
        <w:t>.  A greater amount of spectrum</w:t>
      </w:r>
      <w:r w:rsidR="006E7C07">
        <w:t xml:space="preserve"> than that </w:t>
      </w:r>
      <w:r>
        <w:t xml:space="preserve">previously </w:t>
      </w:r>
      <w:r w:rsidR="006E7C07">
        <w:t xml:space="preserve">available </w:t>
      </w:r>
      <w:r w:rsidR="00B739BD">
        <w:t>in the 2.5</w:t>
      </w:r>
      <w:r w:rsidR="00C912EC">
        <w:t> </w:t>
      </w:r>
      <w:r w:rsidR="00B739BD">
        <w:t>G</w:t>
      </w:r>
      <w:r w:rsidR="00AE0686">
        <w:t>Hz (2500</w:t>
      </w:r>
      <w:r w:rsidR="00C912EC">
        <w:t>–</w:t>
      </w:r>
      <w:r w:rsidR="00AE0686">
        <w:t>2690 MHz)</w:t>
      </w:r>
      <w:r w:rsidR="006E7C07">
        <w:t xml:space="preserve"> prior to the digital dividend (not withstanding that there are some compatibility requirements that limit utility for </w:t>
      </w:r>
      <w:r w:rsidR="007F6936">
        <w:t>TOB</w:t>
      </w:r>
      <w:r w:rsidR="006E7C07">
        <w:t xml:space="preserve"> at some band edges).</w:t>
      </w:r>
      <w:r w:rsidR="00122D5B">
        <w:t xml:space="preserve"> </w:t>
      </w:r>
    </w:p>
    <w:p w14:paraId="66686536" w14:textId="210A2823" w:rsidR="002A3408" w:rsidRDefault="009E2609" w:rsidP="00C42852">
      <w:pPr>
        <w:pStyle w:val="ListBullet"/>
      </w:pPr>
      <w:r>
        <w:t>Due to the small number of TOB licences currently in the 2 GHz band, the ACMA is</w:t>
      </w:r>
      <w:r w:rsidR="00C912EC">
        <w:t> </w:t>
      </w:r>
      <w:r>
        <w:t>of the view that the majority of these services could be accommodated in the 7.2</w:t>
      </w:r>
      <w:r w:rsidR="00C912EC">
        <w:t> </w:t>
      </w:r>
      <w:r>
        <w:t>GHz (7100</w:t>
      </w:r>
      <w:r w:rsidR="00C912EC">
        <w:t>–</w:t>
      </w:r>
      <w:r>
        <w:t>7425 MHz) band or possibly in the 8.3 GHz (8275</w:t>
      </w:r>
      <w:r w:rsidR="00C912EC">
        <w:t>–</w:t>
      </w:r>
      <w:r>
        <w:t>8400 MHz)</w:t>
      </w:r>
      <w:r>
        <w:rPr>
          <w:rStyle w:val="FootnoteReference"/>
        </w:rPr>
        <w:footnoteReference w:id="19"/>
      </w:r>
      <w:r>
        <w:t xml:space="preserve"> bands both of which support TOB services</w:t>
      </w:r>
      <w:r w:rsidR="00C912EC">
        <w:t>.</w:t>
      </w:r>
      <w:r>
        <w:rPr>
          <w:rStyle w:val="FootnoteReference"/>
        </w:rPr>
        <w:footnoteReference w:id="20"/>
      </w:r>
      <w:r>
        <w:t xml:space="preserve"> Both these bands have channels supporting shared non-exclusive usage similar to the arrangements of the 2 GHz band. The ACMA notes that current arrangements in 7.2 and 8.3 GHz are intended to support analog technologies and seeks industry views as to whether there is need to update channel arrangements to reflect current digital technologies used</w:t>
      </w:r>
      <w:r w:rsidR="00C912EC">
        <w:t xml:space="preserve">. </w:t>
      </w:r>
    </w:p>
    <w:p w14:paraId="410541E9" w14:textId="730F2DD4" w:rsidR="006E7C07" w:rsidRDefault="00C912EC" w:rsidP="00C42852">
      <w:pPr>
        <w:pStyle w:val="ListBullet"/>
      </w:pPr>
      <w:r>
        <w:t>T</w:t>
      </w:r>
      <w:r w:rsidR="002A3408">
        <w:t xml:space="preserve">here already exists considerable availability for </w:t>
      </w:r>
      <w:r w:rsidR="009C58B8">
        <w:t>wireless broadband</w:t>
      </w:r>
      <w:r w:rsidR="002A3408">
        <w:t xml:space="preserve"> in comparable mid</w:t>
      </w:r>
      <w:r w:rsidR="009C58B8">
        <w:t>-</w:t>
      </w:r>
      <w:r w:rsidR="002A3408">
        <w:t>band frequenc</w:t>
      </w:r>
      <w:r w:rsidR="009C58B8">
        <w:t xml:space="preserve">ies </w:t>
      </w:r>
      <w:r w:rsidR="002A3408">
        <w:t xml:space="preserve">between 1 and 6 GHz such that the availability of </w:t>
      </w:r>
      <w:r w:rsidR="00122D5B">
        <w:t xml:space="preserve">the 2 GHz for </w:t>
      </w:r>
      <w:r w:rsidR="009C58B8">
        <w:t>wireless broadband</w:t>
      </w:r>
      <w:r w:rsidR="00122D5B">
        <w:t xml:space="preserve"> would constitute only a </w:t>
      </w:r>
      <w:r>
        <w:t xml:space="preserve">6 </w:t>
      </w:r>
      <w:r w:rsidR="00EF5D48">
        <w:t>per</w:t>
      </w:r>
      <w:r w:rsidR="00ED60FB">
        <w:t xml:space="preserve"> </w:t>
      </w:r>
      <w:r w:rsidR="00EF5D48">
        <w:t>cent</w:t>
      </w:r>
      <w:r w:rsidR="00122D5B">
        <w:t xml:space="preserve"> increase. </w:t>
      </w:r>
      <w:r w:rsidR="00D4439F">
        <w:t>O</w:t>
      </w:r>
      <w:r w:rsidR="00122D5B">
        <w:t xml:space="preserve">ther bands potentially more suitable for new </w:t>
      </w:r>
      <w:r w:rsidR="00D4439F">
        <w:t>wireless broadband</w:t>
      </w:r>
      <w:r w:rsidR="00122D5B">
        <w:t xml:space="preserve"> (especially 5G) </w:t>
      </w:r>
      <w:r w:rsidR="00D4439F">
        <w:t>are</w:t>
      </w:r>
      <w:r w:rsidR="00122D5B">
        <w:t xml:space="preserve"> under consideration as part of the </w:t>
      </w:r>
      <w:r w:rsidR="002D44EA">
        <w:t xml:space="preserve">concurrent </w:t>
      </w:r>
      <w:r w:rsidR="00122D5B">
        <w:t>review of the 3.7</w:t>
      </w:r>
      <w:r w:rsidR="00D4439F">
        <w:t>–</w:t>
      </w:r>
      <w:r w:rsidR="00122D5B">
        <w:t>4.2 GHz band</w:t>
      </w:r>
      <w:r w:rsidR="00E72D4F">
        <w:t xml:space="preserve"> and the optimisation of the 3.4 GHz band</w:t>
      </w:r>
      <w:r w:rsidR="00122D5B">
        <w:t xml:space="preserve">. </w:t>
      </w:r>
      <w:r w:rsidR="00D24AF3">
        <w:t>W</w:t>
      </w:r>
      <w:r w:rsidR="002D44EA">
        <w:t xml:space="preserve">e </w:t>
      </w:r>
      <w:r w:rsidR="006E0F36">
        <w:t>acknowledge</w:t>
      </w:r>
      <w:r w:rsidR="00122D5B">
        <w:t xml:space="preserve"> that </w:t>
      </w:r>
      <w:r w:rsidR="5A812BDE">
        <w:t>many</w:t>
      </w:r>
      <w:r w:rsidR="00122D5B">
        <w:t xml:space="preserve"> of the current arrangements for </w:t>
      </w:r>
      <w:r w:rsidR="002D44EA">
        <w:t>wireless broadband</w:t>
      </w:r>
      <w:r w:rsidR="00122D5B">
        <w:t xml:space="preserve"> in the mid bands are better suited for </w:t>
      </w:r>
      <w:r w:rsidR="00E860E0">
        <w:t>wide-area rather</w:t>
      </w:r>
      <w:r w:rsidR="00122D5B">
        <w:t xml:space="preserve"> than </w:t>
      </w:r>
      <w:r w:rsidR="00E860E0">
        <w:t>local-area</w:t>
      </w:r>
      <w:r w:rsidR="00122D5B">
        <w:t xml:space="preserve"> </w:t>
      </w:r>
      <w:r w:rsidR="00E860E0">
        <w:t>wireless broadband</w:t>
      </w:r>
      <w:r w:rsidR="00122D5B">
        <w:t xml:space="preserve"> uses, </w:t>
      </w:r>
      <w:r w:rsidR="00D24AF3">
        <w:t>however</w:t>
      </w:r>
      <w:r w:rsidR="00122D5B">
        <w:t xml:space="preserve"> the 3.7</w:t>
      </w:r>
      <w:r w:rsidR="00D24AF3">
        <w:t>–</w:t>
      </w:r>
      <w:r w:rsidR="00122D5B">
        <w:t xml:space="preserve">4.2 GHz band </w:t>
      </w:r>
      <w:r w:rsidR="00D24AF3">
        <w:t xml:space="preserve">review </w:t>
      </w:r>
      <w:r w:rsidR="00122D5B">
        <w:t xml:space="preserve">is </w:t>
      </w:r>
      <w:r w:rsidR="00D24AF3">
        <w:t>also</w:t>
      </w:r>
      <w:r w:rsidR="00122D5B">
        <w:t xml:space="preserve"> considering additional options for </w:t>
      </w:r>
      <w:r w:rsidR="00D24AF3">
        <w:t>local-area wireless broadband</w:t>
      </w:r>
      <w:r w:rsidR="00122D5B">
        <w:t xml:space="preserve">. </w:t>
      </w:r>
    </w:p>
    <w:p w14:paraId="460E9192" w14:textId="42164C36" w:rsidR="00122D5B" w:rsidRDefault="00C912EC" w:rsidP="00C42852">
      <w:pPr>
        <w:pStyle w:val="ListBulletLast"/>
      </w:pPr>
      <w:r>
        <w:t>W</w:t>
      </w:r>
      <w:r w:rsidR="006E0F36">
        <w:t xml:space="preserve">hile reasonable opportunities </w:t>
      </w:r>
      <w:r w:rsidR="004C1057">
        <w:t xml:space="preserve">already exist </w:t>
      </w:r>
      <w:r w:rsidR="006E0F36">
        <w:t xml:space="preserve">for </w:t>
      </w:r>
      <w:r w:rsidR="007F6936">
        <w:t>MSS</w:t>
      </w:r>
      <w:r w:rsidR="006E0F36">
        <w:t xml:space="preserve"> in comparable frequency ranges between 1 and 2.5 GHz (over 110 MHz), there are currently only modest </w:t>
      </w:r>
      <w:r w:rsidR="00CC3C2F">
        <w:t xml:space="preserve">possible </w:t>
      </w:r>
      <w:r w:rsidR="006E0F36">
        <w:t xml:space="preserve">additional future opportunities </w:t>
      </w:r>
      <w:r w:rsidR="31F94A0A">
        <w:t>for</w:t>
      </w:r>
      <w:r w:rsidR="006E0F36">
        <w:t xml:space="preserve"> </w:t>
      </w:r>
      <w:r w:rsidR="004C1057">
        <w:t>these services</w:t>
      </w:r>
      <w:r w:rsidR="006E0F36">
        <w:t xml:space="preserve"> beyond the 2 GHz band. In addition, the 2 GHz band would represent up to a 50</w:t>
      </w:r>
      <w:r w:rsidR="004C1057">
        <w:t> </w:t>
      </w:r>
      <w:r w:rsidR="00AA2D07">
        <w:t>per cent</w:t>
      </w:r>
      <w:r w:rsidR="006E0F36">
        <w:t xml:space="preserve"> </w:t>
      </w:r>
      <w:r w:rsidR="004C1057">
        <w:t>(</w:t>
      </w:r>
      <w:r w:rsidR="006E0F36">
        <w:t xml:space="preserve">or </w:t>
      </w:r>
      <w:r w:rsidR="004C1057">
        <w:t>greater)</w:t>
      </w:r>
      <w:r w:rsidR="006E0F36">
        <w:t xml:space="preserve"> increase </w:t>
      </w:r>
      <w:r w:rsidR="00CC3C2F">
        <w:t xml:space="preserve">in spectrum availability for </w:t>
      </w:r>
      <w:r w:rsidR="007F6936">
        <w:t>MSS</w:t>
      </w:r>
      <w:r w:rsidR="00CC3C2F">
        <w:t>.</w:t>
      </w:r>
    </w:p>
    <w:p w14:paraId="3B262E54" w14:textId="0292833D" w:rsidR="00CC3C2F" w:rsidRDefault="00CC3C2F" w:rsidP="00475482">
      <w:r>
        <w:t>On balance</w:t>
      </w:r>
      <w:r w:rsidR="004C1057">
        <w:t>,</w:t>
      </w:r>
      <w:r>
        <w:t xml:space="preserve"> domestically there appears to be a stronger </w:t>
      </w:r>
      <w:r w:rsidR="67F83572">
        <w:t>case for</w:t>
      </w:r>
      <w:r>
        <w:t xml:space="preserve"> additional spectrum arrangements suitable for </w:t>
      </w:r>
      <w:r w:rsidR="007F6936">
        <w:t>MSS</w:t>
      </w:r>
      <w:r>
        <w:t xml:space="preserve"> applications than for </w:t>
      </w:r>
      <w:r w:rsidR="007F6936">
        <w:t>TOB</w:t>
      </w:r>
      <w:r>
        <w:t xml:space="preserve"> and </w:t>
      </w:r>
      <w:r w:rsidR="00401214">
        <w:t>wireless broadband</w:t>
      </w:r>
      <w:r>
        <w:t xml:space="preserve"> (especially </w:t>
      </w:r>
      <w:r w:rsidR="00401214">
        <w:t>wide-area</w:t>
      </w:r>
      <w:r>
        <w:t>).</w:t>
      </w:r>
    </w:p>
    <w:p w14:paraId="020E9D9F" w14:textId="5ACFC1CA" w:rsidR="00E05C0F" w:rsidRDefault="000F2ACE" w:rsidP="00CC3C2F">
      <w:r>
        <w:rPr>
          <w:rFonts w:cs="Arial"/>
        </w:rPr>
        <w:t>In light of these observations</w:t>
      </w:r>
      <w:r w:rsidR="000438E1">
        <w:rPr>
          <w:rFonts w:cs="Arial"/>
        </w:rPr>
        <w:t xml:space="preserve">, it appears that the mix of uses that are likely to maximise the overall public benefit in the band is changing to include </w:t>
      </w:r>
      <w:r w:rsidR="00DC5FBD">
        <w:t>mobile</w:t>
      </w:r>
      <w:r w:rsidR="00A73606">
        <w:t>-</w:t>
      </w:r>
      <w:r w:rsidR="00DC5FBD">
        <w:t>satellite</w:t>
      </w:r>
      <w:r w:rsidR="006E7C07">
        <w:t xml:space="preserve"> </w:t>
      </w:r>
      <w:r w:rsidR="00CC3C2F">
        <w:t xml:space="preserve">applications more so than for </w:t>
      </w:r>
      <w:r w:rsidR="007F6936">
        <w:t>TOB</w:t>
      </w:r>
      <w:r w:rsidR="00CC3C2F">
        <w:t xml:space="preserve"> and </w:t>
      </w:r>
      <w:r w:rsidR="00DC5FBD">
        <w:t>wireless broadband</w:t>
      </w:r>
      <w:r w:rsidR="00CC3C2F">
        <w:t xml:space="preserve"> (especially </w:t>
      </w:r>
      <w:r w:rsidR="00DC5FBD">
        <w:t>wide-area</w:t>
      </w:r>
      <w:r w:rsidR="00CC3C2F">
        <w:t>).</w:t>
      </w:r>
    </w:p>
    <w:p w14:paraId="7D92AD84" w14:textId="58CFD77D" w:rsidR="00562BE6" w:rsidRDefault="001507A6" w:rsidP="00CC3C2F">
      <w:r>
        <w:lastRenderedPageBreak/>
        <w:t xml:space="preserve">Further analysis of domestic considerations is presented at </w:t>
      </w:r>
      <w:hyperlink w:anchor="_Appendix_B:_Domestic" w:history="1">
        <w:r w:rsidRPr="00E27DA6">
          <w:rPr>
            <w:rStyle w:val="Hyperlink"/>
          </w:rPr>
          <w:t>Appendix B</w:t>
        </w:r>
      </w:hyperlink>
      <w:r>
        <w:t>.</w:t>
      </w:r>
    </w:p>
    <w:p w14:paraId="7CB623F1" w14:textId="77777777" w:rsidR="004C4EC4" w:rsidRPr="00682165" w:rsidRDefault="004C4EC4" w:rsidP="000D7D14">
      <w:pPr>
        <w:pStyle w:val="Heading2"/>
      </w:pPr>
      <w:bookmarkStart w:id="57" w:name="_Toc39785977"/>
      <w:bookmarkStart w:id="58" w:name="_Toc46316363"/>
      <w:r w:rsidRPr="00682165">
        <w:t>Conclusion</w:t>
      </w:r>
      <w:bookmarkEnd w:id="57"/>
      <w:bookmarkEnd w:id="58"/>
    </w:p>
    <w:p w14:paraId="42079039" w14:textId="5AE33AF7" w:rsidR="004C4EC4" w:rsidRPr="00682165" w:rsidRDefault="004C4EC4" w:rsidP="004C4EC4">
      <w:pPr>
        <w:pStyle w:val="Paragraph"/>
      </w:pPr>
      <w:r w:rsidRPr="00682165">
        <w:t xml:space="preserve">In the previous discussion paper, we noted that some form of planning in the 2 GHz band would be necessary, if only to establish arrangements that permit </w:t>
      </w:r>
      <w:r w:rsidR="007F6936">
        <w:t>TOB</w:t>
      </w:r>
      <w:r w:rsidRPr="00682165">
        <w:t xml:space="preserve"> services to continue using the band with ongoing certainty.</w:t>
      </w:r>
    </w:p>
    <w:p w14:paraId="21D6503C" w14:textId="00282EDC" w:rsidR="004C4EC4" w:rsidRPr="00475482" w:rsidRDefault="00122D5B" w:rsidP="00354AA7">
      <w:pPr>
        <w:pStyle w:val="Paragraphbeforelist"/>
      </w:pPr>
      <w:r w:rsidRPr="00682165">
        <w:t>The ACMA considers that preliminary replanning of the band now is important to provide certainty to existing and prospective service providers, as well as to examine potential replanning scenarios that may enable higher value uses.</w:t>
      </w:r>
      <w:r>
        <w:t xml:space="preserve"> Accordingly, the ACMA considers it appropriate </w:t>
      </w:r>
      <w:r w:rsidR="004C4EC4" w:rsidRPr="00682165">
        <w:t>to progress the band to the preliminary replanning stage, so that a range of potential replanning options can be considered for consultation. These reasons include:</w:t>
      </w:r>
    </w:p>
    <w:p w14:paraId="390746C5" w14:textId="77777777" w:rsidR="004C4EC4" w:rsidRDefault="004C4EC4" w:rsidP="004C4EC4">
      <w:pPr>
        <w:pStyle w:val="ListBullet"/>
      </w:pPr>
      <w:r w:rsidRPr="00682165">
        <w:t xml:space="preserve">strong </w:t>
      </w:r>
      <w:r>
        <w:t>interest</w:t>
      </w:r>
      <w:r w:rsidRPr="00682165">
        <w:t xml:space="preserve"> from service providers seeking access to the band for deployment of new service</w:t>
      </w:r>
      <w:r>
        <w:t>s</w:t>
      </w:r>
    </w:p>
    <w:p w14:paraId="6732B799" w14:textId="77777777" w:rsidR="004C4EC4" w:rsidRPr="00682165" w:rsidRDefault="004C4EC4" w:rsidP="004C4EC4">
      <w:pPr>
        <w:pStyle w:val="ListBullet"/>
      </w:pPr>
      <w:r>
        <w:t>claimed bandwidth requirements reported by access seekers significantly exceeds the available supply</w:t>
      </w:r>
    </w:p>
    <w:p w14:paraId="31651E44" w14:textId="6B7B7D9D" w:rsidR="004C4EC4" w:rsidRPr="00682165" w:rsidRDefault="004C4EC4" w:rsidP="004C4EC4">
      <w:pPr>
        <w:pStyle w:val="ListBullet"/>
      </w:pPr>
      <w:r w:rsidRPr="00682165">
        <w:t>widespread international allocation of the band by advanced industrial countries to MSS and/or terrestrial wireless broadband services</w:t>
      </w:r>
    </w:p>
    <w:p w14:paraId="0D5E5F75" w14:textId="0FE958B1" w:rsidR="004C4EC4" w:rsidRPr="00682165" w:rsidRDefault="004C4EC4" w:rsidP="004C4EC4">
      <w:pPr>
        <w:pStyle w:val="ListBullet"/>
      </w:pPr>
      <w:r w:rsidRPr="00682165">
        <w:t>continued growth in demand for downstream wireless services by consumers and businesses</w:t>
      </w:r>
    </w:p>
    <w:p w14:paraId="779D53A0" w14:textId="796B45A7" w:rsidR="004C4EC4" w:rsidRPr="00682165" w:rsidRDefault="004C4EC4" w:rsidP="004C4EC4">
      <w:pPr>
        <w:pStyle w:val="ListBullet"/>
      </w:pPr>
      <w:r w:rsidRPr="00682165">
        <w:t xml:space="preserve">desire for ongoing certainty of spectrum arrangements by the </w:t>
      </w:r>
      <w:r w:rsidR="007F6936">
        <w:t>TOB</w:t>
      </w:r>
      <w:r w:rsidRPr="00682165">
        <w:t xml:space="preserve"> industry</w:t>
      </w:r>
    </w:p>
    <w:p w14:paraId="586913CC" w14:textId="6E2931FF" w:rsidR="004C4EC4" w:rsidRPr="00682165" w:rsidRDefault="004C4EC4" w:rsidP="004C4EC4">
      <w:pPr>
        <w:pStyle w:val="ListBulletLast"/>
      </w:pPr>
      <w:r w:rsidRPr="00682165">
        <w:t>more broadly, the potential for improvement of Australia’s communications services in regional and remote areas.</w:t>
      </w:r>
    </w:p>
    <w:p w14:paraId="077F85B7" w14:textId="2AFC4CED" w:rsidR="00902466" w:rsidRDefault="00902466" w:rsidP="00554647">
      <w:pPr>
        <w:pStyle w:val="Paragraph"/>
      </w:pPr>
    </w:p>
    <w:p w14:paraId="450A6FA3" w14:textId="27E38289" w:rsidR="00902466" w:rsidRDefault="00902466" w:rsidP="00902466">
      <w:pPr>
        <w:pStyle w:val="Heading1"/>
      </w:pPr>
      <w:bookmarkStart w:id="59" w:name="_Toc46316364"/>
      <w:bookmarkStart w:id="60" w:name="_Hlk43405472"/>
      <w:bookmarkEnd w:id="53"/>
      <w:r>
        <w:lastRenderedPageBreak/>
        <w:t>Desirable planning outcomes</w:t>
      </w:r>
      <w:bookmarkEnd w:id="59"/>
    </w:p>
    <w:p w14:paraId="0F2C3BB0" w14:textId="29725067" w:rsidR="005762B2" w:rsidRDefault="005762B2" w:rsidP="005762B2">
      <w:pPr>
        <w:spacing w:before="240"/>
      </w:pPr>
      <w:r>
        <w:t xml:space="preserve">The ACMA has identified several desirable planning outcomes for the </w:t>
      </w:r>
      <w:r w:rsidR="00425CB4">
        <w:t xml:space="preserve">2 GHz </w:t>
      </w:r>
      <w:r>
        <w:t>band</w:t>
      </w:r>
      <w:r w:rsidR="003E4326">
        <w:t xml:space="preserve">, taking into account </w:t>
      </w:r>
      <w:r>
        <w:t>the legislative and policy environment</w:t>
      </w:r>
      <w:r w:rsidR="00425CB4">
        <w:t>,</w:t>
      </w:r>
      <w:r>
        <w:t xml:space="preserve"> technological developments</w:t>
      </w:r>
      <w:r w:rsidR="0032037E">
        <w:t>, i</w:t>
      </w:r>
      <w:r>
        <w:t>nternational harmonisation issues</w:t>
      </w:r>
      <w:r w:rsidR="0032037E">
        <w:t>,</w:t>
      </w:r>
      <w:r>
        <w:t xml:space="preserve"> relevant domestic considerations </w:t>
      </w:r>
      <w:r w:rsidDel="002B5EB7">
        <w:t xml:space="preserve">and </w:t>
      </w:r>
      <w:r>
        <w:t>feedback from submissions to the 2019 discussion paper.</w:t>
      </w:r>
    </w:p>
    <w:p w14:paraId="2828CEB8" w14:textId="10340E84" w:rsidR="007331C8" w:rsidRDefault="007331C8" w:rsidP="007331C8">
      <w:pPr>
        <w:spacing w:before="240"/>
      </w:pPr>
      <w:r>
        <w:t>E</w:t>
      </w:r>
      <w:r w:rsidRPr="002B79C8">
        <w:t xml:space="preserve">xisting and new uses identified for the </w:t>
      </w:r>
      <w:r>
        <w:t xml:space="preserve">2 GHz </w:t>
      </w:r>
      <w:r w:rsidRPr="002B79C8">
        <w:t>band</w:t>
      </w:r>
      <w:r>
        <w:t xml:space="preserve"> </w:t>
      </w:r>
      <w:r w:rsidRPr="002B79C8">
        <w:t xml:space="preserve">present potentially competing demands for access to </w:t>
      </w:r>
      <w:r>
        <w:t xml:space="preserve">the same </w:t>
      </w:r>
      <w:r w:rsidRPr="002B79C8">
        <w:t>spectrum. This is particularly the case in areas of high demand such</w:t>
      </w:r>
      <w:r>
        <w:t xml:space="preserve"> as</w:t>
      </w:r>
      <w:r w:rsidRPr="002B79C8">
        <w:t xml:space="preserve"> </w:t>
      </w:r>
      <w:r>
        <w:t xml:space="preserve">capital </w:t>
      </w:r>
      <w:r w:rsidRPr="002B79C8">
        <w:t xml:space="preserve">cities and other </w:t>
      </w:r>
      <w:r>
        <w:t>large</w:t>
      </w:r>
      <w:r w:rsidRPr="002B79C8">
        <w:t xml:space="preserve"> population centres. The reason is </w:t>
      </w:r>
      <w:r>
        <w:t>that</w:t>
      </w:r>
      <w:r w:rsidRPr="002B79C8">
        <w:t xml:space="preserve"> deployment of one service</w:t>
      </w:r>
      <w:r>
        <w:t xml:space="preserve"> may deny access to the spectrum for</w:t>
      </w:r>
      <w:r w:rsidRPr="002B79C8">
        <w:t xml:space="preserve"> another service </w:t>
      </w:r>
      <w:r>
        <w:t xml:space="preserve">seeking </w:t>
      </w:r>
      <w:r w:rsidRPr="002B79C8">
        <w:t xml:space="preserve">to </w:t>
      </w:r>
      <w:r>
        <w:t>operate</w:t>
      </w:r>
      <w:r w:rsidRPr="002B79C8">
        <w:t xml:space="preserve"> in the same or nearby area.</w:t>
      </w:r>
      <w:r>
        <w:t xml:space="preserve"> W</w:t>
      </w:r>
      <w:r w:rsidRPr="002B79C8">
        <w:t xml:space="preserve">hile sharing </w:t>
      </w:r>
      <w:r>
        <w:t xml:space="preserve">scenarios </w:t>
      </w:r>
      <w:r w:rsidRPr="002B79C8">
        <w:t xml:space="preserve">are generally </w:t>
      </w:r>
      <w:r>
        <w:t>contemplated in the ACMA’s band replanning activities</w:t>
      </w:r>
      <w:r w:rsidRPr="002B79C8">
        <w:t xml:space="preserve">, </w:t>
      </w:r>
      <w:r w:rsidR="0C3FF818">
        <w:t>these need</w:t>
      </w:r>
      <w:r w:rsidRPr="002B79C8">
        <w:t xml:space="preserve"> to be weighed against the potential reduction in utility and access to spectrum </w:t>
      </w:r>
      <w:r w:rsidR="59FE9301">
        <w:t>they</w:t>
      </w:r>
      <w:r w:rsidRPr="002B79C8">
        <w:t xml:space="preserve"> could cause to both existing and new services.</w:t>
      </w:r>
      <w:r>
        <w:t xml:space="preserve"> I</w:t>
      </w:r>
      <w:r w:rsidRPr="002B79C8">
        <w:t>n some cases</w:t>
      </w:r>
      <w:r>
        <w:t>,</w:t>
      </w:r>
      <w:r w:rsidRPr="002B79C8">
        <w:t xml:space="preserve"> exclusive </w:t>
      </w:r>
      <w:r>
        <w:t xml:space="preserve">access and </w:t>
      </w:r>
      <w:r w:rsidRPr="002B79C8">
        <w:t>licen</w:t>
      </w:r>
      <w:r>
        <w:t>sing</w:t>
      </w:r>
      <w:r w:rsidRPr="002B79C8">
        <w:t xml:space="preserve"> arrangements may be the most appropriate approach. </w:t>
      </w:r>
    </w:p>
    <w:p w14:paraId="2EFA8077" w14:textId="254DC6CD" w:rsidR="005762B2" w:rsidRPr="002B79C8" w:rsidRDefault="0032037E" w:rsidP="005762B2">
      <w:pPr>
        <w:spacing w:before="240"/>
      </w:pPr>
      <w:r>
        <w:t>We</w:t>
      </w:r>
      <w:r w:rsidR="005762B2">
        <w:t xml:space="preserve"> acknowledge that any changes in spectrum management arrangements may impact existing licensees operating in the </w:t>
      </w:r>
      <w:r w:rsidR="00CC551B">
        <w:t>2 GH</w:t>
      </w:r>
      <w:r w:rsidR="005762B2">
        <w:t xml:space="preserve">z band. In assessing options, </w:t>
      </w:r>
      <w:r w:rsidR="00347C73">
        <w:t>we have</w:t>
      </w:r>
      <w:r w:rsidR="005762B2">
        <w:t xml:space="preserve"> identifie</w:t>
      </w:r>
      <w:r w:rsidR="00347C73">
        <w:t>d</w:t>
      </w:r>
      <w:r w:rsidR="005762B2">
        <w:t xml:space="preserve"> impacts on existing users and uses and, where possible, consider</w:t>
      </w:r>
      <w:r w:rsidR="00347C73">
        <w:t>ed</w:t>
      </w:r>
      <w:r w:rsidR="005762B2">
        <w:t xml:space="preserve"> options for sharing or alternative arrangements that could enable the continued provision of these services. If an option </w:t>
      </w:r>
      <w:r w:rsidR="00F83084">
        <w:t>involves</w:t>
      </w:r>
      <w:r w:rsidR="005762B2">
        <w:t xml:space="preserve"> loss of </w:t>
      </w:r>
      <w:r w:rsidR="00F83084">
        <w:t xml:space="preserve">spectrum </w:t>
      </w:r>
      <w:r w:rsidR="005762B2">
        <w:t xml:space="preserve">access for incumbent licensees, the ACMA </w:t>
      </w:r>
      <w:r w:rsidR="002E0C7C">
        <w:t>typically</w:t>
      </w:r>
      <w:r w:rsidR="005762B2">
        <w:t xml:space="preserve"> consider</w:t>
      </w:r>
      <w:r w:rsidR="002E0C7C">
        <w:t>s</w:t>
      </w:r>
      <w:r w:rsidR="005762B2">
        <w:t xml:space="preserve"> </w:t>
      </w:r>
      <w:r w:rsidR="003C56BE">
        <w:t xml:space="preserve">an appropriate transition period </w:t>
      </w:r>
      <w:r w:rsidR="005762B2">
        <w:t xml:space="preserve">to </w:t>
      </w:r>
      <w:r w:rsidR="00C43924">
        <w:t>allow sufficient time for affected licensees to</w:t>
      </w:r>
      <w:r w:rsidR="00FF4216">
        <w:t xml:space="preserve"> </w:t>
      </w:r>
      <w:r w:rsidR="006453AA">
        <w:t>adjust</w:t>
      </w:r>
      <w:r w:rsidR="005D796A">
        <w:t xml:space="preserve"> to the new arrangements</w:t>
      </w:r>
      <w:r w:rsidR="005762B2">
        <w:t>.</w:t>
      </w:r>
      <w:r w:rsidR="005762B2" w:rsidRPr="008B0870">
        <w:t xml:space="preserve"> </w:t>
      </w:r>
    </w:p>
    <w:p w14:paraId="04C6CE49" w14:textId="1921FEF4" w:rsidR="009F646B" w:rsidRDefault="009F646B" w:rsidP="00354AA7">
      <w:pPr>
        <w:pStyle w:val="Paragraphbeforelist"/>
        <w:rPr>
          <w:b/>
          <w:bCs/>
        </w:rPr>
      </w:pPr>
      <w:r>
        <w:t>The desirable planning outcomes for the review of the 2 GHz band are outlined below with the linkage back to the legislative and policy environment identified:</w:t>
      </w:r>
    </w:p>
    <w:p w14:paraId="59E46A1C" w14:textId="679423D6" w:rsidR="009F646B" w:rsidRDefault="004B1CE4" w:rsidP="004B1CE4">
      <w:pPr>
        <w:pStyle w:val="ListNumber"/>
        <w:numPr>
          <w:ilvl w:val="0"/>
          <w:numId w:val="21"/>
        </w:numPr>
      </w:pPr>
      <w:r w:rsidRPr="004B1CE4">
        <w:t xml:space="preserve">Support new uses of the band consistent with international harmonisation and domestic considerations which includes some mix of MSS uses (including for IoT) and possible </w:t>
      </w:r>
      <w:r w:rsidR="007F6936">
        <w:t>wireless broadband</w:t>
      </w:r>
      <w:r w:rsidRPr="004B1CE4">
        <w:t xml:space="preserve"> uses, including MSS compl</w:t>
      </w:r>
      <w:r w:rsidR="00347D07">
        <w:t>e</w:t>
      </w:r>
      <w:r w:rsidRPr="004B1CE4">
        <w:t>mentary ground component usage.</w:t>
      </w:r>
    </w:p>
    <w:p w14:paraId="3A58AEAE" w14:textId="46C70A41" w:rsidR="009F646B" w:rsidRDefault="009F646B" w:rsidP="004B1CE4">
      <w:pPr>
        <w:pStyle w:val="ListNumber"/>
        <w:numPr>
          <w:ilvl w:val="0"/>
          <w:numId w:val="21"/>
        </w:numPr>
      </w:pPr>
      <w:r>
        <w:t>Resolve the interim nature of arrangements in the band</w:t>
      </w:r>
      <w:r w:rsidR="00654C97">
        <w:t xml:space="preserve"> </w:t>
      </w:r>
      <w:r>
        <w:t xml:space="preserve">to provide increased certainty for future </w:t>
      </w:r>
      <w:r w:rsidR="00475482">
        <w:t xml:space="preserve">uses of the band. </w:t>
      </w:r>
    </w:p>
    <w:p w14:paraId="5F6A4F4D" w14:textId="381DA4E9" w:rsidR="00B4637D" w:rsidRDefault="009F646B" w:rsidP="005056A2">
      <w:pPr>
        <w:pStyle w:val="ListNumber"/>
        <w:numPr>
          <w:ilvl w:val="0"/>
          <w:numId w:val="21"/>
        </w:numPr>
        <w:spacing w:after="240"/>
        <w:ind w:left="357" w:hanging="357"/>
      </w:pPr>
      <w:bookmarkStart w:id="61" w:name="_Hlk42847889"/>
      <w:r>
        <w:t xml:space="preserve">Ensure coexistence with adjacent band </w:t>
      </w:r>
      <w:r w:rsidRPr="004C6C89">
        <w:t xml:space="preserve">services is addressed. </w:t>
      </w:r>
      <w:bookmarkEnd w:id="61"/>
      <w:r w:rsidR="27076017">
        <w:t>These include</w:t>
      </w:r>
      <w:r w:rsidRPr="004C6C89">
        <w:t xml:space="preserve"> </w:t>
      </w:r>
      <w:r w:rsidR="008E4D65">
        <w:t>wireless broadband</w:t>
      </w:r>
      <w:r w:rsidRPr="004C6C89">
        <w:t xml:space="preserve"> </w:t>
      </w:r>
      <w:r w:rsidR="736615B7">
        <w:t xml:space="preserve">services </w:t>
      </w:r>
      <w:r w:rsidRPr="004C6C89">
        <w:t xml:space="preserve">operating </w:t>
      </w:r>
      <w:r w:rsidR="00475482" w:rsidRPr="00407211">
        <w:t xml:space="preserve">below 1980 and 2170 MHz, and </w:t>
      </w:r>
      <w:r w:rsidR="007F6936">
        <w:t>TOB</w:t>
      </w:r>
      <w:r w:rsidR="008E4D65">
        <w:t xml:space="preserve"> </w:t>
      </w:r>
      <w:r w:rsidR="00475482" w:rsidRPr="00407211">
        <w:t>/</w:t>
      </w:r>
      <w:r w:rsidR="008E4D65">
        <w:t xml:space="preserve"> </w:t>
      </w:r>
      <w:r w:rsidR="00475482" w:rsidRPr="00407211">
        <w:t>space research</w:t>
      </w:r>
      <w:r w:rsidR="008E4D65">
        <w:t xml:space="preserve"> </w:t>
      </w:r>
      <w:r w:rsidR="00475482" w:rsidRPr="00407211">
        <w:t>/</w:t>
      </w:r>
      <w:r w:rsidR="008E4D65">
        <w:t xml:space="preserve"> </w:t>
      </w:r>
      <w:r w:rsidR="00475482" w:rsidRPr="00407211">
        <w:t>space operations operating above 2010 and 2200 MHz</w:t>
      </w:r>
      <w:r w:rsidRPr="004C6C89">
        <w:t>.</w:t>
      </w:r>
      <w:r>
        <w:t xml:space="preserve"> </w:t>
      </w:r>
    </w:p>
    <w:p w14:paraId="56185779" w14:textId="611E0182" w:rsidR="00B77AD0" w:rsidRDefault="00A10C65" w:rsidP="00354AA7">
      <w:pPr>
        <w:pStyle w:val="Paragraphbeforelist"/>
      </w:pPr>
      <w:r>
        <w:t>The</w:t>
      </w:r>
      <w:r w:rsidR="001B54A2">
        <w:t>se desirable planning outcomes</w:t>
      </w:r>
      <w:r w:rsidR="00B77AD0">
        <w:t xml:space="preserve"> </w:t>
      </w:r>
      <w:r w:rsidR="00CC40D6">
        <w:t xml:space="preserve">are consistent with the </w:t>
      </w:r>
      <w:r w:rsidR="00ED0912">
        <w:t xml:space="preserve">legislative and policy framework </w:t>
      </w:r>
      <w:r w:rsidR="00E55D05">
        <w:t xml:space="preserve">outlined </w:t>
      </w:r>
      <w:r w:rsidR="00FC0324">
        <w:t>in the first chapter</w:t>
      </w:r>
      <w:r w:rsidR="007E39F1">
        <w:t xml:space="preserve"> of this paper</w:t>
      </w:r>
      <w:r w:rsidR="00FC0324">
        <w:t>, including:</w:t>
      </w:r>
    </w:p>
    <w:p w14:paraId="39C73918" w14:textId="55AFD4F4" w:rsidR="00475482" w:rsidRDefault="00475482" w:rsidP="005056A2">
      <w:pPr>
        <w:pStyle w:val="ListBullet"/>
      </w:pPr>
      <w:r>
        <w:t>Maximising the overall public benefit from using the spectrum (</w:t>
      </w:r>
      <w:r w:rsidR="00814811">
        <w:t>o</w:t>
      </w:r>
      <w:r>
        <w:t>bject</w:t>
      </w:r>
      <w:r w:rsidR="00814811">
        <w:t xml:space="preserve"> 3(a) of the </w:t>
      </w:r>
      <w:r w:rsidR="00814811" w:rsidRPr="00814811">
        <w:rPr>
          <w:i/>
          <w:iCs/>
        </w:rPr>
        <w:t>Radiocommunications Act 1992</w:t>
      </w:r>
      <w:r>
        <w:t>)</w:t>
      </w:r>
      <w:r w:rsidR="00C912EC">
        <w:t>.</w:t>
      </w:r>
    </w:p>
    <w:p w14:paraId="2AE61F8B" w14:textId="17D58E87" w:rsidR="00475482" w:rsidRDefault="00475482" w:rsidP="005056A2">
      <w:pPr>
        <w:pStyle w:val="ListBullet"/>
      </w:pPr>
      <w:r>
        <w:t>Provid</w:t>
      </w:r>
      <w:r w:rsidR="2407C128">
        <w:t>ing</w:t>
      </w:r>
      <w:r>
        <w:t xml:space="preserve"> a responsive and flexible approach to meeting the needs of spectrum users (</w:t>
      </w:r>
      <w:r w:rsidR="00814811">
        <w:t>object 3(c) of the Act)</w:t>
      </w:r>
      <w:r w:rsidR="00C912EC">
        <w:t xml:space="preserve">. </w:t>
      </w:r>
    </w:p>
    <w:p w14:paraId="5954D875" w14:textId="2B5DFA75" w:rsidR="00475482" w:rsidRDefault="00475482" w:rsidP="005056A2">
      <w:pPr>
        <w:pStyle w:val="ListBullet"/>
      </w:pPr>
      <w:r>
        <w:t>Encourag</w:t>
      </w:r>
      <w:r w:rsidR="62130E46">
        <w:t>ing</w:t>
      </w:r>
      <w:r>
        <w:t xml:space="preserve"> the use of efficient radiocommunications technologies so that a wide range of services of adequate quality can be provided (</w:t>
      </w:r>
      <w:r w:rsidR="00814811">
        <w:t>o</w:t>
      </w:r>
      <w:r>
        <w:t>bject</w:t>
      </w:r>
      <w:r w:rsidR="00814811">
        <w:t xml:space="preserve"> </w:t>
      </w:r>
      <w:r>
        <w:t>3</w:t>
      </w:r>
      <w:r w:rsidR="00814811">
        <w:t>(</w:t>
      </w:r>
      <w:r>
        <w:t>d</w:t>
      </w:r>
      <w:r w:rsidR="00814811">
        <w:t>) of the Act</w:t>
      </w:r>
      <w:r>
        <w:t>)</w:t>
      </w:r>
      <w:r w:rsidR="00C912EC">
        <w:t xml:space="preserve">. </w:t>
      </w:r>
    </w:p>
    <w:p w14:paraId="5457FEED" w14:textId="28CC2FB2" w:rsidR="00F02BCE" w:rsidRPr="001F7DED" w:rsidRDefault="00475482" w:rsidP="00F02BCE">
      <w:pPr>
        <w:pStyle w:val="ListBulletLast"/>
      </w:pPr>
      <w:r>
        <w:t>Support</w:t>
      </w:r>
      <w:r w:rsidR="7DFA015C">
        <w:t>ing</w:t>
      </w:r>
      <w:r w:rsidRPr="000C4950">
        <w:t xml:space="preserve"> the communications policy objectives of the Commonwealth Government (</w:t>
      </w:r>
      <w:r w:rsidR="00C6367D" w:rsidRPr="000C4950">
        <w:t>o</w:t>
      </w:r>
      <w:r w:rsidRPr="000C4950">
        <w:t>bjec</w:t>
      </w:r>
      <w:r w:rsidR="00C6367D" w:rsidRPr="000C4950">
        <w:t xml:space="preserve">t </w:t>
      </w:r>
      <w:r w:rsidRPr="000C4950">
        <w:t>3</w:t>
      </w:r>
      <w:r w:rsidR="00C6367D" w:rsidRPr="000C4950">
        <w:t>(</w:t>
      </w:r>
      <w:r w:rsidRPr="000C4950">
        <w:t>e)</w:t>
      </w:r>
      <w:r w:rsidR="00C6367D" w:rsidRPr="000C4950">
        <w:t xml:space="preserve"> of the Act</w:t>
      </w:r>
      <w:r w:rsidRPr="000C4950">
        <w:t>).</w:t>
      </w:r>
      <w:bookmarkEnd w:id="60"/>
    </w:p>
    <w:p w14:paraId="2C6B596C" w14:textId="73C6AB53" w:rsidR="0003220F" w:rsidRDefault="006865D7" w:rsidP="0003220F">
      <w:pPr>
        <w:pStyle w:val="Heading1"/>
      </w:pPr>
      <w:bookmarkStart w:id="62" w:name="_Toc46316365"/>
      <w:bookmarkStart w:id="63" w:name="_Hlk38014258"/>
      <w:r>
        <w:lastRenderedPageBreak/>
        <w:t>Replanning</w:t>
      </w:r>
      <w:r w:rsidR="0003220F" w:rsidRPr="001F7DED">
        <w:t xml:space="preserve"> options</w:t>
      </w:r>
      <w:bookmarkEnd w:id="62"/>
      <w:r w:rsidR="0003220F" w:rsidRPr="001F7DED">
        <w:t xml:space="preserve"> </w:t>
      </w:r>
    </w:p>
    <w:p w14:paraId="1C2FDC2C" w14:textId="0ADADCFE" w:rsidR="000311B3" w:rsidRDefault="000311B3" w:rsidP="00354AA7">
      <w:pPr>
        <w:pStyle w:val="Paragraphbeforelist"/>
      </w:pPr>
      <w:r>
        <w:t>In the 2019 discussion paper</w:t>
      </w:r>
      <w:r w:rsidR="0039122A">
        <w:t>,</w:t>
      </w:r>
      <w:r>
        <w:t xml:space="preserve"> the ACMA sought views on four possible approaches (scenarios) for future planning of the 2 GHz band:</w:t>
      </w:r>
    </w:p>
    <w:p w14:paraId="6D4D63FB" w14:textId="77777777" w:rsidR="000311B3" w:rsidRDefault="000311B3" w:rsidP="000311B3">
      <w:pPr>
        <w:pStyle w:val="Bulletlevel1"/>
      </w:pPr>
      <w:r>
        <w:t>optimised arrangements across the majority of the band for a single type of service or application</w:t>
      </w:r>
    </w:p>
    <w:p w14:paraId="4D019788" w14:textId="77777777" w:rsidR="000311B3" w:rsidRDefault="000311B3" w:rsidP="000311B3">
      <w:pPr>
        <w:pStyle w:val="Bulletlevel1"/>
      </w:pPr>
      <w:r>
        <w:t xml:space="preserve">supporting all services with dedicated exclusive spectrum </w:t>
      </w:r>
    </w:p>
    <w:p w14:paraId="511F2647" w14:textId="77777777" w:rsidR="000311B3" w:rsidRDefault="000311B3" w:rsidP="000311B3">
      <w:pPr>
        <w:pStyle w:val="Bulletlevel1"/>
      </w:pPr>
      <w:r>
        <w:t xml:space="preserve">geographical separation of services </w:t>
      </w:r>
    </w:p>
    <w:p w14:paraId="330C64E2" w14:textId="10FD8A96" w:rsidR="000311B3" w:rsidRDefault="0039122A" w:rsidP="0039122A">
      <w:pPr>
        <w:pStyle w:val="ListBulletLast"/>
      </w:pPr>
      <w:r>
        <w:t xml:space="preserve">a </w:t>
      </w:r>
      <w:r w:rsidR="000311B3">
        <w:t>combination or hybrid approach of the above</w:t>
      </w:r>
      <w:r>
        <w:t>.</w:t>
      </w:r>
      <w:r w:rsidR="000311B3">
        <w:t xml:space="preserve"> </w:t>
      </w:r>
    </w:p>
    <w:p w14:paraId="6ECD7F0C" w14:textId="3BB4B417" w:rsidR="000311B3" w:rsidRDefault="00B469F7" w:rsidP="0054213B">
      <w:pPr>
        <w:pStyle w:val="Paragraph"/>
      </w:pPr>
      <w:r>
        <w:t>Respondents to the consultation provided</w:t>
      </w:r>
      <w:r w:rsidR="000311B3">
        <w:t xml:space="preserve"> </w:t>
      </w:r>
      <w:r w:rsidR="00AD4072">
        <w:t>no</w:t>
      </w:r>
      <w:r w:rsidR="000311B3">
        <w:t xml:space="preserve"> support for the scenario of supporting all services with dedicated spectrum. </w:t>
      </w:r>
      <w:r w:rsidR="00A159C6">
        <w:t>The claimed quantity</w:t>
      </w:r>
      <w:r w:rsidR="000311B3">
        <w:t xml:space="preserve"> of spectrum require</w:t>
      </w:r>
      <w:r w:rsidR="00A159C6">
        <w:t xml:space="preserve">d by respondents for </w:t>
      </w:r>
      <w:r w:rsidR="000311B3">
        <w:t xml:space="preserve">each </w:t>
      </w:r>
      <w:r w:rsidR="006234CF">
        <w:t>of</w:t>
      </w:r>
      <w:r w:rsidR="000311B3">
        <w:t xml:space="preserve"> the services under consideration </w:t>
      </w:r>
      <w:r w:rsidR="003B2102">
        <w:t xml:space="preserve">would </w:t>
      </w:r>
      <w:r w:rsidR="000311B3">
        <w:t>make segmentation challenging. With that understanding</w:t>
      </w:r>
      <w:r w:rsidR="00A94AAE">
        <w:t>, we have refined the options to focus on</w:t>
      </w:r>
      <w:r w:rsidR="000311B3">
        <w:t xml:space="preserve"> </w:t>
      </w:r>
      <w:r w:rsidR="00171083">
        <w:t>three</w:t>
      </w:r>
      <w:r w:rsidR="000311B3">
        <w:t xml:space="preserve"> options</w:t>
      </w:r>
      <w:r w:rsidR="005B6A27">
        <w:t>, each</w:t>
      </w:r>
      <w:r w:rsidR="000311B3">
        <w:t xml:space="preserve"> </w:t>
      </w:r>
      <w:r w:rsidR="00A94AAE">
        <w:t xml:space="preserve">differentiated by its </w:t>
      </w:r>
      <w:r w:rsidR="001B3B8F">
        <w:t xml:space="preserve">support for </w:t>
      </w:r>
      <w:r w:rsidR="000311B3">
        <w:t xml:space="preserve">a single service </w:t>
      </w:r>
      <w:r w:rsidR="005B6A27">
        <w:t>type</w:t>
      </w:r>
      <w:r w:rsidR="000311B3">
        <w:t xml:space="preserve"> (</w:t>
      </w:r>
      <w:r w:rsidR="007F6936">
        <w:t>TOB</w:t>
      </w:r>
      <w:r w:rsidR="000311B3">
        <w:t xml:space="preserve">, </w:t>
      </w:r>
      <w:r w:rsidR="00CC3ACF">
        <w:t xml:space="preserve">wireless broadband </w:t>
      </w:r>
      <w:r w:rsidR="000311B3">
        <w:t xml:space="preserve">or </w:t>
      </w:r>
      <w:r w:rsidR="007F6936">
        <w:t>MSS</w:t>
      </w:r>
      <w:r w:rsidR="000311B3">
        <w:t xml:space="preserve">). </w:t>
      </w:r>
    </w:p>
    <w:p w14:paraId="634676E1" w14:textId="543C5A6B" w:rsidR="000311B3" w:rsidRDefault="000311B3" w:rsidP="000311B3">
      <w:pPr>
        <w:pStyle w:val="CommentText"/>
        <w:spacing w:after="0"/>
        <w:ind w:left="-3"/>
      </w:pPr>
      <w:r>
        <w:t xml:space="preserve">Even within these options there </w:t>
      </w:r>
      <w:r w:rsidR="00A73606">
        <w:t xml:space="preserve">is </w:t>
      </w:r>
      <w:r>
        <w:t xml:space="preserve">a degree of optionality and the </w:t>
      </w:r>
      <w:r>
        <w:rPr>
          <w:rFonts w:cs="Arial"/>
          <w:bCs/>
          <w:color w:val="000000" w:themeColor="text1"/>
        </w:rPr>
        <w:t xml:space="preserve">ACMA is seeking views on the </w:t>
      </w:r>
      <w:r w:rsidR="00A73606">
        <w:rPr>
          <w:rFonts w:cs="Arial"/>
          <w:bCs/>
          <w:color w:val="000000" w:themeColor="text1"/>
        </w:rPr>
        <w:t>quantity</w:t>
      </w:r>
      <w:r>
        <w:rPr>
          <w:rFonts w:cs="Arial"/>
          <w:bCs/>
          <w:color w:val="000000" w:themeColor="text1"/>
        </w:rPr>
        <w:t xml:space="preserve"> of spectrum </w:t>
      </w:r>
      <w:r w:rsidR="002714AB">
        <w:rPr>
          <w:rFonts w:cs="Arial"/>
          <w:bCs/>
          <w:color w:val="000000" w:themeColor="text1"/>
        </w:rPr>
        <w:t>required</w:t>
      </w:r>
      <w:r>
        <w:rPr>
          <w:rFonts w:cs="Arial"/>
          <w:bCs/>
          <w:color w:val="000000" w:themeColor="text1"/>
        </w:rPr>
        <w:t xml:space="preserve"> and boundaries between services. For simplicity</w:t>
      </w:r>
      <w:r w:rsidR="002714AB">
        <w:rPr>
          <w:rFonts w:cs="Arial"/>
          <w:bCs/>
          <w:color w:val="000000" w:themeColor="text1"/>
        </w:rPr>
        <w:t xml:space="preserve">, </w:t>
      </w:r>
      <w:r w:rsidR="002714AB">
        <w:t>frequencies are identified for each option</w:t>
      </w:r>
      <w:r>
        <w:rPr>
          <w:rFonts w:cs="Arial"/>
          <w:bCs/>
          <w:color w:val="000000" w:themeColor="text1"/>
        </w:rPr>
        <w:t xml:space="preserve"> to aid explanation and to </w:t>
      </w:r>
      <w:r>
        <w:t xml:space="preserve">illustrate possible implementation </w:t>
      </w:r>
      <w:r w:rsidR="002714AB">
        <w:t>parameters</w:t>
      </w:r>
      <w:r>
        <w:t>.</w:t>
      </w:r>
    </w:p>
    <w:p w14:paraId="214B6F94" w14:textId="77777777" w:rsidR="000311B3" w:rsidRDefault="000311B3" w:rsidP="000311B3">
      <w:pPr>
        <w:pStyle w:val="CommentText"/>
        <w:spacing w:after="0"/>
        <w:ind w:left="-3"/>
      </w:pPr>
    </w:p>
    <w:p w14:paraId="6604526F" w14:textId="0BEE0DDC" w:rsidR="000311B3" w:rsidRDefault="000311B3" w:rsidP="001014AB">
      <w:pPr>
        <w:pStyle w:val="Paragraphbeforelist"/>
      </w:pPr>
      <w:r>
        <w:t>In summary</w:t>
      </w:r>
      <w:r w:rsidR="002E01A3">
        <w:t>,</w:t>
      </w:r>
      <w:r>
        <w:t xml:space="preserve"> the </w:t>
      </w:r>
      <w:r w:rsidR="00E43F7E">
        <w:t>three</w:t>
      </w:r>
      <w:r>
        <w:t xml:space="preserve"> options under consideration are:</w:t>
      </w:r>
    </w:p>
    <w:p w14:paraId="4EDB6C14" w14:textId="2FE8037C" w:rsidR="000311B3" w:rsidRDefault="000311B3" w:rsidP="000311B3">
      <w:pPr>
        <w:pStyle w:val="ListBullet"/>
      </w:pPr>
      <w:r w:rsidRPr="00AB5C73">
        <w:rPr>
          <w:b/>
        </w:rPr>
        <w:t>Option 1:</w:t>
      </w:r>
      <w:r w:rsidR="002E01A3" w:rsidRPr="00AB5C73">
        <w:rPr>
          <w:b/>
        </w:rPr>
        <w:t xml:space="preserve"> Television outside broadcast</w:t>
      </w:r>
      <w:r w:rsidR="002E01A3">
        <w:t>—</w:t>
      </w:r>
      <w:r w:rsidR="00A85602">
        <w:t xml:space="preserve">convert interim arrangements for </w:t>
      </w:r>
      <w:r w:rsidR="007F6936">
        <w:t>TOB</w:t>
      </w:r>
      <w:r w:rsidR="00A85602">
        <w:t xml:space="preserve"> </w:t>
      </w:r>
      <w:r w:rsidR="00CA13BF">
        <w:t>into an</w:t>
      </w:r>
      <w:r w:rsidR="00A85602">
        <w:t xml:space="preserve"> ongoing arrangement</w:t>
      </w:r>
      <w:r w:rsidR="3F1D7090">
        <w:t>.</w:t>
      </w:r>
    </w:p>
    <w:p w14:paraId="52CE097D" w14:textId="44437918" w:rsidR="000311B3" w:rsidRDefault="000311B3" w:rsidP="000311B3">
      <w:pPr>
        <w:pStyle w:val="ListBullet"/>
      </w:pPr>
      <w:r w:rsidRPr="00AB5C73">
        <w:rPr>
          <w:b/>
        </w:rPr>
        <w:t>Option 2: Wireless broadband</w:t>
      </w:r>
      <w:r w:rsidR="00772CD3">
        <w:t>—</w:t>
      </w:r>
      <w:r>
        <w:t xml:space="preserve">introduction of wireless broadband services via both spectrum and apparatus licensing. </w:t>
      </w:r>
      <w:r w:rsidRPr="006E437B">
        <w:t xml:space="preserve">No support for </w:t>
      </w:r>
      <w:r w:rsidR="007F6936">
        <w:t>TOB</w:t>
      </w:r>
      <w:r w:rsidR="002714AB">
        <w:t xml:space="preserve"> services</w:t>
      </w:r>
      <w:r w:rsidR="1EC32FE8">
        <w:t>.</w:t>
      </w:r>
    </w:p>
    <w:p w14:paraId="454EF287" w14:textId="678A7777" w:rsidR="000311B3" w:rsidRDefault="000311B3" w:rsidP="006E437B">
      <w:pPr>
        <w:pStyle w:val="ListBulletLast"/>
      </w:pPr>
      <w:r w:rsidRPr="00AB5C73">
        <w:rPr>
          <w:b/>
        </w:rPr>
        <w:t>Option 3: Mobile</w:t>
      </w:r>
      <w:r w:rsidR="00376373" w:rsidRPr="00AB5C73">
        <w:rPr>
          <w:b/>
        </w:rPr>
        <w:t>-</w:t>
      </w:r>
      <w:r w:rsidRPr="00AB5C73">
        <w:rPr>
          <w:b/>
        </w:rPr>
        <w:t>satellite services</w:t>
      </w:r>
      <w:r w:rsidR="00772CD3">
        <w:t>—</w:t>
      </w:r>
      <w:r>
        <w:t xml:space="preserve">introduction of </w:t>
      </w:r>
      <w:r w:rsidR="007F6936">
        <w:t>MSS</w:t>
      </w:r>
      <w:r>
        <w:t xml:space="preserve">. </w:t>
      </w:r>
      <w:r w:rsidRPr="006E437B">
        <w:t xml:space="preserve">No support for </w:t>
      </w:r>
      <w:r w:rsidR="007F6936">
        <w:t>TOB</w:t>
      </w:r>
      <w:r w:rsidR="00772CD3">
        <w:t>.</w:t>
      </w:r>
      <w:r w:rsidRPr="006E437B">
        <w:t xml:space="preserve"> </w:t>
      </w:r>
    </w:p>
    <w:p w14:paraId="544F8EF8" w14:textId="29075DE1" w:rsidR="000D0E72" w:rsidRPr="001F7DED" w:rsidRDefault="0099206A" w:rsidP="006E437B">
      <w:pPr>
        <w:pStyle w:val="Paragraph"/>
      </w:pPr>
      <w:r>
        <w:t>T</w:t>
      </w:r>
      <w:r w:rsidR="007A694F">
        <w:t>he table at the end of this chapter</w:t>
      </w:r>
      <w:r>
        <w:t xml:space="preserve"> provides a summary of options for comparison.</w:t>
      </w:r>
    </w:p>
    <w:p w14:paraId="7E3156D4" w14:textId="77777777" w:rsidR="004020C8" w:rsidRPr="00F2242C" w:rsidRDefault="004020C8" w:rsidP="001014AB">
      <w:pPr>
        <w:pStyle w:val="Paragraphbeforelist"/>
      </w:pPr>
      <w:r w:rsidRPr="00F2242C">
        <w:t xml:space="preserve">When reading this section, </w:t>
      </w:r>
      <w:r>
        <w:t>note</w:t>
      </w:r>
      <w:r w:rsidRPr="00F2242C">
        <w:t xml:space="preserve"> that: </w:t>
      </w:r>
    </w:p>
    <w:p w14:paraId="45DD095D" w14:textId="37A3BC02" w:rsidR="004020C8" w:rsidRDefault="005F0DB9" w:rsidP="00696EFB">
      <w:pPr>
        <w:pStyle w:val="ListBullet"/>
        <w:keepLines/>
      </w:pPr>
      <w:r>
        <w:t>T</w:t>
      </w:r>
      <w:r w:rsidR="004020C8" w:rsidRPr="000870D9">
        <w:t xml:space="preserve">he </w:t>
      </w:r>
      <w:r w:rsidR="004020C8">
        <w:t xml:space="preserve">geographic area </w:t>
      </w:r>
      <w:r w:rsidR="004020C8" w:rsidRPr="000870D9">
        <w:t>term</w:t>
      </w:r>
      <w:r w:rsidR="004020C8">
        <w:t>s</w:t>
      </w:r>
      <w:r w:rsidR="004020C8" w:rsidRPr="000870D9">
        <w:t xml:space="preserve"> ‘metro centres’, ‘regional areas’ and ‘remote areas’ are defined in</w:t>
      </w:r>
      <w:r w:rsidR="00C912EC">
        <w:t xml:space="preserve"> </w:t>
      </w:r>
      <w:hyperlink w:anchor="_Appendix_F:_Geographical" w:history="1">
        <w:r w:rsidR="00C912EC" w:rsidRPr="00C912EC">
          <w:rPr>
            <w:rStyle w:val="Hyperlink"/>
          </w:rPr>
          <w:t>Appendix F: Geographical area descriptions</w:t>
        </w:r>
      </w:hyperlink>
      <w:r w:rsidR="004020C8" w:rsidRPr="000870D9">
        <w:t xml:space="preserve">. </w:t>
      </w:r>
      <w:r w:rsidR="004020C8" w:rsidRPr="0034359A">
        <w:t xml:space="preserve">These definitions </w:t>
      </w:r>
      <w:r w:rsidR="18B68BCD" w:rsidRPr="0034359A">
        <w:t>are the same as</w:t>
      </w:r>
      <w:r w:rsidR="004020C8" w:rsidRPr="0034359A">
        <w:t xml:space="preserve"> in the </w:t>
      </w:r>
      <w:hyperlink r:id="rId46" w:history="1">
        <w:r w:rsidR="004020C8" w:rsidRPr="00A26AA4">
          <w:rPr>
            <w:rStyle w:val="Hyperlink"/>
          </w:rPr>
          <w:t>2 GHz</w:t>
        </w:r>
        <w:r w:rsidR="0034359A" w:rsidRPr="00A26AA4">
          <w:rPr>
            <w:rStyle w:val="Hyperlink"/>
          </w:rPr>
          <w:t xml:space="preserve"> spectrum licensing</w:t>
        </w:r>
        <w:r w:rsidR="004020C8" w:rsidRPr="00A26AA4">
          <w:rPr>
            <w:rStyle w:val="Hyperlink"/>
          </w:rPr>
          <w:t xml:space="preserve"> band</w:t>
        </w:r>
      </w:hyperlink>
      <w:r w:rsidR="004020C8" w:rsidRPr="0034359A">
        <w:t xml:space="preserve"> and while indicative of the ACMA’s thinking, may vary as a result of information provided in submissions to this paper</w:t>
      </w:r>
      <w:r w:rsidR="00A55736" w:rsidRPr="0034359A">
        <w:t>.</w:t>
      </w:r>
    </w:p>
    <w:p w14:paraId="4BBD027C" w14:textId="37D83B45" w:rsidR="004020C8" w:rsidRDefault="005F0DB9" w:rsidP="00696EFB">
      <w:pPr>
        <w:pStyle w:val="ListBullet"/>
        <w:keepLines/>
      </w:pPr>
      <w:r>
        <w:t>B</w:t>
      </w:r>
      <w:r w:rsidR="004020C8">
        <w:t xml:space="preserve">reakpoints between frequency segments are indicative only. </w:t>
      </w:r>
      <w:r w:rsidR="00AB5C73">
        <w:t>The a</w:t>
      </w:r>
      <w:r w:rsidR="004020C8">
        <w:t>ppropriate values for any option depend upon several factors including feedback to this paper, the demand for specific applications</w:t>
      </w:r>
      <w:r w:rsidR="7E664CE3">
        <w:t>,</w:t>
      </w:r>
      <w:r w:rsidR="004020C8">
        <w:t xml:space="preserve"> and service compatibility</w:t>
      </w:r>
      <w:r w:rsidR="1B2B3907">
        <w:t>,</w:t>
      </w:r>
      <w:r w:rsidR="004020C8">
        <w:t xml:space="preserve"> such as with the adjacent</w:t>
      </w:r>
      <w:r w:rsidR="00AB5C73">
        <w:t>-</w:t>
      </w:r>
      <w:r w:rsidR="004020C8">
        <w:t xml:space="preserve">band </w:t>
      </w:r>
      <w:r w:rsidR="007F6936">
        <w:t>TOB</w:t>
      </w:r>
      <w:r w:rsidR="004020C8">
        <w:t xml:space="preserve"> services</w:t>
      </w:r>
      <w:r w:rsidR="00A55736">
        <w:t>.</w:t>
      </w:r>
    </w:p>
    <w:p w14:paraId="6539B031" w14:textId="6935D226" w:rsidR="009E7A0A" w:rsidRDefault="005F0DB9" w:rsidP="008F5862">
      <w:pPr>
        <w:pStyle w:val="ListBullet"/>
        <w:keepLines/>
      </w:pPr>
      <w:r>
        <w:t>I</w:t>
      </w:r>
      <w:r w:rsidR="00B52D87">
        <w:t xml:space="preserve">n all options where a restricted </w:t>
      </w:r>
      <w:r w:rsidR="00C5234D">
        <w:t xml:space="preserve">band </w:t>
      </w:r>
      <w:r w:rsidR="00B52D87">
        <w:t>(guard band) is necessary to protect adjacent</w:t>
      </w:r>
      <w:r w:rsidR="00DD0D44">
        <w:t>-</w:t>
      </w:r>
      <w:r w:rsidR="00B52D87">
        <w:t>band services, use of the restricted band by low</w:t>
      </w:r>
      <w:r w:rsidR="00363EBF">
        <w:t>-</w:t>
      </w:r>
      <w:r w:rsidR="00B52D87">
        <w:t>powered, low</w:t>
      </w:r>
      <w:r w:rsidR="00363EBF">
        <w:t>-</w:t>
      </w:r>
      <w:r w:rsidR="00B52D87">
        <w:t>duty</w:t>
      </w:r>
      <w:r w:rsidR="00363EBF">
        <w:t>-</w:t>
      </w:r>
      <w:r w:rsidR="00B52D87">
        <w:t>cycle satellite IoT service</w:t>
      </w:r>
      <w:r w:rsidR="00363EBF">
        <w:t>s</w:t>
      </w:r>
      <w:r w:rsidR="00B52D87">
        <w:t xml:space="preserve"> is proposed</w:t>
      </w:r>
      <w:r w:rsidR="000D3EB5">
        <w:t>,</w:t>
      </w:r>
      <w:r w:rsidR="00B52D87">
        <w:t xml:space="preserve"> subject to development of appropriate requirements to protect adjacent band service</w:t>
      </w:r>
      <w:r w:rsidR="0082329C">
        <w:t>s</w:t>
      </w:r>
      <w:r w:rsidR="008F5862">
        <w:t xml:space="preserve">. </w:t>
      </w:r>
      <w:r w:rsidR="00A55736">
        <w:t>T</w:t>
      </w:r>
      <w:r w:rsidR="00FB292E">
        <w:t>his</w:t>
      </w:r>
      <w:r w:rsidR="00A902AC">
        <w:t xml:space="preserve"> </w:t>
      </w:r>
      <w:r w:rsidR="001E026C">
        <w:t xml:space="preserve">would </w:t>
      </w:r>
      <w:r w:rsidR="00E41318">
        <w:t>enable more efficient use of the band</w:t>
      </w:r>
      <w:r w:rsidR="00CD2AFA">
        <w:t xml:space="preserve"> </w:t>
      </w:r>
      <w:r w:rsidR="00A90F4E">
        <w:t>and assist in meeting</w:t>
      </w:r>
      <w:r w:rsidR="00FF6AE8">
        <w:t xml:space="preserve"> </w:t>
      </w:r>
      <w:r w:rsidR="00A90F4E">
        <w:t xml:space="preserve">demand for </w:t>
      </w:r>
      <w:r w:rsidR="00CD69F1">
        <w:t>satellite IoT spectrum</w:t>
      </w:r>
      <w:r w:rsidR="00C912EC">
        <w:t>,</w:t>
      </w:r>
      <w:r w:rsidR="002204DC">
        <w:rPr>
          <w:rStyle w:val="FootnoteReference"/>
        </w:rPr>
        <w:footnoteReference w:id="21"/>
      </w:r>
      <w:r w:rsidR="007851EF">
        <w:t xml:space="preserve"> regardless of which replanning option is eventually selected</w:t>
      </w:r>
      <w:r w:rsidR="00A55736">
        <w:t>.</w:t>
      </w:r>
      <w:r w:rsidR="007851EF">
        <w:t xml:space="preserve"> </w:t>
      </w:r>
    </w:p>
    <w:p w14:paraId="30BFD1AD" w14:textId="59E1BED5" w:rsidR="004020C8" w:rsidRDefault="00A55736" w:rsidP="00696EFB">
      <w:pPr>
        <w:pStyle w:val="ListBullet"/>
        <w:keepLines/>
      </w:pPr>
      <w:r>
        <w:lastRenderedPageBreak/>
        <w:t>E</w:t>
      </w:r>
      <w:r w:rsidR="004020C8">
        <w:t xml:space="preserve">xisting arrangements to </w:t>
      </w:r>
      <w:r w:rsidR="004020C8" w:rsidRPr="00682165">
        <w:t xml:space="preserve">protect the Australian Radio Quiet Zone Western Australia </w:t>
      </w:r>
      <w:r w:rsidR="004020C8">
        <w:t>will be maintained</w:t>
      </w:r>
      <w:r w:rsidR="0069056A">
        <w:t xml:space="preserve">. </w:t>
      </w:r>
      <w:r w:rsidR="00EE538E">
        <w:t>Where required</w:t>
      </w:r>
      <w:r w:rsidR="00D609E0">
        <w:t>,</w:t>
      </w:r>
      <w:r w:rsidR="00EE538E">
        <w:t xml:space="preserve"> r</w:t>
      </w:r>
      <w:r w:rsidR="0069056A">
        <w:t xml:space="preserve">eferences to those protection requirements will be included in documents </w:t>
      </w:r>
      <w:r w:rsidR="00EE538E">
        <w:t xml:space="preserve">developed to </w:t>
      </w:r>
      <w:r w:rsidR="0069056A">
        <w:t>implement</w:t>
      </w:r>
      <w:r w:rsidR="00EE538E">
        <w:t xml:space="preserve"> the outcomes of </w:t>
      </w:r>
      <w:r w:rsidR="70D82563">
        <w:t xml:space="preserve">the </w:t>
      </w:r>
      <w:r w:rsidR="00EE538E">
        <w:t>2 GHz process.</w:t>
      </w:r>
    </w:p>
    <w:p w14:paraId="2EAE9331" w14:textId="6418C425" w:rsidR="009B0BA7" w:rsidRDefault="5BEE95E3" w:rsidP="00AB233B">
      <w:pPr>
        <w:pStyle w:val="ListBullet"/>
        <w:keepLines/>
      </w:pPr>
      <w:r>
        <w:t>E</w:t>
      </w:r>
      <w:r w:rsidR="00101275">
        <w:t>xisting arrangements for</w:t>
      </w:r>
      <w:r w:rsidR="00907F42">
        <w:t xml:space="preserve"> </w:t>
      </w:r>
      <w:r w:rsidR="00F70159">
        <w:t xml:space="preserve">radiodetermination </w:t>
      </w:r>
      <w:r w:rsidR="00921C4B">
        <w:t>transmitters</w:t>
      </w:r>
      <w:r w:rsidR="00FC6E61">
        <w:t xml:space="preserve"> </w:t>
      </w:r>
      <w:r w:rsidR="00101275">
        <w:t xml:space="preserve">detailed in the </w:t>
      </w:r>
      <w:hyperlink r:id="rId47">
        <w:r w:rsidR="00101275" w:rsidRPr="24D09117">
          <w:rPr>
            <w:rStyle w:val="Hyperlink"/>
          </w:rPr>
          <w:t>Radiocommunications (Low Interference Potential Devices) Class Licence 2015</w:t>
        </w:r>
      </w:hyperlink>
      <w:r w:rsidR="00101275">
        <w:t xml:space="preserve"> (the LIPD</w:t>
      </w:r>
      <w:r w:rsidR="00C911FD">
        <w:t xml:space="preserve"> Class Licence</w:t>
      </w:r>
      <w:r w:rsidR="00101275">
        <w:t>)</w:t>
      </w:r>
      <w:r w:rsidR="0989DE00">
        <w:t xml:space="preserve"> will be preserved</w:t>
      </w:r>
      <w:r w:rsidR="00101275">
        <w:t>.</w:t>
      </w:r>
    </w:p>
    <w:p w14:paraId="2E3F8169" w14:textId="2529AD70" w:rsidR="0099206A" w:rsidRPr="00AB5C73" w:rsidRDefault="004020C8" w:rsidP="009D024D">
      <w:pPr>
        <w:pStyle w:val="ListBullet"/>
        <w:rPr>
          <w:color w:val="000000" w:themeColor="text1"/>
        </w:rPr>
      </w:pPr>
      <w:r>
        <w:t xml:space="preserve">We consider that </w:t>
      </w:r>
      <w:r w:rsidRPr="002849AF">
        <w:t xml:space="preserve">the small number of </w:t>
      </w:r>
      <w:r>
        <w:t>legacy</w:t>
      </w:r>
      <w:r w:rsidRPr="002849AF">
        <w:t xml:space="preserve"> fixed point-to-point links in regional and remote areas </w:t>
      </w:r>
      <w:r w:rsidR="00BC5626">
        <w:t xml:space="preserve">should </w:t>
      </w:r>
      <w:r>
        <w:t xml:space="preserve">not impact deployment of services under any of the options presented in </w:t>
      </w:r>
      <w:r w:rsidR="333388B3">
        <w:t>this</w:t>
      </w:r>
      <w:r>
        <w:t xml:space="preserve"> paper and that</w:t>
      </w:r>
      <w:r w:rsidRPr="002849AF">
        <w:t xml:space="preserve"> there is no compelling case for the clearance of these links. </w:t>
      </w:r>
      <w:r>
        <w:t xml:space="preserve">Hence in </w:t>
      </w:r>
      <w:r w:rsidRPr="002849AF">
        <w:t xml:space="preserve">all options presented, </w:t>
      </w:r>
      <w:r w:rsidR="000B493E">
        <w:t>options to preserve</w:t>
      </w:r>
      <w:r w:rsidRPr="002849AF">
        <w:t xml:space="preserve"> </w:t>
      </w:r>
      <w:r>
        <w:t>existing fixed point</w:t>
      </w:r>
      <w:r w:rsidR="00210298">
        <w:t>-</w:t>
      </w:r>
      <w:r>
        <w:t>to</w:t>
      </w:r>
      <w:r w:rsidR="00210298">
        <w:t>-</w:t>
      </w:r>
      <w:r>
        <w:t>point link</w:t>
      </w:r>
      <w:r w:rsidR="00210298">
        <w:t>s</w:t>
      </w:r>
      <w:r>
        <w:t xml:space="preserve"> (</w:t>
      </w:r>
      <w:r w:rsidRPr="002849AF">
        <w:t>which</w:t>
      </w:r>
      <w:r>
        <w:t xml:space="preserve"> are all in </w:t>
      </w:r>
      <w:r w:rsidRPr="002849AF">
        <w:t>remote areas</w:t>
      </w:r>
      <w:r>
        <w:t>)</w:t>
      </w:r>
      <w:r w:rsidRPr="002849AF">
        <w:t xml:space="preserve"> </w:t>
      </w:r>
      <w:r w:rsidR="000B493E">
        <w:t>are explored</w:t>
      </w:r>
      <w:r>
        <w:t xml:space="preserve">. </w:t>
      </w:r>
      <w:r w:rsidRPr="002849AF">
        <w:t xml:space="preserve">As is the case now, no new links </w:t>
      </w:r>
      <w:r w:rsidR="00900A65">
        <w:t>would</w:t>
      </w:r>
      <w:r w:rsidR="00900A65" w:rsidRPr="002849AF">
        <w:t xml:space="preserve"> </w:t>
      </w:r>
      <w:r w:rsidRPr="002849AF">
        <w:t>be supported</w:t>
      </w:r>
      <w:r w:rsidR="00532A1F">
        <w:t>.</w:t>
      </w:r>
      <w:r w:rsidRPr="24D09117">
        <w:rPr>
          <w:rStyle w:val="FootnoteReference"/>
          <w:color w:val="000000" w:themeColor="text1"/>
        </w:rPr>
        <w:footnoteReference w:id="22"/>
      </w:r>
    </w:p>
    <w:p w14:paraId="6BBACE48" w14:textId="0846FBFC" w:rsidR="009D024D" w:rsidRPr="00AB5C73" w:rsidRDefault="009D024D" w:rsidP="009D024D">
      <w:pPr>
        <w:pStyle w:val="ListBulletLast"/>
        <w:rPr>
          <w:color w:val="000000" w:themeColor="text1"/>
        </w:rPr>
      </w:pPr>
      <w:r w:rsidRPr="24D09117">
        <w:rPr>
          <w:color w:val="000000" w:themeColor="text1"/>
        </w:rPr>
        <w:t xml:space="preserve">Relevant technical coexistence considerations are analysed at </w:t>
      </w:r>
      <w:hyperlink w:anchor="_Appendix_C:_Technical" w:history="1">
        <w:r w:rsidRPr="00C912EC">
          <w:rPr>
            <w:rStyle w:val="Hyperlink"/>
          </w:rPr>
          <w:t>Appendix C: Technical issues</w:t>
        </w:r>
      </w:hyperlink>
      <w:r w:rsidRPr="24D09117">
        <w:rPr>
          <w:color w:val="000000" w:themeColor="text1"/>
        </w:rPr>
        <w:t>.</w:t>
      </w:r>
    </w:p>
    <w:p w14:paraId="6E9E2B57" w14:textId="7F2A18CE" w:rsidR="00A21B29" w:rsidRPr="001F7DED" w:rsidRDefault="00A21B29" w:rsidP="00A21B29">
      <w:pPr>
        <w:pStyle w:val="Heading2"/>
      </w:pPr>
      <w:bookmarkStart w:id="64" w:name="_Toc46316366"/>
      <w:bookmarkEnd w:id="63"/>
      <w:r>
        <w:t>Option 1</w:t>
      </w:r>
      <w:r w:rsidRPr="001F7DED">
        <w:t xml:space="preserve">: </w:t>
      </w:r>
      <w:r>
        <w:t>T</w:t>
      </w:r>
      <w:r w:rsidR="006E437B">
        <w:t>elevision outside broadcast</w:t>
      </w:r>
      <w:bookmarkEnd w:id="64"/>
      <w:r>
        <w:t xml:space="preserve"> </w:t>
      </w:r>
    </w:p>
    <w:p w14:paraId="1645B32F" w14:textId="3D05EAB5" w:rsidR="005E71B6" w:rsidRDefault="005E71B6" w:rsidP="005E71B6">
      <w:pPr>
        <w:pStyle w:val="Paragraph"/>
      </w:pPr>
      <w:r>
        <w:t>This option maintain</w:t>
      </w:r>
      <w:r w:rsidR="00B8175C">
        <w:t>s</w:t>
      </w:r>
      <w:r>
        <w:t xml:space="preserve"> access to </w:t>
      </w:r>
      <w:r w:rsidR="0028325A">
        <w:t xml:space="preserve">the </w:t>
      </w:r>
      <w:r>
        <w:t xml:space="preserve">2 GHz band for TOB services with planning arrangements revised to remove </w:t>
      </w:r>
      <w:r w:rsidR="00900A65">
        <w:t xml:space="preserve">the </w:t>
      </w:r>
      <w:r>
        <w:t>caveat about interim TOB access.</w:t>
      </w:r>
    </w:p>
    <w:p w14:paraId="0AF7BFDC" w14:textId="76A50D39" w:rsidR="005E71B6" w:rsidRDefault="005E71B6" w:rsidP="005E71B6">
      <w:pPr>
        <w:pStyle w:val="Paragraph"/>
      </w:pPr>
      <w:r w:rsidRPr="001F7DED">
        <w:t xml:space="preserve">The current restricted band </w:t>
      </w:r>
      <w:r>
        <w:t>(1980</w:t>
      </w:r>
      <w:r w:rsidR="0042623E">
        <w:t>–</w:t>
      </w:r>
      <w:r>
        <w:t>1985</w:t>
      </w:r>
      <w:r w:rsidR="0042623E">
        <w:t xml:space="preserve"> MHz and </w:t>
      </w:r>
      <w:r>
        <w:t>2170</w:t>
      </w:r>
      <w:r w:rsidR="0042623E">
        <w:t>–</w:t>
      </w:r>
      <w:r>
        <w:t xml:space="preserve">2175 MHz) </w:t>
      </w:r>
      <w:r w:rsidR="007168D0">
        <w:t xml:space="preserve">necessary for coexistence </w:t>
      </w:r>
      <w:r w:rsidRPr="001F7DED">
        <w:t xml:space="preserve">between TOB and adjacent band </w:t>
      </w:r>
      <w:r w:rsidR="007F6936">
        <w:t>wireless broadband</w:t>
      </w:r>
      <w:r w:rsidRPr="001F7DED">
        <w:t xml:space="preserve"> (2 GHz spectrum licensing) </w:t>
      </w:r>
      <w:r>
        <w:t xml:space="preserve">would be considered </w:t>
      </w:r>
      <w:r w:rsidRPr="001F7DED">
        <w:t>for use by Australia-wide satellite IoT applications on a shared basis exploiting the low</w:t>
      </w:r>
      <w:r>
        <w:t>-</w:t>
      </w:r>
      <w:r w:rsidRPr="001F7DED">
        <w:t>duty</w:t>
      </w:r>
      <w:r>
        <w:t>-</w:t>
      </w:r>
      <w:r w:rsidRPr="001F7DED">
        <w:t>cycle</w:t>
      </w:r>
      <w:r>
        <w:t>,</w:t>
      </w:r>
      <w:r w:rsidRPr="001F7DED">
        <w:t xml:space="preserve"> low</w:t>
      </w:r>
      <w:r>
        <w:t>-</w:t>
      </w:r>
      <w:r w:rsidRPr="001F7DED">
        <w:t>power nature of such systems.</w:t>
      </w:r>
    </w:p>
    <w:p w14:paraId="272FAAAA" w14:textId="50CBE587" w:rsidR="000405C4" w:rsidRPr="001F7DED" w:rsidRDefault="000405C4" w:rsidP="000405C4">
      <w:pPr>
        <w:pStyle w:val="ACMAFigureHeader"/>
        <w:keepNext/>
      </w:pPr>
      <w:r>
        <w:rPr>
          <w:rFonts w:cs="Arial"/>
        </w:rPr>
        <w:t xml:space="preserve">Illustration of </w:t>
      </w:r>
      <w:r w:rsidR="00C912EC">
        <w:rPr>
          <w:rFonts w:cs="Arial"/>
        </w:rPr>
        <w:t>O</w:t>
      </w:r>
      <w:r>
        <w:rPr>
          <w:rFonts w:cs="Arial"/>
        </w:rPr>
        <w:t>ption 1</w:t>
      </w:r>
      <w:r w:rsidRPr="002C7ADD">
        <w:rPr>
          <w:rStyle w:val="FootnoteReference"/>
          <w:rFonts w:cs="Arial"/>
          <w:vertAlign w:val="baseline"/>
        </w:rPr>
        <w:t xml:space="preserve"> </w:t>
      </w:r>
    </w:p>
    <w:p w14:paraId="443B82A5" w14:textId="6AB30676" w:rsidR="00A21B29" w:rsidRPr="001F7DED" w:rsidRDefault="00E4140C" w:rsidP="005B11B6">
      <w:pPr>
        <w:pStyle w:val="CommentText"/>
        <w:spacing w:before="240"/>
        <w:rPr>
          <w:rFonts w:cs="Arial"/>
          <w:bCs/>
          <w:color w:val="000000" w:themeColor="text1"/>
          <w:sz w:val="22"/>
          <w:szCs w:val="22"/>
        </w:rPr>
      </w:pPr>
      <w:r w:rsidRPr="00E4140C">
        <w:rPr>
          <w:noProof/>
        </w:rPr>
        <w:drawing>
          <wp:inline distT="0" distB="0" distL="0" distR="0" wp14:anchorId="7617ECED" wp14:editId="748BD4B6">
            <wp:extent cx="6100897" cy="1206500"/>
            <wp:effectExtent l="0" t="0" r="0" b="0"/>
            <wp:docPr id="161" name="Picture 161" descr="Figure 2: Illustration of Option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02876" cy="1206891"/>
                    </a:xfrm>
                    <a:prstGeom prst="rect">
                      <a:avLst/>
                    </a:prstGeom>
                    <a:noFill/>
                    <a:ln>
                      <a:noFill/>
                    </a:ln>
                  </pic:spPr>
                </pic:pic>
              </a:graphicData>
            </a:graphic>
          </wp:inline>
        </w:drawing>
      </w:r>
    </w:p>
    <w:p w14:paraId="6C7B9D25" w14:textId="0F4DDD6C" w:rsidR="003F764A" w:rsidRDefault="003F764A" w:rsidP="003F764A">
      <w:pPr>
        <w:pStyle w:val="ListBullet2"/>
        <w:numPr>
          <w:ilvl w:val="0"/>
          <w:numId w:val="0"/>
        </w:numPr>
        <w:rPr>
          <w:b/>
          <w:bCs/>
        </w:rPr>
      </w:pPr>
      <w:bookmarkStart w:id="65" w:name="_Hlk34030625"/>
      <w:r>
        <w:rPr>
          <w:b/>
          <w:bCs/>
        </w:rPr>
        <w:t>1985</w:t>
      </w:r>
      <w:r w:rsidR="00FF0A39">
        <w:rPr>
          <w:b/>
          <w:bCs/>
        </w:rPr>
        <w:t>–</w:t>
      </w:r>
      <w:r>
        <w:rPr>
          <w:b/>
          <w:bCs/>
        </w:rPr>
        <w:t>2010</w:t>
      </w:r>
      <w:r w:rsidR="00FF0A39">
        <w:rPr>
          <w:b/>
          <w:bCs/>
        </w:rPr>
        <w:t xml:space="preserve"> MHz and </w:t>
      </w:r>
      <w:r>
        <w:rPr>
          <w:b/>
          <w:bCs/>
        </w:rPr>
        <w:t>2175</w:t>
      </w:r>
      <w:r w:rsidR="00FF0A39">
        <w:rPr>
          <w:b/>
          <w:bCs/>
        </w:rPr>
        <w:t>–</w:t>
      </w:r>
      <w:r>
        <w:rPr>
          <w:b/>
          <w:bCs/>
        </w:rPr>
        <w:t xml:space="preserve">2200 </w:t>
      </w:r>
      <w:r w:rsidRPr="00AD3F5E">
        <w:rPr>
          <w:b/>
          <w:bCs/>
        </w:rPr>
        <w:t>MHz</w:t>
      </w:r>
      <w:r>
        <w:rPr>
          <w:b/>
          <w:bCs/>
        </w:rPr>
        <w:t xml:space="preserve"> (</w:t>
      </w:r>
      <w:r w:rsidR="007F6936">
        <w:rPr>
          <w:b/>
          <w:bCs/>
        </w:rPr>
        <w:t>TOB</w:t>
      </w:r>
      <w:r>
        <w:rPr>
          <w:b/>
          <w:bCs/>
        </w:rPr>
        <w:t>)</w:t>
      </w:r>
    </w:p>
    <w:p w14:paraId="6BD01249" w14:textId="3846865D" w:rsidR="003F764A" w:rsidRPr="005B11B6" w:rsidRDefault="003F764A" w:rsidP="005B11B6">
      <w:pPr>
        <w:pStyle w:val="Paragraphbeforelist"/>
      </w:pPr>
      <w:r w:rsidRPr="005B11B6">
        <w:t>Australia wide</w:t>
      </w:r>
      <w:r w:rsidR="00B93279">
        <w:t>:</w:t>
      </w:r>
    </w:p>
    <w:p w14:paraId="6BF73CF6" w14:textId="6D92AC5E" w:rsidR="003F764A" w:rsidDel="007168D0" w:rsidRDefault="003F764A" w:rsidP="003F764A">
      <w:pPr>
        <w:pStyle w:val="Bulletlevel1"/>
      </w:pPr>
      <w:r>
        <w:t>Retain existing access by TOB services.</w:t>
      </w:r>
    </w:p>
    <w:p w14:paraId="59F179C4" w14:textId="4E0863E6" w:rsidR="003A3FE1" w:rsidRDefault="003F764A" w:rsidP="007168D0">
      <w:pPr>
        <w:pStyle w:val="Bulletlevel1"/>
      </w:pPr>
      <w:r>
        <w:t>At a minimum this would require updating RALI FX 21. Whether changes are also required to the TOB band and embargo 23 would require further consideration.</w:t>
      </w:r>
    </w:p>
    <w:p w14:paraId="125AED4B" w14:textId="102C60DD" w:rsidR="003A3FE1" w:rsidRDefault="003A3FE1" w:rsidP="00D117F6">
      <w:pPr>
        <w:pStyle w:val="ListBullet2"/>
        <w:keepNext/>
        <w:numPr>
          <w:ilvl w:val="0"/>
          <w:numId w:val="0"/>
        </w:numPr>
        <w:rPr>
          <w:b/>
          <w:bCs/>
        </w:rPr>
      </w:pPr>
      <w:r>
        <w:rPr>
          <w:b/>
          <w:bCs/>
        </w:rPr>
        <w:t>1980</w:t>
      </w:r>
      <w:r w:rsidR="00FF0A39">
        <w:rPr>
          <w:b/>
          <w:bCs/>
        </w:rPr>
        <w:t>–</w:t>
      </w:r>
      <w:r>
        <w:rPr>
          <w:b/>
          <w:bCs/>
        </w:rPr>
        <w:t>1985</w:t>
      </w:r>
      <w:r w:rsidR="00FF0A39">
        <w:rPr>
          <w:b/>
          <w:bCs/>
        </w:rPr>
        <w:t xml:space="preserve"> MHz and </w:t>
      </w:r>
      <w:r>
        <w:rPr>
          <w:b/>
          <w:bCs/>
        </w:rPr>
        <w:t>2170</w:t>
      </w:r>
      <w:r w:rsidR="00FF0A39">
        <w:rPr>
          <w:b/>
          <w:bCs/>
        </w:rPr>
        <w:t>–</w:t>
      </w:r>
      <w:r>
        <w:rPr>
          <w:b/>
          <w:bCs/>
        </w:rPr>
        <w:t>2175</w:t>
      </w:r>
      <w:r w:rsidRPr="00AD3F5E">
        <w:rPr>
          <w:b/>
          <w:bCs/>
        </w:rPr>
        <w:t xml:space="preserve"> MHz</w:t>
      </w:r>
      <w:r>
        <w:rPr>
          <w:b/>
          <w:bCs/>
        </w:rPr>
        <w:t xml:space="preserve"> (</w:t>
      </w:r>
      <w:r w:rsidR="001B3028">
        <w:rPr>
          <w:b/>
          <w:bCs/>
        </w:rPr>
        <w:t>s</w:t>
      </w:r>
      <w:r>
        <w:rPr>
          <w:b/>
          <w:bCs/>
        </w:rPr>
        <w:t>atellite IoT)</w:t>
      </w:r>
    </w:p>
    <w:p w14:paraId="454E12B7" w14:textId="049D815E" w:rsidR="003A3FE1" w:rsidRPr="00532A1F" w:rsidRDefault="003A3FE1" w:rsidP="003A3FE1">
      <w:pPr>
        <w:pStyle w:val="ListBullet"/>
        <w:numPr>
          <w:ilvl w:val="0"/>
          <w:numId w:val="0"/>
        </w:numPr>
        <w:rPr>
          <w:i/>
        </w:rPr>
      </w:pPr>
      <w:r w:rsidRPr="005B11B6">
        <w:rPr>
          <w:iCs/>
        </w:rPr>
        <w:t>Australia</w:t>
      </w:r>
      <w:r w:rsidRPr="00532A1F">
        <w:rPr>
          <w:i/>
        </w:rPr>
        <w:t xml:space="preserve"> </w:t>
      </w:r>
      <w:r w:rsidRPr="005B11B6">
        <w:rPr>
          <w:iCs/>
        </w:rPr>
        <w:t>wide</w:t>
      </w:r>
      <w:r w:rsidR="00B93279">
        <w:rPr>
          <w:iCs/>
        </w:rPr>
        <w:t>:</w:t>
      </w:r>
    </w:p>
    <w:p w14:paraId="5F30C05C" w14:textId="4DD967C0" w:rsidR="003A3FE1" w:rsidRDefault="003A3FE1" w:rsidP="003A3FE1">
      <w:pPr>
        <w:pStyle w:val="ListBullet"/>
      </w:pPr>
      <w:r>
        <w:t>Low</w:t>
      </w:r>
      <w:r w:rsidR="002622E3">
        <w:t>-</w:t>
      </w:r>
      <w:r>
        <w:t>powered, low</w:t>
      </w:r>
      <w:r w:rsidR="002622E3">
        <w:t>-</w:t>
      </w:r>
      <w:r>
        <w:t>duty</w:t>
      </w:r>
      <w:r w:rsidR="0017028B">
        <w:t>-</w:t>
      </w:r>
      <w:r>
        <w:t>cycle satellite IoT service where parameters developed to ensure compatibility with adjacent band TOB services</w:t>
      </w:r>
      <w:r w:rsidR="5BC35518">
        <w:t>.</w:t>
      </w:r>
      <w:r>
        <w:t xml:space="preserve"> </w:t>
      </w:r>
    </w:p>
    <w:p w14:paraId="6C506701" w14:textId="77777777" w:rsidR="003A3FE1" w:rsidRDefault="003A3FE1" w:rsidP="003A3FE1">
      <w:pPr>
        <w:pStyle w:val="ListBullet"/>
      </w:pPr>
      <w:r>
        <w:t>Supported as a shared satellite IoT band under class licensing arrangements through inclusion in the Communications with Space Objects Class Licence with requirement for space/space receive apparatus licences.</w:t>
      </w:r>
    </w:p>
    <w:p w14:paraId="638C8C8B" w14:textId="29622A5E" w:rsidR="003A3FE1" w:rsidRDefault="003A3FE1" w:rsidP="003A3FE1">
      <w:pPr>
        <w:pStyle w:val="ListBullet"/>
      </w:pPr>
      <w:r>
        <w:lastRenderedPageBreak/>
        <w:t>No coordination requirements with other licensees in the band (that is</w:t>
      </w:r>
      <w:r w:rsidR="2582CC98">
        <w:t>,</w:t>
      </w:r>
      <w:r>
        <w:t xml:space="preserve"> licensees to self-coordinate)</w:t>
      </w:r>
      <w:r w:rsidR="725D1A07">
        <w:t>.</w:t>
      </w:r>
    </w:p>
    <w:p w14:paraId="21F8A204" w14:textId="127355DC" w:rsidR="003A3FE1" w:rsidRPr="00A21B29" w:rsidRDefault="003A3FE1" w:rsidP="0018058A">
      <w:pPr>
        <w:pStyle w:val="ListBulletLast"/>
        <w:rPr>
          <w:rStyle w:val="Hyperlink"/>
          <w:color w:val="auto"/>
          <w:u w:val="none"/>
        </w:rPr>
      </w:pPr>
      <w:r>
        <w:t xml:space="preserve">Minimal regulatory assessment of satellite filing to ensure proposed operation is consistent with ITU filing similar to those of ACMA procedures for </w:t>
      </w:r>
      <w:r w:rsidR="00532A1F">
        <w:t>s</w:t>
      </w:r>
      <w:r w:rsidRPr="0052504D">
        <w:t xml:space="preserve">ubmission and processing of applications for </w:t>
      </w:r>
      <w:hyperlink r:id="rId49">
        <w:r w:rsidRPr="24D09117">
          <w:rPr>
            <w:rStyle w:val="Hyperlink"/>
          </w:rPr>
          <w:t>space and space receive apparatus licences</w:t>
        </w:r>
        <w:r w:rsidR="631A17D5" w:rsidRPr="24D09117">
          <w:rPr>
            <w:rStyle w:val="Hyperlink"/>
          </w:rPr>
          <w:t>.</w:t>
        </w:r>
      </w:hyperlink>
    </w:p>
    <w:p w14:paraId="6218B51C" w14:textId="7C7073D7" w:rsidR="00A21B29" w:rsidRDefault="00A21B29" w:rsidP="00A21B29">
      <w:pPr>
        <w:pStyle w:val="Heading2"/>
      </w:pPr>
      <w:bookmarkStart w:id="66" w:name="_Toc38632775"/>
      <w:bookmarkStart w:id="67" w:name="_Toc46316367"/>
      <w:bookmarkEnd w:id="65"/>
      <w:r w:rsidRPr="001F7DED">
        <w:t xml:space="preserve">Option 2: </w:t>
      </w:r>
      <w:r>
        <w:t>Wireless broadband</w:t>
      </w:r>
      <w:bookmarkEnd w:id="66"/>
      <w:bookmarkEnd w:id="67"/>
    </w:p>
    <w:p w14:paraId="7A027AFA" w14:textId="3AFC5693" w:rsidR="005E71B6" w:rsidRDefault="005E71B6" w:rsidP="005E71B6">
      <w:pPr>
        <w:pStyle w:val="Paragraph"/>
      </w:pPr>
      <w:r w:rsidRPr="001F7DED">
        <w:t xml:space="preserve">This option </w:t>
      </w:r>
      <w:r w:rsidR="00AF420F">
        <w:t xml:space="preserve">is intended to accommodate </w:t>
      </w:r>
      <w:r w:rsidRPr="001F7DED">
        <w:t>new</w:t>
      </w:r>
      <w:r>
        <w:t xml:space="preserve"> </w:t>
      </w:r>
      <w:r w:rsidR="007F6936">
        <w:t>wireless broadband</w:t>
      </w:r>
      <w:r>
        <w:t xml:space="preserve"> </w:t>
      </w:r>
      <w:r w:rsidR="00AF420F">
        <w:t xml:space="preserve">uses </w:t>
      </w:r>
      <w:r>
        <w:t xml:space="preserve">(both </w:t>
      </w:r>
      <w:r w:rsidR="007F6936">
        <w:t>wide-area</w:t>
      </w:r>
      <w:r>
        <w:t xml:space="preserve"> and </w:t>
      </w:r>
      <w:r w:rsidR="007F6936">
        <w:t>local-area</w:t>
      </w:r>
      <w:r>
        <w:t xml:space="preserve">) including </w:t>
      </w:r>
      <w:r w:rsidR="007F6936">
        <w:t>direct air-to-ground communications</w:t>
      </w:r>
      <w:r>
        <w:t xml:space="preserve"> services</w:t>
      </w:r>
      <w:r w:rsidR="003B7566">
        <w:t xml:space="preserve">. It </w:t>
      </w:r>
      <w:r>
        <w:t xml:space="preserve">also provides </w:t>
      </w:r>
      <w:r w:rsidR="00B22B27">
        <w:t>that the restricted band (</w:t>
      </w:r>
      <w:r w:rsidR="001367D4">
        <w:t>2005</w:t>
      </w:r>
      <w:r w:rsidR="00B93279">
        <w:t>–</w:t>
      </w:r>
      <w:r w:rsidR="001367D4">
        <w:t>2</w:t>
      </w:r>
      <w:r w:rsidR="00690109">
        <w:t>0</w:t>
      </w:r>
      <w:r w:rsidR="001367D4">
        <w:t>10/2195</w:t>
      </w:r>
      <w:r w:rsidR="00B93279">
        <w:t>–</w:t>
      </w:r>
      <w:r w:rsidR="001367D4">
        <w:t>2200 MHz</w:t>
      </w:r>
      <w:r w:rsidR="00926F1E">
        <w:t>)</w:t>
      </w:r>
      <w:r w:rsidR="00B22B27">
        <w:t xml:space="preserve"> </w:t>
      </w:r>
      <w:r w:rsidR="2A26D0CD">
        <w:t>currently used</w:t>
      </w:r>
      <w:r w:rsidR="00B22B27">
        <w:t xml:space="preserve"> to protect adjacent</w:t>
      </w:r>
      <w:r w:rsidR="00EA0BB8">
        <w:t>-</w:t>
      </w:r>
      <w:r w:rsidR="00B22B27">
        <w:t xml:space="preserve">band TOB services </w:t>
      </w:r>
      <w:r w:rsidR="00B9413F">
        <w:t xml:space="preserve">be considered </w:t>
      </w:r>
      <w:r w:rsidR="00F62285">
        <w:t xml:space="preserve">for </w:t>
      </w:r>
      <w:r w:rsidR="00BF473E">
        <w:t xml:space="preserve">use </w:t>
      </w:r>
      <w:r w:rsidR="00CA62A2">
        <w:t xml:space="preserve">by </w:t>
      </w:r>
      <w:r w:rsidR="00BF473E">
        <w:t>Australia</w:t>
      </w:r>
      <w:r w:rsidR="004F75C2">
        <w:t>-</w:t>
      </w:r>
      <w:r w:rsidR="00BF473E">
        <w:t>wide</w:t>
      </w:r>
      <w:r w:rsidR="00CA62A2">
        <w:t xml:space="preserve"> satellite IoT systems </w:t>
      </w:r>
      <w:r w:rsidR="00CA62A2" w:rsidRPr="001F7DED">
        <w:t>on a shared basis exploiting the low</w:t>
      </w:r>
      <w:r w:rsidR="00CA62A2">
        <w:t>-</w:t>
      </w:r>
      <w:r w:rsidR="00CA62A2" w:rsidRPr="001F7DED">
        <w:t>duty</w:t>
      </w:r>
      <w:r w:rsidR="00CA62A2">
        <w:t>-</w:t>
      </w:r>
      <w:r w:rsidR="00CA62A2" w:rsidRPr="001F7DED">
        <w:t>cycle</w:t>
      </w:r>
      <w:r w:rsidR="00CA62A2">
        <w:t>,</w:t>
      </w:r>
      <w:r w:rsidR="00CA62A2" w:rsidRPr="001F7DED">
        <w:t xml:space="preserve"> low</w:t>
      </w:r>
      <w:r w:rsidR="00CA62A2">
        <w:t>-</w:t>
      </w:r>
      <w:r w:rsidR="00CA62A2" w:rsidRPr="001F7DED">
        <w:t>power nature of such systems</w:t>
      </w:r>
      <w:r w:rsidR="004F75C2">
        <w:t>,</w:t>
      </w:r>
      <w:r w:rsidR="00BF473E">
        <w:t xml:space="preserve"> subject to development of appropriate </w:t>
      </w:r>
      <w:r w:rsidR="7835AC5C">
        <w:t>alternative</w:t>
      </w:r>
      <w:r w:rsidR="00BF473E">
        <w:t xml:space="preserve"> requirements to protect </w:t>
      </w:r>
      <w:r w:rsidR="00B627A7">
        <w:t xml:space="preserve">adjacent </w:t>
      </w:r>
      <w:r w:rsidR="00BF473E">
        <w:t>TOB services</w:t>
      </w:r>
      <w:r w:rsidRPr="001F7DED">
        <w:t>.</w:t>
      </w:r>
      <w:r>
        <w:t xml:space="preserve"> Frequency arrangements have been chosen so that </w:t>
      </w:r>
      <w:r w:rsidR="007F6936">
        <w:t>wide-area</w:t>
      </w:r>
      <w:r w:rsidR="00B93279">
        <w:t> </w:t>
      </w:r>
      <w:r w:rsidR="007F6936">
        <w:t>wireless broadband</w:t>
      </w:r>
      <w:r>
        <w:t xml:space="preserve"> will be adjacent to the 2 GHz spectrum licensing band </w:t>
      </w:r>
      <w:r w:rsidR="00B93279">
        <w:br/>
      </w:r>
      <w:r>
        <w:t>(1920</w:t>
      </w:r>
      <w:r w:rsidR="00B93279">
        <w:t>–</w:t>
      </w:r>
      <w:r>
        <w:t>1980/2110</w:t>
      </w:r>
      <w:r w:rsidR="00B93279">
        <w:t>–</w:t>
      </w:r>
      <w:r>
        <w:t xml:space="preserve">2170 MHz). </w:t>
      </w:r>
    </w:p>
    <w:p w14:paraId="4C34B5EA" w14:textId="0E949C00" w:rsidR="005E71B6" w:rsidRDefault="00CE2CCA" w:rsidP="005E71B6">
      <w:pPr>
        <w:pStyle w:val="Paragraph"/>
      </w:pPr>
      <w:r>
        <w:t>F</w:t>
      </w:r>
      <w:r w:rsidR="005E71B6">
        <w:t>or simplicity to aid explanation of the options and to illustrate possible implementation</w:t>
      </w:r>
      <w:r w:rsidR="005B3A16">
        <w:t>,</w:t>
      </w:r>
      <w:r w:rsidR="005E71B6">
        <w:t xml:space="preserve"> particular frequencies</w:t>
      </w:r>
      <w:r w:rsidR="00BA40C3">
        <w:t xml:space="preserve"> ranges</w:t>
      </w:r>
      <w:r w:rsidR="005E71B6">
        <w:t xml:space="preserve"> have been assumed for services. Feedback is sought on the quantum of spectrum for each service and frequency boundaries.</w:t>
      </w:r>
    </w:p>
    <w:p w14:paraId="75CA9911" w14:textId="140DE40F" w:rsidR="000405C4" w:rsidRPr="000405C4" w:rsidRDefault="000405C4" w:rsidP="0084208C">
      <w:pPr>
        <w:pStyle w:val="ACMAFigureHeader"/>
        <w:keepNext/>
      </w:pPr>
      <w:r>
        <w:rPr>
          <w:rFonts w:cs="Arial"/>
        </w:rPr>
        <w:t xml:space="preserve">Illustration of </w:t>
      </w:r>
      <w:r w:rsidR="00B93279">
        <w:rPr>
          <w:rFonts w:cs="Arial"/>
        </w:rPr>
        <w:t>O</w:t>
      </w:r>
      <w:r>
        <w:rPr>
          <w:rFonts w:cs="Arial"/>
        </w:rPr>
        <w:t>ption 2</w:t>
      </w:r>
      <w:r w:rsidRPr="000405C4">
        <w:rPr>
          <w:rStyle w:val="FootnoteReference"/>
          <w:rFonts w:cs="Arial"/>
          <w:vertAlign w:val="baseline"/>
        </w:rPr>
        <w:t xml:space="preserve"> </w:t>
      </w:r>
    </w:p>
    <w:p w14:paraId="43F3754E" w14:textId="6DE80148" w:rsidR="009445FC" w:rsidRDefault="009445FC" w:rsidP="00F146F3">
      <w:pPr>
        <w:pStyle w:val="CommentText"/>
        <w:spacing w:before="240"/>
        <w:rPr>
          <w:rFonts w:cs="Arial"/>
          <w:bCs/>
          <w:color w:val="000000" w:themeColor="text1"/>
        </w:rPr>
      </w:pPr>
      <w:r w:rsidRPr="0098569A">
        <w:rPr>
          <w:noProof/>
        </w:rPr>
        <w:drawing>
          <wp:inline distT="0" distB="0" distL="0" distR="0" wp14:anchorId="78862016" wp14:editId="5D0854E2">
            <wp:extent cx="5605239" cy="1885950"/>
            <wp:effectExtent l="0" t="0" r="0" b="0"/>
            <wp:docPr id="151" name="Picture 151" descr="Figure 3: Illustration of Option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7430" cy="1886687"/>
                    </a:xfrm>
                    <a:prstGeom prst="rect">
                      <a:avLst/>
                    </a:prstGeom>
                    <a:noFill/>
                    <a:ln>
                      <a:noFill/>
                    </a:ln>
                  </pic:spPr>
                </pic:pic>
              </a:graphicData>
            </a:graphic>
          </wp:inline>
        </w:drawing>
      </w:r>
    </w:p>
    <w:p w14:paraId="101332F8" w14:textId="77777777" w:rsidR="00532A1F" w:rsidRDefault="00A21B29" w:rsidP="00A21B29">
      <w:pPr>
        <w:pStyle w:val="ListBullet"/>
        <w:numPr>
          <w:ilvl w:val="0"/>
          <w:numId w:val="0"/>
        </w:numPr>
        <w:rPr>
          <w:b/>
          <w:bCs/>
        </w:rPr>
      </w:pPr>
      <w:r w:rsidRPr="00AD3F5E">
        <w:rPr>
          <w:b/>
          <w:bCs/>
        </w:rPr>
        <w:t>19</w:t>
      </w:r>
      <w:r>
        <w:rPr>
          <w:b/>
          <w:bCs/>
        </w:rPr>
        <w:t>8</w:t>
      </w:r>
      <w:r w:rsidRPr="00AD3F5E">
        <w:rPr>
          <w:b/>
          <w:bCs/>
        </w:rPr>
        <w:t>0</w:t>
      </w:r>
      <w:r w:rsidR="00532A1F">
        <w:rPr>
          <w:b/>
          <w:bCs/>
        </w:rPr>
        <w:t>–</w:t>
      </w:r>
      <w:r>
        <w:rPr>
          <w:b/>
          <w:bCs/>
        </w:rPr>
        <w:t>1995</w:t>
      </w:r>
      <w:r w:rsidR="00532A1F">
        <w:rPr>
          <w:b/>
          <w:bCs/>
        </w:rPr>
        <w:t xml:space="preserve"> and </w:t>
      </w:r>
      <w:r w:rsidRPr="00AD3F5E">
        <w:rPr>
          <w:b/>
          <w:bCs/>
        </w:rPr>
        <w:t>21</w:t>
      </w:r>
      <w:r>
        <w:rPr>
          <w:b/>
          <w:bCs/>
        </w:rPr>
        <w:t>70</w:t>
      </w:r>
      <w:r w:rsidR="00532A1F">
        <w:rPr>
          <w:b/>
          <w:bCs/>
        </w:rPr>
        <w:t>–</w:t>
      </w:r>
      <w:r w:rsidRPr="00AD3F5E">
        <w:rPr>
          <w:b/>
          <w:bCs/>
        </w:rPr>
        <w:t>21</w:t>
      </w:r>
      <w:r>
        <w:rPr>
          <w:b/>
          <w:bCs/>
        </w:rPr>
        <w:t>8</w:t>
      </w:r>
      <w:r w:rsidRPr="00AD3F5E">
        <w:rPr>
          <w:b/>
          <w:bCs/>
        </w:rPr>
        <w:t>5 MHz</w:t>
      </w:r>
    </w:p>
    <w:p w14:paraId="5CF43727" w14:textId="7A74EFF1" w:rsidR="00A21B29" w:rsidRDefault="00532A1F" w:rsidP="00A21B29">
      <w:pPr>
        <w:pStyle w:val="ListBullet"/>
        <w:numPr>
          <w:ilvl w:val="0"/>
          <w:numId w:val="0"/>
        </w:numPr>
        <w:rPr>
          <w:b/>
          <w:bCs/>
        </w:rPr>
      </w:pPr>
      <w:r>
        <w:rPr>
          <w:b/>
          <w:bCs/>
        </w:rPr>
        <w:t xml:space="preserve">Wide-area wireless broadband </w:t>
      </w:r>
      <w:r w:rsidR="00A21B29">
        <w:rPr>
          <w:b/>
          <w:bCs/>
        </w:rPr>
        <w:t xml:space="preserve">and </w:t>
      </w:r>
      <w:r>
        <w:rPr>
          <w:b/>
          <w:bCs/>
        </w:rPr>
        <w:t>direct air-to-ground communications</w:t>
      </w:r>
    </w:p>
    <w:p w14:paraId="1FF4B686" w14:textId="24D2205F" w:rsidR="00A21B29" w:rsidRPr="00F146F3" w:rsidRDefault="00A21B29" w:rsidP="00A21B29">
      <w:pPr>
        <w:pStyle w:val="ListBullet"/>
        <w:numPr>
          <w:ilvl w:val="0"/>
          <w:numId w:val="0"/>
        </w:numPr>
        <w:rPr>
          <w:iCs/>
        </w:rPr>
      </w:pPr>
      <w:r w:rsidRPr="00F146F3">
        <w:rPr>
          <w:iCs/>
        </w:rPr>
        <w:t>Capital city and regional areas</w:t>
      </w:r>
      <w:r w:rsidR="00B93279">
        <w:rPr>
          <w:iCs/>
        </w:rPr>
        <w:t>:</w:t>
      </w:r>
    </w:p>
    <w:p w14:paraId="0A0B06FA" w14:textId="65F1AAFB" w:rsidR="00A21B29" w:rsidRPr="00AD3F5E" w:rsidRDefault="00A21B29" w:rsidP="00A21B29">
      <w:pPr>
        <w:pStyle w:val="ListBullet"/>
      </w:pPr>
      <w:r>
        <w:t xml:space="preserve">Re-allocation of the frequency range for the issue of spectrum licences or </w:t>
      </w:r>
      <w:r w:rsidR="005D6EC5">
        <w:t>a</w:t>
      </w:r>
      <w:r>
        <w:t>rea</w:t>
      </w:r>
      <w:r w:rsidR="005D6EC5">
        <w:t>-</w:t>
      </w:r>
      <w:r>
        <w:t xml:space="preserve">wide apparatus </w:t>
      </w:r>
      <w:r w:rsidRPr="00AD3F5E">
        <w:t xml:space="preserve">licence (AWL) with a technical framework optimised to </w:t>
      </w:r>
      <w:r w:rsidR="007F6936">
        <w:t>wide-area wireless broadband</w:t>
      </w:r>
      <w:r w:rsidRPr="00AD3F5E">
        <w:t xml:space="preserve"> services.</w:t>
      </w:r>
      <w:r w:rsidR="00C83729">
        <w:t xml:space="preserve"> In circumstances where demand </w:t>
      </w:r>
      <w:r w:rsidR="00176D07">
        <w:t xml:space="preserve">is </w:t>
      </w:r>
      <w:r w:rsidR="00C83729">
        <w:t>likely to exceed supply</w:t>
      </w:r>
      <w:r w:rsidR="00532A1F">
        <w:t>,</w:t>
      </w:r>
      <w:r w:rsidR="00C83729">
        <w:t xml:space="preserve"> a price-based allocation </w:t>
      </w:r>
      <w:r w:rsidR="00176D07">
        <w:t>m</w:t>
      </w:r>
      <w:r w:rsidR="00AA3901">
        <w:t xml:space="preserve">ethod </w:t>
      </w:r>
      <w:r w:rsidR="00C83729">
        <w:t>(auction) is often used by the ACMA.</w:t>
      </w:r>
    </w:p>
    <w:p w14:paraId="6417658E" w14:textId="33F8AB78" w:rsidR="00A21B29" w:rsidRDefault="00A21B29" w:rsidP="00A21B29">
      <w:pPr>
        <w:pStyle w:val="ListBullet"/>
      </w:pPr>
      <w:r w:rsidRPr="00AD3F5E">
        <w:t xml:space="preserve">For </w:t>
      </w:r>
      <w:r w:rsidR="00532A1F">
        <w:t>direct air-to-ground communications</w:t>
      </w:r>
      <w:r w:rsidRPr="00AD3F5E">
        <w:t xml:space="preserve">, </w:t>
      </w:r>
      <w:r w:rsidR="00532A1F">
        <w:t>we</w:t>
      </w:r>
      <w:r w:rsidRPr="00AD3F5E">
        <w:t xml:space="preserve"> propose </w:t>
      </w:r>
      <w:r w:rsidR="0099236E">
        <w:t>to</w:t>
      </w:r>
      <w:r w:rsidR="0099236E" w:rsidRPr="00AD3F5E">
        <w:t xml:space="preserve"> </w:t>
      </w:r>
      <w:r w:rsidRPr="00AD3F5E">
        <w:t>consider</w:t>
      </w:r>
      <w:r>
        <w:t xml:space="preserve"> appropriate coordination arrangements with adjacent</w:t>
      </w:r>
      <w:r w:rsidR="00F8127D">
        <w:t>-</w:t>
      </w:r>
      <w:r>
        <w:t>band services</w:t>
      </w:r>
      <w:r w:rsidR="00C707EF">
        <w:t xml:space="preserve"> during development of technical frameworks</w:t>
      </w:r>
      <w:r>
        <w:t xml:space="preserve">. This approach would provide a licensee with the option of providing </w:t>
      </w:r>
      <w:r w:rsidR="00532A1F">
        <w:t>wireless broadband</w:t>
      </w:r>
      <w:r>
        <w:t xml:space="preserve"> or </w:t>
      </w:r>
      <w:r w:rsidR="00532A1F">
        <w:t>direct air-to-ground communications</w:t>
      </w:r>
      <w:r>
        <w:t xml:space="preserve"> services</w:t>
      </w:r>
      <w:r w:rsidR="00532A1F">
        <w:t>,</w:t>
      </w:r>
      <w:r>
        <w:t xml:space="preserve"> or both.</w:t>
      </w:r>
    </w:p>
    <w:p w14:paraId="709FF663" w14:textId="3CF69001" w:rsidR="00A21B29" w:rsidRPr="00F146F3" w:rsidRDefault="00A21B29" w:rsidP="00A21B29">
      <w:pPr>
        <w:pStyle w:val="Bulletlevel1"/>
        <w:keepNext/>
        <w:numPr>
          <w:ilvl w:val="0"/>
          <w:numId w:val="0"/>
        </w:numPr>
        <w:rPr>
          <w:iCs/>
        </w:rPr>
      </w:pPr>
      <w:r w:rsidRPr="00F146F3">
        <w:rPr>
          <w:iCs/>
        </w:rPr>
        <w:t>Remote areas</w:t>
      </w:r>
      <w:r w:rsidR="00B93279">
        <w:rPr>
          <w:iCs/>
        </w:rPr>
        <w:t>:</w:t>
      </w:r>
    </w:p>
    <w:p w14:paraId="2604C920" w14:textId="2CDCE138" w:rsidR="00A21B29" w:rsidRPr="00532A1F" w:rsidRDefault="00532A1F" w:rsidP="00D117F6">
      <w:pPr>
        <w:pStyle w:val="ListBulletLast"/>
      </w:pPr>
      <w:r>
        <w:t>Loca</w:t>
      </w:r>
      <w:r w:rsidR="00AE4B94">
        <w:t>l</w:t>
      </w:r>
      <w:r>
        <w:t>-area</w:t>
      </w:r>
      <w:r w:rsidR="00A21B29">
        <w:t xml:space="preserve"> </w:t>
      </w:r>
      <w:r>
        <w:t>wireless broadband</w:t>
      </w:r>
      <w:r w:rsidR="00A21B29">
        <w:t xml:space="preserve"> and </w:t>
      </w:r>
      <w:r>
        <w:t>direct air-to-ground communications</w:t>
      </w:r>
      <w:r w:rsidR="00A21B29">
        <w:t xml:space="preserve"> under apparatus licensing on a coordinated basis.</w:t>
      </w:r>
      <w:r w:rsidR="002E5959">
        <w:t xml:space="preserve"> </w:t>
      </w:r>
      <w:r w:rsidR="007168D0">
        <w:t xml:space="preserve">AWL licensing </w:t>
      </w:r>
      <w:r w:rsidR="00C83729">
        <w:t>would be considered</w:t>
      </w:r>
      <w:r w:rsidR="005D6EC5">
        <w:t xml:space="preserve"> where appropriate</w:t>
      </w:r>
      <w:r w:rsidR="00C83729">
        <w:t>.</w:t>
      </w:r>
    </w:p>
    <w:p w14:paraId="5F569BF0" w14:textId="77777777" w:rsidR="00532A1F" w:rsidRDefault="00A21B29" w:rsidP="00532A1F">
      <w:pPr>
        <w:pStyle w:val="ListBullet"/>
        <w:keepNext/>
        <w:numPr>
          <w:ilvl w:val="0"/>
          <w:numId w:val="0"/>
        </w:numPr>
        <w:rPr>
          <w:rFonts w:cs="Arial"/>
          <w:b/>
          <w:color w:val="000000" w:themeColor="text1"/>
          <w:szCs w:val="20"/>
        </w:rPr>
      </w:pPr>
      <w:r w:rsidRPr="00AD3F5E">
        <w:rPr>
          <w:rFonts w:cs="Arial"/>
          <w:b/>
          <w:color w:val="000000" w:themeColor="text1"/>
          <w:szCs w:val="20"/>
        </w:rPr>
        <w:lastRenderedPageBreak/>
        <w:t>19</w:t>
      </w:r>
      <w:r>
        <w:rPr>
          <w:rFonts w:cs="Arial"/>
          <w:b/>
          <w:color w:val="000000" w:themeColor="text1"/>
          <w:szCs w:val="20"/>
        </w:rPr>
        <w:t>95</w:t>
      </w:r>
      <w:r w:rsidR="00532A1F">
        <w:rPr>
          <w:rFonts w:cs="Arial"/>
          <w:b/>
          <w:color w:val="000000" w:themeColor="text1"/>
          <w:szCs w:val="20"/>
        </w:rPr>
        <w:t>–</w:t>
      </w:r>
      <w:r>
        <w:rPr>
          <w:rFonts w:cs="Arial"/>
          <w:b/>
          <w:color w:val="000000" w:themeColor="text1"/>
          <w:szCs w:val="20"/>
        </w:rPr>
        <w:t>2005</w:t>
      </w:r>
      <w:r w:rsidR="00532A1F">
        <w:rPr>
          <w:rFonts w:cs="Arial"/>
          <w:b/>
          <w:color w:val="000000" w:themeColor="text1"/>
          <w:szCs w:val="20"/>
        </w:rPr>
        <w:t xml:space="preserve"> and </w:t>
      </w:r>
      <w:r w:rsidRPr="00AD3F5E">
        <w:rPr>
          <w:rFonts w:cs="Arial"/>
          <w:b/>
          <w:color w:val="000000" w:themeColor="text1"/>
          <w:szCs w:val="20"/>
        </w:rPr>
        <w:t>21</w:t>
      </w:r>
      <w:r>
        <w:rPr>
          <w:rFonts w:cs="Arial"/>
          <w:b/>
          <w:color w:val="000000" w:themeColor="text1"/>
          <w:szCs w:val="20"/>
        </w:rPr>
        <w:t>85</w:t>
      </w:r>
      <w:r w:rsidR="00532A1F">
        <w:rPr>
          <w:rFonts w:cs="Arial"/>
          <w:b/>
          <w:color w:val="000000" w:themeColor="text1"/>
          <w:szCs w:val="20"/>
        </w:rPr>
        <w:t>–</w:t>
      </w:r>
      <w:r w:rsidRPr="00AD3F5E">
        <w:rPr>
          <w:rFonts w:cs="Arial"/>
          <w:b/>
          <w:color w:val="000000" w:themeColor="text1"/>
          <w:szCs w:val="20"/>
        </w:rPr>
        <w:t>21</w:t>
      </w:r>
      <w:r>
        <w:rPr>
          <w:rFonts w:cs="Arial"/>
          <w:b/>
          <w:color w:val="000000" w:themeColor="text1"/>
          <w:szCs w:val="20"/>
        </w:rPr>
        <w:t>95</w:t>
      </w:r>
      <w:r w:rsidRPr="00AD3F5E">
        <w:rPr>
          <w:rFonts w:cs="Arial"/>
          <w:b/>
          <w:color w:val="000000" w:themeColor="text1"/>
          <w:szCs w:val="20"/>
        </w:rPr>
        <w:t xml:space="preserve"> MHz</w:t>
      </w:r>
    </w:p>
    <w:p w14:paraId="20A4A0CD" w14:textId="125844DD" w:rsidR="00A21B29" w:rsidRDefault="00532A1F" w:rsidP="00532A1F">
      <w:pPr>
        <w:pStyle w:val="ListBullet"/>
        <w:keepNext/>
        <w:numPr>
          <w:ilvl w:val="0"/>
          <w:numId w:val="0"/>
        </w:numPr>
        <w:rPr>
          <w:rFonts w:cs="Arial"/>
          <w:b/>
          <w:color w:val="000000" w:themeColor="text1"/>
          <w:szCs w:val="20"/>
        </w:rPr>
      </w:pPr>
      <w:r>
        <w:rPr>
          <w:b/>
          <w:bCs/>
        </w:rPr>
        <w:t>Wide-area / local-area wireless broadband and direct air-to-ground communications</w:t>
      </w:r>
    </w:p>
    <w:p w14:paraId="66B99995" w14:textId="34D7156A" w:rsidR="00A21B29" w:rsidRPr="00F146F3" w:rsidRDefault="00A21B29" w:rsidP="00532A1F">
      <w:pPr>
        <w:pStyle w:val="ListBullet"/>
        <w:keepNext/>
        <w:numPr>
          <w:ilvl w:val="0"/>
          <w:numId w:val="0"/>
        </w:numPr>
        <w:rPr>
          <w:iCs/>
        </w:rPr>
      </w:pPr>
      <w:r w:rsidRPr="00F146F3">
        <w:rPr>
          <w:rFonts w:cs="Arial"/>
          <w:iCs/>
          <w:color w:val="000000" w:themeColor="text1"/>
          <w:szCs w:val="20"/>
        </w:rPr>
        <w:t>Capital city area</w:t>
      </w:r>
      <w:r w:rsidR="00B93279" w:rsidRPr="00F146F3">
        <w:rPr>
          <w:rFonts w:cs="Arial"/>
          <w:iCs/>
          <w:color w:val="000000" w:themeColor="text1"/>
          <w:szCs w:val="20"/>
        </w:rPr>
        <w:t>s</w:t>
      </w:r>
      <w:r w:rsidR="00B93279">
        <w:rPr>
          <w:rFonts w:cs="Arial"/>
          <w:iCs/>
          <w:color w:val="000000" w:themeColor="text1"/>
          <w:szCs w:val="20"/>
        </w:rPr>
        <w:t>:</w:t>
      </w:r>
    </w:p>
    <w:p w14:paraId="7945E369" w14:textId="163D695F" w:rsidR="00A21B29" w:rsidRDefault="00A21B29" w:rsidP="00A21B29">
      <w:pPr>
        <w:pStyle w:val="Bulletlevel1"/>
      </w:pPr>
      <w:r>
        <w:t xml:space="preserve">Re-allocation of the frequency range for the issue of spectrum licences or AWL with a technical framework optimised to </w:t>
      </w:r>
      <w:r w:rsidR="007F6936">
        <w:t>wide-area wireless broadband</w:t>
      </w:r>
      <w:r>
        <w:t xml:space="preserve"> </w:t>
      </w:r>
      <w:r w:rsidRPr="001F7DED">
        <w:t>services</w:t>
      </w:r>
      <w:r w:rsidR="762D7944">
        <w:t>.</w:t>
      </w:r>
      <w:r>
        <w:t xml:space="preserve"> </w:t>
      </w:r>
    </w:p>
    <w:p w14:paraId="09321DC5" w14:textId="0FF9C517" w:rsidR="00A21B29" w:rsidRDefault="00EC5682" w:rsidP="00EC5682">
      <w:pPr>
        <w:pStyle w:val="Bulletlevel1"/>
      </w:pPr>
      <w:r w:rsidRPr="00EC5682">
        <w:t xml:space="preserve">For direct air-to-ground communications, we propose to </w:t>
      </w:r>
      <w:r w:rsidR="008C2704">
        <w:t xml:space="preserve">consider </w:t>
      </w:r>
      <w:r w:rsidRPr="00EC5682">
        <w:t>appropriate coordination arrangements with adjacent</w:t>
      </w:r>
      <w:r w:rsidR="00976D46">
        <w:t>-</w:t>
      </w:r>
      <w:r w:rsidRPr="00EC5682">
        <w:t>band services during development of technical frameworks. This approach would provide a licensee with the option of providing wireless broadband or direct air-to-ground communications services, or</w:t>
      </w:r>
      <w:r w:rsidR="00B93279">
        <w:t> </w:t>
      </w:r>
      <w:r w:rsidRPr="00EC5682">
        <w:t>both</w:t>
      </w:r>
      <w:r w:rsidR="00A21B29">
        <w:t>.</w:t>
      </w:r>
    </w:p>
    <w:p w14:paraId="62ACD453" w14:textId="1A229E67" w:rsidR="00A21B29" w:rsidRDefault="00A21B29" w:rsidP="00532A1F">
      <w:pPr>
        <w:pStyle w:val="ListBulletLast"/>
      </w:pPr>
      <w:r>
        <w:t>Capital city areas are based on 2 GHz spectrum licensing areas</w:t>
      </w:r>
      <w:r w:rsidR="4867193C">
        <w:t>.</w:t>
      </w:r>
    </w:p>
    <w:p w14:paraId="1B5A521D" w14:textId="6A3D6C3D" w:rsidR="00A21B29" w:rsidRPr="00F146F3" w:rsidRDefault="00A21B29" w:rsidP="00A21B29">
      <w:pPr>
        <w:pStyle w:val="Bulletlevel1"/>
        <w:keepNext/>
        <w:numPr>
          <w:ilvl w:val="0"/>
          <w:numId w:val="0"/>
        </w:numPr>
        <w:rPr>
          <w:iCs/>
        </w:rPr>
      </w:pPr>
      <w:r w:rsidRPr="00F146F3">
        <w:rPr>
          <w:iCs/>
        </w:rPr>
        <w:t>Regional and remote areas</w:t>
      </w:r>
      <w:r w:rsidR="00B93279">
        <w:rPr>
          <w:iCs/>
        </w:rPr>
        <w:t>:</w:t>
      </w:r>
    </w:p>
    <w:p w14:paraId="730CF3D4" w14:textId="7EC67320" w:rsidR="00A21B29" w:rsidRDefault="007F6936" w:rsidP="00D117F6">
      <w:pPr>
        <w:pStyle w:val="ListBulletLast"/>
      </w:pPr>
      <w:r>
        <w:t>Local-area wireless broadband</w:t>
      </w:r>
      <w:r w:rsidR="00A21B29">
        <w:t xml:space="preserve"> and </w:t>
      </w:r>
      <w:r w:rsidR="00532A1F">
        <w:t>direct air-to-ground communications</w:t>
      </w:r>
      <w:r w:rsidR="00A21B29">
        <w:t xml:space="preserve"> under apparatus licensing on a coordinated basis. </w:t>
      </w:r>
    </w:p>
    <w:p w14:paraId="3391C050" w14:textId="77777777" w:rsidR="00532A1F" w:rsidRDefault="00A21B29" w:rsidP="00A21B29">
      <w:pPr>
        <w:pStyle w:val="ListBullet2"/>
        <w:numPr>
          <w:ilvl w:val="0"/>
          <w:numId w:val="0"/>
        </w:numPr>
        <w:rPr>
          <w:b/>
          <w:bCs/>
        </w:rPr>
      </w:pPr>
      <w:r w:rsidRPr="00AD3F5E">
        <w:rPr>
          <w:b/>
          <w:bCs/>
        </w:rPr>
        <w:t>2005</w:t>
      </w:r>
      <w:r w:rsidR="00532A1F">
        <w:rPr>
          <w:b/>
          <w:bCs/>
        </w:rPr>
        <w:t>–</w:t>
      </w:r>
      <w:r w:rsidRPr="00AD3F5E">
        <w:rPr>
          <w:b/>
          <w:bCs/>
        </w:rPr>
        <w:t>2010</w:t>
      </w:r>
      <w:r w:rsidR="00532A1F">
        <w:rPr>
          <w:b/>
          <w:bCs/>
        </w:rPr>
        <w:t xml:space="preserve"> and </w:t>
      </w:r>
      <w:r w:rsidRPr="00AD3F5E">
        <w:rPr>
          <w:b/>
          <w:bCs/>
        </w:rPr>
        <w:t>2195-2200 MHz</w:t>
      </w:r>
    </w:p>
    <w:p w14:paraId="11CA0917" w14:textId="77777777" w:rsidR="00B93279" w:rsidRDefault="00A21B29" w:rsidP="00532A1F">
      <w:pPr>
        <w:pStyle w:val="ListBullet2"/>
        <w:numPr>
          <w:ilvl w:val="0"/>
          <w:numId w:val="0"/>
        </w:numPr>
      </w:pPr>
      <w:r>
        <w:rPr>
          <w:b/>
          <w:bCs/>
        </w:rPr>
        <w:t>Satellite IoT</w:t>
      </w:r>
      <w:r w:rsidR="00532A1F">
        <w:rPr>
          <w:b/>
          <w:bCs/>
        </w:rPr>
        <w:t xml:space="preserve"> </w:t>
      </w:r>
    </w:p>
    <w:p w14:paraId="0FD91103" w14:textId="45C69081" w:rsidR="00A21B29" w:rsidRPr="00532A1F" w:rsidRDefault="00A21B29" w:rsidP="00532A1F">
      <w:pPr>
        <w:pStyle w:val="ListBullet2"/>
        <w:numPr>
          <w:ilvl w:val="0"/>
          <w:numId w:val="0"/>
        </w:numPr>
        <w:rPr>
          <w:b/>
        </w:rPr>
      </w:pPr>
      <w:r w:rsidRPr="00532A1F">
        <w:t>Australia wide</w:t>
      </w:r>
      <w:r w:rsidR="00B93279">
        <w:t>:</w:t>
      </w:r>
    </w:p>
    <w:p w14:paraId="156E4E8C" w14:textId="4E46B447" w:rsidR="00A21B29" w:rsidRDefault="00A21B29" w:rsidP="00A21B29">
      <w:pPr>
        <w:pStyle w:val="ListBullet"/>
      </w:pPr>
      <w:r>
        <w:t>Low</w:t>
      </w:r>
      <w:r w:rsidR="008E1925">
        <w:t>-</w:t>
      </w:r>
      <w:r>
        <w:t>powered, low</w:t>
      </w:r>
      <w:r w:rsidR="008E1925">
        <w:t>-</w:t>
      </w:r>
      <w:r>
        <w:t>duty</w:t>
      </w:r>
      <w:r w:rsidR="008E1925">
        <w:t>-</w:t>
      </w:r>
      <w:r>
        <w:t>cycle satellite IoT service where parameters developed to ensure compatibility with adjacent band TOB services</w:t>
      </w:r>
      <w:r w:rsidR="149ADEF6">
        <w:t>.</w:t>
      </w:r>
      <w:r>
        <w:t xml:space="preserve"> </w:t>
      </w:r>
    </w:p>
    <w:p w14:paraId="43C81C03" w14:textId="7615848C" w:rsidR="00A21B29" w:rsidRDefault="00A21B29" w:rsidP="00A21B29">
      <w:pPr>
        <w:pStyle w:val="ListBullet"/>
      </w:pPr>
      <w:r>
        <w:t>Supported as a shared satellite IoT band under class licensing arrangements</w:t>
      </w:r>
      <w:r w:rsidR="00F07A2D">
        <w:t xml:space="preserve"> </w:t>
      </w:r>
      <w:r>
        <w:t>through inclusion in the Communications with Space Objects Class Licenc</w:t>
      </w:r>
      <w:r w:rsidR="00F07A2D">
        <w:t>e with requirement for space/space receive apparatus licences.</w:t>
      </w:r>
    </w:p>
    <w:p w14:paraId="6EE7800B" w14:textId="0E7F9D1F" w:rsidR="00A21B29" w:rsidRDefault="00A21B29" w:rsidP="00A21B29">
      <w:pPr>
        <w:pStyle w:val="ListBullet"/>
      </w:pPr>
      <w:r>
        <w:t>No coordination requirements with other licensees in the band (that is</w:t>
      </w:r>
      <w:r w:rsidR="1F9BF170">
        <w:t>,</w:t>
      </w:r>
      <w:r>
        <w:t xml:space="preserve"> licensees to self-coordinate)</w:t>
      </w:r>
      <w:r w:rsidR="24C69A0F">
        <w:t>.</w:t>
      </w:r>
    </w:p>
    <w:p w14:paraId="584BF794" w14:textId="775EC94F" w:rsidR="00A21B29" w:rsidRPr="00D117F6" w:rsidRDefault="00A21B29" w:rsidP="00D117F6">
      <w:pPr>
        <w:pStyle w:val="ListBullet"/>
        <w:rPr>
          <w:u w:color="0000FF"/>
        </w:rPr>
      </w:pPr>
      <w:r>
        <w:t xml:space="preserve">Minimal regulatory assessment of satellite filing to ensure proposed operation is consistent with ITU filing similar to those of ACMA procedures for </w:t>
      </w:r>
      <w:r w:rsidR="00D117F6">
        <w:t>s</w:t>
      </w:r>
      <w:r w:rsidRPr="0052504D">
        <w:t xml:space="preserve">ubmission and processing of applications for </w:t>
      </w:r>
      <w:hyperlink r:id="rId51">
        <w:r w:rsidRPr="24D09117">
          <w:rPr>
            <w:rStyle w:val="Hyperlink"/>
          </w:rPr>
          <w:t>space and space receive apparatus licences</w:t>
        </w:r>
      </w:hyperlink>
      <w:r w:rsidR="00D117F6" w:rsidRPr="00D117F6">
        <w:rPr>
          <w:rStyle w:val="Hyperlink"/>
          <w:color w:val="auto"/>
          <w:u w:val="none"/>
        </w:rPr>
        <w:t>.</w:t>
      </w:r>
    </w:p>
    <w:p w14:paraId="3EB90FB1" w14:textId="136A0F0A" w:rsidR="00A21B29" w:rsidRPr="001F7DED" w:rsidRDefault="00A21B29" w:rsidP="00A21B29">
      <w:pPr>
        <w:pStyle w:val="Heading2"/>
      </w:pPr>
      <w:bookmarkStart w:id="68" w:name="_Toc38632776"/>
      <w:bookmarkStart w:id="69" w:name="_Toc46316368"/>
      <w:r w:rsidRPr="001F7DED">
        <w:t xml:space="preserve">Option 3: </w:t>
      </w:r>
      <w:r>
        <w:t>M</w:t>
      </w:r>
      <w:r w:rsidR="006045B8">
        <w:t>obile</w:t>
      </w:r>
      <w:r w:rsidR="00376373">
        <w:t>-</w:t>
      </w:r>
      <w:r w:rsidR="006045B8">
        <w:t>satellite service</w:t>
      </w:r>
      <w:r>
        <w:t xml:space="preserve"> </w:t>
      </w:r>
      <w:bookmarkStart w:id="70" w:name="_Hlk39410171"/>
      <w:r>
        <w:t xml:space="preserve">including </w:t>
      </w:r>
      <w:bookmarkEnd w:id="68"/>
      <w:bookmarkEnd w:id="70"/>
      <w:r w:rsidR="006045B8">
        <w:t>complementary ground component</w:t>
      </w:r>
      <w:bookmarkEnd w:id="69"/>
    </w:p>
    <w:p w14:paraId="472BCC69" w14:textId="61781365" w:rsidR="005E71B6" w:rsidRDefault="006045B8" w:rsidP="005E71B6">
      <w:pPr>
        <w:pStyle w:val="Paragraph"/>
      </w:pPr>
      <w:r w:rsidRPr="006045B8">
        <w:t xml:space="preserve">This option provides for accommodation of new MSS (including satellite IoT and </w:t>
      </w:r>
      <w:r w:rsidR="007F6936">
        <w:t>complementary ground component</w:t>
      </w:r>
      <w:r w:rsidR="005E71B6">
        <w:t xml:space="preserve">) and spectrum dedicated for satellite IoT services </w:t>
      </w:r>
      <w:r w:rsidR="005E71B6" w:rsidRPr="001F7DED">
        <w:t>Australia-wide</w:t>
      </w:r>
      <w:r w:rsidR="005E71B6">
        <w:t xml:space="preserve"> in the restricted band (guard band) protecting adjacent band TOB services</w:t>
      </w:r>
      <w:r w:rsidR="005E71B6" w:rsidRPr="001F7DED">
        <w:t>.</w:t>
      </w:r>
      <w:r w:rsidR="005E71B6">
        <w:t xml:space="preserve"> Existing point to-point links would be grandfathered. </w:t>
      </w:r>
    </w:p>
    <w:p w14:paraId="764DC1A4" w14:textId="0EB1656C" w:rsidR="005E71B6" w:rsidRDefault="2D38B4AF" w:rsidP="005E71B6">
      <w:pPr>
        <w:pStyle w:val="Paragraph"/>
      </w:pPr>
      <w:r>
        <w:t>Subject to further</w:t>
      </w:r>
      <w:r w:rsidR="005E71B6">
        <w:t xml:space="preserve"> submissions, the ACMA</w:t>
      </w:r>
      <w:r w:rsidR="6B9B810C">
        <w:t>’s</w:t>
      </w:r>
      <w:r w:rsidR="005E71B6">
        <w:t xml:space="preserve"> preliminary view </w:t>
      </w:r>
      <w:r w:rsidR="013AE7F8">
        <w:t>would be</w:t>
      </w:r>
      <w:r w:rsidR="005E71B6">
        <w:t xml:space="preserve"> to divide the band in paired channels of 2</w:t>
      </w:r>
      <w:r w:rsidR="00532A1F">
        <w:t xml:space="preserve"> </w:t>
      </w:r>
      <w:r w:rsidR="005E71B6">
        <w:t>x</w:t>
      </w:r>
      <w:r w:rsidR="00532A1F">
        <w:t xml:space="preserve"> </w:t>
      </w:r>
      <w:r w:rsidR="005E71B6">
        <w:t>15 MHz, 2 x</w:t>
      </w:r>
      <w:r w:rsidR="00532A1F">
        <w:t xml:space="preserve"> </w:t>
      </w:r>
      <w:r w:rsidR="005E71B6">
        <w:t>10 MHz and 2</w:t>
      </w:r>
      <w:r w:rsidR="00532A1F">
        <w:t xml:space="preserve"> </w:t>
      </w:r>
      <w:r w:rsidR="005E71B6">
        <w:t>x</w:t>
      </w:r>
      <w:r w:rsidR="00532A1F">
        <w:t xml:space="preserve"> </w:t>
      </w:r>
      <w:r w:rsidR="005E71B6">
        <w:t xml:space="preserve">5 MHz. </w:t>
      </w:r>
    </w:p>
    <w:p w14:paraId="63CA8301" w14:textId="6DA27136" w:rsidR="000405C4" w:rsidRPr="001F7DED" w:rsidRDefault="000405C4" w:rsidP="000405C4">
      <w:pPr>
        <w:pStyle w:val="ACMAFigureHeader"/>
        <w:keepNext/>
      </w:pPr>
      <w:r>
        <w:rPr>
          <w:rFonts w:cs="Arial"/>
        </w:rPr>
        <w:t xml:space="preserve">Illustration of </w:t>
      </w:r>
      <w:r w:rsidR="009D17BE">
        <w:rPr>
          <w:rFonts w:cs="Arial"/>
        </w:rPr>
        <w:t>O</w:t>
      </w:r>
      <w:r>
        <w:rPr>
          <w:rFonts w:cs="Arial"/>
        </w:rPr>
        <w:t>ption 3</w:t>
      </w:r>
      <w:r w:rsidRPr="002C7ADD">
        <w:rPr>
          <w:rStyle w:val="FootnoteReference"/>
          <w:rFonts w:cs="Arial"/>
          <w:vertAlign w:val="baseline"/>
        </w:rPr>
        <w:t xml:space="preserve"> </w:t>
      </w:r>
    </w:p>
    <w:p w14:paraId="5C9BBE88" w14:textId="13A5D517" w:rsidR="00A21B29" w:rsidRPr="001F7DED" w:rsidRDefault="00A21B29" w:rsidP="00A21B29">
      <w:pPr>
        <w:pStyle w:val="CommentText"/>
        <w:spacing w:before="240" w:after="0"/>
        <w:rPr>
          <w:rFonts w:cs="Arial"/>
          <w:bCs/>
          <w:color w:val="000000" w:themeColor="text1"/>
          <w:sz w:val="22"/>
          <w:szCs w:val="22"/>
        </w:rPr>
      </w:pPr>
      <w:r w:rsidRPr="0098569A">
        <w:rPr>
          <w:noProof/>
        </w:rPr>
        <w:drawing>
          <wp:inline distT="0" distB="0" distL="0" distR="0" wp14:anchorId="26696FDA" wp14:editId="2611E798">
            <wp:extent cx="5734050" cy="1344747"/>
            <wp:effectExtent l="0" t="0" r="0" b="8255"/>
            <wp:docPr id="144" name="Picture 144" descr="Figure 4: Illustration of Option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2415" cy="1346709"/>
                    </a:xfrm>
                    <a:prstGeom prst="rect">
                      <a:avLst/>
                    </a:prstGeom>
                    <a:noFill/>
                    <a:ln>
                      <a:noFill/>
                    </a:ln>
                  </pic:spPr>
                </pic:pic>
              </a:graphicData>
            </a:graphic>
          </wp:inline>
        </w:drawing>
      </w:r>
      <w:r w:rsidRPr="0098569A" w:rsidDel="00C86182">
        <w:t xml:space="preserve"> </w:t>
      </w:r>
    </w:p>
    <w:p w14:paraId="452037B0" w14:textId="77777777" w:rsidR="00A21B29" w:rsidRPr="002846D7" w:rsidRDefault="00A21B29" w:rsidP="00FF66E6">
      <w:pPr>
        <w:pStyle w:val="CommentText"/>
        <w:spacing w:before="240" w:after="0"/>
        <w:rPr>
          <w:b/>
        </w:rPr>
      </w:pPr>
    </w:p>
    <w:p w14:paraId="0DDE538C" w14:textId="446C3E6F" w:rsidR="00A21B29" w:rsidRPr="00446ABB" w:rsidRDefault="00A21B29" w:rsidP="00723177">
      <w:pPr>
        <w:pStyle w:val="ListBullet"/>
        <w:keepNext/>
        <w:numPr>
          <w:ilvl w:val="0"/>
          <w:numId w:val="0"/>
        </w:numPr>
        <w:rPr>
          <w:b/>
          <w:bCs/>
        </w:rPr>
      </w:pPr>
      <w:r w:rsidRPr="00446ABB">
        <w:rPr>
          <w:b/>
          <w:bCs/>
        </w:rPr>
        <w:t>1980</w:t>
      </w:r>
      <w:r w:rsidR="00723177">
        <w:rPr>
          <w:b/>
          <w:bCs/>
        </w:rPr>
        <w:t>–</w:t>
      </w:r>
      <w:r w:rsidRPr="00446ABB">
        <w:rPr>
          <w:b/>
          <w:bCs/>
        </w:rPr>
        <w:t>2005</w:t>
      </w:r>
      <w:r w:rsidR="00723177">
        <w:rPr>
          <w:b/>
          <w:bCs/>
        </w:rPr>
        <w:t xml:space="preserve"> and </w:t>
      </w:r>
      <w:r w:rsidRPr="00446ABB">
        <w:rPr>
          <w:b/>
          <w:bCs/>
        </w:rPr>
        <w:t>2170</w:t>
      </w:r>
      <w:r w:rsidR="00723177">
        <w:rPr>
          <w:b/>
          <w:bCs/>
        </w:rPr>
        <w:t>–</w:t>
      </w:r>
      <w:r w:rsidRPr="00446ABB">
        <w:rPr>
          <w:b/>
          <w:bCs/>
        </w:rPr>
        <w:t xml:space="preserve">2195 MHz (MSS </w:t>
      </w:r>
      <w:r w:rsidRPr="00446ABB">
        <w:rPr>
          <w:rFonts w:cs="Arial"/>
          <w:b/>
          <w:bCs/>
          <w:color w:val="000000" w:themeColor="text1"/>
        </w:rPr>
        <w:t xml:space="preserve">including satellite IoT and </w:t>
      </w:r>
      <w:r w:rsidR="007F6936">
        <w:rPr>
          <w:rFonts w:cs="Arial"/>
          <w:b/>
          <w:bCs/>
          <w:color w:val="000000" w:themeColor="text1"/>
        </w:rPr>
        <w:t>complementary ground component</w:t>
      </w:r>
      <w:r w:rsidRPr="00446ABB">
        <w:rPr>
          <w:rFonts w:cs="Arial"/>
          <w:b/>
          <w:bCs/>
          <w:color w:val="000000" w:themeColor="text1"/>
        </w:rPr>
        <w:t>)</w:t>
      </w:r>
    </w:p>
    <w:p w14:paraId="2537D09E" w14:textId="0BDE2858" w:rsidR="00A21B29" w:rsidRPr="00F744BC" w:rsidRDefault="00C83729" w:rsidP="00A21B29">
      <w:pPr>
        <w:pStyle w:val="ListBullet"/>
      </w:pPr>
      <w:r>
        <w:t>Establishment of regulatory arrangements</w:t>
      </w:r>
      <w:r w:rsidR="00A21B29" w:rsidDel="00C83729">
        <w:t xml:space="preserve"> </w:t>
      </w:r>
      <w:r w:rsidR="00DC57F2">
        <w:t>supporting Australia wide operation of mobile</w:t>
      </w:r>
      <w:r w:rsidR="00376373">
        <w:t>-</w:t>
      </w:r>
      <w:r w:rsidR="00DC57F2">
        <w:t>satellite service</w:t>
      </w:r>
      <w:r w:rsidR="00532A1F">
        <w:t>,</w:t>
      </w:r>
      <w:r>
        <w:t xml:space="preserve"> potentially through space/space receive </w:t>
      </w:r>
      <w:r w:rsidR="00366EE5">
        <w:t>apparatus licences</w:t>
      </w:r>
      <w:r>
        <w:t xml:space="preserve"> and associated class licensing arrangements. </w:t>
      </w:r>
      <w:r w:rsidR="0B7C00E5">
        <w:t>G</w:t>
      </w:r>
      <w:r>
        <w:t xml:space="preserve">iven the demand expressed in the consultation process for MSS and the challenges in coexistence between </w:t>
      </w:r>
      <w:r w:rsidR="009C4A29">
        <w:t>different</w:t>
      </w:r>
      <w:r>
        <w:t xml:space="preserve"> MSS</w:t>
      </w:r>
      <w:r w:rsidR="0014238F">
        <w:t xml:space="preserve"> systems</w:t>
      </w:r>
      <w:r>
        <w:t xml:space="preserve">, a mechanism to resolve </w:t>
      </w:r>
      <w:r w:rsidR="2D11F87B">
        <w:t xml:space="preserve">any </w:t>
      </w:r>
      <w:r w:rsidR="00E413B7">
        <w:t xml:space="preserve">competing </w:t>
      </w:r>
      <w:r>
        <w:t xml:space="preserve">demand, such as </w:t>
      </w:r>
      <w:r w:rsidR="0090323D">
        <w:t>a price-based allocation method (an auction)</w:t>
      </w:r>
      <w:r>
        <w:t>, may need to be considered in this case.</w:t>
      </w:r>
      <w:r w:rsidR="003318B3">
        <w:t xml:space="preserve"> </w:t>
      </w:r>
      <w:r w:rsidR="008A300C">
        <w:t xml:space="preserve">The </w:t>
      </w:r>
      <w:r w:rsidR="00C52D71">
        <w:t xml:space="preserve">auction of </w:t>
      </w:r>
      <w:r w:rsidR="00D969B0">
        <w:t xml:space="preserve">spectrum </w:t>
      </w:r>
      <w:r w:rsidR="00C52D71">
        <w:t xml:space="preserve">for </w:t>
      </w:r>
      <w:r w:rsidR="00E30818">
        <w:t>satellite services is a</w:t>
      </w:r>
      <w:r w:rsidR="00CF78A2">
        <w:t xml:space="preserve"> rare activity, the last time being in 2001</w:t>
      </w:r>
      <w:r w:rsidR="00B93279">
        <w:t>.</w:t>
      </w:r>
      <w:r w:rsidR="00733810">
        <w:rPr>
          <w:rStyle w:val="FootnoteReference"/>
        </w:rPr>
        <w:footnoteReference w:id="23"/>
      </w:r>
    </w:p>
    <w:p w14:paraId="694AFE0F" w14:textId="26A07364" w:rsidR="00A21B29" w:rsidRDefault="00DC57F2" w:rsidP="00A21B29">
      <w:pPr>
        <w:pStyle w:val="ListBullet"/>
      </w:pPr>
      <w:r>
        <w:t xml:space="preserve">Option for </w:t>
      </w:r>
      <w:r w:rsidR="007F6936">
        <w:t>complementary ground component</w:t>
      </w:r>
      <w:r w:rsidRPr="00980B98">
        <w:t xml:space="preserve"> services at the discretion of the MSS licensee</w:t>
      </w:r>
      <w:r>
        <w:t xml:space="preserve"> with </w:t>
      </w:r>
      <w:r w:rsidR="00A21B29" w:rsidRPr="00F744BC">
        <w:t>development of appropriate coordination arrangements with adjacent band services.</w:t>
      </w:r>
      <w:r w:rsidR="00A21B29">
        <w:t xml:space="preserve"> </w:t>
      </w:r>
    </w:p>
    <w:p w14:paraId="7D017C48" w14:textId="5B4B071D" w:rsidR="00A21B29" w:rsidRDefault="00F07A2D" w:rsidP="00A21B29">
      <w:pPr>
        <w:pStyle w:val="ListBullet"/>
      </w:pPr>
      <w:r>
        <w:t xml:space="preserve">Authorisation arrangements for </w:t>
      </w:r>
      <w:r w:rsidR="002F7F29">
        <w:t xml:space="preserve">the </w:t>
      </w:r>
      <w:r w:rsidR="007F6936">
        <w:t>complementary ground component</w:t>
      </w:r>
      <w:r w:rsidR="00A21B29">
        <w:t xml:space="preserve"> </w:t>
      </w:r>
      <w:r w:rsidR="00171F65">
        <w:t xml:space="preserve">will need </w:t>
      </w:r>
      <w:r w:rsidR="00A21B29">
        <w:t>to be</w:t>
      </w:r>
      <w:r>
        <w:t xml:space="preserve"> consider</w:t>
      </w:r>
      <w:r w:rsidR="009E11F8">
        <w:t>ed</w:t>
      </w:r>
      <w:r>
        <w:t xml:space="preserve"> </w:t>
      </w:r>
      <w:r w:rsidR="00FA5602">
        <w:t xml:space="preserve">further </w:t>
      </w:r>
      <w:r>
        <w:t xml:space="preserve">once a decision on </w:t>
      </w:r>
      <w:r w:rsidR="009E11F8">
        <w:t xml:space="preserve">the </w:t>
      </w:r>
      <w:r>
        <w:t xml:space="preserve">licensing approach for MSS </w:t>
      </w:r>
      <w:r w:rsidR="009E11F8">
        <w:t xml:space="preserve">is </w:t>
      </w:r>
      <w:r>
        <w:t>determined.</w:t>
      </w:r>
      <w:r w:rsidR="00C83729">
        <w:t xml:space="preserve"> This w</w:t>
      </w:r>
      <w:r w:rsidR="00FA5602">
        <w:t xml:space="preserve">ill </w:t>
      </w:r>
      <w:r w:rsidR="00C83729">
        <w:t>include the need, or otherwise, for a</w:t>
      </w:r>
      <w:r w:rsidR="007F6936">
        <w:t>n</w:t>
      </w:r>
      <w:r w:rsidR="00C83729">
        <w:t xml:space="preserve"> MSS service to be provided in order for the licence to be used to provide </w:t>
      </w:r>
      <w:r w:rsidR="007F6936">
        <w:t>complementary ground component</w:t>
      </w:r>
      <w:r w:rsidR="00C83729">
        <w:t xml:space="preserve">. </w:t>
      </w:r>
    </w:p>
    <w:p w14:paraId="3DEA13BD" w14:textId="6ED6B2B3" w:rsidR="00A21B29" w:rsidRPr="00F744BC" w:rsidRDefault="00A21B29" w:rsidP="00A21B29">
      <w:pPr>
        <w:pStyle w:val="ListBullet"/>
      </w:pPr>
      <w:r>
        <w:t>R</w:t>
      </w:r>
      <w:r w:rsidRPr="00F744BC">
        <w:t xml:space="preserve">equirement to have an ITU satellite filing </w:t>
      </w:r>
      <w:r>
        <w:t xml:space="preserve">that </w:t>
      </w:r>
      <w:r w:rsidRPr="00F744BC">
        <w:t>support</w:t>
      </w:r>
      <w:r>
        <w:t>s</w:t>
      </w:r>
      <w:r w:rsidRPr="00F744BC">
        <w:t xml:space="preserve"> operation of a mobile</w:t>
      </w:r>
      <w:r w:rsidR="00376373">
        <w:t>-</w:t>
      </w:r>
      <w:r w:rsidRPr="00F744BC">
        <w:t xml:space="preserve">satellite service in Australia </w:t>
      </w:r>
    </w:p>
    <w:p w14:paraId="58040663" w14:textId="744EED85" w:rsidR="00A21B29" w:rsidRDefault="00A21B29" w:rsidP="00A21B29">
      <w:pPr>
        <w:pStyle w:val="ListBullet"/>
      </w:pPr>
      <w:r w:rsidRPr="00F744BC">
        <w:t>Requirement to undertake international and coordination regulatory checks as currently</w:t>
      </w:r>
      <w:r>
        <w:t xml:space="preserve"> outlined in ACMA procedures for </w:t>
      </w:r>
      <w:hyperlink r:id="rId53">
        <w:r w:rsidR="00181DF0">
          <w:rPr>
            <w:rStyle w:val="Hyperlink"/>
          </w:rPr>
          <w:t>Submission and processing of applications for space and space receive apparatus licences</w:t>
        </w:r>
      </w:hyperlink>
      <w:r>
        <w:t xml:space="preserve">. </w:t>
      </w:r>
    </w:p>
    <w:p w14:paraId="0FC3A7CC" w14:textId="64BE7808" w:rsidR="00504220" w:rsidRDefault="008D7D5F" w:rsidP="00504220">
      <w:pPr>
        <w:pStyle w:val="ListBullet"/>
      </w:pPr>
      <w:r>
        <w:t xml:space="preserve">Support for </w:t>
      </w:r>
      <w:r w:rsidR="007F6936">
        <w:t>TOB</w:t>
      </w:r>
      <w:r>
        <w:t xml:space="preserve"> services removed from </w:t>
      </w:r>
      <w:hyperlink r:id="rId54">
        <w:r w:rsidR="00504220" w:rsidRPr="24D09117">
          <w:rPr>
            <w:rStyle w:val="Hyperlink"/>
          </w:rPr>
          <w:t>Television Outside Broadcast (1980</w:t>
        </w:r>
        <w:r w:rsidR="00B93279">
          <w:rPr>
            <w:rStyle w:val="Hyperlink"/>
          </w:rPr>
          <w:t>–</w:t>
        </w:r>
        <w:r w:rsidR="00504220" w:rsidRPr="24D09117">
          <w:rPr>
            <w:rStyle w:val="Hyperlink"/>
          </w:rPr>
          <w:t>2110 MHz and 2170-2300 MHz) Frequency Band Plan 2012</w:t>
        </w:r>
      </w:hyperlink>
      <w:r w:rsidR="00680EB8" w:rsidRPr="24D09117">
        <w:rPr>
          <w:rStyle w:val="Hyperlink"/>
        </w:rPr>
        <w:t xml:space="preserve"> </w:t>
      </w:r>
      <w:r w:rsidR="00931122" w:rsidRPr="24D09117">
        <w:rPr>
          <w:rStyle w:val="Hyperlink"/>
          <w:color w:val="auto"/>
          <w:u w:val="none"/>
        </w:rPr>
        <w:t>and associated RALI FX 21.</w:t>
      </w:r>
    </w:p>
    <w:p w14:paraId="3E98884D" w14:textId="2327C60A" w:rsidR="005336DF" w:rsidRDefault="00504220" w:rsidP="00504220">
      <w:pPr>
        <w:pStyle w:val="ListBullet"/>
      </w:pPr>
      <w:r>
        <w:t>Given regulatory arrangements for space</w:t>
      </w:r>
      <w:r w:rsidR="005336DF">
        <w:t>-</w:t>
      </w:r>
      <w:r>
        <w:t>based communication systems, licence allocation matters are likely to require consideration of</w:t>
      </w:r>
      <w:r w:rsidR="005336DF">
        <w:t>:</w:t>
      </w:r>
    </w:p>
    <w:p w14:paraId="5E7A62DD" w14:textId="6BDCB759" w:rsidR="00504220" w:rsidRDefault="00532A1F" w:rsidP="00532A1F">
      <w:pPr>
        <w:pStyle w:val="ListBullet2"/>
      </w:pPr>
      <w:r>
        <w:t>u</w:t>
      </w:r>
      <w:r w:rsidR="00504220">
        <w:t>pdate of</w:t>
      </w:r>
      <w:r w:rsidR="4F00F780">
        <w:t xml:space="preserve"> the</w:t>
      </w:r>
      <w:r w:rsidR="00504220">
        <w:t xml:space="preserve"> </w:t>
      </w:r>
      <w:hyperlink r:id="rId55">
        <w:r w:rsidR="00504220" w:rsidRPr="24D09117">
          <w:rPr>
            <w:rStyle w:val="Hyperlink"/>
          </w:rPr>
          <w:t>Radiocommunications (Communication with Space Object) Class Licence 2015</w:t>
        </w:r>
      </w:hyperlink>
      <w:r w:rsidR="00504220">
        <w:t xml:space="preserve"> to include the 2 GHz band</w:t>
      </w:r>
    </w:p>
    <w:p w14:paraId="28BEB8C9" w14:textId="2D7ED237" w:rsidR="007613D3" w:rsidRDefault="00532A1F" w:rsidP="00532A1F">
      <w:pPr>
        <w:pStyle w:val="ListBullet2"/>
      </w:pPr>
      <w:r>
        <w:t>u</w:t>
      </w:r>
      <w:r w:rsidR="007613D3">
        <w:t>pdates to</w:t>
      </w:r>
      <w:r w:rsidR="21831188">
        <w:t xml:space="preserve"> the</w:t>
      </w:r>
      <w:r w:rsidR="007613D3">
        <w:t xml:space="preserve"> </w:t>
      </w:r>
      <w:hyperlink r:id="rId56">
        <w:r w:rsidR="00E42B4E" w:rsidRPr="24D09117">
          <w:rPr>
            <w:rStyle w:val="Hyperlink"/>
          </w:rPr>
          <w:t>Radiocommunications (Foreign Space Objects) Determination 2014</w:t>
        </w:r>
      </w:hyperlink>
      <w:r w:rsidR="00E42B4E">
        <w:t xml:space="preserve"> and </w:t>
      </w:r>
      <w:r w:rsidR="4C5CA731">
        <w:t xml:space="preserve">the </w:t>
      </w:r>
      <w:hyperlink r:id="rId57">
        <w:r w:rsidR="00231B90" w:rsidRPr="24D09117">
          <w:rPr>
            <w:rStyle w:val="Hyperlink"/>
          </w:rPr>
          <w:t>Radiocommunications (Australian Space Objects) Determination 2014</w:t>
        </w:r>
      </w:hyperlink>
      <w:r w:rsidR="00E33189">
        <w:t xml:space="preserve"> to support </w:t>
      </w:r>
      <w:r w:rsidR="00074AC2">
        <w:t>potential/</w:t>
      </w:r>
      <w:r w:rsidR="00A263E3">
        <w:t xml:space="preserve">successful </w:t>
      </w:r>
      <w:r w:rsidR="008B76A1">
        <w:t xml:space="preserve">licence </w:t>
      </w:r>
      <w:r w:rsidR="00B7698D">
        <w:t>applicants</w:t>
      </w:r>
      <w:r w:rsidR="008B76A1">
        <w:t xml:space="preserve"> in any </w:t>
      </w:r>
      <w:r w:rsidR="00D46C18">
        <w:t>price-based allocation process</w:t>
      </w:r>
    </w:p>
    <w:p w14:paraId="2D75DDCE" w14:textId="49ACCB1C" w:rsidR="00A21B29" w:rsidRPr="008E1925" w:rsidRDefault="00532A1F" w:rsidP="008E1925">
      <w:pPr>
        <w:pStyle w:val="ListBullet2"/>
        <w:spacing w:after="240"/>
      </w:pPr>
      <w:r>
        <w:t>r</w:t>
      </w:r>
      <w:r w:rsidR="00D46C18">
        <w:t>evision</w:t>
      </w:r>
      <w:r w:rsidR="002A7293">
        <w:t>s</w:t>
      </w:r>
      <w:r w:rsidR="00D46C18">
        <w:t xml:space="preserve"> to embargo 23 to align with </w:t>
      </w:r>
      <w:r w:rsidR="00821919">
        <w:t>licence allocation timelines</w:t>
      </w:r>
      <w:r w:rsidR="009569D0">
        <w:t>.</w:t>
      </w:r>
      <w:r w:rsidR="00821919">
        <w:t xml:space="preserve"> </w:t>
      </w:r>
      <w:bookmarkStart w:id="71" w:name="Option_4a"/>
    </w:p>
    <w:p w14:paraId="1DCAF983" w14:textId="267E5FA5" w:rsidR="00A21B29" w:rsidRDefault="00A21B29" w:rsidP="00A21B29">
      <w:pPr>
        <w:pStyle w:val="ListBullet2"/>
        <w:numPr>
          <w:ilvl w:val="0"/>
          <w:numId w:val="0"/>
        </w:numPr>
        <w:rPr>
          <w:b/>
          <w:bCs/>
        </w:rPr>
      </w:pPr>
      <w:r w:rsidRPr="00AD3F5E">
        <w:rPr>
          <w:b/>
          <w:bCs/>
        </w:rPr>
        <w:t>2005</w:t>
      </w:r>
      <w:r w:rsidR="00723177">
        <w:rPr>
          <w:b/>
          <w:bCs/>
        </w:rPr>
        <w:t>–</w:t>
      </w:r>
      <w:r w:rsidRPr="00AD3F5E">
        <w:rPr>
          <w:b/>
          <w:bCs/>
        </w:rPr>
        <w:t>2010</w:t>
      </w:r>
      <w:r w:rsidR="00723177">
        <w:rPr>
          <w:b/>
          <w:bCs/>
        </w:rPr>
        <w:t xml:space="preserve"> and </w:t>
      </w:r>
      <w:r w:rsidRPr="00AD3F5E">
        <w:rPr>
          <w:b/>
          <w:bCs/>
        </w:rPr>
        <w:t>2195</w:t>
      </w:r>
      <w:r w:rsidR="00723177">
        <w:rPr>
          <w:b/>
          <w:bCs/>
        </w:rPr>
        <w:t>–</w:t>
      </w:r>
      <w:r w:rsidRPr="00AD3F5E">
        <w:rPr>
          <w:b/>
          <w:bCs/>
        </w:rPr>
        <w:t>2200 MHz</w:t>
      </w:r>
      <w:r>
        <w:rPr>
          <w:b/>
          <w:bCs/>
        </w:rPr>
        <w:t xml:space="preserve"> (</w:t>
      </w:r>
      <w:r w:rsidR="00723177">
        <w:rPr>
          <w:b/>
          <w:bCs/>
        </w:rPr>
        <w:t>s</w:t>
      </w:r>
      <w:r>
        <w:rPr>
          <w:b/>
          <w:bCs/>
        </w:rPr>
        <w:t>atellite IoT)</w:t>
      </w:r>
    </w:p>
    <w:p w14:paraId="0ED2C99F" w14:textId="688E0F0A" w:rsidR="00A21B29" w:rsidRPr="00F146F3" w:rsidRDefault="00A21B29" w:rsidP="00A21B29">
      <w:pPr>
        <w:pStyle w:val="ListBullet"/>
        <w:numPr>
          <w:ilvl w:val="0"/>
          <w:numId w:val="0"/>
        </w:numPr>
        <w:rPr>
          <w:iCs/>
        </w:rPr>
      </w:pPr>
      <w:r w:rsidRPr="00F146F3">
        <w:rPr>
          <w:iCs/>
        </w:rPr>
        <w:t>Australia</w:t>
      </w:r>
      <w:r w:rsidR="00723177" w:rsidRPr="00F146F3">
        <w:rPr>
          <w:iCs/>
        </w:rPr>
        <w:t>-</w:t>
      </w:r>
      <w:r w:rsidRPr="00F146F3">
        <w:rPr>
          <w:iCs/>
        </w:rPr>
        <w:t>wide</w:t>
      </w:r>
      <w:r w:rsidR="0042169A">
        <w:rPr>
          <w:iCs/>
        </w:rPr>
        <w:t>:</w:t>
      </w:r>
    </w:p>
    <w:p w14:paraId="478D80A0" w14:textId="60707EB7" w:rsidR="00A21B29" w:rsidRDefault="00A21B29" w:rsidP="00A21B29">
      <w:pPr>
        <w:pStyle w:val="ListBullet"/>
      </w:pPr>
      <w:r>
        <w:t>Low powered, low duty cycle satellite IoT service where parameters developed to ensure compatibility with adjacent band TOB services</w:t>
      </w:r>
      <w:r w:rsidR="0FFB4214">
        <w:t>.</w:t>
      </w:r>
      <w:r>
        <w:t xml:space="preserve"> </w:t>
      </w:r>
    </w:p>
    <w:p w14:paraId="1CE49F72" w14:textId="77777777" w:rsidR="005476F9" w:rsidRDefault="005476F9" w:rsidP="005476F9">
      <w:pPr>
        <w:pStyle w:val="ListBullet"/>
      </w:pPr>
      <w:r>
        <w:t>Supported as a shared satellite IoT band under class licensing arrangements through inclusion in the Communications with Space Objects Class Licence with requirement for space/space receive apparatus licences.</w:t>
      </w:r>
    </w:p>
    <w:p w14:paraId="126194B8" w14:textId="02D2C611" w:rsidR="00A21B29" w:rsidRDefault="00A21B29" w:rsidP="00A21B29">
      <w:pPr>
        <w:pStyle w:val="ListBullet"/>
      </w:pPr>
      <w:r>
        <w:t>No coordination requirements with other licensees in the band (that is licensees to self-coordinate)</w:t>
      </w:r>
      <w:r w:rsidR="2F7228C5">
        <w:t>.</w:t>
      </w:r>
    </w:p>
    <w:p w14:paraId="4493115D" w14:textId="43B2872F" w:rsidR="00A21B29" w:rsidRDefault="00A21B29" w:rsidP="00A21B29">
      <w:pPr>
        <w:pStyle w:val="ListBullet"/>
      </w:pPr>
      <w:r>
        <w:t xml:space="preserve">Minimal regulatory assessment of satellite filing to ensure proposed operation is consistent with ITU filing similar to those of ACMA procedures for </w:t>
      </w:r>
      <w:hyperlink r:id="rId58">
        <w:r w:rsidR="003B51A3">
          <w:rPr>
            <w:rStyle w:val="Hyperlink"/>
          </w:rPr>
          <w:t>Submission and processing of applications for space and space receive apparatus licences</w:t>
        </w:r>
      </w:hyperlink>
      <w:r w:rsidR="08029076" w:rsidRPr="24D09117">
        <w:rPr>
          <w:rStyle w:val="Hyperlink"/>
        </w:rPr>
        <w:t>.</w:t>
      </w:r>
    </w:p>
    <w:p w14:paraId="6EFF721C" w14:textId="335C225B" w:rsidR="00B16773" w:rsidRDefault="00B16773" w:rsidP="00B16773">
      <w:pPr>
        <w:pStyle w:val="Heading2"/>
      </w:pPr>
      <w:bookmarkStart w:id="72" w:name="_Toc46316369"/>
      <w:r>
        <w:lastRenderedPageBreak/>
        <w:t>Possible option variations</w:t>
      </w:r>
      <w:bookmarkEnd w:id="72"/>
    </w:p>
    <w:p w14:paraId="3C04CE3A" w14:textId="7A0FB05B" w:rsidR="00B16773" w:rsidRDefault="3F82DB6E" w:rsidP="006045B8">
      <w:pPr>
        <w:pStyle w:val="Paragraph"/>
      </w:pPr>
      <w:r>
        <w:t>Given</w:t>
      </w:r>
      <w:r w:rsidR="000218FB">
        <w:t xml:space="preserve"> interest in </w:t>
      </w:r>
      <w:r w:rsidR="00484D69">
        <w:t>local</w:t>
      </w:r>
      <w:r w:rsidR="0057012C">
        <w:t>-</w:t>
      </w:r>
      <w:r w:rsidR="00484D69">
        <w:t>area wireless broadband</w:t>
      </w:r>
      <w:r w:rsidR="00BE6FAC">
        <w:t>,</w:t>
      </w:r>
      <w:r w:rsidR="00484D69">
        <w:t xml:space="preserve"> a possible </w:t>
      </w:r>
      <w:r w:rsidR="00DE74A3">
        <w:t xml:space="preserve">variant </w:t>
      </w:r>
      <w:r w:rsidR="00C04BD0">
        <w:t xml:space="preserve">of </w:t>
      </w:r>
      <w:r w:rsidR="00492994">
        <w:t>O</w:t>
      </w:r>
      <w:r w:rsidR="00C04BD0">
        <w:t xml:space="preserve">ption </w:t>
      </w:r>
      <w:r w:rsidR="00380438">
        <w:t>3</w:t>
      </w:r>
      <w:r w:rsidR="00DE74A3">
        <w:t xml:space="preserve"> </w:t>
      </w:r>
      <w:r w:rsidR="00E463ED">
        <w:t xml:space="preserve">is to </w:t>
      </w:r>
      <w:r w:rsidR="00E61428">
        <w:t xml:space="preserve">provide for </w:t>
      </w:r>
      <w:r w:rsidR="00E463ED">
        <w:t>local</w:t>
      </w:r>
      <w:r w:rsidR="0057012C">
        <w:t xml:space="preserve">-area wireless broadband </w:t>
      </w:r>
      <w:r w:rsidR="00284F15">
        <w:t xml:space="preserve">in regional and remote areas </w:t>
      </w:r>
      <w:r w:rsidR="004A5B77">
        <w:t xml:space="preserve">in </w:t>
      </w:r>
      <w:r w:rsidR="00411827">
        <w:t>part of the band (for example</w:t>
      </w:r>
      <w:r w:rsidR="00A465C2">
        <w:t>,</w:t>
      </w:r>
      <w:r w:rsidR="00411827">
        <w:t xml:space="preserve"> </w:t>
      </w:r>
      <w:r w:rsidR="008D71C8">
        <w:t>1980</w:t>
      </w:r>
      <w:r w:rsidR="00270AD3">
        <w:t>–</w:t>
      </w:r>
      <w:r w:rsidR="00B642CA">
        <w:t>1990</w:t>
      </w:r>
      <w:r w:rsidR="00270AD3">
        <w:t xml:space="preserve"> and </w:t>
      </w:r>
      <w:r w:rsidR="007A6BC4">
        <w:t>2170</w:t>
      </w:r>
      <w:r w:rsidR="00270AD3">
        <w:t>–</w:t>
      </w:r>
      <w:r w:rsidR="007A6BC4">
        <w:t>2180 MHz (</w:t>
      </w:r>
      <w:r w:rsidR="004A5B77">
        <w:t>2</w:t>
      </w:r>
      <w:r w:rsidR="00270AD3">
        <w:t xml:space="preserve"> </w:t>
      </w:r>
      <w:r w:rsidR="004A5B77">
        <w:t>x</w:t>
      </w:r>
      <w:r w:rsidR="00270AD3">
        <w:t xml:space="preserve"> </w:t>
      </w:r>
      <w:r w:rsidR="004A5B77">
        <w:t>10 MHz</w:t>
      </w:r>
      <w:r w:rsidR="007A6BC4">
        <w:t>)</w:t>
      </w:r>
      <w:r w:rsidR="00411827">
        <w:t>)</w:t>
      </w:r>
      <w:r w:rsidR="00A84EA9">
        <w:t xml:space="preserve">. </w:t>
      </w:r>
      <w:r w:rsidR="00CE4800">
        <w:t>Mobile</w:t>
      </w:r>
      <w:r w:rsidR="00376373">
        <w:t>-</w:t>
      </w:r>
      <w:r w:rsidR="00CE4800">
        <w:t xml:space="preserve">satellite services could </w:t>
      </w:r>
      <w:r w:rsidR="00411827">
        <w:t xml:space="preserve">continue to operate in this segment </w:t>
      </w:r>
      <w:r w:rsidR="00CE4800">
        <w:t>on a no</w:t>
      </w:r>
      <w:r w:rsidR="00270AD3">
        <w:t>-</w:t>
      </w:r>
      <w:r w:rsidR="00CE4800">
        <w:t>protection basis</w:t>
      </w:r>
      <w:r w:rsidR="00E51AC2">
        <w:t>, however</w:t>
      </w:r>
      <w:r w:rsidR="00683D35">
        <w:t xml:space="preserve"> a</w:t>
      </w:r>
      <w:r w:rsidR="00E51AC2">
        <w:t xml:space="preserve"> complementary ground </w:t>
      </w:r>
      <w:r w:rsidR="00D53740">
        <w:t>component would</w:t>
      </w:r>
      <w:r w:rsidR="00E51AC2">
        <w:t xml:space="preserve"> not be supported. </w:t>
      </w:r>
      <w:r w:rsidR="00A84F30" w:rsidRPr="000D0300">
        <w:t xml:space="preserve">Interference between </w:t>
      </w:r>
      <w:r w:rsidR="00D53740">
        <w:t>mobile</w:t>
      </w:r>
      <w:r w:rsidR="00A73606">
        <w:t xml:space="preserve"> </w:t>
      </w:r>
      <w:r w:rsidR="00D53740">
        <w:t xml:space="preserve">satellite </w:t>
      </w:r>
      <w:r w:rsidR="00A84F30" w:rsidRPr="000D0300">
        <w:t xml:space="preserve">and </w:t>
      </w:r>
      <w:r w:rsidR="00D53740">
        <w:t>l</w:t>
      </w:r>
      <w:r w:rsidR="003C5805">
        <w:t xml:space="preserve">ocal-area wireless broadband is </w:t>
      </w:r>
      <w:r w:rsidR="00A84F30" w:rsidRPr="000D0300">
        <w:t xml:space="preserve">expected to be self-managing with </w:t>
      </w:r>
      <w:r w:rsidR="003C5805">
        <w:t>mobile</w:t>
      </w:r>
      <w:r w:rsidR="00A73606">
        <w:t>-</w:t>
      </w:r>
      <w:r w:rsidR="003C5805">
        <w:t xml:space="preserve">satellite </w:t>
      </w:r>
      <w:r w:rsidR="00A84F30" w:rsidRPr="000D0300">
        <w:t>use expected</w:t>
      </w:r>
      <w:r w:rsidR="00A84F30">
        <w:t xml:space="preserve"> to be limited in areas of </w:t>
      </w:r>
      <w:r w:rsidR="003C5805">
        <w:t xml:space="preserve">local-area wireless broadband </w:t>
      </w:r>
      <w:r w:rsidR="00A84F30">
        <w:t>operation</w:t>
      </w:r>
      <w:r w:rsidR="003C5805">
        <w:t xml:space="preserve">. </w:t>
      </w:r>
    </w:p>
    <w:p w14:paraId="00B19BAA" w14:textId="22E106F8" w:rsidR="0063142A" w:rsidRDefault="0063142A" w:rsidP="006045B8">
      <w:pPr>
        <w:pStyle w:val="Paragraph"/>
      </w:pPr>
      <w:r>
        <w:t xml:space="preserve">Another variation of </w:t>
      </w:r>
      <w:r w:rsidR="00492994">
        <w:t>O</w:t>
      </w:r>
      <w:r>
        <w:t xml:space="preserve">ption </w:t>
      </w:r>
      <w:r w:rsidR="2579E0F1">
        <w:t>3</w:t>
      </w:r>
      <w:r>
        <w:t xml:space="preserve"> is to grandfather existing </w:t>
      </w:r>
      <w:r w:rsidR="007F6936">
        <w:t>TOB</w:t>
      </w:r>
      <w:r>
        <w:t xml:space="preserve"> usage in capital cities. This would require </w:t>
      </w:r>
      <w:r w:rsidR="00C62B70">
        <w:t>c</w:t>
      </w:r>
      <w:r>
        <w:t xml:space="preserve">oordination </w:t>
      </w:r>
      <w:r w:rsidR="00342506">
        <w:t>with</w:t>
      </w:r>
      <w:r>
        <w:t xml:space="preserve"> </w:t>
      </w:r>
      <w:r w:rsidR="00D94AB4">
        <w:t xml:space="preserve">MSS </w:t>
      </w:r>
      <w:r>
        <w:t xml:space="preserve">complementary ground component services. </w:t>
      </w:r>
      <w:r w:rsidR="00C62B70">
        <w:t>As outlined in the analysis at</w:t>
      </w:r>
      <w:r w:rsidR="00492994">
        <w:t xml:space="preserve"> </w:t>
      </w:r>
      <w:hyperlink w:anchor="_Appendix_E:_Television" w:history="1">
        <w:r w:rsidR="00492994" w:rsidRPr="00492994">
          <w:rPr>
            <w:rStyle w:val="Hyperlink"/>
          </w:rPr>
          <w:t>Appendix E: Television outside broadcast and wireless broadband sharing study</w:t>
        </w:r>
      </w:hyperlink>
      <w:r w:rsidR="00A85044">
        <w:t>, separation distances up to 20</w:t>
      </w:r>
      <w:r w:rsidR="00F8428B">
        <w:t xml:space="preserve"> </w:t>
      </w:r>
      <w:r w:rsidR="00A85044">
        <w:t>km</w:t>
      </w:r>
      <w:r w:rsidR="00F8428B">
        <w:t xml:space="preserve"> would be required</w:t>
      </w:r>
      <w:r w:rsidR="00A85044">
        <w:t xml:space="preserve">, </w:t>
      </w:r>
      <w:r w:rsidR="0042202E">
        <w:t xml:space="preserve">resulting </w:t>
      </w:r>
      <w:r w:rsidR="003B1C98">
        <w:t>in</w:t>
      </w:r>
      <w:r w:rsidR="0042202E">
        <w:t xml:space="preserve"> spectrum denial in large parts of capital city areas.</w:t>
      </w:r>
      <w:r w:rsidR="00894F62">
        <w:t xml:space="preserve"> </w:t>
      </w:r>
      <w:r w:rsidR="00656509">
        <w:t>T</w:t>
      </w:r>
      <w:r w:rsidR="00894F62">
        <w:t>h</w:t>
      </w:r>
      <w:r w:rsidR="00B765A3">
        <w:t xml:space="preserve">e ACMA considers </w:t>
      </w:r>
      <w:r w:rsidR="00277E2B">
        <w:t xml:space="preserve">this level of spectrum denial </w:t>
      </w:r>
      <w:r w:rsidR="001905DD">
        <w:t xml:space="preserve">is </w:t>
      </w:r>
      <w:r w:rsidR="00656509">
        <w:t xml:space="preserve">likely </w:t>
      </w:r>
      <w:r w:rsidR="002E57CB">
        <w:t>to be too high</w:t>
      </w:r>
      <w:r w:rsidR="005F5589">
        <w:t xml:space="preserve">, as it </w:t>
      </w:r>
      <w:r w:rsidR="2B7D77B0">
        <w:t xml:space="preserve">would </w:t>
      </w:r>
      <w:r w:rsidR="005F5589">
        <w:t>p</w:t>
      </w:r>
      <w:r w:rsidR="00E80742">
        <w:t>reclud</w:t>
      </w:r>
      <w:r w:rsidR="005F5589">
        <w:t>e the operation of</w:t>
      </w:r>
      <w:r w:rsidR="00E80742">
        <w:t xml:space="preserve"> new services </w:t>
      </w:r>
      <w:r w:rsidR="00B81D07">
        <w:t xml:space="preserve">across </w:t>
      </w:r>
      <w:r w:rsidR="00656509">
        <w:t xml:space="preserve">substantial areas of </w:t>
      </w:r>
      <w:r w:rsidR="00B81D07">
        <w:t>high-density</w:t>
      </w:r>
      <w:r w:rsidR="00E80742">
        <w:t xml:space="preserve"> population centres</w:t>
      </w:r>
      <w:r w:rsidR="004461D3">
        <w:t>.</w:t>
      </w:r>
    </w:p>
    <w:p w14:paraId="69A91756" w14:textId="7B1AC345" w:rsidR="00F75AA9" w:rsidRPr="004C0141" w:rsidRDefault="00F75AA9" w:rsidP="00F75AA9">
      <w:pPr>
        <w:pStyle w:val="Heading2"/>
      </w:pPr>
      <w:bookmarkStart w:id="73" w:name="_Toc43296203"/>
      <w:bookmarkStart w:id="74" w:name="_Toc46316370"/>
      <w:r>
        <w:t xml:space="preserve">Implementation </w:t>
      </w:r>
      <w:r w:rsidR="006045B8">
        <w:t>c</w:t>
      </w:r>
      <w:r>
        <w:t>onsiderations</w:t>
      </w:r>
      <w:bookmarkEnd w:id="73"/>
      <w:bookmarkEnd w:id="74"/>
    </w:p>
    <w:p w14:paraId="3BFB080E" w14:textId="636B77B7" w:rsidR="00450C9E" w:rsidRDefault="00F75AA9" w:rsidP="006045B8">
      <w:pPr>
        <w:pStyle w:val="Paragraph"/>
      </w:pPr>
      <w:r>
        <w:t xml:space="preserve">Consideration needs to be given to </w:t>
      </w:r>
      <w:r w:rsidR="006E5BC9">
        <w:t xml:space="preserve">the duration of </w:t>
      </w:r>
      <w:r w:rsidR="00D07966">
        <w:t xml:space="preserve">the </w:t>
      </w:r>
      <w:r>
        <w:t>transition period</w:t>
      </w:r>
      <w:r w:rsidR="00346830">
        <w:t xml:space="preserve"> for </w:t>
      </w:r>
      <w:r>
        <w:t>any new arrangements</w:t>
      </w:r>
      <w:r w:rsidR="00241EBD">
        <w:t xml:space="preserve"> in the 2 GHz</w:t>
      </w:r>
      <w:r w:rsidR="00346830">
        <w:t xml:space="preserve"> band</w:t>
      </w:r>
      <w:r w:rsidR="00241EBD">
        <w:t xml:space="preserve">. </w:t>
      </w:r>
      <w:r w:rsidR="001D28D9">
        <w:t>C</w:t>
      </w:r>
      <w:r w:rsidR="006E5BC9">
        <w:t>onsideration of an</w:t>
      </w:r>
      <w:r>
        <w:t xml:space="preserve"> appropriate reallocation period for any geographical area and frequency segment that may be subject to spectrum licence reallocation</w:t>
      </w:r>
      <w:r w:rsidR="00450C9E">
        <w:t xml:space="preserve"> </w:t>
      </w:r>
      <w:r w:rsidR="00106A40">
        <w:t xml:space="preserve">will be important </w:t>
      </w:r>
      <w:r w:rsidR="00A0561B">
        <w:t>(</w:t>
      </w:r>
      <w:r w:rsidR="00D07966">
        <w:t xml:space="preserve">under </w:t>
      </w:r>
      <w:r w:rsidR="00492994">
        <w:t>O</w:t>
      </w:r>
      <w:r w:rsidR="00A0561B">
        <w:t>ption 2)</w:t>
      </w:r>
      <w:r w:rsidR="00106A40">
        <w:t>. Similarly,</w:t>
      </w:r>
      <w:r w:rsidR="00450C9E">
        <w:t xml:space="preserve"> </w:t>
      </w:r>
      <w:r w:rsidR="007127D6">
        <w:t xml:space="preserve">appropriate </w:t>
      </w:r>
      <w:r w:rsidR="00087397">
        <w:t xml:space="preserve">implementation </w:t>
      </w:r>
      <w:r w:rsidR="007127D6">
        <w:t xml:space="preserve">timeframes for </w:t>
      </w:r>
      <w:r w:rsidR="009623C2">
        <w:t xml:space="preserve">changes to </w:t>
      </w:r>
      <w:r w:rsidR="00460D27">
        <w:t xml:space="preserve">frequency band </w:t>
      </w:r>
      <w:r w:rsidR="002005DE">
        <w:t xml:space="preserve">plans </w:t>
      </w:r>
      <w:r w:rsidR="00106A40">
        <w:t xml:space="preserve">are relevant considerations </w:t>
      </w:r>
      <w:r w:rsidR="00D07966">
        <w:t xml:space="preserve">under </w:t>
      </w:r>
      <w:r w:rsidR="00492994">
        <w:t>O</w:t>
      </w:r>
      <w:r w:rsidR="00241EBD">
        <w:t>ption 3</w:t>
      </w:r>
      <w:r w:rsidR="2E4612CE">
        <w:t>.</w:t>
      </w:r>
    </w:p>
    <w:p w14:paraId="301AF57D" w14:textId="079D6B5E" w:rsidR="00106BB9" w:rsidRPr="00106BB9" w:rsidRDefault="003423D6" w:rsidP="006045B8">
      <w:pPr>
        <w:pStyle w:val="Paragraph"/>
      </w:pPr>
      <w:r>
        <w:t xml:space="preserve">For </w:t>
      </w:r>
      <w:r w:rsidR="00492994">
        <w:t>O</w:t>
      </w:r>
      <w:r>
        <w:t xml:space="preserve">ption </w:t>
      </w:r>
      <w:r w:rsidR="00E83B31">
        <w:t>2</w:t>
      </w:r>
      <w:r w:rsidR="008E6FCE">
        <w:t>,</w:t>
      </w:r>
      <w:r>
        <w:t xml:space="preserve"> </w:t>
      </w:r>
      <w:r w:rsidR="008E6FCE">
        <w:t xml:space="preserve">supporting </w:t>
      </w:r>
      <w:r w:rsidR="007F6936">
        <w:t>MSS</w:t>
      </w:r>
      <w:r w:rsidR="008E6FCE">
        <w:t xml:space="preserve">, the requirements </w:t>
      </w:r>
      <w:r w:rsidR="00E718BA">
        <w:t xml:space="preserve">outlined in the </w:t>
      </w:r>
      <w:r w:rsidR="007A5BF3">
        <w:t xml:space="preserve">section </w:t>
      </w:r>
      <w:r w:rsidR="007A5BF3">
        <w:fldChar w:fldCharType="begin"/>
      </w:r>
      <w:r w:rsidR="007A5BF3">
        <w:instrText xml:space="preserve"> REF _Ref43392470 \h </w:instrText>
      </w:r>
      <w:r w:rsidR="006045B8">
        <w:instrText xml:space="preserve"> \* MERGEFORMAT </w:instrText>
      </w:r>
      <w:r w:rsidR="007A5BF3">
        <w:fldChar w:fldCharType="separate"/>
      </w:r>
      <w:r w:rsidR="00ED39C6">
        <w:t>Mobile-satellite spectrum considerations</w:t>
      </w:r>
      <w:r w:rsidR="007A5BF3">
        <w:fldChar w:fldCharType="end"/>
      </w:r>
      <w:r w:rsidR="001505E8">
        <w:t xml:space="preserve"> </w:t>
      </w:r>
      <w:r w:rsidR="00CD123A">
        <w:t>in</w:t>
      </w:r>
      <w:r w:rsidR="00492994">
        <w:t xml:space="preserve"> </w:t>
      </w:r>
      <w:hyperlink w:anchor="_Appendix_B:_Domestic" w:history="1">
        <w:r w:rsidR="00492994" w:rsidRPr="00492994">
          <w:rPr>
            <w:rStyle w:val="Hyperlink"/>
          </w:rPr>
          <w:t>Appendix B: Domestic considerations</w:t>
        </w:r>
      </w:hyperlink>
      <w:r w:rsidR="00492994">
        <w:t xml:space="preserve"> </w:t>
      </w:r>
      <w:r w:rsidR="00CD123A">
        <w:t>would</w:t>
      </w:r>
      <w:r w:rsidR="001505E8">
        <w:t xml:space="preserve"> need to be consider</w:t>
      </w:r>
      <w:r w:rsidR="00D07966">
        <w:t>ed</w:t>
      </w:r>
      <w:r w:rsidR="001505E8">
        <w:t xml:space="preserve"> further in the context of a</w:t>
      </w:r>
      <w:r w:rsidR="00987015">
        <w:t xml:space="preserve"> possible</w:t>
      </w:r>
      <w:r w:rsidR="001505E8">
        <w:t xml:space="preserve"> price</w:t>
      </w:r>
      <w:r w:rsidR="001D00A6">
        <w:t>-</w:t>
      </w:r>
      <w:r w:rsidR="001505E8">
        <w:t>based allocation process.</w:t>
      </w:r>
    </w:p>
    <w:p w14:paraId="6BA7B689" w14:textId="15609BC7" w:rsidR="00FF66E6" w:rsidRDefault="004432B0" w:rsidP="00532A1F">
      <w:pPr>
        <w:pStyle w:val="Paragraph"/>
        <w:rPr>
          <w:color w:val="000000" w:themeColor="text1"/>
        </w:rPr>
      </w:pPr>
      <w:r>
        <w:t>Fo</w:t>
      </w:r>
      <w:r w:rsidR="00C167EC">
        <w:t>r</w:t>
      </w:r>
      <w:r>
        <w:t xml:space="preserve"> the </w:t>
      </w:r>
      <w:r w:rsidR="004B2B09">
        <w:t>proposal for a</w:t>
      </w:r>
      <w:r>
        <w:t xml:space="preserve"> </w:t>
      </w:r>
      <w:r w:rsidR="000E5BB5">
        <w:t>shared satellite IoT band under class licensing arrangements</w:t>
      </w:r>
      <w:r w:rsidR="001D67DC">
        <w:t xml:space="preserve">, </w:t>
      </w:r>
      <w:r w:rsidR="001E511C">
        <w:t xml:space="preserve">the ACMA would consider </w:t>
      </w:r>
      <w:r w:rsidR="008569B0">
        <w:t xml:space="preserve">the feasibility of </w:t>
      </w:r>
      <w:r w:rsidR="003D7A67">
        <w:t xml:space="preserve">implementation </w:t>
      </w:r>
      <w:r w:rsidR="002C3E92">
        <w:t>o</w:t>
      </w:r>
      <w:r w:rsidR="00C167EC">
        <w:t>f</w:t>
      </w:r>
      <w:r w:rsidR="002C3E92">
        <w:t xml:space="preserve"> this option </w:t>
      </w:r>
      <w:r w:rsidR="00214ABB">
        <w:t xml:space="preserve">independently </w:t>
      </w:r>
      <w:r w:rsidR="00DA1BAC">
        <w:t xml:space="preserve">of other </w:t>
      </w:r>
      <w:r w:rsidR="00067EF8">
        <w:t>elements</w:t>
      </w:r>
      <w:r w:rsidR="008569B0">
        <w:t xml:space="preserve"> so to not unnecessarily delay access </w:t>
      </w:r>
      <w:r w:rsidR="005A59C3">
        <w:t xml:space="preserve">to spectrum for satellite IoT </w:t>
      </w:r>
      <w:r w:rsidR="000A50F2">
        <w:t>systems</w:t>
      </w:r>
      <w:r w:rsidR="00067EF8">
        <w:t xml:space="preserve">. A key consideration in this regard </w:t>
      </w:r>
      <w:r w:rsidR="006F3FDE">
        <w:t xml:space="preserve">is whether </w:t>
      </w:r>
      <w:r w:rsidR="00AF4444">
        <w:t xml:space="preserve">sufficient </w:t>
      </w:r>
      <w:r w:rsidR="006F3FDE">
        <w:t xml:space="preserve">information is </w:t>
      </w:r>
      <w:r w:rsidR="00AF4444">
        <w:t xml:space="preserve">available to assess </w:t>
      </w:r>
      <w:r w:rsidR="008946A8">
        <w:t>adjacent band interference matters.</w:t>
      </w:r>
      <w:r w:rsidR="00566A2F">
        <w:t xml:space="preserve"> </w:t>
      </w:r>
    </w:p>
    <w:p w14:paraId="39481A43" w14:textId="77777777" w:rsidR="00727B80" w:rsidRDefault="00727B80" w:rsidP="00727B80">
      <w:pPr>
        <w:spacing w:after="0" w:line="240" w:lineRule="auto"/>
        <w:rPr>
          <w:rFonts w:cs="Arial"/>
          <w:bCs/>
          <w:color w:val="000000" w:themeColor="text1"/>
        </w:rPr>
        <w:sectPr w:rsidR="00727B80" w:rsidSect="00C77380">
          <w:headerReference w:type="even" r:id="rId59"/>
          <w:headerReference w:type="default" r:id="rId60"/>
          <w:footerReference w:type="even" r:id="rId61"/>
          <w:footerReference w:type="default" r:id="rId62"/>
          <w:pgSz w:w="11906" w:h="16838" w:code="9"/>
          <w:pgMar w:top="1945" w:right="3101" w:bottom="1134" w:left="1134" w:header="709" w:footer="119" w:gutter="0"/>
          <w:pgNumType w:start="1"/>
          <w:cols w:space="708"/>
          <w:docGrid w:linePitch="360"/>
        </w:sectPr>
      </w:pPr>
    </w:p>
    <w:p w14:paraId="61B0CB6F" w14:textId="77777777" w:rsidR="000579D6" w:rsidRPr="00912366" w:rsidRDefault="000579D6" w:rsidP="000579D6">
      <w:pPr>
        <w:pStyle w:val="Heading2"/>
      </w:pPr>
      <w:bookmarkStart w:id="75" w:name="_Toc43296201"/>
      <w:bookmarkStart w:id="76" w:name="_Toc46316371"/>
      <w:r w:rsidRPr="00F92FE4">
        <w:lastRenderedPageBreak/>
        <w:t>Summary of options</w:t>
      </w:r>
      <w:r>
        <w:t xml:space="preserve"> by service type</w:t>
      </w:r>
      <w:bookmarkEnd w:id="75"/>
      <w:bookmarkEnd w:id="76"/>
    </w:p>
    <w:p w14:paraId="165E049F" w14:textId="77777777" w:rsidR="000579D6" w:rsidRPr="000579D6" w:rsidRDefault="000579D6" w:rsidP="002714AB">
      <w:pPr>
        <w:pStyle w:val="Paragraph"/>
      </w:pPr>
    </w:p>
    <w:p w14:paraId="1E2452A9" w14:textId="74B4929A" w:rsidR="00727B80" w:rsidRPr="009076FC" w:rsidRDefault="00727B80" w:rsidP="00F146F3">
      <w:pPr>
        <w:pStyle w:val="ACMATableHeader"/>
        <w:tabs>
          <w:tab w:val="clear" w:pos="1957"/>
          <w:tab w:val="num" w:pos="993"/>
        </w:tabs>
        <w:ind w:left="993" w:hanging="993"/>
      </w:pPr>
      <w:r>
        <w:t>Summary of options by service type</w:t>
      </w:r>
    </w:p>
    <w:tbl>
      <w:tblPr>
        <w:tblStyle w:val="TableGrid"/>
        <w:tblW w:w="5000" w:type="pct"/>
        <w:tblCellMar>
          <w:top w:w="113" w:type="dxa"/>
          <w:bottom w:w="113" w:type="dxa"/>
        </w:tblCellMar>
        <w:tblLook w:val="04A0" w:firstRow="1" w:lastRow="0" w:firstColumn="1" w:lastColumn="0" w:noHBand="0" w:noVBand="1"/>
      </w:tblPr>
      <w:tblGrid>
        <w:gridCol w:w="861"/>
        <w:gridCol w:w="2576"/>
        <w:gridCol w:w="2579"/>
        <w:gridCol w:w="2577"/>
        <w:gridCol w:w="2579"/>
        <w:gridCol w:w="2577"/>
      </w:tblGrid>
      <w:tr w:rsidR="00D02966" w:rsidRPr="006347E7" w14:paraId="43E46088" w14:textId="77777777" w:rsidTr="00AB5C73">
        <w:trPr>
          <w:trHeight w:val="261"/>
          <w:tblHeader/>
        </w:trPr>
        <w:tc>
          <w:tcPr>
            <w:tcW w:w="153" w:type="pct"/>
            <w:shd w:val="clear" w:color="auto" w:fill="404040" w:themeFill="text1" w:themeFillTint="BF"/>
          </w:tcPr>
          <w:p w14:paraId="7283DA75" w14:textId="77777777" w:rsidR="00727B80" w:rsidRPr="006347E7" w:rsidRDefault="00727B80" w:rsidP="006232A0">
            <w:pPr>
              <w:rPr>
                <w:b/>
                <w:color w:val="FFFFFF" w:themeColor="background1"/>
              </w:rPr>
            </w:pPr>
            <w:r>
              <w:rPr>
                <w:b/>
                <w:color w:val="FFFFFF" w:themeColor="background1"/>
              </w:rPr>
              <w:t>Option</w:t>
            </w:r>
          </w:p>
        </w:tc>
        <w:tc>
          <w:tcPr>
            <w:tcW w:w="969" w:type="pct"/>
            <w:shd w:val="clear" w:color="auto" w:fill="404040" w:themeFill="text1" w:themeFillTint="BF"/>
          </w:tcPr>
          <w:p w14:paraId="4760BC21" w14:textId="7362FB6D" w:rsidR="00727B80" w:rsidRPr="006347E7" w:rsidRDefault="00727B80" w:rsidP="006232A0">
            <w:pPr>
              <w:rPr>
                <w:b/>
                <w:color w:val="FFFFFF" w:themeColor="background1"/>
                <w:vertAlign w:val="superscript"/>
              </w:rPr>
            </w:pPr>
            <w:r w:rsidRPr="006347E7">
              <w:rPr>
                <w:b/>
                <w:bCs/>
                <w:color w:val="FFFFFF" w:themeColor="background1"/>
              </w:rPr>
              <w:t>T</w:t>
            </w:r>
            <w:r w:rsidR="00AB5C73">
              <w:rPr>
                <w:b/>
                <w:bCs/>
                <w:color w:val="FFFFFF" w:themeColor="background1"/>
              </w:rPr>
              <w:t>elevision outside broadcast</w:t>
            </w:r>
          </w:p>
        </w:tc>
        <w:tc>
          <w:tcPr>
            <w:tcW w:w="970" w:type="pct"/>
            <w:shd w:val="clear" w:color="auto" w:fill="404040" w:themeFill="text1" w:themeFillTint="BF"/>
          </w:tcPr>
          <w:p w14:paraId="651E211E" w14:textId="3B1830E1" w:rsidR="00727B80" w:rsidRPr="006347E7" w:rsidRDefault="002714AB" w:rsidP="006232A0">
            <w:pPr>
              <w:rPr>
                <w:b/>
                <w:color w:val="FFFFFF" w:themeColor="background1"/>
              </w:rPr>
            </w:pPr>
            <w:r w:rsidRPr="006347E7">
              <w:rPr>
                <w:b/>
                <w:bCs/>
                <w:color w:val="FFFFFF" w:themeColor="background1"/>
              </w:rPr>
              <w:t>Wide-area wireless broadband</w:t>
            </w:r>
          </w:p>
        </w:tc>
        <w:tc>
          <w:tcPr>
            <w:tcW w:w="969" w:type="pct"/>
            <w:shd w:val="clear" w:color="auto" w:fill="404040" w:themeFill="text1" w:themeFillTint="BF"/>
          </w:tcPr>
          <w:p w14:paraId="4FE961A7" w14:textId="3A0A013E" w:rsidR="00727B80" w:rsidRPr="006347E7" w:rsidRDefault="002714AB" w:rsidP="006232A0">
            <w:pPr>
              <w:rPr>
                <w:b/>
                <w:color w:val="FFFFFF" w:themeColor="background1"/>
              </w:rPr>
            </w:pPr>
            <w:r w:rsidRPr="006347E7">
              <w:rPr>
                <w:b/>
                <w:bCs/>
                <w:color w:val="FFFFFF" w:themeColor="background1"/>
              </w:rPr>
              <w:t>Local-area wireless broadband</w:t>
            </w:r>
          </w:p>
        </w:tc>
        <w:tc>
          <w:tcPr>
            <w:tcW w:w="970" w:type="pct"/>
            <w:shd w:val="clear" w:color="auto" w:fill="404040" w:themeFill="text1" w:themeFillTint="BF"/>
          </w:tcPr>
          <w:p w14:paraId="475410C5" w14:textId="13502567" w:rsidR="00727B80" w:rsidRPr="006347E7" w:rsidRDefault="006347E7" w:rsidP="006232A0">
            <w:pPr>
              <w:rPr>
                <w:b/>
                <w:color w:val="FFFFFF" w:themeColor="background1"/>
              </w:rPr>
            </w:pPr>
            <w:r>
              <w:rPr>
                <w:b/>
                <w:bCs/>
                <w:color w:val="FFFFFF" w:themeColor="background1"/>
              </w:rPr>
              <w:t>Direct air-to-ground communications</w:t>
            </w:r>
          </w:p>
        </w:tc>
        <w:tc>
          <w:tcPr>
            <w:tcW w:w="970" w:type="pct"/>
            <w:shd w:val="clear" w:color="auto" w:fill="404040" w:themeFill="text1" w:themeFillTint="BF"/>
          </w:tcPr>
          <w:p w14:paraId="7F142BE1" w14:textId="68AADF47" w:rsidR="00727B80" w:rsidRPr="006347E7" w:rsidRDefault="006347E7" w:rsidP="006232A0">
            <w:pPr>
              <w:rPr>
                <w:b/>
                <w:color w:val="FFFFFF" w:themeColor="background1"/>
                <w:vertAlign w:val="superscript"/>
              </w:rPr>
            </w:pPr>
            <w:r>
              <w:rPr>
                <w:b/>
                <w:bCs/>
                <w:color w:val="FFFFFF" w:themeColor="background1"/>
              </w:rPr>
              <w:t>Mobile-satellite service</w:t>
            </w:r>
            <w:r>
              <w:rPr>
                <w:b/>
                <w:bCs/>
                <w:color w:val="FFFFFF" w:themeColor="background1"/>
              </w:rPr>
              <w:br/>
              <w:t>(Australia-wide)</w:t>
            </w:r>
          </w:p>
        </w:tc>
      </w:tr>
      <w:tr w:rsidR="00D02966" w14:paraId="32ED3468" w14:textId="77777777" w:rsidTr="00AB5C73">
        <w:trPr>
          <w:trHeight w:val="512"/>
        </w:trPr>
        <w:tc>
          <w:tcPr>
            <w:tcW w:w="153" w:type="pct"/>
          </w:tcPr>
          <w:p w14:paraId="2B581CBF" w14:textId="77777777" w:rsidR="00727B80" w:rsidRPr="00AB5C73" w:rsidRDefault="00727B80" w:rsidP="006347E7">
            <w:pPr>
              <w:pStyle w:val="TableBody"/>
              <w:jc w:val="center"/>
              <w:rPr>
                <w:b/>
              </w:rPr>
            </w:pPr>
            <w:r w:rsidRPr="00AB5C73">
              <w:rPr>
                <w:b/>
              </w:rPr>
              <w:t>1</w:t>
            </w:r>
          </w:p>
        </w:tc>
        <w:tc>
          <w:tcPr>
            <w:tcW w:w="969" w:type="pct"/>
            <w:tcMar>
              <w:left w:w="57" w:type="dxa"/>
              <w:right w:w="57" w:type="dxa"/>
            </w:tcMar>
          </w:tcPr>
          <w:p w14:paraId="6E538EF8" w14:textId="77777777" w:rsidR="00727B80" w:rsidRPr="00AC6904" w:rsidRDefault="00727B80" w:rsidP="006232A0">
            <w:pPr>
              <w:pStyle w:val="TableBody"/>
            </w:pPr>
            <w:r>
              <w:t>No change</w:t>
            </w:r>
          </w:p>
        </w:tc>
        <w:tc>
          <w:tcPr>
            <w:tcW w:w="970" w:type="pct"/>
            <w:tcMar>
              <w:left w:w="57" w:type="dxa"/>
              <w:right w:w="57" w:type="dxa"/>
            </w:tcMar>
          </w:tcPr>
          <w:p w14:paraId="16A0BA28" w14:textId="77777777" w:rsidR="00727B80" w:rsidRPr="00AC6904" w:rsidRDefault="00727B80" w:rsidP="006232A0">
            <w:pPr>
              <w:pStyle w:val="TableBody"/>
            </w:pPr>
            <w:r>
              <w:t xml:space="preserve">Not supported </w:t>
            </w:r>
          </w:p>
        </w:tc>
        <w:tc>
          <w:tcPr>
            <w:tcW w:w="969" w:type="pct"/>
            <w:tcMar>
              <w:left w:w="57" w:type="dxa"/>
              <w:right w:w="57" w:type="dxa"/>
            </w:tcMar>
          </w:tcPr>
          <w:p w14:paraId="2F123FF6" w14:textId="77777777" w:rsidR="00727B80" w:rsidRPr="00A46CC2" w:rsidRDefault="00727B80" w:rsidP="006232A0">
            <w:pPr>
              <w:pStyle w:val="TableBody"/>
            </w:pPr>
            <w:r>
              <w:t xml:space="preserve">Not supported </w:t>
            </w:r>
          </w:p>
        </w:tc>
        <w:tc>
          <w:tcPr>
            <w:tcW w:w="970" w:type="pct"/>
          </w:tcPr>
          <w:p w14:paraId="6A2C9961" w14:textId="77777777" w:rsidR="00727B80" w:rsidRDefault="00727B80" w:rsidP="006232A0">
            <w:pPr>
              <w:pStyle w:val="TableBody"/>
            </w:pPr>
            <w:r>
              <w:t>Not supported</w:t>
            </w:r>
          </w:p>
        </w:tc>
        <w:tc>
          <w:tcPr>
            <w:tcW w:w="970" w:type="pct"/>
            <w:tcMar>
              <w:left w:w="57" w:type="dxa"/>
              <w:right w:w="57" w:type="dxa"/>
            </w:tcMar>
          </w:tcPr>
          <w:p w14:paraId="7A3734B0" w14:textId="3D2CA88D" w:rsidR="00727B80" w:rsidRPr="00AC6904" w:rsidRDefault="00727B80" w:rsidP="006232A0">
            <w:pPr>
              <w:pStyle w:val="TableBody"/>
            </w:pPr>
            <w:r w:rsidRPr="00AB5C73">
              <w:rPr>
                <w:b/>
              </w:rPr>
              <w:t xml:space="preserve">IoT </w:t>
            </w:r>
            <w:r w:rsidR="006347E7" w:rsidRPr="00AB5C73">
              <w:rPr>
                <w:b/>
                <w:bCs/>
              </w:rPr>
              <w:t>only</w:t>
            </w:r>
            <w:r w:rsidR="006347E7">
              <w:t>:</w:t>
            </w:r>
            <w:r w:rsidRPr="006347E7">
              <w:t xml:space="preserve"> </w:t>
            </w:r>
            <w:r>
              <w:t>1980</w:t>
            </w:r>
            <w:r w:rsidR="006347E7">
              <w:t>–</w:t>
            </w:r>
            <w:r>
              <w:t>1985</w:t>
            </w:r>
            <w:r w:rsidR="006347E7">
              <w:t xml:space="preserve"> and</w:t>
            </w:r>
            <w:r w:rsidR="00492994">
              <w:t> </w:t>
            </w:r>
            <w:r>
              <w:t>2170</w:t>
            </w:r>
            <w:r w:rsidR="006347E7">
              <w:t>–</w:t>
            </w:r>
            <w:r>
              <w:t xml:space="preserve">2175 MHz </w:t>
            </w:r>
          </w:p>
        </w:tc>
      </w:tr>
      <w:tr w:rsidR="00D02966" w14:paraId="00502800" w14:textId="77777777" w:rsidTr="00AB5C73">
        <w:trPr>
          <w:trHeight w:val="512"/>
        </w:trPr>
        <w:tc>
          <w:tcPr>
            <w:tcW w:w="153" w:type="pct"/>
          </w:tcPr>
          <w:p w14:paraId="510045FC" w14:textId="77777777" w:rsidR="00727B80" w:rsidRPr="00AB5C73" w:rsidRDefault="00727B80" w:rsidP="006347E7">
            <w:pPr>
              <w:pStyle w:val="TableBody"/>
              <w:jc w:val="center"/>
              <w:rPr>
                <w:b/>
              </w:rPr>
            </w:pPr>
            <w:r w:rsidRPr="00AB5C73">
              <w:rPr>
                <w:b/>
              </w:rPr>
              <w:t>2</w:t>
            </w:r>
          </w:p>
        </w:tc>
        <w:tc>
          <w:tcPr>
            <w:tcW w:w="969" w:type="pct"/>
            <w:tcMar>
              <w:left w:w="57" w:type="dxa"/>
              <w:right w:w="57" w:type="dxa"/>
            </w:tcMar>
          </w:tcPr>
          <w:p w14:paraId="1289A3F9" w14:textId="3EA29919" w:rsidR="00727B80" w:rsidRPr="00A46CC2" w:rsidRDefault="00727B80" w:rsidP="006232A0">
            <w:pPr>
              <w:pStyle w:val="TableBody"/>
            </w:pPr>
            <w:r w:rsidRPr="006347E7">
              <w:t>Clear</w:t>
            </w:r>
            <w:r w:rsidR="006347E7">
              <w:t xml:space="preserve"> existing</w:t>
            </w:r>
            <w:r w:rsidRPr="006347E7">
              <w:t xml:space="preserve"> services</w:t>
            </w:r>
          </w:p>
        </w:tc>
        <w:tc>
          <w:tcPr>
            <w:tcW w:w="970" w:type="pct"/>
            <w:tcMar>
              <w:left w:w="57" w:type="dxa"/>
              <w:right w:w="57" w:type="dxa"/>
            </w:tcMar>
          </w:tcPr>
          <w:p w14:paraId="45644F9D" w14:textId="754AF3EC" w:rsidR="00727B80" w:rsidRDefault="00727B80" w:rsidP="006232A0">
            <w:pPr>
              <w:pStyle w:val="TableBody"/>
            </w:pPr>
            <w:r w:rsidRPr="006347E7">
              <w:rPr>
                <w:b/>
                <w:bCs/>
              </w:rPr>
              <w:t>Capital</w:t>
            </w:r>
            <w:r w:rsidR="006347E7">
              <w:rPr>
                <w:b/>
                <w:bCs/>
              </w:rPr>
              <w:t>s</w:t>
            </w:r>
            <w:r>
              <w:t>: 1980</w:t>
            </w:r>
            <w:r w:rsidR="006347E7">
              <w:t>–</w:t>
            </w:r>
            <w:r>
              <w:t>2005</w:t>
            </w:r>
            <w:r w:rsidR="006347E7">
              <w:t xml:space="preserve"> and</w:t>
            </w:r>
            <w:r w:rsidR="00492994">
              <w:t> </w:t>
            </w:r>
            <w:r>
              <w:t>2170</w:t>
            </w:r>
            <w:r w:rsidR="006347E7">
              <w:t>–</w:t>
            </w:r>
            <w:r>
              <w:t>2195 MHz</w:t>
            </w:r>
          </w:p>
          <w:p w14:paraId="344F10CE" w14:textId="77777777" w:rsidR="00727B80" w:rsidRDefault="00727B80" w:rsidP="006232A0">
            <w:pPr>
              <w:pStyle w:val="TableBody"/>
            </w:pPr>
          </w:p>
          <w:p w14:paraId="58446F59" w14:textId="577CA89B" w:rsidR="00727B80" w:rsidRDefault="00727B80" w:rsidP="006232A0">
            <w:pPr>
              <w:pStyle w:val="TableBody"/>
            </w:pPr>
            <w:r w:rsidRPr="006347E7">
              <w:rPr>
                <w:b/>
              </w:rPr>
              <w:t>Regional</w:t>
            </w:r>
            <w:r>
              <w:t>: 1980</w:t>
            </w:r>
            <w:r w:rsidR="006347E7">
              <w:t>–</w:t>
            </w:r>
            <w:r>
              <w:t>1995</w:t>
            </w:r>
            <w:r w:rsidR="006347E7">
              <w:t xml:space="preserve"> and</w:t>
            </w:r>
            <w:r w:rsidR="00492994">
              <w:t> </w:t>
            </w:r>
            <w:r>
              <w:t>2170</w:t>
            </w:r>
            <w:r w:rsidR="006347E7">
              <w:t>–</w:t>
            </w:r>
            <w:r>
              <w:t>2185 MHz</w:t>
            </w:r>
          </w:p>
          <w:p w14:paraId="5470923B" w14:textId="77777777" w:rsidR="00727B80" w:rsidRDefault="00727B80" w:rsidP="006232A0">
            <w:pPr>
              <w:pStyle w:val="TableBody"/>
            </w:pPr>
          </w:p>
          <w:p w14:paraId="7DA6C6A9" w14:textId="462876B9" w:rsidR="00727B80" w:rsidRPr="00AC6904" w:rsidRDefault="00727B80" w:rsidP="006232A0">
            <w:pPr>
              <w:pStyle w:val="TableBody"/>
            </w:pPr>
            <w:r w:rsidRPr="006347E7">
              <w:rPr>
                <w:b/>
              </w:rPr>
              <w:t>Remote</w:t>
            </w:r>
            <w:r>
              <w:t>: Not supported</w:t>
            </w:r>
          </w:p>
        </w:tc>
        <w:tc>
          <w:tcPr>
            <w:tcW w:w="969" w:type="pct"/>
            <w:tcMar>
              <w:left w:w="57" w:type="dxa"/>
              <w:right w:w="57" w:type="dxa"/>
            </w:tcMar>
          </w:tcPr>
          <w:p w14:paraId="02202A73" w14:textId="53B3AFD9" w:rsidR="00727B80" w:rsidRPr="00D72FAD" w:rsidRDefault="00727B80" w:rsidP="006232A0">
            <w:pPr>
              <w:pStyle w:val="TableBody"/>
            </w:pPr>
            <w:r w:rsidRPr="006347E7">
              <w:rPr>
                <w:b/>
                <w:bCs/>
              </w:rPr>
              <w:t>Capital</w:t>
            </w:r>
            <w:r w:rsidR="006347E7">
              <w:rPr>
                <w:b/>
                <w:bCs/>
              </w:rPr>
              <w:t>s</w:t>
            </w:r>
            <w:r w:rsidRPr="006347E7">
              <w:t>:</w:t>
            </w:r>
            <w:r>
              <w:t xml:space="preserve"> Not supported</w:t>
            </w:r>
          </w:p>
          <w:p w14:paraId="2709245E" w14:textId="77777777" w:rsidR="00727B80" w:rsidRPr="006347E7" w:rsidRDefault="00727B80" w:rsidP="006232A0">
            <w:pPr>
              <w:pStyle w:val="TableBody"/>
            </w:pPr>
          </w:p>
          <w:p w14:paraId="24C4F289" w14:textId="670181F4" w:rsidR="00727B80" w:rsidRDefault="00727B80" w:rsidP="006232A0">
            <w:pPr>
              <w:pStyle w:val="TableBody"/>
            </w:pPr>
            <w:r w:rsidRPr="006347E7">
              <w:rPr>
                <w:b/>
              </w:rPr>
              <w:t>Regional</w:t>
            </w:r>
            <w:r w:rsidRPr="006347E7">
              <w:t>:</w:t>
            </w:r>
            <w:r>
              <w:t xml:space="preserve"> 1995</w:t>
            </w:r>
            <w:r w:rsidR="006347E7">
              <w:t>–</w:t>
            </w:r>
            <w:r>
              <w:t>2005</w:t>
            </w:r>
            <w:r w:rsidR="006347E7">
              <w:t xml:space="preserve"> and</w:t>
            </w:r>
            <w:r w:rsidR="00492994">
              <w:t> </w:t>
            </w:r>
            <w:r>
              <w:t>2185</w:t>
            </w:r>
            <w:r w:rsidR="006347E7">
              <w:t>–</w:t>
            </w:r>
            <w:r>
              <w:t>2195 MHz on a</w:t>
            </w:r>
            <w:r w:rsidR="00492994">
              <w:t> </w:t>
            </w:r>
            <w:r>
              <w:t xml:space="preserve">coordinated basis with </w:t>
            </w:r>
            <w:r w:rsidR="007F6936">
              <w:t>direct air-to-ground communications</w:t>
            </w:r>
          </w:p>
          <w:p w14:paraId="329927B8" w14:textId="77777777" w:rsidR="00727B80" w:rsidRDefault="00727B80" w:rsidP="006232A0">
            <w:pPr>
              <w:pStyle w:val="TableBody"/>
            </w:pPr>
          </w:p>
          <w:p w14:paraId="38958F4B" w14:textId="1536C33F" w:rsidR="00727B80" w:rsidRPr="00D72FAD" w:rsidRDefault="00727B80" w:rsidP="006232A0">
            <w:pPr>
              <w:pStyle w:val="TableBody"/>
            </w:pPr>
            <w:r w:rsidRPr="006347E7">
              <w:rPr>
                <w:b/>
              </w:rPr>
              <w:t>Remote</w:t>
            </w:r>
            <w:r w:rsidRPr="006347E7">
              <w:t>:</w:t>
            </w:r>
            <w:r>
              <w:t xml:space="preserve"> 1980</w:t>
            </w:r>
            <w:r w:rsidR="006347E7">
              <w:t>–</w:t>
            </w:r>
            <w:r>
              <w:t>2005</w:t>
            </w:r>
            <w:r w:rsidR="006347E7">
              <w:t xml:space="preserve"> and </w:t>
            </w:r>
            <w:r>
              <w:t>2170</w:t>
            </w:r>
            <w:r w:rsidR="006347E7">
              <w:t>–</w:t>
            </w:r>
            <w:r>
              <w:t xml:space="preserve">2195 MHz on a coordinated basis with </w:t>
            </w:r>
            <w:r w:rsidR="007F6936">
              <w:t>direct air-to-ground communications</w:t>
            </w:r>
          </w:p>
        </w:tc>
        <w:tc>
          <w:tcPr>
            <w:tcW w:w="970" w:type="pct"/>
          </w:tcPr>
          <w:p w14:paraId="5CA6F4BB" w14:textId="0E3CBFB8" w:rsidR="00727B80" w:rsidRDefault="00727B80" w:rsidP="006232A0">
            <w:pPr>
              <w:pStyle w:val="TableBody"/>
            </w:pPr>
            <w:r w:rsidRPr="006347E7">
              <w:rPr>
                <w:b/>
                <w:bCs/>
              </w:rPr>
              <w:t>Capita</w:t>
            </w:r>
            <w:r w:rsidR="006347E7">
              <w:rPr>
                <w:b/>
                <w:bCs/>
              </w:rPr>
              <w:t>ls</w:t>
            </w:r>
            <w:r w:rsidRPr="006347E7">
              <w:t>: 1980</w:t>
            </w:r>
            <w:r w:rsidR="006347E7">
              <w:t>–</w:t>
            </w:r>
            <w:r w:rsidRPr="006347E7">
              <w:t>2005</w:t>
            </w:r>
            <w:r w:rsidR="006347E7">
              <w:t xml:space="preserve"> and</w:t>
            </w:r>
            <w:r w:rsidR="00492994">
              <w:t> </w:t>
            </w:r>
            <w:r w:rsidRPr="006347E7">
              <w:t>2170</w:t>
            </w:r>
            <w:r w:rsidR="006347E7">
              <w:t>–</w:t>
            </w:r>
            <w:r w:rsidRPr="006347E7">
              <w:t>2195 MHz</w:t>
            </w:r>
            <w:r w:rsidR="00AB5C73" w:rsidRPr="00AB5C73">
              <w:rPr>
                <w:vertAlign w:val="superscript"/>
              </w:rPr>
              <w:t>*</w:t>
            </w:r>
          </w:p>
          <w:p w14:paraId="0C078487" w14:textId="77777777" w:rsidR="00727B80" w:rsidRPr="00D72FAD" w:rsidRDefault="00727B80" w:rsidP="006232A0">
            <w:pPr>
              <w:pStyle w:val="TableBody"/>
            </w:pPr>
          </w:p>
          <w:p w14:paraId="1773D350" w14:textId="4B93B59B" w:rsidR="00727B80" w:rsidRDefault="00727B80" w:rsidP="006232A0">
            <w:pPr>
              <w:pStyle w:val="TableBody"/>
            </w:pPr>
            <w:r w:rsidRPr="006347E7">
              <w:rPr>
                <w:b/>
              </w:rPr>
              <w:t>Regional</w:t>
            </w:r>
            <w:r w:rsidRPr="006347E7">
              <w:t>:</w:t>
            </w:r>
            <w:r>
              <w:t xml:space="preserve"> 1995</w:t>
            </w:r>
            <w:r w:rsidR="006347E7">
              <w:t>–</w:t>
            </w:r>
            <w:r>
              <w:t>2005</w:t>
            </w:r>
            <w:r w:rsidR="006347E7">
              <w:t xml:space="preserve"> and</w:t>
            </w:r>
            <w:r w:rsidR="00492994">
              <w:t> </w:t>
            </w:r>
            <w:r>
              <w:t>2185</w:t>
            </w:r>
            <w:r w:rsidR="006347E7">
              <w:t>–</w:t>
            </w:r>
            <w:r>
              <w:t>2195 MHz</w:t>
            </w:r>
            <w:r w:rsidR="00AB5C73" w:rsidRPr="00AB5C73">
              <w:rPr>
                <w:vertAlign w:val="superscript"/>
              </w:rPr>
              <w:t>^</w:t>
            </w:r>
            <w:r w:rsidRPr="006347E7">
              <w:t xml:space="preserve"> </w:t>
            </w:r>
            <w:r w:rsidR="00AB5C73">
              <w:br/>
            </w:r>
          </w:p>
          <w:p w14:paraId="7672A07E" w14:textId="440FDE53" w:rsidR="00727B80" w:rsidRDefault="00727B80" w:rsidP="006232A0">
            <w:pPr>
              <w:pStyle w:val="TableBody"/>
            </w:pPr>
            <w:r w:rsidRPr="006347E7">
              <w:rPr>
                <w:b/>
              </w:rPr>
              <w:t>Remote</w:t>
            </w:r>
            <w:r w:rsidRPr="006347E7">
              <w:t>:</w:t>
            </w:r>
            <w:r>
              <w:t xml:space="preserve"> 1980</w:t>
            </w:r>
            <w:r w:rsidR="006347E7">
              <w:t>–</w:t>
            </w:r>
            <w:r>
              <w:t>2005</w:t>
            </w:r>
            <w:r w:rsidR="006347E7">
              <w:t xml:space="preserve"> and</w:t>
            </w:r>
            <w:r w:rsidR="00492994">
              <w:t> </w:t>
            </w:r>
            <w:r>
              <w:t>2170</w:t>
            </w:r>
            <w:r w:rsidR="006347E7">
              <w:t>–</w:t>
            </w:r>
            <w:r>
              <w:t>2195</w:t>
            </w:r>
            <w:r w:rsidR="00AB5C73">
              <w:t> </w:t>
            </w:r>
            <w:r>
              <w:t>MHz</w:t>
            </w:r>
            <w:r w:rsidR="00AB5C73" w:rsidRPr="00AB5C73">
              <w:rPr>
                <w:vertAlign w:val="superscript"/>
              </w:rPr>
              <w:t>^</w:t>
            </w:r>
          </w:p>
        </w:tc>
        <w:tc>
          <w:tcPr>
            <w:tcW w:w="970" w:type="pct"/>
            <w:tcMar>
              <w:left w:w="57" w:type="dxa"/>
              <w:right w:w="57" w:type="dxa"/>
            </w:tcMar>
          </w:tcPr>
          <w:p w14:paraId="2FA8F873" w14:textId="2FD0FB88" w:rsidR="00727B80" w:rsidRPr="00AC6904" w:rsidRDefault="00727B80" w:rsidP="006232A0">
            <w:pPr>
              <w:pStyle w:val="TableBody"/>
            </w:pPr>
            <w:r w:rsidRPr="00AB5C73">
              <w:rPr>
                <w:b/>
              </w:rPr>
              <w:t xml:space="preserve">IoT </w:t>
            </w:r>
            <w:r w:rsidR="006347E7" w:rsidRPr="00AB5C73">
              <w:rPr>
                <w:b/>
                <w:bCs/>
              </w:rPr>
              <w:t>only</w:t>
            </w:r>
            <w:r w:rsidR="006347E7">
              <w:t>:</w:t>
            </w:r>
            <w:r w:rsidRPr="006347E7">
              <w:t xml:space="preserve"> </w:t>
            </w:r>
            <w:r>
              <w:t>2005</w:t>
            </w:r>
            <w:r w:rsidR="006347E7">
              <w:t>–</w:t>
            </w:r>
            <w:r>
              <w:t>2010</w:t>
            </w:r>
            <w:r w:rsidR="006347E7">
              <w:t xml:space="preserve"> and</w:t>
            </w:r>
            <w:r w:rsidR="00492994">
              <w:t> </w:t>
            </w:r>
            <w:r>
              <w:t>2195</w:t>
            </w:r>
            <w:r w:rsidR="006347E7">
              <w:t>–</w:t>
            </w:r>
            <w:r>
              <w:t>2200 MHz</w:t>
            </w:r>
          </w:p>
        </w:tc>
      </w:tr>
      <w:tr w:rsidR="00D02966" w:rsidRPr="00BF54EE" w14:paraId="383BEB72" w14:textId="77777777" w:rsidTr="00AB5C73">
        <w:trPr>
          <w:trHeight w:val="512"/>
        </w:trPr>
        <w:tc>
          <w:tcPr>
            <w:tcW w:w="153" w:type="pct"/>
          </w:tcPr>
          <w:p w14:paraId="1E1B41C6" w14:textId="77777777" w:rsidR="00727B80" w:rsidRPr="00AB5C73" w:rsidRDefault="00727B80" w:rsidP="006347E7">
            <w:pPr>
              <w:pStyle w:val="TableBody"/>
              <w:jc w:val="center"/>
              <w:rPr>
                <w:b/>
              </w:rPr>
            </w:pPr>
            <w:r w:rsidRPr="00AB5C73">
              <w:rPr>
                <w:b/>
              </w:rPr>
              <w:t>3</w:t>
            </w:r>
          </w:p>
        </w:tc>
        <w:tc>
          <w:tcPr>
            <w:tcW w:w="969" w:type="pct"/>
            <w:tcMar>
              <w:left w:w="57" w:type="dxa"/>
              <w:right w:w="57" w:type="dxa"/>
            </w:tcMar>
          </w:tcPr>
          <w:p w14:paraId="16B6FE22" w14:textId="10F8947D" w:rsidR="00727B80" w:rsidRPr="00BF54EE" w:rsidRDefault="00727B80" w:rsidP="006232A0">
            <w:pPr>
              <w:pStyle w:val="TableBody"/>
            </w:pPr>
            <w:r w:rsidRPr="006347E7">
              <w:t>Clear</w:t>
            </w:r>
            <w:r w:rsidR="006347E7">
              <w:t xml:space="preserve"> existing</w:t>
            </w:r>
            <w:r>
              <w:t xml:space="preserve"> services </w:t>
            </w:r>
          </w:p>
        </w:tc>
        <w:tc>
          <w:tcPr>
            <w:tcW w:w="970" w:type="pct"/>
            <w:tcMar>
              <w:left w:w="57" w:type="dxa"/>
              <w:right w:w="57" w:type="dxa"/>
            </w:tcMar>
          </w:tcPr>
          <w:p w14:paraId="05401EDE" w14:textId="77777777" w:rsidR="00727B80" w:rsidRPr="00BF54EE" w:rsidRDefault="00727B80" w:rsidP="006232A0">
            <w:pPr>
              <w:pStyle w:val="TableBody"/>
            </w:pPr>
            <w:r>
              <w:t>Not supported</w:t>
            </w:r>
          </w:p>
        </w:tc>
        <w:tc>
          <w:tcPr>
            <w:tcW w:w="969" w:type="pct"/>
            <w:tcMar>
              <w:left w:w="57" w:type="dxa"/>
              <w:right w:w="57" w:type="dxa"/>
            </w:tcMar>
          </w:tcPr>
          <w:p w14:paraId="07ECED30" w14:textId="77777777" w:rsidR="00727B80" w:rsidRPr="00BF54EE" w:rsidRDefault="00727B80" w:rsidP="006232A0">
            <w:pPr>
              <w:pStyle w:val="TableBody"/>
            </w:pPr>
            <w:r>
              <w:t xml:space="preserve">Not supported </w:t>
            </w:r>
          </w:p>
        </w:tc>
        <w:tc>
          <w:tcPr>
            <w:tcW w:w="970" w:type="pct"/>
          </w:tcPr>
          <w:p w14:paraId="2754094E" w14:textId="77777777" w:rsidR="00727B80" w:rsidRPr="00C13761" w:rsidRDefault="00727B80" w:rsidP="006232A0">
            <w:pPr>
              <w:pStyle w:val="TableBody"/>
            </w:pPr>
            <w:r>
              <w:t>Not supported</w:t>
            </w:r>
          </w:p>
        </w:tc>
        <w:tc>
          <w:tcPr>
            <w:tcW w:w="970" w:type="pct"/>
            <w:tcMar>
              <w:left w:w="57" w:type="dxa"/>
              <w:right w:w="57" w:type="dxa"/>
            </w:tcMar>
          </w:tcPr>
          <w:p w14:paraId="1389DCB3" w14:textId="77777777" w:rsidR="00AB5C73" w:rsidRDefault="00727B80" w:rsidP="006347E7">
            <w:pPr>
              <w:pStyle w:val="TableBody"/>
            </w:pPr>
            <w:r w:rsidRPr="006347E7">
              <w:t>1980</w:t>
            </w:r>
            <w:r w:rsidR="006347E7">
              <w:t>–</w:t>
            </w:r>
            <w:r w:rsidRPr="006347E7">
              <w:t>2005</w:t>
            </w:r>
            <w:r w:rsidR="006347E7">
              <w:t xml:space="preserve"> and </w:t>
            </w:r>
            <w:r w:rsidR="00AB5C73">
              <w:br/>
            </w:r>
            <w:r w:rsidRPr="006347E7">
              <w:t>2170</w:t>
            </w:r>
            <w:r w:rsidR="006347E7">
              <w:t>–</w:t>
            </w:r>
            <w:r w:rsidRPr="006347E7">
              <w:t>2195 MHz</w:t>
            </w:r>
          </w:p>
          <w:p w14:paraId="7059987D" w14:textId="7F4E6107" w:rsidR="00727B80" w:rsidRPr="00BF54EE" w:rsidRDefault="00727B80" w:rsidP="006232A0">
            <w:pPr>
              <w:pStyle w:val="TableBody"/>
            </w:pPr>
            <w:r w:rsidRPr="006347E7">
              <w:t xml:space="preserve"> </w:t>
            </w:r>
            <w:r w:rsidR="006347E7">
              <w:br/>
            </w:r>
            <w:r w:rsidRPr="00AB5C73">
              <w:rPr>
                <w:b/>
              </w:rPr>
              <w:t xml:space="preserve">IoT </w:t>
            </w:r>
            <w:r w:rsidR="006347E7" w:rsidRPr="00AB5C73">
              <w:rPr>
                <w:b/>
                <w:bCs/>
              </w:rPr>
              <w:t>only</w:t>
            </w:r>
            <w:r w:rsidR="006347E7">
              <w:t>:</w:t>
            </w:r>
            <w:r w:rsidRPr="006347E7">
              <w:t xml:space="preserve"> </w:t>
            </w:r>
            <w:r>
              <w:t>2005</w:t>
            </w:r>
            <w:r w:rsidR="006347E7">
              <w:t>–</w:t>
            </w:r>
            <w:r>
              <w:t>2010</w:t>
            </w:r>
            <w:r w:rsidR="006347E7">
              <w:t xml:space="preserve"> and</w:t>
            </w:r>
            <w:r w:rsidR="00492994">
              <w:t> </w:t>
            </w:r>
            <w:r>
              <w:t>2195</w:t>
            </w:r>
            <w:r w:rsidR="006347E7">
              <w:t>–</w:t>
            </w:r>
            <w:r>
              <w:t>2200 MHz</w:t>
            </w:r>
          </w:p>
        </w:tc>
      </w:tr>
    </w:tbl>
    <w:p w14:paraId="6DC44DF3" w14:textId="77777777" w:rsidR="00727B80" w:rsidRDefault="00727B80" w:rsidP="00727B80">
      <w:pPr>
        <w:spacing w:after="0" w:line="240" w:lineRule="auto"/>
        <w:rPr>
          <w:rFonts w:cs="Arial"/>
          <w:color w:val="000000" w:themeColor="text1"/>
          <w:szCs w:val="20"/>
        </w:rPr>
      </w:pPr>
    </w:p>
    <w:p w14:paraId="66A8CCD7" w14:textId="7679781C" w:rsidR="00AB5C73" w:rsidRPr="00AB5C73" w:rsidRDefault="00AB5C73" w:rsidP="00F146F3">
      <w:pPr>
        <w:pStyle w:val="Tableorfigurenote"/>
        <w:spacing w:after="40"/>
      </w:pPr>
      <w:r w:rsidRPr="00AB5C73">
        <w:t xml:space="preserve">* </w:t>
      </w:r>
      <w:r w:rsidRPr="00F146F3">
        <w:t>considered in development of technical framework for wide-area wireless broadband</w:t>
      </w:r>
    </w:p>
    <w:p w14:paraId="568D09CD" w14:textId="32A4C72B" w:rsidR="00727B80" w:rsidRPr="00AB5C73" w:rsidRDefault="00AB5C73" w:rsidP="00F146F3">
      <w:pPr>
        <w:pStyle w:val="Tableorfigurenote"/>
        <w:rPr>
          <w:i w:val="0"/>
          <w:color w:val="000000" w:themeColor="text1"/>
          <w:szCs w:val="18"/>
        </w:rPr>
        <w:sectPr w:rsidR="00727B80" w:rsidRPr="00AB5C73" w:rsidSect="00AB5C73">
          <w:pgSz w:w="16838" w:h="11906" w:orient="landscape" w:code="9"/>
          <w:pgMar w:top="1134" w:right="1945" w:bottom="1134" w:left="1134" w:header="709" w:footer="119" w:gutter="0"/>
          <w:cols w:space="708"/>
          <w:docGrid w:linePitch="360"/>
        </w:sectPr>
      </w:pPr>
      <w:r w:rsidRPr="00AB5C73">
        <w:rPr>
          <w:vertAlign w:val="superscript"/>
        </w:rPr>
        <w:t>^</w:t>
      </w:r>
      <w:r w:rsidRPr="00AB5C73">
        <w:t xml:space="preserve"> </w:t>
      </w:r>
      <w:r w:rsidRPr="00F146F3">
        <w:t>on a coordinated basis with local-area wireless broadband</w:t>
      </w:r>
    </w:p>
    <w:p w14:paraId="40BDC512" w14:textId="4003CD1E" w:rsidR="00192702" w:rsidRPr="00646CE3" w:rsidRDefault="000F29AB" w:rsidP="003F262C">
      <w:pPr>
        <w:pStyle w:val="Heading1"/>
        <w:rPr>
          <w:i/>
          <w:iCs/>
          <w:sz w:val="18"/>
          <w:szCs w:val="22"/>
        </w:rPr>
      </w:pPr>
      <w:bookmarkStart w:id="77" w:name="_Toc46316372"/>
      <w:bookmarkEnd w:id="71"/>
      <w:r w:rsidRPr="001F7DED">
        <w:lastRenderedPageBreak/>
        <w:t>Assessment of options</w:t>
      </w:r>
      <w:bookmarkEnd w:id="77"/>
    </w:p>
    <w:p w14:paraId="51130B06" w14:textId="33A5D2A9" w:rsidR="00EC5FF5" w:rsidRPr="00EC5FF5" w:rsidRDefault="00EC5FF5" w:rsidP="00EC5FF5">
      <w:pPr>
        <w:pStyle w:val="Heading2"/>
      </w:pPr>
      <w:bookmarkStart w:id="78" w:name="_Toc46316373"/>
      <w:r>
        <w:t>Introduction</w:t>
      </w:r>
      <w:bookmarkEnd w:id="78"/>
    </w:p>
    <w:p w14:paraId="502A1BA3" w14:textId="404BF469" w:rsidR="00E87AA2" w:rsidRDefault="00365E8D" w:rsidP="004A65F9">
      <w:pPr>
        <w:pStyle w:val="Paragraphbeforelist"/>
      </w:pPr>
      <w:r>
        <w:t xml:space="preserve">The ACMA has undertaken a preliminary assessment of the options </w:t>
      </w:r>
      <w:bookmarkStart w:id="79" w:name="_Hlk42849394"/>
      <w:r>
        <w:t xml:space="preserve">against the </w:t>
      </w:r>
      <w:r w:rsidRPr="00072FAB">
        <w:t>desirable planning outcomes</w:t>
      </w:r>
      <w:r>
        <w:t xml:space="preserve"> for the 2 GHz band</w:t>
      </w:r>
      <w:r w:rsidR="00213EA2">
        <w:t xml:space="preserve">, </w:t>
      </w:r>
      <w:r>
        <w:t>informed by a preliminary quantitative cost</w:t>
      </w:r>
      <w:r w:rsidR="00213EA2">
        <w:t>-</w:t>
      </w:r>
      <w:r>
        <w:t xml:space="preserve">benefit </w:t>
      </w:r>
      <w:r w:rsidR="00213EA2">
        <w:t>analysis</w:t>
      </w:r>
      <w:r w:rsidR="007E3670">
        <w:t>:</w:t>
      </w:r>
      <w:r>
        <w:t xml:space="preserve"> </w:t>
      </w:r>
    </w:p>
    <w:p w14:paraId="4A5375A3" w14:textId="7737F6D8" w:rsidR="00FD1603" w:rsidRDefault="00FD1603" w:rsidP="00FD1603">
      <w:pPr>
        <w:pStyle w:val="ListNumber"/>
        <w:numPr>
          <w:ilvl w:val="0"/>
          <w:numId w:val="22"/>
        </w:numPr>
      </w:pPr>
      <w:r w:rsidRPr="004B1CE4">
        <w:t xml:space="preserve">Support new uses of the band consistent with international harmonisation and domestic considerations which includes some mix of </w:t>
      </w:r>
      <w:r w:rsidR="00B43EA6">
        <w:t>MSS</w:t>
      </w:r>
      <w:r w:rsidRPr="004B1CE4">
        <w:t xml:space="preserve"> uses (including for IoT) and possible </w:t>
      </w:r>
      <w:r w:rsidR="00B43EA6">
        <w:t>wireless broadband</w:t>
      </w:r>
      <w:r w:rsidRPr="004B1CE4">
        <w:t xml:space="preserve"> uses, including MSS compl</w:t>
      </w:r>
      <w:r w:rsidR="00813940">
        <w:t>e</w:t>
      </w:r>
      <w:r w:rsidRPr="004B1CE4">
        <w:t>mentary ground component usage.</w:t>
      </w:r>
    </w:p>
    <w:p w14:paraId="7ED4D6A9" w14:textId="77777777" w:rsidR="00FD1603" w:rsidRDefault="00FD1603" w:rsidP="00FD1603">
      <w:pPr>
        <w:pStyle w:val="ListNumber"/>
        <w:numPr>
          <w:ilvl w:val="0"/>
          <w:numId w:val="21"/>
        </w:numPr>
      </w:pPr>
      <w:r>
        <w:t xml:space="preserve">Resolve the interim nature of arrangements in the band, in order to provide increased certainty for future uses of the band. </w:t>
      </w:r>
    </w:p>
    <w:p w14:paraId="463C198A" w14:textId="68596AB3" w:rsidR="00FD1603" w:rsidRDefault="00FD1603" w:rsidP="00FD1603">
      <w:pPr>
        <w:pStyle w:val="ListNumber"/>
        <w:numPr>
          <w:ilvl w:val="0"/>
          <w:numId w:val="21"/>
        </w:numPr>
        <w:spacing w:after="240"/>
        <w:ind w:left="357" w:hanging="357"/>
      </w:pPr>
      <w:r>
        <w:t xml:space="preserve">Ensure coexistence with adjacent band </w:t>
      </w:r>
      <w:r w:rsidRPr="004C6C89">
        <w:t xml:space="preserve">services is addressed. This includes </w:t>
      </w:r>
      <w:r>
        <w:t>wireless broadband</w:t>
      </w:r>
      <w:r w:rsidRPr="004C6C89">
        <w:t xml:space="preserve"> operating </w:t>
      </w:r>
      <w:r w:rsidRPr="00407211">
        <w:t xml:space="preserve">below 1980 and 2170 MHz, and </w:t>
      </w:r>
      <w:r>
        <w:t xml:space="preserve">television outside broadcast </w:t>
      </w:r>
      <w:r w:rsidRPr="00407211">
        <w:t>/</w:t>
      </w:r>
      <w:r>
        <w:t xml:space="preserve"> </w:t>
      </w:r>
      <w:r w:rsidRPr="00407211">
        <w:t>space research</w:t>
      </w:r>
      <w:r>
        <w:t xml:space="preserve"> </w:t>
      </w:r>
      <w:r w:rsidRPr="00407211">
        <w:t>/</w:t>
      </w:r>
      <w:r>
        <w:t xml:space="preserve"> </w:t>
      </w:r>
      <w:r w:rsidRPr="00407211">
        <w:t>space operations operating above 2010 and 2200</w:t>
      </w:r>
      <w:r w:rsidR="00B27FA9">
        <w:t> </w:t>
      </w:r>
      <w:r w:rsidRPr="00407211">
        <w:t>MHz</w:t>
      </w:r>
      <w:r w:rsidRPr="004C6C89">
        <w:t>.</w:t>
      </w:r>
      <w:r>
        <w:t xml:space="preserve"> </w:t>
      </w:r>
    </w:p>
    <w:p w14:paraId="4C69A0D2" w14:textId="1F85907B" w:rsidR="00087629" w:rsidRPr="002B79C8" w:rsidRDefault="00331E70" w:rsidP="00087629">
      <w:pPr>
        <w:pStyle w:val="Paragraph"/>
      </w:pPr>
      <w:r w:rsidRPr="00331E70">
        <w:t>The assessment of each option integrates the outcomes of the quantitative preliminary cost-benefit analysis, together with consideration of relevant qualitative factors to assist in determining the public benefit derived.</w:t>
      </w:r>
      <w:r w:rsidR="00087629" w:rsidRPr="002B79C8">
        <w:t xml:space="preserve"> </w:t>
      </w:r>
    </w:p>
    <w:bookmarkEnd w:id="79"/>
    <w:p w14:paraId="23EE8D81" w14:textId="3D28009C" w:rsidR="00365E8D" w:rsidRDefault="00365E8D" w:rsidP="00087629">
      <w:pPr>
        <w:pStyle w:val="Paragraph"/>
      </w:pPr>
      <w:r>
        <w:t xml:space="preserve">Feedback received </w:t>
      </w:r>
      <w:r w:rsidR="00FB7745">
        <w:t>on</w:t>
      </w:r>
      <w:r>
        <w:t xml:space="preserve"> this assessment will inform the ACMA’s further consideration of the replanning options. </w:t>
      </w:r>
    </w:p>
    <w:p w14:paraId="3807C796" w14:textId="1E207479" w:rsidR="001F2C60" w:rsidRPr="00136EC7" w:rsidRDefault="00553847" w:rsidP="00553847">
      <w:pPr>
        <w:pStyle w:val="Heading2"/>
      </w:pPr>
      <w:bookmarkStart w:id="80" w:name="_Toc46316374"/>
      <w:r>
        <w:t>Assessment against desirable planning outcomes</w:t>
      </w:r>
      <w:bookmarkEnd w:id="80"/>
    </w:p>
    <w:p w14:paraId="52B4F3D8" w14:textId="15A92BB8" w:rsidR="00365E8D" w:rsidRDefault="007742DC" w:rsidP="000C2B26">
      <w:pPr>
        <w:pStyle w:val="Heading3"/>
      </w:pPr>
      <w:r>
        <w:t xml:space="preserve">Desirable planning </w:t>
      </w:r>
      <w:r w:rsidR="00E27DA6">
        <w:t>O</w:t>
      </w:r>
      <w:r w:rsidR="00365E8D">
        <w:t xml:space="preserve">utcome </w:t>
      </w:r>
      <w:r w:rsidR="003559A7">
        <w:t>1</w:t>
      </w:r>
    </w:p>
    <w:p w14:paraId="775D7198" w14:textId="77434B63" w:rsidR="00716F3F" w:rsidRPr="002F3DDA" w:rsidRDefault="00CC4880" w:rsidP="00901931">
      <w:pPr>
        <w:pStyle w:val="Paragraph"/>
        <w:rPr>
          <w:i/>
          <w:iCs/>
        </w:rPr>
      </w:pPr>
      <w:r w:rsidRPr="00CC4880">
        <w:rPr>
          <w:i/>
          <w:iCs/>
        </w:rPr>
        <w:t>Support new uses of the band consistent with international harmonisation and domestic considerations</w:t>
      </w:r>
      <w:r w:rsidR="00E27DA6">
        <w:rPr>
          <w:i/>
          <w:iCs/>
        </w:rPr>
        <w:t xml:space="preserve">. </w:t>
      </w:r>
    </w:p>
    <w:p w14:paraId="7035362B" w14:textId="15FEED44" w:rsidR="00872D97" w:rsidRDefault="00D178BC" w:rsidP="0053438A">
      <w:pPr>
        <w:pStyle w:val="ListBullet"/>
        <w:spacing w:after="160"/>
      </w:pPr>
      <w:r w:rsidRPr="00196BA7">
        <w:rPr>
          <w:b/>
          <w:bCs/>
        </w:rPr>
        <w:t>Option 1</w:t>
      </w:r>
      <w:r w:rsidR="00115494" w:rsidRPr="00196BA7">
        <w:rPr>
          <w:b/>
          <w:bCs/>
        </w:rPr>
        <w:t xml:space="preserve">: </w:t>
      </w:r>
      <w:r w:rsidR="00853F55" w:rsidRPr="00196BA7">
        <w:rPr>
          <w:b/>
          <w:bCs/>
        </w:rPr>
        <w:t>T</w:t>
      </w:r>
      <w:r w:rsidRPr="00196BA7">
        <w:rPr>
          <w:b/>
          <w:bCs/>
        </w:rPr>
        <w:t>elevision outside broadcast</w:t>
      </w:r>
      <w:r w:rsidRPr="00346DBA">
        <w:t>—</w:t>
      </w:r>
      <w:r w:rsidR="00D91D2F">
        <w:t>N</w:t>
      </w:r>
      <w:r w:rsidR="009C6DF7">
        <w:t xml:space="preserve">ew services are not supported </w:t>
      </w:r>
      <w:r w:rsidR="00921D22">
        <w:t xml:space="preserve">by this option, with the exception of </w:t>
      </w:r>
      <w:r w:rsidR="00014000">
        <w:t>satellite-based IoT serv</w:t>
      </w:r>
      <w:r w:rsidR="00A44C44">
        <w:t>ices in th</w:t>
      </w:r>
      <w:r w:rsidR="00A470B5">
        <w:t>e guard band.</w:t>
      </w:r>
      <w:r w:rsidR="00795E5C">
        <w:t xml:space="preserve"> Since this is included in all options, it is not considered </w:t>
      </w:r>
      <w:r w:rsidR="009442C5">
        <w:t xml:space="preserve">as a </w:t>
      </w:r>
      <w:r w:rsidR="003F2386">
        <w:t xml:space="preserve">benefit of </w:t>
      </w:r>
      <w:r w:rsidR="00E27DA6">
        <w:t>O</w:t>
      </w:r>
      <w:r w:rsidR="003F2386">
        <w:t>ption 1</w:t>
      </w:r>
      <w:r w:rsidR="0083236E">
        <w:t xml:space="preserve"> in comparison with the other options.</w:t>
      </w:r>
      <w:r w:rsidR="00A470B5">
        <w:t xml:space="preserve"> </w:t>
      </w:r>
    </w:p>
    <w:p w14:paraId="7C71F3D1" w14:textId="72D47CEF" w:rsidR="00872D97" w:rsidRDefault="00044C7A" w:rsidP="0053438A">
      <w:pPr>
        <w:pStyle w:val="ListBullet"/>
        <w:numPr>
          <w:ilvl w:val="0"/>
          <w:numId w:val="0"/>
        </w:numPr>
        <w:spacing w:after="160"/>
        <w:ind w:left="295"/>
      </w:pPr>
      <w:r>
        <w:t>C</w:t>
      </w:r>
      <w:r w:rsidR="00D178BC">
        <w:t xml:space="preserve">urrent </w:t>
      </w:r>
      <w:r>
        <w:t xml:space="preserve">international </w:t>
      </w:r>
      <w:r w:rsidR="00D178BC">
        <w:t xml:space="preserve">activity does not indicate a trend towards increased use or adoption of the 2 GHz band for </w:t>
      </w:r>
      <w:r w:rsidR="007F6936">
        <w:t>TOB</w:t>
      </w:r>
      <w:r w:rsidR="00D178BC">
        <w:t xml:space="preserve"> services. </w:t>
      </w:r>
      <w:r w:rsidR="000659CB">
        <w:t xml:space="preserve">The ACMA is not aware of </w:t>
      </w:r>
      <w:r w:rsidR="00010027">
        <w:t>any other use cases inter</w:t>
      </w:r>
      <w:r w:rsidR="00A4202E">
        <w:t xml:space="preserve">nationally, and as such, </w:t>
      </w:r>
      <w:r w:rsidR="00503C06">
        <w:t xml:space="preserve">use of the band for </w:t>
      </w:r>
      <w:r w:rsidR="007F6936">
        <w:t>TOB</w:t>
      </w:r>
      <w:r w:rsidR="00A73B7A">
        <w:t xml:space="preserve"> </w:t>
      </w:r>
      <w:r w:rsidR="00D178BC">
        <w:t xml:space="preserve">is expected to remain a niche </w:t>
      </w:r>
      <w:r w:rsidR="00FD1A27">
        <w:t xml:space="preserve">or unique </w:t>
      </w:r>
      <w:r w:rsidR="00D178BC">
        <w:t>application</w:t>
      </w:r>
      <w:r w:rsidR="00FD1A27">
        <w:t xml:space="preserve"> in Australia</w:t>
      </w:r>
      <w:r w:rsidR="00872D97">
        <w:t>.</w:t>
      </w:r>
    </w:p>
    <w:p w14:paraId="7F32A134" w14:textId="6FE0FEC0" w:rsidR="00D178BC" w:rsidRDefault="00BD3953" w:rsidP="00872D97">
      <w:pPr>
        <w:pStyle w:val="ListBullet"/>
        <w:numPr>
          <w:ilvl w:val="0"/>
          <w:numId w:val="0"/>
        </w:numPr>
        <w:spacing w:after="240"/>
        <w:ind w:left="295"/>
      </w:pPr>
      <w:r>
        <w:t xml:space="preserve">Use of the spectrum by TOB operators is inherently intermittent with a small user base. Intensity of use is an important factor impacting the value that can be derived from a band. Over recent years, TOB services have used the 2 GHz band intermittently and in limited geographical areas. This indicates a low intensity of spectrum use by incumbent licensees. </w:t>
      </w:r>
      <w:r w:rsidR="00B87DA5">
        <w:t xml:space="preserve">This option </w:t>
      </w:r>
      <w:r w:rsidR="00573A0A">
        <w:t>does not support</w:t>
      </w:r>
      <w:r w:rsidR="003A72A3">
        <w:t xml:space="preserve"> desirable planning </w:t>
      </w:r>
      <w:r w:rsidR="00E27DA6">
        <w:t>O</w:t>
      </w:r>
      <w:r w:rsidR="003A72A3">
        <w:t>utcome 1.</w:t>
      </w:r>
      <w:r w:rsidR="00B87DA5">
        <w:t xml:space="preserve"> </w:t>
      </w:r>
    </w:p>
    <w:p w14:paraId="19EAFBC1" w14:textId="2599FCAB" w:rsidR="001054B9" w:rsidRDefault="00D178BC" w:rsidP="0053438A">
      <w:pPr>
        <w:pStyle w:val="ListBullet"/>
        <w:spacing w:after="160"/>
      </w:pPr>
      <w:r w:rsidRPr="00196BA7">
        <w:rPr>
          <w:b/>
          <w:bCs/>
        </w:rPr>
        <w:t>Option 2</w:t>
      </w:r>
      <w:r w:rsidR="00115494" w:rsidRPr="00196BA7">
        <w:rPr>
          <w:b/>
          <w:bCs/>
        </w:rPr>
        <w:t>: W</w:t>
      </w:r>
      <w:r w:rsidRPr="00196BA7">
        <w:rPr>
          <w:b/>
          <w:bCs/>
        </w:rPr>
        <w:t xml:space="preserve">ireless broadband including </w:t>
      </w:r>
      <w:r w:rsidR="00115494" w:rsidRPr="00196BA7">
        <w:rPr>
          <w:b/>
          <w:bCs/>
        </w:rPr>
        <w:t>direct air-to-ground communications</w:t>
      </w:r>
      <w:r w:rsidRPr="00346DBA">
        <w:t>—</w:t>
      </w:r>
      <w:r w:rsidR="00573A0A">
        <w:t>I</w:t>
      </w:r>
      <w:r>
        <w:t xml:space="preserve">nternational allocation and use of the 2 GHz band is trending towards terrestrial wireless broadband services </w:t>
      </w:r>
      <w:r w:rsidR="008C6710">
        <w:t>and/or</w:t>
      </w:r>
      <w:r>
        <w:t xml:space="preserve"> </w:t>
      </w:r>
      <w:r w:rsidR="007F6936">
        <w:t>MSS</w:t>
      </w:r>
      <w:r>
        <w:t xml:space="preserve">. In terms of harmonisation efforts for wireless broadband use, the band has </w:t>
      </w:r>
      <w:r w:rsidR="00FF3C72">
        <w:t>recentl</w:t>
      </w:r>
      <w:r w:rsidR="007A597D">
        <w:t>y</w:t>
      </w:r>
      <w:r w:rsidR="00270243">
        <w:t xml:space="preserve"> </w:t>
      </w:r>
      <w:r>
        <w:t xml:space="preserve">received designation in 3GPP standards (known as band </w:t>
      </w:r>
      <w:r w:rsidR="00B363E1">
        <w:t>n</w:t>
      </w:r>
      <w:r>
        <w:t xml:space="preserve">65), although </w:t>
      </w:r>
      <w:r w:rsidR="00AE2A3D">
        <w:t>equipment availability is limited</w:t>
      </w:r>
      <w:r>
        <w:t xml:space="preserve">. </w:t>
      </w:r>
      <w:r w:rsidR="00190400">
        <w:t>T</w:t>
      </w:r>
      <w:r>
        <w:t xml:space="preserve">he band has also been subject to a global identification </w:t>
      </w:r>
      <w:r w:rsidR="00751AA0">
        <w:t xml:space="preserve">for international mobile telecommunications </w:t>
      </w:r>
      <w:r>
        <w:t xml:space="preserve">by the ITU since </w:t>
      </w:r>
      <w:r w:rsidR="00556EAB">
        <w:t>1992</w:t>
      </w:r>
      <w:r>
        <w:t>.</w:t>
      </w:r>
      <w:r w:rsidR="001D7CAA">
        <w:t xml:space="preserve"> </w:t>
      </w:r>
    </w:p>
    <w:p w14:paraId="545F488B" w14:textId="1F7EFBC6" w:rsidR="00D178BC" w:rsidRDefault="008730D8" w:rsidP="00872D97">
      <w:pPr>
        <w:pStyle w:val="ListBullet2Last"/>
        <w:numPr>
          <w:ilvl w:val="0"/>
          <w:numId w:val="0"/>
        </w:numPr>
        <w:ind w:left="295"/>
      </w:pPr>
      <w:r>
        <w:lastRenderedPageBreak/>
        <w:t xml:space="preserve">Domestically, </w:t>
      </w:r>
      <w:r w:rsidR="00F023EA">
        <w:t>this option provide</w:t>
      </w:r>
      <w:r w:rsidR="001054B9">
        <w:t>s</w:t>
      </w:r>
      <w:r w:rsidR="00F023EA">
        <w:t xml:space="preserve"> </w:t>
      </w:r>
      <w:r w:rsidR="0054321D">
        <w:t xml:space="preserve">only </w:t>
      </w:r>
      <w:r w:rsidR="00F023EA">
        <w:t>a minor incremental increase in the availability of mid-band spectrum</w:t>
      </w:r>
      <w:r w:rsidR="0054321D">
        <w:t xml:space="preserve"> for wireless broadband services</w:t>
      </w:r>
      <w:r w:rsidR="00A60CB4">
        <w:t xml:space="preserve">. The ACMA is currently focusing its efforts on addressing the availability of mid-band spectrum </w:t>
      </w:r>
      <w:r w:rsidR="00260A06">
        <w:t xml:space="preserve">for 5G services </w:t>
      </w:r>
      <w:r w:rsidR="00DA18A6">
        <w:t xml:space="preserve">in other bands, including </w:t>
      </w:r>
      <w:r w:rsidR="00260A06">
        <w:t xml:space="preserve">3.4 GHz and 3.7–4.2 GHz, </w:t>
      </w:r>
      <w:r w:rsidR="00DA18A6">
        <w:t xml:space="preserve">where </w:t>
      </w:r>
      <w:r w:rsidR="00260A06">
        <w:t xml:space="preserve">much </w:t>
      </w:r>
      <w:r w:rsidR="00DA18A6">
        <w:t xml:space="preserve">larger gains may be possible. </w:t>
      </w:r>
      <w:r w:rsidR="0007175B">
        <w:t xml:space="preserve">This option would also provide a licensee with the option of </w:t>
      </w:r>
      <w:r w:rsidR="00966AC0">
        <w:t>deploying a d</w:t>
      </w:r>
      <w:r w:rsidR="00896EAB">
        <w:t xml:space="preserve">irect air-to-ground communications </w:t>
      </w:r>
      <w:r w:rsidR="00966AC0">
        <w:t>system</w:t>
      </w:r>
      <w:r w:rsidR="006D4221">
        <w:t xml:space="preserve"> </w:t>
      </w:r>
      <w:r w:rsidR="004F34DD">
        <w:t>either in isolation or in conjunction with a wireless broadband system.</w:t>
      </w:r>
      <w:r w:rsidR="00710B38">
        <w:t xml:space="preserve"> </w:t>
      </w:r>
      <w:r w:rsidR="00C6055D">
        <w:t xml:space="preserve">This option </w:t>
      </w:r>
      <w:r w:rsidR="007C648F">
        <w:t>better addresses</w:t>
      </w:r>
      <w:r w:rsidR="00030B2A">
        <w:t xml:space="preserve"> </w:t>
      </w:r>
      <w:r w:rsidR="00C6055D">
        <w:t xml:space="preserve">planning </w:t>
      </w:r>
      <w:r w:rsidR="008711DC">
        <w:t>O</w:t>
      </w:r>
      <w:r w:rsidR="00C6055D">
        <w:t>utcome</w:t>
      </w:r>
      <w:r w:rsidR="00F24ADF">
        <w:t> </w:t>
      </w:r>
      <w:r w:rsidR="00C6055D">
        <w:t>1</w:t>
      </w:r>
      <w:r w:rsidR="007C648F">
        <w:t xml:space="preserve"> than the first option</w:t>
      </w:r>
      <w:r w:rsidR="00710B38">
        <w:t>.</w:t>
      </w:r>
    </w:p>
    <w:p w14:paraId="2EDABD98" w14:textId="031897E5" w:rsidR="007C648F" w:rsidRDefault="00D178BC" w:rsidP="0053438A">
      <w:pPr>
        <w:pStyle w:val="ListBullet"/>
        <w:spacing w:after="160"/>
      </w:pPr>
      <w:r w:rsidRPr="00196BA7">
        <w:rPr>
          <w:b/>
          <w:bCs/>
        </w:rPr>
        <w:t>Option 3</w:t>
      </w:r>
      <w:r w:rsidR="00853F55" w:rsidRPr="00196BA7">
        <w:rPr>
          <w:b/>
          <w:bCs/>
        </w:rPr>
        <w:t>: M</w:t>
      </w:r>
      <w:r w:rsidRPr="00196BA7">
        <w:rPr>
          <w:b/>
          <w:bCs/>
        </w:rPr>
        <w:t>obile-satellite service including</w:t>
      </w:r>
      <w:r w:rsidR="00853F55" w:rsidRPr="00196BA7">
        <w:rPr>
          <w:b/>
          <w:bCs/>
        </w:rPr>
        <w:t xml:space="preserve"> complementary</w:t>
      </w:r>
      <w:r w:rsidRPr="00196BA7">
        <w:rPr>
          <w:b/>
          <w:bCs/>
        </w:rPr>
        <w:t xml:space="preserve"> ground component</w:t>
      </w:r>
      <w:r w:rsidRPr="00346DBA">
        <w:t>—</w:t>
      </w:r>
      <w:r w:rsidR="00D91D2F">
        <w:t>T</w:t>
      </w:r>
      <w:r>
        <w:t>he 2 GHz band is allocated globally by the ITU to the mobile-satellite service on a co</w:t>
      </w:r>
      <w:r w:rsidR="000D5E6E">
        <w:noBreakHyphen/>
      </w:r>
      <w:r>
        <w:t xml:space="preserve">primary basis (together with fixed and mobile services). </w:t>
      </w:r>
      <w:r w:rsidR="007F6936">
        <w:t>MSS</w:t>
      </w:r>
      <w:r>
        <w:t xml:space="preserve"> is one of two major international trends in allocation and use of the 2</w:t>
      </w:r>
      <w:r w:rsidR="008711DC">
        <w:t> </w:t>
      </w:r>
      <w:r>
        <w:t>GHz</w:t>
      </w:r>
      <w:r w:rsidR="008711DC">
        <w:t> </w:t>
      </w:r>
      <w:r>
        <w:t>band.</w:t>
      </w:r>
    </w:p>
    <w:p w14:paraId="666ED1B0" w14:textId="6187EDD4" w:rsidR="00D178BC" w:rsidRDefault="00073F1C" w:rsidP="00872D97">
      <w:pPr>
        <w:pStyle w:val="ListBullet2Last"/>
        <w:numPr>
          <w:ilvl w:val="0"/>
          <w:numId w:val="0"/>
        </w:numPr>
        <w:ind w:left="295"/>
      </w:pPr>
      <w:r>
        <w:t xml:space="preserve">Respondents to the 2019 </w:t>
      </w:r>
      <w:r w:rsidR="00CB5011">
        <w:t xml:space="preserve">discussion </w:t>
      </w:r>
      <w:r w:rsidR="006628B2">
        <w:t xml:space="preserve">indicated </w:t>
      </w:r>
      <w:r w:rsidR="003F5FD2">
        <w:t xml:space="preserve">that suitable satellite modems and related equipment are currently available </w:t>
      </w:r>
      <w:r w:rsidR="00657A89">
        <w:t>for use in the 2 GHz band</w:t>
      </w:r>
      <w:r w:rsidR="00D178BC">
        <w:t>.</w:t>
      </w:r>
      <w:r w:rsidR="00710B38">
        <w:t xml:space="preserve"> </w:t>
      </w:r>
      <w:r w:rsidR="00657A89">
        <w:t xml:space="preserve">Several respondents also </w:t>
      </w:r>
      <w:r w:rsidR="0081373A">
        <w:t xml:space="preserve">described aspirational business models ready for deployment using the 2 GHz band. These are based on anticipated demand in the emerging IoT market for large-scale, Australia-wide connectivity of devices and assets. </w:t>
      </w:r>
      <w:r w:rsidR="00710B38">
        <w:t xml:space="preserve">This option </w:t>
      </w:r>
      <w:r w:rsidR="007C648F">
        <w:t>best meets desirable planning</w:t>
      </w:r>
      <w:r w:rsidR="00D868B2">
        <w:t xml:space="preserve"> </w:t>
      </w:r>
      <w:r w:rsidR="00E27DA6">
        <w:t>O</w:t>
      </w:r>
      <w:r w:rsidR="00710B38">
        <w:t xml:space="preserve">utcome 1. </w:t>
      </w:r>
    </w:p>
    <w:p w14:paraId="4386EEBF" w14:textId="36BBBC5B" w:rsidR="001B00D8" w:rsidRDefault="007742DC" w:rsidP="001B00D8">
      <w:pPr>
        <w:pStyle w:val="Heading3"/>
      </w:pPr>
      <w:r>
        <w:t xml:space="preserve">Desirable planning </w:t>
      </w:r>
      <w:r w:rsidR="00E27DA6">
        <w:t>O</w:t>
      </w:r>
      <w:r w:rsidR="001B00D8">
        <w:t>utcome 2</w:t>
      </w:r>
    </w:p>
    <w:p w14:paraId="56DBDED6" w14:textId="27415C5C" w:rsidR="00716F3F" w:rsidRPr="00A61134" w:rsidRDefault="00606D75" w:rsidP="00716F3F">
      <w:pPr>
        <w:pStyle w:val="Paragraph"/>
        <w:rPr>
          <w:i/>
          <w:iCs/>
        </w:rPr>
      </w:pPr>
      <w:r w:rsidRPr="00606D75">
        <w:rPr>
          <w:i/>
          <w:iCs/>
        </w:rPr>
        <w:t>Resolve the interim nature of arrangements in the band</w:t>
      </w:r>
      <w:r w:rsidR="0062475F">
        <w:rPr>
          <w:i/>
          <w:iCs/>
        </w:rPr>
        <w:t xml:space="preserve"> </w:t>
      </w:r>
      <w:r w:rsidRPr="00606D75">
        <w:rPr>
          <w:i/>
          <w:iCs/>
        </w:rPr>
        <w:t>to provide increased certainty for future uses of the band</w:t>
      </w:r>
      <w:r w:rsidR="008711DC">
        <w:rPr>
          <w:i/>
          <w:iCs/>
        </w:rPr>
        <w:t>.</w:t>
      </w:r>
    </w:p>
    <w:p w14:paraId="5854B962" w14:textId="1C6013B5" w:rsidR="00394FD3" w:rsidRDefault="0022119D" w:rsidP="0053438A">
      <w:pPr>
        <w:pStyle w:val="ListBullet"/>
        <w:spacing w:after="160"/>
      </w:pPr>
      <w:r w:rsidRPr="001B78AE">
        <w:rPr>
          <w:b/>
          <w:bCs/>
        </w:rPr>
        <w:t>Option 1</w:t>
      </w:r>
      <w:r w:rsidR="004B08D6">
        <w:t>—</w:t>
      </w:r>
      <w:r w:rsidR="0031158B">
        <w:t>C</w:t>
      </w:r>
      <w:r w:rsidR="00621EC3">
        <w:t xml:space="preserve">onverting the current interim planning arrangements </w:t>
      </w:r>
      <w:r w:rsidR="00151CC7">
        <w:t xml:space="preserve">to </w:t>
      </w:r>
      <w:r w:rsidR="00483F4E">
        <w:t>ongoing tenure</w:t>
      </w:r>
      <w:r w:rsidR="00151CC7">
        <w:t xml:space="preserve"> for </w:t>
      </w:r>
      <w:r w:rsidR="007F6936">
        <w:t>TOB</w:t>
      </w:r>
      <w:r w:rsidR="00151CC7">
        <w:t xml:space="preserve"> </w:t>
      </w:r>
      <w:r w:rsidR="006F6B60">
        <w:t>licensees</w:t>
      </w:r>
      <w:r w:rsidR="00151CC7">
        <w:t xml:space="preserve"> </w:t>
      </w:r>
      <w:r w:rsidR="00D63FD9">
        <w:t xml:space="preserve">would </w:t>
      </w:r>
      <w:r w:rsidR="006F6B60">
        <w:t>satisfy</w:t>
      </w:r>
      <w:r w:rsidR="00E535F1">
        <w:t xml:space="preserve"> their requests for long-term certainty </w:t>
      </w:r>
      <w:r w:rsidR="00ED4A32">
        <w:t xml:space="preserve">in the band. </w:t>
      </w:r>
      <w:r w:rsidR="00E13A97">
        <w:t xml:space="preserve">However, this would preclude </w:t>
      </w:r>
      <w:r w:rsidR="001568C0">
        <w:t>new access seekers</w:t>
      </w:r>
      <w:r w:rsidR="00842861">
        <w:t xml:space="preserve"> and </w:t>
      </w:r>
      <w:r w:rsidR="003C57F4">
        <w:t xml:space="preserve">create ongoing uncertainty </w:t>
      </w:r>
      <w:r w:rsidR="00270AC6">
        <w:t xml:space="preserve">for deployment </w:t>
      </w:r>
      <w:r w:rsidR="00BA3650">
        <w:t xml:space="preserve">of </w:t>
      </w:r>
      <w:r w:rsidR="00EC5C29">
        <w:t xml:space="preserve">commercial-ready services in the absence of viable alternative </w:t>
      </w:r>
      <w:r w:rsidR="006B3948">
        <w:t xml:space="preserve">spectrum bands. </w:t>
      </w:r>
    </w:p>
    <w:p w14:paraId="26447324" w14:textId="57B793D7" w:rsidR="0022119D" w:rsidRDefault="00394FD3" w:rsidP="00872D97">
      <w:pPr>
        <w:pStyle w:val="ListBulletLast"/>
        <w:numPr>
          <w:ilvl w:val="0"/>
          <w:numId w:val="0"/>
        </w:numPr>
        <w:ind w:left="295"/>
      </w:pPr>
      <w:r w:rsidRPr="00946C75">
        <w:t>V</w:t>
      </w:r>
      <w:r w:rsidR="009274A8">
        <w:t xml:space="preserve">iable </w:t>
      </w:r>
      <w:r w:rsidR="0028738B">
        <w:t xml:space="preserve">alternative spectrum </w:t>
      </w:r>
      <w:r w:rsidR="00606D75">
        <w:t>in the 7.2 GHz</w:t>
      </w:r>
      <w:r w:rsidR="00F27A92">
        <w:t xml:space="preserve"> </w:t>
      </w:r>
      <w:r w:rsidR="00606D75">
        <w:t xml:space="preserve">band </w:t>
      </w:r>
      <w:r w:rsidR="00F27A92">
        <w:t xml:space="preserve">may provide </w:t>
      </w:r>
      <w:r w:rsidR="001F7CA9">
        <w:t xml:space="preserve">the longer-term certainty sought by </w:t>
      </w:r>
      <w:r w:rsidR="007F6936">
        <w:t>TOB</w:t>
      </w:r>
      <w:r w:rsidR="001F7CA9">
        <w:t xml:space="preserve"> </w:t>
      </w:r>
      <w:r w:rsidR="00A978E4">
        <w:t>operators.</w:t>
      </w:r>
      <w:r w:rsidR="00611C4B">
        <w:t xml:space="preserve"> </w:t>
      </w:r>
      <w:r w:rsidR="00534DFB">
        <w:t>Retaining existing arrangements will likely expose the band to</w:t>
      </w:r>
      <w:r w:rsidR="00CB65BC">
        <w:t xml:space="preserve"> continued </w:t>
      </w:r>
      <w:r w:rsidR="003A2E6C">
        <w:t>requests for access that are likely to intensify as demand for alternative uses continues to grow.</w:t>
      </w:r>
      <w:r w:rsidR="00CB65BC" w:rsidRPr="00CB65BC">
        <w:t xml:space="preserve"> </w:t>
      </w:r>
      <w:r w:rsidR="00CB65BC">
        <w:t>Thus</w:t>
      </w:r>
      <w:r w:rsidR="2BBEF28A">
        <w:t>,</w:t>
      </w:r>
      <w:r w:rsidR="003A2E6C">
        <w:t xml:space="preserve"> we consider that</w:t>
      </w:r>
      <w:r w:rsidR="00CB65BC">
        <w:t xml:space="preserve"> this option provides the lowest level of certainty for ongoing future uses.</w:t>
      </w:r>
    </w:p>
    <w:p w14:paraId="63DD343D" w14:textId="099AEAC2" w:rsidR="00E26298" w:rsidRDefault="0022119D" w:rsidP="0053438A">
      <w:pPr>
        <w:pStyle w:val="ListBullet"/>
        <w:spacing w:after="160"/>
      </w:pPr>
      <w:r w:rsidRPr="001B78AE">
        <w:rPr>
          <w:b/>
          <w:bCs/>
        </w:rPr>
        <w:t>Option 2</w:t>
      </w:r>
      <w:r w:rsidR="004B08D6">
        <w:t>—</w:t>
      </w:r>
      <w:r w:rsidR="0031158B">
        <w:t>P</w:t>
      </w:r>
      <w:r w:rsidR="008B5CE9" w:rsidRPr="00875778">
        <w:t xml:space="preserve">otential </w:t>
      </w:r>
      <w:r w:rsidR="008B5CE9">
        <w:t>wide-area wireless broadband</w:t>
      </w:r>
      <w:r w:rsidR="008B5CE9" w:rsidRPr="00875778">
        <w:t xml:space="preserve"> licensees </w:t>
      </w:r>
      <w:r w:rsidR="008B5CE9">
        <w:t>include mobile network operators</w:t>
      </w:r>
      <w:r w:rsidR="008B5CE9" w:rsidRPr="00875778">
        <w:t xml:space="preserve"> </w:t>
      </w:r>
      <w:r w:rsidR="008B5CE9">
        <w:t xml:space="preserve">that </w:t>
      </w:r>
      <w:r w:rsidR="008B5CE9" w:rsidRPr="00875778">
        <w:t>are</w:t>
      </w:r>
      <w:r w:rsidR="008B5CE9">
        <w:t xml:space="preserve"> likely to </w:t>
      </w:r>
      <w:r w:rsidR="00393B07">
        <w:t xml:space="preserve">have capacity </w:t>
      </w:r>
      <w:r w:rsidR="008B5CE9">
        <w:t xml:space="preserve">to extend existing </w:t>
      </w:r>
      <w:r w:rsidR="008B5CE9" w:rsidRPr="00875778">
        <w:t>network</w:t>
      </w:r>
      <w:r w:rsidR="008B5CE9">
        <w:t>s</w:t>
      </w:r>
      <w:r w:rsidR="008B5CE9" w:rsidRPr="00875778">
        <w:t xml:space="preserve"> </w:t>
      </w:r>
      <w:r w:rsidR="00393B07">
        <w:t xml:space="preserve">to utilise </w:t>
      </w:r>
      <w:r w:rsidR="009F6E26">
        <w:t xml:space="preserve">the </w:t>
      </w:r>
      <w:r w:rsidR="00E939B3">
        <w:t xml:space="preserve">additional </w:t>
      </w:r>
      <w:r w:rsidR="007B2627">
        <w:t xml:space="preserve">incremental </w:t>
      </w:r>
      <w:r w:rsidR="00E939B3">
        <w:t xml:space="preserve">spectrum </w:t>
      </w:r>
      <w:r w:rsidR="007B2627">
        <w:t xml:space="preserve">that this band would provide to complement existing holdings. </w:t>
      </w:r>
      <w:r w:rsidR="008B5CE9">
        <w:t xml:space="preserve">However, two of Australia’s three </w:t>
      </w:r>
      <w:r w:rsidR="7D691B78">
        <w:t>mobile network operators</w:t>
      </w:r>
      <w:r w:rsidR="008B5CE9">
        <w:t xml:space="preserve"> stated in submissions to the 2019 discussion paper that the 2 GHz band is not an immediate priority in their spectrum roadmaps. For the local-area wireless broadband service, introducing spectrum arrangements for operators to use the band is likely </w:t>
      </w:r>
      <w:r w:rsidR="27063EAC">
        <w:t xml:space="preserve">to </w:t>
      </w:r>
      <w:r w:rsidR="00DC433D">
        <w:t>assist in the delivery of these use cases</w:t>
      </w:r>
      <w:r w:rsidR="00C22209" w:rsidRPr="00C22209">
        <w:t>.</w:t>
      </w:r>
      <w:r w:rsidR="007501DC">
        <w:t xml:space="preserve"> </w:t>
      </w:r>
    </w:p>
    <w:p w14:paraId="2B020013" w14:textId="2C3762FC" w:rsidR="0022119D" w:rsidRDefault="00175418" w:rsidP="00872D97">
      <w:pPr>
        <w:pStyle w:val="ListBullet"/>
        <w:numPr>
          <w:ilvl w:val="0"/>
          <w:numId w:val="0"/>
        </w:numPr>
        <w:spacing w:after="240"/>
        <w:ind w:left="295"/>
      </w:pPr>
      <w:r>
        <w:t>Regarding direct air-to-ground communications, there is a high level of uncertainty surrounding the potential benefits of these services as their potential future uptake and viability is unclear</w:t>
      </w:r>
      <w:r w:rsidR="002E287F">
        <w:t xml:space="preserve">. The </w:t>
      </w:r>
      <w:r>
        <w:t xml:space="preserve">same functionality can also be provided by satellite systems, which are already in operation providing gate-to-gate connectivity to commercial airlines in the Ku and Ka bands. </w:t>
      </w:r>
      <w:r w:rsidR="0031158B">
        <w:t>We consider this option provides a medium level of certainty for future uses of the band.</w:t>
      </w:r>
    </w:p>
    <w:p w14:paraId="3AB8C132" w14:textId="77777777" w:rsidR="00E26298" w:rsidRDefault="0022119D" w:rsidP="0053438A">
      <w:pPr>
        <w:pStyle w:val="ListBullet"/>
        <w:spacing w:after="160"/>
      </w:pPr>
      <w:r w:rsidRPr="001B78AE">
        <w:rPr>
          <w:b/>
          <w:bCs/>
        </w:rPr>
        <w:t>Option 3</w:t>
      </w:r>
      <w:r w:rsidRPr="00346DBA">
        <w:t>—</w:t>
      </w:r>
      <w:r w:rsidR="0031158B">
        <w:t>A</w:t>
      </w:r>
      <w:r w:rsidR="00C22209" w:rsidRPr="00C22209">
        <w:t xml:space="preserve"> number of satellite operators are seeking access to the band that have </w:t>
      </w:r>
      <w:r w:rsidR="007F6936">
        <w:t>MSS</w:t>
      </w:r>
      <w:r w:rsidR="00C22209" w:rsidRPr="00C22209">
        <w:t xml:space="preserve"> operating internationally and/or are planning services for the Australian market. Three operators have obtained scientific licences to operate temporarily for test and demonstration purposes</w:t>
      </w:r>
      <w:r w:rsidR="00EF3EF7">
        <w:t xml:space="preserve">. </w:t>
      </w:r>
      <w:r w:rsidR="007C6A64">
        <w:t xml:space="preserve">The ACMA considers that </w:t>
      </w:r>
      <w:r w:rsidR="00EF3EF7">
        <w:t xml:space="preserve">there are </w:t>
      </w:r>
      <w:r w:rsidR="007C6A64">
        <w:t xml:space="preserve">no </w:t>
      </w:r>
      <w:r w:rsidR="00EF3EF7">
        <w:t>readily</w:t>
      </w:r>
      <w:r w:rsidR="007C6A64">
        <w:t xml:space="preserve"> </w:t>
      </w:r>
      <w:r w:rsidR="00EF3EF7">
        <w:lastRenderedPageBreak/>
        <w:t xml:space="preserve">available substitute </w:t>
      </w:r>
      <w:r w:rsidR="00F72312">
        <w:t xml:space="preserve">bands for </w:t>
      </w:r>
      <w:r w:rsidR="002F318C">
        <w:t xml:space="preserve">ongoing </w:t>
      </w:r>
      <w:r w:rsidR="00F72312">
        <w:t>deployment of these services</w:t>
      </w:r>
      <w:r w:rsidR="0031158B">
        <w:t xml:space="preserve">. </w:t>
      </w:r>
      <w:r w:rsidR="00196BA7">
        <w:t xml:space="preserve">Support for </w:t>
      </w:r>
      <w:r w:rsidR="00F536E2">
        <w:t xml:space="preserve">a complementary ground component provides additional flexibility </w:t>
      </w:r>
      <w:r w:rsidR="0078792D">
        <w:t>for operators to deploy solutions that</w:t>
      </w:r>
      <w:r w:rsidR="00A041B8">
        <w:t xml:space="preserve"> are </w:t>
      </w:r>
      <w:r w:rsidR="00893C11">
        <w:t xml:space="preserve">optimised for </w:t>
      </w:r>
      <w:r w:rsidR="00C57C75">
        <w:t>geography (</w:t>
      </w:r>
      <w:r w:rsidR="00A041B8">
        <w:t>terrain and</w:t>
      </w:r>
      <w:r w:rsidR="005A088C">
        <w:t xml:space="preserve"> </w:t>
      </w:r>
      <w:r w:rsidR="00A041B8">
        <w:t>buil</w:t>
      </w:r>
      <w:r w:rsidR="005A088C">
        <w:t>t</w:t>
      </w:r>
      <w:r w:rsidR="00A041B8">
        <w:t xml:space="preserve"> environment</w:t>
      </w:r>
      <w:r w:rsidR="00C57C75">
        <w:t>)</w:t>
      </w:r>
      <w:r w:rsidR="00A041B8">
        <w:t xml:space="preserve">, </w:t>
      </w:r>
      <w:r w:rsidR="005A088C">
        <w:t xml:space="preserve">coverage </w:t>
      </w:r>
      <w:r w:rsidR="00C57C75">
        <w:t>goals</w:t>
      </w:r>
      <w:r w:rsidR="00941847">
        <w:t xml:space="preserve">, </w:t>
      </w:r>
      <w:r w:rsidR="00C57C75">
        <w:t xml:space="preserve">user </w:t>
      </w:r>
      <w:r w:rsidR="00941847">
        <w:t xml:space="preserve">density, and </w:t>
      </w:r>
      <w:r w:rsidR="00FF75EF">
        <w:t>service-level</w:t>
      </w:r>
      <w:r w:rsidR="00941847">
        <w:t xml:space="preserve"> </w:t>
      </w:r>
      <w:r w:rsidR="00C57C75">
        <w:t>requirements</w:t>
      </w:r>
      <w:r w:rsidR="00FF75EF">
        <w:t xml:space="preserve"> including throughput and latency</w:t>
      </w:r>
      <w:r w:rsidR="00C57C75">
        <w:t>.</w:t>
      </w:r>
      <w:r w:rsidR="00FF75EF">
        <w:t xml:space="preserve"> </w:t>
      </w:r>
    </w:p>
    <w:p w14:paraId="06C9A422" w14:textId="09FC2CE3" w:rsidR="0022119D" w:rsidRDefault="00E26298" w:rsidP="00872D97">
      <w:pPr>
        <w:pStyle w:val="ListBulletLast"/>
        <w:numPr>
          <w:ilvl w:val="0"/>
          <w:numId w:val="0"/>
        </w:numPr>
        <w:ind w:left="295"/>
      </w:pPr>
      <w:r>
        <w:t>W</w:t>
      </w:r>
      <w:r w:rsidR="0031158B">
        <w:t>e consider this option provides a high level of certainty for future uses of the band</w:t>
      </w:r>
      <w:r w:rsidR="006821E7">
        <w:t xml:space="preserve"> and is </w:t>
      </w:r>
      <w:r w:rsidR="2005AF41">
        <w:t xml:space="preserve">the </w:t>
      </w:r>
      <w:r w:rsidR="006821E7">
        <w:t>least likely to come under pressure in the medium term for alternative uses.</w:t>
      </w:r>
    </w:p>
    <w:p w14:paraId="5F3AB536" w14:textId="5B35AD79" w:rsidR="001B00D8" w:rsidRPr="00872D97" w:rsidRDefault="007742DC" w:rsidP="00872D97">
      <w:pPr>
        <w:pStyle w:val="Heading3"/>
      </w:pPr>
      <w:r w:rsidRPr="00872D97">
        <w:t xml:space="preserve">Desirable planning </w:t>
      </w:r>
      <w:r w:rsidR="00E27DA6">
        <w:t>O</w:t>
      </w:r>
      <w:r w:rsidR="001B00D8" w:rsidRPr="00872D97">
        <w:t>utcome 3</w:t>
      </w:r>
    </w:p>
    <w:p w14:paraId="47301B88" w14:textId="1180FACF" w:rsidR="000D3C66" w:rsidRDefault="00716F3F" w:rsidP="00872D97">
      <w:pPr>
        <w:pStyle w:val="Paragraph"/>
        <w:rPr>
          <w:i/>
          <w:iCs/>
        </w:rPr>
      </w:pPr>
      <w:r w:rsidRPr="00A61134">
        <w:rPr>
          <w:i/>
          <w:iCs/>
        </w:rPr>
        <w:t>Manage coexistence with adjacent band services</w:t>
      </w:r>
      <w:r w:rsidR="008711DC">
        <w:rPr>
          <w:i/>
          <w:iCs/>
        </w:rPr>
        <w:t>.</w:t>
      </w:r>
    </w:p>
    <w:p w14:paraId="417C99DB" w14:textId="2D05418C" w:rsidR="0035594C" w:rsidRPr="004B0760" w:rsidRDefault="0035594C" w:rsidP="00872D97">
      <w:r>
        <w:t>Each option addresses this desirable planning outcome effectively in the same way through the implementation of necessary restricted/guard band</w:t>
      </w:r>
      <w:r w:rsidR="004B0760">
        <w:t xml:space="preserve">s and </w:t>
      </w:r>
      <w:r w:rsidR="00A15524">
        <w:t xml:space="preserve">other technical planning </w:t>
      </w:r>
      <w:r w:rsidR="00E433A3">
        <w:t>arrangements</w:t>
      </w:r>
      <w:r>
        <w:t xml:space="preserve">. Hence this outcome offers no scope for differentiation between options and is therefore not discussed further. </w:t>
      </w:r>
    </w:p>
    <w:p w14:paraId="26BEDF16" w14:textId="217E71A0" w:rsidR="00FD7E85" w:rsidRDefault="00FD7E85" w:rsidP="00FD7E85">
      <w:pPr>
        <w:pStyle w:val="Heading2"/>
      </w:pPr>
      <w:bookmarkStart w:id="81" w:name="_Toc43389531"/>
      <w:bookmarkStart w:id="82" w:name="_Toc46316375"/>
      <w:r>
        <w:t>Quantitative cost</w:t>
      </w:r>
      <w:r w:rsidR="005D679F">
        <w:t>-</w:t>
      </w:r>
      <w:r>
        <w:t>benefit analysis</w:t>
      </w:r>
      <w:bookmarkEnd w:id="81"/>
      <w:bookmarkEnd w:id="82"/>
    </w:p>
    <w:p w14:paraId="03810A6A" w14:textId="7E220CB3" w:rsidR="00FD7E85" w:rsidRDefault="00FD7E85" w:rsidP="00691DD9">
      <w:pPr>
        <w:pStyle w:val="Paragraph"/>
      </w:pPr>
      <w:r>
        <w:t>Where evidence is available, a quantitative analysis is also undertaken</w:t>
      </w:r>
      <w:r w:rsidR="00EE0E16">
        <w:t xml:space="preserve"> by the ACMA </w:t>
      </w:r>
      <w:r w:rsidR="00303AEC">
        <w:t>as part of its band replanning activities</w:t>
      </w:r>
      <w:r w:rsidR="0B7EF59D">
        <w:t xml:space="preserve">, </w:t>
      </w:r>
      <w:r w:rsidR="32A1F5C7">
        <w:t>to better</w:t>
      </w:r>
      <w:r>
        <w:t xml:space="preserve"> inform the overall planning decisions for the band. </w:t>
      </w:r>
    </w:p>
    <w:p w14:paraId="08793990" w14:textId="614FB37A" w:rsidR="00FD7E85" w:rsidRDefault="00FD7E85" w:rsidP="00691DD9">
      <w:pPr>
        <w:pStyle w:val="Paragraph"/>
      </w:pPr>
      <w:r>
        <w:t xml:space="preserve">The </w:t>
      </w:r>
      <w:r w:rsidRPr="00DE43AA">
        <w:rPr>
          <w:iCs/>
        </w:rPr>
        <w:t>quantitative</w:t>
      </w:r>
      <w:r>
        <w:t xml:space="preserve"> analysis, when undertaken, reflects a cos</w:t>
      </w:r>
      <w:r w:rsidRPr="008E5A93">
        <w:t>t</w:t>
      </w:r>
      <w:r w:rsidR="00B26C60">
        <w:t>-</w:t>
      </w:r>
      <w:r w:rsidRPr="008E5A93">
        <w:t xml:space="preserve">benefit </w:t>
      </w:r>
      <w:r w:rsidR="00B26C60">
        <w:t>analysis of the proposed options</w:t>
      </w:r>
      <w:r w:rsidRPr="008E5A93">
        <w:t>. This analysis is detailed in</w:t>
      </w:r>
      <w:r w:rsidR="00F36E58">
        <w:t xml:space="preserve"> </w:t>
      </w:r>
      <w:hyperlink w:anchor="_Appendix_G:_Cost-benefit" w:history="1">
        <w:r w:rsidR="00F36E58" w:rsidRPr="00F36E58">
          <w:rPr>
            <w:rStyle w:val="Hyperlink"/>
          </w:rPr>
          <w:t>Appendix G: Cost-benefit analysis</w:t>
        </w:r>
      </w:hyperlink>
      <w:r w:rsidR="00B26C60">
        <w:t>.</w:t>
      </w:r>
      <w:r>
        <w:t xml:space="preserve"> The value placed on the spectrum by the new incoming use may form a proxy for the benefit (using previous prices paid for equivalent spectrum as a guide), while estimated costs for existing uses are calculated from the necessary expenditure incumbent users would incur by having to retune or purchase new equipment </w:t>
      </w:r>
      <w:r w:rsidR="00FA164A">
        <w:t>for relocation to an alternative band</w:t>
      </w:r>
      <w:r>
        <w:t xml:space="preserve">. This </w:t>
      </w:r>
      <w:r w:rsidRPr="00F519C7">
        <w:rPr>
          <w:iCs/>
        </w:rPr>
        <w:t>quantitative</w:t>
      </w:r>
      <w:r>
        <w:t xml:space="preserve"> cost benefit analysis is generally based on a constant output case </w:t>
      </w:r>
      <w:r w:rsidR="2CDA478E">
        <w:t>and</w:t>
      </w:r>
      <w:r>
        <w:t xml:space="preserve"> assumes the current services can continue to be delivered (via some form) under the options being considered. Where an incumbent use would have no alternative mechanism for supply, the loss of that service is considered </w:t>
      </w:r>
      <w:r w:rsidRPr="00F519C7">
        <w:rPr>
          <w:iCs/>
        </w:rPr>
        <w:t>qualitatively</w:t>
      </w:r>
      <w:r>
        <w:t xml:space="preserve"> within the overall assessment of options.</w:t>
      </w:r>
    </w:p>
    <w:p w14:paraId="2DA1ED81" w14:textId="5B32499F" w:rsidR="00FD7E85" w:rsidRDefault="00FD7E85" w:rsidP="00691DD9">
      <w:pPr>
        <w:pStyle w:val="Paragraph"/>
      </w:pPr>
      <w:r>
        <w:t>While potentially providing some useful insights</w:t>
      </w:r>
      <w:r w:rsidR="0028529B">
        <w:t>,</w:t>
      </w:r>
      <w:r>
        <w:t xml:space="preserve"> especially in comparing options, </w:t>
      </w:r>
      <w:r w:rsidR="00B610AF">
        <w:t>we</w:t>
      </w:r>
      <w:r>
        <w:t xml:space="preserve"> acknowledge</w:t>
      </w:r>
      <w:r w:rsidR="00B610AF">
        <w:t xml:space="preserve"> </w:t>
      </w:r>
      <w:r>
        <w:t xml:space="preserve">there are limitations to a </w:t>
      </w:r>
      <w:r w:rsidRPr="00F519C7">
        <w:rPr>
          <w:iCs/>
        </w:rPr>
        <w:t>quantitative</w:t>
      </w:r>
      <w:r>
        <w:t xml:space="preserve"> cost benefit analysis. Firstly, all inputs are estimates, often with large margins between point estimates. Precise data is either impossible to acquire (</w:t>
      </w:r>
      <w:r w:rsidR="00E270C6">
        <w:t>such as</w:t>
      </w:r>
      <w:r>
        <w:t xml:space="preserve"> future </w:t>
      </w:r>
      <w:r w:rsidR="3D320E87">
        <w:t>private and market valuations of the spectrum</w:t>
      </w:r>
      <w:r>
        <w:t>)</w:t>
      </w:r>
      <w:r w:rsidR="22FEE3C6">
        <w:t>,</w:t>
      </w:r>
      <w:r>
        <w:t xml:space="preserve"> or </w:t>
      </w:r>
      <w:r w:rsidR="009852E1">
        <w:t>unable</w:t>
      </w:r>
      <w:r>
        <w:t xml:space="preserve"> to obtain in practice (</w:t>
      </w:r>
      <w:r w:rsidR="009852E1">
        <w:t xml:space="preserve">such </w:t>
      </w:r>
      <w:r w:rsidR="58F2EF2B">
        <w:t>as</w:t>
      </w:r>
      <w:r w:rsidR="39558C41">
        <w:t xml:space="preserve"> </w:t>
      </w:r>
      <w:r>
        <w:t>exact knowledge of equipment</w:t>
      </w:r>
      <w:r w:rsidR="009852E1">
        <w:t>-</w:t>
      </w:r>
      <w:r>
        <w:t xml:space="preserve">related costs and business </w:t>
      </w:r>
      <w:r w:rsidR="009852E1">
        <w:t xml:space="preserve">planning </w:t>
      </w:r>
      <w:r>
        <w:t xml:space="preserve">decisions). </w:t>
      </w:r>
    </w:p>
    <w:p w14:paraId="7FC7A6CA" w14:textId="60DDF36B" w:rsidR="006965A8" w:rsidRDefault="00FD7E85" w:rsidP="00691DD9">
      <w:pPr>
        <w:pStyle w:val="Paragraph"/>
      </w:pPr>
      <w:r>
        <w:t xml:space="preserve">The </w:t>
      </w:r>
      <w:bookmarkStart w:id="83" w:name="_Hlk42854823"/>
      <w:r>
        <w:t>preliminary cost</w:t>
      </w:r>
      <w:r w:rsidR="00480861">
        <w:t>-</w:t>
      </w:r>
      <w:r>
        <w:t xml:space="preserve">benefit </w:t>
      </w:r>
      <w:bookmarkEnd w:id="83"/>
      <w:r w:rsidR="00480861">
        <w:t xml:space="preserve">analysis </w:t>
      </w:r>
      <w:r>
        <w:t>concludes that the option with the highest net benefit</w:t>
      </w:r>
      <w:r w:rsidR="00480861">
        <w:t xml:space="preserve"> is </w:t>
      </w:r>
      <w:r w:rsidR="00E27DA6">
        <w:t>O</w:t>
      </w:r>
      <w:r w:rsidR="00480861">
        <w:t>ption 3</w:t>
      </w:r>
      <w:r w:rsidR="005F7FAD">
        <w:t xml:space="preserve"> and the lowest </w:t>
      </w:r>
      <w:r w:rsidR="006F54EF">
        <w:t xml:space="preserve">is </w:t>
      </w:r>
      <w:r w:rsidR="00E27DA6">
        <w:t>O</w:t>
      </w:r>
      <w:r w:rsidR="006F54EF">
        <w:t>ption 1.</w:t>
      </w:r>
    </w:p>
    <w:p w14:paraId="4B2107AC" w14:textId="4CDA0A62" w:rsidR="005724C9" w:rsidRDefault="00331E70" w:rsidP="007B184F">
      <w:pPr>
        <w:pStyle w:val="Paragraph"/>
      </w:pPr>
      <w:r>
        <w:t xml:space="preserve">The cost benefit analysis is intended to be updated with information obtained in feedback to this paper. Consequently, the ACMA will review this analysis before making any decisions on planning arrangements in the </w:t>
      </w:r>
      <w:r w:rsidR="002430BA">
        <w:t>2 GHz</w:t>
      </w:r>
      <w:r>
        <w:t xml:space="preserve"> band.</w:t>
      </w:r>
    </w:p>
    <w:p w14:paraId="08748D9A" w14:textId="77777777" w:rsidR="005724C9" w:rsidRDefault="005724C9" w:rsidP="005724C9">
      <w:pPr>
        <w:pStyle w:val="Heading2"/>
      </w:pPr>
      <w:bookmarkStart w:id="84" w:name="_Toc46316376"/>
      <w:r>
        <w:t>Conclusion</w:t>
      </w:r>
      <w:bookmarkEnd w:id="84"/>
    </w:p>
    <w:p w14:paraId="7AC87035" w14:textId="7721CE2C" w:rsidR="0007623F" w:rsidRDefault="00616571" w:rsidP="004A65F9">
      <w:pPr>
        <w:pStyle w:val="Paragraphbeforelist"/>
      </w:pPr>
      <w:r>
        <w:t>Our</w:t>
      </w:r>
      <w:r w:rsidR="007742DC" w:rsidRPr="007742DC">
        <w:t xml:space="preserve"> assessment against the desirable planning outcomes has identified </w:t>
      </w:r>
      <w:r w:rsidR="00E27DA6">
        <w:t>O</w:t>
      </w:r>
      <w:r w:rsidR="007742DC" w:rsidRPr="007742DC">
        <w:t xml:space="preserve">ption 3 as </w:t>
      </w:r>
      <w:r w:rsidR="00691DD9">
        <w:t xml:space="preserve">most likely to </w:t>
      </w:r>
      <w:r w:rsidR="007742DC" w:rsidRPr="007742DC">
        <w:t>maximis</w:t>
      </w:r>
      <w:r w:rsidR="00691DD9">
        <w:t>e</w:t>
      </w:r>
      <w:r w:rsidR="007742DC" w:rsidRPr="007742DC">
        <w:t xml:space="preserve"> the overall public benefit and is therefore the ACMA</w:t>
      </w:r>
      <w:r>
        <w:t>’s</w:t>
      </w:r>
      <w:r w:rsidR="007742DC" w:rsidRPr="007742DC">
        <w:t xml:space="preserve"> preliminary preferred replanning option</w:t>
      </w:r>
      <w:r>
        <w:t xml:space="preserve"> for the 2 GHz band.</w:t>
      </w:r>
      <w:r w:rsidR="002A01B1">
        <w:t xml:space="preserve"> </w:t>
      </w:r>
      <w:r w:rsidR="00212CE8">
        <w:t>We consider t</w:t>
      </w:r>
      <w:r w:rsidR="002A01B1">
        <w:t>his option</w:t>
      </w:r>
      <w:r w:rsidR="00F36E58">
        <w:t> </w:t>
      </w:r>
      <w:r w:rsidR="00212CE8">
        <w:t>would</w:t>
      </w:r>
      <w:r w:rsidR="002A01B1">
        <w:t>:</w:t>
      </w:r>
    </w:p>
    <w:p w14:paraId="0D2BFB88" w14:textId="517DDBDC" w:rsidR="00C22EE0" w:rsidRPr="00A05EC9" w:rsidRDefault="00C22EE0" w:rsidP="00C22EE0">
      <w:pPr>
        <w:pStyle w:val="ListBullet"/>
      </w:pPr>
      <w:r w:rsidRPr="00A05EC9">
        <w:lastRenderedPageBreak/>
        <w:t>maximise</w:t>
      </w:r>
      <w:r>
        <w:t>—</w:t>
      </w:r>
      <w:r w:rsidRPr="00A05EC9">
        <w:t>by ensuring the efficient allocation and use of the spectrum</w:t>
      </w:r>
      <w:r>
        <w:t>—</w:t>
      </w:r>
      <w:r w:rsidRPr="00A05EC9">
        <w:t>the overall public benefit derived from using the radiofrequency spectrum</w:t>
      </w:r>
    </w:p>
    <w:p w14:paraId="6B5D58DA" w14:textId="4EE3586C" w:rsidR="00C22EE0" w:rsidRPr="005E6D37" w:rsidRDefault="00C22EE0" w:rsidP="00C22EE0">
      <w:pPr>
        <w:pStyle w:val="ListBullet"/>
      </w:pPr>
      <w:r w:rsidRPr="005E6D37">
        <w:t>provide a responsive and flexible approach to meeting the needs of spectrum</w:t>
      </w:r>
      <w:r>
        <w:t xml:space="preserve"> users</w:t>
      </w:r>
    </w:p>
    <w:p w14:paraId="77268693" w14:textId="37528614" w:rsidR="00C22EE0" w:rsidRPr="00A05EC9" w:rsidRDefault="00C22EE0" w:rsidP="00C22EE0">
      <w:pPr>
        <w:pStyle w:val="ListBullet"/>
      </w:pPr>
      <w:r w:rsidRPr="00F26E80">
        <w:t>encourage the use of efficient radiocommunic</w:t>
      </w:r>
      <w:r w:rsidRPr="00A05EC9">
        <w:t xml:space="preserve">ation technologies </w:t>
      </w:r>
      <w:r w:rsidR="6E3D4F5E">
        <w:t>and</w:t>
      </w:r>
      <w:r w:rsidRPr="00A05EC9">
        <w:t xml:space="preserve"> a </w:t>
      </w:r>
      <w:r>
        <w:t>wide</w:t>
      </w:r>
      <w:r w:rsidR="6B3EA575">
        <w:t>r</w:t>
      </w:r>
      <w:r w:rsidRPr="00A05EC9">
        <w:t xml:space="preserve"> range of services of an adequate quality </w:t>
      </w:r>
      <w:r>
        <w:t xml:space="preserve">by introducing new service types into the </w:t>
      </w:r>
      <w:r w:rsidR="00FD6269">
        <w:t>2 G</w:t>
      </w:r>
      <w:r>
        <w:t>Hz band</w:t>
      </w:r>
    </w:p>
    <w:p w14:paraId="1C05B78E" w14:textId="66EF686A" w:rsidR="00C22EE0" w:rsidRDefault="00C22EE0" w:rsidP="00EF5877">
      <w:pPr>
        <w:pStyle w:val="ListBulletLast"/>
      </w:pPr>
      <w:r w:rsidRPr="00A37173">
        <w:t xml:space="preserve">support the communications policy objectives of the </w:t>
      </w:r>
      <w:r w:rsidR="00824C69">
        <w:t>Australian</w:t>
      </w:r>
      <w:r w:rsidR="00824C69" w:rsidRPr="00A37173">
        <w:t xml:space="preserve"> </w:t>
      </w:r>
      <w:r w:rsidRPr="00A37173">
        <w:t>Government</w:t>
      </w:r>
      <w:r>
        <w:t xml:space="preserve"> by providing spectrum that can be utilised for 5G</w:t>
      </w:r>
      <w:r w:rsidR="00EF5877">
        <w:t xml:space="preserve"> and satellite</w:t>
      </w:r>
      <w:r>
        <w:t xml:space="preserve"> technologies</w:t>
      </w:r>
      <w:r w:rsidRPr="00A37173">
        <w:t>.</w:t>
      </w:r>
    </w:p>
    <w:p w14:paraId="0EF26ECB" w14:textId="0CB7D20D" w:rsidR="00C22EE0" w:rsidRDefault="00C73ED6" w:rsidP="004A65F9">
      <w:pPr>
        <w:pStyle w:val="Paragraphbeforelist"/>
      </w:pPr>
      <w:r>
        <w:t>O</w:t>
      </w:r>
      <w:r w:rsidR="00C22EE0">
        <w:t>ption</w:t>
      </w:r>
      <w:r>
        <w:t xml:space="preserve"> 3</w:t>
      </w:r>
      <w:r w:rsidR="00C22EE0">
        <w:t xml:space="preserve"> meets the desirable planning outcomes as follows:</w:t>
      </w:r>
    </w:p>
    <w:p w14:paraId="05911F0B" w14:textId="71F70A48" w:rsidR="00C22EE0" w:rsidRPr="00C4418C" w:rsidRDefault="5BF7D603" w:rsidP="00C22EE0">
      <w:pPr>
        <w:pStyle w:val="ListBullet"/>
      </w:pPr>
      <w:r>
        <w:t xml:space="preserve">It </w:t>
      </w:r>
      <w:r w:rsidR="76141814">
        <w:t>s</w:t>
      </w:r>
      <w:r w:rsidR="002728FF">
        <w:t>upports new uses in the 2 GHz band</w:t>
      </w:r>
      <w:r w:rsidR="00E67612">
        <w:t xml:space="preserve">, including </w:t>
      </w:r>
      <w:r w:rsidR="00602A97">
        <w:t>MSS, IoT, and to some extent, terrestrial wireless broadband,</w:t>
      </w:r>
      <w:r w:rsidR="00E67612">
        <w:t xml:space="preserve"> consistent with international harmonisation trends and domestic demand drivers</w:t>
      </w:r>
      <w:r w:rsidR="00DB68A9">
        <w:t>.</w:t>
      </w:r>
    </w:p>
    <w:p w14:paraId="2B608C70" w14:textId="49766C3F" w:rsidR="00C22EE0" w:rsidRPr="00C4418C" w:rsidRDefault="0017574B" w:rsidP="00C22EE0">
      <w:pPr>
        <w:pStyle w:val="ListBullet"/>
      </w:pPr>
      <w:r>
        <w:t xml:space="preserve">Support for a complementary ground component would enable deployment of </w:t>
      </w:r>
      <w:r w:rsidR="00297A99">
        <w:t xml:space="preserve">terrestrial wireless broadband </w:t>
      </w:r>
      <w:r w:rsidR="00726ED6">
        <w:t>infrastructure</w:t>
      </w:r>
      <w:r w:rsidR="007D7AE7">
        <w:t xml:space="preserve"> (including 4G/5G services)</w:t>
      </w:r>
      <w:r w:rsidR="005735BE">
        <w:t xml:space="preserve"> where an operator considers this appropriate</w:t>
      </w:r>
      <w:r w:rsidR="00DB68A9">
        <w:t xml:space="preserve">. </w:t>
      </w:r>
    </w:p>
    <w:p w14:paraId="0677BF0D" w14:textId="71C0760F" w:rsidR="00C22EE0" w:rsidRDefault="00B44B3C" w:rsidP="00C22EE0">
      <w:pPr>
        <w:pStyle w:val="ListBullet"/>
      </w:pPr>
      <w:r>
        <w:t xml:space="preserve">Ongoing certainty would be provided to users of the band, supporting services that </w:t>
      </w:r>
      <w:r w:rsidR="00D269A3">
        <w:t xml:space="preserve">are likely to </w:t>
      </w:r>
      <w:r w:rsidR="00D946B0">
        <w:t xml:space="preserve">retain </w:t>
      </w:r>
      <w:r w:rsidR="00132919">
        <w:t xml:space="preserve">a high level of </w:t>
      </w:r>
      <w:r w:rsidR="006F2235">
        <w:t>domestic and international support at least into the medium term</w:t>
      </w:r>
      <w:r w:rsidR="00DB68A9">
        <w:t xml:space="preserve">. </w:t>
      </w:r>
    </w:p>
    <w:p w14:paraId="178BE3C9" w14:textId="3FD666D7" w:rsidR="00C22EE0" w:rsidRDefault="00C22EE0" w:rsidP="002C6CED">
      <w:pPr>
        <w:pStyle w:val="ListBulletLast"/>
      </w:pPr>
      <w:r>
        <w:t>Coexistence with adjacent band services could be enabled via the development of appropriate technical conditions</w:t>
      </w:r>
      <w:r w:rsidR="002C6CED">
        <w:t>.</w:t>
      </w:r>
    </w:p>
    <w:p w14:paraId="3D0C6863" w14:textId="77777777" w:rsidR="006D22B4" w:rsidRPr="006D22B4" w:rsidRDefault="006D22B4" w:rsidP="006D22B4">
      <w:pPr>
        <w:pStyle w:val="Paragraph"/>
      </w:pPr>
    </w:p>
    <w:p w14:paraId="6DE288B8" w14:textId="77777777" w:rsidR="006C1631" w:rsidRPr="001F7DED" w:rsidRDefault="006C1631" w:rsidP="006C1631">
      <w:pPr>
        <w:pStyle w:val="Heading1"/>
      </w:pPr>
      <w:bookmarkStart w:id="85" w:name="_Invitation_to_comment"/>
      <w:bookmarkStart w:id="86" w:name="_Toc46316377"/>
      <w:bookmarkEnd w:id="85"/>
      <w:r w:rsidRPr="001F7DED">
        <w:lastRenderedPageBreak/>
        <w:t>Invitation to comment</w:t>
      </w:r>
      <w:bookmarkEnd w:id="86"/>
    </w:p>
    <w:p w14:paraId="26A3EAB7" w14:textId="77777777" w:rsidR="006C1631" w:rsidRPr="001F7DED" w:rsidRDefault="006C1631" w:rsidP="006C1631">
      <w:pPr>
        <w:pStyle w:val="Heading2"/>
      </w:pPr>
      <w:bookmarkStart w:id="87" w:name="_Toc433122131"/>
      <w:bookmarkStart w:id="88" w:name="_Toc348105637"/>
      <w:bookmarkStart w:id="89" w:name="_Toc300909556"/>
      <w:bookmarkStart w:id="90" w:name="_Toc298924673"/>
      <w:bookmarkStart w:id="91" w:name="_Toc46316378"/>
      <w:bookmarkStart w:id="92" w:name="_Toc348105638"/>
      <w:bookmarkStart w:id="93" w:name="_Toc300909557"/>
      <w:bookmarkStart w:id="94" w:name="_Toc298924674"/>
      <w:bookmarkStart w:id="95" w:name="_Toc274296357"/>
      <w:r w:rsidRPr="001F7DED">
        <w:t>Making a submission</w:t>
      </w:r>
      <w:bookmarkEnd w:id="87"/>
      <w:bookmarkEnd w:id="88"/>
      <w:bookmarkEnd w:id="89"/>
      <w:bookmarkEnd w:id="90"/>
      <w:bookmarkEnd w:id="91"/>
    </w:p>
    <w:p w14:paraId="7970294C" w14:textId="69715489" w:rsidR="006C1631" w:rsidRPr="001F7DED" w:rsidRDefault="006C1631" w:rsidP="006C1631">
      <w:r w:rsidRPr="001F7DED">
        <w:t xml:space="preserve">The ACMA invites comments on the issues set out in this </w:t>
      </w:r>
      <w:r w:rsidR="189B36AC">
        <w:t>options</w:t>
      </w:r>
      <w:r w:rsidRPr="001F7DED">
        <w:t xml:space="preserve"> paper. </w:t>
      </w:r>
    </w:p>
    <w:p w14:paraId="5EED3900" w14:textId="77777777" w:rsidR="0070133D" w:rsidRPr="001F7DED" w:rsidRDefault="00D8615F" w:rsidP="0070133D">
      <w:pPr>
        <w:pStyle w:val="Bulletlevel1"/>
      </w:pPr>
      <w:hyperlink r:id="rId63" w:history="1">
        <w:r w:rsidR="0070133D" w:rsidRPr="001F7DED">
          <w:rPr>
            <w:rStyle w:val="Hyperlink"/>
          </w:rPr>
          <w:t>Online submissions</w:t>
        </w:r>
      </w:hyperlink>
      <w:r w:rsidR="0070133D" w:rsidRPr="001F7DED">
        <w:t xml:space="preserve"> can be made by uploading a document. Submissions in</w:t>
      </w:r>
      <w:r w:rsidR="00396DC2" w:rsidRPr="001F7DED">
        <w:t xml:space="preserve"> PDF, </w:t>
      </w:r>
      <w:r w:rsidR="0070133D" w:rsidRPr="001F7DED">
        <w:t>Microsoft Word or Rich Text Format are preferred.</w:t>
      </w:r>
    </w:p>
    <w:p w14:paraId="4DB0A086" w14:textId="77777777" w:rsidR="006C1631" w:rsidRPr="001F7DED" w:rsidRDefault="006C1631" w:rsidP="0070133D">
      <w:pPr>
        <w:pStyle w:val="Bulletlevel1"/>
      </w:pPr>
      <w:r w:rsidRPr="001F7DED">
        <w:t xml:space="preserve">Submissions by post can be sent to: </w:t>
      </w:r>
    </w:p>
    <w:p w14:paraId="0C0B0143" w14:textId="77777777" w:rsidR="006C1631" w:rsidRPr="001F7DED" w:rsidRDefault="006C1631" w:rsidP="006C1631">
      <w:pPr>
        <w:tabs>
          <w:tab w:val="num" w:pos="295"/>
        </w:tabs>
        <w:spacing w:after="0"/>
        <w:ind w:left="295"/>
        <w:rPr>
          <w:szCs w:val="20"/>
        </w:rPr>
      </w:pPr>
      <w:r w:rsidRPr="001F7DED">
        <w:rPr>
          <w:szCs w:val="20"/>
        </w:rPr>
        <w:t>The Manager</w:t>
      </w:r>
    </w:p>
    <w:p w14:paraId="1D3C0CE2" w14:textId="2DEFF4CE" w:rsidR="006C1631" w:rsidRPr="001F7DED" w:rsidRDefault="00BE62CF" w:rsidP="006C1631">
      <w:pPr>
        <w:spacing w:after="0"/>
        <w:ind w:left="295"/>
        <w:rPr>
          <w:szCs w:val="20"/>
        </w:rPr>
      </w:pPr>
      <w:r w:rsidRPr="001F7DED">
        <w:rPr>
          <w:szCs w:val="20"/>
        </w:rPr>
        <w:t>Space Systems</w:t>
      </w:r>
    </w:p>
    <w:p w14:paraId="23C6EDA7" w14:textId="77777777" w:rsidR="006C1631" w:rsidRPr="001F7DED" w:rsidRDefault="006C1631" w:rsidP="006C1631">
      <w:pPr>
        <w:spacing w:after="0"/>
        <w:ind w:left="295"/>
        <w:rPr>
          <w:szCs w:val="20"/>
        </w:rPr>
      </w:pPr>
      <w:r w:rsidRPr="001F7DED">
        <w:rPr>
          <w:szCs w:val="20"/>
        </w:rPr>
        <w:t>Australian Communications and Media Authority</w:t>
      </w:r>
    </w:p>
    <w:p w14:paraId="2197F84F" w14:textId="77777777" w:rsidR="006C1631" w:rsidRPr="001F7DED" w:rsidRDefault="006C1631" w:rsidP="006C1631">
      <w:pPr>
        <w:spacing w:after="0"/>
        <w:ind w:left="295"/>
        <w:rPr>
          <w:szCs w:val="20"/>
        </w:rPr>
      </w:pPr>
      <w:r w:rsidRPr="001F7DED">
        <w:rPr>
          <w:szCs w:val="20"/>
        </w:rPr>
        <w:t>PO Box 78</w:t>
      </w:r>
    </w:p>
    <w:p w14:paraId="5E1DC3F7" w14:textId="77777777" w:rsidR="006C1631" w:rsidRPr="001F7DED" w:rsidRDefault="006C1631" w:rsidP="006C1631">
      <w:pPr>
        <w:ind w:left="295"/>
        <w:rPr>
          <w:szCs w:val="20"/>
        </w:rPr>
      </w:pPr>
      <w:r w:rsidRPr="001F7DED">
        <w:rPr>
          <w:szCs w:val="20"/>
        </w:rPr>
        <w:t>Belconnen ACT 2616</w:t>
      </w:r>
    </w:p>
    <w:p w14:paraId="36F3CFB2" w14:textId="1075CC07" w:rsidR="006C1631" w:rsidRPr="001F7DED" w:rsidRDefault="006C1631" w:rsidP="006C1631">
      <w:r w:rsidRPr="001F7DED">
        <w:t xml:space="preserve">The closing date for submissions is </w:t>
      </w:r>
      <w:r w:rsidRPr="004A65F9">
        <w:rPr>
          <w:b/>
          <w:bCs/>
        </w:rPr>
        <w:t>COB,</w:t>
      </w:r>
      <w:r w:rsidR="00C659F3" w:rsidRPr="004A65F9">
        <w:rPr>
          <w:b/>
          <w:bCs/>
        </w:rPr>
        <w:t xml:space="preserve"> </w:t>
      </w:r>
      <w:r w:rsidR="00C659F3">
        <w:rPr>
          <w:b/>
          <w:bCs/>
        </w:rPr>
        <w:t xml:space="preserve">Wednesday </w:t>
      </w:r>
      <w:r w:rsidR="00C659F3" w:rsidRPr="004A65F9">
        <w:rPr>
          <w:b/>
          <w:bCs/>
        </w:rPr>
        <w:t>2 September 2020</w:t>
      </w:r>
      <w:r w:rsidRPr="001F7DED">
        <w:t>.</w:t>
      </w:r>
    </w:p>
    <w:p w14:paraId="4273A7E5" w14:textId="404C9A62" w:rsidR="006C1631" w:rsidRPr="001F7DED" w:rsidRDefault="006C1631" w:rsidP="006C1631">
      <w:pPr>
        <w:rPr>
          <w:szCs w:val="20"/>
        </w:rPr>
      </w:pPr>
      <w:r w:rsidRPr="001F7DED">
        <w:t xml:space="preserve">Consultation enquiries can be emailed </w:t>
      </w:r>
      <w:r w:rsidRPr="001F7DED">
        <w:rPr>
          <w:szCs w:val="20"/>
        </w:rPr>
        <w:t xml:space="preserve">to </w:t>
      </w:r>
      <w:hyperlink r:id="rId64" w:history="1">
        <w:r w:rsidR="00451E28">
          <w:rPr>
            <w:rStyle w:val="Hyperlink"/>
            <w:szCs w:val="20"/>
          </w:rPr>
          <w:t>freqplan@acma.gov.au</w:t>
        </w:r>
      </w:hyperlink>
      <w:r w:rsidRPr="00451E28">
        <w:rPr>
          <w:szCs w:val="20"/>
        </w:rPr>
        <w:t>.</w:t>
      </w:r>
    </w:p>
    <w:p w14:paraId="69FCD9ED" w14:textId="77777777" w:rsidR="006C1631" w:rsidRPr="001F7DED" w:rsidRDefault="006C1631" w:rsidP="005B2F0D">
      <w:pPr>
        <w:pStyle w:val="Heading4"/>
      </w:pPr>
      <w:bookmarkStart w:id="96" w:name="_Toc348105639"/>
      <w:bookmarkStart w:id="97" w:name="_Toc300909558"/>
      <w:bookmarkEnd w:id="92"/>
      <w:bookmarkEnd w:id="93"/>
      <w:r w:rsidRPr="001F7DED">
        <w:t>Publication of submissions</w:t>
      </w:r>
      <w:bookmarkEnd w:id="94"/>
      <w:bookmarkEnd w:id="95"/>
      <w:bookmarkEnd w:id="96"/>
      <w:bookmarkEnd w:id="97"/>
    </w:p>
    <w:p w14:paraId="24413BDB" w14:textId="77777777" w:rsidR="006C1631" w:rsidRPr="001F7DED" w:rsidRDefault="006C1631" w:rsidP="006C1631">
      <w:bookmarkStart w:id="98" w:name="_Toc348105640"/>
      <w:bookmarkStart w:id="99" w:name="_Toc300909559"/>
      <w:bookmarkStart w:id="100" w:name="_Toc265246234"/>
      <w:r w:rsidRPr="001F7DED">
        <w:t>The ACMA publishes submissions on our website</w:t>
      </w:r>
      <w:r w:rsidRPr="001F7DED">
        <w:rPr>
          <w:rFonts w:cs="Arial"/>
        </w:rPr>
        <w:t>, including personal information (such as names and contact details)</w:t>
      </w:r>
      <w:r w:rsidRPr="001F7DED">
        <w:t xml:space="preserve">, except for information that you have claimed (and we have accepted) is confidential. </w:t>
      </w:r>
    </w:p>
    <w:p w14:paraId="75A20377" w14:textId="77777777" w:rsidR="006C1631" w:rsidRPr="001F7DED" w:rsidRDefault="006C1631" w:rsidP="006C1631">
      <w:r w:rsidRPr="001F7DED">
        <w:t>Confidential information will not be published or otherwise released unless required or authorised by law.</w:t>
      </w:r>
    </w:p>
    <w:p w14:paraId="636BF44C" w14:textId="77777777" w:rsidR="006C1631" w:rsidRPr="001F7DED" w:rsidRDefault="006C1631" w:rsidP="005B2F0D">
      <w:pPr>
        <w:pStyle w:val="Heading4"/>
      </w:pPr>
      <w:r w:rsidRPr="001F7DED">
        <w:t>Privacy</w:t>
      </w:r>
    </w:p>
    <w:p w14:paraId="3F88026B" w14:textId="77777777" w:rsidR="006C1631" w:rsidRPr="001F7DED" w:rsidRDefault="00E21056" w:rsidP="005B2F0D">
      <w:pPr>
        <w:pStyle w:val="Paragraph"/>
      </w:pPr>
      <w:r w:rsidRPr="001F7DED">
        <w:t>View</w:t>
      </w:r>
      <w:r w:rsidR="006C1631" w:rsidRPr="001F7DED">
        <w:t xml:space="preserve"> information about </w:t>
      </w:r>
      <w:r w:rsidRPr="001F7DED">
        <w:t xml:space="preserve">our policy on the </w:t>
      </w:r>
      <w:hyperlink r:id="rId65" w:history="1">
        <w:r w:rsidRPr="001F7DED">
          <w:rPr>
            <w:rStyle w:val="Hyperlink"/>
          </w:rPr>
          <w:t>publication of submissions</w:t>
        </w:r>
      </w:hyperlink>
      <w:r w:rsidRPr="001F7DED">
        <w:t xml:space="preserve">, including </w:t>
      </w:r>
      <w:r w:rsidR="006C1631" w:rsidRPr="001F7DED">
        <w:t>collection of personal information during consultation and how we handle that information</w:t>
      </w:r>
      <w:r w:rsidRPr="001F7DED">
        <w:t>.</w:t>
      </w:r>
    </w:p>
    <w:bookmarkEnd w:id="98"/>
    <w:bookmarkEnd w:id="99"/>
    <w:bookmarkEnd w:id="100"/>
    <w:p w14:paraId="5FD1918B" w14:textId="77777777" w:rsidR="00A4193E" w:rsidRPr="001F7DED" w:rsidRDefault="006C1631" w:rsidP="005B2F0D">
      <w:pPr>
        <w:pStyle w:val="Paragraph"/>
      </w:pPr>
      <w:r w:rsidRPr="001F7DED">
        <w:t xml:space="preserve">Information on the </w:t>
      </w:r>
      <w:r w:rsidRPr="001F7DED">
        <w:rPr>
          <w:i/>
        </w:rPr>
        <w:t>Privacy Act 1988</w:t>
      </w:r>
      <w:r w:rsidR="006A4CCA" w:rsidRPr="001F7DED">
        <w:rPr>
          <w:i/>
        </w:rPr>
        <w:t xml:space="preserve">, </w:t>
      </w:r>
      <w:r w:rsidRPr="001F7DED">
        <w:t>how to access or correct personal information, how to make a privacy complaint and how we will deal with the complaint</w:t>
      </w:r>
      <w:r w:rsidR="00BB6335" w:rsidRPr="001F7DED">
        <w:t>,</w:t>
      </w:r>
      <w:r w:rsidR="00CF0BFE" w:rsidRPr="001F7DED">
        <w:t xml:space="preserve"> </w:t>
      </w:r>
      <w:r w:rsidRPr="001F7DED">
        <w:t xml:space="preserve">is available </w:t>
      </w:r>
      <w:r w:rsidR="00E21056" w:rsidRPr="001F7DED">
        <w:t xml:space="preserve">in our </w:t>
      </w:r>
      <w:hyperlink r:id="rId66" w:history="1">
        <w:r w:rsidR="00E21056" w:rsidRPr="001F7DED">
          <w:rPr>
            <w:rStyle w:val="Hyperlink"/>
          </w:rPr>
          <w:t>privacy policy</w:t>
        </w:r>
      </w:hyperlink>
      <w:r w:rsidRPr="001F7DED">
        <w:t>.</w:t>
      </w:r>
      <w:r w:rsidR="00A4193E" w:rsidRPr="001F7DED">
        <w:t xml:space="preserve"> </w:t>
      </w:r>
    </w:p>
    <w:p w14:paraId="53ACC631" w14:textId="2726276E" w:rsidR="001D28DC" w:rsidRPr="001F7DED" w:rsidRDefault="001D28DC" w:rsidP="001D28DC">
      <w:pPr>
        <w:pStyle w:val="Heading1"/>
      </w:pPr>
      <w:bookmarkStart w:id="101" w:name="_Appendix_A:_Responses"/>
      <w:bookmarkStart w:id="102" w:name="_Toc19620728"/>
      <w:bookmarkStart w:id="103" w:name="_Ref43979689"/>
      <w:bookmarkStart w:id="104" w:name="_Ref43981523"/>
      <w:bookmarkStart w:id="105" w:name="_Ref43981558"/>
      <w:bookmarkStart w:id="106" w:name="_Toc46316379"/>
      <w:bookmarkStart w:id="107" w:name="_Toc348105641"/>
      <w:bookmarkEnd w:id="101"/>
      <w:r w:rsidRPr="001F7DED">
        <w:lastRenderedPageBreak/>
        <w:t>Appendix A: Responses to the discussion</w:t>
      </w:r>
      <w:bookmarkEnd w:id="102"/>
      <w:r w:rsidRPr="001F7DED">
        <w:t xml:space="preserve"> paper</w:t>
      </w:r>
      <w:bookmarkEnd w:id="103"/>
      <w:bookmarkEnd w:id="104"/>
      <w:bookmarkEnd w:id="105"/>
      <w:bookmarkEnd w:id="106"/>
    </w:p>
    <w:p w14:paraId="263C391E" w14:textId="77777777" w:rsidR="001D28DC" w:rsidRPr="001F7DED" w:rsidRDefault="001D28DC" w:rsidP="001D28DC">
      <w:pPr>
        <w:pStyle w:val="Heading2"/>
      </w:pPr>
      <w:bookmarkStart w:id="108" w:name="_Toc32319559"/>
      <w:bookmarkStart w:id="109" w:name="_Toc46316380"/>
      <w:r w:rsidRPr="001F7DED">
        <w:t>Overview</w:t>
      </w:r>
      <w:bookmarkEnd w:id="108"/>
      <w:bookmarkEnd w:id="109"/>
    </w:p>
    <w:p w14:paraId="6F67FC47" w14:textId="205B7AA2" w:rsidR="001D28DC" w:rsidRPr="001F7DED" w:rsidRDefault="001D28DC" w:rsidP="00B764AD">
      <w:pPr>
        <w:pStyle w:val="Paragraphbeforelist"/>
      </w:pPr>
      <w:r w:rsidRPr="001F7DED">
        <w:t xml:space="preserve">The ACMA released a </w:t>
      </w:r>
      <w:r w:rsidR="00DB68A9">
        <w:t>consultation</w:t>
      </w:r>
      <w:r w:rsidRPr="001F7DED">
        <w:t xml:space="preserve"> titled </w:t>
      </w:r>
      <w:hyperlink r:id="rId67" w:history="1">
        <w:r w:rsidRPr="00CE1AEF">
          <w:rPr>
            <w:rStyle w:val="Hyperlink"/>
          </w:rPr>
          <w:t>Planning of the 2 GHz band</w:t>
        </w:r>
      </w:hyperlink>
      <w:r w:rsidRPr="001F7DED">
        <w:t xml:space="preserve"> on 13 August 2019. The consultation period closed on 13 September 2019. Eighteen submissions were received from the following organisations:</w:t>
      </w:r>
    </w:p>
    <w:p w14:paraId="03461B78" w14:textId="77777777" w:rsidR="001D28DC" w:rsidRPr="001F7DED" w:rsidRDefault="001D28DC" w:rsidP="001D28DC">
      <w:pPr>
        <w:pStyle w:val="ListBullet"/>
      </w:pPr>
      <w:r w:rsidRPr="001F7DED">
        <w:t>Australian Broadcasting Corporation (ABC)</w:t>
      </w:r>
    </w:p>
    <w:p w14:paraId="33987ED2" w14:textId="77777777" w:rsidR="001D28DC" w:rsidRPr="001F7DED" w:rsidRDefault="001D28DC" w:rsidP="001D28DC">
      <w:pPr>
        <w:pStyle w:val="ListBullet"/>
      </w:pPr>
      <w:r w:rsidRPr="001F7DED">
        <w:t>Australian Mobile Telecommunications Association (AMTA)</w:t>
      </w:r>
    </w:p>
    <w:p w14:paraId="7C4608EB" w14:textId="77777777" w:rsidR="001D28DC" w:rsidRPr="001F7DED" w:rsidRDefault="001D28DC" w:rsidP="001D28DC">
      <w:pPr>
        <w:pStyle w:val="ListBullet"/>
      </w:pPr>
      <w:r w:rsidRPr="001F7DED">
        <w:t>Australian Subscription Television and Radio Association (ASTRA)</w:t>
      </w:r>
    </w:p>
    <w:p w14:paraId="25D10CEB" w14:textId="77777777" w:rsidR="001D28DC" w:rsidRPr="001F7DED" w:rsidRDefault="001D28DC" w:rsidP="001D28DC">
      <w:pPr>
        <w:pStyle w:val="ListBullet"/>
      </w:pPr>
      <w:r w:rsidRPr="001F7DED">
        <w:t>Communications Alliance Satellite Services Working Group (CA SSWG)</w:t>
      </w:r>
    </w:p>
    <w:p w14:paraId="5FE95C6D" w14:textId="77777777" w:rsidR="001D28DC" w:rsidRPr="001F7DED" w:rsidRDefault="001D28DC" w:rsidP="001D28DC">
      <w:pPr>
        <w:pStyle w:val="ListBullet"/>
      </w:pPr>
      <w:r w:rsidRPr="001F7DED">
        <w:t>Free TV Australia</w:t>
      </w:r>
    </w:p>
    <w:p w14:paraId="168B9F43" w14:textId="77777777" w:rsidR="001D28DC" w:rsidRPr="001F7DED" w:rsidRDefault="001D28DC" w:rsidP="001D28DC">
      <w:pPr>
        <w:pStyle w:val="ListBullet"/>
      </w:pPr>
      <w:r w:rsidRPr="001F7DED">
        <w:t>Gearhouse Broadcast Pty Ltd</w:t>
      </w:r>
    </w:p>
    <w:p w14:paraId="056982C5" w14:textId="77777777" w:rsidR="001D28DC" w:rsidRPr="001F7DED" w:rsidRDefault="001D28DC" w:rsidP="001D28DC">
      <w:pPr>
        <w:pStyle w:val="ListBullet"/>
      </w:pPr>
      <w:r w:rsidRPr="001F7DED">
        <w:t>Inmarsat</w:t>
      </w:r>
    </w:p>
    <w:p w14:paraId="3BCA603C" w14:textId="77777777" w:rsidR="001D28DC" w:rsidRPr="001F7DED" w:rsidRDefault="001D28DC" w:rsidP="001D28DC">
      <w:pPr>
        <w:pStyle w:val="ListBullet"/>
      </w:pPr>
      <w:r w:rsidRPr="001F7DED">
        <w:t>Kepler Communications Inc.</w:t>
      </w:r>
    </w:p>
    <w:p w14:paraId="5DDABF21" w14:textId="77777777" w:rsidR="001D28DC" w:rsidRPr="001F7DED" w:rsidRDefault="001D28DC" w:rsidP="001D28DC">
      <w:pPr>
        <w:pStyle w:val="ListBullet"/>
      </w:pPr>
      <w:r w:rsidRPr="001F7DED">
        <w:t>NEP Australia</w:t>
      </w:r>
    </w:p>
    <w:p w14:paraId="2BE32CF5" w14:textId="77777777" w:rsidR="001D28DC" w:rsidRPr="001F7DED" w:rsidRDefault="001D28DC" w:rsidP="001D28DC">
      <w:pPr>
        <w:pStyle w:val="ListBullet"/>
      </w:pPr>
      <w:r w:rsidRPr="001F7DED">
        <w:t>Nokia</w:t>
      </w:r>
    </w:p>
    <w:p w14:paraId="45406FEC" w14:textId="77777777" w:rsidR="001D28DC" w:rsidRPr="001F7DED" w:rsidRDefault="001D28DC" w:rsidP="001D28DC">
      <w:pPr>
        <w:pStyle w:val="ListBullet"/>
      </w:pPr>
      <w:r w:rsidRPr="001F7DED">
        <w:t>Omnispace</w:t>
      </w:r>
    </w:p>
    <w:p w14:paraId="54127E0F" w14:textId="3DB4395E" w:rsidR="001D28DC" w:rsidRPr="001F7DED" w:rsidRDefault="001D28DC" w:rsidP="001D28DC">
      <w:pPr>
        <w:pStyle w:val="ListBullet"/>
      </w:pPr>
      <w:r w:rsidRPr="001F7DED">
        <w:t>Optus</w:t>
      </w:r>
    </w:p>
    <w:p w14:paraId="647AF0AB" w14:textId="77777777" w:rsidR="001D28DC" w:rsidRPr="001F7DED" w:rsidRDefault="001D28DC" w:rsidP="001D28DC">
      <w:pPr>
        <w:pStyle w:val="ListBullet"/>
      </w:pPr>
      <w:r w:rsidRPr="001F7DED">
        <w:t>Pivotel</w:t>
      </w:r>
    </w:p>
    <w:p w14:paraId="5B6FCD8D" w14:textId="77777777" w:rsidR="001D28DC" w:rsidRPr="001F7DED" w:rsidRDefault="001D28DC" w:rsidP="001D28DC">
      <w:pPr>
        <w:pStyle w:val="ListBullet"/>
      </w:pPr>
      <w:r w:rsidRPr="001F7DED">
        <w:t>Sirion Global</w:t>
      </w:r>
    </w:p>
    <w:p w14:paraId="6B2D769B" w14:textId="77777777" w:rsidR="001D28DC" w:rsidRPr="001F7DED" w:rsidRDefault="001D28DC" w:rsidP="001D28DC">
      <w:pPr>
        <w:pStyle w:val="ListBullet"/>
      </w:pPr>
      <w:r w:rsidRPr="001F7DED">
        <w:t>Telstra</w:t>
      </w:r>
    </w:p>
    <w:p w14:paraId="4A2C1716" w14:textId="2E76A114" w:rsidR="001D28DC" w:rsidRPr="001F7DED" w:rsidRDefault="001D28DC" w:rsidP="001D28DC">
      <w:pPr>
        <w:pStyle w:val="ListBullet"/>
      </w:pPr>
      <w:r w:rsidRPr="001F7DED">
        <w:t>Thoroughbred Racing Productions</w:t>
      </w:r>
    </w:p>
    <w:p w14:paraId="187E8DB9" w14:textId="77777777" w:rsidR="001D28DC" w:rsidRPr="001F7DED" w:rsidRDefault="001D28DC" w:rsidP="001D28DC">
      <w:pPr>
        <w:pStyle w:val="ListBullet"/>
      </w:pPr>
      <w:r w:rsidRPr="001F7DED">
        <w:t>Vodafone Hutchison Australia (VHA)</w:t>
      </w:r>
    </w:p>
    <w:p w14:paraId="4A0FA6CE" w14:textId="4F5AD258" w:rsidR="001D28DC" w:rsidRDefault="001D28DC" w:rsidP="001D28DC">
      <w:pPr>
        <w:pStyle w:val="ListBulletLast"/>
      </w:pPr>
      <w:r w:rsidRPr="001F7DED">
        <w:t>Wireless Internet Service Provider Association of Australia Inc. (WISPAU)</w:t>
      </w:r>
    </w:p>
    <w:p w14:paraId="3859E2DB" w14:textId="16A663BD" w:rsidR="00CE1AEF" w:rsidRPr="001F7DED" w:rsidRDefault="00CE1AEF" w:rsidP="00CE1AEF">
      <w:pPr>
        <w:pStyle w:val="Paragraph"/>
      </w:pPr>
      <w:r>
        <w:t xml:space="preserve">Submissions are published at the ACMA’s </w:t>
      </w:r>
      <w:hyperlink r:id="rId68" w:history="1">
        <w:r w:rsidRPr="00CE1AEF">
          <w:rPr>
            <w:rStyle w:val="Hyperlink"/>
          </w:rPr>
          <w:t>2 GHz consultation</w:t>
        </w:r>
      </w:hyperlink>
      <w:r>
        <w:t xml:space="preserve"> page.</w:t>
      </w:r>
    </w:p>
    <w:p w14:paraId="557F1A4E" w14:textId="77777777" w:rsidR="001D28DC" w:rsidRPr="001F7DED" w:rsidRDefault="001D28DC" w:rsidP="001D28DC">
      <w:pPr>
        <w:pStyle w:val="Heading2"/>
      </w:pPr>
      <w:bookmarkStart w:id="110" w:name="_Toc46316381"/>
      <w:r w:rsidRPr="001F7DED">
        <w:t>Consultation questions</w:t>
      </w:r>
      <w:bookmarkEnd w:id="110"/>
    </w:p>
    <w:p w14:paraId="08210AA4" w14:textId="77777777" w:rsidR="001D28DC" w:rsidRPr="001F7DED" w:rsidRDefault="001D28DC" w:rsidP="00B764AD">
      <w:pPr>
        <w:pStyle w:val="Paragraphbeforelist"/>
      </w:pPr>
      <w:r w:rsidRPr="001F7DED">
        <w:t>The discussion paper invited comment on the following questions:</w:t>
      </w:r>
    </w:p>
    <w:p w14:paraId="76A1E30E" w14:textId="77777777" w:rsidR="001D28DC" w:rsidRPr="001F7DED" w:rsidRDefault="001D28DC" w:rsidP="00E429D7">
      <w:pPr>
        <w:pStyle w:val="ListNumber"/>
        <w:numPr>
          <w:ilvl w:val="0"/>
          <w:numId w:val="11"/>
        </w:numPr>
        <w:rPr>
          <w:rFonts w:cs="Arial"/>
        </w:rPr>
      </w:pPr>
      <w:r w:rsidRPr="001F7DED">
        <w:rPr>
          <w:rFonts w:cs="Arial"/>
        </w:rPr>
        <w:t>What TOB services use the 2 GHz band under current arrangements? Is demand for TOB in this band growing or decreasing?</w:t>
      </w:r>
    </w:p>
    <w:p w14:paraId="3B909A1B" w14:textId="77777777" w:rsidR="001D28DC" w:rsidRPr="001F7DED" w:rsidRDefault="001D28DC" w:rsidP="00E429D7">
      <w:pPr>
        <w:pStyle w:val="ListNumber"/>
        <w:numPr>
          <w:ilvl w:val="0"/>
          <w:numId w:val="11"/>
        </w:numPr>
        <w:rPr>
          <w:rFonts w:cs="Arial"/>
        </w:rPr>
      </w:pPr>
      <w:r w:rsidRPr="001F7DED">
        <w:rPr>
          <w:rFonts w:cs="Arial"/>
        </w:rPr>
        <w:t xml:space="preserve">What interest do you have in making further use of the 2 GHz band? </w:t>
      </w:r>
    </w:p>
    <w:p w14:paraId="3574C7C4" w14:textId="77777777" w:rsidR="001D28DC" w:rsidRPr="001F7DED" w:rsidRDefault="001D28DC" w:rsidP="00E429D7">
      <w:pPr>
        <w:pStyle w:val="ListNumber"/>
        <w:numPr>
          <w:ilvl w:val="0"/>
          <w:numId w:val="11"/>
        </w:numPr>
        <w:rPr>
          <w:rFonts w:cs="Arial"/>
        </w:rPr>
      </w:pPr>
      <w:r w:rsidRPr="001F7DED">
        <w:rPr>
          <w:rFonts w:cs="Arial"/>
        </w:rPr>
        <w:t>Given the points raised in this discussion paper:</w:t>
      </w:r>
    </w:p>
    <w:p w14:paraId="5C206864" w14:textId="77777777" w:rsidR="001D28DC" w:rsidRPr="001F7DED" w:rsidRDefault="001D28DC" w:rsidP="00E429D7">
      <w:pPr>
        <w:pStyle w:val="ListNumber"/>
        <w:numPr>
          <w:ilvl w:val="1"/>
          <w:numId w:val="11"/>
        </w:numPr>
        <w:ind w:left="737"/>
        <w:rPr>
          <w:rFonts w:cs="Arial"/>
        </w:rPr>
      </w:pPr>
      <w:r w:rsidRPr="001F7DED">
        <w:rPr>
          <w:rFonts w:cs="Arial"/>
        </w:rPr>
        <w:t>How much spectrum is required to provide the service?</w:t>
      </w:r>
    </w:p>
    <w:p w14:paraId="6251BB63" w14:textId="77777777" w:rsidR="001D28DC" w:rsidRPr="001F7DED" w:rsidRDefault="001D28DC" w:rsidP="00E429D7">
      <w:pPr>
        <w:pStyle w:val="ListNumber"/>
        <w:numPr>
          <w:ilvl w:val="1"/>
          <w:numId w:val="11"/>
        </w:numPr>
        <w:ind w:left="737"/>
        <w:rPr>
          <w:rFonts w:cs="Arial"/>
        </w:rPr>
      </w:pPr>
      <w:r w:rsidRPr="001F7DED">
        <w:rPr>
          <w:rFonts w:cs="Arial"/>
        </w:rPr>
        <w:t>Is there a clear geographical delineation—for example, metropolitan or regional—for the service?</w:t>
      </w:r>
    </w:p>
    <w:p w14:paraId="748EB6DA" w14:textId="77777777" w:rsidR="001D28DC" w:rsidRPr="001F7DED" w:rsidRDefault="001D28DC" w:rsidP="00E429D7">
      <w:pPr>
        <w:pStyle w:val="ListNumber"/>
        <w:numPr>
          <w:ilvl w:val="1"/>
          <w:numId w:val="11"/>
        </w:numPr>
        <w:spacing w:after="240"/>
        <w:ind w:left="737" w:hanging="357"/>
        <w:rPr>
          <w:rFonts w:cs="Arial"/>
        </w:rPr>
      </w:pPr>
      <w:r w:rsidRPr="001F7DED">
        <w:rPr>
          <w:rFonts w:cs="Arial"/>
        </w:rPr>
        <w:t>Is there, or will there be, readily available equipment for the service?</w:t>
      </w:r>
    </w:p>
    <w:p w14:paraId="2209CCFF" w14:textId="77777777" w:rsidR="001D28DC" w:rsidRPr="001F7DED" w:rsidRDefault="001D28DC" w:rsidP="001D28DC">
      <w:pPr>
        <w:pStyle w:val="Heading2"/>
      </w:pPr>
      <w:bookmarkStart w:id="111" w:name="_Toc46316382"/>
      <w:r w:rsidRPr="001F7DED">
        <w:t>Summary of responses</w:t>
      </w:r>
      <w:bookmarkEnd w:id="111"/>
    </w:p>
    <w:p w14:paraId="6D0A1997" w14:textId="290FB47D" w:rsidR="001D28DC" w:rsidRPr="001F7DED" w:rsidRDefault="001D28DC" w:rsidP="00636F13">
      <w:pPr>
        <w:pStyle w:val="Paragraph"/>
      </w:pPr>
      <w:r w:rsidRPr="001F7DED">
        <w:t>Respondent</w:t>
      </w:r>
      <w:r w:rsidR="00E449E8">
        <w:t xml:space="preserve"> views </w:t>
      </w:r>
      <w:r w:rsidRPr="001F7DED">
        <w:t>were generally divided on future planning of the 2 GHz band</w:t>
      </w:r>
      <w:r w:rsidR="00792F75">
        <w:t>, with</w:t>
      </w:r>
      <w:r w:rsidRPr="001F7DED">
        <w:t xml:space="preserve"> </w:t>
      </w:r>
      <w:r w:rsidR="00792F75">
        <w:t>v</w:t>
      </w:r>
      <w:r w:rsidRPr="001F7DED">
        <w:t xml:space="preserve">iews </w:t>
      </w:r>
      <w:r w:rsidR="003821F1">
        <w:t xml:space="preserve">on </w:t>
      </w:r>
      <w:r w:rsidRPr="001F7DED">
        <w:t>future use aligned with each respondent’s industry type. Thus</w:t>
      </w:r>
      <w:r w:rsidR="12A0EFD4">
        <w:t>,</w:t>
      </w:r>
      <w:r w:rsidRPr="001F7DED">
        <w:t xml:space="preserve"> we received submissions supporting all of the use case scenarios</w:t>
      </w:r>
      <w:r w:rsidR="003F065F" w:rsidRPr="001F7DED">
        <w:t xml:space="preserve">: </w:t>
      </w:r>
      <w:r w:rsidR="007F6936">
        <w:t>TOB</w:t>
      </w:r>
      <w:r w:rsidRPr="001F7DED">
        <w:t xml:space="preserve">, </w:t>
      </w:r>
      <w:r w:rsidR="007F6936">
        <w:t>MSS</w:t>
      </w:r>
      <w:r w:rsidRPr="001F7DED">
        <w:t xml:space="preserve"> (with or without a</w:t>
      </w:r>
      <w:r w:rsidR="003F4815">
        <w:t xml:space="preserve"> </w:t>
      </w:r>
      <w:r w:rsidR="003F4815">
        <w:lastRenderedPageBreak/>
        <w:t>complementary</w:t>
      </w:r>
      <w:r w:rsidRPr="001F7DED">
        <w:t xml:space="preserve"> ground component), terrestrial mobile broadband services and </w:t>
      </w:r>
      <w:r w:rsidR="003F4815">
        <w:t>direct air-to-ground communications</w:t>
      </w:r>
      <w:r w:rsidRPr="001F7DED">
        <w:t>.</w:t>
      </w:r>
    </w:p>
    <w:p w14:paraId="3784B695" w14:textId="6324534A" w:rsidR="001D28DC" w:rsidRPr="001F7DED" w:rsidRDefault="001D28DC" w:rsidP="00636F13">
      <w:pPr>
        <w:pStyle w:val="Paragraph"/>
      </w:pPr>
      <w:r w:rsidRPr="001F7DED">
        <w:t>Responses are summarised into groups below according to the type of service that each respondent supported.</w:t>
      </w:r>
      <w:r w:rsidR="009B1776">
        <w:t xml:space="preserve"> Respondents advocating direct air-to-ground communication services are considered in the wireless broadband group</w:t>
      </w:r>
      <w:r w:rsidR="00CC7D2E">
        <w:t>, as these services are essentially a subclass of wireless broadband applications.</w:t>
      </w:r>
      <w:r w:rsidRPr="001F7DED">
        <w:t xml:space="preserve"> </w:t>
      </w:r>
      <w:r w:rsidR="003F065F" w:rsidRPr="001F7DED">
        <w:t>S</w:t>
      </w:r>
      <w:r w:rsidRPr="001F7DED">
        <w:t>ome responses address</w:t>
      </w:r>
      <w:r w:rsidR="003F065F" w:rsidRPr="001F7DED">
        <w:t>ed or supported</w:t>
      </w:r>
      <w:r w:rsidRPr="001F7DED">
        <w:t xml:space="preserve"> multiple service</w:t>
      </w:r>
      <w:r w:rsidR="003F065F" w:rsidRPr="001F7DED">
        <w:t xml:space="preserve"> type</w:t>
      </w:r>
      <w:r w:rsidRPr="001F7DED">
        <w:t>s</w:t>
      </w:r>
      <w:r w:rsidR="003F065F" w:rsidRPr="001F7DED">
        <w:t xml:space="preserve"> and in </w:t>
      </w:r>
      <w:r w:rsidR="000C34B8">
        <w:t>such</w:t>
      </w:r>
      <w:r w:rsidR="003F065F" w:rsidRPr="001F7DED">
        <w:t xml:space="preserve"> </w:t>
      </w:r>
      <w:r w:rsidRPr="001F7DED">
        <w:t xml:space="preserve">cases comments from these </w:t>
      </w:r>
      <w:r w:rsidR="003F065F" w:rsidRPr="001F7DED">
        <w:t>respondents</w:t>
      </w:r>
      <w:r w:rsidRPr="001F7DED">
        <w:t xml:space="preserve"> </w:t>
      </w:r>
      <w:r w:rsidR="003F065F" w:rsidRPr="001F7DED">
        <w:t>are</w:t>
      </w:r>
      <w:r w:rsidRPr="001F7DED">
        <w:t xml:space="preserve"> </w:t>
      </w:r>
      <w:r w:rsidR="000C34B8">
        <w:t>distributed across the relevant sections below.</w:t>
      </w:r>
      <w:r w:rsidRPr="001F7DED">
        <w:t xml:space="preserve"> </w:t>
      </w:r>
    </w:p>
    <w:p w14:paraId="795D4E5D" w14:textId="67287138" w:rsidR="001D28DC" w:rsidRPr="001F7DED" w:rsidRDefault="001D28DC" w:rsidP="001D28DC">
      <w:pPr>
        <w:pStyle w:val="Heading3"/>
        <w:spacing w:before="240"/>
      </w:pPr>
      <w:r w:rsidRPr="001F7DED">
        <w:t xml:space="preserve">Television </w:t>
      </w:r>
      <w:r w:rsidR="00636F13">
        <w:t xml:space="preserve">outside </w:t>
      </w:r>
      <w:r w:rsidRPr="001F7DED">
        <w:t>broadcasting</w:t>
      </w:r>
    </w:p>
    <w:p w14:paraId="73B2F537" w14:textId="2D000043" w:rsidR="00E425F5" w:rsidRDefault="005C3303" w:rsidP="00636F13">
      <w:pPr>
        <w:pStyle w:val="Paragraph"/>
      </w:pPr>
      <w:r>
        <w:t xml:space="preserve">Responses from organisations associated with the </w:t>
      </w:r>
      <w:r w:rsidR="007F6936">
        <w:t>TOB</w:t>
      </w:r>
      <w:r>
        <w:t xml:space="preserve"> industry were received from</w:t>
      </w:r>
      <w:r w:rsidR="001D28DC" w:rsidRPr="001F7DED">
        <w:t xml:space="preserve">: ABC, ASTRA, </w:t>
      </w:r>
      <w:r>
        <w:t xml:space="preserve">Free TV, </w:t>
      </w:r>
      <w:r w:rsidR="001D28DC" w:rsidRPr="001F7DED">
        <w:t>Gearhouse Broadcast, NEP</w:t>
      </w:r>
      <w:r>
        <w:t> </w:t>
      </w:r>
      <w:r w:rsidR="001D28DC" w:rsidRPr="001F7DED">
        <w:t>Australia and Thoroughbred Racing Productions.</w:t>
      </w:r>
    </w:p>
    <w:p w14:paraId="1885F4F4" w14:textId="71B351C7" w:rsidR="005C3303" w:rsidRDefault="005C3303" w:rsidP="008107FE">
      <w:pPr>
        <w:pStyle w:val="Paragraph"/>
      </w:pPr>
      <w:r>
        <w:t>With the exception of the ABC</w:t>
      </w:r>
      <w:r w:rsidR="00E425F5">
        <w:t xml:space="preserve"> and Free TV</w:t>
      </w:r>
      <w:r>
        <w:t>, each of these respondents</w:t>
      </w:r>
      <w:r w:rsidR="008107FE" w:rsidRPr="008107FE">
        <w:t xml:space="preserve"> advocated retaining the band for </w:t>
      </w:r>
      <w:r w:rsidR="007F6936">
        <w:t>TOB</w:t>
      </w:r>
      <w:r w:rsidR="008107FE" w:rsidRPr="008107FE">
        <w:t xml:space="preserve"> services. They argued this would provide ongoing certainty for the industry and avoid costs associated with relocation to another band. </w:t>
      </w:r>
    </w:p>
    <w:p w14:paraId="3C5D46B0" w14:textId="46E6110B" w:rsidR="007E3983" w:rsidRDefault="007E3983" w:rsidP="007E3983">
      <w:r>
        <w:t>Submissions noted the 2 GHz band was used extensively as part of the Gold Coast Commonwealth Games</w:t>
      </w:r>
      <w:r w:rsidR="00A82AF9">
        <w:t>. Parts</w:t>
      </w:r>
      <w:r>
        <w:t xml:space="preserve"> of the band</w:t>
      </w:r>
      <w:r w:rsidRPr="004C2C6A">
        <w:t xml:space="preserve"> </w:t>
      </w:r>
      <w:r>
        <w:t>are</w:t>
      </w:r>
      <w:r w:rsidRPr="004C2C6A">
        <w:t xml:space="preserve"> used on special events such as F1 Grand Prix, MotoGP, V8 Supercars, Golf, G20 conference, </w:t>
      </w:r>
      <w:r>
        <w:t xml:space="preserve">horse racing, </w:t>
      </w:r>
      <w:r w:rsidRPr="004C2C6A">
        <w:t>AFL and NRL Grand Finals and X-Games.</w:t>
      </w:r>
      <w:r>
        <w:t xml:space="preserve"> While </w:t>
      </w:r>
      <w:r w:rsidR="005339F9">
        <w:t>most</w:t>
      </w:r>
      <w:r>
        <w:t xml:space="preserve"> major events occurred in metropolitan areas</w:t>
      </w:r>
      <w:r w:rsidR="005339F9">
        <w:t>,</w:t>
      </w:r>
      <w:r>
        <w:t xml:space="preserve"> some events such as </w:t>
      </w:r>
      <w:r w:rsidR="54D5D76E">
        <w:t xml:space="preserve">the </w:t>
      </w:r>
      <w:r>
        <w:t>Tour Down Under and a large number of motor racing events (</w:t>
      </w:r>
      <w:r w:rsidRPr="004C2C6A">
        <w:t>MotoGP</w:t>
      </w:r>
      <w:r w:rsidR="005339F9">
        <w:t xml:space="preserve"> and</w:t>
      </w:r>
      <w:r w:rsidRPr="004C2C6A">
        <w:t xml:space="preserve"> V8 Supercars</w:t>
      </w:r>
      <w:r>
        <w:t xml:space="preserve">) occur in regional areas. </w:t>
      </w:r>
      <w:r w:rsidR="005339F9">
        <w:t>Submissions also indicated that s</w:t>
      </w:r>
      <w:r>
        <w:t xml:space="preserve">upport for production of Australian content for streaming services </w:t>
      </w:r>
      <w:r w:rsidR="005339F9">
        <w:t>is</w:t>
      </w:r>
      <w:r>
        <w:t xml:space="preserve"> an emerging demand.</w:t>
      </w:r>
    </w:p>
    <w:p w14:paraId="46519465" w14:textId="35561382" w:rsidR="007E3983" w:rsidRPr="00F132A5" w:rsidRDefault="007E3983" w:rsidP="007E3983">
      <w:r>
        <w:t xml:space="preserve">While submissions </w:t>
      </w:r>
      <w:r w:rsidRPr="00682165">
        <w:t>indicated that the entire 2 GHz band is required to support existing and expected future service arrangements</w:t>
      </w:r>
      <w:r>
        <w:t xml:space="preserve">, such usage is not reflected in current licensing statistics which indicate a </w:t>
      </w:r>
      <w:r w:rsidRPr="00682165">
        <w:t>relatively low utilisation of the 2 GHz band as a whole</w:t>
      </w:r>
      <w:r>
        <w:t xml:space="preserve">. </w:t>
      </w:r>
    </w:p>
    <w:p w14:paraId="42373B17" w14:textId="3C7E95C8" w:rsidR="00022EE1" w:rsidRPr="00F132A5" w:rsidRDefault="007069E6" w:rsidP="007E3983">
      <w:r>
        <w:t xml:space="preserve">The submission from ASTRA noted </w:t>
      </w:r>
      <w:r w:rsidR="00E15457">
        <w:t xml:space="preserve">that member </w:t>
      </w:r>
      <w:r w:rsidR="00056B91">
        <w:t>Fox Sports Australia uses the 2 GHz band for TOB either directly or t</w:t>
      </w:r>
      <w:r w:rsidR="00AA13F0">
        <w:t xml:space="preserve">hrough footage supplied by third parties. ASTRA considers that the band should </w:t>
      </w:r>
      <w:r w:rsidR="00EB113E">
        <w:t xml:space="preserve">not </w:t>
      </w:r>
      <w:r w:rsidR="00D565CE">
        <w:t>progress to prelim</w:t>
      </w:r>
      <w:r w:rsidR="00F97FB8">
        <w:t xml:space="preserve">inary replanning until the WRC-19 process is complete and the international </w:t>
      </w:r>
      <w:r w:rsidR="00952C92">
        <w:t>position on the band is settled.</w:t>
      </w:r>
    </w:p>
    <w:p w14:paraId="19ACAE6D" w14:textId="0633793C" w:rsidR="00E425F5" w:rsidRDefault="00E425F5" w:rsidP="008107FE">
      <w:pPr>
        <w:pStyle w:val="Paragraph"/>
      </w:pPr>
      <w:r>
        <w:t xml:space="preserve">Gearhouse Broadcast noted that </w:t>
      </w:r>
      <w:r w:rsidR="009A4AA9">
        <w:t>the 2 GHz band provides an essential resource enabling the use of wireless camera links for televised and streamed events around Australia. Limitation of this use or allowing shared use of the band by alternative service</w:t>
      </w:r>
      <w:r w:rsidR="06301420">
        <w:t>s</w:t>
      </w:r>
      <w:r w:rsidR="009A4AA9">
        <w:t xml:space="preserve"> would severely limit the ability to achieve current outcomes and dramatically reduce the ability for future Australian content to be produced.</w:t>
      </w:r>
    </w:p>
    <w:p w14:paraId="434836BC" w14:textId="3BC4FD49" w:rsidR="009A4AA9" w:rsidRDefault="009A4AA9" w:rsidP="00C54E91">
      <w:r>
        <w:t>NEP Australia advised that the 2 GHz band is used extensively for special events including large sporting events. Reallocation to</w:t>
      </w:r>
      <w:r w:rsidR="008B1C83">
        <w:t xml:space="preserve"> alternative</w:t>
      </w:r>
      <w:r>
        <w:t xml:space="preserve"> services would </w:t>
      </w:r>
      <w:r w:rsidR="006A3270">
        <w:t xml:space="preserve">have a significant negative impact on </w:t>
      </w:r>
      <w:r w:rsidR="05948F80">
        <w:t>its</w:t>
      </w:r>
      <w:r w:rsidR="006A3270">
        <w:t xml:space="preserve"> operations</w:t>
      </w:r>
      <w:r w:rsidDel="00D87657">
        <w:t>.</w:t>
      </w:r>
      <w:r>
        <w:t xml:space="preserve"> </w:t>
      </w:r>
      <w:r w:rsidR="008B1C83">
        <w:t>However, a future g</w:t>
      </w:r>
      <w:r>
        <w:t>eographic split with TOB in metro</w:t>
      </w:r>
      <w:r w:rsidR="008B1C83">
        <w:t>politan area</w:t>
      </w:r>
      <w:r w:rsidR="7A92DD8B">
        <w:t>s</w:t>
      </w:r>
      <w:r>
        <w:t xml:space="preserve"> and MSS elsewhere may be acceptable if spectrum can be reassigned </w:t>
      </w:r>
      <w:r w:rsidR="008B1C83">
        <w:t xml:space="preserve">to TOB services </w:t>
      </w:r>
      <w:r>
        <w:t>when major events are held in regional areas.</w:t>
      </w:r>
    </w:p>
    <w:p w14:paraId="2E46FA8B" w14:textId="26BE243A" w:rsidR="008B1C83" w:rsidRDefault="006A3270" w:rsidP="009A4AA9">
      <w:pPr>
        <w:pStyle w:val="Paragraph"/>
      </w:pPr>
      <w:r>
        <w:t>Thoroughbred Racing Productions</w:t>
      </w:r>
      <w:r w:rsidR="00E53A69">
        <w:t xml:space="preserve"> (TRP)</w:t>
      </w:r>
      <w:r>
        <w:t xml:space="preserve"> noted </w:t>
      </w:r>
      <w:r w:rsidR="00E53A69">
        <w:t xml:space="preserve">its requirement to continue utilising the full 30 MHz bandwidth available in the 2 GHz band. </w:t>
      </w:r>
      <w:r>
        <w:t>As with NEP</w:t>
      </w:r>
      <w:r w:rsidR="007051A5">
        <w:t xml:space="preserve">, </w:t>
      </w:r>
      <w:r>
        <w:t xml:space="preserve">TRP </w:t>
      </w:r>
      <w:r w:rsidR="007051A5">
        <w:t xml:space="preserve">indicated that geographic separation may be feasible with an alternative service operating in regional areas. </w:t>
      </w:r>
      <w:r w:rsidR="00E53A69">
        <w:t>However</w:t>
      </w:r>
      <w:r w:rsidR="00671D24">
        <w:t>,</w:t>
      </w:r>
      <w:r w:rsidR="00E53A69">
        <w:t xml:space="preserve"> costs of up to $</w:t>
      </w:r>
      <w:r w:rsidR="009223A2">
        <w:t>0.5 million</w:t>
      </w:r>
      <w:r w:rsidR="00E53A69">
        <w:t xml:space="preserve"> could be incurred if required to move all operations to the 7 GHz band in regional Victoria.</w:t>
      </w:r>
    </w:p>
    <w:p w14:paraId="57D2C933" w14:textId="0F35BA7B" w:rsidR="002C0E5A" w:rsidRDefault="002C0E5A" w:rsidP="009A4AA9">
      <w:pPr>
        <w:pStyle w:val="Paragraph"/>
      </w:pPr>
      <w:r>
        <w:lastRenderedPageBreak/>
        <w:t>The submissions from ABC and Free TV did not address options for future use of the 2</w:t>
      </w:r>
      <w:r w:rsidR="009223A2">
        <w:t> </w:t>
      </w:r>
      <w:r>
        <w:t>GHz band. Rather, they advocated retention of existing interference protection arrangements for their operations in adjacent bands.</w:t>
      </w:r>
    </w:p>
    <w:p w14:paraId="5000873E" w14:textId="77777777" w:rsidR="001D28DC" w:rsidRPr="001F7DED" w:rsidRDefault="001D28DC" w:rsidP="001D28DC">
      <w:pPr>
        <w:pStyle w:val="Heading3"/>
        <w:spacing w:before="240"/>
      </w:pPr>
      <w:r w:rsidRPr="001F7DED">
        <w:t>Wireless broadband</w:t>
      </w:r>
    </w:p>
    <w:p w14:paraId="259B6394" w14:textId="42957A02" w:rsidR="00F9536A" w:rsidRDefault="001D28DC" w:rsidP="00636F13">
      <w:pPr>
        <w:pStyle w:val="Paragraph"/>
      </w:pPr>
      <w:r w:rsidRPr="001F7DED">
        <w:t xml:space="preserve">Responses </w:t>
      </w:r>
      <w:r w:rsidR="00CE1AEF">
        <w:t xml:space="preserve">from the wireless broadband industry </w:t>
      </w:r>
      <w:r w:rsidRPr="001F7DED">
        <w:t>were received from</w:t>
      </w:r>
      <w:r w:rsidR="002331DE" w:rsidRPr="001F7DED">
        <w:t xml:space="preserve"> </w:t>
      </w:r>
      <w:r w:rsidR="00CE1AEF">
        <w:t xml:space="preserve">AMTA, </w:t>
      </w:r>
      <w:r w:rsidR="009B1776">
        <w:t xml:space="preserve">Nokia, </w:t>
      </w:r>
      <w:r w:rsidR="00CE1AEF">
        <w:t xml:space="preserve">Optus, Pivotel, </w:t>
      </w:r>
      <w:r w:rsidR="009B1776">
        <w:t xml:space="preserve">Telstra, </w:t>
      </w:r>
      <w:r w:rsidR="00CE1AEF">
        <w:t>VHA and WISPAU.</w:t>
      </w:r>
    </w:p>
    <w:p w14:paraId="07DD084E" w14:textId="292130CF" w:rsidR="00F9536A" w:rsidRDefault="00F9536A" w:rsidP="00F9536A">
      <w:pPr>
        <w:pStyle w:val="Paragraph"/>
      </w:pPr>
      <w:r w:rsidRPr="00A9434A">
        <w:t>Respondents generally had divergent views on the optimal future use of the band including wide-area wireless broadband, local-area wireless broadband, and direct air-to-ground communications</w:t>
      </w:r>
      <w:r>
        <w:t>.</w:t>
      </w:r>
      <w:r w:rsidRPr="00A9434A">
        <w:t xml:space="preserve"> Some respondents </w:t>
      </w:r>
      <w:r w:rsidR="009223A2">
        <w:t>suggested</w:t>
      </w:r>
      <w:r w:rsidRPr="00A9434A">
        <w:t xml:space="preserve"> the band could be shared with other services via geographic or frequency separation</w:t>
      </w:r>
      <w:r>
        <w:t>.</w:t>
      </w:r>
    </w:p>
    <w:p w14:paraId="578C2785" w14:textId="1D953DD9" w:rsidR="00A9434A" w:rsidRDefault="00A9434A" w:rsidP="00636F13">
      <w:pPr>
        <w:pStyle w:val="Paragraph"/>
      </w:pPr>
      <w:r>
        <w:t>AMTA</w:t>
      </w:r>
      <w:r w:rsidR="009B1776">
        <w:t xml:space="preserve">, </w:t>
      </w:r>
      <w:r>
        <w:t>Optus</w:t>
      </w:r>
      <w:r w:rsidR="009B1776">
        <w:t xml:space="preserve"> and Telstra</w:t>
      </w:r>
      <w:r>
        <w:t xml:space="preserve"> indicated that r</w:t>
      </w:r>
      <w:r w:rsidRPr="00A9434A">
        <w:t xml:space="preserve">eplanning the 2 GHz band </w:t>
      </w:r>
      <w:r w:rsidR="009B1776">
        <w:t>is</w:t>
      </w:r>
      <w:r w:rsidRPr="00A9434A">
        <w:t xml:space="preserve"> not considered a</w:t>
      </w:r>
      <w:r>
        <w:t>n immediate</w:t>
      </w:r>
      <w:r w:rsidRPr="00A9434A">
        <w:t xml:space="preserve"> priority</w:t>
      </w:r>
      <w:r>
        <w:t xml:space="preserve">. </w:t>
      </w:r>
      <w:r w:rsidR="009B1776">
        <w:t xml:space="preserve">However, </w:t>
      </w:r>
      <w:r w:rsidR="00F9536A">
        <w:t xml:space="preserve">both </w:t>
      </w:r>
      <w:r w:rsidR="009B1776">
        <w:t>AMTA and Telstra signalled their support for the band to progress to the next stage of the replanning process.</w:t>
      </w:r>
      <w:r w:rsidR="00E33060">
        <w:t xml:space="preserve"> Optus noted that any changes to </w:t>
      </w:r>
      <w:r w:rsidR="00E33060" w:rsidRPr="00E33060">
        <w:t>arrangements in the 2 GHz band must retain the</w:t>
      </w:r>
      <w:r w:rsidR="00E33060">
        <w:t xml:space="preserve"> existing</w:t>
      </w:r>
      <w:r w:rsidR="00E33060" w:rsidRPr="00E33060">
        <w:t xml:space="preserve"> protection</w:t>
      </w:r>
      <w:r w:rsidR="00E33060">
        <w:t xml:space="preserve"> of guard bands for </w:t>
      </w:r>
      <w:r w:rsidR="00E33060" w:rsidRPr="00E33060">
        <w:t>adjacent 2.1 GHz spectrum licence holders</w:t>
      </w:r>
      <w:r w:rsidR="00E33060">
        <w:t>.</w:t>
      </w:r>
    </w:p>
    <w:p w14:paraId="21CBA5BA" w14:textId="6E303F84" w:rsidR="00F508AD" w:rsidRDefault="00F508AD" w:rsidP="00636F13">
      <w:pPr>
        <w:pStyle w:val="Paragraph"/>
      </w:pPr>
      <w:r>
        <w:t>VHA indicated its interest in using the 2 GHz band to deploy mobile broadband services in metropolitan areas</w:t>
      </w:r>
      <w:r w:rsidR="00561C8C">
        <w:t xml:space="preserve"> (</w:t>
      </w:r>
      <w:r w:rsidR="00A726E6">
        <w:t>consistent with a wide-area wireless broadband use)</w:t>
      </w:r>
      <w:r>
        <w:t xml:space="preserve">. However, this is dependent on </w:t>
      </w:r>
      <w:r w:rsidR="00E33060">
        <w:t xml:space="preserve">this use of band gaining further support internationally. </w:t>
      </w:r>
      <w:r w:rsidRPr="00F508AD">
        <w:t>By allocating 2 GHz to mobile broadband, the ACMA will help build momentum to support the band’s allocation to mobile broadband internationally and encourage device manufacturers to develop equipment that will utilise the band.</w:t>
      </w:r>
    </w:p>
    <w:p w14:paraId="7CF9EA08" w14:textId="762E97B8" w:rsidR="00547241" w:rsidRDefault="00547241" w:rsidP="00547241">
      <w:pPr>
        <w:pStyle w:val="Paragraph"/>
      </w:pPr>
      <w:r>
        <w:t xml:space="preserve">Pivotel </w:t>
      </w:r>
      <w:r w:rsidR="00821055">
        <w:t>i</w:t>
      </w:r>
      <w:r w:rsidR="00CF04AC">
        <w:t>ndicated a focus</w:t>
      </w:r>
      <w:r w:rsidR="00821055">
        <w:t xml:space="preserve"> on </w:t>
      </w:r>
      <w:r w:rsidR="00CF04AC">
        <w:t xml:space="preserve">serving regional areas, </w:t>
      </w:r>
      <w:r>
        <w:t>advocat</w:t>
      </w:r>
      <w:r w:rsidR="00CF04AC">
        <w:t>ing</w:t>
      </w:r>
      <w:r>
        <w:t xml:space="preserve"> </w:t>
      </w:r>
      <w:r w:rsidR="05E4DAD0">
        <w:t>that</w:t>
      </w:r>
      <w:r>
        <w:t xml:space="preserve"> part of the 2 GHz band (2 x 10 MHz) be allocated to apparatus-licensed terrestrial mobile services and the remaining 2 x 20 MHz to </w:t>
      </w:r>
      <w:r w:rsidR="007F6936">
        <w:t>MSS</w:t>
      </w:r>
      <w:r>
        <w:t xml:space="preserve">, terrestrial mobile services or a combination with MSS as primary. Pivotel </w:t>
      </w:r>
      <w:r w:rsidR="00264A43">
        <w:t>indicated t</w:t>
      </w:r>
      <w:r>
        <w:t>his approach would provide 10 MHz of FDD spectrum access for innovative ‘place-based’ LTE solutions outside of the traditional bands allocated on a spectrum-licensing basis, while also providing opportunities for potential future MSS services, particularly those targeting satellite</w:t>
      </w:r>
      <w:r w:rsidR="00264A43">
        <w:t>-</w:t>
      </w:r>
      <w:r>
        <w:t>based IoT solutions.</w:t>
      </w:r>
      <w:r w:rsidR="00D80D45">
        <w:t xml:space="preserve"> </w:t>
      </w:r>
      <w:r w:rsidR="00D80D45" w:rsidRPr="00D80D45">
        <w:t>Pivotel also suggested that the band should be self-managed by licensees to manage potential interference</w:t>
      </w:r>
      <w:r w:rsidR="0092163A">
        <w:t>,</w:t>
      </w:r>
      <w:r w:rsidR="00D80D45" w:rsidRPr="00D80D45">
        <w:t xml:space="preserve"> thereby increasing the overall utilisation of the spectrum.</w:t>
      </w:r>
    </w:p>
    <w:p w14:paraId="713C5EEF" w14:textId="5585ACF0" w:rsidR="00F9536A" w:rsidRDefault="00F9536A" w:rsidP="00636F13">
      <w:pPr>
        <w:pStyle w:val="Paragraph"/>
      </w:pPr>
      <w:r>
        <w:t xml:space="preserve">In contrast, WISPAU advocated </w:t>
      </w:r>
      <w:r w:rsidR="11BC7E5C">
        <w:t>that</w:t>
      </w:r>
      <w:r w:rsidRPr="00A9434A">
        <w:t xml:space="preserve"> </w:t>
      </w:r>
      <w:r>
        <w:t xml:space="preserve">the band be planned for fixed or mobile broadband purposes </w:t>
      </w:r>
      <w:r w:rsidR="00690D64">
        <w:t xml:space="preserve">(consistent with a local-area wireless broadband use) </w:t>
      </w:r>
      <w:r>
        <w:t>via a dynamic spectrum licensing management system. This would allow existing licensees to continue to operate as well as enable the spectrum to be efficiently utilised by alternative services.</w:t>
      </w:r>
      <w:r w:rsidR="00080CE8">
        <w:t xml:space="preserve"> WISPAU indicated that the 2 GHz band could accommodate smaller carriers displaced by replanning of the 3.6 GHz band in 2016.</w:t>
      </w:r>
    </w:p>
    <w:p w14:paraId="1EAED47E" w14:textId="612F79EC" w:rsidR="00956C12" w:rsidRDefault="00956C12" w:rsidP="00956C12">
      <w:pPr>
        <w:pStyle w:val="Heading3"/>
        <w:spacing w:before="240"/>
      </w:pPr>
      <w:r>
        <w:t>Direct air-to-ground communications</w:t>
      </w:r>
    </w:p>
    <w:p w14:paraId="572ABDAC" w14:textId="6394E4AA" w:rsidR="00963389" w:rsidRDefault="0035146E" w:rsidP="00963389">
      <w:r>
        <w:t xml:space="preserve">Telstra and Nokia advocated </w:t>
      </w:r>
      <w:r w:rsidR="1984624D">
        <w:t>that</w:t>
      </w:r>
      <w:r>
        <w:t xml:space="preserve"> the band be allocated to direct air-to-ground communications, based on IMT technology. Telstra considers the 2 GHz band provides the best opportunity to introduce this service in Australia, recommending that the entire 30 MHz paired spectrum be allocated to this purpose Australia-wide (thus providing sufficient bandwidth to enable deployment of competing services). </w:t>
      </w:r>
    </w:p>
    <w:p w14:paraId="56F8521F" w14:textId="6B8743A8" w:rsidR="00963389" w:rsidRDefault="00963389" w:rsidP="00963389">
      <w:r>
        <w:t xml:space="preserve">Telstra also noted growing interest from emergency services for connectivity to helicopters and their other low altitude aircraft. Telstra advised that they are participating in a trial in Melbourne with Uber to </w:t>
      </w:r>
      <w:r w:rsidRPr="008873C6">
        <w:t>evaluate the connectivity requirements for a future connected aviation transport system in an urban environment.</w:t>
      </w:r>
      <w:r>
        <w:t xml:space="preserve"> They consider that direct air-to-ground systems are a </w:t>
      </w:r>
      <w:r w:rsidRPr="008873C6">
        <w:t>potentially</w:t>
      </w:r>
      <w:r>
        <w:t xml:space="preserve"> </w:t>
      </w:r>
      <w:r w:rsidRPr="008873C6">
        <w:t>useful connectivity option for this type</w:t>
      </w:r>
      <w:r>
        <w:t xml:space="preserve"> of </w:t>
      </w:r>
      <w:r w:rsidRPr="008873C6">
        <w:t>future transport service.</w:t>
      </w:r>
    </w:p>
    <w:p w14:paraId="0DC91B65" w14:textId="06EA25F3" w:rsidR="0035146E" w:rsidRDefault="0035146E" w:rsidP="00636F13">
      <w:pPr>
        <w:pStyle w:val="Paragraph"/>
      </w:pPr>
      <w:r>
        <w:lastRenderedPageBreak/>
        <w:t xml:space="preserve">Nokia responded with similar views </w:t>
      </w:r>
      <w:r w:rsidR="005A1B40">
        <w:t xml:space="preserve">while diverging on the quantity of spectrum required. Nokia </w:t>
      </w:r>
      <w:r>
        <w:t>indicat</w:t>
      </w:r>
      <w:r w:rsidR="005A1B40">
        <w:t xml:space="preserve">ed </w:t>
      </w:r>
      <w:r>
        <w:t>that 15 MHz of paired spectrum</w:t>
      </w:r>
      <w:r w:rsidR="005A1B40">
        <w:t xml:space="preserve"> in the lower half of the band</w:t>
      </w:r>
      <w:r>
        <w:t xml:space="preserve"> should be granted to </w:t>
      </w:r>
      <w:r w:rsidR="005A1B40">
        <w:t>the direct air-to-ground communication</w:t>
      </w:r>
      <w:r>
        <w:t xml:space="preserve"> service on an exclusive basis</w:t>
      </w:r>
      <w:r w:rsidR="005A1B40">
        <w:t>, in the same spectrum range used by the European Aviation Network. This would enable exi</w:t>
      </w:r>
      <w:r w:rsidR="00075D32">
        <w:t>s</w:t>
      </w:r>
      <w:r w:rsidR="005A1B40">
        <w:t>ting air-worthiness-certified equipment to be used in an Australian deployment.</w:t>
      </w:r>
    </w:p>
    <w:p w14:paraId="2AB7DBC2" w14:textId="77777777" w:rsidR="001D28DC" w:rsidRPr="001F7DED" w:rsidRDefault="001D28DC" w:rsidP="001D28DC">
      <w:pPr>
        <w:pStyle w:val="Heading3"/>
        <w:spacing w:before="240"/>
      </w:pPr>
      <w:bookmarkStart w:id="112" w:name="_Toc19620731"/>
      <w:r w:rsidRPr="001F7DED">
        <w:t>Satellite</w:t>
      </w:r>
      <w:bookmarkEnd w:id="112"/>
    </w:p>
    <w:p w14:paraId="7A25C09D" w14:textId="288AC065" w:rsidR="00EE041B" w:rsidRDefault="001D28DC" w:rsidP="00B764AD">
      <w:pPr>
        <w:pStyle w:val="Paragraphbeforelist"/>
      </w:pPr>
      <w:r w:rsidRPr="001F7DED">
        <w:t xml:space="preserve">Responses </w:t>
      </w:r>
      <w:r w:rsidR="000C34B8">
        <w:t xml:space="preserve">from the satellite industry </w:t>
      </w:r>
      <w:r w:rsidRPr="001F7DED">
        <w:t xml:space="preserve">were received from </w:t>
      </w:r>
      <w:r w:rsidR="000C34B8">
        <w:t>CA SSWG, Inmarsat, Kepler, Omnispace, Pivotel and Sirion Global.</w:t>
      </w:r>
      <w:r w:rsidRPr="001F7DED">
        <w:t xml:space="preserve"> </w:t>
      </w:r>
      <w:bookmarkEnd w:id="107"/>
      <w:r w:rsidR="00BC2CFC">
        <w:t>Submissions</w:t>
      </w:r>
      <w:r w:rsidR="008107FE" w:rsidRPr="008107FE">
        <w:t xml:space="preserve"> </w:t>
      </w:r>
      <w:r w:rsidR="009223A2">
        <w:t xml:space="preserve">generally </w:t>
      </w:r>
      <w:r w:rsidR="00EE041B">
        <w:t>advocated</w:t>
      </w:r>
      <w:r w:rsidR="008107FE" w:rsidRPr="008107FE">
        <w:t xml:space="preserve"> for</w:t>
      </w:r>
      <w:r w:rsidR="00EE041B">
        <w:t>:</w:t>
      </w:r>
    </w:p>
    <w:p w14:paraId="0D7C2ED8" w14:textId="77777777" w:rsidR="00EE041B" w:rsidRDefault="00BC2CFC" w:rsidP="00EE041B">
      <w:pPr>
        <w:pStyle w:val="ListBullet"/>
      </w:pPr>
      <w:r>
        <w:t>progression of the band to the preliminary replanning stage</w:t>
      </w:r>
      <w:r w:rsidR="00EE041B">
        <w:t xml:space="preserve"> of the replanning process</w:t>
      </w:r>
    </w:p>
    <w:p w14:paraId="7D418BEA" w14:textId="6CE1D7EA" w:rsidR="00EE041B" w:rsidRDefault="008107FE" w:rsidP="00EE041B">
      <w:pPr>
        <w:pStyle w:val="ListBullet"/>
      </w:pPr>
      <w:r w:rsidRPr="008107FE">
        <w:t xml:space="preserve">phasing out </w:t>
      </w:r>
      <w:r w:rsidR="007F6936">
        <w:t>TOB</w:t>
      </w:r>
      <w:r w:rsidRPr="008107FE">
        <w:t xml:space="preserve"> services</w:t>
      </w:r>
    </w:p>
    <w:p w14:paraId="2A525858" w14:textId="51618409" w:rsidR="009223A2" w:rsidRDefault="008107FE" w:rsidP="00EE041B">
      <w:pPr>
        <w:pStyle w:val="ListBulletLast"/>
      </w:pPr>
      <w:r w:rsidRPr="008107FE">
        <w:t xml:space="preserve">reallocating the band to </w:t>
      </w:r>
      <w:r w:rsidR="007F6936">
        <w:t>MSS</w:t>
      </w:r>
      <w:r w:rsidRPr="008107FE">
        <w:t xml:space="preserve">, including satellite-based </w:t>
      </w:r>
      <w:r w:rsidR="2AFD3B3B">
        <w:t>IoT</w:t>
      </w:r>
      <w:r w:rsidRPr="008107FE">
        <w:t xml:space="preserve"> services.</w:t>
      </w:r>
    </w:p>
    <w:p w14:paraId="1E7BD511" w14:textId="78F7FFCD" w:rsidR="000214D7" w:rsidRDefault="000214D7" w:rsidP="000214D7">
      <w:pPr>
        <w:pStyle w:val="Paragraph"/>
      </w:pPr>
      <w:r>
        <w:t>Respondents indicated readiness to deploy a range of mobile-satellite applications including inflight broadband,</w:t>
      </w:r>
      <w:r w:rsidRPr="00260B3A">
        <w:t xml:space="preserve"> </w:t>
      </w:r>
      <w:r>
        <w:t>satellite IoT, remote communication services serving mining and agricultural industries, emergency and public safety communications, as well as S-band satellite t</w:t>
      </w:r>
      <w:r w:rsidRPr="00260B3A">
        <w:t xml:space="preserve">elemetry, </w:t>
      </w:r>
      <w:r>
        <w:t>t</w:t>
      </w:r>
      <w:r w:rsidRPr="00260B3A">
        <w:t xml:space="preserve">racking and </w:t>
      </w:r>
      <w:r>
        <w:t>c</w:t>
      </w:r>
      <w:r w:rsidRPr="00260B3A">
        <w:t>ommand</w:t>
      </w:r>
      <w:r>
        <w:t>.</w:t>
      </w:r>
    </w:p>
    <w:p w14:paraId="1086F700" w14:textId="368EE529" w:rsidR="00447D07" w:rsidRDefault="00447D07" w:rsidP="000214D7">
      <w:pPr>
        <w:pStyle w:val="Paragraph"/>
      </w:pPr>
      <w:r>
        <w:t>Interest in deploying satellite-based IoT services was indicated by Omnispace, Pivotel, Sirion and Kepler. These submissions indicated the expected large growth in IoT markets including areas such as agriculture and mining sectors as well as a vast range of tracking applications</w:t>
      </w:r>
      <w:r w:rsidR="00DD5898">
        <w:t xml:space="preserve"> </w:t>
      </w:r>
      <w:r>
        <w:t>requi</w:t>
      </w:r>
      <w:r w:rsidR="00DD5898">
        <w:t>ring</w:t>
      </w:r>
      <w:r>
        <w:t xml:space="preserve"> national coverage. </w:t>
      </w:r>
    </w:p>
    <w:p w14:paraId="6B0AF545" w14:textId="77777777" w:rsidR="009A3BC0" w:rsidRDefault="009A3BC0" w:rsidP="009A3BC0">
      <w:pPr>
        <w:pStyle w:val="Paragraph"/>
      </w:pPr>
      <w:r w:rsidRPr="008107FE">
        <w:t>Most respondents argued that it would not be feasible to share the band with another service, either by sub-dividing the band or geographically separating services. Several operators asserted there is currently not enough spectrum available for MSS operators to support new demand, including IoT applications.</w:t>
      </w:r>
    </w:p>
    <w:p w14:paraId="7ED57106" w14:textId="28040FCC" w:rsidR="009223A2" w:rsidRDefault="00D30A3B" w:rsidP="008107FE">
      <w:pPr>
        <w:pStyle w:val="Paragraph"/>
      </w:pPr>
      <w:r>
        <w:t xml:space="preserve">The </w:t>
      </w:r>
      <w:r w:rsidR="00BA20FC">
        <w:t>CA</w:t>
      </w:r>
      <w:r>
        <w:t xml:space="preserve"> </w:t>
      </w:r>
      <w:r w:rsidR="00BA20FC">
        <w:t xml:space="preserve">SSWG </w:t>
      </w:r>
      <w:r>
        <w:t xml:space="preserve">further </w:t>
      </w:r>
      <w:r w:rsidR="00BA20FC">
        <w:t xml:space="preserve">suggested that </w:t>
      </w:r>
      <w:r>
        <w:t>spectrum embargo 23 stands in the way of market progress</w:t>
      </w:r>
      <w:r w:rsidR="001977B5">
        <w:t xml:space="preserve"> and urged the timely introduction of important new </w:t>
      </w:r>
      <w:r w:rsidR="007F6936">
        <w:t>MSS</w:t>
      </w:r>
      <w:r w:rsidR="00C01567">
        <w:t xml:space="preserve"> for the entire 2 x 30 MHz available in the 2 GHz band</w:t>
      </w:r>
      <w:r w:rsidR="00631FB8">
        <w:t>. Consideration should be given to arrangements that facilitate deployment of a ground component to support satellite services in high population areas where the built environment may reduce satellite visibility.</w:t>
      </w:r>
    </w:p>
    <w:p w14:paraId="5B7AD7BA" w14:textId="0247D990" w:rsidR="00C01567" w:rsidRDefault="00C01567" w:rsidP="00E416F0">
      <w:r>
        <w:t xml:space="preserve">Inmarsat </w:t>
      </w:r>
      <w:r w:rsidR="00E416F0">
        <w:t>indicated interest in using the 2 GHz band for a service similar to the European Aviation Network. This provides inflight broadband service for airline passengers and utilises a mix of satellite and a complementary ground component to meet coverage and capacity demands. Inmarsat</w:t>
      </w:r>
      <w:r>
        <w:t xml:space="preserve"> </w:t>
      </w:r>
      <w:r w:rsidR="00E416F0">
        <w:t>advocated for</w:t>
      </w:r>
      <w:r>
        <w:t xml:space="preserve"> the whole band to be allocated to </w:t>
      </w:r>
      <w:r w:rsidR="00E416F0">
        <w:t xml:space="preserve">nationwide </w:t>
      </w:r>
      <w:r w:rsidR="007F6936">
        <w:t>MSS</w:t>
      </w:r>
      <w:r w:rsidR="007E120A">
        <w:t xml:space="preserve"> with no more than 2 x 15 MHz available to a single operator. </w:t>
      </w:r>
      <w:r w:rsidR="00E416F0">
        <w:t xml:space="preserve">Should </w:t>
      </w:r>
      <w:r w:rsidR="007E120A">
        <w:t xml:space="preserve">terrestrial mobile broadband or direct air-to-ground communications systems </w:t>
      </w:r>
      <w:r w:rsidR="00E416F0">
        <w:t xml:space="preserve">gain access to the band, then Inmarsat considers it would be necessary to establish emission limits to protect MSS systems serving other countries, as these are visible from Australia. </w:t>
      </w:r>
    </w:p>
    <w:p w14:paraId="454C282D" w14:textId="25133A38" w:rsidR="00447D07" w:rsidRDefault="003B6D62" w:rsidP="00447D07">
      <w:pPr>
        <w:pStyle w:val="Paragraph"/>
      </w:pPr>
      <w:r>
        <w:t xml:space="preserve">Kepler considers the maximum public benefit is attained when the band is aligned with the international community and dedicated on a majority or near-majority use to the MSS. Kepler suggested that if the band is not re-allocated to the MSS there will not be enough spectrum available for MSS operators to support new demand. In terms of spectrum requirements, a 2 x 6 MHz allocation would greatly support the facilitation of Kepler’s own IoT service as presently envisioned. </w:t>
      </w:r>
      <w:r w:rsidR="00447D07">
        <w:t>Kepler further stated that the 2 GHz band had distinct advantages including small-form, omni-directional antennas used by portable equipment, and international use of the band for satellite services provide</w:t>
      </w:r>
      <w:r w:rsidR="10012675">
        <w:t>d</w:t>
      </w:r>
      <w:r w:rsidR="00447D07">
        <w:t xml:space="preserve"> an existing market for commercial-off-the-shelf components.</w:t>
      </w:r>
    </w:p>
    <w:p w14:paraId="681E549C" w14:textId="15B0015F" w:rsidR="00631FB8" w:rsidRDefault="00417444" w:rsidP="00417444">
      <w:pPr>
        <w:pStyle w:val="Paragraph"/>
      </w:pPr>
      <w:r>
        <w:lastRenderedPageBreak/>
        <w:t xml:space="preserve">Omnispace urged the ACMA to allow the deployment of global services such as MSS in the 2 GHz band, while allowing TOB operators to share or transition to other spectrum that may have more global economies of scale for their equipment. Omnispace </w:t>
      </w:r>
      <w:r w:rsidR="4F78A06D">
        <w:t>sought</w:t>
      </w:r>
      <w:r w:rsidR="00E51A16">
        <w:t xml:space="preserve"> Australia-wide</w:t>
      </w:r>
      <w:r>
        <w:t xml:space="preserve"> access to </w:t>
      </w:r>
      <w:r w:rsidR="00E51A16">
        <w:t xml:space="preserve">2 x 15 MHz in </w:t>
      </w:r>
      <w:r>
        <w:t xml:space="preserve">the </w:t>
      </w:r>
      <w:r w:rsidR="00E51A16">
        <w:t xml:space="preserve">2 GHz </w:t>
      </w:r>
      <w:r>
        <w:t>band for MSS, complementary ground component and S-band telecommand and telemetry services.</w:t>
      </w:r>
      <w:r w:rsidR="00E51A16">
        <w:t xml:space="preserve"> </w:t>
      </w:r>
      <w:r w:rsidR="004A3E00">
        <w:t>Additionally, Omnispace d</w:t>
      </w:r>
      <w:r w:rsidR="62BD0843">
        <w:t>id</w:t>
      </w:r>
      <w:r>
        <w:t xml:space="preserve"> not support sub-dividing or geographic separation in the band</w:t>
      </w:r>
      <w:r w:rsidR="004A3E00">
        <w:t>, nor d</w:t>
      </w:r>
      <w:r w:rsidR="0F2E1919">
        <w:t>id</w:t>
      </w:r>
      <w:r w:rsidR="004A3E00">
        <w:t xml:space="preserve"> it support </w:t>
      </w:r>
      <w:r>
        <w:t>satellite IoT only in guard bands between services</w:t>
      </w:r>
      <w:r w:rsidR="13A8DFFC">
        <w:t>, rather</w:t>
      </w:r>
      <w:r>
        <w:t xml:space="preserve"> </w:t>
      </w:r>
      <w:r w:rsidR="25E19CB4">
        <w:t>s</w:t>
      </w:r>
      <w:r>
        <w:t>atellite IoT must be able to access same spectrum as a</w:t>
      </w:r>
      <w:r w:rsidR="004A3E00">
        <w:t>n</w:t>
      </w:r>
      <w:r>
        <w:t xml:space="preserve"> MSS network.</w:t>
      </w:r>
      <w:r w:rsidR="009573F6">
        <w:t xml:space="preserve"> </w:t>
      </w:r>
    </w:p>
    <w:p w14:paraId="2A61CFC0" w14:textId="09C8D9FA" w:rsidR="009573F6" w:rsidRDefault="009573F6" w:rsidP="009573F6">
      <w:pPr>
        <w:pStyle w:val="Paragraph"/>
      </w:pPr>
      <w:r>
        <w:t>As mentioned previously, Pivotel advocated for part of the 2 GHz band (2 x 10 MHz) to</w:t>
      </w:r>
      <w:r w:rsidR="00831F0F">
        <w:t> </w:t>
      </w:r>
      <w:r>
        <w:t xml:space="preserve">be allocated to apparatus-licensed terrestrial mobile services and the remaining </w:t>
      </w:r>
      <w:r w:rsidR="00831F0F">
        <w:br/>
      </w:r>
      <w:r>
        <w:t>2 x 20</w:t>
      </w:r>
      <w:r w:rsidR="00245894">
        <w:t> </w:t>
      </w:r>
      <w:r>
        <w:t xml:space="preserve">MHz to </w:t>
      </w:r>
      <w:r w:rsidR="007F6936">
        <w:t>MSS</w:t>
      </w:r>
      <w:r>
        <w:t>, terrestrial mobile services or a combination with MSS as primary. Pivotel indicated this approach would provide 10 MHz of FDD spectrum access for innovative ‘place-based’ LTE solutions outside of the traditional bands allocated on a spectrum-licensing basis, while also providing opportunities for potential future MSS services, particularly those targeting satellite-based IoT solutions.</w:t>
      </w:r>
      <w:r w:rsidR="00EE2B3E">
        <w:t xml:space="preserve"> Pivotel further suggested that the replanned 2 GHz band should be self-managed amongst licensees sharing the band. </w:t>
      </w:r>
    </w:p>
    <w:p w14:paraId="08AF51FC" w14:textId="295AE37B" w:rsidR="009573F6" w:rsidRDefault="009573F6" w:rsidP="009573F6">
      <w:pPr>
        <w:pStyle w:val="Paragraph"/>
      </w:pPr>
      <w:r>
        <w:t>Sirion Global indicated that 2 GHz is the cornerstone of Sirion’s planned service. Sirion s</w:t>
      </w:r>
      <w:r w:rsidR="1CB26488">
        <w:t>ought</w:t>
      </w:r>
      <w:r>
        <w:t xml:space="preserve"> a single licence allocation </w:t>
      </w:r>
      <w:r w:rsidR="00EE2B3E">
        <w:t xml:space="preserve">of the entire band, Australia-wide </w:t>
      </w:r>
      <w:r>
        <w:t xml:space="preserve">for </w:t>
      </w:r>
      <w:r w:rsidR="007F6936">
        <w:t>MSS</w:t>
      </w:r>
      <w:r>
        <w:t xml:space="preserve"> with </w:t>
      </w:r>
      <w:r w:rsidR="002F1D79">
        <w:t xml:space="preserve">a </w:t>
      </w:r>
      <w:r>
        <w:t>terrestrial component</w:t>
      </w:r>
      <w:r w:rsidR="002F1D79">
        <w:t xml:space="preserve">. </w:t>
      </w:r>
      <w:r w:rsidR="009A3BC0">
        <w:t xml:space="preserve">Sirion indicated readiness to deploy a </w:t>
      </w:r>
      <w:r w:rsidR="003902E4" w:rsidRPr="003902E4">
        <w:t>non-geostationary orbit (</w:t>
      </w:r>
      <w:r w:rsidR="009A3BC0">
        <w:t>NGSO</w:t>
      </w:r>
      <w:r w:rsidR="000D3AEC">
        <w:t>)</w:t>
      </w:r>
      <w:r w:rsidR="009A3BC0">
        <w:t xml:space="preserve"> MSS network with a terrestrial component to augment capacity and coverage. It </w:t>
      </w:r>
      <w:r w:rsidR="114BA37B">
        <w:t>planned</w:t>
      </w:r>
      <w:r w:rsidR="009A3BC0">
        <w:t xml:space="preserve"> to utilise the system to provide services in the IoT market. </w:t>
      </w:r>
    </w:p>
    <w:p w14:paraId="5DBF72FE" w14:textId="0DB52DA8" w:rsidR="00573A89" w:rsidRDefault="00752614">
      <w:pPr>
        <w:spacing w:after="0" w:line="240" w:lineRule="auto"/>
      </w:pPr>
      <w:r>
        <w:t xml:space="preserve">Finally, interest in deploying </w:t>
      </w:r>
      <w:r w:rsidR="007F6936">
        <w:t>MSS</w:t>
      </w:r>
      <w:r>
        <w:t xml:space="preserve"> in conjunction with terrestrial mobile broadband services (as a complementary ground component or ancillary terrestrial component) was reported by several respondents including Inmarsat, Omnispace, Pivotel and Sirion Global. These satellite operators indicated that a satellite system augmented with a terrestrial component would enable them to increase coverage and capacity where required and make the most efficient use of the 2 GHz spectrum.</w:t>
      </w:r>
    </w:p>
    <w:p w14:paraId="10419A9C" w14:textId="77777777" w:rsidR="00573A89" w:rsidRDefault="00573A89">
      <w:pPr>
        <w:spacing w:after="0" w:line="240" w:lineRule="auto"/>
      </w:pPr>
    </w:p>
    <w:p w14:paraId="6B148911" w14:textId="77777777" w:rsidR="00573A89" w:rsidRDefault="00573A89">
      <w:pPr>
        <w:spacing w:after="0" w:line="240" w:lineRule="auto"/>
      </w:pPr>
    </w:p>
    <w:p w14:paraId="4E0E1318" w14:textId="77777777" w:rsidR="00A11C68" w:rsidRPr="001F7DED" w:rsidRDefault="00A11C68" w:rsidP="00A11C68">
      <w:pPr>
        <w:pStyle w:val="Heading1"/>
      </w:pPr>
      <w:bookmarkStart w:id="113" w:name="_Appendix_B:_Domestic"/>
      <w:bookmarkStart w:id="114" w:name="_Ref43979727"/>
      <w:bookmarkStart w:id="115" w:name="_Ref43981440"/>
      <w:bookmarkStart w:id="116" w:name="_Ref43981576"/>
      <w:bookmarkStart w:id="117" w:name="_Toc46316383"/>
      <w:bookmarkEnd w:id="113"/>
      <w:r>
        <w:lastRenderedPageBreak/>
        <w:t>Appendix B: Domestic considerations</w:t>
      </w:r>
      <w:bookmarkEnd w:id="114"/>
      <w:bookmarkEnd w:id="115"/>
      <w:bookmarkEnd w:id="116"/>
      <w:bookmarkEnd w:id="117"/>
      <w:r>
        <w:t xml:space="preserve"> </w:t>
      </w:r>
    </w:p>
    <w:p w14:paraId="0CFF6AB8" w14:textId="77777777" w:rsidR="00A11C68" w:rsidRDefault="00A11C68" w:rsidP="00B764AD">
      <w:pPr>
        <w:pStyle w:val="Paragraphbeforelist"/>
      </w:pPr>
      <w:r>
        <w:t>This appendix examines relevant domestic considerations that could influence the assessment of the best use of the 2 GHz band. This includes:</w:t>
      </w:r>
    </w:p>
    <w:p w14:paraId="3DADD702" w14:textId="77777777" w:rsidR="00A11C68" w:rsidRDefault="00A11C68" w:rsidP="00A11C68">
      <w:pPr>
        <w:pStyle w:val="ListBullet"/>
      </w:pPr>
      <w:r>
        <w:t xml:space="preserve">current spectrum arrangements and demand for services </w:t>
      </w:r>
    </w:p>
    <w:p w14:paraId="511E2A1D" w14:textId="3273412E" w:rsidR="00A11C68" w:rsidRDefault="00A11C68" w:rsidP="00A11C68">
      <w:pPr>
        <w:pStyle w:val="ListBullet"/>
      </w:pPr>
      <w:r>
        <w:t xml:space="preserve">regulatory and licences issues associated with </w:t>
      </w:r>
      <w:r w:rsidR="007F6936">
        <w:t>MSS</w:t>
      </w:r>
    </w:p>
    <w:p w14:paraId="0D4271D4" w14:textId="4E517202" w:rsidR="00A11C68" w:rsidRDefault="00A11C68" w:rsidP="00A11C68">
      <w:pPr>
        <w:pStyle w:val="ListBullet"/>
      </w:pPr>
      <w:r>
        <w:t xml:space="preserve">possible options for licensing of </w:t>
      </w:r>
      <w:r w:rsidR="007F6936">
        <w:t>direct air-to-ground communications</w:t>
      </w:r>
    </w:p>
    <w:p w14:paraId="49159CF2" w14:textId="468F7DC8" w:rsidR="00A11C68" w:rsidRDefault="00A11C68" w:rsidP="00A11C68">
      <w:pPr>
        <w:pStyle w:val="ListBullet"/>
      </w:pPr>
      <w:r>
        <w:t>deployment consider</w:t>
      </w:r>
      <w:r w:rsidR="00C945D7">
        <w:t>ations for</w:t>
      </w:r>
      <w:r>
        <w:t xml:space="preserve"> </w:t>
      </w:r>
      <w:r w:rsidR="00C945D7">
        <w:t>complementary ground component</w:t>
      </w:r>
      <w:r>
        <w:t xml:space="preserve"> and similarities with </w:t>
      </w:r>
      <w:r w:rsidR="007F6936">
        <w:t>wireless broadband</w:t>
      </w:r>
    </w:p>
    <w:p w14:paraId="5D32BBF7" w14:textId="6D594DFB" w:rsidR="00A11C68" w:rsidRDefault="00A11C68" w:rsidP="00A11C68">
      <w:pPr>
        <w:pStyle w:val="ListBullet"/>
      </w:pPr>
      <w:r>
        <w:t xml:space="preserve">possible options for licensing of </w:t>
      </w:r>
      <w:r w:rsidR="00C945D7">
        <w:t>complementary ground component</w:t>
      </w:r>
    </w:p>
    <w:p w14:paraId="7E61DA94" w14:textId="77777777" w:rsidR="00A11C68" w:rsidRDefault="00A11C68" w:rsidP="00A11C68">
      <w:pPr>
        <w:pStyle w:val="ListBulletLast"/>
      </w:pPr>
      <w:r>
        <w:t xml:space="preserve">standards and likely channel bandwidths. </w:t>
      </w:r>
    </w:p>
    <w:p w14:paraId="0F68681F" w14:textId="18E9308B" w:rsidR="00700841" w:rsidRDefault="00F42C4F" w:rsidP="00A11C68">
      <w:pPr>
        <w:pStyle w:val="Heading2"/>
      </w:pPr>
      <w:bookmarkStart w:id="118" w:name="_Toc46316384"/>
      <w:bookmarkStart w:id="119" w:name="_Toc16685784"/>
      <w:r>
        <w:t>History and c</w:t>
      </w:r>
      <w:r w:rsidR="00700841">
        <w:t>urrent arrangements</w:t>
      </w:r>
      <w:bookmarkEnd w:id="118"/>
    </w:p>
    <w:p w14:paraId="25D1AEB6" w14:textId="10E90E50" w:rsidR="002E1ED6" w:rsidRPr="00682165" w:rsidRDefault="002E1ED6" w:rsidP="002E1ED6">
      <w:r w:rsidRPr="00682165">
        <w:t xml:space="preserve">In Australia, the segments of the 2 GHz band under consideration in this paper were originally part of a larger band known as the 2.1 GHz band, spanning 1900–‍2300 MHz. The 2.1 GHz band was planned for fixed point-to-point links. In the early 2000s, fixed links were cleared from the band to support the introduction of </w:t>
      </w:r>
      <w:r w:rsidR="007F6936">
        <w:t>MSS</w:t>
      </w:r>
      <w:r w:rsidRPr="00682165">
        <w:t xml:space="preserve"> and 2.1 GHz spectrum licences. While the majority of fixed point-to-point links were cleared from the band, the anticipated mobile</w:t>
      </w:r>
      <w:r w:rsidR="00A73606">
        <w:t>-</w:t>
      </w:r>
      <w:r w:rsidRPr="00682165">
        <w:t xml:space="preserve">satellite </w:t>
      </w:r>
      <w:r>
        <w:t>service</w:t>
      </w:r>
      <w:r w:rsidRPr="00682165">
        <w:t xml:space="preserve"> did not eventuate. </w:t>
      </w:r>
    </w:p>
    <w:p w14:paraId="78284F22" w14:textId="1A9DB574" w:rsidR="002E1ED6" w:rsidRPr="00682165" w:rsidRDefault="002E1ED6" w:rsidP="002E1ED6">
      <w:r w:rsidRPr="00682165">
        <w:rPr>
          <w:rFonts w:cs="Arial"/>
          <w:szCs w:val="20"/>
        </w:rPr>
        <w:t xml:space="preserve">As a result, the 2 GHz band remained relatively underutilised until 2010, when </w:t>
      </w:r>
      <w:r w:rsidRPr="00682165">
        <w:t xml:space="preserve">the ACMA decided to make the 2 GHz band available for </w:t>
      </w:r>
      <w:r w:rsidR="007F6936">
        <w:t>TOB</w:t>
      </w:r>
      <w:r w:rsidRPr="00682165">
        <w:t xml:space="preserve"> services on an interim basis, pending a </w:t>
      </w:r>
      <w:r w:rsidRPr="00682165">
        <w:rPr>
          <w:szCs w:val="20"/>
        </w:rPr>
        <w:t>future review of long-term arrangements for the band.</w:t>
      </w:r>
      <w:r w:rsidRPr="00682165">
        <w:t xml:space="preserve"> Interim arrangements were intended to assist in the transition of </w:t>
      </w:r>
      <w:r w:rsidR="007F6936">
        <w:t>TOB</w:t>
      </w:r>
      <w:r>
        <w:t xml:space="preserve"> </w:t>
      </w:r>
      <w:r w:rsidRPr="00682165">
        <w:t>services to new arrangements following changes resulting from the digital dividend process.</w:t>
      </w:r>
    </w:p>
    <w:p w14:paraId="3D70D572" w14:textId="77777777" w:rsidR="002E1ED6" w:rsidRPr="00682165" w:rsidRDefault="002E1ED6" w:rsidP="002E1ED6">
      <w:pPr>
        <w:rPr>
          <w:rFonts w:cs="Arial"/>
        </w:rPr>
      </w:pPr>
      <w:r w:rsidRPr="661B36CC">
        <w:rPr>
          <w:rFonts w:cs="Arial"/>
        </w:rPr>
        <w:t>To support the TOB transition and retain flexibility for future replanning activities, the ACMA established a policy to restrict all services in the 2 GHz band except for TOB until the future use of the band was considered.</w:t>
      </w:r>
      <w:r w:rsidRPr="661B36CC">
        <w:rPr>
          <w:rStyle w:val="FootnoteReference"/>
          <w:rFonts w:cs="Arial"/>
        </w:rPr>
        <w:footnoteReference w:id="24"/>
      </w:r>
    </w:p>
    <w:p w14:paraId="5AEFAECE" w14:textId="77777777" w:rsidR="002E1ED6" w:rsidRPr="00682165" w:rsidRDefault="002E1ED6" w:rsidP="00B764AD">
      <w:pPr>
        <w:pStyle w:val="Paragraphbeforelist"/>
      </w:pPr>
      <w:r w:rsidRPr="00682165">
        <w:t xml:space="preserve">Regulatory and policy arrangements established by the ACMA currently support the following uses of the 2 GHz band: </w:t>
      </w:r>
    </w:p>
    <w:p w14:paraId="3811EA08" w14:textId="4BD51ADF" w:rsidR="002E1ED6" w:rsidRPr="00682165" w:rsidRDefault="002E1ED6" w:rsidP="002E1ED6">
      <w:pPr>
        <w:pStyle w:val="ListBullet"/>
      </w:pPr>
      <w:r>
        <w:t xml:space="preserve">interim </w:t>
      </w:r>
      <w:r w:rsidR="007F6936">
        <w:t>TOB</w:t>
      </w:r>
      <w:r w:rsidRPr="00682165">
        <w:t xml:space="preserve"> services</w:t>
      </w:r>
      <w:r w:rsidRPr="00682165">
        <w:rPr>
          <w:rStyle w:val="FootnoteReference"/>
        </w:rPr>
        <w:footnoteReference w:id="25"/>
      </w:r>
      <w:r w:rsidRPr="00682165">
        <w:t xml:space="preserve"> </w:t>
      </w:r>
    </w:p>
    <w:p w14:paraId="224BFC8A" w14:textId="77777777" w:rsidR="002E1ED6" w:rsidRPr="00682165" w:rsidRDefault="002E1ED6" w:rsidP="002E1ED6">
      <w:pPr>
        <w:pStyle w:val="ListBullet"/>
      </w:pPr>
      <w:r w:rsidRPr="00682165">
        <w:t>fixed point-to-point services that were licensed prior to the TOB band plan coming into effect</w:t>
      </w:r>
    </w:p>
    <w:p w14:paraId="5824067C" w14:textId="77777777" w:rsidR="002E1ED6" w:rsidRPr="00682165" w:rsidRDefault="002E1ED6" w:rsidP="002E1ED6">
      <w:pPr>
        <w:pStyle w:val="ListBulletLast"/>
      </w:pPr>
      <w:bookmarkStart w:id="121" w:name="_Hlk12439854"/>
      <w:r w:rsidRPr="00682165">
        <w:t>short-term technology demonstrations or other short-term applications</w:t>
      </w:r>
      <w:bookmarkEnd w:id="121"/>
      <w:r w:rsidRPr="00682165">
        <w:t>, authorised on a case-by-case basis.</w:t>
      </w:r>
    </w:p>
    <w:p w14:paraId="7919A068" w14:textId="795EF866" w:rsidR="002E1ED6" w:rsidRDefault="002E1ED6" w:rsidP="002E1ED6">
      <w:pPr>
        <w:pStyle w:val="ACMANormalTabbed"/>
      </w:pPr>
      <w:r w:rsidRPr="00682165">
        <w:t xml:space="preserve">Regulatory arrangements also protect the Australian Radio Quiet Zone Western Australia (near Boolardy Station). These requirements are specified in the </w:t>
      </w:r>
      <w:hyperlink r:id="rId69" w:history="1">
        <w:r w:rsidRPr="00C96237">
          <w:rPr>
            <w:rStyle w:val="Hyperlink"/>
          </w:rPr>
          <w:t>Radiocommunications (Mid-West Radio Quiet Zone) Frequency Band Plan 2011</w:t>
        </w:r>
      </w:hyperlink>
      <w:r w:rsidRPr="00C96237">
        <w:t>,</w:t>
      </w:r>
      <w:r w:rsidRPr="00682165">
        <w:t xml:space="preserve"> RALI</w:t>
      </w:r>
      <w:r w:rsidR="00831F0F">
        <w:t> </w:t>
      </w:r>
      <w:hyperlink r:id="rId70" w:history="1">
        <w:r w:rsidRPr="00682165">
          <w:rPr>
            <w:rStyle w:val="Hyperlink"/>
          </w:rPr>
          <w:t>MS 32</w:t>
        </w:r>
      </w:hyperlink>
      <w:r w:rsidRPr="00682165">
        <w:t xml:space="preserve"> on the coordination of apparatus licensed services within the Australian </w:t>
      </w:r>
      <w:r w:rsidRPr="00682165">
        <w:lastRenderedPageBreak/>
        <w:t xml:space="preserve">Radio Quiet Zone Western Australia, and spectrum </w:t>
      </w:r>
      <w:hyperlink r:id="rId71" w:history="1">
        <w:r w:rsidRPr="00682165">
          <w:rPr>
            <w:rStyle w:val="Hyperlink"/>
          </w:rPr>
          <w:t>embargo 41</w:t>
        </w:r>
      </w:hyperlink>
      <w:r w:rsidRPr="00682165">
        <w:t>, which covers the 70 MHz–‍25.25 GHz band, and therefore applies to the 2 GHz band.</w:t>
      </w:r>
    </w:p>
    <w:p w14:paraId="65D44FF9" w14:textId="167C3432" w:rsidR="001E3B23" w:rsidRDefault="002E1ED6" w:rsidP="002E1ED6">
      <w:pPr>
        <w:pStyle w:val="ACMANormalTabbed"/>
      </w:pPr>
      <w:r w:rsidRPr="00682165">
        <w:t xml:space="preserve">The </w:t>
      </w:r>
      <w:r>
        <w:t>main</w:t>
      </w:r>
      <w:r w:rsidRPr="00682165">
        <w:t xml:space="preserve"> use of the band is for TOB services. With the exception of a handful of legacy fixed links in remote locations and occasional short-term use</w:t>
      </w:r>
      <w:r w:rsidR="008036CE">
        <w:t>,</w:t>
      </w:r>
      <w:r w:rsidRPr="00682165">
        <w:t xml:space="preserve"> the TOB industry has largely enjoyed exclusive use of the 2 GHz band since interim arrangements were established.</w:t>
      </w:r>
    </w:p>
    <w:p w14:paraId="672B9C0E" w14:textId="58E5D171" w:rsidR="002E1ED6" w:rsidRPr="00682165" w:rsidRDefault="001E3B23" w:rsidP="002E1ED6">
      <w:pPr>
        <w:pStyle w:val="ACMANormalTabbed"/>
      </w:pPr>
      <w:r>
        <w:t>C</w:t>
      </w:r>
      <w:r w:rsidR="002E1ED6">
        <w:t xml:space="preserve">urrent </w:t>
      </w:r>
      <w:r w:rsidR="002E1ED6" w:rsidRPr="00682165">
        <w:t xml:space="preserve">TOB use is sporadic and limited in both </w:t>
      </w:r>
      <w:r w:rsidR="004F712D">
        <w:t>duration</w:t>
      </w:r>
      <w:r w:rsidR="004F712D" w:rsidRPr="00682165">
        <w:t xml:space="preserve"> </w:t>
      </w:r>
      <w:r w:rsidR="002E1ED6" w:rsidRPr="00682165">
        <w:t>and geography, with irregular peaks for major events. The majority of regular use occurs in capital city areas, while use in regional areas is typically associated with occasional major events.</w:t>
      </w:r>
    </w:p>
    <w:p w14:paraId="0FFB3D11" w14:textId="1ED5BA94" w:rsidR="00362FC7" w:rsidRDefault="00362FC7" w:rsidP="00362FC7">
      <w:r w:rsidRPr="00682165">
        <w:t xml:space="preserve">Responses to the discussion paper indicated that potential future bandwidth requirements for </w:t>
      </w:r>
      <w:r>
        <w:t xml:space="preserve">both existing TOB operators and </w:t>
      </w:r>
      <w:r w:rsidRPr="00682165">
        <w:t xml:space="preserve">new access seekers exceeds the available </w:t>
      </w:r>
      <w:r>
        <w:t>spectrum</w:t>
      </w:r>
      <w:r w:rsidRPr="00682165">
        <w:t xml:space="preserve"> </w:t>
      </w:r>
      <w:r>
        <w:t xml:space="preserve">(2 x 30 MHz) </w:t>
      </w:r>
      <w:r w:rsidRPr="00682165">
        <w:t xml:space="preserve">in the 2 GHz band. </w:t>
      </w:r>
      <w:r>
        <w:t xml:space="preserve">This was particularly the case for the </w:t>
      </w:r>
      <w:r w:rsidR="007F6936">
        <w:t>MSS</w:t>
      </w:r>
      <w:r>
        <w:t xml:space="preserve">, with five respondents interested in providing services with expected minimum bandwidth requirements in the order of 2 x 15 MHz. The only exception to this scenario is Kepler Communications, </w:t>
      </w:r>
      <w:r w:rsidR="6B49C491">
        <w:t>which</w:t>
      </w:r>
      <w:r>
        <w:t xml:space="preserve"> indicated interest in satellite IoT applications, proposing an allocation of 2 x 6 MHz for each operator.</w:t>
      </w:r>
    </w:p>
    <w:p w14:paraId="0B0B5688" w14:textId="77777777" w:rsidR="00A11C68" w:rsidRPr="00C35CCE" w:rsidRDefault="00A11C68" w:rsidP="00A11C68">
      <w:pPr>
        <w:pStyle w:val="Heading2"/>
      </w:pPr>
      <w:bookmarkStart w:id="122" w:name="_Toc46316385"/>
      <w:r>
        <w:t>Television outside broadcast</w:t>
      </w:r>
      <w:bookmarkEnd w:id="119"/>
      <w:r>
        <w:t xml:space="preserve"> spectrum considerations</w:t>
      </w:r>
      <w:bookmarkEnd w:id="122"/>
    </w:p>
    <w:p w14:paraId="277A0D94" w14:textId="5EF56235" w:rsidR="00061C8A" w:rsidRDefault="00A11C68" w:rsidP="00A11C68">
      <w:pPr>
        <w:pStyle w:val="Heading3"/>
      </w:pPr>
      <w:r w:rsidRPr="00296D08">
        <w:t xml:space="preserve">Current </w:t>
      </w:r>
      <w:r w:rsidR="00061C8A">
        <w:t>use</w:t>
      </w:r>
    </w:p>
    <w:p w14:paraId="78F97E25" w14:textId="6EB4866E" w:rsidR="006C4844" w:rsidRPr="00682165" w:rsidRDefault="005261FA" w:rsidP="005261FA">
      <w:r w:rsidRPr="00682165">
        <w:t xml:space="preserve">Television outside broadcast refers to wireless applications used as part of news gathering, special events or media production. The 2 GHz band is used </w:t>
      </w:r>
      <w:r w:rsidR="003F6326">
        <w:t>mainly</w:t>
      </w:r>
      <w:r w:rsidRPr="00682165">
        <w:t xml:space="preserve"> for transmitting video using either a wireless camera over a short distance or point-to-point link from an outside broadcast van to a central capture point, typically permanently located in a high point. </w:t>
      </w:r>
    </w:p>
    <w:p w14:paraId="57202547" w14:textId="526A108D" w:rsidR="005261FA" w:rsidRPr="00682165" w:rsidRDefault="005261FA" w:rsidP="005261FA">
      <w:r w:rsidRPr="00682165">
        <w:t>The 2019 discussion paper presented a snapshot of TOB licences of a point in time which showed limited usage with 22 licensed services. Submissions to the discussion paper suggested a higher level of usage than that presented. With the itinerant and irregular nature of TOB a more detailed analysis of TOB usage over the five-year period (2015</w:t>
      </w:r>
      <w:r w:rsidR="00831F0F">
        <w:t>–</w:t>
      </w:r>
      <w:r w:rsidRPr="00682165">
        <w:t xml:space="preserve">19) has been undertaken looking at usage throughout the year rather than an individual point in time. Results are presented </w:t>
      </w:r>
      <w:r w:rsidR="00FC2DB8">
        <w:t xml:space="preserve">in the table </w:t>
      </w:r>
      <w:r>
        <w:t>below</w:t>
      </w:r>
      <w:r w:rsidRPr="00682165">
        <w:t>. A more detailed analysis by licensee is at</w:t>
      </w:r>
      <w:r w:rsidR="00831F0F">
        <w:t xml:space="preserve"> </w:t>
      </w:r>
      <w:hyperlink w:anchor="_Appendix_D:_Spectrum" w:history="1">
        <w:r w:rsidR="00831F0F" w:rsidRPr="00831F0F">
          <w:rPr>
            <w:rStyle w:val="Hyperlink"/>
          </w:rPr>
          <w:t>Appendix D: Spectrum arrangements and licensing statistics</w:t>
        </w:r>
      </w:hyperlink>
      <w:r w:rsidR="00FC2DB8">
        <w:t>.</w:t>
      </w:r>
    </w:p>
    <w:p w14:paraId="0742FD3F" w14:textId="6EE08E4C" w:rsidR="005261FA" w:rsidRPr="00682165" w:rsidRDefault="005261FA" w:rsidP="005261FA">
      <w:pPr>
        <w:rPr>
          <w:rFonts w:ascii="Calibri" w:hAnsi="Calibri" w:cs="Calibri"/>
          <w:color w:val="000000"/>
          <w:sz w:val="22"/>
          <w:szCs w:val="22"/>
        </w:rPr>
      </w:pPr>
      <w:r w:rsidRPr="00682165">
        <w:t xml:space="preserve">Analysis of </w:t>
      </w:r>
      <w:r>
        <w:t>licences issued in this timeframe showed</w:t>
      </w:r>
      <w:r w:rsidRPr="00682165">
        <w:t xml:space="preserve"> </w:t>
      </w:r>
      <w:r>
        <w:t>licence duration</w:t>
      </w:r>
      <w:r w:rsidRPr="00682165">
        <w:t xml:space="preserve"> varied from </w:t>
      </w:r>
      <w:r>
        <w:t>a minimum</w:t>
      </w:r>
      <w:r w:rsidRPr="00682165">
        <w:t xml:space="preserve"> </w:t>
      </w:r>
      <w:r>
        <w:t xml:space="preserve">duration </w:t>
      </w:r>
      <w:r w:rsidRPr="00682165">
        <w:t>to cover a</w:t>
      </w:r>
      <w:r>
        <w:t xml:space="preserve"> single</w:t>
      </w:r>
      <w:r w:rsidRPr="00682165">
        <w:t xml:space="preserve"> event (</w:t>
      </w:r>
      <w:r>
        <w:t>one to two</w:t>
      </w:r>
      <w:r w:rsidRPr="00682165">
        <w:t xml:space="preserve"> weeks) to a </w:t>
      </w:r>
      <w:r>
        <w:t>maximum duration of one</w:t>
      </w:r>
      <w:r w:rsidRPr="00682165">
        <w:t xml:space="preserve"> year. In 2019</w:t>
      </w:r>
      <w:r>
        <w:t>,</w:t>
      </w:r>
      <w:r w:rsidRPr="00682165">
        <w:t xml:space="preserve"> the 14 licences at fixed locations in capital cities supported services at six locations</w:t>
      </w:r>
      <w:r w:rsidR="158AA42E">
        <w:t>, three</w:t>
      </w:r>
      <w:r w:rsidRPr="00682165">
        <w:t xml:space="preserve"> in Melbourne, and one each in Adelaide, Perth and Sydney. </w:t>
      </w:r>
      <w:r>
        <w:t>This suggests</w:t>
      </w:r>
      <w:r w:rsidRPr="00682165">
        <w:t xml:space="preserve"> that use of the 2 GHz band by TOB is limited </w:t>
      </w:r>
      <w:r>
        <w:t xml:space="preserve">in both time </w:t>
      </w:r>
      <w:r w:rsidRPr="00682165">
        <w:t xml:space="preserve">and </w:t>
      </w:r>
      <w:r>
        <w:t>geographical coverage</w:t>
      </w:r>
      <w:r w:rsidRPr="00682165">
        <w:t>.</w:t>
      </w:r>
    </w:p>
    <w:p w14:paraId="2FFA154E" w14:textId="4A09D733" w:rsidR="005261FA" w:rsidRPr="00682165" w:rsidRDefault="005261FA" w:rsidP="00B764AD">
      <w:pPr>
        <w:pStyle w:val="Tableheading"/>
        <w:tabs>
          <w:tab w:val="clear" w:pos="1957"/>
          <w:tab w:val="num" w:pos="993"/>
        </w:tabs>
        <w:ind w:left="993" w:hanging="993"/>
      </w:pPr>
      <w:bookmarkStart w:id="123" w:name="_Ref40693112"/>
      <w:r w:rsidRPr="00682165">
        <w:t xml:space="preserve">2 GHz </w:t>
      </w:r>
      <w:r w:rsidR="007F6936">
        <w:t>TOB</w:t>
      </w:r>
      <w:r w:rsidRPr="00682165">
        <w:t xml:space="preserve"> licences</w:t>
      </w:r>
      <w:r w:rsidR="00831F0F">
        <w:t xml:space="preserve"> </w:t>
      </w:r>
      <w:r w:rsidRPr="00682165">
        <w:t>2015</w:t>
      </w:r>
      <w:r>
        <w:t>–</w:t>
      </w:r>
      <w:r w:rsidRPr="00682165">
        <w:t>2019</w:t>
      </w:r>
      <w:bookmarkEnd w:id="123"/>
      <w:r w:rsidRPr="00682165">
        <w:t xml:space="preserve"> </w:t>
      </w:r>
    </w:p>
    <w:tbl>
      <w:tblPr>
        <w:tblStyle w:val="ACMAtablestyle"/>
        <w:tblW w:w="6941" w:type="dxa"/>
        <w:tblLayout w:type="fixed"/>
        <w:tblLook w:val="01E0" w:firstRow="1" w:lastRow="1" w:firstColumn="1" w:lastColumn="1" w:noHBand="0" w:noVBand="0"/>
        <w:tblCaption w:val="Table title to go here"/>
        <w:tblDescription w:val="Table description to go here"/>
      </w:tblPr>
      <w:tblGrid>
        <w:gridCol w:w="2547"/>
        <w:gridCol w:w="878"/>
        <w:gridCol w:w="879"/>
        <w:gridCol w:w="879"/>
        <w:gridCol w:w="879"/>
        <w:gridCol w:w="879"/>
      </w:tblGrid>
      <w:tr w:rsidR="005261FA" w:rsidRPr="00682165" w14:paraId="1B9092E3" w14:textId="77777777" w:rsidTr="00130A6D">
        <w:trPr>
          <w:cnfStyle w:val="100000000000" w:firstRow="1" w:lastRow="0" w:firstColumn="0" w:lastColumn="0" w:oddVBand="0" w:evenVBand="0" w:oddHBand="0" w:evenHBand="0" w:firstRowFirstColumn="0" w:firstRowLastColumn="0" w:lastRowFirstColumn="0" w:lastRowLastColumn="0"/>
          <w:tblHeader w:val="0"/>
        </w:trPr>
        <w:tc>
          <w:tcPr>
            <w:tcW w:w="2547" w:type="dxa"/>
            <w:tcBorders>
              <w:top w:val="none" w:sz="0" w:space="0" w:color="auto"/>
              <w:left w:val="none" w:sz="0" w:space="0" w:color="auto"/>
              <w:bottom w:val="none" w:sz="0" w:space="0" w:color="auto"/>
              <w:right w:val="none" w:sz="0" w:space="0" w:color="auto"/>
            </w:tcBorders>
          </w:tcPr>
          <w:p w14:paraId="28102CC0" w14:textId="77777777" w:rsidR="005261FA" w:rsidRPr="00682165" w:rsidRDefault="005261FA" w:rsidP="00E44B5F">
            <w:pPr>
              <w:pStyle w:val="Tableheaderrow"/>
            </w:pPr>
            <w:r w:rsidRPr="00682165">
              <w:t>Location</w:t>
            </w:r>
          </w:p>
        </w:tc>
        <w:tc>
          <w:tcPr>
            <w:tcW w:w="878" w:type="dxa"/>
            <w:tcBorders>
              <w:top w:val="none" w:sz="0" w:space="0" w:color="auto"/>
              <w:left w:val="none" w:sz="0" w:space="0" w:color="auto"/>
              <w:bottom w:val="none" w:sz="0" w:space="0" w:color="auto"/>
              <w:right w:val="none" w:sz="0" w:space="0" w:color="auto"/>
            </w:tcBorders>
          </w:tcPr>
          <w:p w14:paraId="0F918C4F" w14:textId="77777777" w:rsidR="005261FA" w:rsidRPr="00682165" w:rsidRDefault="005261FA" w:rsidP="00E44B5F">
            <w:pPr>
              <w:pStyle w:val="Tableheaderrow"/>
              <w:jc w:val="center"/>
            </w:pPr>
            <w:r w:rsidRPr="00682165">
              <w:t>2015</w:t>
            </w:r>
          </w:p>
        </w:tc>
        <w:tc>
          <w:tcPr>
            <w:tcW w:w="879" w:type="dxa"/>
            <w:tcBorders>
              <w:top w:val="none" w:sz="0" w:space="0" w:color="auto"/>
              <w:left w:val="none" w:sz="0" w:space="0" w:color="auto"/>
              <w:bottom w:val="none" w:sz="0" w:space="0" w:color="auto"/>
              <w:right w:val="none" w:sz="0" w:space="0" w:color="auto"/>
            </w:tcBorders>
          </w:tcPr>
          <w:p w14:paraId="5DC05BE9" w14:textId="77777777" w:rsidR="005261FA" w:rsidRPr="00682165" w:rsidRDefault="005261FA" w:rsidP="00E44B5F">
            <w:pPr>
              <w:pStyle w:val="Tableheaderrow"/>
              <w:jc w:val="center"/>
            </w:pPr>
            <w:r w:rsidRPr="00682165">
              <w:t>2016</w:t>
            </w:r>
          </w:p>
        </w:tc>
        <w:tc>
          <w:tcPr>
            <w:tcW w:w="879" w:type="dxa"/>
            <w:tcBorders>
              <w:top w:val="none" w:sz="0" w:space="0" w:color="auto"/>
              <w:left w:val="none" w:sz="0" w:space="0" w:color="auto"/>
              <w:bottom w:val="none" w:sz="0" w:space="0" w:color="auto"/>
              <w:right w:val="none" w:sz="0" w:space="0" w:color="auto"/>
            </w:tcBorders>
          </w:tcPr>
          <w:p w14:paraId="3792CFBD" w14:textId="77777777" w:rsidR="005261FA" w:rsidRPr="00682165" w:rsidRDefault="005261FA" w:rsidP="00E44B5F">
            <w:pPr>
              <w:pStyle w:val="Tableheaderrow"/>
              <w:jc w:val="center"/>
            </w:pPr>
            <w:r w:rsidRPr="00682165">
              <w:t>2017</w:t>
            </w:r>
          </w:p>
        </w:tc>
        <w:tc>
          <w:tcPr>
            <w:tcW w:w="879" w:type="dxa"/>
            <w:tcBorders>
              <w:top w:val="none" w:sz="0" w:space="0" w:color="auto"/>
              <w:left w:val="none" w:sz="0" w:space="0" w:color="auto"/>
              <w:bottom w:val="none" w:sz="0" w:space="0" w:color="auto"/>
              <w:right w:val="none" w:sz="0" w:space="0" w:color="auto"/>
            </w:tcBorders>
          </w:tcPr>
          <w:p w14:paraId="16385430" w14:textId="77777777" w:rsidR="005261FA" w:rsidRPr="00682165" w:rsidRDefault="005261FA" w:rsidP="00E44B5F">
            <w:pPr>
              <w:pStyle w:val="Tableheaderrow"/>
              <w:jc w:val="center"/>
            </w:pPr>
            <w:r w:rsidRPr="00682165">
              <w:t>2018</w:t>
            </w:r>
          </w:p>
        </w:tc>
        <w:tc>
          <w:tcPr>
            <w:tcW w:w="879" w:type="dxa"/>
            <w:tcBorders>
              <w:top w:val="none" w:sz="0" w:space="0" w:color="auto"/>
              <w:left w:val="none" w:sz="0" w:space="0" w:color="auto"/>
              <w:bottom w:val="none" w:sz="0" w:space="0" w:color="auto"/>
              <w:right w:val="none" w:sz="0" w:space="0" w:color="auto"/>
            </w:tcBorders>
          </w:tcPr>
          <w:p w14:paraId="0A0276B4" w14:textId="77777777" w:rsidR="005261FA" w:rsidRPr="00682165" w:rsidRDefault="005261FA" w:rsidP="00E44B5F">
            <w:pPr>
              <w:pStyle w:val="Tableheaderrow"/>
              <w:jc w:val="center"/>
            </w:pPr>
            <w:r w:rsidRPr="00682165">
              <w:t>2019</w:t>
            </w:r>
          </w:p>
        </w:tc>
      </w:tr>
      <w:tr w:rsidR="005261FA" w:rsidRPr="00682165" w14:paraId="14335A64" w14:textId="77777777" w:rsidTr="00E44B5F">
        <w:trPr>
          <w:cnfStyle w:val="000000100000" w:firstRow="0" w:lastRow="0" w:firstColumn="0" w:lastColumn="0" w:oddVBand="0" w:evenVBand="0" w:oddHBand="1" w:evenHBand="0" w:firstRowFirstColumn="0" w:firstRowLastColumn="0" w:lastRowFirstColumn="0" w:lastRowLastColumn="0"/>
        </w:trPr>
        <w:tc>
          <w:tcPr>
            <w:tcW w:w="2547" w:type="dxa"/>
          </w:tcPr>
          <w:p w14:paraId="145FCA7C" w14:textId="77777777" w:rsidR="005261FA" w:rsidRPr="00682165" w:rsidRDefault="005261FA" w:rsidP="00E44B5F">
            <w:pPr>
              <w:pStyle w:val="TableBody"/>
            </w:pPr>
            <w:r w:rsidRPr="00682165">
              <w:t>Australia</w:t>
            </w:r>
            <w:r>
              <w:t>-</w:t>
            </w:r>
            <w:r w:rsidRPr="00682165">
              <w:t>wide</w:t>
            </w:r>
          </w:p>
        </w:tc>
        <w:tc>
          <w:tcPr>
            <w:tcW w:w="878" w:type="dxa"/>
          </w:tcPr>
          <w:p w14:paraId="39E7BD7B" w14:textId="77777777" w:rsidR="005261FA" w:rsidRPr="00682165" w:rsidRDefault="005261FA" w:rsidP="00B764AD">
            <w:pPr>
              <w:pStyle w:val="TableBody"/>
              <w:jc w:val="center"/>
            </w:pPr>
            <w:r w:rsidRPr="00682165">
              <w:t>7</w:t>
            </w:r>
          </w:p>
        </w:tc>
        <w:tc>
          <w:tcPr>
            <w:tcW w:w="879" w:type="dxa"/>
          </w:tcPr>
          <w:p w14:paraId="0A5CE7A3" w14:textId="77777777" w:rsidR="005261FA" w:rsidRPr="00682165" w:rsidRDefault="005261FA" w:rsidP="00B764AD">
            <w:pPr>
              <w:pStyle w:val="TableBody"/>
              <w:jc w:val="center"/>
            </w:pPr>
            <w:r w:rsidRPr="00682165">
              <w:t>1</w:t>
            </w:r>
          </w:p>
        </w:tc>
        <w:tc>
          <w:tcPr>
            <w:tcW w:w="879" w:type="dxa"/>
          </w:tcPr>
          <w:p w14:paraId="292F046D" w14:textId="77777777" w:rsidR="005261FA" w:rsidRPr="00682165" w:rsidRDefault="005261FA" w:rsidP="00B764AD">
            <w:pPr>
              <w:pStyle w:val="TableBody"/>
              <w:jc w:val="center"/>
            </w:pPr>
          </w:p>
        </w:tc>
        <w:tc>
          <w:tcPr>
            <w:tcW w:w="879" w:type="dxa"/>
          </w:tcPr>
          <w:p w14:paraId="0BC98385" w14:textId="77777777" w:rsidR="005261FA" w:rsidRPr="00682165" w:rsidRDefault="005261FA" w:rsidP="00B764AD">
            <w:pPr>
              <w:pStyle w:val="TableBody"/>
              <w:jc w:val="center"/>
            </w:pPr>
          </w:p>
        </w:tc>
        <w:tc>
          <w:tcPr>
            <w:tcW w:w="879" w:type="dxa"/>
          </w:tcPr>
          <w:p w14:paraId="4CC74874" w14:textId="77777777" w:rsidR="005261FA" w:rsidRPr="00682165" w:rsidRDefault="005261FA" w:rsidP="00B764AD">
            <w:pPr>
              <w:pStyle w:val="TableBody"/>
              <w:jc w:val="center"/>
            </w:pPr>
          </w:p>
        </w:tc>
      </w:tr>
      <w:tr w:rsidR="005261FA" w:rsidRPr="00682165" w14:paraId="06B11F95" w14:textId="77777777" w:rsidTr="00E44B5F">
        <w:trPr>
          <w:cnfStyle w:val="000000010000" w:firstRow="0" w:lastRow="0" w:firstColumn="0" w:lastColumn="0" w:oddVBand="0" w:evenVBand="0" w:oddHBand="0" w:evenHBand="1" w:firstRowFirstColumn="0" w:firstRowLastColumn="0" w:lastRowFirstColumn="0" w:lastRowLastColumn="0"/>
        </w:trPr>
        <w:tc>
          <w:tcPr>
            <w:tcW w:w="2547" w:type="dxa"/>
          </w:tcPr>
          <w:p w14:paraId="111F766A" w14:textId="77777777" w:rsidR="005261FA" w:rsidRPr="00682165" w:rsidRDefault="005261FA" w:rsidP="00E44B5F">
            <w:pPr>
              <w:pStyle w:val="TableBody"/>
            </w:pPr>
            <w:r w:rsidRPr="00682165">
              <w:t>State</w:t>
            </w:r>
            <w:r>
              <w:t>-wide</w:t>
            </w:r>
          </w:p>
        </w:tc>
        <w:tc>
          <w:tcPr>
            <w:tcW w:w="878" w:type="dxa"/>
          </w:tcPr>
          <w:p w14:paraId="7F0E69F1" w14:textId="77777777" w:rsidR="005261FA" w:rsidRPr="00682165" w:rsidRDefault="005261FA" w:rsidP="00B764AD">
            <w:pPr>
              <w:pStyle w:val="TableBody"/>
              <w:jc w:val="center"/>
            </w:pPr>
            <w:r w:rsidRPr="00682165">
              <w:t>3</w:t>
            </w:r>
          </w:p>
        </w:tc>
        <w:tc>
          <w:tcPr>
            <w:tcW w:w="879" w:type="dxa"/>
          </w:tcPr>
          <w:p w14:paraId="67032D8C" w14:textId="77777777" w:rsidR="005261FA" w:rsidRPr="00682165" w:rsidRDefault="005261FA" w:rsidP="00B764AD">
            <w:pPr>
              <w:pStyle w:val="TableBody"/>
              <w:jc w:val="center"/>
            </w:pPr>
            <w:r w:rsidRPr="00682165">
              <w:t>4</w:t>
            </w:r>
          </w:p>
        </w:tc>
        <w:tc>
          <w:tcPr>
            <w:tcW w:w="879" w:type="dxa"/>
          </w:tcPr>
          <w:p w14:paraId="7FF73C61" w14:textId="77777777" w:rsidR="005261FA" w:rsidRPr="00682165" w:rsidRDefault="005261FA" w:rsidP="00B764AD">
            <w:pPr>
              <w:pStyle w:val="TableBody"/>
              <w:jc w:val="center"/>
            </w:pPr>
            <w:r w:rsidRPr="00682165">
              <w:t>4</w:t>
            </w:r>
          </w:p>
        </w:tc>
        <w:tc>
          <w:tcPr>
            <w:tcW w:w="879" w:type="dxa"/>
          </w:tcPr>
          <w:p w14:paraId="4AD4645A" w14:textId="77777777" w:rsidR="005261FA" w:rsidRPr="00682165" w:rsidRDefault="005261FA" w:rsidP="00B764AD">
            <w:pPr>
              <w:pStyle w:val="TableBody"/>
              <w:jc w:val="center"/>
            </w:pPr>
            <w:r w:rsidRPr="00682165">
              <w:t>8</w:t>
            </w:r>
          </w:p>
        </w:tc>
        <w:tc>
          <w:tcPr>
            <w:tcW w:w="879" w:type="dxa"/>
          </w:tcPr>
          <w:p w14:paraId="511AA823" w14:textId="77777777" w:rsidR="005261FA" w:rsidRPr="00682165" w:rsidRDefault="005261FA" w:rsidP="00B764AD">
            <w:pPr>
              <w:pStyle w:val="TableBody"/>
              <w:jc w:val="center"/>
            </w:pPr>
            <w:r w:rsidRPr="00682165">
              <w:t>14</w:t>
            </w:r>
          </w:p>
        </w:tc>
      </w:tr>
      <w:tr w:rsidR="005261FA" w:rsidRPr="00682165" w14:paraId="44B7E30E" w14:textId="77777777" w:rsidTr="00E44B5F">
        <w:trPr>
          <w:cnfStyle w:val="000000100000" w:firstRow="0" w:lastRow="0" w:firstColumn="0" w:lastColumn="0" w:oddVBand="0" w:evenVBand="0" w:oddHBand="1" w:evenHBand="0" w:firstRowFirstColumn="0" w:firstRowLastColumn="0" w:lastRowFirstColumn="0" w:lastRowLastColumn="0"/>
        </w:trPr>
        <w:tc>
          <w:tcPr>
            <w:tcW w:w="2547" w:type="dxa"/>
          </w:tcPr>
          <w:p w14:paraId="54155AF0" w14:textId="77777777" w:rsidR="005261FA" w:rsidRPr="00682165" w:rsidRDefault="005261FA" w:rsidP="00E44B5F">
            <w:pPr>
              <w:pStyle w:val="TableBody"/>
            </w:pPr>
            <w:r w:rsidRPr="00682165">
              <w:t xml:space="preserve">Fixed </w:t>
            </w:r>
            <w:r>
              <w:t>l</w:t>
            </w:r>
            <w:r w:rsidRPr="00682165">
              <w:t>ocation</w:t>
            </w:r>
            <w:r>
              <w:t>—c</w:t>
            </w:r>
            <w:r w:rsidRPr="00682165">
              <w:t>apitals</w:t>
            </w:r>
          </w:p>
        </w:tc>
        <w:tc>
          <w:tcPr>
            <w:tcW w:w="878" w:type="dxa"/>
          </w:tcPr>
          <w:p w14:paraId="524E91C9" w14:textId="77777777" w:rsidR="005261FA" w:rsidRPr="00682165" w:rsidRDefault="005261FA" w:rsidP="00B764AD">
            <w:pPr>
              <w:pStyle w:val="TableBody"/>
              <w:jc w:val="center"/>
            </w:pPr>
            <w:r w:rsidRPr="00682165">
              <w:t>55</w:t>
            </w:r>
          </w:p>
        </w:tc>
        <w:tc>
          <w:tcPr>
            <w:tcW w:w="879" w:type="dxa"/>
          </w:tcPr>
          <w:p w14:paraId="2B3BBBBD" w14:textId="77777777" w:rsidR="005261FA" w:rsidRPr="00682165" w:rsidRDefault="005261FA" w:rsidP="00B764AD">
            <w:pPr>
              <w:pStyle w:val="TableBody"/>
              <w:jc w:val="center"/>
            </w:pPr>
            <w:r w:rsidRPr="00682165">
              <w:t>7</w:t>
            </w:r>
          </w:p>
        </w:tc>
        <w:tc>
          <w:tcPr>
            <w:tcW w:w="879" w:type="dxa"/>
          </w:tcPr>
          <w:p w14:paraId="2D9E14D5" w14:textId="77777777" w:rsidR="005261FA" w:rsidRPr="00682165" w:rsidRDefault="005261FA" w:rsidP="00B764AD">
            <w:pPr>
              <w:pStyle w:val="TableBody"/>
              <w:jc w:val="center"/>
            </w:pPr>
            <w:r w:rsidRPr="00682165">
              <w:t>16</w:t>
            </w:r>
          </w:p>
        </w:tc>
        <w:tc>
          <w:tcPr>
            <w:tcW w:w="879" w:type="dxa"/>
          </w:tcPr>
          <w:p w14:paraId="2491FAAF" w14:textId="77777777" w:rsidR="005261FA" w:rsidRPr="00682165" w:rsidRDefault="005261FA" w:rsidP="00B764AD">
            <w:pPr>
              <w:pStyle w:val="TableBody"/>
              <w:jc w:val="center"/>
            </w:pPr>
            <w:r w:rsidRPr="00682165">
              <w:t>12</w:t>
            </w:r>
          </w:p>
        </w:tc>
        <w:tc>
          <w:tcPr>
            <w:tcW w:w="879" w:type="dxa"/>
          </w:tcPr>
          <w:p w14:paraId="0F4AD41C" w14:textId="77777777" w:rsidR="005261FA" w:rsidRPr="00682165" w:rsidRDefault="005261FA" w:rsidP="00B764AD">
            <w:pPr>
              <w:pStyle w:val="TableBody"/>
              <w:jc w:val="center"/>
            </w:pPr>
            <w:r w:rsidRPr="00682165">
              <w:t>14</w:t>
            </w:r>
          </w:p>
        </w:tc>
      </w:tr>
      <w:tr w:rsidR="005261FA" w:rsidRPr="00682165" w14:paraId="59BD20CA" w14:textId="77777777" w:rsidTr="00E44B5F">
        <w:trPr>
          <w:cnfStyle w:val="000000010000" w:firstRow="0" w:lastRow="0" w:firstColumn="0" w:lastColumn="0" w:oddVBand="0" w:evenVBand="0" w:oddHBand="0" w:evenHBand="1" w:firstRowFirstColumn="0" w:firstRowLastColumn="0" w:lastRowFirstColumn="0" w:lastRowLastColumn="0"/>
        </w:trPr>
        <w:tc>
          <w:tcPr>
            <w:tcW w:w="2547" w:type="dxa"/>
          </w:tcPr>
          <w:p w14:paraId="5D8E625B" w14:textId="77777777" w:rsidR="005261FA" w:rsidRPr="00682165" w:rsidRDefault="005261FA" w:rsidP="00E44B5F">
            <w:pPr>
              <w:pStyle w:val="TableBody"/>
            </w:pPr>
            <w:r w:rsidRPr="00682165">
              <w:t xml:space="preserve">Fixed </w:t>
            </w:r>
            <w:r>
              <w:t>l</w:t>
            </w:r>
            <w:r w:rsidRPr="00682165">
              <w:t>ocation</w:t>
            </w:r>
            <w:r>
              <w:t>—r</w:t>
            </w:r>
            <w:r w:rsidRPr="00682165">
              <w:t>egional</w:t>
            </w:r>
          </w:p>
        </w:tc>
        <w:tc>
          <w:tcPr>
            <w:tcW w:w="878" w:type="dxa"/>
          </w:tcPr>
          <w:p w14:paraId="3A6027D5" w14:textId="77777777" w:rsidR="005261FA" w:rsidRPr="00682165" w:rsidRDefault="005261FA" w:rsidP="00B764AD">
            <w:pPr>
              <w:pStyle w:val="TableBody"/>
              <w:jc w:val="center"/>
            </w:pPr>
            <w:r w:rsidRPr="00682165">
              <w:t>20</w:t>
            </w:r>
          </w:p>
        </w:tc>
        <w:tc>
          <w:tcPr>
            <w:tcW w:w="879" w:type="dxa"/>
          </w:tcPr>
          <w:p w14:paraId="15E4EA00" w14:textId="77777777" w:rsidR="005261FA" w:rsidRPr="00682165" w:rsidRDefault="005261FA" w:rsidP="00B764AD">
            <w:pPr>
              <w:pStyle w:val="TableBody"/>
              <w:jc w:val="center"/>
            </w:pPr>
            <w:r w:rsidRPr="00682165">
              <w:t>2</w:t>
            </w:r>
          </w:p>
        </w:tc>
        <w:tc>
          <w:tcPr>
            <w:tcW w:w="879" w:type="dxa"/>
          </w:tcPr>
          <w:p w14:paraId="09F1D0C1" w14:textId="77777777" w:rsidR="005261FA" w:rsidRPr="00682165" w:rsidRDefault="005261FA" w:rsidP="00B764AD">
            <w:pPr>
              <w:pStyle w:val="TableBody"/>
              <w:jc w:val="center"/>
            </w:pPr>
            <w:r w:rsidRPr="00682165">
              <w:t>2</w:t>
            </w:r>
          </w:p>
        </w:tc>
        <w:tc>
          <w:tcPr>
            <w:tcW w:w="879" w:type="dxa"/>
          </w:tcPr>
          <w:p w14:paraId="1CE22BEC" w14:textId="77777777" w:rsidR="005261FA" w:rsidRPr="00682165" w:rsidRDefault="005261FA" w:rsidP="00B764AD">
            <w:pPr>
              <w:pStyle w:val="TableBody"/>
              <w:jc w:val="center"/>
            </w:pPr>
            <w:r w:rsidRPr="00682165">
              <w:t>2</w:t>
            </w:r>
          </w:p>
        </w:tc>
        <w:tc>
          <w:tcPr>
            <w:tcW w:w="879" w:type="dxa"/>
          </w:tcPr>
          <w:p w14:paraId="2BBBABDE" w14:textId="77777777" w:rsidR="005261FA" w:rsidRPr="00682165" w:rsidRDefault="005261FA" w:rsidP="00B764AD">
            <w:pPr>
              <w:pStyle w:val="TableBody"/>
              <w:jc w:val="center"/>
            </w:pPr>
            <w:r w:rsidRPr="00682165">
              <w:t>2</w:t>
            </w:r>
          </w:p>
        </w:tc>
      </w:tr>
      <w:tr w:rsidR="005261FA" w:rsidRPr="00682165" w14:paraId="137C161D" w14:textId="77777777" w:rsidTr="00E44B5F">
        <w:trPr>
          <w:cnfStyle w:val="000000100000" w:firstRow="0" w:lastRow="0" w:firstColumn="0" w:lastColumn="0" w:oddVBand="0" w:evenVBand="0" w:oddHBand="1" w:evenHBand="0" w:firstRowFirstColumn="0" w:firstRowLastColumn="0" w:lastRowFirstColumn="0" w:lastRowLastColumn="0"/>
        </w:trPr>
        <w:tc>
          <w:tcPr>
            <w:tcW w:w="2547" w:type="dxa"/>
          </w:tcPr>
          <w:p w14:paraId="479FC79D" w14:textId="77777777" w:rsidR="005261FA" w:rsidRPr="00682165" w:rsidRDefault="005261FA" w:rsidP="00E44B5F">
            <w:pPr>
              <w:pStyle w:val="TableBody"/>
              <w:rPr>
                <w:b/>
                <w:bCs/>
              </w:rPr>
            </w:pPr>
            <w:r w:rsidRPr="00682165">
              <w:rPr>
                <w:b/>
                <w:bCs/>
              </w:rPr>
              <w:t>Total</w:t>
            </w:r>
          </w:p>
        </w:tc>
        <w:tc>
          <w:tcPr>
            <w:tcW w:w="878" w:type="dxa"/>
          </w:tcPr>
          <w:p w14:paraId="57B9B0E5" w14:textId="77777777" w:rsidR="005261FA" w:rsidRPr="00906E41" w:rsidRDefault="005261FA" w:rsidP="00B764AD">
            <w:pPr>
              <w:pStyle w:val="TableBody"/>
              <w:jc w:val="center"/>
              <w:rPr>
                <w:b/>
                <w:bCs/>
              </w:rPr>
            </w:pPr>
            <w:r w:rsidRPr="00906E41">
              <w:rPr>
                <w:b/>
                <w:bCs/>
              </w:rPr>
              <w:t>85</w:t>
            </w:r>
          </w:p>
        </w:tc>
        <w:tc>
          <w:tcPr>
            <w:tcW w:w="879" w:type="dxa"/>
          </w:tcPr>
          <w:p w14:paraId="09C41963" w14:textId="77777777" w:rsidR="005261FA" w:rsidRPr="00906E41" w:rsidRDefault="005261FA" w:rsidP="00B764AD">
            <w:pPr>
              <w:pStyle w:val="TableBody"/>
              <w:jc w:val="center"/>
              <w:rPr>
                <w:b/>
                <w:bCs/>
              </w:rPr>
            </w:pPr>
            <w:r w:rsidRPr="00906E41">
              <w:rPr>
                <w:b/>
                <w:bCs/>
              </w:rPr>
              <w:t>14</w:t>
            </w:r>
          </w:p>
        </w:tc>
        <w:tc>
          <w:tcPr>
            <w:tcW w:w="879" w:type="dxa"/>
          </w:tcPr>
          <w:p w14:paraId="430E966C" w14:textId="77777777" w:rsidR="005261FA" w:rsidRPr="00906E41" w:rsidRDefault="005261FA" w:rsidP="00B764AD">
            <w:pPr>
              <w:pStyle w:val="TableBody"/>
              <w:jc w:val="center"/>
              <w:rPr>
                <w:b/>
                <w:bCs/>
              </w:rPr>
            </w:pPr>
            <w:r w:rsidRPr="00906E41">
              <w:rPr>
                <w:b/>
                <w:bCs/>
              </w:rPr>
              <w:t>22</w:t>
            </w:r>
          </w:p>
        </w:tc>
        <w:tc>
          <w:tcPr>
            <w:tcW w:w="879" w:type="dxa"/>
          </w:tcPr>
          <w:p w14:paraId="21AD9490" w14:textId="77777777" w:rsidR="005261FA" w:rsidRPr="00906E41" w:rsidRDefault="005261FA" w:rsidP="00B764AD">
            <w:pPr>
              <w:pStyle w:val="TableBody"/>
              <w:jc w:val="center"/>
              <w:rPr>
                <w:b/>
                <w:bCs/>
              </w:rPr>
            </w:pPr>
            <w:r w:rsidRPr="00906E41">
              <w:rPr>
                <w:b/>
                <w:bCs/>
              </w:rPr>
              <w:t>22</w:t>
            </w:r>
          </w:p>
        </w:tc>
        <w:tc>
          <w:tcPr>
            <w:tcW w:w="879" w:type="dxa"/>
          </w:tcPr>
          <w:p w14:paraId="1B291E4C" w14:textId="77777777" w:rsidR="005261FA" w:rsidRPr="00906E41" w:rsidRDefault="005261FA" w:rsidP="00B764AD">
            <w:pPr>
              <w:pStyle w:val="TableBody"/>
              <w:jc w:val="center"/>
              <w:rPr>
                <w:b/>
                <w:bCs/>
              </w:rPr>
            </w:pPr>
            <w:r w:rsidRPr="00906E41">
              <w:rPr>
                <w:b/>
                <w:bCs/>
              </w:rPr>
              <w:t>30</w:t>
            </w:r>
          </w:p>
        </w:tc>
      </w:tr>
    </w:tbl>
    <w:p w14:paraId="1A691B79" w14:textId="77777777" w:rsidR="005261FA" w:rsidRDefault="005261FA" w:rsidP="005261FA">
      <w:pPr>
        <w:pStyle w:val="ListBullet"/>
        <w:numPr>
          <w:ilvl w:val="0"/>
          <w:numId w:val="0"/>
        </w:numPr>
        <w:spacing w:before="240" w:after="240" w:line="240" w:lineRule="auto"/>
      </w:pPr>
      <w:r w:rsidRPr="00682165">
        <w:t>These licence assignments and usage patterns indicate a relatively low utilisation of the 2 GHz band.</w:t>
      </w:r>
    </w:p>
    <w:p w14:paraId="4D034F23" w14:textId="73BB1EAF" w:rsidR="00A11C68" w:rsidRPr="00296D08" w:rsidRDefault="00061C8A" w:rsidP="00A11C68">
      <w:pPr>
        <w:pStyle w:val="Heading3"/>
      </w:pPr>
      <w:r>
        <w:lastRenderedPageBreak/>
        <w:t>Other</w:t>
      </w:r>
      <w:r w:rsidR="00A11C68" w:rsidRPr="00296D08">
        <w:t xml:space="preserve"> planning arrangements supporting </w:t>
      </w:r>
      <w:r w:rsidR="007F6936">
        <w:t>TOB</w:t>
      </w:r>
    </w:p>
    <w:p w14:paraId="12FFC03E" w14:textId="77777777" w:rsidR="00A11C68" w:rsidRDefault="00A11C68" w:rsidP="00A11C68">
      <w:pPr>
        <w:pStyle w:val="Paragraphbeforelist"/>
      </w:pPr>
      <w:r w:rsidRPr="00296D08">
        <w:t>In addition to the 2 GHz band</w:t>
      </w:r>
      <w:r>
        <w:t>, there are arrangements supporting TOB services in the bands:</w:t>
      </w:r>
    </w:p>
    <w:p w14:paraId="787ECBC8" w14:textId="4C11A1F6" w:rsidR="00A11C68" w:rsidRDefault="00A11C68" w:rsidP="00A11C68">
      <w:pPr>
        <w:pStyle w:val="ListBullet"/>
      </w:pPr>
      <w:r w:rsidRPr="00296D08">
        <w:t>2010</w:t>
      </w:r>
      <w:r w:rsidR="00681AB6">
        <w:t>–</w:t>
      </w:r>
      <w:r w:rsidRPr="00296D08">
        <w:t>2110</w:t>
      </w:r>
      <w:r>
        <w:t xml:space="preserve"> MHz and </w:t>
      </w:r>
      <w:r w:rsidRPr="00296D08">
        <w:t>2200</w:t>
      </w:r>
      <w:r w:rsidR="005812A6">
        <w:t>–</w:t>
      </w:r>
      <w:r w:rsidRPr="00296D08">
        <w:t>2300 MHz</w:t>
      </w:r>
      <w:r>
        <w:t xml:space="preserve"> under RALI FX 21</w:t>
      </w:r>
    </w:p>
    <w:p w14:paraId="335CBFE1" w14:textId="2A7E612F" w:rsidR="00A11C68" w:rsidRDefault="00A11C68" w:rsidP="00A11C68">
      <w:pPr>
        <w:pStyle w:val="ListBullet"/>
      </w:pPr>
      <w:r>
        <w:t>2570</w:t>
      </w:r>
      <w:r w:rsidR="005812A6">
        <w:t>–</w:t>
      </w:r>
      <w:r>
        <w:t xml:space="preserve">2620 MHz under </w:t>
      </w:r>
      <w:hyperlink r:id="rId72" w:history="1">
        <w:r w:rsidRPr="00DF6806">
          <w:rPr>
            <w:rStyle w:val="Hyperlink"/>
          </w:rPr>
          <w:t xml:space="preserve">2.5 GHz </w:t>
        </w:r>
        <w:r w:rsidR="005812A6" w:rsidRPr="00DF6806">
          <w:rPr>
            <w:rStyle w:val="Hyperlink"/>
          </w:rPr>
          <w:t>m</w:t>
        </w:r>
        <w:r w:rsidRPr="00DF6806">
          <w:rPr>
            <w:rStyle w:val="Hyperlink"/>
          </w:rPr>
          <w:t>id</w:t>
        </w:r>
        <w:r w:rsidR="005812A6" w:rsidRPr="00DF6806">
          <w:rPr>
            <w:rStyle w:val="Hyperlink"/>
          </w:rPr>
          <w:t>-</w:t>
        </w:r>
        <w:r w:rsidRPr="00DF6806">
          <w:rPr>
            <w:rStyle w:val="Hyperlink"/>
          </w:rPr>
          <w:t xml:space="preserve">band </w:t>
        </w:r>
        <w:r w:rsidR="005812A6" w:rsidRPr="00DF6806">
          <w:rPr>
            <w:rStyle w:val="Hyperlink"/>
          </w:rPr>
          <w:t>g</w:t>
        </w:r>
        <w:r w:rsidRPr="00DF6806">
          <w:rPr>
            <w:rStyle w:val="Hyperlink"/>
          </w:rPr>
          <w:t>ap</w:t>
        </w:r>
      </w:hyperlink>
      <w:r>
        <w:t xml:space="preserve"> </w:t>
      </w:r>
      <w:r w:rsidR="005812A6">
        <w:t>s</w:t>
      </w:r>
      <w:r>
        <w:t xml:space="preserve">pectrum </w:t>
      </w:r>
      <w:r w:rsidR="005812A6">
        <w:t>l</w:t>
      </w:r>
      <w:r>
        <w:t>icences</w:t>
      </w:r>
    </w:p>
    <w:p w14:paraId="0839D6E9" w14:textId="50F4CBD6" w:rsidR="00A11C68" w:rsidRDefault="00A11C68" w:rsidP="00A11C68">
      <w:pPr>
        <w:pStyle w:val="ListBulletLast"/>
      </w:pPr>
      <w:r w:rsidRPr="00296D08">
        <w:t>7100–7425 MHz</w:t>
      </w:r>
      <w:r>
        <w:t xml:space="preserve">, </w:t>
      </w:r>
      <w:r w:rsidRPr="00296D08">
        <w:t>8275–8400 MHz</w:t>
      </w:r>
      <w:r>
        <w:t xml:space="preserve">, </w:t>
      </w:r>
      <w:r w:rsidRPr="00296D08">
        <w:t>12.75–13.25 GHz</w:t>
      </w:r>
      <w:r>
        <w:t xml:space="preserve"> and 21.2–23.6 GHz under RALI FX 3</w:t>
      </w:r>
      <w:r w:rsidR="005812A6">
        <w:t>.</w:t>
      </w:r>
    </w:p>
    <w:p w14:paraId="2B67BE91" w14:textId="7DEFF3C8" w:rsidR="001B3C93" w:rsidRDefault="00935A82" w:rsidP="00A11C68">
      <w:pPr>
        <w:pStyle w:val="Paragraph"/>
      </w:pPr>
      <w:r>
        <w:t>The</w:t>
      </w:r>
      <w:r w:rsidR="0005279C">
        <w:t>se TOB bands</w:t>
      </w:r>
      <w:r w:rsidR="00F05098">
        <w:t xml:space="preserve"> </w:t>
      </w:r>
      <w:r w:rsidR="004D5D79">
        <w:t>are either allocated to broadcasters</w:t>
      </w:r>
      <w:r w:rsidR="00E942F7">
        <w:rPr>
          <w:rStyle w:val="FootnoteReference"/>
        </w:rPr>
        <w:footnoteReference w:id="26"/>
      </w:r>
      <w:r w:rsidR="00341080">
        <w:t xml:space="preserve"> or for shared use</w:t>
      </w:r>
      <w:r w:rsidR="00FE2F0F">
        <w:t>.</w:t>
      </w:r>
      <w:r w:rsidR="001061AB">
        <w:t xml:space="preserve"> </w:t>
      </w:r>
      <w:r w:rsidR="007D6BF9">
        <w:t>The 2 GHz band</w:t>
      </w:r>
      <w:r w:rsidR="001A5B44">
        <w:t xml:space="preserve"> is a shared</w:t>
      </w:r>
      <w:r w:rsidR="00294A4F">
        <w:t xml:space="preserve"> use band that supports </w:t>
      </w:r>
      <w:r w:rsidR="0000304D">
        <w:t xml:space="preserve">a range of </w:t>
      </w:r>
      <w:r w:rsidR="008E36BE">
        <w:t xml:space="preserve">users such as </w:t>
      </w:r>
      <w:r w:rsidR="005246B3">
        <w:t>small</w:t>
      </w:r>
      <w:r w:rsidR="00520176">
        <w:t>-</w:t>
      </w:r>
      <w:r w:rsidR="005246B3">
        <w:t>scale production houses</w:t>
      </w:r>
      <w:r w:rsidR="008850C4">
        <w:t>, sporting venue</w:t>
      </w:r>
      <w:r w:rsidR="003D36E8">
        <w:t>s</w:t>
      </w:r>
      <w:r w:rsidR="0061595E">
        <w:t xml:space="preserve"> and</w:t>
      </w:r>
      <w:r w:rsidR="002A7ECC">
        <w:t xml:space="preserve"> other </w:t>
      </w:r>
      <w:r w:rsidR="00A73424">
        <w:t>short</w:t>
      </w:r>
      <w:r w:rsidR="00F21601">
        <w:t>-</w:t>
      </w:r>
      <w:r w:rsidR="00A73424">
        <w:t>term</w:t>
      </w:r>
      <w:r w:rsidR="00707CF1">
        <w:t xml:space="preserve"> use.</w:t>
      </w:r>
      <w:r w:rsidR="001A24A2">
        <w:t xml:space="preserve"> Th</w:t>
      </w:r>
      <w:r w:rsidR="00F21601">
        <w:t>e</w:t>
      </w:r>
      <w:r w:rsidR="00DB37CA">
        <w:t xml:space="preserve"> existing bands that also support</w:t>
      </w:r>
      <w:r w:rsidR="00352203">
        <w:t xml:space="preserve"> shared use</w:t>
      </w:r>
      <w:r w:rsidR="00C4305F">
        <w:t xml:space="preserve"> </w:t>
      </w:r>
      <w:r w:rsidR="006005DF">
        <w:t>include the 7.2 GHz (</w:t>
      </w:r>
      <w:r w:rsidR="006005DF" w:rsidRPr="00296D08">
        <w:t>7100–7425 MHz</w:t>
      </w:r>
      <w:r w:rsidR="006005DF">
        <w:t xml:space="preserve">) and </w:t>
      </w:r>
      <w:r w:rsidR="00056243">
        <w:t>8.3 GHz (</w:t>
      </w:r>
      <w:r w:rsidR="00056243" w:rsidRPr="00296D08">
        <w:t>8275–8400 MHz</w:t>
      </w:r>
      <w:r w:rsidR="00056243">
        <w:t xml:space="preserve">) </w:t>
      </w:r>
      <w:r w:rsidR="008D76EE">
        <w:t>bands</w:t>
      </w:r>
      <w:r w:rsidR="00346BA4">
        <w:t>.</w:t>
      </w:r>
    </w:p>
    <w:p w14:paraId="2DF656A7" w14:textId="03E58C13" w:rsidR="00A11C68" w:rsidRDefault="00A11C68" w:rsidP="00A11C68">
      <w:pPr>
        <w:pStyle w:val="Paragraph"/>
      </w:pPr>
      <w:r>
        <w:t>A summary of arrangements in these bands is at</w:t>
      </w:r>
      <w:r w:rsidR="0035432C">
        <w:t xml:space="preserve"> </w:t>
      </w:r>
      <w:hyperlink w:anchor="_Appendix_D:_Spectrum" w:history="1">
        <w:r w:rsidR="00081638" w:rsidRPr="00831F0F">
          <w:rPr>
            <w:rStyle w:val="Hyperlink"/>
          </w:rPr>
          <w:t>Appendix D: Spectrum arrangements and licensing statistics</w:t>
        </w:r>
      </w:hyperlink>
      <w:r w:rsidR="00081638">
        <w:t>.</w:t>
      </w:r>
      <w:r>
        <w:rPr>
          <w:rStyle w:val="FootnoteReference"/>
        </w:rPr>
        <w:footnoteReference w:id="27"/>
      </w:r>
    </w:p>
    <w:p w14:paraId="5E670C5F" w14:textId="0150B4D1" w:rsidR="00A11C68" w:rsidRDefault="00A11C68" w:rsidP="00A11C68">
      <w:pPr>
        <w:pStyle w:val="Paragraph"/>
      </w:pPr>
      <w:r>
        <w:t>Of those bands, ACMA understand</w:t>
      </w:r>
      <w:r w:rsidR="00035469">
        <w:t>s</w:t>
      </w:r>
      <w:r>
        <w:t xml:space="preserve"> that wireless cameras typically operate in the bands </w:t>
      </w:r>
      <w:r w:rsidRPr="00296D08">
        <w:t>2010</w:t>
      </w:r>
      <w:r w:rsidR="00035469">
        <w:t>–</w:t>
      </w:r>
      <w:r w:rsidRPr="00296D08">
        <w:t>2110</w:t>
      </w:r>
      <w:r>
        <w:t xml:space="preserve"> MHz, </w:t>
      </w:r>
      <w:r w:rsidRPr="00296D08">
        <w:t>2200</w:t>
      </w:r>
      <w:r w:rsidR="00035469">
        <w:t>–</w:t>
      </w:r>
      <w:r w:rsidRPr="00296D08">
        <w:t>2300 MHz</w:t>
      </w:r>
      <w:r>
        <w:t>, 2570</w:t>
      </w:r>
      <w:r w:rsidR="00035469">
        <w:t>–</w:t>
      </w:r>
      <w:r>
        <w:t xml:space="preserve">2620 MHz and </w:t>
      </w:r>
      <w:r w:rsidRPr="00296D08">
        <w:t>7100–7425 MHz</w:t>
      </w:r>
      <w:r>
        <w:t xml:space="preserve"> with the other bands more likely to be used for temporary point-to-point links for distribution purposes. Based on licensing data, usage of the 8275</w:t>
      </w:r>
      <w:r w:rsidR="00035469">
        <w:t>–</w:t>
      </w:r>
      <w:r>
        <w:t xml:space="preserve">8400 MHz band appears to be limited, possibly due to limited equipment availability. </w:t>
      </w:r>
    </w:p>
    <w:p w14:paraId="75B79600" w14:textId="5B2D0EE4" w:rsidR="00831EE7" w:rsidRDefault="00831EE7" w:rsidP="00831EE7">
      <w:pPr>
        <w:pStyle w:val="Paragraph"/>
      </w:pPr>
      <w:r>
        <w:t>When looking at the shared use</w:t>
      </w:r>
      <w:r w:rsidR="00156123">
        <w:t>rs</w:t>
      </w:r>
      <w:r>
        <w:t xml:space="preserve"> of the </w:t>
      </w:r>
      <w:r w:rsidR="007326F7" w:rsidRPr="00296D08">
        <w:t>7100–7425 MHz</w:t>
      </w:r>
      <w:r w:rsidR="007326F7">
        <w:t xml:space="preserve"> </w:t>
      </w:r>
      <w:r>
        <w:t xml:space="preserve">band, </w:t>
      </w:r>
      <w:r w:rsidR="00195509">
        <w:t>some</w:t>
      </w:r>
      <w:r>
        <w:t xml:space="preserve"> of the 2 GHz band licensees also utilise this band including a production house and horse racing group. Utilisation of the </w:t>
      </w:r>
      <w:r w:rsidR="00213F6F" w:rsidRPr="00296D08">
        <w:t>7100–7425 MHz</w:t>
      </w:r>
      <w:r w:rsidR="00213F6F">
        <w:t xml:space="preserve"> </w:t>
      </w:r>
      <w:r>
        <w:t xml:space="preserve">band also appears </w:t>
      </w:r>
      <w:r w:rsidR="007E4152">
        <w:t xml:space="preserve">to be </w:t>
      </w:r>
      <w:r>
        <w:t xml:space="preserve">low with the band </w:t>
      </w:r>
      <w:r w:rsidR="000449D9">
        <w:t xml:space="preserve">only </w:t>
      </w:r>
      <w:r>
        <w:t>having a couple of shared users.</w:t>
      </w:r>
    </w:p>
    <w:p w14:paraId="32529232" w14:textId="0A2B422B" w:rsidR="00A11C68" w:rsidRDefault="00B84D75" w:rsidP="00A11C68">
      <w:pPr>
        <w:pStyle w:val="Paragraph"/>
      </w:pPr>
      <w:r>
        <w:t>Considering</w:t>
      </w:r>
      <w:r w:rsidR="00346672">
        <w:t xml:space="preserve"> TOB</w:t>
      </w:r>
      <w:r>
        <w:t xml:space="preserve"> </w:t>
      </w:r>
      <w:r w:rsidR="00BB6F35">
        <w:t xml:space="preserve">spectrum </w:t>
      </w:r>
      <w:r>
        <w:t xml:space="preserve">usage </w:t>
      </w:r>
      <w:r w:rsidR="00BB6F35">
        <w:t>in the vicinity of 2 GHz, p</w:t>
      </w:r>
      <w:r w:rsidR="00D10CD3">
        <w:t>rior</w:t>
      </w:r>
      <w:r w:rsidR="00A11C68">
        <w:t xml:space="preserve"> to the digital dividend</w:t>
      </w:r>
      <w:r w:rsidR="00081638">
        <w:t> </w:t>
      </w:r>
      <w:r w:rsidR="00A11C68">
        <w:t xml:space="preserve">process </w:t>
      </w:r>
      <w:r w:rsidR="007F6936">
        <w:t>TOB</w:t>
      </w:r>
      <w:r w:rsidR="00A11C68">
        <w:t xml:space="preserve"> services had access to 190 MHz of spectrum in the band 2.5–2.69 GHz. Post those arrangements there is access to 250 MHz (</w:t>
      </w:r>
      <w:r w:rsidR="00A11C68" w:rsidRPr="00296D08">
        <w:t>2010</w:t>
      </w:r>
      <w:r w:rsidR="00A11C68">
        <w:t>–</w:t>
      </w:r>
      <w:r w:rsidR="00A11C68" w:rsidRPr="00296D08">
        <w:t>2110</w:t>
      </w:r>
      <w:r w:rsidR="00A11C68">
        <w:t xml:space="preserve"> MHz, </w:t>
      </w:r>
      <w:r w:rsidR="00081638">
        <w:br/>
      </w:r>
      <w:r w:rsidR="00A11C68" w:rsidRPr="00296D08">
        <w:t>2200</w:t>
      </w:r>
      <w:r w:rsidR="00A11C68">
        <w:t>–</w:t>
      </w:r>
      <w:r w:rsidR="00A11C68" w:rsidRPr="00296D08">
        <w:t>2300</w:t>
      </w:r>
      <w:r w:rsidR="00081638">
        <w:t> </w:t>
      </w:r>
      <w:r w:rsidR="00A11C68" w:rsidRPr="00296D08">
        <w:t>MHz</w:t>
      </w:r>
      <w:r w:rsidR="00A11C68">
        <w:t>, 2570–2620 MHz) with the additional spectrum in the 2</w:t>
      </w:r>
      <w:r w:rsidR="005F00B2">
        <w:t> </w:t>
      </w:r>
      <w:r w:rsidR="00A11C68">
        <w:t>GHz band available on an interim basis. While there are compatibility requirements limiting utility at band edges with adjacent band spectrum licensing services</w:t>
      </w:r>
      <w:r w:rsidR="00081638">
        <w:t>,</w:t>
      </w:r>
      <w:r w:rsidR="00302B77">
        <w:rPr>
          <w:rStyle w:val="FootnoteReference"/>
        </w:rPr>
        <w:footnoteReference w:id="28"/>
      </w:r>
      <w:r w:rsidR="00A11C68">
        <w:t xml:space="preserve"> and restrictions in regional areas due to sharing with earth stations, fixed point-to-point links and defence aeronautical telemetry services, the available spectrum is greater than prior to the digital dividend even without consideration of interim arrangements </w:t>
      </w:r>
      <w:r w:rsidR="3D2B2495">
        <w:t>in the</w:t>
      </w:r>
      <w:r w:rsidR="00A11C68">
        <w:t xml:space="preserve"> 2 GHz</w:t>
      </w:r>
      <w:r w:rsidR="19111E68">
        <w:t xml:space="preserve"> band</w:t>
      </w:r>
      <w:r w:rsidR="00A11C68">
        <w:t>.</w:t>
      </w:r>
    </w:p>
    <w:p w14:paraId="24BF6168" w14:textId="699705DF" w:rsidR="00A11C68" w:rsidRDefault="00A11C68" w:rsidP="00A11C68">
      <w:pPr>
        <w:pStyle w:val="Paragraph"/>
      </w:pPr>
      <w:r>
        <w:t>For bands above 7 GHz</w:t>
      </w:r>
      <w:r w:rsidR="00C91626">
        <w:t xml:space="preserve"> that support shared use</w:t>
      </w:r>
      <w:r>
        <w:t>, channel arrangements were developed to support analog services with interleave channel arrangement. With TOB equipment now predominately digital, there may be a need to review those arrangements if usage of the band increases (for example if 2 GHz was no longer available). To date</w:t>
      </w:r>
      <w:r w:rsidR="00081638">
        <w:t>,</w:t>
      </w:r>
      <w:r>
        <w:t xml:space="preserve"> it has not been a matter raised by industry with the ACMA.</w:t>
      </w:r>
    </w:p>
    <w:p w14:paraId="5D089311" w14:textId="5964C9FA" w:rsidR="00A11C68" w:rsidRPr="00296D08" w:rsidRDefault="00A11C68" w:rsidP="00A11C68">
      <w:pPr>
        <w:pStyle w:val="Heading3"/>
      </w:pPr>
      <w:r>
        <w:lastRenderedPageBreak/>
        <w:t>Spectrum requirements and deployment scenarios</w:t>
      </w:r>
    </w:p>
    <w:p w14:paraId="2CFEED89" w14:textId="02389EB8" w:rsidR="00A11C68" w:rsidRDefault="00A11C68" w:rsidP="00A11C68">
      <w:r>
        <w:t xml:space="preserve">Coverage of sporting events was the </w:t>
      </w:r>
      <w:r w:rsidR="00DD0060">
        <w:t>main</w:t>
      </w:r>
      <w:r>
        <w:t xml:space="preserve"> use identified in submissions for TOB usage of the 2 GHz band. Considering video production quality requirements, submissions indicated that 8 MHz channels could support 1080i</w:t>
      </w:r>
      <w:r w:rsidRPr="0078649E">
        <w:t xml:space="preserve"> </w:t>
      </w:r>
      <w:r>
        <w:t xml:space="preserve">HD but larger bandwidths (17 MHz) were required to support </w:t>
      </w:r>
      <w:r w:rsidRPr="0078649E">
        <w:t xml:space="preserve">2160p </w:t>
      </w:r>
      <w:r>
        <w:t>4K. Supporting 17 MHz channels in the 2 GHz Band would mean that only two 17 MHz channels and two 8</w:t>
      </w:r>
      <w:r w:rsidR="00893F48">
        <w:t> </w:t>
      </w:r>
      <w:r>
        <w:t>MHz channels would fit in the entire 2 GHz band.</w:t>
      </w:r>
    </w:p>
    <w:p w14:paraId="4AEB6BFF" w14:textId="5D07C801" w:rsidR="00A11C68" w:rsidRDefault="00A11C68" w:rsidP="00A11C68">
      <w:r>
        <w:t>NEP indicated that whilst other bands where available in the 6–7 GHz range for wireless cameras, the 2 GHz band had a coverage advantage and required fewer receivers. The 2 GHz band was well suited for covering outdoor events across a large area such as golf, motor sports and cycle road races. NEP did indicate that at large events they would use a combination of the adjacent band (2010</w:t>
      </w:r>
      <w:r w:rsidR="00AC67B0">
        <w:t>–</w:t>
      </w:r>
      <w:r>
        <w:t xml:space="preserve">2110 </w:t>
      </w:r>
      <w:r w:rsidR="00AC67B0">
        <w:t>and</w:t>
      </w:r>
      <w:r>
        <w:t xml:space="preserve"> 2200</w:t>
      </w:r>
      <w:r w:rsidR="00C54E91">
        <w:t>–</w:t>
      </w:r>
      <w:r>
        <w:t xml:space="preserve">2300 MHz) under third-party arrangements as well as the 2 GHz band. </w:t>
      </w:r>
    </w:p>
    <w:p w14:paraId="449AFD90" w14:textId="7995AE13" w:rsidR="00A11C68" w:rsidRDefault="00A11C68" w:rsidP="00A11C68">
      <w:r>
        <w:t>The ACMA understand</w:t>
      </w:r>
      <w:r w:rsidR="003D3EC5">
        <w:t>s</w:t>
      </w:r>
      <w:r w:rsidR="00072E80">
        <w:t xml:space="preserve"> </w:t>
      </w:r>
      <w:r>
        <w:t xml:space="preserve">that wireless cameras have an external RF module mounted on the camera </w:t>
      </w:r>
      <w:r w:rsidR="00DC0D84">
        <w:t>which</w:t>
      </w:r>
      <w:r>
        <w:t xml:space="preserve"> can be switched between bands by changing the module to the frequency band of operation, providing flexibility and minimising impact of band unavailability. Receiving points, however, might need to be configured with the appropriate RF module for the specific frequency band.</w:t>
      </w:r>
    </w:p>
    <w:p w14:paraId="27D4DA02" w14:textId="5A9B75E3" w:rsidR="00B15316" w:rsidRDefault="00F534B0" w:rsidP="00A11C68">
      <w:r>
        <w:t>Regarding</w:t>
      </w:r>
      <w:r w:rsidR="00591B02">
        <w:t xml:space="preserve"> the use of wireless cameras</w:t>
      </w:r>
      <w:r w:rsidR="00044C76">
        <w:t>,</w:t>
      </w:r>
      <w:r w:rsidR="00B15316">
        <w:t xml:space="preserve"> the ACMA </w:t>
      </w:r>
      <w:r w:rsidR="002C2134">
        <w:t>understands</w:t>
      </w:r>
      <w:r w:rsidR="00B15316">
        <w:t xml:space="preserve"> that wireless cameras only contribute a small amount of the video with wired cameras providing the majority of the content</w:t>
      </w:r>
      <w:r w:rsidR="0007125B">
        <w:t xml:space="preserve"> when covering </w:t>
      </w:r>
      <w:r w:rsidR="0074051E">
        <w:t>sporting events and major productions</w:t>
      </w:r>
      <w:r w:rsidR="00B15316">
        <w:t xml:space="preserve">. Some exceptions exist in outdoor events </w:t>
      </w:r>
      <w:r w:rsidR="00D364F3">
        <w:t xml:space="preserve">which require the mobility to </w:t>
      </w:r>
      <w:r w:rsidR="00B15316">
        <w:t>cover a large geographic area such as cycle road races or long-distance marathons</w:t>
      </w:r>
      <w:r w:rsidR="00792A6C">
        <w:t>.</w:t>
      </w:r>
    </w:p>
    <w:p w14:paraId="08FE54AF" w14:textId="520FE7BF" w:rsidR="00A11C68" w:rsidRDefault="00A11C68" w:rsidP="00A11C68">
      <w:r>
        <w:t xml:space="preserve">Feedback from respondents indicated that reliable coverage was more difficult to obtain in the higher frequencies due to the propagation characteristics and that more receive points were required to achieve similar coverage. There is an increase in cost in operating at these higher bands due to the extra receive points required. </w:t>
      </w:r>
      <w:r w:rsidR="0048417C">
        <w:t>T</w:t>
      </w:r>
      <w:r w:rsidR="0022575D">
        <w:t>he ACMA</w:t>
      </w:r>
      <w:r w:rsidR="003764FD">
        <w:t xml:space="preserve"> expect</w:t>
      </w:r>
      <w:r w:rsidR="00194A4F">
        <w:t>s</w:t>
      </w:r>
      <w:r w:rsidR="003764FD">
        <w:t xml:space="preserve"> </w:t>
      </w:r>
      <w:r w:rsidR="00EC4956">
        <w:t xml:space="preserve">the majority </w:t>
      </w:r>
      <w:r w:rsidR="0063198D">
        <w:t>of</w:t>
      </w:r>
      <w:r w:rsidR="00010B1C">
        <w:t xml:space="preserve"> </w:t>
      </w:r>
      <w:r w:rsidR="000E04AC">
        <w:t>wireless camera link</w:t>
      </w:r>
      <w:r w:rsidR="00370958">
        <w:t xml:space="preserve">s </w:t>
      </w:r>
      <w:r w:rsidR="00805D3D">
        <w:t xml:space="preserve">would </w:t>
      </w:r>
      <w:r w:rsidR="00352ECD">
        <w:t>cover</w:t>
      </w:r>
      <w:r w:rsidR="0040140B">
        <w:t xml:space="preserve"> </w:t>
      </w:r>
      <w:r w:rsidR="00EE4911">
        <w:t xml:space="preserve">short </w:t>
      </w:r>
      <w:r w:rsidR="00336939">
        <w:t xml:space="preserve">distances and have </w:t>
      </w:r>
      <w:r w:rsidR="00EE4911">
        <w:t>line</w:t>
      </w:r>
      <w:r w:rsidR="00FB773E">
        <w:t xml:space="preserve"> </w:t>
      </w:r>
      <w:r w:rsidR="00EE4911">
        <w:t>of</w:t>
      </w:r>
      <w:r w:rsidR="00FB773E">
        <w:t xml:space="preserve"> </w:t>
      </w:r>
      <w:r w:rsidR="00EE4911">
        <w:t xml:space="preserve">sight </w:t>
      </w:r>
      <w:r w:rsidR="00E268A9">
        <w:t>to the receiver</w:t>
      </w:r>
      <w:r w:rsidR="00352ECD">
        <w:t>,</w:t>
      </w:r>
      <w:r w:rsidR="00E268A9">
        <w:t xml:space="preserve"> </w:t>
      </w:r>
      <w:r w:rsidR="008703C9">
        <w:t>resulting in</w:t>
      </w:r>
      <w:r w:rsidR="00F81D27">
        <w:t xml:space="preserve"> the </w:t>
      </w:r>
      <w:r w:rsidR="004602AC">
        <w:t xml:space="preserve">TOB link </w:t>
      </w:r>
      <w:r w:rsidR="00407A7D">
        <w:t>performance of a 7 GHz</w:t>
      </w:r>
      <w:r w:rsidR="004602AC">
        <w:t xml:space="preserve"> </w:t>
      </w:r>
      <w:r w:rsidR="00826897">
        <w:t>system</w:t>
      </w:r>
      <w:r w:rsidR="002E6527">
        <w:t xml:space="preserve"> </w:t>
      </w:r>
      <w:r w:rsidR="000D47D8">
        <w:t>be</w:t>
      </w:r>
      <w:r w:rsidR="004739F6">
        <w:t>ing</w:t>
      </w:r>
      <w:r w:rsidR="00871379">
        <w:t xml:space="preserve"> </w:t>
      </w:r>
      <w:r w:rsidR="00276D5E">
        <w:t>sim</w:t>
      </w:r>
      <w:r w:rsidR="00001D13">
        <w:t>i</w:t>
      </w:r>
      <w:r w:rsidR="00276D5E">
        <w:t>lar</w:t>
      </w:r>
      <w:r w:rsidR="008C3CB4">
        <w:t xml:space="preserve"> to</w:t>
      </w:r>
      <w:r w:rsidR="000D47D8">
        <w:t xml:space="preserve"> a 2 GHz system.</w:t>
      </w:r>
    </w:p>
    <w:p w14:paraId="2003691C" w14:textId="154652BF" w:rsidR="00A11C68" w:rsidRPr="00333920" w:rsidRDefault="00A11C68" w:rsidP="00A11C68">
      <w:pPr>
        <w:pStyle w:val="Heading2"/>
      </w:pPr>
      <w:bookmarkStart w:id="124" w:name="_Ref43392470"/>
      <w:bookmarkStart w:id="125" w:name="_Toc46316386"/>
      <w:r>
        <w:t>Mobile</w:t>
      </w:r>
      <w:r w:rsidR="00A73606">
        <w:t>-</w:t>
      </w:r>
      <w:r>
        <w:t>satellite spectrum considerations</w:t>
      </w:r>
      <w:bookmarkEnd w:id="124"/>
      <w:bookmarkEnd w:id="125"/>
    </w:p>
    <w:p w14:paraId="3DE41F1A" w14:textId="77777777" w:rsidR="00A11C68" w:rsidRDefault="00A11C68" w:rsidP="00A11C68">
      <w:pPr>
        <w:pStyle w:val="Heading3"/>
      </w:pPr>
      <w:r>
        <w:t>Current planning arrangements supporting MSS</w:t>
      </w:r>
    </w:p>
    <w:p w14:paraId="738A10AB" w14:textId="30230E5D" w:rsidR="00A11C68" w:rsidRDefault="00A11C68" w:rsidP="00A11C68">
      <w:r>
        <w:t xml:space="preserve">In the context of the 2 GHz band, comparable bands in which </w:t>
      </w:r>
      <w:r w:rsidR="007F6936">
        <w:t>MSS</w:t>
      </w:r>
      <w:r>
        <w:t xml:space="preserve"> is supported in Australia are 1525</w:t>
      </w:r>
      <w:r w:rsidR="00081638">
        <w:t>–</w:t>
      </w:r>
      <w:r>
        <w:t>1559 MHz, 1610</w:t>
      </w:r>
      <w:r w:rsidR="00081638">
        <w:t>–</w:t>
      </w:r>
      <w:r>
        <w:t>1660.5 MHz, 1613.8</w:t>
      </w:r>
      <w:r w:rsidR="00081638">
        <w:t>–</w:t>
      </w:r>
      <w:r>
        <w:t xml:space="preserve">1626.5 MHz and </w:t>
      </w:r>
      <w:r w:rsidR="00081638">
        <w:br/>
      </w:r>
      <w:r>
        <w:t>2483.5</w:t>
      </w:r>
      <w:r w:rsidR="00081638">
        <w:t>–</w:t>
      </w:r>
      <w:r>
        <w:t>2500 MHz. In total</w:t>
      </w:r>
      <w:r w:rsidR="00131FCA">
        <w:t>,</w:t>
      </w:r>
      <w:r>
        <w:t xml:space="preserve"> this equates to 113.7 MHz of spectrum bandwidth.</w:t>
      </w:r>
    </w:p>
    <w:p w14:paraId="12AE635D" w14:textId="75318470" w:rsidR="00A11C68" w:rsidRDefault="00A11C68" w:rsidP="00A11C68">
      <w:r>
        <w:t>These bands are used to provide</w:t>
      </w:r>
      <w:r w:rsidRPr="00F70F29">
        <w:t xml:space="preserve"> </w:t>
      </w:r>
      <w:r>
        <w:t xml:space="preserve">voice and low date rate services (for example satellite IoT applications). Current licences are shown in </w:t>
      </w:r>
      <w:r w:rsidR="4048D568">
        <w:t xml:space="preserve">the </w:t>
      </w:r>
      <w:r w:rsidDel="001A4B30">
        <w:t xml:space="preserve">table </w:t>
      </w:r>
      <w:r w:rsidDel="00193804">
        <w:t>below</w:t>
      </w:r>
      <w:r>
        <w:t xml:space="preserve">. </w:t>
      </w:r>
    </w:p>
    <w:p w14:paraId="4726A859" w14:textId="724F5A6D" w:rsidR="00A11C68" w:rsidRDefault="00A11C68" w:rsidP="00A11C68">
      <w:r>
        <w:t xml:space="preserve">The 2 GHz band would increase the available spectrum for </w:t>
      </w:r>
      <w:r w:rsidR="007F6936">
        <w:t>MSS</w:t>
      </w:r>
      <w:r>
        <w:t xml:space="preserve"> by 52 per</w:t>
      </w:r>
      <w:r w:rsidR="005B797F">
        <w:t xml:space="preserve"> </w:t>
      </w:r>
      <w:r>
        <w:t>cent.</w:t>
      </w:r>
    </w:p>
    <w:p w14:paraId="311535B3" w14:textId="5B15CAA2" w:rsidR="00A11C68" w:rsidRDefault="00A11C68" w:rsidP="00B764AD">
      <w:pPr>
        <w:pStyle w:val="Tableheading"/>
        <w:keepLines/>
        <w:tabs>
          <w:tab w:val="clear" w:pos="1957"/>
          <w:tab w:val="num" w:pos="1134"/>
        </w:tabs>
        <w:spacing w:before="240"/>
        <w:ind w:left="1134" w:hanging="1134"/>
      </w:pPr>
      <w:bookmarkStart w:id="126" w:name="_Ref37923166"/>
      <w:bookmarkStart w:id="127" w:name="_Ref43816988"/>
      <w:r>
        <w:lastRenderedPageBreak/>
        <w:t>Mobile</w:t>
      </w:r>
      <w:r w:rsidR="00A73606">
        <w:t>-</w:t>
      </w:r>
      <w:r>
        <w:t>satellite licensees</w:t>
      </w:r>
      <w:bookmarkEnd w:id="126"/>
      <w:r w:rsidR="006A466D">
        <w:t xml:space="preserve"> </w:t>
      </w:r>
      <w:r w:rsidR="0020793D">
        <w:t>i</w:t>
      </w:r>
      <w:r w:rsidR="006A466D">
        <w:t xml:space="preserve">n </w:t>
      </w:r>
      <w:r w:rsidR="0020793D">
        <w:t xml:space="preserve">2 GHz </w:t>
      </w:r>
      <w:r w:rsidR="00C724FA">
        <w:t>comparable</w:t>
      </w:r>
      <w:r w:rsidR="007D6647">
        <w:t xml:space="preserve"> </w:t>
      </w:r>
      <w:r w:rsidR="006A466D">
        <w:t>bands</w:t>
      </w:r>
      <w:bookmarkEnd w:id="127"/>
    </w:p>
    <w:tbl>
      <w:tblPr>
        <w:tblStyle w:val="ACMAtablestyle"/>
        <w:tblW w:w="7792" w:type="dxa"/>
        <w:tblLayout w:type="fixed"/>
        <w:tblCellMar>
          <w:top w:w="85" w:type="dxa"/>
          <w:bottom w:w="85" w:type="dxa"/>
        </w:tblCellMar>
        <w:tblLook w:val="01E0" w:firstRow="1" w:lastRow="1" w:firstColumn="1" w:lastColumn="1" w:noHBand="0" w:noVBand="0"/>
      </w:tblPr>
      <w:tblGrid>
        <w:gridCol w:w="2122"/>
        <w:gridCol w:w="1890"/>
        <w:gridCol w:w="1890"/>
        <w:gridCol w:w="1890"/>
      </w:tblGrid>
      <w:tr w:rsidR="00634B58" w14:paraId="1D051B72" w14:textId="77777777" w:rsidTr="00F86C34">
        <w:trPr>
          <w:cnfStyle w:val="100000000000" w:firstRow="1" w:lastRow="0" w:firstColumn="0" w:lastColumn="0" w:oddVBand="0" w:evenVBand="0" w:oddHBand="0" w:evenHBand="0" w:firstRowFirstColumn="0" w:firstRowLastColumn="0" w:lastRowFirstColumn="0" w:lastRowLastColumn="0"/>
          <w:cantSplit/>
          <w:tblHeader w:val="0"/>
        </w:trPr>
        <w:tc>
          <w:tcPr>
            <w:tcW w:w="2122" w:type="dxa"/>
            <w:tcBorders>
              <w:top w:val="none" w:sz="0" w:space="0" w:color="auto"/>
              <w:left w:val="none" w:sz="0" w:space="0" w:color="auto"/>
              <w:bottom w:val="none" w:sz="0" w:space="0" w:color="auto"/>
              <w:right w:val="none" w:sz="0" w:space="0" w:color="auto"/>
            </w:tcBorders>
          </w:tcPr>
          <w:p w14:paraId="15B9E5ED" w14:textId="77777777" w:rsidR="00634B58" w:rsidRDefault="00634B58" w:rsidP="00F8279B">
            <w:pPr>
              <w:pStyle w:val="Tableheaderrow"/>
              <w:keepNext/>
              <w:keepLines/>
            </w:pPr>
            <w:r>
              <w:t>Licensee</w:t>
            </w:r>
          </w:p>
        </w:tc>
        <w:tc>
          <w:tcPr>
            <w:tcW w:w="1890" w:type="dxa"/>
            <w:tcBorders>
              <w:top w:val="none" w:sz="0" w:space="0" w:color="auto"/>
              <w:left w:val="none" w:sz="0" w:space="0" w:color="auto"/>
              <w:bottom w:val="none" w:sz="0" w:space="0" w:color="auto"/>
              <w:right w:val="none" w:sz="0" w:space="0" w:color="auto"/>
            </w:tcBorders>
          </w:tcPr>
          <w:p w14:paraId="25D7F58B" w14:textId="3B6F3F6F" w:rsidR="00634B58" w:rsidRDefault="00634B58" w:rsidP="00F8279B">
            <w:pPr>
              <w:pStyle w:val="Tableheaderrow"/>
              <w:keepNext/>
              <w:keepLines/>
            </w:pPr>
            <w:r>
              <w:t>Licenced in Australia</w:t>
            </w:r>
            <w:r w:rsidR="00AB45A5">
              <w:t xml:space="preserve"> </w:t>
            </w:r>
            <w:r w:rsidR="00CE67E3">
              <w:br/>
            </w:r>
            <w:r w:rsidR="00AB45A5">
              <w:t>(MHz)</w:t>
            </w:r>
          </w:p>
        </w:tc>
        <w:tc>
          <w:tcPr>
            <w:tcW w:w="1890" w:type="dxa"/>
            <w:tcBorders>
              <w:top w:val="none" w:sz="0" w:space="0" w:color="auto"/>
              <w:left w:val="none" w:sz="0" w:space="0" w:color="auto"/>
              <w:bottom w:val="none" w:sz="0" w:space="0" w:color="auto"/>
              <w:right w:val="none" w:sz="0" w:space="0" w:color="auto"/>
            </w:tcBorders>
          </w:tcPr>
          <w:p w14:paraId="17B67D08" w14:textId="25C0DC2E" w:rsidR="00634B58" w:rsidRPr="00930510" w:rsidRDefault="001051A3" w:rsidP="00F8279B">
            <w:pPr>
              <w:pStyle w:val="Tableheaderrow"/>
              <w:keepNext/>
              <w:keepLines/>
            </w:pPr>
            <w:r>
              <w:t>Mobile</w:t>
            </w:r>
            <w:r w:rsidR="00A73606">
              <w:t>-</w:t>
            </w:r>
            <w:r w:rsidR="00AB3207">
              <w:t xml:space="preserve">satellite </w:t>
            </w:r>
            <w:r w:rsidR="00A73606">
              <w:t>b</w:t>
            </w:r>
            <w:r w:rsidR="00634B58">
              <w:t>and</w:t>
            </w:r>
            <w:r w:rsidR="00AB45A5">
              <w:t xml:space="preserve"> (MHz)</w:t>
            </w:r>
          </w:p>
        </w:tc>
        <w:tc>
          <w:tcPr>
            <w:tcW w:w="1890" w:type="dxa"/>
            <w:tcBorders>
              <w:top w:val="none" w:sz="0" w:space="0" w:color="auto"/>
              <w:left w:val="none" w:sz="0" w:space="0" w:color="auto"/>
              <w:bottom w:val="none" w:sz="0" w:space="0" w:color="auto"/>
              <w:right w:val="none" w:sz="0" w:space="0" w:color="auto"/>
            </w:tcBorders>
          </w:tcPr>
          <w:p w14:paraId="4EE75DC5" w14:textId="2E0811A6" w:rsidR="00634B58" w:rsidRDefault="00634B58" w:rsidP="00F8279B">
            <w:pPr>
              <w:pStyle w:val="Tableheaderrow"/>
              <w:keepNext/>
              <w:keepLines/>
            </w:pPr>
            <w:r>
              <w:t>Direction</w:t>
            </w:r>
          </w:p>
        </w:tc>
      </w:tr>
      <w:tr w:rsidR="00634B58" w:rsidRPr="00930510" w14:paraId="632A9FC1" w14:textId="77777777" w:rsidTr="00F86C34">
        <w:trPr>
          <w:cnfStyle w:val="000000100000" w:firstRow="0" w:lastRow="0" w:firstColumn="0" w:lastColumn="0" w:oddVBand="0" w:evenVBand="0" w:oddHBand="1" w:evenHBand="0" w:firstRowFirstColumn="0" w:firstRowLastColumn="0" w:lastRowFirstColumn="0" w:lastRowLastColumn="0"/>
          <w:cantSplit/>
        </w:trPr>
        <w:tc>
          <w:tcPr>
            <w:tcW w:w="2122" w:type="dxa"/>
            <w:tcMar>
              <w:top w:w="85" w:type="dxa"/>
              <w:bottom w:w="85" w:type="dxa"/>
            </w:tcMar>
          </w:tcPr>
          <w:p w14:paraId="67FAA5D3" w14:textId="77777777" w:rsidR="00634B58" w:rsidRDefault="00634B58" w:rsidP="00F8279B">
            <w:pPr>
              <w:pStyle w:val="TableBody"/>
              <w:keepNext/>
              <w:keepLines/>
            </w:pPr>
            <w:r>
              <w:t>Inmarsat Solutions (GSO)</w:t>
            </w:r>
          </w:p>
        </w:tc>
        <w:tc>
          <w:tcPr>
            <w:tcW w:w="1890" w:type="dxa"/>
          </w:tcPr>
          <w:p w14:paraId="6075EC06" w14:textId="0911101D" w:rsidR="00396D82" w:rsidRDefault="006561B7" w:rsidP="00F8279B">
            <w:pPr>
              <w:pStyle w:val="TableBody"/>
              <w:keepNext/>
              <w:keepLines/>
            </w:pPr>
            <w:r>
              <w:t>16</w:t>
            </w:r>
            <w:r w:rsidR="00252F24">
              <w:t>27.9</w:t>
            </w:r>
            <w:r w:rsidR="007A515B">
              <w:t>–1660.1</w:t>
            </w:r>
            <w:r w:rsidR="00151DA1" w:rsidRPr="00151DA1">
              <w:rPr>
                <w:vertAlign w:val="superscript"/>
              </w:rPr>
              <w:t>†</w:t>
            </w:r>
          </w:p>
          <w:p w14:paraId="03516BB6" w14:textId="597A03B8" w:rsidR="00634B58" w:rsidRDefault="00905209" w:rsidP="00F8279B">
            <w:pPr>
              <w:pStyle w:val="TableBody"/>
              <w:keepNext/>
              <w:keepLines/>
            </w:pPr>
            <w:r>
              <w:t>1526</w:t>
            </w:r>
            <w:r w:rsidR="00AC2DD8">
              <w:t>.4</w:t>
            </w:r>
            <w:r w:rsidR="00C13E50">
              <w:t>–</w:t>
            </w:r>
            <w:r w:rsidR="001F59B9">
              <w:t>155</w:t>
            </w:r>
            <w:r w:rsidR="00C13E50">
              <w:t>8.6</w:t>
            </w:r>
            <w:r w:rsidR="00151DA1" w:rsidRPr="00151DA1">
              <w:rPr>
                <w:vertAlign w:val="superscript"/>
              </w:rPr>
              <w:t>†</w:t>
            </w:r>
          </w:p>
        </w:tc>
        <w:tc>
          <w:tcPr>
            <w:tcW w:w="1890" w:type="dxa"/>
            <w:tcMar>
              <w:top w:w="85" w:type="dxa"/>
              <w:bottom w:w="85" w:type="dxa"/>
            </w:tcMar>
          </w:tcPr>
          <w:p w14:paraId="15B87F73" w14:textId="52903BC5" w:rsidR="00634B58" w:rsidRDefault="00634B58" w:rsidP="00F8279B">
            <w:pPr>
              <w:pStyle w:val="TableBody"/>
              <w:keepNext/>
              <w:keepLines/>
            </w:pPr>
            <w:r>
              <w:t>16</w:t>
            </w:r>
            <w:r w:rsidR="007A4BF5">
              <w:t>26.5</w:t>
            </w:r>
            <w:r w:rsidR="0081541E">
              <w:t>–</w:t>
            </w:r>
            <w:r>
              <w:t>1660.5</w:t>
            </w:r>
            <w:r w:rsidR="00B6060A" w:rsidRPr="00B6060A">
              <w:rPr>
                <w:vertAlign w:val="superscript"/>
              </w:rPr>
              <w:t>^</w:t>
            </w:r>
          </w:p>
          <w:p w14:paraId="61FE128D" w14:textId="1B61CFAD" w:rsidR="00634B58" w:rsidRPr="00930510" w:rsidRDefault="00634B58" w:rsidP="00F8279B">
            <w:pPr>
              <w:pStyle w:val="TableBody"/>
              <w:keepNext/>
              <w:keepLines/>
            </w:pPr>
            <w:r>
              <w:t>1525</w:t>
            </w:r>
            <w:r w:rsidR="0081541E">
              <w:t>–</w:t>
            </w:r>
            <w:r>
              <w:t>1559</w:t>
            </w:r>
          </w:p>
        </w:tc>
        <w:tc>
          <w:tcPr>
            <w:tcW w:w="1890" w:type="dxa"/>
            <w:tcMar>
              <w:top w:w="85" w:type="dxa"/>
              <w:bottom w:w="85" w:type="dxa"/>
            </w:tcMar>
          </w:tcPr>
          <w:p w14:paraId="6B1A98C4" w14:textId="21406895" w:rsidR="00634B58" w:rsidRDefault="00634B58" w:rsidP="00F8279B">
            <w:pPr>
              <w:pStyle w:val="TableBody"/>
              <w:keepNext/>
              <w:keepLines/>
            </w:pPr>
            <w:r>
              <w:t xml:space="preserve">Earth-to-space </w:t>
            </w:r>
          </w:p>
          <w:p w14:paraId="76638678" w14:textId="25A26B08" w:rsidR="00634B58" w:rsidRPr="00930510" w:rsidRDefault="00634B58" w:rsidP="00F8279B">
            <w:pPr>
              <w:pStyle w:val="TableBody"/>
              <w:keepNext/>
              <w:keepLines/>
            </w:pPr>
            <w:r>
              <w:t>S</w:t>
            </w:r>
            <w:r w:rsidRPr="004F504C">
              <w:t>pace-to</w:t>
            </w:r>
            <w:r>
              <w:t>-e</w:t>
            </w:r>
            <w:r w:rsidRPr="004F504C">
              <w:t xml:space="preserve">arth </w:t>
            </w:r>
          </w:p>
        </w:tc>
      </w:tr>
      <w:tr w:rsidR="001A7A91" w:rsidRPr="00930510" w14:paraId="3EA9C51A" w14:textId="77777777" w:rsidTr="00F86C34">
        <w:trPr>
          <w:cnfStyle w:val="000000010000" w:firstRow="0" w:lastRow="0" w:firstColumn="0" w:lastColumn="0" w:oddVBand="0" w:evenVBand="0" w:oddHBand="0" w:evenHBand="1" w:firstRowFirstColumn="0" w:firstRowLastColumn="0" w:lastRowFirstColumn="0" w:lastRowLastColumn="0"/>
          <w:cantSplit/>
        </w:trPr>
        <w:tc>
          <w:tcPr>
            <w:tcW w:w="2122" w:type="dxa"/>
            <w:tcMar>
              <w:top w:w="85" w:type="dxa"/>
              <w:bottom w:w="85" w:type="dxa"/>
            </w:tcMar>
          </w:tcPr>
          <w:p w14:paraId="329D3916" w14:textId="77777777" w:rsidR="00894B19" w:rsidRDefault="00894B19" w:rsidP="00F8279B">
            <w:pPr>
              <w:pStyle w:val="TableBody"/>
              <w:keepNext/>
              <w:keepLines/>
            </w:pPr>
            <w:r>
              <w:t>Thuraya Telecommunications Company (GSO)</w:t>
            </w:r>
          </w:p>
        </w:tc>
        <w:tc>
          <w:tcPr>
            <w:tcW w:w="1890" w:type="dxa"/>
          </w:tcPr>
          <w:p w14:paraId="54A3E1A6" w14:textId="057136F8" w:rsidR="00894B19" w:rsidRDefault="00894B19" w:rsidP="00F8279B">
            <w:pPr>
              <w:pStyle w:val="TableBody"/>
              <w:keepNext/>
              <w:keepLines/>
            </w:pPr>
            <w:r>
              <w:t>1632.7–1660.5</w:t>
            </w:r>
            <w:r w:rsidR="00151DA1" w:rsidRPr="00151DA1">
              <w:rPr>
                <w:vertAlign w:val="superscript"/>
              </w:rPr>
              <w:t>†</w:t>
            </w:r>
          </w:p>
          <w:p w14:paraId="2E148349" w14:textId="3C9DD5BA" w:rsidR="00894B19" w:rsidRDefault="00894B19" w:rsidP="00F8279B">
            <w:pPr>
              <w:pStyle w:val="TableBody"/>
              <w:keepNext/>
              <w:keepLines/>
            </w:pPr>
            <w:r>
              <w:t>1531.2–1559.0</w:t>
            </w:r>
            <w:r w:rsidR="00151DA1" w:rsidRPr="00151DA1">
              <w:rPr>
                <w:vertAlign w:val="superscript"/>
              </w:rPr>
              <w:t>†</w:t>
            </w:r>
          </w:p>
        </w:tc>
        <w:tc>
          <w:tcPr>
            <w:tcW w:w="1890" w:type="dxa"/>
            <w:tcMar>
              <w:top w:w="85" w:type="dxa"/>
              <w:bottom w:w="85" w:type="dxa"/>
            </w:tcMar>
          </w:tcPr>
          <w:p w14:paraId="63FD4329" w14:textId="5A46826A" w:rsidR="00894B19" w:rsidRDefault="00894B19" w:rsidP="00F8279B">
            <w:pPr>
              <w:pStyle w:val="TableBody"/>
              <w:keepNext/>
              <w:keepLines/>
            </w:pPr>
            <w:r>
              <w:t>16</w:t>
            </w:r>
            <w:r w:rsidR="008C6268">
              <w:t>26.5</w:t>
            </w:r>
            <w:r w:rsidR="0081541E">
              <w:t>–</w:t>
            </w:r>
            <w:r>
              <w:t>1660.5</w:t>
            </w:r>
            <w:r w:rsidR="001D49AC" w:rsidRPr="00B6060A">
              <w:rPr>
                <w:vertAlign w:val="superscript"/>
              </w:rPr>
              <w:t>^</w:t>
            </w:r>
          </w:p>
          <w:p w14:paraId="06066C37" w14:textId="2535EC9A" w:rsidR="00894B19" w:rsidRPr="00930510" w:rsidRDefault="00894B19" w:rsidP="00F8279B">
            <w:pPr>
              <w:pStyle w:val="TableBody"/>
              <w:keepNext/>
              <w:keepLines/>
            </w:pPr>
            <w:r>
              <w:t>1525</w:t>
            </w:r>
            <w:r w:rsidR="0081541E">
              <w:t>–</w:t>
            </w:r>
            <w:r>
              <w:t>1559</w:t>
            </w:r>
          </w:p>
        </w:tc>
        <w:tc>
          <w:tcPr>
            <w:tcW w:w="1890" w:type="dxa"/>
            <w:tcMar>
              <w:top w:w="85" w:type="dxa"/>
              <w:bottom w:w="85" w:type="dxa"/>
            </w:tcMar>
          </w:tcPr>
          <w:p w14:paraId="3F72382C" w14:textId="62F0E91F" w:rsidR="00894B19" w:rsidRDefault="00894B19" w:rsidP="00F8279B">
            <w:pPr>
              <w:pStyle w:val="TableBody"/>
              <w:keepNext/>
              <w:keepLines/>
            </w:pPr>
            <w:r>
              <w:t xml:space="preserve">Earth-to-space </w:t>
            </w:r>
          </w:p>
          <w:p w14:paraId="1BE1C0AF" w14:textId="4F2C3496" w:rsidR="00894B19" w:rsidRPr="00930510" w:rsidRDefault="00894B19" w:rsidP="00F8279B">
            <w:pPr>
              <w:pStyle w:val="TableBody"/>
              <w:keepNext/>
              <w:keepLines/>
            </w:pPr>
            <w:r>
              <w:t>S</w:t>
            </w:r>
            <w:r w:rsidRPr="004F504C">
              <w:t>pace-to</w:t>
            </w:r>
            <w:r>
              <w:t>-e</w:t>
            </w:r>
            <w:r w:rsidRPr="004F504C">
              <w:t xml:space="preserve">arth </w:t>
            </w:r>
          </w:p>
        </w:tc>
      </w:tr>
      <w:tr w:rsidR="00D54914" w:rsidRPr="00930510" w14:paraId="27790B61" w14:textId="77777777" w:rsidTr="00F86C34">
        <w:trPr>
          <w:cnfStyle w:val="000000100000" w:firstRow="0" w:lastRow="0" w:firstColumn="0" w:lastColumn="0" w:oddVBand="0" w:evenVBand="0" w:oddHBand="1" w:evenHBand="0" w:firstRowFirstColumn="0" w:firstRowLastColumn="0" w:lastRowFirstColumn="0" w:lastRowLastColumn="0"/>
          <w:cantSplit/>
        </w:trPr>
        <w:tc>
          <w:tcPr>
            <w:tcW w:w="2122" w:type="dxa"/>
            <w:tcMar>
              <w:top w:w="85" w:type="dxa"/>
              <w:bottom w:w="85" w:type="dxa"/>
            </w:tcMar>
          </w:tcPr>
          <w:p w14:paraId="753F9A2F" w14:textId="77777777" w:rsidR="00634B58" w:rsidRDefault="00634B58" w:rsidP="00F8279B">
            <w:pPr>
              <w:pStyle w:val="TableBody"/>
              <w:keepNext/>
              <w:keepLines/>
            </w:pPr>
            <w:r>
              <w:t>Iridium Australia (NGSO)</w:t>
            </w:r>
          </w:p>
        </w:tc>
        <w:tc>
          <w:tcPr>
            <w:tcW w:w="1890" w:type="dxa"/>
          </w:tcPr>
          <w:p w14:paraId="69C6F96C" w14:textId="47F473C5" w:rsidR="00C36C1D" w:rsidRDefault="00B139AE" w:rsidP="00F8279B">
            <w:pPr>
              <w:pStyle w:val="TableBody"/>
              <w:keepNext/>
              <w:keepLines/>
            </w:pPr>
            <w:r>
              <w:t>1617.78–1626.</w:t>
            </w:r>
            <w:r w:rsidR="00A76D3E">
              <w:t>5</w:t>
            </w:r>
            <w:r w:rsidR="003C3786" w:rsidRPr="003C3786">
              <w:rPr>
                <w:vertAlign w:val="superscript"/>
              </w:rPr>
              <w:t>*</w:t>
            </w:r>
          </w:p>
          <w:p w14:paraId="764850ED" w14:textId="719723ED" w:rsidR="00F377B9" w:rsidRDefault="00CD4B93" w:rsidP="0071495E">
            <w:pPr>
              <w:pStyle w:val="TableBody"/>
              <w:keepNext/>
              <w:keepLines/>
            </w:pPr>
            <w:r>
              <w:t>1617.78–1626.5</w:t>
            </w:r>
          </w:p>
        </w:tc>
        <w:tc>
          <w:tcPr>
            <w:tcW w:w="1890" w:type="dxa"/>
            <w:tcMar>
              <w:top w:w="85" w:type="dxa"/>
              <w:bottom w:w="85" w:type="dxa"/>
            </w:tcMar>
          </w:tcPr>
          <w:p w14:paraId="240AEC92" w14:textId="4232F793" w:rsidR="00634B58" w:rsidRDefault="00634B58" w:rsidP="00F8279B">
            <w:pPr>
              <w:pStyle w:val="TableBody"/>
              <w:keepNext/>
              <w:keepLines/>
            </w:pPr>
            <w:r>
              <w:t>1610</w:t>
            </w:r>
            <w:r w:rsidR="00532A1F">
              <w:t>–</w:t>
            </w:r>
            <w:r>
              <w:t>16</w:t>
            </w:r>
            <w:r w:rsidR="008C6268">
              <w:t>26</w:t>
            </w:r>
            <w:r>
              <w:t>.5</w:t>
            </w:r>
            <w:r w:rsidR="001D49AC" w:rsidRPr="00B6060A">
              <w:rPr>
                <w:vertAlign w:val="superscript"/>
              </w:rPr>
              <w:t>^</w:t>
            </w:r>
          </w:p>
          <w:p w14:paraId="52225B4E" w14:textId="63E798FF" w:rsidR="00634B58" w:rsidRPr="00930510" w:rsidRDefault="00634B58" w:rsidP="00F8279B">
            <w:pPr>
              <w:pStyle w:val="TableBody"/>
              <w:keepNext/>
              <w:keepLines/>
            </w:pPr>
            <w:r>
              <w:t>1613.8</w:t>
            </w:r>
            <w:r w:rsidR="0081541E">
              <w:t>–</w:t>
            </w:r>
            <w:r>
              <w:t>1626.5</w:t>
            </w:r>
          </w:p>
        </w:tc>
        <w:tc>
          <w:tcPr>
            <w:tcW w:w="1890" w:type="dxa"/>
            <w:tcMar>
              <w:top w:w="85" w:type="dxa"/>
              <w:bottom w:w="85" w:type="dxa"/>
            </w:tcMar>
          </w:tcPr>
          <w:p w14:paraId="0B159701" w14:textId="2D412CCB" w:rsidR="00634B58" w:rsidRDefault="00634B58" w:rsidP="00F8279B">
            <w:pPr>
              <w:pStyle w:val="TableBody"/>
              <w:keepNext/>
              <w:keepLines/>
            </w:pPr>
            <w:r>
              <w:t xml:space="preserve">Earth-to-space </w:t>
            </w:r>
          </w:p>
          <w:p w14:paraId="564EC8C5" w14:textId="071B20F9" w:rsidR="00634B58" w:rsidRPr="00930510" w:rsidRDefault="00634B58" w:rsidP="00F8279B">
            <w:pPr>
              <w:pStyle w:val="TableBody"/>
              <w:keepNext/>
              <w:keepLines/>
            </w:pPr>
            <w:r>
              <w:t>S</w:t>
            </w:r>
            <w:r w:rsidRPr="004F504C">
              <w:t>pace-to</w:t>
            </w:r>
            <w:r>
              <w:t>-e</w:t>
            </w:r>
            <w:r w:rsidRPr="004F504C">
              <w:t>arth</w:t>
            </w:r>
          </w:p>
        </w:tc>
      </w:tr>
      <w:tr w:rsidR="00634B58" w:rsidRPr="00930510" w14:paraId="403EF110" w14:textId="77777777" w:rsidTr="00F86C34">
        <w:trPr>
          <w:cnfStyle w:val="000000010000" w:firstRow="0" w:lastRow="0" w:firstColumn="0" w:lastColumn="0" w:oddVBand="0" w:evenVBand="0" w:oddHBand="0" w:evenHBand="1" w:firstRowFirstColumn="0" w:firstRowLastColumn="0" w:lastRowFirstColumn="0" w:lastRowLastColumn="0"/>
          <w:cantSplit/>
        </w:trPr>
        <w:tc>
          <w:tcPr>
            <w:tcW w:w="2122" w:type="dxa"/>
            <w:tcMar>
              <w:top w:w="85" w:type="dxa"/>
              <w:bottom w:w="85" w:type="dxa"/>
            </w:tcMar>
          </w:tcPr>
          <w:p w14:paraId="5665ADDC" w14:textId="77777777" w:rsidR="00634B58" w:rsidRDefault="00634B58" w:rsidP="00F8279B">
            <w:pPr>
              <w:pStyle w:val="TableBody"/>
              <w:keepNext/>
              <w:keepLines/>
            </w:pPr>
            <w:r>
              <w:t>Pivotel Group (GlobalStar NGSO)</w:t>
            </w:r>
          </w:p>
        </w:tc>
        <w:tc>
          <w:tcPr>
            <w:tcW w:w="1890" w:type="dxa"/>
          </w:tcPr>
          <w:p w14:paraId="0F416D1E" w14:textId="3E230A53" w:rsidR="00634B58" w:rsidRDefault="00201DC1" w:rsidP="00F8279B">
            <w:pPr>
              <w:pStyle w:val="TableBody"/>
              <w:keepNext/>
              <w:keepLines/>
            </w:pPr>
            <w:r>
              <w:t>1610.0</w:t>
            </w:r>
            <w:r w:rsidR="0081541E">
              <w:t>–</w:t>
            </w:r>
            <w:r>
              <w:t>1621.185</w:t>
            </w:r>
            <w:r w:rsidR="003C3786" w:rsidRPr="003C3786">
              <w:rPr>
                <w:vertAlign w:val="superscript"/>
              </w:rPr>
              <w:t>*</w:t>
            </w:r>
          </w:p>
          <w:p w14:paraId="1AABFCE2" w14:textId="4DC17ECE" w:rsidR="00201DC1" w:rsidRDefault="000C021B" w:rsidP="00F8279B">
            <w:pPr>
              <w:pStyle w:val="TableBody"/>
              <w:keepNext/>
              <w:keepLines/>
            </w:pPr>
            <w:r>
              <w:t>24</w:t>
            </w:r>
            <w:r w:rsidR="00A14582">
              <w:t>88</w:t>
            </w:r>
            <w:r w:rsidR="00AA3BA7">
              <w:t>.</w:t>
            </w:r>
            <w:r w:rsidR="00896989">
              <w:t>7</w:t>
            </w:r>
            <w:r w:rsidR="0081541E">
              <w:t>–</w:t>
            </w:r>
            <w:r w:rsidR="005A55FF">
              <w:t>2500</w:t>
            </w:r>
          </w:p>
        </w:tc>
        <w:tc>
          <w:tcPr>
            <w:tcW w:w="1890" w:type="dxa"/>
            <w:tcMar>
              <w:top w:w="85" w:type="dxa"/>
              <w:bottom w:w="85" w:type="dxa"/>
            </w:tcMar>
          </w:tcPr>
          <w:p w14:paraId="15CBC01E" w14:textId="66E90D2B" w:rsidR="00634B58" w:rsidRDefault="00634B58" w:rsidP="00F8279B">
            <w:pPr>
              <w:pStyle w:val="TableBody"/>
              <w:keepNext/>
              <w:keepLines/>
            </w:pPr>
            <w:r>
              <w:t>1610</w:t>
            </w:r>
            <w:r w:rsidR="0081541E">
              <w:t>–</w:t>
            </w:r>
            <w:r>
              <w:t>16</w:t>
            </w:r>
            <w:r w:rsidR="008C6268">
              <w:t>26</w:t>
            </w:r>
            <w:r>
              <w:t>.5</w:t>
            </w:r>
            <w:r w:rsidR="003C3786" w:rsidRPr="00B6060A">
              <w:rPr>
                <w:vertAlign w:val="superscript"/>
              </w:rPr>
              <w:t>^</w:t>
            </w:r>
          </w:p>
          <w:p w14:paraId="449607A7" w14:textId="60D366A0" w:rsidR="00634B58" w:rsidRPr="00930510" w:rsidRDefault="00634B58" w:rsidP="00F8279B">
            <w:pPr>
              <w:pStyle w:val="TableBody"/>
              <w:keepNext/>
              <w:keepLines/>
            </w:pPr>
            <w:r>
              <w:t>2483.5</w:t>
            </w:r>
            <w:r w:rsidR="0081541E">
              <w:t>–</w:t>
            </w:r>
            <w:r>
              <w:t>2500</w:t>
            </w:r>
          </w:p>
        </w:tc>
        <w:tc>
          <w:tcPr>
            <w:tcW w:w="1890" w:type="dxa"/>
            <w:tcMar>
              <w:top w:w="85" w:type="dxa"/>
              <w:bottom w:w="85" w:type="dxa"/>
            </w:tcMar>
          </w:tcPr>
          <w:p w14:paraId="4AB079D1" w14:textId="36CC9BFE" w:rsidR="00634B58" w:rsidRDefault="00634B58" w:rsidP="00F8279B">
            <w:pPr>
              <w:pStyle w:val="TableBody"/>
              <w:keepNext/>
              <w:keepLines/>
            </w:pPr>
            <w:r>
              <w:t xml:space="preserve">Earth-to-space </w:t>
            </w:r>
          </w:p>
          <w:p w14:paraId="6F3E3332" w14:textId="62892734" w:rsidR="00634B58" w:rsidRPr="00930510" w:rsidRDefault="00634B58" w:rsidP="00F8279B">
            <w:pPr>
              <w:pStyle w:val="TableBody"/>
              <w:keepNext/>
              <w:keepLines/>
            </w:pPr>
            <w:r>
              <w:t>S</w:t>
            </w:r>
            <w:r w:rsidRPr="004F504C">
              <w:t>pace-to</w:t>
            </w:r>
            <w:r>
              <w:t>-e</w:t>
            </w:r>
            <w:r w:rsidRPr="004F504C">
              <w:t xml:space="preserve">arth </w:t>
            </w:r>
          </w:p>
        </w:tc>
      </w:tr>
    </w:tbl>
    <w:p w14:paraId="1C479C61" w14:textId="2EBE8817" w:rsidR="00EE4713" w:rsidRPr="00B764AD" w:rsidRDefault="00151DA1" w:rsidP="00B764AD">
      <w:pPr>
        <w:pStyle w:val="Tableorfigurenote"/>
        <w:spacing w:after="40"/>
      </w:pPr>
      <w:r w:rsidRPr="00936B3C">
        <w:rPr>
          <w:vertAlign w:val="superscript"/>
        </w:rPr>
        <w:t>†</w:t>
      </w:r>
      <w:r w:rsidR="00936B3C">
        <w:rPr>
          <w:vertAlign w:val="superscript"/>
        </w:rPr>
        <w:t xml:space="preserve"> </w:t>
      </w:r>
      <w:r w:rsidR="00D7236B" w:rsidRPr="00B764AD">
        <w:t>Not the full band i</w:t>
      </w:r>
      <w:r w:rsidR="00611E8C" w:rsidRPr="00B764AD">
        <w:t>s licenced</w:t>
      </w:r>
      <w:r w:rsidR="00496115" w:rsidRPr="00B764AD">
        <w:t>.</w:t>
      </w:r>
    </w:p>
    <w:p w14:paraId="79683776" w14:textId="3EBDA4F8" w:rsidR="00EE4713" w:rsidRDefault="003C3786" w:rsidP="00B764AD">
      <w:pPr>
        <w:pStyle w:val="Tableorfigurenote"/>
        <w:spacing w:after="40"/>
        <w:rPr>
          <w:szCs w:val="18"/>
        </w:rPr>
      </w:pPr>
      <w:r w:rsidRPr="00B6060A">
        <w:rPr>
          <w:vertAlign w:val="superscript"/>
        </w:rPr>
        <w:t>^</w:t>
      </w:r>
      <w:r w:rsidR="002C3124" w:rsidRPr="24D09117">
        <w:rPr>
          <w:szCs w:val="18"/>
        </w:rPr>
        <w:t xml:space="preserve"> </w:t>
      </w:r>
      <w:r w:rsidR="00FC7784" w:rsidRPr="00B764AD">
        <w:rPr>
          <w:szCs w:val="18"/>
        </w:rPr>
        <w:t>GSO operators utilise 1626</w:t>
      </w:r>
      <w:r w:rsidR="002512C9" w:rsidRPr="00B764AD">
        <w:rPr>
          <w:szCs w:val="18"/>
        </w:rPr>
        <w:t>.5</w:t>
      </w:r>
      <w:r w:rsidR="00845464" w:rsidRPr="00B764AD">
        <w:rPr>
          <w:szCs w:val="18"/>
        </w:rPr>
        <w:t>–1660.5 MHz and NGSO operators utilise</w:t>
      </w:r>
      <w:r w:rsidR="005309AE" w:rsidRPr="00B764AD">
        <w:rPr>
          <w:szCs w:val="18"/>
        </w:rPr>
        <w:t xml:space="preserve"> 161</w:t>
      </w:r>
      <w:r w:rsidR="0073368D" w:rsidRPr="00B764AD">
        <w:rPr>
          <w:szCs w:val="18"/>
        </w:rPr>
        <w:t>0–1626.5 MHz based on L-band Memorandum of Understanding</w:t>
      </w:r>
      <w:r w:rsidR="00131FCA">
        <w:rPr>
          <w:szCs w:val="18"/>
        </w:rPr>
        <w:t>.</w:t>
      </w:r>
      <w:r w:rsidR="0048105F">
        <w:rPr>
          <w:rStyle w:val="FootnoteReference"/>
          <w:sz w:val="18"/>
          <w:szCs w:val="18"/>
        </w:rPr>
        <w:footnoteReference w:id="29"/>
      </w:r>
    </w:p>
    <w:p w14:paraId="01608233" w14:textId="3D067264" w:rsidR="003642ED" w:rsidRPr="00936B3C" w:rsidRDefault="003C3786" w:rsidP="00B764AD">
      <w:pPr>
        <w:pStyle w:val="Tableorfigurenote"/>
      </w:pPr>
      <w:r>
        <w:t>*</w:t>
      </w:r>
      <w:r w:rsidR="003642ED" w:rsidRPr="00936B3C">
        <w:t xml:space="preserve"> </w:t>
      </w:r>
      <w:r w:rsidR="003642ED" w:rsidRPr="00B764AD">
        <w:t>Operate in parts of the band</w:t>
      </w:r>
      <w:r w:rsidR="00061232" w:rsidRPr="00B764AD">
        <w:t xml:space="preserve"> as this is shared with other mobile</w:t>
      </w:r>
      <w:r w:rsidR="00A73606" w:rsidRPr="00B764AD">
        <w:t>-</w:t>
      </w:r>
      <w:r w:rsidR="00061232" w:rsidRPr="00B764AD">
        <w:t>satellite operato</w:t>
      </w:r>
      <w:r w:rsidR="00CE1FF0" w:rsidRPr="00B764AD">
        <w:t>rs</w:t>
      </w:r>
      <w:r w:rsidR="00131FCA">
        <w:t>.</w:t>
      </w:r>
    </w:p>
    <w:p w14:paraId="68DE114E" w14:textId="2CD912DF" w:rsidR="00A11C68" w:rsidRDefault="00032372" w:rsidP="00A11C68">
      <w:pPr>
        <w:pStyle w:val="Heading3"/>
      </w:pPr>
      <w:r>
        <w:t>Mobile-satellite service</w:t>
      </w:r>
      <w:r w:rsidR="00A11C68">
        <w:t xml:space="preserve"> spectrum requirements and deployment scenarios </w:t>
      </w:r>
    </w:p>
    <w:p w14:paraId="2A4ADF7D" w14:textId="0C6E9816" w:rsidR="00A11C68" w:rsidRDefault="00A11C68" w:rsidP="00A11C68">
      <w:r>
        <w:t xml:space="preserve">As discussed </w:t>
      </w:r>
      <w:r w:rsidR="00C44C23">
        <w:t>at</w:t>
      </w:r>
      <w:r w:rsidR="00131FCA">
        <w:t xml:space="preserve"> </w:t>
      </w:r>
      <w:hyperlink w:anchor="_Appendix_A:_Responses" w:history="1">
        <w:r w:rsidR="00131FCA" w:rsidRPr="00131FCA">
          <w:rPr>
            <w:rStyle w:val="Hyperlink"/>
          </w:rPr>
          <w:t>Appendix A: Responses to the discussion paper</w:t>
        </w:r>
      </w:hyperlink>
      <w:r w:rsidR="00C44C23">
        <w:t>,</w:t>
      </w:r>
      <w:r>
        <w:t xml:space="preserve"> mobile</w:t>
      </w:r>
      <w:r w:rsidR="00A73606">
        <w:t>-</w:t>
      </w:r>
      <w:r>
        <w:t>satellite responses to the 2019 paper indicated interest to deploy a range of applications including inflight broadband,</w:t>
      </w:r>
      <w:r w:rsidRPr="00260B3A">
        <w:t xml:space="preserve"> </w:t>
      </w:r>
      <w:r>
        <w:t>satellite IoT, remote communication services serving mining and agricultural industries, emergency and public safety communications, as well as S-band satellite t</w:t>
      </w:r>
      <w:r w:rsidRPr="00260B3A">
        <w:t xml:space="preserve">elemetry, </w:t>
      </w:r>
      <w:r>
        <w:t>t</w:t>
      </w:r>
      <w:r w:rsidRPr="00260B3A">
        <w:t xml:space="preserve">racking and </w:t>
      </w:r>
      <w:r>
        <w:t>c</w:t>
      </w:r>
      <w:r w:rsidRPr="00260B3A">
        <w:t>ommand</w:t>
      </w:r>
      <w:r>
        <w:t>.</w:t>
      </w:r>
    </w:p>
    <w:p w14:paraId="156C8572" w14:textId="534D332C" w:rsidR="00A11C68" w:rsidRDefault="00A11C68" w:rsidP="00A11C68">
      <w:r>
        <w:t>Deployment models are based on Australia wide access with spectrum requirements varying from 2 x 6 MHz for IoT applications to 2 x</w:t>
      </w:r>
      <w:r w:rsidR="00A17DEE">
        <w:t xml:space="preserve"> </w:t>
      </w:r>
      <w:r>
        <w:t xml:space="preserve">15 MHz for those looking to provide a full range of services. </w:t>
      </w:r>
    </w:p>
    <w:p w14:paraId="7F482161" w14:textId="336C75AE" w:rsidR="00A11C68" w:rsidRDefault="00A11C68" w:rsidP="00A11C68">
      <w:r>
        <w:t xml:space="preserve">Of the five respondents who indicated interest in deploying </w:t>
      </w:r>
      <w:r w:rsidR="007F6936">
        <w:t>MSS</w:t>
      </w:r>
      <w:r>
        <w:t xml:space="preserve">, four supported </w:t>
      </w:r>
      <w:r w:rsidR="00CF7083">
        <w:t>a</w:t>
      </w:r>
      <w:r>
        <w:t xml:space="preserve"> complementary ground component as a key requirement. </w:t>
      </w:r>
    </w:p>
    <w:p w14:paraId="1EA7F792" w14:textId="5A270EA4" w:rsidR="009E7AD2" w:rsidRDefault="00032372" w:rsidP="009E7AD2">
      <w:pPr>
        <w:pStyle w:val="Paragraph"/>
      </w:pPr>
      <w:r>
        <w:t>Submissions indicated</w:t>
      </w:r>
      <w:r w:rsidR="009E7AD2">
        <w:t xml:space="preserve"> the amount of spectrum required for the different </w:t>
      </w:r>
      <w:r w:rsidR="007F6936">
        <w:t>MSS</w:t>
      </w:r>
      <w:r w:rsidR="009E7AD2">
        <w:t xml:space="preserve"> varied from 2 x 15 MHz for an inflight connectivity system to 2 x 5</w:t>
      </w:r>
      <w:r>
        <w:t> </w:t>
      </w:r>
      <w:r w:rsidR="009E7AD2">
        <w:t>MHz (or 2 x 6 MHz) for an IoT system. When considering spectrum requirements and five submissions expressing an interest in the band, it becomes clear that the 2 x 30 MHz available spectrum in the 2 GHz band would not be able to accommodate all the interest shown even if all the available spectrum is allocated for mobile-satellite purposes</w:t>
      </w:r>
      <w:r w:rsidR="009E7AD2" w:rsidRPr="0064709B">
        <w:t xml:space="preserve"> </w:t>
      </w:r>
      <w:r w:rsidR="009E7AD2">
        <w:t>only.</w:t>
      </w:r>
    </w:p>
    <w:p w14:paraId="7790F111" w14:textId="22C3DE1E" w:rsidR="00A11C68" w:rsidRDefault="00941BA3" w:rsidP="00A11C68">
      <w:pPr>
        <w:pStyle w:val="Paragraph"/>
      </w:pPr>
      <w:r>
        <w:t>The ACMA has</w:t>
      </w:r>
      <w:r w:rsidR="00F90C32">
        <w:t xml:space="preserve"> observed</w:t>
      </w:r>
      <w:r w:rsidR="004D3C60">
        <w:t xml:space="preserve"> </w:t>
      </w:r>
      <w:r w:rsidR="002A2CAB">
        <w:t>fro</w:t>
      </w:r>
      <w:r w:rsidR="00BF18C8">
        <w:t>m</w:t>
      </w:r>
      <w:r w:rsidR="005F68E3">
        <w:t xml:space="preserve"> </w:t>
      </w:r>
      <w:r w:rsidR="00976EDE" w:rsidRPr="0092543A">
        <w:t xml:space="preserve">IoT </w:t>
      </w:r>
      <w:r w:rsidR="00976EDE">
        <w:t xml:space="preserve">mobile-satellite </w:t>
      </w:r>
      <w:r w:rsidR="00976EDE" w:rsidRPr="0092543A">
        <w:t xml:space="preserve">systems </w:t>
      </w:r>
      <w:r w:rsidR="005F68E3">
        <w:t>deploy</w:t>
      </w:r>
      <w:r w:rsidR="007E34F2">
        <w:t>ed</w:t>
      </w:r>
      <w:r w:rsidR="00C24121">
        <w:t xml:space="preserve"> in Australia</w:t>
      </w:r>
      <w:r w:rsidR="005F68E3">
        <w:t xml:space="preserve"> </w:t>
      </w:r>
      <w:r w:rsidR="00A11C68" w:rsidRPr="0092543A">
        <w:t xml:space="preserve">in the VHF and UHF bands </w:t>
      </w:r>
      <w:r w:rsidR="00224AE3">
        <w:t xml:space="preserve">that they </w:t>
      </w:r>
      <w:r w:rsidR="00B010FF">
        <w:t xml:space="preserve">can </w:t>
      </w:r>
      <w:r w:rsidR="00A11C68" w:rsidRPr="0092543A">
        <w:t xml:space="preserve">operate </w:t>
      </w:r>
      <w:r w:rsidR="003D117A">
        <w:t>in</w:t>
      </w:r>
      <w:r w:rsidR="009141B0">
        <w:t xml:space="preserve"> ban</w:t>
      </w:r>
      <w:r w:rsidR="00E834E2">
        <w:t>ds</w:t>
      </w:r>
      <w:r w:rsidR="001C5B43">
        <w:t xml:space="preserve"> as small as</w:t>
      </w:r>
      <w:r w:rsidR="00A11C68" w:rsidRPr="0092543A">
        <w:t xml:space="preserve"> 1 MHz</w:t>
      </w:r>
      <w:r w:rsidR="0060136C">
        <w:t xml:space="preserve"> </w:t>
      </w:r>
      <w:r w:rsidR="00A11C68" w:rsidRPr="0092543A">
        <w:t xml:space="preserve">on a shared basis between several operators. IoT </w:t>
      </w:r>
      <w:r w:rsidR="007F6936">
        <w:t>MSS</w:t>
      </w:r>
      <w:r w:rsidR="004833BA">
        <w:t xml:space="preserve"> </w:t>
      </w:r>
      <w:r w:rsidR="00A11C68" w:rsidRPr="0092543A">
        <w:t>could be supported in several forms including a shared 5 MHz channel</w:t>
      </w:r>
      <w:r w:rsidR="00692AB1">
        <w:t xml:space="preserve"> (</w:t>
      </w:r>
      <w:r w:rsidR="00692AB1" w:rsidRPr="0092543A">
        <w:t>class licen</w:t>
      </w:r>
      <w:r w:rsidR="00692AB1">
        <w:t>sed</w:t>
      </w:r>
      <w:r w:rsidR="00692AB1" w:rsidRPr="0092543A">
        <w:t>)</w:t>
      </w:r>
      <w:r w:rsidR="00A11C68" w:rsidRPr="0092543A">
        <w:t>, specific 5 MHz channels or sub-sections of the 5 MHz channels into lots of 1 MHz.</w:t>
      </w:r>
    </w:p>
    <w:p w14:paraId="0E7D2286" w14:textId="77777777" w:rsidR="00A11C68" w:rsidRPr="001F7DED" w:rsidRDefault="00A11C68" w:rsidP="00A11C68">
      <w:pPr>
        <w:pStyle w:val="Heading2"/>
      </w:pPr>
      <w:bookmarkStart w:id="128" w:name="_Toc46316387"/>
      <w:r>
        <w:lastRenderedPageBreak/>
        <w:t>W</w:t>
      </w:r>
      <w:r w:rsidRPr="001F7DED">
        <w:t>ireless broadband</w:t>
      </w:r>
      <w:bookmarkEnd w:id="128"/>
    </w:p>
    <w:p w14:paraId="71A22034" w14:textId="21B31E4F" w:rsidR="00A11C68" w:rsidRDefault="00A11C68" w:rsidP="00A11C68">
      <w:r>
        <w:t>In the context of the 2 GHz band, comparable bands in which wireless broadband services are support</w:t>
      </w:r>
      <w:r w:rsidR="000E6D1E">
        <w:t>ed</w:t>
      </w:r>
      <w:r>
        <w:t xml:space="preserve"> are considered those in the 1</w:t>
      </w:r>
      <w:r w:rsidR="00124694">
        <w:t>–</w:t>
      </w:r>
      <w:r>
        <w:t>6 GHz range, ‘mid</w:t>
      </w:r>
      <w:r w:rsidR="00B50E4E">
        <w:t>-</w:t>
      </w:r>
      <w:r>
        <w:t>band 5G</w:t>
      </w:r>
      <w:r w:rsidR="00131FCA">
        <w:t> </w:t>
      </w:r>
      <w:r>
        <w:t>spectrum’. In summary, there is 8</w:t>
      </w:r>
      <w:r w:rsidR="009D5F70">
        <w:t>0</w:t>
      </w:r>
      <w:r>
        <w:t>8 MHz of spectrum in capital city areas, 7</w:t>
      </w:r>
      <w:r w:rsidR="004739A5">
        <w:t>58-833</w:t>
      </w:r>
      <w:r w:rsidR="00131FCA">
        <w:t> </w:t>
      </w:r>
      <w:r>
        <w:t xml:space="preserve">MHz in regional areas and </w:t>
      </w:r>
      <w:r w:rsidR="00257C6F">
        <w:t>688</w:t>
      </w:r>
      <w:r>
        <w:t xml:space="preserve"> MHz in remote areas, with </w:t>
      </w:r>
      <w:r w:rsidR="00EB600E">
        <w:t>668</w:t>
      </w:r>
      <w:r>
        <w:t xml:space="preserve"> MHz of spectrum available Australia-wide. Licensing is under a mixture of apparatus and spectrum licensing.</w:t>
      </w:r>
    </w:p>
    <w:p w14:paraId="73BA6D90" w14:textId="13937A6A" w:rsidR="00A11C68" w:rsidRDefault="00A11C68" w:rsidP="00A11C68">
      <w:r>
        <w:t>In this context</w:t>
      </w:r>
      <w:r w:rsidR="00DA16F6">
        <w:t>,</w:t>
      </w:r>
      <w:r>
        <w:t xml:space="preserve"> the 2 GHz band would provide an additional six per</w:t>
      </w:r>
      <w:r w:rsidR="005B797F">
        <w:t xml:space="preserve"> </w:t>
      </w:r>
      <w:r>
        <w:t>cent</w:t>
      </w:r>
      <w:r>
        <w:rPr>
          <w:rStyle w:val="FootnoteReference"/>
        </w:rPr>
        <w:footnoteReference w:id="30"/>
      </w:r>
      <w:r>
        <w:t xml:space="preserve"> of spectrum in capital city areas. </w:t>
      </w:r>
    </w:p>
    <w:p w14:paraId="520A251F" w14:textId="208956D4" w:rsidR="00A11C68" w:rsidRDefault="00A11C68" w:rsidP="00A11C68">
      <w:r>
        <w:t xml:space="preserve">Possible deployment scenarios cover site-based regional and remote area deployments suitable to site-based apparatus licensing, as well wide area deployments in capital sites more suitable to a spectrum licencing approach. In this context with the 2 GHz band adjacent to the </w:t>
      </w:r>
      <w:r w:rsidRPr="00A26AA4">
        <w:rPr>
          <w:u w:color="0000FF"/>
        </w:rPr>
        <w:t>2 GHz spectrum licensing band</w:t>
      </w:r>
      <w:r>
        <w:t>, 2 GHz spectrum licensing areas are considered a reasonable starting point for any discussion of area definitions.</w:t>
      </w:r>
    </w:p>
    <w:p w14:paraId="6A3F012F" w14:textId="77777777" w:rsidR="00A11C68" w:rsidRPr="00333920" w:rsidRDefault="00A11C68" w:rsidP="00A11C68">
      <w:pPr>
        <w:pStyle w:val="Heading3"/>
      </w:pPr>
      <w:r>
        <w:t>Spectrum arrangements</w:t>
      </w:r>
    </w:p>
    <w:p w14:paraId="0E1D49A2" w14:textId="77777777" w:rsidR="00A11C68" w:rsidRDefault="00A11C68" w:rsidP="00A11C68">
      <w:r>
        <w:t>For wireless broadband options, the ACMA is proposing to adopt spectrum arrangements based on 3GPP band 65 arrangements for the 2 GHz band, whereby base station receive operates in the 1980–2010 MHz range and base station transmit operates in the 2170–2200 MHz range.</w:t>
      </w:r>
    </w:p>
    <w:p w14:paraId="149E925D" w14:textId="6F9E8BAC" w:rsidR="00A11C68" w:rsidRDefault="00A11C68" w:rsidP="00A11C68">
      <w:r>
        <w:t>Such arrangements are an extension of spectrum arrangements for the adjacent 2.1</w:t>
      </w:r>
      <w:r w:rsidR="004D7927">
        <w:t> </w:t>
      </w:r>
      <w:r>
        <w:t>GHz band which are based on the 3GPP band 1 arrangements (base station receivers in 1920–1980 MHz and base station transmitters in 2110–2170 MHz). This means that compatibility issues between wireless broadband providers can be expected to be very similar to existing 2.1 GHz band arrangements.</w:t>
      </w:r>
    </w:p>
    <w:p w14:paraId="2261AA57" w14:textId="1A6D4D53" w:rsidR="00A11C68" w:rsidRDefault="00A11C68" w:rsidP="00A11C68">
      <w:r>
        <w:t>Spectrum arrangements based on band 65 could be used to support the frequency extension of 2.1 GHz wireless broadband networks providing additional capacity to those networks or support separate mobile networks that are integrated with mobile</w:t>
      </w:r>
      <w:r w:rsidR="00A73606">
        <w:t>-</w:t>
      </w:r>
      <w:r>
        <w:t xml:space="preserve">satellite systems comprising a </w:t>
      </w:r>
      <w:r w:rsidR="007F6936">
        <w:t>complementary ground component</w:t>
      </w:r>
      <w:r>
        <w:t xml:space="preserve">. </w:t>
      </w:r>
    </w:p>
    <w:p w14:paraId="17D09A0F" w14:textId="537DC656" w:rsidR="00A11C68" w:rsidRDefault="00A11C68" w:rsidP="00A11C68">
      <w:r>
        <w:t>Responses from both wireless broadband and mobile</w:t>
      </w:r>
      <w:r w:rsidR="00A73606">
        <w:t>-</w:t>
      </w:r>
      <w:r>
        <w:t>satellite operators saw the adoption of such spectrum arrangements supporting 3GPP band 65 as being beneficial.</w:t>
      </w:r>
    </w:p>
    <w:p w14:paraId="38B2EBBF" w14:textId="77777777" w:rsidR="00A11C68" w:rsidRDefault="00A11C68" w:rsidP="00A11C68">
      <w:r>
        <w:t>When looking at the system bandwidths that could be deployed in the 2 GHz band, the current 3GPP standard</w:t>
      </w:r>
      <w:r>
        <w:rPr>
          <w:rStyle w:val="FootnoteReference"/>
        </w:rPr>
        <w:footnoteReference w:id="31"/>
      </w:r>
      <w:r>
        <w:t xml:space="preserve"> for NR 5G systems supports 5 MHz, 10 MHz and 20 MHz bandwidths. The implementation of an LTE 4G</w:t>
      </w:r>
      <w:r>
        <w:rPr>
          <w:rStyle w:val="FootnoteReference"/>
        </w:rPr>
        <w:footnoteReference w:id="32"/>
      </w:r>
      <w:r>
        <w:t xml:space="preserve"> system would support lower bandwidths including 1.4 MHz, 3 MHz as well as 5 MHz, 10 MHz and 20 MHz. </w:t>
      </w:r>
    </w:p>
    <w:p w14:paraId="430ABE00" w14:textId="77777777" w:rsidR="00A11C68" w:rsidRDefault="00A11C68" w:rsidP="00A11C68">
      <w:pPr>
        <w:pStyle w:val="Heading2"/>
      </w:pPr>
      <w:bookmarkStart w:id="129" w:name="_Toc46316388"/>
      <w:bookmarkStart w:id="130" w:name="_Hlk39748777"/>
      <w:r>
        <w:t>Complementary ground component</w:t>
      </w:r>
      <w:bookmarkEnd w:id="129"/>
      <w:r>
        <w:t xml:space="preserve"> </w:t>
      </w:r>
      <w:bookmarkEnd w:id="130"/>
    </w:p>
    <w:p w14:paraId="0E27E802" w14:textId="096CC5D7" w:rsidR="00A11C68" w:rsidRDefault="00A11C68" w:rsidP="00A11C68">
      <w:pPr>
        <w:pStyle w:val="Paragraph"/>
      </w:pPr>
      <w:r w:rsidRPr="001F7DED">
        <w:t xml:space="preserve">The </w:t>
      </w:r>
      <w:r>
        <w:t xml:space="preserve">complementary ground component </w:t>
      </w:r>
      <w:r w:rsidRPr="001F7DED">
        <w:t>of a mobile</w:t>
      </w:r>
      <w:r w:rsidR="00A73606">
        <w:t>-</w:t>
      </w:r>
      <w:r w:rsidRPr="001F7DED">
        <w:t xml:space="preserve">satellite service is in many respects similar to a </w:t>
      </w:r>
      <w:r>
        <w:t xml:space="preserve">wide area wireless broadband </w:t>
      </w:r>
      <w:r w:rsidRPr="001F7DED">
        <w:t xml:space="preserve">service. </w:t>
      </w:r>
      <w:r w:rsidR="070FA60D">
        <w:t>B</w:t>
      </w:r>
      <w:r>
        <w:t>oth</w:t>
      </w:r>
      <w:r w:rsidRPr="001F7DED">
        <w:t xml:space="preserve"> </w:t>
      </w:r>
      <w:r>
        <w:t xml:space="preserve">types of service </w:t>
      </w:r>
      <w:r>
        <w:lastRenderedPageBreak/>
        <w:t>involve deployment of</w:t>
      </w:r>
      <w:r w:rsidRPr="001F7DED">
        <w:t xml:space="preserve"> base stations </w:t>
      </w:r>
      <w:r>
        <w:t>communicating with</w:t>
      </w:r>
      <w:r w:rsidRPr="001F7DED">
        <w:t xml:space="preserve"> mobile terminals across a wide area</w:t>
      </w:r>
      <w:r>
        <w:t xml:space="preserve">. Accordingly, it is feasible that supporting </w:t>
      </w:r>
      <w:r w:rsidR="007F6936">
        <w:t>MSS</w:t>
      </w:r>
      <w:r>
        <w:t xml:space="preserve"> with a complementary ground component might result in the development of wide area wireless broadband networks in capital city areas. </w:t>
      </w:r>
    </w:p>
    <w:p w14:paraId="2BFC5EAF" w14:textId="7F1557D5" w:rsidR="00A11C68" w:rsidRDefault="00A11C68" w:rsidP="00A11C68">
      <w:pPr>
        <w:pStyle w:val="Paragraph"/>
      </w:pPr>
      <w:r>
        <w:t xml:space="preserve">In other jurisdictions where </w:t>
      </w:r>
      <w:r w:rsidR="007F6936">
        <w:t>complementary ground component</w:t>
      </w:r>
      <w:r>
        <w:t xml:space="preserve"> has been contemplated, the question of whether an obligation to provide an MSS service is necessary before the </w:t>
      </w:r>
      <w:r w:rsidR="007F6936">
        <w:t>complementary ground component</w:t>
      </w:r>
      <w:r>
        <w:t xml:space="preserve"> can be rolled out has been considered. The issue in question was the possibility of the MSS licensed use becoming a solely terrestrial </w:t>
      </w:r>
      <w:r w:rsidR="007F6936">
        <w:t>wireless broadband</w:t>
      </w:r>
      <w:r>
        <w:t xml:space="preserve"> network without the provision of </w:t>
      </w:r>
      <w:r w:rsidR="51531859">
        <w:t>an</w:t>
      </w:r>
      <w:r>
        <w:t xml:space="preserve"> MSS service. In some case</w:t>
      </w:r>
      <w:r w:rsidR="00D41C38">
        <w:t>s,</w:t>
      </w:r>
      <w:r>
        <w:t xml:space="preserve"> the provision of </w:t>
      </w:r>
      <w:r w:rsidR="007F6936">
        <w:t>complementary ground component</w:t>
      </w:r>
      <w:r w:rsidR="004D6A13">
        <w:t xml:space="preserve"> was </w:t>
      </w:r>
      <w:r w:rsidR="008D73A9">
        <w:t xml:space="preserve">conditional </w:t>
      </w:r>
      <w:r w:rsidR="0BEC9088">
        <w:t>upon its being</w:t>
      </w:r>
      <w:r w:rsidR="008D73A9">
        <w:t xml:space="preserve"> used </w:t>
      </w:r>
      <w:r w:rsidR="004D6A13">
        <w:t>to improve</w:t>
      </w:r>
      <w:r w:rsidR="00557E97">
        <w:t xml:space="preserve"> the </w:t>
      </w:r>
      <w:r>
        <w:t xml:space="preserve">MSS service </w:t>
      </w:r>
      <w:r w:rsidR="005D5C78">
        <w:t>availability</w:t>
      </w:r>
      <w:r w:rsidR="00AF6EC5">
        <w:t>.</w:t>
      </w:r>
      <w:r w:rsidR="00A15191">
        <w:rPr>
          <w:rStyle w:val="FootnoteReference"/>
        </w:rPr>
        <w:footnoteReference w:id="33"/>
      </w:r>
    </w:p>
    <w:p w14:paraId="0BC91DC5" w14:textId="123D4849" w:rsidR="00A11C68" w:rsidRDefault="00A11C68" w:rsidP="00A11C68">
      <w:pPr>
        <w:pStyle w:val="Paragraph"/>
      </w:pPr>
      <w:r>
        <w:t xml:space="preserve">If </w:t>
      </w:r>
      <w:r w:rsidR="00D41C38">
        <w:t>a</w:t>
      </w:r>
      <w:r>
        <w:t xml:space="preserve"> </w:t>
      </w:r>
      <w:r w:rsidR="007F6936">
        <w:t>complementary ground component</w:t>
      </w:r>
      <w:r>
        <w:t xml:space="preserve"> </w:t>
      </w:r>
      <w:r w:rsidR="006848EE">
        <w:t>were</w:t>
      </w:r>
      <w:r>
        <w:t xml:space="preserve"> to be considered in Australia these matters would also need to be considered. While these matters are most relevant to any future licence allocation work (after a decision </w:t>
      </w:r>
      <w:r w:rsidR="006B4DE7">
        <w:t>is</w:t>
      </w:r>
      <w:r>
        <w:t xml:space="preserve"> made on planned uses for the band), the ACMA is seeking industry views on the topic now to aid possible future considerations.</w:t>
      </w:r>
    </w:p>
    <w:p w14:paraId="3D87B8E7" w14:textId="715A6BBD" w:rsidR="00A11C68" w:rsidRDefault="00A11C68" w:rsidP="00A11C68">
      <w:pPr>
        <w:pStyle w:val="Heading2"/>
      </w:pPr>
      <w:bookmarkStart w:id="131" w:name="_Toc46316389"/>
      <w:r>
        <w:t>Direct air-to-ground communications spectrum considerations</w:t>
      </w:r>
      <w:bookmarkEnd w:id="131"/>
    </w:p>
    <w:p w14:paraId="1ACD4173" w14:textId="0A07C044" w:rsidR="00A11C68" w:rsidRDefault="00A11C68" w:rsidP="00A11C68">
      <w:pPr>
        <w:pStyle w:val="Paragraph"/>
      </w:pPr>
      <w:r w:rsidRPr="00805A5B">
        <w:t>Direct air-to-ground communications</w:t>
      </w:r>
      <w:r>
        <w:rPr>
          <w:b/>
          <w:bCs/>
        </w:rPr>
        <w:t xml:space="preserve"> </w:t>
      </w:r>
      <w:r>
        <w:t>is a technology that extends wireless broadband services to aircraft. Effectively</w:t>
      </w:r>
      <w:r w:rsidR="6FA9C293">
        <w:t>,</w:t>
      </w:r>
      <w:r>
        <w:t xml:space="preserve"> it provides a backhaul link between the ground and air to service Wi-Fi access points on an airplane. The same functionality can also be provided by satellite systems with in-flight connectivity provided by</w:t>
      </w:r>
      <w:r w:rsidRPr="001F7DED">
        <w:t xml:space="preserve"> </w:t>
      </w:r>
      <w:r>
        <w:t>direct air-to-ground communications</w:t>
      </w:r>
      <w:r w:rsidRPr="001F7DED">
        <w:t xml:space="preserve"> </w:t>
      </w:r>
      <w:r>
        <w:t xml:space="preserve">already provided by satellite services to commercial airlines in the Ku and Ka bands supporting gate-to-gate connectivity. For example, both Qantas and Virgin utilise satellite services to provide gate-to-gate inflight connectivity for passengers. For direct air-to-ground to provide the same coverage as current satellite services, an extensive network of ground stations would be required. </w:t>
      </w:r>
    </w:p>
    <w:p w14:paraId="02561857" w14:textId="4C5355E1" w:rsidR="00F02F27" w:rsidRDefault="000429F4" w:rsidP="00A11C68">
      <w:pPr>
        <w:pStyle w:val="Paragraph"/>
      </w:pPr>
      <w:r>
        <w:t>D</w:t>
      </w:r>
      <w:r w:rsidR="00A11C68">
        <w:t xml:space="preserve">irect air-to-ground </w:t>
      </w:r>
      <w:r w:rsidR="00AD7447">
        <w:t xml:space="preserve">communications </w:t>
      </w:r>
      <w:r w:rsidR="00A11C68">
        <w:t>is considered to have more in common with terrestrial services than satellite services</w:t>
      </w:r>
      <w:r w:rsidR="002B2FA0">
        <w:t xml:space="preserve">, therefore </w:t>
      </w:r>
      <w:r w:rsidR="0009749B">
        <w:t xml:space="preserve">for our analysis, </w:t>
      </w:r>
      <w:r w:rsidR="00A11C68">
        <w:t xml:space="preserve">direct air-to-ground will be considered as part of options supporting wireless broadband services. </w:t>
      </w:r>
      <w:r w:rsidR="00EC6858">
        <w:t>T</w:t>
      </w:r>
      <w:r w:rsidR="00E03B2C">
        <w:t xml:space="preserve">wo respondents to the 2019 discussion paper </w:t>
      </w:r>
      <w:r w:rsidR="00540DA3">
        <w:t xml:space="preserve">(Nokia and Telstra) </w:t>
      </w:r>
      <w:r w:rsidR="00E03B2C">
        <w:t xml:space="preserve">advocated for direct air-to-ground communications </w:t>
      </w:r>
      <w:r w:rsidR="00540DA3">
        <w:t>use in the 2 GHz band.</w:t>
      </w:r>
      <w:r w:rsidR="006B6184">
        <w:t xml:space="preserve"> </w:t>
      </w:r>
      <w:r w:rsidR="00094A89">
        <w:t xml:space="preserve">Telstra advised that </w:t>
      </w:r>
      <w:r w:rsidR="00EF1F8F">
        <w:t>such a</w:t>
      </w:r>
      <w:r w:rsidR="00094A89">
        <w:t xml:space="preserve"> system </w:t>
      </w:r>
      <w:r w:rsidR="00094A89" w:rsidRPr="006B05CA">
        <w:t>will require</w:t>
      </w:r>
      <w:r w:rsidR="00094A89">
        <w:t xml:space="preserve"> </w:t>
      </w:r>
      <w:r w:rsidR="00094A89" w:rsidRPr="006B05CA">
        <w:t>a minimum of 2</w:t>
      </w:r>
      <w:r w:rsidR="00094A89">
        <w:t xml:space="preserve"> x 1</w:t>
      </w:r>
      <w:r w:rsidR="00094A89" w:rsidRPr="006B05CA">
        <w:t>0 MHz</w:t>
      </w:r>
      <w:r w:rsidR="00094A89">
        <w:t xml:space="preserve">, and that in Europe 2 x 15 MHz </w:t>
      </w:r>
      <w:r w:rsidR="00EF1F8F">
        <w:t>has</w:t>
      </w:r>
      <w:r w:rsidR="00094A89">
        <w:t xml:space="preserve"> been allocated for similar systems. Nokia </w:t>
      </w:r>
      <w:r w:rsidR="00EF1F8F">
        <w:t>noted</w:t>
      </w:r>
      <w:r w:rsidR="00094A89">
        <w:t xml:space="preserve"> that direct air-to-ground systems have the advantage of being able to be scaled to provide capacity where it is needed. Whilst direct air-to-ground systems are effectively a terrestrial wireless broadband system, Nokia advised that dedicated spectrum </w:t>
      </w:r>
      <w:r w:rsidR="000C48C5">
        <w:t>is required</w:t>
      </w:r>
      <w:r w:rsidR="00094A89">
        <w:t xml:space="preserve"> for each air-to-ground operator to sustain high-speed broadband services to users.</w:t>
      </w:r>
    </w:p>
    <w:p w14:paraId="7A1F6513" w14:textId="70D795CA" w:rsidR="00A11C68" w:rsidRDefault="00A11C68" w:rsidP="00A11C68">
      <w:pPr>
        <w:pStyle w:val="Paragraph"/>
      </w:pPr>
      <w:r>
        <w:t xml:space="preserve">While the ACMA has not previously considered licensing arrangements to support direct air-to-ground communications networks, it is possible that such systems could be licensed via spectrum licensing (for example capital cities and regional areas) supporting coverage for areas of anticipated usage (major air traffic routes). Outside of these areas an apparatus licence approach of authorising each station in the network could be employed to facilitate usage by other services in areas where direct air-to-ground communications is not envisaged. </w:t>
      </w:r>
    </w:p>
    <w:p w14:paraId="217583AA" w14:textId="77777777" w:rsidR="00A11C68" w:rsidRDefault="00A11C68" w:rsidP="00A11C68">
      <w:pPr>
        <w:pStyle w:val="Paragraph"/>
      </w:pPr>
      <w:r>
        <w:lastRenderedPageBreak/>
        <w:t xml:space="preserve">Wide-area spectrum licensing would provide maximum flexibility for a licensee to deploy any </w:t>
      </w:r>
      <w:r w:rsidRPr="001E5818">
        <w:t xml:space="preserve">technology </w:t>
      </w:r>
      <w:r>
        <w:t>in any configuration if</w:t>
      </w:r>
      <w:r w:rsidRPr="001E5818">
        <w:t xml:space="preserve"> it complies with the terms and conditions of the licence</w:t>
      </w:r>
      <w:r>
        <w:t xml:space="preserve">. The licensee would be responsible for managing interference between devices in the network. Under a spectrum licensing approach, the choice to deploy a terrestrial wireless broadband system or a </w:t>
      </w:r>
      <w:r w:rsidRPr="001F7DED">
        <w:t>direct air-to-ground communications</w:t>
      </w:r>
      <w:r>
        <w:t xml:space="preserve"> systems would be a matter for the licensee.</w:t>
      </w:r>
    </w:p>
    <w:p w14:paraId="3448CAAE" w14:textId="199A59B3" w:rsidR="00A11C68" w:rsidRDefault="00A11C68" w:rsidP="00A11C68">
      <w:pPr>
        <w:pStyle w:val="Paragraph"/>
      </w:pPr>
      <w:r>
        <w:t xml:space="preserve">Outside of spectrum licensing areas the deployment of individual direct air-to-ground devices under an apparatus licensing regime would more readily facilitate the deployment of one or more co-existing services, as these could be coordinated on a site-by-site basis. </w:t>
      </w:r>
      <w:r w:rsidR="58E73D78">
        <w:t>However,</w:t>
      </w:r>
      <w:r>
        <w:t xml:space="preserve"> such an approach would mean expansion of a direct air-to-ground communications network would be dependent on spectrum availability in the desired area. </w:t>
      </w:r>
    </w:p>
    <w:p w14:paraId="67943858" w14:textId="03D4AE0F" w:rsidR="00A11C68" w:rsidRPr="001F7DED" w:rsidRDefault="00A11C68" w:rsidP="00A11C68">
      <w:pPr>
        <w:pStyle w:val="Heading2"/>
      </w:pPr>
      <w:bookmarkStart w:id="132" w:name="_Toc40730177"/>
      <w:bookmarkStart w:id="133" w:name="_Toc46316390"/>
      <w:r w:rsidRPr="001F7DED">
        <w:t>Mobile</w:t>
      </w:r>
      <w:r w:rsidR="00A73606">
        <w:t>-</w:t>
      </w:r>
      <w:r w:rsidRPr="001F7DED">
        <w:t>satellite service</w:t>
      </w:r>
      <w:bookmarkEnd w:id="132"/>
      <w:r>
        <w:t xml:space="preserve"> regulatory and licensing considerations</w:t>
      </w:r>
      <w:bookmarkEnd w:id="133"/>
    </w:p>
    <w:p w14:paraId="3C427E95" w14:textId="77777777" w:rsidR="00A11C68" w:rsidRDefault="00A11C68" w:rsidP="00A11C68">
      <w:pPr>
        <w:pStyle w:val="Heading3"/>
      </w:pPr>
      <w:r>
        <w:t>International regulations</w:t>
      </w:r>
    </w:p>
    <w:p w14:paraId="5DFEE235" w14:textId="77777777" w:rsidR="00A11C68" w:rsidRDefault="00A11C68" w:rsidP="00A11C68">
      <w:pPr>
        <w:pStyle w:val="Paragraph"/>
      </w:pPr>
      <w:r>
        <w:t>Before operating a satellite system</w:t>
      </w:r>
      <w:r>
        <w:rPr>
          <w:rStyle w:val="FootnoteReference"/>
        </w:rPr>
        <w:footnoteReference w:id="34"/>
      </w:r>
      <w:r>
        <w:t xml:space="preserve"> in Australia, the technical details of the network must be filed with the ITU</w:t>
      </w:r>
      <w:r>
        <w:rPr>
          <w:rStyle w:val="FootnoteReference"/>
        </w:rPr>
        <w:footnoteReference w:id="35"/>
      </w:r>
      <w:r>
        <w:t xml:space="preserve"> for inclusion in the </w:t>
      </w:r>
      <w:r w:rsidRPr="001F4B57">
        <w:t>Master International Frequency Register</w:t>
      </w:r>
      <w:r>
        <w:t>. Satellite systems may be filed through any national administration recognised by the ITU.</w:t>
      </w:r>
    </w:p>
    <w:p w14:paraId="1639016B" w14:textId="77777777" w:rsidR="00A11C68" w:rsidRDefault="00A11C68" w:rsidP="00A11C68">
      <w:pPr>
        <w:pStyle w:val="Paragraph"/>
      </w:pPr>
      <w:r>
        <w:t xml:space="preserve">The ACMA’s procedures for filing satellite systems with ITU are specified in </w:t>
      </w:r>
      <w:hyperlink r:id="rId73" w:history="1">
        <w:r w:rsidRPr="007B1A21">
          <w:rPr>
            <w:rStyle w:val="Hyperlink"/>
            <w:iCs/>
          </w:rPr>
          <w:t>Australian procedures for the coordination and notification of satellite systems</w:t>
        </w:r>
      </w:hyperlink>
      <w:r>
        <w:t>.</w:t>
      </w:r>
    </w:p>
    <w:p w14:paraId="02837F64" w14:textId="5319A972" w:rsidR="00A11C68" w:rsidRDefault="00A11C68" w:rsidP="00A11C68">
      <w:pPr>
        <w:pStyle w:val="Heading3"/>
      </w:pPr>
      <w:r>
        <w:t>Coordination between mobile</w:t>
      </w:r>
      <w:r w:rsidR="00A73606">
        <w:t>-</w:t>
      </w:r>
      <w:r>
        <w:t xml:space="preserve">satellite systems </w:t>
      </w:r>
    </w:p>
    <w:p w14:paraId="09BAE1B8" w14:textId="52F9B91B" w:rsidR="00A11C68" w:rsidRDefault="00A11C68" w:rsidP="00A11C68">
      <w:pPr>
        <w:pStyle w:val="Paragraph"/>
      </w:pPr>
      <w:r>
        <w:t>User terminals in mobile</w:t>
      </w:r>
      <w:r w:rsidR="00A73606">
        <w:t>-</w:t>
      </w:r>
      <w:r>
        <w:t xml:space="preserve">satellite systems </w:t>
      </w:r>
      <w:r w:rsidR="00D86A8D">
        <w:t>in</w:t>
      </w:r>
      <w:r w:rsidR="007A51EF">
        <w:t xml:space="preserve"> </w:t>
      </w:r>
      <w:r w:rsidR="00A67140">
        <w:t xml:space="preserve">the 2 GHz and L-band </w:t>
      </w:r>
      <w:r>
        <w:t xml:space="preserve">typically operating using omni-directional antennas. Meaning that user terminals can receive signals from other satellite systems operating on the same frequency. Similarly, satellite receivers can receive signals from user terminals transmitting in other satellite systems operating on the same frequency. </w:t>
      </w:r>
    </w:p>
    <w:p w14:paraId="617200C6" w14:textId="516FF07B" w:rsidR="00A11C68" w:rsidRPr="0028548A" w:rsidRDefault="00A11C68" w:rsidP="00A11C68">
      <w:pPr>
        <w:pStyle w:val="Paragraph"/>
      </w:pPr>
      <w:r>
        <w:t>Consequently, coordination between mobile</w:t>
      </w:r>
      <w:r w:rsidR="00A73606">
        <w:t>-</w:t>
      </w:r>
      <w:r>
        <w:t xml:space="preserve">satellite systems is largely </w:t>
      </w:r>
      <w:r w:rsidR="002C7B1E">
        <w:t xml:space="preserve">concerned with </w:t>
      </w:r>
      <w:r>
        <w:t xml:space="preserve">band segmentation (segmenting the band between different operators). Division of spectrum between satellite operators is considered a licence allocation issue (refer </w:t>
      </w:r>
      <w:r w:rsidR="6EEBEC3E">
        <w:t>to the</w:t>
      </w:r>
      <w:r>
        <w:t xml:space="preserve"> section</w:t>
      </w:r>
      <w:r w:rsidR="5DD1CF14">
        <w:t xml:space="preserve"> below</w:t>
      </w:r>
      <w:r>
        <w:t xml:space="preserve"> “Licence allocation process</w:t>
      </w:r>
      <w:r w:rsidR="6D46982A">
        <w:t>"</w:t>
      </w:r>
      <w:r>
        <w:t xml:space="preserve">). </w:t>
      </w:r>
    </w:p>
    <w:p w14:paraId="6D948DD9" w14:textId="09A4153D" w:rsidR="00A11C68" w:rsidRPr="0028548A" w:rsidRDefault="00A11C68" w:rsidP="00A11C68">
      <w:pPr>
        <w:pStyle w:val="Paragraph"/>
      </w:pPr>
      <w:r>
        <w:t>An exception to th</w:t>
      </w:r>
      <w:r w:rsidR="005217D8">
        <w:t xml:space="preserve">is approach relates to </w:t>
      </w:r>
      <w:r>
        <w:t>satellite IoT systems where consistency is considered feasible due to the low</w:t>
      </w:r>
      <w:r w:rsidR="00B92F03">
        <w:t>-</w:t>
      </w:r>
      <w:r>
        <w:t>duty</w:t>
      </w:r>
      <w:r w:rsidR="00B92F03">
        <w:t>-</w:t>
      </w:r>
      <w:r>
        <w:t xml:space="preserve">cycle, low power, intermittency and modulation scheme, such that operation under a class licensing approach could be feasible. </w:t>
      </w:r>
      <w:r w:rsidR="00A825DB">
        <w:t xml:space="preserve">For example, </w:t>
      </w:r>
      <w:r>
        <w:t xml:space="preserve">terrestrial IoT systems are supported under class licence arrangements </w:t>
      </w:r>
      <w:r w:rsidR="318F68D5">
        <w:t>in</w:t>
      </w:r>
      <w:r>
        <w:t xml:space="preserve"> the </w:t>
      </w:r>
      <w:hyperlink r:id="rId74">
        <w:r w:rsidRPr="30ADFE51">
          <w:rPr>
            <w:rStyle w:val="Hyperlink"/>
          </w:rPr>
          <w:t>Radiocommunications (Low Interference Potential Devices) Class Licence 2015</w:t>
        </w:r>
      </w:hyperlink>
      <w:r>
        <w:t>. It is acknowledged that there could an upper limit on the number of satellite IoT systems that could operate on such a basis and industry views are on this matter</w:t>
      </w:r>
      <w:r w:rsidR="0045397D">
        <w:t xml:space="preserve"> are sought</w:t>
      </w:r>
      <w:r>
        <w:t>.</w:t>
      </w:r>
      <w:r w:rsidR="0045397D">
        <w:t xml:space="preserve"> </w:t>
      </w:r>
    </w:p>
    <w:p w14:paraId="7712BE42" w14:textId="77777777" w:rsidR="00A11C68" w:rsidRDefault="00A11C68" w:rsidP="00A11C68">
      <w:pPr>
        <w:pStyle w:val="Heading3"/>
      </w:pPr>
      <w:r>
        <w:t>Licensing</w:t>
      </w:r>
    </w:p>
    <w:p w14:paraId="2519D0B5" w14:textId="4C53A525" w:rsidR="00A11C68" w:rsidRDefault="00A11C68" w:rsidP="00A11C68">
      <w:pPr>
        <w:pStyle w:val="ACMASpaceaftertable"/>
        <w:tabs>
          <w:tab w:val="left" w:pos="993"/>
          <w:tab w:val="left" w:pos="1276"/>
        </w:tabs>
      </w:pPr>
      <w:r>
        <w:t>As for all other types of radiocommunications, a satellite network may not be operated in Australia without a licence. To date</w:t>
      </w:r>
      <w:r w:rsidR="00C35D36">
        <w:t>,</w:t>
      </w:r>
      <w:r>
        <w:t xml:space="preserve"> licensing of space systems has been under the apparatus licensing </w:t>
      </w:r>
      <w:r w:rsidR="00C35D36">
        <w:t>arrangements</w:t>
      </w:r>
      <w:r>
        <w:t xml:space="preserve">. However, if a spectrum licensing approach is </w:t>
      </w:r>
      <w:r>
        <w:lastRenderedPageBreak/>
        <w:t>employed as a licence allocation process, exploration of whether the equivalent features are required and whether they could be included under spectrum licensing would require further consideration.</w:t>
      </w:r>
    </w:p>
    <w:p w14:paraId="6A68646D" w14:textId="77777777" w:rsidR="00A11C68" w:rsidRDefault="00A11C68" w:rsidP="00A11C68">
      <w:pPr>
        <w:pStyle w:val="ACMASpaceaftertable"/>
        <w:tabs>
          <w:tab w:val="left" w:pos="993"/>
          <w:tab w:val="left" w:pos="1276"/>
        </w:tabs>
      </w:pPr>
      <w:r>
        <w:t>In general, there are two broad options for licensing of space systems in Australia.</w:t>
      </w:r>
    </w:p>
    <w:p w14:paraId="41E19E09" w14:textId="76CF7317" w:rsidR="00A11C68" w:rsidRDefault="00A11C68" w:rsidP="00A11C68">
      <w:pPr>
        <w:pStyle w:val="Paragraph"/>
      </w:pPr>
      <w:r>
        <w:t xml:space="preserve">The first option requires operators to obtain apparatus licences for each of their earth stations individually: an </w:t>
      </w:r>
      <w:r w:rsidRPr="001F4B57">
        <w:rPr>
          <w:iCs/>
        </w:rPr>
        <w:t>earth licence</w:t>
      </w:r>
      <w:r>
        <w:t xml:space="preserve"> for the uplink and an </w:t>
      </w:r>
      <w:r w:rsidRPr="001F4B57">
        <w:rPr>
          <w:iCs/>
        </w:rPr>
        <w:t>earth receive licence</w:t>
      </w:r>
      <w:r>
        <w:t xml:space="preserve"> for the downlink. Under this approach, a licence is not </w:t>
      </w:r>
      <w:r w:rsidR="00475B9B">
        <w:t xml:space="preserve">necessary </w:t>
      </w:r>
      <w:r>
        <w:t>for the space stations aboard a satellite. This method of licensing is typically used for fixed satellite services with a limited number of earth stations.</w:t>
      </w:r>
    </w:p>
    <w:p w14:paraId="0778A374" w14:textId="77777777" w:rsidR="00A11C68" w:rsidRDefault="00A11C68" w:rsidP="00A11C68">
      <w:pPr>
        <w:pStyle w:val="Paragraph"/>
      </w:pPr>
      <w:r>
        <w:t xml:space="preserve">The second option involves a combination of apparatus and class licences. In certain bands specified in the </w:t>
      </w:r>
      <w:bookmarkStart w:id="134" w:name="_Hlk2609725"/>
      <w:r>
        <w:fldChar w:fldCharType="begin"/>
      </w:r>
      <w:r>
        <w:instrText xml:space="preserve"> HYPERLINK "https://www.legislation.gov.au/Series/F2015L01486" </w:instrText>
      </w:r>
      <w:r>
        <w:fldChar w:fldCharType="separate"/>
      </w:r>
      <w:r w:rsidRPr="001F4B57">
        <w:rPr>
          <w:rStyle w:val="Hyperlink"/>
          <w:iCs/>
        </w:rPr>
        <w:t>Radiocommunications</w:t>
      </w:r>
      <w:bookmarkEnd w:id="134"/>
      <w:r w:rsidRPr="001F4B57">
        <w:rPr>
          <w:rStyle w:val="Hyperlink"/>
          <w:iCs/>
        </w:rPr>
        <w:t xml:space="preserve"> (Communication with Space Object) Class Licence 2015</w:t>
      </w:r>
      <w:r>
        <w:fldChar w:fldCharType="end"/>
      </w:r>
      <w:r>
        <w:t xml:space="preserve"> (the Space Object Class Licence), operators may licence the space stations aboard a satellite with a </w:t>
      </w:r>
      <w:r w:rsidRPr="001F4B57">
        <w:t>space licence</w:t>
      </w:r>
      <w:r>
        <w:t xml:space="preserve"> for the downlink and a </w:t>
      </w:r>
      <w:r w:rsidRPr="001F4B57">
        <w:t>space receive licence</w:t>
      </w:r>
      <w:r>
        <w:t xml:space="preserve"> for the uplink. Earth stations in the network are then automatically authorised collectively under </w:t>
      </w:r>
      <w:bookmarkStart w:id="135" w:name="_Hlk347270"/>
      <w:r>
        <w:t>the</w:t>
      </w:r>
      <w:bookmarkEnd w:id="135"/>
      <w:r>
        <w:t xml:space="preserve"> Space Object Class Licence. This approach is typically used for satellite systems with numerous or ubiquitous earth stations. It provides an efficient means of licensing a large number of earth stations, avoiding the need to obtain a licence for every earth station in a satellite system. </w:t>
      </w:r>
    </w:p>
    <w:p w14:paraId="3A2346FF" w14:textId="189B67A6" w:rsidR="00A11C68" w:rsidRDefault="00A11C68" w:rsidP="00A11C68">
      <w:pPr>
        <w:pStyle w:val="Paragraph"/>
      </w:pPr>
      <w:r>
        <w:t>A mobile</w:t>
      </w:r>
      <w:r w:rsidR="00A73606">
        <w:t>-</w:t>
      </w:r>
      <w:r>
        <w:t xml:space="preserve">satellite service operating in the 2 GHz band would be expected to require the second method of licensing, as it would likely involve deployment of an indeterminate and varying number of mobile user terminals or earth stations. Consequently, the ACMA would need to amend the Space Object Class Licence to facilitate use of the 2 GHz band and consider whether any revisions are required to the ACMA procedures for </w:t>
      </w:r>
      <w:hyperlink r:id="rId75">
        <w:r w:rsidRPr="5E117CAC">
          <w:rPr>
            <w:rStyle w:val="Hyperlink"/>
          </w:rPr>
          <w:t>Submission and processing of applications for space and space receive apparatus licences</w:t>
        </w:r>
      </w:hyperlink>
      <w:r>
        <w:t>.</w:t>
      </w:r>
    </w:p>
    <w:p w14:paraId="766784C4" w14:textId="640269CE" w:rsidR="00A11C68" w:rsidRDefault="00A11C68" w:rsidP="00A11C68">
      <w:pPr>
        <w:pStyle w:val="Paragraph"/>
      </w:pPr>
      <w:r>
        <w:t xml:space="preserve">For an earth station to be authorised to operate under the Space Object Class Licence, the related space object must either be an Australian space object listed in the </w:t>
      </w:r>
      <w:hyperlink r:id="rId76" w:history="1">
        <w:r>
          <w:rPr>
            <w:rStyle w:val="Hyperlink"/>
          </w:rPr>
          <w:t>Australian Space Objects Determination</w:t>
        </w:r>
      </w:hyperlink>
      <w:r>
        <w:t xml:space="preserve"> or a </w:t>
      </w:r>
      <w:r w:rsidR="000D1BD9">
        <w:t xml:space="preserve">foreign </w:t>
      </w:r>
      <w:r>
        <w:t xml:space="preserve">space object that is owned, controlled or operated by a company/entity listed in the </w:t>
      </w:r>
      <w:hyperlink r:id="rId77" w:history="1">
        <w:r>
          <w:rPr>
            <w:rStyle w:val="Hyperlink"/>
            <w:rFonts w:eastAsiaTheme="minorHAnsi"/>
            <w:szCs w:val="20"/>
          </w:rPr>
          <w:t>Foreign Space Objects Determination</w:t>
        </w:r>
      </w:hyperlink>
      <w:r>
        <w:t>.</w:t>
      </w:r>
    </w:p>
    <w:p w14:paraId="7C5D5520" w14:textId="0F7F2076" w:rsidR="00A11C68" w:rsidRDefault="00A11C68" w:rsidP="00A11C68">
      <w:pPr>
        <w:pStyle w:val="Paragraph"/>
      </w:pPr>
      <w:r w:rsidRPr="00431926">
        <w:t xml:space="preserve">Before varying the </w:t>
      </w:r>
      <w:r>
        <w:t xml:space="preserve">Space Object Class Licence, the Australian Space Objects Determination or the </w:t>
      </w:r>
      <w:r w:rsidRPr="00431926">
        <w:t xml:space="preserve">Foreign Space Objects Determination, the ACMA </w:t>
      </w:r>
      <w:r w:rsidR="06DCF94A">
        <w:t>would</w:t>
      </w:r>
      <w:r w:rsidRPr="00431926">
        <w:t xml:space="preserve"> undertake </w:t>
      </w:r>
      <w:r>
        <w:t xml:space="preserve">consultation in accordance with the requirements of the </w:t>
      </w:r>
      <w:r>
        <w:rPr>
          <w:i/>
          <w:iCs/>
        </w:rPr>
        <w:t>Legislation Act 2003</w:t>
      </w:r>
      <w:r>
        <w:t>. This typically involves publication of a discussion paper with a period for submission of comments from interested parties.</w:t>
      </w:r>
    </w:p>
    <w:p w14:paraId="2397ABA1" w14:textId="77777777" w:rsidR="00A11C68" w:rsidRPr="00615474" w:rsidRDefault="00A11C68" w:rsidP="00A11C68">
      <w:pPr>
        <w:pStyle w:val="Heading4"/>
      </w:pPr>
      <w:bookmarkStart w:id="136" w:name="_Toc392151131"/>
      <w:bookmarkStart w:id="137" w:name="_Toc488388555"/>
      <w:bookmarkStart w:id="138" w:name="_Toc490747827"/>
      <w:bookmarkStart w:id="139" w:name="_Toc392147078"/>
      <w:bookmarkStart w:id="140" w:name="_Toc478115632"/>
      <w:bookmarkStart w:id="141" w:name="_Toc478115882"/>
      <w:bookmarkStart w:id="142" w:name="_Toc480354432"/>
      <w:bookmarkStart w:id="143" w:name="_Toc483400687"/>
      <w:bookmarkStart w:id="144" w:name="_Ref488394499"/>
      <w:bookmarkStart w:id="145" w:name="_Ref488394547"/>
      <w:bookmarkStart w:id="146" w:name="_Toc490122666"/>
      <w:r w:rsidRPr="00BC3A27">
        <w:t>Consultation</w:t>
      </w:r>
      <w:r w:rsidRPr="00615474">
        <w:t xml:space="preserve"> with relevant </w:t>
      </w:r>
      <w:r>
        <w:t>g</w:t>
      </w:r>
      <w:r w:rsidRPr="00615474">
        <w:t xml:space="preserve">overnment </w:t>
      </w:r>
      <w:r w:rsidRPr="003B509C">
        <w:t>organisations</w:t>
      </w:r>
      <w:bookmarkEnd w:id="136"/>
      <w:bookmarkEnd w:id="137"/>
      <w:bookmarkEnd w:id="138"/>
    </w:p>
    <w:p w14:paraId="0CA014D6" w14:textId="77777777" w:rsidR="00A11C68" w:rsidRPr="00615474" w:rsidRDefault="00A11C68" w:rsidP="00A11C68">
      <w:pPr>
        <w:keepNext/>
        <w:spacing w:after="80"/>
      </w:pPr>
      <w:r w:rsidRPr="00615474">
        <w:t xml:space="preserve">Due to possible security issues associated with foreign ownership of aspects of space communications, applications </w:t>
      </w:r>
      <w:r>
        <w:t>for space-based comm</w:t>
      </w:r>
      <w:r w:rsidRPr="00615474">
        <w:t>u</w:t>
      </w:r>
      <w:r>
        <w:t>nication systems m</w:t>
      </w:r>
      <w:r w:rsidRPr="00615474">
        <w:t xml:space="preserve">ay be subject to wider government consultation. </w:t>
      </w:r>
      <w:r>
        <w:t>Under current requirements</w:t>
      </w:r>
      <w:r>
        <w:rPr>
          <w:rStyle w:val="FootnoteReference"/>
        </w:rPr>
        <w:footnoteReference w:id="36"/>
      </w:r>
      <w:r w:rsidRPr="00615474">
        <w:t xml:space="preserve"> general</w:t>
      </w:r>
      <w:r>
        <w:t>ly</w:t>
      </w:r>
      <w:r w:rsidRPr="00615474">
        <w:t>, the ACMA will consult with relevant organisations in the following situations:</w:t>
      </w:r>
    </w:p>
    <w:p w14:paraId="744C04F2" w14:textId="77777777" w:rsidR="00A11C68" w:rsidRPr="00615474" w:rsidRDefault="00A11C68" w:rsidP="00A11C68">
      <w:pPr>
        <w:pStyle w:val="ListBullet"/>
      </w:pPr>
      <w:r w:rsidRPr="00615474">
        <w:t>new missions by existing ground stations that support (or suggest support) of foreign space systems, including the launch or early orbit phases</w:t>
      </w:r>
    </w:p>
    <w:p w14:paraId="2366A264" w14:textId="77777777" w:rsidR="00A11C68" w:rsidRPr="00615474" w:rsidRDefault="00A11C68" w:rsidP="00A11C68">
      <w:pPr>
        <w:pStyle w:val="ListBullet"/>
      </w:pPr>
      <w:r w:rsidRPr="00615474">
        <w:t>new foreign owned, or partly foreign owned, earth stations and space support equipment</w:t>
      </w:r>
      <w:r w:rsidRPr="00615474">
        <w:rPr>
          <w:vertAlign w:val="superscript"/>
        </w:rPr>
        <w:footnoteReference w:id="37"/>
      </w:r>
    </w:p>
    <w:p w14:paraId="33708E27" w14:textId="77777777" w:rsidR="00A11C68" w:rsidRPr="00615474" w:rsidRDefault="00A11C68" w:rsidP="00A11C68">
      <w:pPr>
        <w:pStyle w:val="ListBulletLast"/>
      </w:pPr>
      <w:r w:rsidRPr="00615474">
        <w:lastRenderedPageBreak/>
        <w:t>new Australian</w:t>
      </w:r>
      <w:r>
        <w:t>-</w:t>
      </w:r>
      <w:r w:rsidRPr="00615474">
        <w:t>owned earth stations that will provide support to foreign space systems including launch or early orbit phases, except where the foreign space system is used solely for commercial communications (for example</w:t>
      </w:r>
      <w:r>
        <w:t>,</w:t>
      </w:r>
      <w:r w:rsidRPr="00615474">
        <w:t xml:space="preserve"> television broadcasting).</w:t>
      </w:r>
    </w:p>
    <w:p w14:paraId="000A2E03" w14:textId="72250B27" w:rsidR="00A11C68" w:rsidRDefault="00A11C68" w:rsidP="00A11C68">
      <w:r>
        <w:t>In the event that all of part of the 2 GHz band is allocated to the mobile</w:t>
      </w:r>
      <w:r w:rsidR="00A73606">
        <w:t>-</w:t>
      </w:r>
      <w:r>
        <w:t>satellite service, the ACMA would need to consider how these requirements apply, including possible wider consultation within government.</w:t>
      </w:r>
      <w:bookmarkEnd w:id="139"/>
      <w:bookmarkEnd w:id="140"/>
      <w:bookmarkEnd w:id="141"/>
      <w:bookmarkEnd w:id="142"/>
      <w:bookmarkEnd w:id="143"/>
      <w:bookmarkEnd w:id="144"/>
      <w:bookmarkEnd w:id="145"/>
      <w:bookmarkEnd w:id="146"/>
    </w:p>
    <w:p w14:paraId="2193D347" w14:textId="77777777" w:rsidR="00A11C68" w:rsidRDefault="00A11C68" w:rsidP="00A11C68">
      <w:pPr>
        <w:pStyle w:val="Heading3"/>
      </w:pPr>
      <w:r>
        <w:t>Licence allocation process</w:t>
      </w:r>
    </w:p>
    <w:p w14:paraId="3F1D0863" w14:textId="77777777" w:rsidR="00A11C68" w:rsidRDefault="00A11C68" w:rsidP="00A11C68">
      <w:pPr>
        <w:pStyle w:val="Paragraph"/>
      </w:pPr>
      <w:r>
        <w:t xml:space="preserve">Like most apparatus licences, licences or space-based communication systems are typically granted by the ACMA on a first-in-time basis, subject to meeting requirements of the procedures for </w:t>
      </w:r>
      <w:hyperlink r:id="rId78">
        <w:r w:rsidRPr="2C8B790A">
          <w:rPr>
            <w:rStyle w:val="Hyperlink"/>
          </w:rPr>
          <w:t>Submission and processing of applications for space and space receive apparatus licences</w:t>
        </w:r>
      </w:hyperlink>
      <w:r>
        <w:t xml:space="preserve"> and, if necessary, coordination with existing licensed services. </w:t>
      </w:r>
    </w:p>
    <w:p w14:paraId="57D78AEA" w14:textId="5CC3BFC7" w:rsidR="00A11C68" w:rsidRDefault="00A11C68" w:rsidP="00A11C68">
      <w:pPr>
        <w:pStyle w:val="Paragraph"/>
      </w:pPr>
      <w:r>
        <w:t xml:space="preserve">In the event that all </w:t>
      </w:r>
      <w:r w:rsidR="008B5853">
        <w:t xml:space="preserve">or </w:t>
      </w:r>
      <w:r>
        <w:t>part of the 2 GHz band is allocated to the mobile</w:t>
      </w:r>
      <w:r w:rsidR="00A73606">
        <w:t>-</w:t>
      </w:r>
      <w:r>
        <w:t xml:space="preserve">satellite service, a number of operators are likely to seek access to the spectrum. Indications of their spectrum requirements suggest that demand </w:t>
      </w:r>
      <w:r w:rsidR="00584F10">
        <w:t xml:space="preserve">from satellite operators </w:t>
      </w:r>
      <w:r>
        <w:t>would significantly exceed the 2 x 30 MHz available in the band. Under such a scenario</w:t>
      </w:r>
      <w:r w:rsidR="0076369F">
        <w:t xml:space="preserve"> of demand exceeding supply</w:t>
      </w:r>
      <w:r w:rsidR="00FB4367">
        <w:t>,</w:t>
      </w:r>
      <w:r>
        <w:t xml:space="preserve"> the ACMA </w:t>
      </w:r>
      <w:r w:rsidR="00AD46CE">
        <w:t xml:space="preserve">generally </w:t>
      </w:r>
      <w:r>
        <w:t>consider</w:t>
      </w:r>
      <w:r w:rsidR="00AD46CE">
        <w:t>s</w:t>
      </w:r>
      <w:r>
        <w:t xml:space="preserve"> whether to employ a price</w:t>
      </w:r>
      <w:r w:rsidRPr="629A9D79">
        <w:rPr>
          <w:rFonts w:ascii="Cambria Math" w:hAnsi="Cambria Math" w:cs="Cambria Math"/>
        </w:rPr>
        <w:t>‑</w:t>
      </w:r>
      <w:r>
        <w:t xml:space="preserve">based allocation system (section 106 of the Radiocommunications Act) or spectrum licensing; essentially allocation of licences using market mechanisms. </w:t>
      </w:r>
    </w:p>
    <w:p w14:paraId="02F921C2" w14:textId="59276377" w:rsidR="00A11C68" w:rsidRDefault="00A11C68" w:rsidP="00A11C68">
      <w:pPr>
        <w:pStyle w:val="Paragraph"/>
      </w:pPr>
      <w:r>
        <w:t xml:space="preserve">If such </w:t>
      </w:r>
      <w:r w:rsidR="00AD46CE">
        <w:t>allocation</w:t>
      </w:r>
      <w:r>
        <w:t xml:space="preserve"> arrangements are pursued, the ACMA will need to consider how and when to apply the usual regulatory pre-requisites for ITU filing and inclusion </w:t>
      </w:r>
      <w:r w:rsidR="00464081">
        <w:t>into</w:t>
      </w:r>
      <w:r>
        <w:t xml:space="preserve"> </w:t>
      </w:r>
      <w:r w:rsidR="00CF161D">
        <w:t xml:space="preserve">the </w:t>
      </w:r>
      <w:hyperlink r:id="rId79" w:history="1">
        <w:r w:rsidR="00CF161D">
          <w:rPr>
            <w:rStyle w:val="Hyperlink"/>
          </w:rPr>
          <w:t>Australian Space Objects Determination</w:t>
        </w:r>
      </w:hyperlink>
      <w:r w:rsidR="00CF161D">
        <w:t xml:space="preserve"> or </w:t>
      </w:r>
      <w:hyperlink r:id="rId80" w:history="1">
        <w:r w:rsidR="00CF161D">
          <w:rPr>
            <w:rStyle w:val="Hyperlink"/>
            <w:rFonts w:eastAsiaTheme="minorHAnsi"/>
            <w:szCs w:val="20"/>
          </w:rPr>
          <w:t>Foreign Space Objects Determination</w:t>
        </w:r>
      </w:hyperlink>
      <w:r w:rsidR="00CF161D">
        <w:t xml:space="preserve"> </w:t>
      </w:r>
      <w:r w:rsidR="00BC4209">
        <w:t>if required</w:t>
      </w:r>
      <w:r w:rsidR="00CF161D">
        <w:t xml:space="preserve">. </w:t>
      </w:r>
    </w:p>
    <w:p w14:paraId="2A90AE6C" w14:textId="42355A8D" w:rsidR="00A11C68" w:rsidRDefault="00A11C68" w:rsidP="00A11C68">
      <w:pPr>
        <w:pStyle w:val="Heading3"/>
      </w:pPr>
      <w:r>
        <w:t>Mobile</w:t>
      </w:r>
      <w:r w:rsidR="00A73606">
        <w:t>-</w:t>
      </w:r>
      <w:r>
        <w:t>satellite services with complementary ground component</w:t>
      </w:r>
    </w:p>
    <w:p w14:paraId="0B803FC1" w14:textId="1846AE9B" w:rsidR="00A11C68" w:rsidRDefault="00262239" w:rsidP="00A11C68">
      <w:pPr>
        <w:pStyle w:val="Paragraph"/>
      </w:pPr>
      <w:r>
        <w:t>T</w:t>
      </w:r>
      <w:r w:rsidR="00A11C68">
        <w:t xml:space="preserve">he ACMA has not previously considered </w:t>
      </w:r>
      <w:r>
        <w:t>the method for authorising</w:t>
      </w:r>
      <w:r w:rsidR="00A11C68">
        <w:t xml:space="preserve"> the operation of the complementary ground component of a mobile-satellite service.</w:t>
      </w:r>
    </w:p>
    <w:p w14:paraId="521A836A" w14:textId="43103D95" w:rsidR="00A11C68" w:rsidRDefault="00A11C68" w:rsidP="00A11C68">
      <w:pPr>
        <w:pStyle w:val="Paragraph"/>
      </w:pPr>
      <w:r>
        <w:t>If spectrum licens</w:t>
      </w:r>
      <w:r w:rsidR="000B2A34">
        <w:t>ed</w:t>
      </w:r>
      <w:r>
        <w:t xml:space="preserve">, the complementary ground component would be considered in the development of the associated technical framework. </w:t>
      </w:r>
    </w:p>
    <w:p w14:paraId="5E304B1A" w14:textId="132771D0" w:rsidR="00A11C68" w:rsidRDefault="00A11C68" w:rsidP="00A11C68">
      <w:pPr>
        <w:pStyle w:val="Paragraph"/>
      </w:pPr>
      <w:r>
        <w:t>Under apparatus licensing</w:t>
      </w:r>
      <w:r w:rsidR="003B33E5">
        <w:t>,</w:t>
      </w:r>
      <w:r>
        <w:t xml:space="preserve"> </w:t>
      </w:r>
      <w:r w:rsidR="00F36318">
        <w:t xml:space="preserve">an </w:t>
      </w:r>
      <w:r>
        <w:t>option</w:t>
      </w:r>
      <w:r w:rsidR="00F36318">
        <w:t xml:space="preserve"> would be to</w:t>
      </w:r>
      <w:r>
        <w:t xml:space="preserve"> include as part of the framework supporting an Australia-wide area-wide apparatus licence both the mobile</w:t>
      </w:r>
      <w:r w:rsidR="00A73606">
        <w:t>-</w:t>
      </w:r>
      <w:r>
        <w:t>satellite and complementary ground component under the one licence.</w:t>
      </w:r>
    </w:p>
    <w:p w14:paraId="7DBE1D3A" w14:textId="0A798FF1" w:rsidR="00A11C68" w:rsidRDefault="00A11C68" w:rsidP="00A11C68">
      <w:pPr>
        <w:pStyle w:val="Paragraph"/>
      </w:pPr>
      <w:r>
        <w:t>If the mobile</w:t>
      </w:r>
      <w:r w:rsidR="00A73606">
        <w:t>-</w:t>
      </w:r>
      <w:r>
        <w:t>satellite service is authorised via a space</w:t>
      </w:r>
      <w:r w:rsidR="004300CC">
        <w:t xml:space="preserve"> </w:t>
      </w:r>
      <w:r>
        <w:t>/</w:t>
      </w:r>
      <w:r w:rsidR="004300CC">
        <w:t xml:space="preserve"> </w:t>
      </w:r>
      <w:r>
        <w:t>space receive apparatus licence, then possible options include supporting the complementary ground component under a separate apparatus licence</w:t>
      </w:r>
      <w:r w:rsidR="00840A21">
        <w:t xml:space="preserve"> type</w:t>
      </w:r>
      <w:r>
        <w:t>.</w:t>
      </w:r>
    </w:p>
    <w:p w14:paraId="017432C9" w14:textId="1B90A728" w:rsidR="00A11C68" w:rsidRDefault="0086593D" w:rsidP="00A11C68">
      <w:pPr>
        <w:pStyle w:val="Paragraph"/>
      </w:pPr>
      <w:r>
        <w:t xml:space="preserve">Will the ACMA has not explored the feasibility, </w:t>
      </w:r>
      <w:r w:rsidR="00E209F8">
        <w:t xml:space="preserve">a possible </w:t>
      </w:r>
      <w:r w:rsidR="00A11C68">
        <w:t xml:space="preserve">alternative </w:t>
      </w:r>
      <w:r w:rsidR="00E209F8">
        <w:t xml:space="preserve">approach </w:t>
      </w:r>
      <w:r w:rsidR="00A11C68">
        <w:t xml:space="preserve">is including a requirement to register complementary ground component stations under space and space receiver apparatus licences for the 2 GHz band. </w:t>
      </w:r>
      <w:r w:rsidR="00D75EE4">
        <w:t xml:space="preserve">Such an approach </w:t>
      </w:r>
      <w:r w:rsidR="00A11C68">
        <w:t xml:space="preserve">would also require consideration as to </w:t>
      </w:r>
      <w:r w:rsidR="7CF135B0">
        <w:t xml:space="preserve">the </w:t>
      </w:r>
      <w:r w:rsidR="00A11C68">
        <w:t>appropriateness of apparatus licence taxes and charges. That is, are they reflective of what would essentially be provision of a</w:t>
      </w:r>
      <w:r w:rsidR="00A11C68" w:rsidRPr="00DE7C8B">
        <w:t xml:space="preserve"> </w:t>
      </w:r>
      <w:r w:rsidR="00A11C68">
        <w:t>p</w:t>
      </w:r>
      <w:r w:rsidR="00A11C68" w:rsidRPr="00741BE4">
        <w:t>ublic telecommunications service</w:t>
      </w:r>
      <w:r w:rsidR="00A11C68">
        <w:t>.</w:t>
      </w:r>
    </w:p>
    <w:p w14:paraId="61CCEE1B" w14:textId="3AC92280" w:rsidR="00A11C68" w:rsidRDefault="00A11C68" w:rsidP="00A11C68">
      <w:pPr>
        <w:pStyle w:val="Paragraph"/>
      </w:pPr>
      <w:r>
        <w:t>Considering that the complementary ground component is technically similar to a local-area wireless broadband service, a</w:t>
      </w:r>
      <w:r w:rsidR="00270557">
        <w:t xml:space="preserve"> simi</w:t>
      </w:r>
      <w:r w:rsidR="00CA7C85">
        <w:t>l</w:t>
      </w:r>
      <w:r w:rsidR="00270557">
        <w:t>ar</w:t>
      </w:r>
      <w:r>
        <w:t xml:space="preserve"> approach is possibl</w:t>
      </w:r>
      <w:r w:rsidR="00EA2C2D">
        <w:t>y</w:t>
      </w:r>
      <w:r>
        <w:t xml:space="preserve"> more appropriate. This </w:t>
      </w:r>
      <w:r w:rsidR="00BE2202">
        <w:t xml:space="preserve">could be </w:t>
      </w:r>
      <w:r>
        <w:t>authoris</w:t>
      </w:r>
      <w:r w:rsidR="00BE2202">
        <w:t>ed</w:t>
      </w:r>
      <w:r>
        <w:t xml:space="preserve"> via a p</w:t>
      </w:r>
      <w:r w:rsidRPr="00741BE4">
        <w:t>ublic telecommunications service</w:t>
      </w:r>
      <w:r>
        <w:t xml:space="preserve"> apparatus licence or</w:t>
      </w:r>
      <w:r w:rsidR="0018601A">
        <w:t xml:space="preserve"> an AWL.</w:t>
      </w:r>
      <w:r>
        <w:t xml:space="preserve"> Such an approach would provide a licensee with optionality and </w:t>
      </w:r>
      <w:r w:rsidR="21E95D5C">
        <w:t>mean</w:t>
      </w:r>
      <w:r w:rsidR="67C593F2">
        <w:t>s</w:t>
      </w:r>
      <w:r>
        <w:t xml:space="preserve"> that licence taxes and charges associated with a p</w:t>
      </w:r>
      <w:r w:rsidRPr="00741BE4">
        <w:t xml:space="preserve">ublic </w:t>
      </w:r>
      <w:r w:rsidRPr="00741BE4">
        <w:lastRenderedPageBreak/>
        <w:t>telecommunications service</w:t>
      </w:r>
      <w:r>
        <w:t xml:space="preserve"> are only incurred if such a service is provided. Further consideration is required as to whether, and under what mechanism, the issue of the p</w:t>
      </w:r>
      <w:r w:rsidRPr="00741BE4">
        <w:t>ublic telecommunications service</w:t>
      </w:r>
      <w:r>
        <w:t xml:space="preserve"> apparatus licence could be restricted to licensees of the space/space receive apparatus licence. Most likely this would be considered</w:t>
      </w:r>
      <w:r w:rsidR="001621B3">
        <w:t xml:space="preserve"> </w:t>
      </w:r>
      <w:r>
        <w:t xml:space="preserve">at the time of the development process for the legal instruments supporting the licence allocation process. </w:t>
      </w:r>
    </w:p>
    <w:p w14:paraId="49CEA782" w14:textId="3CF7F28B" w:rsidR="00300E34" w:rsidRPr="00F26E80" w:rsidRDefault="00300E34" w:rsidP="00300E34">
      <w:pPr>
        <w:pStyle w:val="Heading2"/>
      </w:pPr>
      <w:bookmarkStart w:id="147" w:name="_Toc46316391"/>
      <w:r>
        <w:t>Consideration of spectrum options for other services in the 2 G</w:t>
      </w:r>
      <w:r w:rsidR="002A7699">
        <w:t>H</w:t>
      </w:r>
      <w:r>
        <w:t>z band</w:t>
      </w:r>
      <w:bookmarkEnd w:id="147"/>
    </w:p>
    <w:p w14:paraId="17FD15CC" w14:textId="77777777" w:rsidR="00300E34" w:rsidRPr="00825C27" w:rsidRDefault="00300E34" w:rsidP="00B764AD">
      <w:pPr>
        <w:pStyle w:val="Heading3"/>
        <w:spacing w:before="0"/>
      </w:pPr>
      <w:r w:rsidRPr="00825C27">
        <w:t xml:space="preserve">Low </w:t>
      </w:r>
      <w:r>
        <w:t>i</w:t>
      </w:r>
      <w:r w:rsidRPr="00825C27">
        <w:t xml:space="preserve">nterference </w:t>
      </w:r>
      <w:r>
        <w:t>p</w:t>
      </w:r>
      <w:r w:rsidRPr="00825C27">
        <w:t xml:space="preserve">otential </w:t>
      </w:r>
      <w:r>
        <w:t>d</w:t>
      </w:r>
      <w:r w:rsidRPr="00825C27">
        <w:t>evices</w:t>
      </w:r>
    </w:p>
    <w:p w14:paraId="100BB7A3" w14:textId="42CB28C0" w:rsidR="005C154C" w:rsidRDefault="00300E34" w:rsidP="00331CDB">
      <w:pPr>
        <w:pStyle w:val="Paragraph"/>
      </w:pPr>
      <w:r>
        <w:t>The</w:t>
      </w:r>
      <w:r w:rsidRPr="004045F8">
        <w:t xml:space="preserve"> </w:t>
      </w:r>
      <w:r>
        <w:t>LIPD Class Licence sets</w:t>
      </w:r>
      <w:r w:rsidRPr="00492CF6">
        <w:t xml:space="preserve"> arrangements for the </w:t>
      </w:r>
      <w:r>
        <w:t>radiodetermination transmitters operating</w:t>
      </w:r>
      <w:r w:rsidRPr="004045F8">
        <w:t xml:space="preserve"> </w:t>
      </w:r>
      <w:r>
        <w:t>in the 30</w:t>
      </w:r>
      <w:r w:rsidR="008475C9">
        <w:t>–</w:t>
      </w:r>
      <w:r>
        <w:t xml:space="preserve">12400 MHz range. These arrangements support ultra-wide band (UWB) devices with applications such </w:t>
      </w:r>
      <w:r w:rsidR="26B0DA49">
        <w:t>as</w:t>
      </w:r>
      <w:r>
        <w:t xml:space="preserve"> ground and wall penetrating radar aligning with international arrangements for UWB devices</w:t>
      </w:r>
      <w:r w:rsidR="00021963">
        <w:t xml:space="preserve">. </w:t>
      </w:r>
    </w:p>
    <w:p w14:paraId="3F074B9C" w14:textId="6F757EE7" w:rsidR="00300E34" w:rsidRDefault="00300E34" w:rsidP="00331CDB">
      <w:pPr>
        <w:pStyle w:val="Paragraph"/>
      </w:pPr>
      <w:r>
        <w:t>Operation of devices under the LIPD Class Licence is on a ‘no interference and no protection’ basis with other licensed services</w:t>
      </w:r>
      <w:r w:rsidR="005C154C">
        <w:t>. T</w:t>
      </w:r>
      <w:r>
        <w:t>he ACMA does not see a case to change the licensing arrangements for these devices.</w:t>
      </w:r>
    </w:p>
    <w:p w14:paraId="2A5B787D" w14:textId="77777777" w:rsidR="00300E34" w:rsidRPr="00825C27" w:rsidRDefault="00300E34" w:rsidP="00300E34">
      <w:pPr>
        <w:pStyle w:val="Heading3"/>
        <w:spacing w:before="360"/>
      </w:pPr>
      <w:r>
        <w:t>Scientific apparatus licences</w:t>
      </w:r>
    </w:p>
    <w:p w14:paraId="122A16D9" w14:textId="48CF7716" w:rsidR="00300E34" w:rsidRDefault="00300E34" w:rsidP="00300E34">
      <w:pPr>
        <w:rPr>
          <w:rFonts w:cs="Arial"/>
        </w:rPr>
      </w:pPr>
      <w:r>
        <w:rPr>
          <w:rFonts w:cs="Arial"/>
        </w:rPr>
        <w:t xml:space="preserve">Services operating under scientific apparatus licences, both assigned and non-assigned, are permitted to be licensed in the </w:t>
      </w:r>
      <w:r w:rsidR="007E1267">
        <w:rPr>
          <w:rFonts w:cs="Arial"/>
        </w:rPr>
        <w:t xml:space="preserve">2 GHz </w:t>
      </w:r>
      <w:r>
        <w:rPr>
          <w:rFonts w:cs="Arial"/>
        </w:rPr>
        <w:t xml:space="preserve">band with conditions as per the </w:t>
      </w:r>
      <w:hyperlink r:id="rId81">
        <w:r w:rsidRPr="00B764AD">
          <w:rPr>
            <w:rStyle w:val="Hyperlink"/>
            <w:rFonts w:cs="Arial"/>
          </w:rPr>
          <w:t>Radiocommunications Licence Conditions (Scientific Licence) Determination 2015</w:t>
        </w:r>
      </w:hyperlink>
      <w:r>
        <w:rPr>
          <w:rFonts w:cs="Arial"/>
        </w:rPr>
        <w:t xml:space="preserve"> (Scientific LCD). These licences operate on a ‘no interference and no protection’ basis. Both assigned (the location (site or area) of the service and the frequency of operation are recorded </w:t>
      </w:r>
      <w:r w:rsidR="54927E1D" w:rsidRPr="24D09117">
        <w:rPr>
          <w:rFonts w:cs="Arial"/>
        </w:rPr>
        <w:t>in</w:t>
      </w:r>
      <w:r>
        <w:rPr>
          <w:rFonts w:cs="Arial"/>
        </w:rPr>
        <w:t xml:space="preserve"> the licence) and non-assigned (the location and exact frequencies of operation are not recorded </w:t>
      </w:r>
      <w:r w:rsidR="6C350B71" w:rsidRPr="24D09117">
        <w:rPr>
          <w:rFonts w:cs="Arial"/>
        </w:rPr>
        <w:t>in</w:t>
      </w:r>
      <w:r>
        <w:rPr>
          <w:rFonts w:cs="Arial"/>
        </w:rPr>
        <w:t xml:space="preserve"> the licence) licences may be issued. For non-assigned scientific apparatus licences, operation is usually confined to a shielded room. This type of licence permits generic use of the entire radiofrequency band, though typically licensees only operate in specific bands of interest.</w:t>
      </w:r>
    </w:p>
    <w:p w14:paraId="73BB4896" w14:textId="737E661A" w:rsidR="00300E34" w:rsidRDefault="00300E34" w:rsidP="00300E34">
      <w:pPr>
        <w:rPr>
          <w:rFonts w:cs="Arial"/>
        </w:rPr>
      </w:pPr>
      <w:r>
        <w:rPr>
          <w:rFonts w:cs="Arial"/>
        </w:rPr>
        <w:t xml:space="preserve">The ACMA intends to support the ongoing issue and operation of scientific licences in the </w:t>
      </w:r>
      <w:r w:rsidR="007E1267">
        <w:rPr>
          <w:rFonts w:cs="Arial"/>
        </w:rPr>
        <w:t xml:space="preserve">2 GHz band </w:t>
      </w:r>
      <w:r>
        <w:rPr>
          <w:rFonts w:cs="Arial"/>
        </w:rPr>
        <w:t xml:space="preserve">as far as practical. If any spectrum is re-allocated for the issue of spectrum licences in a geographic area where scientific apparatus licences are issued, then section 153H of the Act requires that they be cancelled at the end of the defined re-allocation period. The issue of new apparatus licences once spectrum has been re-allocated and beyond the re-allocation period would then be restricted as per section 153P of the Act. This limits the issue of licences to bodies covered under paragraphs 27(1)(b) to (be) of the Act and when the ACMA is satisfied special circumstances apply. The ACMA would continue to consider requests for such licences on a case-by-case basis. </w:t>
      </w:r>
      <w:r w:rsidRPr="24D09117">
        <w:rPr>
          <w:rFonts w:cs="Arial"/>
        </w:rPr>
        <w:t xml:space="preserve">For </w:t>
      </w:r>
      <w:r w:rsidR="30A4A3FB" w:rsidRPr="24D09117">
        <w:rPr>
          <w:rFonts w:cs="Arial"/>
        </w:rPr>
        <w:t>s</w:t>
      </w:r>
      <w:r w:rsidRPr="24D09117">
        <w:rPr>
          <w:rFonts w:cs="Arial"/>
        </w:rPr>
        <w:t>cientific</w:t>
      </w:r>
      <w:r>
        <w:rPr>
          <w:rFonts w:cs="Arial"/>
        </w:rPr>
        <w:t xml:space="preserve"> non-assigned licences, the ACMA would propose to amend the Scientific LCD so that any frequency range subject to reallocation would be removed.</w:t>
      </w:r>
    </w:p>
    <w:p w14:paraId="2E6B3911" w14:textId="77777777" w:rsidR="003600C8" w:rsidRDefault="003600C8" w:rsidP="00A11C68">
      <w:pPr>
        <w:pStyle w:val="Paragraph"/>
      </w:pPr>
    </w:p>
    <w:p w14:paraId="397A78E4" w14:textId="77777777" w:rsidR="00C967DA" w:rsidRPr="001F7DED" w:rsidRDefault="00C967DA" w:rsidP="00C967DA">
      <w:pPr>
        <w:pStyle w:val="Heading1"/>
      </w:pPr>
      <w:bookmarkStart w:id="148" w:name="_Appendix_C:_Technical"/>
      <w:bookmarkStart w:id="149" w:name="_Toc46316392"/>
      <w:bookmarkStart w:id="150" w:name="_Ref43890385"/>
      <w:bookmarkStart w:id="151" w:name="_Ref43890565"/>
      <w:bookmarkEnd w:id="148"/>
      <w:r>
        <w:lastRenderedPageBreak/>
        <w:t>Appendix C: Technical</w:t>
      </w:r>
      <w:r w:rsidRPr="001F7DED">
        <w:t xml:space="preserve"> issues</w:t>
      </w:r>
      <w:bookmarkEnd w:id="149"/>
    </w:p>
    <w:p w14:paraId="2A7C94F4" w14:textId="0C770979" w:rsidR="00C967DA" w:rsidRDefault="00C967DA" w:rsidP="00C967DA">
      <w:bookmarkStart w:id="152" w:name="_Hlk44510362"/>
      <w:r w:rsidRPr="00C8260A">
        <w:rPr>
          <w:rFonts w:cs="Arial"/>
        </w:rPr>
        <w:t xml:space="preserve">Relevant technical coexistence considerations </w:t>
      </w:r>
      <w:bookmarkEnd w:id="152"/>
      <w:r w:rsidRPr="00C8260A">
        <w:rPr>
          <w:rFonts w:cs="Arial"/>
        </w:rPr>
        <w:t xml:space="preserve">inform and guide the development of necessary planning and licensing frameworks. </w:t>
      </w:r>
    </w:p>
    <w:p w14:paraId="086B0B1E" w14:textId="34B14832" w:rsidR="00C967DA" w:rsidRDefault="00C967DA" w:rsidP="00C967DA">
      <w:r>
        <w:t>As arrangements for multiple services are being considered in the 2 GHz band, the potential for issues associated with sharing</w:t>
      </w:r>
      <w:r>
        <w:rPr>
          <w:rStyle w:val="FootnoteReference"/>
        </w:rPr>
        <w:footnoteReference w:id="38"/>
      </w:r>
      <w:r>
        <w:t xml:space="preserve"> and compatibility</w:t>
      </w:r>
      <w:r>
        <w:rPr>
          <w:rStyle w:val="FootnoteReference"/>
        </w:rPr>
        <w:footnoteReference w:id="39"/>
      </w:r>
      <w:r>
        <w:t xml:space="preserve"> between these services and those in adjacent bands, need</w:t>
      </w:r>
      <w:r w:rsidR="4F458ED7">
        <w:t>s</w:t>
      </w:r>
      <w:r>
        <w:t xml:space="preserve"> to be considered when proposing and assessing possible future replanning options. This chapter outlines issues between services being considered in the 2 GHz band and, where relevant, existing co-ordination arrangements.</w:t>
      </w:r>
    </w:p>
    <w:p w14:paraId="0D963367" w14:textId="77777777" w:rsidR="00C967DA" w:rsidRDefault="00C967DA" w:rsidP="00C967DA">
      <w:pPr>
        <w:pStyle w:val="Heading2"/>
      </w:pPr>
      <w:bookmarkStart w:id="153" w:name="_Toc46316393"/>
      <w:r>
        <w:t>Mobile-</w:t>
      </w:r>
      <w:bookmarkStart w:id="154" w:name="_Toc5000076"/>
      <w:bookmarkStart w:id="155" w:name="_Toc40788100"/>
      <w:r>
        <w:t>satellite and wireless broadband services</w:t>
      </w:r>
      <w:bookmarkEnd w:id="153"/>
    </w:p>
    <w:bookmarkEnd w:id="154"/>
    <w:bookmarkEnd w:id="155"/>
    <w:p w14:paraId="563E9E0E" w14:textId="352024A3" w:rsidR="00C967DA" w:rsidRDefault="00C967DA" w:rsidP="00C967DA">
      <w:r>
        <w:t xml:space="preserve">Here we consider the co-channel scenario between mobile-satellite and wireless broadband services </w:t>
      </w:r>
      <w:r w:rsidR="003657DE">
        <w:t>(includes</w:t>
      </w:r>
      <w:r>
        <w:t xml:space="preserve"> wide-area wireless broadband, local-area wireless broadband or the complementary ground component of a</w:t>
      </w:r>
      <w:r w:rsidR="11ECD855">
        <w:t>n</w:t>
      </w:r>
      <w:r>
        <w:t xml:space="preserve"> MSS</w:t>
      </w:r>
      <w:r w:rsidR="003657DE">
        <w:t>)</w:t>
      </w:r>
      <w:r>
        <w:t xml:space="preserve">. </w:t>
      </w:r>
      <w:r w:rsidR="38533BC4">
        <w:t>This discussion</w:t>
      </w:r>
      <w:r>
        <w:t xml:space="preserve"> </w:t>
      </w:r>
      <w:r w:rsidR="3933DE34">
        <w:t>deals with</w:t>
      </w:r>
      <w:r>
        <w:t xml:space="preserve"> </w:t>
      </w:r>
      <w:r w:rsidR="3933DE34">
        <w:t>cases where there are</w:t>
      </w:r>
      <w:r>
        <w:t xml:space="preserve"> different licensees</w:t>
      </w:r>
      <w:r w:rsidR="5B141A42">
        <w:t>.</w:t>
      </w:r>
      <w:r w:rsidR="003D4180">
        <w:t xml:space="preserve"> </w:t>
      </w:r>
      <w:r w:rsidR="17BD24BD">
        <w:t>Cases</w:t>
      </w:r>
      <w:r>
        <w:t xml:space="preserve"> where the licensee is the same are not considered (</w:t>
      </w:r>
      <w:r w:rsidR="00D12CD1">
        <w:t>for example,</w:t>
      </w:r>
      <w:r>
        <w:t xml:space="preserve"> the scenario of a mobile-satellite operator utilising a complementary ground component).</w:t>
      </w:r>
    </w:p>
    <w:p w14:paraId="3B425C4C" w14:textId="77777777" w:rsidR="00C967DA" w:rsidRDefault="00C967DA" w:rsidP="00BB73EB">
      <w:pPr>
        <w:pStyle w:val="Paragraphbeforelist"/>
      </w:pPr>
      <w:r>
        <w:t xml:space="preserve">Possible scenarios are shown in the figure below and include: </w:t>
      </w:r>
    </w:p>
    <w:p w14:paraId="7BDBA7F2" w14:textId="2D2A5270" w:rsidR="00C967DA" w:rsidRDefault="00C967DA" w:rsidP="00C967DA">
      <w:pPr>
        <w:pStyle w:val="Bulletlevel1"/>
      </w:pPr>
      <w:r>
        <w:t>Integrated mobile-satellite system with complementary ground component where the user terminal is common to both networks (common user terminal). In this scenario</w:t>
      </w:r>
      <w:r w:rsidR="7F8AAF9A">
        <w:t>,</w:t>
      </w:r>
      <w:r>
        <w:t xml:space="preserve"> one licensee is responsible for the operation of the mobile-satellite system and the complementary ground component. Interference between the two elements of system </w:t>
      </w:r>
      <w:r w:rsidR="16A12F82">
        <w:t>is</w:t>
      </w:r>
      <w:r>
        <w:t xml:space="preserve"> considered a matter for the licensee to manage.</w:t>
      </w:r>
    </w:p>
    <w:p w14:paraId="34C6F509" w14:textId="6EDE1D90" w:rsidR="00C967DA" w:rsidRDefault="00C967DA" w:rsidP="00C967DA">
      <w:pPr>
        <w:pStyle w:val="Bulletlevel1"/>
      </w:pPr>
      <w:r>
        <w:t xml:space="preserve">Separate mobile-satellite and </w:t>
      </w:r>
      <w:r w:rsidRPr="00AB0C6A">
        <w:t xml:space="preserve">wireless broadband </w:t>
      </w:r>
      <w:r>
        <w:t>systems. In this scenario different licensees operate the mobile-satellite and wireless broadband systems. There are two possible variants of this scenario:</w:t>
      </w:r>
    </w:p>
    <w:p w14:paraId="4FB33981" w14:textId="77777777" w:rsidR="00C967DA" w:rsidRDefault="00C967DA" w:rsidP="00C967DA">
      <w:pPr>
        <w:pStyle w:val="Bulletlevel2"/>
      </w:pPr>
      <w:r>
        <w:t>the user terminal is configured to operate on both separate networks using a dual mode terminal (dual mode user terminal)</w:t>
      </w:r>
    </w:p>
    <w:p w14:paraId="29B1DE89" w14:textId="77777777" w:rsidR="00C967DA" w:rsidRDefault="00C967DA" w:rsidP="00C967DA">
      <w:pPr>
        <w:pStyle w:val="ListBullet2"/>
        <w:spacing w:after="240"/>
      </w:pPr>
      <w:r>
        <w:t>the mobile-satellite user terminal is only configured to operate on the mobile-satellite system and does not operate when in the vicinity of the wireless broadband services (MSS-only user terminal).</w:t>
      </w:r>
    </w:p>
    <w:p w14:paraId="27B2EAFD" w14:textId="700F1BD3" w:rsidR="00C967DA" w:rsidRDefault="00C967DA" w:rsidP="00C967DA">
      <w:r>
        <w:t>These options effectively have the same infrastructure, but the compatibility i</w:t>
      </w:r>
      <w:r w:rsidR="00C10B25">
        <w:t>ssue focuses on the configuration</w:t>
      </w:r>
      <w:r w:rsidR="001621B3">
        <w:t xml:space="preserve"> </w:t>
      </w:r>
      <w:r>
        <w:t>and capability of the user terminal.</w:t>
      </w:r>
    </w:p>
    <w:p w14:paraId="15EDAEC0" w14:textId="5E3FFD16" w:rsidR="00C967DA" w:rsidRDefault="00C967DA" w:rsidP="00C967DA">
      <w:r>
        <w:t xml:space="preserve">We have not considered the scenario whereby the </w:t>
      </w:r>
      <w:r w:rsidR="00D020E9">
        <w:t>MSS</w:t>
      </w:r>
      <w:r>
        <w:t xml:space="preserve"> operator has arrangements in place to roam onto a terrestrial network in another band. </w:t>
      </w:r>
    </w:p>
    <w:p w14:paraId="610BC9BD" w14:textId="77777777" w:rsidR="00D7546B" w:rsidRDefault="00D7546B" w:rsidP="00C967DA"/>
    <w:p w14:paraId="5A55B020" w14:textId="77777777" w:rsidR="00C967DA" w:rsidRPr="001F7DED" w:rsidRDefault="00C967DA" w:rsidP="00C647C6">
      <w:pPr>
        <w:pStyle w:val="ACMAFigureHeader"/>
        <w:keepNext/>
        <w:keepLines/>
      </w:pPr>
      <w:bookmarkStart w:id="156" w:name="_Ref40969983"/>
      <w:r w:rsidRPr="002C7ADD">
        <w:rPr>
          <w:rFonts w:cs="Arial"/>
        </w:rPr>
        <w:lastRenderedPageBreak/>
        <w:t>Mobile-satellite and wireless broadband compatibility</w:t>
      </w:r>
      <w:bookmarkEnd w:id="156"/>
      <w:r w:rsidRPr="002C7ADD">
        <w:rPr>
          <w:rStyle w:val="FootnoteReference"/>
          <w:rFonts w:cs="Arial"/>
          <w:vertAlign w:val="baseline"/>
        </w:rPr>
        <w:t xml:space="preserve"> </w:t>
      </w:r>
    </w:p>
    <w:tbl>
      <w:tblPr>
        <w:tblStyle w:val="TableGrid"/>
        <w:tblW w:w="0" w:type="auto"/>
        <w:tblLook w:val="04A0" w:firstRow="1" w:lastRow="0" w:firstColumn="1" w:lastColumn="0" w:noHBand="0" w:noVBand="1"/>
      </w:tblPr>
      <w:tblGrid>
        <w:gridCol w:w="7661"/>
      </w:tblGrid>
      <w:tr w:rsidR="00C967DA" w14:paraId="0F0BEA1B" w14:textId="77777777" w:rsidTr="009D6181">
        <w:tc>
          <w:tcPr>
            <w:tcW w:w="7661" w:type="dxa"/>
            <w:shd w:val="clear" w:color="auto" w:fill="595959" w:themeFill="text1" w:themeFillTint="A6"/>
            <w:vAlign w:val="center"/>
          </w:tcPr>
          <w:p w14:paraId="24529431" w14:textId="2814CFE5" w:rsidR="00C967DA" w:rsidRPr="009B67C9" w:rsidRDefault="00C967DA" w:rsidP="009D6181">
            <w:pPr>
              <w:pStyle w:val="Paragraph"/>
              <w:keepNext/>
              <w:keepLines/>
              <w:spacing w:after="120"/>
              <w:rPr>
                <w:b/>
                <w:bCs/>
              </w:rPr>
            </w:pPr>
            <w:r w:rsidRPr="00BE369D">
              <w:rPr>
                <w:b/>
                <w:bCs/>
                <w:noProof/>
                <w:color w:val="FFFFFF" w:themeColor="background1"/>
              </w:rPr>
              <w:t>Integrated system</w:t>
            </w:r>
            <w:r w:rsidR="008475C9">
              <w:rPr>
                <w:b/>
                <w:bCs/>
                <w:noProof/>
                <w:color w:val="FFFFFF" w:themeColor="background1"/>
              </w:rPr>
              <w:t>—</w:t>
            </w:r>
            <w:r w:rsidRPr="00BE369D">
              <w:rPr>
                <w:b/>
                <w:bCs/>
                <w:noProof/>
                <w:color w:val="FFFFFF" w:themeColor="background1"/>
              </w:rPr>
              <w:t xml:space="preserve">MSS with </w:t>
            </w:r>
            <w:r>
              <w:rPr>
                <w:b/>
                <w:bCs/>
                <w:noProof/>
                <w:color w:val="FFFFFF" w:themeColor="background1"/>
              </w:rPr>
              <w:t>complementary ground component</w:t>
            </w:r>
          </w:p>
        </w:tc>
      </w:tr>
      <w:tr w:rsidR="00C967DA" w14:paraId="2394E894" w14:textId="77777777" w:rsidTr="558F901B">
        <w:tc>
          <w:tcPr>
            <w:tcW w:w="7661" w:type="dxa"/>
          </w:tcPr>
          <w:p w14:paraId="5720BA2A" w14:textId="77777777" w:rsidR="00C967DA" w:rsidRPr="009B67C9" w:rsidRDefault="00C967DA" w:rsidP="00D12E68">
            <w:pPr>
              <w:pStyle w:val="Paragraph"/>
              <w:keepNext/>
              <w:keepLines/>
              <w:spacing w:after="360"/>
              <w:rPr>
                <w:b/>
                <w:bCs/>
              </w:rPr>
            </w:pPr>
            <w:r>
              <w:rPr>
                <w:b/>
                <w:bCs/>
              </w:rPr>
              <w:t>Common user terminal</w:t>
            </w:r>
          </w:p>
          <w:p w14:paraId="1D92CB7B" w14:textId="2E802206" w:rsidR="00C967DA" w:rsidRDefault="00A97F01" w:rsidP="00C647C6">
            <w:pPr>
              <w:pStyle w:val="Paragraph"/>
              <w:keepNext/>
              <w:keepLines/>
              <w:jc w:val="center"/>
            </w:pPr>
            <w:r w:rsidRPr="00A97F01">
              <w:rPr>
                <w:noProof/>
              </w:rPr>
              <w:drawing>
                <wp:inline distT="0" distB="0" distL="0" distR="0" wp14:anchorId="04A5FAA1" wp14:editId="53A08854">
                  <wp:extent cx="4533654" cy="2830664"/>
                  <wp:effectExtent l="0" t="0" r="635" b="8255"/>
                  <wp:docPr id="3" name="Picture 3" descr="Integrated system—MSS with complementary ground component; common user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9908"/>
                          <a:stretch/>
                        </pic:blipFill>
                        <pic:spPr bwMode="auto">
                          <a:xfrm>
                            <a:off x="0" y="0"/>
                            <a:ext cx="4540038" cy="28346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7B0931" w14:textId="77777777" w:rsidR="00DA220C" w:rsidRDefault="00DA220C" w:rsidP="00DA220C">
      <w:pPr>
        <w:spacing w:after="0"/>
      </w:pPr>
    </w:p>
    <w:tbl>
      <w:tblPr>
        <w:tblStyle w:val="TableGrid"/>
        <w:tblW w:w="0" w:type="auto"/>
        <w:tblLook w:val="04A0" w:firstRow="1" w:lastRow="0" w:firstColumn="1" w:lastColumn="0" w:noHBand="0" w:noVBand="1"/>
      </w:tblPr>
      <w:tblGrid>
        <w:gridCol w:w="7661"/>
      </w:tblGrid>
      <w:tr w:rsidR="00C967DA" w14:paraId="1FC68E3E" w14:textId="77777777" w:rsidTr="00040AED">
        <w:trPr>
          <w:cantSplit/>
        </w:trPr>
        <w:tc>
          <w:tcPr>
            <w:tcW w:w="7661" w:type="dxa"/>
            <w:shd w:val="clear" w:color="auto" w:fill="595959" w:themeFill="text1" w:themeFillTint="A6"/>
            <w:vAlign w:val="center"/>
          </w:tcPr>
          <w:p w14:paraId="22AB46C4" w14:textId="77777777" w:rsidR="00C967DA" w:rsidRPr="009B67C9" w:rsidRDefault="00C967DA" w:rsidP="00E10B6C">
            <w:pPr>
              <w:pStyle w:val="Paragraph"/>
              <w:keepNext/>
              <w:keepLines/>
              <w:spacing w:after="120"/>
              <w:rPr>
                <w:b/>
                <w:bCs/>
              </w:rPr>
            </w:pPr>
            <w:r>
              <w:rPr>
                <w:b/>
                <w:bCs/>
                <w:noProof/>
                <w:color w:val="FFFFFF" w:themeColor="background1"/>
              </w:rPr>
              <w:t>Separate</w:t>
            </w:r>
            <w:r w:rsidRPr="00BE369D">
              <w:rPr>
                <w:b/>
                <w:bCs/>
                <w:noProof/>
                <w:color w:val="FFFFFF" w:themeColor="background1"/>
              </w:rPr>
              <w:t xml:space="preserve"> MSS </w:t>
            </w:r>
            <w:r>
              <w:rPr>
                <w:b/>
                <w:bCs/>
                <w:noProof/>
                <w:color w:val="FFFFFF" w:themeColor="background1"/>
              </w:rPr>
              <w:t xml:space="preserve">and wireless broadband </w:t>
            </w:r>
            <w:r w:rsidRPr="00BE369D">
              <w:rPr>
                <w:b/>
                <w:bCs/>
                <w:noProof/>
                <w:color w:val="FFFFFF" w:themeColor="background1"/>
              </w:rPr>
              <w:t>system</w:t>
            </w:r>
            <w:r>
              <w:rPr>
                <w:b/>
                <w:bCs/>
                <w:noProof/>
                <w:color w:val="FFFFFF" w:themeColor="background1"/>
              </w:rPr>
              <w:t>s</w:t>
            </w:r>
          </w:p>
        </w:tc>
      </w:tr>
      <w:tr w:rsidR="00DD0790" w14:paraId="63322C28" w14:textId="77777777" w:rsidTr="00C87228">
        <w:tc>
          <w:tcPr>
            <w:tcW w:w="7661" w:type="dxa"/>
          </w:tcPr>
          <w:p w14:paraId="56DF72DE" w14:textId="57AE6FA7" w:rsidR="00DD0790" w:rsidRPr="009B67C9" w:rsidRDefault="00DD0790" w:rsidP="00D12E68">
            <w:pPr>
              <w:pStyle w:val="Paragraph"/>
              <w:keepNext/>
              <w:keepLines/>
              <w:spacing w:after="360"/>
              <w:rPr>
                <w:b/>
                <w:bCs/>
                <w:noProof/>
              </w:rPr>
            </w:pPr>
            <w:r>
              <w:rPr>
                <w:b/>
                <w:bCs/>
                <w:noProof/>
              </w:rPr>
              <w:t xml:space="preserve">Dual mode user terminal—localised </w:t>
            </w:r>
            <w:r w:rsidR="001E1B45">
              <w:rPr>
                <w:b/>
                <w:bCs/>
                <w:noProof/>
              </w:rPr>
              <w:t>i</w:t>
            </w:r>
            <w:r>
              <w:rPr>
                <w:b/>
                <w:bCs/>
                <w:noProof/>
              </w:rPr>
              <w:t>nterference</w:t>
            </w:r>
          </w:p>
          <w:p w14:paraId="5BA1A48A" w14:textId="34D29EF5" w:rsidR="00DD0790" w:rsidRDefault="005E793A" w:rsidP="00C647C6">
            <w:pPr>
              <w:pStyle w:val="Paragraph"/>
              <w:keepNext/>
              <w:keepLines/>
              <w:jc w:val="center"/>
              <w:rPr>
                <w:noProof/>
              </w:rPr>
            </w:pPr>
            <w:r w:rsidRPr="005E793A">
              <w:rPr>
                <w:noProof/>
              </w:rPr>
              <w:drawing>
                <wp:inline distT="0" distB="0" distL="0" distR="0" wp14:anchorId="0F28FD84" wp14:editId="36DD6514">
                  <wp:extent cx="4428695" cy="2830665"/>
                  <wp:effectExtent l="0" t="0" r="0" b="8255"/>
                  <wp:docPr id="4" name="Picture 4" descr="Separate MSS and wireless broadband systems; dual mode user terminal: localised inter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1994"/>
                          <a:stretch/>
                        </pic:blipFill>
                        <pic:spPr bwMode="auto">
                          <a:xfrm>
                            <a:off x="0" y="0"/>
                            <a:ext cx="4435040" cy="28347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1C44F7" w14:textId="77777777" w:rsidR="00DA220C" w:rsidRDefault="00DA220C"/>
    <w:tbl>
      <w:tblPr>
        <w:tblStyle w:val="TableGrid"/>
        <w:tblW w:w="0" w:type="auto"/>
        <w:tblLook w:val="04A0" w:firstRow="1" w:lastRow="0" w:firstColumn="1" w:lastColumn="0" w:noHBand="0" w:noVBand="1"/>
      </w:tblPr>
      <w:tblGrid>
        <w:gridCol w:w="7661"/>
      </w:tblGrid>
      <w:tr w:rsidR="00DD0790" w14:paraId="5D3BD12D" w14:textId="77777777" w:rsidTr="00C87228">
        <w:tc>
          <w:tcPr>
            <w:tcW w:w="7661" w:type="dxa"/>
          </w:tcPr>
          <w:p w14:paraId="2402640A" w14:textId="0A7568DE" w:rsidR="00DD0790" w:rsidRDefault="00DD0790" w:rsidP="001E1B45">
            <w:pPr>
              <w:pStyle w:val="Paragraph"/>
              <w:keepNext/>
              <w:keepLines/>
              <w:spacing w:after="360"/>
              <w:rPr>
                <w:b/>
                <w:bCs/>
                <w:noProof/>
              </w:rPr>
            </w:pPr>
            <w:r>
              <w:rPr>
                <w:b/>
                <w:bCs/>
                <w:noProof/>
              </w:rPr>
              <w:lastRenderedPageBreak/>
              <w:t xml:space="preserve">MSS only user terminal—area-wide </w:t>
            </w:r>
            <w:r w:rsidR="00141C06">
              <w:rPr>
                <w:b/>
                <w:bCs/>
                <w:noProof/>
              </w:rPr>
              <w:t>i</w:t>
            </w:r>
            <w:r>
              <w:rPr>
                <w:b/>
                <w:bCs/>
                <w:noProof/>
              </w:rPr>
              <w:t>nterference</w:t>
            </w:r>
          </w:p>
          <w:p w14:paraId="6E480D86" w14:textId="22097C07" w:rsidR="00DD0790" w:rsidRDefault="001E1B45" w:rsidP="00C647C6">
            <w:pPr>
              <w:pStyle w:val="Paragraph"/>
              <w:keepNext/>
              <w:keepLines/>
              <w:rPr>
                <w:b/>
                <w:bCs/>
                <w:noProof/>
              </w:rPr>
            </w:pPr>
            <w:r w:rsidRPr="001E1B45">
              <w:rPr>
                <w:b/>
                <w:bCs/>
                <w:noProof/>
              </w:rPr>
              <w:drawing>
                <wp:inline distT="0" distB="0" distL="0" distR="0" wp14:anchorId="60E7DD8D" wp14:editId="1F7DC07D">
                  <wp:extent cx="4550029" cy="2878372"/>
                  <wp:effectExtent l="0" t="0" r="3175" b="0"/>
                  <wp:docPr id="5" name="Picture 5" descr="MSS only user terminal—area-wide inter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1081"/>
                          <a:stretch/>
                        </pic:blipFill>
                        <pic:spPr bwMode="auto">
                          <a:xfrm>
                            <a:off x="0" y="0"/>
                            <a:ext cx="4568192" cy="28898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D4D533" w14:textId="77777777" w:rsidR="00C967DA" w:rsidRDefault="00C967DA" w:rsidP="00C967DA"/>
    <w:p w14:paraId="7E03B0C2" w14:textId="77777777" w:rsidR="00C967DA" w:rsidRPr="00BE641F" w:rsidRDefault="00C967DA" w:rsidP="00C967DA">
      <w:pPr>
        <w:pStyle w:val="Heading3"/>
      </w:pPr>
      <w:r w:rsidRPr="00BE641F">
        <w:t xml:space="preserve">Mobile satellite and </w:t>
      </w:r>
      <w:r>
        <w:t>complementary</w:t>
      </w:r>
      <w:r w:rsidRPr="00BE641F">
        <w:t xml:space="preserve"> ground component </w:t>
      </w:r>
    </w:p>
    <w:p w14:paraId="6EA0FB42" w14:textId="77777777" w:rsidR="00C967DA" w:rsidRDefault="00C967DA" w:rsidP="00C967DA">
      <w:pPr>
        <w:pStyle w:val="Paragraph"/>
      </w:pPr>
      <w:r>
        <w:t>A</w:t>
      </w:r>
      <w:r w:rsidRPr="00AB0C6A">
        <w:t xml:space="preserve"> </w:t>
      </w:r>
      <w:r>
        <w:t xml:space="preserve">mobile-satellite system with complementary ground component effectively allows the terminal to seamlessly roam between systems effectively doing handovers as the system is integrated as one unit. Coexistence is achieved through the network configuration in a manner that is compatible for both satellite and terrestrial operation. </w:t>
      </w:r>
    </w:p>
    <w:p w14:paraId="30D40BB0" w14:textId="77777777" w:rsidR="00C967DA" w:rsidRDefault="00C967DA" w:rsidP="00C967DA">
      <w:pPr>
        <w:pStyle w:val="Heading3"/>
      </w:pPr>
      <w:r>
        <w:t xml:space="preserve">Separate mobile-satellite and </w:t>
      </w:r>
      <w:r w:rsidRPr="00AB0C6A">
        <w:t xml:space="preserve">wireless broadband </w:t>
      </w:r>
      <w:r>
        <w:t>systems</w:t>
      </w:r>
    </w:p>
    <w:p w14:paraId="51D12A64" w14:textId="4BA968A1" w:rsidR="00C967DA" w:rsidRDefault="00C967DA" w:rsidP="00C967DA">
      <w:r>
        <w:t xml:space="preserve">Under this scenarios coexistence between separate mobile-satellite and </w:t>
      </w:r>
      <w:r w:rsidRPr="00AB0C6A">
        <w:t xml:space="preserve">wireless broadband </w:t>
      </w:r>
      <w:r>
        <w:t xml:space="preserve">systems </w:t>
      </w:r>
      <w:r w:rsidR="175F7D92">
        <w:t>is</w:t>
      </w:r>
      <w:r>
        <w:t xml:space="preserve"> based on the capability of the user terminal. When there is a coverage overlap between mobile-satellite and </w:t>
      </w:r>
      <w:r w:rsidRPr="00AB0C6A">
        <w:t xml:space="preserve">wireless broadband </w:t>
      </w:r>
      <w:r>
        <w:t xml:space="preserve">systems, there is a transition zone when both systems interfere with one another and neither work. As the user terminal transitions through this zone and moves more into the coverage area of the </w:t>
      </w:r>
      <w:r w:rsidRPr="00AB0C6A">
        <w:t xml:space="preserve">wireless broadband </w:t>
      </w:r>
      <w:r>
        <w:t xml:space="preserve">service there is a point where this service is strong enough to overcome the interference from the mobile-satellite service and can </w:t>
      </w:r>
      <w:r w:rsidR="40D3D825">
        <w:t xml:space="preserve">then </w:t>
      </w:r>
      <w:r>
        <w:t xml:space="preserve">operate. As they are separate systems, then service only becomes available if the user terminal is a dual mode terminal and is registered on both systems. In the event that the user terminal only supports MSS, then it will have no service whilst in the coverage area of the </w:t>
      </w:r>
      <w:r w:rsidRPr="00AB0C6A">
        <w:t xml:space="preserve">wireless broadband </w:t>
      </w:r>
      <w:r>
        <w:t>service.</w:t>
      </w:r>
    </w:p>
    <w:p w14:paraId="605414CB" w14:textId="77777777" w:rsidR="00C967DA" w:rsidRDefault="00C967DA" w:rsidP="00C967DA">
      <w:pPr>
        <w:pStyle w:val="Heading3"/>
      </w:pPr>
      <w:r>
        <w:t xml:space="preserve">ITU studies between mobile-satellite and </w:t>
      </w:r>
      <w:r w:rsidRPr="00AB0C6A">
        <w:t xml:space="preserve">wireless broadband </w:t>
      </w:r>
      <w:r>
        <w:t>services</w:t>
      </w:r>
    </w:p>
    <w:p w14:paraId="14AEA11E" w14:textId="3D1FCF71" w:rsidR="00C967DA" w:rsidRDefault="00C967DA" w:rsidP="00C967DA">
      <w:pPr>
        <w:pStyle w:val="CommentText"/>
      </w:pPr>
      <w:r>
        <w:t xml:space="preserve">Sharing studies between mobile-satellite and </w:t>
      </w:r>
      <w:r w:rsidRPr="00AB0C6A">
        <w:t xml:space="preserve">wireless broadband </w:t>
      </w:r>
      <w:r>
        <w:t>services were conducted by the ITU-R as part of WRC-19 agenda item 9.1.1. Further work is expected to continue within ITU-R Working Parties 4C and 5D regarding compatibility between services. These studies are of limited use in Australia as they are looking at the coordination of services between different countries.</w:t>
      </w:r>
      <w:r w:rsidRPr="001D5BFE">
        <w:t xml:space="preserve"> </w:t>
      </w:r>
      <w:r>
        <w:t xml:space="preserve">Any planning between services in Australia would need to </w:t>
      </w:r>
      <w:r w:rsidR="02467B3D">
        <w:t>consider</w:t>
      </w:r>
      <w:r>
        <w:t xml:space="preserve"> the specific Australian environment and factor in the relevant parameters to maximise spectrum efficiency. </w:t>
      </w:r>
    </w:p>
    <w:p w14:paraId="0A67A88F" w14:textId="77777777" w:rsidR="00C967DA" w:rsidRDefault="00C967DA" w:rsidP="00C967DA">
      <w:pPr>
        <w:pStyle w:val="Heading2"/>
      </w:pPr>
      <w:bookmarkStart w:id="157" w:name="_Toc46316394"/>
      <w:r>
        <w:lastRenderedPageBreak/>
        <w:t>Television outside broadcast and wireless broadband services</w:t>
      </w:r>
      <w:bookmarkEnd w:id="157"/>
    </w:p>
    <w:p w14:paraId="45BA3351" w14:textId="08C12A55" w:rsidR="00C967DA" w:rsidRDefault="00C967DA" w:rsidP="00C967DA">
      <w:r>
        <w:t xml:space="preserve">Here we consider </w:t>
      </w:r>
      <w:r w:rsidR="77612E7B">
        <w:t>a</w:t>
      </w:r>
      <w:r>
        <w:t xml:space="preserve"> co-channel scenario between TOB and wireless broadband services </w:t>
      </w:r>
      <w:r w:rsidR="7E3F6111">
        <w:t>(</w:t>
      </w:r>
      <w:r>
        <w:t>whether wide-area wireless broadband, local-area wireless broadband or the complementary ground component of a</w:t>
      </w:r>
      <w:r w:rsidR="749EBE02">
        <w:t>n</w:t>
      </w:r>
      <w:r>
        <w:t xml:space="preserve"> MSS</w:t>
      </w:r>
      <w:r w:rsidR="48B0B3FC">
        <w:t>)</w:t>
      </w:r>
      <w:r>
        <w:t xml:space="preserve">. </w:t>
      </w:r>
    </w:p>
    <w:p w14:paraId="134F7B34" w14:textId="77777777" w:rsidR="00C967DA" w:rsidRPr="001F7DED" w:rsidRDefault="00C967DA" w:rsidP="00C967DA">
      <w:pPr>
        <w:pStyle w:val="ACMAFigureHeader"/>
        <w:keepNext/>
      </w:pPr>
      <w:r>
        <w:rPr>
          <w:rFonts w:cs="Arial"/>
        </w:rPr>
        <w:t>Television outside broadcast and wireless broadband compatibility</w:t>
      </w:r>
    </w:p>
    <w:tbl>
      <w:tblPr>
        <w:tblStyle w:val="TableGrid"/>
        <w:tblW w:w="0" w:type="auto"/>
        <w:tblLook w:val="04A0" w:firstRow="1" w:lastRow="0" w:firstColumn="1" w:lastColumn="0" w:noHBand="0" w:noVBand="1"/>
      </w:tblPr>
      <w:tblGrid>
        <w:gridCol w:w="7661"/>
      </w:tblGrid>
      <w:tr w:rsidR="00C967DA" w14:paraId="175D8D7F" w14:textId="77777777" w:rsidTr="558F901B">
        <w:tc>
          <w:tcPr>
            <w:tcW w:w="7661" w:type="dxa"/>
            <w:shd w:val="clear" w:color="auto" w:fill="595959" w:themeFill="text1" w:themeFillTint="A6"/>
            <w:vAlign w:val="center"/>
          </w:tcPr>
          <w:p w14:paraId="6B362605" w14:textId="77777777" w:rsidR="00C967DA" w:rsidRPr="009B67C9" w:rsidRDefault="00C967DA" w:rsidP="00AF232D">
            <w:pPr>
              <w:pStyle w:val="Paragraph"/>
              <w:rPr>
                <w:b/>
                <w:bCs/>
              </w:rPr>
            </w:pPr>
            <w:r>
              <w:rPr>
                <w:b/>
                <w:bCs/>
                <w:noProof/>
                <w:color w:val="FFFFFF" w:themeColor="background1"/>
              </w:rPr>
              <w:t>Television outside broadcast</w:t>
            </w:r>
            <w:r w:rsidRPr="009B67C9">
              <w:rPr>
                <w:b/>
                <w:bCs/>
                <w:noProof/>
                <w:color w:val="FFFFFF" w:themeColor="background1"/>
              </w:rPr>
              <w:t xml:space="preserve"> and </w:t>
            </w:r>
            <w:r>
              <w:rPr>
                <w:b/>
                <w:bCs/>
                <w:noProof/>
                <w:color w:val="FFFFFF" w:themeColor="background1"/>
              </w:rPr>
              <w:t>wireless broadband</w:t>
            </w:r>
            <w:r w:rsidRPr="009B67C9">
              <w:rPr>
                <w:b/>
                <w:bCs/>
                <w:noProof/>
                <w:color w:val="FFFFFF" w:themeColor="background1"/>
              </w:rPr>
              <w:t xml:space="preserve"> compatibility</w:t>
            </w:r>
          </w:p>
        </w:tc>
      </w:tr>
      <w:tr w:rsidR="00C967DA" w14:paraId="14FDB86E" w14:textId="77777777" w:rsidTr="558F901B">
        <w:tc>
          <w:tcPr>
            <w:tcW w:w="7661" w:type="dxa"/>
          </w:tcPr>
          <w:p w14:paraId="7B0A0864" w14:textId="1E2C4140" w:rsidR="00C967DA" w:rsidRPr="009B67C9" w:rsidRDefault="00C967DA" w:rsidP="00AF232D">
            <w:pPr>
              <w:pStyle w:val="Paragraph"/>
              <w:rPr>
                <w:b/>
                <w:bCs/>
              </w:rPr>
            </w:pPr>
            <w:r w:rsidRPr="009B67C9">
              <w:rPr>
                <w:b/>
                <w:bCs/>
              </w:rPr>
              <w:t xml:space="preserve">No </w:t>
            </w:r>
            <w:r w:rsidR="004661DD">
              <w:rPr>
                <w:b/>
                <w:bCs/>
              </w:rPr>
              <w:t>i</w:t>
            </w:r>
            <w:r w:rsidRPr="009B67C9">
              <w:rPr>
                <w:b/>
                <w:bCs/>
              </w:rPr>
              <w:t>nterference</w:t>
            </w:r>
          </w:p>
          <w:p w14:paraId="4AF0DA91" w14:textId="3D19D234" w:rsidR="00C967DA" w:rsidRDefault="00F5203F" w:rsidP="00AF232D">
            <w:pPr>
              <w:pStyle w:val="Paragraph"/>
              <w:jc w:val="center"/>
            </w:pPr>
            <w:r w:rsidRPr="00F5203F">
              <w:rPr>
                <w:noProof/>
              </w:rPr>
              <w:drawing>
                <wp:inline distT="0" distB="0" distL="0" distR="0" wp14:anchorId="22A1E5F7" wp14:editId="0AA5F40E">
                  <wp:extent cx="4754438" cy="2629256"/>
                  <wp:effectExtent l="0" t="0" r="8255" b="0"/>
                  <wp:docPr id="6" name="Picture 6" descr="Television outside broadcast and wireless broadband compatibility; no inter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8826" t="8739" r="1419" b="3021"/>
                          <a:stretch/>
                        </pic:blipFill>
                        <pic:spPr bwMode="auto">
                          <a:xfrm>
                            <a:off x="0" y="0"/>
                            <a:ext cx="4789809" cy="26488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3E9FB9" w14:textId="77777777" w:rsidR="00E235A4" w:rsidRDefault="00E235A4"/>
    <w:tbl>
      <w:tblPr>
        <w:tblStyle w:val="TableGrid"/>
        <w:tblW w:w="0" w:type="auto"/>
        <w:tblLook w:val="04A0" w:firstRow="1" w:lastRow="0" w:firstColumn="1" w:lastColumn="0" w:noHBand="0" w:noVBand="1"/>
      </w:tblPr>
      <w:tblGrid>
        <w:gridCol w:w="7661"/>
      </w:tblGrid>
      <w:tr w:rsidR="00C967DA" w14:paraId="616B1B11" w14:textId="77777777" w:rsidTr="00386D04">
        <w:trPr>
          <w:cantSplit/>
        </w:trPr>
        <w:tc>
          <w:tcPr>
            <w:tcW w:w="7661" w:type="dxa"/>
            <w:shd w:val="clear" w:color="auto" w:fill="595959" w:themeFill="text1" w:themeFillTint="A6"/>
            <w:vAlign w:val="center"/>
          </w:tcPr>
          <w:p w14:paraId="64991FF0" w14:textId="08FD1CC8" w:rsidR="00C967DA" w:rsidRPr="009B67C9" w:rsidRDefault="00C967DA" w:rsidP="00AF232D">
            <w:pPr>
              <w:pStyle w:val="Paragraph"/>
              <w:rPr>
                <w:b/>
                <w:bCs/>
              </w:rPr>
            </w:pPr>
            <w:r>
              <w:rPr>
                <w:b/>
                <w:bCs/>
                <w:noProof/>
                <w:color w:val="FFFFFF" w:themeColor="background1"/>
              </w:rPr>
              <w:t xml:space="preserve">Wireless broadband </w:t>
            </w:r>
            <w:r w:rsidRPr="009B67C9">
              <w:rPr>
                <w:b/>
                <w:bCs/>
                <w:noProof/>
                <w:color w:val="FFFFFF" w:themeColor="background1"/>
              </w:rPr>
              <w:t xml:space="preserve">to </w:t>
            </w:r>
            <w:r>
              <w:rPr>
                <w:b/>
                <w:bCs/>
                <w:noProof/>
                <w:color w:val="FFFFFF" w:themeColor="background1"/>
              </w:rPr>
              <w:t>TOB i</w:t>
            </w:r>
            <w:r w:rsidRPr="009B67C9">
              <w:rPr>
                <w:b/>
                <w:bCs/>
                <w:noProof/>
                <w:color w:val="FFFFFF" w:themeColor="background1"/>
              </w:rPr>
              <w:t>nterf</w:t>
            </w:r>
            <w:r w:rsidR="00DA7D7E">
              <w:rPr>
                <w:b/>
                <w:bCs/>
                <w:noProof/>
                <w:color w:val="FFFFFF" w:themeColor="background1"/>
              </w:rPr>
              <w:t>e</w:t>
            </w:r>
            <w:r w:rsidRPr="009B67C9">
              <w:rPr>
                <w:b/>
                <w:bCs/>
                <w:noProof/>
                <w:color w:val="FFFFFF" w:themeColor="background1"/>
              </w:rPr>
              <w:t>rence</w:t>
            </w:r>
          </w:p>
        </w:tc>
      </w:tr>
      <w:tr w:rsidR="00C967DA" w14:paraId="70B48ACB" w14:textId="77777777" w:rsidTr="00386D04">
        <w:trPr>
          <w:cantSplit/>
        </w:trPr>
        <w:tc>
          <w:tcPr>
            <w:tcW w:w="7661" w:type="dxa"/>
          </w:tcPr>
          <w:p w14:paraId="64FA560E" w14:textId="1CA91FDE" w:rsidR="00C967DA" w:rsidRPr="009B67C9" w:rsidRDefault="00C967DA" w:rsidP="00AF232D">
            <w:pPr>
              <w:pStyle w:val="Paragraph"/>
              <w:rPr>
                <w:b/>
                <w:bCs/>
              </w:rPr>
            </w:pPr>
            <w:r>
              <w:rPr>
                <w:b/>
                <w:bCs/>
              </w:rPr>
              <w:t>Area-wide</w:t>
            </w:r>
            <w:r w:rsidRPr="009B67C9">
              <w:rPr>
                <w:b/>
                <w:bCs/>
              </w:rPr>
              <w:t xml:space="preserve"> </w:t>
            </w:r>
            <w:r w:rsidR="004661DD">
              <w:rPr>
                <w:b/>
                <w:bCs/>
              </w:rPr>
              <w:t>i</w:t>
            </w:r>
            <w:r w:rsidRPr="009B67C9">
              <w:rPr>
                <w:b/>
                <w:bCs/>
              </w:rPr>
              <w:t>nterference</w:t>
            </w:r>
          </w:p>
          <w:p w14:paraId="72C45317" w14:textId="4D3E05AB" w:rsidR="00C967DA" w:rsidRDefault="00386D04" w:rsidP="00AF232D">
            <w:pPr>
              <w:pStyle w:val="Paragraph"/>
              <w:jc w:val="center"/>
            </w:pPr>
            <w:r w:rsidRPr="00386D04">
              <w:rPr>
                <w:noProof/>
              </w:rPr>
              <w:drawing>
                <wp:inline distT="0" distB="0" distL="0" distR="0" wp14:anchorId="5F6C403E" wp14:editId="234AA2A7">
                  <wp:extent cx="4452731" cy="2922526"/>
                  <wp:effectExtent l="0" t="0" r="5080" b="0"/>
                  <wp:docPr id="8" name="Picture 8" descr="Wireless broadband to TOB interference; area-wide inter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r="14297"/>
                          <a:stretch/>
                        </pic:blipFill>
                        <pic:spPr bwMode="auto">
                          <a:xfrm>
                            <a:off x="0" y="0"/>
                            <a:ext cx="4467592" cy="29322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86F482" w14:textId="0865EB8F" w:rsidR="00C967DA" w:rsidRDefault="00C967DA" w:rsidP="00C967DA">
      <w:pPr>
        <w:pStyle w:val="Paragraph"/>
      </w:pPr>
      <w:r>
        <w:lastRenderedPageBreak/>
        <w:t>A simple study was conducted using the TOB interference protection parameters specified in FX21 and utilising a clutter</w:t>
      </w:r>
      <w:r w:rsidR="2A7E3935">
        <w:t>-</w:t>
      </w:r>
      <w:r>
        <w:t>based propagation model such as modified Hata model as detailed in the 2 GHz Technical Liaison Group (TLG)</w:t>
      </w:r>
      <w:r>
        <w:rPr>
          <w:rStyle w:val="FootnoteReference"/>
        </w:rPr>
        <w:footnoteReference w:id="40"/>
      </w:r>
      <w:r>
        <w:t>. This study determined the required separation distance for a wireless broadband base station transmitter so that it does not cause interference to a TOB receiver. To utilise realistic EIRP values, the median value was selected from existing 2.1 GHz wireless broadband services in the adjacent band of 30 dBW/5 MHz which was considerably lower than the 47 dBW/</w:t>
      </w:r>
      <w:r w:rsidDel="00C15251">
        <w:t xml:space="preserve"> </w:t>
      </w:r>
      <w:r>
        <w:t>5 MHz allowed under the 2.1 GHz spectrum licence.</w:t>
      </w:r>
    </w:p>
    <w:p w14:paraId="395EEF1A" w14:textId="77777777" w:rsidR="00C967DA" w:rsidRPr="00D97E49" w:rsidRDefault="00C967DA" w:rsidP="00C967DA">
      <w:pPr>
        <w:pStyle w:val="Paragraph"/>
      </w:pPr>
      <w:r>
        <w:t xml:space="preserve">The required separation distances of a wireless broadband base station so that it does not cause interference to a TOB are shown in the table below with ranges from 5 km to 20 km. </w:t>
      </w:r>
    </w:p>
    <w:p w14:paraId="0A07840D" w14:textId="77777777" w:rsidR="00C967DA" w:rsidRDefault="00C967DA" w:rsidP="003322B4">
      <w:pPr>
        <w:pStyle w:val="Tableheading"/>
        <w:tabs>
          <w:tab w:val="clear" w:pos="1957"/>
          <w:tab w:val="num" w:pos="993"/>
        </w:tabs>
        <w:spacing w:before="240"/>
        <w:ind w:left="993" w:hanging="993"/>
      </w:pPr>
      <w:r>
        <w:t>Separation distances between TOB receiver and wireless broadband base station</w:t>
      </w:r>
    </w:p>
    <w:tbl>
      <w:tblPr>
        <w:tblStyle w:val="ACMAtablestyle"/>
        <w:tblW w:w="6516" w:type="dxa"/>
        <w:tblLayout w:type="fixed"/>
        <w:tblCellMar>
          <w:top w:w="57" w:type="dxa"/>
          <w:bottom w:w="57" w:type="dxa"/>
        </w:tblCellMar>
        <w:tblLook w:val="01E0" w:firstRow="1" w:lastRow="1" w:firstColumn="1" w:lastColumn="1" w:noHBand="0" w:noVBand="0"/>
      </w:tblPr>
      <w:tblGrid>
        <w:gridCol w:w="2172"/>
        <w:gridCol w:w="2172"/>
        <w:gridCol w:w="2172"/>
      </w:tblGrid>
      <w:tr w:rsidR="00C967DA" w14:paraId="7E23987F" w14:textId="77777777" w:rsidTr="00B71A32">
        <w:trPr>
          <w:cnfStyle w:val="100000000000" w:firstRow="1" w:lastRow="0" w:firstColumn="0" w:lastColumn="0" w:oddVBand="0" w:evenVBand="0" w:oddHBand="0" w:evenHBand="0" w:firstRowFirstColumn="0" w:firstRowLastColumn="0" w:lastRowFirstColumn="0" w:lastRowLastColumn="0"/>
          <w:tblHeader w:val="0"/>
        </w:trPr>
        <w:tc>
          <w:tcPr>
            <w:tcW w:w="0" w:type="dxa"/>
            <w:tcBorders>
              <w:top w:val="nil"/>
              <w:left w:val="nil"/>
              <w:bottom w:val="none" w:sz="0" w:space="0" w:color="auto"/>
              <w:right w:val="none" w:sz="0" w:space="0" w:color="auto"/>
            </w:tcBorders>
            <w:shd w:val="clear" w:color="auto" w:fill="auto"/>
          </w:tcPr>
          <w:p w14:paraId="5D61A4C3" w14:textId="77777777" w:rsidR="00C967DA" w:rsidRDefault="00C967DA" w:rsidP="00AF232D">
            <w:pPr>
              <w:pStyle w:val="Tableheaderrow"/>
            </w:pPr>
          </w:p>
        </w:tc>
        <w:tc>
          <w:tcPr>
            <w:tcW w:w="0" w:type="dxa"/>
            <w:gridSpan w:val="2"/>
            <w:tcBorders>
              <w:top w:val="none" w:sz="0" w:space="0" w:color="auto"/>
              <w:left w:val="none" w:sz="0" w:space="0" w:color="auto"/>
              <w:bottom w:val="none" w:sz="0" w:space="0" w:color="auto"/>
              <w:right w:val="none" w:sz="0" w:space="0" w:color="auto"/>
            </w:tcBorders>
          </w:tcPr>
          <w:p w14:paraId="05FAB5F8" w14:textId="77777777" w:rsidR="00C967DA" w:rsidRDefault="00C967DA" w:rsidP="00AF232D">
            <w:pPr>
              <w:pStyle w:val="Tableheaderrow"/>
              <w:jc w:val="center"/>
            </w:pPr>
            <w:r>
              <w:t>Separation distance (km)</w:t>
            </w:r>
          </w:p>
        </w:tc>
      </w:tr>
      <w:tr w:rsidR="00C967DA" w:rsidRPr="00D96B2B" w14:paraId="10D7C6E6" w14:textId="77777777" w:rsidTr="003322B4">
        <w:trPr>
          <w:cnfStyle w:val="000000100000" w:firstRow="0" w:lastRow="0" w:firstColumn="0" w:lastColumn="0" w:oddVBand="0" w:evenVBand="0" w:oddHBand="1" w:evenHBand="0" w:firstRowFirstColumn="0" w:firstRowLastColumn="0" w:lastRowFirstColumn="0" w:lastRowLastColumn="0"/>
        </w:trPr>
        <w:tc>
          <w:tcPr>
            <w:tcW w:w="0" w:type="dxa"/>
            <w:shd w:val="clear" w:color="auto" w:fill="404040" w:themeFill="text1" w:themeFillTint="BF"/>
          </w:tcPr>
          <w:p w14:paraId="369E4330" w14:textId="0B88A06B" w:rsidR="00C967DA" w:rsidRPr="00D96B2B" w:rsidRDefault="00B71A32" w:rsidP="00AF232D">
            <w:pPr>
              <w:pStyle w:val="Tableheaderrow"/>
              <w:rPr>
                <w:color w:val="FFFFFF" w:themeColor="background1"/>
              </w:rPr>
            </w:pPr>
            <w:r>
              <w:rPr>
                <w:color w:val="FFFFFF" w:themeColor="background1"/>
              </w:rPr>
              <w:t>W</w:t>
            </w:r>
            <w:r w:rsidR="00C967DA">
              <w:rPr>
                <w:color w:val="FFFFFF" w:themeColor="background1"/>
              </w:rPr>
              <w:t>ireless broadband</w:t>
            </w:r>
            <w:r w:rsidR="00C967DA" w:rsidRPr="00D96B2B">
              <w:rPr>
                <w:color w:val="FFFFFF" w:themeColor="background1"/>
              </w:rPr>
              <w:t xml:space="preserve"> BS Tx EIRP</w:t>
            </w:r>
          </w:p>
        </w:tc>
        <w:tc>
          <w:tcPr>
            <w:tcW w:w="0" w:type="dxa"/>
            <w:shd w:val="clear" w:color="auto" w:fill="404040" w:themeFill="text1" w:themeFillTint="BF"/>
          </w:tcPr>
          <w:p w14:paraId="7084566F" w14:textId="77777777" w:rsidR="00C967DA" w:rsidRPr="00D96B2B" w:rsidRDefault="00C967DA" w:rsidP="00AF232D">
            <w:pPr>
              <w:pStyle w:val="Tableheaderrow"/>
              <w:jc w:val="center"/>
              <w:rPr>
                <w:color w:val="FFFFFF" w:themeColor="background1"/>
              </w:rPr>
            </w:pPr>
            <w:r w:rsidRPr="00D96B2B">
              <w:rPr>
                <w:color w:val="FFFFFF" w:themeColor="background1"/>
              </w:rPr>
              <w:t>TOB link 100 m</w:t>
            </w:r>
          </w:p>
        </w:tc>
        <w:tc>
          <w:tcPr>
            <w:tcW w:w="0" w:type="dxa"/>
            <w:shd w:val="clear" w:color="auto" w:fill="404040" w:themeFill="text1" w:themeFillTint="BF"/>
          </w:tcPr>
          <w:p w14:paraId="1FF4E3E7" w14:textId="77777777" w:rsidR="00C967DA" w:rsidRPr="00D96B2B" w:rsidRDefault="00C967DA" w:rsidP="00AF232D">
            <w:pPr>
              <w:pStyle w:val="Tableheaderrow"/>
              <w:jc w:val="center"/>
              <w:rPr>
                <w:color w:val="FFFFFF" w:themeColor="background1"/>
              </w:rPr>
            </w:pPr>
            <w:r w:rsidRPr="00D96B2B">
              <w:rPr>
                <w:color w:val="FFFFFF" w:themeColor="background1"/>
              </w:rPr>
              <w:t>TOB link 200 m</w:t>
            </w:r>
          </w:p>
        </w:tc>
      </w:tr>
      <w:tr w:rsidR="00C967DA" w:rsidRPr="00930510" w14:paraId="64AEB8C6" w14:textId="77777777" w:rsidTr="003322B4">
        <w:trPr>
          <w:cnfStyle w:val="000000010000" w:firstRow="0" w:lastRow="0" w:firstColumn="0" w:lastColumn="0" w:oddVBand="0" w:evenVBand="0" w:oddHBand="0" w:evenHBand="1" w:firstRowFirstColumn="0" w:firstRowLastColumn="0" w:lastRowFirstColumn="0" w:lastRowLastColumn="0"/>
        </w:trPr>
        <w:tc>
          <w:tcPr>
            <w:tcW w:w="0" w:type="dxa"/>
          </w:tcPr>
          <w:p w14:paraId="40F61EF3" w14:textId="77777777" w:rsidR="00C967DA" w:rsidRDefault="00C967DA" w:rsidP="00AF232D">
            <w:pPr>
              <w:pStyle w:val="TableBody"/>
            </w:pPr>
            <w:r>
              <w:t>Median 30 dBW / 5 MHz</w:t>
            </w:r>
          </w:p>
        </w:tc>
        <w:tc>
          <w:tcPr>
            <w:tcW w:w="0" w:type="dxa"/>
            <w:vAlign w:val="center"/>
          </w:tcPr>
          <w:p w14:paraId="3D0E2F5D" w14:textId="78F987C3" w:rsidR="00C967DA" w:rsidRPr="00930510" w:rsidRDefault="00F525DF" w:rsidP="00AF232D">
            <w:pPr>
              <w:pStyle w:val="TableBody"/>
              <w:jc w:val="center"/>
            </w:pPr>
            <w:r>
              <w:t>12</w:t>
            </w:r>
          </w:p>
        </w:tc>
        <w:tc>
          <w:tcPr>
            <w:tcW w:w="0" w:type="dxa"/>
            <w:vAlign w:val="center"/>
          </w:tcPr>
          <w:p w14:paraId="643BC984" w14:textId="17DA3D74" w:rsidR="00C967DA" w:rsidRPr="00930510" w:rsidRDefault="00A368FE" w:rsidP="00AF232D">
            <w:pPr>
              <w:pStyle w:val="TableBody"/>
              <w:jc w:val="center"/>
            </w:pPr>
            <w:r>
              <w:t>18</w:t>
            </w:r>
          </w:p>
        </w:tc>
      </w:tr>
      <w:tr w:rsidR="00C967DA" w:rsidRPr="00930510" w14:paraId="15B00FFD" w14:textId="77777777" w:rsidTr="003322B4">
        <w:trPr>
          <w:cnfStyle w:val="000000100000" w:firstRow="0" w:lastRow="0" w:firstColumn="0" w:lastColumn="0" w:oddVBand="0" w:evenVBand="0" w:oddHBand="1" w:evenHBand="0" w:firstRowFirstColumn="0" w:firstRowLastColumn="0" w:lastRowFirstColumn="0" w:lastRowLastColumn="0"/>
        </w:trPr>
        <w:tc>
          <w:tcPr>
            <w:tcW w:w="0" w:type="dxa"/>
          </w:tcPr>
          <w:p w14:paraId="1DF36C62" w14:textId="77777777" w:rsidR="00C967DA" w:rsidRDefault="00C967DA" w:rsidP="00AF232D">
            <w:pPr>
              <w:pStyle w:val="TableBody"/>
            </w:pPr>
            <w:r>
              <w:t>Max 47 dBW / 5 MHz</w:t>
            </w:r>
          </w:p>
        </w:tc>
        <w:tc>
          <w:tcPr>
            <w:tcW w:w="0" w:type="dxa"/>
            <w:vAlign w:val="center"/>
          </w:tcPr>
          <w:p w14:paraId="1E91A706" w14:textId="2A743720" w:rsidR="00C967DA" w:rsidRPr="00930510" w:rsidRDefault="008A72EC" w:rsidP="00AF232D">
            <w:pPr>
              <w:pStyle w:val="TableBody"/>
              <w:jc w:val="center"/>
            </w:pPr>
            <w:r>
              <w:t>3</w:t>
            </w:r>
            <w:r w:rsidR="002F07BC">
              <w:t>1</w:t>
            </w:r>
          </w:p>
        </w:tc>
        <w:tc>
          <w:tcPr>
            <w:tcW w:w="0" w:type="dxa"/>
            <w:vAlign w:val="center"/>
          </w:tcPr>
          <w:p w14:paraId="54C1463A" w14:textId="47739201" w:rsidR="00C967DA" w:rsidRPr="00930510" w:rsidRDefault="00225F63" w:rsidP="00AF232D">
            <w:pPr>
              <w:pStyle w:val="TableBody"/>
              <w:jc w:val="center"/>
            </w:pPr>
            <w:r>
              <w:t>39</w:t>
            </w:r>
          </w:p>
        </w:tc>
      </w:tr>
    </w:tbl>
    <w:p w14:paraId="1E622C7D" w14:textId="77777777" w:rsidR="00C967DA" w:rsidRPr="008C6C42" w:rsidRDefault="00C967DA" w:rsidP="003322B4">
      <w:pPr>
        <w:spacing w:after="120"/>
      </w:pPr>
    </w:p>
    <w:p w14:paraId="37516724" w14:textId="47D12D1D" w:rsidR="00C967DA" w:rsidRDefault="00C967DA" w:rsidP="00C967DA">
      <w:r>
        <w:t xml:space="preserve">The distances shown in this paper provide a good indication of the range of protection zone required but are not site specific as the modified Hata </w:t>
      </w:r>
      <w:r w:rsidR="0071253B">
        <w:t>subur</w:t>
      </w:r>
      <w:r w:rsidR="008A763B">
        <w:t xml:space="preserve">ban </w:t>
      </w:r>
      <w:r>
        <w:t xml:space="preserve">model includes clutter but does not factor in site specific terrain. A more detailed study is included in </w:t>
      </w:r>
      <w:hyperlink w:anchor="_Appendix_D:_Television" w:history="1">
        <w:r w:rsidR="00C16D8B" w:rsidRPr="00C16D8B">
          <w:rPr>
            <w:rStyle w:val="Hyperlink"/>
          </w:rPr>
          <w:t>Appendix E: Television outside broadcast and wireless broadband sharing study</w:t>
        </w:r>
      </w:hyperlink>
      <w:r w:rsidR="00C16D8B">
        <w:t xml:space="preserve">, </w:t>
      </w:r>
      <w:r>
        <w:t xml:space="preserve">which shows the expected protection zones for existing TOB licences in Melbourne operating at AAMI Park or the Rod Laver Arena using a terrain-based propagation model. </w:t>
      </w:r>
    </w:p>
    <w:p w14:paraId="48EE9E9A" w14:textId="77777777" w:rsidR="00C967DA" w:rsidRDefault="00C967DA" w:rsidP="00C967DA">
      <w:pPr>
        <w:pStyle w:val="Heading2"/>
        <w:rPr>
          <w:iCs w:val="0"/>
          <w:sz w:val="20"/>
          <w:szCs w:val="26"/>
        </w:rPr>
      </w:pPr>
      <w:bookmarkStart w:id="158" w:name="_Toc46316395"/>
      <w:r>
        <w:t>A</w:t>
      </w:r>
      <w:r w:rsidRPr="000C3806">
        <w:t>djacent band</w:t>
      </w:r>
      <w:r>
        <w:t xml:space="preserve"> compatibility</w:t>
      </w:r>
      <w:bookmarkEnd w:id="158"/>
    </w:p>
    <w:p w14:paraId="05476193" w14:textId="77777777" w:rsidR="00C967DA" w:rsidRDefault="00C967DA" w:rsidP="00C967DA">
      <w:pPr>
        <w:pStyle w:val="Paragraph"/>
      </w:pPr>
      <w:r>
        <w:t xml:space="preserve">The </w:t>
      </w:r>
      <w:bookmarkStart w:id="159" w:name="_Hlk43370011"/>
      <w:r>
        <w:t xml:space="preserve">adjacent band </w:t>
      </w:r>
      <w:bookmarkEnd w:id="159"/>
      <w:r>
        <w:t xml:space="preserve">compatibility between TOB and wireless broadband service needs to be considered to maintain current protection levels. Under the technical framework for the 2.5 GHz mid-band gap TOB spectrum licence, a 5 MHz restricted band is provided with respect to the adjacent </w:t>
      </w:r>
      <w:r w:rsidRPr="00CA474F">
        <w:rPr>
          <w:u w:color="0000FF"/>
        </w:rPr>
        <w:t>2.5 GHz</w:t>
      </w:r>
      <w:r>
        <w:rPr>
          <w:u w:color="0000FF"/>
        </w:rPr>
        <w:t xml:space="preserve"> spectrum licence band, with adjacent band coordination requirement to protect registered receivers in the 2.5 GHz mid band gap.</w:t>
      </w:r>
      <w:r>
        <w:rPr>
          <w:rStyle w:val="FootnoteReference"/>
          <w:u w:color="0000FF"/>
        </w:rPr>
        <w:footnoteReference w:id="41"/>
      </w:r>
    </w:p>
    <w:p w14:paraId="1E76FFE6" w14:textId="675AD707" w:rsidR="00C967DA" w:rsidRDefault="00C967DA" w:rsidP="00C967DA">
      <w:pPr>
        <w:pStyle w:val="Paragraph"/>
      </w:pPr>
      <w:r>
        <w:t>Similarly</w:t>
      </w:r>
      <w:r w:rsidR="00585277">
        <w:t>,</w:t>
      </w:r>
      <w:r>
        <w:t xml:space="preserve"> guard bands of 4 or 5 MHz are currently used between the TOB services</w:t>
      </w:r>
      <w:r w:rsidR="00C16D8B">
        <w:t> </w:t>
      </w:r>
      <w:r>
        <w:t>and the 2.1 GHz mobile service. In particular, the mobile base transmit (</w:t>
      </w:r>
      <w:r w:rsidRPr="008B4D26">
        <w:t>2110</w:t>
      </w:r>
      <w:r>
        <w:t>–</w:t>
      </w:r>
      <w:r w:rsidRPr="008B4D26">
        <w:t>2170 MHz</w:t>
      </w:r>
      <w:r>
        <w:t>) channels can cause adjacent channel degradation to TOB services as the base station transmits at considerably higher power levels and can be located within close proximity of TOB receivers. If wireless broadband services are to be located within the 2 GHz band then they should be in the lower part to adjoin the 2.1</w:t>
      </w:r>
      <w:r w:rsidR="00C16D8B">
        <w:t> </w:t>
      </w:r>
      <w:r>
        <w:t xml:space="preserve">GHz band and consideration needs to be given </w:t>
      </w:r>
      <w:r w:rsidR="4B921EA4">
        <w:t>to</w:t>
      </w:r>
      <w:r>
        <w:t xml:space="preserve"> the upper section near 2200</w:t>
      </w:r>
      <w:r w:rsidR="00C16D8B">
        <w:t> </w:t>
      </w:r>
      <w:r>
        <w:t>MHz to ensure adequate protection is preserved for the TOB broadcaster’s band</w:t>
      </w:r>
      <w:r w:rsidR="00C16D8B">
        <w:t> </w:t>
      </w:r>
      <w:r>
        <w:t>(2200–2300 MHz).</w:t>
      </w:r>
    </w:p>
    <w:p w14:paraId="5643D692" w14:textId="22F80FB2" w:rsidR="00C967DA" w:rsidRPr="005A10CC" w:rsidRDefault="009B460D" w:rsidP="00C967DA">
      <w:pPr>
        <w:pStyle w:val="Paragraph"/>
      </w:pPr>
      <w:r>
        <w:lastRenderedPageBreak/>
        <w:t xml:space="preserve">In a </w:t>
      </w:r>
      <w:r w:rsidR="00C967DA">
        <w:t xml:space="preserve"> submission received </w:t>
      </w:r>
      <w:r w:rsidR="004B616D">
        <w:t xml:space="preserve">from NEP </w:t>
      </w:r>
      <w:r w:rsidR="000675DD">
        <w:t>to the initial 2 GHz band consultation</w:t>
      </w:r>
      <w:r w:rsidR="005936D0">
        <w:t xml:space="preserve"> (</w:t>
      </w:r>
      <w:hyperlink r:id="rId87" w:history="1">
        <w:r w:rsidR="005936D0" w:rsidRPr="0070232B">
          <w:rPr>
            <w:rStyle w:val="Hyperlink"/>
          </w:rPr>
          <w:t>Planning of the 2 GHz band</w:t>
        </w:r>
      </w:hyperlink>
      <w:r w:rsidR="005936D0">
        <w:t>)</w:t>
      </w:r>
      <w:r>
        <w:t xml:space="preserve"> they </w:t>
      </w:r>
      <w:r w:rsidR="00C967DA">
        <w:t xml:space="preserve">indicated that </w:t>
      </w:r>
      <w:r w:rsidR="00C46F6D">
        <w:t xml:space="preserve">they </w:t>
      </w:r>
      <w:r w:rsidR="00C967DA">
        <w:t>have invested heavily in filters to protect their TOB receivers from the existing 2.1 GHz mobile services and whilst these filters are tuneable, it would not be practical to have to be changing filter frequencies depending on the venue where they are televising from. The submission recommended that a 5</w:t>
      </w:r>
      <w:r w:rsidR="00C16D8B">
        <w:t> </w:t>
      </w:r>
      <w:r w:rsidR="00C967DA">
        <w:t>MHz guard band be maintained.</w:t>
      </w:r>
    </w:p>
    <w:p w14:paraId="038B8BD7" w14:textId="77777777" w:rsidR="00C967DA" w:rsidRDefault="00C967DA" w:rsidP="00C967DA">
      <w:pPr>
        <w:pStyle w:val="Heading3"/>
      </w:pPr>
      <w:r>
        <w:t>Other space services protection</w:t>
      </w:r>
    </w:p>
    <w:p w14:paraId="1B8060B1" w14:textId="6C00B854" w:rsidR="00C967DA" w:rsidRDefault="00C967DA" w:rsidP="00C967DA">
      <w:pPr>
        <w:pStyle w:val="Paragraph"/>
      </w:pPr>
      <w:r>
        <w:t>Also, the bands 2025–2110 MHz and 2200–2300 MHz are commonly used by earth stations to provide space operation services, earth exploration-satellite services and space research services. Implementation of any new service in the 2 GHz band would need to ensure adequate protections were in place to protect these other space services in the adjacent bands.</w:t>
      </w:r>
    </w:p>
    <w:p w14:paraId="270A38E0" w14:textId="59FB4FEC" w:rsidR="00C967DA" w:rsidRPr="001F7DED" w:rsidRDefault="00C967DA" w:rsidP="00C967DA">
      <w:pPr>
        <w:pStyle w:val="Paragraph"/>
      </w:pPr>
      <w:r>
        <w:rPr>
          <w:rFonts w:cstheme="minorHAnsi"/>
        </w:rPr>
        <w:t>Currently under RALI FX 21 d</w:t>
      </w:r>
      <w:r w:rsidRPr="004C4E39">
        <w:rPr>
          <w:rFonts w:cstheme="minorHAnsi"/>
        </w:rPr>
        <w:t xml:space="preserve">ue to the sensitivity </w:t>
      </w:r>
      <w:r>
        <w:rPr>
          <w:rFonts w:cstheme="minorHAnsi"/>
        </w:rPr>
        <w:t xml:space="preserve">of earth station receivers </w:t>
      </w:r>
      <w:r w:rsidRPr="004C4E39">
        <w:rPr>
          <w:rFonts w:cstheme="minorHAnsi"/>
        </w:rPr>
        <w:t>operating in the adjacent band 2200</w:t>
      </w:r>
      <w:r>
        <w:rPr>
          <w:rFonts w:cstheme="minorHAnsi"/>
        </w:rPr>
        <w:t>–</w:t>
      </w:r>
      <w:r w:rsidRPr="004C4E39">
        <w:rPr>
          <w:rFonts w:cstheme="minorHAnsi"/>
        </w:rPr>
        <w:t xml:space="preserve">2300 MHz </w:t>
      </w:r>
      <w:r>
        <w:rPr>
          <w:rFonts w:cstheme="minorHAnsi"/>
        </w:rPr>
        <w:t xml:space="preserve">no airborne transmitters are supported and </w:t>
      </w:r>
      <w:r w:rsidRPr="004C4E39">
        <w:rPr>
          <w:rFonts w:cstheme="minorHAnsi"/>
        </w:rPr>
        <w:t xml:space="preserve">a minimum separation distance of 100 km is required between </w:t>
      </w:r>
      <w:r>
        <w:t xml:space="preserve">TOB </w:t>
      </w:r>
      <w:r>
        <w:rPr>
          <w:rFonts w:cstheme="minorHAnsi"/>
        </w:rPr>
        <w:t>transmitters</w:t>
      </w:r>
      <w:r w:rsidRPr="004C4E39">
        <w:rPr>
          <w:rFonts w:cstheme="minorHAnsi"/>
        </w:rPr>
        <w:t xml:space="preserve"> operating in the band 2175-2200 MHz and</w:t>
      </w:r>
      <w:r w:rsidR="001621B3">
        <w:rPr>
          <w:rFonts w:cstheme="minorHAnsi"/>
        </w:rPr>
        <w:t xml:space="preserve"> </w:t>
      </w:r>
      <w:r w:rsidRPr="004C4E39">
        <w:rPr>
          <w:rFonts w:cstheme="minorHAnsi"/>
        </w:rPr>
        <w:t>earth</w:t>
      </w:r>
      <w:r>
        <w:rPr>
          <w:rFonts w:cstheme="minorHAnsi"/>
        </w:rPr>
        <w:t xml:space="preserve"> </w:t>
      </w:r>
      <w:r w:rsidRPr="004C4E39">
        <w:rPr>
          <w:rFonts w:cstheme="minorHAnsi"/>
        </w:rPr>
        <w:t>station</w:t>
      </w:r>
      <w:r>
        <w:rPr>
          <w:rFonts w:cstheme="minorHAnsi"/>
        </w:rPr>
        <w:t xml:space="preserve"> receivers </w:t>
      </w:r>
      <w:r w:rsidRPr="004C4E39">
        <w:rPr>
          <w:rFonts w:cstheme="minorHAnsi"/>
        </w:rPr>
        <w:t>in the band 2200</w:t>
      </w:r>
      <w:r>
        <w:rPr>
          <w:rFonts w:cstheme="minorHAnsi"/>
        </w:rPr>
        <w:t>–</w:t>
      </w:r>
      <w:r w:rsidRPr="004C4E39">
        <w:rPr>
          <w:rFonts w:cstheme="minorHAnsi"/>
        </w:rPr>
        <w:t>2300 MHz</w:t>
      </w:r>
      <w:r>
        <w:rPr>
          <w:rFonts w:cstheme="minorHAnsi"/>
        </w:rPr>
        <w:t xml:space="preserve"> statement in RALI FX 21 (New Norcia, Mingenew and Tidbinbilla)</w:t>
      </w:r>
      <w:r w:rsidRPr="004C4E39">
        <w:rPr>
          <w:rFonts w:cstheme="minorHAnsi"/>
        </w:rPr>
        <w:t>.</w:t>
      </w:r>
      <w:r>
        <w:rPr>
          <w:rFonts w:cstheme="minorHAnsi"/>
        </w:rPr>
        <w:t xml:space="preserve"> These requirements would need to be preserved in the context of any new services in the 2</w:t>
      </w:r>
      <w:r w:rsidR="00DE0BF0">
        <w:rPr>
          <w:rFonts w:cstheme="minorHAnsi"/>
        </w:rPr>
        <w:t> </w:t>
      </w:r>
      <w:r>
        <w:rPr>
          <w:rFonts w:cstheme="minorHAnsi"/>
        </w:rPr>
        <w:t xml:space="preserve">GHz band. </w:t>
      </w:r>
    </w:p>
    <w:p w14:paraId="4E34A34B" w14:textId="77777777" w:rsidR="00C967DA" w:rsidRDefault="00C967DA" w:rsidP="00C967DA">
      <w:pPr>
        <w:pStyle w:val="Heading2"/>
      </w:pPr>
      <w:bookmarkStart w:id="160" w:name="_Toc46316396"/>
      <w:r>
        <w:t>Coordination with other services</w:t>
      </w:r>
      <w:bookmarkEnd w:id="160"/>
    </w:p>
    <w:p w14:paraId="54695DBF" w14:textId="77777777" w:rsidR="00C967DA" w:rsidRDefault="00C967DA" w:rsidP="00C967DA">
      <w:pPr>
        <w:pStyle w:val="Heading3"/>
      </w:pPr>
      <w:r>
        <w:t>Radio Quiet Zone protection</w:t>
      </w:r>
    </w:p>
    <w:p w14:paraId="693E38A2" w14:textId="3EE051E1" w:rsidR="00C967DA" w:rsidRPr="00515544" w:rsidRDefault="00C967DA" w:rsidP="00C967DA">
      <w:pPr>
        <w:pStyle w:val="ACMANormalTabbed"/>
      </w:pPr>
      <w:r>
        <w:t xml:space="preserve">Other issues that need to be considered include protecting the Australian Radio Quiet Zone Western Australia (near Boolardy Station). These requirements are specified in the </w:t>
      </w:r>
      <w:hyperlink r:id="rId88" w:history="1">
        <w:r w:rsidRPr="003322B4">
          <w:rPr>
            <w:rStyle w:val="Hyperlink"/>
          </w:rPr>
          <w:t>Radiocommunications (Mid-West Radio Quiet Zone) Frequency Band Plan 2011</w:t>
        </w:r>
      </w:hyperlink>
      <w:r>
        <w:t xml:space="preserve">, RALI </w:t>
      </w:r>
      <w:hyperlink r:id="rId89" w:history="1">
        <w:r>
          <w:rPr>
            <w:rStyle w:val="Hyperlink"/>
          </w:rPr>
          <w:t>MS 32</w:t>
        </w:r>
      </w:hyperlink>
      <w:r>
        <w:t xml:space="preserve"> on the coordination of apparatus licensed services within the Australian Radio Quiet Zone Western Australia, and spectrum </w:t>
      </w:r>
      <w:hyperlink r:id="rId90" w:history="1">
        <w:r>
          <w:rPr>
            <w:rStyle w:val="Hyperlink"/>
          </w:rPr>
          <w:t>embargo 41</w:t>
        </w:r>
      </w:hyperlink>
      <w:r>
        <w:t>, which covers the frequency range 70 MHz–25.25 GHz, and therefore applies to the 2 GHz band.</w:t>
      </w:r>
    </w:p>
    <w:p w14:paraId="130F8D4D" w14:textId="2ACA577F" w:rsidR="00C967DA" w:rsidRDefault="00C967DA" w:rsidP="00C967DA">
      <w:pPr>
        <w:rPr>
          <w:rFonts w:cstheme="minorHAnsi"/>
        </w:rPr>
      </w:pPr>
      <w:r>
        <w:t>Currently under arrangements for TOB stations airborne transmitters are not supported and no transmitters are to be operated with</w:t>
      </w:r>
      <w:r w:rsidR="00902900">
        <w:t>in</w:t>
      </w:r>
      <w:r>
        <w:t xml:space="preserve"> </w:t>
      </w:r>
      <w:r w:rsidRPr="00585C1C">
        <w:rPr>
          <w:rFonts w:cstheme="minorHAnsi"/>
        </w:rPr>
        <w:t>150 km of the Mid-West Radio Quiet Zone</w:t>
      </w:r>
      <w:r>
        <w:rPr>
          <w:rFonts w:cstheme="minorHAnsi"/>
        </w:rPr>
        <w:t>. These requirements would need to be considered in the context of any new services in the 2 GHz band</w:t>
      </w:r>
      <w:r w:rsidR="00702FA2">
        <w:rPr>
          <w:rFonts w:cstheme="minorHAnsi"/>
        </w:rPr>
        <w:t>.</w:t>
      </w:r>
    </w:p>
    <w:p w14:paraId="0DDB519B" w14:textId="27EA6551" w:rsidR="00573A89" w:rsidRDefault="00573A89" w:rsidP="00573A89">
      <w:pPr>
        <w:pStyle w:val="Heading1"/>
      </w:pPr>
      <w:bookmarkStart w:id="161" w:name="_Appendix_D:_Spectrum"/>
      <w:bookmarkStart w:id="162" w:name="_Toc46316397"/>
      <w:bookmarkEnd w:id="161"/>
      <w:r w:rsidRPr="001F7DED">
        <w:lastRenderedPageBreak/>
        <w:t xml:space="preserve">Appendix </w:t>
      </w:r>
      <w:r w:rsidR="001E76C7">
        <w:t>D</w:t>
      </w:r>
      <w:r w:rsidRPr="001F7DED">
        <w:t xml:space="preserve">: </w:t>
      </w:r>
      <w:r w:rsidR="00431557">
        <w:t>S</w:t>
      </w:r>
      <w:r w:rsidR="004830FF">
        <w:t>pectrum arrangements</w:t>
      </w:r>
      <w:r w:rsidR="00431557">
        <w:t xml:space="preserve"> and licensing statistics</w:t>
      </w:r>
      <w:bookmarkEnd w:id="150"/>
      <w:bookmarkEnd w:id="151"/>
      <w:bookmarkEnd w:id="162"/>
    </w:p>
    <w:p w14:paraId="76412477" w14:textId="54B389B2" w:rsidR="00431557" w:rsidRPr="00296D08" w:rsidRDefault="00431557" w:rsidP="00431557">
      <w:pPr>
        <w:pStyle w:val="Heading3"/>
      </w:pPr>
      <w:r>
        <w:t xml:space="preserve">2 GHz TOB </w:t>
      </w:r>
      <w:r w:rsidR="002A718F">
        <w:t>l</w:t>
      </w:r>
      <w:r>
        <w:t>icensees</w:t>
      </w:r>
    </w:p>
    <w:p w14:paraId="585747B8" w14:textId="71F859E1" w:rsidR="00431557" w:rsidRDefault="00431557" w:rsidP="004830FF">
      <w:r>
        <w:t>The table below shows breakdown of TOB licences from 2015</w:t>
      </w:r>
      <w:r w:rsidR="008E77CC">
        <w:t>–</w:t>
      </w:r>
      <w:r>
        <w:t xml:space="preserve">19. </w:t>
      </w:r>
      <w:r w:rsidR="00CF6D53">
        <w:t xml:space="preserve">The year refers to </w:t>
      </w:r>
      <w:r w:rsidR="00486C7E">
        <w:t xml:space="preserve">the year the licence was issued. </w:t>
      </w:r>
    </w:p>
    <w:p w14:paraId="628934EA" w14:textId="22FE59A7" w:rsidR="00431557" w:rsidRDefault="00431557" w:rsidP="003322B4">
      <w:pPr>
        <w:pStyle w:val="Tableheading"/>
        <w:tabs>
          <w:tab w:val="clear" w:pos="1957"/>
          <w:tab w:val="num" w:pos="993"/>
        </w:tabs>
        <w:ind w:left="993" w:hanging="993"/>
      </w:pPr>
      <w:bookmarkStart w:id="163" w:name="_Ref37922736"/>
      <w:r>
        <w:t xml:space="preserve">2 GHz </w:t>
      </w:r>
      <w:r w:rsidR="007F6936">
        <w:t>TOB</w:t>
      </w:r>
      <w:r>
        <w:t xml:space="preserve"> licences 2015</w:t>
      </w:r>
      <w:r w:rsidR="0020483B">
        <w:t>–</w:t>
      </w:r>
      <w:r>
        <w:t>19</w:t>
      </w:r>
      <w:bookmarkEnd w:id="163"/>
    </w:p>
    <w:tbl>
      <w:tblPr>
        <w:tblStyle w:val="ACMAtablestyle"/>
        <w:tblW w:w="7838" w:type="dxa"/>
        <w:tblLayout w:type="fixed"/>
        <w:tblCellMar>
          <w:top w:w="57" w:type="dxa"/>
          <w:bottom w:w="57" w:type="dxa"/>
        </w:tblCellMar>
        <w:tblLook w:val="01E0" w:firstRow="1" w:lastRow="1" w:firstColumn="1" w:lastColumn="1" w:noHBand="0" w:noVBand="0"/>
        <w:tblCaption w:val="Table title to go here"/>
        <w:tblDescription w:val="Table description to go here"/>
      </w:tblPr>
      <w:tblGrid>
        <w:gridCol w:w="4531"/>
        <w:gridCol w:w="661"/>
        <w:gridCol w:w="662"/>
        <w:gridCol w:w="661"/>
        <w:gridCol w:w="662"/>
        <w:gridCol w:w="661"/>
      </w:tblGrid>
      <w:tr w:rsidR="00E00B21" w:rsidRPr="006D46E5" w14:paraId="2545E438" w14:textId="77777777" w:rsidTr="00BC708B">
        <w:trPr>
          <w:cnfStyle w:val="100000000000" w:firstRow="1" w:lastRow="0" w:firstColumn="0" w:lastColumn="0" w:oddVBand="0" w:evenVBand="0" w:oddHBand="0" w:evenHBand="0" w:firstRowFirstColumn="0" w:firstRowLastColumn="0" w:lastRowFirstColumn="0" w:lastRowLastColumn="0"/>
          <w:tblHeader w:val="0"/>
        </w:trPr>
        <w:tc>
          <w:tcPr>
            <w:tcW w:w="4531" w:type="dxa"/>
            <w:tcBorders>
              <w:top w:val="none" w:sz="0" w:space="0" w:color="auto"/>
              <w:left w:val="none" w:sz="0" w:space="0" w:color="auto"/>
              <w:bottom w:val="none" w:sz="0" w:space="0" w:color="auto"/>
              <w:right w:val="none" w:sz="0" w:space="0" w:color="auto"/>
            </w:tcBorders>
          </w:tcPr>
          <w:p w14:paraId="44BFEEFE" w14:textId="12C2245A" w:rsidR="00431557" w:rsidRPr="00930510" w:rsidRDefault="00431557" w:rsidP="009162DB">
            <w:pPr>
              <w:pStyle w:val="Tableheaderrow"/>
              <w:rPr>
                <w:sz w:val="18"/>
                <w:szCs w:val="18"/>
              </w:rPr>
            </w:pPr>
            <w:r w:rsidRPr="432F0141">
              <w:rPr>
                <w:sz w:val="18"/>
                <w:szCs w:val="18"/>
              </w:rPr>
              <w:t xml:space="preserve">Location </w:t>
            </w:r>
            <w:r w:rsidR="00FF6CEF">
              <w:rPr>
                <w:sz w:val="18"/>
                <w:szCs w:val="18"/>
              </w:rPr>
              <w:t>t</w:t>
            </w:r>
            <w:r w:rsidRPr="432F0141">
              <w:rPr>
                <w:sz w:val="18"/>
                <w:szCs w:val="18"/>
              </w:rPr>
              <w:t>ype</w:t>
            </w:r>
          </w:p>
        </w:tc>
        <w:tc>
          <w:tcPr>
            <w:tcW w:w="661" w:type="dxa"/>
            <w:tcBorders>
              <w:top w:val="none" w:sz="0" w:space="0" w:color="auto"/>
              <w:left w:val="none" w:sz="0" w:space="0" w:color="auto"/>
              <w:bottom w:val="none" w:sz="0" w:space="0" w:color="auto"/>
              <w:right w:val="none" w:sz="0" w:space="0" w:color="auto"/>
            </w:tcBorders>
          </w:tcPr>
          <w:p w14:paraId="12405507" w14:textId="77777777" w:rsidR="00431557" w:rsidRDefault="00431557" w:rsidP="009162DB">
            <w:pPr>
              <w:pStyle w:val="Tableheaderrow"/>
              <w:jc w:val="center"/>
              <w:rPr>
                <w:sz w:val="18"/>
                <w:szCs w:val="18"/>
              </w:rPr>
            </w:pPr>
            <w:r w:rsidRPr="0E3A98F4">
              <w:rPr>
                <w:sz w:val="18"/>
                <w:szCs w:val="18"/>
              </w:rPr>
              <w:t>2015</w:t>
            </w:r>
          </w:p>
        </w:tc>
        <w:tc>
          <w:tcPr>
            <w:tcW w:w="662" w:type="dxa"/>
            <w:tcBorders>
              <w:top w:val="none" w:sz="0" w:space="0" w:color="auto"/>
              <w:left w:val="none" w:sz="0" w:space="0" w:color="auto"/>
              <w:bottom w:val="none" w:sz="0" w:space="0" w:color="auto"/>
              <w:right w:val="none" w:sz="0" w:space="0" w:color="auto"/>
            </w:tcBorders>
          </w:tcPr>
          <w:p w14:paraId="490A9D59" w14:textId="77777777" w:rsidR="00431557" w:rsidRDefault="00431557" w:rsidP="009162DB">
            <w:pPr>
              <w:pStyle w:val="Tableheaderrow"/>
              <w:jc w:val="center"/>
              <w:rPr>
                <w:sz w:val="18"/>
                <w:szCs w:val="18"/>
              </w:rPr>
            </w:pPr>
            <w:r w:rsidRPr="0E3A98F4">
              <w:rPr>
                <w:sz w:val="18"/>
                <w:szCs w:val="18"/>
              </w:rPr>
              <w:t>2016</w:t>
            </w:r>
          </w:p>
        </w:tc>
        <w:tc>
          <w:tcPr>
            <w:tcW w:w="661" w:type="dxa"/>
            <w:tcBorders>
              <w:top w:val="none" w:sz="0" w:space="0" w:color="auto"/>
              <w:left w:val="none" w:sz="0" w:space="0" w:color="auto"/>
              <w:bottom w:val="none" w:sz="0" w:space="0" w:color="auto"/>
              <w:right w:val="none" w:sz="0" w:space="0" w:color="auto"/>
            </w:tcBorders>
          </w:tcPr>
          <w:p w14:paraId="374334D3" w14:textId="77777777" w:rsidR="00431557" w:rsidRDefault="00431557" w:rsidP="009162DB">
            <w:pPr>
              <w:pStyle w:val="Tableheaderrow"/>
              <w:jc w:val="center"/>
              <w:rPr>
                <w:sz w:val="18"/>
                <w:szCs w:val="18"/>
              </w:rPr>
            </w:pPr>
            <w:r w:rsidRPr="0E3A98F4">
              <w:rPr>
                <w:sz w:val="18"/>
                <w:szCs w:val="18"/>
              </w:rPr>
              <w:t>2017</w:t>
            </w:r>
          </w:p>
        </w:tc>
        <w:tc>
          <w:tcPr>
            <w:tcW w:w="662" w:type="dxa"/>
            <w:tcBorders>
              <w:top w:val="none" w:sz="0" w:space="0" w:color="auto"/>
              <w:left w:val="none" w:sz="0" w:space="0" w:color="auto"/>
              <w:bottom w:val="none" w:sz="0" w:space="0" w:color="auto"/>
              <w:right w:val="none" w:sz="0" w:space="0" w:color="auto"/>
            </w:tcBorders>
          </w:tcPr>
          <w:p w14:paraId="284E6629" w14:textId="77777777" w:rsidR="00431557" w:rsidRDefault="00431557" w:rsidP="009162DB">
            <w:pPr>
              <w:pStyle w:val="Tableheaderrow"/>
              <w:jc w:val="center"/>
              <w:rPr>
                <w:sz w:val="18"/>
                <w:szCs w:val="18"/>
              </w:rPr>
            </w:pPr>
            <w:r w:rsidRPr="0E3A98F4">
              <w:rPr>
                <w:sz w:val="18"/>
                <w:szCs w:val="18"/>
              </w:rPr>
              <w:t>2018</w:t>
            </w:r>
          </w:p>
        </w:tc>
        <w:tc>
          <w:tcPr>
            <w:tcW w:w="661" w:type="dxa"/>
            <w:tcBorders>
              <w:top w:val="none" w:sz="0" w:space="0" w:color="auto"/>
              <w:left w:val="none" w:sz="0" w:space="0" w:color="auto"/>
              <w:bottom w:val="none" w:sz="0" w:space="0" w:color="auto"/>
              <w:right w:val="none" w:sz="0" w:space="0" w:color="auto"/>
            </w:tcBorders>
          </w:tcPr>
          <w:p w14:paraId="62B1EEC3" w14:textId="77777777" w:rsidR="00431557" w:rsidRDefault="00431557" w:rsidP="009162DB">
            <w:pPr>
              <w:pStyle w:val="Tableheaderrow"/>
              <w:jc w:val="center"/>
              <w:rPr>
                <w:sz w:val="18"/>
                <w:szCs w:val="18"/>
              </w:rPr>
            </w:pPr>
            <w:r w:rsidRPr="0E3A98F4">
              <w:rPr>
                <w:sz w:val="18"/>
                <w:szCs w:val="18"/>
              </w:rPr>
              <w:t>2019</w:t>
            </w:r>
          </w:p>
        </w:tc>
      </w:tr>
      <w:tr w:rsidR="00DB0A00" w:rsidRPr="006D46E5" w14:paraId="0D25E57E" w14:textId="77777777" w:rsidTr="00BC708B">
        <w:trPr>
          <w:cnfStyle w:val="000000100000" w:firstRow="0" w:lastRow="0" w:firstColumn="0" w:lastColumn="0" w:oddVBand="0" w:evenVBand="0" w:oddHBand="1" w:evenHBand="0" w:firstRowFirstColumn="0" w:firstRowLastColumn="0" w:lastRowFirstColumn="0" w:lastRowLastColumn="0"/>
        </w:trPr>
        <w:tc>
          <w:tcPr>
            <w:tcW w:w="4531" w:type="dxa"/>
          </w:tcPr>
          <w:p w14:paraId="05510A2B" w14:textId="77777777" w:rsidR="00431557" w:rsidRPr="00A74EAA" w:rsidRDefault="00431557" w:rsidP="009162DB">
            <w:pPr>
              <w:pStyle w:val="TableBody"/>
              <w:rPr>
                <w:b/>
                <w:bCs/>
              </w:rPr>
            </w:pPr>
            <w:r w:rsidRPr="00A74EAA">
              <w:rPr>
                <w:b/>
                <w:bCs/>
              </w:rPr>
              <w:t>Australia-wide</w:t>
            </w:r>
          </w:p>
        </w:tc>
        <w:tc>
          <w:tcPr>
            <w:tcW w:w="661" w:type="dxa"/>
          </w:tcPr>
          <w:p w14:paraId="10FFD496" w14:textId="77777777" w:rsidR="00431557" w:rsidRPr="00A74EAA" w:rsidRDefault="00431557" w:rsidP="009162DB">
            <w:pPr>
              <w:pStyle w:val="TableBody"/>
              <w:jc w:val="center"/>
              <w:rPr>
                <w:b/>
                <w:bCs/>
              </w:rPr>
            </w:pPr>
            <w:r>
              <w:rPr>
                <w:b/>
                <w:bCs/>
              </w:rPr>
              <w:t>7</w:t>
            </w:r>
          </w:p>
        </w:tc>
        <w:tc>
          <w:tcPr>
            <w:tcW w:w="662" w:type="dxa"/>
          </w:tcPr>
          <w:p w14:paraId="418B447A" w14:textId="77777777" w:rsidR="00431557" w:rsidRPr="00A74EAA" w:rsidRDefault="00431557" w:rsidP="009162DB">
            <w:pPr>
              <w:pStyle w:val="TableBody"/>
              <w:jc w:val="center"/>
              <w:rPr>
                <w:b/>
                <w:bCs/>
              </w:rPr>
            </w:pPr>
            <w:r>
              <w:rPr>
                <w:b/>
                <w:bCs/>
              </w:rPr>
              <w:t>1</w:t>
            </w:r>
          </w:p>
        </w:tc>
        <w:tc>
          <w:tcPr>
            <w:tcW w:w="661" w:type="dxa"/>
          </w:tcPr>
          <w:p w14:paraId="16CEC8D3" w14:textId="77777777" w:rsidR="00431557" w:rsidRPr="00A74EAA" w:rsidRDefault="00431557" w:rsidP="009162DB">
            <w:pPr>
              <w:pStyle w:val="TableBody"/>
              <w:jc w:val="center"/>
              <w:rPr>
                <w:b/>
                <w:bCs/>
              </w:rPr>
            </w:pPr>
          </w:p>
        </w:tc>
        <w:tc>
          <w:tcPr>
            <w:tcW w:w="662" w:type="dxa"/>
          </w:tcPr>
          <w:p w14:paraId="15FB0B97" w14:textId="77777777" w:rsidR="00431557" w:rsidRPr="00A74EAA" w:rsidRDefault="00431557" w:rsidP="009162DB">
            <w:pPr>
              <w:pStyle w:val="TableBody"/>
              <w:jc w:val="center"/>
              <w:rPr>
                <w:b/>
                <w:bCs/>
              </w:rPr>
            </w:pPr>
          </w:p>
        </w:tc>
        <w:tc>
          <w:tcPr>
            <w:tcW w:w="661" w:type="dxa"/>
          </w:tcPr>
          <w:p w14:paraId="5AF85787" w14:textId="77777777" w:rsidR="00431557" w:rsidRPr="00A74EAA" w:rsidRDefault="00431557" w:rsidP="009162DB">
            <w:pPr>
              <w:pStyle w:val="TableBody"/>
              <w:jc w:val="center"/>
              <w:rPr>
                <w:b/>
                <w:bCs/>
              </w:rPr>
            </w:pPr>
          </w:p>
        </w:tc>
      </w:tr>
      <w:tr w:rsidR="00431557" w:rsidRPr="006D46E5" w14:paraId="0F422F9A" w14:textId="77777777" w:rsidTr="00BC708B">
        <w:trPr>
          <w:cnfStyle w:val="000000010000" w:firstRow="0" w:lastRow="0" w:firstColumn="0" w:lastColumn="0" w:oddVBand="0" w:evenVBand="0" w:oddHBand="0" w:evenHBand="1" w:firstRowFirstColumn="0" w:firstRowLastColumn="0" w:lastRowFirstColumn="0" w:lastRowLastColumn="0"/>
        </w:trPr>
        <w:tc>
          <w:tcPr>
            <w:tcW w:w="4531" w:type="dxa"/>
          </w:tcPr>
          <w:p w14:paraId="01E1CF9F" w14:textId="77777777" w:rsidR="00431557" w:rsidRPr="00930510" w:rsidRDefault="00431557" w:rsidP="009162DB">
            <w:pPr>
              <w:pStyle w:val="TableBody"/>
            </w:pPr>
            <w:r>
              <w:t xml:space="preserve">   Broadcast Solutions (UK)</w:t>
            </w:r>
          </w:p>
        </w:tc>
        <w:tc>
          <w:tcPr>
            <w:tcW w:w="661" w:type="dxa"/>
          </w:tcPr>
          <w:p w14:paraId="4EE6A6C1" w14:textId="77777777" w:rsidR="00431557" w:rsidRPr="00930510" w:rsidRDefault="00431557" w:rsidP="009162DB">
            <w:pPr>
              <w:pStyle w:val="TableBody"/>
              <w:jc w:val="center"/>
            </w:pPr>
            <w:r>
              <w:t>4</w:t>
            </w:r>
          </w:p>
        </w:tc>
        <w:tc>
          <w:tcPr>
            <w:tcW w:w="662" w:type="dxa"/>
          </w:tcPr>
          <w:p w14:paraId="01982977" w14:textId="77777777" w:rsidR="00431557" w:rsidRPr="00930510" w:rsidRDefault="00431557" w:rsidP="009162DB">
            <w:pPr>
              <w:pStyle w:val="TableBody"/>
              <w:jc w:val="center"/>
            </w:pPr>
          </w:p>
        </w:tc>
        <w:tc>
          <w:tcPr>
            <w:tcW w:w="661" w:type="dxa"/>
          </w:tcPr>
          <w:p w14:paraId="457B5B33" w14:textId="77777777" w:rsidR="00431557" w:rsidRPr="00930510" w:rsidRDefault="00431557" w:rsidP="009162DB">
            <w:pPr>
              <w:pStyle w:val="TableBody"/>
              <w:jc w:val="center"/>
            </w:pPr>
          </w:p>
        </w:tc>
        <w:tc>
          <w:tcPr>
            <w:tcW w:w="662" w:type="dxa"/>
          </w:tcPr>
          <w:p w14:paraId="28668A5F" w14:textId="77777777" w:rsidR="00431557" w:rsidRPr="00930510" w:rsidRDefault="00431557" w:rsidP="009162DB">
            <w:pPr>
              <w:pStyle w:val="TableBody"/>
              <w:jc w:val="center"/>
            </w:pPr>
          </w:p>
        </w:tc>
        <w:tc>
          <w:tcPr>
            <w:tcW w:w="661" w:type="dxa"/>
          </w:tcPr>
          <w:p w14:paraId="00D73176" w14:textId="77777777" w:rsidR="00431557" w:rsidRPr="00930510" w:rsidRDefault="00431557" w:rsidP="009162DB">
            <w:pPr>
              <w:pStyle w:val="TableBody"/>
              <w:jc w:val="center"/>
            </w:pPr>
          </w:p>
        </w:tc>
      </w:tr>
      <w:tr w:rsidR="00DB0A00" w:rsidRPr="006D46E5" w14:paraId="10C1326C" w14:textId="77777777" w:rsidTr="00BC708B">
        <w:trPr>
          <w:cnfStyle w:val="000000100000" w:firstRow="0" w:lastRow="0" w:firstColumn="0" w:lastColumn="0" w:oddVBand="0" w:evenVBand="0" w:oddHBand="1" w:evenHBand="0" w:firstRowFirstColumn="0" w:firstRowLastColumn="0" w:lastRowFirstColumn="0" w:lastRowLastColumn="0"/>
        </w:trPr>
        <w:tc>
          <w:tcPr>
            <w:tcW w:w="4531" w:type="dxa"/>
          </w:tcPr>
          <w:p w14:paraId="7928DE2A" w14:textId="77777777" w:rsidR="00431557" w:rsidRPr="00930510" w:rsidRDefault="00431557" w:rsidP="009162DB">
            <w:pPr>
              <w:pStyle w:val="TableBody"/>
            </w:pPr>
            <w:r>
              <w:t xml:space="preserve">   The Trustee for Pinder Family Trust</w:t>
            </w:r>
          </w:p>
        </w:tc>
        <w:tc>
          <w:tcPr>
            <w:tcW w:w="661" w:type="dxa"/>
          </w:tcPr>
          <w:p w14:paraId="2FDFEC71" w14:textId="77777777" w:rsidR="00431557" w:rsidRPr="00930510" w:rsidRDefault="00431557" w:rsidP="009162DB">
            <w:pPr>
              <w:pStyle w:val="TableBody"/>
              <w:jc w:val="center"/>
            </w:pPr>
            <w:r>
              <w:t>3</w:t>
            </w:r>
          </w:p>
        </w:tc>
        <w:tc>
          <w:tcPr>
            <w:tcW w:w="662" w:type="dxa"/>
          </w:tcPr>
          <w:p w14:paraId="3C7E7634" w14:textId="77777777" w:rsidR="00431557" w:rsidRPr="00930510" w:rsidRDefault="00431557" w:rsidP="009162DB">
            <w:pPr>
              <w:pStyle w:val="TableBody"/>
              <w:jc w:val="center"/>
            </w:pPr>
            <w:r>
              <w:t>1</w:t>
            </w:r>
          </w:p>
        </w:tc>
        <w:tc>
          <w:tcPr>
            <w:tcW w:w="661" w:type="dxa"/>
          </w:tcPr>
          <w:p w14:paraId="5A8989D9" w14:textId="77777777" w:rsidR="00431557" w:rsidRPr="00930510" w:rsidRDefault="00431557" w:rsidP="009162DB">
            <w:pPr>
              <w:pStyle w:val="TableBody"/>
              <w:jc w:val="center"/>
            </w:pPr>
          </w:p>
        </w:tc>
        <w:tc>
          <w:tcPr>
            <w:tcW w:w="662" w:type="dxa"/>
          </w:tcPr>
          <w:p w14:paraId="697A2551" w14:textId="77777777" w:rsidR="00431557" w:rsidRPr="00930510" w:rsidRDefault="00431557" w:rsidP="009162DB">
            <w:pPr>
              <w:pStyle w:val="TableBody"/>
              <w:jc w:val="center"/>
            </w:pPr>
          </w:p>
        </w:tc>
        <w:tc>
          <w:tcPr>
            <w:tcW w:w="661" w:type="dxa"/>
          </w:tcPr>
          <w:p w14:paraId="0DF68C50" w14:textId="77777777" w:rsidR="00431557" w:rsidRPr="00930510" w:rsidRDefault="00431557" w:rsidP="009162DB">
            <w:pPr>
              <w:pStyle w:val="TableBody"/>
              <w:jc w:val="center"/>
            </w:pPr>
          </w:p>
        </w:tc>
      </w:tr>
      <w:tr w:rsidR="00431557" w:rsidRPr="006D46E5" w14:paraId="7D2F7C30" w14:textId="77777777" w:rsidTr="00BC708B">
        <w:trPr>
          <w:cnfStyle w:val="000000010000" w:firstRow="0" w:lastRow="0" w:firstColumn="0" w:lastColumn="0" w:oddVBand="0" w:evenVBand="0" w:oddHBand="0" w:evenHBand="1" w:firstRowFirstColumn="0" w:firstRowLastColumn="0" w:lastRowFirstColumn="0" w:lastRowLastColumn="0"/>
        </w:trPr>
        <w:tc>
          <w:tcPr>
            <w:tcW w:w="4531" w:type="dxa"/>
          </w:tcPr>
          <w:p w14:paraId="5EB8243C" w14:textId="77777777" w:rsidR="00431557" w:rsidRPr="00A74EAA" w:rsidRDefault="00431557" w:rsidP="009162DB">
            <w:pPr>
              <w:pStyle w:val="TableBody"/>
              <w:rPr>
                <w:b/>
                <w:bCs/>
              </w:rPr>
            </w:pPr>
            <w:r w:rsidRPr="00A74EAA">
              <w:rPr>
                <w:b/>
                <w:bCs/>
              </w:rPr>
              <w:t>State</w:t>
            </w:r>
          </w:p>
        </w:tc>
        <w:tc>
          <w:tcPr>
            <w:tcW w:w="661" w:type="dxa"/>
          </w:tcPr>
          <w:p w14:paraId="59530B2E" w14:textId="77777777" w:rsidR="00431557" w:rsidRPr="00A74EAA" w:rsidRDefault="00431557" w:rsidP="009162DB">
            <w:pPr>
              <w:pStyle w:val="TableBody"/>
              <w:jc w:val="center"/>
              <w:rPr>
                <w:b/>
                <w:bCs/>
              </w:rPr>
            </w:pPr>
            <w:r>
              <w:rPr>
                <w:b/>
                <w:bCs/>
              </w:rPr>
              <w:t>3</w:t>
            </w:r>
          </w:p>
        </w:tc>
        <w:tc>
          <w:tcPr>
            <w:tcW w:w="662" w:type="dxa"/>
          </w:tcPr>
          <w:p w14:paraId="61E0C770" w14:textId="77777777" w:rsidR="00431557" w:rsidRPr="00A74EAA" w:rsidRDefault="00431557" w:rsidP="009162DB">
            <w:pPr>
              <w:pStyle w:val="TableBody"/>
              <w:jc w:val="center"/>
              <w:rPr>
                <w:b/>
                <w:bCs/>
              </w:rPr>
            </w:pPr>
            <w:r>
              <w:rPr>
                <w:b/>
                <w:bCs/>
              </w:rPr>
              <w:t>4</w:t>
            </w:r>
          </w:p>
        </w:tc>
        <w:tc>
          <w:tcPr>
            <w:tcW w:w="661" w:type="dxa"/>
          </w:tcPr>
          <w:p w14:paraId="07500AD4" w14:textId="77777777" w:rsidR="00431557" w:rsidRPr="00A74EAA" w:rsidRDefault="00431557" w:rsidP="009162DB">
            <w:pPr>
              <w:pStyle w:val="TableBody"/>
              <w:jc w:val="center"/>
              <w:rPr>
                <w:b/>
                <w:bCs/>
              </w:rPr>
            </w:pPr>
            <w:r>
              <w:rPr>
                <w:b/>
                <w:bCs/>
              </w:rPr>
              <w:t>4</w:t>
            </w:r>
          </w:p>
        </w:tc>
        <w:tc>
          <w:tcPr>
            <w:tcW w:w="662" w:type="dxa"/>
          </w:tcPr>
          <w:p w14:paraId="24BC1326" w14:textId="77777777" w:rsidR="00431557" w:rsidRPr="00A74EAA" w:rsidRDefault="00431557" w:rsidP="009162DB">
            <w:pPr>
              <w:pStyle w:val="TableBody"/>
              <w:jc w:val="center"/>
              <w:rPr>
                <w:b/>
                <w:bCs/>
              </w:rPr>
            </w:pPr>
            <w:r>
              <w:rPr>
                <w:b/>
                <w:bCs/>
              </w:rPr>
              <w:t>8</w:t>
            </w:r>
          </w:p>
        </w:tc>
        <w:tc>
          <w:tcPr>
            <w:tcW w:w="661" w:type="dxa"/>
          </w:tcPr>
          <w:p w14:paraId="5E37721E" w14:textId="77777777" w:rsidR="00431557" w:rsidRPr="00A74EAA" w:rsidRDefault="00431557" w:rsidP="009162DB">
            <w:pPr>
              <w:pStyle w:val="TableBody"/>
              <w:jc w:val="center"/>
              <w:rPr>
                <w:b/>
                <w:bCs/>
              </w:rPr>
            </w:pPr>
            <w:r>
              <w:rPr>
                <w:b/>
                <w:bCs/>
              </w:rPr>
              <w:t>14</w:t>
            </w:r>
          </w:p>
        </w:tc>
      </w:tr>
      <w:tr w:rsidR="00DB0A00" w:rsidRPr="006D46E5" w14:paraId="10D940A1" w14:textId="77777777" w:rsidTr="00BC708B">
        <w:trPr>
          <w:cnfStyle w:val="000000100000" w:firstRow="0" w:lastRow="0" w:firstColumn="0" w:lastColumn="0" w:oddVBand="0" w:evenVBand="0" w:oddHBand="1" w:evenHBand="0" w:firstRowFirstColumn="0" w:firstRowLastColumn="0" w:lastRowFirstColumn="0" w:lastRowLastColumn="0"/>
        </w:trPr>
        <w:tc>
          <w:tcPr>
            <w:tcW w:w="4531" w:type="dxa"/>
          </w:tcPr>
          <w:p w14:paraId="21BC2F68" w14:textId="77777777" w:rsidR="00431557" w:rsidRPr="00930510" w:rsidRDefault="00431557" w:rsidP="009162DB">
            <w:pPr>
              <w:pStyle w:val="TableBody"/>
            </w:pPr>
            <w:r>
              <w:t xml:space="preserve">   Racing New South Wales</w:t>
            </w:r>
          </w:p>
        </w:tc>
        <w:tc>
          <w:tcPr>
            <w:tcW w:w="661" w:type="dxa"/>
          </w:tcPr>
          <w:p w14:paraId="4B7366E5" w14:textId="77777777" w:rsidR="00431557" w:rsidRPr="00930510" w:rsidRDefault="00431557" w:rsidP="009162DB">
            <w:pPr>
              <w:pStyle w:val="TableBody"/>
              <w:jc w:val="center"/>
            </w:pPr>
          </w:p>
        </w:tc>
        <w:tc>
          <w:tcPr>
            <w:tcW w:w="662" w:type="dxa"/>
          </w:tcPr>
          <w:p w14:paraId="253F4F49" w14:textId="77777777" w:rsidR="00431557" w:rsidRPr="00930510" w:rsidRDefault="00431557" w:rsidP="009162DB">
            <w:pPr>
              <w:pStyle w:val="TableBody"/>
              <w:jc w:val="center"/>
            </w:pPr>
          </w:p>
        </w:tc>
        <w:tc>
          <w:tcPr>
            <w:tcW w:w="661" w:type="dxa"/>
          </w:tcPr>
          <w:p w14:paraId="08D1732C" w14:textId="77777777" w:rsidR="00431557" w:rsidRPr="00930510" w:rsidRDefault="00431557" w:rsidP="009162DB">
            <w:pPr>
              <w:pStyle w:val="TableBody"/>
              <w:jc w:val="center"/>
            </w:pPr>
          </w:p>
        </w:tc>
        <w:tc>
          <w:tcPr>
            <w:tcW w:w="662" w:type="dxa"/>
          </w:tcPr>
          <w:p w14:paraId="663C15AE" w14:textId="77777777" w:rsidR="00431557" w:rsidRPr="00930510" w:rsidRDefault="00431557" w:rsidP="009162DB">
            <w:pPr>
              <w:pStyle w:val="TableBody"/>
              <w:jc w:val="center"/>
            </w:pPr>
            <w:r>
              <w:t>2</w:t>
            </w:r>
          </w:p>
        </w:tc>
        <w:tc>
          <w:tcPr>
            <w:tcW w:w="661" w:type="dxa"/>
          </w:tcPr>
          <w:p w14:paraId="2A18A4FB" w14:textId="77777777" w:rsidR="00431557" w:rsidRPr="00930510" w:rsidRDefault="00431557" w:rsidP="009162DB">
            <w:pPr>
              <w:pStyle w:val="TableBody"/>
              <w:jc w:val="center"/>
            </w:pPr>
            <w:r>
              <w:t>2</w:t>
            </w:r>
          </w:p>
        </w:tc>
      </w:tr>
      <w:tr w:rsidR="00431557" w:rsidRPr="006D46E5" w14:paraId="397D0441" w14:textId="77777777" w:rsidTr="00BC708B">
        <w:trPr>
          <w:cnfStyle w:val="000000010000" w:firstRow="0" w:lastRow="0" w:firstColumn="0" w:lastColumn="0" w:oddVBand="0" w:evenVBand="0" w:oddHBand="0" w:evenHBand="1" w:firstRowFirstColumn="0" w:firstRowLastColumn="0" w:lastRowFirstColumn="0" w:lastRowLastColumn="0"/>
        </w:trPr>
        <w:tc>
          <w:tcPr>
            <w:tcW w:w="4531" w:type="dxa"/>
          </w:tcPr>
          <w:p w14:paraId="799107E6" w14:textId="3CF94B84" w:rsidR="00431557" w:rsidRPr="00930510" w:rsidRDefault="00431557" w:rsidP="009162DB">
            <w:pPr>
              <w:pStyle w:val="TableBody"/>
            </w:pPr>
            <w:r>
              <w:t xml:space="preserve">   Thoroughbred Racing Productions (V</w:t>
            </w:r>
            <w:r w:rsidR="009613B3">
              <w:t>ic</w:t>
            </w:r>
            <w:r>
              <w:t>)</w:t>
            </w:r>
          </w:p>
        </w:tc>
        <w:tc>
          <w:tcPr>
            <w:tcW w:w="661" w:type="dxa"/>
          </w:tcPr>
          <w:p w14:paraId="4BE8F139" w14:textId="77777777" w:rsidR="00431557" w:rsidRPr="00930510" w:rsidRDefault="00431557" w:rsidP="009162DB">
            <w:pPr>
              <w:pStyle w:val="TableBody"/>
              <w:jc w:val="center"/>
            </w:pPr>
            <w:r>
              <w:t>3</w:t>
            </w:r>
          </w:p>
        </w:tc>
        <w:tc>
          <w:tcPr>
            <w:tcW w:w="662" w:type="dxa"/>
          </w:tcPr>
          <w:p w14:paraId="427AFC7C" w14:textId="77777777" w:rsidR="00431557" w:rsidRPr="00930510" w:rsidRDefault="00431557" w:rsidP="009162DB">
            <w:pPr>
              <w:pStyle w:val="TableBody"/>
              <w:jc w:val="center"/>
            </w:pPr>
            <w:r>
              <w:t>2</w:t>
            </w:r>
          </w:p>
        </w:tc>
        <w:tc>
          <w:tcPr>
            <w:tcW w:w="661" w:type="dxa"/>
          </w:tcPr>
          <w:p w14:paraId="033506A7" w14:textId="77777777" w:rsidR="00431557" w:rsidRPr="00930510" w:rsidRDefault="00431557" w:rsidP="009162DB">
            <w:pPr>
              <w:pStyle w:val="TableBody"/>
              <w:jc w:val="center"/>
            </w:pPr>
            <w:r>
              <w:t>2</w:t>
            </w:r>
          </w:p>
        </w:tc>
        <w:tc>
          <w:tcPr>
            <w:tcW w:w="662" w:type="dxa"/>
          </w:tcPr>
          <w:p w14:paraId="244CF3D6" w14:textId="77777777" w:rsidR="00431557" w:rsidRPr="00930510" w:rsidRDefault="00431557" w:rsidP="009162DB">
            <w:pPr>
              <w:pStyle w:val="TableBody"/>
              <w:jc w:val="center"/>
            </w:pPr>
            <w:r>
              <w:t>3</w:t>
            </w:r>
          </w:p>
        </w:tc>
        <w:tc>
          <w:tcPr>
            <w:tcW w:w="661" w:type="dxa"/>
          </w:tcPr>
          <w:p w14:paraId="373310F1" w14:textId="77777777" w:rsidR="00431557" w:rsidRPr="00930510" w:rsidRDefault="00431557" w:rsidP="009162DB">
            <w:pPr>
              <w:pStyle w:val="TableBody"/>
              <w:jc w:val="center"/>
            </w:pPr>
            <w:r>
              <w:t>3</w:t>
            </w:r>
          </w:p>
        </w:tc>
      </w:tr>
      <w:tr w:rsidR="00DB0A00" w:rsidRPr="006D46E5" w14:paraId="64A59324" w14:textId="77777777" w:rsidTr="00BC708B">
        <w:trPr>
          <w:cnfStyle w:val="000000100000" w:firstRow="0" w:lastRow="0" w:firstColumn="0" w:lastColumn="0" w:oddVBand="0" w:evenVBand="0" w:oddHBand="1" w:evenHBand="0" w:firstRowFirstColumn="0" w:firstRowLastColumn="0" w:lastRowFirstColumn="0" w:lastRowLastColumn="0"/>
        </w:trPr>
        <w:tc>
          <w:tcPr>
            <w:tcW w:w="4531" w:type="dxa"/>
          </w:tcPr>
          <w:p w14:paraId="0C18F1E8" w14:textId="77777777" w:rsidR="00431557" w:rsidRDefault="00431557" w:rsidP="009162DB">
            <w:pPr>
              <w:pStyle w:val="TableBody"/>
            </w:pPr>
            <w:r>
              <w:t xml:space="preserve">   Integrated Video Technology Productions</w:t>
            </w:r>
          </w:p>
        </w:tc>
        <w:tc>
          <w:tcPr>
            <w:tcW w:w="661" w:type="dxa"/>
          </w:tcPr>
          <w:p w14:paraId="3404FEEA" w14:textId="77777777" w:rsidR="00431557" w:rsidRPr="00930510" w:rsidRDefault="00431557" w:rsidP="009162DB">
            <w:pPr>
              <w:pStyle w:val="TableBody"/>
              <w:jc w:val="center"/>
            </w:pPr>
          </w:p>
        </w:tc>
        <w:tc>
          <w:tcPr>
            <w:tcW w:w="662" w:type="dxa"/>
          </w:tcPr>
          <w:p w14:paraId="3EB4223C" w14:textId="77777777" w:rsidR="00431557" w:rsidRPr="00930510" w:rsidRDefault="00431557" w:rsidP="009162DB">
            <w:pPr>
              <w:pStyle w:val="TableBody"/>
              <w:jc w:val="center"/>
            </w:pPr>
          </w:p>
        </w:tc>
        <w:tc>
          <w:tcPr>
            <w:tcW w:w="661" w:type="dxa"/>
          </w:tcPr>
          <w:p w14:paraId="1F923FBA" w14:textId="77777777" w:rsidR="00431557" w:rsidRPr="00930510" w:rsidRDefault="00431557" w:rsidP="009162DB">
            <w:pPr>
              <w:pStyle w:val="TableBody"/>
              <w:jc w:val="center"/>
            </w:pPr>
          </w:p>
        </w:tc>
        <w:tc>
          <w:tcPr>
            <w:tcW w:w="662" w:type="dxa"/>
          </w:tcPr>
          <w:p w14:paraId="48A37393" w14:textId="77777777" w:rsidR="00431557" w:rsidRPr="00930510" w:rsidRDefault="00431557" w:rsidP="009162DB">
            <w:pPr>
              <w:pStyle w:val="TableBody"/>
              <w:jc w:val="center"/>
            </w:pPr>
          </w:p>
        </w:tc>
        <w:tc>
          <w:tcPr>
            <w:tcW w:w="661" w:type="dxa"/>
          </w:tcPr>
          <w:p w14:paraId="4195A04D" w14:textId="77777777" w:rsidR="00431557" w:rsidRPr="00930510" w:rsidRDefault="00431557" w:rsidP="009162DB">
            <w:pPr>
              <w:pStyle w:val="TableBody"/>
              <w:jc w:val="center"/>
            </w:pPr>
            <w:r>
              <w:t>2</w:t>
            </w:r>
          </w:p>
        </w:tc>
      </w:tr>
      <w:tr w:rsidR="00431557" w:rsidRPr="006D46E5" w14:paraId="4D454B9D" w14:textId="77777777" w:rsidTr="00BC708B">
        <w:trPr>
          <w:cnfStyle w:val="000000010000" w:firstRow="0" w:lastRow="0" w:firstColumn="0" w:lastColumn="0" w:oddVBand="0" w:evenVBand="0" w:oddHBand="0" w:evenHBand="1" w:firstRowFirstColumn="0" w:firstRowLastColumn="0" w:lastRowFirstColumn="0" w:lastRowLastColumn="0"/>
        </w:trPr>
        <w:tc>
          <w:tcPr>
            <w:tcW w:w="4531" w:type="dxa"/>
          </w:tcPr>
          <w:p w14:paraId="3F0ABF51" w14:textId="77777777" w:rsidR="00431557" w:rsidRDefault="00431557" w:rsidP="009162DB">
            <w:pPr>
              <w:pStyle w:val="TableBody"/>
            </w:pPr>
            <w:r>
              <w:t xml:space="preserve">   The Technical Direction Company of Australia</w:t>
            </w:r>
          </w:p>
        </w:tc>
        <w:tc>
          <w:tcPr>
            <w:tcW w:w="661" w:type="dxa"/>
          </w:tcPr>
          <w:p w14:paraId="1A5A6E34" w14:textId="77777777" w:rsidR="00431557" w:rsidRPr="00930510" w:rsidRDefault="00431557" w:rsidP="009162DB">
            <w:pPr>
              <w:pStyle w:val="TableBody"/>
              <w:jc w:val="center"/>
            </w:pPr>
          </w:p>
        </w:tc>
        <w:tc>
          <w:tcPr>
            <w:tcW w:w="662" w:type="dxa"/>
          </w:tcPr>
          <w:p w14:paraId="1A428A53" w14:textId="77777777" w:rsidR="00431557" w:rsidRPr="00930510" w:rsidRDefault="00431557" w:rsidP="009162DB">
            <w:pPr>
              <w:pStyle w:val="TableBody"/>
              <w:jc w:val="center"/>
            </w:pPr>
          </w:p>
        </w:tc>
        <w:tc>
          <w:tcPr>
            <w:tcW w:w="661" w:type="dxa"/>
          </w:tcPr>
          <w:p w14:paraId="05C145EF" w14:textId="77777777" w:rsidR="00431557" w:rsidRPr="00930510" w:rsidRDefault="00431557" w:rsidP="009162DB">
            <w:pPr>
              <w:pStyle w:val="TableBody"/>
              <w:jc w:val="center"/>
            </w:pPr>
          </w:p>
        </w:tc>
        <w:tc>
          <w:tcPr>
            <w:tcW w:w="662" w:type="dxa"/>
          </w:tcPr>
          <w:p w14:paraId="62A482A4" w14:textId="77777777" w:rsidR="00431557" w:rsidRPr="00930510" w:rsidRDefault="00431557" w:rsidP="009162DB">
            <w:pPr>
              <w:pStyle w:val="TableBody"/>
              <w:jc w:val="center"/>
            </w:pPr>
            <w:r>
              <w:t>2</w:t>
            </w:r>
          </w:p>
        </w:tc>
        <w:tc>
          <w:tcPr>
            <w:tcW w:w="661" w:type="dxa"/>
          </w:tcPr>
          <w:p w14:paraId="5C34BCD8" w14:textId="77777777" w:rsidR="00431557" w:rsidRPr="00930510" w:rsidRDefault="00431557" w:rsidP="009162DB">
            <w:pPr>
              <w:pStyle w:val="TableBody"/>
              <w:jc w:val="center"/>
            </w:pPr>
            <w:r>
              <w:t>2</w:t>
            </w:r>
          </w:p>
        </w:tc>
      </w:tr>
      <w:tr w:rsidR="00DB0A00" w:rsidRPr="006D46E5" w14:paraId="34E82937" w14:textId="77777777" w:rsidTr="00BC708B">
        <w:trPr>
          <w:cnfStyle w:val="000000100000" w:firstRow="0" w:lastRow="0" w:firstColumn="0" w:lastColumn="0" w:oddVBand="0" w:evenVBand="0" w:oddHBand="1" w:evenHBand="0" w:firstRowFirstColumn="0" w:firstRowLastColumn="0" w:lastRowFirstColumn="0" w:lastRowLastColumn="0"/>
        </w:trPr>
        <w:tc>
          <w:tcPr>
            <w:tcW w:w="4531" w:type="dxa"/>
          </w:tcPr>
          <w:p w14:paraId="7672B2C1" w14:textId="77777777" w:rsidR="00431557" w:rsidRDefault="00431557" w:rsidP="009162DB">
            <w:pPr>
              <w:pStyle w:val="TableBody"/>
            </w:pPr>
            <w:r>
              <w:t xml:space="preserve">   Timothy Jarvis</w:t>
            </w:r>
          </w:p>
        </w:tc>
        <w:tc>
          <w:tcPr>
            <w:tcW w:w="661" w:type="dxa"/>
          </w:tcPr>
          <w:p w14:paraId="29408575" w14:textId="77777777" w:rsidR="00431557" w:rsidRPr="00930510" w:rsidRDefault="00431557" w:rsidP="009162DB">
            <w:pPr>
              <w:pStyle w:val="TableBody"/>
              <w:jc w:val="center"/>
            </w:pPr>
          </w:p>
        </w:tc>
        <w:tc>
          <w:tcPr>
            <w:tcW w:w="662" w:type="dxa"/>
          </w:tcPr>
          <w:p w14:paraId="2B4CB059" w14:textId="77777777" w:rsidR="00431557" w:rsidRPr="00930510" w:rsidRDefault="00431557" w:rsidP="009162DB">
            <w:pPr>
              <w:pStyle w:val="TableBody"/>
              <w:jc w:val="center"/>
            </w:pPr>
          </w:p>
        </w:tc>
        <w:tc>
          <w:tcPr>
            <w:tcW w:w="661" w:type="dxa"/>
          </w:tcPr>
          <w:p w14:paraId="38160DD0" w14:textId="77777777" w:rsidR="00431557" w:rsidRPr="00930510" w:rsidRDefault="00431557" w:rsidP="009162DB">
            <w:pPr>
              <w:pStyle w:val="TableBody"/>
              <w:jc w:val="center"/>
            </w:pPr>
          </w:p>
        </w:tc>
        <w:tc>
          <w:tcPr>
            <w:tcW w:w="662" w:type="dxa"/>
          </w:tcPr>
          <w:p w14:paraId="411CC957" w14:textId="77777777" w:rsidR="00431557" w:rsidRPr="00930510" w:rsidRDefault="00431557" w:rsidP="009162DB">
            <w:pPr>
              <w:pStyle w:val="TableBody"/>
              <w:jc w:val="center"/>
            </w:pPr>
          </w:p>
        </w:tc>
        <w:tc>
          <w:tcPr>
            <w:tcW w:w="661" w:type="dxa"/>
          </w:tcPr>
          <w:p w14:paraId="0864F436" w14:textId="77777777" w:rsidR="00431557" w:rsidRPr="00930510" w:rsidRDefault="00431557" w:rsidP="009162DB">
            <w:pPr>
              <w:pStyle w:val="TableBody"/>
              <w:jc w:val="center"/>
            </w:pPr>
            <w:r>
              <w:t>1</w:t>
            </w:r>
          </w:p>
        </w:tc>
      </w:tr>
      <w:tr w:rsidR="00431557" w:rsidRPr="006D46E5" w14:paraId="22D86D90" w14:textId="77777777" w:rsidTr="00BC708B">
        <w:trPr>
          <w:cnfStyle w:val="000000010000" w:firstRow="0" w:lastRow="0" w:firstColumn="0" w:lastColumn="0" w:oddVBand="0" w:evenVBand="0" w:oddHBand="0" w:evenHBand="1" w:firstRowFirstColumn="0" w:firstRowLastColumn="0" w:lastRowFirstColumn="0" w:lastRowLastColumn="0"/>
        </w:trPr>
        <w:tc>
          <w:tcPr>
            <w:tcW w:w="4531" w:type="dxa"/>
          </w:tcPr>
          <w:p w14:paraId="498205A9" w14:textId="77777777" w:rsidR="00431557" w:rsidRDefault="00431557" w:rsidP="009162DB">
            <w:pPr>
              <w:pStyle w:val="TableBody"/>
            </w:pPr>
            <w:r>
              <w:t xml:space="preserve">   Total Events Co.</w:t>
            </w:r>
          </w:p>
        </w:tc>
        <w:tc>
          <w:tcPr>
            <w:tcW w:w="661" w:type="dxa"/>
          </w:tcPr>
          <w:p w14:paraId="1C2006B4" w14:textId="77777777" w:rsidR="00431557" w:rsidRPr="00930510" w:rsidRDefault="00431557" w:rsidP="009162DB">
            <w:pPr>
              <w:pStyle w:val="TableBody"/>
              <w:jc w:val="center"/>
            </w:pPr>
          </w:p>
        </w:tc>
        <w:tc>
          <w:tcPr>
            <w:tcW w:w="662" w:type="dxa"/>
          </w:tcPr>
          <w:p w14:paraId="13ADE6DC" w14:textId="77777777" w:rsidR="00431557" w:rsidRPr="00930510" w:rsidRDefault="00431557" w:rsidP="009162DB">
            <w:pPr>
              <w:pStyle w:val="TableBody"/>
              <w:jc w:val="center"/>
            </w:pPr>
          </w:p>
        </w:tc>
        <w:tc>
          <w:tcPr>
            <w:tcW w:w="661" w:type="dxa"/>
          </w:tcPr>
          <w:p w14:paraId="117E33A2" w14:textId="77777777" w:rsidR="00431557" w:rsidRPr="00930510" w:rsidRDefault="00431557" w:rsidP="009162DB">
            <w:pPr>
              <w:pStyle w:val="TableBody"/>
              <w:jc w:val="center"/>
            </w:pPr>
          </w:p>
        </w:tc>
        <w:tc>
          <w:tcPr>
            <w:tcW w:w="662" w:type="dxa"/>
          </w:tcPr>
          <w:p w14:paraId="318F79B0" w14:textId="77777777" w:rsidR="00431557" w:rsidRPr="00930510" w:rsidRDefault="00431557" w:rsidP="009162DB">
            <w:pPr>
              <w:pStyle w:val="TableBody"/>
              <w:jc w:val="center"/>
            </w:pPr>
            <w:r>
              <w:t>1</w:t>
            </w:r>
          </w:p>
        </w:tc>
        <w:tc>
          <w:tcPr>
            <w:tcW w:w="661" w:type="dxa"/>
          </w:tcPr>
          <w:p w14:paraId="683C1260" w14:textId="77777777" w:rsidR="00431557" w:rsidRPr="00930510" w:rsidRDefault="00431557" w:rsidP="009162DB">
            <w:pPr>
              <w:pStyle w:val="TableBody"/>
              <w:jc w:val="center"/>
            </w:pPr>
            <w:r>
              <w:t>2</w:t>
            </w:r>
          </w:p>
        </w:tc>
      </w:tr>
      <w:tr w:rsidR="00DB0A00" w:rsidRPr="006D46E5" w14:paraId="3BDC9A21" w14:textId="77777777" w:rsidTr="00BC708B">
        <w:trPr>
          <w:cnfStyle w:val="000000100000" w:firstRow="0" w:lastRow="0" w:firstColumn="0" w:lastColumn="0" w:oddVBand="0" w:evenVBand="0" w:oddHBand="1" w:evenHBand="0" w:firstRowFirstColumn="0" w:firstRowLastColumn="0" w:lastRowFirstColumn="0" w:lastRowLastColumn="0"/>
        </w:trPr>
        <w:tc>
          <w:tcPr>
            <w:tcW w:w="4531" w:type="dxa"/>
          </w:tcPr>
          <w:p w14:paraId="63EFE0A3" w14:textId="77777777" w:rsidR="00431557" w:rsidRDefault="00431557" w:rsidP="009162DB">
            <w:pPr>
              <w:pStyle w:val="TableBody"/>
            </w:pPr>
            <w:r>
              <w:t xml:space="preserve">   Videocraft Australia</w:t>
            </w:r>
          </w:p>
        </w:tc>
        <w:tc>
          <w:tcPr>
            <w:tcW w:w="661" w:type="dxa"/>
          </w:tcPr>
          <w:p w14:paraId="0489B751" w14:textId="77777777" w:rsidR="00431557" w:rsidRPr="00930510" w:rsidRDefault="00431557" w:rsidP="009162DB">
            <w:pPr>
              <w:pStyle w:val="TableBody"/>
              <w:jc w:val="center"/>
            </w:pPr>
          </w:p>
        </w:tc>
        <w:tc>
          <w:tcPr>
            <w:tcW w:w="662" w:type="dxa"/>
          </w:tcPr>
          <w:p w14:paraId="324A59B2" w14:textId="77777777" w:rsidR="00431557" w:rsidRPr="00930510" w:rsidRDefault="00431557" w:rsidP="009162DB">
            <w:pPr>
              <w:pStyle w:val="TableBody"/>
              <w:jc w:val="center"/>
            </w:pPr>
            <w:r>
              <w:t>2</w:t>
            </w:r>
          </w:p>
        </w:tc>
        <w:tc>
          <w:tcPr>
            <w:tcW w:w="661" w:type="dxa"/>
          </w:tcPr>
          <w:p w14:paraId="695FCF23" w14:textId="77777777" w:rsidR="00431557" w:rsidRPr="00930510" w:rsidRDefault="00431557" w:rsidP="009162DB">
            <w:pPr>
              <w:pStyle w:val="TableBody"/>
              <w:jc w:val="center"/>
            </w:pPr>
            <w:r>
              <w:t>2</w:t>
            </w:r>
          </w:p>
        </w:tc>
        <w:tc>
          <w:tcPr>
            <w:tcW w:w="662" w:type="dxa"/>
          </w:tcPr>
          <w:p w14:paraId="1B9A6AE0" w14:textId="77777777" w:rsidR="00431557" w:rsidRPr="00930510" w:rsidRDefault="00431557" w:rsidP="009162DB">
            <w:pPr>
              <w:pStyle w:val="TableBody"/>
              <w:jc w:val="center"/>
            </w:pPr>
          </w:p>
        </w:tc>
        <w:tc>
          <w:tcPr>
            <w:tcW w:w="661" w:type="dxa"/>
          </w:tcPr>
          <w:p w14:paraId="0E02E234" w14:textId="77777777" w:rsidR="00431557" w:rsidRPr="00930510" w:rsidRDefault="00431557" w:rsidP="009162DB">
            <w:pPr>
              <w:pStyle w:val="TableBody"/>
              <w:jc w:val="center"/>
            </w:pPr>
            <w:r>
              <w:t>2</w:t>
            </w:r>
          </w:p>
        </w:tc>
      </w:tr>
      <w:tr w:rsidR="00431557" w:rsidRPr="006D46E5" w14:paraId="0A2DAF7F" w14:textId="77777777" w:rsidTr="00BC708B">
        <w:trPr>
          <w:cnfStyle w:val="000000010000" w:firstRow="0" w:lastRow="0" w:firstColumn="0" w:lastColumn="0" w:oddVBand="0" w:evenVBand="0" w:oddHBand="0" w:evenHBand="1" w:firstRowFirstColumn="0" w:firstRowLastColumn="0" w:lastRowFirstColumn="0" w:lastRowLastColumn="0"/>
        </w:trPr>
        <w:tc>
          <w:tcPr>
            <w:tcW w:w="4531" w:type="dxa"/>
          </w:tcPr>
          <w:p w14:paraId="1911C7DF" w14:textId="371806EF" w:rsidR="00431557" w:rsidRPr="00A74EAA" w:rsidRDefault="00431557" w:rsidP="009162DB">
            <w:pPr>
              <w:pStyle w:val="TableBody"/>
              <w:rPr>
                <w:b/>
                <w:bCs/>
              </w:rPr>
            </w:pPr>
            <w:r w:rsidRPr="00A74EAA">
              <w:rPr>
                <w:b/>
                <w:bCs/>
              </w:rPr>
              <w:t xml:space="preserve">Fixed </w:t>
            </w:r>
            <w:r w:rsidR="008E77CC">
              <w:rPr>
                <w:b/>
                <w:bCs/>
              </w:rPr>
              <w:t>l</w:t>
            </w:r>
            <w:r w:rsidRPr="00A74EAA">
              <w:rPr>
                <w:b/>
                <w:bCs/>
              </w:rPr>
              <w:t>ocation</w:t>
            </w:r>
            <w:r w:rsidR="00B1030F">
              <w:rPr>
                <w:b/>
                <w:bCs/>
              </w:rPr>
              <w:t>—</w:t>
            </w:r>
            <w:r w:rsidR="008E77CC">
              <w:rPr>
                <w:b/>
                <w:bCs/>
              </w:rPr>
              <w:t>m</w:t>
            </w:r>
            <w:r w:rsidRPr="00A74EAA">
              <w:rPr>
                <w:b/>
                <w:bCs/>
              </w:rPr>
              <w:t>etro</w:t>
            </w:r>
          </w:p>
        </w:tc>
        <w:tc>
          <w:tcPr>
            <w:tcW w:w="661" w:type="dxa"/>
          </w:tcPr>
          <w:p w14:paraId="5A2D6E5B" w14:textId="77777777" w:rsidR="00431557" w:rsidRPr="00A74EAA" w:rsidRDefault="00431557" w:rsidP="009162DB">
            <w:pPr>
              <w:pStyle w:val="TableBody"/>
              <w:jc w:val="center"/>
              <w:rPr>
                <w:b/>
                <w:bCs/>
              </w:rPr>
            </w:pPr>
            <w:r>
              <w:rPr>
                <w:b/>
                <w:bCs/>
              </w:rPr>
              <w:t>55</w:t>
            </w:r>
          </w:p>
        </w:tc>
        <w:tc>
          <w:tcPr>
            <w:tcW w:w="662" w:type="dxa"/>
          </w:tcPr>
          <w:p w14:paraId="1BEF89AE" w14:textId="77777777" w:rsidR="00431557" w:rsidRPr="00A74EAA" w:rsidRDefault="00431557" w:rsidP="009162DB">
            <w:pPr>
              <w:pStyle w:val="TableBody"/>
              <w:jc w:val="center"/>
              <w:rPr>
                <w:b/>
                <w:bCs/>
              </w:rPr>
            </w:pPr>
            <w:r>
              <w:rPr>
                <w:b/>
                <w:bCs/>
              </w:rPr>
              <w:t>7</w:t>
            </w:r>
          </w:p>
        </w:tc>
        <w:tc>
          <w:tcPr>
            <w:tcW w:w="661" w:type="dxa"/>
          </w:tcPr>
          <w:p w14:paraId="4F818BE9" w14:textId="77777777" w:rsidR="00431557" w:rsidRPr="00A74EAA" w:rsidRDefault="00431557" w:rsidP="009162DB">
            <w:pPr>
              <w:pStyle w:val="TableBody"/>
              <w:jc w:val="center"/>
              <w:rPr>
                <w:b/>
                <w:bCs/>
              </w:rPr>
            </w:pPr>
            <w:r>
              <w:rPr>
                <w:b/>
                <w:bCs/>
              </w:rPr>
              <w:t>16</w:t>
            </w:r>
          </w:p>
        </w:tc>
        <w:tc>
          <w:tcPr>
            <w:tcW w:w="662" w:type="dxa"/>
          </w:tcPr>
          <w:p w14:paraId="37E15039" w14:textId="77777777" w:rsidR="00431557" w:rsidRPr="00A74EAA" w:rsidRDefault="00431557" w:rsidP="009162DB">
            <w:pPr>
              <w:pStyle w:val="TableBody"/>
              <w:jc w:val="center"/>
              <w:rPr>
                <w:b/>
                <w:bCs/>
              </w:rPr>
            </w:pPr>
            <w:r>
              <w:rPr>
                <w:b/>
                <w:bCs/>
              </w:rPr>
              <w:t>12</w:t>
            </w:r>
          </w:p>
        </w:tc>
        <w:tc>
          <w:tcPr>
            <w:tcW w:w="661" w:type="dxa"/>
          </w:tcPr>
          <w:p w14:paraId="59CF67BB" w14:textId="77777777" w:rsidR="00431557" w:rsidRPr="00A74EAA" w:rsidRDefault="00431557" w:rsidP="009162DB">
            <w:pPr>
              <w:pStyle w:val="TableBody"/>
              <w:jc w:val="center"/>
              <w:rPr>
                <w:b/>
                <w:bCs/>
              </w:rPr>
            </w:pPr>
            <w:r>
              <w:rPr>
                <w:b/>
                <w:bCs/>
              </w:rPr>
              <w:t>14</w:t>
            </w:r>
          </w:p>
        </w:tc>
      </w:tr>
      <w:tr w:rsidR="00DB0A00" w:rsidRPr="006D46E5" w14:paraId="3CCF5F94" w14:textId="77777777" w:rsidTr="00BC708B">
        <w:trPr>
          <w:cnfStyle w:val="000000100000" w:firstRow="0" w:lastRow="0" w:firstColumn="0" w:lastColumn="0" w:oddVBand="0" w:evenVBand="0" w:oddHBand="1" w:evenHBand="0" w:firstRowFirstColumn="0" w:firstRowLastColumn="0" w:lastRowFirstColumn="0" w:lastRowLastColumn="0"/>
        </w:trPr>
        <w:tc>
          <w:tcPr>
            <w:tcW w:w="4531" w:type="dxa"/>
          </w:tcPr>
          <w:p w14:paraId="15B24FAA" w14:textId="77777777" w:rsidR="00431557" w:rsidRDefault="00431557" w:rsidP="009162DB">
            <w:pPr>
              <w:pStyle w:val="TableBody"/>
            </w:pPr>
            <w:r>
              <w:t xml:space="preserve">   Gearhouse Productions</w:t>
            </w:r>
          </w:p>
        </w:tc>
        <w:tc>
          <w:tcPr>
            <w:tcW w:w="661" w:type="dxa"/>
          </w:tcPr>
          <w:p w14:paraId="74A6ECE5" w14:textId="77777777" w:rsidR="00431557" w:rsidRPr="00930510" w:rsidRDefault="00431557" w:rsidP="009162DB">
            <w:pPr>
              <w:pStyle w:val="TableBody"/>
              <w:jc w:val="center"/>
            </w:pPr>
            <w:r>
              <w:t>54</w:t>
            </w:r>
          </w:p>
        </w:tc>
        <w:tc>
          <w:tcPr>
            <w:tcW w:w="662" w:type="dxa"/>
          </w:tcPr>
          <w:p w14:paraId="42DAF99D" w14:textId="77777777" w:rsidR="00431557" w:rsidRPr="00930510" w:rsidRDefault="00431557" w:rsidP="009162DB">
            <w:pPr>
              <w:pStyle w:val="TableBody"/>
              <w:jc w:val="center"/>
            </w:pPr>
          </w:p>
        </w:tc>
        <w:tc>
          <w:tcPr>
            <w:tcW w:w="661" w:type="dxa"/>
          </w:tcPr>
          <w:p w14:paraId="65A6CF94" w14:textId="77777777" w:rsidR="00431557" w:rsidRPr="00930510" w:rsidRDefault="00431557" w:rsidP="009162DB">
            <w:pPr>
              <w:pStyle w:val="TableBody"/>
              <w:jc w:val="center"/>
            </w:pPr>
          </w:p>
        </w:tc>
        <w:tc>
          <w:tcPr>
            <w:tcW w:w="662" w:type="dxa"/>
          </w:tcPr>
          <w:p w14:paraId="4B764EE9" w14:textId="77777777" w:rsidR="00431557" w:rsidRPr="00930510" w:rsidRDefault="00431557" w:rsidP="009162DB">
            <w:pPr>
              <w:pStyle w:val="TableBody"/>
              <w:jc w:val="center"/>
            </w:pPr>
          </w:p>
        </w:tc>
        <w:tc>
          <w:tcPr>
            <w:tcW w:w="661" w:type="dxa"/>
          </w:tcPr>
          <w:p w14:paraId="14BE1AF0" w14:textId="77777777" w:rsidR="00431557" w:rsidRPr="00930510" w:rsidRDefault="00431557" w:rsidP="009162DB">
            <w:pPr>
              <w:pStyle w:val="TableBody"/>
              <w:jc w:val="center"/>
            </w:pPr>
          </w:p>
        </w:tc>
      </w:tr>
      <w:tr w:rsidR="00431557" w:rsidRPr="006D46E5" w14:paraId="62FA4BA4" w14:textId="77777777" w:rsidTr="00BC708B">
        <w:trPr>
          <w:cnfStyle w:val="000000010000" w:firstRow="0" w:lastRow="0" w:firstColumn="0" w:lastColumn="0" w:oddVBand="0" w:evenVBand="0" w:oddHBand="0" w:evenHBand="1" w:firstRowFirstColumn="0" w:firstRowLastColumn="0" w:lastRowFirstColumn="0" w:lastRowLastColumn="0"/>
        </w:trPr>
        <w:tc>
          <w:tcPr>
            <w:tcW w:w="4531" w:type="dxa"/>
          </w:tcPr>
          <w:p w14:paraId="7A92813C" w14:textId="77777777" w:rsidR="00431557" w:rsidRDefault="00431557" w:rsidP="009162DB">
            <w:pPr>
              <w:pStyle w:val="TableBody"/>
            </w:pPr>
            <w:r>
              <w:t xml:space="preserve">   Mayo &amp; Calder</w:t>
            </w:r>
          </w:p>
        </w:tc>
        <w:tc>
          <w:tcPr>
            <w:tcW w:w="661" w:type="dxa"/>
          </w:tcPr>
          <w:p w14:paraId="6174DE25" w14:textId="77777777" w:rsidR="00431557" w:rsidRPr="00930510" w:rsidRDefault="00431557" w:rsidP="009162DB">
            <w:pPr>
              <w:pStyle w:val="TableBody"/>
              <w:jc w:val="center"/>
            </w:pPr>
          </w:p>
        </w:tc>
        <w:tc>
          <w:tcPr>
            <w:tcW w:w="662" w:type="dxa"/>
          </w:tcPr>
          <w:p w14:paraId="5B7B1B50" w14:textId="77777777" w:rsidR="00431557" w:rsidRPr="00930510" w:rsidRDefault="00431557" w:rsidP="009162DB">
            <w:pPr>
              <w:pStyle w:val="TableBody"/>
              <w:jc w:val="center"/>
            </w:pPr>
          </w:p>
        </w:tc>
        <w:tc>
          <w:tcPr>
            <w:tcW w:w="661" w:type="dxa"/>
          </w:tcPr>
          <w:p w14:paraId="1CD3BF28" w14:textId="77777777" w:rsidR="00431557" w:rsidRPr="00930510" w:rsidRDefault="00431557" w:rsidP="009162DB">
            <w:pPr>
              <w:pStyle w:val="TableBody"/>
              <w:jc w:val="center"/>
            </w:pPr>
            <w:r>
              <w:t>6</w:t>
            </w:r>
          </w:p>
        </w:tc>
        <w:tc>
          <w:tcPr>
            <w:tcW w:w="662" w:type="dxa"/>
          </w:tcPr>
          <w:p w14:paraId="02591503" w14:textId="77777777" w:rsidR="00431557" w:rsidRPr="00930510" w:rsidRDefault="00431557" w:rsidP="009162DB">
            <w:pPr>
              <w:pStyle w:val="TableBody"/>
              <w:jc w:val="center"/>
            </w:pPr>
          </w:p>
        </w:tc>
        <w:tc>
          <w:tcPr>
            <w:tcW w:w="661" w:type="dxa"/>
          </w:tcPr>
          <w:p w14:paraId="2E87BF66" w14:textId="77777777" w:rsidR="00431557" w:rsidRPr="00930510" w:rsidRDefault="00431557" w:rsidP="009162DB">
            <w:pPr>
              <w:pStyle w:val="TableBody"/>
              <w:jc w:val="center"/>
            </w:pPr>
          </w:p>
        </w:tc>
      </w:tr>
      <w:tr w:rsidR="00DB0A00" w:rsidRPr="006D46E5" w14:paraId="00685686" w14:textId="77777777" w:rsidTr="00BC708B">
        <w:trPr>
          <w:cnfStyle w:val="000000100000" w:firstRow="0" w:lastRow="0" w:firstColumn="0" w:lastColumn="0" w:oddVBand="0" w:evenVBand="0" w:oddHBand="1" w:evenHBand="0" w:firstRowFirstColumn="0" w:firstRowLastColumn="0" w:lastRowFirstColumn="0" w:lastRowLastColumn="0"/>
        </w:trPr>
        <w:tc>
          <w:tcPr>
            <w:tcW w:w="4531" w:type="dxa"/>
          </w:tcPr>
          <w:p w14:paraId="3734BBA1" w14:textId="77777777" w:rsidR="00431557" w:rsidRDefault="00431557" w:rsidP="009162DB">
            <w:pPr>
              <w:pStyle w:val="TableBody"/>
            </w:pPr>
            <w:r>
              <w:t xml:space="preserve">   The Technical Direction Company of Australia</w:t>
            </w:r>
          </w:p>
        </w:tc>
        <w:tc>
          <w:tcPr>
            <w:tcW w:w="661" w:type="dxa"/>
          </w:tcPr>
          <w:p w14:paraId="7D0EDC49" w14:textId="77777777" w:rsidR="00431557" w:rsidRPr="00930510" w:rsidRDefault="00431557" w:rsidP="009162DB">
            <w:pPr>
              <w:pStyle w:val="TableBody"/>
              <w:jc w:val="center"/>
            </w:pPr>
          </w:p>
        </w:tc>
        <w:tc>
          <w:tcPr>
            <w:tcW w:w="662" w:type="dxa"/>
          </w:tcPr>
          <w:p w14:paraId="3E25E3B1" w14:textId="77777777" w:rsidR="00431557" w:rsidRPr="00930510" w:rsidRDefault="00431557" w:rsidP="009162DB">
            <w:pPr>
              <w:pStyle w:val="TableBody"/>
              <w:jc w:val="center"/>
            </w:pPr>
          </w:p>
        </w:tc>
        <w:tc>
          <w:tcPr>
            <w:tcW w:w="661" w:type="dxa"/>
          </w:tcPr>
          <w:p w14:paraId="4E9CCADA" w14:textId="77777777" w:rsidR="00431557" w:rsidRPr="00930510" w:rsidRDefault="00431557" w:rsidP="009162DB">
            <w:pPr>
              <w:pStyle w:val="TableBody"/>
              <w:jc w:val="center"/>
            </w:pPr>
          </w:p>
        </w:tc>
        <w:tc>
          <w:tcPr>
            <w:tcW w:w="662" w:type="dxa"/>
          </w:tcPr>
          <w:p w14:paraId="701EE6F5" w14:textId="77777777" w:rsidR="00431557" w:rsidRPr="00930510" w:rsidRDefault="00431557" w:rsidP="009162DB">
            <w:pPr>
              <w:pStyle w:val="TableBody"/>
              <w:jc w:val="center"/>
            </w:pPr>
            <w:r>
              <w:t>2</w:t>
            </w:r>
          </w:p>
        </w:tc>
        <w:tc>
          <w:tcPr>
            <w:tcW w:w="661" w:type="dxa"/>
          </w:tcPr>
          <w:p w14:paraId="6C8F3611" w14:textId="77777777" w:rsidR="00431557" w:rsidRPr="00930510" w:rsidRDefault="00431557" w:rsidP="009162DB">
            <w:pPr>
              <w:pStyle w:val="TableBody"/>
              <w:jc w:val="center"/>
            </w:pPr>
            <w:r>
              <w:t>1</w:t>
            </w:r>
          </w:p>
        </w:tc>
      </w:tr>
      <w:tr w:rsidR="00431557" w:rsidRPr="006D46E5" w14:paraId="7A42F1D8" w14:textId="77777777" w:rsidTr="00BC708B">
        <w:trPr>
          <w:cnfStyle w:val="000000010000" w:firstRow="0" w:lastRow="0" w:firstColumn="0" w:lastColumn="0" w:oddVBand="0" w:evenVBand="0" w:oddHBand="0" w:evenHBand="1" w:firstRowFirstColumn="0" w:firstRowLastColumn="0" w:lastRowFirstColumn="0" w:lastRowLastColumn="0"/>
        </w:trPr>
        <w:tc>
          <w:tcPr>
            <w:tcW w:w="4531" w:type="dxa"/>
          </w:tcPr>
          <w:p w14:paraId="3DCBFE70" w14:textId="77777777" w:rsidR="00431557" w:rsidRDefault="00431557" w:rsidP="009162DB">
            <w:pPr>
              <w:pStyle w:val="TableBody"/>
            </w:pPr>
            <w:r>
              <w:t xml:space="preserve">   Videocraft Australia</w:t>
            </w:r>
          </w:p>
        </w:tc>
        <w:tc>
          <w:tcPr>
            <w:tcW w:w="661" w:type="dxa"/>
          </w:tcPr>
          <w:p w14:paraId="55ECEB86" w14:textId="77777777" w:rsidR="00431557" w:rsidRPr="00930510" w:rsidRDefault="00431557" w:rsidP="009162DB">
            <w:pPr>
              <w:pStyle w:val="TableBody"/>
              <w:jc w:val="center"/>
            </w:pPr>
            <w:r>
              <w:t>1</w:t>
            </w:r>
          </w:p>
        </w:tc>
        <w:tc>
          <w:tcPr>
            <w:tcW w:w="662" w:type="dxa"/>
          </w:tcPr>
          <w:p w14:paraId="7D145DED" w14:textId="77777777" w:rsidR="00431557" w:rsidRPr="00930510" w:rsidRDefault="00431557" w:rsidP="009162DB">
            <w:pPr>
              <w:pStyle w:val="TableBody"/>
              <w:jc w:val="center"/>
            </w:pPr>
            <w:r>
              <w:t>1</w:t>
            </w:r>
          </w:p>
        </w:tc>
        <w:tc>
          <w:tcPr>
            <w:tcW w:w="661" w:type="dxa"/>
          </w:tcPr>
          <w:p w14:paraId="11643CAB" w14:textId="77777777" w:rsidR="00431557" w:rsidRPr="00930510" w:rsidRDefault="00431557" w:rsidP="009162DB">
            <w:pPr>
              <w:pStyle w:val="TableBody"/>
              <w:jc w:val="center"/>
            </w:pPr>
            <w:r>
              <w:t>4</w:t>
            </w:r>
          </w:p>
        </w:tc>
        <w:tc>
          <w:tcPr>
            <w:tcW w:w="662" w:type="dxa"/>
          </w:tcPr>
          <w:p w14:paraId="4D78316E" w14:textId="77777777" w:rsidR="00431557" w:rsidRPr="00930510" w:rsidRDefault="00431557" w:rsidP="009162DB">
            <w:pPr>
              <w:pStyle w:val="TableBody"/>
              <w:jc w:val="center"/>
            </w:pPr>
            <w:r>
              <w:t>4</w:t>
            </w:r>
          </w:p>
        </w:tc>
        <w:tc>
          <w:tcPr>
            <w:tcW w:w="661" w:type="dxa"/>
          </w:tcPr>
          <w:p w14:paraId="170D237A" w14:textId="77777777" w:rsidR="00431557" w:rsidRPr="00930510" w:rsidRDefault="00431557" w:rsidP="009162DB">
            <w:pPr>
              <w:pStyle w:val="TableBody"/>
              <w:jc w:val="center"/>
            </w:pPr>
            <w:r>
              <w:t>4</w:t>
            </w:r>
          </w:p>
        </w:tc>
      </w:tr>
      <w:tr w:rsidR="00DB0A00" w:rsidRPr="006D46E5" w14:paraId="421CCD74" w14:textId="77777777" w:rsidTr="00BC708B">
        <w:trPr>
          <w:cnfStyle w:val="000000100000" w:firstRow="0" w:lastRow="0" w:firstColumn="0" w:lastColumn="0" w:oddVBand="0" w:evenVBand="0" w:oddHBand="1" w:evenHBand="0" w:firstRowFirstColumn="0" w:firstRowLastColumn="0" w:lastRowFirstColumn="0" w:lastRowLastColumn="0"/>
        </w:trPr>
        <w:tc>
          <w:tcPr>
            <w:tcW w:w="4531" w:type="dxa"/>
          </w:tcPr>
          <w:p w14:paraId="7544E393" w14:textId="77777777" w:rsidR="00431557" w:rsidRDefault="00431557" w:rsidP="009162DB">
            <w:pPr>
              <w:pStyle w:val="TableBody"/>
            </w:pPr>
            <w:r>
              <w:t xml:space="preserve">   F50 Australia</w:t>
            </w:r>
          </w:p>
        </w:tc>
        <w:tc>
          <w:tcPr>
            <w:tcW w:w="661" w:type="dxa"/>
          </w:tcPr>
          <w:p w14:paraId="6EDB8532" w14:textId="77777777" w:rsidR="00431557" w:rsidRPr="00930510" w:rsidRDefault="00431557" w:rsidP="009162DB">
            <w:pPr>
              <w:pStyle w:val="TableBody"/>
              <w:jc w:val="center"/>
            </w:pPr>
          </w:p>
        </w:tc>
        <w:tc>
          <w:tcPr>
            <w:tcW w:w="662" w:type="dxa"/>
          </w:tcPr>
          <w:p w14:paraId="7691C6AC" w14:textId="77777777" w:rsidR="00431557" w:rsidRPr="00930510" w:rsidRDefault="00431557" w:rsidP="009162DB">
            <w:pPr>
              <w:pStyle w:val="TableBody"/>
              <w:jc w:val="center"/>
            </w:pPr>
          </w:p>
        </w:tc>
        <w:tc>
          <w:tcPr>
            <w:tcW w:w="661" w:type="dxa"/>
          </w:tcPr>
          <w:p w14:paraId="517FA9E5" w14:textId="77777777" w:rsidR="00431557" w:rsidRPr="00930510" w:rsidRDefault="00431557" w:rsidP="009162DB">
            <w:pPr>
              <w:pStyle w:val="TableBody"/>
              <w:jc w:val="center"/>
            </w:pPr>
          </w:p>
        </w:tc>
        <w:tc>
          <w:tcPr>
            <w:tcW w:w="662" w:type="dxa"/>
          </w:tcPr>
          <w:p w14:paraId="29A5A84F" w14:textId="77777777" w:rsidR="00431557" w:rsidRPr="00930510" w:rsidRDefault="00431557" w:rsidP="009162DB">
            <w:pPr>
              <w:pStyle w:val="TableBody"/>
              <w:jc w:val="center"/>
            </w:pPr>
          </w:p>
        </w:tc>
        <w:tc>
          <w:tcPr>
            <w:tcW w:w="661" w:type="dxa"/>
          </w:tcPr>
          <w:p w14:paraId="5336AAAD" w14:textId="77777777" w:rsidR="00431557" w:rsidRPr="00930510" w:rsidRDefault="00431557" w:rsidP="009162DB">
            <w:pPr>
              <w:pStyle w:val="TableBody"/>
              <w:jc w:val="center"/>
            </w:pPr>
            <w:r>
              <w:t>3</w:t>
            </w:r>
          </w:p>
        </w:tc>
      </w:tr>
      <w:tr w:rsidR="00431557" w:rsidRPr="006D46E5" w14:paraId="5314A74D" w14:textId="77777777" w:rsidTr="00BC708B">
        <w:trPr>
          <w:cnfStyle w:val="000000010000" w:firstRow="0" w:lastRow="0" w:firstColumn="0" w:lastColumn="0" w:oddVBand="0" w:evenVBand="0" w:oddHBand="0" w:evenHBand="1" w:firstRowFirstColumn="0" w:firstRowLastColumn="0" w:lastRowFirstColumn="0" w:lastRowLastColumn="0"/>
        </w:trPr>
        <w:tc>
          <w:tcPr>
            <w:tcW w:w="4531" w:type="dxa"/>
          </w:tcPr>
          <w:p w14:paraId="6602B0C8" w14:textId="77777777" w:rsidR="00431557" w:rsidRDefault="00431557" w:rsidP="009162DB">
            <w:pPr>
              <w:pStyle w:val="TableBody"/>
            </w:pPr>
            <w:r>
              <w:t xml:space="preserve">   Kookaburra Systems</w:t>
            </w:r>
          </w:p>
        </w:tc>
        <w:tc>
          <w:tcPr>
            <w:tcW w:w="661" w:type="dxa"/>
          </w:tcPr>
          <w:p w14:paraId="1044DA1A" w14:textId="77777777" w:rsidR="00431557" w:rsidRPr="00930510" w:rsidRDefault="00431557" w:rsidP="009162DB">
            <w:pPr>
              <w:pStyle w:val="TableBody"/>
              <w:jc w:val="center"/>
            </w:pPr>
          </w:p>
        </w:tc>
        <w:tc>
          <w:tcPr>
            <w:tcW w:w="662" w:type="dxa"/>
          </w:tcPr>
          <w:p w14:paraId="3C6FCB12" w14:textId="77777777" w:rsidR="00431557" w:rsidRPr="00930510" w:rsidRDefault="00431557" w:rsidP="009162DB">
            <w:pPr>
              <w:pStyle w:val="TableBody"/>
              <w:jc w:val="center"/>
            </w:pPr>
          </w:p>
        </w:tc>
        <w:tc>
          <w:tcPr>
            <w:tcW w:w="661" w:type="dxa"/>
          </w:tcPr>
          <w:p w14:paraId="27CE5126" w14:textId="77777777" w:rsidR="00431557" w:rsidRPr="00930510" w:rsidRDefault="00431557" w:rsidP="009162DB">
            <w:pPr>
              <w:pStyle w:val="TableBody"/>
              <w:jc w:val="center"/>
            </w:pPr>
          </w:p>
        </w:tc>
        <w:tc>
          <w:tcPr>
            <w:tcW w:w="662" w:type="dxa"/>
          </w:tcPr>
          <w:p w14:paraId="310BEFF4" w14:textId="77777777" w:rsidR="00431557" w:rsidRPr="00930510" w:rsidRDefault="00431557" w:rsidP="009162DB">
            <w:pPr>
              <w:pStyle w:val="TableBody"/>
              <w:jc w:val="center"/>
            </w:pPr>
            <w:r>
              <w:t>2</w:t>
            </w:r>
          </w:p>
        </w:tc>
        <w:tc>
          <w:tcPr>
            <w:tcW w:w="661" w:type="dxa"/>
          </w:tcPr>
          <w:p w14:paraId="3201329E" w14:textId="77777777" w:rsidR="00431557" w:rsidRPr="00930510" w:rsidRDefault="00431557" w:rsidP="009162DB">
            <w:pPr>
              <w:pStyle w:val="TableBody"/>
              <w:jc w:val="center"/>
            </w:pPr>
            <w:r>
              <w:t>1</w:t>
            </w:r>
          </w:p>
        </w:tc>
      </w:tr>
      <w:tr w:rsidR="00DB0A00" w:rsidRPr="006D46E5" w14:paraId="4673D965" w14:textId="77777777" w:rsidTr="00BC708B">
        <w:trPr>
          <w:cnfStyle w:val="000000100000" w:firstRow="0" w:lastRow="0" w:firstColumn="0" w:lastColumn="0" w:oddVBand="0" w:evenVBand="0" w:oddHBand="1" w:evenHBand="0" w:firstRowFirstColumn="0" w:firstRowLastColumn="0" w:lastRowFirstColumn="0" w:lastRowLastColumn="0"/>
        </w:trPr>
        <w:tc>
          <w:tcPr>
            <w:tcW w:w="4531" w:type="dxa"/>
          </w:tcPr>
          <w:p w14:paraId="5A63199A" w14:textId="77777777" w:rsidR="00431557" w:rsidRDefault="00431557" w:rsidP="009162DB">
            <w:pPr>
              <w:pStyle w:val="TableBody"/>
            </w:pPr>
            <w:r>
              <w:t xml:space="preserve">   Sibesh Investments</w:t>
            </w:r>
          </w:p>
        </w:tc>
        <w:tc>
          <w:tcPr>
            <w:tcW w:w="661" w:type="dxa"/>
          </w:tcPr>
          <w:p w14:paraId="26DA009D" w14:textId="77777777" w:rsidR="00431557" w:rsidRPr="00930510" w:rsidRDefault="00431557" w:rsidP="009162DB">
            <w:pPr>
              <w:pStyle w:val="TableBody"/>
              <w:jc w:val="center"/>
            </w:pPr>
          </w:p>
        </w:tc>
        <w:tc>
          <w:tcPr>
            <w:tcW w:w="662" w:type="dxa"/>
          </w:tcPr>
          <w:p w14:paraId="14564E72" w14:textId="77777777" w:rsidR="00431557" w:rsidRPr="00930510" w:rsidRDefault="00431557" w:rsidP="009162DB">
            <w:pPr>
              <w:pStyle w:val="TableBody"/>
              <w:jc w:val="center"/>
            </w:pPr>
          </w:p>
        </w:tc>
        <w:tc>
          <w:tcPr>
            <w:tcW w:w="661" w:type="dxa"/>
          </w:tcPr>
          <w:p w14:paraId="4E0C22DC" w14:textId="77777777" w:rsidR="00431557" w:rsidRPr="00930510" w:rsidRDefault="00431557" w:rsidP="009162DB">
            <w:pPr>
              <w:pStyle w:val="TableBody"/>
              <w:jc w:val="center"/>
            </w:pPr>
          </w:p>
        </w:tc>
        <w:tc>
          <w:tcPr>
            <w:tcW w:w="662" w:type="dxa"/>
          </w:tcPr>
          <w:p w14:paraId="42A23BA5" w14:textId="77777777" w:rsidR="00431557" w:rsidRPr="00930510" w:rsidRDefault="00431557" w:rsidP="009162DB">
            <w:pPr>
              <w:pStyle w:val="TableBody"/>
              <w:jc w:val="center"/>
            </w:pPr>
          </w:p>
        </w:tc>
        <w:tc>
          <w:tcPr>
            <w:tcW w:w="661" w:type="dxa"/>
          </w:tcPr>
          <w:p w14:paraId="64D70E18" w14:textId="77777777" w:rsidR="00431557" w:rsidRPr="00930510" w:rsidRDefault="00431557" w:rsidP="009162DB">
            <w:pPr>
              <w:pStyle w:val="TableBody"/>
              <w:jc w:val="center"/>
            </w:pPr>
            <w:r>
              <w:t>1</w:t>
            </w:r>
          </w:p>
        </w:tc>
      </w:tr>
      <w:tr w:rsidR="00431557" w:rsidRPr="006D46E5" w14:paraId="0E80C6CC" w14:textId="77777777" w:rsidTr="00BC708B">
        <w:trPr>
          <w:cnfStyle w:val="000000010000" w:firstRow="0" w:lastRow="0" w:firstColumn="0" w:lastColumn="0" w:oddVBand="0" w:evenVBand="0" w:oddHBand="0" w:evenHBand="1" w:firstRowFirstColumn="0" w:firstRowLastColumn="0" w:lastRowFirstColumn="0" w:lastRowLastColumn="0"/>
        </w:trPr>
        <w:tc>
          <w:tcPr>
            <w:tcW w:w="4531" w:type="dxa"/>
          </w:tcPr>
          <w:p w14:paraId="6567D81F" w14:textId="77777777" w:rsidR="00431557" w:rsidRDefault="00431557" w:rsidP="009162DB">
            <w:pPr>
              <w:pStyle w:val="TableBody"/>
            </w:pPr>
            <w:r>
              <w:t xml:space="preserve">   Gearhouse Broadcast</w:t>
            </w:r>
          </w:p>
        </w:tc>
        <w:tc>
          <w:tcPr>
            <w:tcW w:w="661" w:type="dxa"/>
          </w:tcPr>
          <w:p w14:paraId="5BDB14B2" w14:textId="77777777" w:rsidR="00431557" w:rsidRPr="00930510" w:rsidRDefault="00431557" w:rsidP="009162DB">
            <w:pPr>
              <w:pStyle w:val="TableBody"/>
              <w:jc w:val="center"/>
            </w:pPr>
          </w:p>
        </w:tc>
        <w:tc>
          <w:tcPr>
            <w:tcW w:w="662" w:type="dxa"/>
          </w:tcPr>
          <w:p w14:paraId="7EB5DF08" w14:textId="77777777" w:rsidR="00431557" w:rsidRPr="00930510" w:rsidRDefault="00431557" w:rsidP="009162DB">
            <w:pPr>
              <w:pStyle w:val="TableBody"/>
              <w:jc w:val="center"/>
            </w:pPr>
            <w:r>
              <w:t>6</w:t>
            </w:r>
          </w:p>
        </w:tc>
        <w:tc>
          <w:tcPr>
            <w:tcW w:w="661" w:type="dxa"/>
          </w:tcPr>
          <w:p w14:paraId="223A251A" w14:textId="77777777" w:rsidR="00431557" w:rsidRPr="00930510" w:rsidRDefault="00431557" w:rsidP="009162DB">
            <w:pPr>
              <w:pStyle w:val="TableBody"/>
              <w:jc w:val="center"/>
            </w:pPr>
            <w:r>
              <w:t>6</w:t>
            </w:r>
          </w:p>
        </w:tc>
        <w:tc>
          <w:tcPr>
            <w:tcW w:w="662" w:type="dxa"/>
          </w:tcPr>
          <w:p w14:paraId="2BAE1F34" w14:textId="77777777" w:rsidR="00431557" w:rsidRPr="00930510" w:rsidRDefault="00431557" w:rsidP="009162DB">
            <w:pPr>
              <w:pStyle w:val="TableBody"/>
              <w:jc w:val="center"/>
            </w:pPr>
            <w:r>
              <w:t>4</w:t>
            </w:r>
          </w:p>
        </w:tc>
        <w:tc>
          <w:tcPr>
            <w:tcW w:w="661" w:type="dxa"/>
          </w:tcPr>
          <w:p w14:paraId="51EFCFAD" w14:textId="77777777" w:rsidR="00431557" w:rsidRPr="00930510" w:rsidRDefault="00431557" w:rsidP="009162DB">
            <w:pPr>
              <w:pStyle w:val="TableBody"/>
              <w:jc w:val="center"/>
            </w:pPr>
            <w:r>
              <w:t>4</w:t>
            </w:r>
          </w:p>
        </w:tc>
      </w:tr>
      <w:tr w:rsidR="00DB0A00" w:rsidRPr="006D46E5" w14:paraId="5E71C260" w14:textId="77777777" w:rsidTr="00BC708B">
        <w:trPr>
          <w:cnfStyle w:val="000000100000" w:firstRow="0" w:lastRow="0" w:firstColumn="0" w:lastColumn="0" w:oddVBand="0" w:evenVBand="0" w:oddHBand="1" w:evenHBand="0" w:firstRowFirstColumn="0" w:firstRowLastColumn="0" w:lastRowFirstColumn="0" w:lastRowLastColumn="0"/>
        </w:trPr>
        <w:tc>
          <w:tcPr>
            <w:tcW w:w="4531" w:type="dxa"/>
          </w:tcPr>
          <w:p w14:paraId="7D574929" w14:textId="2C13122D" w:rsidR="00431557" w:rsidRPr="00A74EAA" w:rsidRDefault="00431557" w:rsidP="009162DB">
            <w:pPr>
              <w:pStyle w:val="TableBody"/>
              <w:rPr>
                <w:b/>
                <w:bCs/>
              </w:rPr>
            </w:pPr>
            <w:r w:rsidRPr="00A74EAA">
              <w:rPr>
                <w:b/>
                <w:bCs/>
              </w:rPr>
              <w:t xml:space="preserve">Fixed </w:t>
            </w:r>
            <w:r w:rsidR="008E77CC">
              <w:rPr>
                <w:b/>
                <w:bCs/>
              </w:rPr>
              <w:t>l</w:t>
            </w:r>
            <w:r w:rsidRPr="00A74EAA">
              <w:rPr>
                <w:b/>
                <w:bCs/>
              </w:rPr>
              <w:t>ocation</w:t>
            </w:r>
            <w:r w:rsidR="008E77CC">
              <w:rPr>
                <w:b/>
                <w:bCs/>
              </w:rPr>
              <w:t>—r</w:t>
            </w:r>
            <w:r w:rsidRPr="00A74EAA">
              <w:rPr>
                <w:b/>
                <w:bCs/>
              </w:rPr>
              <w:t>egional</w:t>
            </w:r>
          </w:p>
        </w:tc>
        <w:tc>
          <w:tcPr>
            <w:tcW w:w="661" w:type="dxa"/>
          </w:tcPr>
          <w:p w14:paraId="189EADEC" w14:textId="77777777" w:rsidR="00431557" w:rsidRPr="00A74EAA" w:rsidRDefault="00431557" w:rsidP="009162DB">
            <w:pPr>
              <w:pStyle w:val="TableBody"/>
              <w:jc w:val="center"/>
              <w:rPr>
                <w:b/>
                <w:bCs/>
              </w:rPr>
            </w:pPr>
            <w:r>
              <w:rPr>
                <w:b/>
                <w:bCs/>
              </w:rPr>
              <w:t>20</w:t>
            </w:r>
          </w:p>
        </w:tc>
        <w:tc>
          <w:tcPr>
            <w:tcW w:w="662" w:type="dxa"/>
          </w:tcPr>
          <w:p w14:paraId="1A82EC50" w14:textId="77777777" w:rsidR="00431557" w:rsidRPr="00A74EAA" w:rsidRDefault="00431557" w:rsidP="009162DB">
            <w:pPr>
              <w:pStyle w:val="TableBody"/>
              <w:jc w:val="center"/>
              <w:rPr>
                <w:b/>
                <w:bCs/>
              </w:rPr>
            </w:pPr>
            <w:r>
              <w:rPr>
                <w:b/>
                <w:bCs/>
              </w:rPr>
              <w:t>2</w:t>
            </w:r>
          </w:p>
        </w:tc>
        <w:tc>
          <w:tcPr>
            <w:tcW w:w="661" w:type="dxa"/>
          </w:tcPr>
          <w:p w14:paraId="2BB067AB" w14:textId="77777777" w:rsidR="00431557" w:rsidRPr="00A74EAA" w:rsidRDefault="00431557" w:rsidP="009162DB">
            <w:pPr>
              <w:pStyle w:val="TableBody"/>
              <w:jc w:val="center"/>
              <w:rPr>
                <w:b/>
                <w:bCs/>
              </w:rPr>
            </w:pPr>
            <w:r>
              <w:rPr>
                <w:b/>
                <w:bCs/>
              </w:rPr>
              <w:t>2</w:t>
            </w:r>
          </w:p>
        </w:tc>
        <w:tc>
          <w:tcPr>
            <w:tcW w:w="662" w:type="dxa"/>
          </w:tcPr>
          <w:p w14:paraId="2985E436" w14:textId="77777777" w:rsidR="00431557" w:rsidRPr="00A74EAA" w:rsidRDefault="00431557" w:rsidP="009162DB">
            <w:pPr>
              <w:pStyle w:val="TableBody"/>
              <w:jc w:val="center"/>
              <w:rPr>
                <w:b/>
                <w:bCs/>
              </w:rPr>
            </w:pPr>
            <w:r>
              <w:rPr>
                <w:b/>
                <w:bCs/>
              </w:rPr>
              <w:t>2</w:t>
            </w:r>
          </w:p>
        </w:tc>
        <w:tc>
          <w:tcPr>
            <w:tcW w:w="661" w:type="dxa"/>
          </w:tcPr>
          <w:p w14:paraId="1090C456" w14:textId="77777777" w:rsidR="00431557" w:rsidRPr="00A74EAA" w:rsidRDefault="00431557" w:rsidP="009162DB">
            <w:pPr>
              <w:pStyle w:val="TableBody"/>
              <w:jc w:val="center"/>
              <w:rPr>
                <w:b/>
                <w:bCs/>
              </w:rPr>
            </w:pPr>
            <w:r>
              <w:rPr>
                <w:b/>
                <w:bCs/>
              </w:rPr>
              <w:t>2</w:t>
            </w:r>
          </w:p>
        </w:tc>
      </w:tr>
      <w:tr w:rsidR="00431557" w:rsidRPr="006D46E5" w14:paraId="27E81FBC" w14:textId="77777777" w:rsidTr="00BC708B">
        <w:trPr>
          <w:cnfStyle w:val="000000010000" w:firstRow="0" w:lastRow="0" w:firstColumn="0" w:lastColumn="0" w:oddVBand="0" w:evenVBand="0" w:oddHBand="0" w:evenHBand="1" w:firstRowFirstColumn="0" w:firstRowLastColumn="0" w:lastRowFirstColumn="0" w:lastRowLastColumn="0"/>
        </w:trPr>
        <w:tc>
          <w:tcPr>
            <w:tcW w:w="4531" w:type="dxa"/>
          </w:tcPr>
          <w:p w14:paraId="4D3ACBD8" w14:textId="77777777" w:rsidR="00431557" w:rsidRDefault="00431557" w:rsidP="009162DB">
            <w:pPr>
              <w:pStyle w:val="TableBody"/>
            </w:pPr>
            <w:r>
              <w:t xml:space="preserve">   Gearhouse Broadcast</w:t>
            </w:r>
          </w:p>
        </w:tc>
        <w:tc>
          <w:tcPr>
            <w:tcW w:w="661" w:type="dxa"/>
          </w:tcPr>
          <w:p w14:paraId="63AAF7AE" w14:textId="77777777" w:rsidR="00431557" w:rsidRPr="00930510" w:rsidRDefault="00431557" w:rsidP="009162DB">
            <w:pPr>
              <w:pStyle w:val="TableBody"/>
              <w:jc w:val="center"/>
            </w:pPr>
            <w:r>
              <w:t>18</w:t>
            </w:r>
          </w:p>
        </w:tc>
        <w:tc>
          <w:tcPr>
            <w:tcW w:w="662" w:type="dxa"/>
          </w:tcPr>
          <w:p w14:paraId="30ECC2BA" w14:textId="77777777" w:rsidR="00431557" w:rsidRPr="00930510" w:rsidRDefault="00431557" w:rsidP="009162DB">
            <w:pPr>
              <w:pStyle w:val="TableBody"/>
              <w:jc w:val="center"/>
            </w:pPr>
          </w:p>
        </w:tc>
        <w:tc>
          <w:tcPr>
            <w:tcW w:w="661" w:type="dxa"/>
          </w:tcPr>
          <w:p w14:paraId="05F71E5C" w14:textId="77777777" w:rsidR="00431557" w:rsidRPr="00930510" w:rsidRDefault="00431557" w:rsidP="009162DB">
            <w:pPr>
              <w:pStyle w:val="TableBody"/>
              <w:jc w:val="center"/>
            </w:pPr>
          </w:p>
        </w:tc>
        <w:tc>
          <w:tcPr>
            <w:tcW w:w="662" w:type="dxa"/>
          </w:tcPr>
          <w:p w14:paraId="74545927" w14:textId="77777777" w:rsidR="00431557" w:rsidRPr="00930510" w:rsidRDefault="00431557" w:rsidP="009162DB">
            <w:pPr>
              <w:pStyle w:val="TableBody"/>
              <w:jc w:val="center"/>
            </w:pPr>
          </w:p>
        </w:tc>
        <w:tc>
          <w:tcPr>
            <w:tcW w:w="661" w:type="dxa"/>
          </w:tcPr>
          <w:p w14:paraId="62ED3409" w14:textId="77777777" w:rsidR="00431557" w:rsidRPr="00930510" w:rsidRDefault="00431557" w:rsidP="009162DB">
            <w:pPr>
              <w:pStyle w:val="TableBody"/>
              <w:jc w:val="center"/>
            </w:pPr>
          </w:p>
        </w:tc>
      </w:tr>
      <w:tr w:rsidR="00DB0A00" w:rsidRPr="006D46E5" w14:paraId="0C3E055B" w14:textId="77777777" w:rsidTr="00BC708B">
        <w:trPr>
          <w:cnfStyle w:val="000000100000" w:firstRow="0" w:lastRow="0" w:firstColumn="0" w:lastColumn="0" w:oddVBand="0" w:evenVBand="0" w:oddHBand="1" w:evenHBand="0" w:firstRowFirstColumn="0" w:firstRowLastColumn="0" w:lastRowFirstColumn="0" w:lastRowLastColumn="0"/>
        </w:trPr>
        <w:tc>
          <w:tcPr>
            <w:tcW w:w="4531" w:type="dxa"/>
          </w:tcPr>
          <w:p w14:paraId="0F163881" w14:textId="73E19A42" w:rsidR="00431557" w:rsidRDefault="00431557" w:rsidP="009162DB">
            <w:pPr>
              <w:pStyle w:val="TableBody"/>
            </w:pPr>
            <w:r>
              <w:t xml:space="preserve">   Cro</w:t>
            </w:r>
            <w:r w:rsidR="1E6986F5">
              <w:t>c</w:t>
            </w:r>
            <w:r>
              <w:t>media</w:t>
            </w:r>
          </w:p>
        </w:tc>
        <w:tc>
          <w:tcPr>
            <w:tcW w:w="661" w:type="dxa"/>
          </w:tcPr>
          <w:p w14:paraId="62827218" w14:textId="77777777" w:rsidR="00431557" w:rsidRPr="00930510" w:rsidRDefault="00431557" w:rsidP="009162DB">
            <w:pPr>
              <w:pStyle w:val="TableBody"/>
              <w:jc w:val="center"/>
            </w:pPr>
          </w:p>
        </w:tc>
        <w:tc>
          <w:tcPr>
            <w:tcW w:w="662" w:type="dxa"/>
          </w:tcPr>
          <w:p w14:paraId="415FFCA1" w14:textId="77777777" w:rsidR="00431557" w:rsidRPr="00930510" w:rsidRDefault="00431557" w:rsidP="009162DB">
            <w:pPr>
              <w:pStyle w:val="TableBody"/>
              <w:jc w:val="center"/>
            </w:pPr>
          </w:p>
        </w:tc>
        <w:tc>
          <w:tcPr>
            <w:tcW w:w="661" w:type="dxa"/>
          </w:tcPr>
          <w:p w14:paraId="1A6B7446" w14:textId="77777777" w:rsidR="00431557" w:rsidRPr="00930510" w:rsidRDefault="00431557" w:rsidP="009162DB">
            <w:pPr>
              <w:pStyle w:val="TableBody"/>
              <w:jc w:val="center"/>
            </w:pPr>
          </w:p>
        </w:tc>
        <w:tc>
          <w:tcPr>
            <w:tcW w:w="662" w:type="dxa"/>
          </w:tcPr>
          <w:p w14:paraId="2758555B" w14:textId="77777777" w:rsidR="00431557" w:rsidRPr="00930510" w:rsidRDefault="00431557" w:rsidP="009162DB">
            <w:pPr>
              <w:pStyle w:val="TableBody"/>
              <w:jc w:val="center"/>
            </w:pPr>
          </w:p>
        </w:tc>
        <w:tc>
          <w:tcPr>
            <w:tcW w:w="661" w:type="dxa"/>
          </w:tcPr>
          <w:p w14:paraId="02CF592E" w14:textId="77777777" w:rsidR="00431557" w:rsidRPr="00930510" w:rsidRDefault="00431557" w:rsidP="009162DB">
            <w:pPr>
              <w:pStyle w:val="TableBody"/>
              <w:jc w:val="center"/>
            </w:pPr>
            <w:r>
              <w:t>2</w:t>
            </w:r>
          </w:p>
        </w:tc>
      </w:tr>
      <w:tr w:rsidR="00431557" w:rsidRPr="006D46E5" w14:paraId="6FCD46EA" w14:textId="77777777" w:rsidTr="00BC708B">
        <w:trPr>
          <w:cnfStyle w:val="000000010000" w:firstRow="0" w:lastRow="0" w:firstColumn="0" w:lastColumn="0" w:oddVBand="0" w:evenVBand="0" w:oddHBand="0" w:evenHBand="1" w:firstRowFirstColumn="0" w:firstRowLastColumn="0" w:lastRowFirstColumn="0" w:lastRowLastColumn="0"/>
        </w:trPr>
        <w:tc>
          <w:tcPr>
            <w:tcW w:w="4531" w:type="dxa"/>
          </w:tcPr>
          <w:p w14:paraId="42601B52" w14:textId="77777777" w:rsidR="00431557" w:rsidRDefault="00431557" w:rsidP="009162DB">
            <w:pPr>
              <w:pStyle w:val="TableBody"/>
            </w:pPr>
            <w:r>
              <w:t xml:space="preserve">   Rapid TV</w:t>
            </w:r>
          </w:p>
        </w:tc>
        <w:tc>
          <w:tcPr>
            <w:tcW w:w="661" w:type="dxa"/>
          </w:tcPr>
          <w:p w14:paraId="7C04F985" w14:textId="77777777" w:rsidR="00431557" w:rsidRPr="00930510" w:rsidRDefault="00431557" w:rsidP="009162DB">
            <w:pPr>
              <w:pStyle w:val="TableBody"/>
              <w:jc w:val="center"/>
            </w:pPr>
            <w:r>
              <w:t>2</w:t>
            </w:r>
          </w:p>
        </w:tc>
        <w:tc>
          <w:tcPr>
            <w:tcW w:w="662" w:type="dxa"/>
          </w:tcPr>
          <w:p w14:paraId="65E55043" w14:textId="77777777" w:rsidR="00431557" w:rsidRPr="00930510" w:rsidRDefault="00431557" w:rsidP="009162DB">
            <w:pPr>
              <w:pStyle w:val="TableBody"/>
              <w:jc w:val="center"/>
            </w:pPr>
            <w:r>
              <w:t>2</w:t>
            </w:r>
          </w:p>
        </w:tc>
        <w:tc>
          <w:tcPr>
            <w:tcW w:w="661" w:type="dxa"/>
          </w:tcPr>
          <w:p w14:paraId="2944F860" w14:textId="77777777" w:rsidR="00431557" w:rsidRPr="00930510" w:rsidRDefault="00431557" w:rsidP="009162DB">
            <w:pPr>
              <w:pStyle w:val="TableBody"/>
              <w:jc w:val="center"/>
            </w:pPr>
            <w:r>
              <w:t>2</w:t>
            </w:r>
          </w:p>
        </w:tc>
        <w:tc>
          <w:tcPr>
            <w:tcW w:w="662" w:type="dxa"/>
          </w:tcPr>
          <w:p w14:paraId="55F95324" w14:textId="77777777" w:rsidR="00431557" w:rsidRPr="00930510" w:rsidRDefault="00431557" w:rsidP="009162DB">
            <w:pPr>
              <w:pStyle w:val="TableBody"/>
              <w:jc w:val="center"/>
            </w:pPr>
            <w:r>
              <w:t>2</w:t>
            </w:r>
          </w:p>
        </w:tc>
        <w:tc>
          <w:tcPr>
            <w:tcW w:w="661" w:type="dxa"/>
          </w:tcPr>
          <w:p w14:paraId="58F764DE" w14:textId="77777777" w:rsidR="00431557" w:rsidRPr="00930510" w:rsidRDefault="00431557" w:rsidP="009162DB">
            <w:pPr>
              <w:pStyle w:val="TableBody"/>
              <w:jc w:val="center"/>
            </w:pPr>
          </w:p>
        </w:tc>
      </w:tr>
      <w:tr w:rsidR="00DB0A00" w:rsidRPr="006D46E5" w14:paraId="01BCE274" w14:textId="77777777" w:rsidTr="00BC708B">
        <w:trPr>
          <w:cnfStyle w:val="000000100000" w:firstRow="0" w:lastRow="0" w:firstColumn="0" w:lastColumn="0" w:oddVBand="0" w:evenVBand="0" w:oddHBand="1" w:evenHBand="0" w:firstRowFirstColumn="0" w:firstRowLastColumn="0" w:lastRowFirstColumn="0" w:lastRowLastColumn="0"/>
        </w:trPr>
        <w:tc>
          <w:tcPr>
            <w:tcW w:w="4531" w:type="dxa"/>
          </w:tcPr>
          <w:p w14:paraId="31266E5A" w14:textId="77777777" w:rsidR="00431557" w:rsidRPr="00A74EAA" w:rsidRDefault="00431557" w:rsidP="009162DB">
            <w:pPr>
              <w:pStyle w:val="TableBody"/>
              <w:rPr>
                <w:b/>
                <w:bCs/>
              </w:rPr>
            </w:pPr>
            <w:r w:rsidRPr="00A74EAA">
              <w:rPr>
                <w:b/>
                <w:bCs/>
              </w:rPr>
              <w:t>Total</w:t>
            </w:r>
          </w:p>
        </w:tc>
        <w:tc>
          <w:tcPr>
            <w:tcW w:w="661" w:type="dxa"/>
          </w:tcPr>
          <w:p w14:paraId="2A64498A" w14:textId="77777777" w:rsidR="00431557" w:rsidRPr="00A74EAA" w:rsidRDefault="00431557" w:rsidP="009162DB">
            <w:pPr>
              <w:pStyle w:val="TableBody"/>
              <w:jc w:val="center"/>
              <w:rPr>
                <w:b/>
                <w:bCs/>
              </w:rPr>
            </w:pPr>
            <w:r>
              <w:rPr>
                <w:b/>
                <w:bCs/>
              </w:rPr>
              <w:t>85</w:t>
            </w:r>
          </w:p>
        </w:tc>
        <w:tc>
          <w:tcPr>
            <w:tcW w:w="662" w:type="dxa"/>
          </w:tcPr>
          <w:p w14:paraId="6465FA9D" w14:textId="77777777" w:rsidR="00431557" w:rsidRPr="00A74EAA" w:rsidRDefault="00431557" w:rsidP="009162DB">
            <w:pPr>
              <w:pStyle w:val="TableBody"/>
              <w:jc w:val="center"/>
              <w:rPr>
                <w:b/>
                <w:bCs/>
              </w:rPr>
            </w:pPr>
            <w:r>
              <w:rPr>
                <w:b/>
                <w:bCs/>
              </w:rPr>
              <w:t>14</w:t>
            </w:r>
          </w:p>
        </w:tc>
        <w:tc>
          <w:tcPr>
            <w:tcW w:w="661" w:type="dxa"/>
          </w:tcPr>
          <w:p w14:paraId="374C3DD1" w14:textId="77777777" w:rsidR="00431557" w:rsidRPr="00A74EAA" w:rsidRDefault="00431557" w:rsidP="009162DB">
            <w:pPr>
              <w:pStyle w:val="TableBody"/>
              <w:jc w:val="center"/>
              <w:rPr>
                <w:b/>
                <w:bCs/>
              </w:rPr>
            </w:pPr>
            <w:r>
              <w:rPr>
                <w:b/>
                <w:bCs/>
              </w:rPr>
              <w:t>22</w:t>
            </w:r>
          </w:p>
        </w:tc>
        <w:tc>
          <w:tcPr>
            <w:tcW w:w="662" w:type="dxa"/>
          </w:tcPr>
          <w:p w14:paraId="02EC3A2B" w14:textId="77777777" w:rsidR="00431557" w:rsidRPr="00A74EAA" w:rsidRDefault="00431557" w:rsidP="009162DB">
            <w:pPr>
              <w:pStyle w:val="TableBody"/>
              <w:jc w:val="center"/>
              <w:rPr>
                <w:b/>
                <w:bCs/>
              </w:rPr>
            </w:pPr>
            <w:r>
              <w:rPr>
                <w:b/>
                <w:bCs/>
              </w:rPr>
              <w:t>22</w:t>
            </w:r>
          </w:p>
        </w:tc>
        <w:tc>
          <w:tcPr>
            <w:tcW w:w="661" w:type="dxa"/>
          </w:tcPr>
          <w:p w14:paraId="3B8042C9" w14:textId="77777777" w:rsidR="00431557" w:rsidRPr="00A74EAA" w:rsidRDefault="00431557" w:rsidP="009162DB">
            <w:pPr>
              <w:pStyle w:val="TableBody"/>
              <w:jc w:val="center"/>
              <w:rPr>
                <w:b/>
                <w:bCs/>
              </w:rPr>
            </w:pPr>
            <w:r>
              <w:rPr>
                <w:b/>
                <w:bCs/>
              </w:rPr>
              <w:t>30</w:t>
            </w:r>
          </w:p>
        </w:tc>
      </w:tr>
    </w:tbl>
    <w:p w14:paraId="369667A8" w14:textId="23CCB416" w:rsidR="00431557" w:rsidRPr="00296D08" w:rsidRDefault="00431557" w:rsidP="2914B7E0">
      <w:pPr>
        <w:spacing w:before="240"/>
        <w:rPr>
          <w:rFonts w:eastAsia="Arial" w:cs="Arial"/>
          <w:szCs w:val="20"/>
        </w:rPr>
      </w:pPr>
    </w:p>
    <w:p w14:paraId="0E96AC37" w14:textId="42D2D0FC" w:rsidR="3A92CEED" w:rsidRPr="00296D08" w:rsidRDefault="3A92CEED" w:rsidP="0E3EB6EB">
      <w:pPr>
        <w:rPr>
          <w:rFonts w:eastAsia="Arial" w:cs="Arial"/>
          <w:szCs w:val="20"/>
        </w:rPr>
      </w:pPr>
      <w:r w:rsidRPr="65D2CB48">
        <w:rPr>
          <w:rFonts w:eastAsia="Arial" w:cs="Arial"/>
          <w:szCs w:val="20"/>
        </w:rPr>
        <w:lastRenderedPageBreak/>
        <w:t xml:space="preserve">As of </w:t>
      </w:r>
      <w:r w:rsidR="00411E2F">
        <w:rPr>
          <w:rFonts w:eastAsia="Arial" w:cs="Arial"/>
          <w:szCs w:val="20"/>
        </w:rPr>
        <w:t xml:space="preserve">14 </w:t>
      </w:r>
      <w:r w:rsidRPr="65D2CB48">
        <w:rPr>
          <w:rFonts w:eastAsia="Arial" w:cs="Arial"/>
          <w:szCs w:val="20"/>
        </w:rPr>
        <w:t>July 2020, there were 18 TOB licences held by eight organisations in the 2 GHz band; Crocmedia (2), Kookaburra Systems (1), Racing New South Wales (2), Sibesh Investments (1), The Technical Direction Company of Australia (1), Thoroughbred Racing Productions (V</w:t>
      </w:r>
      <w:r w:rsidR="009613B3">
        <w:rPr>
          <w:rFonts w:eastAsia="Arial" w:cs="Arial"/>
          <w:szCs w:val="20"/>
        </w:rPr>
        <w:t>ic</w:t>
      </w:r>
      <w:r w:rsidRPr="65D2CB48">
        <w:rPr>
          <w:rFonts w:eastAsia="Arial" w:cs="Arial"/>
          <w:szCs w:val="20"/>
        </w:rPr>
        <w:t>) (3), Total Events Co. (2) and Videocraft Australia (6).</w:t>
      </w:r>
    </w:p>
    <w:p w14:paraId="1466CA4A" w14:textId="3FBB91EE" w:rsidR="00E849EA" w:rsidRPr="00296D08" w:rsidRDefault="00E849EA" w:rsidP="00E849EA">
      <w:pPr>
        <w:pStyle w:val="Heading3"/>
        <w:rPr>
          <w:highlight w:val="yellow"/>
        </w:rPr>
      </w:pPr>
      <w:r w:rsidRPr="00296D08">
        <w:t xml:space="preserve">Current planning arrangements supporting </w:t>
      </w:r>
      <w:r w:rsidR="007F6936">
        <w:t>TOB</w:t>
      </w:r>
    </w:p>
    <w:p w14:paraId="44507E3B" w14:textId="0AA948E7" w:rsidR="001B1762" w:rsidRDefault="00E849EA" w:rsidP="001B1762">
      <w:pPr>
        <w:pStyle w:val="Paragraphbeforelist"/>
      </w:pPr>
      <w:r w:rsidRPr="00296D08">
        <w:t>In addition to the 2 GHz band</w:t>
      </w:r>
      <w:r>
        <w:t xml:space="preserve">, there are arrangements supporting TOB services in the bands </w:t>
      </w:r>
      <w:r w:rsidRPr="00296D08">
        <w:t>2010</w:t>
      </w:r>
      <w:r w:rsidR="00491696">
        <w:t>–</w:t>
      </w:r>
      <w:r w:rsidRPr="00296D08">
        <w:t>2110</w:t>
      </w:r>
      <w:r>
        <w:t xml:space="preserve"> MHz, </w:t>
      </w:r>
      <w:r w:rsidRPr="00296D08">
        <w:t>2200</w:t>
      </w:r>
      <w:r w:rsidR="00491696">
        <w:t>–</w:t>
      </w:r>
      <w:r w:rsidRPr="00296D08">
        <w:t>2300 MHz</w:t>
      </w:r>
      <w:r>
        <w:t>, 2570</w:t>
      </w:r>
      <w:r w:rsidR="00491696">
        <w:t>–</w:t>
      </w:r>
      <w:r>
        <w:t>2620 MHz</w:t>
      </w:r>
      <w:r w:rsidR="5581FB26">
        <w:t xml:space="preserve"> (2.5 GHz mid-band gap)</w:t>
      </w:r>
      <w:r>
        <w:t xml:space="preserve">, </w:t>
      </w:r>
      <w:r w:rsidRPr="00296D08">
        <w:t>7100–7425 MHz</w:t>
      </w:r>
      <w:r>
        <w:t xml:space="preserve">, </w:t>
      </w:r>
      <w:r w:rsidRPr="00296D08">
        <w:t>8275–8400 MHz</w:t>
      </w:r>
      <w:r>
        <w:t xml:space="preserve">, </w:t>
      </w:r>
      <w:r w:rsidRPr="00296D08">
        <w:t>12.75–13.25 GHz</w:t>
      </w:r>
      <w:r>
        <w:t>, 21.2–23.6 GHz.</w:t>
      </w:r>
      <w:r w:rsidR="001621B3">
        <w:t xml:space="preserve"> </w:t>
      </w:r>
      <w:r w:rsidR="001B1762">
        <w:t xml:space="preserve">An overview of the arrangements in each band follows. </w:t>
      </w:r>
    </w:p>
    <w:p w14:paraId="3A2D247C" w14:textId="136C975C" w:rsidR="001B1762" w:rsidRPr="00C03EDC" w:rsidRDefault="001B1762" w:rsidP="006C0621">
      <w:pPr>
        <w:pStyle w:val="Heading4"/>
      </w:pPr>
      <w:r w:rsidRPr="00C03EDC">
        <w:t>2010</w:t>
      </w:r>
      <w:r w:rsidR="00E24621">
        <w:t>–</w:t>
      </w:r>
      <w:r w:rsidRPr="00C03EDC">
        <w:t>2110 MHz and 2200</w:t>
      </w:r>
      <w:r w:rsidR="00E24621">
        <w:t>–</w:t>
      </w:r>
      <w:r w:rsidRPr="00C03EDC">
        <w:t>2300 MHz</w:t>
      </w:r>
    </w:p>
    <w:p w14:paraId="2AF5DA87" w14:textId="2CA818B5" w:rsidR="00635CF8" w:rsidRDefault="001B1762" w:rsidP="00635CF8">
      <w:pPr>
        <w:pStyle w:val="Paragraph"/>
        <w:rPr>
          <w:rFonts w:eastAsia="Arial"/>
          <w:szCs w:val="20"/>
        </w:rPr>
      </w:pPr>
      <w:r>
        <w:t>Arrangements in these bands are contained in RALI FX 21.</w:t>
      </w:r>
      <w:r w:rsidR="001621B3">
        <w:t xml:space="preserve"> </w:t>
      </w:r>
      <w:r w:rsidRPr="61CA29F8">
        <w:rPr>
          <w:rFonts w:eastAsia="Arial"/>
          <w:szCs w:val="20"/>
        </w:rPr>
        <w:t xml:space="preserve">Channel arrangements support usage by </w:t>
      </w:r>
      <w:r w:rsidR="35214738" w:rsidRPr="61CA29F8">
        <w:rPr>
          <w:rFonts w:eastAsia="Arial"/>
          <w:szCs w:val="20"/>
        </w:rPr>
        <w:t>Australian Broadcasting Corporation (</w:t>
      </w:r>
      <w:r w:rsidRPr="61CA29F8">
        <w:rPr>
          <w:rFonts w:eastAsia="Arial"/>
          <w:szCs w:val="20"/>
        </w:rPr>
        <w:t>ABC</w:t>
      </w:r>
      <w:r w:rsidR="35214738" w:rsidRPr="61CA29F8">
        <w:rPr>
          <w:rFonts w:eastAsia="Arial"/>
          <w:szCs w:val="20"/>
        </w:rPr>
        <w:t>), Channel</w:t>
      </w:r>
      <w:r w:rsidRPr="61CA29F8">
        <w:rPr>
          <w:rFonts w:eastAsia="Arial"/>
          <w:szCs w:val="20"/>
        </w:rPr>
        <w:t xml:space="preserve"> Seven </w:t>
      </w:r>
      <w:r w:rsidR="35214738" w:rsidRPr="61CA29F8">
        <w:rPr>
          <w:rFonts w:eastAsia="Arial"/>
          <w:szCs w:val="20"/>
        </w:rPr>
        <w:t xml:space="preserve">Sydney (Seven </w:t>
      </w:r>
      <w:r w:rsidRPr="61CA29F8">
        <w:rPr>
          <w:rFonts w:eastAsia="Arial"/>
          <w:szCs w:val="20"/>
        </w:rPr>
        <w:t>Network</w:t>
      </w:r>
      <w:r w:rsidR="35214738" w:rsidRPr="61CA29F8">
        <w:rPr>
          <w:rFonts w:eastAsia="Arial"/>
          <w:szCs w:val="20"/>
        </w:rPr>
        <w:t>),</w:t>
      </w:r>
      <w:r w:rsidRPr="61CA29F8">
        <w:rPr>
          <w:rFonts w:eastAsia="Arial"/>
          <w:szCs w:val="20"/>
        </w:rPr>
        <w:t xml:space="preserve"> Nine Network Australia</w:t>
      </w:r>
      <w:r w:rsidR="35214738" w:rsidRPr="61CA29F8">
        <w:rPr>
          <w:rFonts w:eastAsia="Arial"/>
          <w:szCs w:val="20"/>
        </w:rPr>
        <w:t xml:space="preserve"> (Nine Network),</w:t>
      </w:r>
      <w:r w:rsidRPr="61CA29F8">
        <w:rPr>
          <w:rFonts w:eastAsia="Arial"/>
          <w:szCs w:val="20"/>
        </w:rPr>
        <w:t xml:space="preserve"> Network Ten and subscription television.</w:t>
      </w:r>
    </w:p>
    <w:p w14:paraId="7C63569A" w14:textId="74750B08" w:rsidR="001B1762" w:rsidRDefault="001B1762" w:rsidP="006C0621">
      <w:pPr>
        <w:pStyle w:val="Paragraph"/>
      </w:pPr>
      <w:r>
        <w:t xml:space="preserve">Planning arrangements also support usage by earth stations, fixed point-to-point links and </w:t>
      </w:r>
      <w:r w:rsidRPr="24D09117">
        <w:rPr>
          <w:rFonts w:cstheme="minorBidi"/>
        </w:rPr>
        <w:t>Department of Defence airborne mobile telemetry operations.</w:t>
      </w:r>
      <w:r w:rsidR="001621B3" w:rsidRPr="24D09117">
        <w:rPr>
          <w:rFonts w:cstheme="minorBidi"/>
        </w:rPr>
        <w:t xml:space="preserve"> </w:t>
      </w:r>
      <w:r w:rsidRPr="24D09117">
        <w:rPr>
          <w:rFonts w:cstheme="minorBidi"/>
        </w:rPr>
        <w:t xml:space="preserve">Coordination arrangements vary by frequency segment, geographical location and service with TOB operations having primary </w:t>
      </w:r>
      <w:r w:rsidR="760FC9F4" w:rsidRPr="24D09117">
        <w:rPr>
          <w:rFonts w:cstheme="minorBidi"/>
        </w:rPr>
        <w:t>usage</w:t>
      </w:r>
      <w:r w:rsidRPr="24D09117">
        <w:rPr>
          <w:rFonts w:cstheme="minorBidi"/>
        </w:rPr>
        <w:t xml:space="preserve"> around capital city areas.</w:t>
      </w:r>
    </w:p>
    <w:p w14:paraId="78F377F8" w14:textId="27CFD2C3" w:rsidR="001B1762" w:rsidRPr="006C0621" w:rsidRDefault="001B1762" w:rsidP="006C0621">
      <w:pPr>
        <w:pStyle w:val="Heading4"/>
      </w:pPr>
      <w:r w:rsidRPr="006C0621">
        <w:t>7100–7425 MHz</w:t>
      </w:r>
      <w:r w:rsidR="5D388EE9">
        <w:t xml:space="preserve"> (7.2 GHz)</w:t>
      </w:r>
    </w:p>
    <w:p w14:paraId="24EF015B" w14:textId="2D784966" w:rsidR="001B1762" w:rsidRDefault="00DA4CCC" w:rsidP="20909928">
      <w:r>
        <w:t>TOB a</w:t>
      </w:r>
      <w:r w:rsidR="001B1762">
        <w:t>rrangements in these bands are contained in RALI FX 3.</w:t>
      </w:r>
      <w:r w:rsidR="001621B3">
        <w:t xml:space="preserve"> </w:t>
      </w:r>
      <w:r w:rsidR="195B6780" w:rsidRPr="3FD29B63">
        <w:rPr>
          <w:rFonts w:eastAsia="Arial" w:cs="Arial"/>
          <w:szCs w:val="20"/>
        </w:rPr>
        <w:t xml:space="preserve"> </w:t>
      </w:r>
      <w:r w:rsidR="001B1762" w:rsidRPr="3FD29B63">
        <w:rPr>
          <w:rFonts w:eastAsia="Arial" w:cs="Arial"/>
          <w:szCs w:val="20"/>
        </w:rPr>
        <w:t>Channel arrangements support usage by the Seven Network, Nine Network Australia, Network Ten with channels also available on a shared basis for all other users.</w:t>
      </w:r>
    </w:p>
    <w:p w14:paraId="426BE8D5" w14:textId="77777777" w:rsidR="00805A25" w:rsidRDefault="00805A25" w:rsidP="00805A25">
      <w:pPr>
        <w:rPr>
          <w:rFonts w:eastAsia="Arial" w:cs="Arial"/>
          <w:szCs w:val="20"/>
        </w:rPr>
      </w:pPr>
      <w:r>
        <w:rPr>
          <w:rFonts w:eastAsia="Arial" w:cs="Arial"/>
          <w:szCs w:val="20"/>
        </w:rPr>
        <w:t>TOB l</w:t>
      </w:r>
      <w:r w:rsidRPr="48E6497B">
        <w:rPr>
          <w:rFonts w:eastAsia="Arial" w:cs="Arial"/>
          <w:szCs w:val="20"/>
        </w:rPr>
        <w:t xml:space="preserve">icensees in the band are Seven Network, Nine Network, Network Ten, Sky Channel, </w:t>
      </w:r>
      <w:r w:rsidRPr="007F7608">
        <w:rPr>
          <w:rFonts w:eastAsia="Arial" w:cs="Arial"/>
          <w:szCs w:val="20"/>
        </w:rPr>
        <w:t>Australian Football League</w:t>
      </w:r>
      <w:r w:rsidRPr="48E6497B">
        <w:rPr>
          <w:rFonts w:eastAsia="Arial" w:cs="Arial"/>
          <w:szCs w:val="20"/>
        </w:rPr>
        <w:t>, Thoroughbred Racing Productions, KOJO Productions and Department of Parliamentary Services.</w:t>
      </w:r>
    </w:p>
    <w:p w14:paraId="32D2142E" w14:textId="47C8A455" w:rsidR="00E849EA" w:rsidRDefault="001B1762" w:rsidP="006C0621">
      <w:pPr>
        <w:pStyle w:val="Paragraph"/>
      </w:pPr>
      <w:r>
        <w:t>Part of the band (725</w:t>
      </w:r>
      <w:r w:rsidR="00E849EA">
        <w:t>0</w:t>
      </w:r>
      <w:r w:rsidR="009613B3">
        <w:t>–</w:t>
      </w:r>
      <w:r>
        <w:t>7</w:t>
      </w:r>
      <w:r w:rsidR="00E849EA">
        <w:t>375</w:t>
      </w:r>
      <w:r>
        <w:t xml:space="preserve"> MHz) is </w:t>
      </w:r>
      <w:r w:rsidR="00E849EA" w:rsidRPr="00E849EA">
        <w:t>designated for use by the Australian Defence Force and Department of Defence. The Department of Defence is to be consulted in considering non-defence use of this band</w:t>
      </w:r>
      <w:r w:rsidR="00E849EA">
        <w:t>.</w:t>
      </w:r>
    </w:p>
    <w:p w14:paraId="1A742952" w14:textId="173DFE93" w:rsidR="003D393D" w:rsidRDefault="003D393D" w:rsidP="006C0621">
      <w:pPr>
        <w:pStyle w:val="Paragraph"/>
      </w:pPr>
      <w:r>
        <w:t xml:space="preserve">This band is used for </w:t>
      </w:r>
      <w:r w:rsidR="00C65239">
        <w:t>earth station receive</w:t>
      </w:r>
      <w:r w:rsidR="005E2BBD">
        <w:t xml:space="preserve"> </w:t>
      </w:r>
      <w:r w:rsidR="00086D14">
        <w:t xml:space="preserve">by </w:t>
      </w:r>
      <w:r w:rsidR="00E96CAD" w:rsidRPr="00E96CAD">
        <w:t>A</w:t>
      </w:r>
      <w:r w:rsidR="004E0169">
        <w:t>irbus</w:t>
      </w:r>
      <w:r w:rsidR="00E96CAD" w:rsidRPr="00E96CAD">
        <w:t xml:space="preserve"> DS (SATCOM AUSTRALIA)</w:t>
      </w:r>
      <w:r w:rsidR="00BD4DAF">
        <w:t>,</w:t>
      </w:r>
      <w:r w:rsidR="00E96CAD" w:rsidRPr="00E96CAD">
        <w:t xml:space="preserve"> </w:t>
      </w:r>
      <w:r w:rsidR="00B93510">
        <w:t>Defence</w:t>
      </w:r>
      <w:r w:rsidR="00BD4DAF">
        <w:t xml:space="preserve"> and</w:t>
      </w:r>
      <w:r w:rsidR="00403F7C">
        <w:t xml:space="preserve"> Optus</w:t>
      </w:r>
      <w:r w:rsidR="00BD4DAF">
        <w:t>.</w:t>
      </w:r>
      <w:r w:rsidR="00607A6F">
        <w:t xml:space="preserve"> </w:t>
      </w:r>
      <w:r w:rsidR="00562BBC">
        <w:t xml:space="preserve">There are 28 </w:t>
      </w:r>
      <w:r w:rsidR="00D20EB4">
        <w:t>e</w:t>
      </w:r>
      <w:r w:rsidR="00562BBC">
        <w:t xml:space="preserve">arth receive licences, with </w:t>
      </w:r>
      <w:r w:rsidR="00303CAE">
        <w:t>a</w:t>
      </w:r>
      <w:r w:rsidR="002C7F0E">
        <w:t xml:space="preserve">ll </w:t>
      </w:r>
      <w:r w:rsidR="00303CAE">
        <w:t>of</w:t>
      </w:r>
      <w:r w:rsidR="00400C8A">
        <w:t xml:space="preserve"> </w:t>
      </w:r>
      <w:r w:rsidR="009D68A8">
        <w:t>them</w:t>
      </w:r>
      <w:r w:rsidR="00223993">
        <w:t xml:space="preserve"> being</w:t>
      </w:r>
      <w:r w:rsidR="00400C8A">
        <w:t xml:space="preserve"> </w:t>
      </w:r>
      <w:r w:rsidR="002C7F0E">
        <w:t>above</w:t>
      </w:r>
      <w:r w:rsidR="00942252">
        <w:t xml:space="preserve"> </w:t>
      </w:r>
      <w:r w:rsidR="000D58E7">
        <w:t>7249</w:t>
      </w:r>
      <w:r w:rsidR="00576818">
        <w:t>.683 MHz</w:t>
      </w:r>
      <w:r w:rsidR="001417B0">
        <w:t xml:space="preserve"> with the majority </w:t>
      </w:r>
      <w:r w:rsidR="00D703B5">
        <w:t>being</w:t>
      </w:r>
      <w:r w:rsidR="00452E08">
        <w:t xml:space="preserve"> above </w:t>
      </w:r>
      <w:r w:rsidR="00727450">
        <w:t>7368</w:t>
      </w:r>
      <w:r w:rsidR="00452E08">
        <w:t xml:space="preserve"> MHz.</w:t>
      </w:r>
    </w:p>
    <w:p w14:paraId="14CE7049" w14:textId="246C8B7B" w:rsidR="00B4144F" w:rsidRDefault="00C321AD">
      <w:pPr>
        <w:rPr>
          <w:rFonts w:eastAsia="Arial" w:cs="Arial"/>
          <w:szCs w:val="20"/>
        </w:rPr>
      </w:pPr>
      <w:r>
        <w:rPr>
          <w:rFonts w:eastAsia="Arial" w:cs="Arial"/>
          <w:szCs w:val="20"/>
        </w:rPr>
        <w:t>Fixed</w:t>
      </w:r>
      <w:r w:rsidR="00A10441">
        <w:rPr>
          <w:rFonts w:eastAsia="Arial" w:cs="Arial"/>
          <w:szCs w:val="20"/>
        </w:rPr>
        <w:t xml:space="preserve"> point-to-point links have a</w:t>
      </w:r>
      <w:r w:rsidR="005A55B0">
        <w:rPr>
          <w:rFonts w:eastAsia="Arial" w:cs="Arial"/>
          <w:szCs w:val="20"/>
        </w:rPr>
        <w:t xml:space="preserve"> small</w:t>
      </w:r>
      <w:r w:rsidR="00A10441">
        <w:rPr>
          <w:rFonts w:eastAsia="Arial" w:cs="Arial"/>
          <w:szCs w:val="20"/>
        </w:rPr>
        <w:t xml:space="preserve"> overlap into this band </w:t>
      </w:r>
      <w:r w:rsidR="00B07D42">
        <w:rPr>
          <w:rFonts w:eastAsia="Arial" w:cs="Arial"/>
          <w:szCs w:val="20"/>
        </w:rPr>
        <w:t>with the first channel of the 7.5</w:t>
      </w:r>
      <w:r w:rsidR="00C367D7">
        <w:rPr>
          <w:rFonts w:eastAsia="Arial" w:cs="Arial"/>
          <w:szCs w:val="20"/>
        </w:rPr>
        <w:t xml:space="preserve"> </w:t>
      </w:r>
      <w:r w:rsidR="00B07D42">
        <w:rPr>
          <w:rFonts w:eastAsia="Arial" w:cs="Arial"/>
          <w:szCs w:val="20"/>
        </w:rPr>
        <w:t xml:space="preserve">GHz band </w:t>
      </w:r>
      <w:r w:rsidR="00F832F4">
        <w:rPr>
          <w:rFonts w:eastAsia="Arial" w:cs="Arial"/>
          <w:szCs w:val="20"/>
        </w:rPr>
        <w:t>encroac</w:t>
      </w:r>
      <w:r w:rsidR="00E12BA2">
        <w:rPr>
          <w:rFonts w:eastAsia="Arial" w:cs="Arial"/>
          <w:szCs w:val="20"/>
        </w:rPr>
        <w:t>h</w:t>
      </w:r>
      <w:r w:rsidR="00F832F4">
        <w:rPr>
          <w:rFonts w:eastAsia="Arial" w:cs="Arial"/>
          <w:szCs w:val="20"/>
        </w:rPr>
        <w:t>ing</w:t>
      </w:r>
      <w:r w:rsidR="00E12BA2">
        <w:rPr>
          <w:rFonts w:eastAsia="Arial" w:cs="Arial"/>
          <w:szCs w:val="20"/>
        </w:rPr>
        <w:t xml:space="preserve"> into the </w:t>
      </w:r>
      <w:r w:rsidR="00DB3AD8">
        <w:rPr>
          <w:rFonts w:eastAsia="Arial" w:cs="Arial"/>
          <w:szCs w:val="20"/>
        </w:rPr>
        <w:t>7424</w:t>
      </w:r>
      <w:r w:rsidR="007707B0">
        <w:rPr>
          <w:rFonts w:eastAsia="Arial" w:cs="Arial"/>
          <w:szCs w:val="20"/>
        </w:rPr>
        <w:t>.5</w:t>
      </w:r>
      <w:r w:rsidR="006617E3">
        <w:rPr>
          <w:rFonts w:eastAsia="Arial" w:cs="Arial"/>
          <w:szCs w:val="20"/>
        </w:rPr>
        <w:t>–</w:t>
      </w:r>
      <w:r w:rsidR="007707B0">
        <w:rPr>
          <w:rFonts w:eastAsia="Arial" w:cs="Arial"/>
          <w:szCs w:val="20"/>
        </w:rPr>
        <w:t>74</w:t>
      </w:r>
      <w:r w:rsidR="006617E3">
        <w:rPr>
          <w:rFonts w:eastAsia="Arial" w:cs="Arial"/>
          <w:szCs w:val="20"/>
        </w:rPr>
        <w:t>25 MHz</w:t>
      </w:r>
      <w:r w:rsidR="00086CBD">
        <w:rPr>
          <w:rFonts w:eastAsia="Arial" w:cs="Arial"/>
          <w:szCs w:val="20"/>
        </w:rPr>
        <w:t xml:space="preserve"> part of this band</w:t>
      </w:r>
      <w:r w:rsidR="00D7054C">
        <w:rPr>
          <w:rFonts w:eastAsia="Arial" w:cs="Arial"/>
          <w:szCs w:val="20"/>
        </w:rPr>
        <w:t xml:space="preserve">. As of the 14 July 2020 there were </w:t>
      </w:r>
      <w:r w:rsidR="00AF1CB4">
        <w:rPr>
          <w:rFonts w:eastAsia="Arial" w:cs="Arial"/>
          <w:szCs w:val="20"/>
        </w:rPr>
        <w:t>68 fixed link assignments in this band</w:t>
      </w:r>
      <w:r w:rsidR="0087003B">
        <w:rPr>
          <w:rFonts w:eastAsia="Arial" w:cs="Arial"/>
          <w:szCs w:val="20"/>
        </w:rPr>
        <w:t xml:space="preserve"> across Australia</w:t>
      </w:r>
      <w:r w:rsidR="00AF1CB4">
        <w:rPr>
          <w:rFonts w:eastAsia="Arial" w:cs="Arial"/>
          <w:szCs w:val="20"/>
        </w:rPr>
        <w:t>.</w:t>
      </w:r>
    </w:p>
    <w:p w14:paraId="45C789C8" w14:textId="5FA4FCC9" w:rsidR="0009689B" w:rsidRDefault="0009689B">
      <w:r>
        <w:rPr>
          <w:rFonts w:eastAsia="Arial" w:cs="Arial"/>
          <w:szCs w:val="20"/>
        </w:rPr>
        <w:t>Other</w:t>
      </w:r>
      <w:r w:rsidR="000D122F">
        <w:rPr>
          <w:rFonts w:eastAsia="Arial" w:cs="Arial"/>
          <w:szCs w:val="20"/>
        </w:rPr>
        <w:t xml:space="preserve"> </w:t>
      </w:r>
      <w:r w:rsidR="008624E0">
        <w:rPr>
          <w:rFonts w:eastAsia="Arial" w:cs="Arial"/>
          <w:szCs w:val="20"/>
        </w:rPr>
        <w:t>services in this</w:t>
      </w:r>
      <w:r w:rsidR="000D122F">
        <w:rPr>
          <w:rFonts w:eastAsia="Arial" w:cs="Arial"/>
          <w:szCs w:val="20"/>
        </w:rPr>
        <w:t xml:space="preserve"> band </w:t>
      </w:r>
      <w:r w:rsidR="008624E0">
        <w:rPr>
          <w:rFonts w:eastAsia="Arial" w:cs="Arial"/>
          <w:szCs w:val="20"/>
        </w:rPr>
        <w:t xml:space="preserve">also </w:t>
      </w:r>
      <w:r w:rsidR="000D122F">
        <w:rPr>
          <w:rFonts w:eastAsia="Arial" w:cs="Arial"/>
          <w:szCs w:val="20"/>
        </w:rPr>
        <w:t>include</w:t>
      </w:r>
      <w:r w:rsidR="00880C38">
        <w:rPr>
          <w:rFonts w:eastAsia="Arial" w:cs="Arial"/>
          <w:szCs w:val="20"/>
        </w:rPr>
        <w:t xml:space="preserve"> </w:t>
      </w:r>
      <w:r w:rsidR="00A36627">
        <w:rPr>
          <w:rFonts w:eastAsia="Arial" w:cs="Arial"/>
          <w:szCs w:val="20"/>
        </w:rPr>
        <w:t>S</w:t>
      </w:r>
      <w:r w:rsidR="0080728C">
        <w:rPr>
          <w:rFonts w:eastAsia="Arial" w:cs="Arial"/>
          <w:szCs w:val="20"/>
        </w:rPr>
        <w:t>p</w:t>
      </w:r>
      <w:r w:rsidR="00925FB3">
        <w:rPr>
          <w:rFonts w:eastAsia="Arial" w:cs="Arial"/>
          <w:szCs w:val="20"/>
        </w:rPr>
        <w:t>ace Research</w:t>
      </w:r>
      <w:r w:rsidR="00E36E41">
        <w:rPr>
          <w:rFonts w:eastAsia="Arial" w:cs="Arial"/>
          <w:szCs w:val="20"/>
        </w:rPr>
        <w:t xml:space="preserve"> </w:t>
      </w:r>
      <w:r w:rsidR="009E3540">
        <w:rPr>
          <w:rFonts w:eastAsia="Arial" w:cs="Arial"/>
          <w:szCs w:val="20"/>
        </w:rPr>
        <w:t>(Earth-to-space)</w:t>
      </w:r>
      <w:r w:rsidR="007069A0">
        <w:rPr>
          <w:rFonts w:eastAsia="Arial" w:cs="Arial"/>
          <w:szCs w:val="20"/>
        </w:rPr>
        <w:t xml:space="preserve"> </w:t>
      </w:r>
      <w:r w:rsidR="00D20EB4">
        <w:rPr>
          <w:rFonts w:eastAsia="Arial" w:cs="Arial"/>
          <w:szCs w:val="20"/>
        </w:rPr>
        <w:t xml:space="preserve">for which </w:t>
      </w:r>
      <w:r w:rsidR="007069A0">
        <w:rPr>
          <w:rFonts w:eastAsia="Arial" w:cs="Arial"/>
          <w:szCs w:val="20"/>
        </w:rPr>
        <w:t>CSIRO have licences in Tidbinbilla and New Norcia</w:t>
      </w:r>
      <w:r w:rsidR="00442322">
        <w:rPr>
          <w:rFonts w:eastAsia="Arial" w:cs="Arial"/>
          <w:szCs w:val="20"/>
        </w:rPr>
        <w:t xml:space="preserve">. </w:t>
      </w:r>
      <w:r w:rsidR="0062778E" w:rsidRPr="0062778E">
        <w:rPr>
          <w:rFonts w:eastAsia="Arial" w:cs="Arial"/>
          <w:szCs w:val="20"/>
        </w:rPr>
        <w:t>Universal Space Network Inc</w:t>
      </w:r>
      <w:r w:rsidR="004D73A4">
        <w:rPr>
          <w:rFonts w:eastAsia="Arial" w:cs="Arial"/>
          <w:szCs w:val="20"/>
        </w:rPr>
        <w:t xml:space="preserve"> </w:t>
      </w:r>
      <w:r w:rsidR="00FF07E1">
        <w:rPr>
          <w:rFonts w:eastAsia="Arial" w:cs="Arial"/>
          <w:szCs w:val="20"/>
        </w:rPr>
        <w:t xml:space="preserve">has </w:t>
      </w:r>
      <w:r w:rsidR="007F7605">
        <w:rPr>
          <w:rFonts w:eastAsia="Arial" w:cs="Arial"/>
          <w:szCs w:val="20"/>
        </w:rPr>
        <w:t>a licence</w:t>
      </w:r>
      <w:r w:rsidR="00AE08A3">
        <w:rPr>
          <w:rFonts w:eastAsia="Arial" w:cs="Arial"/>
          <w:szCs w:val="20"/>
        </w:rPr>
        <w:t xml:space="preserve"> in this band in Mingenew</w:t>
      </w:r>
      <w:r w:rsidR="008526A3">
        <w:rPr>
          <w:rFonts w:eastAsia="Arial" w:cs="Arial"/>
          <w:szCs w:val="20"/>
        </w:rPr>
        <w:t>.</w:t>
      </w:r>
    </w:p>
    <w:p w14:paraId="2C6784A4" w14:textId="6DE74BC7" w:rsidR="001B1762" w:rsidRPr="006C0621" w:rsidRDefault="001B1762" w:rsidP="006C0621">
      <w:pPr>
        <w:pStyle w:val="Heading4"/>
      </w:pPr>
      <w:r w:rsidRPr="006C0621">
        <w:t>8275–8400 MHz</w:t>
      </w:r>
      <w:r w:rsidR="0BD79F2E">
        <w:t xml:space="preserve"> (8.3 GHz)</w:t>
      </w:r>
    </w:p>
    <w:p w14:paraId="6BDA85F2" w14:textId="436D5BA3" w:rsidR="009640A6" w:rsidRDefault="001B1762" w:rsidP="006C0621">
      <w:pPr>
        <w:pStyle w:val="Paragraph"/>
      </w:pPr>
      <w:r>
        <w:t>Arrangements in these bands are contained in RALI FX 3.</w:t>
      </w:r>
      <w:r w:rsidR="001621B3">
        <w:t xml:space="preserve"> </w:t>
      </w:r>
      <w:r>
        <w:t>Channel arrangements support usage by the ABC</w:t>
      </w:r>
      <w:r w:rsidRPr="00B97DB7">
        <w:t xml:space="preserve"> </w:t>
      </w:r>
      <w:r w:rsidRPr="00296D08">
        <w:t xml:space="preserve">with channels also available on a shared basis for all </w:t>
      </w:r>
      <w:r>
        <w:t xml:space="preserve">other </w:t>
      </w:r>
      <w:r w:rsidRPr="00296D08">
        <w:t>users</w:t>
      </w:r>
      <w:r>
        <w:t>.</w:t>
      </w:r>
      <w:r w:rsidR="61798D19">
        <w:t xml:space="preserve"> </w:t>
      </w:r>
      <w:r>
        <w:t xml:space="preserve">Besides the ABC there is </w:t>
      </w:r>
      <w:r w:rsidR="00461260">
        <w:t>no</w:t>
      </w:r>
      <w:r>
        <w:t xml:space="preserve"> usage by other </w:t>
      </w:r>
      <w:r w:rsidR="00554B4C">
        <w:t xml:space="preserve">TOB </w:t>
      </w:r>
      <w:r>
        <w:t>organisations</w:t>
      </w:r>
      <w:r w:rsidR="006C0621">
        <w:t>.</w:t>
      </w:r>
      <w:r w:rsidR="008E4A12">
        <w:t xml:space="preserve"> </w:t>
      </w:r>
    </w:p>
    <w:p w14:paraId="633BA1CA" w14:textId="732FBC48" w:rsidR="00AF0397" w:rsidRDefault="00391EB0" w:rsidP="006C0621">
      <w:pPr>
        <w:pStyle w:val="Paragraph"/>
      </w:pPr>
      <w:r>
        <w:t>S</w:t>
      </w:r>
      <w:r w:rsidR="00175F5A">
        <w:t>ervices</w:t>
      </w:r>
      <w:r w:rsidR="009D2FA3">
        <w:t xml:space="preserve"> that </w:t>
      </w:r>
      <w:r w:rsidR="009015E3">
        <w:t>share</w:t>
      </w:r>
      <w:r w:rsidR="00AF0397">
        <w:t xml:space="preserve"> this band are detailed in </w:t>
      </w:r>
      <w:r w:rsidR="009613B3">
        <w:t>Table 7,</w:t>
      </w:r>
      <w:r w:rsidR="00475DD8">
        <w:t xml:space="preserve"> </w:t>
      </w:r>
      <w:r w:rsidR="00AF0397">
        <w:t xml:space="preserve">including </w:t>
      </w:r>
      <w:r w:rsidR="00F825E4">
        <w:t xml:space="preserve">the </w:t>
      </w:r>
      <w:r w:rsidR="00AF0397">
        <w:t>number of licences issued as of 14 July 2020.</w:t>
      </w:r>
    </w:p>
    <w:p w14:paraId="1369E0E0" w14:textId="75385B25" w:rsidR="00545747" w:rsidRDefault="004C3140" w:rsidP="00D9682B">
      <w:pPr>
        <w:pStyle w:val="Tableheading"/>
        <w:ind w:left="964"/>
      </w:pPr>
      <w:bookmarkStart w:id="164" w:name="_Ref45716226"/>
      <w:r>
        <w:lastRenderedPageBreak/>
        <w:t xml:space="preserve">Services that </w:t>
      </w:r>
      <w:r w:rsidR="00A21BE3">
        <w:t>u</w:t>
      </w:r>
      <w:r w:rsidR="00545747">
        <w:t>se the 8.3GHz band</w:t>
      </w:r>
      <w:bookmarkEnd w:id="164"/>
      <w:r w:rsidR="00545747">
        <w:t xml:space="preserve"> </w:t>
      </w:r>
    </w:p>
    <w:tbl>
      <w:tblPr>
        <w:tblStyle w:val="ACMAtablestyle"/>
        <w:tblW w:w="7650" w:type="dxa"/>
        <w:tblLayout w:type="fixed"/>
        <w:tblCellMar>
          <w:top w:w="57" w:type="dxa"/>
          <w:bottom w:w="57" w:type="dxa"/>
        </w:tblCellMar>
        <w:tblLook w:val="01E0" w:firstRow="1" w:lastRow="1" w:firstColumn="1" w:lastColumn="1" w:noHBand="0" w:noVBand="0"/>
        <w:tblCaption w:val="Table title to go here"/>
        <w:tblDescription w:val="Table description to go here"/>
      </w:tblPr>
      <w:tblGrid>
        <w:gridCol w:w="2972"/>
        <w:gridCol w:w="3402"/>
        <w:gridCol w:w="1276"/>
      </w:tblGrid>
      <w:tr w:rsidR="00545747" w:rsidRPr="006D46E5" w14:paraId="318A58D2" w14:textId="77777777" w:rsidTr="00A36091">
        <w:trPr>
          <w:cnfStyle w:val="100000000000" w:firstRow="1" w:lastRow="0" w:firstColumn="0" w:lastColumn="0" w:oddVBand="0" w:evenVBand="0" w:oddHBand="0" w:evenHBand="0" w:firstRowFirstColumn="0" w:firstRowLastColumn="0" w:lastRowFirstColumn="0" w:lastRowLastColumn="0"/>
          <w:tblHeader w:val="0"/>
        </w:trPr>
        <w:tc>
          <w:tcPr>
            <w:tcW w:w="2972" w:type="dxa"/>
            <w:tcBorders>
              <w:top w:val="none" w:sz="0" w:space="0" w:color="auto"/>
              <w:left w:val="none" w:sz="0" w:space="0" w:color="auto"/>
              <w:bottom w:val="none" w:sz="0" w:space="0" w:color="auto"/>
              <w:right w:val="none" w:sz="0" w:space="0" w:color="auto"/>
            </w:tcBorders>
          </w:tcPr>
          <w:p w14:paraId="5FE4B688" w14:textId="77777777" w:rsidR="00545747" w:rsidRPr="00930510" w:rsidRDefault="00545747" w:rsidP="003322B4">
            <w:pPr>
              <w:pStyle w:val="Tableheaderrow"/>
              <w:jc w:val="center"/>
              <w:rPr>
                <w:sz w:val="18"/>
                <w:szCs w:val="18"/>
              </w:rPr>
            </w:pPr>
            <w:r>
              <w:rPr>
                <w:sz w:val="18"/>
                <w:szCs w:val="18"/>
              </w:rPr>
              <w:t>Use</w:t>
            </w:r>
          </w:p>
        </w:tc>
        <w:tc>
          <w:tcPr>
            <w:tcW w:w="3402" w:type="dxa"/>
            <w:tcBorders>
              <w:top w:val="none" w:sz="0" w:space="0" w:color="auto"/>
              <w:left w:val="none" w:sz="0" w:space="0" w:color="auto"/>
              <w:bottom w:val="none" w:sz="0" w:space="0" w:color="auto"/>
              <w:right w:val="none" w:sz="0" w:space="0" w:color="auto"/>
            </w:tcBorders>
          </w:tcPr>
          <w:p w14:paraId="643B7258" w14:textId="77777777" w:rsidR="00545747" w:rsidRDefault="00545747" w:rsidP="00B935DA">
            <w:pPr>
              <w:pStyle w:val="Tableheaderrow"/>
              <w:jc w:val="center"/>
              <w:rPr>
                <w:sz w:val="18"/>
                <w:szCs w:val="18"/>
              </w:rPr>
            </w:pPr>
            <w:r>
              <w:rPr>
                <w:sz w:val="18"/>
                <w:szCs w:val="18"/>
              </w:rPr>
              <w:t>Allocation</w:t>
            </w:r>
          </w:p>
        </w:tc>
        <w:tc>
          <w:tcPr>
            <w:tcW w:w="1276" w:type="dxa"/>
            <w:tcBorders>
              <w:top w:val="none" w:sz="0" w:space="0" w:color="auto"/>
              <w:left w:val="none" w:sz="0" w:space="0" w:color="auto"/>
              <w:bottom w:val="none" w:sz="0" w:space="0" w:color="auto"/>
              <w:right w:val="none" w:sz="0" w:space="0" w:color="auto"/>
            </w:tcBorders>
          </w:tcPr>
          <w:p w14:paraId="7CD925C1" w14:textId="48DBBF83" w:rsidR="00545747" w:rsidRDefault="00545747" w:rsidP="0078583B">
            <w:pPr>
              <w:pStyle w:val="Tableheaderrow"/>
              <w:jc w:val="center"/>
              <w:rPr>
                <w:sz w:val="18"/>
                <w:szCs w:val="18"/>
              </w:rPr>
            </w:pPr>
            <w:r>
              <w:rPr>
                <w:sz w:val="18"/>
                <w:szCs w:val="18"/>
              </w:rPr>
              <w:t>Licences</w:t>
            </w:r>
            <w:r w:rsidR="005A1E43" w:rsidRPr="005A1E43">
              <w:rPr>
                <w:sz w:val="18"/>
                <w:szCs w:val="18"/>
                <w:vertAlign w:val="superscript"/>
              </w:rPr>
              <w:t>*</w:t>
            </w:r>
          </w:p>
        </w:tc>
      </w:tr>
      <w:tr w:rsidR="00545747" w:rsidRPr="00E517E7" w14:paraId="1E0FEAE4" w14:textId="77777777" w:rsidTr="00B935DA">
        <w:trPr>
          <w:cnfStyle w:val="000000100000" w:firstRow="0" w:lastRow="0" w:firstColumn="0" w:lastColumn="0" w:oddVBand="0" w:evenVBand="0" w:oddHBand="1" w:evenHBand="0" w:firstRowFirstColumn="0" w:firstRowLastColumn="0" w:lastRowFirstColumn="0" w:lastRowLastColumn="0"/>
        </w:trPr>
        <w:tc>
          <w:tcPr>
            <w:tcW w:w="2972" w:type="dxa"/>
          </w:tcPr>
          <w:p w14:paraId="237E45EF" w14:textId="77777777" w:rsidR="00545747" w:rsidRPr="00E517E7" w:rsidRDefault="00545747" w:rsidP="00B935DA">
            <w:pPr>
              <w:pStyle w:val="TableBody"/>
            </w:pPr>
            <w:r>
              <w:t>Defence Receive</w:t>
            </w:r>
          </w:p>
        </w:tc>
        <w:tc>
          <w:tcPr>
            <w:tcW w:w="3402" w:type="dxa"/>
          </w:tcPr>
          <w:p w14:paraId="3E4DACE7" w14:textId="77777777" w:rsidR="00545747" w:rsidRPr="00E517E7" w:rsidRDefault="00545747" w:rsidP="00B935DA">
            <w:pPr>
              <w:pStyle w:val="TableBody"/>
            </w:pPr>
          </w:p>
        </w:tc>
        <w:tc>
          <w:tcPr>
            <w:tcW w:w="1276" w:type="dxa"/>
          </w:tcPr>
          <w:p w14:paraId="44EEF3E8" w14:textId="77777777" w:rsidR="00545747" w:rsidRPr="00E517E7" w:rsidRDefault="00545747" w:rsidP="00B935DA">
            <w:pPr>
              <w:pStyle w:val="TableBody"/>
              <w:jc w:val="center"/>
            </w:pPr>
            <w:r>
              <w:t>1</w:t>
            </w:r>
          </w:p>
        </w:tc>
      </w:tr>
      <w:tr w:rsidR="00545747" w:rsidRPr="006D46E5" w14:paraId="2A3E9D6C" w14:textId="77777777" w:rsidTr="00B935DA">
        <w:trPr>
          <w:cnfStyle w:val="000000010000" w:firstRow="0" w:lastRow="0" w:firstColumn="0" w:lastColumn="0" w:oddVBand="0" w:evenVBand="0" w:oddHBand="0" w:evenHBand="1" w:firstRowFirstColumn="0" w:firstRowLastColumn="0" w:lastRowFirstColumn="0" w:lastRowLastColumn="0"/>
        </w:trPr>
        <w:tc>
          <w:tcPr>
            <w:tcW w:w="2972" w:type="dxa"/>
          </w:tcPr>
          <w:p w14:paraId="63B2FDF9" w14:textId="77777777" w:rsidR="00545747" w:rsidRPr="00930510" w:rsidRDefault="00545747" w:rsidP="00B935DA">
            <w:pPr>
              <w:pStyle w:val="TableBody"/>
            </w:pPr>
            <w:r w:rsidRPr="00E517E7">
              <w:t>Earth station receivers</w:t>
            </w:r>
          </w:p>
        </w:tc>
        <w:tc>
          <w:tcPr>
            <w:tcW w:w="3402" w:type="dxa"/>
          </w:tcPr>
          <w:p w14:paraId="64C62ECB" w14:textId="77777777" w:rsidR="00545747" w:rsidRPr="00930510" w:rsidRDefault="00545747" w:rsidP="00B935DA">
            <w:pPr>
              <w:pStyle w:val="TableBody"/>
            </w:pPr>
            <w:r w:rsidRPr="00E517E7">
              <w:t>Earth Exploration space-to-Earth</w:t>
            </w:r>
          </w:p>
        </w:tc>
        <w:tc>
          <w:tcPr>
            <w:tcW w:w="1276" w:type="dxa"/>
          </w:tcPr>
          <w:p w14:paraId="21FE0CD2" w14:textId="77777777" w:rsidR="00545747" w:rsidRPr="00930510" w:rsidRDefault="00545747" w:rsidP="00B935DA">
            <w:pPr>
              <w:pStyle w:val="TableBody"/>
              <w:jc w:val="center"/>
            </w:pPr>
            <w:r w:rsidRPr="00E517E7">
              <w:t>8</w:t>
            </w:r>
          </w:p>
        </w:tc>
      </w:tr>
      <w:tr w:rsidR="00545747" w:rsidRPr="004267B1" w14:paraId="7C14235A" w14:textId="77777777" w:rsidTr="00B935DA">
        <w:trPr>
          <w:cnfStyle w:val="000000100000" w:firstRow="0" w:lastRow="0" w:firstColumn="0" w:lastColumn="0" w:oddVBand="0" w:evenVBand="0" w:oddHBand="1" w:evenHBand="0" w:firstRowFirstColumn="0" w:firstRowLastColumn="0" w:lastRowFirstColumn="0" w:lastRowLastColumn="0"/>
        </w:trPr>
        <w:tc>
          <w:tcPr>
            <w:tcW w:w="2972" w:type="dxa"/>
          </w:tcPr>
          <w:p w14:paraId="3F29F680" w14:textId="77777777" w:rsidR="00545747" w:rsidRPr="004267B1" w:rsidRDefault="00545747" w:rsidP="00B935DA">
            <w:pPr>
              <w:pStyle w:val="TableBody"/>
            </w:pPr>
            <w:r>
              <w:t>Earth station transmitters</w:t>
            </w:r>
          </w:p>
        </w:tc>
        <w:tc>
          <w:tcPr>
            <w:tcW w:w="3402" w:type="dxa"/>
          </w:tcPr>
          <w:p w14:paraId="47E2642A" w14:textId="77777777" w:rsidR="00545747" w:rsidRPr="004267B1" w:rsidRDefault="00545747" w:rsidP="00B935DA">
            <w:pPr>
              <w:pStyle w:val="TableBody"/>
            </w:pPr>
            <w:r>
              <w:t>Fixed-Satellite</w:t>
            </w:r>
          </w:p>
        </w:tc>
        <w:tc>
          <w:tcPr>
            <w:tcW w:w="1276" w:type="dxa"/>
          </w:tcPr>
          <w:p w14:paraId="53298D07" w14:textId="77777777" w:rsidR="00545747" w:rsidRPr="004267B1" w:rsidRDefault="00545747" w:rsidP="00B935DA">
            <w:pPr>
              <w:pStyle w:val="TableBody"/>
              <w:jc w:val="center"/>
            </w:pPr>
            <w:r>
              <w:t>25</w:t>
            </w:r>
          </w:p>
        </w:tc>
      </w:tr>
      <w:tr w:rsidR="00545747" w:rsidRPr="004267B1" w14:paraId="20355C28" w14:textId="77777777" w:rsidTr="00B935DA">
        <w:trPr>
          <w:cnfStyle w:val="000000010000" w:firstRow="0" w:lastRow="0" w:firstColumn="0" w:lastColumn="0" w:oddVBand="0" w:evenVBand="0" w:oddHBand="0" w:evenHBand="1" w:firstRowFirstColumn="0" w:firstRowLastColumn="0" w:lastRowFirstColumn="0" w:lastRowLastColumn="0"/>
        </w:trPr>
        <w:tc>
          <w:tcPr>
            <w:tcW w:w="2972" w:type="dxa"/>
          </w:tcPr>
          <w:p w14:paraId="2B9D1D6C" w14:textId="77777777" w:rsidR="00545747" w:rsidRPr="004267B1" w:rsidRDefault="00545747" w:rsidP="00B935DA">
            <w:pPr>
              <w:pStyle w:val="TableBody"/>
            </w:pPr>
            <w:r w:rsidRPr="00AE0B45">
              <w:t>Point to Point</w:t>
            </w:r>
          </w:p>
        </w:tc>
        <w:tc>
          <w:tcPr>
            <w:tcW w:w="3402" w:type="dxa"/>
          </w:tcPr>
          <w:p w14:paraId="457E7719" w14:textId="77777777" w:rsidR="00545747" w:rsidRPr="004267B1" w:rsidRDefault="00545747" w:rsidP="00B935DA">
            <w:pPr>
              <w:pStyle w:val="TableBody"/>
            </w:pPr>
            <w:r>
              <w:t>Fixed</w:t>
            </w:r>
          </w:p>
        </w:tc>
        <w:tc>
          <w:tcPr>
            <w:tcW w:w="1276" w:type="dxa"/>
          </w:tcPr>
          <w:p w14:paraId="1FABE322" w14:textId="77777777" w:rsidR="00545747" w:rsidRPr="004267B1" w:rsidRDefault="00545747" w:rsidP="00B935DA">
            <w:pPr>
              <w:pStyle w:val="TableBody"/>
              <w:jc w:val="center"/>
            </w:pPr>
            <w:r>
              <w:t>16</w:t>
            </w:r>
          </w:p>
        </w:tc>
      </w:tr>
      <w:tr w:rsidR="00545747" w:rsidRPr="004267B1" w14:paraId="3E8F847F" w14:textId="77777777" w:rsidTr="00B935DA">
        <w:trPr>
          <w:cnfStyle w:val="000000100000" w:firstRow="0" w:lastRow="0" w:firstColumn="0" w:lastColumn="0" w:oddVBand="0" w:evenVBand="0" w:oddHBand="1" w:evenHBand="0" w:firstRowFirstColumn="0" w:firstRowLastColumn="0" w:lastRowFirstColumn="0" w:lastRowLastColumn="0"/>
        </w:trPr>
        <w:tc>
          <w:tcPr>
            <w:tcW w:w="2972" w:type="dxa"/>
          </w:tcPr>
          <w:p w14:paraId="3A1D24FA" w14:textId="77777777" w:rsidR="00545747" w:rsidRPr="004267B1" w:rsidRDefault="00545747" w:rsidP="00B935DA">
            <w:pPr>
              <w:pStyle w:val="TableBody"/>
            </w:pPr>
            <w:r w:rsidRPr="00AE0B45">
              <w:t>Radiodetermination</w:t>
            </w:r>
          </w:p>
        </w:tc>
        <w:tc>
          <w:tcPr>
            <w:tcW w:w="3402" w:type="dxa"/>
          </w:tcPr>
          <w:p w14:paraId="0B205860" w14:textId="77777777" w:rsidR="00545747" w:rsidRPr="004267B1" w:rsidRDefault="00545747" w:rsidP="00B935DA">
            <w:pPr>
              <w:pStyle w:val="TableBody"/>
            </w:pPr>
            <w:r>
              <w:t>Fixed</w:t>
            </w:r>
          </w:p>
        </w:tc>
        <w:tc>
          <w:tcPr>
            <w:tcW w:w="1276" w:type="dxa"/>
          </w:tcPr>
          <w:p w14:paraId="72EB0E46" w14:textId="77777777" w:rsidR="00545747" w:rsidRPr="004267B1" w:rsidRDefault="00545747" w:rsidP="00B935DA">
            <w:pPr>
              <w:pStyle w:val="TableBody"/>
              <w:jc w:val="center"/>
            </w:pPr>
            <w:r>
              <w:t>1</w:t>
            </w:r>
          </w:p>
        </w:tc>
      </w:tr>
      <w:tr w:rsidR="00545747" w:rsidRPr="004267B1" w14:paraId="3594639F" w14:textId="77777777" w:rsidTr="00B935DA">
        <w:trPr>
          <w:cnfStyle w:val="000000010000" w:firstRow="0" w:lastRow="0" w:firstColumn="0" w:lastColumn="0" w:oddVBand="0" w:evenVBand="0" w:oddHBand="0" w:evenHBand="1" w:firstRowFirstColumn="0" w:firstRowLastColumn="0" w:lastRowFirstColumn="0" w:lastRowLastColumn="0"/>
        </w:trPr>
        <w:tc>
          <w:tcPr>
            <w:tcW w:w="2972" w:type="dxa"/>
          </w:tcPr>
          <w:p w14:paraId="22DAD9B9" w14:textId="6D6F6082" w:rsidR="00545747" w:rsidRPr="004267B1" w:rsidRDefault="00545747" w:rsidP="00B935DA">
            <w:pPr>
              <w:pStyle w:val="TableBody"/>
            </w:pPr>
            <w:r w:rsidRPr="00AE0B45">
              <w:t>Television Outside Broadcast Network</w:t>
            </w:r>
            <w:r w:rsidR="00FD04F1">
              <w:t xml:space="preserve">  (ABC Only)</w:t>
            </w:r>
          </w:p>
        </w:tc>
        <w:tc>
          <w:tcPr>
            <w:tcW w:w="3402" w:type="dxa"/>
          </w:tcPr>
          <w:p w14:paraId="40DF6307" w14:textId="77777777" w:rsidR="00545747" w:rsidRPr="004267B1" w:rsidRDefault="00545747" w:rsidP="00B935DA">
            <w:pPr>
              <w:pStyle w:val="TableBody"/>
            </w:pPr>
            <w:r>
              <w:t>Fixed</w:t>
            </w:r>
          </w:p>
        </w:tc>
        <w:tc>
          <w:tcPr>
            <w:tcW w:w="1276" w:type="dxa"/>
          </w:tcPr>
          <w:p w14:paraId="54E6CEB2" w14:textId="77777777" w:rsidR="00545747" w:rsidRPr="004267B1" w:rsidRDefault="00545747" w:rsidP="00B935DA">
            <w:pPr>
              <w:pStyle w:val="TableBody"/>
              <w:jc w:val="center"/>
            </w:pPr>
            <w:r>
              <w:t>4</w:t>
            </w:r>
          </w:p>
        </w:tc>
      </w:tr>
    </w:tbl>
    <w:p w14:paraId="09AB1E1B" w14:textId="29F7975C" w:rsidR="00BE0B8D" w:rsidRPr="00BE0B8D" w:rsidRDefault="00BE0B8D" w:rsidP="006E603C">
      <w:pPr>
        <w:pStyle w:val="Tableorfigurenote"/>
        <w:spacing w:after="360"/>
      </w:pPr>
      <w:r w:rsidRPr="00AB5C73">
        <w:t>*</w:t>
      </w:r>
      <w:r>
        <w:t xml:space="preserve"> </w:t>
      </w:r>
      <w:r w:rsidR="0078583B">
        <w:t>A</w:t>
      </w:r>
      <w:r w:rsidR="006E603C">
        <w:t>t</w:t>
      </w:r>
      <w:r w:rsidR="0078583B">
        <w:t xml:space="preserve"> 14 July 2020</w:t>
      </w:r>
    </w:p>
    <w:p w14:paraId="0AAA1962" w14:textId="3A573179" w:rsidR="001B1762" w:rsidRPr="006C0621" w:rsidRDefault="001B1762" w:rsidP="006C0621">
      <w:pPr>
        <w:pStyle w:val="Heading4"/>
      </w:pPr>
      <w:r w:rsidRPr="006C0621">
        <w:t>12.75</w:t>
      </w:r>
      <w:r w:rsidR="00E24621">
        <w:t>–</w:t>
      </w:r>
      <w:r w:rsidRPr="006C0621">
        <w:t>13.25 GHz</w:t>
      </w:r>
      <w:r w:rsidR="1691EC4A">
        <w:t xml:space="preserve"> (13 GHz)</w:t>
      </w:r>
    </w:p>
    <w:p w14:paraId="3A9C8916" w14:textId="593947E1" w:rsidR="001B1762" w:rsidRDefault="001B1762" w:rsidP="006C0621">
      <w:pPr>
        <w:pStyle w:val="Paragraph"/>
      </w:pPr>
      <w:r>
        <w:t>Arrangements in these bands are contained in RALI FX 3.</w:t>
      </w:r>
      <w:r w:rsidR="001621B3">
        <w:t xml:space="preserve"> </w:t>
      </w:r>
      <w:r>
        <w:t xml:space="preserve">Channel arrangements support fixed point to point links, usage by the </w:t>
      </w:r>
      <w:r w:rsidRPr="005A7F81">
        <w:t>ABC, Seven Network, Nine Network Australia</w:t>
      </w:r>
      <w:r>
        <w:t xml:space="preserve">, and </w:t>
      </w:r>
      <w:r w:rsidRPr="005A7F81">
        <w:t>Network Ten</w:t>
      </w:r>
      <w:r w:rsidRPr="00B97DB7">
        <w:t xml:space="preserve"> </w:t>
      </w:r>
      <w:r w:rsidRPr="00296D08">
        <w:t xml:space="preserve">with </w:t>
      </w:r>
      <w:r>
        <w:t xml:space="preserve">one </w:t>
      </w:r>
      <w:r w:rsidRPr="00296D08">
        <w:t xml:space="preserve">channel available on a shared basis for all </w:t>
      </w:r>
      <w:r>
        <w:t xml:space="preserve">other </w:t>
      </w:r>
      <w:r w:rsidRPr="00296D08">
        <w:t>users</w:t>
      </w:r>
      <w:r>
        <w:t>.</w:t>
      </w:r>
    </w:p>
    <w:p w14:paraId="22B17DC2" w14:textId="435C991F" w:rsidR="001B1762" w:rsidRPr="006C0621" w:rsidRDefault="001B1762" w:rsidP="006C0621">
      <w:pPr>
        <w:pStyle w:val="Heading4"/>
      </w:pPr>
      <w:r w:rsidRPr="006C0621">
        <w:t>21.2–23.6 GHz (22 GHz)</w:t>
      </w:r>
    </w:p>
    <w:p w14:paraId="6CAB2348" w14:textId="6D65AED2" w:rsidR="001B1762" w:rsidRDefault="00233B4B" w:rsidP="006C0621">
      <w:pPr>
        <w:pStyle w:val="Paragraph"/>
      </w:pPr>
      <w:r>
        <w:t>Arrangements in these bands are contained in RALI FX 3.</w:t>
      </w:r>
      <w:r w:rsidR="001621B3">
        <w:t xml:space="preserve"> </w:t>
      </w:r>
      <w:r w:rsidR="001B1762">
        <w:t xml:space="preserve">Many of the channel arrangements in these bands including the 7.2 GHz, 8.3 GHz and 13 GHz are developed to support </w:t>
      </w:r>
      <w:r w:rsidR="73DB4A48">
        <w:t>analogue</w:t>
      </w:r>
      <w:r w:rsidR="001B1762">
        <w:t xml:space="preserve"> services with </w:t>
      </w:r>
      <w:r w:rsidR="6A16AD9C">
        <w:t>an</w:t>
      </w:r>
      <w:r w:rsidR="001B1762">
        <w:t xml:space="preserve"> interleave channel arrangement.</w:t>
      </w:r>
    </w:p>
    <w:p w14:paraId="4B99DF5E" w14:textId="76FDD0B7" w:rsidR="001B1762" w:rsidRDefault="001B1762" w:rsidP="2D393E9A">
      <w:pPr>
        <w:pStyle w:val="Paragraph"/>
      </w:pPr>
    </w:p>
    <w:p w14:paraId="3EBA8897" w14:textId="4BD7D4FB" w:rsidR="001B1762" w:rsidRDefault="00C9363E" w:rsidP="00BE4A85">
      <w:pPr>
        <w:pStyle w:val="Tableheading"/>
        <w:ind w:left="964"/>
        <w:rPr>
          <w:rFonts w:eastAsia="Arial" w:cs="Arial"/>
        </w:rPr>
      </w:pPr>
      <w:r>
        <w:t>Television outside broadcast</w:t>
      </w:r>
      <w:r w:rsidR="001B1762">
        <w:t xml:space="preserve"> bands and licensees</w:t>
      </w:r>
      <w:r>
        <w:t>—at</w:t>
      </w:r>
      <w:r w:rsidR="001B1762">
        <w:t xml:space="preserve"> </w:t>
      </w:r>
      <w:r w:rsidR="000C1551">
        <w:t xml:space="preserve">14 </w:t>
      </w:r>
      <w:r w:rsidR="25DBC644">
        <w:t>July</w:t>
      </w:r>
      <w:r w:rsidR="001B1762">
        <w:t xml:space="preserve"> 2020 </w:t>
      </w:r>
    </w:p>
    <w:tbl>
      <w:tblPr>
        <w:tblStyle w:val="ACMAtablestyle"/>
        <w:tblW w:w="8784" w:type="dxa"/>
        <w:tblLayout w:type="fixed"/>
        <w:tblCellMar>
          <w:top w:w="85" w:type="dxa"/>
          <w:bottom w:w="85" w:type="dxa"/>
        </w:tblCellMar>
        <w:tblLook w:val="04A0" w:firstRow="1" w:lastRow="0" w:firstColumn="1" w:lastColumn="0" w:noHBand="0" w:noVBand="1"/>
        <w:tblCaption w:val="Table title to go here"/>
        <w:tblDescription w:val="Table description to go here"/>
      </w:tblPr>
      <w:tblGrid>
        <w:gridCol w:w="2405"/>
        <w:gridCol w:w="6379"/>
      </w:tblGrid>
      <w:tr w:rsidR="001B1762" w:rsidRPr="006D46E5" w14:paraId="3579DD53" w14:textId="77777777" w:rsidTr="00C9363E">
        <w:trPr>
          <w:cnfStyle w:val="100000000000" w:firstRow="1" w:lastRow="0" w:firstColumn="0" w:lastColumn="0" w:oddVBand="0" w:evenVBand="0" w:oddHBand="0" w:evenHBand="0" w:firstRowFirstColumn="0" w:firstRowLastColumn="0" w:lastRowFirstColumn="0" w:lastRowLastColumn="0"/>
          <w:tblHeader w:val="0"/>
        </w:trPr>
        <w:tc>
          <w:tcPr>
            <w:tcW w:w="2405" w:type="dxa"/>
            <w:tcBorders>
              <w:top w:val="nil"/>
              <w:left w:val="none" w:sz="0" w:space="0" w:color="auto"/>
              <w:bottom w:val="none" w:sz="0" w:space="0" w:color="auto"/>
              <w:right w:val="single" w:sz="4" w:space="0" w:color="auto"/>
            </w:tcBorders>
          </w:tcPr>
          <w:p w14:paraId="1516ED30" w14:textId="7646D311" w:rsidR="001B1762" w:rsidRDefault="001B1762" w:rsidP="00C9363E">
            <w:pPr>
              <w:pStyle w:val="Tableheaderrow"/>
            </w:pPr>
            <w:r>
              <w:t>Band</w:t>
            </w:r>
          </w:p>
        </w:tc>
        <w:tc>
          <w:tcPr>
            <w:tcW w:w="6379" w:type="dxa"/>
            <w:tcBorders>
              <w:top w:val="none" w:sz="0" w:space="0" w:color="auto"/>
              <w:left w:val="single" w:sz="4" w:space="0" w:color="auto"/>
              <w:bottom w:val="none" w:sz="0" w:space="0" w:color="auto"/>
              <w:right w:val="none" w:sz="0" w:space="0" w:color="auto"/>
            </w:tcBorders>
          </w:tcPr>
          <w:p w14:paraId="2B96063B" w14:textId="77777777" w:rsidR="001B1762" w:rsidRDefault="001B1762" w:rsidP="00C9363E">
            <w:pPr>
              <w:pStyle w:val="Tableheaderrow"/>
            </w:pPr>
            <w:r>
              <w:t>Licensees</w:t>
            </w:r>
          </w:p>
        </w:tc>
      </w:tr>
      <w:tr w:rsidR="001B1762" w:rsidRPr="006D46E5" w14:paraId="31653211" w14:textId="77777777" w:rsidTr="00C9363E">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Pr>
        <w:tc>
          <w:tcPr>
            <w:tcW w:w="2405" w:type="dxa"/>
            <w:tcBorders>
              <w:top w:val="single" w:sz="4" w:space="0" w:color="auto"/>
            </w:tcBorders>
            <w:vAlign w:val="center"/>
          </w:tcPr>
          <w:p w14:paraId="4112E141" w14:textId="7A80BBFE" w:rsidR="001B1762" w:rsidRPr="00FC7D03" w:rsidRDefault="001B1762" w:rsidP="00404925">
            <w:pPr>
              <w:pStyle w:val="TableBody"/>
            </w:pPr>
            <w:r>
              <w:t>1980–2010</w:t>
            </w:r>
            <w:r w:rsidR="005961F8">
              <w:t xml:space="preserve"> and</w:t>
            </w:r>
            <w:r w:rsidR="005961F8">
              <w:br/>
            </w:r>
            <w:r>
              <w:t>2170– 2200 MHz</w:t>
            </w:r>
          </w:p>
        </w:tc>
        <w:tc>
          <w:tcPr>
            <w:tcW w:w="6379" w:type="dxa"/>
            <w:tcBorders>
              <w:top w:val="single" w:sz="4" w:space="0" w:color="auto"/>
            </w:tcBorders>
            <w:vAlign w:val="center"/>
          </w:tcPr>
          <w:p w14:paraId="0C58453F" w14:textId="753B967D" w:rsidR="001B1762" w:rsidRPr="00FC7D03" w:rsidRDefault="6B3C6936" w:rsidP="00404925">
            <w:pPr>
              <w:pStyle w:val="TableBody"/>
              <w:rPr>
                <w:rFonts w:eastAsia="Arial" w:cs="Arial"/>
                <w:szCs w:val="20"/>
              </w:rPr>
            </w:pPr>
            <w:r w:rsidRPr="341E30D7">
              <w:rPr>
                <w:rFonts w:eastAsia="Arial" w:cs="Arial"/>
                <w:szCs w:val="20"/>
              </w:rPr>
              <w:t>Crocmedia, Kookaburra Systems, Racing New South Wales, Sibesh Investments, The Technical Direction Company of Australia, Thoroughbred Racing Productions, Total Events Co. and Videocraft Australia.</w:t>
            </w:r>
          </w:p>
        </w:tc>
      </w:tr>
      <w:tr w:rsidR="001B1762" w:rsidRPr="006D46E5" w14:paraId="2561257F" w14:textId="77777777" w:rsidTr="00E96905">
        <w:tblPrEx>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Pr>
        <w:tc>
          <w:tcPr>
            <w:tcW w:w="2405" w:type="dxa"/>
            <w:shd w:val="clear" w:color="auto" w:fill="auto"/>
            <w:vAlign w:val="center"/>
          </w:tcPr>
          <w:p w14:paraId="123E8827" w14:textId="1C332798" w:rsidR="001B1762" w:rsidRPr="00FC7D03" w:rsidRDefault="001B1762" w:rsidP="00404925">
            <w:pPr>
              <w:pStyle w:val="TableBody"/>
            </w:pPr>
            <w:r>
              <w:t>2010–2110</w:t>
            </w:r>
            <w:r w:rsidR="007E36D7">
              <w:t xml:space="preserve"> and </w:t>
            </w:r>
            <w:r w:rsidR="007E36D7">
              <w:br/>
            </w:r>
            <w:r>
              <w:t>2200–2300 MHz</w:t>
            </w:r>
          </w:p>
        </w:tc>
        <w:tc>
          <w:tcPr>
            <w:tcW w:w="6379" w:type="dxa"/>
            <w:shd w:val="clear" w:color="auto" w:fill="auto"/>
            <w:vAlign w:val="center"/>
          </w:tcPr>
          <w:p w14:paraId="03F9E8B5" w14:textId="78A11BDD" w:rsidR="001B1762" w:rsidRPr="00E96905" w:rsidRDefault="001B1762" w:rsidP="00404925">
            <w:pPr>
              <w:pStyle w:val="TableBody"/>
              <w:rPr>
                <w:rFonts w:eastAsia="Arial" w:cs="Arial"/>
                <w:szCs w:val="20"/>
              </w:rPr>
            </w:pPr>
            <w:r w:rsidRPr="277BA08E">
              <w:rPr>
                <w:rFonts w:eastAsia="Arial" w:cs="Arial"/>
                <w:szCs w:val="20"/>
              </w:rPr>
              <w:t>ABC, Seven</w:t>
            </w:r>
            <w:r w:rsidR="6BDC4033" w:rsidRPr="277BA08E">
              <w:rPr>
                <w:rFonts w:eastAsia="Arial" w:cs="Arial"/>
                <w:szCs w:val="20"/>
              </w:rPr>
              <w:t xml:space="preserve"> Network</w:t>
            </w:r>
            <w:r w:rsidRPr="277BA08E">
              <w:rPr>
                <w:rFonts w:eastAsia="Arial" w:cs="Arial"/>
                <w:szCs w:val="20"/>
              </w:rPr>
              <w:t>, Nine</w:t>
            </w:r>
            <w:r w:rsidR="6BDC4033" w:rsidRPr="277BA08E">
              <w:rPr>
                <w:rFonts w:eastAsia="Arial" w:cs="Arial"/>
                <w:szCs w:val="20"/>
              </w:rPr>
              <w:t xml:space="preserve"> Network, Network</w:t>
            </w:r>
            <w:r w:rsidRPr="277BA08E">
              <w:rPr>
                <w:rFonts w:eastAsia="Arial" w:cs="Arial"/>
                <w:szCs w:val="20"/>
              </w:rPr>
              <w:t xml:space="preserve"> Ten, FOX Sports</w:t>
            </w:r>
          </w:p>
        </w:tc>
      </w:tr>
      <w:tr w:rsidR="001B1762" w:rsidRPr="006D46E5" w14:paraId="67D0C788" w14:textId="77777777" w:rsidTr="00C9363E">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Pr>
        <w:tc>
          <w:tcPr>
            <w:tcW w:w="2405" w:type="dxa"/>
            <w:vAlign w:val="center"/>
          </w:tcPr>
          <w:p w14:paraId="1AE84664" w14:textId="3A4CA517" w:rsidR="001B1762" w:rsidRDefault="001B1762" w:rsidP="00404925">
            <w:pPr>
              <w:pStyle w:val="TableBody"/>
            </w:pPr>
            <w:r>
              <w:t xml:space="preserve">2.5 GHz </w:t>
            </w:r>
            <w:r w:rsidR="007E36D7">
              <w:t>m</w:t>
            </w:r>
            <w:r>
              <w:t>id</w:t>
            </w:r>
            <w:r w:rsidR="007E36D7">
              <w:t>-b</w:t>
            </w:r>
            <w:r>
              <w:t xml:space="preserve">and </w:t>
            </w:r>
            <w:r w:rsidR="007E36D7">
              <w:t>g</w:t>
            </w:r>
            <w:r>
              <w:t xml:space="preserve">ap </w:t>
            </w:r>
          </w:p>
        </w:tc>
        <w:tc>
          <w:tcPr>
            <w:tcW w:w="6379" w:type="dxa"/>
            <w:vAlign w:val="center"/>
          </w:tcPr>
          <w:p w14:paraId="5BE12838" w14:textId="55045340" w:rsidR="001B1762" w:rsidRPr="00FC7D03" w:rsidRDefault="001B1762" w:rsidP="00404925">
            <w:pPr>
              <w:pStyle w:val="TableBody"/>
              <w:rPr>
                <w:rFonts w:eastAsia="Arial" w:cs="Arial"/>
                <w:szCs w:val="20"/>
              </w:rPr>
            </w:pPr>
            <w:r w:rsidRPr="277BA08E">
              <w:rPr>
                <w:rFonts w:eastAsia="Arial" w:cs="Arial"/>
                <w:szCs w:val="20"/>
              </w:rPr>
              <w:t>ABC, Seven</w:t>
            </w:r>
            <w:r w:rsidR="315D605E" w:rsidRPr="277BA08E">
              <w:rPr>
                <w:rFonts w:eastAsia="Arial" w:cs="Arial"/>
                <w:szCs w:val="20"/>
              </w:rPr>
              <w:t xml:space="preserve"> Network</w:t>
            </w:r>
            <w:r w:rsidRPr="277BA08E">
              <w:rPr>
                <w:rFonts w:eastAsia="Arial" w:cs="Arial"/>
                <w:szCs w:val="20"/>
              </w:rPr>
              <w:t>, Nine</w:t>
            </w:r>
            <w:r w:rsidR="315D605E" w:rsidRPr="277BA08E">
              <w:rPr>
                <w:rFonts w:eastAsia="Arial" w:cs="Arial"/>
                <w:szCs w:val="20"/>
              </w:rPr>
              <w:t xml:space="preserve"> Network, Network</w:t>
            </w:r>
            <w:r w:rsidRPr="277BA08E">
              <w:rPr>
                <w:rFonts w:eastAsia="Arial" w:cs="Arial"/>
                <w:szCs w:val="20"/>
              </w:rPr>
              <w:t xml:space="preserve"> Ten</w:t>
            </w:r>
          </w:p>
        </w:tc>
      </w:tr>
      <w:tr w:rsidR="001B1762" w:rsidRPr="006D46E5" w14:paraId="1E3228B7" w14:textId="77777777" w:rsidTr="00C9363E">
        <w:tblPrEx>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Pr>
        <w:tc>
          <w:tcPr>
            <w:tcW w:w="2405" w:type="dxa"/>
            <w:vAlign w:val="center"/>
          </w:tcPr>
          <w:p w14:paraId="4F83886B" w14:textId="77777777" w:rsidR="001B1762" w:rsidRDefault="001B1762" w:rsidP="00404925">
            <w:pPr>
              <w:pStyle w:val="TableBody"/>
            </w:pPr>
            <w:r>
              <w:t xml:space="preserve">7.2 GHz </w:t>
            </w:r>
          </w:p>
          <w:p w14:paraId="04154CD0" w14:textId="77777777" w:rsidR="001B1762" w:rsidRPr="00FC7D03" w:rsidRDefault="001B1762" w:rsidP="00404925">
            <w:pPr>
              <w:pStyle w:val="TableBody"/>
            </w:pPr>
          </w:p>
        </w:tc>
        <w:tc>
          <w:tcPr>
            <w:tcW w:w="6379" w:type="dxa"/>
            <w:vAlign w:val="center"/>
          </w:tcPr>
          <w:p w14:paraId="4030762B" w14:textId="44949A47" w:rsidR="001B1762" w:rsidRPr="00FC7D03" w:rsidRDefault="001B1762" w:rsidP="00404925">
            <w:pPr>
              <w:pStyle w:val="TableBody"/>
              <w:rPr>
                <w:rFonts w:eastAsia="Arial" w:cs="Arial"/>
                <w:szCs w:val="20"/>
              </w:rPr>
            </w:pPr>
            <w:r w:rsidRPr="618BC453">
              <w:rPr>
                <w:rFonts w:eastAsia="Arial" w:cs="Arial"/>
                <w:szCs w:val="20"/>
              </w:rPr>
              <w:t>Seven</w:t>
            </w:r>
            <w:r w:rsidR="31873828" w:rsidRPr="618BC453">
              <w:rPr>
                <w:rFonts w:eastAsia="Arial" w:cs="Arial"/>
                <w:szCs w:val="20"/>
              </w:rPr>
              <w:t xml:space="preserve"> Network</w:t>
            </w:r>
            <w:r w:rsidRPr="618BC453">
              <w:rPr>
                <w:rFonts w:eastAsia="Arial" w:cs="Arial"/>
                <w:szCs w:val="20"/>
              </w:rPr>
              <w:t>, Nine</w:t>
            </w:r>
            <w:r w:rsidR="31873828" w:rsidRPr="618BC453">
              <w:rPr>
                <w:rFonts w:eastAsia="Arial" w:cs="Arial"/>
                <w:szCs w:val="20"/>
              </w:rPr>
              <w:t xml:space="preserve"> Network, Network</w:t>
            </w:r>
            <w:r w:rsidRPr="618BC453">
              <w:rPr>
                <w:rFonts w:eastAsia="Arial" w:cs="Arial"/>
                <w:szCs w:val="20"/>
              </w:rPr>
              <w:t xml:space="preserve"> Ten, Sky</w:t>
            </w:r>
            <w:r w:rsidR="31873828" w:rsidRPr="618BC453">
              <w:rPr>
                <w:rFonts w:eastAsia="Arial" w:cs="Arial"/>
                <w:szCs w:val="20"/>
              </w:rPr>
              <w:t xml:space="preserve"> Channel</w:t>
            </w:r>
            <w:r w:rsidRPr="618BC453">
              <w:rPr>
                <w:rFonts w:eastAsia="Arial" w:cs="Arial"/>
                <w:szCs w:val="20"/>
              </w:rPr>
              <w:t xml:space="preserve">, </w:t>
            </w:r>
            <w:r w:rsidR="007F349E" w:rsidRPr="007F349E">
              <w:rPr>
                <w:rFonts w:eastAsia="Arial" w:cs="Arial"/>
                <w:szCs w:val="20"/>
              </w:rPr>
              <w:t>Australian Football League</w:t>
            </w:r>
            <w:r w:rsidRPr="618BC453">
              <w:rPr>
                <w:rFonts w:eastAsia="Arial" w:cs="Arial"/>
                <w:szCs w:val="20"/>
              </w:rPr>
              <w:t xml:space="preserve">, Thoroughbred Racing Productions, KOJO Productions, </w:t>
            </w:r>
            <w:r w:rsidR="31873828" w:rsidRPr="618BC453">
              <w:rPr>
                <w:rFonts w:eastAsia="Arial" w:cs="Arial"/>
                <w:szCs w:val="20"/>
              </w:rPr>
              <w:t xml:space="preserve">Department of </w:t>
            </w:r>
            <w:r w:rsidRPr="618BC453">
              <w:rPr>
                <w:rFonts w:eastAsia="Arial" w:cs="Arial"/>
                <w:szCs w:val="20"/>
              </w:rPr>
              <w:t>Parliamentary Services</w:t>
            </w:r>
          </w:p>
        </w:tc>
      </w:tr>
      <w:tr w:rsidR="001B1762" w:rsidRPr="006D46E5" w14:paraId="30D318E1" w14:textId="77777777" w:rsidTr="00C9363E">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Pr>
        <w:tc>
          <w:tcPr>
            <w:tcW w:w="2405" w:type="dxa"/>
            <w:vAlign w:val="center"/>
          </w:tcPr>
          <w:p w14:paraId="0550A6D6" w14:textId="77777777" w:rsidR="001B1762" w:rsidRPr="00836CCB" w:rsidRDefault="001B1762" w:rsidP="00404925">
            <w:pPr>
              <w:pStyle w:val="TableBody"/>
            </w:pPr>
            <w:r>
              <w:t>8.3 GHz</w:t>
            </w:r>
          </w:p>
        </w:tc>
        <w:tc>
          <w:tcPr>
            <w:tcW w:w="6379" w:type="dxa"/>
            <w:vAlign w:val="center"/>
          </w:tcPr>
          <w:p w14:paraId="021D159F" w14:textId="483489C2" w:rsidR="001B1762" w:rsidRPr="00FC7D03" w:rsidRDefault="001B1762" w:rsidP="00404925">
            <w:pPr>
              <w:pStyle w:val="TableBody"/>
            </w:pPr>
            <w:r>
              <w:t>ABC</w:t>
            </w:r>
          </w:p>
        </w:tc>
      </w:tr>
      <w:tr w:rsidR="001B1762" w:rsidRPr="006D46E5" w14:paraId="2759EB86" w14:textId="77777777" w:rsidTr="00C9363E">
        <w:tblPrEx>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Pr>
        <w:tc>
          <w:tcPr>
            <w:tcW w:w="2405" w:type="dxa"/>
            <w:vAlign w:val="center"/>
          </w:tcPr>
          <w:p w14:paraId="2D6E3859" w14:textId="77777777" w:rsidR="001B1762" w:rsidRPr="00836CCB" w:rsidRDefault="001B1762" w:rsidP="00404925">
            <w:pPr>
              <w:pStyle w:val="TableBody"/>
            </w:pPr>
            <w:r>
              <w:t>13 GHz</w:t>
            </w:r>
          </w:p>
        </w:tc>
        <w:tc>
          <w:tcPr>
            <w:tcW w:w="6379" w:type="dxa"/>
            <w:vAlign w:val="center"/>
          </w:tcPr>
          <w:p w14:paraId="7874792F" w14:textId="76E986D0" w:rsidR="001B1762" w:rsidRPr="00FC7D03" w:rsidRDefault="001B1762" w:rsidP="00404925">
            <w:pPr>
              <w:pStyle w:val="TableBody"/>
              <w:rPr>
                <w:rFonts w:eastAsia="Arial" w:cs="Arial"/>
                <w:szCs w:val="20"/>
              </w:rPr>
            </w:pPr>
            <w:r w:rsidRPr="16EEDD81">
              <w:rPr>
                <w:rFonts w:eastAsia="Arial" w:cs="Arial"/>
                <w:szCs w:val="20"/>
              </w:rPr>
              <w:t>ABC, Seven</w:t>
            </w:r>
            <w:r w:rsidR="120CB1C2" w:rsidRPr="16EEDD81">
              <w:rPr>
                <w:rFonts w:eastAsia="Arial" w:cs="Arial"/>
                <w:szCs w:val="20"/>
              </w:rPr>
              <w:t xml:space="preserve"> Network</w:t>
            </w:r>
            <w:r w:rsidRPr="16EEDD81">
              <w:rPr>
                <w:rFonts w:eastAsia="Arial" w:cs="Arial"/>
                <w:szCs w:val="20"/>
              </w:rPr>
              <w:t>, Nine</w:t>
            </w:r>
            <w:r w:rsidR="120CB1C2" w:rsidRPr="16EEDD81">
              <w:rPr>
                <w:rFonts w:eastAsia="Arial" w:cs="Arial"/>
                <w:szCs w:val="20"/>
              </w:rPr>
              <w:t xml:space="preserve"> Network, Network</w:t>
            </w:r>
            <w:r w:rsidRPr="16EEDD81">
              <w:rPr>
                <w:rFonts w:eastAsia="Arial" w:cs="Arial"/>
                <w:szCs w:val="20"/>
              </w:rPr>
              <w:t xml:space="preserve"> Ten, Racing and Wagering Western Australia</w:t>
            </w:r>
          </w:p>
        </w:tc>
      </w:tr>
      <w:tr w:rsidR="001B1762" w:rsidRPr="006D46E5" w14:paraId="44A5C09A" w14:textId="77777777" w:rsidTr="00C9363E">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Pr>
        <w:tc>
          <w:tcPr>
            <w:tcW w:w="2405" w:type="dxa"/>
            <w:vAlign w:val="center"/>
          </w:tcPr>
          <w:p w14:paraId="3FAD3970" w14:textId="4ED0F5FD" w:rsidR="001B1762" w:rsidRPr="00836CCB" w:rsidRDefault="001B1762" w:rsidP="00404925">
            <w:pPr>
              <w:pStyle w:val="TableBody"/>
            </w:pPr>
            <w:r>
              <w:t>22 GHz</w:t>
            </w:r>
          </w:p>
        </w:tc>
        <w:tc>
          <w:tcPr>
            <w:tcW w:w="6379" w:type="dxa"/>
            <w:vAlign w:val="center"/>
          </w:tcPr>
          <w:p w14:paraId="73815BA5" w14:textId="2D9BDD3B" w:rsidR="001B1762" w:rsidRPr="00FC7D03" w:rsidRDefault="089B9140" w:rsidP="00404925">
            <w:pPr>
              <w:pStyle w:val="TableBody"/>
            </w:pPr>
            <w:r>
              <w:t>Nil</w:t>
            </w:r>
          </w:p>
        </w:tc>
      </w:tr>
    </w:tbl>
    <w:p w14:paraId="51C28442" w14:textId="77777777" w:rsidR="001B1762" w:rsidRDefault="001B1762" w:rsidP="001B1762"/>
    <w:p w14:paraId="2E58C419" w14:textId="77F71C2E" w:rsidR="001B1762" w:rsidRDefault="001B1762" w:rsidP="003322B4">
      <w:pPr>
        <w:keepNext/>
        <w:keepLines/>
      </w:pPr>
      <w:r>
        <w:lastRenderedPageBreak/>
        <w:t>NEP indicated that whilst other bands where available in the 6-7 GHz range for wireless cameras</w:t>
      </w:r>
      <w:r w:rsidR="666072E1">
        <w:t>,</w:t>
      </w:r>
      <w:r>
        <w:t xml:space="preserve"> the 2 GHz band had a coverage advantage and required fewer receivers. The 2 GHz band was well suited for covering outdoor events across a large area such as golf, motor sports and cycle road races. NEP did indicate that at large events they would use a combination of the broadcaster</w:t>
      </w:r>
      <w:r w:rsidR="4398D983">
        <w:t>’</w:t>
      </w:r>
      <w:r>
        <w:t xml:space="preserve">s TOB licences as well as the 2 GHz band. </w:t>
      </w:r>
    </w:p>
    <w:p w14:paraId="1E67D10B" w14:textId="77777777" w:rsidR="001B1762" w:rsidRDefault="001B1762" w:rsidP="001B1762">
      <w:r>
        <w:t>NEP also advised that wireless cameras mounted in moving vehicles such as racing cars or aeroplanes are affected by doppler shift. The higher TOB bands were more limited in the speeds they could support than the 2 GHz band due to doppler shifts.</w:t>
      </w:r>
    </w:p>
    <w:p w14:paraId="00525B59" w14:textId="77777777" w:rsidR="001B1762" w:rsidRDefault="001B1762" w:rsidP="001B1762">
      <w:r>
        <w:t>These alternative bands are predominately designated for temporary TOB point-to-point links, but as technology advances, more wireless camera applications may appear in these bands.</w:t>
      </w:r>
    </w:p>
    <w:p w14:paraId="728713C9" w14:textId="77777777" w:rsidR="001B1762" w:rsidRDefault="001B1762" w:rsidP="001B1762">
      <w:r>
        <w:t>Due to the low number of TOB ongoing licences, one strategy to minimise transition cost could be to grandfather existing licences and only allow new TOB services in the other TOB bands.</w:t>
      </w:r>
    </w:p>
    <w:p w14:paraId="51C072B8" w14:textId="1BC8AACC" w:rsidR="001B1762" w:rsidRDefault="001B1762" w:rsidP="004830FF">
      <w:r>
        <w:t>For major events</w:t>
      </w:r>
      <w:r w:rsidR="00D0680E">
        <w:t>,</w:t>
      </w:r>
      <w:r>
        <w:t xml:space="preserve"> the cost impact would be minimal as equipment is normally hired for these events.</w:t>
      </w:r>
    </w:p>
    <w:p w14:paraId="1C8315E8" w14:textId="16DB26AF" w:rsidR="004830FF" w:rsidRPr="001B1762" w:rsidRDefault="004830FF" w:rsidP="001621B3">
      <w:pPr>
        <w:pStyle w:val="Heading3"/>
        <w:rPr>
          <w:b w:val="0"/>
        </w:rPr>
      </w:pPr>
      <w:r w:rsidRPr="001B1762">
        <w:t xml:space="preserve">Wireless broadband </w:t>
      </w:r>
    </w:p>
    <w:p w14:paraId="7CBDB0B7" w14:textId="08ADAF29" w:rsidR="004830FF" w:rsidRPr="004830FF" w:rsidRDefault="001B1762" w:rsidP="004830FF">
      <w:r>
        <w:t xml:space="preserve">Bands that support wireless broadband services in the </w:t>
      </w:r>
      <w:r w:rsidR="0065014E">
        <w:t xml:space="preserve">mid-band </w:t>
      </w:r>
      <w:r>
        <w:t xml:space="preserve">range </w:t>
      </w:r>
      <w:r w:rsidR="00F270FE">
        <w:t>(</w:t>
      </w:r>
      <w:r>
        <w:t>1-6 GHz</w:t>
      </w:r>
      <w:r w:rsidR="00F270FE">
        <w:t xml:space="preserve">) </w:t>
      </w:r>
      <w:r>
        <w:t xml:space="preserve">are outlined in the </w:t>
      </w:r>
      <w:r w:rsidR="006C0621">
        <w:t>t</w:t>
      </w:r>
      <w:r>
        <w:t xml:space="preserve">able below. </w:t>
      </w:r>
    </w:p>
    <w:p w14:paraId="4B510963" w14:textId="08EBB8A1" w:rsidR="009C6B67" w:rsidRDefault="000604FB" w:rsidP="003322B4">
      <w:pPr>
        <w:pStyle w:val="Caption"/>
        <w:numPr>
          <w:ilvl w:val="0"/>
          <w:numId w:val="0"/>
        </w:numPr>
        <w:spacing w:after="120"/>
      </w:pPr>
      <w:r>
        <w:t>Table 9:</w:t>
      </w:r>
      <w:r>
        <w:tab/>
      </w:r>
      <w:r>
        <w:tab/>
      </w:r>
      <w:r w:rsidR="009C6B67">
        <w:t xml:space="preserve">Current </w:t>
      </w:r>
      <w:r w:rsidR="00F46682">
        <w:t xml:space="preserve">mid-band (1-6 GHz) </w:t>
      </w:r>
      <w:r w:rsidR="00E612F7">
        <w:t xml:space="preserve">wireless broadband </w:t>
      </w:r>
      <w:r w:rsidR="009C6B67">
        <w:t>spectrum</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hows the frequency bands that are currently available and/or used for mobile broadband services. Spectrum is considered available for mobile broadband use if it is both allocated (or available for allocation) and suitable (based on international harmonisation/technology standardisation i.e. 3GPP) for mobile broadband"/>
      </w:tblPr>
      <w:tblGrid>
        <w:gridCol w:w="824"/>
        <w:gridCol w:w="1441"/>
        <w:gridCol w:w="867"/>
        <w:gridCol w:w="937"/>
        <w:gridCol w:w="1078"/>
        <w:gridCol w:w="950"/>
        <w:gridCol w:w="3826"/>
      </w:tblGrid>
      <w:tr w:rsidR="009C6B67" w14:paraId="67C3FEB0" w14:textId="77777777" w:rsidTr="003322B4">
        <w:trPr>
          <w:tblHeader/>
        </w:trPr>
        <w:tc>
          <w:tcPr>
            <w:tcW w:w="824" w:type="dxa"/>
            <w:shd w:val="clear" w:color="auto" w:fill="404040" w:themeFill="text1" w:themeFillTint="BF"/>
            <w:tcMar>
              <w:top w:w="85" w:type="dxa"/>
              <w:left w:w="108" w:type="dxa"/>
              <w:bottom w:w="85" w:type="dxa"/>
              <w:right w:w="108" w:type="dxa"/>
            </w:tcMar>
            <w:hideMark/>
          </w:tcPr>
          <w:p w14:paraId="7EE1E717" w14:textId="77777777" w:rsidR="009C6B67" w:rsidRDefault="009C6B67" w:rsidP="000D1099">
            <w:pPr>
              <w:pStyle w:val="TableHeading0"/>
              <w:spacing w:line="240" w:lineRule="auto"/>
              <w:rPr>
                <w:color w:val="FFFFFF"/>
                <w:sz w:val="18"/>
                <w:szCs w:val="18"/>
              </w:rPr>
            </w:pPr>
            <w:r w:rsidRPr="6AEF7D6F">
              <w:rPr>
                <w:color w:val="FFFFFF" w:themeColor="background1"/>
                <w:sz w:val="18"/>
                <w:szCs w:val="18"/>
              </w:rPr>
              <w:t>Band</w:t>
            </w:r>
          </w:p>
        </w:tc>
        <w:tc>
          <w:tcPr>
            <w:tcW w:w="1441" w:type="dxa"/>
            <w:shd w:val="clear" w:color="auto" w:fill="404040" w:themeFill="text1" w:themeFillTint="BF"/>
            <w:tcMar>
              <w:top w:w="85" w:type="dxa"/>
              <w:left w:w="108" w:type="dxa"/>
              <w:bottom w:w="85" w:type="dxa"/>
              <w:right w:w="108" w:type="dxa"/>
            </w:tcMar>
            <w:hideMark/>
          </w:tcPr>
          <w:p w14:paraId="3B6B4C2D" w14:textId="77777777" w:rsidR="009C6B67" w:rsidRDefault="009C6B67" w:rsidP="000D1099">
            <w:pPr>
              <w:pStyle w:val="TableHeading0"/>
              <w:spacing w:line="240" w:lineRule="auto"/>
              <w:rPr>
                <w:color w:val="FFFFFF"/>
                <w:sz w:val="18"/>
                <w:szCs w:val="18"/>
              </w:rPr>
            </w:pPr>
            <w:r w:rsidRPr="6AEF7D6F">
              <w:rPr>
                <w:color w:val="FFFFFF" w:themeColor="background1"/>
                <w:sz w:val="18"/>
                <w:szCs w:val="18"/>
              </w:rPr>
              <w:t>Frequency</w:t>
            </w:r>
          </w:p>
          <w:p w14:paraId="1E5626B4" w14:textId="77777777" w:rsidR="009C6B67" w:rsidRDefault="009C6B67" w:rsidP="000D1099">
            <w:pPr>
              <w:pStyle w:val="TableHeading0"/>
              <w:spacing w:line="240" w:lineRule="auto"/>
              <w:rPr>
                <w:color w:val="FFFFFF"/>
                <w:sz w:val="18"/>
                <w:szCs w:val="18"/>
              </w:rPr>
            </w:pPr>
            <w:r w:rsidRPr="6AEF7D6F">
              <w:rPr>
                <w:color w:val="FFFFFF" w:themeColor="background1"/>
                <w:sz w:val="18"/>
                <w:szCs w:val="18"/>
              </w:rPr>
              <w:t xml:space="preserve">range </w:t>
            </w:r>
          </w:p>
          <w:p w14:paraId="6A177E63" w14:textId="77777777" w:rsidR="009C6B67" w:rsidRDefault="009C6B67" w:rsidP="000D1099">
            <w:pPr>
              <w:pStyle w:val="TableHeading0"/>
              <w:spacing w:line="240" w:lineRule="auto"/>
              <w:rPr>
                <w:color w:val="FFFFFF"/>
                <w:sz w:val="18"/>
                <w:szCs w:val="18"/>
              </w:rPr>
            </w:pPr>
            <w:r w:rsidRPr="6AEF7D6F">
              <w:rPr>
                <w:color w:val="FFFFFF" w:themeColor="background1"/>
                <w:sz w:val="18"/>
                <w:szCs w:val="18"/>
              </w:rPr>
              <w:t>(MHz)</w:t>
            </w:r>
          </w:p>
        </w:tc>
        <w:tc>
          <w:tcPr>
            <w:tcW w:w="867" w:type="dxa"/>
            <w:shd w:val="clear" w:color="auto" w:fill="404040" w:themeFill="text1" w:themeFillTint="BF"/>
            <w:tcMar>
              <w:top w:w="85" w:type="dxa"/>
              <w:left w:w="108" w:type="dxa"/>
              <w:bottom w:w="85" w:type="dxa"/>
              <w:right w:w="108" w:type="dxa"/>
            </w:tcMar>
            <w:hideMark/>
          </w:tcPr>
          <w:p w14:paraId="2258823E" w14:textId="77777777" w:rsidR="009C6B67" w:rsidRDefault="009C6B67" w:rsidP="000D1099">
            <w:pPr>
              <w:pStyle w:val="TableHeading0"/>
              <w:spacing w:line="240" w:lineRule="auto"/>
              <w:rPr>
                <w:color w:val="FFFFFF"/>
                <w:sz w:val="18"/>
                <w:szCs w:val="18"/>
              </w:rPr>
            </w:pPr>
            <w:r w:rsidRPr="6AEF7D6F">
              <w:rPr>
                <w:color w:val="FFFFFF" w:themeColor="background1"/>
                <w:sz w:val="18"/>
                <w:szCs w:val="18"/>
              </w:rPr>
              <w:t>Total</w:t>
            </w:r>
          </w:p>
          <w:p w14:paraId="38895C0A" w14:textId="77777777" w:rsidR="009C6B67" w:rsidRDefault="009C6B67" w:rsidP="000D1099">
            <w:pPr>
              <w:pStyle w:val="TableHeading0"/>
              <w:spacing w:line="240" w:lineRule="auto"/>
              <w:rPr>
                <w:color w:val="FFFFFF"/>
                <w:sz w:val="18"/>
                <w:szCs w:val="18"/>
              </w:rPr>
            </w:pPr>
            <w:r w:rsidRPr="6AEF7D6F">
              <w:rPr>
                <w:color w:val="FFFFFF" w:themeColor="background1"/>
                <w:sz w:val="18"/>
                <w:szCs w:val="18"/>
              </w:rPr>
              <w:t>BW</w:t>
            </w:r>
          </w:p>
          <w:p w14:paraId="089CCB78" w14:textId="77777777" w:rsidR="009C6B67" w:rsidRDefault="009C6B67" w:rsidP="000D1099">
            <w:pPr>
              <w:pStyle w:val="TableHeading0"/>
              <w:spacing w:line="240" w:lineRule="auto"/>
              <w:rPr>
                <w:color w:val="FFFFFF"/>
                <w:sz w:val="18"/>
                <w:szCs w:val="18"/>
              </w:rPr>
            </w:pPr>
            <w:r w:rsidRPr="6AEF7D6F">
              <w:rPr>
                <w:color w:val="FFFFFF" w:themeColor="background1"/>
                <w:sz w:val="18"/>
                <w:szCs w:val="18"/>
              </w:rPr>
              <w:t>(MHz)</w:t>
            </w:r>
          </w:p>
        </w:tc>
        <w:tc>
          <w:tcPr>
            <w:tcW w:w="937" w:type="dxa"/>
            <w:shd w:val="clear" w:color="auto" w:fill="404040" w:themeFill="text1" w:themeFillTint="BF"/>
            <w:tcMar>
              <w:top w:w="85" w:type="dxa"/>
              <w:left w:w="108" w:type="dxa"/>
              <w:bottom w:w="85" w:type="dxa"/>
              <w:right w:w="108" w:type="dxa"/>
            </w:tcMar>
            <w:hideMark/>
          </w:tcPr>
          <w:p w14:paraId="02367A49" w14:textId="77777777" w:rsidR="009C6B67" w:rsidRDefault="009C6B67" w:rsidP="000D1099">
            <w:pPr>
              <w:pStyle w:val="TableHeading0"/>
              <w:spacing w:line="240" w:lineRule="auto"/>
              <w:rPr>
                <w:color w:val="FFFFFF"/>
                <w:sz w:val="18"/>
                <w:szCs w:val="18"/>
              </w:rPr>
            </w:pPr>
            <w:r w:rsidRPr="6AEF7D6F">
              <w:rPr>
                <w:color w:val="FFFFFF" w:themeColor="background1"/>
                <w:sz w:val="18"/>
                <w:szCs w:val="18"/>
              </w:rPr>
              <w:t>Metro</w:t>
            </w:r>
          </w:p>
          <w:p w14:paraId="7EFE0521" w14:textId="77777777" w:rsidR="009C6B67" w:rsidRDefault="009C6B67" w:rsidP="000D1099">
            <w:pPr>
              <w:pStyle w:val="TableHeading0"/>
              <w:spacing w:line="240" w:lineRule="auto"/>
              <w:rPr>
                <w:color w:val="FFFFFF"/>
                <w:sz w:val="18"/>
                <w:szCs w:val="18"/>
              </w:rPr>
            </w:pPr>
            <w:r w:rsidRPr="6AEF7D6F">
              <w:rPr>
                <w:color w:val="FFFFFF" w:themeColor="background1"/>
                <w:sz w:val="18"/>
                <w:szCs w:val="18"/>
              </w:rPr>
              <w:t>BW</w:t>
            </w:r>
          </w:p>
          <w:p w14:paraId="7217AF2F" w14:textId="77777777" w:rsidR="009C6B67" w:rsidRDefault="009C6B67" w:rsidP="000D1099">
            <w:pPr>
              <w:pStyle w:val="TableHeading0"/>
              <w:spacing w:line="240" w:lineRule="auto"/>
              <w:rPr>
                <w:color w:val="FFFFFF"/>
                <w:sz w:val="18"/>
                <w:szCs w:val="18"/>
              </w:rPr>
            </w:pPr>
            <w:r w:rsidRPr="6AEF7D6F">
              <w:rPr>
                <w:color w:val="FFFFFF" w:themeColor="background1"/>
                <w:sz w:val="18"/>
                <w:szCs w:val="18"/>
              </w:rPr>
              <w:t>(MHz)</w:t>
            </w:r>
          </w:p>
        </w:tc>
        <w:tc>
          <w:tcPr>
            <w:tcW w:w="1078" w:type="dxa"/>
            <w:shd w:val="clear" w:color="auto" w:fill="404040" w:themeFill="text1" w:themeFillTint="BF"/>
            <w:tcMar>
              <w:top w:w="85" w:type="dxa"/>
              <w:left w:w="108" w:type="dxa"/>
              <w:bottom w:w="85" w:type="dxa"/>
              <w:right w:w="108" w:type="dxa"/>
            </w:tcMar>
            <w:hideMark/>
          </w:tcPr>
          <w:p w14:paraId="11A89A15" w14:textId="77777777" w:rsidR="009C6B67" w:rsidRDefault="009C6B67" w:rsidP="000D1099">
            <w:pPr>
              <w:pStyle w:val="TableHeading0"/>
              <w:spacing w:line="240" w:lineRule="auto"/>
              <w:rPr>
                <w:color w:val="FFFFFF"/>
                <w:sz w:val="18"/>
                <w:szCs w:val="18"/>
              </w:rPr>
            </w:pPr>
            <w:r w:rsidRPr="6AEF7D6F">
              <w:rPr>
                <w:color w:val="FFFFFF" w:themeColor="background1"/>
                <w:sz w:val="18"/>
                <w:szCs w:val="18"/>
              </w:rPr>
              <w:t>Regional</w:t>
            </w:r>
          </w:p>
          <w:p w14:paraId="0C2BE2C9" w14:textId="77777777" w:rsidR="009C6B67" w:rsidRDefault="009C6B67" w:rsidP="000D1099">
            <w:pPr>
              <w:pStyle w:val="TableHeading0"/>
              <w:spacing w:line="240" w:lineRule="auto"/>
              <w:rPr>
                <w:color w:val="FFFFFF"/>
                <w:sz w:val="18"/>
                <w:szCs w:val="18"/>
              </w:rPr>
            </w:pPr>
            <w:r w:rsidRPr="6AEF7D6F">
              <w:rPr>
                <w:color w:val="FFFFFF" w:themeColor="background1"/>
                <w:sz w:val="18"/>
                <w:szCs w:val="18"/>
              </w:rPr>
              <w:t>BW</w:t>
            </w:r>
          </w:p>
          <w:p w14:paraId="0AA7F39E" w14:textId="77777777" w:rsidR="009C6B67" w:rsidRDefault="009C6B67" w:rsidP="000D1099">
            <w:pPr>
              <w:pStyle w:val="TableHeading0"/>
              <w:spacing w:line="240" w:lineRule="auto"/>
              <w:rPr>
                <w:color w:val="FFFFFF"/>
                <w:sz w:val="18"/>
                <w:szCs w:val="18"/>
              </w:rPr>
            </w:pPr>
            <w:r w:rsidRPr="6AEF7D6F">
              <w:rPr>
                <w:color w:val="FFFFFF" w:themeColor="background1"/>
                <w:sz w:val="18"/>
                <w:szCs w:val="18"/>
              </w:rPr>
              <w:t>(MHz)</w:t>
            </w:r>
          </w:p>
        </w:tc>
        <w:tc>
          <w:tcPr>
            <w:tcW w:w="950" w:type="dxa"/>
            <w:shd w:val="clear" w:color="auto" w:fill="404040" w:themeFill="text1" w:themeFillTint="BF"/>
            <w:tcMar>
              <w:top w:w="85" w:type="dxa"/>
              <w:left w:w="108" w:type="dxa"/>
              <w:bottom w:w="85" w:type="dxa"/>
              <w:right w:w="108" w:type="dxa"/>
            </w:tcMar>
            <w:hideMark/>
          </w:tcPr>
          <w:p w14:paraId="6839A985" w14:textId="77777777" w:rsidR="009C6B67" w:rsidRDefault="009C6B67" w:rsidP="000D1099">
            <w:pPr>
              <w:pStyle w:val="TableHeading0"/>
              <w:spacing w:line="240" w:lineRule="auto"/>
              <w:rPr>
                <w:color w:val="FFFFFF"/>
                <w:sz w:val="18"/>
                <w:szCs w:val="18"/>
              </w:rPr>
            </w:pPr>
            <w:r w:rsidRPr="6AEF7D6F">
              <w:rPr>
                <w:color w:val="FFFFFF" w:themeColor="background1"/>
                <w:sz w:val="18"/>
                <w:szCs w:val="18"/>
              </w:rPr>
              <w:t>Remote</w:t>
            </w:r>
          </w:p>
          <w:p w14:paraId="07294B35" w14:textId="77777777" w:rsidR="009C6B67" w:rsidRDefault="009C6B67" w:rsidP="000D1099">
            <w:pPr>
              <w:pStyle w:val="TableHeading0"/>
              <w:spacing w:line="240" w:lineRule="auto"/>
              <w:rPr>
                <w:color w:val="FFFFFF"/>
                <w:sz w:val="18"/>
                <w:szCs w:val="18"/>
              </w:rPr>
            </w:pPr>
            <w:r w:rsidRPr="6AEF7D6F">
              <w:rPr>
                <w:color w:val="FFFFFF" w:themeColor="background1"/>
                <w:sz w:val="18"/>
                <w:szCs w:val="18"/>
              </w:rPr>
              <w:t>BW</w:t>
            </w:r>
          </w:p>
          <w:p w14:paraId="5636D558" w14:textId="77777777" w:rsidR="009C6B67" w:rsidRDefault="009C6B67" w:rsidP="000D1099">
            <w:pPr>
              <w:pStyle w:val="TableHeading0"/>
              <w:spacing w:line="240" w:lineRule="auto"/>
              <w:rPr>
                <w:color w:val="FFFFFF"/>
                <w:sz w:val="18"/>
                <w:szCs w:val="18"/>
              </w:rPr>
            </w:pPr>
            <w:r w:rsidRPr="6AEF7D6F">
              <w:rPr>
                <w:color w:val="FFFFFF" w:themeColor="background1"/>
                <w:sz w:val="18"/>
                <w:szCs w:val="18"/>
              </w:rPr>
              <w:t>(MHz)</w:t>
            </w:r>
          </w:p>
        </w:tc>
        <w:tc>
          <w:tcPr>
            <w:tcW w:w="3826" w:type="dxa"/>
            <w:shd w:val="clear" w:color="auto" w:fill="404040" w:themeFill="text1" w:themeFillTint="BF"/>
            <w:tcMar>
              <w:top w:w="85" w:type="dxa"/>
              <w:left w:w="108" w:type="dxa"/>
              <w:bottom w:w="85" w:type="dxa"/>
              <w:right w:w="108" w:type="dxa"/>
            </w:tcMar>
            <w:hideMark/>
          </w:tcPr>
          <w:p w14:paraId="10A36770" w14:textId="77777777" w:rsidR="009C6B67" w:rsidRDefault="009C6B67" w:rsidP="000D1099">
            <w:pPr>
              <w:pStyle w:val="TableHeading0"/>
              <w:spacing w:line="240" w:lineRule="auto"/>
              <w:rPr>
                <w:color w:val="FFFFFF"/>
                <w:sz w:val="18"/>
                <w:szCs w:val="18"/>
              </w:rPr>
            </w:pPr>
            <w:r w:rsidRPr="6AEF7D6F">
              <w:rPr>
                <w:color w:val="FFFFFF" w:themeColor="background1"/>
                <w:sz w:val="18"/>
                <w:szCs w:val="18"/>
              </w:rPr>
              <w:t>Additional information</w:t>
            </w:r>
          </w:p>
        </w:tc>
      </w:tr>
      <w:tr w:rsidR="009C6B67" w14:paraId="3AAD120B" w14:textId="77777777" w:rsidTr="003322B4">
        <w:tc>
          <w:tcPr>
            <w:tcW w:w="824" w:type="dxa"/>
            <w:shd w:val="clear" w:color="auto" w:fill="F2F2F2" w:themeFill="background1" w:themeFillShade="F2"/>
            <w:tcMar>
              <w:top w:w="85" w:type="dxa"/>
              <w:left w:w="108" w:type="dxa"/>
              <w:bottom w:w="85" w:type="dxa"/>
              <w:right w:w="108" w:type="dxa"/>
            </w:tcMar>
            <w:hideMark/>
          </w:tcPr>
          <w:p w14:paraId="650E9F52" w14:textId="77777777" w:rsidR="009C6B67" w:rsidRDefault="009C6B67" w:rsidP="000D1099">
            <w:pPr>
              <w:pStyle w:val="TableBody"/>
            </w:pPr>
            <w:r>
              <w:rPr>
                <w:color w:val="000000"/>
              </w:rPr>
              <w:t>1800 MHz</w:t>
            </w:r>
          </w:p>
        </w:tc>
        <w:tc>
          <w:tcPr>
            <w:tcW w:w="1441" w:type="dxa"/>
            <w:shd w:val="clear" w:color="auto" w:fill="F2F2F2" w:themeFill="background1" w:themeFillShade="F2"/>
            <w:tcMar>
              <w:top w:w="85" w:type="dxa"/>
              <w:left w:w="108" w:type="dxa"/>
              <w:bottom w:w="85" w:type="dxa"/>
              <w:right w:w="108" w:type="dxa"/>
            </w:tcMar>
            <w:hideMark/>
          </w:tcPr>
          <w:p w14:paraId="7D02F084" w14:textId="77777777" w:rsidR="009C6B67" w:rsidRDefault="009C6B67" w:rsidP="000D1099">
            <w:pPr>
              <w:spacing w:after="0" w:line="240" w:lineRule="auto"/>
            </w:pPr>
            <w:r>
              <w:rPr>
                <w:color w:val="000000"/>
              </w:rPr>
              <w:t>1710–1785</w:t>
            </w:r>
          </w:p>
          <w:p w14:paraId="74D1EF16" w14:textId="77777777" w:rsidR="009C6B67" w:rsidRDefault="009C6B67" w:rsidP="000D1099">
            <w:pPr>
              <w:spacing w:after="0" w:line="240" w:lineRule="auto"/>
            </w:pPr>
            <w:r>
              <w:rPr>
                <w:color w:val="000000"/>
              </w:rPr>
              <w:t>paired with</w:t>
            </w:r>
          </w:p>
          <w:p w14:paraId="34CE1801" w14:textId="77777777" w:rsidR="009C6B67" w:rsidRDefault="009C6B67" w:rsidP="000D1099">
            <w:pPr>
              <w:pStyle w:val="TableBody"/>
            </w:pPr>
            <w:r>
              <w:rPr>
                <w:color w:val="000000"/>
              </w:rPr>
              <w:t>1805–1880</w:t>
            </w:r>
          </w:p>
        </w:tc>
        <w:tc>
          <w:tcPr>
            <w:tcW w:w="867" w:type="dxa"/>
            <w:shd w:val="clear" w:color="auto" w:fill="F2F2F2" w:themeFill="background1" w:themeFillShade="F2"/>
            <w:tcMar>
              <w:top w:w="85" w:type="dxa"/>
              <w:left w:w="108" w:type="dxa"/>
              <w:bottom w:w="85" w:type="dxa"/>
              <w:right w:w="108" w:type="dxa"/>
            </w:tcMar>
            <w:hideMark/>
          </w:tcPr>
          <w:p w14:paraId="617B9F53" w14:textId="77777777" w:rsidR="009C6B67" w:rsidRDefault="009C6B67" w:rsidP="000D1099">
            <w:pPr>
              <w:pStyle w:val="TableBody"/>
            </w:pPr>
            <w:r>
              <w:rPr>
                <w:color w:val="000000"/>
              </w:rPr>
              <w:t>150</w:t>
            </w:r>
          </w:p>
        </w:tc>
        <w:tc>
          <w:tcPr>
            <w:tcW w:w="937" w:type="dxa"/>
            <w:shd w:val="clear" w:color="auto" w:fill="F2F2F2" w:themeFill="background1" w:themeFillShade="F2"/>
            <w:tcMar>
              <w:top w:w="85" w:type="dxa"/>
              <w:left w:w="108" w:type="dxa"/>
              <w:bottom w:w="85" w:type="dxa"/>
              <w:right w:w="108" w:type="dxa"/>
            </w:tcMar>
            <w:hideMark/>
          </w:tcPr>
          <w:p w14:paraId="5E9C1F7F" w14:textId="77777777" w:rsidR="009C6B67" w:rsidRDefault="009C6B67" w:rsidP="000D1099">
            <w:pPr>
              <w:pStyle w:val="TableBody"/>
            </w:pPr>
            <w:r>
              <w:rPr>
                <w:color w:val="000000"/>
              </w:rPr>
              <w:t>150</w:t>
            </w:r>
          </w:p>
        </w:tc>
        <w:tc>
          <w:tcPr>
            <w:tcW w:w="1078" w:type="dxa"/>
            <w:shd w:val="clear" w:color="auto" w:fill="F2F2F2" w:themeFill="background1" w:themeFillShade="F2"/>
            <w:tcMar>
              <w:top w:w="85" w:type="dxa"/>
              <w:left w:w="108" w:type="dxa"/>
              <w:bottom w:w="85" w:type="dxa"/>
              <w:right w:w="108" w:type="dxa"/>
            </w:tcMar>
            <w:hideMark/>
          </w:tcPr>
          <w:p w14:paraId="26713E01" w14:textId="6FCB5118" w:rsidR="009C6B67" w:rsidRDefault="00863252" w:rsidP="000D1099">
            <w:pPr>
              <w:pStyle w:val="TableBody"/>
            </w:pPr>
            <w:r>
              <w:rPr>
                <w:color w:val="000000"/>
              </w:rPr>
              <w:t>15</w:t>
            </w:r>
            <w:r w:rsidR="009C6B67">
              <w:rPr>
                <w:color w:val="000000"/>
              </w:rPr>
              <w:t>0</w:t>
            </w:r>
          </w:p>
        </w:tc>
        <w:tc>
          <w:tcPr>
            <w:tcW w:w="950" w:type="dxa"/>
            <w:shd w:val="clear" w:color="auto" w:fill="F2F2F2" w:themeFill="background1" w:themeFillShade="F2"/>
            <w:tcMar>
              <w:top w:w="85" w:type="dxa"/>
              <w:left w:w="108" w:type="dxa"/>
              <w:bottom w:w="85" w:type="dxa"/>
              <w:right w:w="108" w:type="dxa"/>
            </w:tcMar>
            <w:hideMark/>
          </w:tcPr>
          <w:p w14:paraId="6164714C" w14:textId="2B0B042C" w:rsidR="009C6B67" w:rsidRDefault="00863252" w:rsidP="000D1099">
            <w:pPr>
              <w:pStyle w:val="TableBody"/>
            </w:pPr>
            <w:r>
              <w:rPr>
                <w:color w:val="000000"/>
              </w:rPr>
              <w:t>15</w:t>
            </w:r>
            <w:r w:rsidR="009C6B67">
              <w:rPr>
                <w:color w:val="000000"/>
              </w:rPr>
              <w:t>0</w:t>
            </w:r>
          </w:p>
        </w:tc>
        <w:tc>
          <w:tcPr>
            <w:tcW w:w="3826" w:type="dxa"/>
            <w:shd w:val="clear" w:color="auto" w:fill="F2F2F2" w:themeFill="background1" w:themeFillShade="F2"/>
            <w:tcMar>
              <w:top w:w="85" w:type="dxa"/>
              <w:left w:w="108" w:type="dxa"/>
              <w:bottom w:w="85" w:type="dxa"/>
              <w:right w:w="108" w:type="dxa"/>
            </w:tcMar>
            <w:hideMark/>
          </w:tcPr>
          <w:p w14:paraId="73C55E16" w14:textId="4DC04F68" w:rsidR="00C37181" w:rsidRDefault="00C37181" w:rsidP="00C37181">
            <w:pPr>
              <w:keepNext/>
              <w:spacing w:after="0" w:line="240" w:lineRule="auto"/>
            </w:pPr>
            <w:r>
              <w:rPr>
                <w:color w:val="000000"/>
              </w:rPr>
              <w:t>Spectrum licensed metro and regional areas</w:t>
            </w:r>
            <w:r w:rsidR="000604FB">
              <w:rPr>
                <w:color w:val="000000"/>
              </w:rPr>
              <w:t>.</w:t>
            </w:r>
            <w:r w:rsidR="000604FB">
              <w:rPr>
                <w:color w:val="000000"/>
              </w:rPr>
              <w:br/>
            </w:r>
            <w:r>
              <w:rPr>
                <w:color w:val="000000"/>
              </w:rPr>
              <w:t xml:space="preserve"> </w:t>
            </w:r>
          </w:p>
          <w:p w14:paraId="7AE4E834" w14:textId="65B3320E" w:rsidR="009C6B67" w:rsidRDefault="00C37181" w:rsidP="000D1099">
            <w:pPr>
              <w:pStyle w:val="TableBody"/>
            </w:pPr>
            <w:r>
              <w:rPr>
                <w:color w:val="000000"/>
              </w:rPr>
              <w:t>Apparatus licensed remote areas</w:t>
            </w:r>
            <w:r w:rsidR="000604FB">
              <w:rPr>
                <w:color w:val="000000"/>
              </w:rPr>
              <w:t>.</w:t>
            </w:r>
          </w:p>
        </w:tc>
      </w:tr>
      <w:tr w:rsidR="009C6B67" w14:paraId="03304A52" w14:textId="77777777" w:rsidTr="003322B4">
        <w:tc>
          <w:tcPr>
            <w:tcW w:w="824" w:type="dxa"/>
            <w:tcMar>
              <w:top w:w="85" w:type="dxa"/>
              <w:left w:w="108" w:type="dxa"/>
              <w:bottom w:w="85" w:type="dxa"/>
              <w:right w:w="108" w:type="dxa"/>
            </w:tcMar>
            <w:hideMark/>
          </w:tcPr>
          <w:p w14:paraId="1C9A1347" w14:textId="77777777" w:rsidR="009C6B67" w:rsidRDefault="009C6B67" w:rsidP="000D1099">
            <w:pPr>
              <w:pStyle w:val="TableBody"/>
            </w:pPr>
            <w:r>
              <w:t>1900 MHz</w:t>
            </w:r>
          </w:p>
        </w:tc>
        <w:tc>
          <w:tcPr>
            <w:tcW w:w="1441" w:type="dxa"/>
            <w:tcMar>
              <w:top w:w="85" w:type="dxa"/>
              <w:left w:w="108" w:type="dxa"/>
              <w:bottom w:w="85" w:type="dxa"/>
              <w:right w:w="108" w:type="dxa"/>
            </w:tcMar>
            <w:hideMark/>
          </w:tcPr>
          <w:p w14:paraId="5DE2581E" w14:textId="77777777" w:rsidR="009C6B67" w:rsidRDefault="009C6B67" w:rsidP="000D1099">
            <w:pPr>
              <w:spacing w:after="0" w:line="240" w:lineRule="auto"/>
            </w:pPr>
            <w:r>
              <w:t>1900–1920</w:t>
            </w:r>
          </w:p>
          <w:p w14:paraId="4F5B621F" w14:textId="77777777" w:rsidR="009C6B67" w:rsidRDefault="009C6B67" w:rsidP="000D1099">
            <w:pPr>
              <w:pStyle w:val="TableBody"/>
            </w:pPr>
            <w:r>
              <w:t>unpaired</w:t>
            </w:r>
          </w:p>
        </w:tc>
        <w:tc>
          <w:tcPr>
            <w:tcW w:w="867" w:type="dxa"/>
            <w:tcMar>
              <w:top w:w="85" w:type="dxa"/>
              <w:left w:w="108" w:type="dxa"/>
              <w:bottom w:w="85" w:type="dxa"/>
              <w:right w:w="108" w:type="dxa"/>
            </w:tcMar>
            <w:hideMark/>
          </w:tcPr>
          <w:p w14:paraId="7FD01653" w14:textId="77777777" w:rsidR="009C6B67" w:rsidRDefault="009C6B67" w:rsidP="000D1099">
            <w:pPr>
              <w:pStyle w:val="TableBody"/>
            </w:pPr>
            <w:r>
              <w:t>20</w:t>
            </w:r>
          </w:p>
        </w:tc>
        <w:tc>
          <w:tcPr>
            <w:tcW w:w="937" w:type="dxa"/>
            <w:tcMar>
              <w:top w:w="85" w:type="dxa"/>
              <w:left w:w="108" w:type="dxa"/>
              <w:bottom w:w="85" w:type="dxa"/>
              <w:right w:w="108" w:type="dxa"/>
            </w:tcMar>
            <w:hideMark/>
          </w:tcPr>
          <w:p w14:paraId="6CF570E6" w14:textId="2C566004" w:rsidR="009C6B67" w:rsidRDefault="009C6B67" w:rsidP="000D1099">
            <w:pPr>
              <w:pStyle w:val="TableBody"/>
            </w:pPr>
            <w:r>
              <w:t>0</w:t>
            </w:r>
          </w:p>
        </w:tc>
        <w:tc>
          <w:tcPr>
            <w:tcW w:w="1078" w:type="dxa"/>
            <w:tcMar>
              <w:top w:w="85" w:type="dxa"/>
              <w:left w:w="108" w:type="dxa"/>
              <w:bottom w:w="85" w:type="dxa"/>
              <w:right w:w="108" w:type="dxa"/>
            </w:tcMar>
            <w:hideMark/>
          </w:tcPr>
          <w:p w14:paraId="1EF92669" w14:textId="77777777" w:rsidR="009C6B67" w:rsidRDefault="009C6B67" w:rsidP="000D1099">
            <w:pPr>
              <w:pStyle w:val="TableBody"/>
            </w:pPr>
            <w:r>
              <w:t>20</w:t>
            </w:r>
          </w:p>
        </w:tc>
        <w:tc>
          <w:tcPr>
            <w:tcW w:w="950" w:type="dxa"/>
            <w:tcMar>
              <w:top w:w="85" w:type="dxa"/>
              <w:left w:w="108" w:type="dxa"/>
              <w:bottom w:w="85" w:type="dxa"/>
              <w:right w:w="108" w:type="dxa"/>
            </w:tcMar>
            <w:hideMark/>
          </w:tcPr>
          <w:p w14:paraId="5743518D" w14:textId="77777777" w:rsidR="009C6B67" w:rsidRDefault="009C6B67" w:rsidP="000D1099">
            <w:pPr>
              <w:pStyle w:val="TableBody"/>
            </w:pPr>
            <w:r>
              <w:t>20</w:t>
            </w:r>
          </w:p>
        </w:tc>
        <w:tc>
          <w:tcPr>
            <w:tcW w:w="3826" w:type="dxa"/>
            <w:tcMar>
              <w:top w:w="85" w:type="dxa"/>
              <w:left w:w="108" w:type="dxa"/>
              <w:bottom w:w="85" w:type="dxa"/>
              <w:right w:w="108" w:type="dxa"/>
            </w:tcMar>
            <w:hideMark/>
          </w:tcPr>
          <w:p w14:paraId="3DF9FDA4" w14:textId="269424CB" w:rsidR="009C6B67" w:rsidRDefault="009C6B67" w:rsidP="000D1099">
            <w:pPr>
              <w:keepNext/>
              <w:spacing w:after="0" w:line="240" w:lineRule="auto"/>
              <w:rPr>
                <w:color w:val="000000"/>
              </w:rPr>
            </w:pPr>
            <w:r>
              <w:rPr>
                <w:color w:val="000000"/>
              </w:rPr>
              <w:t>Apparatus licenced in regional and remote areas</w:t>
            </w:r>
            <w:r w:rsidR="000604FB">
              <w:rPr>
                <w:color w:val="000000"/>
              </w:rPr>
              <w:t>.</w:t>
            </w:r>
            <w:r w:rsidR="000604FB">
              <w:rPr>
                <w:color w:val="000000"/>
              </w:rPr>
              <w:br/>
            </w:r>
          </w:p>
          <w:p w14:paraId="3A845EA9" w14:textId="1C545431" w:rsidR="009C6B67" w:rsidRDefault="00000B14" w:rsidP="000D1099">
            <w:pPr>
              <w:pStyle w:val="TableBody"/>
            </w:pPr>
            <w:r>
              <w:rPr>
                <w:color w:val="000000"/>
              </w:rPr>
              <w:t>Access restricted in metro areas to preserve future planning options</w:t>
            </w:r>
            <w:r w:rsidR="000604FB">
              <w:rPr>
                <w:color w:val="000000"/>
              </w:rPr>
              <w:t>.</w:t>
            </w:r>
          </w:p>
        </w:tc>
      </w:tr>
      <w:tr w:rsidR="009C6B67" w14:paraId="4217DA9A" w14:textId="77777777" w:rsidTr="003322B4">
        <w:tc>
          <w:tcPr>
            <w:tcW w:w="824" w:type="dxa"/>
            <w:shd w:val="clear" w:color="auto" w:fill="F2F2F2" w:themeFill="background1" w:themeFillShade="F2"/>
            <w:tcMar>
              <w:top w:w="85" w:type="dxa"/>
              <w:left w:w="108" w:type="dxa"/>
              <w:bottom w:w="85" w:type="dxa"/>
              <w:right w:w="108" w:type="dxa"/>
            </w:tcMar>
            <w:hideMark/>
          </w:tcPr>
          <w:p w14:paraId="6E9FE5DB" w14:textId="77777777" w:rsidR="009C6B67" w:rsidRDefault="009C6B67" w:rsidP="000D1099">
            <w:pPr>
              <w:pStyle w:val="TableBody"/>
            </w:pPr>
            <w:r>
              <w:rPr>
                <w:color w:val="000000"/>
              </w:rPr>
              <w:t>2.1 GHz</w:t>
            </w:r>
          </w:p>
        </w:tc>
        <w:tc>
          <w:tcPr>
            <w:tcW w:w="1441" w:type="dxa"/>
            <w:shd w:val="clear" w:color="auto" w:fill="F2F2F2" w:themeFill="background1" w:themeFillShade="F2"/>
            <w:tcMar>
              <w:top w:w="85" w:type="dxa"/>
              <w:left w:w="108" w:type="dxa"/>
              <w:bottom w:w="85" w:type="dxa"/>
              <w:right w:w="108" w:type="dxa"/>
            </w:tcMar>
            <w:hideMark/>
          </w:tcPr>
          <w:p w14:paraId="0741FA00" w14:textId="77777777" w:rsidR="009C6B67" w:rsidRDefault="009C6B67" w:rsidP="000D1099">
            <w:pPr>
              <w:spacing w:after="0" w:line="240" w:lineRule="auto"/>
            </w:pPr>
            <w:r>
              <w:rPr>
                <w:color w:val="000000"/>
              </w:rPr>
              <w:t>1920–1980</w:t>
            </w:r>
          </w:p>
          <w:p w14:paraId="09208AB9" w14:textId="77777777" w:rsidR="009C6B67" w:rsidRDefault="009C6B67" w:rsidP="000D1099">
            <w:pPr>
              <w:spacing w:after="0" w:line="240" w:lineRule="auto"/>
            </w:pPr>
            <w:r>
              <w:rPr>
                <w:color w:val="000000"/>
              </w:rPr>
              <w:t>paired with</w:t>
            </w:r>
          </w:p>
          <w:p w14:paraId="4076A1F1" w14:textId="77777777" w:rsidR="009C6B67" w:rsidRDefault="009C6B67" w:rsidP="000D1099">
            <w:pPr>
              <w:pStyle w:val="TableBody"/>
            </w:pPr>
            <w:r>
              <w:rPr>
                <w:color w:val="000000"/>
              </w:rPr>
              <w:t>2110–2170</w:t>
            </w:r>
          </w:p>
        </w:tc>
        <w:tc>
          <w:tcPr>
            <w:tcW w:w="867" w:type="dxa"/>
            <w:shd w:val="clear" w:color="auto" w:fill="F2F2F2" w:themeFill="background1" w:themeFillShade="F2"/>
            <w:tcMar>
              <w:top w:w="85" w:type="dxa"/>
              <w:left w:w="108" w:type="dxa"/>
              <w:bottom w:w="85" w:type="dxa"/>
              <w:right w:w="108" w:type="dxa"/>
            </w:tcMar>
            <w:hideMark/>
          </w:tcPr>
          <w:p w14:paraId="222F6003" w14:textId="77777777" w:rsidR="009C6B67" w:rsidRDefault="009C6B67" w:rsidP="000D1099">
            <w:pPr>
              <w:pStyle w:val="TableBody"/>
            </w:pPr>
            <w:r>
              <w:rPr>
                <w:color w:val="000000"/>
              </w:rPr>
              <w:t>120</w:t>
            </w:r>
          </w:p>
        </w:tc>
        <w:tc>
          <w:tcPr>
            <w:tcW w:w="937" w:type="dxa"/>
            <w:shd w:val="clear" w:color="auto" w:fill="F2F2F2" w:themeFill="background1" w:themeFillShade="F2"/>
            <w:tcMar>
              <w:top w:w="85" w:type="dxa"/>
              <w:left w:w="108" w:type="dxa"/>
              <w:bottom w:w="85" w:type="dxa"/>
              <w:right w:w="108" w:type="dxa"/>
            </w:tcMar>
            <w:hideMark/>
          </w:tcPr>
          <w:p w14:paraId="0E83152E" w14:textId="77777777" w:rsidR="009C6B67" w:rsidRDefault="009C6B67" w:rsidP="000D1099">
            <w:pPr>
              <w:pStyle w:val="TableBody"/>
            </w:pPr>
            <w:r>
              <w:rPr>
                <w:color w:val="000000"/>
              </w:rPr>
              <w:t>120</w:t>
            </w:r>
          </w:p>
        </w:tc>
        <w:tc>
          <w:tcPr>
            <w:tcW w:w="1078" w:type="dxa"/>
            <w:shd w:val="clear" w:color="auto" w:fill="F2F2F2" w:themeFill="background1" w:themeFillShade="F2"/>
            <w:tcMar>
              <w:top w:w="85" w:type="dxa"/>
              <w:left w:w="108" w:type="dxa"/>
              <w:bottom w:w="85" w:type="dxa"/>
              <w:right w:w="108" w:type="dxa"/>
            </w:tcMar>
            <w:hideMark/>
          </w:tcPr>
          <w:p w14:paraId="55D04121" w14:textId="77777777" w:rsidR="009C6B67" w:rsidRDefault="009C6B67" w:rsidP="000D1099">
            <w:pPr>
              <w:pStyle w:val="TableBody"/>
            </w:pPr>
            <w:r>
              <w:rPr>
                <w:color w:val="000000"/>
              </w:rPr>
              <w:t>120</w:t>
            </w:r>
          </w:p>
        </w:tc>
        <w:tc>
          <w:tcPr>
            <w:tcW w:w="950" w:type="dxa"/>
            <w:shd w:val="clear" w:color="auto" w:fill="F2F2F2" w:themeFill="background1" w:themeFillShade="F2"/>
            <w:tcMar>
              <w:top w:w="85" w:type="dxa"/>
              <w:left w:w="108" w:type="dxa"/>
              <w:bottom w:w="85" w:type="dxa"/>
              <w:right w:w="108" w:type="dxa"/>
            </w:tcMar>
            <w:hideMark/>
          </w:tcPr>
          <w:p w14:paraId="315F6A67" w14:textId="77777777" w:rsidR="009C6B67" w:rsidRDefault="009C6B67" w:rsidP="000D1099">
            <w:pPr>
              <w:pStyle w:val="TableBody"/>
            </w:pPr>
            <w:r>
              <w:rPr>
                <w:color w:val="000000"/>
              </w:rPr>
              <w:t>120</w:t>
            </w:r>
          </w:p>
        </w:tc>
        <w:tc>
          <w:tcPr>
            <w:tcW w:w="3826" w:type="dxa"/>
            <w:shd w:val="clear" w:color="auto" w:fill="F2F2F2" w:themeFill="background1" w:themeFillShade="F2"/>
            <w:tcMar>
              <w:top w:w="85" w:type="dxa"/>
              <w:left w:w="108" w:type="dxa"/>
              <w:bottom w:w="85" w:type="dxa"/>
              <w:right w:w="108" w:type="dxa"/>
            </w:tcMar>
            <w:hideMark/>
          </w:tcPr>
          <w:p w14:paraId="3481BBF9" w14:textId="604E4972" w:rsidR="009C6B67" w:rsidRDefault="009C6B67" w:rsidP="000D1099">
            <w:pPr>
              <w:keepNext/>
              <w:spacing w:after="0" w:line="240" w:lineRule="auto"/>
            </w:pPr>
            <w:r>
              <w:rPr>
                <w:color w:val="000000"/>
              </w:rPr>
              <w:t>Spectrum licensed in metro areas and 2</w:t>
            </w:r>
            <w:r w:rsidR="000604FB">
              <w:rPr>
                <w:color w:val="000000"/>
              </w:rPr>
              <w:t> </w:t>
            </w:r>
            <w:r>
              <w:rPr>
                <w:color w:val="000000"/>
              </w:rPr>
              <w:t>x 20 MHz in regional areas</w:t>
            </w:r>
            <w:r w:rsidR="000604FB">
              <w:rPr>
                <w:color w:val="000000"/>
              </w:rPr>
              <w:t>.</w:t>
            </w:r>
            <w:r w:rsidR="000604FB">
              <w:rPr>
                <w:color w:val="000000"/>
              </w:rPr>
              <w:br/>
            </w:r>
          </w:p>
          <w:p w14:paraId="70150F07" w14:textId="1B4ED986" w:rsidR="009C6B67" w:rsidRDefault="009C6B67" w:rsidP="000D1099">
            <w:pPr>
              <w:keepNext/>
              <w:spacing w:after="0" w:line="240" w:lineRule="auto"/>
              <w:rPr>
                <w:color w:val="000000"/>
              </w:rPr>
            </w:pPr>
            <w:r>
              <w:rPr>
                <w:color w:val="000000"/>
              </w:rPr>
              <w:t xml:space="preserve">Apparatus licensed in regional and remote areas. (2 x 40 MHz regional, </w:t>
            </w:r>
            <w:r w:rsidR="000604FB">
              <w:rPr>
                <w:color w:val="000000"/>
              </w:rPr>
              <w:br/>
            </w:r>
            <w:r>
              <w:rPr>
                <w:color w:val="000000"/>
              </w:rPr>
              <w:t>2 x 60 MHz remote</w:t>
            </w:r>
            <w:r w:rsidR="000604FB">
              <w:rPr>
                <w:color w:val="000000"/>
              </w:rPr>
              <w:t>.</w:t>
            </w:r>
            <w:r>
              <w:rPr>
                <w:color w:val="000000"/>
              </w:rPr>
              <w:t>)</w:t>
            </w:r>
          </w:p>
          <w:p w14:paraId="72EE7BFF" w14:textId="77777777" w:rsidR="009C6B67" w:rsidRDefault="009C6B67" w:rsidP="000D1099">
            <w:pPr>
              <w:pStyle w:val="TableBody"/>
            </w:pPr>
          </w:p>
        </w:tc>
      </w:tr>
      <w:tr w:rsidR="009C6B67" w14:paraId="771E0ABA" w14:textId="77777777" w:rsidTr="003322B4">
        <w:tc>
          <w:tcPr>
            <w:tcW w:w="824" w:type="dxa"/>
            <w:tcMar>
              <w:top w:w="85" w:type="dxa"/>
              <w:left w:w="108" w:type="dxa"/>
              <w:bottom w:w="85" w:type="dxa"/>
              <w:right w:w="108" w:type="dxa"/>
            </w:tcMar>
            <w:hideMark/>
          </w:tcPr>
          <w:p w14:paraId="282A0E41" w14:textId="77777777" w:rsidR="009C6B67" w:rsidRDefault="009C6B67" w:rsidP="000D1099">
            <w:pPr>
              <w:pStyle w:val="TableBody"/>
            </w:pPr>
            <w:r>
              <w:t>2.3 GHz</w:t>
            </w:r>
          </w:p>
        </w:tc>
        <w:tc>
          <w:tcPr>
            <w:tcW w:w="1441" w:type="dxa"/>
            <w:tcMar>
              <w:top w:w="85" w:type="dxa"/>
              <w:left w:w="108" w:type="dxa"/>
              <w:bottom w:w="85" w:type="dxa"/>
              <w:right w:w="108" w:type="dxa"/>
            </w:tcMar>
            <w:hideMark/>
          </w:tcPr>
          <w:p w14:paraId="707191F3" w14:textId="77777777" w:rsidR="009C6B67" w:rsidRDefault="009C6B67" w:rsidP="000D1099">
            <w:pPr>
              <w:spacing w:after="0" w:line="240" w:lineRule="auto"/>
            </w:pPr>
            <w:r>
              <w:t>2302–2400</w:t>
            </w:r>
          </w:p>
          <w:p w14:paraId="4FF91C46" w14:textId="77777777" w:rsidR="009C6B67" w:rsidRDefault="009C6B67" w:rsidP="000D1099">
            <w:pPr>
              <w:pStyle w:val="TableBody"/>
            </w:pPr>
            <w:r>
              <w:t xml:space="preserve">unpaired </w:t>
            </w:r>
          </w:p>
        </w:tc>
        <w:tc>
          <w:tcPr>
            <w:tcW w:w="867" w:type="dxa"/>
            <w:tcMar>
              <w:top w:w="85" w:type="dxa"/>
              <w:left w:w="108" w:type="dxa"/>
              <w:bottom w:w="85" w:type="dxa"/>
              <w:right w:w="108" w:type="dxa"/>
            </w:tcMar>
            <w:hideMark/>
          </w:tcPr>
          <w:p w14:paraId="22BE9328" w14:textId="77777777" w:rsidR="009C6B67" w:rsidRDefault="009C6B67" w:rsidP="000D1099">
            <w:pPr>
              <w:pStyle w:val="TableBody"/>
              <w:jc w:val="both"/>
            </w:pPr>
            <w:r>
              <w:t>98</w:t>
            </w:r>
          </w:p>
        </w:tc>
        <w:tc>
          <w:tcPr>
            <w:tcW w:w="937" w:type="dxa"/>
            <w:tcMar>
              <w:top w:w="85" w:type="dxa"/>
              <w:left w:w="108" w:type="dxa"/>
              <w:bottom w:w="85" w:type="dxa"/>
              <w:right w:w="108" w:type="dxa"/>
            </w:tcMar>
            <w:hideMark/>
          </w:tcPr>
          <w:p w14:paraId="04202453" w14:textId="77777777" w:rsidR="009C6B67" w:rsidRDefault="009C6B67" w:rsidP="000D1099">
            <w:pPr>
              <w:pStyle w:val="TableBody"/>
            </w:pPr>
            <w:r>
              <w:t>98</w:t>
            </w:r>
          </w:p>
        </w:tc>
        <w:tc>
          <w:tcPr>
            <w:tcW w:w="1078" w:type="dxa"/>
            <w:tcMar>
              <w:top w:w="85" w:type="dxa"/>
              <w:left w:w="108" w:type="dxa"/>
              <w:bottom w:w="85" w:type="dxa"/>
              <w:right w:w="108" w:type="dxa"/>
            </w:tcMar>
            <w:hideMark/>
          </w:tcPr>
          <w:p w14:paraId="601E3FDE" w14:textId="77777777" w:rsidR="009C6B67" w:rsidRDefault="009C6B67" w:rsidP="000D1099">
            <w:pPr>
              <w:pStyle w:val="TableBody"/>
            </w:pPr>
            <w:r>
              <w:t>98</w:t>
            </w:r>
          </w:p>
        </w:tc>
        <w:tc>
          <w:tcPr>
            <w:tcW w:w="950" w:type="dxa"/>
            <w:tcMar>
              <w:top w:w="85" w:type="dxa"/>
              <w:left w:w="108" w:type="dxa"/>
              <w:bottom w:w="85" w:type="dxa"/>
              <w:right w:w="108" w:type="dxa"/>
            </w:tcMar>
            <w:hideMark/>
          </w:tcPr>
          <w:p w14:paraId="03851EF0" w14:textId="77777777" w:rsidR="009C6B67" w:rsidRDefault="009C6B67" w:rsidP="000D1099">
            <w:pPr>
              <w:pStyle w:val="TableBody"/>
            </w:pPr>
            <w:r>
              <w:t>98</w:t>
            </w:r>
          </w:p>
        </w:tc>
        <w:tc>
          <w:tcPr>
            <w:tcW w:w="3826" w:type="dxa"/>
            <w:tcMar>
              <w:top w:w="85" w:type="dxa"/>
              <w:left w:w="108" w:type="dxa"/>
              <w:bottom w:w="85" w:type="dxa"/>
              <w:right w:w="108" w:type="dxa"/>
            </w:tcMar>
            <w:hideMark/>
          </w:tcPr>
          <w:p w14:paraId="25009742" w14:textId="3AFB9CEE" w:rsidR="009C6B67" w:rsidRDefault="009C6B67" w:rsidP="000D1099">
            <w:pPr>
              <w:keepNext/>
              <w:spacing w:after="0" w:line="240" w:lineRule="auto"/>
            </w:pPr>
            <w:r>
              <w:rPr>
                <w:color w:val="000000"/>
              </w:rPr>
              <w:t>Spectrum licensed in capital cities and regional areas</w:t>
            </w:r>
            <w:r w:rsidR="000604FB">
              <w:rPr>
                <w:color w:val="000000"/>
              </w:rPr>
              <w:t>.</w:t>
            </w:r>
          </w:p>
          <w:p w14:paraId="22B7900D" w14:textId="77777777" w:rsidR="009C6B67" w:rsidRDefault="009C6B67" w:rsidP="000D1099">
            <w:pPr>
              <w:pStyle w:val="TableBody"/>
            </w:pPr>
          </w:p>
        </w:tc>
      </w:tr>
      <w:tr w:rsidR="009C6B67" w14:paraId="6F83FBFC" w14:textId="77777777" w:rsidTr="003322B4">
        <w:tc>
          <w:tcPr>
            <w:tcW w:w="824" w:type="dxa"/>
            <w:shd w:val="clear" w:color="auto" w:fill="F2F2F2" w:themeFill="background1" w:themeFillShade="F2"/>
            <w:tcMar>
              <w:top w:w="85" w:type="dxa"/>
              <w:left w:w="108" w:type="dxa"/>
              <w:bottom w:w="85" w:type="dxa"/>
              <w:right w:w="108" w:type="dxa"/>
            </w:tcMar>
            <w:hideMark/>
          </w:tcPr>
          <w:p w14:paraId="568E70C3" w14:textId="77777777" w:rsidR="009C6B67" w:rsidRDefault="009C6B67" w:rsidP="000D1099">
            <w:pPr>
              <w:pStyle w:val="TableBody"/>
            </w:pPr>
            <w:r>
              <w:rPr>
                <w:color w:val="000000"/>
              </w:rPr>
              <w:t>2.5 GHz</w:t>
            </w:r>
          </w:p>
        </w:tc>
        <w:tc>
          <w:tcPr>
            <w:tcW w:w="1441" w:type="dxa"/>
            <w:shd w:val="clear" w:color="auto" w:fill="F2F2F2" w:themeFill="background1" w:themeFillShade="F2"/>
            <w:tcMar>
              <w:top w:w="85" w:type="dxa"/>
              <w:left w:w="108" w:type="dxa"/>
              <w:bottom w:w="85" w:type="dxa"/>
              <w:right w:w="108" w:type="dxa"/>
            </w:tcMar>
            <w:hideMark/>
          </w:tcPr>
          <w:p w14:paraId="3188D7F6" w14:textId="77777777" w:rsidR="009C6B67" w:rsidRDefault="009C6B67" w:rsidP="000D1099">
            <w:pPr>
              <w:spacing w:after="0" w:line="240" w:lineRule="auto"/>
            </w:pPr>
            <w:r>
              <w:rPr>
                <w:color w:val="000000"/>
              </w:rPr>
              <w:t>2500–2570</w:t>
            </w:r>
          </w:p>
          <w:p w14:paraId="69D1BA27" w14:textId="77777777" w:rsidR="009C6B67" w:rsidRDefault="009C6B67" w:rsidP="000D1099">
            <w:pPr>
              <w:spacing w:after="0" w:line="240" w:lineRule="auto"/>
            </w:pPr>
            <w:r>
              <w:rPr>
                <w:color w:val="000000"/>
              </w:rPr>
              <w:t>paired with</w:t>
            </w:r>
          </w:p>
          <w:p w14:paraId="2DDF5671" w14:textId="77777777" w:rsidR="009C6B67" w:rsidRDefault="009C6B67" w:rsidP="000D1099">
            <w:pPr>
              <w:pStyle w:val="TableBody"/>
            </w:pPr>
            <w:r>
              <w:rPr>
                <w:color w:val="000000"/>
              </w:rPr>
              <w:t>2620–2690</w:t>
            </w:r>
          </w:p>
        </w:tc>
        <w:tc>
          <w:tcPr>
            <w:tcW w:w="867" w:type="dxa"/>
            <w:shd w:val="clear" w:color="auto" w:fill="F2F2F2" w:themeFill="background1" w:themeFillShade="F2"/>
            <w:tcMar>
              <w:top w:w="85" w:type="dxa"/>
              <w:left w:w="108" w:type="dxa"/>
              <w:bottom w:w="85" w:type="dxa"/>
              <w:right w:w="108" w:type="dxa"/>
            </w:tcMar>
            <w:hideMark/>
          </w:tcPr>
          <w:p w14:paraId="6C03F295" w14:textId="77777777" w:rsidR="009C6B67" w:rsidRDefault="009C6B67" w:rsidP="000D1099">
            <w:pPr>
              <w:pStyle w:val="TableBody"/>
              <w:jc w:val="both"/>
            </w:pPr>
            <w:r>
              <w:rPr>
                <w:color w:val="000000"/>
              </w:rPr>
              <w:t>140</w:t>
            </w:r>
          </w:p>
        </w:tc>
        <w:tc>
          <w:tcPr>
            <w:tcW w:w="937" w:type="dxa"/>
            <w:shd w:val="clear" w:color="auto" w:fill="F2F2F2" w:themeFill="background1" w:themeFillShade="F2"/>
            <w:tcMar>
              <w:top w:w="85" w:type="dxa"/>
              <w:left w:w="108" w:type="dxa"/>
              <w:bottom w:w="85" w:type="dxa"/>
              <w:right w:w="108" w:type="dxa"/>
            </w:tcMar>
            <w:hideMark/>
          </w:tcPr>
          <w:p w14:paraId="6E7E2D8B" w14:textId="77777777" w:rsidR="009C6B67" w:rsidRDefault="009C6B67" w:rsidP="000D1099">
            <w:pPr>
              <w:pStyle w:val="TableBody"/>
            </w:pPr>
            <w:r>
              <w:rPr>
                <w:color w:val="000000"/>
              </w:rPr>
              <w:t>140</w:t>
            </w:r>
          </w:p>
        </w:tc>
        <w:tc>
          <w:tcPr>
            <w:tcW w:w="1078" w:type="dxa"/>
            <w:shd w:val="clear" w:color="auto" w:fill="F2F2F2" w:themeFill="background1" w:themeFillShade="F2"/>
            <w:tcMar>
              <w:top w:w="85" w:type="dxa"/>
              <w:left w:w="108" w:type="dxa"/>
              <w:bottom w:w="85" w:type="dxa"/>
              <w:right w:w="108" w:type="dxa"/>
            </w:tcMar>
            <w:hideMark/>
          </w:tcPr>
          <w:p w14:paraId="79A63197" w14:textId="77777777" w:rsidR="009C6B67" w:rsidRDefault="009C6B67" w:rsidP="000D1099">
            <w:pPr>
              <w:pStyle w:val="TableBody"/>
            </w:pPr>
            <w:r>
              <w:rPr>
                <w:color w:val="000000"/>
              </w:rPr>
              <w:t>140</w:t>
            </w:r>
          </w:p>
        </w:tc>
        <w:tc>
          <w:tcPr>
            <w:tcW w:w="950" w:type="dxa"/>
            <w:shd w:val="clear" w:color="auto" w:fill="F2F2F2" w:themeFill="background1" w:themeFillShade="F2"/>
            <w:tcMar>
              <w:top w:w="85" w:type="dxa"/>
              <w:left w:w="108" w:type="dxa"/>
              <w:bottom w:w="85" w:type="dxa"/>
              <w:right w:w="108" w:type="dxa"/>
            </w:tcMar>
            <w:hideMark/>
          </w:tcPr>
          <w:p w14:paraId="77C9770C" w14:textId="77777777" w:rsidR="009C6B67" w:rsidRDefault="009C6B67" w:rsidP="000D1099">
            <w:pPr>
              <w:pStyle w:val="TableBody"/>
            </w:pPr>
            <w:r>
              <w:rPr>
                <w:color w:val="000000"/>
              </w:rPr>
              <w:t>140</w:t>
            </w:r>
          </w:p>
        </w:tc>
        <w:tc>
          <w:tcPr>
            <w:tcW w:w="3826" w:type="dxa"/>
            <w:shd w:val="clear" w:color="auto" w:fill="F2F2F2" w:themeFill="background1" w:themeFillShade="F2"/>
            <w:tcMar>
              <w:top w:w="85" w:type="dxa"/>
              <w:left w:w="108" w:type="dxa"/>
              <w:bottom w:w="85" w:type="dxa"/>
              <w:right w:w="108" w:type="dxa"/>
            </w:tcMar>
            <w:hideMark/>
          </w:tcPr>
          <w:p w14:paraId="06E8F7AE" w14:textId="77777777" w:rsidR="009C6B67" w:rsidRDefault="009C6B67" w:rsidP="000D1099">
            <w:pPr>
              <w:keepNext/>
              <w:spacing w:after="0" w:line="240" w:lineRule="auto"/>
            </w:pPr>
            <w:r>
              <w:rPr>
                <w:color w:val="000000"/>
              </w:rPr>
              <w:t>Spectrum licensed Australia-wide</w:t>
            </w:r>
          </w:p>
          <w:p w14:paraId="32728C7A" w14:textId="77777777" w:rsidR="009C6B67" w:rsidRDefault="009C6B67" w:rsidP="000D1099">
            <w:pPr>
              <w:pStyle w:val="TableBody"/>
            </w:pPr>
          </w:p>
        </w:tc>
      </w:tr>
      <w:tr w:rsidR="009C6B67" w:rsidRPr="005D2CCF" w14:paraId="4B546EAC" w14:textId="77777777" w:rsidTr="003322B4">
        <w:tc>
          <w:tcPr>
            <w:tcW w:w="824" w:type="dxa"/>
            <w:tcMar>
              <w:top w:w="85" w:type="dxa"/>
              <w:left w:w="108" w:type="dxa"/>
              <w:bottom w:w="85" w:type="dxa"/>
              <w:right w:w="108" w:type="dxa"/>
            </w:tcMar>
            <w:hideMark/>
          </w:tcPr>
          <w:p w14:paraId="3566E051" w14:textId="3B9BEA49" w:rsidR="009C6B67" w:rsidRPr="007901FD" w:rsidRDefault="009C6B67" w:rsidP="000D1099">
            <w:pPr>
              <w:pStyle w:val="TableBody"/>
            </w:pPr>
            <w:r w:rsidRPr="007901FD">
              <w:lastRenderedPageBreak/>
              <w:t>3.</w:t>
            </w:r>
            <w:r w:rsidR="00B2183B">
              <w:t>4</w:t>
            </w:r>
            <w:r w:rsidRPr="007901FD">
              <w:t xml:space="preserve"> GHz</w:t>
            </w:r>
          </w:p>
        </w:tc>
        <w:tc>
          <w:tcPr>
            <w:tcW w:w="1441" w:type="dxa"/>
            <w:tcMar>
              <w:top w:w="85" w:type="dxa"/>
              <w:left w:w="108" w:type="dxa"/>
              <w:bottom w:w="85" w:type="dxa"/>
              <w:right w:w="108" w:type="dxa"/>
            </w:tcMar>
            <w:hideMark/>
          </w:tcPr>
          <w:p w14:paraId="46B86150" w14:textId="5585DDA4" w:rsidR="009C6B67" w:rsidRPr="007901FD" w:rsidRDefault="009C6B67" w:rsidP="000D1099">
            <w:pPr>
              <w:spacing w:after="0" w:line="240" w:lineRule="auto"/>
            </w:pPr>
            <w:r w:rsidRPr="007901FD">
              <w:t>3400–3</w:t>
            </w:r>
            <w:r w:rsidR="0027216D">
              <w:t>700</w:t>
            </w:r>
          </w:p>
          <w:p w14:paraId="2A7A0465" w14:textId="77777777" w:rsidR="009C6B67" w:rsidRPr="007901FD" w:rsidRDefault="009C6B67" w:rsidP="000D1099">
            <w:pPr>
              <w:spacing w:after="0" w:line="240" w:lineRule="auto"/>
            </w:pPr>
            <w:r w:rsidRPr="007901FD">
              <w:t>unpaired</w:t>
            </w:r>
          </w:p>
        </w:tc>
        <w:tc>
          <w:tcPr>
            <w:tcW w:w="867" w:type="dxa"/>
            <w:tcMar>
              <w:top w:w="85" w:type="dxa"/>
              <w:left w:w="108" w:type="dxa"/>
              <w:bottom w:w="85" w:type="dxa"/>
              <w:right w:w="108" w:type="dxa"/>
            </w:tcMar>
            <w:hideMark/>
          </w:tcPr>
          <w:p w14:paraId="2607515D" w14:textId="361F91AA" w:rsidR="009C6B67" w:rsidRPr="007901FD" w:rsidRDefault="00114C6F" w:rsidP="000D1099">
            <w:pPr>
              <w:pStyle w:val="TableBody"/>
              <w:jc w:val="both"/>
            </w:pPr>
            <w:r>
              <w:t>300</w:t>
            </w:r>
          </w:p>
        </w:tc>
        <w:tc>
          <w:tcPr>
            <w:tcW w:w="937" w:type="dxa"/>
            <w:tcMar>
              <w:top w:w="85" w:type="dxa"/>
              <w:left w:w="108" w:type="dxa"/>
              <w:bottom w:w="85" w:type="dxa"/>
              <w:right w:w="108" w:type="dxa"/>
            </w:tcMar>
            <w:hideMark/>
          </w:tcPr>
          <w:p w14:paraId="01C918E2" w14:textId="2474CB6B" w:rsidR="009C6B67" w:rsidRPr="007901FD" w:rsidRDefault="000C3E2D" w:rsidP="000D1099">
            <w:pPr>
              <w:pStyle w:val="TableBody"/>
            </w:pPr>
            <w:r>
              <w:t>300</w:t>
            </w:r>
          </w:p>
        </w:tc>
        <w:tc>
          <w:tcPr>
            <w:tcW w:w="1078" w:type="dxa"/>
            <w:tcMar>
              <w:top w:w="85" w:type="dxa"/>
              <w:left w:w="108" w:type="dxa"/>
              <w:bottom w:w="85" w:type="dxa"/>
              <w:right w:w="108" w:type="dxa"/>
            </w:tcMar>
            <w:hideMark/>
          </w:tcPr>
          <w:p w14:paraId="1ACC3D24" w14:textId="305D0A37" w:rsidR="009C6B67" w:rsidRPr="007901FD" w:rsidRDefault="000C3E2D" w:rsidP="000D1099">
            <w:pPr>
              <w:pStyle w:val="TableBody"/>
            </w:pPr>
            <w:r>
              <w:t>190-265</w:t>
            </w:r>
          </w:p>
        </w:tc>
        <w:tc>
          <w:tcPr>
            <w:tcW w:w="950" w:type="dxa"/>
            <w:tcMar>
              <w:top w:w="85" w:type="dxa"/>
              <w:left w:w="108" w:type="dxa"/>
              <w:bottom w:w="85" w:type="dxa"/>
              <w:right w:w="108" w:type="dxa"/>
            </w:tcMar>
            <w:hideMark/>
          </w:tcPr>
          <w:p w14:paraId="285259E9" w14:textId="06D5931C" w:rsidR="009C6B67" w:rsidRPr="007901FD" w:rsidRDefault="008A7159" w:rsidP="000D1099">
            <w:pPr>
              <w:pStyle w:val="TableBody"/>
            </w:pPr>
            <w:r>
              <w:t>160</w:t>
            </w:r>
          </w:p>
        </w:tc>
        <w:tc>
          <w:tcPr>
            <w:tcW w:w="3826" w:type="dxa"/>
            <w:tcMar>
              <w:top w:w="85" w:type="dxa"/>
              <w:left w:w="108" w:type="dxa"/>
              <w:bottom w:w="85" w:type="dxa"/>
              <w:right w:w="108" w:type="dxa"/>
            </w:tcMar>
            <w:hideMark/>
          </w:tcPr>
          <w:p w14:paraId="5BFAF251" w14:textId="6DF4EEC4" w:rsidR="00522420" w:rsidRDefault="00522420" w:rsidP="00522420">
            <w:pPr>
              <w:keepNext/>
              <w:spacing w:after="0" w:line="240" w:lineRule="auto"/>
            </w:pPr>
            <w:r>
              <w:t>Spectrum licence: 225 MHz in capital cities and major regional centres, 190</w:t>
            </w:r>
            <w:r w:rsidR="000604FB">
              <w:t> </w:t>
            </w:r>
            <w:r>
              <w:t xml:space="preserve">MHz </w:t>
            </w:r>
            <w:r>
              <w:rPr>
                <w:color w:val="000000"/>
              </w:rPr>
              <w:t>in regional areas.</w:t>
            </w:r>
            <w:r>
              <w:t xml:space="preserve"> </w:t>
            </w:r>
          </w:p>
          <w:p w14:paraId="04BD1F84" w14:textId="77777777" w:rsidR="000604FB" w:rsidRDefault="000604FB" w:rsidP="00522420">
            <w:pPr>
              <w:keepNext/>
              <w:spacing w:after="0" w:line="240" w:lineRule="auto"/>
            </w:pPr>
          </w:p>
          <w:p w14:paraId="015C41C9" w14:textId="7E8309D1" w:rsidR="009C6B67" w:rsidRPr="007901FD" w:rsidRDefault="00522420" w:rsidP="000D1099">
            <w:pPr>
              <w:keepNext/>
              <w:spacing w:after="0" w:line="240" w:lineRule="auto"/>
            </w:pPr>
            <w:r>
              <w:t xml:space="preserve">Apparatus licence: </w:t>
            </w:r>
            <w:r w:rsidR="009C6B67" w:rsidRPr="007901FD">
              <w:rPr>
                <w:color w:val="000000"/>
              </w:rPr>
              <w:t>75 MHz in capital cities</w:t>
            </w:r>
            <w:r>
              <w:t xml:space="preserve"> and some surrounding</w:t>
            </w:r>
            <w:r w:rsidR="009C6B67">
              <w:t xml:space="preserve"> regional areas</w:t>
            </w:r>
            <w:r>
              <w:t>, 160</w:t>
            </w:r>
            <w:r w:rsidR="009C6B67" w:rsidRPr="007901FD">
              <w:rPr>
                <w:color w:val="000000"/>
              </w:rPr>
              <w:t> MHz in remote areas</w:t>
            </w:r>
            <w:r>
              <w:t xml:space="preserve"> </w:t>
            </w:r>
            <w:r w:rsidR="000604FB">
              <w:t xml:space="preserve">(See </w:t>
            </w:r>
            <w:r>
              <w:t>Note 1</w:t>
            </w:r>
            <w:r w:rsidR="000604FB">
              <w:t>).</w:t>
            </w:r>
          </w:p>
        </w:tc>
      </w:tr>
      <w:tr w:rsidR="009C6B67" w14:paraId="0A90566B" w14:textId="77777777" w:rsidTr="003322B4">
        <w:tc>
          <w:tcPr>
            <w:tcW w:w="824" w:type="dxa"/>
            <w:shd w:val="clear" w:color="auto" w:fill="F2F2F2" w:themeFill="background1" w:themeFillShade="F2"/>
            <w:tcMar>
              <w:top w:w="85" w:type="dxa"/>
              <w:left w:w="108" w:type="dxa"/>
              <w:bottom w:w="85" w:type="dxa"/>
              <w:right w:w="108" w:type="dxa"/>
            </w:tcMar>
          </w:tcPr>
          <w:p w14:paraId="4D1BBDA4" w14:textId="77777777" w:rsidR="009C6B67" w:rsidRPr="007901FD" w:rsidRDefault="009C6B67" w:rsidP="000D1099">
            <w:pPr>
              <w:pStyle w:val="TableBody"/>
            </w:pPr>
            <w:r w:rsidRPr="007901FD">
              <w:t>5.6 GHz</w:t>
            </w:r>
          </w:p>
        </w:tc>
        <w:tc>
          <w:tcPr>
            <w:tcW w:w="1441" w:type="dxa"/>
            <w:shd w:val="clear" w:color="auto" w:fill="F2F2F2" w:themeFill="background1" w:themeFillShade="F2"/>
            <w:tcMar>
              <w:top w:w="85" w:type="dxa"/>
              <w:left w:w="108" w:type="dxa"/>
              <w:bottom w:w="85" w:type="dxa"/>
              <w:right w:w="108" w:type="dxa"/>
            </w:tcMar>
          </w:tcPr>
          <w:p w14:paraId="3C472C99" w14:textId="3FD6B210" w:rsidR="009C6B67" w:rsidRPr="007901FD" w:rsidRDefault="009C6B67" w:rsidP="000D1099">
            <w:pPr>
              <w:spacing w:after="0" w:line="240" w:lineRule="auto"/>
            </w:pPr>
            <w:r w:rsidRPr="007901FD">
              <w:t>5600-5620 MHz and 5630</w:t>
            </w:r>
            <w:r w:rsidR="000604FB">
              <w:t>–</w:t>
            </w:r>
            <w:r w:rsidRPr="007901FD">
              <w:t>5650 MHz</w:t>
            </w:r>
          </w:p>
        </w:tc>
        <w:tc>
          <w:tcPr>
            <w:tcW w:w="867" w:type="dxa"/>
            <w:shd w:val="clear" w:color="auto" w:fill="F2F2F2" w:themeFill="background1" w:themeFillShade="F2"/>
            <w:tcMar>
              <w:top w:w="85" w:type="dxa"/>
              <w:left w:w="108" w:type="dxa"/>
              <w:bottom w:w="85" w:type="dxa"/>
              <w:right w:w="108" w:type="dxa"/>
            </w:tcMar>
          </w:tcPr>
          <w:p w14:paraId="1186B244" w14:textId="77777777" w:rsidR="009C6B67" w:rsidRPr="007901FD" w:rsidRDefault="009C6B67" w:rsidP="000D1099">
            <w:pPr>
              <w:pStyle w:val="TableBody"/>
              <w:jc w:val="both"/>
            </w:pPr>
            <w:r>
              <w:t>40</w:t>
            </w:r>
          </w:p>
        </w:tc>
        <w:tc>
          <w:tcPr>
            <w:tcW w:w="937" w:type="dxa"/>
            <w:shd w:val="clear" w:color="auto" w:fill="F2F2F2" w:themeFill="background1" w:themeFillShade="F2"/>
            <w:tcMar>
              <w:top w:w="85" w:type="dxa"/>
              <w:left w:w="108" w:type="dxa"/>
              <w:bottom w:w="85" w:type="dxa"/>
              <w:right w:w="108" w:type="dxa"/>
            </w:tcMar>
          </w:tcPr>
          <w:p w14:paraId="77719585" w14:textId="77777777" w:rsidR="009C6B67" w:rsidRPr="007901FD" w:rsidRDefault="009C6B67" w:rsidP="000D1099">
            <w:pPr>
              <w:pStyle w:val="TableBody"/>
            </w:pPr>
          </w:p>
        </w:tc>
        <w:tc>
          <w:tcPr>
            <w:tcW w:w="1078" w:type="dxa"/>
            <w:shd w:val="clear" w:color="auto" w:fill="F2F2F2" w:themeFill="background1" w:themeFillShade="F2"/>
            <w:tcMar>
              <w:top w:w="85" w:type="dxa"/>
              <w:left w:w="108" w:type="dxa"/>
              <w:bottom w:w="85" w:type="dxa"/>
              <w:right w:w="108" w:type="dxa"/>
            </w:tcMar>
          </w:tcPr>
          <w:p w14:paraId="5B81FFB5" w14:textId="77777777" w:rsidR="009C6B67" w:rsidRPr="007901FD" w:rsidRDefault="009C6B67" w:rsidP="000D1099">
            <w:pPr>
              <w:pStyle w:val="TableBody"/>
            </w:pPr>
            <w:r w:rsidRPr="007901FD">
              <w:t>40</w:t>
            </w:r>
          </w:p>
        </w:tc>
        <w:tc>
          <w:tcPr>
            <w:tcW w:w="950" w:type="dxa"/>
            <w:shd w:val="clear" w:color="auto" w:fill="F2F2F2" w:themeFill="background1" w:themeFillShade="F2"/>
            <w:tcMar>
              <w:top w:w="85" w:type="dxa"/>
              <w:left w:w="108" w:type="dxa"/>
              <w:bottom w:w="85" w:type="dxa"/>
              <w:right w:w="108" w:type="dxa"/>
            </w:tcMar>
          </w:tcPr>
          <w:p w14:paraId="253BAE47" w14:textId="77777777" w:rsidR="009C6B67" w:rsidRPr="007901FD" w:rsidRDefault="009C6B67" w:rsidP="000D1099">
            <w:pPr>
              <w:pStyle w:val="TableBody"/>
            </w:pPr>
          </w:p>
        </w:tc>
        <w:tc>
          <w:tcPr>
            <w:tcW w:w="3826" w:type="dxa"/>
            <w:shd w:val="clear" w:color="auto" w:fill="F2F2F2" w:themeFill="background1" w:themeFillShade="F2"/>
            <w:tcMar>
              <w:top w:w="85" w:type="dxa"/>
              <w:left w:w="108" w:type="dxa"/>
              <w:bottom w:w="85" w:type="dxa"/>
              <w:right w:w="108" w:type="dxa"/>
            </w:tcMar>
          </w:tcPr>
          <w:p w14:paraId="7D99A65E" w14:textId="77777777" w:rsidR="009C6B67" w:rsidRPr="007901FD" w:rsidRDefault="009C6B67" w:rsidP="000D1099">
            <w:pPr>
              <w:keepNext/>
              <w:spacing w:after="0" w:line="240" w:lineRule="auto"/>
            </w:pPr>
          </w:p>
        </w:tc>
      </w:tr>
      <w:tr w:rsidR="009C6B67" w14:paraId="4860878D" w14:textId="77777777" w:rsidTr="003322B4">
        <w:tc>
          <w:tcPr>
            <w:tcW w:w="824" w:type="dxa"/>
            <w:shd w:val="clear" w:color="auto" w:fill="auto"/>
            <w:tcMar>
              <w:top w:w="85" w:type="dxa"/>
              <w:left w:w="108" w:type="dxa"/>
              <w:bottom w:w="85" w:type="dxa"/>
              <w:right w:w="108" w:type="dxa"/>
            </w:tcMar>
          </w:tcPr>
          <w:p w14:paraId="5E4FFA7F" w14:textId="77777777" w:rsidR="009C6B67" w:rsidRDefault="009C6B67" w:rsidP="000D1099">
            <w:pPr>
              <w:pStyle w:val="TableBody"/>
            </w:pPr>
          </w:p>
        </w:tc>
        <w:tc>
          <w:tcPr>
            <w:tcW w:w="1441" w:type="dxa"/>
            <w:shd w:val="clear" w:color="auto" w:fill="auto"/>
            <w:tcMar>
              <w:top w:w="85" w:type="dxa"/>
              <w:left w:w="108" w:type="dxa"/>
              <w:bottom w:w="85" w:type="dxa"/>
              <w:right w:w="108" w:type="dxa"/>
            </w:tcMar>
          </w:tcPr>
          <w:p w14:paraId="3D49B9BF" w14:textId="77777777" w:rsidR="009C6B67" w:rsidRDefault="009C6B67" w:rsidP="000D1099">
            <w:pPr>
              <w:pStyle w:val="TableBody"/>
              <w:jc w:val="center"/>
            </w:pPr>
          </w:p>
        </w:tc>
        <w:tc>
          <w:tcPr>
            <w:tcW w:w="867" w:type="dxa"/>
            <w:shd w:val="clear" w:color="auto" w:fill="auto"/>
            <w:tcMar>
              <w:top w:w="85" w:type="dxa"/>
              <w:left w:w="108" w:type="dxa"/>
              <w:bottom w:w="85" w:type="dxa"/>
              <w:right w:w="108" w:type="dxa"/>
            </w:tcMar>
            <w:hideMark/>
          </w:tcPr>
          <w:p w14:paraId="5067A589" w14:textId="77777777" w:rsidR="009C6B67" w:rsidRDefault="009C6B67" w:rsidP="000D1099">
            <w:pPr>
              <w:pStyle w:val="TableBody"/>
              <w:jc w:val="both"/>
            </w:pPr>
            <w:r>
              <w:t>868</w:t>
            </w:r>
          </w:p>
        </w:tc>
        <w:tc>
          <w:tcPr>
            <w:tcW w:w="937" w:type="dxa"/>
            <w:shd w:val="clear" w:color="auto" w:fill="auto"/>
            <w:tcMar>
              <w:top w:w="85" w:type="dxa"/>
              <w:left w:w="108" w:type="dxa"/>
              <w:bottom w:w="85" w:type="dxa"/>
              <w:right w:w="108" w:type="dxa"/>
            </w:tcMar>
            <w:vAlign w:val="bottom"/>
            <w:hideMark/>
          </w:tcPr>
          <w:p w14:paraId="334647BF" w14:textId="0767DBEF" w:rsidR="009C6B67" w:rsidRDefault="009C6B67" w:rsidP="000D1099">
            <w:pPr>
              <w:pStyle w:val="TableBody"/>
            </w:pPr>
            <w:r>
              <w:t>8</w:t>
            </w:r>
            <w:r w:rsidR="008D7282">
              <w:t>0</w:t>
            </w:r>
            <w:r>
              <w:t>8</w:t>
            </w:r>
          </w:p>
        </w:tc>
        <w:tc>
          <w:tcPr>
            <w:tcW w:w="1078" w:type="dxa"/>
            <w:shd w:val="clear" w:color="auto" w:fill="auto"/>
            <w:tcMar>
              <w:top w:w="85" w:type="dxa"/>
              <w:left w:w="108" w:type="dxa"/>
              <w:bottom w:w="85" w:type="dxa"/>
              <w:right w:w="108" w:type="dxa"/>
            </w:tcMar>
            <w:vAlign w:val="bottom"/>
            <w:hideMark/>
          </w:tcPr>
          <w:p w14:paraId="2A3B2F19" w14:textId="71597A67" w:rsidR="009C6B67" w:rsidRDefault="009C6B67" w:rsidP="000D1099">
            <w:pPr>
              <w:pStyle w:val="TableBody"/>
            </w:pPr>
            <w:r>
              <w:t>7</w:t>
            </w:r>
            <w:r w:rsidR="001D7CAF">
              <w:t>5</w:t>
            </w:r>
            <w:r>
              <w:t>8</w:t>
            </w:r>
            <w:r w:rsidR="00A450B3">
              <w:t>-</w:t>
            </w:r>
            <w:r w:rsidR="005A63F2">
              <w:t>833</w:t>
            </w:r>
          </w:p>
        </w:tc>
        <w:tc>
          <w:tcPr>
            <w:tcW w:w="950" w:type="dxa"/>
            <w:shd w:val="clear" w:color="auto" w:fill="auto"/>
            <w:tcMar>
              <w:top w:w="85" w:type="dxa"/>
              <w:left w:w="108" w:type="dxa"/>
              <w:bottom w:w="85" w:type="dxa"/>
              <w:right w:w="108" w:type="dxa"/>
            </w:tcMar>
            <w:vAlign w:val="bottom"/>
            <w:hideMark/>
          </w:tcPr>
          <w:p w14:paraId="3B8A9B36" w14:textId="67E07E69" w:rsidR="009C6B67" w:rsidRDefault="00116631" w:rsidP="000D1099">
            <w:pPr>
              <w:pStyle w:val="TableBody"/>
            </w:pPr>
            <w:r>
              <w:t>688</w:t>
            </w:r>
          </w:p>
        </w:tc>
        <w:tc>
          <w:tcPr>
            <w:tcW w:w="3826" w:type="dxa"/>
            <w:shd w:val="clear" w:color="auto" w:fill="auto"/>
            <w:tcMar>
              <w:top w:w="85" w:type="dxa"/>
              <w:left w:w="108" w:type="dxa"/>
              <w:bottom w:w="85" w:type="dxa"/>
              <w:right w:w="108" w:type="dxa"/>
            </w:tcMar>
          </w:tcPr>
          <w:p w14:paraId="4F714B3F" w14:textId="77777777" w:rsidR="009C6B67" w:rsidRDefault="009C6B67" w:rsidP="000D1099">
            <w:pPr>
              <w:pStyle w:val="TableBody"/>
              <w:jc w:val="center"/>
            </w:pPr>
          </w:p>
        </w:tc>
      </w:tr>
    </w:tbl>
    <w:p w14:paraId="3A3D19FE" w14:textId="77777777" w:rsidR="002019B4" w:rsidRPr="002019B4" w:rsidRDefault="002019B4" w:rsidP="003322B4">
      <w:pPr>
        <w:spacing w:after="0"/>
        <w:rPr>
          <w:rFonts w:ascii="Calibri" w:eastAsiaTheme="minorHAnsi" w:hAnsi="Calibri" w:cs="Calibri"/>
          <w:sz w:val="22"/>
          <w:szCs w:val="22"/>
          <w:lang w:eastAsia="en-US"/>
        </w:rPr>
      </w:pPr>
    </w:p>
    <w:p w14:paraId="1F83D723" w14:textId="7CDC8871" w:rsidR="009A4015" w:rsidRPr="004A70E6" w:rsidRDefault="009A4015" w:rsidP="003322B4">
      <w:pPr>
        <w:pStyle w:val="Tableorfigurenote"/>
        <w:spacing w:before="0" w:after="40"/>
        <w:rPr>
          <w:lang w:eastAsia="en-US"/>
        </w:rPr>
      </w:pPr>
      <w:r w:rsidRPr="004A70E6">
        <w:rPr>
          <w:lang w:eastAsia="en-US"/>
        </w:rPr>
        <w:t xml:space="preserve">Note 1: </w:t>
      </w:r>
      <w:r w:rsidR="0011653C" w:rsidRPr="004A70E6">
        <w:rPr>
          <w:lang w:eastAsia="en-US"/>
        </w:rPr>
        <w:tab/>
      </w:r>
      <w:r w:rsidRPr="004A70E6">
        <w:rPr>
          <w:lang w:eastAsia="en-US"/>
        </w:rPr>
        <w:t xml:space="preserve">This reflects current arrangements in the 3400-3700 MHz band. However, as stated in the paper </w:t>
      </w:r>
      <w:hyperlink r:id="rId91" w:history="1">
        <w:r w:rsidRPr="004A70E6">
          <w:rPr>
            <w:rStyle w:val="Hyperlink"/>
            <w:i w:val="0"/>
            <w:iCs/>
            <w:sz w:val="18"/>
            <w:szCs w:val="18"/>
            <w:lang w:eastAsia="en-US"/>
          </w:rPr>
          <w:t>Optimising arrangements for the 3400-3575 MHz band</w:t>
        </w:r>
        <w:r w:rsidR="007D553B">
          <w:rPr>
            <w:rStyle w:val="Hyperlink"/>
            <w:i w:val="0"/>
            <w:iCs/>
            <w:sz w:val="18"/>
            <w:szCs w:val="18"/>
            <w:lang w:eastAsia="en-US"/>
          </w:rPr>
          <w:t>—</w:t>
        </w:r>
        <w:r w:rsidRPr="004A70E6">
          <w:rPr>
            <w:rStyle w:val="Hyperlink"/>
            <w:i w:val="0"/>
            <w:iCs/>
            <w:sz w:val="18"/>
            <w:szCs w:val="18"/>
            <w:lang w:eastAsia="en-US"/>
          </w:rPr>
          <w:t>Planning decisions and preliminary views</w:t>
        </w:r>
      </w:hyperlink>
      <w:r w:rsidRPr="004A70E6">
        <w:rPr>
          <w:lang w:eastAsia="en-US"/>
        </w:rPr>
        <w:t xml:space="preserve">, the ACMA is working towards making the entire 3400-3700 MHz band available for WBB Australia-wide under a combination of spectrum and apparatus licence arrangements. This includes: </w:t>
      </w:r>
    </w:p>
    <w:p w14:paraId="1FE128FE" w14:textId="77777777" w:rsidR="009A4015" w:rsidRPr="004A70E6" w:rsidRDefault="009A4015" w:rsidP="003322B4">
      <w:pPr>
        <w:pStyle w:val="Tableorfigurenote"/>
        <w:numPr>
          <w:ilvl w:val="0"/>
          <w:numId w:val="40"/>
        </w:numPr>
        <w:spacing w:before="0" w:after="0"/>
        <w:ind w:left="425" w:hanging="425"/>
        <w:rPr>
          <w:lang w:eastAsia="en-US"/>
        </w:rPr>
      </w:pPr>
      <w:r w:rsidRPr="004A70E6">
        <w:rPr>
          <w:lang w:eastAsia="en-US"/>
        </w:rPr>
        <w:t>Metro: 300 MHz SL</w:t>
      </w:r>
    </w:p>
    <w:p w14:paraId="1BEE527F" w14:textId="38D3E0CA" w:rsidR="009A4015" w:rsidRPr="004A70E6" w:rsidRDefault="009A4015" w:rsidP="003322B4">
      <w:pPr>
        <w:pStyle w:val="Tableorfigurenote"/>
        <w:numPr>
          <w:ilvl w:val="0"/>
          <w:numId w:val="40"/>
        </w:numPr>
        <w:spacing w:before="0" w:after="0"/>
        <w:ind w:left="425" w:hanging="425"/>
        <w:rPr>
          <w:lang w:eastAsia="en-US"/>
        </w:rPr>
      </w:pPr>
      <w:r w:rsidRPr="004A70E6">
        <w:rPr>
          <w:lang w:eastAsia="en-US"/>
        </w:rPr>
        <w:t>Regional: 35</w:t>
      </w:r>
      <w:r w:rsidR="007D553B">
        <w:rPr>
          <w:lang w:eastAsia="en-US"/>
        </w:rPr>
        <w:t>–</w:t>
      </w:r>
      <w:r w:rsidRPr="004A70E6">
        <w:rPr>
          <w:lang w:eastAsia="en-US"/>
        </w:rPr>
        <w:t>67.5 MHz AL, 232.5</w:t>
      </w:r>
      <w:r w:rsidR="007D553B">
        <w:rPr>
          <w:lang w:eastAsia="en-US"/>
        </w:rPr>
        <w:t>–</w:t>
      </w:r>
      <w:r w:rsidRPr="004A70E6">
        <w:rPr>
          <w:lang w:eastAsia="en-US"/>
        </w:rPr>
        <w:t>265 MHz SL</w:t>
      </w:r>
    </w:p>
    <w:p w14:paraId="20DF8AC9" w14:textId="1DB23A29" w:rsidR="009A4015" w:rsidRPr="004A70E6" w:rsidRDefault="009A4015" w:rsidP="003322B4">
      <w:pPr>
        <w:pStyle w:val="Tableorfigurenote"/>
        <w:numPr>
          <w:ilvl w:val="0"/>
          <w:numId w:val="40"/>
        </w:numPr>
        <w:spacing w:before="0"/>
        <w:ind w:left="425" w:hanging="425"/>
        <w:rPr>
          <w:lang w:eastAsia="en-US"/>
        </w:rPr>
      </w:pPr>
      <w:r w:rsidRPr="004A70E6">
        <w:rPr>
          <w:lang w:eastAsia="en-US"/>
        </w:rPr>
        <w:t>Remote: 300 MHz AL</w:t>
      </w:r>
      <w:r w:rsidR="007D553B">
        <w:rPr>
          <w:lang w:eastAsia="en-US"/>
        </w:rPr>
        <w:t>.</w:t>
      </w:r>
      <w:r w:rsidRPr="004A70E6">
        <w:rPr>
          <w:lang w:eastAsia="en-US"/>
        </w:rPr>
        <w:t xml:space="preserve"> </w:t>
      </w:r>
    </w:p>
    <w:p w14:paraId="262F4DBE" w14:textId="66B679E9" w:rsidR="002069A3" w:rsidRDefault="002069A3" w:rsidP="003322B4">
      <w:pPr>
        <w:pStyle w:val="Tableorfigurenote"/>
      </w:pPr>
      <w:r>
        <w:br w:type="page"/>
      </w:r>
    </w:p>
    <w:p w14:paraId="6A04A7B8" w14:textId="454FFE2A" w:rsidR="0029346F" w:rsidRPr="00EA5418" w:rsidRDefault="0029346F" w:rsidP="0029346F">
      <w:pPr>
        <w:pStyle w:val="Heading1"/>
      </w:pPr>
      <w:bookmarkStart w:id="165" w:name="_Appendix_D:_Television"/>
      <w:bookmarkStart w:id="166" w:name="_Appendix_E:_Television"/>
      <w:bookmarkStart w:id="167" w:name="_Ref40442337"/>
      <w:bookmarkStart w:id="168" w:name="_Toc40788129"/>
      <w:bookmarkStart w:id="169" w:name="_Ref43827268"/>
      <w:bookmarkStart w:id="170" w:name="_Toc46316398"/>
      <w:bookmarkEnd w:id="165"/>
      <w:bookmarkEnd w:id="166"/>
      <w:r w:rsidRPr="00EA5418">
        <w:lastRenderedPageBreak/>
        <w:t xml:space="preserve">Appendix </w:t>
      </w:r>
      <w:r w:rsidR="006D77F7">
        <w:t>E</w:t>
      </w:r>
      <w:r w:rsidRPr="00EA5418">
        <w:t xml:space="preserve">: </w:t>
      </w:r>
      <w:r w:rsidR="00BD3E22">
        <w:t>Television outside broadcast</w:t>
      </w:r>
      <w:r w:rsidRPr="00EA5418">
        <w:t xml:space="preserve"> and </w:t>
      </w:r>
      <w:r w:rsidR="00BD3E22">
        <w:t>wireless broadband</w:t>
      </w:r>
      <w:r w:rsidRPr="00EA5418">
        <w:t xml:space="preserve"> sharing study</w:t>
      </w:r>
      <w:bookmarkEnd w:id="167"/>
      <w:bookmarkEnd w:id="168"/>
      <w:bookmarkEnd w:id="169"/>
      <w:bookmarkEnd w:id="170"/>
    </w:p>
    <w:p w14:paraId="4FA32BFD" w14:textId="393BAB1C" w:rsidR="0029346F" w:rsidRDefault="0029346F" w:rsidP="0029346F">
      <w:r w:rsidRPr="00EA5418">
        <w:t xml:space="preserve">The aim of this study is to identify areas where </w:t>
      </w:r>
      <w:r w:rsidR="007F6936">
        <w:t>wireless broadband</w:t>
      </w:r>
      <w:r w:rsidRPr="00EA5418">
        <w:t xml:space="preserve"> service deployment could be restricted due to interference to existing licensed </w:t>
      </w:r>
      <w:r w:rsidR="00EA5418">
        <w:t>TOB services</w:t>
      </w:r>
      <w:r>
        <w:t>.</w:t>
      </w:r>
      <w:r w:rsidR="001621B3">
        <w:t xml:space="preserve"> </w:t>
      </w:r>
      <w:r>
        <w:t xml:space="preserve">It considers cochannel interference from a macro base station to </w:t>
      </w:r>
      <w:r w:rsidR="00EA5418">
        <w:t>TOB</w:t>
      </w:r>
      <w:r w:rsidR="00EF5B4D">
        <w:t xml:space="preserve"> receive</w:t>
      </w:r>
      <w:r>
        <w:t xml:space="preserve"> stations in Melbourne</w:t>
      </w:r>
      <w:r w:rsidR="00647203">
        <w:t xml:space="preserve"> and is indicative of</w:t>
      </w:r>
      <w:r>
        <w:t xml:space="preserve"> metropolitan areas with low </w:t>
      </w:r>
      <w:r w:rsidR="00EA5418">
        <w:t>TOB service</w:t>
      </w:r>
      <w:r>
        <w:t xml:space="preserve"> incumbency. </w:t>
      </w:r>
    </w:p>
    <w:p w14:paraId="05E350F9" w14:textId="77777777" w:rsidR="0029346F" w:rsidRPr="00EA5418" w:rsidRDefault="0029346F" w:rsidP="0029346F">
      <w:pPr>
        <w:pStyle w:val="Heading2"/>
      </w:pPr>
      <w:bookmarkStart w:id="171" w:name="_Toc40788130"/>
      <w:bookmarkStart w:id="172" w:name="_Toc46316399"/>
      <w:r w:rsidRPr="00EA5418">
        <w:t>Study parameters</w:t>
      </w:r>
      <w:bookmarkEnd w:id="171"/>
      <w:bookmarkEnd w:id="172"/>
    </w:p>
    <w:p w14:paraId="7CA60A90" w14:textId="77777777" w:rsidR="0029346F" w:rsidRPr="00EA5418" w:rsidRDefault="0029346F" w:rsidP="0029346F">
      <w:pPr>
        <w:pStyle w:val="Heading3"/>
      </w:pPr>
      <w:r w:rsidRPr="00EA5418">
        <w:t>Wireless broadband parameters</w:t>
      </w:r>
    </w:p>
    <w:p w14:paraId="08F039AA" w14:textId="3D1C3200" w:rsidR="0029346F" w:rsidRDefault="004C52BB" w:rsidP="0029346F">
      <w:r>
        <w:t xml:space="preserve">The </w:t>
      </w:r>
      <w:r w:rsidR="00D74C87">
        <w:t>wireless broadband parameters used in the analyses are based</w:t>
      </w:r>
      <w:r w:rsidR="00875006">
        <w:t xml:space="preserve"> on</w:t>
      </w:r>
      <w:r w:rsidR="0029346F">
        <w:t xml:space="preserve"> </w:t>
      </w:r>
      <w:hyperlink r:id="rId92">
        <w:r w:rsidR="0029346F" w:rsidRPr="24D09117">
          <w:rPr>
            <w:rStyle w:val="Hyperlink"/>
          </w:rPr>
          <w:t>Report ITU-R M.2292</w:t>
        </w:r>
      </w:hyperlink>
      <w:r w:rsidR="0029346F">
        <w:t xml:space="preserve"> (M.2292) </w:t>
      </w:r>
      <w:r w:rsidR="00F02A13">
        <w:t xml:space="preserve">that </w:t>
      </w:r>
      <w:r w:rsidR="0029346F">
        <w:t xml:space="preserve">contains information on parameters to use in sharing studies involving 4G systems. For the purposes of this study, 4G system characteristics and parameters in the </w:t>
      </w:r>
      <w:r w:rsidR="00EA5418">
        <w:t>2</w:t>
      </w:r>
      <w:r w:rsidR="004B655F">
        <w:t>.1</w:t>
      </w:r>
      <w:r w:rsidR="0029346F">
        <w:t> GHz range of M.2292 were assumed for the cochannel cases.</w:t>
      </w:r>
    </w:p>
    <w:p w14:paraId="02E0F246" w14:textId="5F57B7A7" w:rsidR="0029346F" w:rsidRPr="00C8260A" w:rsidRDefault="0029346F" w:rsidP="0029346F">
      <w:r>
        <w:t xml:space="preserve">Interference was modelled on a per MHz basis. This was done because it removes the need to adjust the level of received interference based on the amount of frequency overlap between the systems being studied (which can vary depending on the case). It also ensures the same level of protection is provided from a single-entry interferer for every MHz over which the receiver operates. This effectively means the study assumes that a single (or, alternatively, multiple-adjacent) </w:t>
      </w:r>
      <w:r w:rsidR="007F6936">
        <w:t>wireless broadband</w:t>
      </w:r>
      <w:r>
        <w:t xml:space="preserve"> transmitter occupies the entire operational bandwidth of the </w:t>
      </w:r>
      <w:r w:rsidR="00EA5418">
        <w:t xml:space="preserve">TOB </w:t>
      </w:r>
      <w:r>
        <w:t xml:space="preserve">receiver. </w:t>
      </w:r>
    </w:p>
    <w:p w14:paraId="450CFE96" w14:textId="75722A13" w:rsidR="0029346F" w:rsidRPr="00EA5418" w:rsidRDefault="0029346F" w:rsidP="003322B4">
      <w:pPr>
        <w:pStyle w:val="ACMATableHeader"/>
        <w:tabs>
          <w:tab w:val="clear" w:pos="1957"/>
          <w:tab w:val="num" w:pos="993"/>
        </w:tabs>
        <w:ind w:left="993" w:hanging="993"/>
      </w:pPr>
      <w:r w:rsidRPr="00EA5418">
        <w:t xml:space="preserve">Wireless broadband </w:t>
      </w:r>
      <w:r w:rsidR="00183530">
        <w:t>co</w:t>
      </w:r>
      <w:r w:rsidR="004728E3">
        <w:t xml:space="preserve">channel </w:t>
      </w:r>
      <w:r w:rsidRPr="00EA5418">
        <w:t>study parameters</w:t>
      </w:r>
    </w:p>
    <w:tbl>
      <w:tblPr>
        <w:tblW w:w="8999"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bottom w:w="57" w:type="dxa"/>
        </w:tblCellMar>
        <w:tblLook w:val="0600" w:firstRow="0" w:lastRow="0" w:firstColumn="0" w:lastColumn="0" w:noHBand="1" w:noVBand="1"/>
      </w:tblPr>
      <w:tblGrid>
        <w:gridCol w:w="2904"/>
        <w:gridCol w:w="1134"/>
        <w:gridCol w:w="709"/>
        <w:gridCol w:w="4252"/>
      </w:tblGrid>
      <w:tr w:rsidR="003322B4" w:rsidRPr="006A7F44" w14:paraId="161F5B29" w14:textId="77777777" w:rsidTr="003322B4">
        <w:trPr>
          <w:cantSplit/>
          <w:trHeight w:val="315"/>
        </w:trPr>
        <w:tc>
          <w:tcPr>
            <w:tcW w:w="2904" w:type="dxa"/>
            <w:shd w:val="clear" w:color="auto" w:fill="404040" w:themeFill="text1" w:themeFillTint="BF"/>
            <w:tcMar>
              <w:top w:w="0" w:type="dxa"/>
              <w:left w:w="0" w:type="dxa"/>
              <w:bottom w:w="0" w:type="dxa"/>
              <w:right w:w="0" w:type="dxa"/>
            </w:tcMar>
            <w:vAlign w:val="center"/>
            <w:hideMark/>
          </w:tcPr>
          <w:p w14:paraId="1E8FA929" w14:textId="72276D27" w:rsidR="0029346F" w:rsidRPr="006A7F44" w:rsidRDefault="00B57AC7" w:rsidP="0029346F">
            <w:pPr>
              <w:pStyle w:val="TableHeading0"/>
              <w:rPr>
                <w:color w:val="FFFFFF" w:themeColor="background1"/>
              </w:rPr>
            </w:pPr>
            <w:r>
              <w:rPr>
                <w:color w:val="FFFFFF" w:themeColor="background1"/>
              </w:rPr>
              <w:t xml:space="preserve"> </w:t>
            </w:r>
            <w:r w:rsidR="0029346F" w:rsidRPr="006A7F44">
              <w:rPr>
                <w:color w:val="FFFFFF" w:themeColor="background1"/>
              </w:rPr>
              <w:t>Parameter</w:t>
            </w:r>
          </w:p>
        </w:tc>
        <w:tc>
          <w:tcPr>
            <w:tcW w:w="1134" w:type="dxa"/>
            <w:shd w:val="clear" w:color="auto" w:fill="404040" w:themeFill="text1" w:themeFillTint="BF"/>
            <w:tcMar>
              <w:top w:w="0" w:type="dxa"/>
              <w:left w:w="0" w:type="dxa"/>
              <w:bottom w:w="0" w:type="dxa"/>
              <w:right w:w="0" w:type="dxa"/>
            </w:tcMar>
            <w:vAlign w:val="center"/>
            <w:hideMark/>
          </w:tcPr>
          <w:p w14:paraId="08594AF0" w14:textId="77777777" w:rsidR="0029346F" w:rsidRPr="006A7F44" w:rsidRDefault="0029346F" w:rsidP="00C4114C">
            <w:pPr>
              <w:pStyle w:val="TableHeading0"/>
              <w:jc w:val="center"/>
              <w:rPr>
                <w:color w:val="FFFFFF" w:themeColor="background1"/>
              </w:rPr>
            </w:pPr>
            <w:r w:rsidRPr="006A7F44">
              <w:rPr>
                <w:color w:val="FFFFFF" w:themeColor="background1"/>
              </w:rPr>
              <w:t>Unit</w:t>
            </w:r>
          </w:p>
        </w:tc>
        <w:tc>
          <w:tcPr>
            <w:tcW w:w="709" w:type="dxa"/>
            <w:shd w:val="clear" w:color="auto" w:fill="404040" w:themeFill="text1" w:themeFillTint="BF"/>
            <w:tcMar>
              <w:top w:w="0" w:type="dxa"/>
              <w:left w:w="0" w:type="dxa"/>
              <w:bottom w:w="0" w:type="dxa"/>
              <w:right w:w="0" w:type="dxa"/>
            </w:tcMar>
            <w:vAlign w:val="center"/>
            <w:hideMark/>
          </w:tcPr>
          <w:p w14:paraId="649C7FC6" w14:textId="77777777" w:rsidR="0029346F" w:rsidRPr="006A7F44" w:rsidRDefault="0029346F">
            <w:pPr>
              <w:pStyle w:val="TableHeading0"/>
              <w:jc w:val="center"/>
              <w:rPr>
                <w:color w:val="FFFFFF" w:themeColor="background1"/>
              </w:rPr>
            </w:pPr>
            <w:r>
              <w:rPr>
                <w:color w:val="FFFFFF" w:themeColor="background1"/>
              </w:rPr>
              <w:t>Value</w:t>
            </w:r>
          </w:p>
        </w:tc>
        <w:tc>
          <w:tcPr>
            <w:tcW w:w="4252" w:type="dxa"/>
            <w:shd w:val="clear" w:color="auto" w:fill="404040" w:themeFill="text1" w:themeFillTint="BF"/>
            <w:vAlign w:val="center"/>
          </w:tcPr>
          <w:p w14:paraId="62DEBDAC" w14:textId="77777777" w:rsidR="0029346F" w:rsidRPr="006A7F44" w:rsidRDefault="0029346F" w:rsidP="003322B4">
            <w:pPr>
              <w:pStyle w:val="TableHeading0"/>
              <w:ind w:left="136"/>
              <w:jc w:val="center"/>
              <w:rPr>
                <w:color w:val="FFFFFF" w:themeColor="background1"/>
              </w:rPr>
            </w:pPr>
            <w:r>
              <w:rPr>
                <w:color w:val="FFFFFF" w:themeColor="background1"/>
              </w:rPr>
              <w:t>Justification</w:t>
            </w:r>
          </w:p>
        </w:tc>
      </w:tr>
      <w:tr w:rsidR="003322B4" w:rsidRPr="008061DC" w14:paraId="0AA7FE95" w14:textId="77777777" w:rsidTr="003322B4">
        <w:trPr>
          <w:cantSplit/>
          <w:trHeight w:val="300"/>
        </w:trPr>
        <w:tc>
          <w:tcPr>
            <w:tcW w:w="2904" w:type="dxa"/>
            <w:shd w:val="clear" w:color="auto" w:fill="auto"/>
            <w:tcMar>
              <w:top w:w="0" w:type="dxa"/>
              <w:left w:w="28" w:type="dxa"/>
              <w:bottom w:w="0" w:type="dxa"/>
              <w:right w:w="28" w:type="dxa"/>
            </w:tcMar>
            <w:vAlign w:val="center"/>
            <w:hideMark/>
          </w:tcPr>
          <w:p w14:paraId="4BF8E80B" w14:textId="4FB1C0BE" w:rsidR="0029346F" w:rsidRPr="008061DC" w:rsidRDefault="00B57AC7" w:rsidP="0029346F">
            <w:pPr>
              <w:pStyle w:val="TableBody"/>
            </w:pPr>
            <w:r>
              <w:t xml:space="preserve"> </w:t>
            </w:r>
            <w:r w:rsidR="0029346F" w:rsidRPr="008061DC">
              <w:t>Antenna height</w:t>
            </w:r>
          </w:p>
        </w:tc>
        <w:tc>
          <w:tcPr>
            <w:tcW w:w="1134" w:type="dxa"/>
            <w:shd w:val="clear" w:color="auto" w:fill="auto"/>
            <w:tcMar>
              <w:top w:w="0" w:type="dxa"/>
              <w:left w:w="28" w:type="dxa"/>
              <w:bottom w:w="0" w:type="dxa"/>
              <w:right w:w="28" w:type="dxa"/>
            </w:tcMar>
            <w:vAlign w:val="center"/>
            <w:hideMark/>
          </w:tcPr>
          <w:p w14:paraId="26EAD805" w14:textId="77777777" w:rsidR="0029346F" w:rsidRPr="008061DC" w:rsidRDefault="0029346F" w:rsidP="00C4114C">
            <w:pPr>
              <w:pStyle w:val="TableBody"/>
              <w:jc w:val="center"/>
            </w:pPr>
            <w:r w:rsidRPr="008061DC">
              <w:t>m</w:t>
            </w:r>
          </w:p>
        </w:tc>
        <w:tc>
          <w:tcPr>
            <w:tcW w:w="709" w:type="dxa"/>
            <w:shd w:val="clear" w:color="auto" w:fill="auto"/>
            <w:tcMar>
              <w:top w:w="0" w:type="dxa"/>
              <w:left w:w="28" w:type="dxa"/>
              <w:bottom w:w="0" w:type="dxa"/>
              <w:right w:w="28" w:type="dxa"/>
            </w:tcMar>
            <w:vAlign w:val="center"/>
            <w:hideMark/>
          </w:tcPr>
          <w:p w14:paraId="1A6E127B" w14:textId="77777777" w:rsidR="0029346F" w:rsidRPr="008061DC" w:rsidRDefault="0029346F" w:rsidP="00C4114C">
            <w:pPr>
              <w:pStyle w:val="TableBody"/>
              <w:jc w:val="center"/>
            </w:pPr>
            <w:r w:rsidRPr="008061DC">
              <w:t>25</w:t>
            </w:r>
          </w:p>
        </w:tc>
        <w:tc>
          <w:tcPr>
            <w:tcW w:w="4252" w:type="dxa"/>
            <w:shd w:val="clear" w:color="auto" w:fill="auto"/>
          </w:tcPr>
          <w:p w14:paraId="0BC7CA49" w14:textId="6715E476" w:rsidR="0029346F" w:rsidRPr="008061DC" w:rsidRDefault="0029346F" w:rsidP="003F7142">
            <w:pPr>
              <w:pStyle w:val="TableBody"/>
              <w:ind w:left="136"/>
            </w:pPr>
            <w:r w:rsidRPr="001A11B8">
              <w:t>From Rep. ITU-R M.2292</w:t>
            </w:r>
          </w:p>
        </w:tc>
      </w:tr>
      <w:tr w:rsidR="003322B4" w:rsidRPr="008061DC" w14:paraId="3DF7C9DF" w14:textId="77777777" w:rsidTr="003322B4">
        <w:trPr>
          <w:cantSplit/>
          <w:trHeight w:val="300"/>
        </w:trPr>
        <w:tc>
          <w:tcPr>
            <w:tcW w:w="2904" w:type="dxa"/>
            <w:shd w:val="clear" w:color="auto" w:fill="auto"/>
            <w:tcMar>
              <w:top w:w="0" w:type="dxa"/>
              <w:left w:w="28" w:type="dxa"/>
              <w:bottom w:w="0" w:type="dxa"/>
              <w:right w:w="28" w:type="dxa"/>
            </w:tcMar>
            <w:vAlign w:val="center"/>
            <w:hideMark/>
          </w:tcPr>
          <w:p w14:paraId="2E83E86A" w14:textId="0CCA8E29" w:rsidR="00DD0F56" w:rsidRPr="008061DC" w:rsidRDefault="00B57AC7" w:rsidP="001814D9">
            <w:pPr>
              <w:pStyle w:val="TableBody"/>
            </w:pPr>
            <w:r>
              <w:t xml:space="preserve"> </w:t>
            </w:r>
            <w:r w:rsidR="00BA50AD">
              <w:t>Channel</w:t>
            </w:r>
            <w:r w:rsidR="00DD0F56" w:rsidRPr="008061DC">
              <w:t xml:space="preserve"> bandwidth</w:t>
            </w:r>
          </w:p>
        </w:tc>
        <w:tc>
          <w:tcPr>
            <w:tcW w:w="1134" w:type="dxa"/>
            <w:shd w:val="clear" w:color="auto" w:fill="auto"/>
            <w:tcMar>
              <w:top w:w="0" w:type="dxa"/>
              <w:left w:w="28" w:type="dxa"/>
              <w:bottom w:w="0" w:type="dxa"/>
              <w:right w:w="28" w:type="dxa"/>
            </w:tcMar>
            <w:vAlign w:val="center"/>
            <w:hideMark/>
          </w:tcPr>
          <w:p w14:paraId="1577ECE6" w14:textId="77777777" w:rsidR="00DD0F56" w:rsidRPr="008061DC" w:rsidRDefault="00DD0F56" w:rsidP="001814D9">
            <w:pPr>
              <w:pStyle w:val="TableBody"/>
              <w:jc w:val="center"/>
            </w:pPr>
            <w:r w:rsidRPr="008061DC">
              <w:t>MHz</w:t>
            </w:r>
          </w:p>
        </w:tc>
        <w:tc>
          <w:tcPr>
            <w:tcW w:w="709" w:type="dxa"/>
            <w:shd w:val="clear" w:color="auto" w:fill="auto"/>
            <w:tcMar>
              <w:top w:w="0" w:type="dxa"/>
              <w:left w:w="28" w:type="dxa"/>
              <w:bottom w:w="0" w:type="dxa"/>
              <w:right w:w="28" w:type="dxa"/>
            </w:tcMar>
            <w:vAlign w:val="center"/>
            <w:hideMark/>
          </w:tcPr>
          <w:p w14:paraId="34C7E47C" w14:textId="77777777" w:rsidR="00DD0F56" w:rsidRPr="008061DC" w:rsidRDefault="00DD0F56" w:rsidP="001814D9">
            <w:pPr>
              <w:pStyle w:val="TableBody"/>
              <w:jc w:val="center"/>
            </w:pPr>
            <w:r>
              <w:t>5</w:t>
            </w:r>
          </w:p>
        </w:tc>
        <w:tc>
          <w:tcPr>
            <w:tcW w:w="4252" w:type="dxa"/>
            <w:shd w:val="clear" w:color="auto" w:fill="auto"/>
          </w:tcPr>
          <w:p w14:paraId="739533F9" w14:textId="77777777" w:rsidR="00DD0F56" w:rsidRPr="008061DC" w:rsidRDefault="00DD0F56" w:rsidP="003F7142">
            <w:pPr>
              <w:pStyle w:val="TableBody"/>
              <w:ind w:left="136"/>
            </w:pPr>
            <w:r>
              <w:t>From spectrum licence for the 2.1 GHz band</w:t>
            </w:r>
          </w:p>
        </w:tc>
      </w:tr>
      <w:tr w:rsidR="003322B4" w:rsidRPr="008061DC" w14:paraId="4A0496EF" w14:textId="77777777" w:rsidTr="003322B4">
        <w:trPr>
          <w:cantSplit/>
          <w:trHeight w:val="300"/>
        </w:trPr>
        <w:tc>
          <w:tcPr>
            <w:tcW w:w="2904" w:type="dxa"/>
            <w:shd w:val="clear" w:color="auto" w:fill="auto"/>
            <w:tcMar>
              <w:top w:w="0" w:type="dxa"/>
              <w:left w:w="28" w:type="dxa"/>
              <w:bottom w:w="0" w:type="dxa"/>
              <w:right w:w="28" w:type="dxa"/>
            </w:tcMar>
            <w:vAlign w:val="center"/>
            <w:hideMark/>
          </w:tcPr>
          <w:p w14:paraId="04DF8CDB" w14:textId="51BC81B3" w:rsidR="00E46690" w:rsidRPr="008061DC" w:rsidRDefault="00B57AC7" w:rsidP="00A67B62">
            <w:pPr>
              <w:pStyle w:val="TableBody"/>
            </w:pPr>
            <w:r>
              <w:t xml:space="preserve"> </w:t>
            </w:r>
            <w:r w:rsidR="00E46690">
              <w:t>Max EIRP</w:t>
            </w:r>
            <w:r w:rsidR="007C1607">
              <w:t xml:space="preserve"> per Ch</w:t>
            </w:r>
          </w:p>
        </w:tc>
        <w:tc>
          <w:tcPr>
            <w:tcW w:w="1134" w:type="dxa"/>
            <w:shd w:val="clear" w:color="auto" w:fill="auto"/>
            <w:tcMar>
              <w:top w:w="0" w:type="dxa"/>
              <w:left w:w="28" w:type="dxa"/>
              <w:bottom w:w="0" w:type="dxa"/>
              <w:right w:w="28" w:type="dxa"/>
            </w:tcMar>
            <w:vAlign w:val="center"/>
            <w:hideMark/>
          </w:tcPr>
          <w:p w14:paraId="0F2B5A72" w14:textId="77777777" w:rsidR="00E46690" w:rsidRPr="008061DC" w:rsidRDefault="00E46690" w:rsidP="00A67B62">
            <w:pPr>
              <w:pStyle w:val="TableBody"/>
              <w:jc w:val="center"/>
            </w:pPr>
            <w:r w:rsidRPr="008061DC">
              <w:t>dB</w:t>
            </w:r>
            <w:r>
              <w:t>W</w:t>
            </w:r>
          </w:p>
        </w:tc>
        <w:tc>
          <w:tcPr>
            <w:tcW w:w="709" w:type="dxa"/>
            <w:shd w:val="clear" w:color="auto" w:fill="auto"/>
            <w:tcMar>
              <w:top w:w="0" w:type="dxa"/>
              <w:left w:w="28" w:type="dxa"/>
              <w:bottom w:w="0" w:type="dxa"/>
              <w:right w:w="28" w:type="dxa"/>
            </w:tcMar>
            <w:vAlign w:val="center"/>
            <w:hideMark/>
          </w:tcPr>
          <w:p w14:paraId="0D397353" w14:textId="77777777" w:rsidR="00E46690" w:rsidRPr="00C4114C" w:rsidRDefault="00E46690" w:rsidP="00A67B62">
            <w:pPr>
              <w:pStyle w:val="TableBody"/>
              <w:jc w:val="center"/>
            </w:pPr>
            <w:r w:rsidRPr="00C4114C">
              <w:t>47.2</w:t>
            </w:r>
          </w:p>
        </w:tc>
        <w:tc>
          <w:tcPr>
            <w:tcW w:w="4252" w:type="dxa"/>
            <w:shd w:val="clear" w:color="auto" w:fill="auto"/>
          </w:tcPr>
          <w:p w14:paraId="7009FB8F" w14:textId="77777777" w:rsidR="00E46690" w:rsidRPr="008061DC" w:rsidRDefault="00E46690" w:rsidP="003F7142">
            <w:pPr>
              <w:pStyle w:val="TableBody"/>
              <w:ind w:left="136"/>
            </w:pPr>
            <w:r>
              <w:t>From spectrum licence for the 2.1 GHz band</w:t>
            </w:r>
          </w:p>
        </w:tc>
      </w:tr>
      <w:tr w:rsidR="003322B4" w:rsidRPr="008061DC" w14:paraId="13A9543B" w14:textId="77777777" w:rsidTr="003322B4">
        <w:trPr>
          <w:cantSplit/>
          <w:trHeight w:val="300"/>
        </w:trPr>
        <w:tc>
          <w:tcPr>
            <w:tcW w:w="2904" w:type="dxa"/>
            <w:shd w:val="clear" w:color="auto" w:fill="auto"/>
            <w:tcMar>
              <w:top w:w="0" w:type="dxa"/>
              <w:left w:w="28" w:type="dxa"/>
              <w:bottom w:w="0" w:type="dxa"/>
              <w:right w:w="28" w:type="dxa"/>
            </w:tcMar>
            <w:vAlign w:val="center"/>
            <w:hideMark/>
          </w:tcPr>
          <w:p w14:paraId="1A0CD0AE" w14:textId="47C8A2D1" w:rsidR="00BB6E9B" w:rsidRPr="008061DC" w:rsidRDefault="00B57AC7" w:rsidP="001814D9">
            <w:pPr>
              <w:pStyle w:val="TableBody"/>
            </w:pPr>
            <w:r>
              <w:rPr>
                <w:lang w:val="en-US"/>
              </w:rPr>
              <w:t xml:space="preserve"> </w:t>
            </w:r>
            <w:r w:rsidR="00BB6E9B">
              <w:rPr>
                <w:lang w:val="en-US"/>
              </w:rPr>
              <w:t>Max EIRP in</w:t>
            </w:r>
            <w:r w:rsidR="00BB6E9B" w:rsidRPr="008061DC">
              <w:rPr>
                <w:lang w:val="en-US"/>
              </w:rPr>
              <w:t xml:space="preserve"> 1 MHz</w:t>
            </w:r>
          </w:p>
        </w:tc>
        <w:tc>
          <w:tcPr>
            <w:tcW w:w="1134" w:type="dxa"/>
            <w:shd w:val="clear" w:color="auto" w:fill="auto"/>
            <w:tcMar>
              <w:top w:w="0" w:type="dxa"/>
              <w:left w:w="28" w:type="dxa"/>
              <w:bottom w:w="0" w:type="dxa"/>
              <w:right w:w="28" w:type="dxa"/>
            </w:tcMar>
            <w:vAlign w:val="center"/>
            <w:hideMark/>
          </w:tcPr>
          <w:p w14:paraId="78AE5F4D" w14:textId="77777777" w:rsidR="00BB6E9B" w:rsidRPr="008061DC" w:rsidRDefault="00BB6E9B" w:rsidP="001814D9">
            <w:pPr>
              <w:pStyle w:val="TableBody"/>
              <w:jc w:val="center"/>
            </w:pPr>
            <w:r w:rsidRPr="008061DC">
              <w:t>dBW</w:t>
            </w:r>
            <w:r>
              <w:t>/MHz</w:t>
            </w:r>
          </w:p>
        </w:tc>
        <w:tc>
          <w:tcPr>
            <w:tcW w:w="709" w:type="dxa"/>
            <w:shd w:val="clear" w:color="auto" w:fill="auto"/>
            <w:tcMar>
              <w:top w:w="0" w:type="dxa"/>
              <w:left w:w="28" w:type="dxa"/>
              <w:bottom w:w="0" w:type="dxa"/>
              <w:right w:w="28" w:type="dxa"/>
            </w:tcMar>
            <w:vAlign w:val="center"/>
            <w:hideMark/>
          </w:tcPr>
          <w:p w14:paraId="548B00BC" w14:textId="77777777" w:rsidR="00BB6E9B" w:rsidRPr="00C4114C" w:rsidRDefault="00BB6E9B" w:rsidP="001814D9">
            <w:pPr>
              <w:pStyle w:val="TableBody"/>
              <w:jc w:val="center"/>
            </w:pPr>
            <w:r w:rsidRPr="00C4114C">
              <w:t>40.2</w:t>
            </w:r>
          </w:p>
        </w:tc>
        <w:tc>
          <w:tcPr>
            <w:tcW w:w="4252" w:type="dxa"/>
            <w:shd w:val="clear" w:color="auto" w:fill="auto"/>
          </w:tcPr>
          <w:p w14:paraId="73A81E8F" w14:textId="71DEBDE8" w:rsidR="00BB6E9B" w:rsidRPr="008061DC" w:rsidRDefault="003F7142" w:rsidP="003F7142">
            <w:pPr>
              <w:pStyle w:val="TableBody"/>
              <w:ind w:left="136"/>
            </w:pPr>
            <w:r>
              <w:t>7 dB adjustment</w:t>
            </w:r>
          </w:p>
        </w:tc>
      </w:tr>
      <w:tr w:rsidR="003322B4" w:rsidRPr="008061DC" w14:paraId="7216E657" w14:textId="77777777" w:rsidTr="003322B4">
        <w:trPr>
          <w:cantSplit/>
          <w:trHeight w:val="300"/>
        </w:trPr>
        <w:tc>
          <w:tcPr>
            <w:tcW w:w="2904" w:type="dxa"/>
            <w:shd w:val="clear" w:color="auto" w:fill="auto"/>
            <w:tcMar>
              <w:top w:w="0" w:type="dxa"/>
              <w:left w:w="28" w:type="dxa"/>
              <w:bottom w:w="0" w:type="dxa"/>
              <w:right w:w="28" w:type="dxa"/>
            </w:tcMar>
            <w:vAlign w:val="center"/>
            <w:hideMark/>
          </w:tcPr>
          <w:p w14:paraId="69DE461C" w14:textId="03289DAC" w:rsidR="0029346F" w:rsidRPr="008061DC" w:rsidRDefault="00B57AC7" w:rsidP="0029346F">
            <w:pPr>
              <w:pStyle w:val="TableBody"/>
            </w:pPr>
            <w:r>
              <w:t xml:space="preserve"> </w:t>
            </w:r>
            <w:r w:rsidR="009A1A7D">
              <w:t xml:space="preserve">Median </w:t>
            </w:r>
            <w:r w:rsidR="00C4114C">
              <w:t>EIRP</w:t>
            </w:r>
            <w:r w:rsidR="0029346F">
              <w:t xml:space="preserve"> </w:t>
            </w:r>
            <w:r w:rsidR="0061599A">
              <w:t>per Ch</w:t>
            </w:r>
          </w:p>
        </w:tc>
        <w:tc>
          <w:tcPr>
            <w:tcW w:w="1134" w:type="dxa"/>
            <w:shd w:val="clear" w:color="auto" w:fill="auto"/>
            <w:tcMar>
              <w:top w:w="0" w:type="dxa"/>
              <w:left w:w="28" w:type="dxa"/>
              <w:bottom w:w="0" w:type="dxa"/>
              <w:right w:w="28" w:type="dxa"/>
            </w:tcMar>
            <w:vAlign w:val="center"/>
            <w:hideMark/>
          </w:tcPr>
          <w:p w14:paraId="0F3491EB" w14:textId="181DC1E7" w:rsidR="0029346F" w:rsidRPr="008061DC" w:rsidRDefault="0029346F" w:rsidP="00C4114C">
            <w:pPr>
              <w:pStyle w:val="TableBody"/>
              <w:jc w:val="center"/>
            </w:pPr>
            <w:r w:rsidRPr="008061DC">
              <w:t>dB</w:t>
            </w:r>
            <w:r w:rsidR="006344CB">
              <w:t>W</w:t>
            </w:r>
          </w:p>
        </w:tc>
        <w:tc>
          <w:tcPr>
            <w:tcW w:w="709" w:type="dxa"/>
            <w:shd w:val="clear" w:color="auto" w:fill="auto"/>
            <w:tcMar>
              <w:top w:w="0" w:type="dxa"/>
              <w:left w:w="28" w:type="dxa"/>
              <w:bottom w:w="0" w:type="dxa"/>
              <w:right w:w="28" w:type="dxa"/>
            </w:tcMar>
            <w:vAlign w:val="center"/>
            <w:hideMark/>
          </w:tcPr>
          <w:p w14:paraId="6ECE8D81" w14:textId="76C6FE68" w:rsidR="0029346F" w:rsidRPr="00C4114C" w:rsidRDefault="00E46690" w:rsidP="00C4114C">
            <w:pPr>
              <w:pStyle w:val="TableBody"/>
              <w:jc w:val="center"/>
            </w:pPr>
            <w:r>
              <w:t>3</w:t>
            </w:r>
            <w:r w:rsidR="00B14AC7">
              <w:t>0</w:t>
            </w:r>
          </w:p>
        </w:tc>
        <w:tc>
          <w:tcPr>
            <w:tcW w:w="4252" w:type="dxa"/>
            <w:shd w:val="clear" w:color="auto" w:fill="auto"/>
          </w:tcPr>
          <w:p w14:paraId="0517835B" w14:textId="0CB073EB" w:rsidR="0029346F" w:rsidRPr="008061DC" w:rsidRDefault="00E46690" w:rsidP="003F7142">
            <w:pPr>
              <w:pStyle w:val="TableBody"/>
              <w:ind w:left="136"/>
            </w:pPr>
            <w:r>
              <w:t>Median from 2.1 registrations</w:t>
            </w:r>
          </w:p>
        </w:tc>
      </w:tr>
      <w:tr w:rsidR="003322B4" w:rsidRPr="008061DC" w14:paraId="7D087BDB" w14:textId="77777777" w:rsidTr="003322B4">
        <w:trPr>
          <w:cantSplit/>
          <w:trHeight w:val="300"/>
        </w:trPr>
        <w:tc>
          <w:tcPr>
            <w:tcW w:w="2904" w:type="dxa"/>
            <w:shd w:val="clear" w:color="auto" w:fill="auto"/>
            <w:tcMar>
              <w:top w:w="0" w:type="dxa"/>
              <w:left w:w="28" w:type="dxa"/>
              <w:bottom w:w="0" w:type="dxa"/>
              <w:right w:w="28" w:type="dxa"/>
            </w:tcMar>
            <w:vAlign w:val="center"/>
            <w:hideMark/>
          </w:tcPr>
          <w:p w14:paraId="2CF6EF9E" w14:textId="3D0BB09C" w:rsidR="00BB6E9B" w:rsidRPr="008061DC" w:rsidRDefault="00B57AC7" w:rsidP="001814D9">
            <w:pPr>
              <w:pStyle w:val="TableBody"/>
            </w:pPr>
            <w:r>
              <w:rPr>
                <w:lang w:val="en-US"/>
              </w:rPr>
              <w:t xml:space="preserve"> </w:t>
            </w:r>
            <w:r w:rsidR="00BB6E9B">
              <w:rPr>
                <w:lang w:val="en-US"/>
              </w:rPr>
              <w:t>Median EIRP</w:t>
            </w:r>
            <w:r w:rsidR="00BB6E9B" w:rsidRPr="008061DC">
              <w:rPr>
                <w:lang w:val="en-US"/>
              </w:rPr>
              <w:t xml:space="preserve"> in 1 MHz</w:t>
            </w:r>
          </w:p>
        </w:tc>
        <w:tc>
          <w:tcPr>
            <w:tcW w:w="1134" w:type="dxa"/>
            <w:shd w:val="clear" w:color="auto" w:fill="auto"/>
            <w:tcMar>
              <w:top w:w="0" w:type="dxa"/>
              <w:left w:w="28" w:type="dxa"/>
              <w:bottom w:w="0" w:type="dxa"/>
              <w:right w:w="28" w:type="dxa"/>
            </w:tcMar>
            <w:vAlign w:val="center"/>
            <w:hideMark/>
          </w:tcPr>
          <w:p w14:paraId="18535C1D" w14:textId="77777777" w:rsidR="00BB6E9B" w:rsidRPr="008061DC" w:rsidRDefault="00BB6E9B" w:rsidP="001814D9">
            <w:pPr>
              <w:pStyle w:val="TableBody"/>
              <w:jc w:val="center"/>
            </w:pPr>
            <w:r w:rsidRPr="008061DC">
              <w:t>dBW</w:t>
            </w:r>
            <w:r>
              <w:t>/MHz</w:t>
            </w:r>
          </w:p>
        </w:tc>
        <w:tc>
          <w:tcPr>
            <w:tcW w:w="709" w:type="dxa"/>
            <w:shd w:val="clear" w:color="auto" w:fill="auto"/>
            <w:tcMar>
              <w:top w:w="0" w:type="dxa"/>
              <w:left w:w="28" w:type="dxa"/>
              <w:bottom w:w="0" w:type="dxa"/>
              <w:right w:w="28" w:type="dxa"/>
            </w:tcMar>
            <w:vAlign w:val="center"/>
            <w:hideMark/>
          </w:tcPr>
          <w:p w14:paraId="51018499" w14:textId="77777777" w:rsidR="00BB6E9B" w:rsidRPr="00C4114C" w:rsidRDefault="00BB6E9B" w:rsidP="001814D9">
            <w:pPr>
              <w:pStyle w:val="TableBody"/>
              <w:jc w:val="center"/>
            </w:pPr>
            <w:r>
              <w:t>23</w:t>
            </w:r>
          </w:p>
        </w:tc>
        <w:tc>
          <w:tcPr>
            <w:tcW w:w="4252" w:type="dxa"/>
            <w:shd w:val="clear" w:color="auto" w:fill="auto"/>
          </w:tcPr>
          <w:p w14:paraId="4248C709" w14:textId="1F210A32" w:rsidR="00BB6E9B" w:rsidRPr="008061DC" w:rsidRDefault="008021B9" w:rsidP="003F7142">
            <w:pPr>
              <w:pStyle w:val="TableBody"/>
              <w:ind w:left="136"/>
            </w:pPr>
            <w:r>
              <w:t>7 dB adjustment</w:t>
            </w:r>
          </w:p>
        </w:tc>
      </w:tr>
    </w:tbl>
    <w:p w14:paraId="099816A9" w14:textId="77777777" w:rsidR="0029346F" w:rsidRDefault="0029346F" w:rsidP="0029346F">
      <w:pPr>
        <w:rPr>
          <w:highlight w:val="yellow"/>
        </w:rPr>
      </w:pPr>
    </w:p>
    <w:p w14:paraId="2AAA0EEA" w14:textId="4E129B47" w:rsidR="0029346F" w:rsidRPr="00EA5418" w:rsidRDefault="00EA5418" w:rsidP="0029346F">
      <w:pPr>
        <w:pStyle w:val="Heading3"/>
      </w:pPr>
      <w:r w:rsidRPr="00EA5418">
        <w:t>TOB receive</w:t>
      </w:r>
      <w:r w:rsidR="0029346F" w:rsidRPr="00EA5418">
        <w:t xml:space="preserve"> station parameters</w:t>
      </w:r>
    </w:p>
    <w:p w14:paraId="590ADF5A" w14:textId="0E79788E" w:rsidR="0029346F" w:rsidRPr="00EA5418" w:rsidRDefault="0029346F" w:rsidP="0029346F">
      <w:r w:rsidRPr="009C3782">
        <w:t>Th</w:t>
      </w:r>
      <w:r w:rsidR="00F83C12">
        <w:t xml:space="preserve">is </w:t>
      </w:r>
      <w:r w:rsidR="005E1E1A">
        <w:t xml:space="preserve">study </w:t>
      </w:r>
      <w:r w:rsidR="008F2C62">
        <w:t xml:space="preserve">provides a representation </w:t>
      </w:r>
      <w:r w:rsidR="006B7439">
        <w:t>only</w:t>
      </w:r>
      <w:r w:rsidR="000873EB">
        <w:t xml:space="preserve"> of the impact in a major metropolitan area and </w:t>
      </w:r>
      <w:r w:rsidR="001239A7">
        <w:t>only looks at th</w:t>
      </w:r>
      <w:r w:rsidR="002F6015">
        <w:t>e</w:t>
      </w:r>
      <w:r w:rsidR="005C7DEC">
        <w:t xml:space="preserve"> </w:t>
      </w:r>
      <w:r w:rsidR="00AA2F06">
        <w:t>2 GHz band licences in Melbourne</w:t>
      </w:r>
      <w:r w:rsidR="00691943">
        <w:t>. The</w:t>
      </w:r>
      <w:r w:rsidR="002265B6">
        <w:t xml:space="preserve"> site specific information </w:t>
      </w:r>
      <w:r w:rsidR="00B8749C">
        <w:t xml:space="preserve">is included in </w:t>
      </w:r>
      <w:r w:rsidR="00D2345E">
        <w:fldChar w:fldCharType="begin"/>
      </w:r>
      <w:r w:rsidR="00D2345E">
        <w:instrText xml:space="preserve"> REF _Ref45725624 \n \h </w:instrText>
      </w:r>
      <w:r w:rsidR="00D2345E">
        <w:fldChar w:fldCharType="separate"/>
      </w:r>
      <w:r w:rsidR="0013047D">
        <w:t>Table 10:</w:t>
      </w:r>
      <w:r w:rsidR="00D2345E">
        <w:fldChar w:fldCharType="end"/>
      </w:r>
      <w:r w:rsidR="00D21AFA">
        <w:t xml:space="preserve"> and d</w:t>
      </w:r>
      <w:r w:rsidR="00430949">
        <w:t>ue to the close proximity of the two sites</w:t>
      </w:r>
      <w:r w:rsidR="005C733A">
        <w:t xml:space="preserve"> only</w:t>
      </w:r>
      <w:r w:rsidR="00430949">
        <w:t xml:space="preserve"> the</w:t>
      </w:r>
      <w:r w:rsidR="005F3E15">
        <w:t xml:space="preserve"> AAMI Park</w:t>
      </w:r>
      <w:r w:rsidR="00864EE9">
        <w:t xml:space="preserve"> site has been used.</w:t>
      </w:r>
    </w:p>
    <w:p w14:paraId="310C8721" w14:textId="7A2B056E" w:rsidR="0029346F" w:rsidRPr="00EA5418" w:rsidRDefault="00EA5418" w:rsidP="003322B4">
      <w:pPr>
        <w:pStyle w:val="ACMATableHeader"/>
        <w:keepNext/>
        <w:keepLines/>
        <w:tabs>
          <w:tab w:val="clear" w:pos="1957"/>
          <w:tab w:val="num" w:pos="1134"/>
        </w:tabs>
        <w:ind w:left="1134" w:hanging="1134"/>
      </w:pPr>
      <w:bookmarkStart w:id="173" w:name="_Ref45725624"/>
      <w:r w:rsidRPr="00EA5418">
        <w:lastRenderedPageBreak/>
        <w:t>TOB</w:t>
      </w:r>
      <w:r w:rsidR="0029346F" w:rsidRPr="00EA5418">
        <w:t xml:space="preserve"> station study site parameters</w:t>
      </w:r>
      <w:bookmarkEnd w:id="173"/>
    </w:p>
    <w:tbl>
      <w:tblPr>
        <w:tblW w:w="9566"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42" w:type="dxa"/>
          <w:left w:w="170" w:type="dxa"/>
          <w:bottom w:w="142" w:type="dxa"/>
          <w:right w:w="170" w:type="dxa"/>
        </w:tblCellMar>
        <w:tblLook w:val="0600" w:firstRow="0" w:lastRow="0" w:firstColumn="0" w:lastColumn="0" w:noHBand="1" w:noVBand="1"/>
      </w:tblPr>
      <w:tblGrid>
        <w:gridCol w:w="4577"/>
        <w:gridCol w:w="1269"/>
        <w:gridCol w:w="1409"/>
        <w:gridCol w:w="1127"/>
        <w:gridCol w:w="1127"/>
        <w:gridCol w:w="57"/>
      </w:tblGrid>
      <w:tr w:rsidR="009C3782" w:rsidRPr="006A7F44" w14:paraId="6515C0E5" w14:textId="77777777" w:rsidTr="003322B4">
        <w:trPr>
          <w:trHeight w:val="315"/>
        </w:trPr>
        <w:tc>
          <w:tcPr>
            <w:tcW w:w="4605" w:type="dxa"/>
            <w:shd w:val="clear" w:color="auto" w:fill="404040" w:themeFill="text1" w:themeFillTint="BF"/>
            <w:tcMar>
              <w:top w:w="0" w:type="dxa"/>
              <w:left w:w="0" w:type="dxa"/>
              <w:bottom w:w="0" w:type="dxa"/>
              <w:right w:w="0" w:type="dxa"/>
            </w:tcMar>
            <w:hideMark/>
          </w:tcPr>
          <w:p w14:paraId="48A8BD34" w14:textId="77777777" w:rsidR="009C3782" w:rsidRPr="006A7F44" w:rsidRDefault="009C3782" w:rsidP="003322B4">
            <w:pPr>
              <w:pStyle w:val="TableHeading0"/>
              <w:keepNext/>
              <w:keepLines/>
              <w:jc w:val="center"/>
              <w:rPr>
                <w:color w:val="FFFFFF" w:themeColor="background1"/>
              </w:rPr>
            </w:pPr>
            <w:r w:rsidRPr="006A7F44">
              <w:rPr>
                <w:color w:val="FFFFFF" w:themeColor="background1"/>
              </w:rPr>
              <w:t>Location</w:t>
            </w:r>
          </w:p>
        </w:tc>
        <w:tc>
          <w:tcPr>
            <w:tcW w:w="1276" w:type="dxa"/>
            <w:shd w:val="clear" w:color="auto" w:fill="404040" w:themeFill="text1" w:themeFillTint="BF"/>
            <w:tcMar>
              <w:top w:w="0" w:type="dxa"/>
              <w:left w:w="0" w:type="dxa"/>
              <w:bottom w:w="0" w:type="dxa"/>
              <w:right w:w="0" w:type="dxa"/>
            </w:tcMar>
            <w:hideMark/>
          </w:tcPr>
          <w:p w14:paraId="0C6F40EC" w14:textId="77777777" w:rsidR="009C3782" w:rsidRPr="006A7F44" w:rsidRDefault="009C3782" w:rsidP="003322B4">
            <w:pPr>
              <w:pStyle w:val="TableHeading0"/>
              <w:keepNext/>
              <w:keepLines/>
              <w:jc w:val="center"/>
              <w:rPr>
                <w:color w:val="FFFFFF" w:themeColor="background1"/>
              </w:rPr>
            </w:pPr>
            <w:r w:rsidRPr="006A7F44">
              <w:rPr>
                <w:color w:val="FFFFFF" w:themeColor="background1"/>
              </w:rPr>
              <w:t>Latitude</w:t>
            </w:r>
          </w:p>
        </w:tc>
        <w:tc>
          <w:tcPr>
            <w:tcW w:w="1417" w:type="dxa"/>
            <w:shd w:val="clear" w:color="auto" w:fill="404040" w:themeFill="text1" w:themeFillTint="BF"/>
            <w:tcMar>
              <w:top w:w="0" w:type="dxa"/>
              <w:left w:w="0" w:type="dxa"/>
              <w:bottom w:w="0" w:type="dxa"/>
              <w:right w:w="0" w:type="dxa"/>
            </w:tcMar>
            <w:hideMark/>
          </w:tcPr>
          <w:p w14:paraId="231A46B9" w14:textId="77777777" w:rsidR="009C3782" w:rsidRPr="006A7F44" w:rsidRDefault="009C3782" w:rsidP="003322B4">
            <w:pPr>
              <w:pStyle w:val="TableHeading0"/>
              <w:keepNext/>
              <w:keepLines/>
              <w:jc w:val="center"/>
              <w:rPr>
                <w:color w:val="FFFFFF" w:themeColor="background1"/>
              </w:rPr>
            </w:pPr>
            <w:r w:rsidRPr="006A7F44">
              <w:rPr>
                <w:color w:val="FFFFFF" w:themeColor="background1"/>
              </w:rPr>
              <w:t>Longitude</w:t>
            </w:r>
          </w:p>
        </w:tc>
        <w:tc>
          <w:tcPr>
            <w:tcW w:w="1134" w:type="dxa"/>
            <w:shd w:val="clear" w:color="auto" w:fill="404040" w:themeFill="text1" w:themeFillTint="BF"/>
            <w:tcMar>
              <w:top w:w="0" w:type="dxa"/>
              <w:left w:w="0" w:type="dxa"/>
              <w:bottom w:w="0" w:type="dxa"/>
              <w:right w:w="0" w:type="dxa"/>
            </w:tcMar>
            <w:hideMark/>
          </w:tcPr>
          <w:p w14:paraId="4217E865" w14:textId="77777777" w:rsidR="009C3782" w:rsidRPr="006A7F44" w:rsidRDefault="009C3782" w:rsidP="003322B4">
            <w:pPr>
              <w:pStyle w:val="TableHeading0"/>
              <w:keepNext/>
              <w:keepLines/>
              <w:jc w:val="center"/>
              <w:rPr>
                <w:color w:val="FFFFFF" w:themeColor="background1"/>
              </w:rPr>
            </w:pPr>
            <w:r w:rsidRPr="006A7F44">
              <w:rPr>
                <w:color w:val="FFFFFF" w:themeColor="background1"/>
              </w:rPr>
              <w:t xml:space="preserve">Maximum </w:t>
            </w:r>
            <w:r>
              <w:rPr>
                <w:color w:val="FFFFFF" w:themeColor="background1"/>
              </w:rPr>
              <w:t>g</w:t>
            </w:r>
            <w:r w:rsidRPr="006A7F44">
              <w:rPr>
                <w:color w:val="FFFFFF" w:themeColor="background1"/>
              </w:rPr>
              <w:t>ain (dBi)</w:t>
            </w:r>
          </w:p>
        </w:tc>
        <w:tc>
          <w:tcPr>
            <w:tcW w:w="1134" w:type="dxa"/>
            <w:gridSpan w:val="2"/>
            <w:shd w:val="clear" w:color="auto" w:fill="404040" w:themeFill="text1" w:themeFillTint="BF"/>
            <w:tcMar>
              <w:top w:w="0" w:type="dxa"/>
              <w:left w:w="0" w:type="dxa"/>
              <w:bottom w:w="0" w:type="dxa"/>
              <w:right w:w="0" w:type="dxa"/>
            </w:tcMar>
            <w:hideMark/>
          </w:tcPr>
          <w:p w14:paraId="2A3B4595" w14:textId="369C515E" w:rsidR="009C3782" w:rsidRPr="006A7F44" w:rsidRDefault="009C3782" w:rsidP="003322B4">
            <w:pPr>
              <w:pStyle w:val="TableHeading0"/>
              <w:keepNext/>
              <w:keepLines/>
              <w:jc w:val="center"/>
              <w:rPr>
                <w:color w:val="FFFFFF" w:themeColor="background1"/>
              </w:rPr>
            </w:pPr>
            <w:r w:rsidRPr="006A7F44">
              <w:rPr>
                <w:color w:val="FFFFFF" w:themeColor="background1"/>
              </w:rPr>
              <w:t>Antenna height (m)</w:t>
            </w:r>
          </w:p>
        </w:tc>
      </w:tr>
      <w:tr w:rsidR="009C3782" w:rsidRPr="001D62E5" w14:paraId="70EE4F4D" w14:textId="77777777" w:rsidTr="003322B4">
        <w:trPr>
          <w:gridAfter w:val="1"/>
          <w:wAfter w:w="57" w:type="dxa"/>
          <w:trHeight w:val="300"/>
        </w:trPr>
        <w:tc>
          <w:tcPr>
            <w:tcW w:w="4605" w:type="dxa"/>
            <w:shd w:val="clear" w:color="auto" w:fill="auto"/>
            <w:tcMar>
              <w:top w:w="0" w:type="dxa"/>
              <w:left w:w="28" w:type="dxa"/>
              <w:bottom w:w="0" w:type="dxa"/>
              <w:right w:w="28" w:type="dxa"/>
            </w:tcMar>
            <w:vAlign w:val="bottom"/>
          </w:tcPr>
          <w:p w14:paraId="0E95EF9B" w14:textId="0DA0B159" w:rsidR="009C3782" w:rsidRPr="002566CE" w:rsidRDefault="009C3782" w:rsidP="003322B4">
            <w:pPr>
              <w:pStyle w:val="TableBody"/>
              <w:keepNext/>
              <w:keepLines/>
              <w:rPr>
                <w:rFonts w:cs="Arial"/>
                <w:szCs w:val="20"/>
              </w:rPr>
            </w:pPr>
            <w:r w:rsidRPr="002566CE">
              <w:rPr>
                <w:rFonts w:cs="Arial"/>
                <w:color w:val="000000"/>
                <w:szCs w:val="20"/>
              </w:rPr>
              <w:t>AAMI Park Olympic Boulevard South Melbourne</w:t>
            </w:r>
          </w:p>
        </w:tc>
        <w:tc>
          <w:tcPr>
            <w:tcW w:w="1276" w:type="dxa"/>
            <w:shd w:val="clear" w:color="auto" w:fill="auto"/>
            <w:tcMar>
              <w:top w:w="0" w:type="dxa"/>
              <w:left w:w="28" w:type="dxa"/>
              <w:bottom w:w="0" w:type="dxa"/>
              <w:right w:w="28" w:type="dxa"/>
            </w:tcMar>
            <w:vAlign w:val="bottom"/>
          </w:tcPr>
          <w:p w14:paraId="2915C728" w14:textId="205AE4F2" w:rsidR="009C3782" w:rsidRPr="002566CE" w:rsidRDefault="009C3782" w:rsidP="003322B4">
            <w:pPr>
              <w:pStyle w:val="TableBody"/>
              <w:keepNext/>
              <w:keepLines/>
              <w:jc w:val="center"/>
              <w:rPr>
                <w:rFonts w:cs="Arial"/>
                <w:szCs w:val="20"/>
              </w:rPr>
            </w:pPr>
            <w:r w:rsidRPr="002566CE">
              <w:rPr>
                <w:rFonts w:cs="Arial"/>
                <w:color w:val="000000"/>
                <w:szCs w:val="20"/>
              </w:rPr>
              <w:t>-37.825829</w:t>
            </w:r>
          </w:p>
        </w:tc>
        <w:tc>
          <w:tcPr>
            <w:tcW w:w="1417" w:type="dxa"/>
            <w:shd w:val="clear" w:color="auto" w:fill="auto"/>
            <w:tcMar>
              <w:top w:w="0" w:type="dxa"/>
              <w:left w:w="28" w:type="dxa"/>
              <w:bottom w:w="0" w:type="dxa"/>
              <w:right w:w="28" w:type="dxa"/>
            </w:tcMar>
            <w:vAlign w:val="bottom"/>
          </w:tcPr>
          <w:p w14:paraId="438605B3" w14:textId="5A0DD61A" w:rsidR="009C3782" w:rsidRPr="002566CE" w:rsidRDefault="009C3782" w:rsidP="003322B4">
            <w:pPr>
              <w:pStyle w:val="TableBody"/>
              <w:keepNext/>
              <w:keepLines/>
              <w:jc w:val="center"/>
              <w:rPr>
                <w:rFonts w:cs="Arial"/>
                <w:szCs w:val="20"/>
              </w:rPr>
            </w:pPr>
            <w:r w:rsidRPr="002566CE">
              <w:rPr>
                <w:rFonts w:cs="Arial"/>
                <w:color w:val="000000"/>
                <w:szCs w:val="20"/>
              </w:rPr>
              <w:t>144.982219</w:t>
            </w:r>
          </w:p>
        </w:tc>
        <w:tc>
          <w:tcPr>
            <w:tcW w:w="1134" w:type="dxa"/>
            <w:shd w:val="clear" w:color="auto" w:fill="auto"/>
            <w:tcMar>
              <w:top w:w="0" w:type="dxa"/>
              <w:left w:w="28" w:type="dxa"/>
              <w:bottom w:w="0" w:type="dxa"/>
              <w:right w:w="28" w:type="dxa"/>
            </w:tcMar>
            <w:vAlign w:val="bottom"/>
          </w:tcPr>
          <w:p w14:paraId="07957866" w14:textId="5FDB9A81" w:rsidR="009C3782" w:rsidRPr="002566CE" w:rsidRDefault="009C3782" w:rsidP="003322B4">
            <w:pPr>
              <w:pStyle w:val="TableBody"/>
              <w:keepNext/>
              <w:keepLines/>
              <w:jc w:val="center"/>
              <w:rPr>
                <w:rFonts w:cs="Arial"/>
                <w:szCs w:val="20"/>
              </w:rPr>
            </w:pPr>
            <w:r w:rsidRPr="002566CE">
              <w:rPr>
                <w:rFonts w:cs="Arial"/>
                <w:color w:val="000000"/>
                <w:szCs w:val="20"/>
              </w:rPr>
              <w:t>0</w:t>
            </w:r>
          </w:p>
        </w:tc>
        <w:tc>
          <w:tcPr>
            <w:tcW w:w="1134" w:type="dxa"/>
            <w:shd w:val="clear" w:color="auto" w:fill="auto"/>
            <w:tcMar>
              <w:top w:w="0" w:type="dxa"/>
              <w:left w:w="28" w:type="dxa"/>
              <w:bottom w:w="0" w:type="dxa"/>
              <w:right w:w="28" w:type="dxa"/>
            </w:tcMar>
            <w:vAlign w:val="bottom"/>
          </w:tcPr>
          <w:p w14:paraId="0C38A8C4" w14:textId="06C338C2" w:rsidR="009C3782" w:rsidRPr="002566CE" w:rsidRDefault="009C3782" w:rsidP="003322B4">
            <w:pPr>
              <w:pStyle w:val="TableBody"/>
              <w:keepNext/>
              <w:keepLines/>
              <w:jc w:val="center"/>
              <w:rPr>
                <w:rFonts w:cs="Arial"/>
                <w:szCs w:val="20"/>
              </w:rPr>
            </w:pPr>
            <w:r w:rsidRPr="002566CE">
              <w:rPr>
                <w:rFonts w:cs="Arial"/>
                <w:color w:val="000000"/>
                <w:szCs w:val="20"/>
              </w:rPr>
              <w:t>10</w:t>
            </w:r>
          </w:p>
        </w:tc>
      </w:tr>
      <w:tr w:rsidR="009C3782" w:rsidRPr="001D62E5" w14:paraId="3ECA975A" w14:textId="77777777" w:rsidTr="003322B4">
        <w:trPr>
          <w:gridAfter w:val="1"/>
          <w:wAfter w:w="57" w:type="dxa"/>
          <w:trHeight w:val="300"/>
        </w:trPr>
        <w:tc>
          <w:tcPr>
            <w:tcW w:w="4605" w:type="dxa"/>
            <w:shd w:val="clear" w:color="auto" w:fill="auto"/>
            <w:tcMar>
              <w:top w:w="0" w:type="dxa"/>
              <w:left w:w="28" w:type="dxa"/>
              <w:bottom w:w="0" w:type="dxa"/>
              <w:right w:w="28" w:type="dxa"/>
            </w:tcMar>
            <w:vAlign w:val="bottom"/>
          </w:tcPr>
          <w:p w14:paraId="0165316A" w14:textId="1FC23E49" w:rsidR="009C3782" w:rsidRPr="002566CE" w:rsidRDefault="009C3782" w:rsidP="7879CDC7">
            <w:pPr>
              <w:pStyle w:val="TableBody"/>
              <w:rPr>
                <w:rFonts w:cs="Arial"/>
              </w:rPr>
            </w:pPr>
            <w:r w:rsidRPr="7879CDC7">
              <w:rPr>
                <w:rFonts w:cs="Arial"/>
                <w:color w:val="000000" w:themeColor="text1"/>
              </w:rPr>
              <w:t>Melbourne Exhibition Centre</w:t>
            </w:r>
          </w:p>
        </w:tc>
        <w:tc>
          <w:tcPr>
            <w:tcW w:w="1276" w:type="dxa"/>
            <w:shd w:val="clear" w:color="auto" w:fill="auto"/>
            <w:tcMar>
              <w:top w:w="0" w:type="dxa"/>
              <w:left w:w="28" w:type="dxa"/>
              <w:bottom w:w="0" w:type="dxa"/>
              <w:right w:w="28" w:type="dxa"/>
            </w:tcMar>
            <w:vAlign w:val="bottom"/>
          </w:tcPr>
          <w:p w14:paraId="22256D7A" w14:textId="64C4E51A" w:rsidR="009C3782" w:rsidRPr="002566CE" w:rsidRDefault="009C3782" w:rsidP="003322B4">
            <w:pPr>
              <w:pStyle w:val="TableBody"/>
              <w:jc w:val="center"/>
              <w:rPr>
                <w:rFonts w:cs="Arial"/>
                <w:szCs w:val="20"/>
              </w:rPr>
            </w:pPr>
            <w:r w:rsidRPr="002566CE">
              <w:rPr>
                <w:rFonts w:cs="Arial"/>
                <w:color w:val="000000"/>
                <w:szCs w:val="20"/>
              </w:rPr>
              <w:t>-37.82433</w:t>
            </w:r>
          </w:p>
        </w:tc>
        <w:tc>
          <w:tcPr>
            <w:tcW w:w="1417" w:type="dxa"/>
            <w:shd w:val="clear" w:color="auto" w:fill="auto"/>
            <w:tcMar>
              <w:top w:w="0" w:type="dxa"/>
              <w:left w:w="28" w:type="dxa"/>
              <w:bottom w:w="0" w:type="dxa"/>
              <w:right w:w="28" w:type="dxa"/>
            </w:tcMar>
            <w:vAlign w:val="bottom"/>
          </w:tcPr>
          <w:p w14:paraId="10E59D1E" w14:textId="70961033" w:rsidR="009C3782" w:rsidRPr="002566CE" w:rsidRDefault="009C3782" w:rsidP="003322B4">
            <w:pPr>
              <w:pStyle w:val="TableBody"/>
              <w:jc w:val="center"/>
              <w:rPr>
                <w:rFonts w:cs="Arial"/>
                <w:szCs w:val="20"/>
              </w:rPr>
            </w:pPr>
            <w:r w:rsidRPr="002566CE">
              <w:rPr>
                <w:rFonts w:cs="Arial"/>
                <w:color w:val="000000"/>
                <w:szCs w:val="20"/>
              </w:rPr>
              <w:t>144.954913</w:t>
            </w:r>
          </w:p>
        </w:tc>
        <w:tc>
          <w:tcPr>
            <w:tcW w:w="1134" w:type="dxa"/>
            <w:shd w:val="clear" w:color="auto" w:fill="auto"/>
            <w:tcMar>
              <w:top w:w="0" w:type="dxa"/>
              <w:left w:w="28" w:type="dxa"/>
              <w:bottom w:w="0" w:type="dxa"/>
              <w:right w:w="28" w:type="dxa"/>
            </w:tcMar>
            <w:vAlign w:val="bottom"/>
          </w:tcPr>
          <w:p w14:paraId="53C944ED" w14:textId="47F87B19" w:rsidR="009C3782" w:rsidRPr="002566CE" w:rsidRDefault="009C3782">
            <w:pPr>
              <w:pStyle w:val="TableBody"/>
              <w:jc w:val="center"/>
              <w:rPr>
                <w:rFonts w:cs="Arial"/>
                <w:szCs w:val="20"/>
              </w:rPr>
            </w:pPr>
            <w:r w:rsidRPr="002566CE">
              <w:rPr>
                <w:rFonts w:cs="Arial"/>
                <w:color w:val="000000"/>
                <w:szCs w:val="20"/>
              </w:rPr>
              <w:t>3</w:t>
            </w:r>
          </w:p>
        </w:tc>
        <w:tc>
          <w:tcPr>
            <w:tcW w:w="1134" w:type="dxa"/>
            <w:shd w:val="clear" w:color="auto" w:fill="auto"/>
            <w:tcMar>
              <w:top w:w="0" w:type="dxa"/>
              <w:left w:w="28" w:type="dxa"/>
              <w:bottom w:w="0" w:type="dxa"/>
              <w:right w:w="28" w:type="dxa"/>
            </w:tcMar>
            <w:vAlign w:val="bottom"/>
          </w:tcPr>
          <w:p w14:paraId="6B66230E" w14:textId="627A72EE" w:rsidR="009C3782" w:rsidRPr="002566CE" w:rsidRDefault="00695FD1">
            <w:pPr>
              <w:pStyle w:val="TableBody"/>
              <w:jc w:val="center"/>
              <w:rPr>
                <w:rFonts w:cs="Arial"/>
              </w:rPr>
            </w:pPr>
            <w:r w:rsidRPr="7879CDC7">
              <w:rPr>
                <w:rFonts w:cs="Arial"/>
                <w:color w:val="000000" w:themeColor="text1"/>
              </w:rPr>
              <w:t>1</w:t>
            </w:r>
            <w:r w:rsidR="009C3782" w:rsidRPr="7879CDC7">
              <w:rPr>
                <w:rFonts w:cs="Arial"/>
                <w:color w:val="000000" w:themeColor="text1"/>
              </w:rPr>
              <w:t>0</w:t>
            </w:r>
            <w:r w:rsidR="00FA786D" w:rsidRPr="00DB5446">
              <w:rPr>
                <w:rFonts w:cs="Arial"/>
                <w:color w:val="000000" w:themeColor="text1"/>
                <w:vertAlign w:val="superscript"/>
              </w:rPr>
              <w:t>*</w:t>
            </w:r>
          </w:p>
        </w:tc>
      </w:tr>
    </w:tbl>
    <w:p w14:paraId="0817CF3E" w14:textId="1EAA17CF" w:rsidR="00EA5418" w:rsidRPr="00FA786D" w:rsidRDefault="00FA786D" w:rsidP="003322B4">
      <w:pPr>
        <w:pStyle w:val="Tableorfigurenote"/>
      </w:pPr>
      <w:r w:rsidRPr="24D09117">
        <w:rPr>
          <w:vertAlign w:val="superscript"/>
        </w:rPr>
        <w:t>*</w:t>
      </w:r>
      <w:r w:rsidRPr="24D09117">
        <w:t xml:space="preserve"> </w:t>
      </w:r>
      <w:r w:rsidR="00695FD1" w:rsidRPr="24D09117">
        <w:t>Current licences have an antenna height of 0m and have used 10m for this study</w:t>
      </w:r>
      <w:r w:rsidR="4FFC6263" w:rsidRPr="24D09117">
        <w:t>.</w:t>
      </w:r>
    </w:p>
    <w:p w14:paraId="33903E63" w14:textId="20543AF2" w:rsidR="0029346F" w:rsidRPr="00C8260A" w:rsidRDefault="00EA5418" w:rsidP="003322B4">
      <w:pPr>
        <w:pStyle w:val="ACMATableHeader"/>
        <w:tabs>
          <w:tab w:val="clear" w:pos="1957"/>
          <w:tab w:val="num" w:pos="1134"/>
        </w:tabs>
        <w:ind w:left="1134" w:hanging="1134"/>
      </w:pPr>
      <w:r>
        <w:t>TOB receive</w:t>
      </w:r>
      <w:r w:rsidR="0029346F">
        <w:t xml:space="preserve"> station study generic parameters</w:t>
      </w:r>
      <w:r w:rsidR="002C7659">
        <w:t xml:space="preserve"> 200</w:t>
      </w:r>
      <w:r w:rsidR="005B436F">
        <w:t xml:space="preserve"> </w:t>
      </w:r>
      <w:r w:rsidR="002C7659">
        <w:t>m TOB Link</w:t>
      </w:r>
    </w:p>
    <w:tbl>
      <w:tblPr>
        <w:tblW w:w="8291"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Pr>
      <w:tblGrid>
        <w:gridCol w:w="3613"/>
        <w:gridCol w:w="2268"/>
        <w:gridCol w:w="2410"/>
      </w:tblGrid>
      <w:tr w:rsidR="0029346F" w:rsidRPr="006A7F44" w14:paraId="1BAFBB14" w14:textId="77777777" w:rsidTr="00EC708A">
        <w:trPr>
          <w:trHeight w:val="315"/>
        </w:trPr>
        <w:tc>
          <w:tcPr>
            <w:tcW w:w="3613" w:type="dxa"/>
            <w:shd w:val="clear" w:color="auto" w:fill="404040" w:themeFill="text1" w:themeFillTint="BF"/>
            <w:tcMar>
              <w:top w:w="0" w:type="dxa"/>
              <w:left w:w="0" w:type="dxa"/>
              <w:bottom w:w="0" w:type="dxa"/>
              <w:right w:w="0" w:type="dxa"/>
            </w:tcMar>
            <w:vAlign w:val="center"/>
            <w:hideMark/>
          </w:tcPr>
          <w:p w14:paraId="3FB63C9F" w14:textId="77777777" w:rsidR="0029346F" w:rsidRPr="006A7F44" w:rsidRDefault="0029346F" w:rsidP="003322B4">
            <w:pPr>
              <w:pStyle w:val="TableHeading0"/>
              <w:keepNext/>
              <w:jc w:val="center"/>
              <w:rPr>
                <w:color w:val="FFFFFF" w:themeColor="background1"/>
              </w:rPr>
            </w:pPr>
            <w:r w:rsidRPr="006A7F44">
              <w:rPr>
                <w:color w:val="FFFFFF" w:themeColor="background1"/>
              </w:rPr>
              <w:t>Parameter</w:t>
            </w:r>
          </w:p>
        </w:tc>
        <w:tc>
          <w:tcPr>
            <w:tcW w:w="2268" w:type="dxa"/>
            <w:shd w:val="clear" w:color="auto" w:fill="404040" w:themeFill="text1" w:themeFillTint="BF"/>
            <w:tcMar>
              <w:top w:w="0" w:type="dxa"/>
              <w:left w:w="0" w:type="dxa"/>
              <w:bottom w:w="0" w:type="dxa"/>
              <w:right w:w="0" w:type="dxa"/>
            </w:tcMar>
            <w:vAlign w:val="center"/>
            <w:hideMark/>
          </w:tcPr>
          <w:p w14:paraId="4D4085BD" w14:textId="77777777" w:rsidR="0029346F" w:rsidRPr="006A7F44" w:rsidRDefault="0029346F" w:rsidP="003322B4">
            <w:pPr>
              <w:pStyle w:val="TableHeading0"/>
              <w:keepNext/>
              <w:jc w:val="center"/>
              <w:rPr>
                <w:color w:val="FFFFFF" w:themeColor="background1"/>
              </w:rPr>
            </w:pPr>
            <w:r w:rsidRPr="006A7F44">
              <w:rPr>
                <w:color w:val="FFFFFF" w:themeColor="background1"/>
              </w:rPr>
              <w:t>Value</w:t>
            </w:r>
          </w:p>
        </w:tc>
        <w:tc>
          <w:tcPr>
            <w:tcW w:w="2410" w:type="dxa"/>
            <w:shd w:val="clear" w:color="auto" w:fill="404040" w:themeFill="text1" w:themeFillTint="BF"/>
            <w:tcMar>
              <w:top w:w="0" w:type="dxa"/>
              <w:left w:w="0" w:type="dxa"/>
              <w:bottom w:w="0" w:type="dxa"/>
              <w:right w:w="0" w:type="dxa"/>
            </w:tcMar>
            <w:vAlign w:val="center"/>
            <w:hideMark/>
          </w:tcPr>
          <w:p w14:paraId="3F5785AB" w14:textId="77777777" w:rsidR="0029346F" w:rsidRPr="006A7F44" w:rsidRDefault="0029346F" w:rsidP="003322B4">
            <w:pPr>
              <w:pStyle w:val="TableHeading0"/>
              <w:keepNext/>
              <w:jc w:val="center"/>
              <w:rPr>
                <w:color w:val="FFFFFF" w:themeColor="background1"/>
              </w:rPr>
            </w:pPr>
            <w:r w:rsidRPr="006A7F44">
              <w:rPr>
                <w:color w:val="FFFFFF" w:themeColor="background1"/>
              </w:rPr>
              <w:t>Reference</w:t>
            </w:r>
          </w:p>
        </w:tc>
      </w:tr>
      <w:tr w:rsidR="009C3782" w:rsidRPr="009C3782" w14:paraId="5770ABFF" w14:textId="77777777" w:rsidTr="009C3782">
        <w:trPr>
          <w:trHeight w:val="300"/>
        </w:trPr>
        <w:tc>
          <w:tcPr>
            <w:tcW w:w="3613" w:type="dxa"/>
            <w:shd w:val="clear" w:color="auto" w:fill="auto"/>
            <w:tcMar>
              <w:top w:w="0" w:type="dxa"/>
              <w:left w:w="28" w:type="dxa"/>
              <w:bottom w:w="0" w:type="dxa"/>
              <w:right w:w="28" w:type="dxa"/>
            </w:tcMar>
            <w:vAlign w:val="center"/>
          </w:tcPr>
          <w:p w14:paraId="0CAC1A96" w14:textId="77777777" w:rsidR="009C3782" w:rsidRPr="009C3782" w:rsidRDefault="009C3782" w:rsidP="009C3782">
            <w:pPr>
              <w:pStyle w:val="TableBody"/>
              <w:keepNext/>
            </w:pPr>
            <w:r w:rsidRPr="009C3782">
              <w:t>Antenna pattern</w:t>
            </w:r>
          </w:p>
        </w:tc>
        <w:tc>
          <w:tcPr>
            <w:tcW w:w="2268" w:type="dxa"/>
            <w:shd w:val="clear" w:color="auto" w:fill="auto"/>
            <w:tcMar>
              <w:top w:w="0" w:type="dxa"/>
              <w:left w:w="28" w:type="dxa"/>
              <w:bottom w:w="0" w:type="dxa"/>
              <w:right w:w="28" w:type="dxa"/>
            </w:tcMar>
            <w:vAlign w:val="center"/>
          </w:tcPr>
          <w:p w14:paraId="41849986" w14:textId="2C4D3B62" w:rsidR="009C3782" w:rsidRPr="009C3782" w:rsidRDefault="009C3782" w:rsidP="003322B4">
            <w:pPr>
              <w:pStyle w:val="TableBody"/>
              <w:keepNext/>
              <w:jc w:val="center"/>
            </w:pPr>
            <w:r w:rsidRPr="009C3782">
              <w:t>Omni directional</w:t>
            </w:r>
          </w:p>
        </w:tc>
        <w:tc>
          <w:tcPr>
            <w:tcW w:w="2410" w:type="dxa"/>
            <w:shd w:val="clear" w:color="auto" w:fill="auto"/>
            <w:tcMar>
              <w:top w:w="0" w:type="dxa"/>
              <w:left w:w="28" w:type="dxa"/>
              <w:bottom w:w="0" w:type="dxa"/>
              <w:right w:w="28" w:type="dxa"/>
            </w:tcMar>
            <w:vAlign w:val="center"/>
          </w:tcPr>
          <w:p w14:paraId="170289E4" w14:textId="4396C42E" w:rsidR="009C3782" w:rsidRPr="009C3782" w:rsidRDefault="009C3782" w:rsidP="003322B4">
            <w:pPr>
              <w:pStyle w:val="TableBody"/>
              <w:keepNext/>
              <w:jc w:val="center"/>
            </w:pPr>
            <w:r w:rsidRPr="009C3782">
              <w:t>RALI FX21</w:t>
            </w:r>
          </w:p>
        </w:tc>
      </w:tr>
      <w:tr w:rsidR="000D0AF2" w:rsidRPr="009C3782" w14:paraId="1B9CD765" w14:textId="77777777" w:rsidTr="009C3782">
        <w:trPr>
          <w:trHeight w:val="300"/>
        </w:trPr>
        <w:tc>
          <w:tcPr>
            <w:tcW w:w="3613" w:type="dxa"/>
            <w:shd w:val="clear" w:color="auto" w:fill="auto"/>
            <w:tcMar>
              <w:top w:w="0" w:type="dxa"/>
              <w:left w:w="28" w:type="dxa"/>
              <w:bottom w:w="0" w:type="dxa"/>
              <w:right w:w="28" w:type="dxa"/>
            </w:tcMar>
            <w:vAlign w:val="center"/>
          </w:tcPr>
          <w:p w14:paraId="112E4911" w14:textId="1B123EC9" w:rsidR="000D0AF2" w:rsidRPr="009C3782" w:rsidRDefault="000D0AF2" w:rsidP="000D0AF2">
            <w:pPr>
              <w:pStyle w:val="TableBody"/>
              <w:keepNext/>
            </w:pPr>
            <w:r>
              <w:t>Wireless Camera EIRP</w:t>
            </w:r>
          </w:p>
        </w:tc>
        <w:tc>
          <w:tcPr>
            <w:tcW w:w="2268" w:type="dxa"/>
            <w:shd w:val="clear" w:color="auto" w:fill="auto"/>
            <w:tcMar>
              <w:top w:w="0" w:type="dxa"/>
              <w:left w:w="28" w:type="dxa"/>
              <w:bottom w:w="0" w:type="dxa"/>
              <w:right w:w="28" w:type="dxa"/>
            </w:tcMar>
            <w:vAlign w:val="center"/>
          </w:tcPr>
          <w:p w14:paraId="37B5D0B7" w14:textId="43E9BEA3" w:rsidR="000D0AF2" w:rsidRPr="009C3782" w:rsidRDefault="000D0AF2" w:rsidP="003322B4">
            <w:pPr>
              <w:pStyle w:val="TableBody"/>
              <w:keepNext/>
              <w:jc w:val="center"/>
            </w:pPr>
            <w:r>
              <w:t>-10 dBW/ 8 MHz</w:t>
            </w:r>
          </w:p>
        </w:tc>
        <w:tc>
          <w:tcPr>
            <w:tcW w:w="2410" w:type="dxa"/>
            <w:shd w:val="clear" w:color="auto" w:fill="auto"/>
            <w:tcMar>
              <w:top w:w="0" w:type="dxa"/>
              <w:left w:w="28" w:type="dxa"/>
              <w:bottom w:w="0" w:type="dxa"/>
              <w:right w:w="28" w:type="dxa"/>
            </w:tcMar>
            <w:vAlign w:val="center"/>
          </w:tcPr>
          <w:p w14:paraId="5514D784" w14:textId="729CE275" w:rsidR="000D0AF2" w:rsidRPr="009C3782" w:rsidRDefault="000D0AF2" w:rsidP="003322B4">
            <w:pPr>
              <w:pStyle w:val="TableBody"/>
              <w:keepNext/>
              <w:jc w:val="center"/>
            </w:pPr>
            <w:r w:rsidRPr="009C3782">
              <w:t>RALI FX21</w:t>
            </w:r>
          </w:p>
        </w:tc>
      </w:tr>
      <w:tr w:rsidR="00AB4436" w:rsidRPr="001D62E5" w14:paraId="7D02E43A" w14:textId="77777777" w:rsidTr="001814D9">
        <w:trPr>
          <w:trHeight w:val="300"/>
        </w:trPr>
        <w:tc>
          <w:tcPr>
            <w:tcW w:w="3613" w:type="dxa"/>
            <w:shd w:val="clear" w:color="auto" w:fill="auto"/>
            <w:tcMar>
              <w:top w:w="0" w:type="dxa"/>
              <w:left w:w="28" w:type="dxa"/>
              <w:bottom w:w="0" w:type="dxa"/>
              <w:right w:w="28" w:type="dxa"/>
            </w:tcMar>
            <w:vAlign w:val="center"/>
          </w:tcPr>
          <w:p w14:paraId="41E9CE5E" w14:textId="0FF4228C" w:rsidR="00AB4436" w:rsidRDefault="00AB4436" w:rsidP="001814D9">
            <w:pPr>
              <w:pStyle w:val="TableBody"/>
              <w:keepNext/>
            </w:pPr>
            <w:r>
              <w:t>Path loss over 200</w:t>
            </w:r>
            <w:r w:rsidR="005B436F">
              <w:t xml:space="preserve"> </w:t>
            </w:r>
            <w:r>
              <w:t>m</w:t>
            </w:r>
          </w:p>
        </w:tc>
        <w:tc>
          <w:tcPr>
            <w:tcW w:w="2268" w:type="dxa"/>
            <w:shd w:val="clear" w:color="auto" w:fill="auto"/>
            <w:tcMar>
              <w:top w:w="0" w:type="dxa"/>
              <w:left w:w="28" w:type="dxa"/>
              <w:bottom w:w="0" w:type="dxa"/>
              <w:right w:w="28" w:type="dxa"/>
            </w:tcMar>
            <w:vAlign w:val="center"/>
          </w:tcPr>
          <w:p w14:paraId="419ED5F3" w14:textId="77777777" w:rsidR="00AB4436" w:rsidRDefault="00AB4436" w:rsidP="003322B4">
            <w:pPr>
              <w:pStyle w:val="TableBody"/>
              <w:keepNext/>
              <w:jc w:val="center"/>
            </w:pPr>
            <w:r>
              <w:t>84.4</w:t>
            </w:r>
          </w:p>
        </w:tc>
        <w:tc>
          <w:tcPr>
            <w:tcW w:w="2410" w:type="dxa"/>
            <w:shd w:val="clear" w:color="auto" w:fill="auto"/>
            <w:tcMar>
              <w:top w:w="0" w:type="dxa"/>
              <w:left w:w="28" w:type="dxa"/>
              <w:bottom w:w="0" w:type="dxa"/>
              <w:right w:w="28" w:type="dxa"/>
            </w:tcMar>
            <w:vAlign w:val="center"/>
          </w:tcPr>
          <w:p w14:paraId="0582910A" w14:textId="46474851" w:rsidR="00AB4436" w:rsidRPr="009C3782" w:rsidRDefault="00D47253" w:rsidP="003322B4">
            <w:pPr>
              <w:pStyle w:val="TableBody"/>
              <w:keepNext/>
              <w:jc w:val="center"/>
            </w:pPr>
            <w:r>
              <w:t xml:space="preserve">Calculated </w:t>
            </w:r>
            <w:r w:rsidR="0004727E">
              <w:t>(</w:t>
            </w:r>
            <w:r w:rsidR="00AB4436">
              <w:t>Free Space Loss</w:t>
            </w:r>
            <w:r w:rsidR="0004727E">
              <w:t>)</w:t>
            </w:r>
          </w:p>
        </w:tc>
      </w:tr>
      <w:tr w:rsidR="00E824E3" w:rsidRPr="001D62E5" w14:paraId="21E22FDE" w14:textId="77777777" w:rsidTr="001814D9">
        <w:trPr>
          <w:trHeight w:val="300"/>
        </w:trPr>
        <w:tc>
          <w:tcPr>
            <w:tcW w:w="3613" w:type="dxa"/>
            <w:shd w:val="clear" w:color="auto" w:fill="auto"/>
            <w:tcMar>
              <w:top w:w="0" w:type="dxa"/>
              <w:left w:w="28" w:type="dxa"/>
              <w:bottom w:w="0" w:type="dxa"/>
              <w:right w:w="28" w:type="dxa"/>
            </w:tcMar>
            <w:vAlign w:val="center"/>
          </w:tcPr>
          <w:p w14:paraId="1C3001A2" w14:textId="157E457D" w:rsidR="00E824E3" w:rsidRDefault="00E824E3" w:rsidP="00E824E3">
            <w:pPr>
              <w:pStyle w:val="TableBody"/>
              <w:keepNext/>
            </w:pPr>
            <w:r>
              <w:t>Antenna Gain (Rx)</w:t>
            </w:r>
          </w:p>
        </w:tc>
        <w:tc>
          <w:tcPr>
            <w:tcW w:w="2268" w:type="dxa"/>
            <w:shd w:val="clear" w:color="auto" w:fill="auto"/>
            <w:tcMar>
              <w:top w:w="0" w:type="dxa"/>
              <w:left w:w="28" w:type="dxa"/>
              <w:bottom w:w="0" w:type="dxa"/>
              <w:right w:w="28" w:type="dxa"/>
            </w:tcMar>
            <w:vAlign w:val="center"/>
          </w:tcPr>
          <w:p w14:paraId="78BB6EB4" w14:textId="778FF95E" w:rsidR="00E824E3" w:rsidRDefault="00E824E3" w:rsidP="003322B4">
            <w:pPr>
              <w:pStyle w:val="TableBody"/>
              <w:keepNext/>
              <w:jc w:val="center"/>
            </w:pPr>
            <w:r>
              <w:t>3 dBi</w:t>
            </w:r>
          </w:p>
        </w:tc>
        <w:tc>
          <w:tcPr>
            <w:tcW w:w="2410" w:type="dxa"/>
            <w:shd w:val="clear" w:color="auto" w:fill="auto"/>
            <w:tcMar>
              <w:top w:w="0" w:type="dxa"/>
              <w:left w:w="28" w:type="dxa"/>
              <w:bottom w:w="0" w:type="dxa"/>
              <w:right w:w="28" w:type="dxa"/>
            </w:tcMar>
            <w:vAlign w:val="center"/>
          </w:tcPr>
          <w:p w14:paraId="4992DAD6" w14:textId="54191A96" w:rsidR="00E824E3" w:rsidRDefault="00E824E3" w:rsidP="003322B4">
            <w:pPr>
              <w:pStyle w:val="TableBody"/>
              <w:keepNext/>
              <w:jc w:val="center"/>
            </w:pPr>
            <w:r w:rsidRPr="009C3782">
              <w:t>RALI FX21</w:t>
            </w:r>
          </w:p>
        </w:tc>
      </w:tr>
      <w:tr w:rsidR="00E824E3" w:rsidRPr="009C3782" w14:paraId="2D8B801F" w14:textId="77777777" w:rsidTr="001814D9">
        <w:trPr>
          <w:trHeight w:val="300"/>
        </w:trPr>
        <w:tc>
          <w:tcPr>
            <w:tcW w:w="3613" w:type="dxa"/>
            <w:shd w:val="clear" w:color="auto" w:fill="auto"/>
            <w:tcMar>
              <w:top w:w="0" w:type="dxa"/>
              <w:left w:w="28" w:type="dxa"/>
              <w:bottom w:w="0" w:type="dxa"/>
              <w:right w:w="28" w:type="dxa"/>
            </w:tcMar>
            <w:vAlign w:val="center"/>
          </w:tcPr>
          <w:p w14:paraId="5F110E14" w14:textId="66D8DD2C" w:rsidR="00E824E3" w:rsidRPr="009C3782" w:rsidRDefault="00E824E3" w:rsidP="00E824E3">
            <w:pPr>
              <w:pStyle w:val="TableBody"/>
              <w:keepNext/>
            </w:pPr>
            <w:r w:rsidRPr="009C3782">
              <w:t>Minimum wanted signal level</w:t>
            </w:r>
            <w:r>
              <w:t xml:space="preserve"> per Ch</w:t>
            </w:r>
          </w:p>
        </w:tc>
        <w:tc>
          <w:tcPr>
            <w:tcW w:w="2268" w:type="dxa"/>
            <w:shd w:val="clear" w:color="auto" w:fill="auto"/>
            <w:tcMar>
              <w:top w:w="0" w:type="dxa"/>
              <w:left w:w="28" w:type="dxa"/>
              <w:bottom w:w="0" w:type="dxa"/>
              <w:right w:w="28" w:type="dxa"/>
            </w:tcMar>
            <w:vAlign w:val="center"/>
          </w:tcPr>
          <w:p w14:paraId="2C560D3A" w14:textId="1ADC764E" w:rsidR="00E824E3" w:rsidRPr="009C3782" w:rsidRDefault="00E824E3" w:rsidP="003322B4">
            <w:pPr>
              <w:pStyle w:val="TableBody"/>
              <w:keepNext/>
              <w:jc w:val="center"/>
            </w:pPr>
            <w:r w:rsidRPr="009C3782">
              <w:t>-</w:t>
            </w:r>
            <w:r w:rsidR="00AE5F1D">
              <w:t>9</w:t>
            </w:r>
            <w:r w:rsidR="00F71E90">
              <w:t>1</w:t>
            </w:r>
            <w:r w:rsidR="005118FB">
              <w:t>.4</w:t>
            </w:r>
            <w:r w:rsidRPr="009C3782">
              <w:t xml:space="preserve"> dBW/8 MHz</w:t>
            </w:r>
          </w:p>
        </w:tc>
        <w:tc>
          <w:tcPr>
            <w:tcW w:w="2410" w:type="dxa"/>
            <w:shd w:val="clear" w:color="auto" w:fill="auto"/>
            <w:tcMar>
              <w:top w:w="0" w:type="dxa"/>
              <w:left w:w="28" w:type="dxa"/>
              <w:bottom w:w="0" w:type="dxa"/>
              <w:right w:w="28" w:type="dxa"/>
            </w:tcMar>
            <w:vAlign w:val="center"/>
          </w:tcPr>
          <w:p w14:paraId="7C463C7D" w14:textId="44775313" w:rsidR="00E824E3" w:rsidRPr="009C3782" w:rsidRDefault="00787F90" w:rsidP="003322B4">
            <w:pPr>
              <w:pStyle w:val="TableBody"/>
              <w:keepNext/>
              <w:jc w:val="center"/>
            </w:pPr>
            <w:r>
              <w:t>EIRP – Loss +Grx</w:t>
            </w:r>
          </w:p>
        </w:tc>
      </w:tr>
      <w:tr w:rsidR="00E824E3" w:rsidRPr="009C3782" w14:paraId="03B696AC" w14:textId="77777777" w:rsidTr="009C3782">
        <w:trPr>
          <w:trHeight w:val="300"/>
        </w:trPr>
        <w:tc>
          <w:tcPr>
            <w:tcW w:w="3613" w:type="dxa"/>
            <w:shd w:val="clear" w:color="auto" w:fill="auto"/>
            <w:tcMar>
              <w:top w:w="0" w:type="dxa"/>
              <w:left w:w="28" w:type="dxa"/>
              <w:bottom w:w="0" w:type="dxa"/>
              <w:right w:w="28" w:type="dxa"/>
            </w:tcMar>
            <w:vAlign w:val="center"/>
          </w:tcPr>
          <w:p w14:paraId="407789C6" w14:textId="77F856A0" w:rsidR="00E824E3" w:rsidRPr="009C3782" w:rsidRDefault="00E824E3" w:rsidP="00E824E3">
            <w:pPr>
              <w:pStyle w:val="TableBody"/>
              <w:keepNext/>
            </w:pPr>
            <w:r w:rsidRPr="009C3782">
              <w:t>Minimum wanted signal level</w:t>
            </w:r>
            <w:r>
              <w:t xml:space="preserve"> per MHz</w:t>
            </w:r>
          </w:p>
        </w:tc>
        <w:tc>
          <w:tcPr>
            <w:tcW w:w="2268" w:type="dxa"/>
            <w:shd w:val="clear" w:color="auto" w:fill="auto"/>
            <w:tcMar>
              <w:top w:w="0" w:type="dxa"/>
              <w:left w:w="28" w:type="dxa"/>
              <w:bottom w:w="0" w:type="dxa"/>
              <w:right w:w="28" w:type="dxa"/>
            </w:tcMar>
            <w:vAlign w:val="center"/>
          </w:tcPr>
          <w:p w14:paraId="44ED3CFB" w14:textId="5DE62D66" w:rsidR="00E824E3" w:rsidRPr="009C3782" w:rsidRDefault="00E824E3" w:rsidP="003322B4">
            <w:pPr>
              <w:pStyle w:val="TableBody"/>
              <w:keepNext/>
              <w:jc w:val="center"/>
            </w:pPr>
            <w:r w:rsidRPr="009C3782">
              <w:t>-</w:t>
            </w:r>
            <w:r w:rsidR="00AA6FBD">
              <w:t>10</w:t>
            </w:r>
            <w:r w:rsidR="00290FED">
              <w:t>0.4</w:t>
            </w:r>
            <w:r w:rsidRPr="009C3782">
              <w:t xml:space="preserve"> dBW/ MHz</w:t>
            </w:r>
          </w:p>
        </w:tc>
        <w:tc>
          <w:tcPr>
            <w:tcW w:w="2410" w:type="dxa"/>
            <w:shd w:val="clear" w:color="auto" w:fill="auto"/>
            <w:tcMar>
              <w:top w:w="0" w:type="dxa"/>
              <w:left w:w="28" w:type="dxa"/>
              <w:bottom w:w="0" w:type="dxa"/>
              <w:right w:w="28" w:type="dxa"/>
            </w:tcMar>
            <w:vAlign w:val="center"/>
          </w:tcPr>
          <w:p w14:paraId="5C495108" w14:textId="47B96006" w:rsidR="00E824E3" w:rsidRPr="009C3782" w:rsidRDefault="007C2A71" w:rsidP="003322B4">
            <w:pPr>
              <w:pStyle w:val="TableBody"/>
              <w:keepNext/>
              <w:jc w:val="center"/>
            </w:pPr>
            <w:r>
              <w:t>-9 dB adjust</w:t>
            </w:r>
            <w:r w:rsidR="00CA2287">
              <w:t>ment</w:t>
            </w:r>
          </w:p>
        </w:tc>
      </w:tr>
      <w:tr w:rsidR="00B133B4" w:rsidRPr="001D62E5" w14:paraId="2934C7B5" w14:textId="77777777" w:rsidTr="001814D9">
        <w:trPr>
          <w:trHeight w:val="300"/>
        </w:trPr>
        <w:tc>
          <w:tcPr>
            <w:tcW w:w="3613" w:type="dxa"/>
            <w:shd w:val="clear" w:color="auto" w:fill="auto"/>
            <w:tcMar>
              <w:top w:w="0" w:type="dxa"/>
              <w:left w:w="28" w:type="dxa"/>
              <w:bottom w:w="0" w:type="dxa"/>
              <w:right w:w="28" w:type="dxa"/>
            </w:tcMar>
            <w:vAlign w:val="center"/>
          </w:tcPr>
          <w:p w14:paraId="5074BBF1" w14:textId="135EDECB" w:rsidR="00B133B4" w:rsidRPr="009C3782" w:rsidRDefault="00B133B4" w:rsidP="001814D9">
            <w:pPr>
              <w:pStyle w:val="TableBody"/>
              <w:keepNext/>
            </w:pPr>
            <w:r w:rsidRPr="009C3782">
              <w:t xml:space="preserve">Protection </w:t>
            </w:r>
            <w:r w:rsidR="005B436F">
              <w:t>r</w:t>
            </w:r>
            <w:r w:rsidRPr="009C3782">
              <w:t>atio</w:t>
            </w:r>
          </w:p>
        </w:tc>
        <w:tc>
          <w:tcPr>
            <w:tcW w:w="2268" w:type="dxa"/>
            <w:shd w:val="clear" w:color="auto" w:fill="auto"/>
            <w:tcMar>
              <w:top w:w="0" w:type="dxa"/>
              <w:left w:w="28" w:type="dxa"/>
              <w:bottom w:w="0" w:type="dxa"/>
              <w:right w:w="28" w:type="dxa"/>
            </w:tcMar>
            <w:vAlign w:val="center"/>
          </w:tcPr>
          <w:p w14:paraId="295AEA4A" w14:textId="77777777" w:rsidR="00B133B4" w:rsidRPr="009C3782" w:rsidRDefault="00B133B4" w:rsidP="003322B4">
            <w:pPr>
              <w:pStyle w:val="TableBody"/>
              <w:keepNext/>
              <w:jc w:val="center"/>
            </w:pPr>
            <w:r w:rsidRPr="009C3782">
              <w:t>26 dB</w:t>
            </w:r>
          </w:p>
        </w:tc>
        <w:tc>
          <w:tcPr>
            <w:tcW w:w="2410" w:type="dxa"/>
            <w:shd w:val="clear" w:color="auto" w:fill="auto"/>
            <w:tcMar>
              <w:top w:w="0" w:type="dxa"/>
              <w:left w:w="28" w:type="dxa"/>
              <w:bottom w:w="0" w:type="dxa"/>
              <w:right w:w="28" w:type="dxa"/>
            </w:tcMar>
            <w:vAlign w:val="center"/>
          </w:tcPr>
          <w:p w14:paraId="1FDAD547" w14:textId="77777777" w:rsidR="00B133B4" w:rsidRDefault="00B133B4" w:rsidP="003322B4">
            <w:pPr>
              <w:pStyle w:val="TableBody"/>
              <w:keepNext/>
              <w:jc w:val="center"/>
            </w:pPr>
            <w:r w:rsidRPr="009C3782">
              <w:t>RALI FX21</w:t>
            </w:r>
          </w:p>
        </w:tc>
      </w:tr>
      <w:tr w:rsidR="00DD1EA0" w:rsidRPr="001D62E5" w14:paraId="770E07F9" w14:textId="77777777" w:rsidTr="001814D9">
        <w:trPr>
          <w:trHeight w:val="300"/>
        </w:trPr>
        <w:tc>
          <w:tcPr>
            <w:tcW w:w="3613" w:type="dxa"/>
            <w:shd w:val="clear" w:color="auto" w:fill="auto"/>
            <w:tcMar>
              <w:top w:w="0" w:type="dxa"/>
              <w:left w:w="28" w:type="dxa"/>
              <w:bottom w:w="0" w:type="dxa"/>
              <w:right w:w="28" w:type="dxa"/>
            </w:tcMar>
            <w:vAlign w:val="center"/>
          </w:tcPr>
          <w:p w14:paraId="41E847AA" w14:textId="3995BBDB" w:rsidR="00DD1EA0" w:rsidRPr="009C3782" w:rsidRDefault="00DD1EA0" w:rsidP="00DD1EA0">
            <w:pPr>
              <w:pStyle w:val="TableBody"/>
              <w:keepNext/>
            </w:pPr>
            <w:r>
              <w:t xml:space="preserve">Interference </w:t>
            </w:r>
            <w:r w:rsidR="005B436F">
              <w:t>t</w:t>
            </w:r>
            <w:r>
              <w:t>hreshold</w:t>
            </w:r>
          </w:p>
        </w:tc>
        <w:tc>
          <w:tcPr>
            <w:tcW w:w="2268" w:type="dxa"/>
            <w:shd w:val="clear" w:color="auto" w:fill="auto"/>
            <w:tcMar>
              <w:top w:w="0" w:type="dxa"/>
              <w:left w:w="28" w:type="dxa"/>
              <w:bottom w:w="0" w:type="dxa"/>
              <w:right w:w="28" w:type="dxa"/>
            </w:tcMar>
            <w:vAlign w:val="center"/>
          </w:tcPr>
          <w:p w14:paraId="071226D8" w14:textId="7BCC6A2F" w:rsidR="00DD1EA0" w:rsidRPr="009C3782" w:rsidRDefault="00DD1EA0" w:rsidP="003322B4">
            <w:pPr>
              <w:pStyle w:val="TableBody"/>
              <w:keepNext/>
              <w:jc w:val="center"/>
            </w:pPr>
            <w:r>
              <w:t>-126.4 dBW/MHz</w:t>
            </w:r>
          </w:p>
        </w:tc>
        <w:tc>
          <w:tcPr>
            <w:tcW w:w="2410" w:type="dxa"/>
            <w:shd w:val="clear" w:color="auto" w:fill="auto"/>
            <w:tcMar>
              <w:top w:w="0" w:type="dxa"/>
              <w:left w:w="28" w:type="dxa"/>
              <w:bottom w:w="0" w:type="dxa"/>
              <w:right w:w="28" w:type="dxa"/>
            </w:tcMar>
            <w:vAlign w:val="center"/>
          </w:tcPr>
          <w:p w14:paraId="5E68D707" w14:textId="30960D78" w:rsidR="00DD1EA0" w:rsidRPr="009C3782" w:rsidRDefault="00DD1EA0" w:rsidP="003322B4">
            <w:pPr>
              <w:pStyle w:val="TableBody"/>
              <w:keepNext/>
              <w:jc w:val="center"/>
            </w:pPr>
            <w:r>
              <w:t>EIRP – Loss +Grx - PR</w:t>
            </w:r>
          </w:p>
        </w:tc>
      </w:tr>
    </w:tbl>
    <w:p w14:paraId="23EABD5D" w14:textId="24CCED14" w:rsidR="006C712F" w:rsidRDefault="006C712F" w:rsidP="0029346F">
      <w:pPr>
        <w:rPr>
          <w:highlight w:val="yellow"/>
        </w:rPr>
      </w:pPr>
    </w:p>
    <w:p w14:paraId="3B7D198B" w14:textId="4FD7FD39" w:rsidR="00F86A19" w:rsidRPr="00C8260A" w:rsidRDefault="00F86A19" w:rsidP="003322B4">
      <w:pPr>
        <w:pStyle w:val="ACMATableHeader"/>
        <w:tabs>
          <w:tab w:val="clear" w:pos="1957"/>
          <w:tab w:val="num" w:pos="1134"/>
        </w:tabs>
        <w:ind w:left="1134" w:hanging="1134"/>
      </w:pPr>
      <w:r>
        <w:t>TOB receive station study generic parameters 100</w:t>
      </w:r>
      <w:r w:rsidR="005B436F">
        <w:t xml:space="preserve"> </w:t>
      </w:r>
      <w:r>
        <w:t>m TOB Link</w:t>
      </w:r>
    </w:p>
    <w:tbl>
      <w:tblPr>
        <w:tblW w:w="8291"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Pr>
      <w:tblGrid>
        <w:gridCol w:w="3613"/>
        <w:gridCol w:w="2268"/>
        <w:gridCol w:w="2410"/>
      </w:tblGrid>
      <w:tr w:rsidR="00F86A19" w:rsidRPr="006A7F44" w14:paraId="3921A99C" w14:textId="77777777" w:rsidTr="00EC708A">
        <w:trPr>
          <w:trHeight w:val="315"/>
        </w:trPr>
        <w:tc>
          <w:tcPr>
            <w:tcW w:w="3613" w:type="dxa"/>
            <w:shd w:val="clear" w:color="auto" w:fill="404040" w:themeFill="text1" w:themeFillTint="BF"/>
            <w:tcMar>
              <w:top w:w="0" w:type="dxa"/>
              <w:left w:w="0" w:type="dxa"/>
              <w:bottom w:w="0" w:type="dxa"/>
              <w:right w:w="0" w:type="dxa"/>
            </w:tcMar>
            <w:vAlign w:val="center"/>
            <w:hideMark/>
          </w:tcPr>
          <w:p w14:paraId="4949B686" w14:textId="77777777" w:rsidR="00F86A19" w:rsidRPr="006A7F44" w:rsidRDefault="00F86A19" w:rsidP="003322B4">
            <w:pPr>
              <w:pStyle w:val="TableHeading0"/>
              <w:keepNext/>
              <w:jc w:val="center"/>
              <w:rPr>
                <w:color w:val="FFFFFF" w:themeColor="background1"/>
              </w:rPr>
            </w:pPr>
            <w:r w:rsidRPr="006A7F44">
              <w:rPr>
                <w:color w:val="FFFFFF" w:themeColor="background1"/>
              </w:rPr>
              <w:t>Parameter</w:t>
            </w:r>
          </w:p>
        </w:tc>
        <w:tc>
          <w:tcPr>
            <w:tcW w:w="2268" w:type="dxa"/>
            <w:shd w:val="clear" w:color="auto" w:fill="404040" w:themeFill="text1" w:themeFillTint="BF"/>
            <w:tcMar>
              <w:top w:w="0" w:type="dxa"/>
              <w:left w:w="0" w:type="dxa"/>
              <w:bottom w:w="0" w:type="dxa"/>
              <w:right w:w="0" w:type="dxa"/>
            </w:tcMar>
            <w:vAlign w:val="center"/>
            <w:hideMark/>
          </w:tcPr>
          <w:p w14:paraId="2BEC0208" w14:textId="77777777" w:rsidR="00F86A19" w:rsidRPr="006A7F44" w:rsidRDefault="00F86A19" w:rsidP="003322B4">
            <w:pPr>
              <w:pStyle w:val="TableHeading0"/>
              <w:keepNext/>
              <w:jc w:val="center"/>
              <w:rPr>
                <w:color w:val="FFFFFF" w:themeColor="background1"/>
              </w:rPr>
            </w:pPr>
            <w:r w:rsidRPr="006A7F44">
              <w:rPr>
                <w:color w:val="FFFFFF" w:themeColor="background1"/>
              </w:rPr>
              <w:t>Value</w:t>
            </w:r>
          </w:p>
        </w:tc>
        <w:tc>
          <w:tcPr>
            <w:tcW w:w="2410" w:type="dxa"/>
            <w:shd w:val="clear" w:color="auto" w:fill="404040" w:themeFill="text1" w:themeFillTint="BF"/>
            <w:tcMar>
              <w:top w:w="0" w:type="dxa"/>
              <w:left w:w="0" w:type="dxa"/>
              <w:bottom w:w="0" w:type="dxa"/>
              <w:right w:w="0" w:type="dxa"/>
            </w:tcMar>
            <w:vAlign w:val="center"/>
            <w:hideMark/>
          </w:tcPr>
          <w:p w14:paraId="1816AE19" w14:textId="77777777" w:rsidR="00F86A19" w:rsidRPr="006A7F44" w:rsidRDefault="00F86A19" w:rsidP="003322B4">
            <w:pPr>
              <w:pStyle w:val="TableHeading0"/>
              <w:keepNext/>
              <w:jc w:val="center"/>
              <w:rPr>
                <w:color w:val="FFFFFF" w:themeColor="background1"/>
              </w:rPr>
            </w:pPr>
            <w:r w:rsidRPr="006A7F44">
              <w:rPr>
                <w:color w:val="FFFFFF" w:themeColor="background1"/>
              </w:rPr>
              <w:t>Reference</w:t>
            </w:r>
          </w:p>
        </w:tc>
      </w:tr>
      <w:tr w:rsidR="00F86A19" w:rsidRPr="009C3782" w14:paraId="6DCC3B9B" w14:textId="77777777" w:rsidTr="474A808E">
        <w:trPr>
          <w:trHeight w:val="300"/>
        </w:trPr>
        <w:tc>
          <w:tcPr>
            <w:tcW w:w="3613" w:type="dxa"/>
            <w:shd w:val="clear" w:color="auto" w:fill="auto"/>
            <w:tcMar>
              <w:top w:w="0" w:type="dxa"/>
              <w:left w:w="28" w:type="dxa"/>
              <w:bottom w:w="0" w:type="dxa"/>
              <w:right w:w="28" w:type="dxa"/>
            </w:tcMar>
            <w:vAlign w:val="center"/>
          </w:tcPr>
          <w:p w14:paraId="5B7485CF" w14:textId="77777777" w:rsidR="00F86A19" w:rsidRPr="009C3782" w:rsidRDefault="00F86A19" w:rsidP="001814D9">
            <w:pPr>
              <w:pStyle w:val="TableBody"/>
              <w:keepNext/>
            </w:pPr>
            <w:r w:rsidRPr="009C3782">
              <w:t>Antenna pattern</w:t>
            </w:r>
          </w:p>
        </w:tc>
        <w:tc>
          <w:tcPr>
            <w:tcW w:w="2268" w:type="dxa"/>
            <w:shd w:val="clear" w:color="auto" w:fill="auto"/>
            <w:tcMar>
              <w:top w:w="0" w:type="dxa"/>
              <w:left w:w="28" w:type="dxa"/>
              <w:bottom w:w="0" w:type="dxa"/>
              <w:right w:w="28" w:type="dxa"/>
            </w:tcMar>
            <w:vAlign w:val="center"/>
          </w:tcPr>
          <w:p w14:paraId="203E429F" w14:textId="77777777" w:rsidR="00F86A19" w:rsidRPr="009C3782" w:rsidRDefault="00F86A19" w:rsidP="003322B4">
            <w:pPr>
              <w:pStyle w:val="TableBody"/>
              <w:keepNext/>
              <w:jc w:val="center"/>
            </w:pPr>
            <w:r w:rsidRPr="009C3782">
              <w:t>Omni directional</w:t>
            </w:r>
          </w:p>
        </w:tc>
        <w:tc>
          <w:tcPr>
            <w:tcW w:w="2410" w:type="dxa"/>
            <w:shd w:val="clear" w:color="auto" w:fill="auto"/>
            <w:tcMar>
              <w:top w:w="0" w:type="dxa"/>
              <w:left w:w="28" w:type="dxa"/>
              <w:bottom w:w="0" w:type="dxa"/>
              <w:right w:w="28" w:type="dxa"/>
            </w:tcMar>
            <w:vAlign w:val="center"/>
          </w:tcPr>
          <w:p w14:paraId="0F8EA13C" w14:textId="77777777" w:rsidR="00F86A19" w:rsidRPr="009C3782" w:rsidRDefault="00F86A19" w:rsidP="003322B4">
            <w:pPr>
              <w:pStyle w:val="TableBody"/>
              <w:keepNext/>
              <w:jc w:val="center"/>
            </w:pPr>
            <w:r w:rsidRPr="009C3782">
              <w:t>RALI FX21</w:t>
            </w:r>
          </w:p>
        </w:tc>
      </w:tr>
      <w:tr w:rsidR="00F86A19" w:rsidRPr="009C3782" w14:paraId="0239FF88" w14:textId="77777777" w:rsidTr="474A808E">
        <w:trPr>
          <w:trHeight w:val="300"/>
        </w:trPr>
        <w:tc>
          <w:tcPr>
            <w:tcW w:w="3613" w:type="dxa"/>
            <w:shd w:val="clear" w:color="auto" w:fill="auto"/>
            <w:tcMar>
              <w:top w:w="0" w:type="dxa"/>
              <w:left w:w="28" w:type="dxa"/>
              <w:bottom w:w="0" w:type="dxa"/>
              <w:right w:w="28" w:type="dxa"/>
            </w:tcMar>
            <w:vAlign w:val="center"/>
          </w:tcPr>
          <w:p w14:paraId="4F17AE15" w14:textId="77777777" w:rsidR="00F86A19" w:rsidRPr="009C3782" w:rsidRDefault="00F86A19" w:rsidP="001814D9">
            <w:pPr>
              <w:pStyle w:val="TableBody"/>
              <w:keepNext/>
            </w:pPr>
            <w:r>
              <w:t>Wireless Camera EIRP</w:t>
            </w:r>
          </w:p>
        </w:tc>
        <w:tc>
          <w:tcPr>
            <w:tcW w:w="2268" w:type="dxa"/>
            <w:shd w:val="clear" w:color="auto" w:fill="auto"/>
            <w:tcMar>
              <w:top w:w="0" w:type="dxa"/>
              <w:left w:w="28" w:type="dxa"/>
              <w:bottom w:w="0" w:type="dxa"/>
              <w:right w:w="28" w:type="dxa"/>
            </w:tcMar>
            <w:vAlign w:val="center"/>
          </w:tcPr>
          <w:p w14:paraId="5A7E305F" w14:textId="77777777" w:rsidR="00F86A19" w:rsidRPr="009C3782" w:rsidRDefault="00F86A19" w:rsidP="003322B4">
            <w:pPr>
              <w:pStyle w:val="TableBody"/>
              <w:keepNext/>
              <w:jc w:val="center"/>
            </w:pPr>
            <w:r>
              <w:t>-10 dBW/ 8 MHz</w:t>
            </w:r>
          </w:p>
        </w:tc>
        <w:tc>
          <w:tcPr>
            <w:tcW w:w="2410" w:type="dxa"/>
            <w:shd w:val="clear" w:color="auto" w:fill="auto"/>
            <w:tcMar>
              <w:top w:w="0" w:type="dxa"/>
              <w:left w:w="28" w:type="dxa"/>
              <w:bottom w:w="0" w:type="dxa"/>
              <w:right w:w="28" w:type="dxa"/>
            </w:tcMar>
            <w:vAlign w:val="center"/>
          </w:tcPr>
          <w:p w14:paraId="36129710" w14:textId="77777777" w:rsidR="00F86A19" w:rsidRPr="009C3782" w:rsidRDefault="00F86A19" w:rsidP="003322B4">
            <w:pPr>
              <w:pStyle w:val="TableBody"/>
              <w:keepNext/>
              <w:jc w:val="center"/>
            </w:pPr>
            <w:r w:rsidRPr="009C3782">
              <w:t>RALI FX21</w:t>
            </w:r>
          </w:p>
        </w:tc>
      </w:tr>
      <w:tr w:rsidR="00F86A19" w:rsidRPr="001D62E5" w14:paraId="46DED2C9" w14:textId="77777777" w:rsidTr="474A808E">
        <w:trPr>
          <w:trHeight w:val="300"/>
        </w:trPr>
        <w:tc>
          <w:tcPr>
            <w:tcW w:w="3613" w:type="dxa"/>
            <w:shd w:val="clear" w:color="auto" w:fill="auto"/>
            <w:tcMar>
              <w:top w:w="0" w:type="dxa"/>
              <w:left w:w="28" w:type="dxa"/>
              <w:bottom w:w="0" w:type="dxa"/>
              <w:right w:w="28" w:type="dxa"/>
            </w:tcMar>
            <w:vAlign w:val="center"/>
          </w:tcPr>
          <w:p w14:paraId="060CB929" w14:textId="3047EDFF" w:rsidR="00F86A19" w:rsidRDefault="00F86A19" w:rsidP="001814D9">
            <w:pPr>
              <w:pStyle w:val="TableBody"/>
              <w:keepNext/>
            </w:pPr>
            <w:r>
              <w:t xml:space="preserve">Path loss over </w:t>
            </w:r>
            <w:r w:rsidR="001F1E7F">
              <w:t>1</w:t>
            </w:r>
            <w:r>
              <w:t>00m</w:t>
            </w:r>
          </w:p>
        </w:tc>
        <w:tc>
          <w:tcPr>
            <w:tcW w:w="2268" w:type="dxa"/>
            <w:shd w:val="clear" w:color="auto" w:fill="auto"/>
            <w:tcMar>
              <w:top w:w="0" w:type="dxa"/>
              <w:left w:w="28" w:type="dxa"/>
              <w:bottom w:w="0" w:type="dxa"/>
              <w:right w:w="28" w:type="dxa"/>
            </w:tcMar>
            <w:vAlign w:val="center"/>
          </w:tcPr>
          <w:p w14:paraId="31280894" w14:textId="5041A456" w:rsidR="00FE7190" w:rsidRDefault="00643956" w:rsidP="003322B4">
            <w:pPr>
              <w:pStyle w:val="TableBody"/>
              <w:keepNext/>
              <w:jc w:val="center"/>
            </w:pPr>
            <w:r>
              <w:t>78.4</w:t>
            </w:r>
          </w:p>
        </w:tc>
        <w:tc>
          <w:tcPr>
            <w:tcW w:w="2410" w:type="dxa"/>
            <w:shd w:val="clear" w:color="auto" w:fill="auto"/>
            <w:tcMar>
              <w:top w:w="0" w:type="dxa"/>
              <w:left w:w="28" w:type="dxa"/>
              <w:bottom w:w="0" w:type="dxa"/>
              <w:right w:w="28" w:type="dxa"/>
            </w:tcMar>
            <w:vAlign w:val="center"/>
          </w:tcPr>
          <w:p w14:paraId="67DDE674" w14:textId="77777777" w:rsidR="00F86A19" w:rsidRPr="009C3782" w:rsidRDefault="00F86A19" w:rsidP="003322B4">
            <w:pPr>
              <w:pStyle w:val="TableBody"/>
              <w:keepNext/>
              <w:jc w:val="center"/>
            </w:pPr>
            <w:r>
              <w:t>Calculated (Free Space Loss)</w:t>
            </w:r>
          </w:p>
        </w:tc>
      </w:tr>
      <w:tr w:rsidR="00F86A19" w:rsidRPr="001D62E5" w14:paraId="30D71372" w14:textId="77777777" w:rsidTr="474A808E">
        <w:trPr>
          <w:trHeight w:val="300"/>
        </w:trPr>
        <w:tc>
          <w:tcPr>
            <w:tcW w:w="3613" w:type="dxa"/>
            <w:shd w:val="clear" w:color="auto" w:fill="auto"/>
            <w:tcMar>
              <w:top w:w="0" w:type="dxa"/>
              <w:left w:w="28" w:type="dxa"/>
              <w:bottom w:w="0" w:type="dxa"/>
              <w:right w:w="28" w:type="dxa"/>
            </w:tcMar>
            <w:vAlign w:val="center"/>
          </w:tcPr>
          <w:p w14:paraId="6D4934B2" w14:textId="77777777" w:rsidR="00F86A19" w:rsidRDefault="00F86A19" w:rsidP="001814D9">
            <w:pPr>
              <w:pStyle w:val="TableBody"/>
              <w:keepNext/>
            </w:pPr>
            <w:r>
              <w:t>Antenna Gain (Rx)</w:t>
            </w:r>
          </w:p>
        </w:tc>
        <w:tc>
          <w:tcPr>
            <w:tcW w:w="2268" w:type="dxa"/>
            <w:shd w:val="clear" w:color="auto" w:fill="auto"/>
            <w:tcMar>
              <w:top w:w="0" w:type="dxa"/>
              <w:left w:w="28" w:type="dxa"/>
              <w:bottom w:w="0" w:type="dxa"/>
              <w:right w:w="28" w:type="dxa"/>
            </w:tcMar>
            <w:vAlign w:val="center"/>
          </w:tcPr>
          <w:p w14:paraId="2C777C0A" w14:textId="77777777" w:rsidR="00F86A19" w:rsidRDefault="00F86A19" w:rsidP="003322B4">
            <w:pPr>
              <w:pStyle w:val="TableBody"/>
              <w:keepNext/>
              <w:jc w:val="center"/>
            </w:pPr>
            <w:r>
              <w:t>3 dBi</w:t>
            </w:r>
          </w:p>
        </w:tc>
        <w:tc>
          <w:tcPr>
            <w:tcW w:w="2410" w:type="dxa"/>
            <w:shd w:val="clear" w:color="auto" w:fill="auto"/>
            <w:tcMar>
              <w:top w:w="0" w:type="dxa"/>
              <w:left w:w="28" w:type="dxa"/>
              <w:bottom w:w="0" w:type="dxa"/>
              <w:right w:w="28" w:type="dxa"/>
            </w:tcMar>
            <w:vAlign w:val="center"/>
          </w:tcPr>
          <w:p w14:paraId="7EDE4A58" w14:textId="77777777" w:rsidR="00F86A19" w:rsidRDefault="00F86A19" w:rsidP="003322B4">
            <w:pPr>
              <w:pStyle w:val="TableBody"/>
              <w:keepNext/>
              <w:jc w:val="center"/>
            </w:pPr>
            <w:r w:rsidRPr="009C3782">
              <w:t>RALI FX21</w:t>
            </w:r>
          </w:p>
        </w:tc>
      </w:tr>
      <w:tr w:rsidR="00F86A19" w:rsidRPr="009C3782" w14:paraId="746825E4" w14:textId="77777777" w:rsidTr="474A808E">
        <w:trPr>
          <w:trHeight w:val="300"/>
        </w:trPr>
        <w:tc>
          <w:tcPr>
            <w:tcW w:w="3613" w:type="dxa"/>
            <w:shd w:val="clear" w:color="auto" w:fill="auto"/>
            <w:tcMar>
              <w:top w:w="0" w:type="dxa"/>
              <w:left w:w="28" w:type="dxa"/>
              <w:bottom w:w="0" w:type="dxa"/>
              <w:right w:w="28" w:type="dxa"/>
            </w:tcMar>
            <w:vAlign w:val="center"/>
          </w:tcPr>
          <w:p w14:paraId="4611D175" w14:textId="77777777" w:rsidR="00F86A19" w:rsidRPr="009C3782" w:rsidRDefault="00F86A19" w:rsidP="001814D9">
            <w:pPr>
              <w:pStyle w:val="TableBody"/>
              <w:keepNext/>
            </w:pPr>
            <w:r w:rsidRPr="009C3782">
              <w:t>Minimum wanted signal level</w:t>
            </w:r>
            <w:r>
              <w:t xml:space="preserve"> per Ch</w:t>
            </w:r>
          </w:p>
        </w:tc>
        <w:tc>
          <w:tcPr>
            <w:tcW w:w="2268" w:type="dxa"/>
            <w:shd w:val="clear" w:color="auto" w:fill="auto"/>
            <w:tcMar>
              <w:top w:w="0" w:type="dxa"/>
              <w:left w:w="28" w:type="dxa"/>
              <w:bottom w:w="0" w:type="dxa"/>
              <w:right w:w="28" w:type="dxa"/>
            </w:tcMar>
            <w:vAlign w:val="center"/>
          </w:tcPr>
          <w:p w14:paraId="349D5590" w14:textId="76CAC221" w:rsidR="00F86A19" w:rsidRPr="009C3782" w:rsidRDefault="00F86A19" w:rsidP="003322B4">
            <w:pPr>
              <w:pStyle w:val="TableBody"/>
              <w:keepNext/>
              <w:jc w:val="center"/>
            </w:pPr>
            <w:r>
              <w:t>-</w:t>
            </w:r>
            <w:r w:rsidR="003353E1">
              <w:t>8</w:t>
            </w:r>
            <w:r w:rsidR="00BC6900">
              <w:t>5</w:t>
            </w:r>
            <w:r>
              <w:t>.4 dBW/8 MHz</w:t>
            </w:r>
          </w:p>
        </w:tc>
        <w:tc>
          <w:tcPr>
            <w:tcW w:w="2410" w:type="dxa"/>
            <w:shd w:val="clear" w:color="auto" w:fill="auto"/>
            <w:tcMar>
              <w:top w:w="0" w:type="dxa"/>
              <w:left w:w="28" w:type="dxa"/>
              <w:bottom w:w="0" w:type="dxa"/>
              <w:right w:w="28" w:type="dxa"/>
            </w:tcMar>
            <w:vAlign w:val="center"/>
          </w:tcPr>
          <w:p w14:paraId="12E849E9" w14:textId="77777777" w:rsidR="00F86A19" w:rsidRPr="009C3782" w:rsidRDefault="00F86A19" w:rsidP="003322B4">
            <w:pPr>
              <w:pStyle w:val="TableBody"/>
              <w:keepNext/>
              <w:jc w:val="center"/>
            </w:pPr>
            <w:r>
              <w:t>EIRP – Loss +Grx</w:t>
            </w:r>
          </w:p>
        </w:tc>
      </w:tr>
      <w:tr w:rsidR="00F86A19" w:rsidRPr="009C3782" w14:paraId="4E5FFE8D" w14:textId="77777777" w:rsidTr="474A808E">
        <w:trPr>
          <w:trHeight w:val="300"/>
        </w:trPr>
        <w:tc>
          <w:tcPr>
            <w:tcW w:w="3613" w:type="dxa"/>
            <w:shd w:val="clear" w:color="auto" w:fill="auto"/>
            <w:tcMar>
              <w:top w:w="0" w:type="dxa"/>
              <w:left w:w="28" w:type="dxa"/>
              <w:bottom w:w="0" w:type="dxa"/>
              <w:right w:w="28" w:type="dxa"/>
            </w:tcMar>
            <w:vAlign w:val="center"/>
          </w:tcPr>
          <w:p w14:paraId="5A828926" w14:textId="77777777" w:rsidR="00F86A19" w:rsidRPr="009C3782" w:rsidRDefault="00F86A19" w:rsidP="001814D9">
            <w:pPr>
              <w:pStyle w:val="TableBody"/>
              <w:keepNext/>
            </w:pPr>
            <w:r w:rsidRPr="009C3782">
              <w:t>Minimum wanted signal level</w:t>
            </w:r>
            <w:r>
              <w:t xml:space="preserve"> per MHz</w:t>
            </w:r>
          </w:p>
        </w:tc>
        <w:tc>
          <w:tcPr>
            <w:tcW w:w="2268" w:type="dxa"/>
            <w:shd w:val="clear" w:color="auto" w:fill="auto"/>
            <w:tcMar>
              <w:top w:w="0" w:type="dxa"/>
              <w:left w:w="28" w:type="dxa"/>
              <w:bottom w:w="0" w:type="dxa"/>
              <w:right w:w="28" w:type="dxa"/>
            </w:tcMar>
            <w:vAlign w:val="center"/>
          </w:tcPr>
          <w:p w14:paraId="5CD4513E" w14:textId="65E7C2CC" w:rsidR="00F86A19" w:rsidRPr="009C3782" w:rsidRDefault="00F86A19" w:rsidP="003322B4">
            <w:pPr>
              <w:pStyle w:val="TableBody"/>
              <w:keepNext/>
              <w:jc w:val="center"/>
            </w:pPr>
            <w:r w:rsidRPr="009C3782">
              <w:t>-</w:t>
            </w:r>
            <w:r w:rsidR="003353E1">
              <w:t>9</w:t>
            </w:r>
            <w:r w:rsidR="0085354E">
              <w:t>4</w:t>
            </w:r>
            <w:r>
              <w:t>.4</w:t>
            </w:r>
            <w:r w:rsidRPr="009C3782">
              <w:t xml:space="preserve"> dBW/ MHz</w:t>
            </w:r>
          </w:p>
        </w:tc>
        <w:tc>
          <w:tcPr>
            <w:tcW w:w="2410" w:type="dxa"/>
            <w:shd w:val="clear" w:color="auto" w:fill="auto"/>
            <w:tcMar>
              <w:top w:w="0" w:type="dxa"/>
              <w:left w:w="28" w:type="dxa"/>
              <w:bottom w:w="0" w:type="dxa"/>
              <w:right w:w="28" w:type="dxa"/>
            </w:tcMar>
            <w:vAlign w:val="center"/>
          </w:tcPr>
          <w:p w14:paraId="583D9A94" w14:textId="77777777" w:rsidR="00F86A19" w:rsidRPr="009C3782" w:rsidRDefault="00F86A19" w:rsidP="003322B4">
            <w:pPr>
              <w:pStyle w:val="TableBody"/>
              <w:keepNext/>
              <w:jc w:val="center"/>
            </w:pPr>
            <w:r>
              <w:t>-9 dB adjustment</w:t>
            </w:r>
          </w:p>
        </w:tc>
      </w:tr>
      <w:tr w:rsidR="00F86A19" w:rsidRPr="001D62E5" w14:paraId="7873F997" w14:textId="77777777" w:rsidTr="474A808E">
        <w:trPr>
          <w:trHeight w:val="300"/>
        </w:trPr>
        <w:tc>
          <w:tcPr>
            <w:tcW w:w="3613" w:type="dxa"/>
            <w:shd w:val="clear" w:color="auto" w:fill="auto"/>
            <w:tcMar>
              <w:top w:w="0" w:type="dxa"/>
              <w:left w:w="28" w:type="dxa"/>
              <w:bottom w:w="0" w:type="dxa"/>
              <w:right w:w="28" w:type="dxa"/>
            </w:tcMar>
            <w:vAlign w:val="center"/>
          </w:tcPr>
          <w:p w14:paraId="53B53872" w14:textId="77777777" w:rsidR="00F86A19" w:rsidRPr="009C3782" w:rsidRDefault="00F86A19" w:rsidP="001814D9">
            <w:pPr>
              <w:pStyle w:val="TableBody"/>
              <w:keepNext/>
            </w:pPr>
            <w:r w:rsidRPr="009C3782">
              <w:t>Protection Ratio</w:t>
            </w:r>
          </w:p>
        </w:tc>
        <w:tc>
          <w:tcPr>
            <w:tcW w:w="2268" w:type="dxa"/>
            <w:shd w:val="clear" w:color="auto" w:fill="auto"/>
            <w:tcMar>
              <w:top w:w="0" w:type="dxa"/>
              <w:left w:w="28" w:type="dxa"/>
              <w:bottom w:w="0" w:type="dxa"/>
              <w:right w:w="28" w:type="dxa"/>
            </w:tcMar>
            <w:vAlign w:val="center"/>
          </w:tcPr>
          <w:p w14:paraId="6A43435B" w14:textId="77777777" w:rsidR="00F86A19" w:rsidRPr="009C3782" w:rsidRDefault="00F86A19" w:rsidP="003322B4">
            <w:pPr>
              <w:pStyle w:val="TableBody"/>
              <w:keepNext/>
              <w:jc w:val="center"/>
            </w:pPr>
            <w:r w:rsidRPr="009C3782">
              <w:t>26 dB</w:t>
            </w:r>
          </w:p>
        </w:tc>
        <w:tc>
          <w:tcPr>
            <w:tcW w:w="2410" w:type="dxa"/>
            <w:shd w:val="clear" w:color="auto" w:fill="auto"/>
            <w:tcMar>
              <w:top w:w="0" w:type="dxa"/>
              <w:left w:w="28" w:type="dxa"/>
              <w:bottom w:w="0" w:type="dxa"/>
              <w:right w:w="28" w:type="dxa"/>
            </w:tcMar>
            <w:vAlign w:val="center"/>
          </w:tcPr>
          <w:p w14:paraId="317BE103" w14:textId="77777777" w:rsidR="00F86A19" w:rsidRDefault="00F86A19" w:rsidP="003322B4">
            <w:pPr>
              <w:pStyle w:val="TableBody"/>
              <w:keepNext/>
              <w:jc w:val="center"/>
            </w:pPr>
            <w:r w:rsidRPr="009C3782">
              <w:t>RALI FX21</w:t>
            </w:r>
          </w:p>
        </w:tc>
      </w:tr>
      <w:tr w:rsidR="00F86A19" w:rsidRPr="001D62E5" w14:paraId="06D7C591" w14:textId="77777777" w:rsidTr="474A808E">
        <w:trPr>
          <w:trHeight w:val="300"/>
        </w:trPr>
        <w:tc>
          <w:tcPr>
            <w:tcW w:w="3613" w:type="dxa"/>
            <w:shd w:val="clear" w:color="auto" w:fill="auto"/>
            <w:tcMar>
              <w:top w:w="0" w:type="dxa"/>
              <w:left w:w="28" w:type="dxa"/>
              <w:bottom w:w="0" w:type="dxa"/>
              <w:right w:w="28" w:type="dxa"/>
            </w:tcMar>
            <w:vAlign w:val="center"/>
          </w:tcPr>
          <w:p w14:paraId="143B1D54" w14:textId="77777777" w:rsidR="00F86A19" w:rsidRPr="009C3782" w:rsidRDefault="00F86A19" w:rsidP="001814D9">
            <w:pPr>
              <w:pStyle w:val="TableBody"/>
              <w:keepNext/>
            </w:pPr>
            <w:r>
              <w:t>Interference Threshold</w:t>
            </w:r>
          </w:p>
        </w:tc>
        <w:tc>
          <w:tcPr>
            <w:tcW w:w="2268" w:type="dxa"/>
            <w:shd w:val="clear" w:color="auto" w:fill="auto"/>
            <w:tcMar>
              <w:top w:w="0" w:type="dxa"/>
              <w:left w:w="28" w:type="dxa"/>
              <w:bottom w:w="0" w:type="dxa"/>
              <w:right w:w="28" w:type="dxa"/>
            </w:tcMar>
            <w:vAlign w:val="center"/>
          </w:tcPr>
          <w:p w14:paraId="3AE0E294" w14:textId="4B43D210" w:rsidR="00F86A19" w:rsidRPr="009C3782" w:rsidRDefault="00F86A19" w:rsidP="003322B4">
            <w:pPr>
              <w:pStyle w:val="TableBody"/>
              <w:keepNext/>
              <w:jc w:val="center"/>
            </w:pPr>
            <w:r>
              <w:t>-1</w:t>
            </w:r>
            <w:r w:rsidR="00846F60">
              <w:t>20</w:t>
            </w:r>
            <w:r>
              <w:t>.4 dBW/MHz</w:t>
            </w:r>
          </w:p>
        </w:tc>
        <w:tc>
          <w:tcPr>
            <w:tcW w:w="2410" w:type="dxa"/>
            <w:shd w:val="clear" w:color="auto" w:fill="auto"/>
            <w:tcMar>
              <w:top w:w="0" w:type="dxa"/>
              <w:left w:w="28" w:type="dxa"/>
              <w:bottom w:w="0" w:type="dxa"/>
              <w:right w:w="28" w:type="dxa"/>
            </w:tcMar>
            <w:vAlign w:val="center"/>
          </w:tcPr>
          <w:p w14:paraId="6061110B" w14:textId="77777777" w:rsidR="00F86A19" w:rsidRPr="009C3782" w:rsidRDefault="00F86A19" w:rsidP="003322B4">
            <w:pPr>
              <w:pStyle w:val="TableBody"/>
              <w:keepNext/>
              <w:jc w:val="center"/>
            </w:pPr>
            <w:r>
              <w:t>EIRP – Loss +Grx - PR</w:t>
            </w:r>
          </w:p>
        </w:tc>
      </w:tr>
    </w:tbl>
    <w:p w14:paraId="19E26D06" w14:textId="77777777" w:rsidR="00F86A19" w:rsidRDefault="00F86A19" w:rsidP="0029346F">
      <w:pPr>
        <w:rPr>
          <w:highlight w:val="yellow"/>
        </w:rPr>
      </w:pPr>
    </w:p>
    <w:p w14:paraId="250E738D" w14:textId="77777777" w:rsidR="00193E75" w:rsidRPr="00C97197" w:rsidRDefault="00193E75" w:rsidP="00193E75">
      <w:pPr>
        <w:pStyle w:val="Heading3"/>
      </w:pPr>
      <w:r w:rsidRPr="00C97197">
        <w:t>Propagation model and terrain</w:t>
      </w:r>
    </w:p>
    <w:p w14:paraId="3673B879" w14:textId="59941356" w:rsidR="00193E75" w:rsidRPr="00C97197" w:rsidRDefault="00193E75" w:rsidP="003322B4">
      <w:pPr>
        <w:pStyle w:val="Paragraphbeforelist"/>
      </w:pPr>
      <w:r w:rsidRPr="00C97197">
        <w:t>The stud</w:t>
      </w:r>
      <w:r w:rsidR="000608C9">
        <w:t>y</w:t>
      </w:r>
      <w:r w:rsidRPr="00C97197">
        <w:t xml:space="preserve"> w</w:t>
      </w:r>
      <w:r w:rsidR="00AA5551">
        <w:t>as</w:t>
      </w:r>
      <w:r w:rsidRPr="00C97197">
        <w:t xml:space="preserve"> completed using:</w:t>
      </w:r>
    </w:p>
    <w:p w14:paraId="1078C20B" w14:textId="611EA1E5" w:rsidR="00193E75" w:rsidRPr="00C97197" w:rsidRDefault="00193E75" w:rsidP="00193E75">
      <w:pPr>
        <w:pStyle w:val="Bulletlevel1"/>
        <w:keepLines/>
      </w:pPr>
      <w:r w:rsidRPr="00C97197">
        <w:rPr>
          <w:i/>
          <w:iCs/>
        </w:rPr>
        <w:t xml:space="preserve">Visualyse Professional 7.9.7.9 </w:t>
      </w:r>
      <w:r w:rsidRPr="00C97197">
        <w:t>with three-second DEM from the Shuttle Radar Topography Mission (SRTM)</w:t>
      </w:r>
      <w:r w:rsidR="005B436F">
        <w:t xml:space="preserve">. </w:t>
      </w:r>
    </w:p>
    <w:p w14:paraId="03B8C96F" w14:textId="77777777" w:rsidR="00193E75" w:rsidRPr="00C97197" w:rsidRDefault="00193E75" w:rsidP="003322B4">
      <w:pPr>
        <w:pStyle w:val="Bulletlevel1last"/>
      </w:pPr>
      <w:r w:rsidRPr="00C97197">
        <w:t>Propagation model ITU-R P.452-16 with long term protection criteria (p</w:t>
      </w:r>
      <w:r w:rsidRPr="00C97197">
        <w:rPr>
          <w:vertAlign w:val="subscript"/>
        </w:rPr>
        <w:t>0</w:t>
      </w:r>
      <w:r w:rsidRPr="00C97197">
        <w:t>=</w:t>
      </w:r>
      <w:r>
        <w:t>5</w:t>
      </w:r>
      <w:r w:rsidRPr="00C97197">
        <w:t>0%).</w:t>
      </w:r>
    </w:p>
    <w:p w14:paraId="217E7E88" w14:textId="2F671857" w:rsidR="00193E75" w:rsidRDefault="00193E75" w:rsidP="00193E75">
      <w:r>
        <w:t xml:space="preserve">While the use of detailed clutter information may also help to improve </w:t>
      </w:r>
      <w:r w:rsidR="00EC5DDA">
        <w:t>the accuracy of the impact</w:t>
      </w:r>
      <w:r>
        <w:t xml:space="preserve"> between </w:t>
      </w:r>
      <w:r w:rsidR="005046BC">
        <w:t xml:space="preserve">wireless broadband </w:t>
      </w:r>
      <w:r w:rsidR="00A22BE6">
        <w:t>services</w:t>
      </w:r>
      <w:r>
        <w:t xml:space="preserve"> and TOB receivers, the ACMA does not have access to reliable information to accurately model </w:t>
      </w:r>
      <w:r w:rsidR="00FD3FB9">
        <w:t>clutter</w:t>
      </w:r>
      <w:r>
        <w:t xml:space="preserve">. For this reason, additional losses due to clutter have not been directly modelled in the studies. To consider potential additional path loss due to clutter/buildings or the use of mitigation measures (such as lower antenna height, increased antenna tilt, lower transmit power etc) contours have been included to </w:t>
      </w:r>
      <w:r w:rsidRPr="0078401A">
        <w:t>model 20 dB of extra loss</w:t>
      </w:r>
      <w:r w:rsidRPr="00531917">
        <w:t>.</w:t>
      </w:r>
    </w:p>
    <w:p w14:paraId="4C05B742" w14:textId="43C0F92B" w:rsidR="008D46A5" w:rsidRPr="00532E60" w:rsidRDefault="00532E60" w:rsidP="00532E60">
      <w:pPr>
        <w:pStyle w:val="ACMAFigureHeader"/>
        <w:keepNext/>
      </w:pPr>
      <w:bookmarkStart w:id="174" w:name="_Ref45725900"/>
      <w:r>
        <w:lastRenderedPageBreak/>
        <w:t xml:space="preserve">Wireless broadband base station interference to </w:t>
      </w:r>
      <w:r w:rsidR="007F6936">
        <w:t>TOB</w:t>
      </w:r>
      <w:r>
        <w:t xml:space="preserve"> receivers</w:t>
      </w:r>
      <w:bookmarkEnd w:id="174"/>
    </w:p>
    <w:p w14:paraId="56130B2B" w14:textId="7C7CC152" w:rsidR="00193E75" w:rsidRDefault="005D2447" w:rsidP="00532E60">
      <w:pPr>
        <w:jc w:val="center"/>
        <w:rPr>
          <w:highlight w:val="yellow"/>
        </w:rPr>
      </w:pPr>
      <w:r>
        <w:rPr>
          <w:noProof/>
        </w:rPr>
        <w:drawing>
          <wp:inline distT="0" distB="0" distL="0" distR="0" wp14:anchorId="1F160C1E" wp14:editId="050A10FB">
            <wp:extent cx="4871085" cy="3209925"/>
            <wp:effectExtent l="0" t="0" r="5715" b="9525"/>
            <wp:docPr id="1" name="Picture 1" descr="Figure 7: Wireless broadband base station interference to TOB recei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GHzMelbourneMap.jpg"/>
                    <pic:cNvPicPr/>
                  </pic:nvPicPr>
                  <pic:blipFill>
                    <a:blip r:embed="rId93"/>
                    <a:stretch>
                      <a:fillRect/>
                    </a:stretch>
                  </pic:blipFill>
                  <pic:spPr>
                    <a:xfrm>
                      <a:off x="0" y="0"/>
                      <a:ext cx="4871085" cy="3209925"/>
                    </a:xfrm>
                    <a:prstGeom prst="rect">
                      <a:avLst/>
                    </a:prstGeom>
                  </pic:spPr>
                </pic:pic>
              </a:graphicData>
            </a:graphic>
          </wp:inline>
        </w:drawing>
      </w:r>
    </w:p>
    <w:p w14:paraId="2D670670" w14:textId="2D382BBF" w:rsidR="009F4C89" w:rsidRPr="00C8260A" w:rsidRDefault="0097622C" w:rsidP="003322B4">
      <w:pPr>
        <w:pStyle w:val="ACMATableHeader"/>
        <w:tabs>
          <w:tab w:val="clear" w:pos="1957"/>
          <w:tab w:val="num" w:pos="1134"/>
        </w:tabs>
        <w:spacing w:line="259" w:lineRule="auto"/>
        <w:ind w:left="1134" w:hanging="1134"/>
        <w:rPr>
          <w:rFonts w:eastAsia="Arial" w:cs="Arial"/>
        </w:rPr>
      </w:pPr>
      <w:bookmarkStart w:id="175" w:name="_Ref43905711"/>
      <w:r>
        <w:t xml:space="preserve">Plot </w:t>
      </w:r>
      <w:r w:rsidR="000260F3">
        <w:t>l</w:t>
      </w:r>
      <w:r>
        <w:t>egend</w:t>
      </w:r>
      <w:r w:rsidR="000260F3">
        <w:t>—t</w:t>
      </w:r>
      <w:r w:rsidR="009F4B04">
        <w:t>hreshold values</w:t>
      </w:r>
      <w:r w:rsidR="00B9574D">
        <w:t xml:space="preserve"> shown in plot</w:t>
      </w:r>
      <w:bookmarkEnd w:id="175"/>
    </w:p>
    <w:tbl>
      <w:tblPr>
        <w:tblW w:w="744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bottom w:w="57" w:type="dxa"/>
        </w:tblCellMar>
        <w:tblLook w:val="0600" w:firstRow="0" w:lastRow="0" w:firstColumn="0" w:lastColumn="0" w:noHBand="1" w:noVBand="1"/>
      </w:tblPr>
      <w:tblGrid>
        <w:gridCol w:w="6"/>
        <w:gridCol w:w="3968"/>
        <w:gridCol w:w="1960"/>
        <w:gridCol w:w="1400"/>
        <w:gridCol w:w="106"/>
      </w:tblGrid>
      <w:tr w:rsidR="00143C6A" w:rsidRPr="006A7F44" w14:paraId="044B5837" w14:textId="77777777" w:rsidTr="003322B4">
        <w:trPr>
          <w:gridBefore w:val="1"/>
          <w:trHeight w:val="315"/>
        </w:trPr>
        <w:tc>
          <w:tcPr>
            <w:tcW w:w="4038" w:type="dxa"/>
            <w:shd w:val="clear" w:color="auto" w:fill="404040" w:themeFill="text1" w:themeFillTint="BF"/>
            <w:tcMar>
              <w:top w:w="0" w:type="dxa"/>
              <w:left w:w="0" w:type="dxa"/>
              <w:bottom w:w="0" w:type="dxa"/>
              <w:right w:w="0" w:type="dxa"/>
            </w:tcMar>
            <w:vAlign w:val="center"/>
            <w:hideMark/>
          </w:tcPr>
          <w:p w14:paraId="3B0749DE" w14:textId="245CD3B8" w:rsidR="00143C6A" w:rsidRPr="006A7F44" w:rsidRDefault="00143C6A" w:rsidP="003322B4">
            <w:pPr>
              <w:pStyle w:val="TableHeading0"/>
              <w:keepNext/>
              <w:jc w:val="center"/>
              <w:rPr>
                <w:color w:val="FFFFFF" w:themeColor="background1"/>
              </w:rPr>
            </w:pPr>
            <w:r>
              <w:rPr>
                <w:color w:val="FFFFFF" w:themeColor="background1"/>
              </w:rPr>
              <w:t>Threshold</w:t>
            </w:r>
          </w:p>
        </w:tc>
        <w:tc>
          <w:tcPr>
            <w:tcW w:w="1985" w:type="dxa"/>
            <w:shd w:val="clear" w:color="auto" w:fill="404040" w:themeFill="text1" w:themeFillTint="BF"/>
            <w:tcMar>
              <w:top w:w="0" w:type="dxa"/>
              <w:left w:w="0" w:type="dxa"/>
              <w:bottom w:w="0" w:type="dxa"/>
              <w:right w:w="0" w:type="dxa"/>
            </w:tcMar>
            <w:vAlign w:val="center"/>
            <w:hideMark/>
          </w:tcPr>
          <w:p w14:paraId="21A9B061" w14:textId="77777777" w:rsidR="00143C6A" w:rsidRPr="006A7F44" w:rsidRDefault="00143C6A" w:rsidP="003322B4">
            <w:pPr>
              <w:pStyle w:val="TableHeading0"/>
              <w:keepNext/>
              <w:jc w:val="center"/>
              <w:rPr>
                <w:color w:val="FFFFFF" w:themeColor="background1"/>
              </w:rPr>
            </w:pPr>
            <w:r w:rsidRPr="006A7F44">
              <w:rPr>
                <w:color w:val="FFFFFF" w:themeColor="background1"/>
              </w:rPr>
              <w:t>Value</w:t>
            </w:r>
          </w:p>
        </w:tc>
        <w:tc>
          <w:tcPr>
            <w:tcW w:w="1417" w:type="dxa"/>
            <w:gridSpan w:val="2"/>
            <w:shd w:val="clear" w:color="auto" w:fill="404040" w:themeFill="text1" w:themeFillTint="BF"/>
            <w:tcMar>
              <w:top w:w="0" w:type="dxa"/>
              <w:left w:w="0" w:type="dxa"/>
              <w:bottom w:w="0" w:type="dxa"/>
              <w:right w:w="0" w:type="dxa"/>
            </w:tcMar>
            <w:vAlign w:val="center"/>
            <w:hideMark/>
          </w:tcPr>
          <w:p w14:paraId="05E02DD8" w14:textId="3011A5DF" w:rsidR="00143C6A" w:rsidRPr="006A7F44" w:rsidRDefault="00143C6A" w:rsidP="00EC708A">
            <w:pPr>
              <w:pStyle w:val="TableHeading0"/>
              <w:keepNext/>
              <w:jc w:val="center"/>
              <w:rPr>
                <w:color w:val="FFFFFF" w:themeColor="background1"/>
              </w:rPr>
            </w:pPr>
            <w:r>
              <w:rPr>
                <w:color w:val="FFFFFF" w:themeColor="background1"/>
              </w:rPr>
              <w:t>Colour</w:t>
            </w:r>
          </w:p>
        </w:tc>
      </w:tr>
      <w:tr w:rsidR="00EB35F6" w:rsidRPr="009C3782" w14:paraId="2CA67CD4" w14:textId="77777777" w:rsidTr="003322B4">
        <w:trPr>
          <w:gridAfter w:val="1"/>
          <w:wAfter w:w="108" w:type="dxa"/>
          <w:trHeight w:val="300"/>
        </w:trPr>
        <w:tc>
          <w:tcPr>
            <w:tcW w:w="4038" w:type="dxa"/>
            <w:gridSpan w:val="2"/>
            <w:shd w:val="clear" w:color="auto" w:fill="auto"/>
            <w:tcMar>
              <w:top w:w="0" w:type="dxa"/>
              <w:left w:w="28" w:type="dxa"/>
              <w:bottom w:w="0" w:type="dxa"/>
              <w:right w:w="28" w:type="dxa"/>
            </w:tcMar>
            <w:vAlign w:val="center"/>
          </w:tcPr>
          <w:p w14:paraId="6714D0C8" w14:textId="15E6745F" w:rsidR="00EB35F6" w:rsidRDefault="00EB35F6" w:rsidP="00EB35F6">
            <w:pPr>
              <w:pStyle w:val="TableBody"/>
              <w:keepNext/>
            </w:pPr>
            <w:r>
              <w:t xml:space="preserve">Interference </w:t>
            </w:r>
            <w:r w:rsidR="00FE5D91">
              <w:t>t</w:t>
            </w:r>
            <w:r>
              <w:t xml:space="preserve">hreshold with </w:t>
            </w:r>
            <w:r w:rsidR="00C5128D">
              <w:t>1</w:t>
            </w:r>
            <w:r>
              <w:t>00</w:t>
            </w:r>
            <w:r w:rsidR="004A0AF6">
              <w:t xml:space="preserve"> </w:t>
            </w:r>
            <w:r>
              <w:t>m link with 20 dB clutter</w:t>
            </w:r>
          </w:p>
        </w:tc>
        <w:tc>
          <w:tcPr>
            <w:tcW w:w="1985" w:type="dxa"/>
            <w:shd w:val="clear" w:color="auto" w:fill="auto"/>
            <w:tcMar>
              <w:top w:w="0" w:type="dxa"/>
              <w:left w:w="28" w:type="dxa"/>
              <w:bottom w:w="0" w:type="dxa"/>
              <w:right w:w="28" w:type="dxa"/>
            </w:tcMar>
            <w:vAlign w:val="center"/>
          </w:tcPr>
          <w:p w14:paraId="249A6C9D" w14:textId="5B4978DD" w:rsidR="00EB35F6" w:rsidRDefault="00EB35F6" w:rsidP="003322B4">
            <w:pPr>
              <w:pStyle w:val="TableBody"/>
              <w:keepNext/>
              <w:jc w:val="center"/>
            </w:pPr>
            <w:r w:rsidRPr="009C3782">
              <w:t>-</w:t>
            </w:r>
            <w:r w:rsidR="007C2068">
              <w:t>100</w:t>
            </w:r>
            <w:r w:rsidR="00554098">
              <w:t>.4</w:t>
            </w:r>
            <w:r>
              <w:t xml:space="preserve"> dBW/MHz</w:t>
            </w:r>
          </w:p>
        </w:tc>
        <w:tc>
          <w:tcPr>
            <w:tcW w:w="1417" w:type="dxa"/>
            <w:shd w:val="clear" w:color="auto" w:fill="auto"/>
            <w:tcMar>
              <w:top w:w="0" w:type="dxa"/>
              <w:left w:w="28" w:type="dxa"/>
              <w:bottom w:w="0" w:type="dxa"/>
              <w:right w:w="28" w:type="dxa"/>
            </w:tcMar>
            <w:vAlign w:val="center"/>
          </w:tcPr>
          <w:p w14:paraId="53458259" w14:textId="074A9108" w:rsidR="00EB35F6" w:rsidRDefault="00C5285D">
            <w:pPr>
              <w:pStyle w:val="TableBody"/>
              <w:keepNext/>
              <w:jc w:val="center"/>
            </w:pPr>
            <w:r>
              <w:t>Red</w:t>
            </w:r>
          </w:p>
        </w:tc>
      </w:tr>
      <w:tr w:rsidR="00EB35F6" w:rsidRPr="00087616" w14:paraId="081BAA06" w14:textId="77777777" w:rsidTr="003322B4">
        <w:trPr>
          <w:gridAfter w:val="1"/>
          <w:wAfter w:w="108" w:type="dxa"/>
          <w:trHeight w:val="300"/>
        </w:trPr>
        <w:tc>
          <w:tcPr>
            <w:tcW w:w="4038" w:type="dxa"/>
            <w:gridSpan w:val="2"/>
            <w:shd w:val="clear" w:color="auto" w:fill="auto"/>
            <w:tcMar>
              <w:top w:w="0" w:type="dxa"/>
              <w:left w:w="28" w:type="dxa"/>
              <w:bottom w:w="0" w:type="dxa"/>
              <w:right w:w="28" w:type="dxa"/>
            </w:tcMar>
            <w:vAlign w:val="center"/>
          </w:tcPr>
          <w:p w14:paraId="5983F7EB" w14:textId="450B181C" w:rsidR="00EB35F6" w:rsidRPr="00087616" w:rsidRDefault="00EB35F6" w:rsidP="00EB35F6">
            <w:pPr>
              <w:pStyle w:val="TableBody"/>
              <w:keepNext/>
            </w:pPr>
            <w:r w:rsidRPr="00087616">
              <w:t xml:space="preserve">Interference </w:t>
            </w:r>
            <w:r w:rsidR="00FE5D91">
              <w:t>t</w:t>
            </w:r>
            <w:r w:rsidRPr="00087616">
              <w:t>hreshold with 100</w:t>
            </w:r>
            <w:r w:rsidR="004A0AF6">
              <w:t xml:space="preserve"> </w:t>
            </w:r>
            <w:r w:rsidRPr="00087616">
              <w:t>m link</w:t>
            </w:r>
          </w:p>
        </w:tc>
        <w:tc>
          <w:tcPr>
            <w:tcW w:w="1985" w:type="dxa"/>
            <w:shd w:val="clear" w:color="auto" w:fill="auto"/>
            <w:tcMar>
              <w:top w:w="0" w:type="dxa"/>
              <w:left w:w="28" w:type="dxa"/>
              <w:bottom w:w="0" w:type="dxa"/>
              <w:right w:w="28" w:type="dxa"/>
            </w:tcMar>
            <w:vAlign w:val="center"/>
          </w:tcPr>
          <w:p w14:paraId="36CAC637" w14:textId="6EB84647" w:rsidR="00EB35F6" w:rsidRPr="00087616" w:rsidRDefault="00EB35F6" w:rsidP="003322B4">
            <w:pPr>
              <w:pStyle w:val="TableBody"/>
              <w:keepNext/>
              <w:jc w:val="center"/>
            </w:pPr>
            <w:r w:rsidRPr="00087616">
              <w:t>-1</w:t>
            </w:r>
            <w:r w:rsidR="005E2A99">
              <w:t>20</w:t>
            </w:r>
            <w:r w:rsidR="00C13665">
              <w:t>.4</w:t>
            </w:r>
            <w:r w:rsidRPr="00087616">
              <w:t xml:space="preserve"> dBW/MHz</w:t>
            </w:r>
          </w:p>
        </w:tc>
        <w:tc>
          <w:tcPr>
            <w:tcW w:w="1417" w:type="dxa"/>
            <w:shd w:val="clear" w:color="auto" w:fill="auto"/>
            <w:tcMar>
              <w:top w:w="0" w:type="dxa"/>
              <w:left w:w="28" w:type="dxa"/>
              <w:bottom w:w="0" w:type="dxa"/>
              <w:right w:w="28" w:type="dxa"/>
            </w:tcMar>
            <w:vAlign w:val="center"/>
          </w:tcPr>
          <w:p w14:paraId="1C230FA3" w14:textId="498C0883" w:rsidR="00EB35F6" w:rsidRPr="00087616" w:rsidRDefault="00DF6911">
            <w:pPr>
              <w:pStyle w:val="TableBody"/>
              <w:keepNext/>
              <w:jc w:val="center"/>
            </w:pPr>
            <w:r>
              <w:t>Yellow</w:t>
            </w:r>
          </w:p>
        </w:tc>
      </w:tr>
      <w:tr w:rsidR="00EB35F6" w:rsidRPr="009C3782" w14:paraId="751ECD29" w14:textId="77777777" w:rsidTr="003322B4">
        <w:trPr>
          <w:gridAfter w:val="1"/>
          <w:wAfter w:w="108" w:type="dxa"/>
          <w:trHeight w:val="300"/>
        </w:trPr>
        <w:tc>
          <w:tcPr>
            <w:tcW w:w="4038" w:type="dxa"/>
            <w:gridSpan w:val="2"/>
            <w:shd w:val="clear" w:color="auto" w:fill="auto"/>
            <w:tcMar>
              <w:top w:w="0" w:type="dxa"/>
              <w:left w:w="28" w:type="dxa"/>
              <w:bottom w:w="0" w:type="dxa"/>
              <w:right w:w="28" w:type="dxa"/>
            </w:tcMar>
            <w:vAlign w:val="center"/>
          </w:tcPr>
          <w:p w14:paraId="2856586F" w14:textId="55A8BB78" w:rsidR="00EB35F6" w:rsidRPr="009C3782" w:rsidRDefault="00EB35F6" w:rsidP="00EB35F6">
            <w:pPr>
              <w:pStyle w:val="TableBody"/>
              <w:keepNext/>
            </w:pPr>
            <w:r>
              <w:t xml:space="preserve">Interference </w:t>
            </w:r>
            <w:r w:rsidR="00FE5D91">
              <w:t>t</w:t>
            </w:r>
            <w:r>
              <w:t>hreshold with 200</w:t>
            </w:r>
            <w:r w:rsidR="004A0AF6">
              <w:t xml:space="preserve"> </w:t>
            </w:r>
            <w:r>
              <w:t>m link</w:t>
            </w:r>
          </w:p>
        </w:tc>
        <w:tc>
          <w:tcPr>
            <w:tcW w:w="1985" w:type="dxa"/>
            <w:shd w:val="clear" w:color="auto" w:fill="auto"/>
            <w:tcMar>
              <w:top w:w="0" w:type="dxa"/>
              <w:left w:w="28" w:type="dxa"/>
              <w:bottom w:w="0" w:type="dxa"/>
              <w:right w:w="28" w:type="dxa"/>
            </w:tcMar>
            <w:vAlign w:val="center"/>
          </w:tcPr>
          <w:p w14:paraId="138B7344" w14:textId="76E1831D" w:rsidR="00EB35F6" w:rsidRPr="009C3782" w:rsidRDefault="00EB35F6" w:rsidP="003322B4">
            <w:pPr>
              <w:pStyle w:val="TableBody"/>
              <w:keepNext/>
              <w:jc w:val="center"/>
            </w:pPr>
            <w:r w:rsidRPr="009C3782">
              <w:t>-</w:t>
            </w:r>
            <w:r>
              <w:t>12</w:t>
            </w:r>
            <w:r w:rsidR="33DCA566">
              <w:t>6</w:t>
            </w:r>
            <w:r>
              <w:t>.</w:t>
            </w:r>
            <w:r w:rsidR="00B52B6C">
              <w:t>4</w:t>
            </w:r>
            <w:r>
              <w:t xml:space="preserve"> dBW/MHz</w:t>
            </w:r>
          </w:p>
        </w:tc>
        <w:tc>
          <w:tcPr>
            <w:tcW w:w="1417" w:type="dxa"/>
            <w:shd w:val="clear" w:color="auto" w:fill="auto"/>
            <w:tcMar>
              <w:top w:w="0" w:type="dxa"/>
              <w:left w:w="28" w:type="dxa"/>
              <w:bottom w:w="0" w:type="dxa"/>
              <w:right w:w="28" w:type="dxa"/>
            </w:tcMar>
            <w:vAlign w:val="center"/>
          </w:tcPr>
          <w:p w14:paraId="67D1C27B" w14:textId="5564C7B1" w:rsidR="00EB35F6" w:rsidRPr="009C3782" w:rsidRDefault="00087616">
            <w:pPr>
              <w:pStyle w:val="TableBody"/>
              <w:keepNext/>
              <w:jc w:val="center"/>
            </w:pPr>
            <w:r>
              <w:t>Blue</w:t>
            </w:r>
          </w:p>
        </w:tc>
      </w:tr>
      <w:tr w:rsidR="00EB35F6" w:rsidRPr="009C3782" w14:paraId="59E4D044" w14:textId="77777777" w:rsidTr="003322B4">
        <w:trPr>
          <w:gridAfter w:val="1"/>
          <w:wAfter w:w="108" w:type="dxa"/>
          <w:trHeight w:val="300"/>
        </w:trPr>
        <w:tc>
          <w:tcPr>
            <w:tcW w:w="4038" w:type="dxa"/>
            <w:gridSpan w:val="2"/>
            <w:shd w:val="clear" w:color="auto" w:fill="auto"/>
            <w:tcMar>
              <w:top w:w="0" w:type="dxa"/>
              <w:left w:w="28" w:type="dxa"/>
              <w:bottom w:w="0" w:type="dxa"/>
              <w:right w:w="28" w:type="dxa"/>
            </w:tcMar>
            <w:vAlign w:val="center"/>
          </w:tcPr>
          <w:p w14:paraId="66633D31" w14:textId="452CC781" w:rsidR="00EB35F6" w:rsidRDefault="00EB35F6" w:rsidP="00EB35F6">
            <w:pPr>
              <w:pStyle w:val="TableBody"/>
              <w:keepNext/>
            </w:pPr>
            <w:r>
              <w:t xml:space="preserve">Interference </w:t>
            </w:r>
            <w:r w:rsidR="00FE5D91">
              <w:t>t</w:t>
            </w:r>
            <w:r>
              <w:t>hreshold</w:t>
            </w:r>
          </w:p>
        </w:tc>
        <w:tc>
          <w:tcPr>
            <w:tcW w:w="1985" w:type="dxa"/>
            <w:shd w:val="clear" w:color="auto" w:fill="auto"/>
            <w:tcMar>
              <w:top w:w="0" w:type="dxa"/>
              <w:left w:w="28" w:type="dxa"/>
              <w:bottom w:w="0" w:type="dxa"/>
              <w:right w:w="28" w:type="dxa"/>
            </w:tcMar>
            <w:vAlign w:val="center"/>
          </w:tcPr>
          <w:p w14:paraId="082F6270" w14:textId="28588617" w:rsidR="00EB35F6" w:rsidRPr="009C3782" w:rsidRDefault="00EB35F6" w:rsidP="003322B4">
            <w:pPr>
              <w:pStyle w:val="TableBody"/>
              <w:keepNext/>
              <w:jc w:val="center"/>
            </w:pPr>
            <w:r>
              <w:t>-147.3 dBW/MHz</w:t>
            </w:r>
          </w:p>
        </w:tc>
        <w:tc>
          <w:tcPr>
            <w:tcW w:w="1417" w:type="dxa"/>
            <w:shd w:val="clear" w:color="auto" w:fill="auto"/>
            <w:tcMar>
              <w:top w:w="0" w:type="dxa"/>
              <w:left w:w="28" w:type="dxa"/>
              <w:bottom w:w="0" w:type="dxa"/>
              <w:right w:w="28" w:type="dxa"/>
            </w:tcMar>
            <w:vAlign w:val="center"/>
          </w:tcPr>
          <w:p w14:paraId="1CE009CD" w14:textId="235A702F" w:rsidR="00EB35F6" w:rsidRPr="009C3782" w:rsidRDefault="003C193C">
            <w:pPr>
              <w:pStyle w:val="TableBody"/>
              <w:keepNext/>
              <w:jc w:val="center"/>
            </w:pPr>
            <w:r>
              <w:t>Green</w:t>
            </w:r>
          </w:p>
        </w:tc>
      </w:tr>
      <w:tr w:rsidR="007620D3" w:rsidRPr="009C3782" w14:paraId="040B11E2" w14:textId="77777777" w:rsidTr="003322B4">
        <w:trPr>
          <w:gridAfter w:val="1"/>
          <w:wAfter w:w="108" w:type="dxa"/>
          <w:trHeight w:val="300"/>
        </w:trPr>
        <w:tc>
          <w:tcPr>
            <w:tcW w:w="4038" w:type="dxa"/>
            <w:gridSpan w:val="2"/>
            <w:shd w:val="clear" w:color="auto" w:fill="auto"/>
            <w:tcMar>
              <w:top w:w="0" w:type="dxa"/>
              <w:left w:w="28" w:type="dxa"/>
              <w:bottom w:w="0" w:type="dxa"/>
              <w:right w:w="28" w:type="dxa"/>
            </w:tcMar>
            <w:vAlign w:val="center"/>
          </w:tcPr>
          <w:p w14:paraId="1FF18CD0" w14:textId="61EE82B1" w:rsidR="007620D3" w:rsidRDefault="007620D3" w:rsidP="001814D9">
            <w:pPr>
              <w:pStyle w:val="TableBody"/>
              <w:keepNext/>
            </w:pPr>
            <w:r>
              <w:t xml:space="preserve">Circle </w:t>
            </w:r>
            <w:r w:rsidR="0013047D">
              <w:t>12</w:t>
            </w:r>
            <w:r>
              <w:t xml:space="preserve"> km</w:t>
            </w:r>
            <w:r w:rsidR="009A371D">
              <w:t xml:space="preserve"> </w:t>
            </w:r>
            <w:r w:rsidR="004A0AF6">
              <w:t>–</w:t>
            </w:r>
            <w:r w:rsidR="00EF7E76">
              <w:t xml:space="preserve"> </w:t>
            </w:r>
            <w:r w:rsidR="00CC124B">
              <w:t>100</w:t>
            </w:r>
            <w:r w:rsidR="004A0AF6">
              <w:t xml:space="preserve"> </w:t>
            </w:r>
            <w:r w:rsidR="00105521">
              <w:t>m link</w:t>
            </w:r>
            <w:r w:rsidR="003739BB">
              <w:t xml:space="preserve"> – Median BS</w:t>
            </w:r>
            <w:r w:rsidR="00E874CC">
              <w:t xml:space="preserve"> EIRP</w:t>
            </w:r>
          </w:p>
        </w:tc>
        <w:tc>
          <w:tcPr>
            <w:tcW w:w="1985" w:type="dxa"/>
            <w:shd w:val="clear" w:color="auto" w:fill="auto"/>
            <w:tcMar>
              <w:top w:w="0" w:type="dxa"/>
              <w:left w:w="28" w:type="dxa"/>
              <w:bottom w:w="0" w:type="dxa"/>
              <w:right w:w="28" w:type="dxa"/>
            </w:tcMar>
            <w:vAlign w:val="center"/>
          </w:tcPr>
          <w:p w14:paraId="10B3B832" w14:textId="48933B03" w:rsidR="007620D3" w:rsidRDefault="003400B9" w:rsidP="003322B4">
            <w:pPr>
              <w:pStyle w:val="TableBody"/>
              <w:keepNext/>
              <w:jc w:val="center"/>
            </w:pPr>
            <w:r>
              <w:t>Modified Hata</w:t>
            </w:r>
          </w:p>
        </w:tc>
        <w:tc>
          <w:tcPr>
            <w:tcW w:w="1417" w:type="dxa"/>
            <w:shd w:val="clear" w:color="auto" w:fill="auto"/>
            <w:tcMar>
              <w:top w:w="0" w:type="dxa"/>
              <w:left w:w="28" w:type="dxa"/>
              <w:bottom w:w="0" w:type="dxa"/>
              <w:right w:w="28" w:type="dxa"/>
            </w:tcMar>
            <w:vAlign w:val="center"/>
          </w:tcPr>
          <w:p w14:paraId="59AE0538" w14:textId="77777777" w:rsidR="007620D3" w:rsidRDefault="007620D3">
            <w:pPr>
              <w:pStyle w:val="TableBody"/>
              <w:keepNext/>
              <w:jc w:val="center"/>
            </w:pPr>
            <w:r>
              <w:t>Purple</w:t>
            </w:r>
          </w:p>
        </w:tc>
      </w:tr>
      <w:tr w:rsidR="00CF7989" w:rsidRPr="009C3782" w14:paraId="6B1C0789" w14:textId="77777777" w:rsidTr="003322B4">
        <w:trPr>
          <w:gridAfter w:val="1"/>
          <w:wAfter w:w="108" w:type="dxa"/>
          <w:trHeight w:val="300"/>
        </w:trPr>
        <w:tc>
          <w:tcPr>
            <w:tcW w:w="4038" w:type="dxa"/>
            <w:gridSpan w:val="2"/>
            <w:shd w:val="clear" w:color="auto" w:fill="auto"/>
            <w:tcMar>
              <w:top w:w="0" w:type="dxa"/>
              <w:left w:w="28" w:type="dxa"/>
              <w:bottom w:w="0" w:type="dxa"/>
              <w:right w:w="28" w:type="dxa"/>
            </w:tcMar>
            <w:vAlign w:val="center"/>
          </w:tcPr>
          <w:p w14:paraId="021E1FDC" w14:textId="7B5E8603" w:rsidR="00CF7989" w:rsidRDefault="007E0266" w:rsidP="00EB35F6">
            <w:pPr>
              <w:pStyle w:val="TableBody"/>
              <w:keepNext/>
            </w:pPr>
            <w:r>
              <w:t xml:space="preserve">Circle </w:t>
            </w:r>
            <w:r w:rsidR="008E5EBD">
              <w:t>18</w:t>
            </w:r>
            <w:r>
              <w:t xml:space="preserve"> km</w:t>
            </w:r>
            <w:r w:rsidR="00EF7E76">
              <w:t xml:space="preserve"> </w:t>
            </w:r>
            <w:r w:rsidR="00F71A78">
              <w:t>–</w:t>
            </w:r>
            <w:r w:rsidR="00EF7E76">
              <w:t xml:space="preserve"> 200</w:t>
            </w:r>
            <w:r w:rsidR="004A0AF6">
              <w:t xml:space="preserve"> </w:t>
            </w:r>
            <w:r w:rsidR="00F71A78">
              <w:t>m link</w:t>
            </w:r>
            <w:r w:rsidR="00E874CC">
              <w:t xml:space="preserve"> – </w:t>
            </w:r>
            <w:r w:rsidR="00635B40">
              <w:t xml:space="preserve">Median </w:t>
            </w:r>
            <w:r w:rsidR="00E874CC">
              <w:t>BS EIRP</w:t>
            </w:r>
          </w:p>
        </w:tc>
        <w:tc>
          <w:tcPr>
            <w:tcW w:w="1985" w:type="dxa"/>
            <w:shd w:val="clear" w:color="auto" w:fill="auto"/>
            <w:tcMar>
              <w:top w:w="0" w:type="dxa"/>
              <w:left w:w="28" w:type="dxa"/>
              <w:bottom w:w="0" w:type="dxa"/>
              <w:right w:w="28" w:type="dxa"/>
            </w:tcMar>
            <w:vAlign w:val="center"/>
          </w:tcPr>
          <w:p w14:paraId="58B8EA93" w14:textId="1DAE9187" w:rsidR="00CF7989" w:rsidRDefault="003400B9" w:rsidP="003322B4">
            <w:pPr>
              <w:pStyle w:val="TableBody"/>
              <w:keepNext/>
              <w:jc w:val="center"/>
            </w:pPr>
            <w:r>
              <w:t>Modified Hata</w:t>
            </w:r>
          </w:p>
        </w:tc>
        <w:tc>
          <w:tcPr>
            <w:tcW w:w="1417" w:type="dxa"/>
            <w:shd w:val="clear" w:color="auto" w:fill="auto"/>
            <w:tcMar>
              <w:top w:w="0" w:type="dxa"/>
              <w:left w:w="28" w:type="dxa"/>
              <w:bottom w:w="0" w:type="dxa"/>
              <w:right w:w="28" w:type="dxa"/>
            </w:tcMar>
            <w:vAlign w:val="center"/>
          </w:tcPr>
          <w:p w14:paraId="490BF753" w14:textId="23F7F708" w:rsidR="00CF7989" w:rsidRDefault="003D2FDB">
            <w:pPr>
              <w:pStyle w:val="TableBody"/>
              <w:keepNext/>
              <w:jc w:val="center"/>
            </w:pPr>
            <w:r>
              <w:t>Orange</w:t>
            </w:r>
          </w:p>
        </w:tc>
      </w:tr>
    </w:tbl>
    <w:p w14:paraId="4A4E1BE6" w14:textId="494ACB78" w:rsidR="0029346F" w:rsidRPr="00A9267B" w:rsidRDefault="0029346F" w:rsidP="5C78D93F">
      <w:pPr>
        <w:pStyle w:val="Heading2"/>
        <w:spacing w:after="0"/>
        <w:rPr>
          <w:highlight w:val="yellow"/>
        </w:rPr>
      </w:pPr>
      <w:bookmarkStart w:id="176" w:name="_Toc40788131"/>
      <w:bookmarkStart w:id="177" w:name="_Toc46316400"/>
      <w:r w:rsidRPr="00A9267B">
        <w:t>Results</w:t>
      </w:r>
      <w:bookmarkEnd w:id="176"/>
      <w:bookmarkEnd w:id="177"/>
    </w:p>
    <w:p w14:paraId="67FFF9CF" w14:textId="74482CC1" w:rsidR="00A55400" w:rsidRDefault="00397E45" w:rsidP="000260F3">
      <w:pPr>
        <w:pStyle w:val="Paragraph"/>
      </w:pPr>
      <w:r w:rsidRPr="004E4321">
        <w:t xml:space="preserve">The </w:t>
      </w:r>
      <w:r w:rsidR="00B31943" w:rsidRPr="004E4321">
        <w:t>wireless broadband</w:t>
      </w:r>
      <w:r w:rsidR="003C5223" w:rsidRPr="004E4321">
        <w:t xml:space="preserve"> base station transmit</w:t>
      </w:r>
      <w:r w:rsidR="00B31943" w:rsidRPr="004E4321">
        <w:t xml:space="preserve"> </w:t>
      </w:r>
      <w:r w:rsidR="00394998" w:rsidRPr="004E4321">
        <w:t>in</w:t>
      </w:r>
      <w:r w:rsidR="002078EA" w:rsidRPr="004E4321">
        <w:t>terference</w:t>
      </w:r>
      <w:r w:rsidR="00B268EF" w:rsidRPr="004E4321">
        <w:t xml:space="preserve"> into TOB receivers is shown in</w:t>
      </w:r>
      <w:r w:rsidR="002A41A7" w:rsidRPr="004E4321">
        <w:t xml:space="preserve"> </w:t>
      </w:r>
      <w:r w:rsidR="00E117DA">
        <w:t>F</w:t>
      </w:r>
      <w:r w:rsidR="005C558E">
        <w:t>igure</w:t>
      </w:r>
      <w:r w:rsidR="00E117DA">
        <w:t xml:space="preserve"> 7.</w:t>
      </w:r>
      <w:r w:rsidR="008F7987">
        <w:t xml:space="preserve"> </w:t>
      </w:r>
      <w:r w:rsidR="00E117DA">
        <w:t>Table 13</w:t>
      </w:r>
      <w:r w:rsidR="008F7987">
        <w:t xml:space="preserve"> </w:t>
      </w:r>
      <w:r w:rsidR="00F34D1C">
        <w:t>provides the legend describing the different contours and colours</w:t>
      </w:r>
      <w:r w:rsidR="003C5195" w:rsidRPr="004E4321">
        <w:t>.</w:t>
      </w:r>
      <w:r w:rsidR="0029346F" w:rsidRPr="004E4321">
        <w:t xml:space="preserve"> </w:t>
      </w:r>
      <w:r w:rsidR="00D67866">
        <w:t>The</w:t>
      </w:r>
      <w:r w:rsidR="007659D2">
        <w:t xml:space="preserve"> inner </w:t>
      </w:r>
      <w:r w:rsidR="003B7FF3">
        <w:t>12</w:t>
      </w:r>
      <w:r w:rsidR="007659D2">
        <w:t xml:space="preserve"> km circle (purple)</w:t>
      </w:r>
      <w:r w:rsidR="008B01A2">
        <w:t xml:space="preserve"> </w:t>
      </w:r>
      <w:r w:rsidR="00191B52">
        <w:t>is the modified Hata impact area</w:t>
      </w:r>
      <w:r w:rsidR="00651C1E">
        <w:t xml:space="preserve"> </w:t>
      </w:r>
      <w:r w:rsidR="4CCFF7E4">
        <w:t>and</w:t>
      </w:r>
      <w:r w:rsidR="00651C1E">
        <w:t xml:space="preserve"> </w:t>
      </w:r>
      <w:r w:rsidR="000F3938">
        <w:t xml:space="preserve">is the </w:t>
      </w:r>
      <w:r w:rsidR="00652CF2">
        <w:t>best-case</w:t>
      </w:r>
      <w:r w:rsidR="000F3938">
        <w:t xml:space="preserve"> </w:t>
      </w:r>
      <w:r w:rsidR="00AF62AD">
        <w:t>protection zone</w:t>
      </w:r>
      <w:r w:rsidR="000F3938">
        <w:t xml:space="preserve"> </w:t>
      </w:r>
      <w:r w:rsidR="00CA7D9A">
        <w:t>for a 100</w:t>
      </w:r>
      <w:r w:rsidR="004A0AF6">
        <w:t xml:space="preserve"> </w:t>
      </w:r>
      <w:r w:rsidR="00CA7D9A">
        <w:t>m TOB link</w:t>
      </w:r>
      <w:r w:rsidR="000F3938">
        <w:t xml:space="preserve"> </w:t>
      </w:r>
      <w:r w:rsidR="00EC45B5">
        <w:t>against a wireless broadband base</w:t>
      </w:r>
      <w:r w:rsidR="00CA14F9">
        <w:t xml:space="preserve"> s</w:t>
      </w:r>
      <w:r w:rsidR="00EC45B5">
        <w:t>tation</w:t>
      </w:r>
      <w:r w:rsidR="00CA14F9">
        <w:t xml:space="preserve"> transmitter with a median EIRP (</w:t>
      </w:r>
      <w:r w:rsidR="006A4A68">
        <w:t>2</w:t>
      </w:r>
      <w:r w:rsidR="00CA14F9">
        <w:t>3dBW/</w:t>
      </w:r>
      <w:r w:rsidR="006A4A68">
        <w:t>M</w:t>
      </w:r>
      <w:r w:rsidR="00CA14F9">
        <w:t>Hz</w:t>
      </w:r>
      <w:r w:rsidR="006A4A68">
        <w:t>)</w:t>
      </w:r>
      <w:r w:rsidR="0029346F">
        <w:t>.</w:t>
      </w:r>
      <w:r w:rsidR="00506510">
        <w:t xml:space="preserve"> The </w:t>
      </w:r>
      <w:r w:rsidR="00DC017D">
        <w:t>red</w:t>
      </w:r>
      <w:r w:rsidR="00506510">
        <w:t xml:space="preserve"> contour</w:t>
      </w:r>
      <w:r w:rsidR="00235E75">
        <w:t xml:space="preserve"> is the predicted</w:t>
      </w:r>
      <w:r w:rsidR="003C4257">
        <w:t xml:space="preserve"> </w:t>
      </w:r>
      <w:r w:rsidR="004F085A">
        <w:t>protection zone</w:t>
      </w:r>
      <w:r w:rsidR="00C216D3">
        <w:t xml:space="preserve"> for the same TOB link scenario with</w:t>
      </w:r>
      <w:r w:rsidR="00DC2D9F">
        <w:t xml:space="preserve"> 20 dB of</w:t>
      </w:r>
      <w:r w:rsidR="00C216D3">
        <w:t xml:space="preserve"> clutter</w:t>
      </w:r>
      <w:r w:rsidR="00DC2D9F">
        <w:t xml:space="preserve"> added</w:t>
      </w:r>
      <w:r w:rsidR="00FE5091">
        <w:t xml:space="preserve">. </w:t>
      </w:r>
      <w:r w:rsidR="00C02E00">
        <w:t xml:space="preserve">The </w:t>
      </w:r>
      <w:r w:rsidR="00FE7B90">
        <w:t>yellow</w:t>
      </w:r>
      <w:r w:rsidR="00C02E00">
        <w:t xml:space="preserve"> contour </w:t>
      </w:r>
      <w:r w:rsidR="00FE7B90">
        <w:t>is the same scenario without any clutter loss</w:t>
      </w:r>
      <w:r w:rsidR="005666A4">
        <w:t>.</w:t>
      </w:r>
      <w:r w:rsidR="00C93A64">
        <w:t xml:space="preserve"> </w:t>
      </w:r>
      <w:r w:rsidR="005F59F0">
        <w:t>Th</w:t>
      </w:r>
      <w:r w:rsidR="0064760D">
        <w:t xml:space="preserve">is analysis shows that </w:t>
      </w:r>
      <w:r w:rsidR="003F4845">
        <w:t>a</w:t>
      </w:r>
      <w:r w:rsidR="004E6D18">
        <w:t xml:space="preserve"> protection zone greater than</w:t>
      </w:r>
      <w:r w:rsidR="00D853EA">
        <w:t xml:space="preserve"> </w:t>
      </w:r>
      <w:r w:rsidR="00BC3DEC">
        <w:t>12</w:t>
      </w:r>
      <w:r w:rsidR="00C47D7E">
        <w:t xml:space="preserve"> </w:t>
      </w:r>
      <w:r w:rsidR="00D853EA">
        <w:t>km</w:t>
      </w:r>
      <w:r w:rsidR="00C47D7E">
        <w:t xml:space="preserve"> </w:t>
      </w:r>
      <w:r w:rsidR="00B85AC7">
        <w:t>is</w:t>
      </w:r>
      <w:r w:rsidR="00C47D7E">
        <w:t xml:space="preserve"> required around </w:t>
      </w:r>
      <w:r w:rsidR="39FDAADE">
        <w:t xml:space="preserve">a </w:t>
      </w:r>
      <w:r w:rsidR="00A96FBC">
        <w:t>TOB receiver from</w:t>
      </w:r>
      <w:r w:rsidR="00BE1A7C">
        <w:t xml:space="preserve"> any wireless broadband base station transmitter with a median EIRP.</w:t>
      </w:r>
    </w:p>
    <w:p w14:paraId="319119BA" w14:textId="2FB1EDA8" w:rsidR="0029346F" w:rsidRDefault="00A55400" w:rsidP="00667593">
      <w:pPr>
        <w:pStyle w:val="Paragraph"/>
        <w:keepNext/>
        <w:keepLines/>
      </w:pPr>
      <w:r>
        <w:lastRenderedPageBreak/>
        <w:t>The</w:t>
      </w:r>
      <w:r w:rsidR="00C238BB">
        <w:t xml:space="preserve"> required </w:t>
      </w:r>
      <w:r w:rsidR="00E20953">
        <w:t>protection zone is most likely to lie between the</w:t>
      </w:r>
      <w:r w:rsidR="0055193C">
        <w:t xml:space="preserve"> </w:t>
      </w:r>
      <w:r w:rsidR="002316A9">
        <w:t>y</w:t>
      </w:r>
      <w:r w:rsidR="0055193C">
        <w:t xml:space="preserve">ellow and </w:t>
      </w:r>
      <w:r w:rsidR="002316A9">
        <w:t>b</w:t>
      </w:r>
      <w:r w:rsidR="0055193C">
        <w:t>lue contours</w:t>
      </w:r>
      <w:r w:rsidR="00E07D2F">
        <w:t xml:space="preserve"> around 15km</w:t>
      </w:r>
      <w:r w:rsidR="00D85B96">
        <w:t>. The Blu</w:t>
      </w:r>
      <w:r w:rsidR="00C94BC1">
        <w:t>e contour</w:t>
      </w:r>
      <w:r w:rsidR="00CA14EF">
        <w:t xml:space="preserve"> </w:t>
      </w:r>
      <w:r w:rsidR="00B5436B">
        <w:t xml:space="preserve">shown in </w:t>
      </w:r>
      <w:r w:rsidR="00FE5D91">
        <w:t xml:space="preserve">Figure 7 </w:t>
      </w:r>
      <w:r w:rsidR="00B5436B">
        <w:t xml:space="preserve">outlines </w:t>
      </w:r>
      <w:r w:rsidR="00CA14EF">
        <w:t>the protect</w:t>
      </w:r>
      <w:r w:rsidR="00F70E78">
        <w:t>ion</w:t>
      </w:r>
      <w:r w:rsidR="00D50547" w:rsidRPr="00D50547">
        <w:t xml:space="preserve"> </w:t>
      </w:r>
      <w:r w:rsidR="00D50547">
        <w:t xml:space="preserve">zone for a </w:t>
      </w:r>
      <w:r w:rsidR="00510036">
        <w:t>2</w:t>
      </w:r>
      <w:r w:rsidR="00D50547">
        <w:t>00</w:t>
      </w:r>
      <w:r w:rsidR="00FE5D91">
        <w:t xml:space="preserve"> </w:t>
      </w:r>
      <w:r w:rsidR="00D50547">
        <w:t xml:space="preserve">m TOB link </w:t>
      </w:r>
      <w:r w:rsidR="00CF6955">
        <w:t xml:space="preserve">when impacted by </w:t>
      </w:r>
      <w:r w:rsidR="00D50547">
        <w:t>a wireless broadband base station transmitter with a median EIRP (23dBW/MHz)</w:t>
      </w:r>
      <w:r w:rsidR="00C625D2">
        <w:t>.</w:t>
      </w:r>
      <w:r w:rsidR="008B5497">
        <w:t xml:space="preserve"> This contour comes close to the </w:t>
      </w:r>
      <w:r w:rsidR="00124218">
        <w:t>18</w:t>
      </w:r>
      <w:r w:rsidR="008B5497">
        <w:t xml:space="preserve"> km</w:t>
      </w:r>
      <w:r w:rsidR="007D04AD">
        <w:t xml:space="preserve"> orange circle which</w:t>
      </w:r>
      <w:r w:rsidR="00175EFC">
        <w:t xml:space="preserve"> identifies the</w:t>
      </w:r>
      <w:r w:rsidR="007D4AE7">
        <w:t xml:space="preserve"> protection zone required using the modifi</w:t>
      </w:r>
      <w:r w:rsidR="00764ACD">
        <w:t>ed Hata model for</w:t>
      </w:r>
      <w:r w:rsidR="0004058A">
        <w:t xml:space="preserve"> </w:t>
      </w:r>
      <w:r w:rsidR="005C4A29">
        <w:t xml:space="preserve">a wireless broadband base station transmitter with a </w:t>
      </w:r>
      <w:r w:rsidR="00775698">
        <w:t xml:space="preserve">medium </w:t>
      </w:r>
      <w:r w:rsidR="005C4A29">
        <w:t>EIRP (</w:t>
      </w:r>
      <w:r w:rsidR="00191F67">
        <w:t>23</w:t>
      </w:r>
      <w:r w:rsidR="005C4A29">
        <w:t>dBW/MHz).</w:t>
      </w:r>
    </w:p>
    <w:p w14:paraId="61BBF772" w14:textId="57F70FD6" w:rsidR="009930E4" w:rsidRDefault="009930E4" w:rsidP="00667593">
      <w:pPr>
        <w:pStyle w:val="Paragraph"/>
        <w:keepNext/>
        <w:keepLines/>
      </w:pPr>
      <w:r>
        <w:t>This study shows that the</w:t>
      </w:r>
      <w:r w:rsidR="009948D9">
        <w:t xml:space="preserve"> required TOB protection zone</w:t>
      </w:r>
      <w:r w:rsidR="00EB7510">
        <w:t xml:space="preserve"> </w:t>
      </w:r>
      <w:r w:rsidR="002672F0">
        <w:t>is</w:t>
      </w:r>
      <w:r w:rsidR="00482CC2">
        <w:t xml:space="preserve"> </w:t>
      </w:r>
      <w:r w:rsidR="00F8209D">
        <w:t>lik</w:t>
      </w:r>
      <w:r w:rsidR="008C7B56">
        <w:t>ely to be</w:t>
      </w:r>
      <w:r w:rsidR="00482CC2">
        <w:t xml:space="preserve"> </w:t>
      </w:r>
      <w:r w:rsidR="00E41A44">
        <w:t>greater than</w:t>
      </w:r>
      <w:r w:rsidR="00967357">
        <w:t xml:space="preserve"> </w:t>
      </w:r>
      <w:r w:rsidR="00777280">
        <w:t>12</w:t>
      </w:r>
      <w:r w:rsidR="00FE5D91">
        <w:t> </w:t>
      </w:r>
      <w:r w:rsidR="00967357">
        <w:t xml:space="preserve">km </w:t>
      </w:r>
      <w:r w:rsidR="00A74362">
        <w:t>in the Melbourne environment</w:t>
      </w:r>
      <w:r w:rsidR="004322F8">
        <w:t xml:space="preserve"> when looking at existing TOB licence</w:t>
      </w:r>
      <w:r w:rsidR="005F0A06">
        <w:t>s</w:t>
      </w:r>
      <w:r w:rsidR="00A74362">
        <w:t>.</w:t>
      </w:r>
    </w:p>
    <w:p w14:paraId="1F6A11B1" w14:textId="462217E2" w:rsidR="006B368A" w:rsidRDefault="006B368A" w:rsidP="006B368A">
      <w:pPr>
        <w:pStyle w:val="Heading1"/>
      </w:pPr>
      <w:bookmarkStart w:id="178" w:name="_Appendix_E:_Geographical"/>
      <w:bookmarkStart w:id="179" w:name="_Appendix_F:_Geographical"/>
      <w:bookmarkStart w:id="180" w:name="_Toc5000090"/>
      <w:bookmarkStart w:id="181" w:name="_Ref40264484"/>
      <w:bookmarkStart w:id="182" w:name="_Toc40268690"/>
      <w:bookmarkStart w:id="183" w:name="_Ref43890280"/>
      <w:bookmarkStart w:id="184" w:name="_Toc46316401"/>
      <w:bookmarkEnd w:id="178"/>
      <w:bookmarkEnd w:id="179"/>
      <w:r w:rsidRPr="003D36EB">
        <w:lastRenderedPageBreak/>
        <w:t xml:space="preserve">Appendix </w:t>
      </w:r>
      <w:r w:rsidR="006D77F7">
        <w:t>F</w:t>
      </w:r>
      <w:r w:rsidRPr="003D36EB">
        <w:t>: Geographical area descriptions</w:t>
      </w:r>
      <w:bookmarkEnd w:id="180"/>
      <w:bookmarkEnd w:id="181"/>
      <w:bookmarkEnd w:id="182"/>
      <w:bookmarkEnd w:id="183"/>
      <w:bookmarkEnd w:id="184"/>
    </w:p>
    <w:p w14:paraId="43358978" w14:textId="6B64FF0A" w:rsidR="006B368A" w:rsidRDefault="006B368A" w:rsidP="00072074">
      <w:pPr>
        <w:pStyle w:val="Paragraphbeforelist"/>
      </w:pPr>
      <w:r w:rsidRPr="00512E4C">
        <w:t xml:space="preserve">The ACMA has defined geographical areas to assist in the analysis of replanning of the 2 GHz band. These areas are displayed </w:t>
      </w:r>
      <w:r w:rsidR="003D36EB" w:rsidRPr="00512E4C">
        <w:t>below</w:t>
      </w:r>
      <w:r w:rsidRPr="00512E4C">
        <w:t xml:space="preserve"> and show the following:</w:t>
      </w:r>
    </w:p>
    <w:p w14:paraId="77E79615" w14:textId="6DB6F4AB" w:rsidR="006B368A" w:rsidRDefault="006B368A" w:rsidP="006B368A">
      <w:pPr>
        <w:pStyle w:val="ListBullet"/>
        <w:keepLines/>
      </w:pPr>
      <w:r>
        <w:t>1920–19</w:t>
      </w:r>
      <w:r w:rsidR="005A2793">
        <w:t>8</w:t>
      </w:r>
      <w:r>
        <w:t xml:space="preserve">0 MHz </w:t>
      </w:r>
      <w:r w:rsidR="003F36AF">
        <w:t>s</w:t>
      </w:r>
      <w:r>
        <w:t xml:space="preserve">pectrum </w:t>
      </w:r>
      <w:r w:rsidR="003F36AF">
        <w:t>l</w:t>
      </w:r>
      <w:r>
        <w:t xml:space="preserve">icence </w:t>
      </w:r>
      <w:r w:rsidR="003F36AF">
        <w:t>a</w:t>
      </w:r>
      <w:r>
        <w:t>rea (SLA)</w:t>
      </w:r>
      <w:r w:rsidR="005A2793">
        <w:t xml:space="preserve"> in capital cities</w:t>
      </w:r>
      <w:r>
        <w:t>.</w:t>
      </w:r>
    </w:p>
    <w:p w14:paraId="0A75AD80" w14:textId="3B3C7F0A" w:rsidR="006B368A" w:rsidRDefault="006B368A" w:rsidP="006B368A">
      <w:pPr>
        <w:pStyle w:val="ListBullet"/>
        <w:keepLines/>
      </w:pPr>
      <w:r>
        <w:t>1960–1980 MHz SLA</w:t>
      </w:r>
      <w:r w:rsidR="005A2793">
        <w:t xml:space="preserve"> in regional areas</w:t>
      </w:r>
      <w:r>
        <w:t>.</w:t>
      </w:r>
    </w:p>
    <w:p w14:paraId="5F8DC35E" w14:textId="77777777" w:rsidR="006B368A" w:rsidRDefault="006B368A" w:rsidP="006B368A">
      <w:pPr>
        <w:pStyle w:val="ListBullet"/>
        <w:keepLines/>
      </w:pPr>
      <w:r>
        <w:t>Fixed point-to-point links for which part of the bandwidth overlaps the 2 GHz spectrum.</w:t>
      </w:r>
    </w:p>
    <w:p w14:paraId="5C8CCC02" w14:textId="3F22DD5C" w:rsidR="006B368A" w:rsidRDefault="006B368A" w:rsidP="006B368A">
      <w:pPr>
        <w:pStyle w:val="ListBullet"/>
        <w:keepLines/>
      </w:pPr>
      <w:r>
        <w:t>The location of TOB services, noting more than one TOB service may exist per</w:t>
      </w:r>
      <w:r w:rsidR="00FE5D91">
        <w:t> </w:t>
      </w:r>
      <w:r>
        <w:t>point.</w:t>
      </w:r>
    </w:p>
    <w:p w14:paraId="207B40EB" w14:textId="77777777" w:rsidR="006B368A" w:rsidRDefault="006B368A" w:rsidP="006B368A">
      <w:pPr>
        <w:rPr>
          <w:szCs w:val="20"/>
        </w:rPr>
      </w:pPr>
      <w:r>
        <w:t xml:space="preserve">The Australian Spectrum Map Grid (ASMG) is used to define geographical areas over which spectrum licences are issued. The Hierarchical Cell Identification Scheme (HCIS) is a naming convention developed by the ACMA that applies unique ‘names’ to each of the cells that make up the ASMG. The ASMG and HCIS are described in detail in the document </w:t>
      </w:r>
      <w:hyperlink r:id="rId94" w:history="1">
        <w:r>
          <w:rPr>
            <w:rStyle w:val="Hyperlink"/>
            <w:rFonts w:cs="Arial"/>
            <w:i/>
          </w:rPr>
          <w:t>The Australian spectrum map grid 2012</w:t>
        </w:r>
      </w:hyperlink>
      <w:r>
        <w:t>.</w:t>
      </w:r>
    </w:p>
    <w:p w14:paraId="712F69CF" w14:textId="38E5F54F" w:rsidR="007A5BE5" w:rsidRPr="001F7DED" w:rsidRDefault="00A43C51" w:rsidP="007A5BE5">
      <w:pPr>
        <w:pStyle w:val="ACMAFigureHeader"/>
        <w:keepNext/>
      </w:pPr>
      <w:r>
        <w:rPr>
          <w:rFonts w:cs="Arial"/>
        </w:rPr>
        <w:t xml:space="preserve">Geographical area </w:t>
      </w:r>
      <w:r w:rsidR="00B714DE">
        <w:rPr>
          <w:rFonts w:cs="Arial"/>
        </w:rPr>
        <w:t xml:space="preserve">descriptions </w:t>
      </w:r>
    </w:p>
    <w:p w14:paraId="5BE2C420" w14:textId="43FF1C28" w:rsidR="006B368A" w:rsidRDefault="00345358" w:rsidP="006B368A">
      <w:pPr>
        <w:jc w:val="center"/>
        <w:rPr>
          <w:rFonts w:cs="Arial"/>
          <w:szCs w:val="20"/>
        </w:rPr>
      </w:pPr>
      <w:r>
        <w:rPr>
          <w:noProof/>
        </w:rPr>
        <w:drawing>
          <wp:inline distT="0" distB="0" distL="0" distR="0" wp14:anchorId="2CE7F72F" wp14:editId="325486D2">
            <wp:extent cx="4871085" cy="4619767"/>
            <wp:effectExtent l="0" t="0" r="5715" b="9525"/>
            <wp:docPr id="15" name="Picture 15" descr="Figure 8: Geographical area descri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b="517"/>
                    <a:stretch/>
                  </pic:blipFill>
                  <pic:spPr bwMode="auto">
                    <a:xfrm>
                      <a:off x="0" y="0"/>
                      <a:ext cx="4871085" cy="4619767"/>
                    </a:xfrm>
                    <a:prstGeom prst="rect">
                      <a:avLst/>
                    </a:prstGeom>
                    <a:ln>
                      <a:noFill/>
                    </a:ln>
                    <a:extLst>
                      <a:ext uri="{53640926-AAD7-44D8-BBD7-CCE9431645EC}">
                        <a14:shadowObscured xmlns:a14="http://schemas.microsoft.com/office/drawing/2010/main"/>
                      </a:ext>
                    </a:extLst>
                  </pic:spPr>
                </pic:pic>
              </a:graphicData>
            </a:graphic>
          </wp:inline>
        </w:drawing>
      </w:r>
    </w:p>
    <w:p w14:paraId="258AEBF9" w14:textId="233BDE14" w:rsidR="006B368A" w:rsidRPr="00B714DE" w:rsidRDefault="006B368A" w:rsidP="006B368A">
      <w:pPr>
        <w:rPr>
          <w:rStyle w:val="Hyperlink"/>
        </w:rPr>
      </w:pPr>
      <w:r w:rsidRPr="00B714DE">
        <w:lastRenderedPageBreak/>
        <w:t xml:space="preserve">The HCIS coordinates for the 1920 to 1960 MHz and 1960 to 1980 MHz SLA are </w:t>
      </w:r>
      <w:r w:rsidR="00B714DE">
        <w:t>listed</w:t>
      </w:r>
      <w:r w:rsidR="00B714DE" w:rsidRPr="00B714DE">
        <w:t xml:space="preserve"> in the table below</w:t>
      </w:r>
      <w:r w:rsidR="001621B3">
        <w:t xml:space="preserve"> </w:t>
      </w:r>
      <w:r w:rsidRPr="00B714DE">
        <w:t xml:space="preserve">and can be converted into a Placemark file (viewable in Google Earth) through a facility on the </w:t>
      </w:r>
      <w:hyperlink r:id="rId96" w:history="1">
        <w:r w:rsidRPr="00B714DE">
          <w:rPr>
            <w:rStyle w:val="Hyperlink"/>
          </w:rPr>
          <w:t>ACMA website</w:t>
        </w:r>
      </w:hyperlink>
      <w:r w:rsidRPr="00B714DE">
        <w:t xml:space="preserve">. </w:t>
      </w:r>
    </w:p>
    <w:p w14:paraId="67F96281" w14:textId="0A26551A" w:rsidR="00450C98" w:rsidRPr="00450C98" w:rsidRDefault="006B368A" w:rsidP="003B376A">
      <w:pPr>
        <w:pStyle w:val="ACMATableHeader"/>
        <w:keepNext/>
        <w:tabs>
          <w:tab w:val="clear" w:pos="1957"/>
          <w:tab w:val="num" w:pos="1134"/>
        </w:tabs>
        <w:ind w:left="1134" w:hanging="1134"/>
      </w:pPr>
      <w:bookmarkStart w:id="185" w:name="_Ref29365178"/>
      <w:r w:rsidRPr="00B714DE">
        <w:t xml:space="preserve"> HCIS description of areas</w:t>
      </w:r>
      <w:bookmarkEnd w:id="185"/>
    </w:p>
    <w:tbl>
      <w:tblPr>
        <w:tblStyle w:val="TableGrid"/>
        <w:tblW w:w="9495" w:type="dxa"/>
        <w:tblLayout w:type="fixed"/>
        <w:tblCellMar>
          <w:top w:w="57" w:type="dxa"/>
          <w:bottom w:w="57" w:type="dxa"/>
        </w:tblCellMar>
        <w:tblLook w:val="04A0" w:firstRow="1" w:lastRow="0" w:firstColumn="1" w:lastColumn="0" w:noHBand="0" w:noVBand="1"/>
      </w:tblPr>
      <w:tblGrid>
        <w:gridCol w:w="1696"/>
        <w:gridCol w:w="1276"/>
        <w:gridCol w:w="6523"/>
      </w:tblGrid>
      <w:tr w:rsidR="006B368A" w14:paraId="77273A0F" w14:textId="77777777" w:rsidTr="00A456EE">
        <w:trPr>
          <w:tblHeader/>
        </w:trPr>
        <w:tc>
          <w:tcPr>
            <w:tcW w:w="1696"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4B1F514D" w14:textId="158C9645" w:rsidR="006B368A" w:rsidRPr="00233424" w:rsidRDefault="006B368A">
            <w:pPr>
              <w:pStyle w:val="TableHeading0"/>
              <w:rPr>
                <w:color w:val="FFFFFF" w:themeColor="background1"/>
              </w:rPr>
            </w:pPr>
            <w:r w:rsidRPr="00233424">
              <w:rPr>
                <w:color w:val="FFFFFF" w:themeColor="background1"/>
              </w:rPr>
              <w:t xml:space="preserve">Spectrum </w:t>
            </w:r>
            <w:r w:rsidR="00DA06CF">
              <w:rPr>
                <w:color w:val="FFFFFF" w:themeColor="background1"/>
              </w:rPr>
              <w:t>l</w:t>
            </w:r>
            <w:r w:rsidRPr="00233424">
              <w:rPr>
                <w:color w:val="FFFFFF" w:themeColor="background1"/>
              </w:rPr>
              <w:t xml:space="preserve">icence </w:t>
            </w:r>
            <w:r w:rsidR="00DA06CF">
              <w:rPr>
                <w:color w:val="FFFFFF" w:themeColor="background1"/>
              </w:rPr>
              <w:t>a</w:t>
            </w:r>
            <w:r w:rsidRPr="00233424">
              <w:rPr>
                <w:color w:val="FFFFFF" w:themeColor="background1"/>
              </w:rPr>
              <w:t xml:space="preserve">rea </w:t>
            </w:r>
            <w:r w:rsidR="00DA06CF">
              <w:rPr>
                <w:color w:val="FFFFFF" w:themeColor="background1"/>
              </w:rPr>
              <w:t>f</w:t>
            </w:r>
            <w:r w:rsidRPr="00233424">
              <w:rPr>
                <w:color w:val="FFFFFF" w:themeColor="background1"/>
              </w:rPr>
              <w:t xml:space="preserve">requency </w:t>
            </w:r>
            <w:r w:rsidR="00DA06CF">
              <w:rPr>
                <w:color w:val="FFFFFF" w:themeColor="background1"/>
              </w:rPr>
              <w:t>r</w:t>
            </w:r>
            <w:r w:rsidRPr="00233424">
              <w:rPr>
                <w:color w:val="FFFFFF" w:themeColor="background1"/>
              </w:rPr>
              <w:t>ange</w:t>
            </w:r>
          </w:p>
        </w:tc>
        <w:tc>
          <w:tcPr>
            <w:tcW w:w="1276"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0B7ED503" w14:textId="4D6D8864" w:rsidR="006B368A" w:rsidRPr="00233424" w:rsidRDefault="006B368A">
            <w:pPr>
              <w:pStyle w:val="TableHeading0"/>
              <w:rPr>
                <w:color w:val="FFFFFF" w:themeColor="background1"/>
              </w:rPr>
            </w:pPr>
            <w:r w:rsidRPr="00233424">
              <w:rPr>
                <w:color w:val="FFFFFF" w:themeColor="background1"/>
              </w:rPr>
              <w:t xml:space="preserve">Area </w:t>
            </w:r>
            <w:r w:rsidR="00DA06CF">
              <w:rPr>
                <w:color w:val="FFFFFF" w:themeColor="background1"/>
              </w:rPr>
              <w:t>n</w:t>
            </w:r>
            <w:r w:rsidRPr="00233424">
              <w:rPr>
                <w:color w:val="FFFFFF" w:themeColor="background1"/>
              </w:rPr>
              <w:t>ame</w:t>
            </w:r>
          </w:p>
        </w:tc>
        <w:tc>
          <w:tcPr>
            <w:tcW w:w="652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1BBE85FF" w14:textId="77777777" w:rsidR="006B368A" w:rsidRPr="00233424" w:rsidRDefault="006B368A">
            <w:pPr>
              <w:pStyle w:val="TableHeading0"/>
              <w:rPr>
                <w:color w:val="FFFFFF" w:themeColor="background1"/>
              </w:rPr>
            </w:pPr>
            <w:r w:rsidRPr="00233424">
              <w:rPr>
                <w:color w:val="FFFFFF" w:themeColor="background1"/>
              </w:rPr>
              <w:t>HCIS</w:t>
            </w:r>
          </w:p>
        </w:tc>
      </w:tr>
      <w:tr w:rsidR="006B368A" w14:paraId="7D78755B" w14:textId="77777777" w:rsidTr="00A456EE">
        <w:tc>
          <w:tcPr>
            <w:tcW w:w="169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6EB5B05" w14:textId="7E164E6C" w:rsidR="006B368A" w:rsidRDefault="006B368A">
            <w:pPr>
              <w:pStyle w:val="TableBody"/>
              <w:spacing w:line="240" w:lineRule="atLeast"/>
              <w:ind w:firstLine="127"/>
            </w:pPr>
            <w:r>
              <w:t>1920</w:t>
            </w:r>
            <w:r w:rsidR="00DA06CF">
              <w:t>–</w:t>
            </w:r>
            <w:r>
              <w:t>1960 MHz</w:t>
            </w:r>
          </w:p>
        </w:tc>
        <w:tc>
          <w:tcPr>
            <w:tcW w:w="1276" w:type="dxa"/>
            <w:tcBorders>
              <w:top w:val="single" w:sz="4" w:space="0" w:color="auto"/>
              <w:left w:val="single" w:sz="4" w:space="0" w:color="auto"/>
              <w:bottom w:val="single" w:sz="4" w:space="0" w:color="auto"/>
              <w:right w:val="single" w:sz="4" w:space="0" w:color="auto"/>
            </w:tcBorders>
            <w:hideMark/>
          </w:tcPr>
          <w:p w14:paraId="7E0F952C" w14:textId="77777777" w:rsidR="006B368A" w:rsidRDefault="006B368A">
            <w:pPr>
              <w:pStyle w:val="TableBody"/>
              <w:spacing w:line="240" w:lineRule="atLeast"/>
            </w:pPr>
            <w:r>
              <w:t xml:space="preserve">Adelaide </w:t>
            </w:r>
          </w:p>
        </w:tc>
        <w:tc>
          <w:tcPr>
            <w:tcW w:w="6523" w:type="dxa"/>
            <w:tcBorders>
              <w:top w:val="single" w:sz="4" w:space="0" w:color="auto"/>
              <w:left w:val="single" w:sz="4" w:space="0" w:color="auto"/>
              <w:bottom w:val="single" w:sz="4" w:space="0" w:color="auto"/>
              <w:right w:val="single" w:sz="4" w:space="0" w:color="auto"/>
            </w:tcBorders>
            <w:vAlign w:val="center"/>
            <w:hideMark/>
          </w:tcPr>
          <w:p w14:paraId="36DAA854" w14:textId="77777777" w:rsidR="006B368A" w:rsidRDefault="006B368A">
            <w:pPr>
              <w:pStyle w:val="TableBody"/>
              <w:spacing w:line="240" w:lineRule="atLeast"/>
            </w:pPr>
            <w:r>
              <w:t>IW3J, IW3K, IW3L, IW3N, IW3O, IW3P, IW6B, IW6C, IW6D, IW6F, IW6G, IW6H, IW3E5, IW3E6, IW3E8, IW3E9, IW3F4, IW3F5, IW3F6, IW3F7, IW3F8, IW3F9, IW3G4, IW3G5, IW3G6, IW3G7, IW3G8, IW3G9, IW3H4, IW3H5, IW3H6, IW3H7, IW3H8, IW3H9, IW3I2, IW3I3, IW3I5, IW3I6, IW3I8, IW3I9, IW3M2, IW3M3, IW3M5, IW3M6, IW3M8, IW3M9, IW6A2, IW6A3, IW6A5, IW6A6, IW6A8, IW6A9, IW6E2, IW6E3, IW6E5, IW6E6, IW6E8, IW6E9, JW1E4, JW1E7, JW1I1, JW1I4, JW1I7, JW1M1, JW1M4</w:t>
            </w:r>
          </w:p>
        </w:tc>
      </w:tr>
      <w:tr w:rsidR="006B368A" w14:paraId="1C665B04" w14:textId="77777777" w:rsidTr="00A456EE">
        <w:tc>
          <w:tcPr>
            <w:tcW w:w="1696" w:type="dxa"/>
            <w:vMerge/>
            <w:vAlign w:val="center"/>
            <w:hideMark/>
          </w:tcPr>
          <w:p w14:paraId="113B11E8" w14:textId="77777777" w:rsidR="006B368A" w:rsidRDefault="006B368A">
            <w:pPr>
              <w:spacing w:after="0"/>
            </w:pPr>
          </w:p>
        </w:tc>
        <w:tc>
          <w:tcPr>
            <w:tcW w:w="1276" w:type="dxa"/>
            <w:tcBorders>
              <w:top w:val="single" w:sz="4" w:space="0" w:color="auto"/>
              <w:left w:val="single" w:sz="4" w:space="0" w:color="auto"/>
              <w:bottom w:val="single" w:sz="4" w:space="0" w:color="auto"/>
              <w:right w:val="single" w:sz="4" w:space="0" w:color="auto"/>
            </w:tcBorders>
            <w:hideMark/>
          </w:tcPr>
          <w:p w14:paraId="222AAFD9" w14:textId="77777777" w:rsidR="006B368A" w:rsidRDefault="006B368A">
            <w:pPr>
              <w:pStyle w:val="TableBody"/>
              <w:spacing w:line="240" w:lineRule="atLeast"/>
            </w:pPr>
            <w:r>
              <w:t xml:space="preserve">Brisbane </w:t>
            </w:r>
          </w:p>
        </w:tc>
        <w:tc>
          <w:tcPr>
            <w:tcW w:w="6523" w:type="dxa"/>
            <w:tcBorders>
              <w:top w:val="single" w:sz="4" w:space="0" w:color="auto"/>
              <w:left w:val="single" w:sz="4" w:space="0" w:color="auto"/>
              <w:bottom w:val="single" w:sz="4" w:space="0" w:color="auto"/>
              <w:right w:val="single" w:sz="4" w:space="0" w:color="auto"/>
            </w:tcBorders>
            <w:vAlign w:val="center"/>
            <w:hideMark/>
          </w:tcPr>
          <w:p w14:paraId="5AA8E502" w14:textId="77777777" w:rsidR="006B368A" w:rsidRDefault="006B368A">
            <w:pPr>
              <w:pStyle w:val="TableBody"/>
              <w:spacing w:line="240" w:lineRule="atLeast"/>
            </w:pPr>
            <w:r>
              <w:t>NT9, NT5G, NT5H, NT5K, NT5L, NT5O, NT5P, NT6E, NT6F, NT6G, NT6H, NT6I, NT6J, NT6K, NT6L, NT6M, NT6N, NT6O, NT6P, NT8C, NT8D, NT8G, NT8H, NT8K, NT8L, NT8O, NT8P, NU3A, NU3B, NU3C, NU3D, NU3F, NU3G, NU3H, NT5C4, NT5C5, NT5C6, NT5C7, NT5C8, NT5C9, NT5D4, NT5D5, NT5D6, NT5D7, NT5D8, NT5D9, NT6A4, NT6A5, NT6A6, NT6A7, NT6A8, NT6A9, NT6B4, NT6B5, NT6B6, NT6B7, NT6B8, NT6B9, NT6C4, NT6C5, NT6C6, NT6C7, NT6C8, NT6C9, NT6D4, NT6D5, NT6D6, NT6D7, NT6D8, NT6D9, NU2C1, NU2C2, NU2C3, NU2D1, NU2D2, NU2D3, NU2D5, NU2D6, NU2D8, NU2D9, NU2H2, NU2H3, NU3E1, NU3E2, NU3E3, NU3E5, NU3E6, NU3E8, NU3E9, NU3I2, NU3I3, NU3J1, NU3J2, NU3J3, NU3K1, NU3K2, NU3K3, NU3L1, NU3L2, NU3L3</w:t>
            </w:r>
          </w:p>
        </w:tc>
      </w:tr>
      <w:tr w:rsidR="006B368A" w14:paraId="00A3D60E" w14:textId="77777777" w:rsidTr="00A456EE">
        <w:tc>
          <w:tcPr>
            <w:tcW w:w="1696" w:type="dxa"/>
            <w:vMerge/>
            <w:vAlign w:val="center"/>
            <w:hideMark/>
          </w:tcPr>
          <w:p w14:paraId="1DBE6167" w14:textId="77777777" w:rsidR="006B368A" w:rsidRDefault="006B368A">
            <w:pPr>
              <w:spacing w:after="0"/>
            </w:pPr>
          </w:p>
        </w:tc>
        <w:tc>
          <w:tcPr>
            <w:tcW w:w="1276" w:type="dxa"/>
            <w:tcBorders>
              <w:top w:val="single" w:sz="4" w:space="0" w:color="auto"/>
              <w:left w:val="single" w:sz="4" w:space="0" w:color="auto"/>
              <w:bottom w:val="single" w:sz="4" w:space="0" w:color="auto"/>
              <w:right w:val="single" w:sz="4" w:space="0" w:color="auto"/>
            </w:tcBorders>
            <w:hideMark/>
          </w:tcPr>
          <w:p w14:paraId="2BAB61B2" w14:textId="77777777" w:rsidR="006B368A" w:rsidRDefault="006B368A">
            <w:pPr>
              <w:pStyle w:val="TableBody"/>
              <w:spacing w:line="240" w:lineRule="atLeast"/>
            </w:pPr>
            <w:r>
              <w:t>Canberra</w:t>
            </w:r>
          </w:p>
        </w:tc>
        <w:tc>
          <w:tcPr>
            <w:tcW w:w="6523" w:type="dxa"/>
            <w:tcBorders>
              <w:top w:val="single" w:sz="4" w:space="0" w:color="auto"/>
              <w:left w:val="single" w:sz="4" w:space="0" w:color="auto"/>
              <w:bottom w:val="single" w:sz="4" w:space="0" w:color="auto"/>
              <w:right w:val="single" w:sz="4" w:space="0" w:color="auto"/>
            </w:tcBorders>
            <w:vAlign w:val="bottom"/>
            <w:hideMark/>
          </w:tcPr>
          <w:p w14:paraId="68CFA2C2" w14:textId="77777777" w:rsidR="006B368A" w:rsidRDefault="006B368A">
            <w:pPr>
              <w:pStyle w:val="TableBody"/>
              <w:spacing w:line="240" w:lineRule="atLeast"/>
            </w:pPr>
            <w:r>
              <w:t>MW4D, MW4H, MW4L, MW5A, MW5B, MW5E, MW5F, MW5I, MW5J, MW1P4, MW1P5, MW1P6, MW1P7, MW1P8, MW1P9, MW2M4, MW2M5, MW2M6, MW2M7, MW2M8, MW2M9, MW2N4, MW2N5, MW2N6, MW2N7, MW2N8, MW2N9, MW4P1, MW4P2, MW4P3, MW5M1, MW5M2, MW5M3, MW5N1, MW5N2, MW5N3</w:t>
            </w:r>
          </w:p>
        </w:tc>
      </w:tr>
      <w:tr w:rsidR="006B368A" w14:paraId="071DB56E" w14:textId="77777777" w:rsidTr="00A456EE">
        <w:trPr>
          <w:trHeight w:val="70"/>
        </w:trPr>
        <w:tc>
          <w:tcPr>
            <w:tcW w:w="1696" w:type="dxa"/>
            <w:vMerge/>
            <w:vAlign w:val="center"/>
            <w:hideMark/>
          </w:tcPr>
          <w:p w14:paraId="285787F1" w14:textId="77777777" w:rsidR="006B368A" w:rsidRDefault="006B368A">
            <w:pPr>
              <w:spacing w:after="0"/>
            </w:pPr>
          </w:p>
        </w:tc>
        <w:tc>
          <w:tcPr>
            <w:tcW w:w="1276" w:type="dxa"/>
            <w:tcBorders>
              <w:top w:val="single" w:sz="4" w:space="0" w:color="auto"/>
              <w:left w:val="single" w:sz="4" w:space="0" w:color="auto"/>
              <w:bottom w:val="single" w:sz="4" w:space="0" w:color="auto"/>
              <w:right w:val="single" w:sz="4" w:space="0" w:color="auto"/>
            </w:tcBorders>
            <w:hideMark/>
          </w:tcPr>
          <w:p w14:paraId="4106EC83" w14:textId="77777777" w:rsidR="006B368A" w:rsidRDefault="006B368A">
            <w:pPr>
              <w:pStyle w:val="TableBody"/>
              <w:spacing w:line="240" w:lineRule="atLeast"/>
            </w:pPr>
            <w:r>
              <w:t>Darwin</w:t>
            </w:r>
          </w:p>
        </w:tc>
        <w:tc>
          <w:tcPr>
            <w:tcW w:w="6523" w:type="dxa"/>
            <w:tcBorders>
              <w:top w:val="single" w:sz="4" w:space="0" w:color="auto"/>
              <w:left w:val="single" w:sz="4" w:space="0" w:color="auto"/>
              <w:bottom w:val="single" w:sz="4" w:space="0" w:color="auto"/>
              <w:right w:val="single" w:sz="4" w:space="0" w:color="auto"/>
            </w:tcBorders>
            <w:hideMark/>
          </w:tcPr>
          <w:p w14:paraId="41AC3944" w14:textId="77777777" w:rsidR="006B368A" w:rsidRDefault="006B368A">
            <w:pPr>
              <w:pStyle w:val="TableBody"/>
              <w:spacing w:line="240" w:lineRule="atLeast"/>
            </w:pPr>
            <w:r>
              <w:t>GO7C, GO7D, GO7G, GO7H, GO7K, GO7L, GO8A, GO8E, GO8I</w:t>
            </w:r>
          </w:p>
        </w:tc>
      </w:tr>
      <w:tr w:rsidR="006B368A" w14:paraId="27BD095E" w14:textId="77777777" w:rsidTr="00A456EE">
        <w:tc>
          <w:tcPr>
            <w:tcW w:w="1696" w:type="dxa"/>
            <w:vMerge/>
            <w:vAlign w:val="center"/>
            <w:hideMark/>
          </w:tcPr>
          <w:p w14:paraId="19C5FAA1" w14:textId="77777777" w:rsidR="006B368A" w:rsidRDefault="006B368A">
            <w:pPr>
              <w:spacing w:after="0"/>
            </w:pPr>
          </w:p>
        </w:tc>
        <w:tc>
          <w:tcPr>
            <w:tcW w:w="1276" w:type="dxa"/>
            <w:tcBorders>
              <w:top w:val="single" w:sz="4" w:space="0" w:color="auto"/>
              <w:left w:val="single" w:sz="4" w:space="0" w:color="auto"/>
              <w:bottom w:val="single" w:sz="4" w:space="0" w:color="auto"/>
              <w:right w:val="single" w:sz="4" w:space="0" w:color="auto"/>
            </w:tcBorders>
            <w:hideMark/>
          </w:tcPr>
          <w:p w14:paraId="5B2CB8C5" w14:textId="77777777" w:rsidR="006B368A" w:rsidRDefault="006B368A">
            <w:pPr>
              <w:pStyle w:val="TableBody"/>
              <w:spacing w:line="240" w:lineRule="atLeast"/>
            </w:pPr>
            <w:r>
              <w:t>Hobart</w:t>
            </w:r>
          </w:p>
        </w:tc>
        <w:tc>
          <w:tcPr>
            <w:tcW w:w="6523" w:type="dxa"/>
            <w:tcBorders>
              <w:top w:val="single" w:sz="4" w:space="0" w:color="auto"/>
              <w:left w:val="single" w:sz="4" w:space="0" w:color="auto"/>
              <w:bottom w:val="single" w:sz="4" w:space="0" w:color="auto"/>
              <w:right w:val="single" w:sz="4" w:space="0" w:color="auto"/>
            </w:tcBorders>
            <w:vAlign w:val="center"/>
            <w:hideMark/>
          </w:tcPr>
          <w:p w14:paraId="5DB945F1" w14:textId="77777777" w:rsidR="006B368A" w:rsidRDefault="006B368A">
            <w:pPr>
              <w:pStyle w:val="TableBody"/>
              <w:spacing w:line="240" w:lineRule="atLeast"/>
            </w:pPr>
            <w:r>
              <w:t>LY8L, LY8P, LY9I, LY9J, LY9K, LY9L, LY9M, LY9N, LY9O, LY9P, LZ2D, LZ2H, LZ3A, LZ3B, LZ3C, LZ3D, LZ3E, LZ3F, LZ3G, LZ3H, LY8H4, LY8H5, LY8H6, LY8H7, LY8H8, LY8H9, LY9E4, LY9E5, LY9E6, LY9E7, LY9E8, LY9E9, LY9F4, LY9F5, LY9F6, LY9F7, LY9F8, LY9F9, LY9G4, LY9G5, LY9G6, LY9G7, LY9G8, LY9G9, LY9H4, LY9H5, LY9H6, LY9H7, LY9H8, LY9H9, LZ2L1, LZ2L2, LZ2L3, LZ3I1, LZ3I2, LZ3I3, LZ3J1, LZ3J2, LZ3J3, LZ3K1, LZ3K2, LZ3K3, LZ3L1, LZ3L2, LZ3L3</w:t>
            </w:r>
          </w:p>
        </w:tc>
      </w:tr>
      <w:tr w:rsidR="006B368A" w14:paraId="14B35423" w14:textId="77777777" w:rsidTr="00A456EE">
        <w:tc>
          <w:tcPr>
            <w:tcW w:w="1696" w:type="dxa"/>
            <w:vMerge/>
            <w:vAlign w:val="center"/>
            <w:hideMark/>
          </w:tcPr>
          <w:p w14:paraId="1A1D1452" w14:textId="77777777" w:rsidR="006B368A" w:rsidRDefault="006B368A">
            <w:pPr>
              <w:spacing w:after="0"/>
            </w:pPr>
          </w:p>
        </w:tc>
        <w:tc>
          <w:tcPr>
            <w:tcW w:w="1276" w:type="dxa"/>
            <w:tcBorders>
              <w:top w:val="single" w:sz="4" w:space="0" w:color="auto"/>
              <w:left w:val="single" w:sz="4" w:space="0" w:color="auto"/>
              <w:bottom w:val="single" w:sz="4" w:space="0" w:color="auto"/>
              <w:right w:val="single" w:sz="4" w:space="0" w:color="auto"/>
            </w:tcBorders>
            <w:hideMark/>
          </w:tcPr>
          <w:p w14:paraId="68A157F7" w14:textId="77777777" w:rsidR="006B368A" w:rsidRDefault="006B368A">
            <w:pPr>
              <w:pStyle w:val="TableBody"/>
              <w:spacing w:line="240" w:lineRule="atLeast"/>
            </w:pPr>
            <w:r>
              <w:t>Melbourne</w:t>
            </w:r>
          </w:p>
        </w:tc>
        <w:tc>
          <w:tcPr>
            <w:tcW w:w="6523" w:type="dxa"/>
            <w:tcBorders>
              <w:top w:val="single" w:sz="4" w:space="0" w:color="auto"/>
              <w:left w:val="single" w:sz="4" w:space="0" w:color="auto"/>
              <w:bottom w:val="single" w:sz="4" w:space="0" w:color="auto"/>
              <w:right w:val="single" w:sz="4" w:space="0" w:color="auto"/>
            </w:tcBorders>
            <w:vAlign w:val="center"/>
            <w:hideMark/>
          </w:tcPr>
          <w:p w14:paraId="10B89831" w14:textId="77777777" w:rsidR="006B368A" w:rsidRDefault="006B368A">
            <w:pPr>
              <w:pStyle w:val="TableBody"/>
              <w:spacing w:line="240" w:lineRule="atLeast"/>
            </w:pPr>
            <w:r>
              <w:t>KX3J, KX3K, KX3L, KX3N, KX3O, KX3P, KX6B, KX6C, KX6D, KX6F, KX6G, KX6H, KX6J, KX6K, KX6L, LX1I, LX1M, LX1N, LX1O, LX4A, LX4B, LX4C, LX4E, LX4I, KX3F7, KX3F8, KX3F9, KX3G7, KX3G8, KX3G9, KX3H4, KX3H5, KX3H6, KX3H7, KX3H8, KX3H9, KX3M6, KX3M8, KX3M9, KX6A2, KX6A3, KX6A5, KX6A6, KX6A8, KX6A9, KX6E2, KX6E3, KX6E5, KX6E6, KX6E8, KX6E9, KX6I2, KX6I3, KX6I5, KX6I6, KX6I8, KX6I9, LX1E4, LX1E7, LX1E8, LX1E9, LX1J1, LX1J4, LX1J5, LX1J6, LX1J7, LX1J8, LX1J9, LX1K4, LX1K7, LX4F1, LX4F2, LX4F4, LX4F5, LX4F7, LX4F8, LX4J1, LX4J2, LX4J4, LX4J5, LX4J7, LX4J8</w:t>
            </w:r>
          </w:p>
        </w:tc>
      </w:tr>
      <w:tr w:rsidR="006B368A" w14:paraId="2E7D16C3" w14:textId="77777777" w:rsidTr="00A456EE">
        <w:tc>
          <w:tcPr>
            <w:tcW w:w="1696" w:type="dxa"/>
            <w:vMerge/>
            <w:vAlign w:val="center"/>
            <w:hideMark/>
          </w:tcPr>
          <w:p w14:paraId="3EAF8F5E" w14:textId="77777777" w:rsidR="006B368A" w:rsidRDefault="006B368A">
            <w:pPr>
              <w:spacing w:after="0"/>
            </w:pPr>
          </w:p>
        </w:tc>
        <w:tc>
          <w:tcPr>
            <w:tcW w:w="1276" w:type="dxa"/>
            <w:tcBorders>
              <w:top w:val="single" w:sz="4" w:space="0" w:color="auto"/>
              <w:left w:val="single" w:sz="4" w:space="0" w:color="auto"/>
              <w:bottom w:val="single" w:sz="4" w:space="0" w:color="auto"/>
              <w:right w:val="single" w:sz="4" w:space="0" w:color="auto"/>
            </w:tcBorders>
            <w:hideMark/>
          </w:tcPr>
          <w:p w14:paraId="701BDC04" w14:textId="77777777" w:rsidR="006B368A" w:rsidRDefault="006B368A">
            <w:pPr>
              <w:pStyle w:val="TableBody"/>
              <w:spacing w:line="240" w:lineRule="atLeast"/>
            </w:pPr>
            <w:r>
              <w:t xml:space="preserve">Perth </w:t>
            </w:r>
          </w:p>
        </w:tc>
        <w:tc>
          <w:tcPr>
            <w:tcW w:w="6523" w:type="dxa"/>
            <w:tcBorders>
              <w:top w:val="single" w:sz="4" w:space="0" w:color="auto"/>
              <w:left w:val="single" w:sz="4" w:space="0" w:color="auto"/>
              <w:bottom w:val="single" w:sz="4" w:space="0" w:color="auto"/>
              <w:right w:val="single" w:sz="4" w:space="0" w:color="auto"/>
            </w:tcBorders>
            <w:hideMark/>
          </w:tcPr>
          <w:p w14:paraId="77D4819B" w14:textId="77777777" w:rsidR="006B368A" w:rsidRDefault="006B368A">
            <w:pPr>
              <w:pStyle w:val="TableBody"/>
              <w:spacing w:line="240" w:lineRule="atLeast"/>
            </w:pPr>
            <w:r>
              <w:t>BV1I, BV1J, BV1K, BV1L, BV1M, BV1N, BV1O, BV1P, BV2I, BV2J, BV2M, BV2N, BV4A, BV4B, BV4C, BV4D, BV4E, BV4F, BV4G, BV4H, BV4I, BV4J, BV4K, BV4L, BV5A, BV5B, BV5E, BV5F, BV5I, BV5J, BV1E7, BV1E8, BV1E9, BV1F7, BV1F8, BV1F9, BV1G7, BV1G8, BV1G9, BV1H7, BV1H8, BV1H9, BV2E7, BV2E8, BV2E9, BV2F7, BV2F8, BV2F9, BV4M1, BV4M2, BV4M3, BV4N1, BV4N2, BV4N3, BV4O1, BV4O2, BV4O3, BV4P1, BV4P2, BV4P3, BV5M1, BV5M2, BV5M3, BV5N1, BV5N2, BV5N3</w:t>
            </w:r>
          </w:p>
        </w:tc>
      </w:tr>
      <w:tr w:rsidR="006B368A" w14:paraId="23CE1C3D" w14:textId="77777777" w:rsidTr="00A456EE">
        <w:tc>
          <w:tcPr>
            <w:tcW w:w="1696" w:type="dxa"/>
            <w:vMerge/>
            <w:vAlign w:val="center"/>
            <w:hideMark/>
          </w:tcPr>
          <w:p w14:paraId="0FDF0FA2" w14:textId="77777777" w:rsidR="006B368A" w:rsidRDefault="006B368A">
            <w:pPr>
              <w:spacing w:after="0"/>
            </w:pPr>
          </w:p>
        </w:tc>
        <w:tc>
          <w:tcPr>
            <w:tcW w:w="1276" w:type="dxa"/>
            <w:tcBorders>
              <w:top w:val="single" w:sz="4" w:space="0" w:color="auto"/>
              <w:left w:val="single" w:sz="4" w:space="0" w:color="auto"/>
              <w:bottom w:val="single" w:sz="4" w:space="0" w:color="auto"/>
              <w:right w:val="single" w:sz="4" w:space="0" w:color="auto"/>
            </w:tcBorders>
            <w:hideMark/>
          </w:tcPr>
          <w:p w14:paraId="7B6776B1" w14:textId="77777777" w:rsidR="006B368A" w:rsidRDefault="006B368A">
            <w:pPr>
              <w:pStyle w:val="TableBody"/>
              <w:spacing w:line="240" w:lineRule="atLeast"/>
            </w:pPr>
            <w:r>
              <w:t xml:space="preserve">Sydney </w:t>
            </w:r>
          </w:p>
        </w:tc>
        <w:tc>
          <w:tcPr>
            <w:tcW w:w="6523" w:type="dxa"/>
            <w:tcBorders>
              <w:top w:val="single" w:sz="4" w:space="0" w:color="auto"/>
              <w:left w:val="single" w:sz="4" w:space="0" w:color="auto"/>
              <w:bottom w:val="single" w:sz="4" w:space="0" w:color="auto"/>
              <w:right w:val="single" w:sz="4" w:space="0" w:color="auto"/>
            </w:tcBorders>
            <w:hideMark/>
          </w:tcPr>
          <w:p w14:paraId="4B415105" w14:textId="77777777" w:rsidR="006B368A" w:rsidRDefault="006B368A">
            <w:pPr>
              <w:pStyle w:val="TableBody"/>
              <w:spacing w:line="240" w:lineRule="atLeast"/>
            </w:pPr>
            <w:r>
              <w:t>NW1, MV9I, MV9J, MV9K, MV9L, MV9M, MV9N, MV9O, MV9P, MW3C, MW3D, MW3G, MW3H, MW3K, MW3L, MW3O, MW3P, NV4N, NV4O, NV4P, NV5M, NV5N, NV5O, NV5P, NV7B, NV7C, NV7D, NV7E, NV7F, NV7G, NV7H, NV7I, NV7J, NV7K, NV7L, NV7M, NV7N, NV7O, NV7P, MV9D6, MV9D9, MV9E4, MV9E5, MV9E6, MV9E7, MV9E8, MV9E9, MV9F4, MV9F5, MV9F6, MV9F7, MV9F8, MV9F9, MV9G4, MV9G5, MV9G6, MV9G7, MV9G8, MV9G9, MV9H3, MV9H4, MV9H5, MV9H6, MV9H7, MV9H8, MV9H9, MW3B2, MW3B3, MW3B5, MW3B6, MW3B8, MW3B9, MW3F2, MW3F3, MW3F5, MW3F6, MW3F8, MW3F9, MW3J2, MW3J3, NV4I5, NV4I6, NV4I8, NV4I9, NV4J4, NV4J5, NV4J6, NV4J7, NV4J8, NV4J9, NV4K4, NV4K5, NV4K6, NV4K7, NV4K8, NV4K9, NV4L4, NV4L5, NV4L6, NV4L7, NV4L8, NV4L9, NV4M2, NV4M3, NV4M5, NV4M6, NV4M8, NV4M9, NV5I4, NV5I5, NV5I6, NV5I7, NV5I8, NV5I9, NV5J4, NV5J5, NV5J6, NV5J7, NV5J8, NV5J9, NV5K4, NV5K5, NV5K6, NV5K7, NV5K8, NV5K9, NV5L4, NV5L5, NV5L6, NV5L7, NV5L8, NV5L9, NV7A2, NV7A3, NV7A4, NV7A5, NV7A6, NV7A7, NV7A8, NV7A9</w:t>
            </w:r>
          </w:p>
        </w:tc>
      </w:tr>
      <w:tr w:rsidR="006B368A" w14:paraId="1E27A021" w14:textId="77777777" w:rsidTr="00A456EE">
        <w:tc>
          <w:tcPr>
            <w:tcW w:w="1696" w:type="dxa"/>
            <w:tcBorders>
              <w:top w:val="single" w:sz="4" w:space="0" w:color="auto"/>
              <w:left w:val="single" w:sz="4" w:space="0" w:color="auto"/>
              <w:bottom w:val="single" w:sz="4" w:space="0" w:color="auto"/>
              <w:right w:val="single" w:sz="4" w:space="0" w:color="auto"/>
            </w:tcBorders>
            <w:hideMark/>
          </w:tcPr>
          <w:p w14:paraId="351E0775" w14:textId="77777777" w:rsidR="006B368A" w:rsidRDefault="006B368A">
            <w:pPr>
              <w:pStyle w:val="TableBody"/>
              <w:spacing w:line="240" w:lineRule="atLeast"/>
            </w:pPr>
            <w:r>
              <w:t>1960-1980 MHz</w:t>
            </w:r>
          </w:p>
        </w:tc>
        <w:tc>
          <w:tcPr>
            <w:tcW w:w="1276" w:type="dxa"/>
            <w:tcBorders>
              <w:top w:val="single" w:sz="4" w:space="0" w:color="auto"/>
              <w:left w:val="single" w:sz="4" w:space="0" w:color="auto"/>
              <w:bottom w:val="single" w:sz="4" w:space="0" w:color="auto"/>
              <w:right w:val="single" w:sz="4" w:space="0" w:color="auto"/>
            </w:tcBorders>
            <w:hideMark/>
          </w:tcPr>
          <w:p w14:paraId="5C10EF4A" w14:textId="38CB8D3B" w:rsidR="006B368A" w:rsidRDefault="006B368A">
            <w:pPr>
              <w:pStyle w:val="TableBody"/>
              <w:spacing w:line="240" w:lineRule="atLeast"/>
            </w:pPr>
            <w:r>
              <w:t xml:space="preserve">West </w:t>
            </w:r>
            <w:r w:rsidR="00DA06CF">
              <w:t>c</w:t>
            </w:r>
            <w:r>
              <w:t>oast</w:t>
            </w:r>
          </w:p>
        </w:tc>
        <w:tc>
          <w:tcPr>
            <w:tcW w:w="6523" w:type="dxa"/>
            <w:tcBorders>
              <w:top w:val="single" w:sz="4" w:space="0" w:color="auto"/>
              <w:left w:val="single" w:sz="4" w:space="0" w:color="auto"/>
              <w:bottom w:val="single" w:sz="4" w:space="0" w:color="auto"/>
              <w:right w:val="single" w:sz="4" w:space="0" w:color="auto"/>
            </w:tcBorders>
            <w:hideMark/>
          </w:tcPr>
          <w:p w14:paraId="10B8D748" w14:textId="77777777" w:rsidR="006B368A" w:rsidRDefault="006B368A">
            <w:pPr>
              <w:pStyle w:val="TableBody"/>
              <w:spacing w:line="240" w:lineRule="atLeast"/>
            </w:pPr>
            <w:r>
              <w:t>BV, AU2, AU3, AU6, AU9, AV9, AW3, BU1, BU2, BU4, BU5, BU7, BU8, BU9, BW1, BW2, BW3, BW5, BW6, CV4, CV7, CW1, CW4</w:t>
            </w:r>
          </w:p>
        </w:tc>
      </w:tr>
      <w:tr w:rsidR="006B368A" w14:paraId="592819BA" w14:textId="77777777" w:rsidTr="00A456EE">
        <w:tc>
          <w:tcPr>
            <w:tcW w:w="1696" w:type="dxa"/>
            <w:tcBorders>
              <w:top w:val="single" w:sz="4" w:space="0" w:color="auto"/>
              <w:left w:val="single" w:sz="4" w:space="0" w:color="auto"/>
              <w:bottom w:val="single" w:sz="4" w:space="0" w:color="auto"/>
              <w:right w:val="single" w:sz="4" w:space="0" w:color="auto"/>
            </w:tcBorders>
          </w:tcPr>
          <w:p w14:paraId="7136C397" w14:textId="77777777" w:rsidR="006B368A" w:rsidRDefault="006B368A">
            <w:pPr>
              <w:pStyle w:val="TableBody"/>
              <w:spacing w:line="240" w:lineRule="atLeast"/>
            </w:pPr>
          </w:p>
        </w:tc>
        <w:tc>
          <w:tcPr>
            <w:tcW w:w="1276" w:type="dxa"/>
            <w:tcBorders>
              <w:top w:val="single" w:sz="4" w:space="0" w:color="auto"/>
              <w:left w:val="single" w:sz="4" w:space="0" w:color="auto"/>
              <w:bottom w:val="single" w:sz="4" w:space="0" w:color="auto"/>
              <w:right w:val="single" w:sz="4" w:space="0" w:color="auto"/>
            </w:tcBorders>
            <w:hideMark/>
          </w:tcPr>
          <w:p w14:paraId="5CFA5B22" w14:textId="72FD55EA" w:rsidR="006B368A" w:rsidRDefault="006B368A">
            <w:pPr>
              <w:pStyle w:val="TableBody"/>
              <w:spacing w:line="240" w:lineRule="atLeast"/>
            </w:pPr>
            <w:r>
              <w:t>South and</w:t>
            </w:r>
            <w:r w:rsidR="00DA06CF">
              <w:t xml:space="preserve"> e</w:t>
            </w:r>
            <w:r>
              <w:t xml:space="preserve">ast </w:t>
            </w:r>
            <w:r w:rsidR="00DA06CF">
              <w:t>c</w:t>
            </w:r>
            <w:r>
              <w:t>oast</w:t>
            </w:r>
          </w:p>
        </w:tc>
        <w:tc>
          <w:tcPr>
            <w:tcW w:w="6523" w:type="dxa"/>
            <w:tcBorders>
              <w:top w:val="single" w:sz="4" w:space="0" w:color="auto"/>
              <w:left w:val="single" w:sz="4" w:space="0" w:color="auto"/>
              <w:bottom w:val="single" w:sz="4" w:space="0" w:color="auto"/>
              <w:right w:val="single" w:sz="4" w:space="0" w:color="auto"/>
            </w:tcBorders>
            <w:hideMark/>
          </w:tcPr>
          <w:p w14:paraId="0B871B1F" w14:textId="77777777" w:rsidR="006B368A" w:rsidRDefault="006B368A">
            <w:pPr>
              <w:pStyle w:val="TableBody"/>
              <w:spacing w:line="240" w:lineRule="atLeast"/>
            </w:pPr>
            <w:r>
              <w:t>IW, JW, KW, LW, LX, LY, MV, MW, NT, NU, GV1, GV2, GV3, GV6, HV1, HV2, HV4, HV5, HV6, HV8, HV9, HW3, IV4, IV5, IV6, IV7, IV8, IV9, JV4, JV5, JV7, JV8, JV9, JX1, JX2, JX3, JX5, JX6, KV7, KX1, KX2, KX3, KX4, KX5, KX6, KX8, KX9, KY2, KY3, KY6, LQ1, LQ2, LQ4, LQ5, LQ7, LQ8, LR2, LR3, LR5, LR6, LV9, LZ1, LZ2, LZ3, MR1, MR4, MR5, MR7, MR8, MR9, MS1, MS2, MS3, MS4, MS5, MS6, MS8, MS9, MT3, MT6, MT9, MU3, MU5, MU6, MU8, MU9, MX1, MX2, MX3, MX4, MX7, MY1, MY4, MY7, MZ1, NS4, NS7, NS8, NS9, NV1, NV2, NV3, NV4, NV5, NV7, NW1, GO7C, GO7D, GO7G, GO7H, GO7K, GO7L, GO8A, GO8E, GO8I</w:t>
            </w:r>
          </w:p>
        </w:tc>
      </w:tr>
    </w:tbl>
    <w:p w14:paraId="3391BCE8" w14:textId="62AAA8BC" w:rsidR="0029346F" w:rsidRPr="00664128" w:rsidRDefault="0029346F" w:rsidP="0029346F">
      <w:pPr>
        <w:pStyle w:val="CommentText"/>
      </w:pPr>
    </w:p>
    <w:p w14:paraId="17E0D853" w14:textId="515CDED7" w:rsidR="002069A3" w:rsidRDefault="00B24358" w:rsidP="00B24358">
      <w:pPr>
        <w:pStyle w:val="Heading1"/>
      </w:pPr>
      <w:bookmarkStart w:id="186" w:name="_Appendix_F:_Cost-benefit"/>
      <w:bookmarkStart w:id="187" w:name="_Appendix_G:_Cost-benefit"/>
      <w:bookmarkStart w:id="188" w:name="_Ref43981484"/>
      <w:bookmarkStart w:id="189" w:name="_Toc46316402"/>
      <w:bookmarkEnd w:id="186"/>
      <w:bookmarkEnd w:id="187"/>
      <w:r w:rsidRPr="003D36EB">
        <w:lastRenderedPageBreak/>
        <w:t xml:space="preserve">Appendix </w:t>
      </w:r>
      <w:r w:rsidR="006D77F7">
        <w:t>G</w:t>
      </w:r>
      <w:r w:rsidRPr="003D36EB">
        <w:t xml:space="preserve">: </w:t>
      </w:r>
      <w:r>
        <w:t>Cost-benefit analysis</w:t>
      </w:r>
      <w:bookmarkEnd w:id="188"/>
      <w:bookmarkEnd w:id="189"/>
    </w:p>
    <w:p w14:paraId="43EFB1F5" w14:textId="045C4BD9" w:rsidR="009749C0" w:rsidRPr="00FC71B1" w:rsidRDefault="009749C0" w:rsidP="009749C0">
      <w:pPr>
        <w:rPr>
          <w:szCs w:val="20"/>
        </w:rPr>
      </w:pPr>
      <w:bookmarkStart w:id="190" w:name="_Hlk41056076"/>
      <w:bookmarkStart w:id="191" w:name="_Hlk41056434"/>
      <w:bookmarkStart w:id="192" w:name="_Toc16685786"/>
      <w:r w:rsidRPr="00FC71B1">
        <w:rPr>
          <w:szCs w:val="20"/>
        </w:rPr>
        <w:t xml:space="preserve">This cost-benefit analysis (CBA) </w:t>
      </w:r>
      <w:r>
        <w:rPr>
          <w:szCs w:val="20"/>
        </w:rPr>
        <w:t>identifie</w:t>
      </w:r>
      <w:r w:rsidR="00300349">
        <w:rPr>
          <w:szCs w:val="20"/>
        </w:rPr>
        <w:t>s</w:t>
      </w:r>
      <w:r>
        <w:rPr>
          <w:szCs w:val="20"/>
        </w:rPr>
        <w:t xml:space="preserve"> relevant cost and benefit input</w:t>
      </w:r>
      <w:r w:rsidR="00300349">
        <w:rPr>
          <w:szCs w:val="20"/>
        </w:rPr>
        <w:t>s</w:t>
      </w:r>
      <w:r>
        <w:rPr>
          <w:szCs w:val="20"/>
        </w:rPr>
        <w:t xml:space="preserve"> likely to arise under each 2 GHz</w:t>
      </w:r>
      <w:r w:rsidRPr="00FC71B1">
        <w:rPr>
          <w:szCs w:val="20"/>
        </w:rPr>
        <w:t xml:space="preserve"> band replanning option</w:t>
      </w:r>
      <w:r>
        <w:rPr>
          <w:szCs w:val="20"/>
        </w:rPr>
        <w:t xml:space="preserve">. The purpose of the CBA is to support the assessment of options and inform the consideration of the option most likely to maximise the net benefit derived from replanning, as per the objects of the </w:t>
      </w:r>
      <w:r>
        <w:rPr>
          <w:i/>
          <w:iCs/>
          <w:szCs w:val="20"/>
        </w:rPr>
        <w:t>Radiocommunications Act 1992</w:t>
      </w:r>
      <w:r>
        <w:rPr>
          <w:szCs w:val="20"/>
        </w:rPr>
        <w:t xml:space="preserve"> (the Act). </w:t>
      </w:r>
      <w:r>
        <w:t xml:space="preserve">Detail on the CBA methodology can be found in the </w:t>
      </w:r>
      <w:hyperlink w:anchor="_Cost-benefit_analysis_methodology" w:history="1">
        <w:r w:rsidR="00717385" w:rsidRPr="00AD64F0">
          <w:rPr>
            <w:rStyle w:val="Hyperlink"/>
          </w:rPr>
          <w:t>Cost-benefit analysis methodology</w:t>
        </w:r>
      </w:hyperlink>
      <w:r w:rsidR="00717385">
        <w:t xml:space="preserve"> </w:t>
      </w:r>
      <w:r w:rsidRPr="00717385">
        <w:t>section</w:t>
      </w:r>
      <w:r w:rsidR="00717385">
        <w:t xml:space="preserve"> at the end of this appendix</w:t>
      </w:r>
      <w:r>
        <w:t>.</w:t>
      </w:r>
      <w:bookmarkEnd w:id="190"/>
    </w:p>
    <w:bookmarkEnd w:id="191"/>
    <w:p w14:paraId="5D8AD42D" w14:textId="77777777" w:rsidR="009749C0" w:rsidRPr="00004384" w:rsidRDefault="009749C0" w:rsidP="009749C0">
      <w:r>
        <w:t xml:space="preserve">There are three replanning options currently proposed for the 2 GHz band. The ACMA therefore considers the </w:t>
      </w:r>
      <w:r w:rsidRPr="00004384">
        <w:t xml:space="preserve">simplest method for this CBA is to assess the cost and benefit inputs for each option and feed this into the broader assessment of the three options in the body of this paper. This process seeks to identify which option is most net beneficial after comparing the costs and benefits of each option against the status quo of the interim </w:t>
      </w:r>
      <w:r>
        <w:t>t</w:t>
      </w:r>
      <w:r w:rsidRPr="00004384">
        <w:t xml:space="preserve">elevision outside </w:t>
      </w:r>
      <w:r>
        <w:t>b</w:t>
      </w:r>
      <w:r w:rsidRPr="00004384">
        <w:t>roadcast (TOB)</w:t>
      </w:r>
      <w:r>
        <w:t xml:space="preserve"> service</w:t>
      </w:r>
      <w:r w:rsidRPr="00004384">
        <w:t xml:space="preserve"> arrangements, which is considered the baseline for this analysis. </w:t>
      </w:r>
    </w:p>
    <w:p w14:paraId="31FAA9D3" w14:textId="317C125F" w:rsidR="009749C0" w:rsidRDefault="009749C0" w:rsidP="009749C0">
      <w:pPr>
        <w:rPr>
          <w:szCs w:val="20"/>
        </w:rPr>
      </w:pPr>
      <w:r>
        <w:t xml:space="preserve">While there will inevitably be variations between the estimated costs in the CBA and actual costs incurred from any change, the use of cost estimates and methodology common across options assists in identifying the relative costs difference between options. </w:t>
      </w:r>
      <w:r w:rsidR="00E13C9E">
        <w:t xml:space="preserve">The ACMA welcomes any information </w:t>
      </w:r>
      <w:r w:rsidR="00F27269">
        <w:t xml:space="preserve">regarding cost or benefit inputs </w:t>
      </w:r>
      <w:r w:rsidR="00E13C9E">
        <w:t xml:space="preserve">that may provide further insight </w:t>
      </w:r>
      <w:r w:rsidR="004F2787">
        <w:t>for</w:t>
      </w:r>
      <w:r w:rsidR="00E13C9E">
        <w:t xml:space="preserve"> the analysis.</w:t>
      </w:r>
    </w:p>
    <w:p w14:paraId="7851D792" w14:textId="462B43C9" w:rsidR="009749C0" w:rsidRDefault="009749C0" w:rsidP="009749C0">
      <w:r>
        <w:rPr>
          <w:szCs w:val="20"/>
        </w:rPr>
        <w:t xml:space="preserve">The outcomes of this CBA will be considered as part of an integrated assessment of planning options, which also incorporates other inputs such as technical considerations, international harmonisation and government policy objectives. </w:t>
      </w:r>
    </w:p>
    <w:p w14:paraId="76C7E6A9" w14:textId="77777777" w:rsidR="009749C0" w:rsidRPr="00004384" w:rsidRDefault="009749C0" w:rsidP="009749C0">
      <w:pPr>
        <w:pStyle w:val="Heading2"/>
      </w:pPr>
      <w:bookmarkStart w:id="193" w:name="_Toc46316403"/>
      <w:r w:rsidRPr="00004384">
        <w:t>Results summary</w:t>
      </w:r>
      <w:bookmarkEnd w:id="193"/>
    </w:p>
    <w:p w14:paraId="6DE8CD83" w14:textId="77777777" w:rsidR="009749C0" w:rsidRPr="00004384" w:rsidRDefault="009749C0" w:rsidP="00AD64F0">
      <w:pPr>
        <w:pStyle w:val="Paragraphbeforelist"/>
      </w:pPr>
      <w:r w:rsidRPr="00004384">
        <w:t>Three replanning options have been considered:</w:t>
      </w:r>
    </w:p>
    <w:p w14:paraId="17211EFE" w14:textId="5526B4A2" w:rsidR="009749C0" w:rsidRPr="00004384" w:rsidRDefault="009749C0" w:rsidP="009749C0">
      <w:pPr>
        <w:pStyle w:val="Bulletlevel1"/>
      </w:pPr>
      <w:r w:rsidRPr="00004384">
        <w:t>Option 1: TOB with Internet of Things (IoT)</w:t>
      </w:r>
      <w:r w:rsidR="00CA0145">
        <w:t>.</w:t>
      </w:r>
    </w:p>
    <w:p w14:paraId="6CAEA840" w14:textId="48EC9553" w:rsidR="009749C0" w:rsidRPr="00004384" w:rsidRDefault="009749C0" w:rsidP="009749C0">
      <w:pPr>
        <w:pStyle w:val="Bulletlevel1"/>
        <w:rPr>
          <w:b/>
          <w:bCs/>
        </w:rPr>
      </w:pPr>
      <w:r w:rsidRPr="00004384">
        <w:t xml:space="preserve">Option 2: Wireless </w:t>
      </w:r>
      <w:r w:rsidR="00C945D7">
        <w:t>b</w:t>
      </w:r>
      <w:r w:rsidRPr="00004384">
        <w:t>roadband</w:t>
      </w:r>
      <w:r w:rsidR="00CA0145">
        <w:t>.</w:t>
      </w:r>
    </w:p>
    <w:p w14:paraId="03797F03" w14:textId="7A3F9990" w:rsidR="009749C0" w:rsidRPr="00004384" w:rsidRDefault="009749C0" w:rsidP="009749C0">
      <w:pPr>
        <w:pStyle w:val="Bulletlevel1last"/>
      </w:pPr>
      <w:r w:rsidRPr="00004384">
        <w:t>Option 3: Mobile</w:t>
      </w:r>
      <w:r w:rsidR="00C945D7">
        <w:t>-</w:t>
      </w:r>
      <w:r w:rsidRPr="00004384">
        <w:t>satellite service (MSS) complementary ground component and satellite IoT</w:t>
      </w:r>
      <w:r>
        <w:t>.</w:t>
      </w:r>
    </w:p>
    <w:p w14:paraId="670A4EF5" w14:textId="77777777" w:rsidR="009749C0" w:rsidRDefault="009749C0" w:rsidP="00AD64F0">
      <w:pPr>
        <w:pStyle w:val="Paragraphbeforelist"/>
      </w:pPr>
      <w:r>
        <w:t>In summary, the results of the CBA analysis for each option are the following:</w:t>
      </w:r>
    </w:p>
    <w:p w14:paraId="1184080A" w14:textId="77777777" w:rsidR="009749C0" w:rsidRDefault="009749C0" w:rsidP="009749C0">
      <w:pPr>
        <w:pStyle w:val="Bulletlevel1"/>
      </w:pPr>
      <w:r w:rsidRPr="00E0539C">
        <w:t>Option 1</w:t>
      </w:r>
      <w:r>
        <w:t>: expected to only generate a small net benefit compared with the status quo, resulting from access to satellite IoT in 2 x 5 MHz on a shared basis (as is the case under all options) and added certainty for TOB users.</w:t>
      </w:r>
    </w:p>
    <w:p w14:paraId="113524DA" w14:textId="770B1BB8" w:rsidR="009749C0" w:rsidRDefault="009749C0" w:rsidP="009749C0">
      <w:pPr>
        <w:pStyle w:val="Bulletlevel1"/>
      </w:pPr>
      <w:r w:rsidRPr="00E0539C">
        <w:t>Option 2:</w:t>
      </w:r>
      <w:r>
        <w:t xml:space="preserve"> expected to be highly net beneficial as wide-area wireless broadband users have placed a strong demonstrated value on equivalent spectrum that significantly exceeds the costs of displacing TOB services, while there is also some spectrum made available to local-area wireless users in regional and remote areas.</w:t>
      </w:r>
    </w:p>
    <w:p w14:paraId="3ED38208" w14:textId="2C1DD2DC" w:rsidR="009749C0" w:rsidRDefault="009749C0" w:rsidP="009749C0">
      <w:pPr>
        <w:pStyle w:val="Bulletlevel1last"/>
      </w:pPr>
      <w:r w:rsidRPr="00E0539C">
        <w:t>Option 3</w:t>
      </w:r>
      <w:r w:rsidRPr="005C456F">
        <w:t>:</w:t>
      </w:r>
      <w:r>
        <w:t xml:space="preserve"> expected to be highly net beneficial as the utilisation of </w:t>
      </w:r>
      <w:r w:rsidR="00C945D7">
        <w:t>complementary ground component</w:t>
      </w:r>
      <w:r>
        <w:t xml:space="preserve"> by MSS users could allow for the dual benefits of MSS and </w:t>
      </w:r>
      <w:r w:rsidR="00C945D7">
        <w:t>wireless broadband</w:t>
      </w:r>
      <w:r>
        <w:t xml:space="preserve">, with different services being deployed based on what is most economically beneficial in each geographic area. This is considered the option most likely to maximise net benefit as the market can determine whether MSS or </w:t>
      </w:r>
      <w:r w:rsidR="00C945D7">
        <w:t>wireless broadband</w:t>
      </w:r>
      <w:r>
        <w:t xml:space="preserve"> use is most beneficial.</w:t>
      </w:r>
    </w:p>
    <w:p w14:paraId="533047A5" w14:textId="2AA03EB9" w:rsidR="009749C0" w:rsidRDefault="009749C0" w:rsidP="009749C0">
      <w:pPr>
        <w:pStyle w:val="Paragraph"/>
      </w:pPr>
      <w:r w:rsidRPr="00FC71B1">
        <w:lastRenderedPageBreak/>
        <w:t xml:space="preserve">While this CBA has resulted in Option </w:t>
      </w:r>
      <w:r>
        <w:t>3</w:t>
      </w:r>
      <w:r w:rsidRPr="00CE3160">
        <w:t xml:space="preserve"> b</w:t>
      </w:r>
      <w:r w:rsidRPr="000462ED">
        <w:t xml:space="preserve">eing considered the option most likely to </w:t>
      </w:r>
      <w:r w:rsidRPr="00FC71B1">
        <w:t xml:space="preserve">maximise net benefit, the CBA is only </w:t>
      </w:r>
      <w:r>
        <w:t xml:space="preserve">one </w:t>
      </w:r>
      <w:r w:rsidR="759E2E17">
        <w:t>element</w:t>
      </w:r>
      <w:r w:rsidRPr="00FC71B1">
        <w:t xml:space="preserve"> of a</w:t>
      </w:r>
      <w:r>
        <w:t xml:space="preserve"> broader,</w:t>
      </w:r>
      <w:r w:rsidRPr="00FC71B1">
        <w:t xml:space="preserve"> integrated replanning analysis. Replanning decisions will involve consideration of the CBA alongside other </w:t>
      </w:r>
      <w:r>
        <w:t xml:space="preserve">elements of analysis identified </w:t>
      </w:r>
      <w:r w:rsidRPr="00FC71B1">
        <w:t xml:space="preserve">within </w:t>
      </w:r>
      <w:r w:rsidR="33CD5EB4">
        <w:t>this</w:t>
      </w:r>
      <w:r w:rsidR="51D1E0E4">
        <w:t xml:space="preserve"> </w:t>
      </w:r>
      <w:r w:rsidR="1E50A6D6">
        <w:t>o</w:t>
      </w:r>
      <w:r w:rsidR="51D1E0E4">
        <w:t>ptions</w:t>
      </w:r>
      <w:r w:rsidRPr="00FC71B1">
        <w:t xml:space="preserve"> paper.</w:t>
      </w:r>
    </w:p>
    <w:p w14:paraId="7E395D81" w14:textId="77777777" w:rsidR="009749C0" w:rsidRDefault="009749C0" w:rsidP="009749C0">
      <w:pPr>
        <w:pStyle w:val="Heading2"/>
      </w:pPr>
      <w:bookmarkStart w:id="194" w:name="_Toc46316404"/>
      <w:r>
        <w:t>Cost-benefit inputs for each option</w:t>
      </w:r>
      <w:bookmarkEnd w:id="194"/>
    </w:p>
    <w:p w14:paraId="79C51286" w14:textId="4DEC80B6" w:rsidR="009749C0" w:rsidRDefault="009749C0" w:rsidP="009749C0">
      <w:pPr>
        <w:pStyle w:val="Paragraph"/>
      </w:pPr>
      <w:r>
        <w:t>The following analysis outlines all the potential cost or benefit inputs that would result under each proposed option. Each of the cost and benefit inputs are compared with current arrangements in the 2 GHz band</w:t>
      </w:r>
      <w:r w:rsidR="00CA0145">
        <w:t>—</w:t>
      </w:r>
      <w:r>
        <w:t xml:space="preserve">that is, the interim TOB band plan. </w:t>
      </w:r>
    </w:p>
    <w:p w14:paraId="186497D7" w14:textId="77777777" w:rsidR="009749C0" w:rsidRDefault="009749C0" w:rsidP="009749C0">
      <w:pPr>
        <w:pStyle w:val="Paragraph"/>
      </w:pPr>
      <w:r>
        <w:t xml:space="preserve">Following the discussion of cost and benefit inputs, the ‘Option comparison’ section provides an analysis comparing each option and determining the option that is most likely to maximise the net benefit associated with replanning. </w:t>
      </w:r>
    </w:p>
    <w:p w14:paraId="6621E201" w14:textId="77777777" w:rsidR="009749C0" w:rsidRDefault="009749C0" w:rsidP="00AD64F0">
      <w:pPr>
        <w:pStyle w:val="Paragraphbeforelist"/>
      </w:pPr>
      <w:r>
        <w:t>The following factors should be considered for all options:</w:t>
      </w:r>
    </w:p>
    <w:p w14:paraId="3CE82478" w14:textId="77777777" w:rsidR="009749C0" w:rsidRDefault="009749C0" w:rsidP="009749C0">
      <w:pPr>
        <w:pStyle w:val="Bulletlevel1"/>
      </w:pPr>
      <w:r>
        <w:t>Legacy fixed links located in remote areas are not required to vacate the band under any option, as is the case under the current interim TOB band plan. As such, no costs associated with fixed links need to be considered in this analysis.</w:t>
      </w:r>
    </w:p>
    <w:p w14:paraId="30CBDCD9" w14:textId="77777777" w:rsidR="009749C0" w:rsidRDefault="009749C0" w:rsidP="009749C0">
      <w:pPr>
        <w:pStyle w:val="Bulletlevel1last"/>
      </w:pPr>
      <w:r>
        <w:t xml:space="preserve">Low-powered, </w:t>
      </w:r>
      <w:r w:rsidDel="00953ADC">
        <w:t>low</w:t>
      </w:r>
      <w:r>
        <w:t>-duty-cycle satellite IoT is supported on a shared basis in 2 x 5 MHz of restricted spectrum, although the frequency position of this spectrum changes depending on the option. While it is discussed in Option 1, it is available under all options and therefore not a point of comparison between different options.</w:t>
      </w:r>
    </w:p>
    <w:p w14:paraId="17E42EBA" w14:textId="3B8D68EE" w:rsidR="009749C0" w:rsidRDefault="009749C0" w:rsidP="009749C0">
      <w:pPr>
        <w:pStyle w:val="Heading3"/>
      </w:pPr>
      <w:r w:rsidRPr="00B8522D">
        <w:t xml:space="preserve">Option 1: </w:t>
      </w:r>
      <w:r>
        <w:t>TOB with Internet of Things (IoT)</w:t>
      </w:r>
      <w:r w:rsidR="001621B3">
        <w:t xml:space="preserve"> </w:t>
      </w:r>
    </w:p>
    <w:p w14:paraId="27E14A66" w14:textId="6146DFF1" w:rsidR="009749C0" w:rsidRDefault="009749C0" w:rsidP="009749C0">
      <w:pPr>
        <w:pStyle w:val="Paragraph"/>
      </w:pPr>
      <w:bookmarkStart w:id="195" w:name="_Hlk34814624"/>
      <w:r>
        <w:rPr>
          <w:bCs/>
          <w:color w:val="000000" w:themeColor="text1"/>
        </w:rPr>
        <w:t xml:space="preserve">Option 1 largely retains the status quo, converting the interim TOB arrangements into ongoing arrangements. This option provides </w:t>
      </w:r>
      <w:r>
        <w:t xml:space="preserve">an added benefit compared with the status quo, as the </w:t>
      </w:r>
      <w:r w:rsidRPr="001F7DED">
        <w:t xml:space="preserve">current restricted band </w:t>
      </w:r>
      <w:r>
        <w:t xml:space="preserve">(1980–1985/2170–2175 MHz) </w:t>
      </w:r>
      <w:r w:rsidRPr="001F7DED">
        <w:t xml:space="preserve">between TOB and adjacent band </w:t>
      </w:r>
      <w:r w:rsidR="00C945D7">
        <w:t>wireless broadband</w:t>
      </w:r>
      <w:r w:rsidRPr="001F7DED">
        <w:t xml:space="preserve"> (2</w:t>
      </w:r>
      <w:r>
        <w:t> </w:t>
      </w:r>
      <w:r w:rsidRPr="001F7DED">
        <w:t xml:space="preserve">GHz </w:t>
      </w:r>
      <w:r>
        <w:t xml:space="preserve">band </w:t>
      </w:r>
      <w:r w:rsidRPr="001F7DED">
        <w:t xml:space="preserve">spectrum licensing) </w:t>
      </w:r>
      <w:r>
        <w:t xml:space="preserve">would be considered for </w:t>
      </w:r>
      <w:r w:rsidRPr="001F7DED">
        <w:t xml:space="preserve">use by Australia-wide satellite </w:t>
      </w:r>
      <w:r>
        <w:t>Internet of Things (</w:t>
      </w:r>
      <w:r w:rsidRPr="001F7DED">
        <w:t>IoT</w:t>
      </w:r>
      <w:r>
        <w:t>)</w:t>
      </w:r>
      <w:r w:rsidRPr="001F7DED">
        <w:t xml:space="preserve"> applications</w:t>
      </w:r>
      <w:r>
        <w:t>. IoT use would be</w:t>
      </w:r>
      <w:r w:rsidRPr="001F7DED">
        <w:t xml:space="preserve"> on a shared basis</w:t>
      </w:r>
      <w:r>
        <w:t>,</w:t>
      </w:r>
      <w:r w:rsidRPr="001F7DED">
        <w:t xml:space="preserve"> exploiting the low</w:t>
      </w:r>
      <w:r>
        <w:t>-</w:t>
      </w:r>
      <w:r w:rsidRPr="001F7DED">
        <w:t>duty</w:t>
      </w:r>
      <w:r>
        <w:t>-</w:t>
      </w:r>
      <w:r w:rsidRPr="001F7DED">
        <w:t>cycle</w:t>
      </w:r>
      <w:r>
        <w:t>,</w:t>
      </w:r>
      <w:r w:rsidRPr="001F7DED">
        <w:t xml:space="preserve"> low</w:t>
      </w:r>
      <w:r>
        <w:t>-</w:t>
      </w:r>
      <w:r w:rsidRPr="001F7DED">
        <w:t>power nature of such systems</w:t>
      </w:r>
      <w:r>
        <w:t>.</w:t>
      </w:r>
    </w:p>
    <w:bookmarkEnd w:id="195"/>
    <w:p w14:paraId="08EFE0B5" w14:textId="77777777" w:rsidR="009749C0" w:rsidRDefault="009749C0" w:rsidP="009749C0">
      <w:pPr>
        <w:pStyle w:val="Heading4"/>
      </w:pPr>
      <w:r>
        <w:t>Option 1: Cost inputs</w:t>
      </w:r>
    </w:p>
    <w:p w14:paraId="758C3553" w14:textId="77777777" w:rsidR="009749C0" w:rsidRDefault="009749C0" w:rsidP="009749C0">
      <w:r>
        <w:t>There is no change to the arrangements for TOB, which are the only current users of the band. There are therefore no cost inputs for Option 1.</w:t>
      </w:r>
    </w:p>
    <w:p w14:paraId="1EE6AC7D" w14:textId="77777777" w:rsidR="009749C0" w:rsidRDefault="009749C0" w:rsidP="009749C0">
      <w:pPr>
        <w:pStyle w:val="Heading4"/>
      </w:pPr>
      <w:r>
        <w:t>Option 1: Benefit inputs</w:t>
      </w:r>
    </w:p>
    <w:p w14:paraId="1273EA4A" w14:textId="77777777" w:rsidR="009749C0" w:rsidRDefault="009749C0" w:rsidP="009749C0">
      <w:pPr>
        <w:rPr>
          <w:rFonts w:cs="Arial"/>
          <w:bCs/>
          <w:color w:val="000000" w:themeColor="text1"/>
        </w:rPr>
      </w:pPr>
      <w:r>
        <w:t xml:space="preserve">The benefit inputs in Option 1 result from the introduction of </w:t>
      </w:r>
      <w:r w:rsidRPr="001F7DED">
        <w:rPr>
          <w:rFonts w:cs="Arial"/>
        </w:rPr>
        <w:t>Australia-wide IoT applications</w:t>
      </w:r>
      <w:r>
        <w:rPr>
          <w:rFonts w:cs="Arial"/>
        </w:rPr>
        <w:t xml:space="preserve"> in </w:t>
      </w:r>
      <w:r>
        <w:rPr>
          <w:rFonts w:cs="Arial"/>
          <w:bCs/>
          <w:color w:val="000000" w:themeColor="text1"/>
        </w:rPr>
        <w:t>1980–1985/2170–2175 MHz (10 MHz in total)</w:t>
      </w:r>
      <w:r w:rsidRPr="007C4C45">
        <w:t xml:space="preserve"> </w:t>
      </w:r>
      <w:r>
        <w:t>and</w:t>
      </w:r>
      <w:r w:rsidDel="00366696">
        <w:t xml:space="preserve"> </w:t>
      </w:r>
      <w:r>
        <w:t>added certainty of tenure for TOB licensees</w:t>
      </w:r>
      <w:r>
        <w:rPr>
          <w:rFonts w:cs="Arial"/>
          <w:bCs/>
          <w:color w:val="000000" w:themeColor="text1"/>
        </w:rPr>
        <w:t>.</w:t>
      </w:r>
    </w:p>
    <w:p w14:paraId="03EFD92D" w14:textId="77777777" w:rsidR="009749C0" w:rsidRPr="00130719" w:rsidRDefault="009749C0" w:rsidP="00AD64F0">
      <w:pPr>
        <w:keepNext/>
        <w:spacing w:after="0"/>
        <w:rPr>
          <w:bCs/>
          <w:color w:val="000000" w:themeColor="text1"/>
          <w:u w:val="single"/>
        </w:rPr>
      </w:pPr>
      <w:r>
        <w:rPr>
          <w:bCs/>
          <w:color w:val="000000" w:themeColor="text1"/>
          <w:u w:val="single"/>
        </w:rPr>
        <w:t>Satellite IoT</w:t>
      </w:r>
    </w:p>
    <w:p w14:paraId="236B40FB" w14:textId="05FA9236" w:rsidR="009749C0" w:rsidRDefault="009749C0" w:rsidP="009749C0">
      <w:r>
        <w:t xml:space="preserve">The key benefit of Option 1 comes from the introduction of </w:t>
      </w:r>
      <w:r w:rsidRPr="001F7DED">
        <w:rPr>
          <w:rFonts w:cs="Arial"/>
        </w:rPr>
        <w:t>Australia-wide IoT applications</w:t>
      </w:r>
      <w:r>
        <w:rPr>
          <w:rFonts w:cs="Arial"/>
        </w:rPr>
        <w:t xml:space="preserve"> in </w:t>
      </w:r>
      <w:r>
        <w:rPr>
          <w:rFonts w:cs="Arial"/>
          <w:bCs/>
          <w:color w:val="000000" w:themeColor="text1"/>
        </w:rPr>
        <w:t xml:space="preserve">1980–1985/2170–2175 MHz (2 x 5 MHz or 10 MHz in total). It is noted that support for satellite IoT in 10 MHz of bandwidth on a shared basis is a constant among all available replanning options for the 2 GHz band, so the benefits of this use do not need to be assessed when comparing the options. However, the benefits – the level of which the ACMA considers highly uncertain and </w:t>
      </w:r>
      <w:r w:rsidR="004A3B03">
        <w:rPr>
          <w:rFonts w:cs="Arial"/>
          <w:bCs/>
          <w:color w:val="000000" w:themeColor="text1"/>
        </w:rPr>
        <w:t xml:space="preserve">therefore </w:t>
      </w:r>
      <w:r w:rsidR="00860430">
        <w:rPr>
          <w:rFonts w:cs="Arial"/>
          <w:bCs/>
          <w:color w:val="000000" w:themeColor="text1"/>
        </w:rPr>
        <w:t xml:space="preserve">has not attempted to </w:t>
      </w:r>
      <w:r>
        <w:rPr>
          <w:rFonts w:cs="Arial"/>
          <w:bCs/>
          <w:color w:val="000000" w:themeColor="text1"/>
        </w:rPr>
        <w:t>quantif</w:t>
      </w:r>
      <w:r w:rsidR="00335036">
        <w:rPr>
          <w:rFonts w:cs="Arial"/>
          <w:bCs/>
          <w:color w:val="000000" w:themeColor="text1"/>
        </w:rPr>
        <w:t>y here</w:t>
      </w:r>
      <w:r>
        <w:rPr>
          <w:rFonts w:cs="Arial"/>
          <w:bCs/>
          <w:color w:val="000000" w:themeColor="text1"/>
        </w:rPr>
        <w:t xml:space="preserve"> – should still be noted as this IoT use represents a change from the status quo. </w:t>
      </w:r>
      <w:r w:rsidR="00901FD1">
        <w:rPr>
          <w:rFonts w:cs="Arial"/>
          <w:bCs/>
          <w:color w:val="000000" w:themeColor="text1"/>
        </w:rPr>
        <w:t xml:space="preserve">The ACMA welcomes any </w:t>
      </w:r>
      <w:r w:rsidR="007D1BDC">
        <w:rPr>
          <w:rFonts w:cs="Arial"/>
          <w:bCs/>
          <w:color w:val="000000" w:themeColor="text1"/>
        </w:rPr>
        <w:t xml:space="preserve">information or evidence that could assist with </w:t>
      </w:r>
      <w:r w:rsidR="00394CE0">
        <w:rPr>
          <w:rFonts w:cs="Arial"/>
          <w:bCs/>
          <w:color w:val="000000" w:themeColor="text1"/>
        </w:rPr>
        <w:t>quantifying these benefits.</w:t>
      </w:r>
    </w:p>
    <w:p w14:paraId="64A8A869" w14:textId="77777777" w:rsidR="009749C0" w:rsidRPr="0008634C" w:rsidRDefault="009749C0" w:rsidP="00AD64F0">
      <w:pPr>
        <w:keepNext/>
        <w:keepLines/>
        <w:spacing w:after="0"/>
        <w:rPr>
          <w:bCs/>
          <w:color w:val="000000" w:themeColor="text1"/>
          <w:u w:val="single"/>
        </w:rPr>
      </w:pPr>
      <w:r w:rsidRPr="0008634C">
        <w:rPr>
          <w:bCs/>
          <w:color w:val="000000" w:themeColor="text1"/>
          <w:u w:val="single"/>
        </w:rPr>
        <w:lastRenderedPageBreak/>
        <w:t>TOB</w:t>
      </w:r>
    </w:p>
    <w:p w14:paraId="3551AC12" w14:textId="05E17924" w:rsidR="009749C0" w:rsidRPr="00130719" w:rsidRDefault="009749C0" w:rsidP="00AD64F0">
      <w:pPr>
        <w:keepNext/>
        <w:keepLines/>
        <w:rPr>
          <w:bCs/>
          <w:color w:val="000000" w:themeColor="text1"/>
        </w:rPr>
      </w:pPr>
      <w:r>
        <w:rPr>
          <w:bCs/>
          <w:color w:val="000000" w:themeColor="text1"/>
        </w:rPr>
        <w:t>Under this option, TOB licensees will be provided longer term certainty in the band as the interim arrangements are converted into ongoing arrangements. The benefit of this option for TOB licensees is isolated to the benefits of additional certainty, as TOB use is otherwise a continuation of the status quo. Th</w:t>
      </w:r>
      <w:r w:rsidR="000E387E">
        <w:rPr>
          <w:bCs/>
          <w:color w:val="000000" w:themeColor="text1"/>
        </w:rPr>
        <w:t xml:space="preserve">is may </w:t>
      </w:r>
      <w:r w:rsidR="007512CA">
        <w:rPr>
          <w:bCs/>
          <w:color w:val="000000" w:themeColor="text1"/>
        </w:rPr>
        <w:t xml:space="preserve">lead to </w:t>
      </w:r>
      <w:r w:rsidR="00FF4F26">
        <w:rPr>
          <w:bCs/>
          <w:color w:val="000000" w:themeColor="text1"/>
        </w:rPr>
        <w:t xml:space="preserve">an </w:t>
      </w:r>
      <w:r>
        <w:rPr>
          <w:bCs/>
          <w:color w:val="000000" w:themeColor="text1"/>
        </w:rPr>
        <w:t>increase in TOB services</w:t>
      </w:r>
      <w:r w:rsidR="00F55DEB">
        <w:rPr>
          <w:bCs/>
          <w:color w:val="000000" w:themeColor="text1"/>
        </w:rPr>
        <w:t>, though the ACMA does not expect that to be material</w:t>
      </w:r>
      <w:r>
        <w:rPr>
          <w:bCs/>
          <w:color w:val="000000" w:themeColor="text1"/>
        </w:rPr>
        <w:t>.</w:t>
      </w:r>
      <w:r w:rsidR="00DA6F86">
        <w:rPr>
          <w:bCs/>
          <w:color w:val="000000" w:themeColor="text1"/>
        </w:rPr>
        <w:t xml:space="preserve"> </w:t>
      </w:r>
      <w:r w:rsidR="004C4E1E">
        <w:rPr>
          <w:bCs/>
          <w:color w:val="000000" w:themeColor="text1"/>
        </w:rPr>
        <w:t xml:space="preserve">The </w:t>
      </w:r>
      <w:r w:rsidR="006D6B70">
        <w:rPr>
          <w:bCs/>
          <w:color w:val="000000" w:themeColor="text1"/>
        </w:rPr>
        <w:t xml:space="preserve">ACMA </w:t>
      </w:r>
      <w:r w:rsidR="004C4E1E">
        <w:rPr>
          <w:bCs/>
          <w:color w:val="000000" w:themeColor="text1"/>
        </w:rPr>
        <w:t xml:space="preserve">welcomes any insight </w:t>
      </w:r>
      <w:r w:rsidR="00597EEB">
        <w:rPr>
          <w:bCs/>
          <w:color w:val="000000" w:themeColor="text1"/>
        </w:rPr>
        <w:t xml:space="preserve">into whether greater certainty may </w:t>
      </w:r>
      <w:r w:rsidR="00D24B95">
        <w:rPr>
          <w:bCs/>
          <w:color w:val="000000" w:themeColor="text1"/>
        </w:rPr>
        <w:t xml:space="preserve">increase </w:t>
      </w:r>
      <w:r w:rsidR="00597EEB">
        <w:rPr>
          <w:bCs/>
          <w:color w:val="000000" w:themeColor="text1"/>
        </w:rPr>
        <w:t>TOB use in the band</w:t>
      </w:r>
      <w:r w:rsidR="00A3049F">
        <w:rPr>
          <w:bCs/>
          <w:color w:val="000000" w:themeColor="text1"/>
        </w:rPr>
        <w:t xml:space="preserve">, and </w:t>
      </w:r>
      <w:r w:rsidR="00A676E8">
        <w:rPr>
          <w:bCs/>
          <w:color w:val="000000" w:themeColor="text1"/>
        </w:rPr>
        <w:t xml:space="preserve">the potential </w:t>
      </w:r>
      <w:r w:rsidR="004A1435">
        <w:rPr>
          <w:bCs/>
          <w:color w:val="000000" w:themeColor="text1"/>
        </w:rPr>
        <w:t>econom</w:t>
      </w:r>
      <w:r w:rsidR="00A676E8">
        <w:rPr>
          <w:bCs/>
          <w:color w:val="000000" w:themeColor="text1"/>
        </w:rPr>
        <w:t>ic benefits of this</w:t>
      </w:r>
      <w:r w:rsidR="004A3B03">
        <w:rPr>
          <w:bCs/>
          <w:color w:val="000000" w:themeColor="text1"/>
        </w:rPr>
        <w:t xml:space="preserve"> compared with the current interim TOB arrangements</w:t>
      </w:r>
      <w:r w:rsidR="004237F7">
        <w:rPr>
          <w:bCs/>
          <w:color w:val="000000" w:themeColor="text1"/>
        </w:rPr>
        <w:t xml:space="preserve">. </w:t>
      </w:r>
    </w:p>
    <w:p w14:paraId="194305E8" w14:textId="77777777" w:rsidR="009749C0" w:rsidRDefault="009749C0" w:rsidP="009749C0">
      <w:pPr>
        <w:pStyle w:val="Heading4"/>
      </w:pPr>
      <w:r>
        <w:t>Option 1: Net benefit</w:t>
      </w:r>
    </w:p>
    <w:p w14:paraId="3B46672E" w14:textId="77777777" w:rsidR="009749C0" w:rsidRDefault="009749C0" w:rsidP="009749C0">
      <w:r>
        <w:t>There are zero cost inputs under Option 1, which means the net benefit is equal to the benefit inputs</w:t>
      </w:r>
      <w:r>
        <w:rPr>
          <w:rFonts w:cs="Arial"/>
        </w:rPr>
        <w:t xml:space="preserve">. Due to these economic benefits being unquantifiable, the </w:t>
      </w:r>
      <w:r>
        <w:t xml:space="preserve">magnitude of the net benefit for Option 1 is unable to be determined. </w:t>
      </w:r>
    </w:p>
    <w:p w14:paraId="16F117A5" w14:textId="77777777" w:rsidR="009749C0" w:rsidRDefault="009749C0" w:rsidP="00AD64F0">
      <w:pPr>
        <w:pStyle w:val="Tableheading"/>
        <w:tabs>
          <w:tab w:val="clear" w:pos="1957"/>
          <w:tab w:val="num" w:pos="993"/>
        </w:tabs>
        <w:ind w:left="993" w:hanging="993"/>
      </w:pPr>
      <w:r>
        <w:t>Option 1 cost-benefit side-by-side comparison</w:t>
      </w:r>
    </w:p>
    <w:tbl>
      <w:tblPr>
        <w:tblStyle w:val="ACMAtablestyle"/>
        <w:tblW w:w="7650" w:type="dxa"/>
        <w:tblLayout w:type="fixed"/>
        <w:tblCellMar>
          <w:top w:w="57" w:type="dxa"/>
          <w:bottom w:w="57" w:type="dxa"/>
        </w:tblCellMar>
        <w:tblLook w:val="04A0" w:firstRow="1" w:lastRow="0" w:firstColumn="1" w:lastColumn="0" w:noHBand="0" w:noVBand="1"/>
      </w:tblPr>
      <w:tblGrid>
        <w:gridCol w:w="3825"/>
        <w:gridCol w:w="3825"/>
      </w:tblGrid>
      <w:tr w:rsidR="009749C0" w:rsidRPr="00FF6CEF" w14:paraId="785152E4" w14:textId="77777777" w:rsidTr="00AD64F0">
        <w:trPr>
          <w:cnfStyle w:val="100000000000" w:firstRow="1" w:lastRow="0" w:firstColumn="0" w:lastColumn="0" w:oddVBand="0" w:evenVBand="0" w:oddHBand="0" w:evenHBand="0" w:firstRowFirstColumn="0" w:firstRowLastColumn="0" w:lastRowFirstColumn="0" w:lastRowLastColumn="0"/>
          <w:tblHeader w:val="0"/>
        </w:trPr>
        <w:tc>
          <w:tcPr>
            <w:tcW w:w="0" w:type="dxa"/>
            <w:tcBorders>
              <w:top w:val="none" w:sz="0" w:space="0" w:color="auto"/>
              <w:left w:val="none" w:sz="0" w:space="0" w:color="auto"/>
              <w:bottom w:val="none" w:sz="0" w:space="0" w:color="auto"/>
              <w:right w:val="none" w:sz="0" w:space="0" w:color="auto"/>
            </w:tcBorders>
          </w:tcPr>
          <w:p w14:paraId="3A24D6CE" w14:textId="77777777" w:rsidR="009749C0" w:rsidRPr="00AD64F0" w:rsidRDefault="009749C0" w:rsidP="00AF232D">
            <w:pPr>
              <w:spacing w:after="0" w:line="240" w:lineRule="auto"/>
              <w:rPr>
                <w:rFonts w:cs="Arial"/>
                <w:b/>
                <w:bCs/>
                <w:szCs w:val="20"/>
              </w:rPr>
            </w:pPr>
            <w:r w:rsidRPr="00AD64F0">
              <w:rPr>
                <w:rFonts w:cs="Arial"/>
                <w:b/>
                <w:bCs/>
                <w:szCs w:val="20"/>
              </w:rPr>
              <w:t>Costs</w:t>
            </w:r>
          </w:p>
        </w:tc>
        <w:tc>
          <w:tcPr>
            <w:tcW w:w="0" w:type="dxa"/>
            <w:tcBorders>
              <w:top w:val="none" w:sz="0" w:space="0" w:color="auto"/>
              <w:left w:val="none" w:sz="0" w:space="0" w:color="auto"/>
              <w:bottom w:val="none" w:sz="0" w:space="0" w:color="auto"/>
              <w:right w:val="none" w:sz="0" w:space="0" w:color="auto"/>
            </w:tcBorders>
            <w:vAlign w:val="center"/>
          </w:tcPr>
          <w:p w14:paraId="325169B7" w14:textId="77777777" w:rsidR="009749C0" w:rsidRPr="00AD64F0" w:rsidRDefault="009749C0" w:rsidP="00AF232D">
            <w:pPr>
              <w:spacing w:after="0" w:line="240" w:lineRule="auto"/>
              <w:rPr>
                <w:rFonts w:cs="Arial"/>
                <w:b/>
                <w:bCs/>
                <w:szCs w:val="20"/>
              </w:rPr>
            </w:pPr>
            <w:r w:rsidRPr="00AD64F0">
              <w:rPr>
                <w:rFonts w:cs="Arial"/>
                <w:b/>
                <w:bCs/>
                <w:szCs w:val="20"/>
              </w:rPr>
              <w:t>Benefits</w:t>
            </w:r>
          </w:p>
        </w:tc>
      </w:tr>
      <w:tr w:rsidR="009749C0" w:rsidRPr="0034301D" w14:paraId="65044219" w14:textId="77777777" w:rsidTr="00AD64F0">
        <w:trPr>
          <w:cnfStyle w:val="000000100000" w:firstRow="0" w:lastRow="0" w:firstColumn="0" w:lastColumn="0" w:oddVBand="0" w:evenVBand="0" w:oddHBand="1" w:evenHBand="0" w:firstRowFirstColumn="0" w:firstRowLastColumn="0" w:lastRowFirstColumn="0" w:lastRowLastColumn="0"/>
          <w:trHeight w:val="1082"/>
        </w:trPr>
        <w:tc>
          <w:tcPr>
            <w:tcW w:w="0" w:type="dxa"/>
            <w:vMerge w:val="restart"/>
            <w:vAlign w:val="center"/>
          </w:tcPr>
          <w:p w14:paraId="62E5E49F" w14:textId="77777777" w:rsidR="009749C0" w:rsidRPr="005F3937" w:rsidRDefault="009749C0">
            <w:pPr>
              <w:spacing w:after="0" w:line="240" w:lineRule="auto"/>
              <w:rPr>
                <w:rFonts w:cs="Arial"/>
                <w:szCs w:val="20"/>
              </w:rPr>
            </w:pPr>
            <w:r>
              <w:rPr>
                <w:rFonts w:cs="Arial"/>
                <w:szCs w:val="20"/>
              </w:rPr>
              <w:t>N/A</w:t>
            </w:r>
          </w:p>
        </w:tc>
        <w:tc>
          <w:tcPr>
            <w:tcW w:w="0" w:type="dxa"/>
            <w:vAlign w:val="center"/>
          </w:tcPr>
          <w:p w14:paraId="288081E7" w14:textId="0B498B03" w:rsidR="009749C0" w:rsidRDefault="009749C0" w:rsidP="00AF232D">
            <w:pPr>
              <w:spacing w:after="0" w:line="240" w:lineRule="auto"/>
              <w:rPr>
                <w:rFonts w:cs="Arial"/>
              </w:rPr>
            </w:pPr>
            <w:r>
              <w:rPr>
                <w:rFonts w:cs="Arial"/>
                <w:szCs w:val="20"/>
              </w:rPr>
              <w:t>Satellite IoT use on a shared basis in 1980–1985/2170–2175 MHz). This benefit is common to all options being considered.</w:t>
            </w:r>
          </w:p>
        </w:tc>
      </w:tr>
      <w:tr w:rsidR="009749C0" w:rsidRPr="0034301D" w14:paraId="702670E6" w14:textId="77777777" w:rsidTr="00AD64F0">
        <w:trPr>
          <w:cnfStyle w:val="000000010000" w:firstRow="0" w:lastRow="0" w:firstColumn="0" w:lastColumn="0" w:oddVBand="0" w:evenVBand="0" w:oddHBand="0" w:evenHBand="1" w:firstRowFirstColumn="0" w:firstRowLastColumn="0" w:lastRowFirstColumn="0" w:lastRowLastColumn="0"/>
          <w:trHeight w:val="595"/>
        </w:trPr>
        <w:tc>
          <w:tcPr>
            <w:tcW w:w="0" w:type="dxa"/>
            <w:vMerge/>
            <w:vAlign w:val="center"/>
          </w:tcPr>
          <w:p w14:paraId="6F68A859" w14:textId="77777777" w:rsidR="009749C0" w:rsidRDefault="009749C0" w:rsidP="00AF232D">
            <w:pPr>
              <w:spacing w:after="0" w:line="240" w:lineRule="auto"/>
              <w:rPr>
                <w:rFonts w:cs="Arial"/>
                <w:szCs w:val="20"/>
              </w:rPr>
            </w:pPr>
          </w:p>
        </w:tc>
        <w:tc>
          <w:tcPr>
            <w:tcW w:w="0" w:type="dxa"/>
            <w:vAlign w:val="center"/>
          </w:tcPr>
          <w:p w14:paraId="1D0F546C" w14:textId="57589EFD" w:rsidR="009749C0" w:rsidRDefault="009749C0" w:rsidP="00AF232D">
            <w:pPr>
              <w:spacing w:after="0" w:line="240" w:lineRule="auto"/>
              <w:rPr>
                <w:rFonts w:cs="Arial"/>
                <w:szCs w:val="20"/>
              </w:rPr>
            </w:pPr>
            <w:r w:rsidRPr="01016DFD">
              <w:rPr>
                <w:rFonts w:cs="Arial"/>
              </w:rPr>
              <w:t>Additional certainty of tenure for TOB licensees</w:t>
            </w:r>
            <w:r w:rsidR="004A3B03">
              <w:rPr>
                <w:rFonts w:cs="Arial"/>
              </w:rPr>
              <w:t>.</w:t>
            </w:r>
          </w:p>
        </w:tc>
      </w:tr>
    </w:tbl>
    <w:p w14:paraId="0DC61434" w14:textId="77777777" w:rsidR="009749C0" w:rsidRDefault="009749C0" w:rsidP="009749C0"/>
    <w:p w14:paraId="0301D10E" w14:textId="77777777" w:rsidR="009749C0" w:rsidRDefault="009749C0" w:rsidP="009749C0">
      <w:pPr>
        <w:pStyle w:val="Heading3"/>
      </w:pPr>
      <w:r w:rsidRPr="00891E0E">
        <w:t xml:space="preserve">Option 2: </w:t>
      </w:r>
      <w:r>
        <w:t>Wireless broadband</w:t>
      </w:r>
    </w:p>
    <w:p w14:paraId="77BDC878" w14:textId="4200CF74" w:rsidR="009749C0" w:rsidRDefault="009749C0" w:rsidP="009749C0">
      <w:pPr>
        <w:pStyle w:val="Paragraph"/>
      </w:pPr>
      <w:bookmarkStart w:id="196" w:name="_Hlk34814654"/>
      <w:r w:rsidRPr="004C0141">
        <w:t xml:space="preserve">Option 2 </w:t>
      </w:r>
      <w:r>
        <w:rPr>
          <w:bCs/>
          <w:color w:val="000000" w:themeColor="text1"/>
        </w:rPr>
        <w:t xml:space="preserve">opens up the band for </w:t>
      </w:r>
      <w:r w:rsidR="00C945D7">
        <w:rPr>
          <w:bCs/>
          <w:color w:val="000000" w:themeColor="text1"/>
        </w:rPr>
        <w:t>wide-area and local-area</w:t>
      </w:r>
      <w:r>
        <w:rPr>
          <w:bCs/>
          <w:color w:val="000000" w:themeColor="text1"/>
        </w:rPr>
        <w:t xml:space="preserve"> </w:t>
      </w:r>
      <w:r w:rsidR="00C945D7">
        <w:rPr>
          <w:bCs/>
          <w:color w:val="000000" w:themeColor="text1"/>
        </w:rPr>
        <w:t>wireless broadband</w:t>
      </w:r>
      <w:r>
        <w:rPr>
          <w:bCs/>
          <w:color w:val="000000" w:themeColor="text1"/>
        </w:rPr>
        <w:t xml:space="preserve"> use (including </w:t>
      </w:r>
      <w:r w:rsidRPr="76AD0AEC">
        <w:rPr>
          <w:color w:val="000000" w:themeColor="text1"/>
        </w:rPr>
        <w:t>direct air to ground c</w:t>
      </w:r>
      <w:r w:rsidR="00C945D7">
        <w:rPr>
          <w:color w:val="000000" w:themeColor="text1"/>
        </w:rPr>
        <w:t>ommunications</w:t>
      </w:r>
      <w:r>
        <w:rPr>
          <w:bCs/>
          <w:color w:val="000000" w:themeColor="text1"/>
        </w:rPr>
        <w:t xml:space="preserve"> services) and also provides spectrum for satellite IoT services in the restricted band (guard band) that would protect adjacent band TOB services at higher frequencies.</w:t>
      </w:r>
    </w:p>
    <w:bookmarkEnd w:id="196"/>
    <w:p w14:paraId="46C0A140" w14:textId="77777777" w:rsidR="009749C0" w:rsidRDefault="009749C0" w:rsidP="00AD64F0">
      <w:pPr>
        <w:pStyle w:val="Paragraphbeforelist"/>
      </w:pPr>
      <w:r>
        <w:t>The key aspects of Option 2 compared with the status quo are the following:</w:t>
      </w:r>
    </w:p>
    <w:p w14:paraId="66F6F62E" w14:textId="77777777" w:rsidR="009749C0" w:rsidRDefault="009749C0" w:rsidP="009749C0">
      <w:pPr>
        <w:pStyle w:val="Bulletlevel1"/>
      </w:pPr>
      <w:r>
        <w:t xml:space="preserve">TOB would be required to vacate the band. </w:t>
      </w:r>
    </w:p>
    <w:p w14:paraId="2B4F2C10" w14:textId="7DD83609" w:rsidR="009749C0" w:rsidRDefault="00C945D7" w:rsidP="009749C0">
      <w:pPr>
        <w:pStyle w:val="Bulletlevel1"/>
      </w:pPr>
      <w:r>
        <w:t>Wide-area</w:t>
      </w:r>
      <w:r w:rsidR="009749C0">
        <w:t xml:space="preserve"> </w:t>
      </w:r>
      <w:r>
        <w:t>wireless broadband</w:t>
      </w:r>
      <w:r w:rsidR="009749C0">
        <w:t xml:space="preserve"> services to be supported in capital cities in 1980–2005/2170–2195 MHz, and regional areas in 1980–1995/2170–21</w:t>
      </w:r>
      <w:r w:rsidR="007A79E5">
        <w:t>8</w:t>
      </w:r>
      <w:r w:rsidR="009749C0">
        <w:t xml:space="preserve">5 MHz. </w:t>
      </w:r>
      <w:r>
        <w:t>Direct air-to-ground communication</w:t>
      </w:r>
      <w:r w:rsidR="009749C0">
        <w:t xml:space="preserve"> services would be accommodated under the</w:t>
      </w:r>
      <w:r w:rsidR="009749C0" w:rsidRPr="00AD3F5E">
        <w:t xml:space="preserve"> technical frameworks</w:t>
      </w:r>
      <w:r w:rsidR="009749C0">
        <w:t>,</w:t>
      </w:r>
      <w:r w:rsidR="009749C0" w:rsidRPr="00AD3F5E">
        <w:t xml:space="preserve"> </w:t>
      </w:r>
      <w:r w:rsidR="009749C0">
        <w:t xml:space="preserve">leaving the choice of whether to deploy </w:t>
      </w:r>
      <w:r>
        <w:t>wide-area</w:t>
      </w:r>
      <w:r w:rsidR="009749C0">
        <w:t xml:space="preserve"> </w:t>
      </w:r>
      <w:r>
        <w:t>wireless broadband</w:t>
      </w:r>
      <w:r w:rsidR="009749C0">
        <w:t xml:space="preserve"> or </w:t>
      </w:r>
      <w:r>
        <w:t>direct air-to-ground communications</w:t>
      </w:r>
      <w:r w:rsidR="009749C0">
        <w:t xml:space="preserve"> or both to the licensee. </w:t>
      </w:r>
    </w:p>
    <w:p w14:paraId="175A2420" w14:textId="55812AC7" w:rsidR="009749C0" w:rsidRDefault="00DE33B9" w:rsidP="009749C0">
      <w:pPr>
        <w:pStyle w:val="Bulletlevel1"/>
      </w:pPr>
      <w:r>
        <w:t>L</w:t>
      </w:r>
      <w:r w:rsidR="00C945D7">
        <w:t>ocal-area</w:t>
      </w:r>
      <w:r w:rsidR="009749C0">
        <w:t xml:space="preserve"> </w:t>
      </w:r>
      <w:r w:rsidR="00C945D7">
        <w:t>wireless broadband</w:t>
      </w:r>
      <w:r w:rsidR="009749C0">
        <w:t xml:space="preserve"> and </w:t>
      </w:r>
      <w:r w:rsidR="00C945D7">
        <w:t>direct air-to-ground communications</w:t>
      </w:r>
      <w:r w:rsidR="009749C0">
        <w:t xml:space="preserve"> supported in 1995–2005/2185–2195 MHz in regional areas and in 1980–2005/2170–2195 MHz in remote areas on a coordinated basis.</w:t>
      </w:r>
    </w:p>
    <w:p w14:paraId="7828AFF2" w14:textId="77777777" w:rsidR="009749C0" w:rsidRPr="004C0141" w:rsidRDefault="009749C0" w:rsidP="009749C0">
      <w:pPr>
        <w:pStyle w:val="Bulletlevel1last"/>
      </w:pPr>
      <w:r>
        <w:t>Low-power, low-duty-cycle satellite IoT supported on a shared basis in 2005–2010/2195–2200 MHz.</w:t>
      </w:r>
    </w:p>
    <w:p w14:paraId="4BF2CC54" w14:textId="77777777" w:rsidR="009749C0" w:rsidRDefault="009749C0" w:rsidP="009749C0">
      <w:pPr>
        <w:pStyle w:val="Heading4"/>
      </w:pPr>
      <w:r>
        <w:t>Option 2: Cost inputs</w:t>
      </w:r>
    </w:p>
    <w:p w14:paraId="3C957E45" w14:textId="06EA268F" w:rsidR="009749C0" w:rsidRDefault="009749C0" w:rsidP="009749C0">
      <w:pPr>
        <w:pStyle w:val="Paragraph"/>
      </w:pPr>
      <w:r>
        <w:t>The primary cost input under Option 2 is the cost associated with TOB services being cleared from the band. Licensing information indicates that there were 23 wireless camera licences operating in the 2 GHz band as at April 2020. While the band also hosts six short-term licences supporting test and demonstration applications</w:t>
      </w:r>
      <w:r w:rsidR="009B2687">
        <w:t xml:space="preserve"> (at April 2020)</w:t>
      </w:r>
      <w:r>
        <w:t xml:space="preserve">, these are not considered due to the short term and non-renewable nature of the licences. </w:t>
      </w:r>
    </w:p>
    <w:p w14:paraId="4E19E90B" w14:textId="77777777" w:rsidR="009749C0" w:rsidRDefault="009749C0" w:rsidP="009749C0">
      <w:r>
        <w:lastRenderedPageBreak/>
        <w:t>If equivalent TOB services are able to be maintained using alternative spectrum or alternative delivery means, clearing TOB services from the band would be considered a constant output case. Under this scenario, only the supply cost burden of maintaining service without continued access to the 2 GHz band needs to be considered as output remains equivalent. If TOB services are unable to be maintained in some or all instances, clearing TOB services from the band would be a variable output case as output would be reduced. In this case, the costs would include the impact on producer surplus, consumer surplus and broader social net benefits.</w:t>
      </w:r>
    </w:p>
    <w:p w14:paraId="530E2BE1" w14:textId="77777777" w:rsidR="009749C0" w:rsidRPr="004D18DE" w:rsidRDefault="009749C0" w:rsidP="009749C0">
      <w:r>
        <w:t xml:space="preserve">The ACMA has relatively limited information regarding TOB costs. However, it is expected that TOB services would be able to be maintained because there are alternative spectrum options available for TOB use. TOB services would therefore represent constant output </w:t>
      </w:r>
      <w:r w:rsidRPr="004D18DE">
        <w:t>cases</w:t>
      </w:r>
      <w:r>
        <w:t xml:space="preserve"> as it is expected that services can be maintained. </w:t>
      </w:r>
    </w:p>
    <w:p w14:paraId="5FE31E46" w14:textId="77777777" w:rsidR="002848FD" w:rsidRDefault="009749C0" w:rsidP="009749C0">
      <w:pPr>
        <w:pStyle w:val="Paragraph"/>
      </w:pPr>
      <w:r w:rsidRPr="00130719">
        <w:t xml:space="preserve">While the ACMA has no current cost information on TOB equipment, </w:t>
      </w:r>
      <w:r>
        <w:t xml:space="preserve">we </w:t>
      </w:r>
      <w:r w:rsidRPr="00130719">
        <w:t xml:space="preserve">consider that replacing TOB infrastructure would be less expensive than the cost of replacing a fixed point to point link (for example, TOB is unlikely to have the costs associated with the </w:t>
      </w:r>
      <w:r>
        <w:t>two</w:t>
      </w:r>
      <w:r w:rsidRPr="00130719">
        <w:t xml:space="preserve"> towers in a fixed point to point link). </w:t>
      </w:r>
    </w:p>
    <w:p w14:paraId="61B62B41" w14:textId="04D44EE3" w:rsidR="009749C0" w:rsidRDefault="009749C0" w:rsidP="009749C0">
      <w:pPr>
        <w:pStyle w:val="Paragraph"/>
      </w:pPr>
      <w:r w:rsidRPr="00130719">
        <w:t>In the 3.6 GHz replanning process, the average cost range for equipment replacement for a fixed link system was between $85,000 and $100,000.</w:t>
      </w:r>
      <w:r>
        <w:rPr>
          <w:rStyle w:val="FootnoteReference"/>
        </w:rPr>
        <w:footnoteReference w:id="42"/>
      </w:r>
      <w:r w:rsidRPr="00130719">
        <w:t xml:space="preserve"> </w:t>
      </w:r>
      <w:r w:rsidRPr="00ED199F">
        <w:t>If we</w:t>
      </w:r>
      <w:r>
        <w:t xml:space="preserve"> consider equipment replacement costs for TOB services to be somewhere between $50,000 to $85,000, extrapolating this cost to all licences would result in overall costs between $1.1m and $1.9m for TOB to relocate to other bands. The ACMA notes that these costs are estimates, and we would appreciate industry feedback on these estimates. </w:t>
      </w:r>
    </w:p>
    <w:p w14:paraId="24A6589F" w14:textId="6A9DE736" w:rsidR="009749C0" w:rsidRPr="00D103F6" w:rsidRDefault="009749C0" w:rsidP="009749C0">
      <w:pPr>
        <w:rPr>
          <w:color w:val="000000" w:themeColor="text1"/>
        </w:rPr>
      </w:pPr>
      <w:r w:rsidRPr="00D103F6">
        <w:t xml:space="preserve">While TOB services in the 2 GHz band are expected to be constant output cases, there is the potential for TOB services to represent variable output cases, which would occur if equivalent services are unable to be maintained without access to 2 GHz band spectrum. The economic costs of TOB services being unable to be maintained are highly uncertain and </w:t>
      </w:r>
      <w:r w:rsidR="007C6477">
        <w:t xml:space="preserve">we </w:t>
      </w:r>
      <w:r w:rsidR="00986D69">
        <w:t xml:space="preserve">have </w:t>
      </w:r>
      <w:r w:rsidRPr="00D103F6">
        <w:t xml:space="preserve">therefore </w:t>
      </w:r>
      <w:r w:rsidR="00986D69">
        <w:t>not attempted to quantify them here</w:t>
      </w:r>
      <w:r w:rsidRPr="00D103F6">
        <w:t>.</w:t>
      </w:r>
      <w:r w:rsidR="00AA3B75">
        <w:t xml:space="preserve"> </w:t>
      </w:r>
      <w:r w:rsidR="00C777F3">
        <w:t xml:space="preserve">The ACMA welcomes </w:t>
      </w:r>
      <w:r w:rsidR="00062AC1">
        <w:t xml:space="preserve">any information that </w:t>
      </w:r>
      <w:r w:rsidR="006C436C">
        <w:t>helps outline the economic costs (or forgone benefits) of TOB services being displaced from the band</w:t>
      </w:r>
      <w:r w:rsidRPr="00D103F6">
        <w:t xml:space="preserve">. </w:t>
      </w:r>
    </w:p>
    <w:p w14:paraId="1CA296D8" w14:textId="77777777" w:rsidR="009749C0" w:rsidRDefault="009749C0" w:rsidP="009749C0">
      <w:pPr>
        <w:pStyle w:val="Heading4"/>
      </w:pPr>
      <w:r>
        <w:t>Option 2: Benefit inputs</w:t>
      </w:r>
    </w:p>
    <w:p w14:paraId="24819019" w14:textId="3470BBEF" w:rsidR="009749C0" w:rsidRPr="00C520C3" w:rsidRDefault="009749C0" w:rsidP="00D103F6">
      <w:pPr>
        <w:pStyle w:val="Paragraph"/>
      </w:pPr>
      <w:r>
        <w:t xml:space="preserve">The main benefit inputs under Option 2 come from the introduction of </w:t>
      </w:r>
      <w:r w:rsidR="00C945D7">
        <w:t>wireless broadband</w:t>
      </w:r>
      <w:r>
        <w:t xml:space="preserve"> services (including both </w:t>
      </w:r>
      <w:r w:rsidR="00C945D7">
        <w:t>wide-area and local-area</w:t>
      </w:r>
      <w:r>
        <w:t xml:space="preserve"> </w:t>
      </w:r>
      <w:r w:rsidR="00C945D7">
        <w:t>wireless broadband</w:t>
      </w:r>
      <w:r>
        <w:t>). While satellite IoT would be located in a different part of the band, the benefits derived from its introduction are considered the same as under Option 1 due to an equal amount of bandwidth being made available.</w:t>
      </w:r>
    </w:p>
    <w:p w14:paraId="1981C854" w14:textId="1E1E1C57" w:rsidR="009749C0" w:rsidRPr="004613E0" w:rsidRDefault="00E463CF" w:rsidP="00AD64F0">
      <w:pPr>
        <w:keepNext/>
        <w:spacing w:after="0"/>
        <w:rPr>
          <w:u w:val="single"/>
        </w:rPr>
      </w:pPr>
      <w:r>
        <w:rPr>
          <w:u w:val="single"/>
        </w:rPr>
        <w:t>Wide-area wireless broadband</w:t>
      </w:r>
    </w:p>
    <w:p w14:paraId="22EF0FAA" w14:textId="65F966E3" w:rsidR="009749C0" w:rsidRDefault="009749C0" w:rsidP="009749C0">
      <w:r>
        <w:t xml:space="preserve">For </w:t>
      </w:r>
      <w:r w:rsidR="00C945D7">
        <w:t>wide-area</w:t>
      </w:r>
      <w:r>
        <w:t xml:space="preserve"> </w:t>
      </w:r>
      <w:r w:rsidR="00C945D7">
        <w:t>wireless broadband</w:t>
      </w:r>
      <w:r>
        <w:t xml:space="preserve"> in defined areas, the typical method to determine the economic benefits derived from the spectrum is to apply potential valuations of the spectrum (in $/MHz/pop terms) as a proxy. Previous spectrum prices are often used as a guide in these circumstances, as they reflect a demonstrated willingness to pay that can be considered a baseline for economic benefits. </w:t>
      </w:r>
    </w:p>
    <w:p w14:paraId="4838BBBB" w14:textId="40316475" w:rsidR="009749C0" w:rsidRDefault="009749C0" w:rsidP="00AD64F0">
      <w:pPr>
        <w:pStyle w:val="Paragraphbeforelist"/>
        <w:keepNext/>
        <w:keepLines/>
      </w:pPr>
      <w:r>
        <w:lastRenderedPageBreak/>
        <w:t xml:space="preserve">It should be noted that </w:t>
      </w:r>
      <w:r w:rsidR="00C945D7">
        <w:t>wide-area</w:t>
      </w:r>
      <w:r>
        <w:t xml:space="preserve"> </w:t>
      </w:r>
      <w:r w:rsidR="00C945D7">
        <w:t>wireless broadband</w:t>
      </w:r>
      <w:r>
        <w:t xml:space="preserve"> services already have access to the following amounts of bandwidth in similar spectrum:</w:t>
      </w:r>
    </w:p>
    <w:p w14:paraId="4386E002" w14:textId="77777777" w:rsidR="009749C0" w:rsidRDefault="009749C0" w:rsidP="00AD64F0">
      <w:pPr>
        <w:pStyle w:val="Bulletlevel1"/>
        <w:keepNext/>
        <w:keepLines/>
      </w:pPr>
      <w:r w:rsidRPr="00886D40">
        <w:rPr>
          <w:b/>
          <w:bCs/>
        </w:rPr>
        <w:t>1800 MHz band:</w:t>
      </w:r>
      <w:r>
        <w:t xml:space="preserve"> 2 x 75 MHz (or 150 MHz) in metro and regional areas (note: 2 x 10 MHz or 2 x 15 MHz is used by rail services in the five major capital cities)</w:t>
      </w:r>
    </w:p>
    <w:p w14:paraId="284C75DC" w14:textId="77777777" w:rsidR="009749C0" w:rsidRDefault="009749C0" w:rsidP="00AD64F0">
      <w:pPr>
        <w:pStyle w:val="Bulletlevel1"/>
        <w:keepNext/>
        <w:keepLines/>
      </w:pPr>
      <w:r w:rsidRPr="00886D40">
        <w:rPr>
          <w:b/>
          <w:bCs/>
        </w:rPr>
        <w:t>2 GHz band:</w:t>
      </w:r>
      <w:r>
        <w:t xml:space="preserve"> 2 x 60 MHz (or 120 MHz) in metro areas and 2 x 20 MHz (or 40 MHz) in regional areas</w:t>
      </w:r>
    </w:p>
    <w:p w14:paraId="18523731" w14:textId="77777777" w:rsidR="009749C0" w:rsidRDefault="009749C0" w:rsidP="009749C0">
      <w:pPr>
        <w:pStyle w:val="Bulletlevel1"/>
      </w:pPr>
      <w:r w:rsidRPr="00886D40">
        <w:rPr>
          <w:b/>
          <w:bCs/>
        </w:rPr>
        <w:t>2.3 GHz band:</w:t>
      </w:r>
      <w:r>
        <w:t xml:space="preserve"> 98 MHz of unpaired spectrum in metro and regional areas, with some minor exceptions</w:t>
      </w:r>
    </w:p>
    <w:p w14:paraId="251C041B" w14:textId="77777777" w:rsidR="009749C0" w:rsidRDefault="009749C0" w:rsidP="009749C0">
      <w:pPr>
        <w:pStyle w:val="Bulletlevel1last"/>
      </w:pPr>
      <w:r w:rsidRPr="00886D40">
        <w:rPr>
          <w:b/>
          <w:bCs/>
        </w:rPr>
        <w:t xml:space="preserve">2.5 GHz band: </w:t>
      </w:r>
      <w:r>
        <w:t>2 x 70 MHz (or 140 MHz) Australia-wide.</w:t>
      </w:r>
    </w:p>
    <w:p w14:paraId="3ED64737" w14:textId="4A024E95" w:rsidR="009749C0" w:rsidRDefault="009749C0" w:rsidP="009749C0">
      <w:r>
        <w:t xml:space="preserve">In the context of the above </w:t>
      </w:r>
      <w:r w:rsidR="00C945D7">
        <w:t>wide-area</w:t>
      </w:r>
      <w:r>
        <w:t xml:space="preserve"> </w:t>
      </w:r>
      <w:r w:rsidR="00C945D7">
        <w:t>wireless broadband</w:t>
      </w:r>
      <w:r>
        <w:t xml:space="preserve"> holdings and further mid-band holdings in 3.4–3.7 GHz, the availability of an additional 2 x 25 MHz represents a minor incremental increase. The ACMA expects that there are likely to be diminishing returns to this additional equivalent spectrum, which would result in a lower value being placed on this 2 x 25 MHz than, for instance, what has previously been placed on the 2 x 60 MHz of adjacent spectrum in the 2 GHz band already available to </w:t>
      </w:r>
      <w:r w:rsidR="00C945D7">
        <w:t>wide-area</w:t>
      </w:r>
      <w:r>
        <w:t xml:space="preserve"> </w:t>
      </w:r>
      <w:r w:rsidR="00C945D7">
        <w:t>wireless broadband</w:t>
      </w:r>
      <w:r>
        <w:t>.</w:t>
      </w:r>
    </w:p>
    <w:p w14:paraId="3D76E6CB" w14:textId="308B3896" w:rsidR="009749C0" w:rsidRDefault="009749C0" w:rsidP="00AD64F0">
      <w:pPr>
        <w:pStyle w:val="Paragraphbeforelist"/>
      </w:pPr>
      <w:r>
        <w:t xml:space="preserve">Key reference points for the value of the spectrum to </w:t>
      </w:r>
      <w:r w:rsidR="00C945D7">
        <w:t>wide-area</w:t>
      </w:r>
      <w:r>
        <w:t xml:space="preserve"> </w:t>
      </w:r>
      <w:r w:rsidR="00C945D7">
        <w:t>wireless broadband</w:t>
      </w:r>
      <w:r>
        <w:t xml:space="preserve"> users are:</w:t>
      </w:r>
    </w:p>
    <w:p w14:paraId="1580BD1C" w14:textId="0512B085" w:rsidR="009749C0" w:rsidRDefault="009749C0" w:rsidP="009749C0">
      <w:pPr>
        <w:pStyle w:val="Bulletlevel1"/>
      </w:pPr>
      <w:r>
        <w:t>Reissue price for the abovementioned portion of t</w:t>
      </w:r>
      <w:r w:rsidRPr="00952DA3">
        <w:t xml:space="preserve">he 2 GHz </w:t>
      </w:r>
      <w:r>
        <w:t xml:space="preserve">band (1920–1980/2110–2170 MHz, 2 x 60 MHz or 120 MHz in total) as part of the expiring </w:t>
      </w:r>
      <w:r w:rsidRPr="00952DA3">
        <w:t>spectrum licen</w:t>
      </w:r>
      <w:r>
        <w:t>ce (ESL)</w:t>
      </w:r>
      <w:r w:rsidRPr="00952DA3">
        <w:t xml:space="preserve"> </w:t>
      </w:r>
      <w:r>
        <w:t>reissue process. Spectrum licences with a 15-year duration were reissued at a price of $0.625/MHz/pop. The willingness of licensees to pay that amount indicates that the value of the spectrum is equivalent to that price at a minimum for the geographic areas in which these licences were located</w:t>
      </w:r>
      <w:r w:rsidR="00FF6CEF">
        <w:t>—</w:t>
      </w:r>
      <w:r>
        <w:t>typically in capital cities and broader regional areas, but not remote areas.</w:t>
      </w:r>
    </w:p>
    <w:p w14:paraId="06E399F7" w14:textId="390A8F18" w:rsidR="009749C0" w:rsidRDefault="009749C0" w:rsidP="009749C0">
      <w:pPr>
        <w:pStyle w:val="Bulletlevel1last"/>
      </w:pPr>
      <w:r>
        <w:t xml:space="preserve">Digital </w:t>
      </w:r>
      <w:r w:rsidR="00FF6CEF">
        <w:t>d</w:t>
      </w:r>
      <w:r>
        <w:t xml:space="preserve">ividend auction price for 2.5 GHz band (2500–2570/2620–2690 MHz, 2 x 70 MHz or 140 MHz in total) spectrum. While the combinatorial clock auction format used for this auction means exact </w:t>
      </w:r>
      <w:r w:rsidRPr="00E463CF">
        <w:t>prices for 2.5 GHz band are unable to be calculated, it is estimated the price paid for 2.5 GHz spectrum was only slightly greater than the reserve price of $0.03/MHz/pop. This can be inferred as total revenue from the auction only marginally exceeded</w:t>
      </w:r>
      <w:r>
        <w:t xml:space="preserve"> the revenue that would have been generated if all spectrum that was sold across the two available bands went at the respective reserve price of each band. This marginal additional revenue was the combined result of prices paid in the assignment stage and the 2.5 GHz band price slightly exceeding the $0.03/MHz/pop reserve price.</w:t>
      </w:r>
    </w:p>
    <w:p w14:paraId="64965472" w14:textId="6EDF7ECE" w:rsidR="009749C0" w:rsidRDefault="009749C0" w:rsidP="009749C0">
      <w:r>
        <w:t xml:space="preserve">Considering the 2 GHz band spectrum available for </w:t>
      </w:r>
      <w:r w:rsidR="00C945D7">
        <w:t>wide-area</w:t>
      </w:r>
      <w:r>
        <w:t xml:space="preserve"> </w:t>
      </w:r>
      <w:r w:rsidR="00C945D7">
        <w:t>wireless broadband</w:t>
      </w:r>
      <w:r>
        <w:t xml:space="preserve"> under this option is contiguous with the spectrum reissued for $0.625/MHz/pop, this higher price is expected to be a closer estimate of its economic value than the Digital Dividend price for the 2.5 GHz band of just over $0.03/MHz/pop. As previously stated, however, the additional spectrum only represents a marginal increase in spectrum availability for </w:t>
      </w:r>
      <w:r w:rsidR="00C945D7">
        <w:t>wide-area</w:t>
      </w:r>
      <w:r>
        <w:t xml:space="preserve"> </w:t>
      </w:r>
      <w:r w:rsidR="00C945D7">
        <w:t>wireless broadband</w:t>
      </w:r>
      <w:r>
        <w:t xml:space="preserve"> and there is a strong possibility that the incremental $/MHz/pop value placed on this spectrum would be lower than the value of existing spectrum holdings.</w:t>
      </w:r>
    </w:p>
    <w:p w14:paraId="763290B2" w14:textId="65206F12" w:rsidR="009749C0" w:rsidRDefault="00C945D7" w:rsidP="00AD64F0">
      <w:pPr>
        <w:pStyle w:val="Tableheading"/>
        <w:tabs>
          <w:tab w:val="clear" w:pos="1957"/>
          <w:tab w:val="num" w:pos="1276"/>
        </w:tabs>
        <w:ind w:left="1276" w:hanging="1276"/>
      </w:pPr>
      <w:r>
        <w:lastRenderedPageBreak/>
        <w:t>Wide-area</w:t>
      </w:r>
      <w:r w:rsidR="009749C0">
        <w:t xml:space="preserve"> </w:t>
      </w:r>
      <w:r>
        <w:t>wireless broadband</w:t>
      </w:r>
      <w:r w:rsidR="00714690">
        <w:t>—</w:t>
      </w:r>
      <w:r w:rsidR="009749C0">
        <w:t>estimated benefits for different $/MHz/pop values</w:t>
      </w:r>
    </w:p>
    <w:tbl>
      <w:tblPr>
        <w:tblStyle w:val="ACMAtablestyle"/>
        <w:tblW w:w="7650" w:type="dxa"/>
        <w:tblLayout w:type="fixed"/>
        <w:tblLook w:val="04A0" w:firstRow="1" w:lastRow="0" w:firstColumn="1" w:lastColumn="0" w:noHBand="0" w:noVBand="1"/>
      </w:tblPr>
      <w:tblGrid>
        <w:gridCol w:w="1980"/>
        <w:gridCol w:w="1701"/>
        <w:gridCol w:w="1276"/>
        <w:gridCol w:w="2693"/>
      </w:tblGrid>
      <w:tr w:rsidR="009749C0" w:rsidRPr="00714690" w14:paraId="56312A5B" w14:textId="77777777" w:rsidTr="00AF232D">
        <w:trPr>
          <w:cnfStyle w:val="100000000000" w:firstRow="1" w:lastRow="0" w:firstColumn="0" w:lastColumn="0" w:oddVBand="0" w:evenVBand="0" w:oddHBand="0" w:evenHBand="0" w:firstRowFirstColumn="0" w:firstRowLastColumn="0" w:lastRowFirstColumn="0" w:lastRowLastColumn="0"/>
          <w:tblHeader w:val="0"/>
        </w:trPr>
        <w:tc>
          <w:tcPr>
            <w:tcW w:w="1980" w:type="dxa"/>
            <w:tcBorders>
              <w:top w:val="none" w:sz="0" w:space="0" w:color="auto"/>
              <w:left w:val="none" w:sz="0" w:space="0" w:color="auto"/>
              <w:bottom w:val="none" w:sz="0" w:space="0" w:color="auto"/>
              <w:right w:val="none" w:sz="0" w:space="0" w:color="auto"/>
            </w:tcBorders>
          </w:tcPr>
          <w:p w14:paraId="0CE60377" w14:textId="77777777" w:rsidR="009749C0" w:rsidRPr="00AD64F0" w:rsidRDefault="009749C0" w:rsidP="00AD64F0">
            <w:pPr>
              <w:keepNext/>
              <w:keepLines/>
              <w:spacing w:after="0" w:line="240" w:lineRule="auto"/>
              <w:jc w:val="center"/>
              <w:rPr>
                <w:rFonts w:cs="Arial"/>
                <w:b/>
                <w:bCs/>
                <w:szCs w:val="20"/>
              </w:rPr>
            </w:pPr>
            <w:r w:rsidRPr="00AD64F0">
              <w:rPr>
                <w:rFonts w:cs="Arial"/>
                <w:b/>
                <w:bCs/>
                <w:szCs w:val="20"/>
              </w:rPr>
              <w:t>Category</w:t>
            </w:r>
          </w:p>
        </w:tc>
        <w:tc>
          <w:tcPr>
            <w:tcW w:w="1701" w:type="dxa"/>
            <w:tcBorders>
              <w:top w:val="none" w:sz="0" w:space="0" w:color="auto"/>
              <w:left w:val="none" w:sz="0" w:space="0" w:color="auto"/>
              <w:bottom w:val="none" w:sz="0" w:space="0" w:color="auto"/>
              <w:right w:val="none" w:sz="0" w:space="0" w:color="auto"/>
            </w:tcBorders>
          </w:tcPr>
          <w:p w14:paraId="6F1F9703" w14:textId="77777777" w:rsidR="009749C0" w:rsidRPr="00AD64F0" w:rsidRDefault="009749C0" w:rsidP="00AD64F0">
            <w:pPr>
              <w:keepNext/>
              <w:keepLines/>
              <w:spacing w:after="0" w:line="240" w:lineRule="auto"/>
              <w:jc w:val="center"/>
              <w:rPr>
                <w:rFonts w:cs="Arial"/>
                <w:b/>
                <w:bCs/>
                <w:szCs w:val="20"/>
              </w:rPr>
            </w:pPr>
            <w:r w:rsidRPr="00AD64F0">
              <w:rPr>
                <w:rFonts w:cs="Arial"/>
                <w:b/>
                <w:bCs/>
                <w:szCs w:val="20"/>
              </w:rPr>
              <w:t>Affected population</w:t>
            </w:r>
          </w:p>
        </w:tc>
        <w:tc>
          <w:tcPr>
            <w:tcW w:w="1276" w:type="dxa"/>
            <w:tcBorders>
              <w:top w:val="none" w:sz="0" w:space="0" w:color="auto"/>
              <w:left w:val="none" w:sz="0" w:space="0" w:color="auto"/>
              <w:bottom w:val="none" w:sz="0" w:space="0" w:color="auto"/>
              <w:right w:val="none" w:sz="0" w:space="0" w:color="auto"/>
            </w:tcBorders>
          </w:tcPr>
          <w:p w14:paraId="29F1436E" w14:textId="77777777" w:rsidR="009749C0" w:rsidRPr="00AD64F0" w:rsidRDefault="009749C0" w:rsidP="00AD64F0">
            <w:pPr>
              <w:keepNext/>
              <w:keepLines/>
              <w:spacing w:after="0" w:line="240" w:lineRule="auto"/>
              <w:jc w:val="center"/>
              <w:rPr>
                <w:rFonts w:cs="Arial"/>
                <w:b/>
                <w:bCs/>
                <w:szCs w:val="20"/>
              </w:rPr>
            </w:pPr>
            <w:r w:rsidRPr="00AD64F0">
              <w:rPr>
                <w:rFonts w:cs="Arial"/>
                <w:b/>
                <w:bCs/>
                <w:szCs w:val="20"/>
              </w:rPr>
              <w:t>$/MHz/pop</w:t>
            </w:r>
          </w:p>
        </w:tc>
        <w:tc>
          <w:tcPr>
            <w:tcW w:w="2693" w:type="dxa"/>
            <w:tcBorders>
              <w:top w:val="none" w:sz="0" w:space="0" w:color="auto"/>
              <w:left w:val="none" w:sz="0" w:space="0" w:color="auto"/>
              <w:bottom w:val="none" w:sz="0" w:space="0" w:color="auto"/>
              <w:right w:val="none" w:sz="0" w:space="0" w:color="auto"/>
            </w:tcBorders>
          </w:tcPr>
          <w:p w14:paraId="27B497D2" w14:textId="26239F32" w:rsidR="009749C0" w:rsidRPr="00AD64F0" w:rsidRDefault="009749C0" w:rsidP="00AD64F0">
            <w:pPr>
              <w:keepNext/>
              <w:keepLines/>
              <w:spacing w:after="0" w:line="240" w:lineRule="auto"/>
              <w:jc w:val="center"/>
              <w:rPr>
                <w:rFonts w:cs="Arial"/>
                <w:b/>
                <w:bCs/>
                <w:szCs w:val="20"/>
              </w:rPr>
            </w:pPr>
            <w:r w:rsidRPr="00AD64F0">
              <w:rPr>
                <w:rFonts w:cs="Arial"/>
                <w:b/>
                <w:bCs/>
                <w:szCs w:val="20"/>
              </w:rPr>
              <w:t>Total benefit</w:t>
            </w:r>
          </w:p>
        </w:tc>
      </w:tr>
      <w:tr w:rsidR="009749C0" w:rsidRPr="0034301D" w14:paraId="5CAD4D04" w14:textId="77777777" w:rsidTr="00AF232D">
        <w:trPr>
          <w:cnfStyle w:val="000000100000" w:firstRow="0" w:lastRow="0" w:firstColumn="0" w:lastColumn="0" w:oddVBand="0" w:evenVBand="0" w:oddHBand="1" w:evenHBand="0" w:firstRowFirstColumn="0" w:firstRowLastColumn="0" w:lastRowFirstColumn="0" w:lastRowLastColumn="0"/>
          <w:trHeight w:val="317"/>
        </w:trPr>
        <w:tc>
          <w:tcPr>
            <w:tcW w:w="0" w:type="dxa"/>
            <w:vMerge w:val="restart"/>
            <w:vAlign w:val="center"/>
          </w:tcPr>
          <w:p w14:paraId="3732C172" w14:textId="7C2ACD77" w:rsidR="009749C0" w:rsidRPr="0034301D" w:rsidRDefault="00C945D7" w:rsidP="00AD64F0">
            <w:pPr>
              <w:keepNext/>
              <w:keepLines/>
              <w:spacing w:after="0" w:line="240" w:lineRule="auto"/>
              <w:rPr>
                <w:rFonts w:cs="Arial"/>
                <w:szCs w:val="20"/>
              </w:rPr>
            </w:pPr>
            <w:r>
              <w:rPr>
                <w:rFonts w:cs="Arial"/>
                <w:szCs w:val="20"/>
              </w:rPr>
              <w:t>Wide-area</w:t>
            </w:r>
            <w:r w:rsidR="009749C0">
              <w:rPr>
                <w:rFonts w:cs="Arial"/>
                <w:szCs w:val="20"/>
              </w:rPr>
              <w:t xml:space="preserve"> </w:t>
            </w:r>
            <w:r>
              <w:rPr>
                <w:rFonts w:cs="Arial"/>
                <w:szCs w:val="20"/>
              </w:rPr>
              <w:t>wireless broadband</w:t>
            </w:r>
            <w:r w:rsidR="009749C0">
              <w:rPr>
                <w:rFonts w:cs="Arial"/>
                <w:szCs w:val="20"/>
              </w:rPr>
              <w:t xml:space="preserve"> in metro areas (2 x 25 MHz)</w:t>
            </w:r>
          </w:p>
        </w:tc>
        <w:tc>
          <w:tcPr>
            <w:tcW w:w="0" w:type="dxa"/>
            <w:vMerge w:val="restart"/>
            <w:vAlign w:val="center"/>
          </w:tcPr>
          <w:p w14:paraId="31340AD5" w14:textId="77777777" w:rsidR="009749C0" w:rsidRPr="0034301D" w:rsidRDefault="009749C0" w:rsidP="00AD64F0">
            <w:pPr>
              <w:keepNext/>
              <w:keepLines/>
              <w:spacing w:after="0" w:line="240" w:lineRule="auto"/>
              <w:jc w:val="center"/>
              <w:rPr>
                <w:rFonts w:cs="Arial"/>
                <w:szCs w:val="20"/>
              </w:rPr>
            </w:pPr>
            <w:r>
              <w:rPr>
                <w:rFonts w:cs="Arial"/>
                <w:szCs w:val="20"/>
              </w:rPr>
              <w:t>19.2 million</w:t>
            </w:r>
          </w:p>
        </w:tc>
        <w:tc>
          <w:tcPr>
            <w:tcW w:w="0" w:type="dxa"/>
            <w:vAlign w:val="center"/>
          </w:tcPr>
          <w:p w14:paraId="34904DBE" w14:textId="3F9F055A" w:rsidR="009749C0" w:rsidRPr="0034301D" w:rsidRDefault="009749C0" w:rsidP="00AD64F0">
            <w:pPr>
              <w:keepNext/>
              <w:keepLines/>
              <w:spacing w:after="0" w:line="240" w:lineRule="auto"/>
              <w:jc w:val="center"/>
              <w:rPr>
                <w:rFonts w:cs="Arial"/>
                <w:szCs w:val="20"/>
              </w:rPr>
            </w:pPr>
            <w:r>
              <w:t>$0.03</w:t>
            </w:r>
          </w:p>
        </w:tc>
        <w:tc>
          <w:tcPr>
            <w:tcW w:w="0" w:type="dxa"/>
            <w:vAlign w:val="center"/>
          </w:tcPr>
          <w:p w14:paraId="1F034CFD" w14:textId="77777777" w:rsidR="009749C0" w:rsidRPr="0034301D" w:rsidRDefault="009749C0" w:rsidP="00AD64F0">
            <w:pPr>
              <w:keepNext/>
              <w:keepLines/>
              <w:spacing w:after="0" w:line="240" w:lineRule="auto"/>
              <w:jc w:val="center"/>
              <w:rPr>
                <w:rFonts w:cs="Arial"/>
                <w:szCs w:val="20"/>
              </w:rPr>
            </w:pPr>
            <w:r>
              <w:rPr>
                <w:rFonts w:cs="Arial"/>
                <w:szCs w:val="20"/>
              </w:rPr>
              <w:t>$28.7 million</w:t>
            </w:r>
          </w:p>
        </w:tc>
      </w:tr>
      <w:tr w:rsidR="009749C0" w:rsidRPr="0034301D" w14:paraId="0B17AD0A" w14:textId="77777777" w:rsidTr="00AF232D">
        <w:trPr>
          <w:cnfStyle w:val="000000010000" w:firstRow="0" w:lastRow="0" w:firstColumn="0" w:lastColumn="0" w:oddVBand="0" w:evenVBand="0" w:oddHBand="0" w:evenHBand="1" w:firstRowFirstColumn="0" w:firstRowLastColumn="0" w:lastRowFirstColumn="0" w:lastRowLastColumn="0"/>
          <w:trHeight w:val="340"/>
        </w:trPr>
        <w:tc>
          <w:tcPr>
            <w:tcW w:w="0" w:type="dxa"/>
            <w:vMerge/>
            <w:vAlign w:val="center"/>
          </w:tcPr>
          <w:p w14:paraId="7F707AC0" w14:textId="77777777" w:rsidR="009749C0" w:rsidRDefault="009749C0" w:rsidP="00AD64F0">
            <w:pPr>
              <w:keepNext/>
              <w:keepLines/>
              <w:spacing w:after="0" w:line="240" w:lineRule="auto"/>
              <w:rPr>
                <w:rFonts w:cs="Arial"/>
                <w:szCs w:val="20"/>
              </w:rPr>
            </w:pPr>
          </w:p>
        </w:tc>
        <w:tc>
          <w:tcPr>
            <w:tcW w:w="0" w:type="dxa"/>
            <w:vMerge/>
            <w:vAlign w:val="center"/>
          </w:tcPr>
          <w:p w14:paraId="192211F6" w14:textId="77777777" w:rsidR="009749C0" w:rsidRDefault="009749C0" w:rsidP="00AD64F0">
            <w:pPr>
              <w:keepNext/>
              <w:keepLines/>
              <w:spacing w:after="0" w:line="240" w:lineRule="auto"/>
              <w:jc w:val="center"/>
              <w:rPr>
                <w:rFonts w:cs="Arial"/>
                <w:szCs w:val="20"/>
              </w:rPr>
            </w:pPr>
          </w:p>
        </w:tc>
        <w:tc>
          <w:tcPr>
            <w:tcW w:w="0" w:type="dxa"/>
            <w:vAlign w:val="center"/>
          </w:tcPr>
          <w:p w14:paraId="4B17C7BC" w14:textId="529D17E9" w:rsidR="009749C0" w:rsidRDefault="009749C0" w:rsidP="00AD64F0">
            <w:pPr>
              <w:keepNext/>
              <w:keepLines/>
              <w:spacing w:after="0" w:line="240" w:lineRule="auto"/>
              <w:jc w:val="center"/>
              <w:rPr>
                <w:rFonts w:cs="Arial"/>
                <w:szCs w:val="20"/>
              </w:rPr>
            </w:pPr>
            <w:r>
              <w:t>$0.625</w:t>
            </w:r>
          </w:p>
        </w:tc>
        <w:tc>
          <w:tcPr>
            <w:tcW w:w="0" w:type="dxa"/>
            <w:vAlign w:val="center"/>
          </w:tcPr>
          <w:p w14:paraId="6A564811" w14:textId="77777777" w:rsidR="009749C0" w:rsidRDefault="009749C0" w:rsidP="00AD64F0">
            <w:pPr>
              <w:keepNext/>
              <w:keepLines/>
              <w:spacing w:after="0" w:line="240" w:lineRule="auto"/>
              <w:jc w:val="center"/>
              <w:rPr>
                <w:rFonts w:cs="Arial"/>
                <w:szCs w:val="20"/>
              </w:rPr>
            </w:pPr>
            <w:r>
              <w:rPr>
                <w:rFonts w:cs="Arial"/>
                <w:szCs w:val="20"/>
              </w:rPr>
              <w:t>$598.5 million</w:t>
            </w:r>
          </w:p>
        </w:tc>
      </w:tr>
      <w:tr w:rsidR="009749C0" w:rsidRPr="0034301D" w14:paraId="0E8D91FA" w14:textId="77777777" w:rsidTr="00AF232D">
        <w:trPr>
          <w:cnfStyle w:val="000000100000" w:firstRow="0" w:lastRow="0" w:firstColumn="0" w:lastColumn="0" w:oddVBand="0" w:evenVBand="0" w:oddHBand="1" w:evenHBand="0" w:firstRowFirstColumn="0" w:firstRowLastColumn="0" w:lastRowFirstColumn="0" w:lastRowLastColumn="0"/>
          <w:trHeight w:val="371"/>
        </w:trPr>
        <w:tc>
          <w:tcPr>
            <w:tcW w:w="0" w:type="dxa"/>
            <w:vMerge w:val="restart"/>
            <w:vAlign w:val="center"/>
          </w:tcPr>
          <w:p w14:paraId="26560B96" w14:textId="13FF5D58" w:rsidR="009749C0" w:rsidRPr="0034301D" w:rsidRDefault="00C945D7" w:rsidP="00AD64F0">
            <w:pPr>
              <w:keepNext/>
              <w:keepLines/>
              <w:spacing w:after="0" w:line="240" w:lineRule="auto"/>
              <w:rPr>
                <w:rFonts w:cs="Arial"/>
                <w:szCs w:val="20"/>
              </w:rPr>
            </w:pPr>
            <w:r>
              <w:rPr>
                <w:rFonts w:cs="Arial"/>
                <w:szCs w:val="20"/>
              </w:rPr>
              <w:t>Wide-area</w:t>
            </w:r>
            <w:r w:rsidR="009749C0">
              <w:rPr>
                <w:rFonts w:cs="Arial"/>
                <w:szCs w:val="20"/>
              </w:rPr>
              <w:t xml:space="preserve"> </w:t>
            </w:r>
            <w:r>
              <w:rPr>
                <w:rFonts w:cs="Arial"/>
                <w:szCs w:val="20"/>
              </w:rPr>
              <w:t>wireless broadband</w:t>
            </w:r>
            <w:r w:rsidR="009749C0">
              <w:rPr>
                <w:rFonts w:cs="Arial"/>
                <w:szCs w:val="20"/>
              </w:rPr>
              <w:t xml:space="preserve"> in regional areas (2 x 15 MHz)</w:t>
            </w:r>
          </w:p>
        </w:tc>
        <w:tc>
          <w:tcPr>
            <w:tcW w:w="0" w:type="dxa"/>
            <w:vMerge w:val="restart"/>
            <w:vAlign w:val="center"/>
          </w:tcPr>
          <w:p w14:paraId="4E0740C0" w14:textId="77777777" w:rsidR="009749C0" w:rsidRPr="0034301D" w:rsidRDefault="009749C0" w:rsidP="00AD64F0">
            <w:pPr>
              <w:keepNext/>
              <w:keepLines/>
              <w:spacing w:after="0" w:line="240" w:lineRule="auto"/>
              <w:jc w:val="center"/>
              <w:rPr>
                <w:rFonts w:cs="Arial"/>
                <w:szCs w:val="20"/>
              </w:rPr>
            </w:pPr>
            <w:r>
              <w:rPr>
                <w:rFonts w:cs="Arial"/>
                <w:szCs w:val="20"/>
              </w:rPr>
              <w:t>5.3 million</w:t>
            </w:r>
          </w:p>
        </w:tc>
        <w:tc>
          <w:tcPr>
            <w:tcW w:w="0" w:type="dxa"/>
            <w:vAlign w:val="center"/>
          </w:tcPr>
          <w:p w14:paraId="074BD5A1" w14:textId="04B7C794" w:rsidR="009749C0" w:rsidRPr="0034301D" w:rsidRDefault="009749C0" w:rsidP="00AD64F0">
            <w:pPr>
              <w:keepNext/>
              <w:keepLines/>
              <w:spacing w:after="0" w:line="240" w:lineRule="auto"/>
              <w:jc w:val="center"/>
              <w:rPr>
                <w:rFonts w:cs="Arial"/>
                <w:szCs w:val="20"/>
              </w:rPr>
            </w:pPr>
            <w:r>
              <w:t>$0.03</w:t>
            </w:r>
          </w:p>
        </w:tc>
        <w:tc>
          <w:tcPr>
            <w:tcW w:w="0" w:type="dxa"/>
            <w:vAlign w:val="center"/>
          </w:tcPr>
          <w:p w14:paraId="034F26BB" w14:textId="2AD16B61" w:rsidR="009749C0" w:rsidRPr="0034301D" w:rsidRDefault="009749C0" w:rsidP="00AD64F0">
            <w:pPr>
              <w:keepNext/>
              <w:keepLines/>
              <w:spacing w:after="0" w:line="240" w:lineRule="auto"/>
              <w:jc w:val="center"/>
              <w:rPr>
                <w:rFonts w:cs="Arial"/>
              </w:rPr>
            </w:pPr>
            <w:r w:rsidRPr="66B309B7">
              <w:rPr>
                <w:rFonts w:cs="Arial"/>
              </w:rPr>
              <w:t>$</w:t>
            </w:r>
            <w:r w:rsidR="5508E7C7" w:rsidRPr="66B309B7">
              <w:rPr>
                <w:rFonts w:cs="Arial"/>
              </w:rPr>
              <w:t>4.</w:t>
            </w:r>
            <w:r w:rsidRPr="66B309B7">
              <w:rPr>
                <w:rFonts w:cs="Arial"/>
              </w:rPr>
              <w:t>7 million</w:t>
            </w:r>
          </w:p>
        </w:tc>
      </w:tr>
      <w:tr w:rsidR="009749C0" w14:paraId="4D087545" w14:textId="77777777" w:rsidTr="00AF232D">
        <w:trPr>
          <w:cnfStyle w:val="000000010000" w:firstRow="0" w:lastRow="0" w:firstColumn="0" w:lastColumn="0" w:oddVBand="0" w:evenVBand="0" w:oddHBand="0" w:evenHBand="1" w:firstRowFirstColumn="0" w:firstRowLastColumn="0" w:lastRowFirstColumn="0" w:lastRowLastColumn="0"/>
          <w:trHeight w:val="340"/>
        </w:trPr>
        <w:tc>
          <w:tcPr>
            <w:tcW w:w="0" w:type="dxa"/>
            <w:vMerge/>
          </w:tcPr>
          <w:p w14:paraId="6825E695" w14:textId="77777777" w:rsidR="009749C0" w:rsidRDefault="009749C0" w:rsidP="00AD64F0">
            <w:pPr>
              <w:keepNext/>
              <w:keepLines/>
              <w:spacing w:after="0" w:line="240" w:lineRule="auto"/>
              <w:rPr>
                <w:rFonts w:cs="Arial"/>
                <w:szCs w:val="20"/>
              </w:rPr>
            </w:pPr>
          </w:p>
        </w:tc>
        <w:tc>
          <w:tcPr>
            <w:tcW w:w="0" w:type="dxa"/>
            <w:vMerge/>
          </w:tcPr>
          <w:p w14:paraId="110BCCE8" w14:textId="77777777" w:rsidR="009749C0" w:rsidRDefault="009749C0" w:rsidP="00AD64F0">
            <w:pPr>
              <w:keepNext/>
              <w:keepLines/>
              <w:spacing w:after="0" w:line="240" w:lineRule="auto"/>
              <w:jc w:val="center"/>
              <w:rPr>
                <w:rFonts w:cs="Arial"/>
                <w:szCs w:val="20"/>
              </w:rPr>
            </w:pPr>
          </w:p>
        </w:tc>
        <w:tc>
          <w:tcPr>
            <w:tcW w:w="0" w:type="dxa"/>
            <w:vAlign w:val="center"/>
          </w:tcPr>
          <w:p w14:paraId="0CC08D8B" w14:textId="19701C49" w:rsidR="009749C0" w:rsidRDefault="009749C0" w:rsidP="00AD64F0">
            <w:pPr>
              <w:keepNext/>
              <w:keepLines/>
              <w:spacing w:after="0" w:line="240" w:lineRule="auto"/>
              <w:jc w:val="center"/>
              <w:rPr>
                <w:rFonts w:cs="Arial"/>
                <w:szCs w:val="20"/>
              </w:rPr>
            </w:pPr>
            <w:r>
              <w:t>$0.625</w:t>
            </w:r>
          </w:p>
        </w:tc>
        <w:tc>
          <w:tcPr>
            <w:tcW w:w="0" w:type="dxa"/>
            <w:vAlign w:val="center"/>
          </w:tcPr>
          <w:p w14:paraId="5202B5E2" w14:textId="4F30E7D7" w:rsidR="009749C0" w:rsidRDefault="009749C0" w:rsidP="00AD64F0">
            <w:pPr>
              <w:keepNext/>
              <w:keepLines/>
              <w:spacing w:after="0" w:line="240" w:lineRule="auto"/>
              <w:jc w:val="center"/>
              <w:rPr>
                <w:rFonts w:cs="Arial"/>
              </w:rPr>
            </w:pPr>
            <w:r w:rsidRPr="66B309B7">
              <w:rPr>
                <w:rFonts w:cs="Arial"/>
              </w:rPr>
              <w:t>$</w:t>
            </w:r>
            <w:r w:rsidR="21921F7C" w:rsidRPr="66B309B7">
              <w:rPr>
                <w:rFonts w:cs="Arial"/>
              </w:rPr>
              <w:t>98.0</w:t>
            </w:r>
            <w:r w:rsidRPr="66B309B7">
              <w:rPr>
                <w:rFonts w:cs="Arial"/>
              </w:rPr>
              <w:t xml:space="preserve"> million</w:t>
            </w:r>
          </w:p>
        </w:tc>
      </w:tr>
    </w:tbl>
    <w:p w14:paraId="5887AD8F" w14:textId="575816D8" w:rsidR="009749C0" w:rsidRDefault="009749C0" w:rsidP="009749C0">
      <w:pPr>
        <w:pStyle w:val="Tableorfigurenote"/>
      </w:pPr>
      <w:r>
        <w:t xml:space="preserve">Note: </w:t>
      </w:r>
      <w:r w:rsidRPr="00336E55">
        <w:t xml:space="preserve">The affected population includes forecasts for June 2020 based on the areas outlined in </w:t>
      </w:r>
      <w:r w:rsidRPr="00336E55">
        <w:rPr>
          <w:i w:val="0"/>
          <w:iCs/>
        </w:rPr>
        <w:t xml:space="preserve">Appendix </w:t>
      </w:r>
      <w:r w:rsidR="00336E55" w:rsidRPr="00336E55">
        <w:rPr>
          <w:i w:val="0"/>
          <w:iCs/>
        </w:rPr>
        <w:t>F</w:t>
      </w:r>
      <w:r w:rsidRPr="00336E55">
        <w:rPr>
          <w:i w:val="0"/>
          <w:iCs/>
        </w:rPr>
        <w:t>: Geographical area descriptions</w:t>
      </w:r>
      <w:r w:rsidRPr="00336E55">
        <w:t xml:space="preserve">. Metro areas refer to the 1920–1960 MHz SLA in Appendix </w:t>
      </w:r>
      <w:r w:rsidR="00336E55" w:rsidRPr="00336E55">
        <w:t>F</w:t>
      </w:r>
      <w:r w:rsidRPr="00336E55">
        <w:t>, while regional areas refer to the 1960–1980 MHz SLA with the metro areas excluded.</w:t>
      </w:r>
      <w:r>
        <w:t xml:space="preserve"> </w:t>
      </w:r>
      <w:r w:rsidRPr="001E421D">
        <w:t xml:space="preserve">The </w:t>
      </w:r>
      <w:r>
        <w:t xml:space="preserve">June 2020 </w:t>
      </w:r>
      <w:r w:rsidRPr="001E421D">
        <w:t>forecast is calculated by projecting national population growth since the 2016 Census (based off Australian Bureau of Statistics (ABS) data and Commonwealth Budget population forecasts), then applying this same growth ratio to the population of the affected areas at the 2016 Census date.</w:t>
      </w:r>
      <w:r>
        <w:t xml:space="preserve"> Population and total benefit have been rounded to the nearest 100,000.</w:t>
      </w:r>
    </w:p>
    <w:p w14:paraId="681A2A74" w14:textId="0AC386E4" w:rsidR="009749C0" w:rsidRDefault="009749C0" w:rsidP="009749C0">
      <w:pPr>
        <w:rPr>
          <w:u w:val="single"/>
        </w:rPr>
      </w:pPr>
      <w:r w:rsidRPr="00CE4045">
        <w:t>Direct air</w:t>
      </w:r>
      <w:r w:rsidR="00C945D7">
        <w:t>-</w:t>
      </w:r>
      <w:r w:rsidRPr="00CE4045">
        <w:t>to</w:t>
      </w:r>
      <w:r w:rsidR="00C945D7">
        <w:t>-</w:t>
      </w:r>
      <w:r w:rsidRPr="00CE4045">
        <w:t>ground com</w:t>
      </w:r>
      <w:r w:rsidR="00C945D7">
        <w:t>munications</w:t>
      </w:r>
      <w:r w:rsidRPr="00CE4045">
        <w:t xml:space="preserve"> is also a possible complementary service under this option. However, the viability of </w:t>
      </w:r>
      <w:r w:rsidR="00C945D7">
        <w:t>this application</w:t>
      </w:r>
      <w:r w:rsidRPr="00CE4045">
        <w:t xml:space="preserve"> is uncertain in Australia and the benefits of having this optionality are incorporated in the benefits of </w:t>
      </w:r>
      <w:r w:rsidR="00C945D7">
        <w:t>wide-area</w:t>
      </w:r>
      <w:r w:rsidRPr="00CE4045">
        <w:t xml:space="preserve"> </w:t>
      </w:r>
      <w:r w:rsidR="00C945D7">
        <w:t>wireless broadband</w:t>
      </w:r>
      <w:r w:rsidRPr="00CE4045">
        <w:t xml:space="preserve"> services. As such, it is not discussed in additional detail as a benefit input.</w:t>
      </w:r>
      <w:r w:rsidRPr="00C520C3">
        <w:t xml:space="preserve"> </w:t>
      </w:r>
    </w:p>
    <w:p w14:paraId="4EDB865F" w14:textId="1D2F6823" w:rsidR="009749C0" w:rsidRPr="004613E0" w:rsidRDefault="00C945D7" w:rsidP="00AD64F0">
      <w:pPr>
        <w:keepNext/>
        <w:spacing w:after="0"/>
        <w:rPr>
          <w:u w:val="single"/>
        </w:rPr>
      </w:pPr>
      <w:r>
        <w:rPr>
          <w:u w:val="single"/>
        </w:rPr>
        <w:t>Local-area</w:t>
      </w:r>
      <w:r w:rsidR="009749C0">
        <w:rPr>
          <w:u w:val="single"/>
        </w:rPr>
        <w:t xml:space="preserve"> </w:t>
      </w:r>
      <w:r>
        <w:rPr>
          <w:u w:val="single"/>
        </w:rPr>
        <w:t>wireless broadband</w:t>
      </w:r>
    </w:p>
    <w:p w14:paraId="56BEC95F" w14:textId="407CBEE8" w:rsidR="009749C0" w:rsidRDefault="009749C0" w:rsidP="009749C0">
      <w:r>
        <w:t xml:space="preserve">Different reference points are required to help determine the economic benefits of </w:t>
      </w:r>
      <w:r w:rsidRPr="00872656">
        <w:t xml:space="preserve">reallocating the band for </w:t>
      </w:r>
      <w:r w:rsidR="00C945D7">
        <w:t>local-area</w:t>
      </w:r>
      <w:r w:rsidRPr="00872656">
        <w:t xml:space="preserve"> </w:t>
      </w:r>
      <w:r w:rsidR="00C945D7">
        <w:t>wireless broadband</w:t>
      </w:r>
      <w:r w:rsidRPr="00872656">
        <w:t xml:space="preserve"> in regional and remote areas. The ACMA considers the best example of a demonstrated willingness to pay for equivalent spectrum are ESL reissue prices for 2.3 GHz and 3.4 GHz spectrum licences. The reissue price for these licences was $0.03/MHz/pop. Some of these spectrum licences were exclusively in regional and/or remote areas, and a common use case for these licences in regional and remote areas has been </w:t>
      </w:r>
      <w:r w:rsidR="00C945D7">
        <w:t>local-area</w:t>
      </w:r>
      <w:r w:rsidRPr="00872656">
        <w:t xml:space="preserve"> </w:t>
      </w:r>
      <w:r w:rsidR="00C945D7">
        <w:t>wireless broadband</w:t>
      </w:r>
      <w:r w:rsidRPr="00872656">
        <w:t>. This price is therefore considered to represent</w:t>
      </w:r>
      <w:r>
        <w:t xml:space="preserve"> an approximate floor on the willingness to pay for this spectrum for </w:t>
      </w:r>
      <w:r w:rsidR="00C945D7">
        <w:t>local-area</w:t>
      </w:r>
      <w:r>
        <w:t xml:space="preserve"> </w:t>
      </w:r>
      <w:r w:rsidR="00C945D7">
        <w:t>wireless broadband</w:t>
      </w:r>
      <w:r>
        <w:t>.</w:t>
      </w:r>
    </w:p>
    <w:p w14:paraId="704019B3" w14:textId="05C1B0B3" w:rsidR="009749C0" w:rsidRDefault="009749C0" w:rsidP="009749C0">
      <w:r>
        <w:t xml:space="preserve">This option provides access to </w:t>
      </w:r>
      <w:r w:rsidR="00C945D7">
        <w:t>local-area</w:t>
      </w:r>
      <w:r>
        <w:t xml:space="preserve"> </w:t>
      </w:r>
      <w:r w:rsidR="00C945D7">
        <w:t>wireless broadband</w:t>
      </w:r>
      <w:r>
        <w:t xml:space="preserve"> in 1995–2005/2185–2195 MHz (2 x 10 MHz or 20 MHz in total) in regional areas and in 1980–2005/2170–2195 MHz (2 x 25 MHz or 50 MHz in total) in remote areas. For simplicity, the valuation of $0.03/MHz/pop has been applied to all available spectrum in the respective geographic area categories.</w:t>
      </w:r>
    </w:p>
    <w:p w14:paraId="6626E036" w14:textId="28520033" w:rsidR="009749C0" w:rsidRDefault="00C945D7" w:rsidP="00AD64F0">
      <w:pPr>
        <w:pStyle w:val="Tableheading"/>
        <w:keepLines/>
        <w:tabs>
          <w:tab w:val="clear" w:pos="1957"/>
        </w:tabs>
        <w:ind w:left="1134" w:hanging="1134"/>
      </w:pPr>
      <w:r>
        <w:lastRenderedPageBreak/>
        <w:t>Local-area</w:t>
      </w:r>
      <w:r w:rsidR="009749C0">
        <w:t xml:space="preserve"> </w:t>
      </w:r>
      <w:r>
        <w:t>wireless broadband</w:t>
      </w:r>
      <w:r w:rsidR="00714690">
        <w:t>—</w:t>
      </w:r>
      <w:r w:rsidR="009749C0">
        <w:t>estimated benefits under Option 2</w:t>
      </w:r>
    </w:p>
    <w:tbl>
      <w:tblPr>
        <w:tblStyle w:val="ACMAtablestyle"/>
        <w:tblW w:w="7650" w:type="dxa"/>
        <w:tblLayout w:type="fixed"/>
        <w:tblLook w:val="04A0" w:firstRow="1" w:lastRow="0" w:firstColumn="1" w:lastColumn="0" w:noHBand="0" w:noVBand="1"/>
      </w:tblPr>
      <w:tblGrid>
        <w:gridCol w:w="1980"/>
        <w:gridCol w:w="1701"/>
        <w:gridCol w:w="1276"/>
        <w:gridCol w:w="2693"/>
      </w:tblGrid>
      <w:tr w:rsidR="009749C0" w:rsidRPr="00714690" w14:paraId="6ED5246A" w14:textId="77777777" w:rsidTr="00AF232D">
        <w:trPr>
          <w:cnfStyle w:val="100000000000" w:firstRow="1" w:lastRow="0" w:firstColumn="0" w:lastColumn="0" w:oddVBand="0" w:evenVBand="0" w:oddHBand="0" w:evenHBand="0" w:firstRowFirstColumn="0" w:firstRowLastColumn="0" w:lastRowFirstColumn="0" w:lastRowLastColumn="0"/>
          <w:tblHeader w:val="0"/>
        </w:trPr>
        <w:tc>
          <w:tcPr>
            <w:tcW w:w="1980" w:type="dxa"/>
            <w:tcBorders>
              <w:top w:val="none" w:sz="0" w:space="0" w:color="auto"/>
              <w:left w:val="none" w:sz="0" w:space="0" w:color="auto"/>
              <w:bottom w:val="none" w:sz="0" w:space="0" w:color="auto"/>
              <w:right w:val="none" w:sz="0" w:space="0" w:color="auto"/>
            </w:tcBorders>
          </w:tcPr>
          <w:p w14:paraId="7C745EF1" w14:textId="77777777" w:rsidR="009749C0" w:rsidRPr="00AD64F0" w:rsidRDefault="009749C0" w:rsidP="00AD64F0">
            <w:pPr>
              <w:keepNext/>
              <w:keepLines/>
              <w:spacing w:after="0" w:line="240" w:lineRule="auto"/>
              <w:jc w:val="center"/>
              <w:rPr>
                <w:rFonts w:cs="Arial"/>
                <w:b/>
                <w:bCs/>
                <w:szCs w:val="20"/>
              </w:rPr>
            </w:pPr>
            <w:r w:rsidRPr="00AD64F0">
              <w:rPr>
                <w:rFonts w:cs="Arial"/>
                <w:b/>
                <w:bCs/>
                <w:szCs w:val="20"/>
              </w:rPr>
              <w:t>Category</w:t>
            </w:r>
          </w:p>
        </w:tc>
        <w:tc>
          <w:tcPr>
            <w:tcW w:w="1701" w:type="dxa"/>
            <w:tcBorders>
              <w:top w:val="none" w:sz="0" w:space="0" w:color="auto"/>
              <w:left w:val="none" w:sz="0" w:space="0" w:color="auto"/>
              <w:bottom w:val="none" w:sz="0" w:space="0" w:color="auto"/>
              <w:right w:val="none" w:sz="0" w:space="0" w:color="auto"/>
            </w:tcBorders>
          </w:tcPr>
          <w:p w14:paraId="176B2FE6" w14:textId="77777777" w:rsidR="009749C0" w:rsidRPr="00AD64F0" w:rsidRDefault="009749C0" w:rsidP="00AD64F0">
            <w:pPr>
              <w:keepNext/>
              <w:keepLines/>
              <w:spacing w:after="0" w:line="240" w:lineRule="auto"/>
              <w:jc w:val="center"/>
              <w:rPr>
                <w:rFonts w:cs="Arial"/>
                <w:b/>
                <w:bCs/>
                <w:szCs w:val="20"/>
              </w:rPr>
            </w:pPr>
            <w:r w:rsidRPr="00AD64F0">
              <w:rPr>
                <w:rFonts w:cs="Arial"/>
                <w:b/>
                <w:bCs/>
                <w:szCs w:val="20"/>
              </w:rPr>
              <w:t>Affected population</w:t>
            </w:r>
          </w:p>
        </w:tc>
        <w:tc>
          <w:tcPr>
            <w:tcW w:w="1276" w:type="dxa"/>
            <w:tcBorders>
              <w:top w:val="none" w:sz="0" w:space="0" w:color="auto"/>
              <w:left w:val="none" w:sz="0" w:space="0" w:color="auto"/>
              <w:bottom w:val="none" w:sz="0" w:space="0" w:color="auto"/>
              <w:right w:val="none" w:sz="0" w:space="0" w:color="auto"/>
            </w:tcBorders>
          </w:tcPr>
          <w:p w14:paraId="06195736" w14:textId="77777777" w:rsidR="009749C0" w:rsidRPr="00AD64F0" w:rsidRDefault="009749C0" w:rsidP="00AD64F0">
            <w:pPr>
              <w:keepNext/>
              <w:keepLines/>
              <w:spacing w:after="0" w:line="240" w:lineRule="auto"/>
              <w:jc w:val="center"/>
              <w:rPr>
                <w:rFonts w:cs="Arial"/>
                <w:b/>
                <w:bCs/>
                <w:szCs w:val="20"/>
              </w:rPr>
            </w:pPr>
            <w:r w:rsidRPr="00AD64F0">
              <w:rPr>
                <w:rFonts w:cs="Arial"/>
                <w:b/>
                <w:bCs/>
                <w:szCs w:val="20"/>
              </w:rPr>
              <w:t>$/MHz/pop</w:t>
            </w:r>
          </w:p>
        </w:tc>
        <w:tc>
          <w:tcPr>
            <w:tcW w:w="2693" w:type="dxa"/>
            <w:tcBorders>
              <w:top w:val="none" w:sz="0" w:space="0" w:color="auto"/>
              <w:left w:val="none" w:sz="0" w:space="0" w:color="auto"/>
              <w:bottom w:val="none" w:sz="0" w:space="0" w:color="auto"/>
              <w:right w:val="none" w:sz="0" w:space="0" w:color="auto"/>
            </w:tcBorders>
          </w:tcPr>
          <w:p w14:paraId="15335F21" w14:textId="4D02EFD6" w:rsidR="009749C0" w:rsidRPr="00AD64F0" w:rsidRDefault="009749C0" w:rsidP="00AD64F0">
            <w:pPr>
              <w:keepNext/>
              <w:keepLines/>
              <w:spacing w:after="0" w:line="240" w:lineRule="auto"/>
              <w:jc w:val="center"/>
              <w:rPr>
                <w:rFonts w:cs="Arial"/>
                <w:b/>
                <w:bCs/>
                <w:szCs w:val="20"/>
              </w:rPr>
            </w:pPr>
            <w:r w:rsidRPr="00AD64F0">
              <w:rPr>
                <w:rFonts w:cs="Arial"/>
                <w:b/>
                <w:bCs/>
                <w:szCs w:val="20"/>
              </w:rPr>
              <w:t>Total benefit</w:t>
            </w:r>
          </w:p>
        </w:tc>
      </w:tr>
      <w:tr w:rsidR="009749C0" w:rsidRPr="0034301D" w14:paraId="782F0A64" w14:textId="77777777" w:rsidTr="00AF232D">
        <w:trPr>
          <w:cnfStyle w:val="000000100000" w:firstRow="0" w:lastRow="0" w:firstColumn="0" w:lastColumn="0" w:oddVBand="0" w:evenVBand="0" w:oddHBand="1" w:evenHBand="0" w:firstRowFirstColumn="0" w:firstRowLastColumn="0" w:lastRowFirstColumn="0" w:lastRowLastColumn="0"/>
          <w:trHeight w:val="974"/>
        </w:trPr>
        <w:tc>
          <w:tcPr>
            <w:tcW w:w="1980" w:type="dxa"/>
            <w:vAlign w:val="center"/>
          </w:tcPr>
          <w:p w14:paraId="01E2F5E4" w14:textId="17A6494A" w:rsidR="009749C0" w:rsidRPr="0034301D" w:rsidRDefault="009749C0" w:rsidP="00AD64F0">
            <w:pPr>
              <w:keepNext/>
              <w:keepLines/>
              <w:spacing w:after="0" w:line="240" w:lineRule="auto"/>
              <w:rPr>
                <w:rFonts w:cs="Arial"/>
                <w:szCs w:val="20"/>
              </w:rPr>
            </w:pPr>
            <w:r>
              <w:rPr>
                <w:rFonts w:cs="Arial"/>
                <w:szCs w:val="20"/>
              </w:rPr>
              <w:t>L</w:t>
            </w:r>
            <w:r w:rsidR="00C945D7">
              <w:rPr>
                <w:rFonts w:cs="Arial"/>
                <w:szCs w:val="20"/>
              </w:rPr>
              <w:t>ocal-area</w:t>
            </w:r>
            <w:r>
              <w:rPr>
                <w:rFonts w:cs="Arial"/>
                <w:szCs w:val="20"/>
              </w:rPr>
              <w:t xml:space="preserve"> </w:t>
            </w:r>
            <w:r w:rsidR="00C945D7">
              <w:rPr>
                <w:rFonts w:cs="Arial"/>
                <w:szCs w:val="20"/>
              </w:rPr>
              <w:t>wireless broadband</w:t>
            </w:r>
            <w:r>
              <w:rPr>
                <w:rFonts w:cs="Arial"/>
                <w:szCs w:val="20"/>
              </w:rPr>
              <w:t xml:space="preserve"> in regional areas (2 x 10 MHz)</w:t>
            </w:r>
          </w:p>
        </w:tc>
        <w:tc>
          <w:tcPr>
            <w:tcW w:w="1701" w:type="dxa"/>
            <w:vAlign w:val="center"/>
          </w:tcPr>
          <w:p w14:paraId="7AFFD735" w14:textId="77777777" w:rsidR="009749C0" w:rsidRPr="0034301D" w:rsidRDefault="009749C0" w:rsidP="00AD64F0">
            <w:pPr>
              <w:keepNext/>
              <w:keepLines/>
              <w:spacing w:after="0" w:line="240" w:lineRule="auto"/>
              <w:jc w:val="center"/>
              <w:rPr>
                <w:rFonts w:cs="Arial"/>
                <w:szCs w:val="20"/>
              </w:rPr>
            </w:pPr>
            <w:r>
              <w:rPr>
                <w:rFonts w:cs="Arial"/>
                <w:szCs w:val="20"/>
              </w:rPr>
              <w:t>5.3 million</w:t>
            </w:r>
          </w:p>
        </w:tc>
        <w:tc>
          <w:tcPr>
            <w:tcW w:w="1276" w:type="dxa"/>
            <w:vAlign w:val="center"/>
          </w:tcPr>
          <w:p w14:paraId="43F012FA" w14:textId="77777777" w:rsidR="009749C0" w:rsidRPr="0034301D" w:rsidRDefault="009749C0" w:rsidP="00AD64F0">
            <w:pPr>
              <w:keepNext/>
              <w:keepLines/>
              <w:spacing w:after="0" w:line="240" w:lineRule="auto"/>
              <w:jc w:val="center"/>
              <w:rPr>
                <w:rFonts w:cs="Arial"/>
                <w:szCs w:val="20"/>
              </w:rPr>
            </w:pPr>
            <w:r>
              <w:t>$0.03</w:t>
            </w:r>
          </w:p>
        </w:tc>
        <w:tc>
          <w:tcPr>
            <w:tcW w:w="2693" w:type="dxa"/>
            <w:vAlign w:val="center"/>
          </w:tcPr>
          <w:p w14:paraId="6C14E200" w14:textId="77777777" w:rsidR="009749C0" w:rsidRPr="0034301D" w:rsidRDefault="009749C0" w:rsidP="00AD64F0">
            <w:pPr>
              <w:keepNext/>
              <w:keepLines/>
              <w:spacing w:after="0" w:line="240" w:lineRule="auto"/>
              <w:jc w:val="center"/>
              <w:rPr>
                <w:rFonts w:cs="Arial"/>
                <w:szCs w:val="20"/>
              </w:rPr>
            </w:pPr>
            <w:r>
              <w:rPr>
                <w:rFonts w:cs="Arial"/>
                <w:szCs w:val="20"/>
              </w:rPr>
              <w:t>$3.1 million</w:t>
            </w:r>
          </w:p>
        </w:tc>
      </w:tr>
      <w:tr w:rsidR="009749C0" w:rsidRPr="0034301D" w14:paraId="12909218" w14:textId="77777777" w:rsidTr="00AF232D">
        <w:trPr>
          <w:cnfStyle w:val="000000010000" w:firstRow="0" w:lastRow="0" w:firstColumn="0" w:lastColumn="0" w:oddVBand="0" w:evenVBand="0" w:oddHBand="0" w:evenHBand="1" w:firstRowFirstColumn="0" w:firstRowLastColumn="0" w:lastRowFirstColumn="0" w:lastRowLastColumn="0"/>
          <w:trHeight w:val="974"/>
        </w:trPr>
        <w:tc>
          <w:tcPr>
            <w:tcW w:w="1980" w:type="dxa"/>
            <w:vAlign w:val="center"/>
          </w:tcPr>
          <w:p w14:paraId="3FAE89DA" w14:textId="4B3A2C93" w:rsidR="009749C0" w:rsidRPr="0034301D" w:rsidRDefault="009749C0" w:rsidP="00AD64F0">
            <w:pPr>
              <w:keepNext/>
              <w:keepLines/>
              <w:spacing w:after="0" w:line="240" w:lineRule="auto"/>
              <w:rPr>
                <w:rFonts w:cs="Arial"/>
                <w:szCs w:val="20"/>
              </w:rPr>
            </w:pPr>
            <w:r>
              <w:rPr>
                <w:rFonts w:cs="Arial"/>
                <w:szCs w:val="20"/>
              </w:rPr>
              <w:t>L</w:t>
            </w:r>
            <w:r w:rsidR="00C945D7">
              <w:rPr>
                <w:rFonts w:cs="Arial"/>
                <w:szCs w:val="20"/>
              </w:rPr>
              <w:t>ocal-area wireless broadband</w:t>
            </w:r>
            <w:r>
              <w:rPr>
                <w:rFonts w:cs="Arial"/>
                <w:szCs w:val="20"/>
              </w:rPr>
              <w:t xml:space="preserve"> in remote areas (2 x 25 MHz)</w:t>
            </w:r>
          </w:p>
        </w:tc>
        <w:tc>
          <w:tcPr>
            <w:tcW w:w="1701" w:type="dxa"/>
            <w:vAlign w:val="center"/>
          </w:tcPr>
          <w:p w14:paraId="25EB3CD9" w14:textId="77777777" w:rsidR="009749C0" w:rsidRPr="0034301D" w:rsidRDefault="009749C0" w:rsidP="00AD64F0">
            <w:pPr>
              <w:keepNext/>
              <w:keepLines/>
              <w:spacing w:after="0" w:line="240" w:lineRule="auto"/>
              <w:jc w:val="center"/>
              <w:rPr>
                <w:rFonts w:cs="Arial"/>
                <w:szCs w:val="20"/>
              </w:rPr>
            </w:pPr>
            <w:r>
              <w:rPr>
                <w:rFonts w:cs="Arial"/>
                <w:szCs w:val="20"/>
              </w:rPr>
              <w:t>0.45 million</w:t>
            </w:r>
          </w:p>
        </w:tc>
        <w:tc>
          <w:tcPr>
            <w:tcW w:w="1276" w:type="dxa"/>
            <w:vAlign w:val="center"/>
          </w:tcPr>
          <w:p w14:paraId="4C8A23B4" w14:textId="3DF90575" w:rsidR="009749C0" w:rsidRPr="0034301D" w:rsidRDefault="009749C0" w:rsidP="00AD64F0">
            <w:pPr>
              <w:keepNext/>
              <w:keepLines/>
              <w:spacing w:after="0" w:line="240" w:lineRule="auto"/>
              <w:jc w:val="center"/>
              <w:rPr>
                <w:rFonts w:cs="Arial"/>
                <w:szCs w:val="20"/>
              </w:rPr>
            </w:pPr>
            <w:r>
              <w:t>$0.03</w:t>
            </w:r>
          </w:p>
        </w:tc>
        <w:tc>
          <w:tcPr>
            <w:tcW w:w="2693" w:type="dxa"/>
            <w:vAlign w:val="center"/>
          </w:tcPr>
          <w:p w14:paraId="6A88862E" w14:textId="77777777" w:rsidR="009749C0" w:rsidRPr="0034301D" w:rsidRDefault="009749C0" w:rsidP="00AD64F0">
            <w:pPr>
              <w:keepNext/>
              <w:keepLines/>
              <w:spacing w:after="0" w:line="240" w:lineRule="auto"/>
              <w:jc w:val="center"/>
              <w:rPr>
                <w:rFonts w:cs="Arial"/>
                <w:szCs w:val="20"/>
              </w:rPr>
            </w:pPr>
            <w:r>
              <w:rPr>
                <w:rFonts w:cs="Arial"/>
                <w:szCs w:val="20"/>
              </w:rPr>
              <w:t>$0.68 million</w:t>
            </w:r>
          </w:p>
        </w:tc>
      </w:tr>
    </w:tbl>
    <w:p w14:paraId="4F414E1A" w14:textId="46BBEAD8" w:rsidR="009749C0" w:rsidRDefault="009749C0" w:rsidP="00AD64F0">
      <w:pPr>
        <w:pStyle w:val="Tableorfigurenote"/>
        <w:keepNext/>
        <w:keepLines/>
      </w:pPr>
      <w:r w:rsidRPr="00011074">
        <w:t xml:space="preserve">Note: Similar to the previous table, the affected population includes forecasts for June 2020 based on the areas outlined in </w:t>
      </w:r>
      <w:r w:rsidRPr="00011074">
        <w:rPr>
          <w:i w:val="0"/>
          <w:iCs/>
        </w:rPr>
        <w:t xml:space="preserve">Appendix </w:t>
      </w:r>
      <w:r w:rsidR="00011074" w:rsidRPr="00011074">
        <w:rPr>
          <w:i w:val="0"/>
          <w:iCs/>
        </w:rPr>
        <w:t>F</w:t>
      </w:r>
      <w:r w:rsidRPr="00011074">
        <w:rPr>
          <w:i w:val="0"/>
          <w:iCs/>
        </w:rPr>
        <w:t>: Geographical area descriptions</w:t>
      </w:r>
      <w:r w:rsidRPr="00011074">
        <w:t xml:space="preserve">. The affected population of remote areas refers to the total population of Australia residing outside of metro and regional areas, with the method of forecasting June 2020 population being the same as the previous table. Due to relatively small numbers, the remote area population and total benefit </w:t>
      </w:r>
      <w:r w:rsidR="00674031">
        <w:t>have</w:t>
      </w:r>
      <w:r w:rsidRPr="00011074">
        <w:t xml:space="preserve"> been rounded to the nearest 10,000 for added detail.</w:t>
      </w:r>
    </w:p>
    <w:p w14:paraId="175E1BCE" w14:textId="52A2A43E" w:rsidR="009749C0" w:rsidRDefault="009749C0" w:rsidP="009749C0">
      <w:r>
        <w:t xml:space="preserve">There are some uncertainties involved in applying a uniform $/MHz/pop value to spectrum in regional and remote areas. The key issue is that </w:t>
      </w:r>
      <w:r w:rsidR="00C945D7">
        <w:t>local-area</w:t>
      </w:r>
      <w:r>
        <w:t xml:space="preserve"> </w:t>
      </w:r>
      <w:r w:rsidR="00C945D7">
        <w:t>wireless broadband</w:t>
      </w:r>
      <w:r>
        <w:t xml:space="preserve"> services are not as broad-based as </w:t>
      </w:r>
      <w:r w:rsidR="00C945D7">
        <w:t>wide-area</w:t>
      </w:r>
      <w:r>
        <w:t xml:space="preserve"> </w:t>
      </w:r>
      <w:r w:rsidR="00C945D7">
        <w:t>wireless broadband</w:t>
      </w:r>
      <w:r>
        <w:t xml:space="preserve"> by definition and therefore would not be covering the entirety of the population in these areas, which means a population measure may not be as appropriate for </w:t>
      </w:r>
      <w:r w:rsidR="00C945D7">
        <w:t>local-area</w:t>
      </w:r>
      <w:r>
        <w:t xml:space="preserve"> </w:t>
      </w:r>
      <w:r w:rsidR="00C945D7">
        <w:t>wireless broadband</w:t>
      </w:r>
      <w:r>
        <w:t xml:space="preserve">. However, there may be a greater value placed on the population in geographic areas where </w:t>
      </w:r>
      <w:r w:rsidR="00C945D7">
        <w:t>local-area</w:t>
      </w:r>
      <w:r>
        <w:t xml:space="preserve"> </w:t>
      </w:r>
      <w:r w:rsidR="00C945D7">
        <w:t>wireless broadband</w:t>
      </w:r>
      <w:r>
        <w:t xml:space="preserve"> services actually operate, as they can target these areas and avoid other unprofitable areas. These contrasting effects mean that the ACMA considers $0.03/MHz/pop can be used as a guide to the average value of the spectrum to potential </w:t>
      </w:r>
      <w:r w:rsidR="00C945D7">
        <w:t>local-area</w:t>
      </w:r>
      <w:r>
        <w:t xml:space="preserve"> </w:t>
      </w:r>
      <w:r w:rsidR="00C945D7">
        <w:t>wireless broadband</w:t>
      </w:r>
      <w:r>
        <w:t xml:space="preserve"> users but note there are significant uncertainties surrounding this valuation and how it would be distributed across the population.</w:t>
      </w:r>
    </w:p>
    <w:p w14:paraId="105D77F1" w14:textId="77777777" w:rsidR="009749C0" w:rsidRDefault="009749C0" w:rsidP="009749C0">
      <w:pPr>
        <w:pStyle w:val="Heading4"/>
      </w:pPr>
      <w:r>
        <w:t>Option 2: Net benefit</w:t>
      </w:r>
    </w:p>
    <w:p w14:paraId="6CCF24AD" w14:textId="0BF13D36" w:rsidR="009749C0" w:rsidRDefault="009749C0" w:rsidP="009749C0">
      <w:r>
        <w:t xml:space="preserve">Option 2 is considered net beneficial as it is highly likely that the benefits associated with </w:t>
      </w:r>
      <w:r w:rsidR="00C945D7">
        <w:t>wide-area</w:t>
      </w:r>
      <w:r>
        <w:t xml:space="preserve"> </w:t>
      </w:r>
      <w:r w:rsidR="00C945D7">
        <w:t>wireless broadband</w:t>
      </w:r>
      <w:r>
        <w:t xml:space="preserve"> and </w:t>
      </w:r>
      <w:r w:rsidR="00C945D7">
        <w:t>local-area</w:t>
      </w:r>
      <w:r>
        <w:t xml:space="preserve"> </w:t>
      </w:r>
      <w:r w:rsidR="00C945D7">
        <w:t>wireless broadband</w:t>
      </w:r>
      <w:r>
        <w:t xml:space="preserve"> gaining access to the band will exceed the costs of TOB services losing access to the band – irrespective of whether TOB services represent a constant or variable output case. A summarised view of the cost and benefit inputs is outlined in the table below.</w:t>
      </w:r>
    </w:p>
    <w:p w14:paraId="61BEEFAA" w14:textId="77777777" w:rsidR="009749C0" w:rsidRDefault="009749C0" w:rsidP="00AD64F0">
      <w:pPr>
        <w:pStyle w:val="Tableheading"/>
        <w:tabs>
          <w:tab w:val="clear" w:pos="1957"/>
          <w:tab w:val="num" w:pos="1134"/>
        </w:tabs>
        <w:ind w:left="1134" w:hanging="1134"/>
      </w:pPr>
      <w:r>
        <w:t>Option 2 cost-benefit side-by-side comparison</w:t>
      </w:r>
    </w:p>
    <w:tbl>
      <w:tblPr>
        <w:tblStyle w:val="ACMAtablestyle"/>
        <w:tblW w:w="7650" w:type="dxa"/>
        <w:tblLayout w:type="fixed"/>
        <w:tblLook w:val="04A0" w:firstRow="1" w:lastRow="0" w:firstColumn="1" w:lastColumn="0" w:noHBand="0" w:noVBand="1"/>
      </w:tblPr>
      <w:tblGrid>
        <w:gridCol w:w="3825"/>
        <w:gridCol w:w="3825"/>
      </w:tblGrid>
      <w:tr w:rsidR="009749C0" w:rsidRPr="00714690" w14:paraId="628F23DA" w14:textId="77777777" w:rsidTr="00AF232D">
        <w:trPr>
          <w:cnfStyle w:val="100000000000" w:firstRow="1" w:lastRow="0" w:firstColumn="0" w:lastColumn="0" w:oddVBand="0" w:evenVBand="0" w:oddHBand="0" w:evenHBand="0" w:firstRowFirstColumn="0" w:firstRowLastColumn="0" w:lastRowFirstColumn="0" w:lastRowLastColumn="0"/>
          <w:tblHeader w:val="0"/>
        </w:trPr>
        <w:tc>
          <w:tcPr>
            <w:tcW w:w="3825" w:type="dxa"/>
            <w:tcBorders>
              <w:top w:val="none" w:sz="0" w:space="0" w:color="auto"/>
              <w:left w:val="none" w:sz="0" w:space="0" w:color="auto"/>
              <w:bottom w:val="none" w:sz="0" w:space="0" w:color="auto"/>
              <w:right w:val="none" w:sz="0" w:space="0" w:color="auto"/>
            </w:tcBorders>
          </w:tcPr>
          <w:p w14:paraId="74FD3F78" w14:textId="77777777" w:rsidR="009749C0" w:rsidRPr="00AD64F0" w:rsidRDefault="009749C0" w:rsidP="009054DB">
            <w:pPr>
              <w:keepNext/>
              <w:spacing w:after="0" w:line="240" w:lineRule="auto"/>
              <w:rPr>
                <w:rFonts w:cs="Arial"/>
                <w:b/>
                <w:bCs/>
                <w:szCs w:val="20"/>
              </w:rPr>
            </w:pPr>
            <w:r w:rsidRPr="00AD64F0">
              <w:rPr>
                <w:rFonts w:cs="Arial"/>
                <w:b/>
                <w:bCs/>
                <w:szCs w:val="20"/>
              </w:rPr>
              <w:t>Costs</w:t>
            </w:r>
          </w:p>
        </w:tc>
        <w:tc>
          <w:tcPr>
            <w:tcW w:w="3825" w:type="dxa"/>
            <w:tcBorders>
              <w:top w:val="none" w:sz="0" w:space="0" w:color="auto"/>
              <w:left w:val="none" w:sz="0" w:space="0" w:color="auto"/>
              <w:bottom w:val="none" w:sz="0" w:space="0" w:color="auto"/>
              <w:right w:val="none" w:sz="0" w:space="0" w:color="auto"/>
            </w:tcBorders>
            <w:vAlign w:val="center"/>
          </w:tcPr>
          <w:p w14:paraId="3278E252" w14:textId="77777777" w:rsidR="009749C0" w:rsidRPr="00AD64F0" w:rsidRDefault="009749C0" w:rsidP="009054DB">
            <w:pPr>
              <w:keepNext/>
              <w:spacing w:after="0" w:line="240" w:lineRule="auto"/>
              <w:rPr>
                <w:rFonts w:cs="Arial"/>
                <w:b/>
                <w:bCs/>
                <w:szCs w:val="20"/>
              </w:rPr>
            </w:pPr>
            <w:r w:rsidRPr="00AD64F0">
              <w:rPr>
                <w:rFonts w:cs="Arial"/>
                <w:b/>
                <w:bCs/>
                <w:szCs w:val="20"/>
              </w:rPr>
              <w:t>Benefits</w:t>
            </w:r>
          </w:p>
        </w:tc>
      </w:tr>
      <w:tr w:rsidR="009749C0" w:rsidRPr="0034301D" w14:paraId="144671FF" w14:textId="77777777" w:rsidTr="00AF232D">
        <w:trPr>
          <w:cnfStyle w:val="000000100000" w:firstRow="0" w:lastRow="0" w:firstColumn="0" w:lastColumn="0" w:oddVBand="0" w:evenVBand="0" w:oddHBand="1" w:evenHBand="0" w:firstRowFirstColumn="0" w:firstRowLastColumn="0" w:lastRowFirstColumn="0" w:lastRowLastColumn="0"/>
          <w:trHeight w:val="1373"/>
        </w:trPr>
        <w:tc>
          <w:tcPr>
            <w:tcW w:w="3825" w:type="dxa"/>
            <w:vMerge w:val="restart"/>
            <w:vAlign w:val="center"/>
          </w:tcPr>
          <w:p w14:paraId="285F47A6" w14:textId="6CDE6543" w:rsidR="009749C0" w:rsidRPr="005F3937" w:rsidRDefault="009749C0" w:rsidP="00AF232D">
            <w:pPr>
              <w:spacing w:after="0" w:line="240" w:lineRule="auto"/>
              <w:rPr>
                <w:rFonts w:cs="Arial"/>
                <w:szCs w:val="20"/>
              </w:rPr>
            </w:pPr>
            <w:r>
              <w:rPr>
                <w:rFonts w:cs="Arial"/>
                <w:szCs w:val="20"/>
              </w:rPr>
              <w:t xml:space="preserve">TOB services lose access to the band: </w:t>
            </w:r>
            <w:r w:rsidRPr="006D6402">
              <w:rPr>
                <w:rFonts w:cs="Arial"/>
                <w:b/>
                <w:szCs w:val="20"/>
              </w:rPr>
              <w:t>approximately</w:t>
            </w:r>
            <w:r>
              <w:rPr>
                <w:rFonts w:cs="Arial"/>
                <w:szCs w:val="20"/>
              </w:rPr>
              <w:t xml:space="preserve"> </w:t>
            </w:r>
            <w:r w:rsidRPr="006D6402">
              <w:rPr>
                <w:rFonts w:cs="Arial"/>
                <w:b/>
                <w:szCs w:val="20"/>
              </w:rPr>
              <w:t>$1.</w:t>
            </w:r>
            <w:r w:rsidRPr="006D6402">
              <w:rPr>
                <w:rFonts w:cs="Arial"/>
                <w:b/>
                <w:bCs/>
                <w:szCs w:val="20"/>
              </w:rPr>
              <w:t>1</w:t>
            </w:r>
            <w:r>
              <w:rPr>
                <w:rFonts w:cs="Arial"/>
                <w:b/>
                <w:szCs w:val="20"/>
              </w:rPr>
              <w:t> million</w:t>
            </w:r>
            <w:r>
              <w:rPr>
                <w:rFonts w:cs="Arial"/>
                <w:b/>
                <w:bCs/>
                <w:szCs w:val="20"/>
              </w:rPr>
              <w:t xml:space="preserve">– </w:t>
            </w:r>
            <w:r w:rsidRPr="006D6402">
              <w:rPr>
                <w:rFonts w:cs="Arial"/>
                <w:b/>
                <w:szCs w:val="20"/>
              </w:rPr>
              <w:t>$1.</w:t>
            </w:r>
            <w:r w:rsidRPr="006D6402">
              <w:rPr>
                <w:rFonts w:cs="Arial"/>
                <w:b/>
                <w:bCs/>
                <w:szCs w:val="20"/>
              </w:rPr>
              <w:t>9</w:t>
            </w:r>
            <w:r>
              <w:rPr>
                <w:rFonts w:cs="Arial"/>
                <w:b/>
                <w:szCs w:val="20"/>
              </w:rPr>
              <w:t> million</w:t>
            </w:r>
            <w:r>
              <w:rPr>
                <w:rFonts w:cs="Arial"/>
                <w:szCs w:val="20"/>
              </w:rPr>
              <w:t xml:space="preserve">, based on the uncertain cost range of $50,000–$85,000 per </w:t>
            </w:r>
            <w:r w:rsidR="00714690">
              <w:rPr>
                <w:rFonts w:cs="Arial"/>
                <w:szCs w:val="20"/>
              </w:rPr>
              <w:br/>
            </w:r>
            <w:r>
              <w:rPr>
                <w:rFonts w:cs="Arial"/>
                <w:szCs w:val="20"/>
              </w:rPr>
              <w:t>TOB licence.</w:t>
            </w:r>
          </w:p>
        </w:tc>
        <w:tc>
          <w:tcPr>
            <w:tcW w:w="3825" w:type="dxa"/>
            <w:vAlign w:val="center"/>
          </w:tcPr>
          <w:p w14:paraId="6A4C82E5" w14:textId="135DE0B8" w:rsidR="009749C0" w:rsidRPr="00211EF6" w:rsidRDefault="009749C0" w:rsidP="00AF232D">
            <w:pPr>
              <w:spacing w:after="0" w:line="240" w:lineRule="auto"/>
              <w:rPr>
                <w:rFonts w:cs="Arial"/>
              </w:rPr>
            </w:pPr>
            <w:r w:rsidRPr="042E6B57">
              <w:rPr>
                <w:rFonts w:cs="Arial"/>
              </w:rPr>
              <w:t>W</w:t>
            </w:r>
            <w:r w:rsidR="00C945D7">
              <w:rPr>
                <w:rFonts w:cs="Arial"/>
              </w:rPr>
              <w:t>ide-area</w:t>
            </w:r>
            <w:r w:rsidRPr="042E6B57">
              <w:rPr>
                <w:rFonts w:cs="Arial"/>
              </w:rPr>
              <w:t xml:space="preserve"> </w:t>
            </w:r>
            <w:r w:rsidR="00C945D7">
              <w:rPr>
                <w:rFonts w:cs="Arial"/>
              </w:rPr>
              <w:t>wireless broadband</w:t>
            </w:r>
            <w:r>
              <w:rPr>
                <w:rFonts w:cs="Arial"/>
              </w:rPr>
              <w:t xml:space="preserve">: </w:t>
            </w:r>
            <w:r>
              <w:rPr>
                <w:rFonts w:cs="Arial"/>
                <w:b/>
                <w:bCs/>
              </w:rPr>
              <w:t xml:space="preserve">approximately </w:t>
            </w:r>
            <w:r w:rsidRPr="006D6402">
              <w:rPr>
                <w:rFonts w:cs="Arial"/>
                <w:b/>
              </w:rPr>
              <w:t>$</w:t>
            </w:r>
            <w:r w:rsidR="74E3A2D1" w:rsidRPr="66B309B7">
              <w:rPr>
                <w:rFonts w:cs="Arial"/>
                <w:b/>
                <w:bCs/>
              </w:rPr>
              <w:t>3</w:t>
            </w:r>
            <w:r w:rsidR="3AD912D5" w:rsidRPr="66B309B7">
              <w:rPr>
                <w:rFonts w:cs="Arial"/>
                <w:b/>
                <w:bCs/>
              </w:rPr>
              <w:t>3.4</w:t>
            </w:r>
            <w:r w:rsidR="74E3A2D1" w:rsidRPr="66B309B7">
              <w:rPr>
                <w:rFonts w:cs="Arial"/>
                <w:b/>
                <w:bCs/>
              </w:rPr>
              <w:t> million–$</w:t>
            </w:r>
            <w:r w:rsidR="219203EA" w:rsidRPr="66B309B7">
              <w:rPr>
                <w:rFonts w:cs="Arial"/>
                <w:b/>
                <w:bCs/>
              </w:rPr>
              <w:t>696</w:t>
            </w:r>
            <w:r w:rsidRPr="006D6402">
              <w:rPr>
                <w:rFonts w:cs="Arial"/>
                <w:b/>
              </w:rPr>
              <w:t>.</w:t>
            </w:r>
            <w:r w:rsidRPr="006D6402">
              <w:rPr>
                <w:rFonts w:cs="Arial"/>
                <w:b/>
                <w:bCs/>
              </w:rPr>
              <w:t>5</w:t>
            </w:r>
            <w:r>
              <w:rPr>
                <w:rFonts w:cs="Arial"/>
                <w:b/>
              </w:rPr>
              <w:t> million</w:t>
            </w:r>
            <w:r>
              <w:rPr>
                <w:rFonts w:cs="Arial"/>
              </w:rPr>
              <w:t>, based on a valuation range of $0.03</w:t>
            </w:r>
            <w:r>
              <w:t>/MHz/pop</w:t>
            </w:r>
            <w:r>
              <w:rPr>
                <w:rFonts w:cs="Arial"/>
              </w:rPr>
              <w:t>–</w:t>
            </w:r>
            <w:r>
              <w:t>$0.625/MHz/pop.</w:t>
            </w:r>
          </w:p>
        </w:tc>
      </w:tr>
      <w:tr w:rsidR="009749C0" w:rsidRPr="0034301D" w14:paraId="1AA5A7FD" w14:textId="77777777" w:rsidTr="00AF232D">
        <w:trPr>
          <w:cnfStyle w:val="000000010000" w:firstRow="0" w:lastRow="0" w:firstColumn="0" w:lastColumn="0" w:oddVBand="0" w:evenVBand="0" w:oddHBand="0" w:evenHBand="1" w:firstRowFirstColumn="0" w:firstRowLastColumn="0" w:lastRowFirstColumn="0" w:lastRowLastColumn="0"/>
          <w:trHeight w:val="931"/>
        </w:trPr>
        <w:tc>
          <w:tcPr>
            <w:tcW w:w="0" w:type="dxa"/>
            <w:vMerge/>
            <w:vAlign w:val="center"/>
          </w:tcPr>
          <w:p w14:paraId="6D8FFF34" w14:textId="77777777" w:rsidR="009749C0" w:rsidRDefault="009749C0" w:rsidP="00AF232D">
            <w:pPr>
              <w:spacing w:after="0" w:line="240" w:lineRule="auto"/>
              <w:rPr>
                <w:rFonts w:cs="Arial"/>
                <w:szCs w:val="20"/>
              </w:rPr>
            </w:pPr>
          </w:p>
        </w:tc>
        <w:tc>
          <w:tcPr>
            <w:tcW w:w="0" w:type="dxa"/>
            <w:vAlign w:val="center"/>
          </w:tcPr>
          <w:p w14:paraId="483E573D" w14:textId="568FA3F1" w:rsidR="009749C0" w:rsidRPr="042E6B57" w:rsidRDefault="00C945D7" w:rsidP="00AF232D">
            <w:pPr>
              <w:spacing w:after="0" w:line="240" w:lineRule="auto"/>
              <w:rPr>
                <w:rFonts w:cs="Arial"/>
              </w:rPr>
            </w:pPr>
            <w:r>
              <w:rPr>
                <w:rFonts w:cs="Arial"/>
              </w:rPr>
              <w:t>Local-area</w:t>
            </w:r>
            <w:r w:rsidR="009749C0">
              <w:rPr>
                <w:rFonts w:cs="Arial"/>
              </w:rPr>
              <w:t xml:space="preserve"> </w:t>
            </w:r>
            <w:r>
              <w:rPr>
                <w:rFonts w:cs="Arial"/>
              </w:rPr>
              <w:t>wireless broadband</w:t>
            </w:r>
            <w:r w:rsidR="009749C0">
              <w:rPr>
                <w:rFonts w:cs="Arial"/>
              </w:rPr>
              <w:t xml:space="preserve">: </w:t>
            </w:r>
            <w:r w:rsidR="009749C0">
              <w:rPr>
                <w:rFonts w:cs="Arial"/>
                <w:b/>
                <w:bCs/>
              </w:rPr>
              <w:t xml:space="preserve">approximately </w:t>
            </w:r>
            <w:r w:rsidR="009749C0" w:rsidRPr="007E0B47">
              <w:rPr>
                <w:rFonts w:cs="Arial"/>
                <w:b/>
              </w:rPr>
              <w:t>$3.</w:t>
            </w:r>
            <w:r w:rsidR="009749C0">
              <w:rPr>
                <w:rFonts w:cs="Arial"/>
                <w:b/>
              </w:rPr>
              <w:t>8</w:t>
            </w:r>
            <w:r w:rsidR="009749C0">
              <w:rPr>
                <w:rFonts w:cs="Arial"/>
                <w:b/>
                <w:bCs/>
              </w:rPr>
              <w:t> </w:t>
            </w:r>
            <w:r w:rsidR="009749C0" w:rsidRPr="003937ED">
              <w:rPr>
                <w:rFonts w:cs="Arial"/>
                <w:b/>
              </w:rPr>
              <w:t>million</w:t>
            </w:r>
            <w:r w:rsidR="009749C0">
              <w:rPr>
                <w:rFonts w:cs="Arial"/>
                <w:bCs/>
              </w:rPr>
              <w:t xml:space="preserve">, </w:t>
            </w:r>
            <w:r w:rsidR="009749C0" w:rsidRPr="003937ED">
              <w:rPr>
                <w:rFonts w:cs="Arial"/>
              </w:rPr>
              <w:t>based</w:t>
            </w:r>
            <w:r w:rsidR="009749C0">
              <w:rPr>
                <w:rFonts w:cs="Arial"/>
              </w:rPr>
              <w:t xml:space="preserve"> on a value of $0.03</w:t>
            </w:r>
            <w:r w:rsidR="009749C0">
              <w:t>/MHz/pop in regional and remote areas.</w:t>
            </w:r>
          </w:p>
        </w:tc>
      </w:tr>
    </w:tbl>
    <w:p w14:paraId="602A4CCE" w14:textId="77777777" w:rsidR="009749C0" w:rsidRDefault="009749C0" w:rsidP="009749C0"/>
    <w:p w14:paraId="51D16801" w14:textId="22197E26" w:rsidR="009749C0" w:rsidRDefault="009749C0" w:rsidP="009749C0">
      <w:pPr>
        <w:pStyle w:val="Heading3"/>
      </w:pPr>
      <w:r w:rsidRPr="00E74A8F">
        <w:lastRenderedPageBreak/>
        <w:t xml:space="preserve">Option 3: </w:t>
      </w:r>
      <w:r>
        <w:t xml:space="preserve">Mobile satellite (including </w:t>
      </w:r>
      <w:r w:rsidR="00C945D7">
        <w:t>complementary ground component</w:t>
      </w:r>
      <w:r>
        <w:t xml:space="preserve"> and satellite IoT)</w:t>
      </w:r>
    </w:p>
    <w:p w14:paraId="698FE127" w14:textId="346842EB" w:rsidR="009749C0" w:rsidRDefault="009749C0" w:rsidP="009749C0">
      <w:pPr>
        <w:pStyle w:val="Paragraph"/>
        <w:rPr>
          <w:color w:val="000000" w:themeColor="text1"/>
        </w:rPr>
      </w:pPr>
      <w:bookmarkStart w:id="197" w:name="_Hlk34814697"/>
      <w:r>
        <w:t xml:space="preserve">Option 3 </w:t>
      </w:r>
      <w:r w:rsidRPr="042E6B57">
        <w:rPr>
          <w:color w:val="000000" w:themeColor="text1"/>
        </w:rPr>
        <w:t>accommodates new MSS</w:t>
      </w:r>
      <w:r w:rsidR="00C945D7">
        <w:rPr>
          <w:color w:val="000000" w:themeColor="text1"/>
        </w:rPr>
        <w:t xml:space="preserve"> (</w:t>
      </w:r>
      <w:r w:rsidRPr="042E6B57">
        <w:rPr>
          <w:color w:val="000000" w:themeColor="text1"/>
        </w:rPr>
        <w:t xml:space="preserve">including satellite IoT and </w:t>
      </w:r>
      <w:r w:rsidR="00C945D7">
        <w:rPr>
          <w:color w:val="000000" w:themeColor="text1"/>
        </w:rPr>
        <w:t>complementary ground component</w:t>
      </w:r>
      <w:r w:rsidRPr="042E6B57">
        <w:rPr>
          <w:color w:val="000000" w:themeColor="text1"/>
        </w:rPr>
        <w:t xml:space="preserve">) users and provides spectrum dedicated for satellite IoT services Australia-wide in the restricted band (guard band) protecting adjacent band TOB services. </w:t>
      </w:r>
    </w:p>
    <w:p w14:paraId="4FBD797F" w14:textId="77777777" w:rsidR="009749C0" w:rsidRDefault="009749C0" w:rsidP="00AD64F0">
      <w:pPr>
        <w:pStyle w:val="Paragraphbeforelist"/>
      </w:pPr>
      <w:r>
        <w:t>The key aspects of Option 3 compared with the status quo are the following:</w:t>
      </w:r>
    </w:p>
    <w:p w14:paraId="32EADF4B" w14:textId="77777777" w:rsidR="009749C0" w:rsidRDefault="009749C0" w:rsidP="009749C0">
      <w:pPr>
        <w:pStyle w:val="Bulletlevel1"/>
      </w:pPr>
      <w:r>
        <w:t>TOB would be required to vacate the band.</w:t>
      </w:r>
    </w:p>
    <w:p w14:paraId="77851822" w14:textId="77F22774" w:rsidR="009749C0" w:rsidRPr="00C80888" w:rsidRDefault="009749C0" w:rsidP="009749C0">
      <w:pPr>
        <w:pStyle w:val="Bulletlevel1"/>
      </w:pPr>
      <w:r w:rsidRPr="00C80888">
        <w:rPr>
          <w:bCs/>
          <w:color w:val="000000" w:themeColor="text1"/>
        </w:rPr>
        <w:t xml:space="preserve">MSS </w:t>
      </w:r>
      <w:r>
        <w:rPr>
          <w:bCs/>
          <w:color w:val="000000" w:themeColor="text1"/>
        </w:rPr>
        <w:t xml:space="preserve">(including satellite IoT and </w:t>
      </w:r>
      <w:r w:rsidR="00C945D7">
        <w:rPr>
          <w:bCs/>
          <w:color w:val="000000" w:themeColor="text1"/>
        </w:rPr>
        <w:t>complementary ground component</w:t>
      </w:r>
      <w:r>
        <w:rPr>
          <w:bCs/>
          <w:color w:val="000000" w:themeColor="text1"/>
        </w:rPr>
        <w:t>) would gain exclusive access to the band in 1980–2005/2170–2195 MHz.</w:t>
      </w:r>
    </w:p>
    <w:p w14:paraId="47FBD307" w14:textId="77777777" w:rsidR="009749C0" w:rsidRPr="004C0141" w:rsidRDefault="009749C0" w:rsidP="009749C0">
      <w:pPr>
        <w:pStyle w:val="Bulletlevel1last"/>
      </w:pPr>
      <w:r>
        <w:t>Low-power, low-duty-cycle satellite IoT supported on a shared basis in 2005–2010/2195–2200 MHz.</w:t>
      </w:r>
      <w:bookmarkEnd w:id="197"/>
    </w:p>
    <w:p w14:paraId="22DB84FE" w14:textId="77777777" w:rsidR="009749C0" w:rsidRDefault="009749C0" w:rsidP="009749C0">
      <w:pPr>
        <w:pStyle w:val="Heading4"/>
      </w:pPr>
      <w:r>
        <w:t>Option 3: Cost inputs</w:t>
      </w:r>
    </w:p>
    <w:p w14:paraId="5A89C8C2" w14:textId="782E60C8" w:rsidR="009749C0" w:rsidRDefault="009749C0" w:rsidP="009749C0">
      <w:pPr>
        <w:spacing w:after="0" w:line="240" w:lineRule="auto"/>
      </w:pPr>
      <w:r>
        <w:t xml:space="preserve">The cost inputs for Option 3 are equivalent to Option 2, in that TOB services would be cleared from the band. Refer to </w:t>
      </w:r>
      <w:r w:rsidR="006A5B3A">
        <w:t>‘</w:t>
      </w:r>
      <w:r w:rsidRPr="00AD64F0">
        <w:t>Option 2: Cost inputs</w:t>
      </w:r>
      <w:r w:rsidR="006A5B3A">
        <w:t>’</w:t>
      </w:r>
      <w:r>
        <w:t xml:space="preserve"> for further detail.</w:t>
      </w:r>
    </w:p>
    <w:p w14:paraId="72E79510" w14:textId="77777777" w:rsidR="009749C0" w:rsidRDefault="009749C0" w:rsidP="009749C0">
      <w:pPr>
        <w:pStyle w:val="Heading4"/>
      </w:pPr>
      <w:r>
        <w:t>Option 3: Benefit inputs</w:t>
      </w:r>
    </w:p>
    <w:p w14:paraId="394E77CE" w14:textId="03E622CB" w:rsidR="009749C0" w:rsidRDefault="009749C0" w:rsidP="009749C0">
      <w:r>
        <w:t xml:space="preserve">The main benefit inputs under Option 3 come from the introduction of MSS (including satellite IoT and </w:t>
      </w:r>
      <w:r w:rsidR="00C945D7">
        <w:t>complementary ground component</w:t>
      </w:r>
      <w:r>
        <w:t>). The benefit from the introduction of IoT is considered the same as under Option 1.</w:t>
      </w:r>
    </w:p>
    <w:p w14:paraId="1256F062" w14:textId="33BD018C" w:rsidR="009749C0" w:rsidRPr="00890609" w:rsidRDefault="009749C0" w:rsidP="00AD64F0">
      <w:pPr>
        <w:spacing w:after="0"/>
        <w:rPr>
          <w:u w:val="single"/>
        </w:rPr>
      </w:pPr>
      <w:r>
        <w:rPr>
          <w:u w:val="single"/>
        </w:rPr>
        <w:t xml:space="preserve">MSS (including satellite IoT and </w:t>
      </w:r>
      <w:r w:rsidR="00C945D7">
        <w:rPr>
          <w:u w:val="single"/>
        </w:rPr>
        <w:t>complementary ground component</w:t>
      </w:r>
      <w:r>
        <w:rPr>
          <w:u w:val="single"/>
        </w:rPr>
        <w:t>)</w:t>
      </w:r>
    </w:p>
    <w:p w14:paraId="2C508B36" w14:textId="0A3170BF" w:rsidR="009749C0" w:rsidRDefault="009749C0" w:rsidP="009749C0">
      <w:r>
        <w:t>The ACMA considers that the quantitative benefits of MSS (including the option of utilising complementary ground component</w:t>
      </w:r>
      <w:r w:rsidR="00C945D7">
        <w:t>)</w:t>
      </w:r>
      <w:r>
        <w:t xml:space="preserve"> are highly uncertain</w:t>
      </w:r>
      <w:r w:rsidR="00F146D1">
        <w:t xml:space="preserve"> and welcomes</w:t>
      </w:r>
      <w:r w:rsidR="00A26975">
        <w:t xml:space="preserve"> the submission of</w:t>
      </w:r>
      <w:r w:rsidR="00F146D1">
        <w:t xml:space="preserve"> </w:t>
      </w:r>
      <w:r w:rsidR="00DB731C">
        <w:t xml:space="preserve">any information </w:t>
      </w:r>
      <w:r w:rsidR="00A26975">
        <w:t xml:space="preserve">or data points </w:t>
      </w:r>
      <w:r w:rsidR="00DB731C">
        <w:t xml:space="preserve">that could </w:t>
      </w:r>
      <w:r w:rsidR="00A26975">
        <w:t xml:space="preserve">help </w:t>
      </w:r>
      <w:r w:rsidR="00535973">
        <w:t xml:space="preserve">illustrate these </w:t>
      </w:r>
      <w:r w:rsidR="00B40E5F">
        <w:t xml:space="preserve">quantitative </w:t>
      </w:r>
      <w:r w:rsidR="00535973">
        <w:t>benefits</w:t>
      </w:r>
      <w:r>
        <w:t xml:space="preserve">. This section therefore </w:t>
      </w:r>
      <w:r w:rsidR="00B40E5F">
        <w:t>relies on</w:t>
      </w:r>
      <w:r>
        <w:t xml:space="preserve"> a qualitative assessment of benefits for MSS (including </w:t>
      </w:r>
      <w:r w:rsidR="00C945D7">
        <w:t>complementary ground component</w:t>
      </w:r>
      <w:r>
        <w:t xml:space="preserve">) in comparison to </w:t>
      </w:r>
      <w:r w:rsidR="00C945D7">
        <w:t>wide-area</w:t>
      </w:r>
      <w:r>
        <w:t xml:space="preserve"> </w:t>
      </w:r>
      <w:r w:rsidR="00C945D7">
        <w:t>wireless broadband</w:t>
      </w:r>
      <w:r>
        <w:t xml:space="preserve"> use, as providing MSS operators with the option of utilising </w:t>
      </w:r>
      <w:r w:rsidR="00C945D7">
        <w:t>complementary ground component</w:t>
      </w:r>
      <w:r w:rsidR="2119D831">
        <w:t>. In</w:t>
      </w:r>
      <w:r>
        <w:t xml:space="preserve"> effect</w:t>
      </w:r>
      <w:r w:rsidR="00C772FC">
        <w:t>,</w:t>
      </w:r>
      <w:r w:rsidR="123EC84E">
        <w:t xml:space="preserve"> this</w:t>
      </w:r>
      <w:r>
        <w:t xml:space="preserve"> allows MSS to be supplemented by </w:t>
      </w:r>
      <w:r w:rsidR="00C945D7">
        <w:t>wide-area</w:t>
      </w:r>
      <w:r w:rsidDel="00D25A87">
        <w:t xml:space="preserve"> </w:t>
      </w:r>
      <w:r w:rsidR="00C945D7">
        <w:t>wireless broadband</w:t>
      </w:r>
      <w:r>
        <w:t xml:space="preserve"> services in high-demand areas where greater capacity is required, such as capital cities. </w:t>
      </w:r>
    </w:p>
    <w:p w14:paraId="28F96585" w14:textId="486A3EF2" w:rsidR="009749C0" w:rsidRDefault="009749C0" w:rsidP="009749C0">
      <w:r w:rsidRPr="00316D81">
        <w:t xml:space="preserve">The </w:t>
      </w:r>
      <w:r w:rsidRPr="00EA4B43">
        <w:t xml:space="preserve">potential for users to deploy either MSS or </w:t>
      </w:r>
      <w:r w:rsidR="00C945D7">
        <w:t>complementary ground component</w:t>
      </w:r>
      <w:r w:rsidRPr="00EA4B43">
        <w:t xml:space="preserve"> (</w:t>
      </w:r>
      <w:r>
        <w:t xml:space="preserve">similar </w:t>
      </w:r>
      <w:r w:rsidRPr="00316D81">
        <w:t xml:space="preserve">to </w:t>
      </w:r>
      <w:r w:rsidR="00C945D7">
        <w:t>wide-area</w:t>
      </w:r>
      <w:r w:rsidRPr="009825C0">
        <w:t xml:space="preserve"> </w:t>
      </w:r>
      <w:r w:rsidR="00C945D7">
        <w:t>wireless broadband</w:t>
      </w:r>
      <w:r w:rsidRPr="00EA4B43">
        <w:t xml:space="preserve">) or both, </w:t>
      </w:r>
      <w:r w:rsidRPr="00316D81">
        <w:t xml:space="preserve">depending on which is most suited </w:t>
      </w:r>
      <w:r w:rsidRPr="009825C0">
        <w:t xml:space="preserve">in </w:t>
      </w:r>
      <w:r w:rsidRPr="00EA4B43">
        <w:t>each geographic area,</w:t>
      </w:r>
      <w:r w:rsidRPr="00316D81">
        <w:t xml:space="preserve"> means that Option</w:t>
      </w:r>
      <w:r>
        <w:t> </w:t>
      </w:r>
      <w:r w:rsidRPr="00316D81">
        <w:t xml:space="preserve">3 may </w:t>
      </w:r>
      <w:r w:rsidRPr="009825C0">
        <w:t xml:space="preserve">provide for a </w:t>
      </w:r>
      <w:r w:rsidRPr="00EA4B43">
        <w:t xml:space="preserve">market-led determination of the most economically beneficial use in each geographic area. </w:t>
      </w:r>
      <w:r>
        <w:t>I</w:t>
      </w:r>
      <w:r w:rsidRPr="00EA4B43">
        <w:t xml:space="preserve">n geographic areas where </w:t>
      </w:r>
      <w:r w:rsidR="00C945D7">
        <w:t>wide-area</w:t>
      </w:r>
      <w:r w:rsidRPr="00EA4B43">
        <w:t xml:space="preserve"> </w:t>
      </w:r>
      <w:r w:rsidR="00C945D7">
        <w:t>wireless broadband</w:t>
      </w:r>
      <w:r w:rsidRPr="00EA4B43">
        <w:t xml:space="preserve"> is </w:t>
      </w:r>
      <w:r>
        <w:t xml:space="preserve">more </w:t>
      </w:r>
      <w:r w:rsidRPr="00EA4B43">
        <w:t xml:space="preserve">beneficial </w:t>
      </w:r>
      <w:r>
        <w:t xml:space="preserve">than MSS, there is the potential for </w:t>
      </w:r>
      <w:r w:rsidRPr="00EA4B43">
        <w:t xml:space="preserve">MSS operators </w:t>
      </w:r>
      <w:r>
        <w:t xml:space="preserve">to </w:t>
      </w:r>
      <w:r w:rsidRPr="00EA4B43">
        <w:t xml:space="preserve">utilise </w:t>
      </w:r>
      <w:r w:rsidR="00C945D7">
        <w:t>complementary ground component</w:t>
      </w:r>
      <w:r w:rsidRPr="00EA4B43">
        <w:t xml:space="preserve"> services and </w:t>
      </w:r>
      <w:r>
        <w:t xml:space="preserve">derive </w:t>
      </w:r>
      <w:r w:rsidRPr="00EA4B43">
        <w:t xml:space="preserve">similar economic benefits </w:t>
      </w:r>
      <w:r>
        <w:t xml:space="preserve">from the spectrum as </w:t>
      </w:r>
      <w:r w:rsidRPr="00EA4B43">
        <w:t>Option 2</w:t>
      </w:r>
      <w:r>
        <w:t xml:space="preserve">. In addition, </w:t>
      </w:r>
      <w:r w:rsidRPr="00EA4B43">
        <w:t xml:space="preserve">in geographic areas where MSS is more beneficial than </w:t>
      </w:r>
      <w:r w:rsidR="00C945D7">
        <w:t>wide-area</w:t>
      </w:r>
      <w:r w:rsidRPr="00EA4B43">
        <w:t xml:space="preserve"> </w:t>
      </w:r>
      <w:r w:rsidR="00C945D7">
        <w:t>wireless broadband</w:t>
      </w:r>
      <w:r w:rsidRPr="00EA4B43">
        <w:t xml:space="preserve"> (</w:t>
      </w:r>
      <w:r>
        <w:t>for example,</w:t>
      </w:r>
      <w:r w:rsidRPr="00EA4B43">
        <w:t xml:space="preserve"> remote areas), </w:t>
      </w:r>
      <w:r>
        <w:t xml:space="preserve">the same operators can </w:t>
      </w:r>
      <w:r w:rsidRPr="00EA4B43">
        <w:t>deploy MSS and thus generat</w:t>
      </w:r>
      <w:r>
        <w:t>e</w:t>
      </w:r>
      <w:r w:rsidRPr="00316D81">
        <w:t xml:space="preserve"> </w:t>
      </w:r>
      <w:r w:rsidRPr="0090528E">
        <w:t xml:space="preserve">more </w:t>
      </w:r>
      <w:r w:rsidRPr="00316D81">
        <w:t>economic benefits than</w:t>
      </w:r>
      <w:r w:rsidRPr="009825C0">
        <w:t xml:space="preserve"> Option 2.</w:t>
      </w:r>
    </w:p>
    <w:p w14:paraId="02B85D10" w14:textId="53C4F1AE" w:rsidR="009749C0" w:rsidRDefault="009749C0" w:rsidP="009749C0">
      <w:pPr>
        <w:rPr>
          <w:highlight w:val="yellow"/>
        </w:rPr>
      </w:pPr>
      <w:r>
        <w:t xml:space="preserve">It is noted that the actual benefits derived from the 2 GHz band by MSS use may depend on the licensing framework implemented following a replanning decision. In particular, we note that spectrum licensing may not be the optimal licensing framework for MSS use, and that this deviates from the basis for $/MHz/pop benefit approximations in this CBA (under Option 2 for </w:t>
      </w:r>
      <w:r w:rsidR="00C945D7">
        <w:t>wide-area</w:t>
      </w:r>
      <w:r>
        <w:t xml:space="preserve"> </w:t>
      </w:r>
      <w:r w:rsidR="00C945D7">
        <w:t>wireless broadband</w:t>
      </w:r>
      <w:r>
        <w:t xml:space="preserve"> and logically under Option 3 where </w:t>
      </w:r>
      <w:r w:rsidR="00C945D7">
        <w:t>complementary ground component</w:t>
      </w:r>
      <w:r>
        <w:t xml:space="preserve"> has been compared with </w:t>
      </w:r>
      <w:r w:rsidR="00C945D7">
        <w:t>wide-area</w:t>
      </w:r>
      <w:r>
        <w:t xml:space="preserve"> </w:t>
      </w:r>
      <w:r w:rsidR="00C945D7">
        <w:t>wireless broadband</w:t>
      </w:r>
      <w:r>
        <w:t>). At this stage, the ACMA considers it to be prudent to assess the potential benefits of each option irrespective of the licensing framework that may be applied, so the impact of different licensing arrangements has not been analysed in this CBA.</w:t>
      </w:r>
    </w:p>
    <w:p w14:paraId="75D6D5B3" w14:textId="77777777" w:rsidR="009749C0" w:rsidRDefault="009749C0" w:rsidP="00AD64F0">
      <w:pPr>
        <w:pStyle w:val="Heading4"/>
        <w:keepNext/>
        <w:keepLines/>
      </w:pPr>
      <w:r>
        <w:lastRenderedPageBreak/>
        <w:t>Option 3: Net benefit</w:t>
      </w:r>
    </w:p>
    <w:p w14:paraId="4DD11849" w14:textId="3C4ABB3D" w:rsidR="009749C0" w:rsidRDefault="009749C0" w:rsidP="00AD64F0">
      <w:pPr>
        <w:pStyle w:val="Paragraph"/>
        <w:keepNext/>
        <w:keepLines/>
      </w:pPr>
      <w:r>
        <w:t xml:space="preserve">Option 3 is considered net beneficial as the economic benefits of providing MSS users access to the 2 GHz band are projected to be greater than the costs associated with clearance of TOB services. The position of Option 3 in comparison with Option 2 therefore hinges on whether MSS (including satellite IoT and </w:t>
      </w:r>
      <w:r w:rsidR="00C945D7">
        <w:t>complementary ground component</w:t>
      </w:r>
      <w:r>
        <w:t xml:space="preserve">) is more beneficial than a combination of </w:t>
      </w:r>
      <w:r w:rsidR="00C945D7">
        <w:t>wide-area and local-area</w:t>
      </w:r>
      <w:r>
        <w:t xml:space="preserve"> </w:t>
      </w:r>
      <w:r w:rsidR="00C945D7">
        <w:t>wireless broadband</w:t>
      </w:r>
      <w:r>
        <w:t xml:space="preserve">. These comparisons will be considered further in the following </w:t>
      </w:r>
      <w:r>
        <w:rPr>
          <w:i/>
          <w:iCs/>
        </w:rPr>
        <w:t>Option comparison</w:t>
      </w:r>
      <w:r>
        <w:t xml:space="preserve"> section of this CBA.</w:t>
      </w:r>
    </w:p>
    <w:p w14:paraId="699D746B" w14:textId="77777777" w:rsidR="009749C0" w:rsidRDefault="009749C0" w:rsidP="00AD64F0">
      <w:pPr>
        <w:pStyle w:val="Tableheading"/>
        <w:tabs>
          <w:tab w:val="clear" w:pos="1957"/>
        </w:tabs>
        <w:ind w:left="1134" w:hanging="1134"/>
      </w:pPr>
      <w:r>
        <w:t>Option 3 cost-benefit side-by-side comparison</w:t>
      </w:r>
    </w:p>
    <w:tbl>
      <w:tblPr>
        <w:tblStyle w:val="ACMAtablestyle"/>
        <w:tblW w:w="7650" w:type="dxa"/>
        <w:tblLayout w:type="fixed"/>
        <w:tblCellMar>
          <w:top w:w="57" w:type="dxa"/>
          <w:bottom w:w="57" w:type="dxa"/>
        </w:tblCellMar>
        <w:tblLook w:val="04A0" w:firstRow="1" w:lastRow="0" w:firstColumn="1" w:lastColumn="0" w:noHBand="0" w:noVBand="1"/>
      </w:tblPr>
      <w:tblGrid>
        <w:gridCol w:w="3825"/>
        <w:gridCol w:w="3825"/>
      </w:tblGrid>
      <w:tr w:rsidR="009749C0" w:rsidRPr="006A5B3A" w14:paraId="507A61AF" w14:textId="77777777" w:rsidTr="00AD64F0">
        <w:trPr>
          <w:cnfStyle w:val="100000000000" w:firstRow="1" w:lastRow="0" w:firstColumn="0" w:lastColumn="0" w:oddVBand="0" w:evenVBand="0" w:oddHBand="0" w:evenHBand="0" w:firstRowFirstColumn="0" w:firstRowLastColumn="0" w:lastRowFirstColumn="0" w:lastRowLastColumn="0"/>
          <w:tblHeader w:val="0"/>
        </w:trPr>
        <w:tc>
          <w:tcPr>
            <w:tcW w:w="0" w:type="dxa"/>
            <w:tcBorders>
              <w:top w:val="none" w:sz="0" w:space="0" w:color="auto"/>
              <w:left w:val="none" w:sz="0" w:space="0" w:color="auto"/>
              <w:bottom w:val="none" w:sz="0" w:space="0" w:color="auto"/>
              <w:right w:val="none" w:sz="0" w:space="0" w:color="auto"/>
            </w:tcBorders>
          </w:tcPr>
          <w:p w14:paraId="58882D26" w14:textId="77777777" w:rsidR="009749C0" w:rsidRPr="00AD64F0" w:rsidRDefault="009749C0" w:rsidP="00AF232D">
            <w:pPr>
              <w:spacing w:after="0" w:line="240" w:lineRule="auto"/>
              <w:rPr>
                <w:rFonts w:cs="Arial"/>
                <w:b/>
                <w:bCs/>
                <w:szCs w:val="20"/>
              </w:rPr>
            </w:pPr>
            <w:r w:rsidRPr="00AD64F0">
              <w:rPr>
                <w:rFonts w:cs="Arial"/>
                <w:b/>
                <w:bCs/>
                <w:szCs w:val="20"/>
              </w:rPr>
              <w:t>Costs</w:t>
            </w:r>
          </w:p>
        </w:tc>
        <w:tc>
          <w:tcPr>
            <w:tcW w:w="0" w:type="dxa"/>
            <w:tcBorders>
              <w:top w:val="none" w:sz="0" w:space="0" w:color="auto"/>
              <w:left w:val="none" w:sz="0" w:space="0" w:color="auto"/>
              <w:bottom w:val="none" w:sz="0" w:space="0" w:color="auto"/>
              <w:right w:val="none" w:sz="0" w:space="0" w:color="auto"/>
            </w:tcBorders>
            <w:vAlign w:val="center"/>
          </w:tcPr>
          <w:p w14:paraId="7B38E371" w14:textId="77777777" w:rsidR="009749C0" w:rsidRPr="00AD64F0" w:rsidRDefault="009749C0" w:rsidP="00AF232D">
            <w:pPr>
              <w:spacing w:after="0" w:line="240" w:lineRule="auto"/>
              <w:rPr>
                <w:rFonts w:cs="Arial"/>
                <w:b/>
                <w:bCs/>
                <w:szCs w:val="20"/>
              </w:rPr>
            </w:pPr>
            <w:r w:rsidRPr="00AD64F0">
              <w:rPr>
                <w:rFonts w:cs="Arial"/>
                <w:b/>
                <w:bCs/>
                <w:szCs w:val="20"/>
              </w:rPr>
              <w:t>Benefits</w:t>
            </w:r>
          </w:p>
        </w:tc>
      </w:tr>
      <w:tr w:rsidR="009749C0" w:rsidRPr="0034301D" w14:paraId="6F64BA48" w14:textId="77777777" w:rsidTr="00AD64F0">
        <w:trPr>
          <w:cnfStyle w:val="000000100000" w:firstRow="0" w:lastRow="0" w:firstColumn="0" w:lastColumn="0" w:oddVBand="0" w:evenVBand="0" w:oddHBand="1" w:evenHBand="0" w:firstRowFirstColumn="0" w:firstRowLastColumn="0" w:lastRowFirstColumn="0" w:lastRowLastColumn="0"/>
          <w:trHeight w:val="2094"/>
        </w:trPr>
        <w:tc>
          <w:tcPr>
            <w:tcW w:w="0" w:type="dxa"/>
            <w:vAlign w:val="center"/>
          </w:tcPr>
          <w:p w14:paraId="02024554" w14:textId="00795578" w:rsidR="009749C0" w:rsidRPr="0098118F" w:rsidRDefault="009749C0" w:rsidP="00AF232D">
            <w:pPr>
              <w:spacing w:after="0" w:line="240" w:lineRule="auto"/>
              <w:rPr>
                <w:rFonts w:cs="Arial"/>
              </w:rPr>
            </w:pPr>
            <w:r w:rsidRPr="23D4912F">
              <w:rPr>
                <w:rFonts w:cs="Arial"/>
              </w:rPr>
              <w:t xml:space="preserve">TOB services lose access to the band: </w:t>
            </w:r>
            <w:r w:rsidRPr="23D4912F">
              <w:rPr>
                <w:rFonts w:cs="Arial"/>
                <w:b/>
              </w:rPr>
              <w:t>approximately</w:t>
            </w:r>
            <w:r w:rsidRPr="23D4912F">
              <w:rPr>
                <w:rFonts w:cs="Arial"/>
              </w:rPr>
              <w:t xml:space="preserve"> </w:t>
            </w:r>
            <w:r w:rsidRPr="23D4912F">
              <w:rPr>
                <w:rFonts w:cs="Arial"/>
                <w:b/>
              </w:rPr>
              <w:t>$1.1 million–$1.9 million</w:t>
            </w:r>
            <w:r w:rsidRPr="23D4912F">
              <w:rPr>
                <w:rFonts w:cs="Arial"/>
              </w:rPr>
              <w:t>, based on the uncertain cost range of $50,000–$85,000 per TOB licence.</w:t>
            </w:r>
          </w:p>
        </w:tc>
        <w:tc>
          <w:tcPr>
            <w:tcW w:w="0" w:type="dxa"/>
            <w:vAlign w:val="center"/>
          </w:tcPr>
          <w:p w14:paraId="2C2A5752" w14:textId="49D0844E" w:rsidR="009749C0" w:rsidRPr="00B315C7" w:rsidRDefault="009749C0" w:rsidP="00AF232D">
            <w:pPr>
              <w:pStyle w:val="CommentText"/>
              <w:spacing w:after="0"/>
            </w:pPr>
            <w:r w:rsidRPr="00AD64F0">
              <w:rPr>
                <w:rFonts w:cs="Arial"/>
              </w:rPr>
              <w:t xml:space="preserve">MSS (including </w:t>
            </w:r>
            <w:r w:rsidR="00C945D7" w:rsidRPr="00AD64F0">
              <w:rPr>
                <w:rFonts w:cs="Arial"/>
              </w:rPr>
              <w:t>complementary ground component</w:t>
            </w:r>
            <w:r w:rsidRPr="00AD64F0">
              <w:rPr>
                <w:rFonts w:cs="Arial"/>
              </w:rPr>
              <w:t>)</w:t>
            </w:r>
            <w:r w:rsidRPr="00AD64F0" w:rsidDel="0A4745FA">
              <w:rPr>
                <w:rFonts w:cs="Arial"/>
              </w:rPr>
              <w:t xml:space="preserve"> </w:t>
            </w:r>
            <w:r w:rsidRPr="00AD64F0">
              <w:rPr>
                <w:rFonts w:cs="Arial"/>
              </w:rPr>
              <w:t xml:space="preserve">considered to potentially derive </w:t>
            </w:r>
            <w:r w:rsidRPr="00AD64F0">
              <w:t xml:space="preserve">benefits greater than Option 2 </w:t>
            </w:r>
            <w:r w:rsidR="00C945D7" w:rsidRPr="00AD64F0">
              <w:t>wide-area</w:t>
            </w:r>
            <w:r w:rsidRPr="00AD64F0">
              <w:t xml:space="preserve"> </w:t>
            </w:r>
            <w:r w:rsidR="00C945D7" w:rsidRPr="00AD64F0">
              <w:t>wireless broadband</w:t>
            </w:r>
            <w:r w:rsidRPr="00AD64F0">
              <w:t xml:space="preserve"> benefits</w:t>
            </w:r>
            <w:r>
              <w:t xml:space="preserve">, as </w:t>
            </w:r>
            <w:r w:rsidR="00C945D7">
              <w:t>complementary ground component</w:t>
            </w:r>
            <w:r>
              <w:t xml:space="preserve"> can provide similar benefits to </w:t>
            </w:r>
            <w:r w:rsidR="00C945D7">
              <w:t>wide-area</w:t>
            </w:r>
            <w:r>
              <w:t xml:space="preserve"> </w:t>
            </w:r>
            <w:r w:rsidR="00C945D7">
              <w:t>wireless broadband</w:t>
            </w:r>
            <w:r>
              <w:t xml:space="preserve"> in geographic areas where this use is most beneficial, while MSS can provide greater benefits than </w:t>
            </w:r>
            <w:r w:rsidR="00C945D7">
              <w:t>wide-area</w:t>
            </w:r>
            <w:r>
              <w:t xml:space="preserve"> </w:t>
            </w:r>
            <w:r w:rsidR="00C945D7">
              <w:t>wireless broadband</w:t>
            </w:r>
            <w:r>
              <w:t xml:space="preserve"> in other</w:t>
            </w:r>
            <w:r w:rsidR="006A5B3A">
              <w:t> </w:t>
            </w:r>
            <w:r>
              <w:t>areas</w:t>
            </w:r>
            <w:r w:rsidR="006A5B3A">
              <w:t xml:space="preserve">. </w:t>
            </w:r>
            <w:r>
              <w:t xml:space="preserve"> </w:t>
            </w:r>
          </w:p>
        </w:tc>
      </w:tr>
    </w:tbl>
    <w:p w14:paraId="064B56AB" w14:textId="77777777" w:rsidR="009749C0" w:rsidRPr="009618EE" w:rsidRDefault="009749C0" w:rsidP="009749C0">
      <w:pPr>
        <w:pStyle w:val="Heading2"/>
      </w:pPr>
      <w:bookmarkStart w:id="198" w:name="_Toc46316405"/>
      <w:r w:rsidRPr="009618EE">
        <w:t>Option comparison</w:t>
      </w:r>
      <w:bookmarkEnd w:id="198"/>
    </w:p>
    <w:p w14:paraId="13489100" w14:textId="2F27E411" w:rsidR="009749C0" w:rsidRDefault="009749C0" w:rsidP="009749C0">
      <w:pPr>
        <w:pStyle w:val="Paragraph"/>
      </w:pPr>
      <w:r w:rsidRPr="00FC71B1">
        <w:t xml:space="preserve">Each replanning option for the </w:t>
      </w:r>
      <w:r>
        <w:t>2 GHz</w:t>
      </w:r>
      <w:r w:rsidRPr="00FC71B1">
        <w:t xml:space="preserve"> band contains various unquantifiable cost-benefit inputs, and there is also uncertainty in the quantifiable inputs. This means that determining the optimal replanning option from a cost-benefit perspective is </w:t>
      </w:r>
      <w:r w:rsidR="00EF45D4">
        <w:t>also partly uncertain</w:t>
      </w:r>
      <w:r>
        <w:t>, although there are some robust qualitative cases for particular options.</w:t>
      </w:r>
    </w:p>
    <w:p w14:paraId="61EF6D49" w14:textId="77777777" w:rsidR="009749C0" w:rsidRDefault="009749C0" w:rsidP="009749C0">
      <w:pPr>
        <w:pStyle w:val="Paragraph"/>
      </w:pPr>
      <w:r>
        <w:t xml:space="preserve">The only departures from the status quo for Option 1 in terms of cost and benefit inputs are access to 2 x 5 MHz for satellite IoT (which is available under all options so is not a point of difference in this comparison) and added certainty for TOB users. The ACMA considers that the minor net benefit exclusively available in Option 1 is likely to be exceeded by the net benefit of replanning the band for a new use, as occurs under Options 2 and 3. </w:t>
      </w:r>
    </w:p>
    <w:p w14:paraId="394083E1" w14:textId="49C85D17" w:rsidR="009749C0" w:rsidRDefault="009749C0" w:rsidP="009749C0">
      <w:pPr>
        <w:pStyle w:val="Paragraph"/>
      </w:pPr>
      <w:r>
        <w:t xml:space="preserve">With Option 1 removed from consideration as the option most likely to maximise net benefit, the key issue for comparing the remaining options is whether </w:t>
      </w:r>
      <w:r w:rsidR="00C945D7">
        <w:t>local-area or wide-area</w:t>
      </w:r>
      <w:r>
        <w:t xml:space="preserve"> </w:t>
      </w:r>
      <w:r w:rsidR="00C945D7">
        <w:t>wireless broadband</w:t>
      </w:r>
      <w:r>
        <w:t xml:space="preserve"> or MSS (including </w:t>
      </w:r>
      <w:r w:rsidR="00C945D7">
        <w:t>complementary ground component</w:t>
      </w:r>
      <w:r>
        <w:t xml:space="preserve">) will be more beneficial (that is, comparing Options 2 and 3). Resolving this </w:t>
      </w:r>
      <w:r w:rsidRPr="00F90F32">
        <w:t>issue</w:t>
      </w:r>
      <w:r>
        <w:t>,</w:t>
      </w:r>
      <w:r w:rsidRPr="007D0F29">
        <w:t xml:space="preserve"> based on the CBA approach, will help determine the option likely to be most net beneficial after accounting for all cost and benefit inputs</w:t>
      </w:r>
      <w:r>
        <w:t>.</w:t>
      </w:r>
    </w:p>
    <w:p w14:paraId="7B1019F7" w14:textId="67D8137E" w:rsidR="009749C0" w:rsidRDefault="009749C0" w:rsidP="009749C0">
      <w:pPr>
        <w:pStyle w:val="Heading3"/>
      </w:pPr>
      <w:r>
        <w:t xml:space="preserve">Benefit comparison of </w:t>
      </w:r>
      <w:r w:rsidR="00C945D7">
        <w:t>wireless broadband</w:t>
      </w:r>
      <w:r>
        <w:t xml:space="preserve"> and MSS</w:t>
      </w:r>
    </w:p>
    <w:p w14:paraId="33C100A8" w14:textId="68D80D52" w:rsidR="009749C0" w:rsidRDefault="009749C0" w:rsidP="009749C0">
      <w:pPr>
        <w:pStyle w:val="Paragraph"/>
      </w:pPr>
      <w:r>
        <w:t xml:space="preserve">The comparison between </w:t>
      </w:r>
      <w:r w:rsidR="00C945D7">
        <w:t>wireless broadband</w:t>
      </w:r>
      <w:r>
        <w:t xml:space="preserve"> and MSS was outlined in the </w:t>
      </w:r>
      <w:r>
        <w:rPr>
          <w:i/>
          <w:iCs/>
        </w:rPr>
        <w:t>Option 3: Benefit inputs</w:t>
      </w:r>
      <w:r>
        <w:t xml:space="preserve"> section. The optionality afforded by MSS in enabling MSS operators to deploy </w:t>
      </w:r>
      <w:r w:rsidR="00C945D7">
        <w:t>complementary ground component</w:t>
      </w:r>
      <w:r>
        <w:t xml:space="preserve">, which if implemented could be generally equivalent to a </w:t>
      </w:r>
      <w:r w:rsidR="00C945D7">
        <w:t>wide-area</w:t>
      </w:r>
      <w:r>
        <w:t xml:space="preserve"> </w:t>
      </w:r>
      <w:r w:rsidR="00C945D7">
        <w:t>wireless broadband</w:t>
      </w:r>
      <w:r>
        <w:t xml:space="preserve"> service, would allow for the market to determine whether </w:t>
      </w:r>
      <w:r w:rsidR="00C945D7">
        <w:t>wireless broadband</w:t>
      </w:r>
      <w:r>
        <w:t xml:space="preserve"> or MSS would be able to derive greater economic benefit from the spectrum. This may vary between different geographic areas – while Option 2 would only allow for </w:t>
      </w:r>
      <w:r w:rsidR="00C945D7">
        <w:t>wide-area or local-area</w:t>
      </w:r>
      <w:r>
        <w:t xml:space="preserve"> </w:t>
      </w:r>
      <w:r w:rsidR="00C945D7">
        <w:t>wireless broadband</w:t>
      </w:r>
      <w:r>
        <w:t xml:space="preserve"> in different geographic areas, Option 3 could theoretically allow for MSS or </w:t>
      </w:r>
      <w:r w:rsidR="00C945D7">
        <w:t>wireless broadband</w:t>
      </w:r>
      <w:r>
        <w:t xml:space="preserve"> depending on whether the geographic area suits either use.</w:t>
      </w:r>
    </w:p>
    <w:p w14:paraId="0E43047A" w14:textId="7D715C8C" w:rsidR="009749C0" w:rsidRDefault="009749C0" w:rsidP="009749C0">
      <w:pPr>
        <w:pStyle w:val="Paragraph"/>
      </w:pPr>
      <w:r w:rsidRPr="00F105C4">
        <w:lastRenderedPageBreak/>
        <w:t xml:space="preserve">The 2 x 25 MHz of spectrum is also likely to represent high marginal benefit if allocated to MSS (which has 113.7 MHz of spectrum between 1–6 GHz). The 2 x 25 MHz of spectrum may exhibit more acute diminishing marginal value for </w:t>
      </w:r>
      <w:r w:rsidR="00C945D7">
        <w:t>wide-area</w:t>
      </w:r>
      <w:r w:rsidRPr="00F105C4">
        <w:t xml:space="preserve"> </w:t>
      </w:r>
      <w:r w:rsidR="00C945D7">
        <w:t>wireless broadband</w:t>
      </w:r>
      <w:r w:rsidRPr="00F105C4">
        <w:t xml:space="preserve"> since there is a substantial amount of equivalent spectrum already available for </w:t>
      </w:r>
      <w:r w:rsidR="00C945D7">
        <w:t>wide-area</w:t>
      </w:r>
      <w:r w:rsidRPr="00F105C4">
        <w:t xml:space="preserve"> </w:t>
      </w:r>
      <w:r w:rsidR="00C945D7">
        <w:t>wireless broadband</w:t>
      </w:r>
      <w:r w:rsidRPr="00F105C4">
        <w:t xml:space="preserve"> between the 1800 MHz band and the 2.5 GHz band, as outlined under </w:t>
      </w:r>
      <w:r w:rsidR="006A5B3A">
        <w:t>‘</w:t>
      </w:r>
      <w:r w:rsidRPr="00AD64F0">
        <w:t>Option 2: Benefit inputs</w:t>
      </w:r>
      <w:r w:rsidR="006A5B3A">
        <w:t>’</w:t>
      </w:r>
      <w:r w:rsidRPr="00F105C4">
        <w:t xml:space="preserve"> in this appendix.</w:t>
      </w:r>
      <w:r>
        <w:t xml:space="preserve"> </w:t>
      </w:r>
    </w:p>
    <w:p w14:paraId="3C0F6ED3" w14:textId="77777777" w:rsidR="009749C0" w:rsidRDefault="009749C0" w:rsidP="009749C0">
      <w:pPr>
        <w:pStyle w:val="Paragraph"/>
      </w:pPr>
      <w:r>
        <w:t>The ACMA therefore considers that Option 3 is more likely to maximise net benefit than Option 2, although it has been noted that the potential benefits derived may depend on the licensing framework imposed on the band.</w:t>
      </w:r>
    </w:p>
    <w:p w14:paraId="371B5877" w14:textId="77777777" w:rsidR="009749C0" w:rsidRDefault="009749C0" w:rsidP="009749C0">
      <w:pPr>
        <w:pStyle w:val="Heading3"/>
      </w:pPr>
      <w:r>
        <w:t>Summary</w:t>
      </w:r>
    </w:p>
    <w:p w14:paraId="2F1D8F78" w14:textId="77777777" w:rsidR="009749C0" w:rsidRPr="00665D40" w:rsidRDefault="009749C0" w:rsidP="00AD64F0">
      <w:pPr>
        <w:pStyle w:val="Paragraphbeforelist"/>
      </w:pPr>
      <w:r w:rsidRPr="00665D40">
        <w:t>The above analysis results in the following summarised CBA results:</w:t>
      </w:r>
    </w:p>
    <w:p w14:paraId="1C15B7F3" w14:textId="77777777" w:rsidR="009749C0" w:rsidRPr="00665D40" w:rsidRDefault="009749C0" w:rsidP="009749C0">
      <w:pPr>
        <w:pStyle w:val="Bulletlevel1"/>
      </w:pPr>
      <w:r w:rsidRPr="00B87396">
        <w:t>Option 1</w:t>
      </w:r>
      <w:r w:rsidRPr="00665D40">
        <w:t>: expected to only generate a small net benefit compared with the status quo, resulting from access to satellite IoT in 2 x 5 MHz on a shared basis (as is the case under all options) and added certainty for TOB users.</w:t>
      </w:r>
    </w:p>
    <w:p w14:paraId="083EB874" w14:textId="36E2EA7A" w:rsidR="009749C0" w:rsidRPr="00665D40" w:rsidRDefault="009749C0" w:rsidP="009749C0">
      <w:pPr>
        <w:pStyle w:val="Bulletlevel1"/>
      </w:pPr>
      <w:r w:rsidRPr="00B87396">
        <w:t>Option 2</w:t>
      </w:r>
      <w:r w:rsidRPr="00665D40">
        <w:t xml:space="preserve">: expected to be highly net beneficial as </w:t>
      </w:r>
      <w:r w:rsidR="00C945D7">
        <w:t>wide-area</w:t>
      </w:r>
      <w:r w:rsidRPr="00665D40">
        <w:t xml:space="preserve"> </w:t>
      </w:r>
      <w:r w:rsidR="00C945D7">
        <w:t>wireless broadband</w:t>
      </w:r>
      <w:r w:rsidRPr="00665D40">
        <w:t xml:space="preserve"> users have placed a strong demonstrated value on equivalent spectrum that significantly exceeds the costs of displacing TOB services, while there is also some spectrum made available to </w:t>
      </w:r>
      <w:r w:rsidR="00C945D7">
        <w:t>local-area</w:t>
      </w:r>
      <w:r w:rsidRPr="00665D40">
        <w:t xml:space="preserve"> </w:t>
      </w:r>
      <w:r w:rsidR="00C945D7">
        <w:t>wireless broadband</w:t>
      </w:r>
      <w:r w:rsidRPr="00665D40">
        <w:t xml:space="preserve"> users in regional and remote areas.</w:t>
      </w:r>
    </w:p>
    <w:p w14:paraId="6936DF14" w14:textId="3A0660DC" w:rsidR="009749C0" w:rsidRPr="00665D40" w:rsidRDefault="009749C0" w:rsidP="009749C0">
      <w:pPr>
        <w:pStyle w:val="Bulletlevel1"/>
      </w:pPr>
      <w:r w:rsidRPr="00B87396">
        <w:t>Option 3</w:t>
      </w:r>
      <w:r w:rsidRPr="00665D40">
        <w:t xml:space="preserve">: expected to be highly net beneficial as the utilisation of </w:t>
      </w:r>
      <w:r w:rsidR="00C945D7">
        <w:t>complementary ground component</w:t>
      </w:r>
      <w:r w:rsidRPr="00665D40">
        <w:t xml:space="preserve"> by MSS users could allow for the dual benefits of MSS and </w:t>
      </w:r>
      <w:r w:rsidR="00C945D7">
        <w:t>wireless broadband</w:t>
      </w:r>
      <w:r w:rsidRPr="00665D40">
        <w:t xml:space="preserve">, with different services being deployed based on what is most economically beneficial in each geographic area. This is considered the option most likely to maximise net benefit as the market can determine whether MSS or </w:t>
      </w:r>
      <w:r w:rsidR="00C945D7">
        <w:t>wireless broadband</w:t>
      </w:r>
      <w:r w:rsidRPr="00665D40">
        <w:t xml:space="preserve"> use is most beneficial.</w:t>
      </w:r>
      <w:bookmarkEnd w:id="192"/>
      <w:r w:rsidRPr="00665D40">
        <w:br w:type="page"/>
      </w:r>
    </w:p>
    <w:p w14:paraId="4CE88524" w14:textId="77777777" w:rsidR="009749C0" w:rsidRDefault="009749C0" w:rsidP="009749C0">
      <w:pPr>
        <w:pStyle w:val="Heading2"/>
      </w:pPr>
      <w:bookmarkStart w:id="199" w:name="_Cost-benefit_analysis_methodology"/>
      <w:bookmarkStart w:id="200" w:name="_Toc46316406"/>
      <w:bookmarkEnd w:id="199"/>
      <w:r>
        <w:lastRenderedPageBreak/>
        <w:t>Cost-benefit analysis methodology</w:t>
      </w:r>
      <w:bookmarkEnd w:id="200"/>
    </w:p>
    <w:p w14:paraId="288D704E" w14:textId="4BA3BD54" w:rsidR="00CA20C3" w:rsidRPr="00FC71B1" w:rsidRDefault="00CA20C3" w:rsidP="00CA20C3">
      <w:r w:rsidRPr="00FC71B1">
        <w:t xml:space="preserve">When undertaking a CBA for the purposes of band replanning, the ACMA </w:t>
      </w:r>
      <w:r>
        <w:t xml:space="preserve">assesses the </w:t>
      </w:r>
      <w:r w:rsidRPr="00FC71B1">
        <w:t xml:space="preserve">impact that a regulatory proposal has on the public interest </w:t>
      </w:r>
      <w:r w:rsidR="561E937F">
        <w:t>by measuring</w:t>
      </w:r>
      <w:r w:rsidRPr="00FC71B1">
        <w:t xml:space="preserve"> the sum of the effects on consumers, producers and government, as well as the broader social impacts on the community. The replanning decision for a particular spectrum band is therefore informed by evidence that there are alternative uses that increase the total economic value derived from using the spectrum</w:t>
      </w:r>
      <w:r>
        <w:t xml:space="preserve"> compared to the status quo.</w:t>
      </w:r>
    </w:p>
    <w:p w14:paraId="4EF29B26" w14:textId="77777777" w:rsidR="00171BFE" w:rsidRDefault="00171BFE" w:rsidP="00171BFE">
      <w:r w:rsidRPr="00FC71B1">
        <w:t>It is important to note that the impacts of a potential change in spectrum use are both quantitative and qualitative. Some benefits or costs may not be amenable to quantification, such as changes in the economic value placed on services by consumers, and broader social impacts (externalities). Notwithstanding this, they should be evaluated and supported with evidence to the extent possible</w:t>
      </w:r>
      <w:r>
        <w:t>.</w:t>
      </w:r>
    </w:p>
    <w:p w14:paraId="4BE1AE52" w14:textId="77777777" w:rsidR="009749C0" w:rsidRDefault="009749C0" w:rsidP="009749C0">
      <w:pPr>
        <w:pStyle w:val="Heading3"/>
      </w:pPr>
      <w:r>
        <w:t>Constant and variable output cases</w:t>
      </w:r>
    </w:p>
    <w:p w14:paraId="2BE94EFD" w14:textId="77777777" w:rsidR="009749C0" w:rsidRPr="005D28DC" w:rsidRDefault="009749C0" w:rsidP="009749C0">
      <w:pPr>
        <w:pStyle w:val="Paragraph"/>
      </w:pPr>
      <w:r>
        <w:t>Each cost and benefit input in this CBA has the potential to be either a constant output case or a variable output case. Further detail on what each type of case represents is outlined below.</w:t>
      </w:r>
    </w:p>
    <w:p w14:paraId="30881987" w14:textId="77777777" w:rsidR="009749C0" w:rsidRPr="00DA7D18" w:rsidRDefault="009749C0" w:rsidP="009749C0">
      <w:pPr>
        <w:pStyle w:val="Heading4"/>
      </w:pPr>
      <w:r>
        <w:t>Constant output cases</w:t>
      </w:r>
    </w:p>
    <w:p w14:paraId="190EAD05" w14:textId="77777777" w:rsidR="00D52AF1" w:rsidRDefault="004162EE" w:rsidP="004162EE">
      <w:r w:rsidRPr="00FC71B1">
        <w:t>In many cases, spectrum replanning decisions will affect only the cost of delivering a given service. In these cases, the outputs of the affected parties—both those parties losing access to spectrum and those parties gaining spectrum—are unlikely to significantly change. These are referred to as ‘constant output’ cases. It is important to note that these cases do not always depend upon the availability of equivalent spectrum, as the same or very similar output may be achieved through non-spectrum options or through using alternative spectrum options.</w:t>
      </w:r>
    </w:p>
    <w:p w14:paraId="241CD253" w14:textId="73F24072" w:rsidR="004162EE" w:rsidRPr="00FC71B1" w:rsidRDefault="00D52AF1" w:rsidP="004162EE">
      <w:r w:rsidRPr="00FC71B1">
        <w:t xml:space="preserve">Where outputs do not substantially change, the consumer benefits and broader social net benefits will be subject to zero or minimal change. In these cases, it will therefore be sufficient to only evaluate the cost implications of the reform. For displaced incumbents, this refers to the additional supply cost burden of providing an equivalent services without access to the spectrum they currently use, while for potential new users of the band it refers to the supply cost reduction that the spectrum would provide for their service provision. </w:t>
      </w:r>
      <w:r w:rsidR="004162EE" w:rsidRPr="00FC71B1">
        <w:t xml:space="preserve"> </w:t>
      </w:r>
    </w:p>
    <w:p w14:paraId="4C4ECBE4" w14:textId="0C9F0807" w:rsidR="009749C0" w:rsidRPr="00DA7D18" w:rsidRDefault="009749C0" w:rsidP="009749C0">
      <w:pPr>
        <w:pStyle w:val="Heading4"/>
      </w:pPr>
      <w:r>
        <w:t>Variable output cases</w:t>
      </w:r>
    </w:p>
    <w:p w14:paraId="7F184E5C" w14:textId="77777777" w:rsidR="00CB07FF" w:rsidRPr="00FC71B1" w:rsidRDefault="00CB07FF" w:rsidP="00CB07FF">
      <w:r w:rsidRPr="00FC71B1">
        <w:t xml:space="preserve">Spectrum replanning can also result in ‘variable output’ cases, in which the incremental costs and benefits of replanning extend beyond supply cost changes. In addition to estimating changes in producer surplus, it is necessary in these cases to estimate the benefit to consumer surplus and broader social net benefits. </w:t>
      </w:r>
    </w:p>
    <w:p w14:paraId="628314C2" w14:textId="77777777" w:rsidR="00CB07FF" w:rsidRPr="00FC71B1" w:rsidRDefault="00CB07FF" w:rsidP="00CB07FF">
      <w:r w:rsidRPr="00FC71B1">
        <w:t xml:space="preserve">Regarding incremental costs, this occurs when an incumbent user is unable to continue providing the same or similar services. The incremental costs associated with this change in spectrum allocation will typically refer to the discrepancy in economic welfare </w:t>
      </w:r>
      <w:r>
        <w:t xml:space="preserve">generated </w:t>
      </w:r>
      <w:r w:rsidRPr="00FC71B1">
        <w:t>between the existing service and either a substitute service—if one exists—or no service.</w:t>
      </w:r>
      <w:r>
        <w:t xml:space="preserve"> For instance, if a service displaced from the band is unable to be provided by alternative delivery means, this has economic welfare implications for providers of the service (the users of the spectrum) and downstream users.</w:t>
      </w:r>
    </w:p>
    <w:p w14:paraId="59C041B3" w14:textId="77777777" w:rsidR="00CB07FF" w:rsidRPr="00FC71B1" w:rsidRDefault="00CB07FF" w:rsidP="00CB07FF">
      <w:r w:rsidRPr="00FC71B1">
        <w:t>On the other hand, incremental benefits under a variable output case refer to users with newfound access to the spectrum having the ability to provide new and/or improved services (for example, 5G networks). Consumers are likely to place a higher value on these services</w:t>
      </w:r>
      <w:r w:rsidRPr="00C33B4C">
        <w:t xml:space="preserve"> than they placed on previously available services</w:t>
      </w:r>
      <w:r w:rsidRPr="00CE3160">
        <w:t xml:space="preserve">, which would be likely to result in an increase in consumer surplus, while </w:t>
      </w:r>
      <w:r w:rsidRPr="00FC71B1">
        <w:t>giving service providers the opportunity to increase producer surplus through higher prices.</w:t>
      </w:r>
    </w:p>
    <w:p w14:paraId="211F3221" w14:textId="77777777" w:rsidR="009749C0" w:rsidRDefault="009749C0" w:rsidP="00AD64F0">
      <w:pPr>
        <w:pStyle w:val="Heading3"/>
        <w:spacing w:after="0"/>
      </w:pPr>
      <w:r>
        <w:lastRenderedPageBreak/>
        <w:t>Cost and benefit calculations</w:t>
      </w:r>
    </w:p>
    <w:p w14:paraId="44D2E199" w14:textId="77777777" w:rsidR="009749C0" w:rsidRPr="003E7F81" w:rsidRDefault="009749C0" w:rsidP="00AD64F0">
      <w:pPr>
        <w:pStyle w:val="Heading4"/>
        <w:spacing w:before="60"/>
      </w:pPr>
      <w:r>
        <w:t>Costs</w:t>
      </w:r>
    </w:p>
    <w:p w14:paraId="1ED752F0" w14:textId="2B096699" w:rsidR="00F15C02" w:rsidRPr="00FC71B1" w:rsidRDefault="00F15C02" w:rsidP="00F15C02">
      <w:r w:rsidRPr="00FC71B1">
        <w:t xml:space="preserve">In constant output cases, the provider of the existing service is able to fully mitigate the impact of the change in spectrum use, albeit at an increased cost of supply. They do this by using some combination of different spectrum, additional network investment, and/or increased use of other inputs and methods of supply. In these cases, given the service continuity, it will be sufficient to only evaluate the cost implications of the reform for </w:t>
      </w:r>
      <w:r w:rsidR="0CA840A4">
        <w:t>the</w:t>
      </w:r>
      <w:r>
        <w:t xml:space="preserve"> </w:t>
      </w:r>
      <w:r w:rsidRPr="00FC71B1">
        <w:t>affected party. This will often be in the form of determining average equipment retuning or equipment replacement costs.</w:t>
      </w:r>
    </w:p>
    <w:p w14:paraId="459580CD" w14:textId="77777777" w:rsidR="00F15C02" w:rsidRPr="00FC71B1" w:rsidRDefault="00F15C02" w:rsidP="00F15C02">
      <w:r w:rsidRPr="00FC71B1">
        <w:t>In contrast, variable output cases are more complex, in that it is necessary to consider the impacts on consumer surplus and externalities, in addition to the usual cost and producer surplus impacts. If no substitute service is available, the loss of all producer surplus, consumer surplus and broader net social benefits will be considered to be the incremental costs. However, if a substitute service is available, incremental costs will be incurred due to the discrepancy in value placed by consumers on the substitute service compared with the existing service, along with pricing changes. In either scenario, the consumer surplus and social benefit reductions are subjective and difficult to quantify, and therefore more suited to a qualitative analysis.</w:t>
      </w:r>
    </w:p>
    <w:p w14:paraId="119911FF" w14:textId="77777777" w:rsidR="009749C0" w:rsidRDefault="009749C0" w:rsidP="009749C0">
      <w:pPr>
        <w:pStyle w:val="Heading4"/>
      </w:pPr>
      <w:r>
        <w:t>Benefits</w:t>
      </w:r>
    </w:p>
    <w:p w14:paraId="5A96CBE9" w14:textId="651C19EA" w:rsidR="00B10307" w:rsidRPr="00FC71B1" w:rsidRDefault="00B10307" w:rsidP="00B10307">
      <w:r w:rsidRPr="00FC71B1">
        <w:t>The value placed on the applicable spectrum by potential new users is typically used as a proxy for the economic benefits of replanning the spectrum. Potential users are assumed to only invest in spectrum if it is profitable</w:t>
      </w:r>
      <w:r w:rsidR="006A5B3A">
        <w:t>—</w:t>
      </w:r>
      <w:r w:rsidRPr="00FC71B1">
        <w:t>where economic benefits such as cost reductions and the value of being able to provide new and/or improved services are equal to or greater than the amount they are willing to pay for the spectrum. Valuations should therefore be equal to or less than the economic benefits accrued from the new use, particularly once consumer surplus gains and broader social net benefits are considered.</w:t>
      </w:r>
      <w:r>
        <w:t xml:space="preserve"> </w:t>
      </w:r>
    </w:p>
    <w:p w14:paraId="64935677" w14:textId="4C03AB04" w:rsidR="002069A3" w:rsidRDefault="00B10307" w:rsidP="009749C0">
      <w:r w:rsidRPr="00A46F59">
        <w:rPr>
          <w:bCs/>
        </w:rPr>
        <w:t xml:space="preserve">It should be noted that discussion of spectrum valuations in this </w:t>
      </w:r>
      <w:r w:rsidR="4A55A413">
        <w:t>appendix</w:t>
      </w:r>
      <w:r w:rsidRPr="00A46F59">
        <w:rPr>
          <w:bCs/>
        </w:rPr>
        <w:t xml:space="preserve"> is not equivalent to estimated allocation revenue.</w:t>
      </w:r>
      <w:r w:rsidRPr="00FC71B1">
        <w:rPr>
          <w:b/>
        </w:rPr>
        <w:t xml:space="preserve"> </w:t>
      </w:r>
      <w:r w:rsidRPr="00FC71B1">
        <w:t xml:space="preserve">Spectrum valuations reflect the maximum amount a potential user would be willing to pay. If potential users are able to pay significantly less than their full valuation at </w:t>
      </w:r>
      <w:r>
        <w:t>allocation,</w:t>
      </w:r>
      <w:r w:rsidRPr="00FC71B1">
        <w:t xml:space="preserve"> this does not mean that the economic benefits </w:t>
      </w:r>
      <w:r>
        <w:t>derived from</w:t>
      </w:r>
      <w:r w:rsidRPr="00FC71B1">
        <w:t xml:space="preserve"> the spectrum are diminished. Rather, </w:t>
      </w:r>
      <w:r>
        <w:t xml:space="preserve">it means those potential users </w:t>
      </w:r>
      <w:r w:rsidRPr="00FC71B1">
        <w:t>can retain more of this benefit by transferring less of the benefit to the government.</w:t>
      </w:r>
    </w:p>
    <w:sectPr w:rsidR="002069A3" w:rsidSect="00F426CB">
      <w:pgSz w:w="11906" w:h="16838" w:code="9"/>
      <w:pgMar w:top="1945" w:right="3101" w:bottom="1134" w:left="1134"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6D3B07" w14:textId="77777777" w:rsidR="00077399" w:rsidRDefault="00077399">
      <w:r>
        <w:separator/>
      </w:r>
    </w:p>
  </w:endnote>
  <w:endnote w:type="continuationSeparator" w:id="0">
    <w:p w14:paraId="646156F3" w14:textId="77777777" w:rsidR="00077399" w:rsidRDefault="00077399">
      <w:r>
        <w:continuationSeparator/>
      </w:r>
    </w:p>
  </w:endnote>
  <w:endnote w:type="continuationNotice" w:id="1">
    <w:p w14:paraId="22FC6A71" w14:textId="77777777" w:rsidR="00077399" w:rsidRDefault="000773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60"/>
      <w:gridCol w:w="3260"/>
      <w:gridCol w:w="3260"/>
    </w:tblGrid>
    <w:tr w:rsidR="00C16D8B" w14:paraId="46186A15" w14:textId="77777777" w:rsidTr="006F4785">
      <w:tc>
        <w:tcPr>
          <w:tcW w:w="3260" w:type="dxa"/>
        </w:tcPr>
        <w:p w14:paraId="5F6BE4AE" w14:textId="2BD211D7" w:rsidR="00C16D8B" w:rsidRDefault="00C16D8B" w:rsidP="006F4785">
          <w:pPr>
            <w:pStyle w:val="Header"/>
            <w:ind w:left="-115"/>
          </w:pPr>
        </w:p>
      </w:tc>
      <w:tc>
        <w:tcPr>
          <w:tcW w:w="3260" w:type="dxa"/>
        </w:tcPr>
        <w:p w14:paraId="75228D55" w14:textId="4EEF01C1" w:rsidR="00C16D8B" w:rsidRDefault="00C16D8B" w:rsidP="006F4785">
          <w:pPr>
            <w:pStyle w:val="Header"/>
            <w:jc w:val="center"/>
          </w:pPr>
        </w:p>
      </w:tc>
      <w:tc>
        <w:tcPr>
          <w:tcW w:w="3260" w:type="dxa"/>
        </w:tcPr>
        <w:p w14:paraId="12FBD9EC" w14:textId="3D04C882" w:rsidR="00C16D8B" w:rsidRDefault="00C16D8B" w:rsidP="006F4785">
          <w:pPr>
            <w:pStyle w:val="Header"/>
            <w:ind w:right="-115"/>
            <w:jc w:val="right"/>
          </w:pPr>
        </w:p>
      </w:tc>
    </w:tr>
  </w:tbl>
  <w:p w14:paraId="224386C4" w14:textId="695E8522" w:rsidR="00C16D8B" w:rsidRDefault="00C16D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B540E" w14:textId="77777777" w:rsidR="00C16D8B" w:rsidRDefault="00C16D8B" w:rsidP="005E250B">
    <w:pPr>
      <w:pStyle w:val="Footer"/>
      <w:jc w:val="right"/>
    </w:pPr>
    <w:r>
      <w:rPr>
        <w:noProof/>
      </w:rPr>
      <w:drawing>
        <wp:inline distT="0" distB="0" distL="0" distR="0" wp14:anchorId="07C78758" wp14:editId="311A4079">
          <wp:extent cx="1066800" cy="277368"/>
          <wp:effectExtent l="0" t="0" r="0" b="0"/>
          <wp:docPr id="692296397"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1066800" cy="27736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AAB33" w14:textId="77777777" w:rsidR="00C16D8B" w:rsidRDefault="00C16D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27B93" w14:textId="77777777" w:rsidR="00C16D8B" w:rsidRDefault="00C16D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B22F9" w14:textId="77777777" w:rsidR="00C16D8B" w:rsidRPr="00622A3B" w:rsidRDefault="00C16D8B"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0A299F0D" w14:textId="77777777" w:rsidR="00C16D8B" w:rsidRPr="00A5474E" w:rsidRDefault="00C16D8B"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F3383" w14:textId="77777777" w:rsidR="00C16D8B" w:rsidRPr="00622A3B" w:rsidRDefault="00C16D8B"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2C6809A0" w14:textId="77777777" w:rsidR="00C16D8B" w:rsidRPr="00A5474E" w:rsidRDefault="00C16D8B"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6409D" w14:textId="77777777" w:rsidR="00C16D8B" w:rsidRPr="00622A3B" w:rsidRDefault="00C16D8B"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49A9B51B" w14:textId="77777777" w:rsidR="00C16D8B" w:rsidRPr="00A5474E" w:rsidRDefault="00C16D8B"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0D9D5" w14:textId="77777777" w:rsidR="00C16D8B" w:rsidRPr="00622A3B" w:rsidRDefault="00C16D8B"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0E419EB8" w14:textId="77777777" w:rsidR="00C16D8B" w:rsidRPr="00A5474E" w:rsidRDefault="00C16D8B" w:rsidP="00A5474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ACC48" w14:textId="77777777" w:rsidR="00C16D8B" w:rsidRPr="00622A3B" w:rsidRDefault="00C16D8B"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w:t>
    </w:r>
    <w:r w:rsidRPr="00575AC5">
      <w:rPr>
        <w:color w:val="505050"/>
      </w:rPr>
      <w:fldChar w:fldCharType="end"/>
    </w:r>
  </w:p>
  <w:p w14:paraId="5FFBCADC" w14:textId="77777777" w:rsidR="00C16D8B" w:rsidRPr="00A5474E" w:rsidRDefault="00C16D8B"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F26BE7" w14:textId="77777777" w:rsidR="00077399" w:rsidRDefault="00077399">
      <w:r>
        <w:separator/>
      </w:r>
    </w:p>
  </w:footnote>
  <w:footnote w:type="continuationSeparator" w:id="0">
    <w:p w14:paraId="04F684BE" w14:textId="77777777" w:rsidR="00077399" w:rsidRDefault="00077399">
      <w:r>
        <w:continuationSeparator/>
      </w:r>
    </w:p>
  </w:footnote>
  <w:footnote w:type="continuationNotice" w:id="1">
    <w:p w14:paraId="74C45582" w14:textId="77777777" w:rsidR="00077399" w:rsidRDefault="00077399">
      <w:pPr>
        <w:spacing w:after="0" w:line="240" w:lineRule="auto"/>
      </w:pPr>
    </w:p>
  </w:footnote>
  <w:footnote w:id="2">
    <w:p w14:paraId="6CB50F04" w14:textId="3C2208CA" w:rsidR="00C16D8B" w:rsidRDefault="00C16D8B">
      <w:pPr>
        <w:pStyle w:val="FootnoteText"/>
      </w:pPr>
      <w:r>
        <w:rPr>
          <w:rStyle w:val="FootnoteReference"/>
        </w:rPr>
        <w:footnoteRef/>
      </w:r>
      <w:r>
        <w:t xml:space="preserve"> Refer </w:t>
      </w:r>
      <w:hyperlink r:id="rId1" w:history="1">
        <w:r w:rsidRPr="00193F97">
          <w:rPr>
            <w:rStyle w:val="Hyperlink"/>
          </w:rPr>
          <w:t>Radiocommunications Spectrum Conversion Plan (2.5 GHz Mid-ba</w:t>
        </w:r>
        <w:bookmarkStart w:id="1" w:name="_Hlt45274859"/>
        <w:bookmarkStart w:id="2" w:name="_Hlt45274860"/>
        <w:r w:rsidRPr="00193F97">
          <w:rPr>
            <w:rStyle w:val="Hyperlink"/>
          </w:rPr>
          <w:t>n</w:t>
        </w:r>
        <w:bookmarkEnd w:id="1"/>
        <w:bookmarkEnd w:id="2"/>
        <w:r w:rsidRPr="00193F97">
          <w:rPr>
            <w:rStyle w:val="Hyperlink"/>
          </w:rPr>
          <w:t>d Gap) 2012</w:t>
        </w:r>
      </w:hyperlink>
      <w:r>
        <w:t xml:space="preserve"> and </w:t>
      </w:r>
      <w:hyperlink r:id="rId2" w:history="1">
        <w:r w:rsidRPr="00BE7BB1">
          <w:rPr>
            <w:rStyle w:val="Hyperlink"/>
          </w:rPr>
          <w:t>Radiocommunications Spectrum Marketing Plan (2.5 GHz Band) 2012</w:t>
        </w:r>
      </w:hyperlink>
      <w:r w:rsidRPr="00A456EE">
        <w:rPr>
          <w:rStyle w:val="Hyperlink"/>
          <w:u w:val="none"/>
        </w:rPr>
        <w:t>.</w:t>
      </w:r>
    </w:p>
  </w:footnote>
  <w:footnote w:id="3">
    <w:p w14:paraId="5DC2B2D1" w14:textId="25E902BE" w:rsidR="00C16D8B" w:rsidRDefault="00C16D8B">
      <w:pPr>
        <w:pStyle w:val="FootnoteText"/>
      </w:pPr>
      <w:r>
        <w:rPr>
          <w:rStyle w:val="FootnoteReference"/>
        </w:rPr>
        <w:footnoteRef/>
      </w:r>
      <w:r>
        <w:t xml:space="preserve"> Transition was completed when the re-allocation period specified in the </w:t>
      </w:r>
      <w:hyperlink r:id="rId3" w:history="1">
        <w:r w:rsidRPr="007D001F">
          <w:rPr>
            <w:rStyle w:val="Hyperlink"/>
          </w:rPr>
          <w:t>Radiocommunications (Spectrum Re-allocation) Declaration No. 2 of 2011</w:t>
        </w:r>
      </w:hyperlink>
      <w:r>
        <w:t xml:space="preserve"> for the Perth area ended on 31 January 2016 and existing licences were cancelled. </w:t>
      </w:r>
    </w:p>
  </w:footnote>
  <w:footnote w:id="4">
    <w:p w14:paraId="6B0C75A4" w14:textId="0FAA318A" w:rsidR="00C16D8B" w:rsidRDefault="00C16D8B">
      <w:pPr>
        <w:pStyle w:val="FootnoteText"/>
      </w:pPr>
      <w:r>
        <w:rPr>
          <w:rStyle w:val="FootnoteReference"/>
        </w:rPr>
        <w:footnoteRef/>
      </w:r>
      <w:r>
        <w:t xml:space="preserve"> The ACMA understanding is that equipment availability for the 8.3 GHz band is limited, as such 8.3 GHz is seen as a more of a long-term option supporting future growth.</w:t>
      </w:r>
    </w:p>
  </w:footnote>
  <w:footnote w:id="5">
    <w:p w14:paraId="6EF8E8C8" w14:textId="1D74440A" w:rsidR="00C16D8B" w:rsidRDefault="00C16D8B">
      <w:pPr>
        <w:pStyle w:val="FootnoteText"/>
      </w:pPr>
      <w:r>
        <w:rPr>
          <w:rStyle w:val="FootnoteReference"/>
        </w:rPr>
        <w:footnoteRef/>
      </w:r>
      <w:r>
        <w:t xml:space="preserve"> Refer channel arrangements for these bands in </w:t>
      </w:r>
      <w:hyperlink r:id="rId4" w:history="1">
        <w:r w:rsidRPr="00141323">
          <w:rPr>
            <w:rStyle w:val="Hyperlink"/>
          </w:rPr>
          <w:t>RALI FX3</w:t>
        </w:r>
      </w:hyperlink>
      <w:r w:rsidRPr="00A23B22">
        <w:t xml:space="preserve">: </w:t>
      </w:r>
      <w:r>
        <w:t>M</w:t>
      </w:r>
      <w:r w:rsidRPr="00A23B22">
        <w:t>icrowave fixed services</w:t>
      </w:r>
      <w:r>
        <w:t>.</w:t>
      </w:r>
    </w:p>
  </w:footnote>
  <w:footnote w:id="6">
    <w:p w14:paraId="14FCEC93" w14:textId="242CDE13" w:rsidR="00C16D8B" w:rsidRPr="00BD29B5" w:rsidRDefault="00C16D8B">
      <w:pPr>
        <w:pStyle w:val="FootnoteText"/>
        <w:rPr>
          <w:lang w:val="en-US"/>
        </w:rPr>
      </w:pPr>
      <w:r>
        <w:rPr>
          <w:rStyle w:val="FootnoteReference"/>
        </w:rPr>
        <w:footnoteRef/>
      </w:r>
      <w:r>
        <w:t xml:space="preserve"> As of</w:t>
      </w:r>
      <w:r w:rsidRPr="00BD29B5">
        <w:t xml:space="preserve"> April 2020</w:t>
      </w:r>
      <w:r>
        <w:t xml:space="preserve">. </w:t>
      </w:r>
    </w:p>
  </w:footnote>
  <w:footnote w:id="7">
    <w:p w14:paraId="4F03226D" w14:textId="1C51939F" w:rsidR="00C16D8B" w:rsidRDefault="00C16D8B" w:rsidP="008217D5">
      <w:pPr>
        <w:pStyle w:val="FootnoteText"/>
        <w:spacing w:after="40"/>
      </w:pPr>
      <w:r>
        <w:rPr>
          <w:rStyle w:val="FootnoteReference"/>
        </w:rPr>
        <w:footnoteRef/>
      </w:r>
      <w:r>
        <w:t xml:space="preserve"> ACMA </w:t>
      </w:r>
      <w:hyperlink r:id="rId5" w:history="1">
        <w:r>
          <w:rPr>
            <w:rStyle w:val="Hyperlink"/>
            <w:i/>
          </w:rPr>
          <w:t>Corporate plan 2019-20</w:t>
        </w:r>
      </w:hyperlink>
      <w:r>
        <w:t>.</w:t>
      </w:r>
    </w:p>
  </w:footnote>
  <w:footnote w:id="8">
    <w:p w14:paraId="51968D1F" w14:textId="77777777" w:rsidR="00C16D8B" w:rsidRDefault="00C16D8B" w:rsidP="00A47330">
      <w:pPr>
        <w:pStyle w:val="FootnoteText"/>
      </w:pPr>
      <w:r>
        <w:rPr>
          <w:rStyle w:val="FootnoteReference"/>
        </w:rPr>
        <w:footnoteRef/>
      </w:r>
      <w:r>
        <w:t xml:space="preserve"> Technical conditions include maximum power, frequency range, out-of-band emissions limits, and geographical licence area. </w:t>
      </w:r>
    </w:p>
  </w:footnote>
  <w:footnote w:id="9">
    <w:p w14:paraId="5335DEF0" w14:textId="77777777" w:rsidR="00C16D8B" w:rsidRDefault="00C16D8B" w:rsidP="00F23191">
      <w:pPr>
        <w:pStyle w:val="FootnoteText"/>
      </w:pPr>
      <w:r>
        <w:rPr>
          <w:rStyle w:val="FootnoteReference"/>
        </w:rPr>
        <w:footnoteRef/>
      </w:r>
      <w:r>
        <w:t xml:space="preserve"> Four respondents supported mobile-satellite service with a </w:t>
      </w:r>
      <w:r w:rsidRPr="001F7DED">
        <w:t>complementary ground component</w:t>
      </w:r>
      <w:r>
        <w:t>.</w:t>
      </w:r>
    </w:p>
  </w:footnote>
  <w:footnote w:id="10">
    <w:p w14:paraId="54B66CE9" w14:textId="677AB56D" w:rsidR="00C16D8B" w:rsidRDefault="00C16D8B" w:rsidP="00F23191">
      <w:pPr>
        <w:pStyle w:val="FootnoteText"/>
      </w:pPr>
      <w:r>
        <w:rPr>
          <w:rStyle w:val="FootnoteReference"/>
        </w:rPr>
        <w:footnoteRef/>
      </w:r>
      <w:r>
        <w:t xml:space="preserve"> C</w:t>
      </w:r>
      <w:r w:rsidRPr="001F7DED">
        <w:t>omplementary ground component</w:t>
      </w:r>
      <w:r>
        <w:t xml:space="preserve"> and ancillary </w:t>
      </w:r>
      <w:r w:rsidRPr="0087625B">
        <w:t>terre</w:t>
      </w:r>
      <w:r>
        <w:t xml:space="preserve">strial component are different terms describing essentially the same system: the use of a terrestrial </w:t>
      </w:r>
      <w:r>
        <w:rPr>
          <w:rFonts w:cs="Arial"/>
          <w:color w:val="222222"/>
          <w:shd w:val="clear" w:color="auto" w:fill="FFFFFF"/>
        </w:rPr>
        <w:t>wireless broadband network to supplement mobile-satellite coverage. In this paper, we will primarily refer to such a system as a ‘complementary ground component’, however the two terms are considered interchangeable.</w:t>
      </w:r>
    </w:p>
  </w:footnote>
  <w:footnote w:id="11">
    <w:p w14:paraId="3CC0B35D" w14:textId="64A15723" w:rsidR="00C16D8B" w:rsidRDefault="00C16D8B" w:rsidP="00B22BDC">
      <w:pPr>
        <w:pStyle w:val="FootnoteText"/>
      </w:pPr>
      <w:r>
        <w:rPr>
          <w:rStyle w:val="FootnoteReference"/>
        </w:rPr>
        <w:footnoteRef/>
      </w:r>
      <w:r>
        <w:t xml:space="preserve"> </w:t>
      </w:r>
      <w:hyperlink r:id="rId6" w:history="1">
        <w:r w:rsidRPr="006D7B26">
          <w:rPr>
            <w:rStyle w:val="Hyperlink"/>
          </w:rPr>
          <w:t>ECC Decision ECC/DEC/(06)09</w:t>
        </w:r>
      </w:hyperlink>
      <w:r>
        <w:t xml:space="preserve">: </w:t>
      </w:r>
      <w:r w:rsidRPr="006D7B26">
        <w:t>ECC Decision of 1 December 2006 on the designation of the bands 1980-2010 MHz and 2170-2200 MHz for use by systems in the Mobile-Satellite Service</w:t>
      </w:r>
      <w:r>
        <w:t>,</w:t>
      </w:r>
      <w:r w:rsidRPr="006D7B26">
        <w:t xml:space="preserve"> including those supplemented by a </w:t>
      </w:r>
      <w:r>
        <w:t>c</w:t>
      </w:r>
      <w:r w:rsidRPr="006D7B26">
        <w:t xml:space="preserve">omplementary </w:t>
      </w:r>
      <w:r>
        <w:t>g</w:t>
      </w:r>
      <w:r w:rsidRPr="006D7B26">
        <w:t xml:space="preserve">round </w:t>
      </w:r>
      <w:r>
        <w:t>c</w:t>
      </w:r>
      <w:r w:rsidRPr="006D7B26">
        <w:t>omponent</w:t>
      </w:r>
      <w:r>
        <w:t>.</w:t>
      </w:r>
    </w:p>
  </w:footnote>
  <w:footnote w:id="12">
    <w:p w14:paraId="47ADD438" w14:textId="1F000432" w:rsidR="00C16D8B" w:rsidRDefault="00C16D8B" w:rsidP="00B22BDC">
      <w:pPr>
        <w:pStyle w:val="FootnoteText"/>
      </w:pPr>
      <w:r>
        <w:rPr>
          <w:rStyle w:val="FootnoteReference"/>
        </w:rPr>
        <w:footnoteRef/>
      </w:r>
      <w:r>
        <w:t xml:space="preserve"> Inmarsat and EchoStar Mobile Limited (formerly Solaris Mobile Limited) see </w:t>
      </w:r>
      <w:hyperlink r:id="rId7" w:history="1">
        <w:r w:rsidRPr="00934E30">
          <w:rPr>
            <w:rStyle w:val="Hyperlink"/>
          </w:rPr>
          <w:t>2009/449/EC</w:t>
        </w:r>
      </w:hyperlink>
      <w:r w:rsidRPr="00934E30">
        <w:t>: Commission Decision of 13 May 2009 on the selection of operators of pan-European systems providing mobile</w:t>
      </w:r>
      <w:r>
        <w:t>-</w:t>
      </w:r>
      <w:r w:rsidRPr="00934E30">
        <w:t>satellite services (MSS)</w:t>
      </w:r>
      <w:r>
        <w:t>.</w:t>
      </w:r>
    </w:p>
  </w:footnote>
  <w:footnote w:id="13">
    <w:p w14:paraId="72B35596" w14:textId="77777777" w:rsidR="00C16D8B" w:rsidRPr="00157FCC" w:rsidRDefault="00C16D8B" w:rsidP="00B22BDC">
      <w:pPr>
        <w:pStyle w:val="FootnoteText"/>
      </w:pPr>
      <w:r w:rsidRPr="00157FCC">
        <w:rPr>
          <w:rStyle w:val="FootnoteReference"/>
        </w:rPr>
        <w:footnoteRef/>
      </w:r>
      <w:r w:rsidRPr="00157FCC">
        <w:t xml:space="preserve"> The 3rd Generation Partnership Project </w:t>
      </w:r>
      <w:r>
        <w:t xml:space="preserve">(3GPP) </w:t>
      </w:r>
      <w:r w:rsidRPr="00157FCC">
        <w:t xml:space="preserve">is an umbrella for a number of </w:t>
      </w:r>
      <w:r>
        <w:t xml:space="preserve">international </w:t>
      </w:r>
      <w:r w:rsidRPr="00157FCC">
        <w:t>standards organi</w:t>
      </w:r>
      <w:r>
        <w:t>s</w:t>
      </w:r>
      <w:r w:rsidRPr="00157FCC">
        <w:t>ations which develop protocols for mobile telecommunications</w:t>
      </w:r>
      <w:r>
        <w:t>.</w:t>
      </w:r>
    </w:p>
  </w:footnote>
  <w:footnote w:id="14">
    <w:p w14:paraId="64E75540" w14:textId="71B10175" w:rsidR="00C16D8B" w:rsidRDefault="00C16D8B" w:rsidP="00B22BDC">
      <w:pPr>
        <w:pStyle w:val="FootnoteText"/>
      </w:pPr>
      <w:r>
        <w:rPr>
          <w:rStyle w:val="FootnoteReference"/>
        </w:rPr>
        <w:footnoteRef/>
      </w:r>
      <w:r>
        <w:t xml:space="preserve"> 3rd Generation Partnership Project; Technical Specification Group Radio Access Network; NR; User Equipment (UE) radio transmission and reception; Part 1: Range 1 Standalone (Release 16) </w:t>
      </w:r>
      <w:hyperlink r:id="rId8" w:history="1">
        <w:r w:rsidRPr="00CC7E9E">
          <w:rPr>
            <w:rStyle w:val="Hyperlink"/>
          </w:rPr>
          <w:t>https://www.3gpp.org/DynaReport/38101-1.htm</w:t>
        </w:r>
      </w:hyperlink>
      <w:r>
        <w:t>.</w:t>
      </w:r>
    </w:p>
  </w:footnote>
  <w:footnote w:id="15">
    <w:p w14:paraId="6F929E0D" w14:textId="207073E3" w:rsidR="00C16D8B" w:rsidRDefault="00C16D8B">
      <w:pPr>
        <w:pStyle w:val="FootnoteText"/>
      </w:pPr>
      <w:r>
        <w:rPr>
          <w:rStyle w:val="FootnoteReference"/>
        </w:rPr>
        <w:footnoteRef/>
      </w:r>
      <w:r>
        <w:t xml:space="preserve"> 3GPP </w:t>
      </w:r>
      <w:r w:rsidRPr="00E70F65">
        <w:t>TR 38.811</w:t>
      </w:r>
      <w:r>
        <w:t xml:space="preserve"> </w:t>
      </w:r>
      <w:r w:rsidRPr="00FC2335">
        <w:t>Study on New Radio (NR) to support non terrestrial networks</w:t>
      </w:r>
      <w:r w:rsidRPr="000D72F2">
        <w:t xml:space="preserve"> </w:t>
      </w:r>
      <w:hyperlink r:id="rId9" w:history="1">
        <w:r w:rsidRPr="00CC7E9E">
          <w:rPr>
            <w:rStyle w:val="Hyperlink"/>
          </w:rPr>
          <w:t>http://www.3gpp.org/ftp//Specs/archive/38_series/38.811/38811-f20.zip</w:t>
        </w:r>
      </w:hyperlink>
      <w:r>
        <w:t>.</w:t>
      </w:r>
    </w:p>
  </w:footnote>
  <w:footnote w:id="16">
    <w:p w14:paraId="1836F612" w14:textId="151A902D" w:rsidR="00C16D8B" w:rsidRDefault="00C16D8B">
      <w:pPr>
        <w:pStyle w:val="FootnoteText"/>
      </w:pPr>
      <w:r>
        <w:rPr>
          <w:rStyle w:val="FootnoteReference"/>
        </w:rPr>
        <w:footnoteRef/>
      </w:r>
      <w:r>
        <w:t xml:space="preserve"> 3GPP </w:t>
      </w:r>
      <w:r w:rsidRPr="00801F65">
        <w:t>TR 38.821</w:t>
      </w:r>
      <w:r>
        <w:t xml:space="preserve"> Technical Specification Group Radio Access Network; Solutions for NR to support non-terrestrial networks (NTN) </w:t>
      </w:r>
      <w:hyperlink r:id="rId10" w:history="1">
        <w:r w:rsidRPr="00CC7E9E">
          <w:rPr>
            <w:rStyle w:val="Hyperlink"/>
          </w:rPr>
          <w:t>http://www.3gpp.org/ftp//Specs/archive/38_series/38.821/38821-g00.zip</w:t>
        </w:r>
      </w:hyperlink>
      <w:r>
        <w:t>.</w:t>
      </w:r>
    </w:p>
  </w:footnote>
  <w:footnote w:id="17">
    <w:p w14:paraId="39E35DC0" w14:textId="3F6D95B8" w:rsidR="00C16D8B" w:rsidRPr="00F67C25" w:rsidRDefault="00C16D8B">
      <w:pPr>
        <w:pStyle w:val="FootnoteText"/>
        <w:rPr>
          <w:lang w:val="en-US"/>
        </w:rPr>
      </w:pPr>
      <w:r>
        <w:rPr>
          <w:rStyle w:val="FootnoteReference"/>
        </w:rPr>
        <w:footnoteRef/>
      </w:r>
      <w:r>
        <w:t xml:space="preserve"> </w:t>
      </w:r>
      <w:r>
        <w:rPr>
          <w:lang w:val="en-US"/>
        </w:rPr>
        <w:t xml:space="preserve">See </w:t>
      </w:r>
      <w:hyperlink r:id="rId11" w:history="1">
        <w:r>
          <w:rPr>
            <w:rStyle w:val="Hyperlink"/>
          </w:rPr>
          <w:t>gsacom.com</w:t>
        </w:r>
      </w:hyperlink>
      <w:r w:rsidRPr="002A4906">
        <w:rPr>
          <w:rStyle w:val="Hyperlink"/>
          <w:u w:val="none"/>
        </w:rPr>
        <w:t>.</w:t>
      </w:r>
    </w:p>
  </w:footnote>
  <w:footnote w:id="18">
    <w:p w14:paraId="19BE5889" w14:textId="77777777" w:rsidR="00C16D8B" w:rsidRPr="00112885" w:rsidRDefault="00C16D8B" w:rsidP="00B22BDC">
      <w:pPr>
        <w:pStyle w:val="FootnoteText"/>
        <w:rPr>
          <w:lang w:val="en-US"/>
        </w:rPr>
      </w:pPr>
      <w:r w:rsidRPr="00157FCC">
        <w:rPr>
          <w:rStyle w:val="FootnoteReference"/>
        </w:rPr>
        <w:footnoteRef/>
      </w:r>
      <w:r w:rsidRPr="00157FCC">
        <w:t xml:space="preserve"> See, for example, report </w:t>
      </w:r>
      <w:hyperlink r:id="rId12" w:history="1">
        <w:r w:rsidRPr="00157FCC">
          <w:rPr>
            <w:rStyle w:val="Hyperlink"/>
          </w:rPr>
          <w:t>ITU-R BT.2069-7</w:t>
        </w:r>
      </w:hyperlink>
      <w:r w:rsidRPr="00157FCC">
        <w:t>, International Telecommunication Union, 2017.</w:t>
      </w:r>
    </w:p>
  </w:footnote>
  <w:footnote w:id="19">
    <w:p w14:paraId="37884A92" w14:textId="77777777" w:rsidR="00C16D8B" w:rsidRDefault="00C16D8B" w:rsidP="009E2609">
      <w:pPr>
        <w:pStyle w:val="FootnoteText"/>
      </w:pPr>
      <w:r>
        <w:rPr>
          <w:rStyle w:val="FootnoteReference"/>
        </w:rPr>
        <w:footnoteRef/>
      </w:r>
      <w:r>
        <w:t xml:space="preserve"> The ACMA understanding is that equipment availability for the 8.3 GHz band is limited, as such 8.3 GHz is seen as a more of a long-term option supporting future growth.</w:t>
      </w:r>
    </w:p>
  </w:footnote>
  <w:footnote w:id="20">
    <w:p w14:paraId="02A1958A" w14:textId="370D1191" w:rsidR="00C16D8B" w:rsidRDefault="00C16D8B" w:rsidP="009E2609">
      <w:pPr>
        <w:pStyle w:val="FootnoteText"/>
      </w:pPr>
      <w:r>
        <w:rPr>
          <w:rStyle w:val="FootnoteReference"/>
        </w:rPr>
        <w:footnoteRef/>
      </w:r>
      <w:r>
        <w:t xml:space="preserve"> Refer channel arrangements for these bands in </w:t>
      </w:r>
      <w:hyperlink r:id="rId13" w:history="1">
        <w:r w:rsidRPr="00141323">
          <w:rPr>
            <w:rStyle w:val="Hyperlink"/>
          </w:rPr>
          <w:t>RALI FX3</w:t>
        </w:r>
      </w:hyperlink>
      <w:r w:rsidRPr="00A23B22">
        <w:t xml:space="preserve">: </w:t>
      </w:r>
      <w:r>
        <w:t>M</w:t>
      </w:r>
      <w:r w:rsidRPr="00A23B22">
        <w:t>icrowave fixed services</w:t>
      </w:r>
      <w:r>
        <w:t xml:space="preserve">. </w:t>
      </w:r>
    </w:p>
  </w:footnote>
  <w:footnote w:id="21">
    <w:p w14:paraId="1B5D8D1E" w14:textId="698EF3CE" w:rsidR="00C16D8B" w:rsidRPr="002204DC" w:rsidRDefault="00C16D8B">
      <w:pPr>
        <w:pStyle w:val="FootnoteText"/>
      </w:pPr>
      <w:r>
        <w:rPr>
          <w:rStyle w:val="FootnoteReference"/>
        </w:rPr>
        <w:footnoteRef/>
      </w:r>
      <w:r>
        <w:t xml:space="preserve"> Most respondents from the satellite industry to the 2019 discussion paper advocated future use of the 2 GHz band to include satellite-based IoT services.</w:t>
      </w:r>
    </w:p>
  </w:footnote>
  <w:footnote w:id="22">
    <w:p w14:paraId="5A6FB40E" w14:textId="2D7F6B13" w:rsidR="00C16D8B" w:rsidRPr="00466ABD" w:rsidRDefault="00C16D8B" w:rsidP="004020C8">
      <w:pPr>
        <w:pStyle w:val="FootnoteText"/>
      </w:pPr>
      <w:r w:rsidRPr="00466ABD">
        <w:rPr>
          <w:rStyle w:val="FootnoteReference"/>
          <w:rFonts w:cs="Arial"/>
        </w:rPr>
        <w:footnoteRef/>
      </w:r>
      <w:r w:rsidRPr="00466ABD">
        <w:rPr>
          <w:rFonts w:cs="Arial"/>
        </w:rPr>
        <w:t xml:space="preserve"> Under the </w:t>
      </w:r>
      <w:hyperlink r:id="rId14" w:history="1">
        <w:r w:rsidRPr="00466ABD">
          <w:rPr>
            <w:rStyle w:val="Hyperlink"/>
            <w:rFonts w:cs="Arial"/>
          </w:rPr>
          <w:t>Television Outside Broadcast (1980</w:t>
        </w:r>
        <w:r>
          <w:rPr>
            <w:rStyle w:val="Hyperlink"/>
            <w:rFonts w:cs="Arial"/>
          </w:rPr>
          <w:t>–</w:t>
        </w:r>
        <w:r w:rsidRPr="00466ABD">
          <w:rPr>
            <w:rStyle w:val="Hyperlink"/>
            <w:rFonts w:cs="Arial"/>
          </w:rPr>
          <w:t>2110 MHz and 2170-2300 MHz) Frequency Band Plan 2012</w:t>
        </w:r>
      </w:hyperlink>
      <w:r w:rsidRPr="00466ABD">
        <w:rPr>
          <w:rFonts w:cs="Arial"/>
        </w:rPr>
        <w:t xml:space="preserve"> no new fixed point-to-point links are allowed.</w:t>
      </w:r>
    </w:p>
  </w:footnote>
  <w:footnote w:id="23">
    <w:p w14:paraId="14A70035" w14:textId="64027B51" w:rsidR="00C16D8B" w:rsidRDefault="00C16D8B">
      <w:pPr>
        <w:pStyle w:val="FootnoteText"/>
      </w:pPr>
      <w:r>
        <w:rPr>
          <w:rStyle w:val="FootnoteReference"/>
        </w:rPr>
        <w:footnoteRef/>
      </w:r>
      <w:r>
        <w:t xml:space="preserve"> Refer list of </w:t>
      </w:r>
      <w:hyperlink r:id="rId15" w:history="1">
        <w:r w:rsidRPr="00682EE8">
          <w:rPr>
            <w:rStyle w:val="Hyperlink"/>
          </w:rPr>
          <w:t>spectrum auctions</w:t>
        </w:r>
      </w:hyperlink>
      <w:r>
        <w:t xml:space="preserve"> on the ACMA website and the 2001 auction of  11.7–12.2 GHz for </w:t>
      </w:r>
      <w:hyperlink r:id="rId16" w:history="1">
        <w:r w:rsidRPr="002A4906">
          <w:rPr>
            <w:rStyle w:val="Hyperlink"/>
            <w:rFonts w:cs="Arial"/>
            <w:color w:val="1A1A1A"/>
            <w:u w:val="none"/>
          </w:rPr>
          <w:t>Space Licences - Apparatus licences</w:t>
        </w:r>
      </w:hyperlink>
      <w:r w:rsidRPr="00A456EE">
        <w:rPr>
          <w:rStyle w:val="Hyperlink"/>
          <w:rFonts w:cs="Arial"/>
          <w:color w:val="auto"/>
          <w:u w:val="none"/>
        </w:rPr>
        <w:t>.</w:t>
      </w:r>
    </w:p>
  </w:footnote>
  <w:footnote w:id="24">
    <w:p w14:paraId="5CA57FF6" w14:textId="77777777" w:rsidR="00C16D8B" w:rsidRDefault="00C16D8B" w:rsidP="002E1ED6">
      <w:pPr>
        <w:pStyle w:val="FootnoteText"/>
      </w:pPr>
      <w:r w:rsidRPr="00682165">
        <w:rPr>
          <w:rStyle w:val="FootnoteReference"/>
        </w:rPr>
        <w:footnoteRef/>
      </w:r>
      <w:r w:rsidRPr="00682165">
        <w:t xml:space="preserve"> Refer </w:t>
      </w:r>
      <w:hyperlink r:id="rId17" w:history="1">
        <w:r w:rsidRPr="00682165">
          <w:rPr>
            <w:rStyle w:val="Hyperlink"/>
          </w:rPr>
          <w:t>spectrum embargo 23</w:t>
        </w:r>
      </w:hyperlink>
      <w:r w:rsidRPr="00682165">
        <w:t>.</w:t>
      </w:r>
    </w:p>
  </w:footnote>
  <w:footnote w:id="25">
    <w:p w14:paraId="542AE90B" w14:textId="795CF122" w:rsidR="00C16D8B" w:rsidRPr="00763A3F" w:rsidRDefault="00C16D8B" w:rsidP="002E1ED6">
      <w:pPr>
        <w:pStyle w:val="FootnoteText"/>
        <w:rPr>
          <w:lang w:val="en-US"/>
        </w:rPr>
      </w:pPr>
      <w:r>
        <w:rPr>
          <w:rStyle w:val="FootnoteReference"/>
        </w:rPr>
        <w:footnoteRef/>
      </w:r>
      <w:r>
        <w:t xml:space="preserve"> Refer</w:t>
      </w:r>
      <w:r w:rsidRPr="001F7DED">
        <w:t xml:space="preserve"> </w:t>
      </w:r>
      <w:bookmarkStart w:id="120" w:name="_Hlk45709661"/>
      <w:r>
        <w:fldChar w:fldCharType="begin"/>
      </w:r>
      <w:r>
        <w:instrText xml:space="preserve"> HYPERLINK "https://www.acma.gov.au/publications/2019-09/publication/rali-fx21-television-outside-broadcasting-services" </w:instrText>
      </w:r>
      <w:r>
        <w:fldChar w:fldCharType="separate"/>
      </w:r>
      <w:r w:rsidRPr="001F7DED">
        <w:rPr>
          <w:rStyle w:val="Hyperlink"/>
        </w:rPr>
        <w:t>RALI FX21</w:t>
      </w:r>
      <w:r>
        <w:rPr>
          <w:rStyle w:val="Hyperlink"/>
        </w:rPr>
        <w:fldChar w:fldCharType="end"/>
      </w:r>
      <w:r w:rsidRPr="00831F0F">
        <w:t>:</w:t>
      </w:r>
      <w:r>
        <w:t xml:space="preserve"> </w:t>
      </w:r>
      <w:r w:rsidRPr="00831F0F">
        <w:t>Television outside broadcasting services in the bands 1980</w:t>
      </w:r>
      <w:r>
        <w:t>–</w:t>
      </w:r>
      <w:r w:rsidRPr="00831F0F">
        <w:t xml:space="preserve">2110 MHz and </w:t>
      </w:r>
      <w:r>
        <w:br/>
      </w:r>
      <w:r w:rsidRPr="00831F0F">
        <w:t>2170</w:t>
      </w:r>
      <w:r>
        <w:t>–</w:t>
      </w:r>
      <w:r w:rsidRPr="00831F0F">
        <w:t>2300 MHz</w:t>
      </w:r>
      <w:r>
        <w:t xml:space="preserve">. </w:t>
      </w:r>
    </w:p>
    <w:bookmarkEnd w:id="120"/>
  </w:footnote>
  <w:footnote w:id="26">
    <w:p w14:paraId="5CC892D8" w14:textId="7D9BAF97" w:rsidR="00C16D8B" w:rsidRDefault="00C16D8B">
      <w:pPr>
        <w:pStyle w:val="FootnoteText"/>
      </w:pPr>
      <w:r>
        <w:rPr>
          <w:rStyle w:val="FootnoteReference"/>
        </w:rPr>
        <w:footnoteRef/>
      </w:r>
      <w:r>
        <w:t xml:space="preserve"> Broadcasters included in ACMA’s RALI FX3 include ABC, Seven Network, Network Nine, </w:t>
      </w:r>
      <w:r w:rsidR="00973DB0">
        <w:t>Network Ten</w:t>
      </w:r>
      <w:r>
        <w:t xml:space="preserve"> and Subscription Television (Foxtel).</w:t>
      </w:r>
    </w:p>
  </w:footnote>
  <w:footnote w:id="27">
    <w:p w14:paraId="232C10DA" w14:textId="30EE3299" w:rsidR="00C16D8B" w:rsidRDefault="00C16D8B" w:rsidP="00A11C68">
      <w:pPr>
        <w:pStyle w:val="FootnoteText"/>
      </w:pPr>
      <w:r>
        <w:rPr>
          <w:rStyle w:val="FootnoteReference"/>
        </w:rPr>
        <w:footnoteRef/>
      </w:r>
      <w:r>
        <w:t xml:space="preserve"> In addition to these arrangements wireless cameras can operate under provisions of the Low Interference Devices Class Licence in the 5725–5850 MHz band on a shared basis with other services such as wi-fi devices. However, given the shared nature of class licensing they are not considered comparable to the 2 GHz band for analysis purposes. </w:t>
      </w:r>
    </w:p>
  </w:footnote>
  <w:footnote w:id="28">
    <w:p w14:paraId="644F032F" w14:textId="498B611F" w:rsidR="00C16D8B" w:rsidRDefault="00C16D8B">
      <w:pPr>
        <w:pStyle w:val="FootnoteText"/>
      </w:pPr>
      <w:r>
        <w:rPr>
          <w:rStyle w:val="FootnoteReference"/>
        </w:rPr>
        <w:footnoteRef/>
      </w:r>
      <w:r>
        <w:t xml:space="preserve"> Specifically </w:t>
      </w:r>
      <w:hyperlink r:id="rId18" w:history="1">
        <w:r w:rsidRPr="005835A0">
          <w:rPr>
            <w:rStyle w:val="Hyperlink"/>
          </w:rPr>
          <w:t>2 GHz spectrum licences</w:t>
        </w:r>
      </w:hyperlink>
      <w:r>
        <w:t xml:space="preserve">  at 2110 and </w:t>
      </w:r>
      <w:hyperlink r:id="rId19" w:history="1">
        <w:r w:rsidRPr="00F74127">
          <w:rPr>
            <w:rStyle w:val="Hyperlink"/>
          </w:rPr>
          <w:t>2.3 GHz spectrum licences</w:t>
        </w:r>
      </w:hyperlink>
      <w:r>
        <w:t xml:space="preserve"> at 2300 MHz.</w:t>
      </w:r>
    </w:p>
  </w:footnote>
  <w:footnote w:id="29">
    <w:p w14:paraId="723EAB74" w14:textId="25007752" w:rsidR="00C16D8B" w:rsidRDefault="00C16D8B" w:rsidP="00336F19">
      <w:pPr>
        <w:pStyle w:val="FootnoteText"/>
      </w:pPr>
      <w:r>
        <w:rPr>
          <w:rStyle w:val="FootnoteReference"/>
        </w:rPr>
        <w:footnoteRef/>
      </w:r>
      <w:r>
        <w:t xml:space="preserve"> L-Band MoU described in Annex 2 of CEPT / ECTRA Decision of 3 March 1999, on harmonisation of authorisation conditions in the field of </w:t>
      </w:r>
      <w:r w:rsidR="00A456EE">
        <w:t>s</w:t>
      </w:r>
      <w:r>
        <w:t xml:space="preserve">atellite </w:t>
      </w:r>
      <w:r w:rsidR="00A456EE">
        <w:t>p</w:t>
      </w:r>
      <w:r>
        <w:t xml:space="preserve">ersonal </w:t>
      </w:r>
      <w:r w:rsidR="00A456EE">
        <w:t>c</w:t>
      </w:r>
      <w:r>
        <w:t xml:space="preserve">ommunications </w:t>
      </w:r>
      <w:r w:rsidR="004005F1">
        <w:t>s</w:t>
      </w:r>
      <w:r>
        <w:t xml:space="preserve">ervices (S-PCS) in Europe, operating within the bands 1525–1544/1545–1559 MHz, 1626.5–1645.5/1646.5–1660.5 MHz (ECTRA/DEC(99)01) </w:t>
      </w:r>
      <w:hyperlink r:id="rId20" w:history="1">
        <w:r w:rsidRPr="00131FCA">
          <w:rPr>
            <w:rStyle w:val="Hyperlink"/>
          </w:rPr>
          <w:t>https://www.ecodocdb.dk/download/7415162b-af4b/ECTRADEC9901.PDF</w:t>
        </w:r>
      </w:hyperlink>
      <w:r>
        <w:t>.</w:t>
      </w:r>
    </w:p>
  </w:footnote>
  <w:footnote w:id="30">
    <w:p w14:paraId="6C8F3915" w14:textId="77777777" w:rsidR="00C16D8B" w:rsidRDefault="00C16D8B" w:rsidP="00A11C68">
      <w:pPr>
        <w:pStyle w:val="FootnoteText"/>
      </w:pPr>
      <w:r>
        <w:rPr>
          <w:rStyle w:val="FootnoteReference"/>
        </w:rPr>
        <w:footnoteRef/>
      </w:r>
      <w:r>
        <w:t xml:space="preserve"> Assuming a 5 MHz guard band with adjacent television outside broadcast services leaving 2 x 25 MHz of spectrum for wireless broadband.</w:t>
      </w:r>
    </w:p>
  </w:footnote>
  <w:footnote w:id="31">
    <w:p w14:paraId="4D8DDC2E" w14:textId="305CED18" w:rsidR="00C16D8B" w:rsidRDefault="00C16D8B" w:rsidP="00A11C68">
      <w:pPr>
        <w:pStyle w:val="FootnoteText"/>
      </w:pPr>
      <w:r>
        <w:rPr>
          <w:rStyle w:val="FootnoteReference"/>
        </w:rPr>
        <w:footnoteRef/>
      </w:r>
      <w:r>
        <w:t xml:space="preserve"> </w:t>
      </w:r>
      <w:hyperlink r:id="rId21" w:history="1">
        <w:r w:rsidRPr="000B04D3">
          <w:rPr>
            <w:rStyle w:val="Hyperlink"/>
            <w:rFonts w:cs="Arial"/>
          </w:rPr>
          <w:t>38.101-1 - NR; User Equipment (UE) radio transmission and reception; Part 1: Range 1 Standalone</w:t>
        </w:r>
      </w:hyperlink>
      <w:r w:rsidRPr="000B04D3">
        <w:rPr>
          <w:rStyle w:val="Hyperlink"/>
          <w:rFonts w:cs="Arial"/>
        </w:rPr>
        <w:t xml:space="preserve"> (Rel 16.2.0)</w:t>
      </w:r>
      <w:r>
        <w:t>.</w:t>
      </w:r>
    </w:p>
  </w:footnote>
  <w:footnote w:id="32">
    <w:p w14:paraId="5644ACCC" w14:textId="77777777" w:rsidR="00C16D8B" w:rsidRDefault="00C16D8B" w:rsidP="00A11C68">
      <w:pPr>
        <w:pStyle w:val="FootnoteText"/>
      </w:pPr>
      <w:r>
        <w:rPr>
          <w:rStyle w:val="FootnoteReference"/>
        </w:rPr>
        <w:footnoteRef/>
      </w:r>
      <w:r>
        <w:t xml:space="preserve"> TR </w:t>
      </w:r>
      <w:r w:rsidRPr="00D12EAC">
        <w:t>36.101</w:t>
      </w:r>
      <w:r>
        <w:t xml:space="preserve"> </w:t>
      </w:r>
      <w:r w:rsidRPr="00D12EAC">
        <w:t>Evolved Universal Terrestrial Radio Access (E-UTRA); User Equipment (UE) radio transmission and reception</w:t>
      </w:r>
    </w:p>
  </w:footnote>
  <w:footnote w:id="33">
    <w:p w14:paraId="134A1A62" w14:textId="3A404B32" w:rsidR="00C16D8B" w:rsidRDefault="00C16D8B">
      <w:pPr>
        <w:pStyle w:val="FootnoteText"/>
      </w:pPr>
      <w:r>
        <w:rPr>
          <w:rStyle w:val="FootnoteReference"/>
        </w:rPr>
        <w:footnoteRef/>
      </w:r>
      <w:r>
        <w:t xml:space="preserve"> </w:t>
      </w:r>
      <w:hyperlink r:id="rId22" w:history="1">
        <w:r w:rsidRPr="006D7B26">
          <w:rPr>
            <w:rStyle w:val="Hyperlink"/>
          </w:rPr>
          <w:t>ECC Decision ECC/DEC/(06)09</w:t>
        </w:r>
      </w:hyperlink>
      <w:r>
        <w:t xml:space="preserve">: </w:t>
      </w:r>
      <w:r w:rsidRPr="006D7B26">
        <w:t>ECC Decision of 1 December 2006 on the designation of the bands 1980-2010 MHz and 2170-2200 MHz for use by systems in the Mobile-Satellite Service</w:t>
      </w:r>
      <w:r>
        <w:t>,</w:t>
      </w:r>
      <w:r w:rsidRPr="006D7B26">
        <w:t xml:space="preserve"> including those supplemented by a </w:t>
      </w:r>
      <w:r>
        <w:t>c</w:t>
      </w:r>
      <w:r w:rsidRPr="006D7B26">
        <w:t xml:space="preserve">omplementary </w:t>
      </w:r>
      <w:r>
        <w:t>g</w:t>
      </w:r>
      <w:r w:rsidRPr="006D7B26">
        <w:t xml:space="preserve">round </w:t>
      </w:r>
      <w:r>
        <w:t>c</w:t>
      </w:r>
      <w:r w:rsidRPr="006D7B26">
        <w:t>omponent</w:t>
      </w:r>
      <w:r>
        <w:t>.</w:t>
      </w:r>
    </w:p>
  </w:footnote>
  <w:footnote w:id="34">
    <w:p w14:paraId="23A5F104" w14:textId="77777777" w:rsidR="00C16D8B" w:rsidRDefault="00C16D8B" w:rsidP="00A11C68">
      <w:pPr>
        <w:pStyle w:val="FootnoteText"/>
      </w:pPr>
      <w:r>
        <w:rPr>
          <w:rStyle w:val="FootnoteReference"/>
        </w:rPr>
        <w:footnoteRef/>
      </w:r>
      <w:r>
        <w:t xml:space="preserve"> The ITU defines a </w:t>
      </w:r>
      <w:r w:rsidRPr="00F8544E">
        <w:t>satellite system</w:t>
      </w:r>
      <w:r>
        <w:t xml:space="preserve"> as a </w:t>
      </w:r>
      <w:r w:rsidRPr="00F8544E">
        <w:t>space system using one or more artificial earth satellites</w:t>
      </w:r>
      <w:r>
        <w:t>. A space system is defined as any group of cooperating earth stations and/or space stations employing space radiocommunication for specific purposes.</w:t>
      </w:r>
    </w:p>
  </w:footnote>
  <w:footnote w:id="35">
    <w:p w14:paraId="301BF74D" w14:textId="77777777" w:rsidR="00C16D8B" w:rsidRDefault="00C16D8B" w:rsidP="00A11C68">
      <w:pPr>
        <w:pStyle w:val="FootnoteText"/>
      </w:pPr>
      <w:r>
        <w:rPr>
          <w:rStyle w:val="FootnoteReference"/>
        </w:rPr>
        <w:footnoteRef/>
      </w:r>
      <w:r>
        <w:t xml:space="preserve"> Refer ITU Radio Regulations Article 9 &amp; 11, and ITU Rules of Procedures.</w:t>
      </w:r>
    </w:p>
  </w:footnote>
  <w:footnote w:id="36">
    <w:p w14:paraId="45FB83E2" w14:textId="77777777" w:rsidR="00C16D8B" w:rsidRDefault="00C16D8B" w:rsidP="00A11C68">
      <w:pPr>
        <w:pStyle w:val="FootnoteText"/>
      </w:pPr>
      <w:r>
        <w:rPr>
          <w:rStyle w:val="FootnoteReference"/>
        </w:rPr>
        <w:footnoteRef/>
      </w:r>
      <w:r>
        <w:t xml:space="preserve"> Refer </w:t>
      </w:r>
      <w:hyperlink r:id="rId23" w:history="1">
        <w:r w:rsidRPr="00EE7680">
          <w:rPr>
            <w:rStyle w:val="Hyperlink"/>
          </w:rPr>
          <w:t>Submission and processing of applications for space and space receive apparatus licences</w:t>
        </w:r>
      </w:hyperlink>
    </w:p>
  </w:footnote>
  <w:footnote w:id="37">
    <w:p w14:paraId="5CFF3CBB" w14:textId="77777777" w:rsidR="00C16D8B" w:rsidRPr="00C31222" w:rsidRDefault="00C16D8B" w:rsidP="00A11C68">
      <w:pPr>
        <w:pStyle w:val="FootnoteText"/>
        <w:rPr>
          <w:lang w:val="en-US"/>
        </w:rPr>
      </w:pPr>
      <w:r>
        <w:rPr>
          <w:rStyle w:val="FootnoteReference"/>
        </w:rPr>
        <w:footnoteRef/>
      </w:r>
      <w:r>
        <w:t xml:space="preserve"> </w:t>
      </w:r>
      <w:r>
        <w:rPr>
          <w:lang w:val="en-US"/>
        </w:rPr>
        <w:t>Space support equipment includes equipment that assists in the calibration of early orbit and on-orbit systems.</w:t>
      </w:r>
    </w:p>
  </w:footnote>
  <w:footnote w:id="38">
    <w:p w14:paraId="1D41C6C9" w14:textId="77777777" w:rsidR="00C16D8B" w:rsidRDefault="00C16D8B" w:rsidP="00C967DA">
      <w:pPr>
        <w:pStyle w:val="FootnoteText"/>
      </w:pPr>
      <w:r>
        <w:rPr>
          <w:rStyle w:val="FootnoteReference"/>
        </w:rPr>
        <w:footnoteRef/>
      </w:r>
      <w:r>
        <w:t xml:space="preserve"> Sharing refers to the coexistence of services in the same band.</w:t>
      </w:r>
    </w:p>
  </w:footnote>
  <w:footnote w:id="39">
    <w:p w14:paraId="7F73BF25" w14:textId="77777777" w:rsidR="00C16D8B" w:rsidRDefault="00C16D8B" w:rsidP="00C967DA">
      <w:pPr>
        <w:pStyle w:val="FootnoteText"/>
      </w:pPr>
      <w:r>
        <w:rPr>
          <w:rStyle w:val="FootnoteReference"/>
        </w:rPr>
        <w:footnoteRef/>
      </w:r>
      <w:r>
        <w:t xml:space="preserve"> Compatibility refers to the coexistence of services in adjacent or nearby bands. </w:t>
      </w:r>
    </w:p>
  </w:footnote>
  <w:footnote w:id="40">
    <w:p w14:paraId="1678DC24" w14:textId="7A1CD3BE" w:rsidR="00C16D8B" w:rsidRDefault="00C16D8B" w:rsidP="00C967DA">
      <w:pPr>
        <w:pStyle w:val="FootnoteText"/>
      </w:pPr>
      <w:r>
        <w:rPr>
          <w:rStyle w:val="FootnoteReference"/>
        </w:rPr>
        <w:footnoteRef/>
      </w:r>
      <w:r>
        <w:t xml:space="preserve"> </w:t>
      </w:r>
      <w:hyperlink r:id="rId24" w:history="1">
        <w:r>
          <w:rPr>
            <w:rStyle w:val="Hyperlink"/>
          </w:rPr>
          <w:t>https://www.acma.gov.au/publications/2016-01/report/2-ghz-tlg-package-2016</w:t>
        </w:r>
      </w:hyperlink>
      <w:r>
        <w:t>.</w:t>
      </w:r>
    </w:p>
  </w:footnote>
  <w:footnote w:id="41">
    <w:p w14:paraId="35A2018F" w14:textId="7AFA0D08" w:rsidR="00C16D8B" w:rsidRDefault="00C16D8B" w:rsidP="00C967DA">
      <w:pPr>
        <w:pStyle w:val="FootnoteText"/>
      </w:pPr>
      <w:r>
        <w:rPr>
          <w:rStyle w:val="FootnoteReference"/>
        </w:rPr>
        <w:footnoteRef/>
      </w:r>
      <w:r>
        <w:t xml:space="preserve"> For details of these requirements refer </w:t>
      </w:r>
      <w:hyperlink r:id="rId25" w:history="1">
        <w:r w:rsidRPr="009E38D6">
          <w:rPr>
            <w:rStyle w:val="Hyperlink"/>
          </w:rPr>
          <w:t>Technical frameworks for spectrum licences</w:t>
        </w:r>
      </w:hyperlink>
      <w:r>
        <w:t>.</w:t>
      </w:r>
    </w:p>
  </w:footnote>
  <w:footnote w:id="42">
    <w:p w14:paraId="25B4ACCD" w14:textId="128986EA" w:rsidR="00C16D8B" w:rsidRDefault="00C16D8B" w:rsidP="009749C0">
      <w:pPr>
        <w:pStyle w:val="FootnoteText"/>
      </w:pPr>
      <w:r>
        <w:rPr>
          <w:rStyle w:val="FootnoteReference"/>
        </w:rPr>
        <w:footnoteRef/>
      </w:r>
      <w:r>
        <w:t xml:space="preserve"> The paper </w:t>
      </w:r>
      <w:r>
        <w:rPr>
          <w:i/>
          <w:iCs/>
        </w:rPr>
        <w:t>Future use of the 3.6 GHz band: Highest value use–Quantitative analysis</w:t>
      </w:r>
      <w:r>
        <w:t xml:space="preserve"> can be found on the </w:t>
      </w:r>
      <w:hyperlink r:id="rId26" w:history="1">
        <w:r w:rsidRPr="00013489">
          <w:rPr>
            <w:rStyle w:val="Hyperlink"/>
          </w:rPr>
          <w:t>ACMA website</w:t>
        </w:r>
      </w:hyperlink>
      <w:r>
        <w:t>. The explanation for point-to-point costs is on p41-43.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60"/>
      <w:gridCol w:w="3260"/>
      <w:gridCol w:w="3260"/>
    </w:tblGrid>
    <w:tr w:rsidR="00C16D8B" w14:paraId="2359BB3A" w14:textId="77777777" w:rsidTr="006F4785">
      <w:tc>
        <w:tcPr>
          <w:tcW w:w="3260" w:type="dxa"/>
        </w:tcPr>
        <w:p w14:paraId="5073595B" w14:textId="425F9152" w:rsidR="00C16D8B" w:rsidRDefault="00C16D8B" w:rsidP="006F4785">
          <w:pPr>
            <w:pStyle w:val="Header"/>
            <w:ind w:left="-115"/>
          </w:pPr>
        </w:p>
      </w:tc>
      <w:tc>
        <w:tcPr>
          <w:tcW w:w="3260" w:type="dxa"/>
        </w:tcPr>
        <w:p w14:paraId="28C9A2C8" w14:textId="7EA421E3" w:rsidR="00C16D8B" w:rsidRDefault="00C16D8B" w:rsidP="006F4785">
          <w:pPr>
            <w:pStyle w:val="Header"/>
            <w:jc w:val="center"/>
          </w:pPr>
        </w:p>
      </w:tc>
      <w:tc>
        <w:tcPr>
          <w:tcW w:w="3260" w:type="dxa"/>
        </w:tcPr>
        <w:p w14:paraId="155E9CC7" w14:textId="64649EDB" w:rsidR="00C16D8B" w:rsidRDefault="00C16D8B" w:rsidP="006F4785">
          <w:pPr>
            <w:pStyle w:val="Header"/>
            <w:ind w:right="-115"/>
            <w:jc w:val="right"/>
          </w:pPr>
        </w:p>
      </w:tc>
    </w:tr>
  </w:tbl>
  <w:p w14:paraId="7F5541C4" w14:textId="31886B64" w:rsidR="00C16D8B" w:rsidRDefault="00C16D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1D4CC" w14:textId="77777777" w:rsidR="00C16D8B" w:rsidRPr="00A5474E" w:rsidRDefault="00C16D8B" w:rsidP="00A5474E">
    <w:pPr>
      <w:pStyle w:val="Header"/>
    </w:pPr>
    <w:r>
      <w:rPr>
        <w:noProof/>
      </w:rPr>
      <w:drawing>
        <wp:inline distT="0" distB="0" distL="0" distR="0" wp14:anchorId="4837DA74" wp14:editId="58A30505">
          <wp:extent cx="6210298" cy="571134"/>
          <wp:effectExtent l="0" t="0" r="0" b="0"/>
          <wp:docPr id="245787934" name="Picture 14"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210298" cy="57113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489B4" w14:textId="77777777" w:rsidR="00C16D8B" w:rsidRPr="00A5474E" w:rsidRDefault="00C16D8B" w:rsidP="00594E9C">
    <w:pPr>
      <w:pStyle w:val="TOCHeading"/>
    </w:pPr>
    <w:r w:rsidRPr="0029593B">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528AE" w14:textId="77777777" w:rsidR="00C16D8B" w:rsidRDefault="00C16D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81ADE" w14:textId="77777777" w:rsidR="00C16D8B" w:rsidRDefault="00C16D8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678" w:type="dxa"/>
      <w:tblLayout w:type="fixed"/>
      <w:tblCellMar>
        <w:left w:w="0" w:type="dxa"/>
        <w:right w:w="0" w:type="dxa"/>
      </w:tblCellMar>
      <w:tblLook w:val="01E0" w:firstRow="1" w:lastRow="1" w:firstColumn="1" w:lastColumn="1" w:noHBand="0" w:noVBand="0"/>
    </w:tblPr>
    <w:tblGrid>
      <w:gridCol w:w="7678"/>
    </w:tblGrid>
    <w:tr w:rsidR="00C16D8B" w14:paraId="67755729" w14:textId="77777777" w:rsidTr="00D3217E">
      <w:trPr>
        <w:trHeight w:hRule="exact" w:val="988"/>
      </w:trPr>
      <w:tc>
        <w:tcPr>
          <w:tcW w:w="7678" w:type="dxa"/>
          <w:shd w:val="clear" w:color="auto" w:fill="auto"/>
        </w:tcPr>
        <w:p w14:paraId="367CA93D" w14:textId="77777777" w:rsidR="00C16D8B" w:rsidRDefault="00C16D8B" w:rsidP="00971914">
          <w:pPr>
            <w:pStyle w:val="Header"/>
          </w:pPr>
        </w:p>
      </w:tc>
    </w:tr>
    <w:tr w:rsidR="00C16D8B" w14:paraId="08A0ED27" w14:textId="77777777" w:rsidTr="00D3217E">
      <w:tc>
        <w:tcPr>
          <w:tcW w:w="7678" w:type="dxa"/>
          <w:shd w:val="clear" w:color="auto" w:fill="auto"/>
        </w:tcPr>
        <w:p w14:paraId="1B9D9D1C" w14:textId="77777777" w:rsidR="00C16D8B" w:rsidRDefault="00C16D8B" w:rsidP="00971914">
          <w:pPr>
            <w:pStyle w:val="GridTable31"/>
          </w:pPr>
          <w:r>
            <w:t xml:space="preserve">Contents </w:t>
          </w:r>
          <w:r w:rsidRPr="00915B1C">
            <w:rPr>
              <w:b w:val="0"/>
              <w:spacing w:val="0"/>
              <w:sz w:val="28"/>
              <w:szCs w:val="28"/>
            </w:rPr>
            <w:t>(Continued)</w:t>
          </w:r>
        </w:p>
      </w:tc>
    </w:tr>
    <w:tr w:rsidR="00C16D8B" w14:paraId="1ABA3566" w14:textId="77777777" w:rsidTr="00D3217E">
      <w:trPr>
        <w:trHeight w:val="1220"/>
      </w:trPr>
      <w:tc>
        <w:tcPr>
          <w:tcW w:w="7678" w:type="dxa"/>
          <w:shd w:val="clear" w:color="auto" w:fill="auto"/>
        </w:tcPr>
        <w:p w14:paraId="20B6AA91" w14:textId="77777777" w:rsidR="00C16D8B" w:rsidRDefault="00C16D8B" w:rsidP="00971914"/>
      </w:tc>
    </w:tr>
  </w:tbl>
  <w:p w14:paraId="749F50C9" w14:textId="77777777" w:rsidR="00C16D8B" w:rsidRDefault="00C16D8B" w:rsidP="009719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678" w:type="dxa"/>
      <w:tblLayout w:type="fixed"/>
      <w:tblCellMar>
        <w:left w:w="0" w:type="dxa"/>
        <w:right w:w="0" w:type="dxa"/>
      </w:tblCellMar>
      <w:tblLook w:val="01E0" w:firstRow="1" w:lastRow="1" w:firstColumn="1" w:lastColumn="1" w:noHBand="0" w:noVBand="0"/>
    </w:tblPr>
    <w:tblGrid>
      <w:gridCol w:w="7678"/>
    </w:tblGrid>
    <w:tr w:rsidR="00C16D8B" w14:paraId="6C13133C" w14:textId="77777777" w:rsidTr="00D3217E">
      <w:trPr>
        <w:trHeight w:hRule="exact" w:val="988"/>
      </w:trPr>
      <w:tc>
        <w:tcPr>
          <w:tcW w:w="7678" w:type="dxa"/>
          <w:shd w:val="clear" w:color="auto" w:fill="auto"/>
        </w:tcPr>
        <w:p w14:paraId="3C7192A2" w14:textId="77777777" w:rsidR="00C16D8B" w:rsidRDefault="00C16D8B" w:rsidP="00971914">
          <w:pPr>
            <w:pStyle w:val="Header"/>
          </w:pPr>
        </w:p>
      </w:tc>
    </w:tr>
    <w:tr w:rsidR="00C16D8B" w14:paraId="525D4725" w14:textId="77777777" w:rsidTr="00D3217E">
      <w:tc>
        <w:tcPr>
          <w:tcW w:w="7678" w:type="dxa"/>
          <w:shd w:val="clear" w:color="auto" w:fill="auto"/>
        </w:tcPr>
        <w:p w14:paraId="32D5E274" w14:textId="77777777" w:rsidR="00C16D8B" w:rsidRDefault="00C16D8B" w:rsidP="00971914">
          <w:pPr>
            <w:pStyle w:val="GridTable31"/>
          </w:pPr>
          <w:r>
            <w:t xml:space="preserve">Contents </w:t>
          </w:r>
          <w:r w:rsidRPr="00915B1C">
            <w:rPr>
              <w:b w:val="0"/>
              <w:spacing w:val="0"/>
              <w:sz w:val="28"/>
              <w:szCs w:val="28"/>
            </w:rPr>
            <w:t>(Continued)</w:t>
          </w:r>
        </w:p>
      </w:tc>
    </w:tr>
    <w:tr w:rsidR="00C16D8B" w14:paraId="2C667799" w14:textId="77777777" w:rsidTr="00D3217E">
      <w:trPr>
        <w:trHeight w:val="1220"/>
      </w:trPr>
      <w:tc>
        <w:tcPr>
          <w:tcW w:w="7678" w:type="dxa"/>
          <w:shd w:val="clear" w:color="auto" w:fill="auto"/>
        </w:tcPr>
        <w:p w14:paraId="5F7F2976" w14:textId="77777777" w:rsidR="00C16D8B" w:rsidRDefault="00C16D8B" w:rsidP="00971914"/>
      </w:tc>
    </w:tr>
  </w:tbl>
  <w:p w14:paraId="7206F95A" w14:textId="77777777" w:rsidR="00C16D8B" w:rsidRPr="00A5474E" w:rsidRDefault="00C16D8B" w:rsidP="00A547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E79DB" w14:textId="77777777" w:rsidR="00C16D8B" w:rsidRDefault="00C16D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00A19" w14:textId="77777777" w:rsidR="00C16D8B" w:rsidRDefault="00C16D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91AC077A"/>
    <w:lvl w:ilvl="0">
      <w:start w:val="1"/>
      <w:numFmt w:val="decimal"/>
      <w:pStyle w:val="ListNumber"/>
      <w:lvlText w:val="%1."/>
      <w:lvlJc w:val="left"/>
      <w:pPr>
        <w:ind w:left="360" w:hanging="360"/>
      </w:pPr>
      <w:rPr>
        <w:rFonts w:hint="default"/>
        <w:b w:val="0"/>
        <w:bCs/>
        <w:caps/>
        <w:sz w:val="20"/>
      </w:rPr>
    </w:lvl>
  </w:abstractNum>
  <w:abstractNum w:abstractNumId="3" w15:restartNumberingAfterBreak="0">
    <w:nsid w:val="FFFFFF89"/>
    <w:multiLevelType w:val="singleLevel"/>
    <w:tmpl w:val="1DFA426E"/>
    <w:lvl w:ilvl="0">
      <w:start w:val="1"/>
      <w:numFmt w:val="bullet"/>
      <w:pStyle w:val="ListBullet"/>
      <w:lvlText w:val="&gt;"/>
      <w:lvlJc w:val="left"/>
      <w:pPr>
        <w:tabs>
          <w:tab w:val="num" w:pos="4265"/>
        </w:tabs>
        <w:ind w:left="4265" w:hanging="295"/>
      </w:pPr>
      <w:rPr>
        <w:rFonts w:ascii="HelveticaNeueLT Std Lt" w:hAnsi="HelveticaNeueLT Std Lt" w:hint="default"/>
        <w:sz w:val="20"/>
      </w:rPr>
    </w:lvl>
  </w:abstractNum>
  <w:abstractNum w:abstractNumId="4" w15:restartNumberingAfterBreak="0">
    <w:nsid w:val="026504F6"/>
    <w:multiLevelType w:val="hybridMultilevel"/>
    <w:tmpl w:val="FC1C44E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2AF1222"/>
    <w:multiLevelType w:val="hybridMultilevel"/>
    <w:tmpl w:val="BC6E3C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02569E"/>
    <w:multiLevelType w:val="hybridMultilevel"/>
    <w:tmpl w:val="BB4E48C2"/>
    <w:lvl w:ilvl="0" w:tplc="3C66A9A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A24EC3"/>
    <w:multiLevelType w:val="hybridMultilevel"/>
    <w:tmpl w:val="D49295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90A0388"/>
    <w:multiLevelType w:val="hybridMultilevel"/>
    <w:tmpl w:val="519A129C"/>
    <w:lvl w:ilvl="0" w:tplc="C0C017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1AC6A7A"/>
    <w:multiLevelType w:val="hybridMultilevel"/>
    <w:tmpl w:val="27E02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1D1869"/>
    <w:multiLevelType w:val="hybridMultilevel"/>
    <w:tmpl w:val="B53EAB90"/>
    <w:lvl w:ilvl="0" w:tplc="0F660798">
      <w:start w:val="1"/>
      <w:numFmt w:val="decimal"/>
      <w:pStyle w:val="ACMAHeading3"/>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15:restartNumberingAfterBreak="0">
    <w:nsid w:val="29D17171"/>
    <w:multiLevelType w:val="hybridMultilevel"/>
    <w:tmpl w:val="744E4566"/>
    <w:lvl w:ilvl="0" w:tplc="0C090001">
      <w:start w:val="1"/>
      <w:numFmt w:val="bullet"/>
      <w:lvlText w:val=""/>
      <w:lvlJc w:val="left"/>
      <w:pPr>
        <w:ind w:left="1775" w:hanging="360"/>
      </w:pPr>
      <w:rPr>
        <w:rFonts w:ascii="Symbol" w:hAnsi="Symbol" w:hint="default"/>
      </w:rPr>
    </w:lvl>
    <w:lvl w:ilvl="1" w:tplc="0C090003">
      <w:start w:val="1"/>
      <w:numFmt w:val="bullet"/>
      <w:lvlText w:val="o"/>
      <w:lvlJc w:val="left"/>
      <w:pPr>
        <w:ind w:left="2495" w:hanging="360"/>
      </w:pPr>
      <w:rPr>
        <w:rFonts w:ascii="Courier New" w:hAnsi="Courier New" w:cs="Courier New" w:hint="default"/>
      </w:rPr>
    </w:lvl>
    <w:lvl w:ilvl="2" w:tplc="0C090005">
      <w:start w:val="1"/>
      <w:numFmt w:val="bullet"/>
      <w:lvlText w:val=""/>
      <w:lvlJc w:val="left"/>
      <w:pPr>
        <w:ind w:left="3215" w:hanging="360"/>
      </w:pPr>
      <w:rPr>
        <w:rFonts w:ascii="Wingdings" w:hAnsi="Wingdings" w:hint="default"/>
      </w:rPr>
    </w:lvl>
    <w:lvl w:ilvl="3" w:tplc="0C090001">
      <w:start w:val="1"/>
      <w:numFmt w:val="bullet"/>
      <w:lvlText w:val=""/>
      <w:lvlJc w:val="left"/>
      <w:pPr>
        <w:ind w:left="3935" w:hanging="360"/>
      </w:pPr>
      <w:rPr>
        <w:rFonts w:ascii="Symbol" w:hAnsi="Symbol" w:hint="default"/>
      </w:rPr>
    </w:lvl>
    <w:lvl w:ilvl="4" w:tplc="0C090003">
      <w:start w:val="1"/>
      <w:numFmt w:val="bullet"/>
      <w:lvlText w:val="o"/>
      <w:lvlJc w:val="left"/>
      <w:pPr>
        <w:ind w:left="4655" w:hanging="360"/>
      </w:pPr>
      <w:rPr>
        <w:rFonts w:ascii="Courier New" w:hAnsi="Courier New" w:cs="Courier New" w:hint="default"/>
      </w:rPr>
    </w:lvl>
    <w:lvl w:ilvl="5" w:tplc="0C090005">
      <w:start w:val="1"/>
      <w:numFmt w:val="bullet"/>
      <w:lvlText w:val=""/>
      <w:lvlJc w:val="left"/>
      <w:pPr>
        <w:ind w:left="5375" w:hanging="360"/>
      </w:pPr>
      <w:rPr>
        <w:rFonts w:ascii="Wingdings" w:hAnsi="Wingdings" w:hint="default"/>
      </w:rPr>
    </w:lvl>
    <w:lvl w:ilvl="6" w:tplc="0C090001">
      <w:start w:val="1"/>
      <w:numFmt w:val="bullet"/>
      <w:lvlText w:val=""/>
      <w:lvlJc w:val="left"/>
      <w:pPr>
        <w:ind w:left="6095" w:hanging="360"/>
      </w:pPr>
      <w:rPr>
        <w:rFonts w:ascii="Symbol" w:hAnsi="Symbol" w:hint="default"/>
      </w:rPr>
    </w:lvl>
    <w:lvl w:ilvl="7" w:tplc="0C090003">
      <w:start w:val="1"/>
      <w:numFmt w:val="bullet"/>
      <w:lvlText w:val="o"/>
      <w:lvlJc w:val="left"/>
      <w:pPr>
        <w:ind w:left="6815" w:hanging="360"/>
      </w:pPr>
      <w:rPr>
        <w:rFonts w:ascii="Courier New" w:hAnsi="Courier New" w:cs="Courier New" w:hint="default"/>
      </w:rPr>
    </w:lvl>
    <w:lvl w:ilvl="8" w:tplc="0C090005">
      <w:start w:val="1"/>
      <w:numFmt w:val="bullet"/>
      <w:lvlText w:val=""/>
      <w:lvlJc w:val="left"/>
      <w:pPr>
        <w:ind w:left="7535" w:hanging="360"/>
      </w:pPr>
      <w:rPr>
        <w:rFonts w:ascii="Wingdings" w:hAnsi="Wingdings" w:hint="default"/>
      </w:rPr>
    </w:lvl>
  </w:abstractNum>
  <w:abstractNum w:abstractNumId="13" w15:restartNumberingAfterBreak="0">
    <w:nsid w:val="2BEC4704"/>
    <w:multiLevelType w:val="hybridMultilevel"/>
    <w:tmpl w:val="73BA3ADC"/>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cs="Wingdings" w:hint="default"/>
      </w:rPr>
    </w:lvl>
    <w:lvl w:ilvl="3" w:tplc="0C090001">
      <w:start w:val="1"/>
      <w:numFmt w:val="bullet"/>
      <w:lvlText w:val=""/>
      <w:lvlJc w:val="left"/>
      <w:pPr>
        <w:ind w:left="2520" w:hanging="360"/>
      </w:pPr>
      <w:rPr>
        <w:rFonts w:ascii="Symbol" w:hAnsi="Symbol" w:cs="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cs="Wingdings" w:hint="default"/>
      </w:rPr>
    </w:lvl>
    <w:lvl w:ilvl="6" w:tplc="0C090001">
      <w:start w:val="1"/>
      <w:numFmt w:val="bullet"/>
      <w:lvlText w:val=""/>
      <w:lvlJc w:val="left"/>
      <w:pPr>
        <w:ind w:left="4680" w:hanging="360"/>
      </w:pPr>
      <w:rPr>
        <w:rFonts w:ascii="Symbol" w:hAnsi="Symbol" w:cs="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cs="Wingdings" w:hint="default"/>
      </w:rPr>
    </w:lvl>
  </w:abstractNum>
  <w:abstractNum w:abstractNumId="14"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5" w15:restartNumberingAfterBreak="0">
    <w:nsid w:val="2F5A5080"/>
    <w:multiLevelType w:val="hybridMultilevel"/>
    <w:tmpl w:val="BE2AF6CE"/>
    <w:lvl w:ilvl="0" w:tplc="D05E2434">
      <w:start w:val="1"/>
      <w:numFmt w:val="bullet"/>
      <w:pStyle w:val="ACMABulletLevel1"/>
      <w:lvlText w:val="●"/>
      <w:lvlJc w:val="left"/>
      <w:pPr>
        <w:ind w:left="357" w:hanging="357"/>
      </w:pPr>
      <w:rPr>
        <w:rFonts w:ascii="Arial" w:hAnsi="Arial" w:cs="Arial" w:hint="default"/>
        <w:sz w:val="20"/>
        <w:szCs w:val="20"/>
      </w:rPr>
    </w:lvl>
    <w:lvl w:ilvl="1" w:tplc="04090003">
      <w:start w:val="1"/>
      <w:numFmt w:val="bullet"/>
      <w:lvlText w:val="o"/>
      <w:lvlJc w:val="left"/>
      <w:pPr>
        <w:tabs>
          <w:tab w:val="num" w:pos="1728"/>
        </w:tabs>
        <w:ind w:left="1728" w:hanging="360"/>
      </w:pPr>
      <w:rPr>
        <w:rFonts w:ascii="Courier New" w:hAnsi="Courier New" w:cs="Times New Roman" w:hint="default"/>
      </w:rPr>
    </w:lvl>
    <w:lvl w:ilvl="2" w:tplc="04090005">
      <w:start w:val="1"/>
      <w:numFmt w:val="bullet"/>
      <w:lvlText w:val=""/>
      <w:lvlJc w:val="left"/>
      <w:pPr>
        <w:tabs>
          <w:tab w:val="num" w:pos="2448"/>
        </w:tabs>
        <w:ind w:left="2448" w:hanging="360"/>
      </w:pPr>
      <w:rPr>
        <w:rFonts w:ascii="Wingdings" w:hAnsi="Wingdings" w:hint="default"/>
      </w:rPr>
    </w:lvl>
    <w:lvl w:ilvl="3" w:tplc="04090001">
      <w:start w:val="1"/>
      <w:numFmt w:val="bullet"/>
      <w:lvlText w:val=""/>
      <w:lvlJc w:val="left"/>
      <w:pPr>
        <w:tabs>
          <w:tab w:val="num" w:pos="3168"/>
        </w:tabs>
        <w:ind w:left="3168" w:hanging="360"/>
      </w:pPr>
      <w:rPr>
        <w:rFonts w:ascii="Symbol" w:hAnsi="Symbol" w:hint="default"/>
      </w:rPr>
    </w:lvl>
    <w:lvl w:ilvl="4" w:tplc="04090003">
      <w:start w:val="1"/>
      <w:numFmt w:val="bullet"/>
      <w:lvlText w:val="o"/>
      <w:lvlJc w:val="left"/>
      <w:pPr>
        <w:tabs>
          <w:tab w:val="num" w:pos="3888"/>
        </w:tabs>
        <w:ind w:left="3888" w:hanging="360"/>
      </w:pPr>
      <w:rPr>
        <w:rFonts w:ascii="Courier New" w:hAnsi="Courier New" w:cs="Times New Roman" w:hint="default"/>
      </w:rPr>
    </w:lvl>
    <w:lvl w:ilvl="5" w:tplc="04090005">
      <w:start w:val="1"/>
      <w:numFmt w:val="bullet"/>
      <w:lvlText w:val=""/>
      <w:lvlJc w:val="left"/>
      <w:pPr>
        <w:tabs>
          <w:tab w:val="num" w:pos="4608"/>
        </w:tabs>
        <w:ind w:left="4608" w:hanging="360"/>
      </w:pPr>
      <w:rPr>
        <w:rFonts w:ascii="Wingdings" w:hAnsi="Wingdings" w:hint="default"/>
      </w:rPr>
    </w:lvl>
    <w:lvl w:ilvl="6" w:tplc="04090001">
      <w:start w:val="1"/>
      <w:numFmt w:val="bullet"/>
      <w:lvlText w:val=""/>
      <w:lvlJc w:val="left"/>
      <w:pPr>
        <w:tabs>
          <w:tab w:val="num" w:pos="5328"/>
        </w:tabs>
        <w:ind w:left="5328" w:hanging="360"/>
      </w:pPr>
      <w:rPr>
        <w:rFonts w:ascii="Symbol" w:hAnsi="Symbol" w:hint="default"/>
      </w:rPr>
    </w:lvl>
    <w:lvl w:ilvl="7" w:tplc="04090003">
      <w:start w:val="1"/>
      <w:numFmt w:val="bullet"/>
      <w:lvlText w:val="o"/>
      <w:lvlJc w:val="left"/>
      <w:pPr>
        <w:tabs>
          <w:tab w:val="num" w:pos="6048"/>
        </w:tabs>
        <w:ind w:left="6048" w:hanging="360"/>
      </w:pPr>
      <w:rPr>
        <w:rFonts w:ascii="Courier New" w:hAnsi="Courier New" w:cs="Times New Roman" w:hint="default"/>
      </w:rPr>
    </w:lvl>
    <w:lvl w:ilvl="8" w:tplc="04090005">
      <w:start w:val="1"/>
      <w:numFmt w:val="bullet"/>
      <w:lvlText w:val=""/>
      <w:lvlJc w:val="left"/>
      <w:pPr>
        <w:tabs>
          <w:tab w:val="num" w:pos="6768"/>
        </w:tabs>
        <w:ind w:left="6768" w:hanging="360"/>
      </w:pPr>
      <w:rPr>
        <w:rFonts w:ascii="Wingdings" w:hAnsi="Wingdings" w:hint="default"/>
      </w:rPr>
    </w:lvl>
  </w:abstractNum>
  <w:abstractNum w:abstractNumId="16" w15:restartNumberingAfterBreak="0">
    <w:nsid w:val="37020905"/>
    <w:multiLevelType w:val="hybridMultilevel"/>
    <w:tmpl w:val="54AA93A0"/>
    <w:lvl w:ilvl="0" w:tplc="FA94A91C">
      <w:start w:val="1"/>
      <w:numFmt w:val="decimal"/>
      <w:lvlText w:val="%1."/>
      <w:lvlJc w:val="left"/>
      <w:pPr>
        <w:ind w:left="360" w:hanging="360"/>
      </w:pPr>
      <w:rPr>
        <w:rFonts w:ascii="Arial" w:hAnsi="Arial" w:cs="Aria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92B74D7"/>
    <w:multiLevelType w:val="hybridMultilevel"/>
    <w:tmpl w:val="60226550"/>
    <w:lvl w:ilvl="0" w:tplc="45A08A34">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3D0D6E"/>
    <w:multiLevelType w:val="hybridMultilevel"/>
    <w:tmpl w:val="E116C538"/>
    <w:lvl w:ilvl="0" w:tplc="535A3F14">
      <w:start w:val="1"/>
      <w:numFmt w:val="bullet"/>
      <w:lvlText w:val=""/>
      <w:lvlJc w:val="left"/>
      <w:pPr>
        <w:ind w:left="1775" w:hanging="360"/>
      </w:pPr>
      <w:rPr>
        <w:rFonts w:ascii="Symbol" w:hAnsi="Symbol" w:hint="default"/>
      </w:rPr>
    </w:lvl>
    <w:lvl w:ilvl="1" w:tplc="0C090003">
      <w:start w:val="1"/>
      <w:numFmt w:val="bullet"/>
      <w:lvlText w:val="o"/>
      <w:lvlJc w:val="left"/>
      <w:pPr>
        <w:ind w:left="2495" w:hanging="360"/>
      </w:pPr>
      <w:rPr>
        <w:rFonts w:ascii="Courier New" w:hAnsi="Courier New" w:cs="Courier New" w:hint="default"/>
      </w:rPr>
    </w:lvl>
    <w:lvl w:ilvl="2" w:tplc="0C090005">
      <w:start w:val="1"/>
      <w:numFmt w:val="bullet"/>
      <w:lvlText w:val=""/>
      <w:lvlJc w:val="left"/>
      <w:pPr>
        <w:ind w:left="3215" w:hanging="360"/>
      </w:pPr>
      <w:rPr>
        <w:rFonts w:ascii="Wingdings" w:hAnsi="Wingdings" w:hint="default"/>
      </w:rPr>
    </w:lvl>
    <w:lvl w:ilvl="3" w:tplc="0C090001">
      <w:start w:val="1"/>
      <w:numFmt w:val="bullet"/>
      <w:lvlText w:val=""/>
      <w:lvlJc w:val="left"/>
      <w:pPr>
        <w:ind w:left="3935" w:hanging="360"/>
      </w:pPr>
      <w:rPr>
        <w:rFonts w:ascii="Symbol" w:hAnsi="Symbol" w:hint="default"/>
      </w:rPr>
    </w:lvl>
    <w:lvl w:ilvl="4" w:tplc="0C090003">
      <w:start w:val="1"/>
      <w:numFmt w:val="bullet"/>
      <w:lvlText w:val="o"/>
      <w:lvlJc w:val="left"/>
      <w:pPr>
        <w:ind w:left="4655" w:hanging="360"/>
      </w:pPr>
      <w:rPr>
        <w:rFonts w:ascii="Courier New" w:hAnsi="Courier New" w:cs="Courier New" w:hint="default"/>
      </w:rPr>
    </w:lvl>
    <w:lvl w:ilvl="5" w:tplc="0C090005">
      <w:start w:val="1"/>
      <w:numFmt w:val="bullet"/>
      <w:lvlText w:val=""/>
      <w:lvlJc w:val="left"/>
      <w:pPr>
        <w:ind w:left="5375" w:hanging="360"/>
      </w:pPr>
      <w:rPr>
        <w:rFonts w:ascii="Wingdings" w:hAnsi="Wingdings" w:hint="default"/>
      </w:rPr>
    </w:lvl>
    <w:lvl w:ilvl="6" w:tplc="0C090001">
      <w:start w:val="1"/>
      <w:numFmt w:val="bullet"/>
      <w:lvlText w:val=""/>
      <w:lvlJc w:val="left"/>
      <w:pPr>
        <w:ind w:left="6095" w:hanging="360"/>
      </w:pPr>
      <w:rPr>
        <w:rFonts w:ascii="Symbol" w:hAnsi="Symbol" w:hint="default"/>
      </w:rPr>
    </w:lvl>
    <w:lvl w:ilvl="7" w:tplc="0C090003">
      <w:start w:val="1"/>
      <w:numFmt w:val="bullet"/>
      <w:lvlText w:val="o"/>
      <w:lvlJc w:val="left"/>
      <w:pPr>
        <w:ind w:left="6815" w:hanging="360"/>
      </w:pPr>
      <w:rPr>
        <w:rFonts w:ascii="Courier New" w:hAnsi="Courier New" w:cs="Courier New" w:hint="default"/>
      </w:rPr>
    </w:lvl>
    <w:lvl w:ilvl="8" w:tplc="0C090005">
      <w:start w:val="1"/>
      <w:numFmt w:val="bullet"/>
      <w:lvlText w:val=""/>
      <w:lvlJc w:val="left"/>
      <w:pPr>
        <w:ind w:left="7535" w:hanging="360"/>
      </w:pPr>
      <w:rPr>
        <w:rFonts w:ascii="Wingdings" w:hAnsi="Wingdings" w:hint="default"/>
      </w:rPr>
    </w:lvl>
  </w:abstractNum>
  <w:abstractNum w:abstractNumId="19" w15:restartNumberingAfterBreak="0">
    <w:nsid w:val="3D952D14"/>
    <w:multiLevelType w:val="multilevel"/>
    <w:tmpl w:val="0C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0" w15:restartNumberingAfterBreak="0">
    <w:nsid w:val="3E2B2FF0"/>
    <w:multiLevelType w:val="hybridMultilevel"/>
    <w:tmpl w:val="829632FE"/>
    <w:lvl w:ilvl="0" w:tplc="C0C017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D17397C"/>
    <w:multiLevelType w:val="hybridMultilevel"/>
    <w:tmpl w:val="0F48955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5AA21F0"/>
    <w:multiLevelType w:val="hybridMultilevel"/>
    <w:tmpl w:val="E8BAA94E"/>
    <w:lvl w:ilvl="0" w:tplc="9230A43C">
      <w:start w:val="1"/>
      <w:numFmt w:val="decimal"/>
      <w:pStyle w:val="ACMATableHeader"/>
      <w:lvlText w:val="Table %1:"/>
      <w:lvlJc w:val="left"/>
      <w:pPr>
        <w:tabs>
          <w:tab w:val="num" w:pos="1957"/>
        </w:tabs>
        <w:ind w:left="1957"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2B2148"/>
    <w:multiLevelType w:val="hybridMultilevel"/>
    <w:tmpl w:val="A3126FDC"/>
    <w:lvl w:ilvl="0" w:tplc="F86E6106">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E02196"/>
    <w:multiLevelType w:val="hybridMultilevel"/>
    <w:tmpl w:val="3C6C5BAC"/>
    <w:lvl w:ilvl="0" w:tplc="E444AD82">
      <w:start w:val="1"/>
      <w:numFmt w:val="lowerRoman"/>
      <w:lvlText w:val="(%1)"/>
      <w:lvlJc w:val="left"/>
      <w:pPr>
        <w:ind w:left="655" w:hanging="360"/>
      </w:pPr>
      <w:rPr>
        <w:rFonts w:hint="default"/>
      </w:rPr>
    </w:lvl>
    <w:lvl w:ilvl="1" w:tplc="0C090019" w:tentative="1">
      <w:start w:val="1"/>
      <w:numFmt w:val="lowerLetter"/>
      <w:lvlText w:val="%2."/>
      <w:lvlJc w:val="left"/>
      <w:pPr>
        <w:ind w:left="1375" w:hanging="360"/>
      </w:pPr>
    </w:lvl>
    <w:lvl w:ilvl="2" w:tplc="0C09001B" w:tentative="1">
      <w:start w:val="1"/>
      <w:numFmt w:val="lowerRoman"/>
      <w:lvlText w:val="%3."/>
      <w:lvlJc w:val="right"/>
      <w:pPr>
        <w:ind w:left="2095" w:hanging="180"/>
      </w:pPr>
    </w:lvl>
    <w:lvl w:ilvl="3" w:tplc="0C09000F" w:tentative="1">
      <w:start w:val="1"/>
      <w:numFmt w:val="decimal"/>
      <w:lvlText w:val="%4."/>
      <w:lvlJc w:val="left"/>
      <w:pPr>
        <w:ind w:left="2815" w:hanging="360"/>
      </w:pPr>
    </w:lvl>
    <w:lvl w:ilvl="4" w:tplc="0C090019" w:tentative="1">
      <w:start w:val="1"/>
      <w:numFmt w:val="lowerLetter"/>
      <w:lvlText w:val="%5."/>
      <w:lvlJc w:val="left"/>
      <w:pPr>
        <w:ind w:left="3535" w:hanging="360"/>
      </w:pPr>
    </w:lvl>
    <w:lvl w:ilvl="5" w:tplc="0C09001B" w:tentative="1">
      <w:start w:val="1"/>
      <w:numFmt w:val="lowerRoman"/>
      <w:lvlText w:val="%6."/>
      <w:lvlJc w:val="right"/>
      <w:pPr>
        <w:ind w:left="4255" w:hanging="180"/>
      </w:pPr>
    </w:lvl>
    <w:lvl w:ilvl="6" w:tplc="0C09000F" w:tentative="1">
      <w:start w:val="1"/>
      <w:numFmt w:val="decimal"/>
      <w:lvlText w:val="%7."/>
      <w:lvlJc w:val="left"/>
      <w:pPr>
        <w:ind w:left="4975" w:hanging="360"/>
      </w:pPr>
    </w:lvl>
    <w:lvl w:ilvl="7" w:tplc="0C090019" w:tentative="1">
      <w:start w:val="1"/>
      <w:numFmt w:val="lowerLetter"/>
      <w:lvlText w:val="%8."/>
      <w:lvlJc w:val="left"/>
      <w:pPr>
        <w:ind w:left="5695" w:hanging="360"/>
      </w:pPr>
    </w:lvl>
    <w:lvl w:ilvl="8" w:tplc="0C09001B" w:tentative="1">
      <w:start w:val="1"/>
      <w:numFmt w:val="lowerRoman"/>
      <w:lvlText w:val="%9."/>
      <w:lvlJc w:val="right"/>
      <w:pPr>
        <w:ind w:left="6415" w:hanging="180"/>
      </w:pPr>
    </w:lvl>
  </w:abstractNum>
  <w:abstractNum w:abstractNumId="28" w15:restartNumberingAfterBreak="0">
    <w:nsid w:val="718140AD"/>
    <w:multiLevelType w:val="hybridMultilevel"/>
    <w:tmpl w:val="D49295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4250E7E"/>
    <w:multiLevelType w:val="hybridMultilevel"/>
    <w:tmpl w:val="20884800"/>
    <w:lvl w:ilvl="0" w:tplc="EC74C7DE">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C932C8"/>
    <w:multiLevelType w:val="hybridMultilevel"/>
    <w:tmpl w:val="BFF81C8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14"/>
  </w:num>
  <w:num w:numId="6">
    <w:abstractNumId w:val="24"/>
  </w:num>
  <w:num w:numId="7">
    <w:abstractNumId w:val="22"/>
  </w:num>
  <w:num w:numId="8">
    <w:abstractNumId w:val="23"/>
  </w:num>
  <w:num w:numId="9">
    <w:abstractNumId w:val="25"/>
  </w:num>
  <w:num w:numId="10">
    <w:abstractNumId w:val="1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7"/>
  </w:num>
  <w:num w:numId="14">
    <w:abstractNumId w:val="28"/>
  </w:num>
  <w:num w:numId="15">
    <w:abstractNumId w:val="8"/>
  </w:num>
  <w:num w:numId="16">
    <w:abstractNumId w:val="4"/>
  </w:num>
  <w:num w:numId="17">
    <w:abstractNumId w:val="30"/>
  </w:num>
  <w:num w:numId="18">
    <w:abstractNumId w:val="13"/>
    <w:lvlOverride w:ilvl="0">
      <w:startOverride w:val="1"/>
    </w:lvlOverride>
    <w:lvlOverride w:ilvl="1"/>
    <w:lvlOverride w:ilvl="2"/>
    <w:lvlOverride w:ilvl="3"/>
    <w:lvlOverride w:ilvl="4"/>
    <w:lvlOverride w:ilvl="5"/>
    <w:lvlOverride w:ilvl="6"/>
    <w:lvlOverride w:ilvl="7"/>
    <w:lvlOverride w:ilvl="8"/>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
    <w:lvlOverride w:ilvl="0">
      <w:startOverride w:val="1"/>
    </w:lvlOverride>
  </w:num>
  <w:num w:numId="22">
    <w:abstractNumId w:val="2"/>
    <w:lvlOverride w:ilvl="0">
      <w:startOverride w:val="1"/>
    </w:lvlOverride>
  </w:num>
  <w:num w:numId="23">
    <w:abstractNumId w:val="7"/>
  </w:num>
  <w:num w:numId="24">
    <w:abstractNumId w:val="5"/>
  </w:num>
  <w:num w:numId="25">
    <w:abstractNumId w:val="2"/>
    <w:lvlOverride w:ilvl="0">
      <w:startOverride w:val="1"/>
    </w:lvlOverride>
  </w:num>
  <w:num w:numId="26">
    <w:abstractNumId w:val="17"/>
  </w:num>
  <w:num w:numId="27">
    <w:abstractNumId w:val="6"/>
  </w:num>
  <w:num w:numId="28">
    <w:abstractNumId w:val="26"/>
  </w:num>
  <w:num w:numId="29">
    <w:abstractNumId w:val="29"/>
  </w:num>
  <w:num w:numId="30">
    <w:abstractNumId w:val="10"/>
  </w:num>
  <w:num w:numId="31">
    <w:abstractNumId w:val="16"/>
  </w:num>
  <w:num w:numId="32">
    <w:abstractNumId w:val="12"/>
  </w:num>
  <w:num w:numId="33">
    <w:abstractNumId w:val="18"/>
  </w:num>
  <w:num w:numId="34">
    <w:abstractNumId w:val="12"/>
  </w:num>
  <w:num w:numId="35">
    <w:abstractNumId w:val="12"/>
  </w:num>
  <w:num w:numId="36">
    <w:abstractNumId w:val="12"/>
  </w:num>
  <w:num w:numId="37">
    <w:abstractNumId w:val="12"/>
  </w:num>
  <w:num w:numId="38">
    <w:abstractNumId w:val="21"/>
  </w:num>
  <w:num w:numId="39">
    <w:abstractNumId w:val="9"/>
  </w:num>
  <w:num w:numId="40">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4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8193">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2CF"/>
    <w:rsid w:val="0000007F"/>
    <w:rsid w:val="00000934"/>
    <w:rsid w:val="00000B14"/>
    <w:rsid w:val="0000145F"/>
    <w:rsid w:val="000014C0"/>
    <w:rsid w:val="0000188A"/>
    <w:rsid w:val="00001D13"/>
    <w:rsid w:val="00001E3E"/>
    <w:rsid w:val="000025AC"/>
    <w:rsid w:val="00002838"/>
    <w:rsid w:val="00002B3C"/>
    <w:rsid w:val="00002E6C"/>
    <w:rsid w:val="00002F7D"/>
    <w:rsid w:val="00002FE0"/>
    <w:rsid w:val="0000304D"/>
    <w:rsid w:val="0000327D"/>
    <w:rsid w:val="00003625"/>
    <w:rsid w:val="00003BB6"/>
    <w:rsid w:val="000043D6"/>
    <w:rsid w:val="0000443F"/>
    <w:rsid w:val="00004753"/>
    <w:rsid w:val="00004902"/>
    <w:rsid w:val="00004E8B"/>
    <w:rsid w:val="00004FA8"/>
    <w:rsid w:val="000050BA"/>
    <w:rsid w:val="00005139"/>
    <w:rsid w:val="0000565C"/>
    <w:rsid w:val="000058BE"/>
    <w:rsid w:val="0000591C"/>
    <w:rsid w:val="00006454"/>
    <w:rsid w:val="0000674C"/>
    <w:rsid w:val="00006969"/>
    <w:rsid w:val="00006D69"/>
    <w:rsid w:val="00006E99"/>
    <w:rsid w:val="00007969"/>
    <w:rsid w:val="00007A2D"/>
    <w:rsid w:val="00007BFD"/>
    <w:rsid w:val="00010027"/>
    <w:rsid w:val="000100F1"/>
    <w:rsid w:val="00010667"/>
    <w:rsid w:val="00010753"/>
    <w:rsid w:val="00010AF2"/>
    <w:rsid w:val="00010B1C"/>
    <w:rsid w:val="00010C54"/>
    <w:rsid w:val="00011074"/>
    <w:rsid w:val="000112C6"/>
    <w:rsid w:val="00011564"/>
    <w:rsid w:val="0001192B"/>
    <w:rsid w:val="00011B37"/>
    <w:rsid w:val="0001246D"/>
    <w:rsid w:val="00012623"/>
    <w:rsid w:val="000129D5"/>
    <w:rsid w:val="0001316D"/>
    <w:rsid w:val="0001347A"/>
    <w:rsid w:val="00013691"/>
    <w:rsid w:val="00013E6F"/>
    <w:rsid w:val="00014000"/>
    <w:rsid w:val="000145F7"/>
    <w:rsid w:val="00014CE9"/>
    <w:rsid w:val="00015245"/>
    <w:rsid w:val="0001542D"/>
    <w:rsid w:val="00015559"/>
    <w:rsid w:val="00015996"/>
    <w:rsid w:val="000159F2"/>
    <w:rsid w:val="00015AE7"/>
    <w:rsid w:val="00015DF3"/>
    <w:rsid w:val="00015EF2"/>
    <w:rsid w:val="0001610B"/>
    <w:rsid w:val="00016229"/>
    <w:rsid w:val="000166C4"/>
    <w:rsid w:val="00016DB5"/>
    <w:rsid w:val="00016E21"/>
    <w:rsid w:val="00016F31"/>
    <w:rsid w:val="0001706A"/>
    <w:rsid w:val="0001707F"/>
    <w:rsid w:val="0001719C"/>
    <w:rsid w:val="0002063E"/>
    <w:rsid w:val="00020CA1"/>
    <w:rsid w:val="000214D7"/>
    <w:rsid w:val="000218FB"/>
    <w:rsid w:val="00021963"/>
    <w:rsid w:val="00021E91"/>
    <w:rsid w:val="00022112"/>
    <w:rsid w:val="0002224E"/>
    <w:rsid w:val="0002237F"/>
    <w:rsid w:val="00022755"/>
    <w:rsid w:val="00022A60"/>
    <w:rsid w:val="00022B9A"/>
    <w:rsid w:val="00022EE1"/>
    <w:rsid w:val="00023238"/>
    <w:rsid w:val="00023290"/>
    <w:rsid w:val="0002373E"/>
    <w:rsid w:val="00024032"/>
    <w:rsid w:val="0002441C"/>
    <w:rsid w:val="000244E4"/>
    <w:rsid w:val="000245E5"/>
    <w:rsid w:val="0002471B"/>
    <w:rsid w:val="00024DE9"/>
    <w:rsid w:val="0002586F"/>
    <w:rsid w:val="00025B1B"/>
    <w:rsid w:val="00025D44"/>
    <w:rsid w:val="000260F3"/>
    <w:rsid w:val="0002676D"/>
    <w:rsid w:val="00026ACA"/>
    <w:rsid w:val="00026B26"/>
    <w:rsid w:val="00026C24"/>
    <w:rsid w:val="00026CBE"/>
    <w:rsid w:val="00026F91"/>
    <w:rsid w:val="00027043"/>
    <w:rsid w:val="00027177"/>
    <w:rsid w:val="0002723E"/>
    <w:rsid w:val="00027695"/>
    <w:rsid w:val="0002775E"/>
    <w:rsid w:val="00027A5E"/>
    <w:rsid w:val="0003032E"/>
    <w:rsid w:val="00030533"/>
    <w:rsid w:val="000305FF"/>
    <w:rsid w:val="00030769"/>
    <w:rsid w:val="00030B2A"/>
    <w:rsid w:val="00030F1C"/>
    <w:rsid w:val="00030FFD"/>
    <w:rsid w:val="000311B3"/>
    <w:rsid w:val="00031657"/>
    <w:rsid w:val="00031BEB"/>
    <w:rsid w:val="00031C04"/>
    <w:rsid w:val="00031C49"/>
    <w:rsid w:val="00031DC9"/>
    <w:rsid w:val="000321F0"/>
    <w:rsid w:val="0003220F"/>
    <w:rsid w:val="00032372"/>
    <w:rsid w:val="00032621"/>
    <w:rsid w:val="00032863"/>
    <w:rsid w:val="00032D77"/>
    <w:rsid w:val="00033EAC"/>
    <w:rsid w:val="00034091"/>
    <w:rsid w:val="0003488B"/>
    <w:rsid w:val="00034956"/>
    <w:rsid w:val="00034989"/>
    <w:rsid w:val="00034A78"/>
    <w:rsid w:val="0003543F"/>
    <w:rsid w:val="00035469"/>
    <w:rsid w:val="00035E5E"/>
    <w:rsid w:val="000361AF"/>
    <w:rsid w:val="00036DD7"/>
    <w:rsid w:val="00036EB6"/>
    <w:rsid w:val="0003750C"/>
    <w:rsid w:val="00037D38"/>
    <w:rsid w:val="0004058A"/>
    <w:rsid w:val="000405C4"/>
    <w:rsid w:val="00040AED"/>
    <w:rsid w:val="00040F09"/>
    <w:rsid w:val="000412A7"/>
    <w:rsid w:val="00041381"/>
    <w:rsid w:val="00041577"/>
    <w:rsid w:val="00041624"/>
    <w:rsid w:val="00041711"/>
    <w:rsid w:val="00041895"/>
    <w:rsid w:val="00041B37"/>
    <w:rsid w:val="00041C2D"/>
    <w:rsid w:val="000429F4"/>
    <w:rsid w:val="00042C29"/>
    <w:rsid w:val="00043117"/>
    <w:rsid w:val="000432F9"/>
    <w:rsid w:val="0004356D"/>
    <w:rsid w:val="0004358D"/>
    <w:rsid w:val="00043784"/>
    <w:rsid w:val="00043862"/>
    <w:rsid w:val="000438E1"/>
    <w:rsid w:val="0004390A"/>
    <w:rsid w:val="00043AE1"/>
    <w:rsid w:val="00044193"/>
    <w:rsid w:val="00044855"/>
    <w:rsid w:val="000449D9"/>
    <w:rsid w:val="00044A30"/>
    <w:rsid w:val="00044C76"/>
    <w:rsid w:val="00044C7A"/>
    <w:rsid w:val="00044CAD"/>
    <w:rsid w:val="00044E6A"/>
    <w:rsid w:val="000453CE"/>
    <w:rsid w:val="0004578B"/>
    <w:rsid w:val="00045D85"/>
    <w:rsid w:val="00045F3D"/>
    <w:rsid w:val="00045FFD"/>
    <w:rsid w:val="00046197"/>
    <w:rsid w:val="00046F04"/>
    <w:rsid w:val="000470AD"/>
    <w:rsid w:val="00047117"/>
    <w:rsid w:val="000471B6"/>
    <w:rsid w:val="0004727E"/>
    <w:rsid w:val="0004740A"/>
    <w:rsid w:val="000474D8"/>
    <w:rsid w:val="0004764C"/>
    <w:rsid w:val="000478F6"/>
    <w:rsid w:val="00047C56"/>
    <w:rsid w:val="00047FD0"/>
    <w:rsid w:val="000500BA"/>
    <w:rsid w:val="0005011A"/>
    <w:rsid w:val="00050247"/>
    <w:rsid w:val="0005045A"/>
    <w:rsid w:val="00050868"/>
    <w:rsid w:val="00050B51"/>
    <w:rsid w:val="00050C0B"/>
    <w:rsid w:val="00050C81"/>
    <w:rsid w:val="00051762"/>
    <w:rsid w:val="000519B0"/>
    <w:rsid w:val="00051C1E"/>
    <w:rsid w:val="000520A5"/>
    <w:rsid w:val="0005279C"/>
    <w:rsid w:val="0005310A"/>
    <w:rsid w:val="00053652"/>
    <w:rsid w:val="0005384B"/>
    <w:rsid w:val="0005387C"/>
    <w:rsid w:val="000539F9"/>
    <w:rsid w:val="000541F4"/>
    <w:rsid w:val="0005457B"/>
    <w:rsid w:val="0005486C"/>
    <w:rsid w:val="0005486F"/>
    <w:rsid w:val="00054C27"/>
    <w:rsid w:val="00054C65"/>
    <w:rsid w:val="00054DFF"/>
    <w:rsid w:val="00054FE9"/>
    <w:rsid w:val="0005515E"/>
    <w:rsid w:val="000552F9"/>
    <w:rsid w:val="00055853"/>
    <w:rsid w:val="000559BF"/>
    <w:rsid w:val="00055E5C"/>
    <w:rsid w:val="00055EC3"/>
    <w:rsid w:val="00056243"/>
    <w:rsid w:val="000563CE"/>
    <w:rsid w:val="0005681D"/>
    <w:rsid w:val="00056B91"/>
    <w:rsid w:val="000573DA"/>
    <w:rsid w:val="0005752D"/>
    <w:rsid w:val="00057573"/>
    <w:rsid w:val="000579D6"/>
    <w:rsid w:val="00060449"/>
    <w:rsid w:val="000604FB"/>
    <w:rsid w:val="000608C9"/>
    <w:rsid w:val="00060B0C"/>
    <w:rsid w:val="00060D46"/>
    <w:rsid w:val="0006121D"/>
    <w:rsid w:val="00061232"/>
    <w:rsid w:val="0006138C"/>
    <w:rsid w:val="00061428"/>
    <w:rsid w:val="000617B2"/>
    <w:rsid w:val="000617F3"/>
    <w:rsid w:val="0006186D"/>
    <w:rsid w:val="00061BB2"/>
    <w:rsid w:val="00061C8A"/>
    <w:rsid w:val="00062492"/>
    <w:rsid w:val="000625FF"/>
    <w:rsid w:val="000628C8"/>
    <w:rsid w:val="00062AC1"/>
    <w:rsid w:val="00063007"/>
    <w:rsid w:val="000639BD"/>
    <w:rsid w:val="00063B65"/>
    <w:rsid w:val="00063D70"/>
    <w:rsid w:val="00063E0C"/>
    <w:rsid w:val="00063E65"/>
    <w:rsid w:val="00063E89"/>
    <w:rsid w:val="00063FB5"/>
    <w:rsid w:val="0006455F"/>
    <w:rsid w:val="00064722"/>
    <w:rsid w:val="00065174"/>
    <w:rsid w:val="000658C0"/>
    <w:rsid w:val="000659B6"/>
    <w:rsid w:val="000659CB"/>
    <w:rsid w:val="00065BAE"/>
    <w:rsid w:val="00065FE6"/>
    <w:rsid w:val="0006686F"/>
    <w:rsid w:val="00066A14"/>
    <w:rsid w:val="00066A16"/>
    <w:rsid w:val="0006722A"/>
    <w:rsid w:val="000675DD"/>
    <w:rsid w:val="0006764F"/>
    <w:rsid w:val="00067EF8"/>
    <w:rsid w:val="00067F03"/>
    <w:rsid w:val="00067F2F"/>
    <w:rsid w:val="0007029B"/>
    <w:rsid w:val="00070312"/>
    <w:rsid w:val="00070663"/>
    <w:rsid w:val="000707FC"/>
    <w:rsid w:val="00070B75"/>
    <w:rsid w:val="00070D37"/>
    <w:rsid w:val="0007125B"/>
    <w:rsid w:val="0007131D"/>
    <w:rsid w:val="00071464"/>
    <w:rsid w:val="0007175B"/>
    <w:rsid w:val="00071AD0"/>
    <w:rsid w:val="00072074"/>
    <w:rsid w:val="00072255"/>
    <w:rsid w:val="0007257A"/>
    <w:rsid w:val="000725FF"/>
    <w:rsid w:val="000726AA"/>
    <w:rsid w:val="00072E61"/>
    <w:rsid w:val="00072E80"/>
    <w:rsid w:val="00072F98"/>
    <w:rsid w:val="00072FAB"/>
    <w:rsid w:val="00073174"/>
    <w:rsid w:val="000732CF"/>
    <w:rsid w:val="00073935"/>
    <w:rsid w:val="00073936"/>
    <w:rsid w:val="00073B20"/>
    <w:rsid w:val="00073F1C"/>
    <w:rsid w:val="00073F80"/>
    <w:rsid w:val="00073F9C"/>
    <w:rsid w:val="00073FA4"/>
    <w:rsid w:val="00074285"/>
    <w:rsid w:val="000742B3"/>
    <w:rsid w:val="00074323"/>
    <w:rsid w:val="000746D5"/>
    <w:rsid w:val="00074A79"/>
    <w:rsid w:val="00074AC2"/>
    <w:rsid w:val="00074F56"/>
    <w:rsid w:val="00075563"/>
    <w:rsid w:val="00075B96"/>
    <w:rsid w:val="00075D32"/>
    <w:rsid w:val="000760BE"/>
    <w:rsid w:val="0007623F"/>
    <w:rsid w:val="0007666C"/>
    <w:rsid w:val="00076CE5"/>
    <w:rsid w:val="00077068"/>
    <w:rsid w:val="0007732B"/>
    <w:rsid w:val="00077399"/>
    <w:rsid w:val="0007746E"/>
    <w:rsid w:val="00080152"/>
    <w:rsid w:val="00080207"/>
    <w:rsid w:val="00080670"/>
    <w:rsid w:val="00080A17"/>
    <w:rsid w:val="00080B13"/>
    <w:rsid w:val="00080CE8"/>
    <w:rsid w:val="00080F0D"/>
    <w:rsid w:val="00081137"/>
    <w:rsid w:val="00081149"/>
    <w:rsid w:val="00081638"/>
    <w:rsid w:val="000816B4"/>
    <w:rsid w:val="0008196A"/>
    <w:rsid w:val="0008197E"/>
    <w:rsid w:val="00081CE3"/>
    <w:rsid w:val="00082873"/>
    <w:rsid w:val="00082A55"/>
    <w:rsid w:val="0008336F"/>
    <w:rsid w:val="000835D7"/>
    <w:rsid w:val="000839E5"/>
    <w:rsid w:val="00083A0E"/>
    <w:rsid w:val="00083DB8"/>
    <w:rsid w:val="0008424D"/>
    <w:rsid w:val="00084395"/>
    <w:rsid w:val="000843F9"/>
    <w:rsid w:val="0008461B"/>
    <w:rsid w:val="00085596"/>
    <w:rsid w:val="0008616B"/>
    <w:rsid w:val="000862D2"/>
    <w:rsid w:val="00086832"/>
    <w:rsid w:val="00086CBD"/>
    <w:rsid w:val="00086D14"/>
    <w:rsid w:val="00086D27"/>
    <w:rsid w:val="00086EAC"/>
    <w:rsid w:val="00087237"/>
    <w:rsid w:val="00087397"/>
    <w:rsid w:val="000873EB"/>
    <w:rsid w:val="00087616"/>
    <w:rsid w:val="00087629"/>
    <w:rsid w:val="00087D2E"/>
    <w:rsid w:val="00087D55"/>
    <w:rsid w:val="00087FAB"/>
    <w:rsid w:val="00090250"/>
    <w:rsid w:val="000906A2"/>
    <w:rsid w:val="000907D8"/>
    <w:rsid w:val="00090B1E"/>
    <w:rsid w:val="00090CC8"/>
    <w:rsid w:val="00090D57"/>
    <w:rsid w:val="00090E25"/>
    <w:rsid w:val="00090E53"/>
    <w:rsid w:val="00090EDC"/>
    <w:rsid w:val="000910D4"/>
    <w:rsid w:val="00091550"/>
    <w:rsid w:val="000915ED"/>
    <w:rsid w:val="00091C5E"/>
    <w:rsid w:val="0009209D"/>
    <w:rsid w:val="00092382"/>
    <w:rsid w:val="00092C2E"/>
    <w:rsid w:val="000930A9"/>
    <w:rsid w:val="00094152"/>
    <w:rsid w:val="0009463C"/>
    <w:rsid w:val="00094986"/>
    <w:rsid w:val="00094A51"/>
    <w:rsid w:val="00094A89"/>
    <w:rsid w:val="00094B00"/>
    <w:rsid w:val="0009530A"/>
    <w:rsid w:val="000957D2"/>
    <w:rsid w:val="0009586D"/>
    <w:rsid w:val="00095D84"/>
    <w:rsid w:val="0009689B"/>
    <w:rsid w:val="00096940"/>
    <w:rsid w:val="000969BD"/>
    <w:rsid w:val="000969BF"/>
    <w:rsid w:val="00096A41"/>
    <w:rsid w:val="00096D18"/>
    <w:rsid w:val="00096E2E"/>
    <w:rsid w:val="0009701F"/>
    <w:rsid w:val="000971F4"/>
    <w:rsid w:val="000971FC"/>
    <w:rsid w:val="0009749B"/>
    <w:rsid w:val="000975CB"/>
    <w:rsid w:val="00097B94"/>
    <w:rsid w:val="00097DE8"/>
    <w:rsid w:val="000A09E1"/>
    <w:rsid w:val="000A0B41"/>
    <w:rsid w:val="000A0C22"/>
    <w:rsid w:val="000A0D6E"/>
    <w:rsid w:val="000A0EE8"/>
    <w:rsid w:val="000A10D5"/>
    <w:rsid w:val="000A1400"/>
    <w:rsid w:val="000A16DE"/>
    <w:rsid w:val="000A173C"/>
    <w:rsid w:val="000A1C69"/>
    <w:rsid w:val="000A1FBB"/>
    <w:rsid w:val="000A2299"/>
    <w:rsid w:val="000A2374"/>
    <w:rsid w:val="000A24DA"/>
    <w:rsid w:val="000A24FF"/>
    <w:rsid w:val="000A2583"/>
    <w:rsid w:val="000A286B"/>
    <w:rsid w:val="000A28AE"/>
    <w:rsid w:val="000A3939"/>
    <w:rsid w:val="000A3AA9"/>
    <w:rsid w:val="000A3C43"/>
    <w:rsid w:val="000A4249"/>
    <w:rsid w:val="000A4A51"/>
    <w:rsid w:val="000A50F2"/>
    <w:rsid w:val="000A532B"/>
    <w:rsid w:val="000A541E"/>
    <w:rsid w:val="000A59C8"/>
    <w:rsid w:val="000A5D2B"/>
    <w:rsid w:val="000A6548"/>
    <w:rsid w:val="000A690E"/>
    <w:rsid w:val="000A6B44"/>
    <w:rsid w:val="000A70DF"/>
    <w:rsid w:val="000A7B3E"/>
    <w:rsid w:val="000A7B89"/>
    <w:rsid w:val="000B04D3"/>
    <w:rsid w:val="000B094D"/>
    <w:rsid w:val="000B0A03"/>
    <w:rsid w:val="000B0CD0"/>
    <w:rsid w:val="000B0DCD"/>
    <w:rsid w:val="000B13F0"/>
    <w:rsid w:val="000B14E2"/>
    <w:rsid w:val="000B1B1D"/>
    <w:rsid w:val="000B21A4"/>
    <w:rsid w:val="000B24FC"/>
    <w:rsid w:val="000B278D"/>
    <w:rsid w:val="000B27C0"/>
    <w:rsid w:val="000B2863"/>
    <w:rsid w:val="000B286D"/>
    <w:rsid w:val="000B2A34"/>
    <w:rsid w:val="000B2BE9"/>
    <w:rsid w:val="000B2ECE"/>
    <w:rsid w:val="000B30F8"/>
    <w:rsid w:val="000B3744"/>
    <w:rsid w:val="000B385A"/>
    <w:rsid w:val="000B3ACB"/>
    <w:rsid w:val="000B3C54"/>
    <w:rsid w:val="000B4085"/>
    <w:rsid w:val="000B4664"/>
    <w:rsid w:val="000B48B7"/>
    <w:rsid w:val="000B493E"/>
    <w:rsid w:val="000B4B5C"/>
    <w:rsid w:val="000B4BDD"/>
    <w:rsid w:val="000B4D35"/>
    <w:rsid w:val="000B510F"/>
    <w:rsid w:val="000B542D"/>
    <w:rsid w:val="000B54FE"/>
    <w:rsid w:val="000B5860"/>
    <w:rsid w:val="000B59BB"/>
    <w:rsid w:val="000B5DE3"/>
    <w:rsid w:val="000B6181"/>
    <w:rsid w:val="000B620F"/>
    <w:rsid w:val="000B64C2"/>
    <w:rsid w:val="000B6776"/>
    <w:rsid w:val="000B76B6"/>
    <w:rsid w:val="000B7796"/>
    <w:rsid w:val="000B7896"/>
    <w:rsid w:val="000B7B9C"/>
    <w:rsid w:val="000C016A"/>
    <w:rsid w:val="000C021B"/>
    <w:rsid w:val="000C0239"/>
    <w:rsid w:val="000C026A"/>
    <w:rsid w:val="000C0402"/>
    <w:rsid w:val="000C0A57"/>
    <w:rsid w:val="000C0ABC"/>
    <w:rsid w:val="000C0B8E"/>
    <w:rsid w:val="000C0C87"/>
    <w:rsid w:val="000C1551"/>
    <w:rsid w:val="000C1FAC"/>
    <w:rsid w:val="000C230C"/>
    <w:rsid w:val="000C2499"/>
    <w:rsid w:val="000C24F7"/>
    <w:rsid w:val="000C26CA"/>
    <w:rsid w:val="000C2B26"/>
    <w:rsid w:val="000C2B89"/>
    <w:rsid w:val="000C2D05"/>
    <w:rsid w:val="000C34B8"/>
    <w:rsid w:val="000C34DC"/>
    <w:rsid w:val="000C37E8"/>
    <w:rsid w:val="000C37ED"/>
    <w:rsid w:val="000C3806"/>
    <w:rsid w:val="000C3AE9"/>
    <w:rsid w:val="000C3E2D"/>
    <w:rsid w:val="000C44D5"/>
    <w:rsid w:val="000C48C5"/>
    <w:rsid w:val="000C4950"/>
    <w:rsid w:val="000C4B83"/>
    <w:rsid w:val="000C58B3"/>
    <w:rsid w:val="000C5AB9"/>
    <w:rsid w:val="000C5C63"/>
    <w:rsid w:val="000C5DD3"/>
    <w:rsid w:val="000C6059"/>
    <w:rsid w:val="000C62CC"/>
    <w:rsid w:val="000C6342"/>
    <w:rsid w:val="000C6907"/>
    <w:rsid w:val="000C6AB4"/>
    <w:rsid w:val="000C6E73"/>
    <w:rsid w:val="000C70BE"/>
    <w:rsid w:val="000C73FB"/>
    <w:rsid w:val="000C7A10"/>
    <w:rsid w:val="000D0068"/>
    <w:rsid w:val="000D0AF2"/>
    <w:rsid w:val="000D0B79"/>
    <w:rsid w:val="000D0E72"/>
    <w:rsid w:val="000D102A"/>
    <w:rsid w:val="000D1099"/>
    <w:rsid w:val="000D122F"/>
    <w:rsid w:val="000D1430"/>
    <w:rsid w:val="000D170E"/>
    <w:rsid w:val="000D1BD9"/>
    <w:rsid w:val="000D1C7C"/>
    <w:rsid w:val="000D1EAF"/>
    <w:rsid w:val="000D222A"/>
    <w:rsid w:val="000D24CD"/>
    <w:rsid w:val="000D2555"/>
    <w:rsid w:val="000D2798"/>
    <w:rsid w:val="000D2885"/>
    <w:rsid w:val="000D2B2D"/>
    <w:rsid w:val="000D2B97"/>
    <w:rsid w:val="000D3219"/>
    <w:rsid w:val="000D3340"/>
    <w:rsid w:val="000D398D"/>
    <w:rsid w:val="000D3AEC"/>
    <w:rsid w:val="000D3C66"/>
    <w:rsid w:val="000D3EB5"/>
    <w:rsid w:val="000D3F09"/>
    <w:rsid w:val="000D43D9"/>
    <w:rsid w:val="000D46B5"/>
    <w:rsid w:val="000D47D8"/>
    <w:rsid w:val="000D4A4B"/>
    <w:rsid w:val="000D4D4A"/>
    <w:rsid w:val="000D58E7"/>
    <w:rsid w:val="000D5E6E"/>
    <w:rsid w:val="000D5F74"/>
    <w:rsid w:val="000D6305"/>
    <w:rsid w:val="000D6391"/>
    <w:rsid w:val="000D6A66"/>
    <w:rsid w:val="000D6DE3"/>
    <w:rsid w:val="000D71D9"/>
    <w:rsid w:val="000D71DF"/>
    <w:rsid w:val="000D72F2"/>
    <w:rsid w:val="000D7333"/>
    <w:rsid w:val="000D74C3"/>
    <w:rsid w:val="000D76E0"/>
    <w:rsid w:val="000D7D14"/>
    <w:rsid w:val="000D7E8B"/>
    <w:rsid w:val="000D7F60"/>
    <w:rsid w:val="000E0220"/>
    <w:rsid w:val="000E0275"/>
    <w:rsid w:val="000E04AC"/>
    <w:rsid w:val="000E05FC"/>
    <w:rsid w:val="000E072D"/>
    <w:rsid w:val="000E099B"/>
    <w:rsid w:val="000E0A15"/>
    <w:rsid w:val="000E0AC0"/>
    <w:rsid w:val="000E0D1C"/>
    <w:rsid w:val="000E0D3B"/>
    <w:rsid w:val="000E0E43"/>
    <w:rsid w:val="000E104C"/>
    <w:rsid w:val="000E15B1"/>
    <w:rsid w:val="000E18F6"/>
    <w:rsid w:val="000E1A32"/>
    <w:rsid w:val="000E243E"/>
    <w:rsid w:val="000E252F"/>
    <w:rsid w:val="000E2A06"/>
    <w:rsid w:val="000E2A21"/>
    <w:rsid w:val="000E2BC1"/>
    <w:rsid w:val="000E2E9A"/>
    <w:rsid w:val="000E2EA3"/>
    <w:rsid w:val="000E37F2"/>
    <w:rsid w:val="000E387E"/>
    <w:rsid w:val="000E3F84"/>
    <w:rsid w:val="000E4449"/>
    <w:rsid w:val="000E4464"/>
    <w:rsid w:val="000E47D2"/>
    <w:rsid w:val="000E4D0D"/>
    <w:rsid w:val="000E5BB5"/>
    <w:rsid w:val="000E5C97"/>
    <w:rsid w:val="000E6097"/>
    <w:rsid w:val="000E6158"/>
    <w:rsid w:val="000E6B94"/>
    <w:rsid w:val="000E6D1E"/>
    <w:rsid w:val="000E7297"/>
    <w:rsid w:val="000E732E"/>
    <w:rsid w:val="000E761F"/>
    <w:rsid w:val="000E76C1"/>
    <w:rsid w:val="000E781F"/>
    <w:rsid w:val="000E796E"/>
    <w:rsid w:val="000E7DF6"/>
    <w:rsid w:val="000F046A"/>
    <w:rsid w:val="000F0895"/>
    <w:rsid w:val="000F0BB9"/>
    <w:rsid w:val="000F0E4F"/>
    <w:rsid w:val="000F1E91"/>
    <w:rsid w:val="000F22F2"/>
    <w:rsid w:val="000F251B"/>
    <w:rsid w:val="000F29AB"/>
    <w:rsid w:val="000F2ACE"/>
    <w:rsid w:val="000F2D02"/>
    <w:rsid w:val="000F306C"/>
    <w:rsid w:val="000F3123"/>
    <w:rsid w:val="000F3271"/>
    <w:rsid w:val="000F32A7"/>
    <w:rsid w:val="000F3938"/>
    <w:rsid w:val="000F419F"/>
    <w:rsid w:val="000F4232"/>
    <w:rsid w:val="000F4420"/>
    <w:rsid w:val="000F4517"/>
    <w:rsid w:val="000F4846"/>
    <w:rsid w:val="000F48B7"/>
    <w:rsid w:val="000F4B82"/>
    <w:rsid w:val="000F55CF"/>
    <w:rsid w:val="000F5C6C"/>
    <w:rsid w:val="000F5D55"/>
    <w:rsid w:val="000F615A"/>
    <w:rsid w:val="000F66C7"/>
    <w:rsid w:val="000F67A5"/>
    <w:rsid w:val="000F69EC"/>
    <w:rsid w:val="000F7CE1"/>
    <w:rsid w:val="000F7E4F"/>
    <w:rsid w:val="0010052D"/>
    <w:rsid w:val="00100A11"/>
    <w:rsid w:val="00100A62"/>
    <w:rsid w:val="00100C77"/>
    <w:rsid w:val="001010AA"/>
    <w:rsid w:val="00101275"/>
    <w:rsid w:val="001014AB"/>
    <w:rsid w:val="001015F8"/>
    <w:rsid w:val="00101686"/>
    <w:rsid w:val="001018DE"/>
    <w:rsid w:val="00101AEB"/>
    <w:rsid w:val="0010218C"/>
    <w:rsid w:val="001021B4"/>
    <w:rsid w:val="00102322"/>
    <w:rsid w:val="0010285F"/>
    <w:rsid w:val="001029C8"/>
    <w:rsid w:val="00102E40"/>
    <w:rsid w:val="0010313A"/>
    <w:rsid w:val="00103431"/>
    <w:rsid w:val="001036C9"/>
    <w:rsid w:val="00103829"/>
    <w:rsid w:val="00103DA7"/>
    <w:rsid w:val="00103E6B"/>
    <w:rsid w:val="00103F0F"/>
    <w:rsid w:val="00104B6F"/>
    <w:rsid w:val="001051A3"/>
    <w:rsid w:val="001054B9"/>
    <w:rsid w:val="00105521"/>
    <w:rsid w:val="001059D7"/>
    <w:rsid w:val="00105D64"/>
    <w:rsid w:val="001061AB"/>
    <w:rsid w:val="001061D9"/>
    <w:rsid w:val="00106913"/>
    <w:rsid w:val="00106A40"/>
    <w:rsid w:val="00106BA3"/>
    <w:rsid w:val="00106BB9"/>
    <w:rsid w:val="00106F4F"/>
    <w:rsid w:val="001070F2"/>
    <w:rsid w:val="00107292"/>
    <w:rsid w:val="0010740F"/>
    <w:rsid w:val="00107769"/>
    <w:rsid w:val="00107BF3"/>
    <w:rsid w:val="00110491"/>
    <w:rsid w:val="00110746"/>
    <w:rsid w:val="001107A1"/>
    <w:rsid w:val="00110902"/>
    <w:rsid w:val="00110D18"/>
    <w:rsid w:val="00110DA6"/>
    <w:rsid w:val="00111150"/>
    <w:rsid w:val="0011116A"/>
    <w:rsid w:val="001111AE"/>
    <w:rsid w:val="00111730"/>
    <w:rsid w:val="0011187F"/>
    <w:rsid w:val="00111D91"/>
    <w:rsid w:val="00111DAF"/>
    <w:rsid w:val="00111DBF"/>
    <w:rsid w:val="00111E7C"/>
    <w:rsid w:val="00111FCE"/>
    <w:rsid w:val="00112588"/>
    <w:rsid w:val="001126B2"/>
    <w:rsid w:val="0011299D"/>
    <w:rsid w:val="00112E91"/>
    <w:rsid w:val="00113A02"/>
    <w:rsid w:val="00114064"/>
    <w:rsid w:val="0011442E"/>
    <w:rsid w:val="001148F9"/>
    <w:rsid w:val="00114C6F"/>
    <w:rsid w:val="001151A3"/>
    <w:rsid w:val="001152D2"/>
    <w:rsid w:val="00115494"/>
    <w:rsid w:val="001154F3"/>
    <w:rsid w:val="001156B5"/>
    <w:rsid w:val="00115940"/>
    <w:rsid w:val="00115B0C"/>
    <w:rsid w:val="00115BE3"/>
    <w:rsid w:val="00115DBD"/>
    <w:rsid w:val="00115DEB"/>
    <w:rsid w:val="001160A0"/>
    <w:rsid w:val="0011653C"/>
    <w:rsid w:val="00116631"/>
    <w:rsid w:val="001167DA"/>
    <w:rsid w:val="0011692E"/>
    <w:rsid w:val="0011692F"/>
    <w:rsid w:val="00116CEB"/>
    <w:rsid w:val="00116D97"/>
    <w:rsid w:val="001175DA"/>
    <w:rsid w:val="001177B0"/>
    <w:rsid w:val="00117A1B"/>
    <w:rsid w:val="00117E52"/>
    <w:rsid w:val="00120066"/>
    <w:rsid w:val="00120109"/>
    <w:rsid w:val="0012097B"/>
    <w:rsid w:val="00120B77"/>
    <w:rsid w:val="00120C1C"/>
    <w:rsid w:val="0012141F"/>
    <w:rsid w:val="0012189A"/>
    <w:rsid w:val="00121CD2"/>
    <w:rsid w:val="00122149"/>
    <w:rsid w:val="00122200"/>
    <w:rsid w:val="001222EF"/>
    <w:rsid w:val="001225D5"/>
    <w:rsid w:val="001229A5"/>
    <w:rsid w:val="00122D5B"/>
    <w:rsid w:val="00123007"/>
    <w:rsid w:val="0012304F"/>
    <w:rsid w:val="00123157"/>
    <w:rsid w:val="0012326D"/>
    <w:rsid w:val="001239A7"/>
    <w:rsid w:val="00123D8E"/>
    <w:rsid w:val="00124218"/>
    <w:rsid w:val="001242BF"/>
    <w:rsid w:val="001245A1"/>
    <w:rsid w:val="00124694"/>
    <w:rsid w:val="0012489B"/>
    <w:rsid w:val="0012493C"/>
    <w:rsid w:val="0012513C"/>
    <w:rsid w:val="0012586F"/>
    <w:rsid w:val="001258E6"/>
    <w:rsid w:val="0012610D"/>
    <w:rsid w:val="00126256"/>
    <w:rsid w:val="001266B9"/>
    <w:rsid w:val="001267D4"/>
    <w:rsid w:val="00126B13"/>
    <w:rsid w:val="00126D61"/>
    <w:rsid w:val="00127107"/>
    <w:rsid w:val="001277B1"/>
    <w:rsid w:val="00127C91"/>
    <w:rsid w:val="00127D58"/>
    <w:rsid w:val="00130017"/>
    <w:rsid w:val="001302BC"/>
    <w:rsid w:val="0013047D"/>
    <w:rsid w:val="001304DA"/>
    <w:rsid w:val="001308C1"/>
    <w:rsid w:val="00130A6D"/>
    <w:rsid w:val="00130C5E"/>
    <w:rsid w:val="00130E18"/>
    <w:rsid w:val="00130F91"/>
    <w:rsid w:val="00131584"/>
    <w:rsid w:val="00131642"/>
    <w:rsid w:val="0013186D"/>
    <w:rsid w:val="00131894"/>
    <w:rsid w:val="00131BD2"/>
    <w:rsid w:val="00131FCA"/>
    <w:rsid w:val="00131FCB"/>
    <w:rsid w:val="0013240B"/>
    <w:rsid w:val="00132617"/>
    <w:rsid w:val="00132919"/>
    <w:rsid w:val="00132B0E"/>
    <w:rsid w:val="00132C51"/>
    <w:rsid w:val="00132DA5"/>
    <w:rsid w:val="00132E5C"/>
    <w:rsid w:val="00132F30"/>
    <w:rsid w:val="00133629"/>
    <w:rsid w:val="00133FDB"/>
    <w:rsid w:val="001347B8"/>
    <w:rsid w:val="001349ED"/>
    <w:rsid w:val="00134C71"/>
    <w:rsid w:val="00134EA1"/>
    <w:rsid w:val="001354C4"/>
    <w:rsid w:val="00135C0C"/>
    <w:rsid w:val="00135F23"/>
    <w:rsid w:val="001361B7"/>
    <w:rsid w:val="0013622D"/>
    <w:rsid w:val="0013643A"/>
    <w:rsid w:val="00136460"/>
    <w:rsid w:val="001367D4"/>
    <w:rsid w:val="00136851"/>
    <w:rsid w:val="00136895"/>
    <w:rsid w:val="00136AE5"/>
    <w:rsid w:val="00136B5F"/>
    <w:rsid w:val="00136BA5"/>
    <w:rsid w:val="0013708B"/>
    <w:rsid w:val="00137424"/>
    <w:rsid w:val="001374E1"/>
    <w:rsid w:val="00137562"/>
    <w:rsid w:val="001375D2"/>
    <w:rsid w:val="00140318"/>
    <w:rsid w:val="00140A69"/>
    <w:rsid w:val="00140B7D"/>
    <w:rsid w:val="00140D4C"/>
    <w:rsid w:val="00141211"/>
    <w:rsid w:val="00141323"/>
    <w:rsid w:val="00141753"/>
    <w:rsid w:val="001417B0"/>
    <w:rsid w:val="00141A86"/>
    <w:rsid w:val="00141AD9"/>
    <w:rsid w:val="00141B1C"/>
    <w:rsid w:val="00141C06"/>
    <w:rsid w:val="00141D36"/>
    <w:rsid w:val="0014238F"/>
    <w:rsid w:val="00142561"/>
    <w:rsid w:val="00142773"/>
    <w:rsid w:val="00142A26"/>
    <w:rsid w:val="00142ED9"/>
    <w:rsid w:val="00142EEA"/>
    <w:rsid w:val="00143B69"/>
    <w:rsid w:val="00143BC0"/>
    <w:rsid w:val="00143C6A"/>
    <w:rsid w:val="00143CE6"/>
    <w:rsid w:val="00143CF2"/>
    <w:rsid w:val="001441EA"/>
    <w:rsid w:val="00144A06"/>
    <w:rsid w:val="00144C56"/>
    <w:rsid w:val="001452B7"/>
    <w:rsid w:val="00145DF4"/>
    <w:rsid w:val="001469C8"/>
    <w:rsid w:val="001469E4"/>
    <w:rsid w:val="00146CE6"/>
    <w:rsid w:val="00146D95"/>
    <w:rsid w:val="00147059"/>
    <w:rsid w:val="001472CC"/>
    <w:rsid w:val="00147919"/>
    <w:rsid w:val="001500E3"/>
    <w:rsid w:val="001505E8"/>
    <w:rsid w:val="001507A6"/>
    <w:rsid w:val="00150860"/>
    <w:rsid w:val="00150DD6"/>
    <w:rsid w:val="00151CC7"/>
    <w:rsid w:val="00151DA1"/>
    <w:rsid w:val="00151DBD"/>
    <w:rsid w:val="0015274A"/>
    <w:rsid w:val="00152903"/>
    <w:rsid w:val="00152A96"/>
    <w:rsid w:val="00152CD1"/>
    <w:rsid w:val="001537E1"/>
    <w:rsid w:val="00153BE3"/>
    <w:rsid w:val="00153C68"/>
    <w:rsid w:val="00153D87"/>
    <w:rsid w:val="00153E1D"/>
    <w:rsid w:val="00153FD5"/>
    <w:rsid w:val="00154063"/>
    <w:rsid w:val="001540B9"/>
    <w:rsid w:val="00154511"/>
    <w:rsid w:val="001547A1"/>
    <w:rsid w:val="0015485C"/>
    <w:rsid w:val="001549E9"/>
    <w:rsid w:val="00154AE5"/>
    <w:rsid w:val="00154BD6"/>
    <w:rsid w:val="001553AD"/>
    <w:rsid w:val="001557C1"/>
    <w:rsid w:val="00155B7A"/>
    <w:rsid w:val="00155E4A"/>
    <w:rsid w:val="00156123"/>
    <w:rsid w:val="0015614F"/>
    <w:rsid w:val="001568C0"/>
    <w:rsid w:val="00156C3A"/>
    <w:rsid w:val="00156C50"/>
    <w:rsid w:val="00157023"/>
    <w:rsid w:val="00157104"/>
    <w:rsid w:val="001577C2"/>
    <w:rsid w:val="001577D8"/>
    <w:rsid w:val="00157E40"/>
    <w:rsid w:val="00157ECC"/>
    <w:rsid w:val="00160352"/>
    <w:rsid w:val="001609A5"/>
    <w:rsid w:val="00160E78"/>
    <w:rsid w:val="001610BC"/>
    <w:rsid w:val="001612FD"/>
    <w:rsid w:val="001614A6"/>
    <w:rsid w:val="00161792"/>
    <w:rsid w:val="00161979"/>
    <w:rsid w:val="00161C58"/>
    <w:rsid w:val="00161FCB"/>
    <w:rsid w:val="0016207F"/>
    <w:rsid w:val="0016218A"/>
    <w:rsid w:val="001621B3"/>
    <w:rsid w:val="001625AE"/>
    <w:rsid w:val="001633C4"/>
    <w:rsid w:val="00163889"/>
    <w:rsid w:val="00163D3C"/>
    <w:rsid w:val="00163FB3"/>
    <w:rsid w:val="0016428C"/>
    <w:rsid w:val="00164497"/>
    <w:rsid w:val="001648B6"/>
    <w:rsid w:val="001649F3"/>
    <w:rsid w:val="00164CC8"/>
    <w:rsid w:val="00164D16"/>
    <w:rsid w:val="00165255"/>
    <w:rsid w:val="001655B9"/>
    <w:rsid w:val="00165A9A"/>
    <w:rsid w:val="00167229"/>
    <w:rsid w:val="001672CB"/>
    <w:rsid w:val="001676E2"/>
    <w:rsid w:val="0016775C"/>
    <w:rsid w:val="00167911"/>
    <w:rsid w:val="0017028B"/>
    <w:rsid w:val="001704D5"/>
    <w:rsid w:val="00171083"/>
    <w:rsid w:val="001713BF"/>
    <w:rsid w:val="00171591"/>
    <w:rsid w:val="00171BFE"/>
    <w:rsid w:val="00171C5F"/>
    <w:rsid w:val="00171DDD"/>
    <w:rsid w:val="00171ED9"/>
    <w:rsid w:val="00171F65"/>
    <w:rsid w:val="00172227"/>
    <w:rsid w:val="001722D4"/>
    <w:rsid w:val="001725B6"/>
    <w:rsid w:val="00172827"/>
    <w:rsid w:val="001729B0"/>
    <w:rsid w:val="00173080"/>
    <w:rsid w:val="00173579"/>
    <w:rsid w:val="00173981"/>
    <w:rsid w:val="00173D99"/>
    <w:rsid w:val="00173F7C"/>
    <w:rsid w:val="00174775"/>
    <w:rsid w:val="00174B8A"/>
    <w:rsid w:val="00174CFE"/>
    <w:rsid w:val="00174DCB"/>
    <w:rsid w:val="00175418"/>
    <w:rsid w:val="0017570F"/>
    <w:rsid w:val="0017574B"/>
    <w:rsid w:val="00175853"/>
    <w:rsid w:val="00175AB0"/>
    <w:rsid w:val="00175EFC"/>
    <w:rsid w:val="00175F5A"/>
    <w:rsid w:val="00176319"/>
    <w:rsid w:val="00176397"/>
    <w:rsid w:val="001765B5"/>
    <w:rsid w:val="0017686C"/>
    <w:rsid w:val="00176A06"/>
    <w:rsid w:val="00176A3A"/>
    <w:rsid w:val="00176C21"/>
    <w:rsid w:val="00176D07"/>
    <w:rsid w:val="00176DC7"/>
    <w:rsid w:val="0017719D"/>
    <w:rsid w:val="001779D5"/>
    <w:rsid w:val="00180175"/>
    <w:rsid w:val="0018058A"/>
    <w:rsid w:val="0018060A"/>
    <w:rsid w:val="00180935"/>
    <w:rsid w:val="00180960"/>
    <w:rsid w:val="00180BA7"/>
    <w:rsid w:val="00180E66"/>
    <w:rsid w:val="00180F95"/>
    <w:rsid w:val="001811B0"/>
    <w:rsid w:val="0018133E"/>
    <w:rsid w:val="001814D9"/>
    <w:rsid w:val="001814EF"/>
    <w:rsid w:val="0018193F"/>
    <w:rsid w:val="00181C05"/>
    <w:rsid w:val="00181DF0"/>
    <w:rsid w:val="00181EC0"/>
    <w:rsid w:val="00181F11"/>
    <w:rsid w:val="00181FFE"/>
    <w:rsid w:val="00182001"/>
    <w:rsid w:val="00182053"/>
    <w:rsid w:val="00182259"/>
    <w:rsid w:val="001822DD"/>
    <w:rsid w:val="001823E8"/>
    <w:rsid w:val="00182789"/>
    <w:rsid w:val="00182B27"/>
    <w:rsid w:val="00182C3D"/>
    <w:rsid w:val="00182C4B"/>
    <w:rsid w:val="00182E66"/>
    <w:rsid w:val="00183530"/>
    <w:rsid w:val="001839B4"/>
    <w:rsid w:val="00183E06"/>
    <w:rsid w:val="00183E76"/>
    <w:rsid w:val="00183FD7"/>
    <w:rsid w:val="001841DD"/>
    <w:rsid w:val="0018441E"/>
    <w:rsid w:val="00184747"/>
    <w:rsid w:val="00184DCC"/>
    <w:rsid w:val="001854D6"/>
    <w:rsid w:val="00185CAB"/>
    <w:rsid w:val="0018601A"/>
    <w:rsid w:val="00186488"/>
    <w:rsid w:val="00186682"/>
    <w:rsid w:val="0018669A"/>
    <w:rsid w:val="001870B3"/>
    <w:rsid w:val="001872C8"/>
    <w:rsid w:val="001874D1"/>
    <w:rsid w:val="0018758E"/>
    <w:rsid w:val="001875B7"/>
    <w:rsid w:val="00187CB3"/>
    <w:rsid w:val="00187EB9"/>
    <w:rsid w:val="00187FFE"/>
    <w:rsid w:val="00190002"/>
    <w:rsid w:val="00190400"/>
    <w:rsid w:val="00190429"/>
    <w:rsid w:val="0019050A"/>
    <w:rsid w:val="001905DD"/>
    <w:rsid w:val="00190BA1"/>
    <w:rsid w:val="00190E1E"/>
    <w:rsid w:val="00190E59"/>
    <w:rsid w:val="001910D4"/>
    <w:rsid w:val="00191455"/>
    <w:rsid w:val="00191857"/>
    <w:rsid w:val="00191A51"/>
    <w:rsid w:val="00191B52"/>
    <w:rsid w:val="00191EDC"/>
    <w:rsid w:val="00191F67"/>
    <w:rsid w:val="00192047"/>
    <w:rsid w:val="00192702"/>
    <w:rsid w:val="00192A3F"/>
    <w:rsid w:val="00192FCE"/>
    <w:rsid w:val="00193804"/>
    <w:rsid w:val="00193B72"/>
    <w:rsid w:val="00193E75"/>
    <w:rsid w:val="00193F97"/>
    <w:rsid w:val="0019490E"/>
    <w:rsid w:val="00194A4F"/>
    <w:rsid w:val="00194DAC"/>
    <w:rsid w:val="00194F26"/>
    <w:rsid w:val="00195239"/>
    <w:rsid w:val="001953F1"/>
    <w:rsid w:val="00195509"/>
    <w:rsid w:val="00195FDA"/>
    <w:rsid w:val="0019695C"/>
    <w:rsid w:val="00196994"/>
    <w:rsid w:val="00196BA7"/>
    <w:rsid w:val="00196F41"/>
    <w:rsid w:val="00197108"/>
    <w:rsid w:val="00197252"/>
    <w:rsid w:val="001972C4"/>
    <w:rsid w:val="001976E3"/>
    <w:rsid w:val="001977B5"/>
    <w:rsid w:val="00197D5A"/>
    <w:rsid w:val="001A0002"/>
    <w:rsid w:val="001A01A0"/>
    <w:rsid w:val="001A01D6"/>
    <w:rsid w:val="001A06EF"/>
    <w:rsid w:val="001A07E7"/>
    <w:rsid w:val="001A0DA9"/>
    <w:rsid w:val="001A13C7"/>
    <w:rsid w:val="001A16DE"/>
    <w:rsid w:val="001A1B45"/>
    <w:rsid w:val="001A1F81"/>
    <w:rsid w:val="001A2354"/>
    <w:rsid w:val="001A236F"/>
    <w:rsid w:val="001A24A2"/>
    <w:rsid w:val="001A2552"/>
    <w:rsid w:val="001A25E5"/>
    <w:rsid w:val="001A263F"/>
    <w:rsid w:val="001A2D38"/>
    <w:rsid w:val="001A3842"/>
    <w:rsid w:val="001A38E9"/>
    <w:rsid w:val="001A3AA0"/>
    <w:rsid w:val="001A44EC"/>
    <w:rsid w:val="001A4B30"/>
    <w:rsid w:val="001A4FB9"/>
    <w:rsid w:val="001A5465"/>
    <w:rsid w:val="001A5B44"/>
    <w:rsid w:val="001A5C3A"/>
    <w:rsid w:val="001A64C6"/>
    <w:rsid w:val="001A68AD"/>
    <w:rsid w:val="001A6BE5"/>
    <w:rsid w:val="001A6E71"/>
    <w:rsid w:val="001A74DE"/>
    <w:rsid w:val="001A75BE"/>
    <w:rsid w:val="001A75D9"/>
    <w:rsid w:val="001A7829"/>
    <w:rsid w:val="001A79BA"/>
    <w:rsid w:val="001A7A91"/>
    <w:rsid w:val="001B00D8"/>
    <w:rsid w:val="001B0573"/>
    <w:rsid w:val="001B085E"/>
    <w:rsid w:val="001B096E"/>
    <w:rsid w:val="001B1327"/>
    <w:rsid w:val="001B1762"/>
    <w:rsid w:val="001B1CD0"/>
    <w:rsid w:val="001B1D62"/>
    <w:rsid w:val="001B213F"/>
    <w:rsid w:val="001B2900"/>
    <w:rsid w:val="001B3028"/>
    <w:rsid w:val="001B34E6"/>
    <w:rsid w:val="001B3B8F"/>
    <w:rsid w:val="001B3C93"/>
    <w:rsid w:val="001B4077"/>
    <w:rsid w:val="001B44EC"/>
    <w:rsid w:val="001B52F9"/>
    <w:rsid w:val="001B54A2"/>
    <w:rsid w:val="001B58AA"/>
    <w:rsid w:val="001B5C46"/>
    <w:rsid w:val="001B6304"/>
    <w:rsid w:val="001B6E21"/>
    <w:rsid w:val="001B7005"/>
    <w:rsid w:val="001B7278"/>
    <w:rsid w:val="001B7486"/>
    <w:rsid w:val="001B78AE"/>
    <w:rsid w:val="001B790E"/>
    <w:rsid w:val="001B7A13"/>
    <w:rsid w:val="001B7B20"/>
    <w:rsid w:val="001B7BEE"/>
    <w:rsid w:val="001B7E48"/>
    <w:rsid w:val="001B7F84"/>
    <w:rsid w:val="001C026E"/>
    <w:rsid w:val="001C0E31"/>
    <w:rsid w:val="001C1167"/>
    <w:rsid w:val="001C1245"/>
    <w:rsid w:val="001C17CE"/>
    <w:rsid w:val="001C2728"/>
    <w:rsid w:val="001C298D"/>
    <w:rsid w:val="001C366F"/>
    <w:rsid w:val="001C36CA"/>
    <w:rsid w:val="001C3A80"/>
    <w:rsid w:val="001C3D4A"/>
    <w:rsid w:val="001C400C"/>
    <w:rsid w:val="001C4144"/>
    <w:rsid w:val="001C43E9"/>
    <w:rsid w:val="001C44D1"/>
    <w:rsid w:val="001C482A"/>
    <w:rsid w:val="001C4852"/>
    <w:rsid w:val="001C48A7"/>
    <w:rsid w:val="001C51F8"/>
    <w:rsid w:val="001C548D"/>
    <w:rsid w:val="001C5B43"/>
    <w:rsid w:val="001C6171"/>
    <w:rsid w:val="001C61B3"/>
    <w:rsid w:val="001C6654"/>
    <w:rsid w:val="001C6AEE"/>
    <w:rsid w:val="001C6C7F"/>
    <w:rsid w:val="001C6C97"/>
    <w:rsid w:val="001C6EBB"/>
    <w:rsid w:val="001C6EF7"/>
    <w:rsid w:val="001C7406"/>
    <w:rsid w:val="001C7630"/>
    <w:rsid w:val="001C76AD"/>
    <w:rsid w:val="001C7920"/>
    <w:rsid w:val="001C7D40"/>
    <w:rsid w:val="001C7E12"/>
    <w:rsid w:val="001C7E59"/>
    <w:rsid w:val="001C7EA6"/>
    <w:rsid w:val="001C7FC0"/>
    <w:rsid w:val="001D00A6"/>
    <w:rsid w:val="001D0250"/>
    <w:rsid w:val="001D029A"/>
    <w:rsid w:val="001D061A"/>
    <w:rsid w:val="001D0D8E"/>
    <w:rsid w:val="001D0F81"/>
    <w:rsid w:val="001D15E1"/>
    <w:rsid w:val="001D1809"/>
    <w:rsid w:val="001D1956"/>
    <w:rsid w:val="001D1C1F"/>
    <w:rsid w:val="001D1D05"/>
    <w:rsid w:val="001D1DB6"/>
    <w:rsid w:val="001D1F8E"/>
    <w:rsid w:val="001D22CB"/>
    <w:rsid w:val="001D232F"/>
    <w:rsid w:val="001D23B9"/>
    <w:rsid w:val="001D23EE"/>
    <w:rsid w:val="001D288E"/>
    <w:rsid w:val="001D28D9"/>
    <w:rsid w:val="001D28DC"/>
    <w:rsid w:val="001D2B06"/>
    <w:rsid w:val="001D2C9C"/>
    <w:rsid w:val="001D2D0D"/>
    <w:rsid w:val="001D2ED4"/>
    <w:rsid w:val="001D3DD2"/>
    <w:rsid w:val="001D4434"/>
    <w:rsid w:val="001D49AC"/>
    <w:rsid w:val="001D4E2D"/>
    <w:rsid w:val="001D567D"/>
    <w:rsid w:val="001D57FA"/>
    <w:rsid w:val="001D5A29"/>
    <w:rsid w:val="001D5BFE"/>
    <w:rsid w:val="001D5F29"/>
    <w:rsid w:val="001D626D"/>
    <w:rsid w:val="001D62F6"/>
    <w:rsid w:val="001D6302"/>
    <w:rsid w:val="001D67DC"/>
    <w:rsid w:val="001D6A0B"/>
    <w:rsid w:val="001D6AF6"/>
    <w:rsid w:val="001D6B72"/>
    <w:rsid w:val="001D6D15"/>
    <w:rsid w:val="001D7197"/>
    <w:rsid w:val="001D71A2"/>
    <w:rsid w:val="001D76C7"/>
    <w:rsid w:val="001D76D1"/>
    <w:rsid w:val="001D7C70"/>
    <w:rsid w:val="001D7CAA"/>
    <w:rsid w:val="001D7CAF"/>
    <w:rsid w:val="001E026C"/>
    <w:rsid w:val="001E14A3"/>
    <w:rsid w:val="001E1A85"/>
    <w:rsid w:val="001E1B45"/>
    <w:rsid w:val="001E2110"/>
    <w:rsid w:val="001E2403"/>
    <w:rsid w:val="001E2E07"/>
    <w:rsid w:val="001E3064"/>
    <w:rsid w:val="001E3994"/>
    <w:rsid w:val="001E39CB"/>
    <w:rsid w:val="001E3B23"/>
    <w:rsid w:val="001E3E81"/>
    <w:rsid w:val="001E3EDA"/>
    <w:rsid w:val="001E446F"/>
    <w:rsid w:val="001E474D"/>
    <w:rsid w:val="001E49D6"/>
    <w:rsid w:val="001E4AFC"/>
    <w:rsid w:val="001E511C"/>
    <w:rsid w:val="001E573A"/>
    <w:rsid w:val="001E575D"/>
    <w:rsid w:val="001E5A17"/>
    <w:rsid w:val="001E5C56"/>
    <w:rsid w:val="001E61EA"/>
    <w:rsid w:val="001E64EE"/>
    <w:rsid w:val="001E678E"/>
    <w:rsid w:val="001E6D79"/>
    <w:rsid w:val="001E6DE3"/>
    <w:rsid w:val="001E6EA9"/>
    <w:rsid w:val="001E76C7"/>
    <w:rsid w:val="001E78A0"/>
    <w:rsid w:val="001E7D49"/>
    <w:rsid w:val="001E7E86"/>
    <w:rsid w:val="001E7F40"/>
    <w:rsid w:val="001F000A"/>
    <w:rsid w:val="001F034C"/>
    <w:rsid w:val="001F0678"/>
    <w:rsid w:val="001F0C79"/>
    <w:rsid w:val="001F0F51"/>
    <w:rsid w:val="001F10B0"/>
    <w:rsid w:val="001F1349"/>
    <w:rsid w:val="001F15BC"/>
    <w:rsid w:val="001F1D0A"/>
    <w:rsid w:val="001F1E7F"/>
    <w:rsid w:val="001F2A34"/>
    <w:rsid w:val="001F2C00"/>
    <w:rsid w:val="001F2C60"/>
    <w:rsid w:val="001F3385"/>
    <w:rsid w:val="001F3409"/>
    <w:rsid w:val="001F38F8"/>
    <w:rsid w:val="001F4116"/>
    <w:rsid w:val="001F445A"/>
    <w:rsid w:val="001F45C5"/>
    <w:rsid w:val="001F4980"/>
    <w:rsid w:val="001F4A81"/>
    <w:rsid w:val="001F4B57"/>
    <w:rsid w:val="001F50F7"/>
    <w:rsid w:val="001F511F"/>
    <w:rsid w:val="001F5135"/>
    <w:rsid w:val="001F5355"/>
    <w:rsid w:val="001F5572"/>
    <w:rsid w:val="001F55CE"/>
    <w:rsid w:val="001F5636"/>
    <w:rsid w:val="001F5769"/>
    <w:rsid w:val="001F59B9"/>
    <w:rsid w:val="001F6A8E"/>
    <w:rsid w:val="001F71D4"/>
    <w:rsid w:val="001F7558"/>
    <w:rsid w:val="001F7CA9"/>
    <w:rsid w:val="001F7D12"/>
    <w:rsid w:val="001F7D97"/>
    <w:rsid w:val="001F7DED"/>
    <w:rsid w:val="00200329"/>
    <w:rsid w:val="00200357"/>
    <w:rsid w:val="0020056F"/>
    <w:rsid w:val="002005DE"/>
    <w:rsid w:val="00200F6A"/>
    <w:rsid w:val="00201139"/>
    <w:rsid w:val="0020162A"/>
    <w:rsid w:val="002016A9"/>
    <w:rsid w:val="002018EA"/>
    <w:rsid w:val="002019B4"/>
    <w:rsid w:val="00201A31"/>
    <w:rsid w:val="00201A94"/>
    <w:rsid w:val="00201DC1"/>
    <w:rsid w:val="00201EE2"/>
    <w:rsid w:val="00201FC6"/>
    <w:rsid w:val="002020F9"/>
    <w:rsid w:val="00202E4E"/>
    <w:rsid w:val="00203061"/>
    <w:rsid w:val="00203734"/>
    <w:rsid w:val="00203927"/>
    <w:rsid w:val="0020392D"/>
    <w:rsid w:val="00203DF4"/>
    <w:rsid w:val="00203E64"/>
    <w:rsid w:val="00204675"/>
    <w:rsid w:val="0020483B"/>
    <w:rsid w:val="00204F56"/>
    <w:rsid w:val="002050AE"/>
    <w:rsid w:val="002051AF"/>
    <w:rsid w:val="00205362"/>
    <w:rsid w:val="00205591"/>
    <w:rsid w:val="002055D8"/>
    <w:rsid w:val="00205B1B"/>
    <w:rsid w:val="00205B57"/>
    <w:rsid w:val="00205C82"/>
    <w:rsid w:val="00205F76"/>
    <w:rsid w:val="002060DE"/>
    <w:rsid w:val="0020616E"/>
    <w:rsid w:val="002061ED"/>
    <w:rsid w:val="002069A3"/>
    <w:rsid w:val="00206A31"/>
    <w:rsid w:val="00206AAD"/>
    <w:rsid w:val="00206FBD"/>
    <w:rsid w:val="00207116"/>
    <w:rsid w:val="0020741B"/>
    <w:rsid w:val="002076A9"/>
    <w:rsid w:val="002078EA"/>
    <w:rsid w:val="0020793D"/>
    <w:rsid w:val="00207C9D"/>
    <w:rsid w:val="00207CEA"/>
    <w:rsid w:val="00210298"/>
    <w:rsid w:val="00210348"/>
    <w:rsid w:val="00210753"/>
    <w:rsid w:val="00210825"/>
    <w:rsid w:val="00210C82"/>
    <w:rsid w:val="00210DB1"/>
    <w:rsid w:val="00211AC3"/>
    <w:rsid w:val="00211C9F"/>
    <w:rsid w:val="00212073"/>
    <w:rsid w:val="0021219F"/>
    <w:rsid w:val="00212252"/>
    <w:rsid w:val="0021253F"/>
    <w:rsid w:val="00212B8F"/>
    <w:rsid w:val="00212C06"/>
    <w:rsid w:val="00212CB4"/>
    <w:rsid w:val="00212CE8"/>
    <w:rsid w:val="00212F68"/>
    <w:rsid w:val="002132FC"/>
    <w:rsid w:val="002134FA"/>
    <w:rsid w:val="002135DD"/>
    <w:rsid w:val="0021382F"/>
    <w:rsid w:val="0021397C"/>
    <w:rsid w:val="00213D49"/>
    <w:rsid w:val="00213EA2"/>
    <w:rsid w:val="00213F01"/>
    <w:rsid w:val="00213F6F"/>
    <w:rsid w:val="00213FF7"/>
    <w:rsid w:val="00214057"/>
    <w:rsid w:val="002140B1"/>
    <w:rsid w:val="00214267"/>
    <w:rsid w:val="0021426C"/>
    <w:rsid w:val="0021441F"/>
    <w:rsid w:val="00214A88"/>
    <w:rsid w:val="00214ABB"/>
    <w:rsid w:val="00214F88"/>
    <w:rsid w:val="002153A9"/>
    <w:rsid w:val="002153EC"/>
    <w:rsid w:val="00215741"/>
    <w:rsid w:val="002157E0"/>
    <w:rsid w:val="00215915"/>
    <w:rsid w:val="00215E6B"/>
    <w:rsid w:val="00215F56"/>
    <w:rsid w:val="0021601C"/>
    <w:rsid w:val="00216244"/>
    <w:rsid w:val="00216277"/>
    <w:rsid w:val="002166F1"/>
    <w:rsid w:val="00216A57"/>
    <w:rsid w:val="0021711C"/>
    <w:rsid w:val="00217448"/>
    <w:rsid w:val="002176CE"/>
    <w:rsid w:val="00217B23"/>
    <w:rsid w:val="00217D52"/>
    <w:rsid w:val="00217ED2"/>
    <w:rsid w:val="002204DC"/>
    <w:rsid w:val="0022057B"/>
    <w:rsid w:val="002208A6"/>
    <w:rsid w:val="00220A6B"/>
    <w:rsid w:val="00220B4C"/>
    <w:rsid w:val="00220D4B"/>
    <w:rsid w:val="00220F38"/>
    <w:rsid w:val="0022119D"/>
    <w:rsid w:val="00221C19"/>
    <w:rsid w:val="00221D85"/>
    <w:rsid w:val="00221F61"/>
    <w:rsid w:val="00222356"/>
    <w:rsid w:val="00222404"/>
    <w:rsid w:val="00222489"/>
    <w:rsid w:val="00222567"/>
    <w:rsid w:val="00223103"/>
    <w:rsid w:val="00223120"/>
    <w:rsid w:val="0022334F"/>
    <w:rsid w:val="00223687"/>
    <w:rsid w:val="002238E8"/>
    <w:rsid w:val="00223993"/>
    <w:rsid w:val="00223C03"/>
    <w:rsid w:val="00223C14"/>
    <w:rsid w:val="002242E5"/>
    <w:rsid w:val="00224609"/>
    <w:rsid w:val="002248F3"/>
    <w:rsid w:val="00224AE3"/>
    <w:rsid w:val="00224EA9"/>
    <w:rsid w:val="002253F7"/>
    <w:rsid w:val="0022575D"/>
    <w:rsid w:val="00225902"/>
    <w:rsid w:val="00225AFD"/>
    <w:rsid w:val="00225AFF"/>
    <w:rsid w:val="00225F63"/>
    <w:rsid w:val="002265B6"/>
    <w:rsid w:val="00226819"/>
    <w:rsid w:val="00226A53"/>
    <w:rsid w:val="002279E1"/>
    <w:rsid w:val="00227E31"/>
    <w:rsid w:val="002300C3"/>
    <w:rsid w:val="0023044B"/>
    <w:rsid w:val="002304A0"/>
    <w:rsid w:val="00230A2E"/>
    <w:rsid w:val="00230A82"/>
    <w:rsid w:val="00230F13"/>
    <w:rsid w:val="0023157A"/>
    <w:rsid w:val="002316A9"/>
    <w:rsid w:val="00231B90"/>
    <w:rsid w:val="00231DE6"/>
    <w:rsid w:val="00232664"/>
    <w:rsid w:val="00232ECE"/>
    <w:rsid w:val="00232FCA"/>
    <w:rsid w:val="00233101"/>
    <w:rsid w:val="002331DE"/>
    <w:rsid w:val="00233424"/>
    <w:rsid w:val="00233817"/>
    <w:rsid w:val="0023394F"/>
    <w:rsid w:val="00233AEC"/>
    <w:rsid w:val="00233B4B"/>
    <w:rsid w:val="0023411A"/>
    <w:rsid w:val="0023467A"/>
    <w:rsid w:val="0023479F"/>
    <w:rsid w:val="00234939"/>
    <w:rsid w:val="002349ED"/>
    <w:rsid w:val="0023513A"/>
    <w:rsid w:val="002353DB"/>
    <w:rsid w:val="002359F9"/>
    <w:rsid w:val="00235C95"/>
    <w:rsid w:val="00235CF8"/>
    <w:rsid w:val="00235D3A"/>
    <w:rsid w:val="00235E75"/>
    <w:rsid w:val="00236393"/>
    <w:rsid w:val="00236706"/>
    <w:rsid w:val="002367FF"/>
    <w:rsid w:val="00236A05"/>
    <w:rsid w:val="00236C96"/>
    <w:rsid w:val="00236E29"/>
    <w:rsid w:val="002370BE"/>
    <w:rsid w:val="002375B3"/>
    <w:rsid w:val="0024090F"/>
    <w:rsid w:val="00240A24"/>
    <w:rsid w:val="00240ADF"/>
    <w:rsid w:val="00240CAC"/>
    <w:rsid w:val="00240CE9"/>
    <w:rsid w:val="0024128C"/>
    <w:rsid w:val="00241453"/>
    <w:rsid w:val="00241773"/>
    <w:rsid w:val="00241EBD"/>
    <w:rsid w:val="00241ECC"/>
    <w:rsid w:val="00242E89"/>
    <w:rsid w:val="002430BA"/>
    <w:rsid w:val="002432A8"/>
    <w:rsid w:val="00243354"/>
    <w:rsid w:val="00243357"/>
    <w:rsid w:val="002433A1"/>
    <w:rsid w:val="002434BA"/>
    <w:rsid w:val="00243682"/>
    <w:rsid w:val="00243BEF"/>
    <w:rsid w:val="002442AE"/>
    <w:rsid w:val="0024454A"/>
    <w:rsid w:val="002445BA"/>
    <w:rsid w:val="00244833"/>
    <w:rsid w:val="00244933"/>
    <w:rsid w:val="00244EE3"/>
    <w:rsid w:val="00245894"/>
    <w:rsid w:val="00245D28"/>
    <w:rsid w:val="0024601C"/>
    <w:rsid w:val="00246089"/>
    <w:rsid w:val="00246093"/>
    <w:rsid w:val="002462BD"/>
    <w:rsid w:val="00246560"/>
    <w:rsid w:val="00246624"/>
    <w:rsid w:val="00246702"/>
    <w:rsid w:val="00246980"/>
    <w:rsid w:val="00246FB0"/>
    <w:rsid w:val="0024753F"/>
    <w:rsid w:val="00247C59"/>
    <w:rsid w:val="00247CDE"/>
    <w:rsid w:val="00247EE2"/>
    <w:rsid w:val="00247F2E"/>
    <w:rsid w:val="00250ADC"/>
    <w:rsid w:val="00250B07"/>
    <w:rsid w:val="00250BE2"/>
    <w:rsid w:val="00250D3F"/>
    <w:rsid w:val="002511DC"/>
    <w:rsid w:val="002512C9"/>
    <w:rsid w:val="00251407"/>
    <w:rsid w:val="002515BC"/>
    <w:rsid w:val="002515C9"/>
    <w:rsid w:val="00251803"/>
    <w:rsid w:val="00251DC3"/>
    <w:rsid w:val="00251DDC"/>
    <w:rsid w:val="00251DE2"/>
    <w:rsid w:val="00251E58"/>
    <w:rsid w:val="002522AA"/>
    <w:rsid w:val="00252749"/>
    <w:rsid w:val="00252DA9"/>
    <w:rsid w:val="00252EA8"/>
    <w:rsid w:val="00252EEF"/>
    <w:rsid w:val="00252F24"/>
    <w:rsid w:val="00253096"/>
    <w:rsid w:val="00253CED"/>
    <w:rsid w:val="00253E43"/>
    <w:rsid w:val="00253F22"/>
    <w:rsid w:val="00254169"/>
    <w:rsid w:val="00254464"/>
    <w:rsid w:val="002544A6"/>
    <w:rsid w:val="0025457E"/>
    <w:rsid w:val="002552EF"/>
    <w:rsid w:val="002556F8"/>
    <w:rsid w:val="00255D73"/>
    <w:rsid w:val="002565DB"/>
    <w:rsid w:val="002566A4"/>
    <w:rsid w:val="002566CE"/>
    <w:rsid w:val="00256C73"/>
    <w:rsid w:val="00256CB1"/>
    <w:rsid w:val="00256FD6"/>
    <w:rsid w:val="002571DA"/>
    <w:rsid w:val="00257305"/>
    <w:rsid w:val="00257553"/>
    <w:rsid w:val="00257680"/>
    <w:rsid w:val="00257C6F"/>
    <w:rsid w:val="00260022"/>
    <w:rsid w:val="00260A06"/>
    <w:rsid w:val="00260B3A"/>
    <w:rsid w:val="00260EBE"/>
    <w:rsid w:val="00260F61"/>
    <w:rsid w:val="00260FB2"/>
    <w:rsid w:val="002615B9"/>
    <w:rsid w:val="002615EF"/>
    <w:rsid w:val="00261B62"/>
    <w:rsid w:val="00262128"/>
    <w:rsid w:val="002621BF"/>
    <w:rsid w:val="00262239"/>
    <w:rsid w:val="002622E3"/>
    <w:rsid w:val="002624BB"/>
    <w:rsid w:val="00263281"/>
    <w:rsid w:val="0026359A"/>
    <w:rsid w:val="0026362B"/>
    <w:rsid w:val="00263664"/>
    <w:rsid w:val="002638BC"/>
    <w:rsid w:val="00263AE8"/>
    <w:rsid w:val="00263BC4"/>
    <w:rsid w:val="00263D71"/>
    <w:rsid w:val="00264334"/>
    <w:rsid w:val="00264A43"/>
    <w:rsid w:val="00264D9C"/>
    <w:rsid w:val="002652F8"/>
    <w:rsid w:val="0026587B"/>
    <w:rsid w:val="00265936"/>
    <w:rsid w:val="00265993"/>
    <w:rsid w:val="00265AC6"/>
    <w:rsid w:val="00266366"/>
    <w:rsid w:val="002672F0"/>
    <w:rsid w:val="00267614"/>
    <w:rsid w:val="0026792E"/>
    <w:rsid w:val="00267D73"/>
    <w:rsid w:val="00267D74"/>
    <w:rsid w:val="00270243"/>
    <w:rsid w:val="0027037A"/>
    <w:rsid w:val="00270557"/>
    <w:rsid w:val="002709AE"/>
    <w:rsid w:val="00270AC6"/>
    <w:rsid w:val="00270AD3"/>
    <w:rsid w:val="00270D52"/>
    <w:rsid w:val="00270D88"/>
    <w:rsid w:val="00270DEA"/>
    <w:rsid w:val="00270F8E"/>
    <w:rsid w:val="002714AB"/>
    <w:rsid w:val="0027165D"/>
    <w:rsid w:val="0027180D"/>
    <w:rsid w:val="00271A31"/>
    <w:rsid w:val="00271C34"/>
    <w:rsid w:val="00271DF4"/>
    <w:rsid w:val="0027216D"/>
    <w:rsid w:val="0027258B"/>
    <w:rsid w:val="002728FF"/>
    <w:rsid w:val="00272E2D"/>
    <w:rsid w:val="0027301F"/>
    <w:rsid w:val="002735CB"/>
    <w:rsid w:val="0027382D"/>
    <w:rsid w:val="00273A08"/>
    <w:rsid w:val="00273AB4"/>
    <w:rsid w:val="00273CEB"/>
    <w:rsid w:val="0027413D"/>
    <w:rsid w:val="002743B4"/>
    <w:rsid w:val="0027449F"/>
    <w:rsid w:val="0027491F"/>
    <w:rsid w:val="00274B24"/>
    <w:rsid w:val="00274BCC"/>
    <w:rsid w:val="00274D6D"/>
    <w:rsid w:val="0027533E"/>
    <w:rsid w:val="0027577C"/>
    <w:rsid w:val="002758B4"/>
    <w:rsid w:val="00275E93"/>
    <w:rsid w:val="00275F0C"/>
    <w:rsid w:val="002763FE"/>
    <w:rsid w:val="002764A4"/>
    <w:rsid w:val="00276682"/>
    <w:rsid w:val="00276BB2"/>
    <w:rsid w:val="00276D5E"/>
    <w:rsid w:val="00276DFC"/>
    <w:rsid w:val="00276DFF"/>
    <w:rsid w:val="0027735A"/>
    <w:rsid w:val="00277963"/>
    <w:rsid w:val="00277E0A"/>
    <w:rsid w:val="00277E2B"/>
    <w:rsid w:val="00280105"/>
    <w:rsid w:val="0028018B"/>
    <w:rsid w:val="00280BAA"/>
    <w:rsid w:val="002813B9"/>
    <w:rsid w:val="00281465"/>
    <w:rsid w:val="00281986"/>
    <w:rsid w:val="00281C89"/>
    <w:rsid w:val="0028282F"/>
    <w:rsid w:val="00282F3D"/>
    <w:rsid w:val="00283230"/>
    <w:rsid w:val="0028325A"/>
    <w:rsid w:val="0028374F"/>
    <w:rsid w:val="002839EC"/>
    <w:rsid w:val="002839F0"/>
    <w:rsid w:val="00283A39"/>
    <w:rsid w:val="00283E87"/>
    <w:rsid w:val="0028457D"/>
    <w:rsid w:val="002848FD"/>
    <w:rsid w:val="002849AF"/>
    <w:rsid w:val="00284ADB"/>
    <w:rsid w:val="00284EF5"/>
    <w:rsid w:val="00284F15"/>
    <w:rsid w:val="0028529B"/>
    <w:rsid w:val="0028548A"/>
    <w:rsid w:val="0028662C"/>
    <w:rsid w:val="0028666C"/>
    <w:rsid w:val="0028738B"/>
    <w:rsid w:val="002878A3"/>
    <w:rsid w:val="0029028E"/>
    <w:rsid w:val="00290BCF"/>
    <w:rsid w:val="00290E79"/>
    <w:rsid w:val="00290E7E"/>
    <w:rsid w:val="00290FED"/>
    <w:rsid w:val="00291003"/>
    <w:rsid w:val="00291142"/>
    <w:rsid w:val="002914D1"/>
    <w:rsid w:val="00291967"/>
    <w:rsid w:val="002919BB"/>
    <w:rsid w:val="00291A3A"/>
    <w:rsid w:val="00291E26"/>
    <w:rsid w:val="0029218C"/>
    <w:rsid w:val="00292245"/>
    <w:rsid w:val="00292609"/>
    <w:rsid w:val="00292665"/>
    <w:rsid w:val="00292D13"/>
    <w:rsid w:val="00292DC3"/>
    <w:rsid w:val="002930E6"/>
    <w:rsid w:val="00293344"/>
    <w:rsid w:val="0029346F"/>
    <w:rsid w:val="00293815"/>
    <w:rsid w:val="00293BCC"/>
    <w:rsid w:val="002945C2"/>
    <w:rsid w:val="00294A4F"/>
    <w:rsid w:val="00294D1C"/>
    <w:rsid w:val="0029537D"/>
    <w:rsid w:val="0029593B"/>
    <w:rsid w:val="00295CF6"/>
    <w:rsid w:val="00295D8B"/>
    <w:rsid w:val="00296220"/>
    <w:rsid w:val="00296294"/>
    <w:rsid w:val="002963DF"/>
    <w:rsid w:val="00296D08"/>
    <w:rsid w:val="00296F09"/>
    <w:rsid w:val="00297030"/>
    <w:rsid w:val="00297112"/>
    <w:rsid w:val="00297A99"/>
    <w:rsid w:val="00297F4A"/>
    <w:rsid w:val="00297FC5"/>
    <w:rsid w:val="002A0172"/>
    <w:rsid w:val="002A01B1"/>
    <w:rsid w:val="002A0417"/>
    <w:rsid w:val="002A05EB"/>
    <w:rsid w:val="002A06BD"/>
    <w:rsid w:val="002A0782"/>
    <w:rsid w:val="002A0AB6"/>
    <w:rsid w:val="002A0D50"/>
    <w:rsid w:val="002A11E2"/>
    <w:rsid w:val="002A16D8"/>
    <w:rsid w:val="002A19E1"/>
    <w:rsid w:val="002A1BC8"/>
    <w:rsid w:val="002A1C80"/>
    <w:rsid w:val="002A1FC6"/>
    <w:rsid w:val="002A2074"/>
    <w:rsid w:val="002A2CAB"/>
    <w:rsid w:val="002A3303"/>
    <w:rsid w:val="002A3377"/>
    <w:rsid w:val="002A3408"/>
    <w:rsid w:val="002A3725"/>
    <w:rsid w:val="002A3EF2"/>
    <w:rsid w:val="002A405A"/>
    <w:rsid w:val="002A41A7"/>
    <w:rsid w:val="002A4906"/>
    <w:rsid w:val="002A505B"/>
    <w:rsid w:val="002A5896"/>
    <w:rsid w:val="002A5B55"/>
    <w:rsid w:val="002A5DCD"/>
    <w:rsid w:val="002A6A43"/>
    <w:rsid w:val="002A6D1D"/>
    <w:rsid w:val="002A718F"/>
    <w:rsid w:val="002A71EE"/>
    <w:rsid w:val="002A7293"/>
    <w:rsid w:val="002A731F"/>
    <w:rsid w:val="002A7699"/>
    <w:rsid w:val="002A7D46"/>
    <w:rsid w:val="002A7ECC"/>
    <w:rsid w:val="002B021D"/>
    <w:rsid w:val="002B02DC"/>
    <w:rsid w:val="002B0818"/>
    <w:rsid w:val="002B083E"/>
    <w:rsid w:val="002B0DED"/>
    <w:rsid w:val="002B129C"/>
    <w:rsid w:val="002B1616"/>
    <w:rsid w:val="002B19A2"/>
    <w:rsid w:val="002B1A8A"/>
    <w:rsid w:val="002B1F3B"/>
    <w:rsid w:val="002B27A8"/>
    <w:rsid w:val="002B2DF6"/>
    <w:rsid w:val="002B2E01"/>
    <w:rsid w:val="002B2EAE"/>
    <w:rsid w:val="002B2FA0"/>
    <w:rsid w:val="002B3281"/>
    <w:rsid w:val="002B331C"/>
    <w:rsid w:val="002B3771"/>
    <w:rsid w:val="002B381A"/>
    <w:rsid w:val="002B39C4"/>
    <w:rsid w:val="002B401A"/>
    <w:rsid w:val="002B42C6"/>
    <w:rsid w:val="002B43DD"/>
    <w:rsid w:val="002B47C2"/>
    <w:rsid w:val="002B4E3C"/>
    <w:rsid w:val="002B4FCC"/>
    <w:rsid w:val="002B5285"/>
    <w:rsid w:val="002B5453"/>
    <w:rsid w:val="002B5671"/>
    <w:rsid w:val="002B5792"/>
    <w:rsid w:val="002B67E9"/>
    <w:rsid w:val="002B6EA0"/>
    <w:rsid w:val="002B71B1"/>
    <w:rsid w:val="002B72E8"/>
    <w:rsid w:val="002B7408"/>
    <w:rsid w:val="002B75DF"/>
    <w:rsid w:val="002B763D"/>
    <w:rsid w:val="002B78FE"/>
    <w:rsid w:val="002B7BF7"/>
    <w:rsid w:val="002B7CFD"/>
    <w:rsid w:val="002C00C5"/>
    <w:rsid w:val="002C010E"/>
    <w:rsid w:val="002C03A0"/>
    <w:rsid w:val="002C0530"/>
    <w:rsid w:val="002C0651"/>
    <w:rsid w:val="002C0717"/>
    <w:rsid w:val="002C0780"/>
    <w:rsid w:val="002C079F"/>
    <w:rsid w:val="002C07D6"/>
    <w:rsid w:val="002C0E5A"/>
    <w:rsid w:val="002C1088"/>
    <w:rsid w:val="002C141D"/>
    <w:rsid w:val="002C166D"/>
    <w:rsid w:val="002C1B2A"/>
    <w:rsid w:val="002C210F"/>
    <w:rsid w:val="002C2134"/>
    <w:rsid w:val="002C2360"/>
    <w:rsid w:val="002C23EF"/>
    <w:rsid w:val="002C27F8"/>
    <w:rsid w:val="002C2C4C"/>
    <w:rsid w:val="002C2C8D"/>
    <w:rsid w:val="002C2E07"/>
    <w:rsid w:val="002C2F2B"/>
    <w:rsid w:val="002C2FC2"/>
    <w:rsid w:val="002C30A6"/>
    <w:rsid w:val="002C3124"/>
    <w:rsid w:val="002C3933"/>
    <w:rsid w:val="002C3E3F"/>
    <w:rsid w:val="002C3E92"/>
    <w:rsid w:val="002C4023"/>
    <w:rsid w:val="002C411E"/>
    <w:rsid w:val="002C4132"/>
    <w:rsid w:val="002C429C"/>
    <w:rsid w:val="002C42D7"/>
    <w:rsid w:val="002C4476"/>
    <w:rsid w:val="002C4564"/>
    <w:rsid w:val="002C4C42"/>
    <w:rsid w:val="002C54E1"/>
    <w:rsid w:val="002C5550"/>
    <w:rsid w:val="002C6176"/>
    <w:rsid w:val="002C6517"/>
    <w:rsid w:val="002C6635"/>
    <w:rsid w:val="002C66C8"/>
    <w:rsid w:val="002C6CED"/>
    <w:rsid w:val="002C6F3F"/>
    <w:rsid w:val="002C7443"/>
    <w:rsid w:val="002C755C"/>
    <w:rsid w:val="002C7659"/>
    <w:rsid w:val="002C7ADD"/>
    <w:rsid w:val="002C7B1E"/>
    <w:rsid w:val="002C7F0E"/>
    <w:rsid w:val="002D0005"/>
    <w:rsid w:val="002D074F"/>
    <w:rsid w:val="002D10FB"/>
    <w:rsid w:val="002D11B6"/>
    <w:rsid w:val="002D1586"/>
    <w:rsid w:val="002D1E92"/>
    <w:rsid w:val="002D2150"/>
    <w:rsid w:val="002D2337"/>
    <w:rsid w:val="002D26A3"/>
    <w:rsid w:val="002D29E7"/>
    <w:rsid w:val="002D2C1D"/>
    <w:rsid w:val="002D2D43"/>
    <w:rsid w:val="002D2EAA"/>
    <w:rsid w:val="002D2FD5"/>
    <w:rsid w:val="002D3600"/>
    <w:rsid w:val="002D3B25"/>
    <w:rsid w:val="002D3C3B"/>
    <w:rsid w:val="002D3F76"/>
    <w:rsid w:val="002D428E"/>
    <w:rsid w:val="002D43CD"/>
    <w:rsid w:val="002D44EA"/>
    <w:rsid w:val="002D4942"/>
    <w:rsid w:val="002D4969"/>
    <w:rsid w:val="002D4A2D"/>
    <w:rsid w:val="002D4ED2"/>
    <w:rsid w:val="002D5986"/>
    <w:rsid w:val="002D5989"/>
    <w:rsid w:val="002D59B5"/>
    <w:rsid w:val="002D5A56"/>
    <w:rsid w:val="002D5ABD"/>
    <w:rsid w:val="002D5B76"/>
    <w:rsid w:val="002D5CB0"/>
    <w:rsid w:val="002D5E3A"/>
    <w:rsid w:val="002D6097"/>
    <w:rsid w:val="002D648A"/>
    <w:rsid w:val="002D6CD8"/>
    <w:rsid w:val="002D78C0"/>
    <w:rsid w:val="002D7A04"/>
    <w:rsid w:val="002D7D83"/>
    <w:rsid w:val="002E00B4"/>
    <w:rsid w:val="002E0118"/>
    <w:rsid w:val="002E01A3"/>
    <w:rsid w:val="002E03ED"/>
    <w:rsid w:val="002E0459"/>
    <w:rsid w:val="002E05A6"/>
    <w:rsid w:val="002E0822"/>
    <w:rsid w:val="002E0C7C"/>
    <w:rsid w:val="002E1A79"/>
    <w:rsid w:val="002E1ED6"/>
    <w:rsid w:val="002E2179"/>
    <w:rsid w:val="002E27DE"/>
    <w:rsid w:val="002E287F"/>
    <w:rsid w:val="002E299E"/>
    <w:rsid w:val="002E2B5C"/>
    <w:rsid w:val="002E2CF8"/>
    <w:rsid w:val="002E3166"/>
    <w:rsid w:val="002E39CF"/>
    <w:rsid w:val="002E3EBD"/>
    <w:rsid w:val="002E3FA9"/>
    <w:rsid w:val="002E464C"/>
    <w:rsid w:val="002E48AC"/>
    <w:rsid w:val="002E4D99"/>
    <w:rsid w:val="002E4DDC"/>
    <w:rsid w:val="002E4EE9"/>
    <w:rsid w:val="002E5252"/>
    <w:rsid w:val="002E550F"/>
    <w:rsid w:val="002E57CB"/>
    <w:rsid w:val="002E5959"/>
    <w:rsid w:val="002E59F7"/>
    <w:rsid w:val="002E5DFB"/>
    <w:rsid w:val="002E61B5"/>
    <w:rsid w:val="002E6315"/>
    <w:rsid w:val="002E6352"/>
    <w:rsid w:val="002E6527"/>
    <w:rsid w:val="002E659C"/>
    <w:rsid w:val="002E6D58"/>
    <w:rsid w:val="002E781B"/>
    <w:rsid w:val="002E7D5D"/>
    <w:rsid w:val="002E7E03"/>
    <w:rsid w:val="002F0640"/>
    <w:rsid w:val="002F068C"/>
    <w:rsid w:val="002F07BC"/>
    <w:rsid w:val="002F07D8"/>
    <w:rsid w:val="002F0ABC"/>
    <w:rsid w:val="002F0D6B"/>
    <w:rsid w:val="002F0E7E"/>
    <w:rsid w:val="002F11AC"/>
    <w:rsid w:val="002F1671"/>
    <w:rsid w:val="002F1B79"/>
    <w:rsid w:val="002F1C33"/>
    <w:rsid w:val="002F1D79"/>
    <w:rsid w:val="002F2264"/>
    <w:rsid w:val="002F260B"/>
    <w:rsid w:val="002F2885"/>
    <w:rsid w:val="002F2D1C"/>
    <w:rsid w:val="002F318C"/>
    <w:rsid w:val="002F31DA"/>
    <w:rsid w:val="002F330B"/>
    <w:rsid w:val="002F35F8"/>
    <w:rsid w:val="002F3B04"/>
    <w:rsid w:val="002F3BCF"/>
    <w:rsid w:val="002F3BE3"/>
    <w:rsid w:val="002F3DDA"/>
    <w:rsid w:val="002F3E12"/>
    <w:rsid w:val="002F3E5D"/>
    <w:rsid w:val="002F415B"/>
    <w:rsid w:val="002F41CA"/>
    <w:rsid w:val="002F4463"/>
    <w:rsid w:val="002F465E"/>
    <w:rsid w:val="002F534A"/>
    <w:rsid w:val="002F5510"/>
    <w:rsid w:val="002F557A"/>
    <w:rsid w:val="002F57F9"/>
    <w:rsid w:val="002F5EB3"/>
    <w:rsid w:val="002F6015"/>
    <w:rsid w:val="002F6278"/>
    <w:rsid w:val="002F64C1"/>
    <w:rsid w:val="002F68E9"/>
    <w:rsid w:val="002F6CA6"/>
    <w:rsid w:val="002F6FD6"/>
    <w:rsid w:val="002F7016"/>
    <w:rsid w:val="002F72F3"/>
    <w:rsid w:val="002F7640"/>
    <w:rsid w:val="002F78F0"/>
    <w:rsid w:val="002F790B"/>
    <w:rsid w:val="002F7DBD"/>
    <w:rsid w:val="002F7F29"/>
    <w:rsid w:val="003001A5"/>
    <w:rsid w:val="003001CE"/>
    <w:rsid w:val="00300349"/>
    <w:rsid w:val="00300410"/>
    <w:rsid w:val="003008A5"/>
    <w:rsid w:val="00300BF8"/>
    <w:rsid w:val="00300E34"/>
    <w:rsid w:val="003011C6"/>
    <w:rsid w:val="00301358"/>
    <w:rsid w:val="00301AF0"/>
    <w:rsid w:val="00301BA7"/>
    <w:rsid w:val="00301D98"/>
    <w:rsid w:val="00301E8E"/>
    <w:rsid w:val="00302480"/>
    <w:rsid w:val="0030268F"/>
    <w:rsid w:val="00302758"/>
    <w:rsid w:val="003027E7"/>
    <w:rsid w:val="00302B4A"/>
    <w:rsid w:val="00302B77"/>
    <w:rsid w:val="00302CD3"/>
    <w:rsid w:val="00302DAF"/>
    <w:rsid w:val="00302E4B"/>
    <w:rsid w:val="0030310D"/>
    <w:rsid w:val="003037A7"/>
    <w:rsid w:val="003037D7"/>
    <w:rsid w:val="003038B3"/>
    <w:rsid w:val="00303AEC"/>
    <w:rsid w:val="00303CAE"/>
    <w:rsid w:val="00303CB9"/>
    <w:rsid w:val="00303D34"/>
    <w:rsid w:val="00303D4A"/>
    <w:rsid w:val="00303FB6"/>
    <w:rsid w:val="003040E4"/>
    <w:rsid w:val="003045C7"/>
    <w:rsid w:val="003046BA"/>
    <w:rsid w:val="0030488F"/>
    <w:rsid w:val="00305D6A"/>
    <w:rsid w:val="00305D82"/>
    <w:rsid w:val="003060C9"/>
    <w:rsid w:val="00306450"/>
    <w:rsid w:val="00306598"/>
    <w:rsid w:val="00306600"/>
    <w:rsid w:val="003066F2"/>
    <w:rsid w:val="00306A70"/>
    <w:rsid w:val="003073FC"/>
    <w:rsid w:val="00307819"/>
    <w:rsid w:val="003079FB"/>
    <w:rsid w:val="00307EA4"/>
    <w:rsid w:val="00307EFE"/>
    <w:rsid w:val="00307FBC"/>
    <w:rsid w:val="00310940"/>
    <w:rsid w:val="00310973"/>
    <w:rsid w:val="003110DC"/>
    <w:rsid w:val="0031132B"/>
    <w:rsid w:val="0031158B"/>
    <w:rsid w:val="00311EE3"/>
    <w:rsid w:val="00312AF4"/>
    <w:rsid w:val="00312F38"/>
    <w:rsid w:val="00313071"/>
    <w:rsid w:val="00313765"/>
    <w:rsid w:val="00313812"/>
    <w:rsid w:val="0031396B"/>
    <w:rsid w:val="00314275"/>
    <w:rsid w:val="00314CCD"/>
    <w:rsid w:val="00314F2B"/>
    <w:rsid w:val="003150D9"/>
    <w:rsid w:val="00315116"/>
    <w:rsid w:val="003155D2"/>
    <w:rsid w:val="00315735"/>
    <w:rsid w:val="00315911"/>
    <w:rsid w:val="00315D53"/>
    <w:rsid w:val="00315DA7"/>
    <w:rsid w:val="00316271"/>
    <w:rsid w:val="003165E6"/>
    <w:rsid w:val="00316B32"/>
    <w:rsid w:val="00316C70"/>
    <w:rsid w:val="00317105"/>
    <w:rsid w:val="00317276"/>
    <w:rsid w:val="0032037E"/>
    <w:rsid w:val="003203C6"/>
    <w:rsid w:val="003203DD"/>
    <w:rsid w:val="00320680"/>
    <w:rsid w:val="003208AD"/>
    <w:rsid w:val="0032090B"/>
    <w:rsid w:val="00320B02"/>
    <w:rsid w:val="00320B71"/>
    <w:rsid w:val="00320FBB"/>
    <w:rsid w:val="003210E5"/>
    <w:rsid w:val="003215B5"/>
    <w:rsid w:val="00321716"/>
    <w:rsid w:val="00321745"/>
    <w:rsid w:val="00321ABD"/>
    <w:rsid w:val="00321D0E"/>
    <w:rsid w:val="00321F1D"/>
    <w:rsid w:val="0032218B"/>
    <w:rsid w:val="003221CF"/>
    <w:rsid w:val="00322209"/>
    <w:rsid w:val="003223BA"/>
    <w:rsid w:val="003225BF"/>
    <w:rsid w:val="0032262A"/>
    <w:rsid w:val="003227A4"/>
    <w:rsid w:val="00322BAC"/>
    <w:rsid w:val="00323080"/>
    <w:rsid w:val="003233ED"/>
    <w:rsid w:val="00323938"/>
    <w:rsid w:val="003239EB"/>
    <w:rsid w:val="00323AB5"/>
    <w:rsid w:val="00323BEE"/>
    <w:rsid w:val="00323E59"/>
    <w:rsid w:val="003241E9"/>
    <w:rsid w:val="00324D53"/>
    <w:rsid w:val="00324D9F"/>
    <w:rsid w:val="00325BAE"/>
    <w:rsid w:val="00325D25"/>
    <w:rsid w:val="00325D54"/>
    <w:rsid w:val="00326060"/>
    <w:rsid w:val="00326289"/>
    <w:rsid w:val="003264FF"/>
    <w:rsid w:val="0032661E"/>
    <w:rsid w:val="00326921"/>
    <w:rsid w:val="00326A47"/>
    <w:rsid w:val="00326AE9"/>
    <w:rsid w:val="00326B8E"/>
    <w:rsid w:val="00326F44"/>
    <w:rsid w:val="00326FB4"/>
    <w:rsid w:val="003277A8"/>
    <w:rsid w:val="00327948"/>
    <w:rsid w:val="00327D69"/>
    <w:rsid w:val="0033000F"/>
    <w:rsid w:val="003303BD"/>
    <w:rsid w:val="00330725"/>
    <w:rsid w:val="00331504"/>
    <w:rsid w:val="0033185E"/>
    <w:rsid w:val="00331875"/>
    <w:rsid w:val="00331879"/>
    <w:rsid w:val="003318B3"/>
    <w:rsid w:val="00331927"/>
    <w:rsid w:val="00331AD2"/>
    <w:rsid w:val="00331CDB"/>
    <w:rsid w:val="00331E70"/>
    <w:rsid w:val="00332011"/>
    <w:rsid w:val="003322B4"/>
    <w:rsid w:val="00332518"/>
    <w:rsid w:val="0033254F"/>
    <w:rsid w:val="00332887"/>
    <w:rsid w:val="00332925"/>
    <w:rsid w:val="00332E3F"/>
    <w:rsid w:val="003332ED"/>
    <w:rsid w:val="0033351B"/>
    <w:rsid w:val="0033359F"/>
    <w:rsid w:val="00333746"/>
    <w:rsid w:val="00333920"/>
    <w:rsid w:val="00333AF1"/>
    <w:rsid w:val="00333EF2"/>
    <w:rsid w:val="00334178"/>
    <w:rsid w:val="00334547"/>
    <w:rsid w:val="00334605"/>
    <w:rsid w:val="00334793"/>
    <w:rsid w:val="00334A33"/>
    <w:rsid w:val="00334DE7"/>
    <w:rsid w:val="00334F9F"/>
    <w:rsid w:val="00335036"/>
    <w:rsid w:val="00335185"/>
    <w:rsid w:val="003353E1"/>
    <w:rsid w:val="0033583B"/>
    <w:rsid w:val="00335BAC"/>
    <w:rsid w:val="00335BF2"/>
    <w:rsid w:val="00335DF3"/>
    <w:rsid w:val="00335F3B"/>
    <w:rsid w:val="00336605"/>
    <w:rsid w:val="003368DC"/>
    <w:rsid w:val="00336939"/>
    <w:rsid w:val="00336E55"/>
    <w:rsid w:val="00336F19"/>
    <w:rsid w:val="00337552"/>
    <w:rsid w:val="003377B5"/>
    <w:rsid w:val="00337A5A"/>
    <w:rsid w:val="003400B9"/>
    <w:rsid w:val="00340173"/>
    <w:rsid w:val="0034022F"/>
    <w:rsid w:val="0034062C"/>
    <w:rsid w:val="00340DF5"/>
    <w:rsid w:val="00341080"/>
    <w:rsid w:val="0034126D"/>
    <w:rsid w:val="0034154F"/>
    <w:rsid w:val="00341895"/>
    <w:rsid w:val="00341950"/>
    <w:rsid w:val="00341D02"/>
    <w:rsid w:val="00342311"/>
    <w:rsid w:val="003423D6"/>
    <w:rsid w:val="00342506"/>
    <w:rsid w:val="00342755"/>
    <w:rsid w:val="003427C8"/>
    <w:rsid w:val="00342A32"/>
    <w:rsid w:val="00342EE5"/>
    <w:rsid w:val="0034359A"/>
    <w:rsid w:val="003435EF"/>
    <w:rsid w:val="003436B7"/>
    <w:rsid w:val="00343910"/>
    <w:rsid w:val="00344147"/>
    <w:rsid w:val="003442BF"/>
    <w:rsid w:val="00344793"/>
    <w:rsid w:val="003449D3"/>
    <w:rsid w:val="00345358"/>
    <w:rsid w:val="00345415"/>
    <w:rsid w:val="00345781"/>
    <w:rsid w:val="00345927"/>
    <w:rsid w:val="00345B35"/>
    <w:rsid w:val="00345E0A"/>
    <w:rsid w:val="00346148"/>
    <w:rsid w:val="00346438"/>
    <w:rsid w:val="003465A7"/>
    <w:rsid w:val="00346672"/>
    <w:rsid w:val="00346830"/>
    <w:rsid w:val="0034688F"/>
    <w:rsid w:val="003469AF"/>
    <w:rsid w:val="00346B93"/>
    <w:rsid w:val="00346BA4"/>
    <w:rsid w:val="00346DBA"/>
    <w:rsid w:val="00346DC9"/>
    <w:rsid w:val="0034735D"/>
    <w:rsid w:val="003478B1"/>
    <w:rsid w:val="0034797B"/>
    <w:rsid w:val="00347B00"/>
    <w:rsid w:val="00347C73"/>
    <w:rsid w:val="00347D07"/>
    <w:rsid w:val="00350383"/>
    <w:rsid w:val="00350584"/>
    <w:rsid w:val="003507D9"/>
    <w:rsid w:val="00350F81"/>
    <w:rsid w:val="00350F89"/>
    <w:rsid w:val="00351391"/>
    <w:rsid w:val="0035146E"/>
    <w:rsid w:val="00351857"/>
    <w:rsid w:val="0035191A"/>
    <w:rsid w:val="00351957"/>
    <w:rsid w:val="003520AF"/>
    <w:rsid w:val="00352203"/>
    <w:rsid w:val="00352411"/>
    <w:rsid w:val="00352531"/>
    <w:rsid w:val="00352A21"/>
    <w:rsid w:val="00352ECD"/>
    <w:rsid w:val="00352F11"/>
    <w:rsid w:val="003531CD"/>
    <w:rsid w:val="0035330A"/>
    <w:rsid w:val="00353BCF"/>
    <w:rsid w:val="00353C51"/>
    <w:rsid w:val="00353E3A"/>
    <w:rsid w:val="00353E67"/>
    <w:rsid w:val="00353E83"/>
    <w:rsid w:val="0035414E"/>
    <w:rsid w:val="0035432C"/>
    <w:rsid w:val="003545E8"/>
    <w:rsid w:val="003548DC"/>
    <w:rsid w:val="00354AA7"/>
    <w:rsid w:val="00354AC9"/>
    <w:rsid w:val="00354B2F"/>
    <w:rsid w:val="00354CA2"/>
    <w:rsid w:val="00354F50"/>
    <w:rsid w:val="00354FD5"/>
    <w:rsid w:val="00354FD6"/>
    <w:rsid w:val="0035542F"/>
    <w:rsid w:val="00355506"/>
    <w:rsid w:val="0035592E"/>
    <w:rsid w:val="0035594C"/>
    <w:rsid w:val="003559A7"/>
    <w:rsid w:val="00356B98"/>
    <w:rsid w:val="00357127"/>
    <w:rsid w:val="00357593"/>
    <w:rsid w:val="003600C8"/>
    <w:rsid w:val="003610E1"/>
    <w:rsid w:val="003615BE"/>
    <w:rsid w:val="003617F0"/>
    <w:rsid w:val="00361D95"/>
    <w:rsid w:val="0036249D"/>
    <w:rsid w:val="00362672"/>
    <w:rsid w:val="00362FC7"/>
    <w:rsid w:val="00363A30"/>
    <w:rsid w:val="00363EBF"/>
    <w:rsid w:val="003642C8"/>
    <w:rsid w:val="003642ED"/>
    <w:rsid w:val="0036552F"/>
    <w:rsid w:val="003657DE"/>
    <w:rsid w:val="0036593A"/>
    <w:rsid w:val="00365CE7"/>
    <w:rsid w:val="00365E8D"/>
    <w:rsid w:val="003663DE"/>
    <w:rsid w:val="00366456"/>
    <w:rsid w:val="00366D23"/>
    <w:rsid w:val="00366EE5"/>
    <w:rsid w:val="003671BE"/>
    <w:rsid w:val="0036726B"/>
    <w:rsid w:val="003674BC"/>
    <w:rsid w:val="00367793"/>
    <w:rsid w:val="00367A17"/>
    <w:rsid w:val="00370878"/>
    <w:rsid w:val="00370958"/>
    <w:rsid w:val="00370A96"/>
    <w:rsid w:val="003710BA"/>
    <w:rsid w:val="003711C5"/>
    <w:rsid w:val="0037156A"/>
    <w:rsid w:val="00372485"/>
    <w:rsid w:val="0037252C"/>
    <w:rsid w:val="0037252E"/>
    <w:rsid w:val="00372B72"/>
    <w:rsid w:val="00372F96"/>
    <w:rsid w:val="003730B7"/>
    <w:rsid w:val="00373200"/>
    <w:rsid w:val="00373286"/>
    <w:rsid w:val="00373901"/>
    <w:rsid w:val="003739BB"/>
    <w:rsid w:val="00373B4F"/>
    <w:rsid w:val="00373E5E"/>
    <w:rsid w:val="00373FC1"/>
    <w:rsid w:val="0037425E"/>
    <w:rsid w:val="0037456B"/>
    <w:rsid w:val="00374C61"/>
    <w:rsid w:val="00374D96"/>
    <w:rsid w:val="00375607"/>
    <w:rsid w:val="00375622"/>
    <w:rsid w:val="003756B5"/>
    <w:rsid w:val="0037585F"/>
    <w:rsid w:val="00375E1D"/>
    <w:rsid w:val="00375EF5"/>
    <w:rsid w:val="00376373"/>
    <w:rsid w:val="003764FD"/>
    <w:rsid w:val="003767A5"/>
    <w:rsid w:val="00376CA7"/>
    <w:rsid w:val="00376CB1"/>
    <w:rsid w:val="00376F9D"/>
    <w:rsid w:val="00377291"/>
    <w:rsid w:val="00377921"/>
    <w:rsid w:val="00377CDB"/>
    <w:rsid w:val="00377D74"/>
    <w:rsid w:val="0038032A"/>
    <w:rsid w:val="00380438"/>
    <w:rsid w:val="0038044C"/>
    <w:rsid w:val="00380F12"/>
    <w:rsid w:val="00380F44"/>
    <w:rsid w:val="003812C6"/>
    <w:rsid w:val="0038183E"/>
    <w:rsid w:val="00381D15"/>
    <w:rsid w:val="003821F1"/>
    <w:rsid w:val="00382A52"/>
    <w:rsid w:val="00382A68"/>
    <w:rsid w:val="00382E6B"/>
    <w:rsid w:val="003833D8"/>
    <w:rsid w:val="00383441"/>
    <w:rsid w:val="0038362D"/>
    <w:rsid w:val="00383961"/>
    <w:rsid w:val="00383C9C"/>
    <w:rsid w:val="00383E5B"/>
    <w:rsid w:val="00383F9D"/>
    <w:rsid w:val="00384057"/>
    <w:rsid w:val="003843A4"/>
    <w:rsid w:val="00384717"/>
    <w:rsid w:val="003848F7"/>
    <w:rsid w:val="00384C8C"/>
    <w:rsid w:val="00384EC5"/>
    <w:rsid w:val="003850ED"/>
    <w:rsid w:val="003851EF"/>
    <w:rsid w:val="00385212"/>
    <w:rsid w:val="00385254"/>
    <w:rsid w:val="00385375"/>
    <w:rsid w:val="0038554F"/>
    <w:rsid w:val="00386025"/>
    <w:rsid w:val="0038606D"/>
    <w:rsid w:val="0038637A"/>
    <w:rsid w:val="0038638B"/>
    <w:rsid w:val="0038664D"/>
    <w:rsid w:val="00386AA9"/>
    <w:rsid w:val="00386D04"/>
    <w:rsid w:val="0038728A"/>
    <w:rsid w:val="0038756E"/>
    <w:rsid w:val="00387AC5"/>
    <w:rsid w:val="00390104"/>
    <w:rsid w:val="003902E4"/>
    <w:rsid w:val="003906A5"/>
    <w:rsid w:val="003907FC"/>
    <w:rsid w:val="00390852"/>
    <w:rsid w:val="003908FE"/>
    <w:rsid w:val="00390C29"/>
    <w:rsid w:val="003911CB"/>
    <w:rsid w:val="0039122A"/>
    <w:rsid w:val="00391524"/>
    <w:rsid w:val="0039196F"/>
    <w:rsid w:val="0039199F"/>
    <w:rsid w:val="00391A46"/>
    <w:rsid w:val="00391B81"/>
    <w:rsid w:val="00391BD1"/>
    <w:rsid w:val="00391D57"/>
    <w:rsid w:val="00391EB0"/>
    <w:rsid w:val="003920B6"/>
    <w:rsid w:val="0039213E"/>
    <w:rsid w:val="0039261E"/>
    <w:rsid w:val="00392BF0"/>
    <w:rsid w:val="003933E8"/>
    <w:rsid w:val="0039360A"/>
    <w:rsid w:val="00393AC3"/>
    <w:rsid w:val="00393B07"/>
    <w:rsid w:val="00394031"/>
    <w:rsid w:val="00394067"/>
    <w:rsid w:val="00394285"/>
    <w:rsid w:val="003942F2"/>
    <w:rsid w:val="00394712"/>
    <w:rsid w:val="00394891"/>
    <w:rsid w:val="00394998"/>
    <w:rsid w:val="00394BD6"/>
    <w:rsid w:val="00394CE0"/>
    <w:rsid w:val="00394FD3"/>
    <w:rsid w:val="003950B1"/>
    <w:rsid w:val="0039520D"/>
    <w:rsid w:val="0039533F"/>
    <w:rsid w:val="00395393"/>
    <w:rsid w:val="00395C70"/>
    <w:rsid w:val="00395CCE"/>
    <w:rsid w:val="003960EC"/>
    <w:rsid w:val="003961BD"/>
    <w:rsid w:val="003965CD"/>
    <w:rsid w:val="003968DC"/>
    <w:rsid w:val="00396D1F"/>
    <w:rsid w:val="00396D82"/>
    <w:rsid w:val="00396DC2"/>
    <w:rsid w:val="003979A7"/>
    <w:rsid w:val="00397BE1"/>
    <w:rsid w:val="00397C24"/>
    <w:rsid w:val="00397E45"/>
    <w:rsid w:val="003A025B"/>
    <w:rsid w:val="003A04DB"/>
    <w:rsid w:val="003A0C14"/>
    <w:rsid w:val="003A0C90"/>
    <w:rsid w:val="003A0EC8"/>
    <w:rsid w:val="003A10B0"/>
    <w:rsid w:val="003A17A2"/>
    <w:rsid w:val="003A18C3"/>
    <w:rsid w:val="003A18F6"/>
    <w:rsid w:val="003A1C59"/>
    <w:rsid w:val="003A20D0"/>
    <w:rsid w:val="003A21B9"/>
    <w:rsid w:val="003A229F"/>
    <w:rsid w:val="003A23AD"/>
    <w:rsid w:val="003A23AE"/>
    <w:rsid w:val="003A24E4"/>
    <w:rsid w:val="003A2539"/>
    <w:rsid w:val="003A2674"/>
    <w:rsid w:val="003A2C2D"/>
    <w:rsid w:val="003A2DFC"/>
    <w:rsid w:val="003A2E6C"/>
    <w:rsid w:val="003A2EC0"/>
    <w:rsid w:val="003A33A1"/>
    <w:rsid w:val="003A3500"/>
    <w:rsid w:val="003A353A"/>
    <w:rsid w:val="003A3590"/>
    <w:rsid w:val="003A36D8"/>
    <w:rsid w:val="003A3758"/>
    <w:rsid w:val="003A3A77"/>
    <w:rsid w:val="003A3DB6"/>
    <w:rsid w:val="003A3FE1"/>
    <w:rsid w:val="003A414A"/>
    <w:rsid w:val="003A43F7"/>
    <w:rsid w:val="003A46EF"/>
    <w:rsid w:val="003A4718"/>
    <w:rsid w:val="003A47C0"/>
    <w:rsid w:val="003A49DF"/>
    <w:rsid w:val="003A50FC"/>
    <w:rsid w:val="003A553C"/>
    <w:rsid w:val="003A55EB"/>
    <w:rsid w:val="003A5C90"/>
    <w:rsid w:val="003A5F3E"/>
    <w:rsid w:val="003A5F5B"/>
    <w:rsid w:val="003A60C6"/>
    <w:rsid w:val="003A6389"/>
    <w:rsid w:val="003A63E4"/>
    <w:rsid w:val="003A6826"/>
    <w:rsid w:val="003A6EF6"/>
    <w:rsid w:val="003A7166"/>
    <w:rsid w:val="003A72A3"/>
    <w:rsid w:val="003A72A6"/>
    <w:rsid w:val="003A75DE"/>
    <w:rsid w:val="003A789A"/>
    <w:rsid w:val="003A7AC2"/>
    <w:rsid w:val="003A7B27"/>
    <w:rsid w:val="003A7EA5"/>
    <w:rsid w:val="003B0AD2"/>
    <w:rsid w:val="003B0FD9"/>
    <w:rsid w:val="003B12EC"/>
    <w:rsid w:val="003B15CE"/>
    <w:rsid w:val="003B15D0"/>
    <w:rsid w:val="003B173B"/>
    <w:rsid w:val="003B1802"/>
    <w:rsid w:val="003B1BEE"/>
    <w:rsid w:val="003B1C28"/>
    <w:rsid w:val="003B1C98"/>
    <w:rsid w:val="003B1EAC"/>
    <w:rsid w:val="003B2102"/>
    <w:rsid w:val="003B2C9F"/>
    <w:rsid w:val="003B3202"/>
    <w:rsid w:val="003B33E5"/>
    <w:rsid w:val="003B376A"/>
    <w:rsid w:val="003B37B2"/>
    <w:rsid w:val="003B37DE"/>
    <w:rsid w:val="003B386E"/>
    <w:rsid w:val="003B3C95"/>
    <w:rsid w:val="003B4452"/>
    <w:rsid w:val="003B46CE"/>
    <w:rsid w:val="003B4BF1"/>
    <w:rsid w:val="003B51A3"/>
    <w:rsid w:val="003B5521"/>
    <w:rsid w:val="003B5BE8"/>
    <w:rsid w:val="003B5F56"/>
    <w:rsid w:val="003B60E1"/>
    <w:rsid w:val="003B66BB"/>
    <w:rsid w:val="003B6893"/>
    <w:rsid w:val="003B6C4B"/>
    <w:rsid w:val="003B6D62"/>
    <w:rsid w:val="003B6DC4"/>
    <w:rsid w:val="003B6FF4"/>
    <w:rsid w:val="003B7536"/>
    <w:rsid w:val="003B7566"/>
    <w:rsid w:val="003B7729"/>
    <w:rsid w:val="003B79CF"/>
    <w:rsid w:val="003B7FF3"/>
    <w:rsid w:val="003C0269"/>
    <w:rsid w:val="003C03B8"/>
    <w:rsid w:val="003C0E04"/>
    <w:rsid w:val="003C0FA7"/>
    <w:rsid w:val="003C11AA"/>
    <w:rsid w:val="003C193C"/>
    <w:rsid w:val="003C22B1"/>
    <w:rsid w:val="003C270A"/>
    <w:rsid w:val="003C2801"/>
    <w:rsid w:val="003C298D"/>
    <w:rsid w:val="003C2A9B"/>
    <w:rsid w:val="003C3001"/>
    <w:rsid w:val="003C36BB"/>
    <w:rsid w:val="003C3786"/>
    <w:rsid w:val="003C3934"/>
    <w:rsid w:val="003C3A07"/>
    <w:rsid w:val="003C3B64"/>
    <w:rsid w:val="003C4257"/>
    <w:rsid w:val="003C4512"/>
    <w:rsid w:val="003C46A0"/>
    <w:rsid w:val="003C486B"/>
    <w:rsid w:val="003C4E7B"/>
    <w:rsid w:val="003C5112"/>
    <w:rsid w:val="003C5195"/>
    <w:rsid w:val="003C51C6"/>
    <w:rsid w:val="003C5223"/>
    <w:rsid w:val="003C5299"/>
    <w:rsid w:val="003C53D2"/>
    <w:rsid w:val="003C56BE"/>
    <w:rsid w:val="003C57F4"/>
    <w:rsid w:val="003C5805"/>
    <w:rsid w:val="003C59C5"/>
    <w:rsid w:val="003C5CAA"/>
    <w:rsid w:val="003C5F37"/>
    <w:rsid w:val="003C6327"/>
    <w:rsid w:val="003C633C"/>
    <w:rsid w:val="003C6C57"/>
    <w:rsid w:val="003C6F04"/>
    <w:rsid w:val="003C72EC"/>
    <w:rsid w:val="003C73C2"/>
    <w:rsid w:val="003C74DF"/>
    <w:rsid w:val="003C77E0"/>
    <w:rsid w:val="003C7C19"/>
    <w:rsid w:val="003C7CE4"/>
    <w:rsid w:val="003C7E80"/>
    <w:rsid w:val="003D0736"/>
    <w:rsid w:val="003D08F9"/>
    <w:rsid w:val="003D117A"/>
    <w:rsid w:val="003D13CB"/>
    <w:rsid w:val="003D14D8"/>
    <w:rsid w:val="003D17AF"/>
    <w:rsid w:val="003D17D7"/>
    <w:rsid w:val="003D1A2A"/>
    <w:rsid w:val="003D1ABE"/>
    <w:rsid w:val="003D1BC3"/>
    <w:rsid w:val="003D218E"/>
    <w:rsid w:val="003D2678"/>
    <w:rsid w:val="003D27CE"/>
    <w:rsid w:val="003D2AC7"/>
    <w:rsid w:val="003D2EB9"/>
    <w:rsid w:val="003D2FDB"/>
    <w:rsid w:val="003D303B"/>
    <w:rsid w:val="003D338A"/>
    <w:rsid w:val="003D36E8"/>
    <w:rsid w:val="003D36EB"/>
    <w:rsid w:val="003D393D"/>
    <w:rsid w:val="003D3EC5"/>
    <w:rsid w:val="003D4180"/>
    <w:rsid w:val="003D4480"/>
    <w:rsid w:val="003D489D"/>
    <w:rsid w:val="003D49DB"/>
    <w:rsid w:val="003D5167"/>
    <w:rsid w:val="003D52C4"/>
    <w:rsid w:val="003D544E"/>
    <w:rsid w:val="003D5A30"/>
    <w:rsid w:val="003D60E9"/>
    <w:rsid w:val="003D67D1"/>
    <w:rsid w:val="003D6A08"/>
    <w:rsid w:val="003D6E36"/>
    <w:rsid w:val="003D708B"/>
    <w:rsid w:val="003D712D"/>
    <w:rsid w:val="003D71A3"/>
    <w:rsid w:val="003D7A67"/>
    <w:rsid w:val="003D7D87"/>
    <w:rsid w:val="003E0048"/>
    <w:rsid w:val="003E008F"/>
    <w:rsid w:val="003E042C"/>
    <w:rsid w:val="003E1368"/>
    <w:rsid w:val="003E146C"/>
    <w:rsid w:val="003E1A32"/>
    <w:rsid w:val="003E1AFE"/>
    <w:rsid w:val="003E1EA8"/>
    <w:rsid w:val="003E23D2"/>
    <w:rsid w:val="003E2450"/>
    <w:rsid w:val="003E2B8A"/>
    <w:rsid w:val="003E2FDA"/>
    <w:rsid w:val="003E3415"/>
    <w:rsid w:val="003E34DF"/>
    <w:rsid w:val="003E3A10"/>
    <w:rsid w:val="003E412D"/>
    <w:rsid w:val="003E4326"/>
    <w:rsid w:val="003E45D6"/>
    <w:rsid w:val="003E4714"/>
    <w:rsid w:val="003E4794"/>
    <w:rsid w:val="003E4C51"/>
    <w:rsid w:val="003E4EEF"/>
    <w:rsid w:val="003E4F40"/>
    <w:rsid w:val="003E5CDC"/>
    <w:rsid w:val="003E5FFD"/>
    <w:rsid w:val="003E6456"/>
    <w:rsid w:val="003E6DC5"/>
    <w:rsid w:val="003E6EE7"/>
    <w:rsid w:val="003E7FDB"/>
    <w:rsid w:val="003F0084"/>
    <w:rsid w:val="003F010C"/>
    <w:rsid w:val="003F01EA"/>
    <w:rsid w:val="003F02A4"/>
    <w:rsid w:val="003F04AC"/>
    <w:rsid w:val="003F05B2"/>
    <w:rsid w:val="003F065F"/>
    <w:rsid w:val="003F087D"/>
    <w:rsid w:val="003F0B4E"/>
    <w:rsid w:val="003F0FEB"/>
    <w:rsid w:val="003F10EE"/>
    <w:rsid w:val="003F15AD"/>
    <w:rsid w:val="003F16F6"/>
    <w:rsid w:val="003F1AF4"/>
    <w:rsid w:val="003F1C55"/>
    <w:rsid w:val="003F1E2B"/>
    <w:rsid w:val="003F2105"/>
    <w:rsid w:val="003F2386"/>
    <w:rsid w:val="003F2535"/>
    <w:rsid w:val="003F262C"/>
    <w:rsid w:val="003F2C20"/>
    <w:rsid w:val="003F2CB5"/>
    <w:rsid w:val="003F2E0A"/>
    <w:rsid w:val="003F2E5F"/>
    <w:rsid w:val="003F36AF"/>
    <w:rsid w:val="003F37EC"/>
    <w:rsid w:val="003F3915"/>
    <w:rsid w:val="003F3981"/>
    <w:rsid w:val="003F3DB6"/>
    <w:rsid w:val="003F3F2C"/>
    <w:rsid w:val="003F400D"/>
    <w:rsid w:val="003F4390"/>
    <w:rsid w:val="003F44CC"/>
    <w:rsid w:val="003F47CF"/>
    <w:rsid w:val="003F4815"/>
    <w:rsid w:val="003F4845"/>
    <w:rsid w:val="003F4CE3"/>
    <w:rsid w:val="003F4DC7"/>
    <w:rsid w:val="003F50B5"/>
    <w:rsid w:val="003F5235"/>
    <w:rsid w:val="003F54D8"/>
    <w:rsid w:val="003F5B54"/>
    <w:rsid w:val="003F5FD2"/>
    <w:rsid w:val="003F60DC"/>
    <w:rsid w:val="003F6249"/>
    <w:rsid w:val="003F6326"/>
    <w:rsid w:val="003F6CF9"/>
    <w:rsid w:val="003F6D0A"/>
    <w:rsid w:val="003F6E24"/>
    <w:rsid w:val="003F6F35"/>
    <w:rsid w:val="003F7142"/>
    <w:rsid w:val="003F7276"/>
    <w:rsid w:val="003F728E"/>
    <w:rsid w:val="003F74DB"/>
    <w:rsid w:val="003F764A"/>
    <w:rsid w:val="003F773D"/>
    <w:rsid w:val="003F78FA"/>
    <w:rsid w:val="003F7A10"/>
    <w:rsid w:val="003F7D81"/>
    <w:rsid w:val="004005F1"/>
    <w:rsid w:val="00400742"/>
    <w:rsid w:val="00400744"/>
    <w:rsid w:val="00400757"/>
    <w:rsid w:val="004009CF"/>
    <w:rsid w:val="00400AEC"/>
    <w:rsid w:val="00400C8A"/>
    <w:rsid w:val="00401164"/>
    <w:rsid w:val="00401214"/>
    <w:rsid w:val="0040140B"/>
    <w:rsid w:val="00401691"/>
    <w:rsid w:val="0040195B"/>
    <w:rsid w:val="004020C8"/>
    <w:rsid w:val="0040233C"/>
    <w:rsid w:val="004023F3"/>
    <w:rsid w:val="004027E4"/>
    <w:rsid w:val="00403132"/>
    <w:rsid w:val="004038CB"/>
    <w:rsid w:val="00403AEE"/>
    <w:rsid w:val="00403B8E"/>
    <w:rsid w:val="00403F7C"/>
    <w:rsid w:val="004044A4"/>
    <w:rsid w:val="004044DE"/>
    <w:rsid w:val="0040477E"/>
    <w:rsid w:val="004047E2"/>
    <w:rsid w:val="00404812"/>
    <w:rsid w:val="0040484D"/>
    <w:rsid w:val="00404925"/>
    <w:rsid w:val="00404A37"/>
    <w:rsid w:val="004056DB"/>
    <w:rsid w:val="004056F1"/>
    <w:rsid w:val="00405976"/>
    <w:rsid w:val="004065FE"/>
    <w:rsid w:val="00406715"/>
    <w:rsid w:val="00406E3C"/>
    <w:rsid w:val="00407211"/>
    <w:rsid w:val="004072D4"/>
    <w:rsid w:val="00407A7D"/>
    <w:rsid w:val="00407A93"/>
    <w:rsid w:val="00407F6A"/>
    <w:rsid w:val="0041071D"/>
    <w:rsid w:val="004107F4"/>
    <w:rsid w:val="00410967"/>
    <w:rsid w:val="00410E74"/>
    <w:rsid w:val="004112A0"/>
    <w:rsid w:val="00411395"/>
    <w:rsid w:val="0041141F"/>
    <w:rsid w:val="00411827"/>
    <w:rsid w:val="00411BC6"/>
    <w:rsid w:val="00411E2F"/>
    <w:rsid w:val="00412199"/>
    <w:rsid w:val="00412233"/>
    <w:rsid w:val="00412694"/>
    <w:rsid w:val="004126E0"/>
    <w:rsid w:val="00412719"/>
    <w:rsid w:val="00412DFA"/>
    <w:rsid w:val="00413661"/>
    <w:rsid w:val="00413AB1"/>
    <w:rsid w:val="00413B99"/>
    <w:rsid w:val="00413C82"/>
    <w:rsid w:val="00413F40"/>
    <w:rsid w:val="00414272"/>
    <w:rsid w:val="004145F0"/>
    <w:rsid w:val="00414ADD"/>
    <w:rsid w:val="00414AFC"/>
    <w:rsid w:val="00414CEC"/>
    <w:rsid w:val="00414D5B"/>
    <w:rsid w:val="00414E7D"/>
    <w:rsid w:val="004151A7"/>
    <w:rsid w:val="00415310"/>
    <w:rsid w:val="004154A7"/>
    <w:rsid w:val="00415B00"/>
    <w:rsid w:val="00416122"/>
    <w:rsid w:val="004162EE"/>
    <w:rsid w:val="00416DDD"/>
    <w:rsid w:val="00417444"/>
    <w:rsid w:val="00417460"/>
    <w:rsid w:val="00417F15"/>
    <w:rsid w:val="00420447"/>
    <w:rsid w:val="004209B8"/>
    <w:rsid w:val="00420AF1"/>
    <w:rsid w:val="00421045"/>
    <w:rsid w:val="004210B3"/>
    <w:rsid w:val="0042169A"/>
    <w:rsid w:val="00421709"/>
    <w:rsid w:val="00421764"/>
    <w:rsid w:val="004218A5"/>
    <w:rsid w:val="00421B77"/>
    <w:rsid w:val="00421F79"/>
    <w:rsid w:val="0042202E"/>
    <w:rsid w:val="00422082"/>
    <w:rsid w:val="00422508"/>
    <w:rsid w:val="004225BE"/>
    <w:rsid w:val="0042298D"/>
    <w:rsid w:val="00422A2D"/>
    <w:rsid w:val="00422C50"/>
    <w:rsid w:val="004235B0"/>
    <w:rsid w:val="00423763"/>
    <w:rsid w:val="004237F7"/>
    <w:rsid w:val="00423FF6"/>
    <w:rsid w:val="004247E9"/>
    <w:rsid w:val="00424A86"/>
    <w:rsid w:val="00425044"/>
    <w:rsid w:val="004256B8"/>
    <w:rsid w:val="00425CB4"/>
    <w:rsid w:val="004261D9"/>
    <w:rsid w:val="0042623E"/>
    <w:rsid w:val="004267B1"/>
    <w:rsid w:val="00426A6B"/>
    <w:rsid w:val="00426CED"/>
    <w:rsid w:val="00426DEE"/>
    <w:rsid w:val="00426E0F"/>
    <w:rsid w:val="00426FB9"/>
    <w:rsid w:val="004270EA"/>
    <w:rsid w:val="0042762F"/>
    <w:rsid w:val="00427738"/>
    <w:rsid w:val="00427B8B"/>
    <w:rsid w:val="00427DC7"/>
    <w:rsid w:val="00427F6F"/>
    <w:rsid w:val="004300CC"/>
    <w:rsid w:val="004304A7"/>
    <w:rsid w:val="004304CE"/>
    <w:rsid w:val="0043070C"/>
    <w:rsid w:val="00430949"/>
    <w:rsid w:val="0043099E"/>
    <w:rsid w:val="004309F4"/>
    <w:rsid w:val="00430C8C"/>
    <w:rsid w:val="00430CA1"/>
    <w:rsid w:val="00430FA9"/>
    <w:rsid w:val="0043120C"/>
    <w:rsid w:val="0043127B"/>
    <w:rsid w:val="00431557"/>
    <w:rsid w:val="004315F8"/>
    <w:rsid w:val="00431613"/>
    <w:rsid w:val="00431792"/>
    <w:rsid w:val="0043197D"/>
    <w:rsid w:val="00431C2F"/>
    <w:rsid w:val="0043210F"/>
    <w:rsid w:val="004321C1"/>
    <w:rsid w:val="004322F8"/>
    <w:rsid w:val="004323E7"/>
    <w:rsid w:val="0043247C"/>
    <w:rsid w:val="00432720"/>
    <w:rsid w:val="00432744"/>
    <w:rsid w:val="00432965"/>
    <w:rsid w:val="0043297A"/>
    <w:rsid w:val="00432EB2"/>
    <w:rsid w:val="00432F0E"/>
    <w:rsid w:val="00433DE1"/>
    <w:rsid w:val="00433E20"/>
    <w:rsid w:val="00433E6F"/>
    <w:rsid w:val="00433F49"/>
    <w:rsid w:val="004341BD"/>
    <w:rsid w:val="0043437C"/>
    <w:rsid w:val="00434394"/>
    <w:rsid w:val="004344B9"/>
    <w:rsid w:val="0043474B"/>
    <w:rsid w:val="00434B7D"/>
    <w:rsid w:val="00434FEC"/>
    <w:rsid w:val="0043530A"/>
    <w:rsid w:val="004353F5"/>
    <w:rsid w:val="004354D7"/>
    <w:rsid w:val="004358DC"/>
    <w:rsid w:val="0043607A"/>
    <w:rsid w:val="00436307"/>
    <w:rsid w:val="004366F8"/>
    <w:rsid w:val="0043675A"/>
    <w:rsid w:val="004367C2"/>
    <w:rsid w:val="0043714F"/>
    <w:rsid w:val="004377B4"/>
    <w:rsid w:val="0043797C"/>
    <w:rsid w:val="00437AFF"/>
    <w:rsid w:val="00440848"/>
    <w:rsid w:val="00440F48"/>
    <w:rsid w:val="00441169"/>
    <w:rsid w:val="004412DF"/>
    <w:rsid w:val="00441793"/>
    <w:rsid w:val="00441C20"/>
    <w:rsid w:val="00441D58"/>
    <w:rsid w:val="00442322"/>
    <w:rsid w:val="00442D18"/>
    <w:rsid w:val="0044329E"/>
    <w:rsid w:val="004432B0"/>
    <w:rsid w:val="00443399"/>
    <w:rsid w:val="004435B8"/>
    <w:rsid w:val="004438B5"/>
    <w:rsid w:val="00443920"/>
    <w:rsid w:val="004440E5"/>
    <w:rsid w:val="00444193"/>
    <w:rsid w:val="004448B0"/>
    <w:rsid w:val="004450D6"/>
    <w:rsid w:val="00445167"/>
    <w:rsid w:val="0044568B"/>
    <w:rsid w:val="004456BE"/>
    <w:rsid w:val="004459CA"/>
    <w:rsid w:val="00445B2E"/>
    <w:rsid w:val="00445EB4"/>
    <w:rsid w:val="004461D3"/>
    <w:rsid w:val="00446484"/>
    <w:rsid w:val="0044683C"/>
    <w:rsid w:val="00446A4D"/>
    <w:rsid w:val="00446B5F"/>
    <w:rsid w:val="00446F04"/>
    <w:rsid w:val="00446F16"/>
    <w:rsid w:val="00447037"/>
    <w:rsid w:val="0044724D"/>
    <w:rsid w:val="00447279"/>
    <w:rsid w:val="004476D1"/>
    <w:rsid w:val="00447C0F"/>
    <w:rsid w:val="00447CC6"/>
    <w:rsid w:val="00447D07"/>
    <w:rsid w:val="004503FE"/>
    <w:rsid w:val="0045059F"/>
    <w:rsid w:val="0045084B"/>
    <w:rsid w:val="00450C98"/>
    <w:rsid w:val="00450C9E"/>
    <w:rsid w:val="00450DDA"/>
    <w:rsid w:val="00450E75"/>
    <w:rsid w:val="00450F25"/>
    <w:rsid w:val="0045124D"/>
    <w:rsid w:val="0045144B"/>
    <w:rsid w:val="00451DFC"/>
    <w:rsid w:val="00451E28"/>
    <w:rsid w:val="00452039"/>
    <w:rsid w:val="004520C2"/>
    <w:rsid w:val="00452409"/>
    <w:rsid w:val="00452923"/>
    <w:rsid w:val="00452E08"/>
    <w:rsid w:val="004532EF"/>
    <w:rsid w:val="0045346B"/>
    <w:rsid w:val="00453527"/>
    <w:rsid w:val="0045374F"/>
    <w:rsid w:val="0045397D"/>
    <w:rsid w:val="00453CAA"/>
    <w:rsid w:val="00453DD5"/>
    <w:rsid w:val="00454596"/>
    <w:rsid w:val="00454693"/>
    <w:rsid w:val="0045489A"/>
    <w:rsid w:val="00454B4C"/>
    <w:rsid w:val="0045530D"/>
    <w:rsid w:val="0045536B"/>
    <w:rsid w:val="00455AEA"/>
    <w:rsid w:val="00455D82"/>
    <w:rsid w:val="00455F7A"/>
    <w:rsid w:val="0045605D"/>
    <w:rsid w:val="00456142"/>
    <w:rsid w:val="0045657E"/>
    <w:rsid w:val="0045680F"/>
    <w:rsid w:val="0045683B"/>
    <w:rsid w:val="00456B01"/>
    <w:rsid w:val="00456C6B"/>
    <w:rsid w:val="00456D1C"/>
    <w:rsid w:val="00456EA6"/>
    <w:rsid w:val="00456FF5"/>
    <w:rsid w:val="004576B4"/>
    <w:rsid w:val="004577AE"/>
    <w:rsid w:val="0045783E"/>
    <w:rsid w:val="00457BC0"/>
    <w:rsid w:val="00457E40"/>
    <w:rsid w:val="004602AC"/>
    <w:rsid w:val="004606E2"/>
    <w:rsid w:val="00460C37"/>
    <w:rsid w:val="00460D27"/>
    <w:rsid w:val="00461182"/>
    <w:rsid w:val="00461260"/>
    <w:rsid w:val="004612AB"/>
    <w:rsid w:val="0046135B"/>
    <w:rsid w:val="004613FD"/>
    <w:rsid w:val="0046165E"/>
    <w:rsid w:val="00461879"/>
    <w:rsid w:val="00461D47"/>
    <w:rsid w:val="00462023"/>
    <w:rsid w:val="004621C7"/>
    <w:rsid w:val="004624AA"/>
    <w:rsid w:val="004626C6"/>
    <w:rsid w:val="0046310C"/>
    <w:rsid w:val="0046333C"/>
    <w:rsid w:val="00463444"/>
    <w:rsid w:val="0046354B"/>
    <w:rsid w:val="00463867"/>
    <w:rsid w:val="00463FE7"/>
    <w:rsid w:val="0046407D"/>
    <w:rsid w:val="00464081"/>
    <w:rsid w:val="0046417F"/>
    <w:rsid w:val="004649E6"/>
    <w:rsid w:val="004651B9"/>
    <w:rsid w:val="0046534D"/>
    <w:rsid w:val="004658E4"/>
    <w:rsid w:val="00465C5F"/>
    <w:rsid w:val="00465F2C"/>
    <w:rsid w:val="0046607F"/>
    <w:rsid w:val="004661DD"/>
    <w:rsid w:val="004661EE"/>
    <w:rsid w:val="00466ABD"/>
    <w:rsid w:val="00466C92"/>
    <w:rsid w:val="0046730C"/>
    <w:rsid w:val="004674A7"/>
    <w:rsid w:val="00467803"/>
    <w:rsid w:val="00467A6D"/>
    <w:rsid w:val="00470053"/>
    <w:rsid w:val="00470286"/>
    <w:rsid w:val="004705DF"/>
    <w:rsid w:val="004706BA"/>
    <w:rsid w:val="00470BF0"/>
    <w:rsid w:val="00471082"/>
    <w:rsid w:val="00471224"/>
    <w:rsid w:val="004712DE"/>
    <w:rsid w:val="004718CC"/>
    <w:rsid w:val="00471B76"/>
    <w:rsid w:val="00472124"/>
    <w:rsid w:val="004728E3"/>
    <w:rsid w:val="00472A3B"/>
    <w:rsid w:val="00472C65"/>
    <w:rsid w:val="00472D18"/>
    <w:rsid w:val="00472D29"/>
    <w:rsid w:val="00472D64"/>
    <w:rsid w:val="004731C9"/>
    <w:rsid w:val="00473294"/>
    <w:rsid w:val="004733C8"/>
    <w:rsid w:val="004739A5"/>
    <w:rsid w:val="004739F6"/>
    <w:rsid w:val="00473BA6"/>
    <w:rsid w:val="00473D54"/>
    <w:rsid w:val="00473DBC"/>
    <w:rsid w:val="00473DFE"/>
    <w:rsid w:val="004744A8"/>
    <w:rsid w:val="004748C9"/>
    <w:rsid w:val="004749DA"/>
    <w:rsid w:val="004749E5"/>
    <w:rsid w:val="00474B5B"/>
    <w:rsid w:val="00474F04"/>
    <w:rsid w:val="00475017"/>
    <w:rsid w:val="00475234"/>
    <w:rsid w:val="00475482"/>
    <w:rsid w:val="004756A0"/>
    <w:rsid w:val="00475B9B"/>
    <w:rsid w:val="00475DD8"/>
    <w:rsid w:val="004761AA"/>
    <w:rsid w:val="00476D2D"/>
    <w:rsid w:val="00476EE4"/>
    <w:rsid w:val="004770C9"/>
    <w:rsid w:val="004772D5"/>
    <w:rsid w:val="00477521"/>
    <w:rsid w:val="0047758C"/>
    <w:rsid w:val="0048015B"/>
    <w:rsid w:val="004806DF"/>
    <w:rsid w:val="00480861"/>
    <w:rsid w:val="00480932"/>
    <w:rsid w:val="00480C97"/>
    <w:rsid w:val="00480DD6"/>
    <w:rsid w:val="0048105F"/>
    <w:rsid w:val="004813B4"/>
    <w:rsid w:val="00481695"/>
    <w:rsid w:val="00481954"/>
    <w:rsid w:val="00481C4E"/>
    <w:rsid w:val="0048237D"/>
    <w:rsid w:val="00482472"/>
    <w:rsid w:val="0048290A"/>
    <w:rsid w:val="00482A06"/>
    <w:rsid w:val="00482C66"/>
    <w:rsid w:val="00482CC2"/>
    <w:rsid w:val="00482F90"/>
    <w:rsid w:val="004830FF"/>
    <w:rsid w:val="0048317C"/>
    <w:rsid w:val="004833BA"/>
    <w:rsid w:val="00483645"/>
    <w:rsid w:val="00483D7A"/>
    <w:rsid w:val="00483DDE"/>
    <w:rsid w:val="00483F4E"/>
    <w:rsid w:val="0048417C"/>
    <w:rsid w:val="004846BB"/>
    <w:rsid w:val="004846DB"/>
    <w:rsid w:val="00484994"/>
    <w:rsid w:val="00484D69"/>
    <w:rsid w:val="00484FDA"/>
    <w:rsid w:val="00485232"/>
    <w:rsid w:val="0048533C"/>
    <w:rsid w:val="004855CA"/>
    <w:rsid w:val="00485A56"/>
    <w:rsid w:val="00485DA9"/>
    <w:rsid w:val="00486031"/>
    <w:rsid w:val="004864E8"/>
    <w:rsid w:val="00486A03"/>
    <w:rsid w:val="00486B56"/>
    <w:rsid w:val="00486C7E"/>
    <w:rsid w:val="00486C89"/>
    <w:rsid w:val="00486DFD"/>
    <w:rsid w:val="00486FCD"/>
    <w:rsid w:val="0048709F"/>
    <w:rsid w:val="0048739F"/>
    <w:rsid w:val="00487C57"/>
    <w:rsid w:val="00487CD5"/>
    <w:rsid w:val="004905C6"/>
    <w:rsid w:val="00490A2C"/>
    <w:rsid w:val="00490E27"/>
    <w:rsid w:val="004914A6"/>
    <w:rsid w:val="00491696"/>
    <w:rsid w:val="00491A27"/>
    <w:rsid w:val="00491D9B"/>
    <w:rsid w:val="00491E80"/>
    <w:rsid w:val="00492178"/>
    <w:rsid w:val="00492486"/>
    <w:rsid w:val="004924B8"/>
    <w:rsid w:val="00492994"/>
    <w:rsid w:val="00492B94"/>
    <w:rsid w:val="00492FDB"/>
    <w:rsid w:val="0049301B"/>
    <w:rsid w:val="0049324E"/>
    <w:rsid w:val="004932CB"/>
    <w:rsid w:val="00493358"/>
    <w:rsid w:val="004935D7"/>
    <w:rsid w:val="0049381E"/>
    <w:rsid w:val="00493A91"/>
    <w:rsid w:val="00494738"/>
    <w:rsid w:val="004949C8"/>
    <w:rsid w:val="00494A9D"/>
    <w:rsid w:val="00494FD0"/>
    <w:rsid w:val="0049591F"/>
    <w:rsid w:val="00495990"/>
    <w:rsid w:val="00495A96"/>
    <w:rsid w:val="00495BB3"/>
    <w:rsid w:val="00495CA3"/>
    <w:rsid w:val="00495D7F"/>
    <w:rsid w:val="00495EC2"/>
    <w:rsid w:val="004960FC"/>
    <w:rsid w:val="00496115"/>
    <w:rsid w:val="004965E4"/>
    <w:rsid w:val="00496805"/>
    <w:rsid w:val="00496959"/>
    <w:rsid w:val="00496ABD"/>
    <w:rsid w:val="00497977"/>
    <w:rsid w:val="00497B2B"/>
    <w:rsid w:val="00497CCB"/>
    <w:rsid w:val="004A0AF6"/>
    <w:rsid w:val="004A0C42"/>
    <w:rsid w:val="004A0CA5"/>
    <w:rsid w:val="004A1435"/>
    <w:rsid w:val="004A1B21"/>
    <w:rsid w:val="004A21A4"/>
    <w:rsid w:val="004A22C7"/>
    <w:rsid w:val="004A289C"/>
    <w:rsid w:val="004A2BBD"/>
    <w:rsid w:val="004A31B7"/>
    <w:rsid w:val="004A34F2"/>
    <w:rsid w:val="004A356B"/>
    <w:rsid w:val="004A3626"/>
    <w:rsid w:val="004A3809"/>
    <w:rsid w:val="004A3B03"/>
    <w:rsid w:val="004A3E00"/>
    <w:rsid w:val="004A40D4"/>
    <w:rsid w:val="004A4280"/>
    <w:rsid w:val="004A44CA"/>
    <w:rsid w:val="004A4777"/>
    <w:rsid w:val="004A55C6"/>
    <w:rsid w:val="004A56BB"/>
    <w:rsid w:val="004A588E"/>
    <w:rsid w:val="004A5B28"/>
    <w:rsid w:val="004A5B77"/>
    <w:rsid w:val="004A5E16"/>
    <w:rsid w:val="004A6492"/>
    <w:rsid w:val="004A64B8"/>
    <w:rsid w:val="004A65F9"/>
    <w:rsid w:val="004A6870"/>
    <w:rsid w:val="004A6A7E"/>
    <w:rsid w:val="004A6CDC"/>
    <w:rsid w:val="004A6DE1"/>
    <w:rsid w:val="004A70D6"/>
    <w:rsid w:val="004A70E6"/>
    <w:rsid w:val="004A778B"/>
    <w:rsid w:val="004A7A53"/>
    <w:rsid w:val="004B0760"/>
    <w:rsid w:val="004B08D6"/>
    <w:rsid w:val="004B0D7C"/>
    <w:rsid w:val="004B0E0A"/>
    <w:rsid w:val="004B0ECA"/>
    <w:rsid w:val="004B0FFE"/>
    <w:rsid w:val="004B13AB"/>
    <w:rsid w:val="004B169D"/>
    <w:rsid w:val="004B1751"/>
    <w:rsid w:val="004B1CE4"/>
    <w:rsid w:val="004B1D4E"/>
    <w:rsid w:val="004B210B"/>
    <w:rsid w:val="004B2165"/>
    <w:rsid w:val="004B2699"/>
    <w:rsid w:val="004B2AD9"/>
    <w:rsid w:val="004B2B09"/>
    <w:rsid w:val="004B32EA"/>
    <w:rsid w:val="004B3319"/>
    <w:rsid w:val="004B3518"/>
    <w:rsid w:val="004B370D"/>
    <w:rsid w:val="004B38A4"/>
    <w:rsid w:val="004B3944"/>
    <w:rsid w:val="004B3AFA"/>
    <w:rsid w:val="004B3CFA"/>
    <w:rsid w:val="004B42CA"/>
    <w:rsid w:val="004B4543"/>
    <w:rsid w:val="004B4824"/>
    <w:rsid w:val="004B4952"/>
    <w:rsid w:val="004B4FC5"/>
    <w:rsid w:val="004B5027"/>
    <w:rsid w:val="004B514D"/>
    <w:rsid w:val="004B52D8"/>
    <w:rsid w:val="004B5600"/>
    <w:rsid w:val="004B5802"/>
    <w:rsid w:val="004B5DC8"/>
    <w:rsid w:val="004B5E12"/>
    <w:rsid w:val="004B616D"/>
    <w:rsid w:val="004B62F0"/>
    <w:rsid w:val="004B6394"/>
    <w:rsid w:val="004B655F"/>
    <w:rsid w:val="004B6618"/>
    <w:rsid w:val="004B66E7"/>
    <w:rsid w:val="004B68F8"/>
    <w:rsid w:val="004B7213"/>
    <w:rsid w:val="004C0253"/>
    <w:rsid w:val="004C0452"/>
    <w:rsid w:val="004C072B"/>
    <w:rsid w:val="004C08E6"/>
    <w:rsid w:val="004C0DA1"/>
    <w:rsid w:val="004C0EAE"/>
    <w:rsid w:val="004C1057"/>
    <w:rsid w:val="004C1B3D"/>
    <w:rsid w:val="004C1FA7"/>
    <w:rsid w:val="004C1FEC"/>
    <w:rsid w:val="004C24EE"/>
    <w:rsid w:val="004C2C6A"/>
    <w:rsid w:val="004C30AF"/>
    <w:rsid w:val="004C3140"/>
    <w:rsid w:val="004C3609"/>
    <w:rsid w:val="004C4044"/>
    <w:rsid w:val="004C416F"/>
    <w:rsid w:val="004C447B"/>
    <w:rsid w:val="004C4C98"/>
    <w:rsid w:val="004C4DC5"/>
    <w:rsid w:val="004C4E1E"/>
    <w:rsid w:val="004C4E40"/>
    <w:rsid w:val="004C4EC4"/>
    <w:rsid w:val="004C4F82"/>
    <w:rsid w:val="004C52BB"/>
    <w:rsid w:val="004C5306"/>
    <w:rsid w:val="004C5338"/>
    <w:rsid w:val="004C5421"/>
    <w:rsid w:val="004C610D"/>
    <w:rsid w:val="004C61EA"/>
    <w:rsid w:val="004C6430"/>
    <w:rsid w:val="004C6875"/>
    <w:rsid w:val="004C6C89"/>
    <w:rsid w:val="004C7AB5"/>
    <w:rsid w:val="004D004C"/>
    <w:rsid w:val="004D00F1"/>
    <w:rsid w:val="004D051C"/>
    <w:rsid w:val="004D064A"/>
    <w:rsid w:val="004D08B1"/>
    <w:rsid w:val="004D0AE1"/>
    <w:rsid w:val="004D1605"/>
    <w:rsid w:val="004D1746"/>
    <w:rsid w:val="004D19A1"/>
    <w:rsid w:val="004D1FF3"/>
    <w:rsid w:val="004D2897"/>
    <w:rsid w:val="004D28A2"/>
    <w:rsid w:val="004D29C2"/>
    <w:rsid w:val="004D2A3A"/>
    <w:rsid w:val="004D2E73"/>
    <w:rsid w:val="004D3151"/>
    <w:rsid w:val="004D33B0"/>
    <w:rsid w:val="004D3404"/>
    <w:rsid w:val="004D344A"/>
    <w:rsid w:val="004D3C60"/>
    <w:rsid w:val="004D4005"/>
    <w:rsid w:val="004D43DB"/>
    <w:rsid w:val="004D478B"/>
    <w:rsid w:val="004D4AFD"/>
    <w:rsid w:val="004D4CE6"/>
    <w:rsid w:val="004D5005"/>
    <w:rsid w:val="004D53D5"/>
    <w:rsid w:val="004D55FD"/>
    <w:rsid w:val="004D56FF"/>
    <w:rsid w:val="004D5D79"/>
    <w:rsid w:val="004D5FCD"/>
    <w:rsid w:val="004D62C4"/>
    <w:rsid w:val="004D685B"/>
    <w:rsid w:val="004D6A13"/>
    <w:rsid w:val="004D6A25"/>
    <w:rsid w:val="004D6C90"/>
    <w:rsid w:val="004D6D55"/>
    <w:rsid w:val="004D7087"/>
    <w:rsid w:val="004D73A4"/>
    <w:rsid w:val="004D74EB"/>
    <w:rsid w:val="004D7927"/>
    <w:rsid w:val="004D7EA6"/>
    <w:rsid w:val="004E0169"/>
    <w:rsid w:val="004E06E2"/>
    <w:rsid w:val="004E0872"/>
    <w:rsid w:val="004E08E8"/>
    <w:rsid w:val="004E08FC"/>
    <w:rsid w:val="004E0CA3"/>
    <w:rsid w:val="004E0DED"/>
    <w:rsid w:val="004E1064"/>
    <w:rsid w:val="004E1391"/>
    <w:rsid w:val="004E14C4"/>
    <w:rsid w:val="004E1845"/>
    <w:rsid w:val="004E187E"/>
    <w:rsid w:val="004E2904"/>
    <w:rsid w:val="004E2B6E"/>
    <w:rsid w:val="004E2D6A"/>
    <w:rsid w:val="004E2FA7"/>
    <w:rsid w:val="004E30DC"/>
    <w:rsid w:val="004E3296"/>
    <w:rsid w:val="004E34D3"/>
    <w:rsid w:val="004E35D8"/>
    <w:rsid w:val="004E399D"/>
    <w:rsid w:val="004E39D3"/>
    <w:rsid w:val="004E3B27"/>
    <w:rsid w:val="004E3DC3"/>
    <w:rsid w:val="004E3EC9"/>
    <w:rsid w:val="004E3FEB"/>
    <w:rsid w:val="004E4321"/>
    <w:rsid w:val="004E48E5"/>
    <w:rsid w:val="004E492D"/>
    <w:rsid w:val="004E494C"/>
    <w:rsid w:val="004E4E9E"/>
    <w:rsid w:val="004E4EC5"/>
    <w:rsid w:val="004E5058"/>
    <w:rsid w:val="004E508A"/>
    <w:rsid w:val="004E51C9"/>
    <w:rsid w:val="004E572C"/>
    <w:rsid w:val="004E5F9E"/>
    <w:rsid w:val="004E616D"/>
    <w:rsid w:val="004E6236"/>
    <w:rsid w:val="004E64AA"/>
    <w:rsid w:val="004E653B"/>
    <w:rsid w:val="004E6668"/>
    <w:rsid w:val="004E6B83"/>
    <w:rsid w:val="004E6D18"/>
    <w:rsid w:val="004E78B0"/>
    <w:rsid w:val="004E78FA"/>
    <w:rsid w:val="004E7CF3"/>
    <w:rsid w:val="004F0236"/>
    <w:rsid w:val="004F064C"/>
    <w:rsid w:val="004F06F5"/>
    <w:rsid w:val="004F085A"/>
    <w:rsid w:val="004F085E"/>
    <w:rsid w:val="004F0879"/>
    <w:rsid w:val="004F09ED"/>
    <w:rsid w:val="004F0B4C"/>
    <w:rsid w:val="004F0CE2"/>
    <w:rsid w:val="004F160B"/>
    <w:rsid w:val="004F1630"/>
    <w:rsid w:val="004F19EA"/>
    <w:rsid w:val="004F1A67"/>
    <w:rsid w:val="004F1BDE"/>
    <w:rsid w:val="004F1E37"/>
    <w:rsid w:val="004F209D"/>
    <w:rsid w:val="004F24DB"/>
    <w:rsid w:val="004F25C0"/>
    <w:rsid w:val="004F272C"/>
    <w:rsid w:val="004F2787"/>
    <w:rsid w:val="004F2B55"/>
    <w:rsid w:val="004F2C16"/>
    <w:rsid w:val="004F2CEE"/>
    <w:rsid w:val="004F34DD"/>
    <w:rsid w:val="004F34FE"/>
    <w:rsid w:val="004F35A2"/>
    <w:rsid w:val="004F3942"/>
    <w:rsid w:val="004F3960"/>
    <w:rsid w:val="004F4335"/>
    <w:rsid w:val="004F4565"/>
    <w:rsid w:val="004F485F"/>
    <w:rsid w:val="004F4BF8"/>
    <w:rsid w:val="004F504C"/>
    <w:rsid w:val="004F5505"/>
    <w:rsid w:val="004F556E"/>
    <w:rsid w:val="004F56FD"/>
    <w:rsid w:val="004F5786"/>
    <w:rsid w:val="004F591C"/>
    <w:rsid w:val="004F61C9"/>
    <w:rsid w:val="004F6487"/>
    <w:rsid w:val="004F6B09"/>
    <w:rsid w:val="004F6DCA"/>
    <w:rsid w:val="004F712D"/>
    <w:rsid w:val="004F72F0"/>
    <w:rsid w:val="004F7328"/>
    <w:rsid w:val="004F74CF"/>
    <w:rsid w:val="004F75C2"/>
    <w:rsid w:val="004F79B7"/>
    <w:rsid w:val="004F7A78"/>
    <w:rsid w:val="004F7C8D"/>
    <w:rsid w:val="004F7F44"/>
    <w:rsid w:val="0050018B"/>
    <w:rsid w:val="00500378"/>
    <w:rsid w:val="005012E2"/>
    <w:rsid w:val="0050155E"/>
    <w:rsid w:val="0050186C"/>
    <w:rsid w:val="00501979"/>
    <w:rsid w:val="005022E4"/>
    <w:rsid w:val="00502946"/>
    <w:rsid w:val="00502960"/>
    <w:rsid w:val="005031CE"/>
    <w:rsid w:val="0050342E"/>
    <w:rsid w:val="0050358F"/>
    <w:rsid w:val="005035B2"/>
    <w:rsid w:val="005037B4"/>
    <w:rsid w:val="00503C06"/>
    <w:rsid w:val="00503FAF"/>
    <w:rsid w:val="00504220"/>
    <w:rsid w:val="00504246"/>
    <w:rsid w:val="005046BC"/>
    <w:rsid w:val="0050490E"/>
    <w:rsid w:val="005052E1"/>
    <w:rsid w:val="00505642"/>
    <w:rsid w:val="005056A2"/>
    <w:rsid w:val="00505D22"/>
    <w:rsid w:val="00505D48"/>
    <w:rsid w:val="005060A7"/>
    <w:rsid w:val="005061CF"/>
    <w:rsid w:val="00506269"/>
    <w:rsid w:val="00506328"/>
    <w:rsid w:val="00506510"/>
    <w:rsid w:val="005069B3"/>
    <w:rsid w:val="00506B03"/>
    <w:rsid w:val="00506CCF"/>
    <w:rsid w:val="00506CE1"/>
    <w:rsid w:val="00507768"/>
    <w:rsid w:val="005079BF"/>
    <w:rsid w:val="00510036"/>
    <w:rsid w:val="005107D4"/>
    <w:rsid w:val="00510B49"/>
    <w:rsid w:val="00510DED"/>
    <w:rsid w:val="00510EB3"/>
    <w:rsid w:val="00510EEC"/>
    <w:rsid w:val="00511548"/>
    <w:rsid w:val="005116DC"/>
    <w:rsid w:val="005118FB"/>
    <w:rsid w:val="00511BEA"/>
    <w:rsid w:val="005121B0"/>
    <w:rsid w:val="005124AF"/>
    <w:rsid w:val="00512686"/>
    <w:rsid w:val="0051269A"/>
    <w:rsid w:val="0051279B"/>
    <w:rsid w:val="00512832"/>
    <w:rsid w:val="00512974"/>
    <w:rsid w:val="00512CA2"/>
    <w:rsid w:val="00512E4C"/>
    <w:rsid w:val="005131CE"/>
    <w:rsid w:val="005136E6"/>
    <w:rsid w:val="00513BD9"/>
    <w:rsid w:val="0051423B"/>
    <w:rsid w:val="00515C63"/>
    <w:rsid w:val="00516443"/>
    <w:rsid w:val="0051652B"/>
    <w:rsid w:val="005169EA"/>
    <w:rsid w:val="00516ADE"/>
    <w:rsid w:val="00516DBA"/>
    <w:rsid w:val="00516F6E"/>
    <w:rsid w:val="005172C8"/>
    <w:rsid w:val="0051737B"/>
    <w:rsid w:val="00517CC0"/>
    <w:rsid w:val="00520028"/>
    <w:rsid w:val="00520176"/>
    <w:rsid w:val="005201BF"/>
    <w:rsid w:val="00520681"/>
    <w:rsid w:val="00520CDA"/>
    <w:rsid w:val="00520D98"/>
    <w:rsid w:val="005213E9"/>
    <w:rsid w:val="005216B6"/>
    <w:rsid w:val="005217D4"/>
    <w:rsid w:val="005217D8"/>
    <w:rsid w:val="005219E7"/>
    <w:rsid w:val="00521B52"/>
    <w:rsid w:val="00521CE0"/>
    <w:rsid w:val="00521FC4"/>
    <w:rsid w:val="00522420"/>
    <w:rsid w:val="00522861"/>
    <w:rsid w:val="00522A32"/>
    <w:rsid w:val="00522A63"/>
    <w:rsid w:val="00523627"/>
    <w:rsid w:val="005246B3"/>
    <w:rsid w:val="00524725"/>
    <w:rsid w:val="00524ABE"/>
    <w:rsid w:val="00524E19"/>
    <w:rsid w:val="0052536C"/>
    <w:rsid w:val="00525F60"/>
    <w:rsid w:val="005261FA"/>
    <w:rsid w:val="005265EC"/>
    <w:rsid w:val="0052661A"/>
    <w:rsid w:val="00526B3B"/>
    <w:rsid w:val="00526C13"/>
    <w:rsid w:val="00526DD4"/>
    <w:rsid w:val="00527B44"/>
    <w:rsid w:val="005301A8"/>
    <w:rsid w:val="00530526"/>
    <w:rsid w:val="005305AA"/>
    <w:rsid w:val="005309AE"/>
    <w:rsid w:val="00530BAB"/>
    <w:rsid w:val="00531064"/>
    <w:rsid w:val="0053132E"/>
    <w:rsid w:val="005314A1"/>
    <w:rsid w:val="0053150B"/>
    <w:rsid w:val="00531776"/>
    <w:rsid w:val="00531917"/>
    <w:rsid w:val="00531B9A"/>
    <w:rsid w:val="00531D15"/>
    <w:rsid w:val="0053204F"/>
    <w:rsid w:val="005320AA"/>
    <w:rsid w:val="00532A0E"/>
    <w:rsid w:val="00532A1F"/>
    <w:rsid w:val="00532A89"/>
    <w:rsid w:val="00532E60"/>
    <w:rsid w:val="00533064"/>
    <w:rsid w:val="00533258"/>
    <w:rsid w:val="005335DB"/>
    <w:rsid w:val="005336DF"/>
    <w:rsid w:val="005339F9"/>
    <w:rsid w:val="0053438A"/>
    <w:rsid w:val="0053438C"/>
    <w:rsid w:val="00534640"/>
    <w:rsid w:val="005346F9"/>
    <w:rsid w:val="00534702"/>
    <w:rsid w:val="0053490E"/>
    <w:rsid w:val="00534B49"/>
    <w:rsid w:val="00534DFB"/>
    <w:rsid w:val="00534FE0"/>
    <w:rsid w:val="00534FF9"/>
    <w:rsid w:val="00535641"/>
    <w:rsid w:val="0053564A"/>
    <w:rsid w:val="00535973"/>
    <w:rsid w:val="00535A49"/>
    <w:rsid w:val="00535AC5"/>
    <w:rsid w:val="00535D83"/>
    <w:rsid w:val="00535E62"/>
    <w:rsid w:val="00535F6E"/>
    <w:rsid w:val="00536569"/>
    <w:rsid w:val="0053682A"/>
    <w:rsid w:val="00536AF9"/>
    <w:rsid w:val="00537197"/>
    <w:rsid w:val="005375B8"/>
    <w:rsid w:val="00537604"/>
    <w:rsid w:val="00537D68"/>
    <w:rsid w:val="0054004B"/>
    <w:rsid w:val="00540A06"/>
    <w:rsid w:val="00540A85"/>
    <w:rsid w:val="00540BE2"/>
    <w:rsid w:val="00540DA3"/>
    <w:rsid w:val="00541410"/>
    <w:rsid w:val="0054213B"/>
    <w:rsid w:val="00542377"/>
    <w:rsid w:val="005423AB"/>
    <w:rsid w:val="005426A0"/>
    <w:rsid w:val="00542AEE"/>
    <w:rsid w:val="00542F18"/>
    <w:rsid w:val="0054321D"/>
    <w:rsid w:val="0054346B"/>
    <w:rsid w:val="0054348B"/>
    <w:rsid w:val="0054354E"/>
    <w:rsid w:val="00543576"/>
    <w:rsid w:val="0054376C"/>
    <w:rsid w:val="00543B1B"/>
    <w:rsid w:val="005442EF"/>
    <w:rsid w:val="0054478B"/>
    <w:rsid w:val="00544F84"/>
    <w:rsid w:val="00545747"/>
    <w:rsid w:val="00545811"/>
    <w:rsid w:val="00545961"/>
    <w:rsid w:val="00545994"/>
    <w:rsid w:val="00545AE2"/>
    <w:rsid w:val="00545AFD"/>
    <w:rsid w:val="00546447"/>
    <w:rsid w:val="005468A5"/>
    <w:rsid w:val="005468E7"/>
    <w:rsid w:val="00547241"/>
    <w:rsid w:val="005475DA"/>
    <w:rsid w:val="005476EB"/>
    <w:rsid w:val="005476F9"/>
    <w:rsid w:val="00547991"/>
    <w:rsid w:val="00547B75"/>
    <w:rsid w:val="00547EFE"/>
    <w:rsid w:val="00550048"/>
    <w:rsid w:val="00550758"/>
    <w:rsid w:val="00550778"/>
    <w:rsid w:val="00550B49"/>
    <w:rsid w:val="00550D0D"/>
    <w:rsid w:val="00550E9F"/>
    <w:rsid w:val="005510D7"/>
    <w:rsid w:val="00551206"/>
    <w:rsid w:val="005512DA"/>
    <w:rsid w:val="00551751"/>
    <w:rsid w:val="0055176A"/>
    <w:rsid w:val="00551782"/>
    <w:rsid w:val="0055193C"/>
    <w:rsid w:val="00551A1F"/>
    <w:rsid w:val="00551D9E"/>
    <w:rsid w:val="00551EF7"/>
    <w:rsid w:val="005523F5"/>
    <w:rsid w:val="0055286B"/>
    <w:rsid w:val="00552A4E"/>
    <w:rsid w:val="00552B98"/>
    <w:rsid w:val="00552E49"/>
    <w:rsid w:val="00552F26"/>
    <w:rsid w:val="00552F2D"/>
    <w:rsid w:val="00553020"/>
    <w:rsid w:val="005531B2"/>
    <w:rsid w:val="00553587"/>
    <w:rsid w:val="005535B2"/>
    <w:rsid w:val="00553796"/>
    <w:rsid w:val="00553844"/>
    <w:rsid w:val="00553847"/>
    <w:rsid w:val="00553B01"/>
    <w:rsid w:val="00553BBE"/>
    <w:rsid w:val="00553BF3"/>
    <w:rsid w:val="00553FC4"/>
    <w:rsid w:val="00554098"/>
    <w:rsid w:val="005540EF"/>
    <w:rsid w:val="00554373"/>
    <w:rsid w:val="005544C6"/>
    <w:rsid w:val="00554647"/>
    <w:rsid w:val="00554950"/>
    <w:rsid w:val="00554B4C"/>
    <w:rsid w:val="00554BAA"/>
    <w:rsid w:val="00554C8E"/>
    <w:rsid w:val="0055550B"/>
    <w:rsid w:val="00555A88"/>
    <w:rsid w:val="00555EAE"/>
    <w:rsid w:val="005563A1"/>
    <w:rsid w:val="0055667E"/>
    <w:rsid w:val="005567C2"/>
    <w:rsid w:val="00556B1C"/>
    <w:rsid w:val="00556C30"/>
    <w:rsid w:val="00556CF9"/>
    <w:rsid w:val="00556EAB"/>
    <w:rsid w:val="00557AC4"/>
    <w:rsid w:val="00557E97"/>
    <w:rsid w:val="00560108"/>
    <w:rsid w:val="0056044E"/>
    <w:rsid w:val="005606E0"/>
    <w:rsid w:val="00560872"/>
    <w:rsid w:val="00560FA7"/>
    <w:rsid w:val="00561420"/>
    <w:rsid w:val="005614C0"/>
    <w:rsid w:val="005615E1"/>
    <w:rsid w:val="00561698"/>
    <w:rsid w:val="005616B6"/>
    <w:rsid w:val="00561893"/>
    <w:rsid w:val="005619DA"/>
    <w:rsid w:val="00561A5E"/>
    <w:rsid w:val="00561C8C"/>
    <w:rsid w:val="00561F5D"/>
    <w:rsid w:val="00562346"/>
    <w:rsid w:val="0056268A"/>
    <w:rsid w:val="0056272B"/>
    <w:rsid w:val="005629C2"/>
    <w:rsid w:val="00562A5B"/>
    <w:rsid w:val="00562A8F"/>
    <w:rsid w:val="00562AFE"/>
    <w:rsid w:val="00562BBC"/>
    <w:rsid w:val="00562BE6"/>
    <w:rsid w:val="005631B2"/>
    <w:rsid w:val="00563343"/>
    <w:rsid w:val="0056357A"/>
    <w:rsid w:val="005637E3"/>
    <w:rsid w:val="00563861"/>
    <w:rsid w:val="005639BC"/>
    <w:rsid w:val="00563E81"/>
    <w:rsid w:val="00563EF1"/>
    <w:rsid w:val="005640F9"/>
    <w:rsid w:val="0056449D"/>
    <w:rsid w:val="00564604"/>
    <w:rsid w:val="0056490C"/>
    <w:rsid w:val="00564B92"/>
    <w:rsid w:val="00564CAB"/>
    <w:rsid w:val="0056510F"/>
    <w:rsid w:val="005653A2"/>
    <w:rsid w:val="005666A4"/>
    <w:rsid w:val="00566A2F"/>
    <w:rsid w:val="00566AB4"/>
    <w:rsid w:val="00566CDB"/>
    <w:rsid w:val="00566D1C"/>
    <w:rsid w:val="00566D27"/>
    <w:rsid w:val="005672CE"/>
    <w:rsid w:val="00567591"/>
    <w:rsid w:val="0056775D"/>
    <w:rsid w:val="00567A8E"/>
    <w:rsid w:val="0057012C"/>
    <w:rsid w:val="0057012F"/>
    <w:rsid w:val="0057050C"/>
    <w:rsid w:val="00570611"/>
    <w:rsid w:val="0057086C"/>
    <w:rsid w:val="00570953"/>
    <w:rsid w:val="00570959"/>
    <w:rsid w:val="00570F55"/>
    <w:rsid w:val="005724C9"/>
    <w:rsid w:val="005729A9"/>
    <w:rsid w:val="00573478"/>
    <w:rsid w:val="005735BE"/>
    <w:rsid w:val="00573812"/>
    <w:rsid w:val="00573A0A"/>
    <w:rsid w:val="00573A89"/>
    <w:rsid w:val="00573D24"/>
    <w:rsid w:val="0057415B"/>
    <w:rsid w:val="0057445B"/>
    <w:rsid w:val="0057456A"/>
    <w:rsid w:val="005746D7"/>
    <w:rsid w:val="005751B8"/>
    <w:rsid w:val="00575307"/>
    <w:rsid w:val="005753FE"/>
    <w:rsid w:val="00575979"/>
    <w:rsid w:val="005759B0"/>
    <w:rsid w:val="00575A95"/>
    <w:rsid w:val="00575AC5"/>
    <w:rsid w:val="00575CA4"/>
    <w:rsid w:val="00575EEE"/>
    <w:rsid w:val="0057605D"/>
    <w:rsid w:val="005760B9"/>
    <w:rsid w:val="005762B2"/>
    <w:rsid w:val="005763CC"/>
    <w:rsid w:val="00576818"/>
    <w:rsid w:val="00576A08"/>
    <w:rsid w:val="00576DCC"/>
    <w:rsid w:val="005770A0"/>
    <w:rsid w:val="00577734"/>
    <w:rsid w:val="00580521"/>
    <w:rsid w:val="00580BCC"/>
    <w:rsid w:val="005812A6"/>
    <w:rsid w:val="005812C5"/>
    <w:rsid w:val="00581347"/>
    <w:rsid w:val="005815D5"/>
    <w:rsid w:val="005817A1"/>
    <w:rsid w:val="00581AC9"/>
    <w:rsid w:val="005823B3"/>
    <w:rsid w:val="0058264D"/>
    <w:rsid w:val="00582EFA"/>
    <w:rsid w:val="005833F6"/>
    <w:rsid w:val="005835A0"/>
    <w:rsid w:val="00583DA0"/>
    <w:rsid w:val="00583E7E"/>
    <w:rsid w:val="00583EA4"/>
    <w:rsid w:val="00584106"/>
    <w:rsid w:val="005842AB"/>
    <w:rsid w:val="005846F6"/>
    <w:rsid w:val="005848C3"/>
    <w:rsid w:val="005848E2"/>
    <w:rsid w:val="00584987"/>
    <w:rsid w:val="005849F8"/>
    <w:rsid w:val="00584B33"/>
    <w:rsid w:val="00584F10"/>
    <w:rsid w:val="00585226"/>
    <w:rsid w:val="00585277"/>
    <w:rsid w:val="00585927"/>
    <w:rsid w:val="005864A6"/>
    <w:rsid w:val="00586F69"/>
    <w:rsid w:val="005872F3"/>
    <w:rsid w:val="005878B8"/>
    <w:rsid w:val="005878CB"/>
    <w:rsid w:val="0059050C"/>
    <w:rsid w:val="005907F2"/>
    <w:rsid w:val="00590B2F"/>
    <w:rsid w:val="005911EE"/>
    <w:rsid w:val="00591B02"/>
    <w:rsid w:val="00591B8D"/>
    <w:rsid w:val="00591F9D"/>
    <w:rsid w:val="005923F0"/>
    <w:rsid w:val="00592428"/>
    <w:rsid w:val="005926D8"/>
    <w:rsid w:val="00592E28"/>
    <w:rsid w:val="00592E58"/>
    <w:rsid w:val="00593349"/>
    <w:rsid w:val="005936D0"/>
    <w:rsid w:val="005938C4"/>
    <w:rsid w:val="005938DF"/>
    <w:rsid w:val="00593A78"/>
    <w:rsid w:val="00593C7F"/>
    <w:rsid w:val="005942E6"/>
    <w:rsid w:val="005943BA"/>
    <w:rsid w:val="005947F4"/>
    <w:rsid w:val="00594E9C"/>
    <w:rsid w:val="0059507B"/>
    <w:rsid w:val="005954E9"/>
    <w:rsid w:val="00595745"/>
    <w:rsid w:val="00595CC4"/>
    <w:rsid w:val="005961F8"/>
    <w:rsid w:val="0059644B"/>
    <w:rsid w:val="005967BB"/>
    <w:rsid w:val="00596AA5"/>
    <w:rsid w:val="00596E3C"/>
    <w:rsid w:val="0059721B"/>
    <w:rsid w:val="00597334"/>
    <w:rsid w:val="00597394"/>
    <w:rsid w:val="00597A0E"/>
    <w:rsid w:val="00597DC5"/>
    <w:rsid w:val="00597DCC"/>
    <w:rsid w:val="00597EEB"/>
    <w:rsid w:val="00597F7A"/>
    <w:rsid w:val="005A0550"/>
    <w:rsid w:val="005A088C"/>
    <w:rsid w:val="005A099B"/>
    <w:rsid w:val="005A10CC"/>
    <w:rsid w:val="005A18C9"/>
    <w:rsid w:val="005A1B1A"/>
    <w:rsid w:val="005A1B40"/>
    <w:rsid w:val="005A1E43"/>
    <w:rsid w:val="005A2194"/>
    <w:rsid w:val="005A222C"/>
    <w:rsid w:val="005A2280"/>
    <w:rsid w:val="005A23A4"/>
    <w:rsid w:val="005A2511"/>
    <w:rsid w:val="005A2793"/>
    <w:rsid w:val="005A2851"/>
    <w:rsid w:val="005A2D94"/>
    <w:rsid w:val="005A2D9C"/>
    <w:rsid w:val="005A2FF0"/>
    <w:rsid w:val="005A3359"/>
    <w:rsid w:val="005A39D8"/>
    <w:rsid w:val="005A3AAA"/>
    <w:rsid w:val="005A3AC9"/>
    <w:rsid w:val="005A40A7"/>
    <w:rsid w:val="005A420C"/>
    <w:rsid w:val="005A4833"/>
    <w:rsid w:val="005A4F8A"/>
    <w:rsid w:val="005A539C"/>
    <w:rsid w:val="005A555D"/>
    <w:rsid w:val="005A55AF"/>
    <w:rsid w:val="005A55B0"/>
    <w:rsid w:val="005A55FE"/>
    <w:rsid w:val="005A55FF"/>
    <w:rsid w:val="005A5741"/>
    <w:rsid w:val="005A59C3"/>
    <w:rsid w:val="005A5A2C"/>
    <w:rsid w:val="005A5B90"/>
    <w:rsid w:val="005A63F2"/>
    <w:rsid w:val="005A654B"/>
    <w:rsid w:val="005A663A"/>
    <w:rsid w:val="005A69F2"/>
    <w:rsid w:val="005A6A11"/>
    <w:rsid w:val="005A6ABA"/>
    <w:rsid w:val="005A6BBE"/>
    <w:rsid w:val="005A6EE0"/>
    <w:rsid w:val="005A7191"/>
    <w:rsid w:val="005A7A59"/>
    <w:rsid w:val="005A7F10"/>
    <w:rsid w:val="005B0276"/>
    <w:rsid w:val="005B0410"/>
    <w:rsid w:val="005B07D6"/>
    <w:rsid w:val="005B0C96"/>
    <w:rsid w:val="005B0F86"/>
    <w:rsid w:val="005B0FBB"/>
    <w:rsid w:val="005B108C"/>
    <w:rsid w:val="005B11B6"/>
    <w:rsid w:val="005B15F4"/>
    <w:rsid w:val="005B1880"/>
    <w:rsid w:val="005B188F"/>
    <w:rsid w:val="005B1E49"/>
    <w:rsid w:val="005B27E8"/>
    <w:rsid w:val="005B2F0D"/>
    <w:rsid w:val="005B3043"/>
    <w:rsid w:val="005B30A7"/>
    <w:rsid w:val="005B33E6"/>
    <w:rsid w:val="005B3682"/>
    <w:rsid w:val="005B3A16"/>
    <w:rsid w:val="005B3B21"/>
    <w:rsid w:val="005B3BC4"/>
    <w:rsid w:val="005B3C43"/>
    <w:rsid w:val="005B436F"/>
    <w:rsid w:val="005B4868"/>
    <w:rsid w:val="005B517D"/>
    <w:rsid w:val="005B626C"/>
    <w:rsid w:val="005B6312"/>
    <w:rsid w:val="005B64DF"/>
    <w:rsid w:val="005B6A27"/>
    <w:rsid w:val="005B6AB3"/>
    <w:rsid w:val="005B6D82"/>
    <w:rsid w:val="005B70B3"/>
    <w:rsid w:val="005B797F"/>
    <w:rsid w:val="005B7AA1"/>
    <w:rsid w:val="005B7C7E"/>
    <w:rsid w:val="005C01EA"/>
    <w:rsid w:val="005C0263"/>
    <w:rsid w:val="005C0A60"/>
    <w:rsid w:val="005C154C"/>
    <w:rsid w:val="005C1BA2"/>
    <w:rsid w:val="005C1BCE"/>
    <w:rsid w:val="005C1DEA"/>
    <w:rsid w:val="005C2660"/>
    <w:rsid w:val="005C2768"/>
    <w:rsid w:val="005C2BA2"/>
    <w:rsid w:val="005C2CB9"/>
    <w:rsid w:val="005C3303"/>
    <w:rsid w:val="005C34EF"/>
    <w:rsid w:val="005C3825"/>
    <w:rsid w:val="005C3DF3"/>
    <w:rsid w:val="005C4194"/>
    <w:rsid w:val="005C41FE"/>
    <w:rsid w:val="005C4204"/>
    <w:rsid w:val="005C4A29"/>
    <w:rsid w:val="005C514C"/>
    <w:rsid w:val="005C558E"/>
    <w:rsid w:val="005C5A81"/>
    <w:rsid w:val="005C605A"/>
    <w:rsid w:val="005C63EF"/>
    <w:rsid w:val="005C68CB"/>
    <w:rsid w:val="005C6BD0"/>
    <w:rsid w:val="005C6F7A"/>
    <w:rsid w:val="005C733A"/>
    <w:rsid w:val="005C736C"/>
    <w:rsid w:val="005C7C4D"/>
    <w:rsid w:val="005C7DEC"/>
    <w:rsid w:val="005C7E46"/>
    <w:rsid w:val="005D00CD"/>
    <w:rsid w:val="005D0F3B"/>
    <w:rsid w:val="005D10AF"/>
    <w:rsid w:val="005D1199"/>
    <w:rsid w:val="005D1477"/>
    <w:rsid w:val="005D158A"/>
    <w:rsid w:val="005D170F"/>
    <w:rsid w:val="005D19CC"/>
    <w:rsid w:val="005D1CAE"/>
    <w:rsid w:val="005D1E4E"/>
    <w:rsid w:val="005D21D4"/>
    <w:rsid w:val="005D2407"/>
    <w:rsid w:val="005D2447"/>
    <w:rsid w:val="005D24AC"/>
    <w:rsid w:val="005D2502"/>
    <w:rsid w:val="005D2A43"/>
    <w:rsid w:val="005D2CCF"/>
    <w:rsid w:val="005D313D"/>
    <w:rsid w:val="005D32FD"/>
    <w:rsid w:val="005D3997"/>
    <w:rsid w:val="005D3D94"/>
    <w:rsid w:val="005D3F73"/>
    <w:rsid w:val="005D4067"/>
    <w:rsid w:val="005D4086"/>
    <w:rsid w:val="005D40BB"/>
    <w:rsid w:val="005D41FA"/>
    <w:rsid w:val="005D47A3"/>
    <w:rsid w:val="005D47F3"/>
    <w:rsid w:val="005D491F"/>
    <w:rsid w:val="005D49BF"/>
    <w:rsid w:val="005D4AA5"/>
    <w:rsid w:val="005D4DF4"/>
    <w:rsid w:val="005D4F04"/>
    <w:rsid w:val="005D4F1B"/>
    <w:rsid w:val="005D524A"/>
    <w:rsid w:val="005D5B5F"/>
    <w:rsid w:val="005D5C78"/>
    <w:rsid w:val="005D5D2E"/>
    <w:rsid w:val="005D5F45"/>
    <w:rsid w:val="005D5F7F"/>
    <w:rsid w:val="005D6261"/>
    <w:rsid w:val="005D62BB"/>
    <w:rsid w:val="005D679F"/>
    <w:rsid w:val="005D69EC"/>
    <w:rsid w:val="005D6C05"/>
    <w:rsid w:val="005D6EC5"/>
    <w:rsid w:val="005D6F4E"/>
    <w:rsid w:val="005D788F"/>
    <w:rsid w:val="005D796A"/>
    <w:rsid w:val="005D7C73"/>
    <w:rsid w:val="005D7DA4"/>
    <w:rsid w:val="005D7EB4"/>
    <w:rsid w:val="005E0845"/>
    <w:rsid w:val="005E0A5F"/>
    <w:rsid w:val="005E0BCB"/>
    <w:rsid w:val="005E0D7D"/>
    <w:rsid w:val="005E10BB"/>
    <w:rsid w:val="005E1237"/>
    <w:rsid w:val="005E1AE6"/>
    <w:rsid w:val="005E1E1A"/>
    <w:rsid w:val="005E250B"/>
    <w:rsid w:val="005E28CE"/>
    <w:rsid w:val="005E2A99"/>
    <w:rsid w:val="005E2BBD"/>
    <w:rsid w:val="005E2C2D"/>
    <w:rsid w:val="005E2C88"/>
    <w:rsid w:val="005E2D31"/>
    <w:rsid w:val="005E2E45"/>
    <w:rsid w:val="005E335D"/>
    <w:rsid w:val="005E33FF"/>
    <w:rsid w:val="005E3476"/>
    <w:rsid w:val="005E35EA"/>
    <w:rsid w:val="005E3ACD"/>
    <w:rsid w:val="005E3D76"/>
    <w:rsid w:val="005E4407"/>
    <w:rsid w:val="005E4439"/>
    <w:rsid w:val="005E4F1C"/>
    <w:rsid w:val="005E53CC"/>
    <w:rsid w:val="005E582A"/>
    <w:rsid w:val="005E589C"/>
    <w:rsid w:val="005E5A54"/>
    <w:rsid w:val="005E5EF0"/>
    <w:rsid w:val="005E6042"/>
    <w:rsid w:val="005E617E"/>
    <w:rsid w:val="005E62B2"/>
    <w:rsid w:val="005E668A"/>
    <w:rsid w:val="005E6815"/>
    <w:rsid w:val="005E69C0"/>
    <w:rsid w:val="005E71B6"/>
    <w:rsid w:val="005E7218"/>
    <w:rsid w:val="005E7226"/>
    <w:rsid w:val="005E793A"/>
    <w:rsid w:val="005E7A57"/>
    <w:rsid w:val="005E7D71"/>
    <w:rsid w:val="005F00B2"/>
    <w:rsid w:val="005F034A"/>
    <w:rsid w:val="005F0425"/>
    <w:rsid w:val="005F046C"/>
    <w:rsid w:val="005F0A06"/>
    <w:rsid w:val="005F0DB9"/>
    <w:rsid w:val="005F0F24"/>
    <w:rsid w:val="005F13BD"/>
    <w:rsid w:val="005F1686"/>
    <w:rsid w:val="005F18E5"/>
    <w:rsid w:val="005F1AC5"/>
    <w:rsid w:val="005F1B51"/>
    <w:rsid w:val="005F22CE"/>
    <w:rsid w:val="005F238F"/>
    <w:rsid w:val="005F243C"/>
    <w:rsid w:val="005F24B0"/>
    <w:rsid w:val="005F2A12"/>
    <w:rsid w:val="005F2D58"/>
    <w:rsid w:val="005F320D"/>
    <w:rsid w:val="005F352F"/>
    <w:rsid w:val="005F3BEC"/>
    <w:rsid w:val="005F3CBC"/>
    <w:rsid w:val="005F3CF9"/>
    <w:rsid w:val="005F3E15"/>
    <w:rsid w:val="005F408B"/>
    <w:rsid w:val="005F49E1"/>
    <w:rsid w:val="005F4B58"/>
    <w:rsid w:val="005F4BDF"/>
    <w:rsid w:val="005F4D17"/>
    <w:rsid w:val="005F4D66"/>
    <w:rsid w:val="005F4D73"/>
    <w:rsid w:val="005F4D81"/>
    <w:rsid w:val="005F5305"/>
    <w:rsid w:val="005F5589"/>
    <w:rsid w:val="005F57A5"/>
    <w:rsid w:val="005F59F0"/>
    <w:rsid w:val="005F609F"/>
    <w:rsid w:val="005F614C"/>
    <w:rsid w:val="005F63EE"/>
    <w:rsid w:val="005F65D7"/>
    <w:rsid w:val="005F6612"/>
    <w:rsid w:val="005F6646"/>
    <w:rsid w:val="005F68E3"/>
    <w:rsid w:val="005F6944"/>
    <w:rsid w:val="005F6FB8"/>
    <w:rsid w:val="005F7111"/>
    <w:rsid w:val="005F71B3"/>
    <w:rsid w:val="005F72C7"/>
    <w:rsid w:val="005F73B0"/>
    <w:rsid w:val="005F7FAD"/>
    <w:rsid w:val="006004B0"/>
    <w:rsid w:val="006005DF"/>
    <w:rsid w:val="0060078B"/>
    <w:rsid w:val="0060085D"/>
    <w:rsid w:val="00600B72"/>
    <w:rsid w:val="00600C65"/>
    <w:rsid w:val="00601136"/>
    <w:rsid w:val="006012C6"/>
    <w:rsid w:val="0060136C"/>
    <w:rsid w:val="0060166F"/>
    <w:rsid w:val="00601808"/>
    <w:rsid w:val="00601961"/>
    <w:rsid w:val="00601C80"/>
    <w:rsid w:val="00602A97"/>
    <w:rsid w:val="006030F4"/>
    <w:rsid w:val="006035B1"/>
    <w:rsid w:val="00603885"/>
    <w:rsid w:val="00603BE2"/>
    <w:rsid w:val="00603DCC"/>
    <w:rsid w:val="006042E4"/>
    <w:rsid w:val="00604315"/>
    <w:rsid w:val="006045B8"/>
    <w:rsid w:val="006045EB"/>
    <w:rsid w:val="00604AF4"/>
    <w:rsid w:val="00604DB5"/>
    <w:rsid w:val="00604E26"/>
    <w:rsid w:val="0060506C"/>
    <w:rsid w:val="0060508E"/>
    <w:rsid w:val="0060510C"/>
    <w:rsid w:val="0060523F"/>
    <w:rsid w:val="006052CF"/>
    <w:rsid w:val="006054AE"/>
    <w:rsid w:val="006058C6"/>
    <w:rsid w:val="00605950"/>
    <w:rsid w:val="00605C38"/>
    <w:rsid w:val="00605E03"/>
    <w:rsid w:val="006062F5"/>
    <w:rsid w:val="006066C0"/>
    <w:rsid w:val="00606B97"/>
    <w:rsid w:val="00606D75"/>
    <w:rsid w:val="0060720B"/>
    <w:rsid w:val="00607465"/>
    <w:rsid w:val="0060786C"/>
    <w:rsid w:val="00607A6F"/>
    <w:rsid w:val="00607B8D"/>
    <w:rsid w:val="00607C63"/>
    <w:rsid w:val="00607D49"/>
    <w:rsid w:val="00607F70"/>
    <w:rsid w:val="00607FEF"/>
    <w:rsid w:val="0061008C"/>
    <w:rsid w:val="00610832"/>
    <w:rsid w:val="0061084F"/>
    <w:rsid w:val="0061090D"/>
    <w:rsid w:val="00610C3E"/>
    <w:rsid w:val="00610D46"/>
    <w:rsid w:val="00610F79"/>
    <w:rsid w:val="00610FD2"/>
    <w:rsid w:val="006116D5"/>
    <w:rsid w:val="006116D9"/>
    <w:rsid w:val="006118B8"/>
    <w:rsid w:val="0061195A"/>
    <w:rsid w:val="00611BF5"/>
    <w:rsid w:val="00611C4B"/>
    <w:rsid w:val="00611E1B"/>
    <w:rsid w:val="00611E8C"/>
    <w:rsid w:val="00611E92"/>
    <w:rsid w:val="00611F5C"/>
    <w:rsid w:val="0061223D"/>
    <w:rsid w:val="0061226B"/>
    <w:rsid w:val="006126E6"/>
    <w:rsid w:val="00612BAE"/>
    <w:rsid w:val="00612CE9"/>
    <w:rsid w:val="00612EC9"/>
    <w:rsid w:val="00613096"/>
    <w:rsid w:val="0061337A"/>
    <w:rsid w:val="00613422"/>
    <w:rsid w:val="006135F2"/>
    <w:rsid w:val="0061399E"/>
    <w:rsid w:val="00614874"/>
    <w:rsid w:val="00614E8E"/>
    <w:rsid w:val="00615255"/>
    <w:rsid w:val="006153D9"/>
    <w:rsid w:val="00615690"/>
    <w:rsid w:val="0061595E"/>
    <w:rsid w:val="0061599A"/>
    <w:rsid w:val="00615D3C"/>
    <w:rsid w:val="00616571"/>
    <w:rsid w:val="006165CB"/>
    <w:rsid w:val="00616800"/>
    <w:rsid w:val="006168A4"/>
    <w:rsid w:val="00616B7A"/>
    <w:rsid w:val="00616BF9"/>
    <w:rsid w:val="00616D90"/>
    <w:rsid w:val="00616E09"/>
    <w:rsid w:val="00616ECA"/>
    <w:rsid w:val="006173F0"/>
    <w:rsid w:val="00617DA3"/>
    <w:rsid w:val="00617F3B"/>
    <w:rsid w:val="0062012F"/>
    <w:rsid w:val="00620877"/>
    <w:rsid w:val="00620BEF"/>
    <w:rsid w:val="00620E62"/>
    <w:rsid w:val="00621230"/>
    <w:rsid w:val="0062142C"/>
    <w:rsid w:val="006219D9"/>
    <w:rsid w:val="00621A5A"/>
    <w:rsid w:val="00621EC3"/>
    <w:rsid w:val="0062244E"/>
    <w:rsid w:val="0062260B"/>
    <w:rsid w:val="0062298C"/>
    <w:rsid w:val="00622A3B"/>
    <w:rsid w:val="00622AC1"/>
    <w:rsid w:val="00622EEA"/>
    <w:rsid w:val="00623190"/>
    <w:rsid w:val="006232A0"/>
    <w:rsid w:val="006234CF"/>
    <w:rsid w:val="006238C8"/>
    <w:rsid w:val="0062396C"/>
    <w:rsid w:val="00623FD0"/>
    <w:rsid w:val="00623FF9"/>
    <w:rsid w:val="00624133"/>
    <w:rsid w:val="0062418A"/>
    <w:rsid w:val="006246FB"/>
    <w:rsid w:val="0062475F"/>
    <w:rsid w:val="00624879"/>
    <w:rsid w:val="0062490C"/>
    <w:rsid w:val="00624B61"/>
    <w:rsid w:val="00624CA5"/>
    <w:rsid w:val="00624FF8"/>
    <w:rsid w:val="00625073"/>
    <w:rsid w:val="00625193"/>
    <w:rsid w:val="0062595C"/>
    <w:rsid w:val="006261A1"/>
    <w:rsid w:val="0062660C"/>
    <w:rsid w:val="006266E6"/>
    <w:rsid w:val="0062677E"/>
    <w:rsid w:val="00626AAF"/>
    <w:rsid w:val="00626BDE"/>
    <w:rsid w:val="006274B5"/>
    <w:rsid w:val="006274FD"/>
    <w:rsid w:val="0062778E"/>
    <w:rsid w:val="00627790"/>
    <w:rsid w:val="00627BB3"/>
    <w:rsid w:val="00627D4E"/>
    <w:rsid w:val="00630BC8"/>
    <w:rsid w:val="00630BF3"/>
    <w:rsid w:val="0063117B"/>
    <w:rsid w:val="0063142A"/>
    <w:rsid w:val="00631670"/>
    <w:rsid w:val="0063198D"/>
    <w:rsid w:val="00631FB8"/>
    <w:rsid w:val="006322D0"/>
    <w:rsid w:val="006327DF"/>
    <w:rsid w:val="00632B89"/>
    <w:rsid w:val="00632D7D"/>
    <w:rsid w:val="00632ED7"/>
    <w:rsid w:val="006332D2"/>
    <w:rsid w:val="0063346D"/>
    <w:rsid w:val="00633C21"/>
    <w:rsid w:val="00633D55"/>
    <w:rsid w:val="006342C8"/>
    <w:rsid w:val="00634478"/>
    <w:rsid w:val="006344CB"/>
    <w:rsid w:val="006347E7"/>
    <w:rsid w:val="00634817"/>
    <w:rsid w:val="006348AD"/>
    <w:rsid w:val="00634B58"/>
    <w:rsid w:val="00635098"/>
    <w:rsid w:val="00635653"/>
    <w:rsid w:val="00635676"/>
    <w:rsid w:val="00635B40"/>
    <w:rsid w:val="00635C25"/>
    <w:rsid w:val="00635CF8"/>
    <w:rsid w:val="00635F64"/>
    <w:rsid w:val="0063684C"/>
    <w:rsid w:val="00636A84"/>
    <w:rsid w:val="00636F13"/>
    <w:rsid w:val="00636F6F"/>
    <w:rsid w:val="0063709B"/>
    <w:rsid w:val="00637576"/>
    <w:rsid w:val="0063762F"/>
    <w:rsid w:val="00637650"/>
    <w:rsid w:val="00637784"/>
    <w:rsid w:val="00637A05"/>
    <w:rsid w:val="00640914"/>
    <w:rsid w:val="00640A80"/>
    <w:rsid w:val="00641884"/>
    <w:rsid w:val="00641D4F"/>
    <w:rsid w:val="00641F51"/>
    <w:rsid w:val="0064243F"/>
    <w:rsid w:val="00642558"/>
    <w:rsid w:val="00642761"/>
    <w:rsid w:val="00642BC7"/>
    <w:rsid w:val="006434F8"/>
    <w:rsid w:val="006434FE"/>
    <w:rsid w:val="0064382C"/>
    <w:rsid w:val="00643956"/>
    <w:rsid w:val="00643980"/>
    <w:rsid w:val="00643BD6"/>
    <w:rsid w:val="00643C85"/>
    <w:rsid w:val="00643CF1"/>
    <w:rsid w:val="00644373"/>
    <w:rsid w:val="00644456"/>
    <w:rsid w:val="006448DC"/>
    <w:rsid w:val="00644AEE"/>
    <w:rsid w:val="00644BD0"/>
    <w:rsid w:val="00645397"/>
    <w:rsid w:val="006453AA"/>
    <w:rsid w:val="00645608"/>
    <w:rsid w:val="00645915"/>
    <w:rsid w:val="00646360"/>
    <w:rsid w:val="00646CC4"/>
    <w:rsid w:val="00646CE3"/>
    <w:rsid w:val="00646EC9"/>
    <w:rsid w:val="0064709B"/>
    <w:rsid w:val="00647203"/>
    <w:rsid w:val="0064760D"/>
    <w:rsid w:val="00647B4A"/>
    <w:rsid w:val="006500FB"/>
    <w:rsid w:val="0065014E"/>
    <w:rsid w:val="00650485"/>
    <w:rsid w:val="0065063A"/>
    <w:rsid w:val="00650BED"/>
    <w:rsid w:val="00650FE9"/>
    <w:rsid w:val="0065173A"/>
    <w:rsid w:val="006519C3"/>
    <w:rsid w:val="00651A21"/>
    <w:rsid w:val="00651B59"/>
    <w:rsid w:val="00651C1E"/>
    <w:rsid w:val="006523FA"/>
    <w:rsid w:val="0065270F"/>
    <w:rsid w:val="006527DA"/>
    <w:rsid w:val="0065290E"/>
    <w:rsid w:val="006529FB"/>
    <w:rsid w:val="00652B30"/>
    <w:rsid w:val="00652CF2"/>
    <w:rsid w:val="00652E76"/>
    <w:rsid w:val="006531C8"/>
    <w:rsid w:val="006537F1"/>
    <w:rsid w:val="006541AA"/>
    <w:rsid w:val="0065421D"/>
    <w:rsid w:val="0065473A"/>
    <w:rsid w:val="00654BAA"/>
    <w:rsid w:val="00654C97"/>
    <w:rsid w:val="006553F4"/>
    <w:rsid w:val="00655663"/>
    <w:rsid w:val="00655983"/>
    <w:rsid w:val="00655CD9"/>
    <w:rsid w:val="00655F2C"/>
    <w:rsid w:val="006561B7"/>
    <w:rsid w:val="00656345"/>
    <w:rsid w:val="0065645E"/>
    <w:rsid w:val="00656509"/>
    <w:rsid w:val="006567D1"/>
    <w:rsid w:val="00656DC6"/>
    <w:rsid w:val="00656EE9"/>
    <w:rsid w:val="00656F45"/>
    <w:rsid w:val="0065739C"/>
    <w:rsid w:val="006575E5"/>
    <w:rsid w:val="006579AA"/>
    <w:rsid w:val="006579E8"/>
    <w:rsid w:val="00657A34"/>
    <w:rsid w:val="00657A3A"/>
    <w:rsid w:val="00657A89"/>
    <w:rsid w:val="00657BA7"/>
    <w:rsid w:val="006601AE"/>
    <w:rsid w:val="00660687"/>
    <w:rsid w:val="00660A9D"/>
    <w:rsid w:val="00660B0C"/>
    <w:rsid w:val="00660E3F"/>
    <w:rsid w:val="00660EC6"/>
    <w:rsid w:val="006617E3"/>
    <w:rsid w:val="00661B9D"/>
    <w:rsid w:val="00661D93"/>
    <w:rsid w:val="00662207"/>
    <w:rsid w:val="00662625"/>
    <w:rsid w:val="0066270B"/>
    <w:rsid w:val="00662780"/>
    <w:rsid w:val="006628B2"/>
    <w:rsid w:val="00663245"/>
    <w:rsid w:val="00663BAD"/>
    <w:rsid w:val="00664110"/>
    <w:rsid w:val="00664128"/>
    <w:rsid w:val="006642F3"/>
    <w:rsid w:val="006645C9"/>
    <w:rsid w:val="0066461F"/>
    <w:rsid w:val="00664B44"/>
    <w:rsid w:val="00664D17"/>
    <w:rsid w:val="00664DDE"/>
    <w:rsid w:val="00665359"/>
    <w:rsid w:val="0066564D"/>
    <w:rsid w:val="006656A4"/>
    <w:rsid w:val="00666520"/>
    <w:rsid w:val="00666736"/>
    <w:rsid w:val="006667AF"/>
    <w:rsid w:val="006668BF"/>
    <w:rsid w:val="00666D4D"/>
    <w:rsid w:val="00666DCE"/>
    <w:rsid w:val="00666F73"/>
    <w:rsid w:val="006673E9"/>
    <w:rsid w:val="00667482"/>
    <w:rsid w:val="0066748F"/>
    <w:rsid w:val="00667593"/>
    <w:rsid w:val="006677D8"/>
    <w:rsid w:val="00667918"/>
    <w:rsid w:val="00667919"/>
    <w:rsid w:val="00667C5B"/>
    <w:rsid w:val="00667FC7"/>
    <w:rsid w:val="0067080F"/>
    <w:rsid w:val="0067092D"/>
    <w:rsid w:val="00670BBC"/>
    <w:rsid w:val="0067103A"/>
    <w:rsid w:val="00671147"/>
    <w:rsid w:val="00671D1B"/>
    <w:rsid w:val="00671D24"/>
    <w:rsid w:val="00672120"/>
    <w:rsid w:val="0067243D"/>
    <w:rsid w:val="006724D6"/>
    <w:rsid w:val="0067296F"/>
    <w:rsid w:val="0067378B"/>
    <w:rsid w:val="00673CB8"/>
    <w:rsid w:val="00674031"/>
    <w:rsid w:val="00674647"/>
    <w:rsid w:val="00674668"/>
    <w:rsid w:val="00674BB8"/>
    <w:rsid w:val="006751A8"/>
    <w:rsid w:val="006752A8"/>
    <w:rsid w:val="0067536C"/>
    <w:rsid w:val="006763C9"/>
    <w:rsid w:val="0067680E"/>
    <w:rsid w:val="00676FA8"/>
    <w:rsid w:val="00677165"/>
    <w:rsid w:val="006772F7"/>
    <w:rsid w:val="00677F5B"/>
    <w:rsid w:val="00680134"/>
    <w:rsid w:val="00680442"/>
    <w:rsid w:val="0068066D"/>
    <w:rsid w:val="006808BE"/>
    <w:rsid w:val="00680CD9"/>
    <w:rsid w:val="00680D05"/>
    <w:rsid w:val="00680D99"/>
    <w:rsid w:val="00680EB8"/>
    <w:rsid w:val="00681248"/>
    <w:rsid w:val="00681924"/>
    <w:rsid w:val="00681AB6"/>
    <w:rsid w:val="00681AE6"/>
    <w:rsid w:val="00681C1F"/>
    <w:rsid w:val="00681CBC"/>
    <w:rsid w:val="00681F67"/>
    <w:rsid w:val="006821E7"/>
    <w:rsid w:val="006823FD"/>
    <w:rsid w:val="006827BD"/>
    <w:rsid w:val="006828DA"/>
    <w:rsid w:val="00682E54"/>
    <w:rsid w:val="00682EE8"/>
    <w:rsid w:val="00683023"/>
    <w:rsid w:val="006832C2"/>
    <w:rsid w:val="00683452"/>
    <w:rsid w:val="0068371F"/>
    <w:rsid w:val="00683D35"/>
    <w:rsid w:val="006840E1"/>
    <w:rsid w:val="006843EF"/>
    <w:rsid w:val="0068475C"/>
    <w:rsid w:val="00684764"/>
    <w:rsid w:val="006848EE"/>
    <w:rsid w:val="006851BF"/>
    <w:rsid w:val="0068569C"/>
    <w:rsid w:val="00685F04"/>
    <w:rsid w:val="006865D7"/>
    <w:rsid w:val="00686724"/>
    <w:rsid w:val="00686908"/>
    <w:rsid w:val="00686C37"/>
    <w:rsid w:val="00686FDF"/>
    <w:rsid w:val="006878CD"/>
    <w:rsid w:val="00687A85"/>
    <w:rsid w:val="00687ED0"/>
    <w:rsid w:val="00690109"/>
    <w:rsid w:val="0069018C"/>
    <w:rsid w:val="0069031A"/>
    <w:rsid w:val="0069056A"/>
    <w:rsid w:val="006905FA"/>
    <w:rsid w:val="00690D64"/>
    <w:rsid w:val="006918A6"/>
    <w:rsid w:val="00691943"/>
    <w:rsid w:val="006919CA"/>
    <w:rsid w:val="00691D24"/>
    <w:rsid w:val="00691DD9"/>
    <w:rsid w:val="00691EB8"/>
    <w:rsid w:val="00691FB7"/>
    <w:rsid w:val="0069237E"/>
    <w:rsid w:val="00692AB1"/>
    <w:rsid w:val="00692B0C"/>
    <w:rsid w:val="00692C40"/>
    <w:rsid w:val="00692CDE"/>
    <w:rsid w:val="00693073"/>
    <w:rsid w:val="006935BB"/>
    <w:rsid w:val="006938A2"/>
    <w:rsid w:val="00693BF8"/>
    <w:rsid w:val="00693C13"/>
    <w:rsid w:val="00694240"/>
    <w:rsid w:val="0069435A"/>
    <w:rsid w:val="00694F9A"/>
    <w:rsid w:val="006951B3"/>
    <w:rsid w:val="00695DC1"/>
    <w:rsid w:val="00695FD1"/>
    <w:rsid w:val="00696237"/>
    <w:rsid w:val="0069627E"/>
    <w:rsid w:val="006962BD"/>
    <w:rsid w:val="00696580"/>
    <w:rsid w:val="006965A8"/>
    <w:rsid w:val="00696661"/>
    <w:rsid w:val="006967DE"/>
    <w:rsid w:val="00696EFB"/>
    <w:rsid w:val="00697349"/>
    <w:rsid w:val="006973AF"/>
    <w:rsid w:val="006977FF"/>
    <w:rsid w:val="00697D1C"/>
    <w:rsid w:val="006A01FA"/>
    <w:rsid w:val="006A0B90"/>
    <w:rsid w:val="006A0E9E"/>
    <w:rsid w:val="006A0F11"/>
    <w:rsid w:val="006A1007"/>
    <w:rsid w:val="006A1342"/>
    <w:rsid w:val="006A1E01"/>
    <w:rsid w:val="006A25A5"/>
    <w:rsid w:val="006A25C7"/>
    <w:rsid w:val="006A27B5"/>
    <w:rsid w:val="006A29E1"/>
    <w:rsid w:val="006A2B3D"/>
    <w:rsid w:val="006A3270"/>
    <w:rsid w:val="006A4043"/>
    <w:rsid w:val="006A4529"/>
    <w:rsid w:val="006A466D"/>
    <w:rsid w:val="006A4A68"/>
    <w:rsid w:val="006A4AAD"/>
    <w:rsid w:val="006A4CCA"/>
    <w:rsid w:val="006A5040"/>
    <w:rsid w:val="006A517A"/>
    <w:rsid w:val="006A52FC"/>
    <w:rsid w:val="006A569B"/>
    <w:rsid w:val="006A578C"/>
    <w:rsid w:val="006A5919"/>
    <w:rsid w:val="006A5B3A"/>
    <w:rsid w:val="006A5E9A"/>
    <w:rsid w:val="006A6095"/>
    <w:rsid w:val="006A6476"/>
    <w:rsid w:val="006A698A"/>
    <w:rsid w:val="006A6A5F"/>
    <w:rsid w:val="006A6DA2"/>
    <w:rsid w:val="006A6E85"/>
    <w:rsid w:val="006A7203"/>
    <w:rsid w:val="006A73D3"/>
    <w:rsid w:val="006A756D"/>
    <w:rsid w:val="006A78AC"/>
    <w:rsid w:val="006A7A05"/>
    <w:rsid w:val="006A7AB2"/>
    <w:rsid w:val="006A7C2C"/>
    <w:rsid w:val="006A7FAB"/>
    <w:rsid w:val="006B00D9"/>
    <w:rsid w:val="006B0240"/>
    <w:rsid w:val="006B05CA"/>
    <w:rsid w:val="006B0833"/>
    <w:rsid w:val="006B08A4"/>
    <w:rsid w:val="006B08F4"/>
    <w:rsid w:val="006B0BDF"/>
    <w:rsid w:val="006B130B"/>
    <w:rsid w:val="006B181B"/>
    <w:rsid w:val="006B1929"/>
    <w:rsid w:val="006B1C83"/>
    <w:rsid w:val="006B1F62"/>
    <w:rsid w:val="006B206F"/>
    <w:rsid w:val="006B28C9"/>
    <w:rsid w:val="006B2B87"/>
    <w:rsid w:val="006B2EB0"/>
    <w:rsid w:val="006B2FF2"/>
    <w:rsid w:val="006B3246"/>
    <w:rsid w:val="006B368A"/>
    <w:rsid w:val="006B3948"/>
    <w:rsid w:val="006B39DE"/>
    <w:rsid w:val="006B3E7F"/>
    <w:rsid w:val="006B406F"/>
    <w:rsid w:val="006B414A"/>
    <w:rsid w:val="006B4592"/>
    <w:rsid w:val="006B45BA"/>
    <w:rsid w:val="006B45D1"/>
    <w:rsid w:val="006B4A8B"/>
    <w:rsid w:val="006B4DE7"/>
    <w:rsid w:val="006B5102"/>
    <w:rsid w:val="006B52DE"/>
    <w:rsid w:val="006B53CF"/>
    <w:rsid w:val="006B5717"/>
    <w:rsid w:val="006B582F"/>
    <w:rsid w:val="006B588F"/>
    <w:rsid w:val="006B5D1A"/>
    <w:rsid w:val="006B5D44"/>
    <w:rsid w:val="006B5EB2"/>
    <w:rsid w:val="006B6184"/>
    <w:rsid w:val="006B64D9"/>
    <w:rsid w:val="006B6783"/>
    <w:rsid w:val="006B6802"/>
    <w:rsid w:val="006B6AA1"/>
    <w:rsid w:val="006B6F86"/>
    <w:rsid w:val="006B70EE"/>
    <w:rsid w:val="006B7439"/>
    <w:rsid w:val="006B77F9"/>
    <w:rsid w:val="006B7933"/>
    <w:rsid w:val="006B7A8E"/>
    <w:rsid w:val="006B7AED"/>
    <w:rsid w:val="006B7BE7"/>
    <w:rsid w:val="006B7D2E"/>
    <w:rsid w:val="006B7F43"/>
    <w:rsid w:val="006C0014"/>
    <w:rsid w:val="006C00B3"/>
    <w:rsid w:val="006C0621"/>
    <w:rsid w:val="006C0CEB"/>
    <w:rsid w:val="006C0F02"/>
    <w:rsid w:val="006C131E"/>
    <w:rsid w:val="006C1631"/>
    <w:rsid w:val="006C1A05"/>
    <w:rsid w:val="006C1EA5"/>
    <w:rsid w:val="006C2376"/>
    <w:rsid w:val="006C24CF"/>
    <w:rsid w:val="006C2E9C"/>
    <w:rsid w:val="006C34C9"/>
    <w:rsid w:val="006C3A99"/>
    <w:rsid w:val="006C3B1E"/>
    <w:rsid w:val="006C436C"/>
    <w:rsid w:val="006C47FD"/>
    <w:rsid w:val="006C4844"/>
    <w:rsid w:val="006C49F4"/>
    <w:rsid w:val="006C4D3E"/>
    <w:rsid w:val="006C5510"/>
    <w:rsid w:val="006C5C19"/>
    <w:rsid w:val="006C5C94"/>
    <w:rsid w:val="006C5EBE"/>
    <w:rsid w:val="006C5FFE"/>
    <w:rsid w:val="006C601A"/>
    <w:rsid w:val="006C6290"/>
    <w:rsid w:val="006C6906"/>
    <w:rsid w:val="006C69EE"/>
    <w:rsid w:val="006C6AF4"/>
    <w:rsid w:val="006C6C93"/>
    <w:rsid w:val="006C70A0"/>
    <w:rsid w:val="006C712F"/>
    <w:rsid w:val="006C71E7"/>
    <w:rsid w:val="006C7205"/>
    <w:rsid w:val="006C7C70"/>
    <w:rsid w:val="006C7D85"/>
    <w:rsid w:val="006D07B9"/>
    <w:rsid w:val="006D0936"/>
    <w:rsid w:val="006D0AD9"/>
    <w:rsid w:val="006D0EFF"/>
    <w:rsid w:val="006D1664"/>
    <w:rsid w:val="006D22B4"/>
    <w:rsid w:val="006D27CB"/>
    <w:rsid w:val="006D2E83"/>
    <w:rsid w:val="006D2F08"/>
    <w:rsid w:val="006D32FD"/>
    <w:rsid w:val="006D3778"/>
    <w:rsid w:val="006D39A4"/>
    <w:rsid w:val="006D4221"/>
    <w:rsid w:val="006D46ED"/>
    <w:rsid w:val="006D46FD"/>
    <w:rsid w:val="006D4B49"/>
    <w:rsid w:val="006D4B4F"/>
    <w:rsid w:val="006D4B67"/>
    <w:rsid w:val="006D5026"/>
    <w:rsid w:val="006D576C"/>
    <w:rsid w:val="006D5799"/>
    <w:rsid w:val="006D5865"/>
    <w:rsid w:val="006D58CD"/>
    <w:rsid w:val="006D637C"/>
    <w:rsid w:val="006D6B70"/>
    <w:rsid w:val="006D6C24"/>
    <w:rsid w:val="006D6F7B"/>
    <w:rsid w:val="006D6FA4"/>
    <w:rsid w:val="006D77F7"/>
    <w:rsid w:val="006D7CB6"/>
    <w:rsid w:val="006E017D"/>
    <w:rsid w:val="006E05DE"/>
    <w:rsid w:val="006E0841"/>
    <w:rsid w:val="006E0BE7"/>
    <w:rsid w:val="006E0CDD"/>
    <w:rsid w:val="006E0EBE"/>
    <w:rsid w:val="006E0F36"/>
    <w:rsid w:val="006E10F4"/>
    <w:rsid w:val="006E1911"/>
    <w:rsid w:val="006E22D3"/>
    <w:rsid w:val="006E2308"/>
    <w:rsid w:val="006E25B8"/>
    <w:rsid w:val="006E266C"/>
    <w:rsid w:val="006E316D"/>
    <w:rsid w:val="006E3274"/>
    <w:rsid w:val="006E37DA"/>
    <w:rsid w:val="006E3A57"/>
    <w:rsid w:val="006E3B3C"/>
    <w:rsid w:val="006E3D51"/>
    <w:rsid w:val="006E3D8A"/>
    <w:rsid w:val="006E3FB4"/>
    <w:rsid w:val="006E3FF8"/>
    <w:rsid w:val="006E437B"/>
    <w:rsid w:val="006E4526"/>
    <w:rsid w:val="006E4B1B"/>
    <w:rsid w:val="006E5445"/>
    <w:rsid w:val="006E557D"/>
    <w:rsid w:val="006E5AB0"/>
    <w:rsid w:val="006E5BC9"/>
    <w:rsid w:val="006E5CD8"/>
    <w:rsid w:val="006E5FF3"/>
    <w:rsid w:val="006E603C"/>
    <w:rsid w:val="006E603F"/>
    <w:rsid w:val="006E6139"/>
    <w:rsid w:val="006E62DD"/>
    <w:rsid w:val="006E65EB"/>
    <w:rsid w:val="006E6A6A"/>
    <w:rsid w:val="006E6C0F"/>
    <w:rsid w:val="006E6E60"/>
    <w:rsid w:val="006E719E"/>
    <w:rsid w:val="006E725A"/>
    <w:rsid w:val="006E7402"/>
    <w:rsid w:val="006E75D6"/>
    <w:rsid w:val="006E7864"/>
    <w:rsid w:val="006E79A1"/>
    <w:rsid w:val="006E7A65"/>
    <w:rsid w:val="006E7C07"/>
    <w:rsid w:val="006E7D93"/>
    <w:rsid w:val="006E7F26"/>
    <w:rsid w:val="006F0212"/>
    <w:rsid w:val="006F0A40"/>
    <w:rsid w:val="006F0C01"/>
    <w:rsid w:val="006F1A28"/>
    <w:rsid w:val="006F1C44"/>
    <w:rsid w:val="006F1E14"/>
    <w:rsid w:val="006F1E92"/>
    <w:rsid w:val="006F2235"/>
    <w:rsid w:val="006F2697"/>
    <w:rsid w:val="006F299A"/>
    <w:rsid w:val="006F29FA"/>
    <w:rsid w:val="006F2B54"/>
    <w:rsid w:val="006F3147"/>
    <w:rsid w:val="006F398A"/>
    <w:rsid w:val="006F3B14"/>
    <w:rsid w:val="006F3EFE"/>
    <w:rsid w:val="006F3FDE"/>
    <w:rsid w:val="006F44E9"/>
    <w:rsid w:val="006F4785"/>
    <w:rsid w:val="006F4AA4"/>
    <w:rsid w:val="006F4DFC"/>
    <w:rsid w:val="006F4E62"/>
    <w:rsid w:val="006F504B"/>
    <w:rsid w:val="006F54EF"/>
    <w:rsid w:val="006F5727"/>
    <w:rsid w:val="006F59C9"/>
    <w:rsid w:val="006F5D02"/>
    <w:rsid w:val="006F5DF1"/>
    <w:rsid w:val="006F6484"/>
    <w:rsid w:val="006F6B60"/>
    <w:rsid w:val="006F6B7F"/>
    <w:rsid w:val="006F74AA"/>
    <w:rsid w:val="006F7D5E"/>
    <w:rsid w:val="007001EE"/>
    <w:rsid w:val="007005EF"/>
    <w:rsid w:val="00700698"/>
    <w:rsid w:val="00700841"/>
    <w:rsid w:val="00700F7C"/>
    <w:rsid w:val="00701024"/>
    <w:rsid w:val="0070133D"/>
    <w:rsid w:val="007013DD"/>
    <w:rsid w:val="007014A3"/>
    <w:rsid w:val="00701A5E"/>
    <w:rsid w:val="0070202F"/>
    <w:rsid w:val="007020DC"/>
    <w:rsid w:val="0070225C"/>
    <w:rsid w:val="0070232B"/>
    <w:rsid w:val="007023E8"/>
    <w:rsid w:val="00702517"/>
    <w:rsid w:val="00702608"/>
    <w:rsid w:val="00702677"/>
    <w:rsid w:val="007026DF"/>
    <w:rsid w:val="00702866"/>
    <w:rsid w:val="007029A3"/>
    <w:rsid w:val="00702CB9"/>
    <w:rsid w:val="00702FA2"/>
    <w:rsid w:val="0070314F"/>
    <w:rsid w:val="007038A4"/>
    <w:rsid w:val="00704921"/>
    <w:rsid w:val="00704ABA"/>
    <w:rsid w:val="00704B15"/>
    <w:rsid w:val="00704B9C"/>
    <w:rsid w:val="00704DA0"/>
    <w:rsid w:val="00704E42"/>
    <w:rsid w:val="007051A5"/>
    <w:rsid w:val="007059C6"/>
    <w:rsid w:val="007061A9"/>
    <w:rsid w:val="007069A0"/>
    <w:rsid w:val="007069E6"/>
    <w:rsid w:val="00706BF9"/>
    <w:rsid w:val="00706CAB"/>
    <w:rsid w:val="00706E4E"/>
    <w:rsid w:val="00707210"/>
    <w:rsid w:val="00707396"/>
    <w:rsid w:val="00707554"/>
    <w:rsid w:val="0070791C"/>
    <w:rsid w:val="00707BE0"/>
    <w:rsid w:val="00707CF1"/>
    <w:rsid w:val="00707F77"/>
    <w:rsid w:val="007103B3"/>
    <w:rsid w:val="007103C2"/>
    <w:rsid w:val="007105E1"/>
    <w:rsid w:val="00710A76"/>
    <w:rsid w:val="00710B38"/>
    <w:rsid w:val="00710BC1"/>
    <w:rsid w:val="007113F4"/>
    <w:rsid w:val="0071146D"/>
    <w:rsid w:val="007115CF"/>
    <w:rsid w:val="00712009"/>
    <w:rsid w:val="0071238C"/>
    <w:rsid w:val="0071253B"/>
    <w:rsid w:val="007127C3"/>
    <w:rsid w:val="007127D6"/>
    <w:rsid w:val="0071289F"/>
    <w:rsid w:val="00712E55"/>
    <w:rsid w:val="00713311"/>
    <w:rsid w:val="0071383C"/>
    <w:rsid w:val="007141A7"/>
    <w:rsid w:val="00714279"/>
    <w:rsid w:val="00714467"/>
    <w:rsid w:val="00714690"/>
    <w:rsid w:val="0071495E"/>
    <w:rsid w:val="00714D5F"/>
    <w:rsid w:val="007150DF"/>
    <w:rsid w:val="00715722"/>
    <w:rsid w:val="007159A0"/>
    <w:rsid w:val="00715BAF"/>
    <w:rsid w:val="00715F72"/>
    <w:rsid w:val="00716429"/>
    <w:rsid w:val="0071647B"/>
    <w:rsid w:val="007164EB"/>
    <w:rsid w:val="0071662C"/>
    <w:rsid w:val="007168D0"/>
    <w:rsid w:val="007169F4"/>
    <w:rsid w:val="00716B14"/>
    <w:rsid w:val="00716B7A"/>
    <w:rsid w:val="00716BAE"/>
    <w:rsid w:val="00716D25"/>
    <w:rsid w:val="00716F3F"/>
    <w:rsid w:val="00717385"/>
    <w:rsid w:val="007176AE"/>
    <w:rsid w:val="00717B52"/>
    <w:rsid w:val="00717FA0"/>
    <w:rsid w:val="0072028A"/>
    <w:rsid w:val="00720A22"/>
    <w:rsid w:val="00721032"/>
    <w:rsid w:val="00721604"/>
    <w:rsid w:val="007217EC"/>
    <w:rsid w:val="00721B32"/>
    <w:rsid w:val="00721B55"/>
    <w:rsid w:val="00721CD6"/>
    <w:rsid w:val="00723177"/>
    <w:rsid w:val="007235EC"/>
    <w:rsid w:val="007236C4"/>
    <w:rsid w:val="00723939"/>
    <w:rsid w:val="007239F0"/>
    <w:rsid w:val="00723F22"/>
    <w:rsid w:val="00724275"/>
    <w:rsid w:val="00724A60"/>
    <w:rsid w:val="00724F9D"/>
    <w:rsid w:val="0072513F"/>
    <w:rsid w:val="007253EE"/>
    <w:rsid w:val="0072548C"/>
    <w:rsid w:val="0072570E"/>
    <w:rsid w:val="00725A40"/>
    <w:rsid w:val="00725FDD"/>
    <w:rsid w:val="00726345"/>
    <w:rsid w:val="00726487"/>
    <w:rsid w:val="00726710"/>
    <w:rsid w:val="00726CE4"/>
    <w:rsid w:val="00726D11"/>
    <w:rsid w:val="00726ED6"/>
    <w:rsid w:val="00726EFA"/>
    <w:rsid w:val="00727044"/>
    <w:rsid w:val="007270EE"/>
    <w:rsid w:val="0072742F"/>
    <w:rsid w:val="00727450"/>
    <w:rsid w:val="00727AFF"/>
    <w:rsid w:val="00727B80"/>
    <w:rsid w:val="00727FA0"/>
    <w:rsid w:val="00730931"/>
    <w:rsid w:val="00731307"/>
    <w:rsid w:val="00731793"/>
    <w:rsid w:val="007318BB"/>
    <w:rsid w:val="00731A18"/>
    <w:rsid w:val="00731DAC"/>
    <w:rsid w:val="007320B6"/>
    <w:rsid w:val="007326F7"/>
    <w:rsid w:val="007327A1"/>
    <w:rsid w:val="007328B4"/>
    <w:rsid w:val="00732BDF"/>
    <w:rsid w:val="00732FBC"/>
    <w:rsid w:val="007331C8"/>
    <w:rsid w:val="007332CC"/>
    <w:rsid w:val="0073334A"/>
    <w:rsid w:val="0073368D"/>
    <w:rsid w:val="00733810"/>
    <w:rsid w:val="007338A1"/>
    <w:rsid w:val="007338E3"/>
    <w:rsid w:val="007338FD"/>
    <w:rsid w:val="00733E63"/>
    <w:rsid w:val="00734143"/>
    <w:rsid w:val="007347C5"/>
    <w:rsid w:val="007348C5"/>
    <w:rsid w:val="007349BA"/>
    <w:rsid w:val="00734C5C"/>
    <w:rsid w:val="00734C66"/>
    <w:rsid w:val="00735288"/>
    <w:rsid w:val="007352FB"/>
    <w:rsid w:val="00735380"/>
    <w:rsid w:val="00735434"/>
    <w:rsid w:val="0073567F"/>
    <w:rsid w:val="007357C6"/>
    <w:rsid w:val="0073672F"/>
    <w:rsid w:val="0073686C"/>
    <w:rsid w:val="00736BC9"/>
    <w:rsid w:val="00736D43"/>
    <w:rsid w:val="00737028"/>
    <w:rsid w:val="007373F6"/>
    <w:rsid w:val="00737D9B"/>
    <w:rsid w:val="00737E47"/>
    <w:rsid w:val="0074051E"/>
    <w:rsid w:val="0074089E"/>
    <w:rsid w:val="00740EAC"/>
    <w:rsid w:val="00740F49"/>
    <w:rsid w:val="0074194E"/>
    <w:rsid w:val="00741BE4"/>
    <w:rsid w:val="00741E1A"/>
    <w:rsid w:val="0074215E"/>
    <w:rsid w:val="0074259C"/>
    <w:rsid w:val="00742CC0"/>
    <w:rsid w:val="00742F25"/>
    <w:rsid w:val="007432B5"/>
    <w:rsid w:val="007432EB"/>
    <w:rsid w:val="007434B2"/>
    <w:rsid w:val="00743C20"/>
    <w:rsid w:val="00743C54"/>
    <w:rsid w:val="007440A4"/>
    <w:rsid w:val="0074438E"/>
    <w:rsid w:val="0074440F"/>
    <w:rsid w:val="00744579"/>
    <w:rsid w:val="00744956"/>
    <w:rsid w:val="00744AD6"/>
    <w:rsid w:val="00744FB7"/>
    <w:rsid w:val="00745044"/>
    <w:rsid w:val="0074529F"/>
    <w:rsid w:val="00745A5C"/>
    <w:rsid w:val="00745C2B"/>
    <w:rsid w:val="0074605F"/>
    <w:rsid w:val="007466EC"/>
    <w:rsid w:val="00746BE4"/>
    <w:rsid w:val="00746CC0"/>
    <w:rsid w:val="0074737C"/>
    <w:rsid w:val="00747397"/>
    <w:rsid w:val="007477F6"/>
    <w:rsid w:val="007478F9"/>
    <w:rsid w:val="0074792B"/>
    <w:rsid w:val="00747AA8"/>
    <w:rsid w:val="00747E94"/>
    <w:rsid w:val="00747E98"/>
    <w:rsid w:val="00747FDA"/>
    <w:rsid w:val="007500B8"/>
    <w:rsid w:val="007501DC"/>
    <w:rsid w:val="00750392"/>
    <w:rsid w:val="007508A7"/>
    <w:rsid w:val="00750C97"/>
    <w:rsid w:val="00750CDE"/>
    <w:rsid w:val="007512CA"/>
    <w:rsid w:val="007513F3"/>
    <w:rsid w:val="00751589"/>
    <w:rsid w:val="007515BA"/>
    <w:rsid w:val="00751AA0"/>
    <w:rsid w:val="00751AEE"/>
    <w:rsid w:val="00752239"/>
    <w:rsid w:val="0075259F"/>
    <w:rsid w:val="00752614"/>
    <w:rsid w:val="007526CE"/>
    <w:rsid w:val="007529DD"/>
    <w:rsid w:val="0075368E"/>
    <w:rsid w:val="00753910"/>
    <w:rsid w:val="00753BDC"/>
    <w:rsid w:val="00753D24"/>
    <w:rsid w:val="007543B5"/>
    <w:rsid w:val="00754556"/>
    <w:rsid w:val="0075470D"/>
    <w:rsid w:val="007547D1"/>
    <w:rsid w:val="00754985"/>
    <w:rsid w:val="00754B81"/>
    <w:rsid w:val="00754C83"/>
    <w:rsid w:val="00754EC3"/>
    <w:rsid w:val="00755278"/>
    <w:rsid w:val="0075554D"/>
    <w:rsid w:val="007555A4"/>
    <w:rsid w:val="00755929"/>
    <w:rsid w:val="0075627E"/>
    <w:rsid w:val="007566A5"/>
    <w:rsid w:val="007569C2"/>
    <w:rsid w:val="007570AC"/>
    <w:rsid w:val="007570D2"/>
    <w:rsid w:val="0075760D"/>
    <w:rsid w:val="007578AE"/>
    <w:rsid w:val="00757C47"/>
    <w:rsid w:val="00757F8A"/>
    <w:rsid w:val="007608D5"/>
    <w:rsid w:val="00760A78"/>
    <w:rsid w:val="007613D3"/>
    <w:rsid w:val="00761565"/>
    <w:rsid w:val="007617F9"/>
    <w:rsid w:val="00761E5C"/>
    <w:rsid w:val="00762092"/>
    <w:rsid w:val="007620D3"/>
    <w:rsid w:val="007622AB"/>
    <w:rsid w:val="007627C0"/>
    <w:rsid w:val="00762EC4"/>
    <w:rsid w:val="00763536"/>
    <w:rsid w:val="007635C9"/>
    <w:rsid w:val="0076369F"/>
    <w:rsid w:val="00763B85"/>
    <w:rsid w:val="00763BB3"/>
    <w:rsid w:val="00763C23"/>
    <w:rsid w:val="00763E04"/>
    <w:rsid w:val="00764A6C"/>
    <w:rsid w:val="00764ACD"/>
    <w:rsid w:val="00764F3C"/>
    <w:rsid w:val="007650A2"/>
    <w:rsid w:val="00765171"/>
    <w:rsid w:val="0076525C"/>
    <w:rsid w:val="0076559D"/>
    <w:rsid w:val="007659D2"/>
    <w:rsid w:val="00765A66"/>
    <w:rsid w:val="00765CE3"/>
    <w:rsid w:val="00765DF8"/>
    <w:rsid w:val="00765E49"/>
    <w:rsid w:val="00765E7E"/>
    <w:rsid w:val="00765F3C"/>
    <w:rsid w:val="00766397"/>
    <w:rsid w:val="007664F7"/>
    <w:rsid w:val="00766517"/>
    <w:rsid w:val="0076653D"/>
    <w:rsid w:val="00766749"/>
    <w:rsid w:val="00766AE6"/>
    <w:rsid w:val="0076709B"/>
    <w:rsid w:val="007674DC"/>
    <w:rsid w:val="00767899"/>
    <w:rsid w:val="007679C9"/>
    <w:rsid w:val="00767BC9"/>
    <w:rsid w:val="00767C1B"/>
    <w:rsid w:val="00770013"/>
    <w:rsid w:val="00770622"/>
    <w:rsid w:val="007707B0"/>
    <w:rsid w:val="00770B3F"/>
    <w:rsid w:val="00770FC1"/>
    <w:rsid w:val="00771420"/>
    <w:rsid w:val="007714A9"/>
    <w:rsid w:val="00771561"/>
    <w:rsid w:val="007716E0"/>
    <w:rsid w:val="00771D12"/>
    <w:rsid w:val="00771D9D"/>
    <w:rsid w:val="00771DCC"/>
    <w:rsid w:val="0077208E"/>
    <w:rsid w:val="00772351"/>
    <w:rsid w:val="007723AA"/>
    <w:rsid w:val="0077249E"/>
    <w:rsid w:val="0077255C"/>
    <w:rsid w:val="00772568"/>
    <w:rsid w:val="007728FF"/>
    <w:rsid w:val="0077293C"/>
    <w:rsid w:val="00772AAD"/>
    <w:rsid w:val="00772CD3"/>
    <w:rsid w:val="00772DF3"/>
    <w:rsid w:val="00772DFF"/>
    <w:rsid w:val="007737C3"/>
    <w:rsid w:val="00773BA2"/>
    <w:rsid w:val="00773BF6"/>
    <w:rsid w:val="00773E48"/>
    <w:rsid w:val="00774038"/>
    <w:rsid w:val="007740CA"/>
    <w:rsid w:val="0077418A"/>
    <w:rsid w:val="00774250"/>
    <w:rsid w:val="007742DC"/>
    <w:rsid w:val="0077440F"/>
    <w:rsid w:val="00774734"/>
    <w:rsid w:val="007747D8"/>
    <w:rsid w:val="00774873"/>
    <w:rsid w:val="007748AD"/>
    <w:rsid w:val="00774F88"/>
    <w:rsid w:val="00774FDB"/>
    <w:rsid w:val="0077513B"/>
    <w:rsid w:val="00775147"/>
    <w:rsid w:val="00775698"/>
    <w:rsid w:val="0077594C"/>
    <w:rsid w:val="00775F17"/>
    <w:rsid w:val="007765F7"/>
    <w:rsid w:val="007765FF"/>
    <w:rsid w:val="00776D9C"/>
    <w:rsid w:val="007771EA"/>
    <w:rsid w:val="00777280"/>
    <w:rsid w:val="0077768A"/>
    <w:rsid w:val="00777BA2"/>
    <w:rsid w:val="00777D6B"/>
    <w:rsid w:val="00777EDF"/>
    <w:rsid w:val="007806B6"/>
    <w:rsid w:val="00780DA9"/>
    <w:rsid w:val="00781408"/>
    <w:rsid w:val="007815BF"/>
    <w:rsid w:val="007818FF"/>
    <w:rsid w:val="00781B91"/>
    <w:rsid w:val="00781D12"/>
    <w:rsid w:val="00782009"/>
    <w:rsid w:val="00782102"/>
    <w:rsid w:val="007829E3"/>
    <w:rsid w:val="00782C87"/>
    <w:rsid w:val="00782CD8"/>
    <w:rsid w:val="007834EA"/>
    <w:rsid w:val="00783578"/>
    <w:rsid w:val="007835DA"/>
    <w:rsid w:val="00783623"/>
    <w:rsid w:val="00783D2C"/>
    <w:rsid w:val="0078401A"/>
    <w:rsid w:val="007842B9"/>
    <w:rsid w:val="00784869"/>
    <w:rsid w:val="00784A1C"/>
    <w:rsid w:val="00784B7E"/>
    <w:rsid w:val="00784F7F"/>
    <w:rsid w:val="007851EF"/>
    <w:rsid w:val="0078528C"/>
    <w:rsid w:val="007856E9"/>
    <w:rsid w:val="0078583B"/>
    <w:rsid w:val="00785897"/>
    <w:rsid w:val="00785D53"/>
    <w:rsid w:val="00785EA3"/>
    <w:rsid w:val="0078649E"/>
    <w:rsid w:val="00786693"/>
    <w:rsid w:val="00786C30"/>
    <w:rsid w:val="00787323"/>
    <w:rsid w:val="00787364"/>
    <w:rsid w:val="007878BD"/>
    <w:rsid w:val="0078792D"/>
    <w:rsid w:val="00787BE2"/>
    <w:rsid w:val="00787F90"/>
    <w:rsid w:val="00787FE9"/>
    <w:rsid w:val="007901FD"/>
    <w:rsid w:val="007903B8"/>
    <w:rsid w:val="00790BF2"/>
    <w:rsid w:val="00790C22"/>
    <w:rsid w:val="00790FDF"/>
    <w:rsid w:val="007911DD"/>
    <w:rsid w:val="00791C23"/>
    <w:rsid w:val="00791C35"/>
    <w:rsid w:val="00791CA6"/>
    <w:rsid w:val="0079234B"/>
    <w:rsid w:val="007927BF"/>
    <w:rsid w:val="007929DC"/>
    <w:rsid w:val="00792A6C"/>
    <w:rsid w:val="00792B3F"/>
    <w:rsid w:val="00792CBA"/>
    <w:rsid w:val="00792F75"/>
    <w:rsid w:val="00793172"/>
    <w:rsid w:val="007936B5"/>
    <w:rsid w:val="00793FDD"/>
    <w:rsid w:val="00794AD8"/>
    <w:rsid w:val="0079511C"/>
    <w:rsid w:val="0079562D"/>
    <w:rsid w:val="0079568A"/>
    <w:rsid w:val="00795CC8"/>
    <w:rsid w:val="00795E5C"/>
    <w:rsid w:val="0079615C"/>
    <w:rsid w:val="00796402"/>
    <w:rsid w:val="00796A65"/>
    <w:rsid w:val="00796B6E"/>
    <w:rsid w:val="00796BE7"/>
    <w:rsid w:val="00796D8B"/>
    <w:rsid w:val="00796F25"/>
    <w:rsid w:val="00797B68"/>
    <w:rsid w:val="007A04E8"/>
    <w:rsid w:val="007A08C0"/>
    <w:rsid w:val="007A08EC"/>
    <w:rsid w:val="007A08F8"/>
    <w:rsid w:val="007A0BEC"/>
    <w:rsid w:val="007A105D"/>
    <w:rsid w:val="007A1BF2"/>
    <w:rsid w:val="007A1C70"/>
    <w:rsid w:val="007A2343"/>
    <w:rsid w:val="007A277B"/>
    <w:rsid w:val="007A284B"/>
    <w:rsid w:val="007A2E98"/>
    <w:rsid w:val="007A2EC0"/>
    <w:rsid w:val="007A30FF"/>
    <w:rsid w:val="007A3369"/>
    <w:rsid w:val="007A34D3"/>
    <w:rsid w:val="007A3B5D"/>
    <w:rsid w:val="007A3BA3"/>
    <w:rsid w:val="007A3BDA"/>
    <w:rsid w:val="007A3FE5"/>
    <w:rsid w:val="007A41A0"/>
    <w:rsid w:val="007A472C"/>
    <w:rsid w:val="007A49FF"/>
    <w:rsid w:val="007A4BF5"/>
    <w:rsid w:val="007A4CCF"/>
    <w:rsid w:val="007A5119"/>
    <w:rsid w:val="007A514B"/>
    <w:rsid w:val="007A515B"/>
    <w:rsid w:val="007A51EF"/>
    <w:rsid w:val="007A580A"/>
    <w:rsid w:val="007A597D"/>
    <w:rsid w:val="007A5BE5"/>
    <w:rsid w:val="007A5BF3"/>
    <w:rsid w:val="007A5EEB"/>
    <w:rsid w:val="007A61BD"/>
    <w:rsid w:val="007A65D4"/>
    <w:rsid w:val="007A6676"/>
    <w:rsid w:val="007A66C1"/>
    <w:rsid w:val="007A6763"/>
    <w:rsid w:val="007A694F"/>
    <w:rsid w:val="007A6A07"/>
    <w:rsid w:val="007A6BC4"/>
    <w:rsid w:val="007A6C3C"/>
    <w:rsid w:val="007A6C9F"/>
    <w:rsid w:val="007A6CC0"/>
    <w:rsid w:val="007A740A"/>
    <w:rsid w:val="007A7742"/>
    <w:rsid w:val="007A79E5"/>
    <w:rsid w:val="007A7A1D"/>
    <w:rsid w:val="007A7E74"/>
    <w:rsid w:val="007A7F18"/>
    <w:rsid w:val="007A7FEC"/>
    <w:rsid w:val="007B099B"/>
    <w:rsid w:val="007B0CBC"/>
    <w:rsid w:val="007B1124"/>
    <w:rsid w:val="007B1196"/>
    <w:rsid w:val="007B1499"/>
    <w:rsid w:val="007B179D"/>
    <w:rsid w:val="007B184F"/>
    <w:rsid w:val="007B1999"/>
    <w:rsid w:val="007B1A21"/>
    <w:rsid w:val="007B1BBF"/>
    <w:rsid w:val="007B1F5B"/>
    <w:rsid w:val="007B21F5"/>
    <w:rsid w:val="007B2339"/>
    <w:rsid w:val="007B23BF"/>
    <w:rsid w:val="007B2627"/>
    <w:rsid w:val="007B2960"/>
    <w:rsid w:val="007B2A8A"/>
    <w:rsid w:val="007B2ED2"/>
    <w:rsid w:val="007B3317"/>
    <w:rsid w:val="007B355D"/>
    <w:rsid w:val="007B3D14"/>
    <w:rsid w:val="007B3D1C"/>
    <w:rsid w:val="007B4496"/>
    <w:rsid w:val="007B49B9"/>
    <w:rsid w:val="007B537D"/>
    <w:rsid w:val="007B589C"/>
    <w:rsid w:val="007B5C9D"/>
    <w:rsid w:val="007B5E9E"/>
    <w:rsid w:val="007B6585"/>
    <w:rsid w:val="007B68A7"/>
    <w:rsid w:val="007B6D5F"/>
    <w:rsid w:val="007B6FA1"/>
    <w:rsid w:val="007B77BF"/>
    <w:rsid w:val="007B7980"/>
    <w:rsid w:val="007B7A86"/>
    <w:rsid w:val="007B7D31"/>
    <w:rsid w:val="007B7E33"/>
    <w:rsid w:val="007C0A92"/>
    <w:rsid w:val="007C0DEF"/>
    <w:rsid w:val="007C1607"/>
    <w:rsid w:val="007C167F"/>
    <w:rsid w:val="007C18A0"/>
    <w:rsid w:val="007C1949"/>
    <w:rsid w:val="007C1D03"/>
    <w:rsid w:val="007C2068"/>
    <w:rsid w:val="007C2A71"/>
    <w:rsid w:val="007C2C12"/>
    <w:rsid w:val="007C30F8"/>
    <w:rsid w:val="007C3751"/>
    <w:rsid w:val="007C3C4F"/>
    <w:rsid w:val="007C40A2"/>
    <w:rsid w:val="007C422F"/>
    <w:rsid w:val="007C4667"/>
    <w:rsid w:val="007C483B"/>
    <w:rsid w:val="007C4BE6"/>
    <w:rsid w:val="007C522A"/>
    <w:rsid w:val="007C56D6"/>
    <w:rsid w:val="007C59D7"/>
    <w:rsid w:val="007C5A7D"/>
    <w:rsid w:val="007C5D5A"/>
    <w:rsid w:val="007C5DC5"/>
    <w:rsid w:val="007C5ED3"/>
    <w:rsid w:val="007C607F"/>
    <w:rsid w:val="007C6418"/>
    <w:rsid w:val="007C6477"/>
    <w:rsid w:val="007C648F"/>
    <w:rsid w:val="007C657D"/>
    <w:rsid w:val="007C65CC"/>
    <w:rsid w:val="007C6A64"/>
    <w:rsid w:val="007C6AE2"/>
    <w:rsid w:val="007C6E8A"/>
    <w:rsid w:val="007C73AB"/>
    <w:rsid w:val="007C7495"/>
    <w:rsid w:val="007C79DD"/>
    <w:rsid w:val="007C7CB1"/>
    <w:rsid w:val="007C7D4B"/>
    <w:rsid w:val="007D001F"/>
    <w:rsid w:val="007D0377"/>
    <w:rsid w:val="007D04AD"/>
    <w:rsid w:val="007D0BFB"/>
    <w:rsid w:val="007D0D10"/>
    <w:rsid w:val="007D0F50"/>
    <w:rsid w:val="007D158B"/>
    <w:rsid w:val="007D1618"/>
    <w:rsid w:val="007D16C1"/>
    <w:rsid w:val="007D180D"/>
    <w:rsid w:val="007D1A97"/>
    <w:rsid w:val="007D1BDC"/>
    <w:rsid w:val="007D22AA"/>
    <w:rsid w:val="007D29E3"/>
    <w:rsid w:val="007D2CD6"/>
    <w:rsid w:val="007D3063"/>
    <w:rsid w:val="007D34F7"/>
    <w:rsid w:val="007D3CEB"/>
    <w:rsid w:val="007D3D8E"/>
    <w:rsid w:val="007D3FFE"/>
    <w:rsid w:val="007D405E"/>
    <w:rsid w:val="007D4829"/>
    <w:rsid w:val="007D4AE7"/>
    <w:rsid w:val="007D4B6A"/>
    <w:rsid w:val="007D4C04"/>
    <w:rsid w:val="007D553B"/>
    <w:rsid w:val="007D559E"/>
    <w:rsid w:val="007D564B"/>
    <w:rsid w:val="007D5897"/>
    <w:rsid w:val="007D59F5"/>
    <w:rsid w:val="007D5B33"/>
    <w:rsid w:val="007D5DFB"/>
    <w:rsid w:val="007D617B"/>
    <w:rsid w:val="007D61A7"/>
    <w:rsid w:val="007D62ED"/>
    <w:rsid w:val="007D6308"/>
    <w:rsid w:val="007D6332"/>
    <w:rsid w:val="007D6373"/>
    <w:rsid w:val="007D6647"/>
    <w:rsid w:val="007D66B5"/>
    <w:rsid w:val="007D6AE9"/>
    <w:rsid w:val="007D6BF9"/>
    <w:rsid w:val="007D6CC0"/>
    <w:rsid w:val="007D6CE0"/>
    <w:rsid w:val="007D6E98"/>
    <w:rsid w:val="007D7153"/>
    <w:rsid w:val="007D7AE7"/>
    <w:rsid w:val="007D7B2E"/>
    <w:rsid w:val="007D7B53"/>
    <w:rsid w:val="007E0266"/>
    <w:rsid w:val="007E05ED"/>
    <w:rsid w:val="007E0A8E"/>
    <w:rsid w:val="007E0B98"/>
    <w:rsid w:val="007E0CF6"/>
    <w:rsid w:val="007E0FE1"/>
    <w:rsid w:val="007E10F6"/>
    <w:rsid w:val="007E1168"/>
    <w:rsid w:val="007E117F"/>
    <w:rsid w:val="007E120A"/>
    <w:rsid w:val="007E1255"/>
    <w:rsid w:val="007E1267"/>
    <w:rsid w:val="007E133E"/>
    <w:rsid w:val="007E14E8"/>
    <w:rsid w:val="007E15A1"/>
    <w:rsid w:val="007E15EE"/>
    <w:rsid w:val="007E181C"/>
    <w:rsid w:val="007E1A98"/>
    <w:rsid w:val="007E1F56"/>
    <w:rsid w:val="007E2738"/>
    <w:rsid w:val="007E29B1"/>
    <w:rsid w:val="007E34F2"/>
    <w:rsid w:val="007E35E4"/>
    <w:rsid w:val="007E3670"/>
    <w:rsid w:val="007E36D7"/>
    <w:rsid w:val="007E377E"/>
    <w:rsid w:val="007E3983"/>
    <w:rsid w:val="007E39F1"/>
    <w:rsid w:val="007E3CB8"/>
    <w:rsid w:val="007E40FB"/>
    <w:rsid w:val="007E4152"/>
    <w:rsid w:val="007E41B8"/>
    <w:rsid w:val="007E4893"/>
    <w:rsid w:val="007E57CA"/>
    <w:rsid w:val="007E58A8"/>
    <w:rsid w:val="007E5B26"/>
    <w:rsid w:val="007E5E4E"/>
    <w:rsid w:val="007E5FAF"/>
    <w:rsid w:val="007E66A6"/>
    <w:rsid w:val="007E7673"/>
    <w:rsid w:val="007E7683"/>
    <w:rsid w:val="007E7818"/>
    <w:rsid w:val="007E7CCF"/>
    <w:rsid w:val="007E7E9F"/>
    <w:rsid w:val="007E7F2E"/>
    <w:rsid w:val="007F0091"/>
    <w:rsid w:val="007F0302"/>
    <w:rsid w:val="007F070F"/>
    <w:rsid w:val="007F1304"/>
    <w:rsid w:val="007F181B"/>
    <w:rsid w:val="007F2348"/>
    <w:rsid w:val="007F245B"/>
    <w:rsid w:val="007F24E0"/>
    <w:rsid w:val="007F2535"/>
    <w:rsid w:val="007F2A87"/>
    <w:rsid w:val="007F2A97"/>
    <w:rsid w:val="007F3388"/>
    <w:rsid w:val="007F33F1"/>
    <w:rsid w:val="007F349E"/>
    <w:rsid w:val="007F3529"/>
    <w:rsid w:val="007F3ECA"/>
    <w:rsid w:val="007F408A"/>
    <w:rsid w:val="007F4425"/>
    <w:rsid w:val="007F49FA"/>
    <w:rsid w:val="007F4BBE"/>
    <w:rsid w:val="007F4BC8"/>
    <w:rsid w:val="007F4EC6"/>
    <w:rsid w:val="007F54C4"/>
    <w:rsid w:val="007F5D96"/>
    <w:rsid w:val="007F6036"/>
    <w:rsid w:val="007F60A8"/>
    <w:rsid w:val="007F6130"/>
    <w:rsid w:val="007F6331"/>
    <w:rsid w:val="007F63E9"/>
    <w:rsid w:val="007F6936"/>
    <w:rsid w:val="007F6B2B"/>
    <w:rsid w:val="007F6E24"/>
    <w:rsid w:val="007F6E9A"/>
    <w:rsid w:val="007F729D"/>
    <w:rsid w:val="007F7605"/>
    <w:rsid w:val="007F7608"/>
    <w:rsid w:val="007F7663"/>
    <w:rsid w:val="007F7AF1"/>
    <w:rsid w:val="007F7D9D"/>
    <w:rsid w:val="007F7FD1"/>
    <w:rsid w:val="007F7FF9"/>
    <w:rsid w:val="0080036F"/>
    <w:rsid w:val="00800625"/>
    <w:rsid w:val="00800CCD"/>
    <w:rsid w:val="00800E29"/>
    <w:rsid w:val="00800F4F"/>
    <w:rsid w:val="008010E7"/>
    <w:rsid w:val="0080128E"/>
    <w:rsid w:val="008013CD"/>
    <w:rsid w:val="00801F65"/>
    <w:rsid w:val="00801FAC"/>
    <w:rsid w:val="0080218D"/>
    <w:rsid w:val="008021B9"/>
    <w:rsid w:val="00802317"/>
    <w:rsid w:val="008027FB"/>
    <w:rsid w:val="00802C9C"/>
    <w:rsid w:val="00803462"/>
    <w:rsid w:val="0080352B"/>
    <w:rsid w:val="008036CE"/>
    <w:rsid w:val="0080372D"/>
    <w:rsid w:val="00803A9A"/>
    <w:rsid w:val="00803B9D"/>
    <w:rsid w:val="008044A4"/>
    <w:rsid w:val="008044D4"/>
    <w:rsid w:val="0080484B"/>
    <w:rsid w:val="00805129"/>
    <w:rsid w:val="008051C2"/>
    <w:rsid w:val="0080572E"/>
    <w:rsid w:val="008057BF"/>
    <w:rsid w:val="00805880"/>
    <w:rsid w:val="00805990"/>
    <w:rsid w:val="00805A25"/>
    <w:rsid w:val="00805A5B"/>
    <w:rsid w:val="00805D3D"/>
    <w:rsid w:val="00806119"/>
    <w:rsid w:val="00806197"/>
    <w:rsid w:val="00806EF4"/>
    <w:rsid w:val="0080728C"/>
    <w:rsid w:val="00807760"/>
    <w:rsid w:val="00807EB2"/>
    <w:rsid w:val="00810221"/>
    <w:rsid w:val="0081034F"/>
    <w:rsid w:val="0081078C"/>
    <w:rsid w:val="008107FE"/>
    <w:rsid w:val="00810A36"/>
    <w:rsid w:val="00810AB4"/>
    <w:rsid w:val="00810B86"/>
    <w:rsid w:val="00810BB3"/>
    <w:rsid w:val="00811046"/>
    <w:rsid w:val="008111D0"/>
    <w:rsid w:val="00811344"/>
    <w:rsid w:val="00811548"/>
    <w:rsid w:val="00811A67"/>
    <w:rsid w:val="00811B36"/>
    <w:rsid w:val="008120EE"/>
    <w:rsid w:val="0081226F"/>
    <w:rsid w:val="00812941"/>
    <w:rsid w:val="00812AA4"/>
    <w:rsid w:val="00812F3A"/>
    <w:rsid w:val="0081373A"/>
    <w:rsid w:val="008137A3"/>
    <w:rsid w:val="00813940"/>
    <w:rsid w:val="008141AF"/>
    <w:rsid w:val="0081431F"/>
    <w:rsid w:val="00814586"/>
    <w:rsid w:val="00814811"/>
    <w:rsid w:val="00814A32"/>
    <w:rsid w:val="00814DE8"/>
    <w:rsid w:val="00815080"/>
    <w:rsid w:val="0081541E"/>
    <w:rsid w:val="00815AAC"/>
    <w:rsid w:val="0081613D"/>
    <w:rsid w:val="008162AF"/>
    <w:rsid w:val="00816923"/>
    <w:rsid w:val="00816D7F"/>
    <w:rsid w:val="00816E22"/>
    <w:rsid w:val="0081701B"/>
    <w:rsid w:val="00817294"/>
    <w:rsid w:val="00817708"/>
    <w:rsid w:val="00817B25"/>
    <w:rsid w:val="00817B56"/>
    <w:rsid w:val="00817ECC"/>
    <w:rsid w:val="00817EFA"/>
    <w:rsid w:val="008201A1"/>
    <w:rsid w:val="00820885"/>
    <w:rsid w:val="00820B0A"/>
    <w:rsid w:val="00820C7C"/>
    <w:rsid w:val="00821055"/>
    <w:rsid w:val="00821619"/>
    <w:rsid w:val="008217D5"/>
    <w:rsid w:val="00821919"/>
    <w:rsid w:val="00821A88"/>
    <w:rsid w:val="008220DA"/>
    <w:rsid w:val="00822743"/>
    <w:rsid w:val="00822CCE"/>
    <w:rsid w:val="0082322E"/>
    <w:rsid w:val="0082329C"/>
    <w:rsid w:val="008239CC"/>
    <w:rsid w:val="00823EC9"/>
    <w:rsid w:val="0082453D"/>
    <w:rsid w:val="00824842"/>
    <w:rsid w:val="00824950"/>
    <w:rsid w:val="0082495D"/>
    <w:rsid w:val="00824B53"/>
    <w:rsid w:val="00824B9D"/>
    <w:rsid w:val="00824C69"/>
    <w:rsid w:val="00824D6C"/>
    <w:rsid w:val="00824EF5"/>
    <w:rsid w:val="0082573F"/>
    <w:rsid w:val="00825B5B"/>
    <w:rsid w:val="00825C72"/>
    <w:rsid w:val="008266D9"/>
    <w:rsid w:val="0082687B"/>
    <w:rsid w:val="00826897"/>
    <w:rsid w:val="008268D7"/>
    <w:rsid w:val="008268F2"/>
    <w:rsid w:val="00826BDE"/>
    <w:rsid w:val="00826D0B"/>
    <w:rsid w:val="00826EBC"/>
    <w:rsid w:val="00826ECB"/>
    <w:rsid w:val="00826EE0"/>
    <w:rsid w:val="00827952"/>
    <w:rsid w:val="00827F2C"/>
    <w:rsid w:val="00830088"/>
    <w:rsid w:val="00830400"/>
    <w:rsid w:val="00830CFE"/>
    <w:rsid w:val="00831573"/>
    <w:rsid w:val="00831AC3"/>
    <w:rsid w:val="00831B56"/>
    <w:rsid w:val="00831BE8"/>
    <w:rsid w:val="00831EE7"/>
    <w:rsid w:val="00831F0F"/>
    <w:rsid w:val="00831FCD"/>
    <w:rsid w:val="008320E4"/>
    <w:rsid w:val="00832148"/>
    <w:rsid w:val="0083218F"/>
    <w:rsid w:val="0083228E"/>
    <w:rsid w:val="0083236E"/>
    <w:rsid w:val="0083248F"/>
    <w:rsid w:val="00832720"/>
    <w:rsid w:val="0083277F"/>
    <w:rsid w:val="00832D8D"/>
    <w:rsid w:val="00832DD9"/>
    <w:rsid w:val="008330C3"/>
    <w:rsid w:val="00833305"/>
    <w:rsid w:val="0083340C"/>
    <w:rsid w:val="00833F36"/>
    <w:rsid w:val="00833FCA"/>
    <w:rsid w:val="0083417E"/>
    <w:rsid w:val="0083426B"/>
    <w:rsid w:val="00834494"/>
    <w:rsid w:val="008345A2"/>
    <w:rsid w:val="00834842"/>
    <w:rsid w:val="008348D0"/>
    <w:rsid w:val="00834905"/>
    <w:rsid w:val="00834E77"/>
    <w:rsid w:val="00835050"/>
    <w:rsid w:val="008352EB"/>
    <w:rsid w:val="00835440"/>
    <w:rsid w:val="008357A2"/>
    <w:rsid w:val="008359EF"/>
    <w:rsid w:val="00835C3E"/>
    <w:rsid w:val="00835C73"/>
    <w:rsid w:val="008363B6"/>
    <w:rsid w:val="008366F4"/>
    <w:rsid w:val="00836CCB"/>
    <w:rsid w:val="00836FB8"/>
    <w:rsid w:val="00836FCE"/>
    <w:rsid w:val="0083721B"/>
    <w:rsid w:val="00837990"/>
    <w:rsid w:val="00837C7D"/>
    <w:rsid w:val="00837E72"/>
    <w:rsid w:val="00840036"/>
    <w:rsid w:val="00840397"/>
    <w:rsid w:val="0084063D"/>
    <w:rsid w:val="008406CE"/>
    <w:rsid w:val="008406E1"/>
    <w:rsid w:val="0084077C"/>
    <w:rsid w:val="00840782"/>
    <w:rsid w:val="008408BE"/>
    <w:rsid w:val="008408DD"/>
    <w:rsid w:val="008408FF"/>
    <w:rsid w:val="0084093E"/>
    <w:rsid w:val="00840A21"/>
    <w:rsid w:val="008416E1"/>
    <w:rsid w:val="0084208C"/>
    <w:rsid w:val="00842272"/>
    <w:rsid w:val="008424E8"/>
    <w:rsid w:val="0084285C"/>
    <w:rsid w:val="00842861"/>
    <w:rsid w:val="0084297A"/>
    <w:rsid w:val="00842B39"/>
    <w:rsid w:val="00842B49"/>
    <w:rsid w:val="00842BF2"/>
    <w:rsid w:val="00842D4E"/>
    <w:rsid w:val="00842DCF"/>
    <w:rsid w:val="00842F0E"/>
    <w:rsid w:val="00843081"/>
    <w:rsid w:val="008430F4"/>
    <w:rsid w:val="008437C5"/>
    <w:rsid w:val="00843C59"/>
    <w:rsid w:val="00843E90"/>
    <w:rsid w:val="00843FF6"/>
    <w:rsid w:val="0084432F"/>
    <w:rsid w:val="00844504"/>
    <w:rsid w:val="008446B2"/>
    <w:rsid w:val="00844727"/>
    <w:rsid w:val="00844923"/>
    <w:rsid w:val="0084518B"/>
    <w:rsid w:val="00845388"/>
    <w:rsid w:val="00845464"/>
    <w:rsid w:val="00845893"/>
    <w:rsid w:val="0084592D"/>
    <w:rsid w:val="00845AAB"/>
    <w:rsid w:val="00845B23"/>
    <w:rsid w:val="00845DBD"/>
    <w:rsid w:val="008461D0"/>
    <w:rsid w:val="00846407"/>
    <w:rsid w:val="0084645E"/>
    <w:rsid w:val="0084675B"/>
    <w:rsid w:val="00846AE6"/>
    <w:rsid w:val="00846B02"/>
    <w:rsid w:val="00846DC0"/>
    <w:rsid w:val="00846F60"/>
    <w:rsid w:val="008475C9"/>
    <w:rsid w:val="008476CA"/>
    <w:rsid w:val="00850422"/>
    <w:rsid w:val="008508D1"/>
    <w:rsid w:val="00850A2B"/>
    <w:rsid w:val="00850B0C"/>
    <w:rsid w:val="00850CB3"/>
    <w:rsid w:val="00851549"/>
    <w:rsid w:val="008516CD"/>
    <w:rsid w:val="0085194F"/>
    <w:rsid w:val="00851F1F"/>
    <w:rsid w:val="00851F3F"/>
    <w:rsid w:val="00852340"/>
    <w:rsid w:val="008526A3"/>
    <w:rsid w:val="008528C5"/>
    <w:rsid w:val="00852D8D"/>
    <w:rsid w:val="00852FE2"/>
    <w:rsid w:val="0085354E"/>
    <w:rsid w:val="00853E7E"/>
    <w:rsid w:val="00853F55"/>
    <w:rsid w:val="008542C8"/>
    <w:rsid w:val="00854473"/>
    <w:rsid w:val="008545D9"/>
    <w:rsid w:val="00854B7A"/>
    <w:rsid w:val="00854BD1"/>
    <w:rsid w:val="00854DAC"/>
    <w:rsid w:val="00854FE5"/>
    <w:rsid w:val="008554A4"/>
    <w:rsid w:val="00855F3E"/>
    <w:rsid w:val="00856658"/>
    <w:rsid w:val="00856856"/>
    <w:rsid w:val="0085685B"/>
    <w:rsid w:val="008569A9"/>
    <w:rsid w:val="008569B0"/>
    <w:rsid w:val="00856EDC"/>
    <w:rsid w:val="00856F17"/>
    <w:rsid w:val="00857156"/>
    <w:rsid w:val="0085726B"/>
    <w:rsid w:val="008573C9"/>
    <w:rsid w:val="008574BE"/>
    <w:rsid w:val="008577A3"/>
    <w:rsid w:val="00857C91"/>
    <w:rsid w:val="0086009D"/>
    <w:rsid w:val="00860388"/>
    <w:rsid w:val="00860402"/>
    <w:rsid w:val="00860430"/>
    <w:rsid w:val="00860F26"/>
    <w:rsid w:val="008619F7"/>
    <w:rsid w:val="008620D5"/>
    <w:rsid w:val="008623B5"/>
    <w:rsid w:val="008624E0"/>
    <w:rsid w:val="008629E9"/>
    <w:rsid w:val="00863252"/>
    <w:rsid w:val="008632B3"/>
    <w:rsid w:val="008634DF"/>
    <w:rsid w:val="00863D41"/>
    <w:rsid w:val="00863DB6"/>
    <w:rsid w:val="00863EC8"/>
    <w:rsid w:val="00863EE7"/>
    <w:rsid w:val="008645C3"/>
    <w:rsid w:val="00864797"/>
    <w:rsid w:val="00864CD8"/>
    <w:rsid w:val="00864D46"/>
    <w:rsid w:val="00864EE9"/>
    <w:rsid w:val="008652C4"/>
    <w:rsid w:val="0086546A"/>
    <w:rsid w:val="008654DE"/>
    <w:rsid w:val="00865876"/>
    <w:rsid w:val="0086593D"/>
    <w:rsid w:val="008659AE"/>
    <w:rsid w:val="0086632F"/>
    <w:rsid w:val="00866AB3"/>
    <w:rsid w:val="00866DC8"/>
    <w:rsid w:val="00867004"/>
    <w:rsid w:val="008670C7"/>
    <w:rsid w:val="008678CB"/>
    <w:rsid w:val="00867AD5"/>
    <w:rsid w:val="00867C64"/>
    <w:rsid w:val="0087003B"/>
    <w:rsid w:val="008701A6"/>
    <w:rsid w:val="008703C9"/>
    <w:rsid w:val="008705E0"/>
    <w:rsid w:val="00870857"/>
    <w:rsid w:val="008708CC"/>
    <w:rsid w:val="00870A70"/>
    <w:rsid w:val="00870ABA"/>
    <w:rsid w:val="00870C92"/>
    <w:rsid w:val="00870FC5"/>
    <w:rsid w:val="00871083"/>
    <w:rsid w:val="008710E1"/>
    <w:rsid w:val="008711DC"/>
    <w:rsid w:val="00871379"/>
    <w:rsid w:val="008714A2"/>
    <w:rsid w:val="008714B8"/>
    <w:rsid w:val="008716E5"/>
    <w:rsid w:val="00871D14"/>
    <w:rsid w:val="00871DFA"/>
    <w:rsid w:val="00871F27"/>
    <w:rsid w:val="008721F9"/>
    <w:rsid w:val="00872656"/>
    <w:rsid w:val="00872854"/>
    <w:rsid w:val="00872993"/>
    <w:rsid w:val="008729EA"/>
    <w:rsid w:val="00872D97"/>
    <w:rsid w:val="00872DBE"/>
    <w:rsid w:val="008730D8"/>
    <w:rsid w:val="008733E4"/>
    <w:rsid w:val="008735D7"/>
    <w:rsid w:val="008736E3"/>
    <w:rsid w:val="00873E09"/>
    <w:rsid w:val="00873E99"/>
    <w:rsid w:val="00873EAA"/>
    <w:rsid w:val="00874096"/>
    <w:rsid w:val="0087436F"/>
    <w:rsid w:val="00875006"/>
    <w:rsid w:val="00875069"/>
    <w:rsid w:val="008752AD"/>
    <w:rsid w:val="0087570E"/>
    <w:rsid w:val="00875778"/>
    <w:rsid w:val="008757E7"/>
    <w:rsid w:val="00875BE1"/>
    <w:rsid w:val="00875CEC"/>
    <w:rsid w:val="008761B5"/>
    <w:rsid w:val="008761C2"/>
    <w:rsid w:val="00876273"/>
    <w:rsid w:val="0087669B"/>
    <w:rsid w:val="008773FA"/>
    <w:rsid w:val="00877A00"/>
    <w:rsid w:val="00877A94"/>
    <w:rsid w:val="00877BBE"/>
    <w:rsid w:val="00880328"/>
    <w:rsid w:val="008808ED"/>
    <w:rsid w:val="00880BEF"/>
    <w:rsid w:val="00880C38"/>
    <w:rsid w:val="00880D63"/>
    <w:rsid w:val="00880FD2"/>
    <w:rsid w:val="00881321"/>
    <w:rsid w:val="00881CA9"/>
    <w:rsid w:val="00881F31"/>
    <w:rsid w:val="00882249"/>
    <w:rsid w:val="00882657"/>
    <w:rsid w:val="00882977"/>
    <w:rsid w:val="00882981"/>
    <w:rsid w:val="0088318A"/>
    <w:rsid w:val="008835BD"/>
    <w:rsid w:val="00883621"/>
    <w:rsid w:val="00883628"/>
    <w:rsid w:val="008838FF"/>
    <w:rsid w:val="00883918"/>
    <w:rsid w:val="00883B02"/>
    <w:rsid w:val="00883CC8"/>
    <w:rsid w:val="00883CFF"/>
    <w:rsid w:val="00883F70"/>
    <w:rsid w:val="0088416A"/>
    <w:rsid w:val="008842C5"/>
    <w:rsid w:val="008844CC"/>
    <w:rsid w:val="008845C3"/>
    <w:rsid w:val="008848DC"/>
    <w:rsid w:val="00884A98"/>
    <w:rsid w:val="00884D90"/>
    <w:rsid w:val="00884E65"/>
    <w:rsid w:val="00884F70"/>
    <w:rsid w:val="008850C4"/>
    <w:rsid w:val="0088512B"/>
    <w:rsid w:val="008851C0"/>
    <w:rsid w:val="008852B4"/>
    <w:rsid w:val="00885544"/>
    <w:rsid w:val="00885680"/>
    <w:rsid w:val="008862D1"/>
    <w:rsid w:val="0088634E"/>
    <w:rsid w:val="00886939"/>
    <w:rsid w:val="00886B13"/>
    <w:rsid w:val="0088727B"/>
    <w:rsid w:val="00887372"/>
    <w:rsid w:val="008873C6"/>
    <w:rsid w:val="00887410"/>
    <w:rsid w:val="00887582"/>
    <w:rsid w:val="00887662"/>
    <w:rsid w:val="00887802"/>
    <w:rsid w:val="0089024D"/>
    <w:rsid w:val="00890B1B"/>
    <w:rsid w:val="00890C2E"/>
    <w:rsid w:val="00890CCA"/>
    <w:rsid w:val="00890FCE"/>
    <w:rsid w:val="00891458"/>
    <w:rsid w:val="00891BA9"/>
    <w:rsid w:val="00892036"/>
    <w:rsid w:val="00893242"/>
    <w:rsid w:val="00893661"/>
    <w:rsid w:val="008937E8"/>
    <w:rsid w:val="00893960"/>
    <w:rsid w:val="008939D6"/>
    <w:rsid w:val="00893AB8"/>
    <w:rsid w:val="00893BD1"/>
    <w:rsid w:val="00893C11"/>
    <w:rsid w:val="00893D4B"/>
    <w:rsid w:val="00893F48"/>
    <w:rsid w:val="008946A8"/>
    <w:rsid w:val="00894B19"/>
    <w:rsid w:val="00894BF7"/>
    <w:rsid w:val="00894D26"/>
    <w:rsid w:val="00894F3A"/>
    <w:rsid w:val="00894F62"/>
    <w:rsid w:val="0089528B"/>
    <w:rsid w:val="00895343"/>
    <w:rsid w:val="0089549A"/>
    <w:rsid w:val="008956EB"/>
    <w:rsid w:val="00896570"/>
    <w:rsid w:val="008965F0"/>
    <w:rsid w:val="008968B3"/>
    <w:rsid w:val="00896989"/>
    <w:rsid w:val="00896EAB"/>
    <w:rsid w:val="00897C6B"/>
    <w:rsid w:val="00897F29"/>
    <w:rsid w:val="008A04C8"/>
    <w:rsid w:val="008A1507"/>
    <w:rsid w:val="008A16DE"/>
    <w:rsid w:val="008A17C8"/>
    <w:rsid w:val="008A1D84"/>
    <w:rsid w:val="008A274C"/>
    <w:rsid w:val="008A2D32"/>
    <w:rsid w:val="008A300C"/>
    <w:rsid w:val="008A301F"/>
    <w:rsid w:val="008A39C5"/>
    <w:rsid w:val="008A3B25"/>
    <w:rsid w:val="008A3EA8"/>
    <w:rsid w:val="008A4090"/>
    <w:rsid w:val="008A445A"/>
    <w:rsid w:val="008A4991"/>
    <w:rsid w:val="008A49C7"/>
    <w:rsid w:val="008A4A1D"/>
    <w:rsid w:val="008A4B8C"/>
    <w:rsid w:val="008A4C84"/>
    <w:rsid w:val="008A4E38"/>
    <w:rsid w:val="008A4F1C"/>
    <w:rsid w:val="008A52CA"/>
    <w:rsid w:val="008A5784"/>
    <w:rsid w:val="008A5D94"/>
    <w:rsid w:val="008A5E4C"/>
    <w:rsid w:val="008A601C"/>
    <w:rsid w:val="008A651A"/>
    <w:rsid w:val="008A6535"/>
    <w:rsid w:val="008A65BF"/>
    <w:rsid w:val="008A6913"/>
    <w:rsid w:val="008A6D15"/>
    <w:rsid w:val="008A6DB5"/>
    <w:rsid w:val="008A703A"/>
    <w:rsid w:val="008A7159"/>
    <w:rsid w:val="008A72EC"/>
    <w:rsid w:val="008A74BE"/>
    <w:rsid w:val="008A763B"/>
    <w:rsid w:val="008A765C"/>
    <w:rsid w:val="008B0157"/>
    <w:rsid w:val="008B01A2"/>
    <w:rsid w:val="008B068B"/>
    <w:rsid w:val="008B0831"/>
    <w:rsid w:val="008B0870"/>
    <w:rsid w:val="008B1331"/>
    <w:rsid w:val="008B159B"/>
    <w:rsid w:val="008B1C83"/>
    <w:rsid w:val="008B20FE"/>
    <w:rsid w:val="008B219C"/>
    <w:rsid w:val="008B270A"/>
    <w:rsid w:val="008B292D"/>
    <w:rsid w:val="008B2F15"/>
    <w:rsid w:val="008B31C5"/>
    <w:rsid w:val="008B393C"/>
    <w:rsid w:val="008B3BF6"/>
    <w:rsid w:val="008B4105"/>
    <w:rsid w:val="008B4D26"/>
    <w:rsid w:val="008B530E"/>
    <w:rsid w:val="008B5497"/>
    <w:rsid w:val="008B5853"/>
    <w:rsid w:val="008B5CE9"/>
    <w:rsid w:val="008B5D3E"/>
    <w:rsid w:val="008B607C"/>
    <w:rsid w:val="008B679E"/>
    <w:rsid w:val="008B6928"/>
    <w:rsid w:val="008B6CA6"/>
    <w:rsid w:val="008B70F3"/>
    <w:rsid w:val="008B71C4"/>
    <w:rsid w:val="008B74FC"/>
    <w:rsid w:val="008B76A1"/>
    <w:rsid w:val="008B76DF"/>
    <w:rsid w:val="008C0576"/>
    <w:rsid w:val="008C0685"/>
    <w:rsid w:val="008C0711"/>
    <w:rsid w:val="008C07D4"/>
    <w:rsid w:val="008C082C"/>
    <w:rsid w:val="008C0868"/>
    <w:rsid w:val="008C0983"/>
    <w:rsid w:val="008C09FC"/>
    <w:rsid w:val="008C0EA7"/>
    <w:rsid w:val="008C0F73"/>
    <w:rsid w:val="008C0FD1"/>
    <w:rsid w:val="008C10F4"/>
    <w:rsid w:val="008C1316"/>
    <w:rsid w:val="008C1848"/>
    <w:rsid w:val="008C18C9"/>
    <w:rsid w:val="008C1B6F"/>
    <w:rsid w:val="008C1FC6"/>
    <w:rsid w:val="008C208E"/>
    <w:rsid w:val="008C20DE"/>
    <w:rsid w:val="008C22A6"/>
    <w:rsid w:val="008C2704"/>
    <w:rsid w:val="008C277B"/>
    <w:rsid w:val="008C2807"/>
    <w:rsid w:val="008C2A90"/>
    <w:rsid w:val="008C2E61"/>
    <w:rsid w:val="008C3B45"/>
    <w:rsid w:val="008C3CB4"/>
    <w:rsid w:val="008C3DA4"/>
    <w:rsid w:val="008C4F0C"/>
    <w:rsid w:val="008C4F16"/>
    <w:rsid w:val="008C504B"/>
    <w:rsid w:val="008C5833"/>
    <w:rsid w:val="008C5B46"/>
    <w:rsid w:val="008C6051"/>
    <w:rsid w:val="008C6268"/>
    <w:rsid w:val="008C6486"/>
    <w:rsid w:val="008C651F"/>
    <w:rsid w:val="008C65F7"/>
    <w:rsid w:val="008C6710"/>
    <w:rsid w:val="008C6ACA"/>
    <w:rsid w:val="008C6C42"/>
    <w:rsid w:val="008C6D2C"/>
    <w:rsid w:val="008C6FF6"/>
    <w:rsid w:val="008C7190"/>
    <w:rsid w:val="008C74FF"/>
    <w:rsid w:val="008C7B56"/>
    <w:rsid w:val="008C7C69"/>
    <w:rsid w:val="008C7DC6"/>
    <w:rsid w:val="008C7DCF"/>
    <w:rsid w:val="008C7E38"/>
    <w:rsid w:val="008D0303"/>
    <w:rsid w:val="008D0571"/>
    <w:rsid w:val="008D0834"/>
    <w:rsid w:val="008D0A62"/>
    <w:rsid w:val="008D1045"/>
    <w:rsid w:val="008D1527"/>
    <w:rsid w:val="008D1604"/>
    <w:rsid w:val="008D27A3"/>
    <w:rsid w:val="008D2ADA"/>
    <w:rsid w:val="008D3066"/>
    <w:rsid w:val="008D357A"/>
    <w:rsid w:val="008D3B51"/>
    <w:rsid w:val="008D3FF1"/>
    <w:rsid w:val="008D4521"/>
    <w:rsid w:val="008D46A5"/>
    <w:rsid w:val="008D52E1"/>
    <w:rsid w:val="008D5AB4"/>
    <w:rsid w:val="008D5C1F"/>
    <w:rsid w:val="008D5CAF"/>
    <w:rsid w:val="008D6322"/>
    <w:rsid w:val="008D66D6"/>
    <w:rsid w:val="008D6C3E"/>
    <w:rsid w:val="008D7098"/>
    <w:rsid w:val="008D71C8"/>
    <w:rsid w:val="008D7282"/>
    <w:rsid w:val="008D73A9"/>
    <w:rsid w:val="008D76EE"/>
    <w:rsid w:val="008D779C"/>
    <w:rsid w:val="008D7D5F"/>
    <w:rsid w:val="008E0428"/>
    <w:rsid w:val="008E094A"/>
    <w:rsid w:val="008E11D6"/>
    <w:rsid w:val="008E1388"/>
    <w:rsid w:val="008E1632"/>
    <w:rsid w:val="008E1885"/>
    <w:rsid w:val="008E1925"/>
    <w:rsid w:val="008E193A"/>
    <w:rsid w:val="008E1F8E"/>
    <w:rsid w:val="008E200B"/>
    <w:rsid w:val="008E279E"/>
    <w:rsid w:val="008E2A76"/>
    <w:rsid w:val="008E33A6"/>
    <w:rsid w:val="008E3557"/>
    <w:rsid w:val="008E36BE"/>
    <w:rsid w:val="008E374D"/>
    <w:rsid w:val="008E399C"/>
    <w:rsid w:val="008E4767"/>
    <w:rsid w:val="008E4888"/>
    <w:rsid w:val="008E4A12"/>
    <w:rsid w:val="008E4A98"/>
    <w:rsid w:val="008E4C71"/>
    <w:rsid w:val="008E4D65"/>
    <w:rsid w:val="008E56E7"/>
    <w:rsid w:val="008E5A93"/>
    <w:rsid w:val="008E5EBD"/>
    <w:rsid w:val="008E5ED8"/>
    <w:rsid w:val="008E6056"/>
    <w:rsid w:val="008E63E7"/>
    <w:rsid w:val="008E67DA"/>
    <w:rsid w:val="008E6908"/>
    <w:rsid w:val="008E6F0B"/>
    <w:rsid w:val="008E6FA9"/>
    <w:rsid w:val="008E6FCE"/>
    <w:rsid w:val="008E75AB"/>
    <w:rsid w:val="008E77CC"/>
    <w:rsid w:val="008E7A8C"/>
    <w:rsid w:val="008E7F8E"/>
    <w:rsid w:val="008F009B"/>
    <w:rsid w:val="008F0430"/>
    <w:rsid w:val="008F0566"/>
    <w:rsid w:val="008F0694"/>
    <w:rsid w:val="008F0A3F"/>
    <w:rsid w:val="008F0A64"/>
    <w:rsid w:val="008F159D"/>
    <w:rsid w:val="008F19AB"/>
    <w:rsid w:val="008F1C39"/>
    <w:rsid w:val="008F1F21"/>
    <w:rsid w:val="008F24E4"/>
    <w:rsid w:val="008F27D5"/>
    <w:rsid w:val="008F2C62"/>
    <w:rsid w:val="008F2C90"/>
    <w:rsid w:val="008F2D1D"/>
    <w:rsid w:val="008F2E4B"/>
    <w:rsid w:val="008F3221"/>
    <w:rsid w:val="008F32DD"/>
    <w:rsid w:val="008F3F62"/>
    <w:rsid w:val="008F402D"/>
    <w:rsid w:val="008F4735"/>
    <w:rsid w:val="008F493B"/>
    <w:rsid w:val="008F4A1C"/>
    <w:rsid w:val="008F4AA9"/>
    <w:rsid w:val="008F53B3"/>
    <w:rsid w:val="008F56C1"/>
    <w:rsid w:val="008F582D"/>
    <w:rsid w:val="008F5862"/>
    <w:rsid w:val="008F5A90"/>
    <w:rsid w:val="008F5CA7"/>
    <w:rsid w:val="008F5F08"/>
    <w:rsid w:val="008F6425"/>
    <w:rsid w:val="008F6CD4"/>
    <w:rsid w:val="008F6DAB"/>
    <w:rsid w:val="008F6F46"/>
    <w:rsid w:val="008F6FB6"/>
    <w:rsid w:val="008F701B"/>
    <w:rsid w:val="008F7063"/>
    <w:rsid w:val="008F7987"/>
    <w:rsid w:val="008F7DFD"/>
    <w:rsid w:val="009002EB"/>
    <w:rsid w:val="00900507"/>
    <w:rsid w:val="009007E5"/>
    <w:rsid w:val="00900821"/>
    <w:rsid w:val="00900A65"/>
    <w:rsid w:val="0090132A"/>
    <w:rsid w:val="00901496"/>
    <w:rsid w:val="00901510"/>
    <w:rsid w:val="009015E3"/>
    <w:rsid w:val="009018B6"/>
    <w:rsid w:val="00901931"/>
    <w:rsid w:val="00901B45"/>
    <w:rsid w:val="00901BE7"/>
    <w:rsid w:val="00901EEC"/>
    <w:rsid w:val="00901FD1"/>
    <w:rsid w:val="0090203B"/>
    <w:rsid w:val="00902466"/>
    <w:rsid w:val="00902729"/>
    <w:rsid w:val="009027CB"/>
    <w:rsid w:val="00902900"/>
    <w:rsid w:val="0090319A"/>
    <w:rsid w:val="0090323D"/>
    <w:rsid w:val="00903285"/>
    <w:rsid w:val="00903718"/>
    <w:rsid w:val="00903B41"/>
    <w:rsid w:val="00903E82"/>
    <w:rsid w:val="00904ABD"/>
    <w:rsid w:val="00904BD8"/>
    <w:rsid w:val="00904D23"/>
    <w:rsid w:val="00904EAB"/>
    <w:rsid w:val="00905209"/>
    <w:rsid w:val="0090520E"/>
    <w:rsid w:val="009053B8"/>
    <w:rsid w:val="009054DB"/>
    <w:rsid w:val="0090581F"/>
    <w:rsid w:val="00905900"/>
    <w:rsid w:val="00905D14"/>
    <w:rsid w:val="009060F2"/>
    <w:rsid w:val="009063CB"/>
    <w:rsid w:val="00906A4C"/>
    <w:rsid w:val="00906B6E"/>
    <w:rsid w:val="00906BC7"/>
    <w:rsid w:val="00906EDF"/>
    <w:rsid w:val="00906F40"/>
    <w:rsid w:val="00907267"/>
    <w:rsid w:val="0090731E"/>
    <w:rsid w:val="00907430"/>
    <w:rsid w:val="009079C9"/>
    <w:rsid w:val="00907A94"/>
    <w:rsid w:val="00907F19"/>
    <w:rsid w:val="00907F42"/>
    <w:rsid w:val="009101EF"/>
    <w:rsid w:val="009104C5"/>
    <w:rsid w:val="00910787"/>
    <w:rsid w:val="00910E21"/>
    <w:rsid w:val="0091154F"/>
    <w:rsid w:val="00911881"/>
    <w:rsid w:val="00911D47"/>
    <w:rsid w:val="00912585"/>
    <w:rsid w:val="00912982"/>
    <w:rsid w:val="00912BB5"/>
    <w:rsid w:val="0091307F"/>
    <w:rsid w:val="00913100"/>
    <w:rsid w:val="009131AE"/>
    <w:rsid w:val="009138E0"/>
    <w:rsid w:val="009140B7"/>
    <w:rsid w:val="0091419B"/>
    <w:rsid w:val="009141B0"/>
    <w:rsid w:val="00914435"/>
    <w:rsid w:val="0091459D"/>
    <w:rsid w:val="009145C6"/>
    <w:rsid w:val="0091550C"/>
    <w:rsid w:val="00915B1C"/>
    <w:rsid w:val="00915F62"/>
    <w:rsid w:val="009162DB"/>
    <w:rsid w:val="00916411"/>
    <w:rsid w:val="00916526"/>
    <w:rsid w:val="009167DD"/>
    <w:rsid w:val="00916ACF"/>
    <w:rsid w:val="009171DE"/>
    <w:rsid w:val="009174F3"/>
    <w:rsid w:val="009175B1"/>
    <w:rsid w:val="0091797D"/>
    <w:rsid w:val="009179AD"/>
    <w:rsid w:val="00917C2A"/>
    <w:rsid w:val="00917F2C"/>
    <w:rsid w:val="00920968"/>
    <w:rsid w:val="00920A3B"/>
    <w:rsid w:val="00920B71"/>
    <w:rsid w:val="009210A0"/>
    <w:rsid w:val="0092163A"/>
    <w:rsid w:val="00921AA5"/>
    <w:rsid w:val="00921BA2"/>
    <w:rsid w:val="00921C4B"/>
    <w:rsid w:val="00921D06"/>
    <w:rsid w:val="00921D22"/>
    <w:rsid w:val="00921D8E"/>
    <w:rsid w:val="009220E2"/>
    <w:rsid w:val="009222B5"/>
    <w:rsid w:val="009223A2"/>
    <w:rsid w:val="009225C9"/>
    <w:rsid w:val="00923168"/>
    <w:rsid w:val="00923551"/>
    <w:rsid w:val="00923CBA"/>
    <w:rsid w:val="00923CDE"/>
    <w:rsid w:val="00923EAB"/>
    <w:rsid w:val="00924216"/>
    <w:rsid w:val="0092491E"/>
    <w:rsid w:val="00924DCF"/>
    <w:rsid w:val="0092543A"/>
    <w:rsid w:val="00925675"/>
    <w:rsid w:val="00925FB3"/>
    <w:rsid w:val="00926313"/>
    <w:rsid w:val="009263D6"/>
    <w:rsid w:val="00926703"/>
    <w:rsid w:val="00926F1E"/>
    <w:rsid w:val="009274A8"/>
    <w:rsid w:val="009275BE"/>
    <w:rsid w:val="00927691"/>
    <w:rsid w:val="00927A36"/>
    <w:rsid w:val="00927A5F"/>
    <w:rsid w:val="00927ADB"/>
    <w:rsid w:val="00927CBA"/>
    <w:rsid w:val="00927D0A"/>
    <w:rsid w:val="00930510"/>
    <w:rsid w:val="00930858"/>
    <w:rsid w:val="00930A1B"/>
    <w:rsid w:val="00930D02"/>
    <w:rsid w:val="00930D8B"/>
    <w:rsid w:val="00930DA2"/>
    <w:rsid w:val="00930EF6"/>
    <w:rsid w:val="00930F51"/>
    <w:rsid w:val="00931122"/>
    <w:rsid w:val="009315B8"/>
    <w:rsid w:val="009315E2"/>
    <w:rsid w:val="00931743"/>
    <w:rsid w:val="009321BA"/>
    <w:rsid w:val="00932495"/>
    <w:rsid w:val="009328C7"/>
    <w:rsid w:val="00932A8E"/>
    <w:rsid w:val="00932ABA"/>
    <w:rsid w:val="00932D8B"/>
    <w:rsid w:val="009336BE"/>
    <w:rsid w:val="00933C75"/>
    <w:rsid w:val="009340A8"/>
    <w:rsid w:val="00934E30"/>
    <w:rsid w:val="009351D8"/>
    <w:rsid w:val="0093527E"/>
    <w:rsid w:val="009355FC"/>
    <w:rsid w:val="00935A82"/>
    <w:rsid w:val="00935B63"/>
    <w:rsid w:val="00935C6D"/>
    <w:rsid w:val="00935FA2"/>
    <w:rsid w:val="00936126"/>
    <w:rsid w:val="00936B3C"/>
    <w:rsid w:val="00936B73"/>
    <w:rsid w:val="00936E95"/>
    <w:rsid w:val="009370AE"/>
    <w:rsid w:val="00937217"/>
    <w:rsid w:val="00937386"/>
    <w:rsid w:val="009374CB"/>
    <w:rsid w:val="009374D5"/>
    <w:rsid w:val="00937643"/>
    <w:rsid w:val="00937648"/>
    <w:rsid w:val="009378FC"/>
    <w:rsid w:val="0093792F"/>
    <w:rsid w:val="00937CEA"/>
    <w:rsid w:val="00937FDC"/>
    <w:rsid w:val="0094048B"/>
    <w:rsid w:val="009404AC"/>
    <w:rsid w:val="0094078F"/>
    <w:rsid w:val="00940BAF"/>
    <w:rsid w:val="00940FA3"/>
    <w:rsid w:val="00941175"/>
    <w:rsid w:val="0094120A"/>
    <w:rsid w:val="0094140B"/>
    <w:rsid w:val="0094148B"/>
    <w:rsid w:val="009416FB"/>
    <w:rsid w:val="00941847"/>
    <w:rsid w:val="00941BA3"/>
    <w:rsid w:val="00941CFB"/>
    <w:rsid w:val="00941FB0"/>
    <w:rsid w:val="00942252"/>
    <w:rsid w:val="00942537"/>
    <w:rsid w:val="009426D4"/>
    <w:rsid w:val="009427E7"/>
    <w:rsid w:val="00942941"/>
    <w:rsid w:val="00942CF0"/>
    <w:rsid w:val="00942D34"/>
    <w:rsid w:val="00942D6A"/>
    <w:rsid w:val="00943A83"/>
    <w:rsid w:val="00943F9A"/>
    <w:rsid w:val="009442C5"/>
    <w:rsid w:val="009444A8"/>
    <w:rsid w:val="009445FC"/>
    <w:rsid w:val="00944A10"/>
    <w:rsid w:val="00944AE6"/>
    <w:rsid w:val="00945118"/>
    <w:rsid w:val="00945603"/>
    <w:rsid w:val="009457C4"/>
    <w:rsid w:val="00945A80"/>
    <w:rsid w:val="00945F46"/>
    <w:rsid w:val="0094605C"/>
    <w:rsid w:val="0094617B"/>
    <w:rsid w:val="0094674B"/>
    <w:rsid w:val="00946C75"/>
    <w:rsid w:val="00947182"/>
    <w:rsid w:val="0094746E"/>
    <w:rsid w:val="00947766"/>
    <w:rsid w:val="0094785F"/>
    <w:rsid w:val="00947913"/>
    <w:rsid w:val="00947F25"/>
    <w:rsid w:val="00950159"/>
    <w:rsid w:val="00950357"/>
    <w:rsid w:val="009506D1"/>
    <w:rsid w:val="009507F3"/>
    <w:rsid w:val="00950EAB"/>
    <w:rsid w:val="00951360"/>
    <w:rsid w:val="00951612"/>
    <w:rsid w:val="00951EF1"/>
    <w:rsid w:val="00951F23"/>
    <w:rsid w:val="00952A7F"/>
    <w:rsid w:val="00952C87"/>
    <w:rsid w:val="00952C92"/>
    <w:rsid w:val="009533C2"/>
    <w:rsid w:val="009534E2"/>
    <w:rsid w:val="00953588"/>
    <w:rsid w:val="009535BD"/>
    <w:rsid w:val="00953BE2"/>
    <w:rsid w:val="00953C8A"/>
    <w:rsid w:val="0095458E"/>
    <w:rsid w:val="00954907"/>
    <w:rsid w:val="0095490B"/>
    <w:rsid w:val="00954A39"/>
    <w:rsid w:val="00954D02"/>
    <w:rsid w:val="00954E1F"/>
    <w:rsid w:val="00955236"/>
    <w:rsid w:val="009562AA"/>
    <w:rsid w:val="009567E1"/>
    <w:rsid w:val="009569D0"/>
    <w:rsid w:val="00956B7E"/>
    <w:rsid w:val="00956C12"/>
    <w:rsid w:val="00957315"/>
    <w:rsid w:val="009573F6"/>
    <w:rsid w:val="009574A6"/>
    <w:rsid w:val="009574BB"/>
    <w:rsid w:val="00957CF4"/>
    <w:rsid w:val="00957E2D"/>
    <w:rsid w:val="00957F67"/>
    <w:rsid w:val="00960555"/>
    <w:rsid w:val="009605B8"/>
    <w:rsid w:val="00960666"/>
    <w:rsid w:val="0096087D"/>
    <w:rsid w:val="0096096A"/>
    <w:rsid w:val="00960A33"/>
    <w:rsid w:val="00960EBF"/>
    <w:rsid w:val="009610F7"/>
    <w:rsid w:val="009613B3"/>
    <w:rsid w:val="00961990"/>
    <w:rsid w:val="00961FA7"/>
    <w:rsid w:val="009623C2"/>
    <w:rsid w:val="00962C46"/>
    <w:rsid w:val="00963389"/>
    <w:rsid w:val="0096347E"/>
    <w:rsid w:val="009637E8"/>
    <w:rsid w:val="00963BA6"/>
    <w:rsid w:val="009640A6"/>
    <w:rsid w:val="0096442F"/>
    <w:rsid w:val="00964B47"/>
    <w:rsid w:val="00965612"/>
    <w:rsid w:val="00965B51"/>
    <w:rsid w:val="00965C04"/>
    <w:rsid w:val="00965DAC"/>
    <w:rsid w:val="00966229"/>
    <w:rsid w:val="009669C5"/>
    <w:rsid w:val="00966A4A"/>
    <w:rsid w:val="00966AC0"/>
    <w:rsid w:val="00966D4C"/>
    <w:rsid w:val="00966FA5"/>
    <w:rsid w:val="009670D7"/>
    <w:rsid w:val="00967357"/>
    <w:rsid w:val="009673D1"/>
    <w:rsid w:val="009676D8"/>
    <w:rsid w:val="009677F9"/>
    <w:rsid w:val="00967BCA"/>
    <w:rsid w:val="00967DB7"/>
    <w:rsid w:val="009703BA"/>
    <w:rsid w:val="00970412"/>
    <w:rsid w:val="0097079B"/>
    <w:rsid w:val="00970856"/>
    <w:rsid w:val="00970BCA"/>
    <w:rsid w:val="00970C5E"/>
    <w:rsid w:val="009711E5"/>
    <w:rsid w:val="00971545"/>
    <w:rsid w:val="00971914"/>
    <w:rsid w:val="00971949"/>
    <w:rsid w:val="00971B75"/>
    <w:rsid w:val="00971FFC"/>
    <w:rsid w:val="0097213F"/>
    <w:rsid w:val="0097232E"/>
    <w:rsid w:val="009725EB"/>
    <w:rsid w:val="009726FA"/>
    <w:rsid w:val="0097283D"/>
    <w:rsid w:val="00972C45"/>
    <w:rsid w:val="00972C89"/>
    <w:rsid w:val="00972DFE"/>
    <w:rsid w:val="00973471"/>
    <w:rsid w:val="00973DB0"/>
    <w:rsid w:val="00974363"/>
    <w:rsid w:val="009743E4"/>
    <w:rsid w:val="0097456B"/>
    <w:rsid w:val="00974708"/>
    <w:rsid w:val="009749C0"/>
    <w:rsid w:val="00974B81"/>
    <w:rsid w:val="0097504E"/>
    <w:rsid w:val="009751EF"/>
    <w:rsid w:val="00975538"/>
    <w:rsid w:val="00975666"/>
    <w:rsid w:val="00975750"/>
    <w:rsid w:val="00975B5E"/>
    <w:rsid w:val="00975D14"/>
    <w:rsid w:val="00975E1D"/>
    <w:rsid w:val="00975F2C"/>
    <w:rsid w:val="00975F80"/>
    <w:rsid w:val="00976147"/>
    <w:rsid w:val="0097616A"/>
    <w:rsid w:val="00976212"/>
    <w:rsid w:val="0097622C"/>
    <w:rsid w:val="0097650F"/>
    <w:rsid w:val="00976B51"/>
    <w:rsid w:val="00976D46"/>
    <w:rsid w:val="00976EDE"/>
    <w:rsid w:val="00977484"/>
    <w:rsid w:val="0097752C"/>
    <w:rsid w:val="0097753E"/>
    <w:rsid w:val="00977A05"/>
    <w:rsid w:val="00977A79"/>
    <w:rsid w:val="00977BAD"/>
    <w:rsid w:val="00977C23"/>
    <w:rsid w:val="00977F58"/>
    <w:rsid w:val="0098024D"/>
    <w:rsid w:val="00980397"/>
    <w:rsid w:val="00980B00"/>
    <w:rsid w:val="00980BC6"/>
    <w:rsid w:val="009812C8"/>
    <w:rsid w:val="0098140B"/>
    <w:rsid w:val="00981747"/>
    <w:rsid w:val="00981898"/>
    <w:rsid w:val="0098199A"/>
    <w:rsid w:val="009824A5"/>
    <w:rsid w:val="00982721"/>
    <w:rsid w:val="009830AB"/>
    <w:rsid w:val="009831FD"/>
    <w:rsid w:val="0098326F"/>
    <w:rsid w:val="009834B0"/>
    <w:rsid w:val="00983781"/>
    <w:rsid w:val="00984088"/>
    <w:rsid w:val="00984991"/>
    <w:rsid w:val="009852E1"/>
    <w:rsid w:val="009854FD"/>
    <w:rsid w:val="009856E9"/>
    <w:rsid w:val="009857E1"/>
    <w:rsid w:val="00985881"/>
    <w:rsid w:val="00985EF6"/>
    <w:rsid w:val="00986833"/>
    <w:rsid w:val="00986D69"/>
    <w:rsid w:val="00986E09"/>
    <w:rsid w:val="00986FDD"/>
    <w:rsid w:val="00987015"/>
    <w:rsid w:val="00987053"/>
    <w:rsid w:val="00987A53"/>
    <w:rsid w:val="00987A9B"/>
    <w:rsid w:val="009904BA"/>
    <w:rsid w:val="00990B7D"/>
    <w:rsid w:val="0099206A"/>
    <w:rsid w:val="0099236E"/>
    <w:rsid w:val="009924BB"/>
    <w:rsid w:val="009927E4"/>
    <w:rsid w:val="00992A51"/>
    <w:rsid w:val="00992B8F"/>
    <w:rsid w:val="009930E4"/>
    <w:rsid w:val="009938C2"/>
    <w:rsid w:val="0099398C"/>
    <w:rsid w:val="00993A84"/>
    <w:rsid w:val="00993E18"/>
    <w:rsid w:val="0099405B"/>
    <w:rsid w:val="009940E9"/>
    <w:rsid w:val="0099432A"/>
    <w:rsid w:val="00994404"/>
    <w:rsid w:val="009948D9"/>
    <w:rsid w:val="00994A12"/>
    <w:rsid w:val="00994AB1"/>
    <w:rsid w:val="00994CE9"/>
    <w:rsid w:val="00994D95"/>
    <w:rsid w:val="00994F40"/>
    <w:rsid w:val="0099577C"/>
    <w:rsid w:val="00995AC5"/>
    <w:rsid w:val="00995BEC"/>
    <w:rsid w:val="00995C41"/>
    <w:rsid w:val="009962ED"/>
    <w:rsid w:val="009969D0"/>
    <w:rsid w:val="00996FE9"/>
    <w:rsid w:val="00997148"/>
    <w:rsid w:val="009972B5"/>
    <w:rsid w:val="009975C3"/>
    <w:rsid w:val="0099786D"/>
    <w:rsid w:val="00997898"/>
    <w:rsid w:val="00997C5D"/>
    <w:rsid w:val="00997ED6"/>
    <w:rsid w:val="00997F28"/>
    <w:rsid w:val="009A021C"/>
    <w:rsid w:val="009A03FD"/>
    <w:rsid w:val="009A04F1"/>
    <w:rsid w:val="009A04F7"/>
    <w:rsid w:val="009A0D71"/>
    <w:rsid w:val="009A106F"/>
    <w:rsid w:val="009A10F8"/>
    <w:rsid w:val="009A1127"/>
    <w:rsid w:val="009A116F"/>
    <w:rsid w:val="009A1536"/>
    <w:rsid w:val="009A1A7D"/>
    <w:rsid w:val="009A1FE8"/>
    <w:rsid w:val="009A20C0"/>
    <w:rsid w:val="009A233D"/>
    <w:rsid w:val="009A25CC"/>
    <w:rsid w:val="009A2AB7"/>
    <w:rsid w:val="009A33F5"/>
    <w:rsid w:val="009A33FE"/>
    <w:rsid w:val="009A362C"/>
    <w:rsid w:val="009A36FF"/>
    <w:rsid w:val="009A371D"/>
    <w:rsid w:val="009A3BC0"/>
    <w:rsid w:val="009A4015"/>
    <w:rsid w:val="009A4A49"/>
    <w:rsid w:val="009A4AA9"/>
    <w:rsid w:val="009A4C67"/>
    <w:rsid w:val="009A5083"/>
    <w:rsid w:val="009A5A21"/>
    <w:rsid w:val="009A60B3"/>
    <w:rsid w:val="009A6210"/>
    <w:rsid w:val="009A6772"/>
    <w:rsid w:val="009A76C8"/>
    <w:rsid w:val="009A788E"/>
    <w:rsid w:val="009A7AFD"/>
    <w:rsid w:val="009A7FDE"/>
    <w:rsid w:val="009B0217"/>
    <w:rsid w:val="009B0346"/>
    <w:rsid w:val="009B0491"/>
    <w:rsid w:val="009B05FD"/>
    <w:rsid w:val="009B092C"/>
    <w:rsid w:val="009B0B70"/>
    <w:rsid w:val="009B0BA7"/>
    <w:rsid w:val="009B0E0D"/>
    <w:rsid w:val="009B1283"/>
    <w:rsid w:val="009B13B0"/>
    <w:rsid w:val="009B1776"/>
    <w:rsid w:val="009B17BB"/>
    <w:rsid w:val="009B1BC5"/>
    <w:rsid w:val="009B1CDC"/>
    <w:rsid w:val="009B1F9D"/>
    <w:rsid w:val="009B2094"/>
    <w:rsid w:val="009B2161"/>
    <w:rsid w:val="009B24A5"/>
    <w:rsid w:val="009B25DB"/>
    <w:rsid w:val="009B2601"/>
    <w:rsid w:val="009B2687"/>
    <w:rsid w:val="009B27C4"/>
    <w:rsid w:val="009B27CF"/>
    <w:rsid w:val="009B3390"/>
    <w:rsid w:val="009B3449"/>
    <w:rsid w:val="009B38CD"/>
    <w:rsid w:val="009B394B"/>
    <w:rsid w:val="009B3B8E"/>
    <w:rsid w:val="009B3D59"/>
    <w:rsid w:val="009B412C"/>
    <w:rsid w:val="009B4221"/>
    <w:rsid w:val="009B460D"/>
    <w:rsid w:val="009B46C7"/>
    <w:rsid w:val="009B4E9E"/>
    <w:rsid w:val="009B5488"/>
    <w:rsid w:val="009B5736"/>
    <w:rsid w:val="009B57DD"/>
    <w:rsid w:val="009B623B"/>
    <w:rsid w:val="009B67B0"/>
    <w:rsid w:val="009B67C9"/>
    <w:rsid w:val="009B687B"/>
    <w:rsid w:val="009B6DDE"/>
    <w:rsid w:val="009B78A4"/>
    <w:rsid w:val="009C015B"/>
    <w:rsid w:val="009C0AB0"/>
    <w:rsid w:val="009C0C18"/>
    <w:rsid w:val="009C1349"/>
    <w:rsid w:val="009C1690"/>
    <w:rsid w:val="009C1A3B"/>
    <w:rsid w:val="009C1AC6"/>
    <w:rsid w:val="009C2194"/>
    <w:rsid w:val="009C259F"/>
    <w:rsid w:val="009C2F6C"/>
    <w:rsid w:val="009C3062"/>
    <w:rsid w:val="009C3429"/>
    <w:rsid w:val="009C343A"/>
    <w:rsid w:val="009C3589"/>
    <w:rsid w:val="009C35E4"/>
    <w:rsid w:val="009C3782"/>
    <w:rsid w:val="009C386F"/>
    <w:rsid w:val="009C3A9F"/>
    <w:rsid w:val="009C3D4D"/>
    <w:rsid w:val="009C3E18"/>
    <w:rsid w:val="009C3F53"/>
    <w:rsid w:val="009C41E4"/>
    <w:rsid w:val="009C444D"/>
    <w:rsid w:val="009C475D"/>
    <w:rsid w:val="009C4894"/>
    <w:rsid w:val="009C490B"/>
    <w:rsid w:val="009C4A29"/>
    <w:rsid w:val="009C5273"/>
    <w:rsid w:val="009C58B8"/>
    <w:rsid w:val="009C5976"/>
    <w:rsid w:val="009C5D6F"/>
    <w:rsid w:val="009C649A"/>
    <w:rsid w:val="009C67F0"/>
    <w:rsid w:val="009C6881"/>
    <w:rsid w:val="009C6B67"/>
    <w:rsid w:val="009C6C68"/>
    <w:rsid w:val="009C6DF7"/>
    <w:rsid w:val="009C7531"/>
    <w:rsid w:val="009C75B3"/>
    <w:rsid w:val="009C7759"/>
    <w:rsid w:val="009C7AE2"/>
    <w:rsid w:val="009C7EC5"/>
    <w:rsid w:val="009D024D"/>
    <w:rsid w:val="009D043D"/>
    <w:rsid w:val="009D07C8"/>
    <w:rsid w:val="009D0959"/>
    <w:rsid w:val="009D0A49"/>
    <w:rsid w:val="009D0AC0"/>
    <w:rsid w:val="009D0F60"/>
    <w:rsid w:val="009D176A"/>
    <w:rsid w:val="009D17BE"/>
    <w:rsid w:val="009D181E"/>
    <w:rsid w:val="009D19CC"/>
    <w:rsid w:val="009D1C00"/>
    <w:rsid w:val="009D1CDA"/>
    <w:rsid w:val="009D1D16"/>
    <w:rsid w:val="009D1D1D"/>
    <w:rsid w:val="009D2004"/>
    <w:rsid w:val="009D20A1"/>
    <w:rsid w:val="009D26E3"/>
    <w:rsid w:val="009D27AB"/>
    <w:rsid w:val="009D2855"/>
    <w:rsid w:val="009D28C9"/>
    <w:rsid w:val="009D2B77"/>
    <w:rsid w:val="009D2FA3"/>
    <w:rsid w:val="009D313A"/>
    <w:rsid w:val="009D37FB"/>
    <w:rsid w:val="009D4412"/>
    <w:rsid w:val="009D450C"/>
    <w:rsid w:val="009D467F"/>
    <w:rsid w:val="009D49D2"/>
    <w:rsid w:val="009D4C85"/>
    <w:rsid w:val="009D4DE6"/>
    <w:rsid w:val="009D5073"/>
    <w:rsid w:val="009D5429"/>
    <w:rsid w:val="009D5BE7"/>
    <w:rsid w:val="009D5E3C"/>
    <w:rsid w:val="009D5F70"/>
    <w:rsid w:val="009D6181"/>
    <w:rsid w:val="009D6360"/>
    <w:rsid w:val="009D64A2"/>
    <w:rsid w:val="009D64F8"/>
    <w:rsid w:val="009D68A8"/>
    <w:rsid w:val="009D6B29"/>
    <w:rsid w:val="009D6C71"/>
    <w:rsid w:val="009D6CBE"/>
    <w:rsid w:val="009D7740"/>
    <w:rsid w:val="009D78EF"/>
    <w:rsid w:val="009D7A95"/>
    <w:rsid w:val="009D7B26"/>
    <w:rsid w:val="009D7D7C"/>
    <w:rsid w:val="009D7E17"/>
    <w:rsid w:val="009E02E9"/>
    <w:rsid w:val="009E055F"/>
    <w:rsid w:val="009E0631"/>
    <w:rsid w:val="009E090E"/>
    <w:rsid w:val="009E11F8"/>
    <w:rsid w:val="009E16D0"/>
    <w:rsid w:val="009E18BA"/>
    <w:rsid w:val="009E1A88"/>
    <w:rsid w:val="009E1F0B"/>
    <w:rsid w:val="009E2051"/>
    <w:rsid w:val="009E2609"/>
    <w:rsid w:val="009E2871"/>
    <w:rsid w:val="009E3540"/>
    <w:rsid w:val="009E38D6"/>
    <w:rsid w:val="009E38FD"/>
    <w:rsid w:val="009E440D"/>
    <w:rsid w:val="009E4AB5"/>
    <w:rsid w:val="009E4F59"/>
    <w:rsid w:val="009E544F"/>
    <w:rsid w:val="009E575F"/>
    <w:rsid w:val="009E5EE1"/>
    <w:rsid w:val="009E610E"/>
    <w:rsid w:val="009E642F"/>
    <w:rsid w:val="009E6C22"/>
    <w:rsid w:val="009E70D3"/>
    <w:rsid w:val="009E725A"/>
    <w:rsid w:val="009E7534"/>
    <w:rsid w:val="009E75F4"/>
    <w:rsid w:val="009E7A0A"/>
    <w:rsid w:val="009E7AD2"/>
    <w:rsid w:val="009F01C5"/>
    <w:rsid w:val="009F060D"/>
    <w:rsid w:val="009F08B2"/>
    <w:rsid w:val="009F0BC6"/>
    <w:rsid w:val="009F0E73"/>
    <w:rsid w:val="009F0FB3"/>
    <w:rsid w:val="009F13D6"/>
    <w:rsid w:val="009F1836"/>
    <w:rsid w:val="009F1977"/>
    <w:rsid w:val="009F1A37"/>
    <w:rsid w:val="009F1A5C"/>
    <w:rsid w:val="009F1E8F"/>
    <w:rsid w:val="009F1EE0"/>
    <w:rsid w:val="009F1F87"/>
    <w:rsid w:val="009F2294"/>
    <w:rsid w:val="009F26CC"/>
    <w:rsid w:val="009F28ED"/>
    <w:rsid w:val="009F2A0D"/>
    <w:rsid w:val="009F33C2"/>
    <w:rsid w:val="009F3CE0"/>
    <w:rsid w:val="009F4256"/>
    <w:rsid w:val="009F428C"/>
    <w:rsid w:val="009F4B04"/>
    <w:rsid w:val="009F4BF6"/>
    <w:rsid w:val="009F4C6B"/>
    <w:rsid w:val="009F4C89"/>
    <w:rsid w:val="009F5053"/>
    <w:rsid w:val="009F646B"/>
    <w:rsid w:val="009F6646"/>
    <w:rsid w:val="009F6A33"/>
    <w:rsid w:val="009F6A6B"/>
    <w:rsid w:val="009F6E26"/>
    <w:rsid w:val="009F6F34"/>
    <w:rsid w:val="009F71CD"/>
    <w:rsid w:val="009F7591"/>
    <w:rsid w:val="009F76E7"/>
    <w:rsid w:val="009F78A8"/>
    <w:rsid w:val="009F7D21"/>
    <w:rsid w:val="00A00412"/>
    <w:rsid w:val="00A00428"/>
    <w:rsid w:val="00A00516"/>
    <w:rsid w:val="00A00AE4"/>
    <w:rsid w:val="00A01010"/>
    <w:rsid w:val="00A01278"/>
    <w:rsid w:val="00A01399"/>
    <w:rsid w:val="00A01683"/>
    <w:rsid w:val="00A01AEA"/>
    <w:rsid w:val="00A01EBA"/>
    <w:rsid w:val="00A0258A"/>
    <w:rsid w:val="00A029D9"/>
    <w:rsid w:val="00A02AD6"/>
    <w:rsid w:val="00A02F60"/>
    <w:rsid w:val="00A0323E"/>
    <w:rsid w:val="00A032AE"/>
    <w:rsid w:val="00A037F1"/>
    <w:rsid w:val="00A03AAD"/>
    <w:rsid w:val="00A03C2F"/>
    <w:rsid w:val="00A03D85"/>
    <w:rsid w:val="00A03EDC"/>
    <w:rsid w:val="00A03F86"/>
    <w:rsid w:val="00A041B8"/>
    <w:rsid w:val="00A04B8B"/>
    <w:rsid w:val="00A04D81"/>
    <w:rsid w:val="00A05159"/>
    <w:rsid w:val="00A053E3"/>
    <w:rsid w:val="00A0561B"/>
    <w:rsid w:val="00A05C2B"/>
    <w:rsid w:val="00A05C8C"/>
    <w:rsid w:val="00A06306"/>
    <w:rsid w:val="00A065D7"/>
    <w:rsid w:val="00A066E3"/>
    <w:rsid w:val="00A07096"/>
    <w:rsid w:val="00A07318"/>
    <w:rsid w:val="00A073F7"/>
    <w:rsid w:val="00A07A54"/>
    <w:rsid w:val="00A07C89"/>
    <w:rsid w:val="00A10314"/>
    <w:rsid w:val="00A10441"/>
    <w:rsid w:val="00A109B9"/>
    <w:rsid w:val="00A10C65"/>
    <w:rsid w:val="00A10FF6"/>
    <w:rsid w:val="00A1126C"/>
    <w:rsid w:val="00A11370"/>
    <w:rsid w:val="00A113D0"/>
    <w:rsid w:val="00A11C68"/>
    <w:rsid w:val="00A11EF6"/>
    <w:rsid w:val="00A124C0"/>
    <w:rsid w:val="00A124FC"/>
    <w:rsid w:val="00A12E85"/>
    <w:rsid w:val="00A1316F"/>
    <w:rsid w:val="00A135B0"/>
    <w:rsid w:val="00A142CE"/>
    <w:rsid w:val="00A144CF"/>
    <w:rsid w:val="00A14582"/>
    <w:rsid w:val="00A145F4"/>
    <w:rsid w:val="00A14F98"/>
    <w:rsid w:val="00A15151"/>
    <w:rsid w:val="00A15191"/>
    <w:rsid w:val="00A15524"/>
    <w:rsid w:val="00A15685"/>
    <w:rsid w:val="00A1580B"/>
    <w:rsid w:val="00A159C6"/>
    <w:rsid w:val="00A159D2"/>
    <w:rsid w:val="00A161BF"/>
    <w:rsid w:val="00A1627C"/>
    <w:rsid w:val="00A1630D"/>
    <w:rsid w:val="00A164DA"/>
    <w:rsid w:val="00A1656E"/>
    <w:rsid w:val="00A1673D"/>
    <w:rsid w:val="00A16938"/>
    <w:rsid w:val="00A16986"/>
    <w:rsid w:val="00A16AAF"/>
    <w:rsid w:val="00A16AFF"/>
    <w:rsid w:val="00A17905"/>
    <w:rsid w:val="00A17DEE"/>
    <w:rsid w:val="00A200D2"/>
    <w:rsid w:val="00A20167"/>
    <w:rsid w:val="00A201BE"/>
    <w:rsid w:val="00A202BA"/>
    <w:rsid w:val="00A20392"/>
    <w:rsid w:val="00A20664"/>
    <w:rsid w:val="00A20D25"/>
    <w:rsid w:val="00A20F88"/>
    <w:rsid w:val="00A20FDD"/>
    <w:rsid w:val="00A21B29"/>
    <w:rsid w:val="00A21BE3"/>
    <w:rsid w:val="00A21D18"/>
    <w:rsid w:val="00A22309"/>
    <w:rsid w:val="00A224CE"/>
    <w:rsid w:val="00A22522"/>
    <w:rsid w:val="00A228AE"/>
    <w:rsid w:val="00A22A71"/>
    <w:rsid w:val="00A22BE6"/>
    <w:rsid w:val="00A22D6C"/>
    <w:rsid w:val="00A23870"/>
    <w:rsid w:val="00A23A43"/>
    <w:rsid w:val="00A23B22"/>
    <w:rsid w:val="00A23B91"/>
    <w:rsid w:val="00A23B97"/>
    <w:rsid w:val="00A23BF6"/>
    <w:rsid w:val="00A2411F"/>
    <w:rsid w:val="00A2420E"/>
    <w:rsid w:val="00A242D0"/>
    <w:rsid w:val="00A245C2"/>
    <w:rsid w:val="00A24611"/>
    <w:rsid w:val="00A2493C"/>
    <w:rsid w:val="00A24AFD"/>
    <w:rsid w:val="00A24C0F"/>
    <w:rsid w:val="00A24F5C"/>
    <w:rsid w:val="00A251A4"/>
    <w:rsid w:val="00A254F4"/>
    <w:rsid w:val="00A25D3C"/>
    <w:rsid w:val="00A26178"/>
    <w:rsid w:val="00A263E3"/>
    <w:rsid w:val="00A2642B"/>
    <w:rsid w:val="00A265E2"/>
    <w:rsid w:val="00A268EF"/>
    <w:rsid w:val="00A26975"/>
    <w:rsid w:val="00A26A43"/>
    <w:rsid w:val="00A26AA4"/>
    <w:rsid w:val="00A26B01"/>
    <w:rsid w:val="00A2730A"/>
    <w:rsid w:val="00A27455"/>
    <w:rsid w:val="00A27808"/>
    <w:rsid w:val="00A2790C"/>
    <w:rsid w:val="00A27E13"/>
    <w:rsid w:val="00A27EEF"/>
    <w:rsid w:val="00A3049F"/>
    <w:rsid w:val="00A3089D"/>
    <w:rsid w:val="00A31086"/>
    <w:rsid w:val="00A312A0"/>
    <w:rsid w:val="00A314B6"/>
    <w:rsid w:val="00A314B8"/>
    <w:rsid w:val="00A3186B"/>
    <w:rsid w:val="00A319C6"/>
    <w:rsid w:val="00A32659"/>
    <w:rsid w:val="00A32D7E"/>
    <w:rsid w:val="00A32F96"/>
    <w:rsid w:val="00A33004"/>
    <w:rsid w:val="00A3367E"/>
    <w:rsid w:val="00A337A3"/>
    <w:rsid w:val="00A33C1F"/>
    <w:rsid w:val="00A33D2C"/>
    <w:rsid w:val="00A33E56"/>
    <w:rsid w:val="00A34314"/>
    <w:rsid w:val="00A3433F"/>
    <w:rsid w:val="00A34804"/>
    <w:rsid w:val="00A350BB"/>
    <w:rsid w:val="00A35281"/>
    <w:rsid w:val="00A3560E"/>
    <w:rsid w:val="00A36023"/>
    <w:rsid w:val="00A36091"/>
    <w:rsid w:val="00A3623C"/>
    <w:rsid w:val="00A36627"/>
    <w:rsid w:val="00A368FE"/>
    <w:rsid w:val="00A36AC1"/>
    <w:rsid w:val="00A37888"/>
    <w:rsid w:val="00A37EB9"/>
    <w:rsid w:val="00A40602"/>
    <w:rsid w:val="00A40871"/>
    <w:rsid w:val="00A40CBF"/>
    <w:rsid w:val="00A40EDC"/>
    <w:rsid w:val="00A40F35"/>
    <w:rsid w:val="00A412AB"/>
    <w:rsid w:val="00A416A7"/>
    <w:rsid w:val="00A4193E"/>
    <w:rsid w:val="00A41D88"/>
    <w:rsid w:val="00A4202E"/>
    <w:rsid w:val="00A42562"/>
    <w:rsid w:val="00A425C1"/>
    <w:rsid w:val="00A42C8C"/>
    <w:rsid w:val="00A43C51"/>
    <w:rsid w:val="00A43D6B"/>
    <w:rsid w:val="00A43EEC"/>
    <w:rsid w:val="00A440DD"/>
    <w:rsid w:val="00A440E0"/>
    <w:rsid w:val="00A442EF"/>
    <w:rsid w:val="00A44956"/>
    <w:rsid w:val="00A449B3"/>
    <w:rsid w:val="00A44C44"/>
    <w:rsid w:val="00A450B3"/>
    <w:rsid w:val="00A45472"/>
    <w:rsid w:val="00A456AF"/>
    <w:rsid w:val="00A456EE"/>
    <w:rsid w:val="00A465B9"/>
    <w:rsid w:val="00A465C2"/>
    <w:rsid w:val="00A468EA"/>
    <w:rsid w:val="00A46E14"/>
    <w:rsid w:val="00A470B5"/>
    <w:rsid w:val="00A472AB"/>
    <w:rsid w:val="00A472BE"/>
    <w:rsid w:val="00A47330"/>
    <w:rsid w:val="00A47769"/>
    <w:rsid w:val="00A47868"/>
    <w:rsid w:val="00A47983"/>
    <w:rsid w:val="00A47C68"/>
    <w:rsid w:val="00A504F3"/>
    <w:rsid w:val="00A50DF8"/>
    <w:rsid w:val="00A5142B"/>
    <w:rsid w:val="00A51D1A"/>
    <w:rsid w:val="00A520C7"/>
    <w:rsid w:val="00A5284C"/>
    <w:rsid w:val="00A52C40"/>
    <w:rsid w:val="00A53013"/>
    <w:rsid w:val="00A530AE"/>
    <w:rsid w:val="00A530F3"/>
    <w:rsid w:val="00A53488"/>
    <w:rsid w:val="00A53743"/>
    <w:rsid w:val="00A53BE4"/>
    <w:rsid w:val="00A53D13"/>
    <w:rsid w:val="00A540DB"/>
    <w:rsid w:val="00A5418D"/>
    <w:rsid w:val="00A5442D"/>
    <w:rsid w:val="00A5474E"/>
    <w:rsid w:val="00A54A80"/>
    <w:rsid w:val="00A54C34"/>
    <w:rsid w:val="00A54CC3"/>
    <w:rsid w:val="00A54D25"/>
    <w:rsid w:val="00A54D6C"/>
    <w:rsid w:val="00A55099"/>
    <w:rsid w:val="00A550AE"/>
    <w:rsid w:val="00A55400"/>
    <w:rsid w:val="00A55434"/>
    <w:rsid w:val="00A55524"/>
    <w:rsid w:val="00A555D0"/>
    <w:rsid w:val="00A55736"/>
    <w:rsid w:val="00A557C4"/>
    <w:rsid w:val="00A55A7B"/>
    <w:rsid w:val="00A55DDA"/>
    <w:rsid w:val="00A55F07"/>
    <w:rsid w:val="00A562DA"/>
    <w:rsid w:val="00A566CB"/>
    <w:rsid w:val="00A569E0"/>
    <w:rsid w:val="00A56D42"/>
    <w:rsid w:val="00A572CB"/>
    <w:rsid w:val="00A57A89"/>
    <w:rsid w:val="00A6004D"/>
    <w:rsid w:val="00A60BEA"/>
    <w:rsid w:val="00A60CB4"/>
    <w:rsid w:val="00A60EF7"/>
    <w:rsid w:val="00A6110E"/>
    <w:rsid w:val="00A61134"/>
    <w:rsid w:val="00A613B1"/>
    <w:rsid w:val="00A61708"/>
    <w:rsid w:val="00A61AFA"/>
    <w:rsid w:val="00A623CE"/>
    <w:rsid w:val="00A62A9D"/>
    <w:rsid w:val="00A633C4"/>
    <w:rsid w:val="00A635C0"/>
    <w:rsid w:val="00A635F4"/>
    <w:rsid w:val="00A63B22"/>
    <w:rsid w:val="00A63B74"/>
    <w:rsid w:val="00A63CDA"/>
    <w:rsid w:val="00A64234"/>
    <w:rsid w:val="00A644A9"/>
    <w:rsid w:val="00A64570"/>
    <w:rsid w:val="00A645BB"/>
    <w:rsid w:val="00A647F7"/>
    <w:rsid w:val="00A648FB"/>
    <w:rsid w:val="00A64DA1"/>
    <w:rsid w:val="00A64DB7"/>
    <w:rsid w:val="00A6506B"/>
    <w:rsid w:val="00A65106"/>
    <w:rsid w:val="00A65689"/>
    <w:rsid w:val="00A6590F"/>
    <w:rsid w:val="00A65B8A"/>
    <w:rsid w:val="00A65E13"/>
    <w:rsid w:val="00A65FCF"/>
    <w:rsid w:val="00A663A7"/>
    <w:rsid w:val="00A66B2F"/>
    <w:rsid w:val="00A66E35"/>
    <w:rsid w:val="00A67140"/>
    <w:rsid w:val="00A6731C"/>
    <w:rsid w:val="00A674DC"/>
    <w:rsid w:val="00A675A5"/>
    <w:rsid w:val="00A676E8"/>
    <w:rsid w:val="00A677C2"/>
    <w:rsid w:val="00A677DE"/>
    <w:rsid w:val="00A67B62"/>
    <w:rsid w:val="00A67BE2"/>
    <w:rsid w:val="00A700DE"/>
    <w:rsid w:val="00A70ADF"/>
    <w:rsid w:val="00A70CEC"/>
    <w:rsid w:val="00A7106E"/>
    <w:rsid w:val="00A71466"/>
    <w:rsid w:val="00A7181E"/>
    <w:rsid w:val="00A71EE6"/>
    <w:rsid w:val="00A72083"/>
    <w:rsid w:val="00A720B4"/>
    <w:rsid w:val="00A721BF"/>
    <w:rsid w:val="00A726E6"/>
    <w:rsid w:val="00A72D22"/>
    <w:rsid w:val="00A7308C"/>
    <w:rsid w:val="00A7327E"/>
    <w:rsid w:val="00A73424"/>
    <w:rsid w:val="00A73606"/>
    <w:rsid w:val="00A73717"/>
    <w:rsid w:val="00A73B7A"/>
    <w:rsid w:val="00A73F5C"/>
    <w:rsid w:val="00A74362"/>
    <w:rsid w:val="00A7494E"/>
    <w:rsid w:val="00A74B5E"/>
    <w:rsid w:val="00A74BE7"/>
    <w:rsid w:val="00A752FF"/>
    <w:rsid w:val="00A75E47"/>
    <w:rsid w:val="00A7641A"/>
    <w:rsid w:val="00A765B7"/>
    <w:rsid w:val="00A7662E"/>
    <w:rsid w:val="00A76BE6"/>
    <w:rsid w:val="00A76CA8"/>
    <w:rsid w:val="00A76D3E"/>
    <w:rsid w:val="00A76F96"/>
    <w:rsid w:val="00A77052"/>
    <w:rsid w:val="00A77710"/>
    <w:rsid w:val="00A777F4"/>
    <w:rsid w:val="00A77DB9"/>
    <w:rsid w:val="00A77FD1"/>
    <w:rsid w:val="00A805D0"/>
    <w:rsid w:val="00A805D2"/>
    <w:rsid w:val="00A808CA"/>
    <w:rsid w:val="00A80DAE"/>
    <w:rsid w:val="00A81538"/>
    <w:rsid w:val="00A816CD"/>
    <w:rsid w:val="00A81B7C"/>
    <w:rsid w:val="00A81BED"/>
    <w:rsid w:val="00A81EC4"/>
    <w:rsid w:val="00A824E8"/>
    <w:rsid w:val="00A8257D"/>
    <w:rsid w:val="00A825DB"/>
    <w:rsid w:val="00A82661"/>
    <w:rsid w:val="00A82779"/>
    <w:rsid w:val="00A827FA"/>
    <w:rsid w:val="00A82AF9"/>
    <w:rsid w:val="00A82D4C"/>
    <w:rsid w:val="00A82E2D"/>
    <w:rsid w:val="00A82F13"/>
    <w:rsid w:val="00A82F82"/>
    <w:rsid w:val="00A83483"/>
    <w:rsid w:val="00A8369C"/>
    <w:rsid w:val="00A8378C"/>
    <w:rsid w:val="00A837C5"/>
    <w:rsid w:val="00A83C41"/>
    <w:rsid w:val="00A83CCC"/>
    <w:rsid w:val="00A83E69"/>
    <w:rsid w:val="00A83F3E"/>
    <w:rsid w:val="00A842C1"/>
    <w:rsid w:val="00A842DC"/>
    <w:rsid w:val="00A8431B"/>
    <w:rsid w:val="00A847BA"/>
    <w:rsid w:val="00A84C21"/>
    <w:rsid w:val="00A84EA9"/>
    <w:rsid w:val="00A84F30"/>
    <w:rsid w:val="00A85044"/>
    <w:rsid w:val="00A853E7"/>
    <w:rsid w:val="00A85602"/>
    <w:rsid w:val="00A858A9"/>
    <w:rsid w:val="00A85BF5"/>
    <w:rsid w:val="00A868CE"/>
    <w:rsid w:val="00A86DE6"/>
    <w:rsid w:val="00A86E0C"/>
    <w:rsid w:val="00A87184"/>
    <w:rsid w:val="00A8724E"/>
    <w:rsid w:val="00A87E28"/>
    <w:rsid w:val="00A90046"/>
    <w:rsid w:val="00A9022C"/>
    <w:rsid w:val="00A902AC"/>
    <w:rsid w:val="00A9075F"/>
    <w:rsid w:val="00A90B55"/>
    <w:rsid w:val="00A90F4E"/>
    <w:rsid w:val="00A91320"/>
    <w:rsid w:val="00A91564"/>
    <w:rsid w:val="00A91818"/>
    <w:rsid w:val="00A9192E"/>
    <w:rsid w:val="00A9203C"/>
    <w:rsid w:val="00A9267B"/>
    <w:rsid w:val="00A92AC3"/>
    <w:rsid w:val="00A933D1"/>
    <w:rsid w:val="00A93575"/>
    <w:rsid w:val="00A93A60"/>
    <w:rsid w:val="00A93DBD"/>
    <w:rsid w:val="00A94108"/>
    <w:rsid w:val="00A9434A"/>
    <w:rsid w:val="00A9435F"/>
    <w:rsid w:val="00A94394"/>
    <w:rsid w:val="00A943F1"/>
    <w:rsid w:val="00A94907"/>
    <w:rsid w:val="00A94AAE"/>
    <w:rsid w:val="00A94EDB"/>
    <w:rsid w:val="00A95987"/>
    <w:rsid w:val="00A96538"/>
    <w:rsid w:val="00A967FD"/>
    <w:rsid w:val="00A96CA5"/>
    <w:rsid w:val="00A96FBC"/>
    <w:rsid w:val="00A970AF"/>
    <w:rsid w:val="00A973FB"/>
    <w:rsid w:val="00A9744E"/>
    <w:rsid w:val="00A978E4"/>
    <w:rsid w:val="00A978F0"/>
    <w:rsid w:val="00A97E6C"/>
    <w:rsid w:val="00A97F01"/>
    <w:rsid w:val="00AA00CE"/>
    <w:rsid w:val="00AA13F0"/>
    <w:rsid w:val="00AA1805"/>
    <w:rsid w:val="00AA18F0"/>
    <w:rsid w:val="00AA26CD"/>
    <w:rsid w:val="00AA2D07"/>
    <w:rsid w:val="00AA2DE5"/>
    <w:rsid w:val="00AA2DFD"/>
    <w:rsid w:val="00AA2F06"/>
    <w:rsid w:val="00AA3211"/>
    <w:rsid w:val="00AA32BF"/>
    <w:rsid w:val="00AA32E1"/>
    <w:rsid w:val="00AA3371"/>
    <w:rsid w:val="00AA36E3"/>
    <w:rsid w:val="00AA38CD"/>
    <w:rsid w:val="00AA3901"/>
    <w:rsid w:val="00AA3B75"/>
    <w:rsid w:val="00AA3BA7"/>
    <w:rsid w:val="00AA3C75"/>
    <w:rsid w:val="00AA3CE9"/>
    <w:rsid w:val="00AA456A"/>
    <w:rsid w:val="00AA5171"/>
    <w:rsid w:val="00AA5247"/>
    <w:rsid w:val="00AA5399"/>
    <w:rsid w:val="00AA5551"/>
    <w:rsid w:val="00AA5D17"/>
    <w:rsid w:val="00AA5EF2"/>
    <w:rsid w:val="00AA619C"/>
    <w:rsid w:val="00AA69EA"/>
    <w:rsid w:val="00AA6AA5"/>
    <w:rsid w:val="00AA6BC9"/>
    <w:rsid w:val="00AA6E96"/>
    <w:rsid w:val="00AA6FBD"/>
    <w:rsid w:val="00AA70F3"/>
    <w:rsid w:val="00AA77A8"/>
    <w:rsid w:val="00AA7BCB"/>
    <w:rsid w:val="00AA7D8E"/>
    <w:rsid w:val="00AA7D99"/>
    <w:rsid w:val="00AB013B"/>
    <w:rsid w:val="00AB0162"/>
    <w:rsid w:val="00AB0AC4"/>
    <w:rsid w:val="00AB0C6A"/>
    <w:rsid w:val="00AB0CE9"/>
    <w:rsid w:val="00AB11AE"/>
    <w:rsid w:val="00AB156C"/>
    <w:rsid w:val="00AB1B18"/>
    <w:rsid w:val="00AB1D03"/>
    <w:rsid w:val="00AB1D44"/>
    <w:rsid w:val="00AB201A"/>
    <w:rsid w:val="00AB231E"/>
    <w:rsid w:val="00AB233B"/>
    <w:rsid w:val="00AB2705"/>
    <w:rsid w:val="00AB278D"/>
    <w:rsid w:val="00AB297C"/>
    <w:rsid w:val="00AB2F40"/>
    <w:rsid w:val="00AB3207"/>
    <w:rsid w:val="00AB3264"/>
    <w:rsid w:val="00AB3540"/>
    <w:rsid w:val="00AB3A6D"/>
    <w:rsid w:val="00AB4278"/>
    <w:rsid w:val="00AB4436"/>
    <w:rsid w:val="00AB45A5"/>
    <w:rsid w:val="00AB4FC8"/>
    <w:rsid w:val="00AB508A"/>
    <w:rsid w:val="00AB54C2"/>
    <w:rsid w:val="00AB54F6"/>
    <w:rsid w:val="00AB557D"/>
    <w:rsid w:val="00AB5594"/>
    <w:rsid w:val="00AB5762"/>
    <w:rsid w:val="00AB59A7"/>
    <w:rsid w:val="00AB5AB3"/>
    <w:rsid w:val="00AB5C73"/>
    <w:rsid w:val="00AB5CC4"/>
    <w:rsid w:val="00AB6814"/>
    <w:rsid w:val="00AB6922"/>
    <w:rsid w:val="00AB6B59"/>
    <w:rsid w:val="00AB71FB"/>
    <w:rsid w:val="00AB7683"/>
    <w:rsid w:val="00AB77D4"/>
    <w:rsid w:val="00AB7809"/>
    <w:rsid w:val="00AB7821"/>
    <w:rsid w:val="00AB7A3F"/>
    <w:rsid w:val="00AB7DC8"/>
    <w:rsid w:val="00AC048E"/>
    <w:rsid w:val="00AC04BA"/>
    <w:rsid w:val="00AC0569"/>
    <w:rsid w:val="00AC09F5"/>
    <w:rsid w:val="00AC0E39"/>
    <w:rsid w:val="00AC1309"/>
    <w:rsid w:val="00AC1DBD"/>
    <w:rsid w:val="00AC1F85"/>
    <w:rsid w:val="00AC2438"/>
    <w:rsid w:val="00AC2935"/>
    <w:rsid w:val="00AC2DD8"/>
    <w:rsid w:val="00AC2F6E"/>
    <w:rsid w:val="00AC3014"/>
    <w:rsid w:val="00AC31D8"/>
    <w:rsid w:val="00AC32D1"/>
    <w:rsid w:val="00AC3513"/>
    <w:rsid w:val="00AC3AD0"/>
    <w:rsid w:val="00AC3D6E"/>
    <w:rsid w:val="00AC4239"/>
    <w:rsid w:val="00AC43D1"/>
    <w:rsid w:val="00AC460C"/>
    <w:rsid w:val="00AC4748"/>
    <w:rsid w:val="00AC503C"/>
    <w:rsid w:val="00AC5196"/>
    <w:rsid w:val="00AC609E"/>
    <w:rsid w:val="00AC6575"/>
    <w:rsid w:val="00AC67B0"/>
    <w:rsid w:val="00AC68EE"/>
    <w:rsid w:val="00AC6EE1"/>
    <w:rsid w:val="00AC70C6"/>
    <w:rsid w:val="00AC7111"/>
    <w:rsid w:val="00AC7926"/>
    <w:rsid w:val="00AC7D04"/>
    <w:rsid w:val="00AC7EC5"/>
    <w:rsid w:val="00AD0B59"/>
    <w:rsid w:val="00AD10FD"/>
    <w:rsid w:val="00AD12FD"/>
    <w:rsid w:val="00AD15BD"/>
    <w:rsid w:val="00AD16C0"/>
    <w:rsid w:val="00AD1CF6"/>
    <w:rsid w:val="00AD2260"/>
    <w:rsid w:val="00AD3082"/>
    <w:rsid w:val="00AD32B4"/>
    <w:rsid w:val="00AD3BB9"/>
    <w:rsid w:val="00AD4072"/>
    <w:rsid w:val="00AD43EE"/>
    <w:rsid w:val="00AD44DC"/>
    <w:rsid w:val="00AD46CE"/>
    <w:rsid w:val="00AD4978"/>
    <w:rsid w:val="00AD4AD0"/>
    <w:rsid w:val="00AD4F55"/>
    <w:rsid w:val="00AD5139"/>
    <w:rsid w:val="00AD51E5"/>
    <w:rsid w:val="00AD5436"/>
    <w:rsid w:val="00AD5547"/>
    <w:rsid w:val="00AD60CD"/>
    <w:rsid w:val="00AD64F0"/>
    <w:rsid w:val="00AD6A9D"/>
    <w:rsid w:val="00AD6C8C"/>
    <w:rsid w:val="00AD6E46"/>
    <w:rsid w:val="00AD6F0F"/>
    <w:rsid w:val="00AD727E"/>
    <w:rsid w:val="00AD7447"/>
    <w:rsid w:val="00AD7969"/>
    <w:rsid w:val="00AD7EE6"/>
    <w:rsid w:val="00AD7EF5"/>
    <w:rsid w:val="00AE005B"/>
    <w:rsid w:val="00AE0071"/>
    <w:rsid w:val="00AE0686"/>
    <w:rsid w:val="00AE0697"/>
    <w:rsid w:val="00AE08A3"/>
    <w:rsid w:val="00AE091D"/>
    <w:rsid w:val="00AE09E0"/>
    <w:rsid w:val="00AE0A4C"/>
    <w:rsid w:val="00AE0B7A"/>
    <w:rsid w:val="00AE0D61"/>
    <w:rsid w:val="00AE0F0F"/>
    <w:rsid w:val="00AE1455"/>
    <w:rsid w:val="00AE1738"/>
    <w:rsid w:val="00AE1AD6"/>
    <w:rsid w:val="00AE1C84"/>
    <w:rsid w:val="00AE1F62"/>
    <w:rsid w:val="00AE222D"/>
    <w:rsid w:val="00AE2A3D"/>
    <w:rsid w:val="00AE2B51"/>
    <w:rsid w:val="00AE2D7C"/>
    <w:rsid w:val="00AE2E8D"/>
    <w:rsid w:val="00AE2F51"/>
    <w:rsid w:val="00AE3880"/>
    <w:rsid w:val="00AE3B60"/>
    <w:rsid w:val="00AE3C54"/>
    <w:rsid w:val="00AE4214"/>
    <w:rsid w:val="00AE42CA"/>
    <w:rsid w:val="00AE4776"/>
    <w:rsid w:val="00AE487A"/>
    <w:rsid w:val="00AE48D0"/>
    <w:rsid w:val="00AE4B94"/>
    <w:rsid w:val="00AE4C21"/>
    <w:rsid w:val="00AE4E22"/>
    <w:rsid w:val="00AE50DD"/>
    <w:rsid w:val="00AE53A1"/>
    <w:rsid w:val="00AE563B"/>
    <w:rsid w:val="00AE5A20"/>
    <w:rsid w:val="00AE5F1D"/>
    <w:rsid w:val="00AE64A1"/>
    <w:rsid w:val="00AE69A5"/>
    <w:rsid w:val="00AE69B6"/>
    <w:rsid w:val="00AE6D25"/>
    <w:rsid w:val="00AE6F9B"/>
    <w:rsid w:val="00AE7125"/>
    <w:rsid w:val="00AE7FD3"/>
    <w:rsid w:val="00AF0061"/>
    <w:rsid w:val="00AF0397"/>
    <w:rsid w:val="00AF06E9"/>
    <w:rsid w:val="00AF06EE"/>
    <w:rsid w:val="00AF0759"/>
    <w:rsid w:val="00AF0A3A"/>
    <w:rsid w:val="00AF0B98"/>
    <w:rsid w:val="00AF122A"/>
    <w:rsid w:val="00AF13E1"/>
    <w:rsid w:val="00AF1CB4"/>
    <w:rsid w:val="00AF22F1"/>
    <w:rsid w:val="00AF232D"/>
    <w:rsid w:val="00AF2447"/>
    <w:rsid w:val="00AF2484"/>
    <w:rsid w:val="00AF2619"/>
    <w:rsid w:val="00AF2654"/>
    <w:rsid w:val="00AF2916"/>
    <w:rsid w:val="00AF336C"/>
    <w:rsid w:val="00AF35C3"/>
    <w:rsid w:val="00AF3EDF"/>
    <w:rsid w:val="00AF417D"/>
    <w:rsid w:val="00AF420F"/>
    <w:rsid w:val="00AF4444"/>
    <w:rsid w:val="00AF4AAC"/>
    <w:rsid w:val="00AF4C2E"/>
    <w:rsid w:val="00AF4D90"/>
    <w:rsid w:val="00AF4DC5"/>
    <w:rsid w:val="00AF4DFB"/>
    <w:rsid w:val="00AF51C9"/>
    <w:rsid w:val="00AF556B"/>
    <w:rsid w:val="00AF567D"/>
    <w:rsid w:val="00AF60D9"/>
    <w:rsid w:val="00AF614D"/>
    <w:rsid w:val="00AF62AD"/>
    <w:rsid w:val="00AF6323"/>
    <w:rsid w:val="00AF63E7"/>
    <w:rsid w:val="00AF6963"/>
    <w:rsid w:val="00AF6A10"/>
    <w:rsid w:val="00AF6E17"/>
    <w:rsid w:val="00AF6EC5"/>
    <w:rsid w:val="00AF74E4"/>
    <w:rsid w:val="00AF76D5"/>
    <w:rsid w:val="00AF7892"/>
    <w:rsid w:val="00AF7ABE"/>
    <w:rsid w:val="00B00B00"/>
    <w:rsid w:val="00B010FF"/>
    <w:rsid w:val="00B013B5"/>
    <w:rsid w:val="00B014D6"/>
    <w:rsid w:val="00B0165D"/>
    <w:rsid w:val="00B018C9"/>
    <w:rsid w:val="00B01B60"/>
    <w:rsid w:val="00B01EE3"/>
    <w:rsid w:val="00B01F80"/>
    <w:rsid w:val="00B02324"/>
    <w:rsid w:val="00B023C3"/>
    <w:rsid w:val="00B02572"/>
    <w:rsid w:val="00B025D7"/>
    <w:rsid w:val="00B02765"/>
    <w:rsid w:val="00B027BE"/>
    <w:rsid w:val="00B02A7F"/>
    <w:rsid w:val="00B031F3"/>
    <w:rsid w:val="00B03943"/>
    <w:rsid w:val="00B03A8A"/>
    <w:rsid w:val="00B03AB3"/>
    <w:rsid w:val="00B03B42"/>
    <w:rsid w:val="00B03CDA"/>
    <w:rsid w:val="00B043E9"/>
    <w:rsid w:val="00B04917"/>
    <w:rsid w:val="00B04E7B"/>
    <w:rsid w:val="00B04FA2"/>
    <w:rsid w:val="00B052A4"/>
    <w:rsid w:val="00B0530A"/>
    <w:rsid w:val="00B0579F"/>
    <w:rsid w:val="00B05A3D"/>
    <w:rsid w:val="00B05C26"/>
    <w:rsid w:val="00B05E8E"/>
    <w:rsid w:val="00B0627C"/>
    <w:rsid w:val="00B06B26"/>
    <w:rsid w:val="00B06B89"/>
    <w:rsid w:val="00B06BF9"/>
    <w:rsid w:val="00B06F8A"/>
    <w:rsid w:val="00B06FB1"/>
    <w:rsid w:val="00B070A6"/>
    <w:rsid w:val="00B07935"/>
    <w:rsid w:val="00B07A23"/>
    <w:rsid w:val="00B07D42"/>
    <w:rsid w:val="00B07FA6"/>
    <w:rsid w:val="00B10307"/>
    <w:rsid w:val="00B1030F"/>
    <w:rsid w:val="00B10422"/>
    <w:rsid w:val="00B10668"/>
    <w:rsid w:val="00B10A3F"/>
    <w:rsid w:val="00B10B7B"/>
    <w:rsid w:val="00B10EE5"/>
    <w:rsid w:val="00B110E8"/>
    <w:rsid w:val="00B1134A"/>
    <w:rsid w:val="00B11427"/>
    <w:rsid w:val="00B11C15"/>
    <w:rsid w:val="00B125DE"/>
    <w:rsid w:val="00B126A9"/>
    <w:rsid w:val="00B12D75"/>
    <w:rsid w:val="00B12DE1"/>
    <w:rsid w:val="00B12E84"/>
    <w:rsid w:val="00B130B2"/>
    <w:rsid w:val="00B132AC"/>
    <w:rsid w:val="00B133B4"/>
    <w:rsid w:val="00B135E6"/>
    <w:rsid w:val="00B13770"/>
    <w:rsid w:val="00B13797"/>
    <w:rsid w:val="00B139AE"/>
    <w:rsid w:val="00B13F9D"/>
    <w:rsid w:val="00B13FDD"/>
    <w:rsid w:val="00B13FEF"/>
    <w:rsid w:val="00B1433F"/>
    <w:rsid w:val="00B1444C"/>
    <w:rsid w:val="00B145D3"/>
    <w:rsid w:val="00B1477E"/>
    <w:rsid w:val="00B14AC7"/>
    <w:rsid w:val="00B14C29"/>
    <w:rsid w:val="00B15316"/>
    <w:rsid w:val="00B15320"/>
    <w:rsid w:val="00B1545E"/>
    <w:rsid w:val="00B1555E"/>
    <w:rsid w:val="00B158E9"/>
    <w:rsid w:val="00B15B07"/>
    <w:rsid w:val="00B15D71"/>
    <w:rsid w:val="00B15D7B"/>
    <w:rsid w:val="00B16007"/>
    <w:rsid w:val="00B1606A"/>
    <w:rsid w:val="00B16773"/>
    <w:rsid w:val="00B16AE9"/>
    <w:rsid w:val="00B16BBE"/>
    <w:rsid w:val="00B17291"/>
    <w:rsid w:val="00B17323"/>
    <w:rsid w:val="00B176B5"/>
    <w:rsid w:val="00B1780D"/>
    <w:rsid w:val="00B202F2"/>
    <w:rsid w:val="00B20477"/>
    <w:rsid w:val="00B205A8"/>
    <w:rsid w:val="00B20948"/>
    <w:rsid w:val="00B20A8A"/>
    <w:rsid w:val="00B20E1F"/>
    <w:rsid w:val="00B2100C"/>
    <w:rsid w:val="00B217F0"/>
    <w:rsid w:val="00B2183B"/>
    <w:rsid w:val="00B21854"/>
    <w:rsid w:val="00B21BEB"/>
    <w:rsid w:val="00B21F67"/>
    <w:rsid w:val="00B22210"/>
    <w:rsid w:val="00B222ED"/>
    <w:rsid w:val="00B225BB"/>
    <w:rsid w:val="00B22B27"/>
    <w:rsid w:val="00B22BDC"/>
    <w:rsid w:val="00B22EB2"/>
    <w:rsid w:val="00B23088"/>
    <w:rsid w:val="00B23309"/>
    <w:rsid w:val="00B233EE"/>
    <w:rsid w:val="00B23466"/>
    <w:rsid w:val="00B23D8D"/>
    <w:rsid w:val="00B23E54"/>
    <w:rsid w:val="00B23F8C"/>
    <w:rsid w:val="00B24358"/>
    <w:rsid w:val="00B245C1"/>
    <w:rsid w:val="00B246DC"/>
    <w:rsid w:val="00B2488A"/>
    <w:rsid w:val="00B24EF2"/>
    <w:rsid w:val="00B252EC"/>
    <w:rsid w:val="00B25369"/>
    <w:rsid w:val="00B256E9"/>
    <w:rsid w:val="00B25A9C"/>
    <w:rsid w:val="00B25D6D"/>
    <w:rsid w:val="00B268EF"/>
    <w:rsid w:val="00B268F4"/>
    <w:rsid w:val="00B269F7"/>
    <w:rsid w:val="00B26C60"/>
    <w:rsid w:val="00B26DD8"/>
    <w:rsid w:val="00B27442"/>
    <w:rsid w:val="00B27AC9"/>
    <w:rsid w:val="00B27B2A"/>
    <w:rsid w:val="00B27C04"/>
    <w:rsid w:val="00B27D57"/>
    <w:rsid w:val="00B27FA9"/>
    <w:rsid w:val="00B30CB6"/>
    <w:rsid w:val="00B30FBF"/>
    <w:rsid w:val="00B310AC"/>
    <w:rsid w:val="00B31167"/>
    <w:rsid w:val="00B313C1"/>
    <w:rsid w:val="00B31441"/>
    <w:rsid w:val="00B31589"/>
    <w:rsid w:val="00B31891"/>
    <w:rsid w:val="00B31943"/>
    <w:rsid w:val="00B31D06"/>
    <w:rsid w:val="00B31F30"/>
    <w:rsid w:val="00B322BF"/>
    <w:rsid w:val="00B3239D"/>
    <w:rsid w:val="00B324FB"/>
    <w:rsid w:val="00B326F7"/>
    <w:rsid w:val="00B32784"/>
    <w:rsid w:val="00B327C3"/>
    <w:rsid w:val="00B329D8"/>
    <w:rsid w:val="00B32BB9"/>
    <w:rsid w:val="00B32C07"/>
    <w:rsid w:val="00B32C56"/>
    <w:rsid w:val="00B330B9"/>
    <w:rsid w:val="00B3344D"/>
    <w:rsid w:val="00B334CF"/>
    <w:rsid w:val="00B33AE1"/>
    <w:rsid w:val="00B33B32"/>
    <w:rsid w:val="00B341D4"/>
    <w:rsid w:val="00B346C3"/>
    <w:rsid w:val="00B34EC9"/>
    <w:rsid w:val="00B35131"/>
    <w:rsid w:val="00B3530A"/>
    <w:rsid w:val="00B355A4"/>
    <w:rsid w:val="00B35D0F"/>
    <w:rsid w:val="00B35DF7"/>
    <w:rsid w:val="00B35EB8"/>
    <w:rsid w:val="00B363E1"/>
    <w:rsid w:val="00B36787"/>
    <w:rsid w:val="00B368E3"/>
    <w:rsid w:val="00B36B23"/>
    <w:rsid w:val="00B370B1"/>
    <w:rsid w:val="00B371DB"/>
    <w:rsid w:val="00B37261"/>
    <w:rsid w:val="00B3736C"/>
    <w:rsid w:val="00B374ED"/>
    <w:rsid w:val="00B3752C"/>
    <w:rsid w:val="00B3773F"/>
    <w:rsid w:val="00B37907"/>
    <w:rsid w:val="00B37996"/>
    <w:rsid w:val="00B379F7"/>
    <w:rsid w:val="00B37C38"/>
    <w:rsid w:val="00B37F0C"/>
    <w:rsid w:val="00B401D7"/>
    <w:rsid w:val="00B40665"/>
    <w:rsid w:val="00B406E6"/>
    <w:rsid w:val="00B40791"/>
    <w:rsid w:val="00B40CEE"/>
    <w:rsid w:val="00B40E5F"/>
    <w:rsid w:val="00B40EB5"/>
    <w:rsid w:val="00B411D5"/>
    <w:rsid w:val="00B4144F"/>
    <w:rsid w:val="00B41745"/>
    <w:rsid w:val="00B4185C"/>
    <w:rsid w:val="00B41986"/>
    <w:rsid w:val="00B41A3A"/>
    <w:rsid w:val="00B41AA2"/>
    <w:rsid w:val="00B42625"/>
    <w:rsid w:val="00B42844"/>
    <w:rsid w:val="00B4288C"/>
    <w:rsid w:val="00B428F7"/>
    <w:rsid w:val="00B42A55"/>
    <w:rsid w:val="00B42C30"/>
    <w:rsid w:val="00B43262"/>
    <w:rsid w:val="00B43EA6"/>
    <w:rsid w:val="00B44100"/>
    <w:rsid w:val="00B441D5"/>
    <w:rsid w:val="00B445E0"/>
    <w:rsid w:val="00B44B3C"/>
    <w:rsid w:val="00B451FF"/>
    <w:rsid w:val="00B45438"/>
    <w:rsid w:val="00B454BE"/>
    <w:rsid w:val="00B45805"/>
    <w:rsid w:val="00B45C1B"/>
    <w:rsid w:val="00B4614E"/>
    <w:rsid w:val="00B4630C"/>
    <w:rsid w:val="00B4637D"/>
    <w:rsid w:val="00B4679E"/>
    <w:rsid w:val="00B469F7"/>
    <w:rsid w:val="00B46CBA"/>
    <w:rsid w:val="00B46F94"/>
    <w:rsid w:val="00B470A6"/>
    <w:rsid w:val="00B47337"/>
    <w:rsid w:val="00B475D6"/>
    <w:rsid w:val="00B4775B"/>
    <w:rsid w:val="00B478F1"/>
    <w:rsid w:val="00B47A62"/>
    <w:rsid w:val="00B47B66"/>
    <w:rsid w:val="00B47E48"/>
    <w:rsid w:val="00B47E96"/>
    <w:rsid w:val="00B50249"/>
    <w:rsid w:val="00B503B1"/>
    <w:rsid w:val="00B50451"/>
    <w:rsid w:val="00B50726"/>
    <w:rsid w:val="00B508B4"/>
    <w:rsid w:val="00B50E4E"/>
    <w:rsid w:val="00B51048"/>
    <w:rsid w:val="00B51989"/>
    <w:rsid w:val="00B51B76"/>
    <w:rsid w:val="00B51B83"/>
    <w:rsid w:val="00B525CB"/>
    <w:rsid w:val="00B5271F"/>
    <w:rsid w:val="00B52908"/>
    <w:rsid w:val="00B52B6C"/>
    <w:rsid w:val="00B52D30"/>
    <w:rsid w:val="00B52D87"/>
    <w:rsid w:val="00B52DE1"/>
    <w:rsid w:val="00B530ED"/>
    <w:rsid w:val="00B5316A"/>
    <w:rsid w:val="00B533A2"/>
    <w:rsid w:val="00B53ADA"/>
    <w:rsid w:val="00B53B05"/>
    <w:rsid w:val="00B53CEE"/>
    <w:rsid w:val="00B542E9"/>
    <w:rsid w:val="00B5436B"/>
    <w:rsid w:val="00B5463C"/>
    <w:rsid w:val="00B5463F"/>
    <w:rsid w:val="00B54B9B"/>
    <w:rsid w:val="00B54CDF"/>
    <w:rsid w:val="00B55088"/>
    <w:rsid w:val="00B554F7"/>
    <w:rsid w:val="00B5572A"/>
    <w:rsid w:val="00B5572D"/>
    <w:rsid w:val="00B55925"/>
    <w:rsid w:val="00B567CA"/>
    <w:rsid w:val="00B56E02"/>
    <w:rsid w:val="00B56E7B"/>
    <w:rsid w:val="00B57065"/>
    <w:rsid w:val="00B5745A"/>
    <w:rsid w:val="00B576CE"/>
    <w:rsid w:val="00B577AF"/>
    <w:rsid w:val="00B57AC7"/>
    <w:rsid w:val="00B57EDD"/>
    <w:rsid w:val="00B6003C"/>
    <w:rsid w:val="00B60055"/>
    <w:rsid w:val="00B60199"/>
    <w:rsid w:val="00B6060A"/>
    <w:rsid w:val="00B607B9"/>
    <w:rsid w:val="00B60A01"/>
    <w:rsid w:val="00B60BCA"/>
    <w:rsid w:val="00B610AF"/>
    <w:rsid w:val="00B612C6"/>
    <w:rsid w:val="00B612CC"/>
    <w:rsid w:val="00B6166F"/>
    <w:rsid w:val="00B61897"/>
    <w:rsid w:val="00B61EF3"/>
    <w:rsid w:val="00B61F03"/>
    <w:rsid w:val="00B6254C"/>
    <w:rsid w:val="00B626D1"/>
    <w:rsid w:val="00B626E4"/>
    <w:rsid w:val="00B627A7"/>
    <w:rsid w:val="00B62AB2"/>
    <w:rsid w:val="00B62C29"/>
    <w:rsid w:val="00B62DB9"/>
    <w:rsid w:val="00B6358F"/>
    <w:rsid w:val="00B63838"/>
    <w:rsid w:val="00B63901"/>
    <w:rsid w:val="00B63BC4"/>
    <w:rsid w:val="00B63C3F"/>
    <w:rsid w:val="00B63C61"/>
    <w:rsid w:val="00B642CA"/>
    <w:rsid w:val="00B643BE"/>
    <w:rsid w:val="00B64594"/>
    <w:rsid w:val="00B6481F"/>
    <w:rsid w:val="00B64DC4"/>
    <w:rsid w:val="00B654AF"/>
    <w:rsid w:val="00B654DC"/>
    <w:rsid w:val="00B65A34"/>
    <w:rsid w:val="00B65E63"/>
    <w:rsid w:val="00B669A9"/>
    <w:rsid w:val="00B66A74"/>
    <w:rsid w:val="00B66C43"/>
    <w:rsid w:val="00B66D29"/>
    <w:rsid w:val="00B67071"/>
    <w:rsid w:val="00B676D4"/>
    <w:rsid w:val="00B67D0F"/>
    <w:rsid w:val="00B70E5C"/>
    <w:rsid w:val="00B7129A"/>
    <w:rsid w:val="00B714DE"/>
    <w:rsid w:val="00B71521"/>
    <w:rsid w:val="00B7187E"/>
    <w:rsid w:val="00B718FD"/>
    <w:rsid w:val="00B71A32"/>
    <w:rsid w:val="00B71E4B"/>
    <w:rsid w:val="00B725DB"/>
    <w:rsid w:val="00B72893"/>
    <w:rsid w:val="00B72A18"/>
    <w:rsid w:val="00B72F4A"/>
    <w:rsid w:val="00B739BD"/>
    <w:rsid w:val="00B73C2D"/>
    <w:rsid w:val="00B7476D"/>
    <w:rsid w:val="00B74AD7"/>
    <w:rsid w:val="00B75029"/>
    <w:rsid w:val="00B7523D"/>
    <w:rsid w:val="00B75DBD"/>
    <w:rsid w:val="00B764AD"/>
    <w:rsid w:val="00B764B5"/>
    <w:rsid w:val="00B765A3"/>
    <w:rsid w:val="00B767C6"/>
    <w:rsid w:val="00B76905"/>
    <w:rsid w:val="00B7698D"/>
    <w:rsid w:val="00B76E98"/>
    <w:rsid w:val="00B77144"/>
    <w:rsid w:val="00B77215"/>
    <w:rsid w:val="00B774F3"/>
    <w:rsid w:val="00B7796E"/>
    <w:rsid w:val="00B77A02"/>
    <w:rsid w:val="00B77AD0"/>
    <w:rsid w:val="00B8012B"/>
    <w:rsid w:val="00B803F0"/>
    <w:rsid w:val="00B806CE"/>
    <w:rsid w:val="00B814AA"/>
    <w:rsid w:val="00B8175C"/>
    <w:rsid w:val="00B81D07"/>
    <w:rsid w:val="00B8222C"/>
    <w:rsid w:val="00B82568"/>
    <w:rsid w:val="00B82877"/>
    <w:rsid w:val="00B82FFD"/>
    <w:rsid w:val="00B839E1"/>
    <w:rsid w:val="00B83C27"/>
    <w:rsid w:val="00B842F4"/>
    <w:rsid w:val="00B84BC3"/>
    <w:rsid w:val="00B84BC4"/>
    <w:rsid w:val="00B84BDD"/>
    <w:rsid w:val="00B84D75"/>
    <w:rsid w:val="00B85065"/>
    <w:rsid w:val="00B8508C"/>
    <w:rsid w:val="00B8520C"/>
    <w:rsid w:val="00B852EA"/>
    <w:rsid w:val="00B8553B"/>
    <w:rsid w:val="00B85966"/>
    <w:rsid w:val="00B85AC7"/>
    <w:rsid w:val="00B85CC4"/>
    <w:rsid w:val="00B85D12"/>
    <w:rsid w:val="00B85D3F"/>
    <w:rsid w:val="00B8600B"/>
    <w:rsid w:val="00B86066"/>
    <w:rsid w:val="00B8634A"/>
    <w:rsid w:val="00B86E5C"/>
    <w:rsid w:val="00B87111"/>
    <w:rsid w:val="00B872E7"/>
    <w:rsid w:val="00B87396"/>
    <w:rsid w:val="00B8749C"/>
    <w:rsid w:val="00B87B92"/>
    <w:rsid w:val="00B87DA5"/>
    <w:rsid w:val="00B87FB9"/>
    <w:rsid w:val="00B9084B"/>
    <w:rsid w:val="00B90D3D"/>
    <w:rsid w:val="00B9108C"/>
    <w:rsid w:val="00B91305"/>
    <w:rsid w:val="00B91372"/>
    <w:rsid w:val="00B91897"/>
    <w:rsid w:val="00B9229F"/>
    <w:rsid w:val="00B92812"/>
    <w:rsid w:val="00B92AF1"/>
    <w:rsid w:val="00B92AFD"/>
    <w:rsid w:val="00B92B3B"/>
    <w:rsid w:val="00B92F03"/>
    <w:rsid w:val="00B92F38"/>
    <w:rsid w:val="00B92FAA"/>
    <w:rsid w:val="00B93279"/>
    <w:rsid w:val="00B93510"/>
    <w:rsid w:val="00B935DA"/>
    <w:rsid w:val="00B937C4"/>
    <w:rsid w:val="00B93943"/>
    <w:rsid w:val="00B9413F"/>
    <w:rsid w:val="00B945F3"/>
    <w:rsid w:val="00B94615"/>
    <w:rsid w:val="00B94D33"/>
    <w:rsid w:val="00B953E2"/>
    <w:rsid w:val="00B95608"/>
    <w:rsid w:val="00B9574D"/>
    <w:rsid w:val="00B95825"/>
    <w:rsid w:val="00B958A3"/>
    <w:rsid w:val="00B959DB"/>
    <w:rsid w:val="00B95F13"/>
    <w:rsid w:val="00B96069"/>
    <w:rsid w:val="00B960B5"/>
    <w:rsid w:val="00B96626"/>
    <w:rsid w:val="00B96AF3"/>
    <w:rsid w:val="00B96E1D"/>
    <w:rsid w:val="00B970C1"/>
    <w:rsid w:val="00B97165"/>
    <w:rsid w:val="00B97C64"/>
    <w:rsid w:val="00B97DB7"/>
    <w:rsid w:val="00BA0637"/>
    <w:rsid w:val="00BA07DC"/>
    <w:rsid w:val="00BA0862"/>
    <w:rsid w:val="00BA0AC5"/>
    <w:rsid w:val="00BA0CD6"/>
    <w:rsid w:val="00BA0E00"/>
    <w:rsid w:val="00BA0E3A"/>
    <w:rsid w:val="00BA1166"/>
    <w:rsid w:val="00BA1463"/>
    <w:rsid w:val="00BA189E"/>
    <w:rsid w:val="00BA1D8A"/>
    <w:rsid w:val="00BA1E37"/>
    <w:rsid w:val="00BA20FC"/>
    <w:rsid w:val="00BA22D6"/>
    <w:rsid w:val="00BA2562"/>
    <w:rsid w:val="00BA2672"/>
    <w:rsid w:val="00BA268E"/>
    <w:rsid w:val="00BA2A2F"/>
    <w:rsid w:val="00BA2F9F"/>
    <w:rsid w:val="00BA2FEB"/>
    <w:rsid w:val="00BA3650"/>
    <w:rsid w:val="00BA3A2D"/>
    <w:rsid w:val="00BA3B24"/>
    <w:rsid w:val="00BA3B70"/>
    <w:rsid w:val="00BA3C40"/>
    <w:rsid w:val="00BA3F32"/>
    <w:rsid w:val="00BA40C3"/>
    <w:rsid w:val="00BA43EC"/>
    <w:rsid w:val="00BA4446"/>
    <w:rsid w:val="00BA4A8E"/>
    <w:rsid w:val="00BA4D58"/>
    <w:rsid w:val="00BA4F32"/>
    <w:rsid w:val="00BA4FF2"/>
    <w:rsid w:val="00BA50AD"/>
    <w:rsid w:val="00BA50F7"/>
    <w:rsid w:val="00BA54A5"/>
    <w:rsid w:val="00BA5549"/>
    <w:rsid w:val="00BA604A"/>
    <w:rsid w:val="00BA612F"/>
    <w:rsid w:val="00BA65C5"/>
    <w:rsid w:val="00BA66F2"/>
    <w:rsid w:val="00BA675A"/>
    <w:rsid w:val="00BA717E"/>
    <w:rsid w:val="00BA7234"/>
    <w:rsid w:val="00BA72AF"/>
    <w:rsid w:val="00BA75C0"/>
    <w:rsid w:val="00BA78B6"/>
    <w:rsid w:val="00BA796F"/>
    <w:rsid w:val="00BA7E09"/>
    <w:rsid w:val="00BB02B3"/>
    <w:rsid w:val="00BB039E"/>
    <w:rsid w:val="00BB1225"/>
    <w:rsid w:val="00BB1407"/>
    <w:rsid w:val="00BB1623"/>
    <w:rsid w:val="00BB1A1A"/>
    <w:rsid w:val="00BB1AAB"/>
    <w:rsid w:val="00BB2007"/>
    <w:rsid w:val="00BB2275"/>
    <w:rsid w:val="00BB3853"/>
    <w:rsid w:val="00BB3E84"/>
    <w:rsid w:val="00BB445C"/>
    <w:rsid w:val="00BB45A1"/>
    <w:rsid w:val="00BB4C95"/>
    <w:rsid w:val="00BB5299"/>
    <w:rsid w:val="00BB542C"/>
    <w:rsid w:val="00BB576E"/>
    <w:rsid w:val="00BB5832"/>
    <w:rsid w:val="00BB5A31"/>
    <w:rsid w:val="00BB5D72"/>
    <w:rsid w:val="00BB5F8A"/>
    <w:rsid w:val="00BB6108"/>
    <w:rsid w:val="00BB61BB"/>
    <w:rsid w:val="00BB6335"/>
    <w:rsid w:val="00BB6ADF"/>
    <w:rsid w:val="00BB6E9B"/>
    <w:rsid w:val="00BB6F35"/>
    <w:rsid w:val="00BB73EB"/>
    <w:rsid w:val="00BB7686"/>
    <w:rsid w:val="00BB7802"/>
    <w:rsid w:val="00BB7C22"/>
    <w:rsid w:val="00BB7D6B"/>
    <w:rsid w:val="00BC046D"/>
    <w:rsid w:val="00BC0708"/>
    <w:rsid w:val="00BC0873"/>
    <w:rsid w:val="00BC0888"/>
    <w:rsid w:val="00BC113F"/>
    <w:rsid w:val="00BC139C"/>
    <w:rsid w:val="00BC13C9"/>
    <w:rsid w:val="00BC1D42"/>
    <w:rsid w:val="00BC2223"/>
    <w:rsid w:val="00BC23F9"/>
    <w:rsid w:val="00BC24E3"/>
    <w:rsid w:val="00BC254C"/>
    <w:rsid w:val="00BC277F"/>
    <w:rsid w:val="00BC2CFC"/>
    <w:rsid w:val="00BC3421"/>
    <w:rsid w:val="00BC3573"/>
    <w:rsid w:val="00BC35D9"/>
    <w:rsid w:val="00BC37F3"/>
    <w:rsid w:val="00BC39F0"/>
    <w:rsid w:val="00BC3DEC"/>
    <w:rsid w:val="00BC4209"/>
    <w:rsid w:val="00BC4999"/>
    <w:rsid w:val="00BC4A27"/>
    <w:rsid w:val="00BC4D45"/>
    <w:rsid w:val="00BC4DAE"/>
    <w:rsid w:val="00BC4F37"/>
    <w:rsid w:val="00BC5078"/>
    <w:rsid w:val="00BC513B"/>
    <w:rsid w:val="00BC5367"/>
    <w:rsid w:val="00BC557C"/>
    <w:rsid w:val="00BC5626"/>
    <w:rsid w:val="00BC5B60"/>
    <w:rsid w:val="00BC64A2"/>
    <w:rsid w:val="00BC66BC"/>
    <w:rsid w:val="00BC6729"/>
    <w:rsid w:val="00BC6900"/>
    <w:rsid w:val="00BC6AB6"/>
    <w:rsid w:val="00BC6CD5"/>
    <w:rsid w:val="00BC6FA7"/>
    <w:rsid w:val="00BC708B"/>
    <w:rsid w:val="00BC732C"/>
    <w:rsid w:val="00BC7572"/>
    <w:rsid w:val="00BC75CA"/>
    <w:rsid w:val="00BC78B0"/>
    <w:rsid w:val="00BC79A2"/>
    <w:rsid w:val="00BC7A1A"/>
    <w:rsid w:val="00BC7B61"/>
    <w:rsid w:val="00BC7C0F"/>
    <w:rsid w:val="00BC7EA8"/>
    <w:rsid w:val="00BD013B"/>
    <w:rsid w:val="00BD03B1"/>
    <w:rsid w:val="00BD04BD"/>
    <w:rsid w:val="00BD084B"/>
    <w:rsid w:val="00BD0E20"/>
    <w:rsid w:val="00BD12AC"/>
    <w:rsid w:val="00BD165C"/>
    <w:rsid w:val="00BD1C26"/>
    <w:rsid w:val="00BD286B"/>
    <w:rsid w:val="00BD29B5"/>
    <w:rsid w:val="00BD3953"/>
    <w:rsid w:val="00BD3987"/>
    <w:rsid w:val="00BD3E22"/>
    <w:rsid w:val="00BD43EA"/>
    <w:rsid w:val="00BD4421"/>
    <w:rsid w:val="00BD4ABB"/>
    <w:rsid w:val="00BD4CE0"/>
    <w:rsid w:val="00BD4D6C"/>
    <w:rsid w:val="00BD4DAF"/>
    <w:rsid w:val="00BD52A5"/>
    <w:rsid w:val="00BD542B"/>
    <w:rsid w:val="00BD5567"/>
    <w:rsid w:val="00BD55CF"/>
    <w:rsid w:val="00BD57E3"/>
    <w:rsid w:val="00BD5AB0"/>
    <w:rsid w:val="00BD60FE"/>
    <w:rsid w:val="00BD61EA"/>
    <w:rsid w:val="00BD68C3"/>
    <w:rsid w:val="00BD6E7C"/>
    <w:rsid w:val="00BD6F92"/>
    <w:rsid w:val="00BD7639"/>
    <w:rsid w:val="00BD7666"/>
    <w:rsid w:val="00BD7DE9"/>
    <w:rsid w:val="00BE0284"/>
    <w:rsid w:val="00BE0884"/>
    <w:rsid w:val="00BE0B8D"/>
    <w:rsid w:val="00BE0F42"/>
    <w:rsid w:val="00BE12A7"/>
    <w:rsid w:val="00BE18EC"/>
    <w:rsid w:val="00BE1960"/>
    <w:rsid w:val="00BE1A7C"/>
    <w:rsid w:val="00BE21F4"/>
    <w:rsid w:val="00BE2202"/>
    <w:rsid w:val="00BE2580"/>
    <w:rsid w:val="00BE266D"/>
    <w:rsid w:val="00BE29F3"/>
    <w:rsid w:val="00BE2A47"/>
    <w:rsid w:val="00BE2BC2"/>
    <w:rsid w:val="00BE2DF7"/>
    <w:rsid w:val="00BE360D"/>
    <w:rsid w:val="00BE369D"/>
    <w:rsid w:val="00BE3938"/>
    <w:rsid w:val="00BE3EF2"/>
    <w:rsid w:val="00BE4854"/>
    <w:rsid w:val="00BE4997"/>
    <w:rsid w:val="00BE4A85"/>
    <w:rsid w:val="00BE4B77"/>
    <w:rsid w:val="00BE4C11"/>
    <w:rsid w:val="00BE507D"/>
    <w:rsid w:val="00BE5116"/>
    <w:rsid w:val="00BE53EA"/>
    <w:rsid w:val="00BE5873"/>
    <w:rsid w:val="00BE5C99"/>
    <w:rsid w:val="00BE5CAD"/>
    <w:rsid w:val="00BE5EEC"/>
    <w:rsid w:val="00BE60F1"/>
    <w:rsid w:val="00BE6196"/>
    <w:rsid w:val="00BE62CF"/>
    <w:rsid w:val="00BE634F"/>
    <w:rsid w:val="00BE641F"/>
    <w:rsid w:val="00BE65B9"/>
    <w:rsid w:val="00BE6725"/>
    <w:rsid w:val="00BE69FB"/>
    <w:rsid w:val="00BE6BA5"/>
    <w:rsid w:val="00BE6C63"/>
    <w:rsid w:val="00BE6FAC"/>
    <w:rsid w:val="00BE70C4"/>
    <w:rsid w:val="00BE7165"/>
    <w:rsid w:val="00BE71C0"/>
    <w:rsid w:val="00BE79E0"/>
    <w:rsid w:val="00BE7B40"/>
    <w:rsid w:val="00BE7BB1"/>
    <w:rsid w:val="00BE7C50"/>
    <w:rsid w:val="00BE7E0F"/>
    <w:rsid w:val="00BF0367"/>
    <w:rsid w:val="00BF0379"/>
    <w:rsid w:val="00BF0656"/>
    <w:rsid w:val="00BF07AB"/>
    <w:rsid w:val="00BF08F6"/>
    <w:rsid w:val="00BF0C3F"/>
    <w:rsid w:val="00BF0D6B"/>
    <w:rsid w:val="00BF1064"/>
    <w:rsid w:val="00BF1220"/>
    <w:rsid w:val="00BF1405"/>
    <w:rsid w:val="00BF18C8"/>
    <w:rsid w:val="00BF1CB1"/>
    <w:rsid w:val="00BF1EBA"/>
    <w:rsid w:val="00BF1F06"/>
    <w:rsid w:val="00BF200A"/>
    <w:rsid w:val="00BF2398"/>
    <w:rsid w:val="00BF263B"/>
    <w:rsid w:val="00BF2770"/>
    <w:rsid w:val="00BF294F"/>
    <w:rsid w:val="00BF346A"/>
    <w:rsid w:val="00BF3539"/>
    <w:rsid w:val="00BF3760"/>
    <w:rsid w:val="00BF3D7D"/>
    <w:rsid w:val="00BF40E4"/>
    <w:rsid w:val="00BF473E"/>
    <w:rsid w:val="00BF4E82"/>
    <w:rsid w:val="00BF542E"/>
    <w:rsid w:val="00BF55F3"/>
    <w:rsid w:val="00BF5850"/>
    <w:rsid w:val="00BF5F3D"/>
    <w:rsid w:val="00BF6003"/>
    <w:rsid w:val="00BF610C"/>
    <w:rsid w:val="00BF6483"/>
    <w:rsid w:val="00BF663D"/>
    <w:rsid w:val="00BF689C"/>
    <w:rsid w:val="00BF6CA0"/>
    <w:rsid w:val="00BF7340"/>
    <w:rsid w:val="00BF7405"/>
    <w:rsid w:val="00BF7416"/>
    <w:rsid w:val="00BF769E"/>
    <w:rsid w:val="00BF78BE"/>
    <w:rsid w:val="00BF7AEE"/>
    <w:rsid w:val="00BF7F54"/>
    <w:rsid w:val="00C00292"/>
    <w:rsid w:val="00C00311"/>
    <w:rsid w:val="00C0060B"/>
    <w:rsid w:val="00C0061E"/>
    <w:rsid w:val="00C00B4C"/>
    <w:rsid w:val="00C00D5F"/>
    <w:rsid w:val="00C0128D"/>
    <w:rsid w:val="00C012BA"/>
    <w:rsid w:val="00C01567"/>
    <w:rsid w:val="00C018C0"/>
    <w:rsid w:val="00C01A6C"/>
    <w:rsid w:val="00C02283"/>
    <w:rsid w:val="00C0277D"/>
    <w:rsid w:val="00C02845"/>
    <w:rsid w:val="00C02928"/>
    <w:rsid w:val="00C02C21"/>
    <w:rsid w:val="00C02C8D"/>
    <w:rsid w:val="00C02D8E"/>
    <w:rsid w:val="00C02E00"/>
    <w:rsid w:val="00C02F26"/>
    <w:rsid w:val="00C03799"/>
    <w:rsid w:val="00C03C6D"/>
    <w:rsid w:val="00C03EDC"/>
    <w:rsid w:val="00C044D5"/>
    <w:rsid w:val="00C04909"/>
    <w:rsid w:val="00C04948"/>
    <w:rsid w:val="00C04BD0"/>
    <w:rsid w:val="00C04DB0"/>
    <w:rsid w:val="00C0535E"/>
    <w:rsid w:val="00C053A1"/>
    <w:rsid w:val="00C0547D"/>
    <w:rsid w:val="00C05C95"/>
    <w:rsid w:val="00C05F68"/>
    <w:rsid w:val="00C06007"/>
    <w:rsid w:val="00C06026"/>
    <w:rsid w:val="00C0658F"/>
    <w:rsid w:val="00C06658"/>
    <w:rsid w:val="00C06D2D"/>
    <w:rsid w:val="00C0708F"/>
    <w:rsid w:val="00C10314"/>
    <w:rsid w:val="00C10876"/>
    <w:rsid w:val="00C108E7"/>
    <w:rsid w:val="00C10B25"/>
    <w:rsid w:val="00C10B93"/>
    <w:rsid w:val="00C11094"/>
    <w:rsid w:val="00C11404"/>
    <w:rsid w:val="00C11597"/>
    <w:rsid w:val="00C11632"/>
    <w:rsid w:val="00C11BCA"/>
    <w:rsid w:val="00C12553"/>
    <w:rsid w:val="00C12B4C"/>
    <w:rsid w:val="00C12B76"/>
    <w:rsid w:val="00C13376"/>
    <w:rsid w:val="00C13665"/>
    <w:rsid w:val="00C13E50"/>
    <w:rsid w:val="00C13EF5"/>
    <w:rsid w:val="00C1410A"/>
    <w:rsid w:val="00C14665"/>
    <w:rsid w:val="00C1466E"/>
    <w:rsid w:val="00C14C8B"/>
    <w:rsid w:val="00C15118"/>
    <w:rsid w:val="00C15251"/>
    <w:rsid w:val="00C153B3"/>
    <w:rsid w:val="00C155BC"/>
    <w:rsid w:val="00C1562C"/>
    <w:rsid w:val="00C158D1"/>
    <w:rsid w:val="00C15DE7"/>
    <w:rsid w:val="00C15E64"/>
    <w:rsid w:val="00C16166"/>
    <w:rsid w:val="00C16198"/>
    <w:rsid w:val="00C163ED"/>
    <w:rsid w:val="00C167EC"/>
    <w:rsid w:val="00C169FC"/>
    <w:rsid w:val="00C16A53"/>
    <w:rsid w:val="00C16D8B"/>
    <w:rsid w:val="00C16EBD"/>
    <w:rsid w:val="00C1714E"/>
    <w:rsid w:val="00C174FF"/>
    <w:rsid w:val="00C17B21"/>
    <w:rsid w:val="00C2004A"/>
    <w:rsid w:val="00C200A7"/>
    <w:rsid w:val="00C2049D"/>
    <w:rsid w:val="00C206FF"/>
    <w:rsid w:val="00C2083D"/>
    <w:rsid w:val="00C20D1D"/>
    <w:rsid w:val="00C20E2B"/>
    <w:rsid w:val="00C20EF8"/>
    <w:rsid w:val="00C210E2"/>
    <w:rsid w:val="00C216D3"/>
    <w:rsid w:val="00C216FC"/>
    <w:rsid w:val="00C2207A"/>
    <w:rsid w:val="00C2211A"/>
    <w:rsid w:val="00C22209"/>
    <w:rsid w:val="00C2229F"/>
    <w:rsid w:val="00C227AC"/>
    <w:rsid w:val="00C2287A"/>
    <w:rsid w:val="00C2297C"/>
    <w:rsid w:val="00C22AD6"/>
    <w:rsid w:val="00C22EE0"/>
    <w:rsid w:val="00C23051"/>
    <w:rsid w:val="00C23118"/>
    <w:rsid w:val="00C23298"/>
    <w:rsid w:val="00C23395"/>
    <w:rsid w:val="00C23462"/>
    <w:rsid w:val="00C2347C"/>
    <w:rsid w:val="00C2361A"/>
    <w:rsid w:val="00C236AF"/>
    <w:rsid w:val="00C238BB"/>
    <w:rsid w:val="00C238DF"/>
    <w:rsid w:val="00C23AE7"/>
    <w:rsid w:val="00C23EC3"/>
    <w:rsid w:val="00C23F6C"/>
    <w:rsid w:val="00C24121"/>
    <w:rsid w:val="00C242C3"/>
    <w:rsid w:val="00C24499"/>
    <w:rsid w:val="00C24A53"/>
    <w:rsid w:val="00C25996"/>
    <w:rsid w:val="00C25CC8"/>
    <w:rsid w:val="00C25F98"/>
    <w:rsid w:val="00C25FB6"/>
    <w:rsid w:val="00C26240"/>
    <w:rsid w:val="00C262F9"/>
    <w:rsid w:val="00C26329"/>
    <w:rsid w:val="00C27173"/>
    <w:rsid w:val="00C27702"/>
    <w:rsid w:val="00C2777D"/>
    <w:rsid w:val="00C27945"/>
    <w:rsid w:val="00C27995"/>
    <w:rsid w:val="00C27D55"/>
    <w:rsid w:val="00C27FA5"/>
    <w:rsid w:val="00C3087D"/>
    <w:rsid w:val="00C308EF"/>
    <w:rsid w:val="00C309C2"/>
    <w:rsid w:val="00C30A25"/>
    <w:rsid w:val="00C30EE3"/>
    <w:rsid w:val="00C30F1D"/>
    <w:rsid w:val="00C30FC1"/>
    <w:rsid w:val="00C31332"/>
    <w:rsid w:val="00C314A9"/>
    <w:rsid w:val="00C315AF"/>
    <w:rsid w:val="00C3164E"/>
    <w:rsid w:val="00C31A59"/>
    <w:rsid w:val="00C31CA0"/>
    <w:rsid w:val="00C320C5"/>
    <w:rsid w:val="00C320CD"/>
    <w:rsid w:val="00C321AD"/>
    <w:rsid w:val="00C3236B"/>
    <w:rsid w:val="00C326D6"/>
    <w:rsid w:val="00C32FEC"/>
    <w:rsid w:val="00C33875"/>
    <w:rsid w:val="00C33E83"/>
    <w:rsid w:val="00C33F37"/>
    <w:rsid w:val="00C34244"/>
    <w:rsid w:val="00C34931"/>
    <w:rsid w:val="00C3493F"/>
    <w:rsid w:val="00C34A05"/>
    <w:rsid w:val="00C352CC"/>
    <w:rsid w:val="00C354DB"/>
    <w:rsid w:val="00C359DD"/>
    <w:rsid w:val="00C35CCE"/>
    <w:rsid w:val="00C35D36"/>
    <w:rsid w:val="00C35E26"/>
    <w:rsid w:val="00C35F0D"/>
    <w:rsid w:val="00C36537"/>
    <w:rsid w:val="00C367D7"/>
    <w:rsid w:val="00C36C1D"/>
    <w:rsid w:val="00C36FD0"/>
    <w:rsid w:val="00C37181"/>
    <w:rsid w:val="00C3747A"/>
    <w:rsid w:val="00C3761D"/>
    <w:rsid w:val="00C377D0"/>
    <w:rsid w:val="00C378E7"/>
    <w:rsid w:val="00C37E63"/>
    <w:rsid w:val="00C4032F"/>
    <w:rsid w:val="00C40945"/>
    <w:rsid w:val="00C4097C"/>
    <w:rsid w:val="00C40B93"/>
    <w:rsid w:val="00C40E8F"/>
    <w:rsid w:val="00C4112A"/>
    <w:rsid w:val="00C4114C"/>
    <w:rsid w:val="00C411CD"/>
    <w:rsid w:val="00C41401"/>
    <w:rsid w:val="00C414C1"/>
    <w:rsid w:val="00C4162A"/>
    <w:rsid w:val="00C41AE0"/>
    <w:rsid w:val="00C41F21"/>
    <w:rsid w:val="00C422A8"/>
    <w:rsid w:val="00C4232E"/>
    <w:rsid w:val="00C42413"/>
    <w:rsid w:val="00C42852"/>
    <w:rsid w:val="00C42D58"/>
    <w:rsid w:val="00C43052"/>
    <w:rsid w:val="00C4305F"/>
    <w:rsid w:val="00C43924"/>
    <w:rsid w:val="00C43BFB"/>
    <w:rsid w:val="00C44047"/>
    <w:rsid w:val="00C4433F"/>
    <w:rsid w:val="00C44512"/>
    <w:rsid w:val="00C44C23"/>
    <w:rsid w:val="00C45155"/>
    <w:rsid w:val="00C458E6"/>
    <w:rsid w:val="00C45991"/>
    <w:rsid w:val="00C4642E"/>
    <w:rsid w:val="00C46649"/>
    <w:rsid w:val="00C466AA"/>
    <w:rsid w:val="00C46AA8"/>
    <w:rsid w:val="00C46BE2"/>
    <w:rsid w:val="00C46EA3"/>
    <w:rsid w:val="00C46ED6"/>
    <w:rsid w:val="00C46F6D"/>
    <w:rsid w:val="00C47913"/>
    <w:rsid w:val="00C4791F"/>
    <w:rsid w:val="00C47A08"/>
    <w:rsid w:val="00C47B84"/>
    <w:rsid w:val="00C47D7E"/>
    <w:rsid w:val="00C47DC5"/>
    <w:rsid w:val="00C5044C"/>
    <w:rsid w:val="00C5064B"/>
    <w:rsid w:val="00C50919"/>
    <w:rsid w:val="00C509E6"/>
    <w:rsid w:val="00C50B36"/>
    <w:rsid w:val="00C5128D"/>
    <w:rsid w:val="00C513F4"/>
    <w:rsid w:val="00C51552"/>
    <w:rsid w:val="00C5155B"/>
    <w:rsid w:val="00C51686"/>
    <w:rsid w:val="00C516DB"/>
    <w:rsid w:val="00C51F55"/>
    <w:rsid w:val="00C5208E"/>
    <w:rsid w:val="00C5234D"/>
    <w:rsid w:val="00C52788"/>
    <w:rsid w:val="00C52815"/>
    <w:rsid w:val="00C5285D"/>
    <w:rsid w:val="00C528E1"/>
    <w:rsid w:val="00C528F1"/>
    <w:rsid w:val="00C52D71"/>
    <w:rsid w:val="00C532C3"/>
    <w:rsid w:val="00C53510"/>
    <w:rsid w:val="00C53AE9"/>
    <w:rsid w:val="00C53E23"/>
    <w:rsid w:val="00C53F8F"/>
    <w:rsid w:val="00C54642"/>
    <w:rsid w:val="00C5498F"/>
    <w:rsid w:val="00C54D02"/>
    <w:rsid w:val="00C54E91"/>
    <w:rsid w:val="00C55235"/>
    <w:rsid w:val="00C555F7"/>
    <w:rsid w:val="00C557F0"/>
    <w:rsid w:val="00C5580B"/>
    <w:rsid w:val="00C55893"/>
    <w:rsid w:val="00C55AC8"/>
    <w:rsid w:val="00C55ACE"/>
    <w:rsid w:val="00C55E80"/>
    <w:rsid w:val="00C55F3A"/>
    <w:rsid w:val="00C560A1"/>
    <w:rsid w:val="00C56246"/>
    <w:rsid w:val="00C567EA"/>
    <w:rsid w:val="00C56F4C"/>
    <w:rsid w:val="00C57356"/>
    <w:rsid w:val="00C576A8"/>
    <w:rsid w:val="00C57815"/>
    <w:rsid w:val="00C57C75"/>
    <w:rsid w:val="00C60267"/>
    <w:rsid w:val="00C6055D"/>
    <w:rsid w:val="00C60679"/>
    <w:rsid w:val="00C6145F"/>
    <w:rsid w:val="00C61852"/>
    <w:rsid w:val="00C61CAD"/>
    <w:rsid w:val="00C61DB5"/>
    <w:rsid w:val="00C625D2"/>
    <w:rsid w:val="00C629C2"/>
    <w:rsid w:val="00C62B70"/>
    <w:rsid w:val="00C62DE5"/>
    <w:rsid w:val="00C62F01"/>
    <w:rsid w:val="00C62F59"/>
    <w:rsid w:val="00C6367D"/>
    <w:rsid w:val="00C636F7"/>
    <w:rsid w:val="00C63E7C"/>
    <w:rsid w:val="00C63F5A"/>
    <w:rsid w:val="00C64190"/>
    <w:rsid w:val="00C6443F"/>
    <w:rsid w:val="00C647B1"/>
    <w:rsid w:val="00C647C6"/>
    <w:rsid w:val="00C64CD0"/>
    <w:rsid w:val="00C64E9A"/>
    <w:rsid w:val="00C65239"/>
    <w:rsid w:val="00C652AC"/>
    <w:rsid w:val="00C65618"/>
    <w:rsid w:val="00C65985"/>
    <w:rsid w:val="00C659F3"/>
    <w:rsid w:val="00C65EC7"/>
    <w:rsid w:val="00C65F61"/>
    <w:rsid w:val="00C660EF"/>
    <w:rsid w:val="00C66152"/>
    <w:rsid w:val="00C662E8"/>
    <w:rsid w:val="00C6684F"/>
    <w:rsid w:val="00C66CD6"/>
    <w:rsid w:val="00C673A1"/>
    <w:rsid w:val="00C6758C"/>
    <w:rsid w:val="00C67756"/>
    <w:rsid w:val="00C678C9"/>
    <w:rsid w:val="00C67969"/>
    <w:rsid w:val="00C67B39"/>
    <w:rsid w:val="00C702E9"/>
    <w:rsid w:val="00C707EF"/>
    <w:rsid w:val="00C70CC0"/>
    <w:rsid w:val="00C70E70"/>
    <w:rsid w:val="00C71404"/>
    <w:rsid w:val="00C71AFD"/>
    <w:rsid w:val="00C720BB"/>
    <w:rsid w:val="00C7214A"/>
    <w:rsid w:val="00C72227"/>
    <w:rsid w:val="00C723E8"/>
    <w:rsid w:val="00C723EB"/>
    <w:rsid w:val="00C724FA"/>
    <w:rsid w:val="00C72C04"/>
    <w:rsid w:val="00C72C6D"/>
    <w:rsid w:val="00C72E39"/>
    <w:rsid w:val="00C72F05"/>
    <w:rsid w:val="00C7311B"/>
    <w:rsid w:val="00C732D9"/>
    <w:rsid w:val="00C732FD"/>
    <w:rsid w:val="00C73560"/>
    <w:rsid w:val="00C735E3"/>
    <w:rsid w:val="00C73ED6"/>
    <w:rsid w:val="00C740E0"/>
    <w:rsid w:val="00C74219"/>
    <w:rsid w:val="00C743F9"/>
    <w:rsid w:val="00C74675"/>
    <w:rsid w:val="00C749BF"/>
    <w:rsid w:val="00C74B5F"/>
    <w:rsid w:val="00C74E45"/>
    <w:rsid w:val="00C75AF1"/>
    <w:rsid w:val="00C75E79"/>
    <w:rsid w:val="00C75EC7"/>
    <w:rsid w:val="00C75F8D"/>
    <w:rsid w:val="00C76194"/>
    <w:rsid w:val="00C772FC"/>
    <w:rsid w:val="00C77380"/>
    <w:rsid w:val="00C7742E"/>
    <w:rsid w:val="00C77509"/>
    <w:rsid w:val="00C777F3"/>
    <w:rsid w:val="00C778ED"/>
    <w:rsid w:val="00C80299"/>
    <w:rsid w:val="00C806BE"/>
    <w:rsid w:val="00C80977"/>
    <w:rsid w:val="00C80B91"/>
    <w:rsid w:val="00C80DBE"/>
    <w:rsid w:val="00C80E64"/>
    <w:rsid w:val="00C80EDE"/>
    <w:rsid w:val="00C80F12"/>
    <w:rsid w:val="00C810AD"/>
    <w:rsid w:val="00C810FE"/>
    <w:rsid w:val="00C81611"/>
    <w:rsid w:val="00C817F1"/>
    <w:rsid w:val="00C818E6"/>
    <w:rsid w:val="00C81BB4"/>
    <w:rsid w:val="00C81F0F"/>
    <w:rsid w:val="00C81FDB"/>
    <w:rsid w:val="00C821E5"/>
    <w:rsid w:val="00C82399"/>
    <w:rsid w:val="00C8244E"/>
    <w:rsid w:val="00C82C39"/>
    <w:rsid w:val="00C833B5"/>
    <w:rsid w:val="00C836E0"/>
    <w:rsid w:val="00C83729"/>
    <w:rsid w:val="00C83D04"/>
    <w:rsid w:val="00C83E13"/>
    <w:rsid w:val="00C84274"/>
    <w:rsid w:val="00C84CA2"/>
    <w:rsid w:val="00C84D36"/>
    <w:rsid w:val="00C860C6"/>
    <w:rsid w:val="00C86758"/>
    <w:rsid w:val="00C86872"/>
    <w:rsid w:val="00C86BCC"/>
    <w:rsid w:val="00C86E47"/>
    <w:rsid w:val="00C86F72"/>
    <w:rsid w:val="00C86F9C"/>
    <w:rsid w:val="00C87228"/>
    <w:rsid w:val="00C87331"/>
    <w:rsid w:val="00C87567"/>
    <w:rsid w:val="00C87D1E"/>
    <w:rsid w:val="00C87E0F"/>
    <w:rsid w:val="00C87E8A"/>
    <w:rsid w:val="00C905E0"/>
    <w:rsid w:val="00C90888"/>
    <w:rsid w:val="00C909A1"/>
    <w:rsid w:val="00C90A21"/>
    <w:rsid w:val="00C90D97"/>
    <w:rsid w:val="00C911FD"/>
    <w:rsid w:val="00C912EC"/>
    <w:rsid w:val="00C91343"/>
    <w:rsid w:val="00C913D6"/>
    <w:rsid w:val="00C91515"/>
    <w:rsid w:val="00C91626"/>
    <w:rsid w:val="00C916B6"/>
    <w:rsid w:val="00C918A1"/>
    <w:rsid w:val="00C918A6"/>
    <w:rsid w:val="00C91982"/>
    <w:rsid w:val="00C919A5"/>
    <w:rsid w:val="00C92173"/>
    <w:rsid w:val="00C9239D"/>
    <w:rsid w:val="00C9256A"/>
    <w:rsid w:val="00C929D5"/>
    <w:rsid w:val="00C92DA4"/>
    <w:rsid w:val="00C932EA"/>
    <w:rsid w:val="00C9347C"/>
    <w:rsid w:val="00C935E0"/>
    <w:rsid w:val="00C9363E"/>
    <w:rsid w:val="00C93A64"/>
    <w:rsid w:val="00C93C87"/>
    <w:rsid w:val="00C93D90"/>
    <w:rsid w:val="00C9442B"/>
    <w:rsid w:val="00C945D7"/>
    <w:rsid w:val="00C94B3A"/>
    <w:rsid w:val="00C94BC1"/>
    <w:rsid w:val="00C94C7E"/>
    <w:rsid w:val="00C94FA0"/>
    <w:rsid w:val="00C955EA"/>
    <w:rsid w:val="00C959D8"/>
    <w:rsid w:val="00C95C16"/>
    <w:rsid w:val="00C95C53"/>
    <w:rsid w:val="00C95EEF"/>
    <w:rsid w:val="00C960DE"/>
    <w:rsid w:val="00C96237"/>
    <w:rsid w:val="00C967DA"/>
    <w:rsid w:val="00C9683F"/>
    <w:rsid w:val="00C968B8"/>
    <w:rsid w:val="00C968DB"/>
    <w:rsid w:val="00C96FAF"/>
    <w:rsid w:val="00C97197"/>
    <w:rsid w:val="00C97736"/>
    <w:rsid w:val="00C97B39"/>
    <w:rsid w:val="00CA0145"/>
    <w:rsid w:val="00CA13BF"/>
    <w:rsid w:val="00CA14EF"/>
    <w:rsid w:val="00CA14F9"/>
    <w:rsid w:val="00CA1849"/>
    <w:rsid w:val="00CA1B82"/>
    <w:rsid w:val="00CA1C18"/>
    <w:rsid w:val="00CA20C3"/>
    <w:rsid w:val="00CA2126"/>
    <w:rsid w:val="00CA2287"/>
    <w:rsid w:val="00CA22EA"/>
    <w:rsid w:val="00CA2732"/>
    <w:rsid w:val="00CA2751"/>
    <w:rsid w:val="00CA28B7"/>
    <w:rsid w:val="00CA2A37"/>
    <w:rsid w:val="00CA2F62"/>
    <w:rsid w:val="00CA307B"/>
    <w:rsid w:val="00CA345A"/>
    <w:rsid w:val="00CA3835"/>
    <w:rsid w:val="00CA3D2C"/>
    <w:rsid w:val="00CA3D71"/>
    <w:rsid w:val="00CA40F6"/>
    <w:rsid w:val="00CA474F"/>
    <w:rsid w:val="00CA51D8"/>
    <w:rsid w:val="00CA5410"/>
    <w:rsid w:val="00CA5685"/>
    <w:rsid w:val="00CA57EE"/>
    <w:rsid w:val="00CA62A2"/>
    <w:rsid w:val="00CA6706"/>
    <w:rsid w:val="00CA682F"/>
    <w:rsid w:val="00CA69E8"/>
    <w:rsid w:val="00CA6D39"/>
    <w:rsid w:val="00CA7063"/>
    <w:rsid w:val="00CA7080"/>
    <w:rsid w:val="00CA782B"/>
    <w:rsid w:val="00CA7847"/>
    <w:rsid w:val="00CA7C85"/>
    <w:rsid w:val="00CA7D9A"/>
    <w:rsid w:val="00CA7FAF"/>
    <w:rsid w:val="00CB023B"/>
    <w:rsid w:val="00CB0767"/>
    <w:rsid w:val="00CB07FF"/>
    <w:rsid w:val="00CB0A0D"/>
    <w:rsid w:val="00CB0A4E"/>
    <w:rsid w:val="00CB0B8B"/>
    <w:rsid w:val="00CB11C3"/>
    <w:rsid w:val="00CB1A0A"/>
    <w:rsid w:val="00CB1B14"/>
    <w:rsid w:val="00CB1CFB"/>
    <w:rsid w:val="00CB1E82"/>
    <w:rsid w:val="00CB2465"/>
    <w:rsid w:val="00CB2976"/>
    <w:rsid w:val="00CB3073"/>
    <w:rsid w:val="00CB3772"/>
    <w:rsid w:val="00CB390D"/>
    <w:rsid w:val="00CB4035"/>
    <w:rsid w:val="00CB404F"/>
    <w:rsid w:val="00CB4BA8"/>
    <w:rsid w:val="00CB4E60"/>
    <w:rsid w:val="00CB5011"/>
    <w:rsid w:val="00CB52D7"/>
    <w:rsid w:val="00CB5797"/>
    <w:rsid w:val="00CB5A5D"/>
    <w:rsid w:val="00CB6129"/>
    <w:rsid w:val="00CB65BC"/>
    <w:rsid w:val="00CB6895"/>
    <w:rsid w:val="00CB6CA4"/>
    <w:rsid w:val="00CB6D01"/>
    <w:rsid w:val="00CB6D4C"/>
    <w:rsid w:val="00CB6D7D"/>
    <w:rsid w:val="00CB761C"/>
    <w:rsid w:val="00CB7626"/>
    <w:rsid w:val="00CB77A3"/>
    <w:rsid w:val="00CB77A7"/>
    <w:rsid w:val="00CB7C5E"/>
    <w:rsid w:val="00CB7C67"/>
    <w:rsid w:val="00CB7C7B"/>
    <w:rsid w:val="00CB7DC9"/>
    <w:rsid w:val="00CC0676"/>
    <w:rsid w:val="00CC1235"/>
    <w:rsid w:val="00CC124B"/>
    <w:rsid w:val="00CC1259"/>
    <w:rsid w:val="00CC1533"/>
    <w:rsid w:val="00CC1740"/>
    <w:rsid w:val="00CC1861"/>
    <w:rsid w:val="00CC1CB9"/>
    <w:rsid w:val="00CC1D15"/>
    <w:rsid w:val="00CC1F59"/>
    <w:rsid w:val="00CC204E"/>
    <w:rsid w:val="00CC24E3"/>
    <w:rsid w:val="00CC2B2A"/>
    <w:rsid w:val="00CC3453"/>
    <w:rsid w:val="00CC370A"/>
    <w:rsid w:val="00CC388E"/>
    <w:rsid w:val="00CC3ACF"/>
    <w:rsid w:val="00CC3C2F"/>
    <w:rsid w:val="00CC3FEC"/>
    <w:rsid w:val="00CC40D6"/>
    <w:rsid w:val="00CC4418"/>
    <w:rsid w:val="00CC4880"/>
    <w:rsid w:val="00CC48F3"/>
    <w:rsid w:val="00CC49AC"/>
    <w:rsid w:val="00CC4A8E"/>
    <w:rsid w:val="00CC50E5"/>
    <w:rsid w:val="00CC5413"/>
    <w:rsid w:val="00CC551B"/>
    <w:rsid w:val="00CC5899"/>
    <w:rsid w:val="00CC5C2A"/>
    <w:rsid w:val="00CC5F71"/>
    <w:rsid w:val="00CC63F9"/>
    <w:rsid w:val="00CC6551"/>
    <w:rsid w:val="00CC6732"/>
    <w:rsid w:val="00CC6954"/>
    <w:rsid w:val="00CC6B85"/>
    <w:rsid w:val="00CC78A1"/>
    <w:rsid w:val="00CC7D2E"/>
    <w:rsid w:val="00CC7D9D"/>
    <w:rsid w:val="00CC7F74"/>
    <w:rsid w:val="00CD0580"/>
    <w:rsid w:val="00CD0A30"/>
    <w:rsid w:val="00CD0C5B"/>
    <w:rsid w:val="00CD0E95"/>
    <w:rsid w:val="00CD0EED"/>
    <w:rsid w:val="00CD123A"/>
    <w:rsid w:val="00CD13B3"/>
    <w:rsid w:val="00CD1656"/>
    <w:rsid w:val="00CD1944"/>
    <w:rsid w:val="00CD1A6E"/>
    <w:rsid w:val="00CD1D47"/>
    <w:rsid w:val="00CD1F97"/>
    <w:rsid w:val="00CD22B6"/>
    <w:rsid w:val="00CD2ADA"/>
    <w:rsid w:val="00CD2AFA"/>
    <w:rsid w:val="00CD2E73"/>
    <w:rsid w:val="00CD3257"/>
    <w:rsid w:val="00CD3645"/>
    <w:rsid w:val="00CD3BF9"/>
    <w:rsid w:val="00CD3F22"/>
    <w:rsid w:val="00CD3FF1"/>
    <w:rsid w:val="00CD40B5"/>
    <w:rsid w:val="00CD4150"/>
    <w:rsid w:val="00CD481E"/>
    <w:rsid w:val="00CD4B2A"/>
    <w:rsid w:val="00CD4B93"/>
    <w:rsid w:val="00CD4DB3"/>
    <w:rsid w:val="00CD4FD2"/>
    <w:rsid w:val="00CD508D"/>
    <w:rsid w:val="00CD6299"/>
    <w:rsid w:val="00CD69F1"/>
    <w:rsid w:val="00CD6ACF"/>
    <w:rsid w:val="00CD6B5C"/>
    <w:rsid w:val="00CD7375"/>
    <w:rsid w:val="00CD7D9C"/>
    <w:rsid w:val="00CE028B"/>
    <w:rsid w:val="00CE02CC"/>
    <w:rsid w:val="00CE034D"/>
    <w:rsid w:val="00CE128A"/>
    <w:rsid w:val="00CE13A9"/>
    <w:rsid w:val="00CE1AEF"/>
    <w:rsid w:val="00CE1FF0"/>
    <w:rsid w:val="00CE205C"/>
    <w:rsid w:val="00CE2901"/>
    <w:rsid w:val="00CE2A77"/>
    <w:rsid w:val="00CE2CCA"/>
    <w:rsid w:val="00CE2DCB"/>
    <w:rsid w:val="00CE3C96"/>
    <w:rsid w:val="00CE3E53"/>
    <w:rsid w:val="00CE40BF"/>
    <w:rsid w:val="00CE40D3"/>
    <w:rsid w:val="00CE4800"/>
    <w:rsid w:val="00CE4B9F"/>
    <w:rsid w:val="00CE51A8"/>
    <w:rsid w:val="00CE5590"/>
    <w:rsid w:val="00CE5A3B"/>
    <w:rsid w:val="00CE611B"/>
    <w:rsid w:val="00CE62CD"/>
    <w:rsid w:val="00CE634F"/>
    <w:rsid w:val="00CE67E3"/>
    <w:rsid w:val="00CE687A"/>
    <w:rsid w:val="00CE6992"/>
    <w:rsid w:val="00CE69DE"/>
    <w:rsid w:val="00CE6DA3"/>
    <w:rsid w:val="00CE6E59"/>
    <w:rsid w:val="00CE708D"/>
    <w:rsid w:val="00CE7383"/>
    <w:rsid w:val="00CE75A3"/>
    <w:rsid w:val="00CE78DB"/>
    <w:rsid w:val="00CE796F"/>
    <w:rsid w:val="00CE7996"/>
    <w:rsid w:val="00CE7AF0"/>
    <w:rsid w:val="00CE7CDC"/>
    <w:rsid w:val="00CE7D3A"/>
    <w:rsid w:val="00CF04A9"/>
    <w:rsid w:val="00CF04AC"/>
    <w:rsid w:val="00CF0BFE"/>
    <w:rsid w:val="00CF0D12"/>
    <w:rsid w:val="00CF0DC7"/>
    <w:rsid w:val="00CF0E01"/>
    <w:rsid w:val="00CF0EF4"/>
    <w:rsid w:val="00CF1198"/>
    <w:rsid w:val="00CF1488"/>
    <w:rsid w:val="00CF161D"/>
    <w:rsid w:val="00CF1816"/>
    <w:rsid w:val="00CF19DC"/>
    <w:rsid w:val="00CF1A50"/>
    <w:rsid w:val="00CF1BCF"/>
    <w:rsid w:val="00CF1C6B"/>
    <w:rsid w:val="00CF1CC5"/>
    <w:rsid w:val="00CF1D09"/>
    <w:rsid w:val="00CF1F40"/>
    <w:rsid w:val="00CF210F"/>
    <w:rsid w:val="00CF2335"/>
    <w:rsid w:val="00CF369B"/>
    <w:rsid w:val="00CF3AE7"/>
    <w:rsid w:val="00CF3BD6"/>
    <w:rsid w:val="00CF42E7"/>
    <w:rsid w:val="00CF455B"/>
    <w:rsid w:val="00CF48AF"/>
    <w:rsid w:val="00CF4EA5"/>
    <w:rsid w:val="00CF4F40"/>
    <w:rsid w:val="00CF50E2"/>
    <w:rsid w:val="00CF5384"/>
    <w:rsid w:val="00CF5EA8"/>
    <w:rsid w:val="00CF64F2"/>
    <w:rsid w:val="00CF6622"/>
    <w:rsid w:val="00CF66A1"/>
    <w:rsid w:val="00CF68AC"/>
    <w:rsid w:val="00CF6955"/>
    <w:rsid w:val="00CF6BFB"/>
    <w:rsid w:val="00CF6D53"/>
    <w:rsid w:val="00CF7083"/>
    <w:rsid w:val="00CF764F"/>
    <w:rsid w:val="00CF7831"/>
    <w:rsid w:val="00CF783A"/>
    <w:rsid w:val="00CF78A2"/>
    <w:rsid w:val="00CF7989"/>
    <w:rsid w:val="00CF7A25"/>
    <w:rsid w:val="00CF7AA1"/>
    <w:rsid w:val="00D00128"/>
    <w:rsid w:val="00D00247"/>
    <w:rsid w:val="00D00E28"/>
    <w:rsid w:val="00D01011"/>
    <w:rsid w:val="00D01967"/>
    <w:rsid w:val="00D01D97"/>
    <w:rsid w:val="00D020E9"/>
    <w:rsid w:val="00D023F1"/>
    <w:rsid w:val="00D023F3"/>
    <w:rsid w:val="00D0269E"/>
    <w:rsid w:val="00D026AB"/>
    <w:rsid w:val="00D02966"/>
    <w:rsid w:val="00D02D66"/>
    <w:rsid w:val="00D0300F"/>
    <w:rsid w:val="00D0303C"/>
    <w:rsid w:val="00D0347E"/>
    <w:rsid w:val="00D038AB"/>
    <w:rsid w:val="00D03A20"/>
    <w:rsid w:val="00D041E6"/>
    <w:rsid w:val="00D04272"/>
    <w:rsid w:val="00D048A5"/>
    <w:rsid w:val="00D04A49"/>
    <w:rsid w:val="00D0555A"/>
    <w:rsid w:val="00D0565E"/>
    <w:rsid w:val="00D056FF"/>
    <w:rsid w:val="00D05D6C"/>
    <w:rsid w:val="00D05E60"/>
    <w:rsid w:val="00D05F88"/>
    <w:rsid w:val="00D06333"/>
    <w:rsid w:val="00D06373"/>
    <w:rsid w:val="00D0640C"/>
    <w:rsid w:val="00D065F8"/>
    <w:rsid w:val="00D0680E"/>
    <w:rsid w:val="00D07319"/>
    <w:rsid w:val="00D0761B"/>
    <w:rsid w:val="00D07966"/>
    <w:rsid w:val="00D07977"/>
    <w:rsid w:val="00D100B8"/>
    <w:rsid w:val="00D103F6"/>
    <w:rsid w:val="00D10514"/>
    <w:rsid w:val="00D10622"/>
    <w:rsid w:val="00D10CD3"/>
    <w:rsid w:val="00D111B4"/>
    <w:rsid w:val="00D113CE"/>
    <w:rsid w:val="00D113DF"/>
    <w:rsid w:val="00D11522"/>
    <w:rsid w:val="00D11762"/>
    <w:rsid w:val="00D117F6"/>
    <w:rsid w:val="00D118C3"/>
    <w:rsid w:val="00D11BC3"/>
    <w:rsid w:val="00D11D46"/>
    <w:rsid w:val="00D125C7"/>
    <w:rsid w:val="00D125FC"/>
    <w:rsid w:val="00D1263F"/>
    <w:rsid w:val="00D12CD1"/>
    <w:rsid w:val="00D12E68"/>
    <w:rsid w:val="00D12EAC"/>
    <w:rsid w:val="00D1310A"/>
    <w:rsid w:val="00D13222"/>
    <w:rsid w:val="00D1329A"/>
    <w:rsid w:val="00D136AA"/>
    <w:rsid w:val="00D13859"/>
    <w:rsid w:val="00D13C93"/>
    <w:rsid w:val="00D1442E"/>
    <w:rsid w:val="00D149E0"/>
    <w:rsid w:val="00D14AB3"/>
    <w:rsid w:val="00D14EC1"/>
    <w:rsid w:val="00D14FBE"/>
    <w:rsid w:val="00D15159"/>
    <w:rsid w:val="00D157DC"/>
    <w:rsid w:val="00D15810"/>
    <w:rsid w:val="00D15D96"/>
    <w:rsid w:val="00D15F7D"/>
    <w:rsid w:val="00D16399"/>
    <w:rsid w:val="00D1680A"/>
    <w:rsid w:val="00D16D4E"/>
    <w:rsid w:val="00D16FE3"/>
    <w:rsid w:val="00D17484"/>
    <w:rsid w:val="00D178BC"/>
    <w:rsid w:val="00D17CD9"/>
    <w:rsid w:val="00D17D92"/>
    <w:rsid w:val="00D20736"/>
    <w:rsid w:val="00D20DC6"/>
    <w:rsid w:val="00D20EB4"/>
    <w:rsid w:val="00D20FC4"/>
    <w:rsid w:val="00D213EB"/>
    <w:rsid w:val="00D21AFA"/>
    <w:rsid w:val="00D22264"/>
    <w:rsid w:val="00D2260F"/>
    <w:rsid w:val="00D229FA"/>
    <w:rsid w:val="00D22BB1"/>
    <w:rsid w:val="00D22EBB"/>
    <w:rsid w:val="00D2332E"/>
    <w:rsid w:val="00D2345E"/>
    <w:rsid w:val="00D238F2"/>
    <w:rsid w:val="00D23C98"/>
    <w:rsid w:val="00D23E4D"/>
    <w:rsid w:val="00D241C9"/>
    <w:rsid w:val="00D2489C"/>
    <w:rsid w:val="00D24AF3"/>
    <w:rsid w:val="00D24B95"/>
    <w:rsid w:val="00D24BC2"/>
    <w:rsid w:val="00D25A2E"/>
    <w:rsid w:val="00D26212"/>
    <w:rsid w:val="00D26854"/>
    <w:rsid w:val="00D269A3"/>
    <w:rsid w:val="00D27008"/>
    <w:rsid w:val="00D271E9"/>
    <w:rsid w:val="00D27C9A"/>
    <w:rsid w:val="00D27F41"/>
    <w:rsid w:val="00D30450"/>
    <w:rsid w:val="00D30A3B"/>
    <w:rsid w:val="00D3106C"/>
    <w:rsid w:val="00D31390"/>
    <w:rsid w:val="00D315DF"/>
    <w:rsid w:val="00D3217E"/>
    <w:rsid w:val="00D324DE"/>
    <w:rsid w:val="00D327C8"/>
    <w:rsid w:val="00D33187"/>
    <w:rsid w:val="00D33376"/>
    <w:rsid w:val="00D33394"/>
    <w:rsid w:val="00D33B28"/>
    <w:rsid w:val="00D33CDC"/>
    <w:rsid w:val="00D33F08"/>
    <w:rsid w:val="00D345B7"/>
    <w:rsid w:val="00D349D2"/>
    <w:rsid w:val="00D34DA3"/>
    <w:rsid w:val="00D3541B"/>
    <w:rsid w:val="00D3563C"/>
    <w:rsid w:val="00D35951"/>
    <w:rsid w:val="00D359E7"/>
    <w:rsid w:val="00D35BE6"/>
    <w:rsid w:val="00D36441"/>
    <w:rsid w:val="00D364F3"/>
    <w:rsid w:val="00D367BE"/>
    <w:rsid w:val="00D367F3"/>
    <w:rsid w:val="00D3689D"/>
    <w:rsid w:val="00D3702A"/>
    <w:rsid w:val="00D37260"/>
    <w:rsid w:val="00D373B2"/>
    <w:rsid w:val="00D373DD"/>
    <w:rsid w:val="00D37453"/>
    <w:rsid w:val="00D374A1"/>
    <w:rsid w:val="00D374B0"/>
    <w:rsid w:val="00D37793"/>
    <w:rsid w:val="00D37CA2"/>
    <w:rsid w:val="00D37E3C"/>
    <w:rsid w:val="00D400FB"/>
    <w:rsid w:val="00D402B0"/>
    <w:rsid w:val="00D4064E"/>
    <w:rsid w:val="00D40683"/>
    <w:rsid w:val="00D40AB9"/>
    <w:rsid w:val="00D40DA7"/>
    <w:rsid w:val="00D419BE"/>
    <w:rsid w:val="00D41C38"/>
    <w:rsid w:val="00D42223"/>
    <w:rsid w:val="00D42A73"/>
    <w:rsid w:val="00D42B9A"/>
    <w:rsid w:val="00D42C9A"/>
    <w:rsid w:val="00D434F9"/>
    <w:rsid w:val="00D43641"/>
    <w:rsid w:val="00D436E4"/>
    <w:rsid w:val="00D43A0E"/>
    <w:rsid w:val="00D43CF4"/>
    <w:rsid w:val="00D441DB"/>
    <w:rsid w:val="00D4439F"/>
    <w:rsid w:val="00D44449"/>
    <w:rsid w:val="00D445EB"/>
    <w:rsid w:val="00D448F0"/>
    <w:rsid w:val="00D44D04"/>
    <w:rsid w:val="00D44E9B"/>
    <w:rsid w:val="00D45154"/>
    <w:rsid w:val="00D45240"/>
    <w:rsid w:val="00D45721"/>
    <w:rsid w:val="00D45BED"/>
    <w:rsid w:val="00D45C17"/>
    <w:rsid w:val="00D45FA3"/>
    <w:rsid w:val="00D4606A"/>
    <w:rsid w:val="00D46710"/>
    <w:rsid w:val="00D46C18"/>
    <w:rsid w:val="00D47253"/>
    <w:rsid w:val="00D472B3"/>
    <w:rsid w:val="00D47ADD"/>
    <w:rsid w:val="00D47AEB"/>
    <w:rsid w:val="00D47F25"/>
    <w:rsid w:val="00D50072"/>
    <w:rsid w:val="00D5008D"/>
    <w:rsid w:val="00D50547"/>
    <w:rsid w:val="00D50A2F"/>
    <w:rsid w:val="00D50C68"/>
    <w:rsid w:val="00D50D67"/>
    <w:rsid w:val="00D50DB9"/>
    <w:rsid w:val="00D510B9"/>
    <w:rsid w:val="00D51173"/>
    <w:rsid w:val="00D512F1"/>
    <w:rsid w:val="00D51302"/>
    <w:rsid w:val="00D51AB6"/>
    <w:rsid w:val="00D51D05"/>
    <w:rsid w:val="00D52534"/>
    <w:rsid w:val="00D52AF1"/>
    <w:rsid w:val="00D52C43"/>
    <w:rsid w:val="00D52E6D"/>
    <w:rsid w:val="00D53740"/>
    <w:rsid w:val="00D53801"/>
    <w:rsid w:val="00D53C5A"/>
    <w:rsid w:val="00D53DE5"/>
    <w:rsid w:val="00D53E95"/>
    <w:rsid w:val="00D54160"/>
    <w:rsid w:val="00D541A9"/>
    <w:rsid w:val="00D54581"/>
    <w:rsid w:val="00D545DD"/>
    <w:rsid w:val="00D548E3"/>
    <w:rsid w:val="00D54914"/>
    <w:rsid w:val="00D5549A"/>
    <w:rsid w:val="00D55653"/>
    <w:rsid w:val="00D558FE"/>
    <w:rsid w:val="00D55E36"/>
    <w:rsid w:val="00D5604D"/>
    <w:rsid w:val="00D565A4"/>
    <w:rsid w:val="00D565CE"/>
    <w:rsid w:val="00D56832"/>
    <w:rsid w:val="00D57361"/>
    <w:rsid w:val="00D57492"/>
    <w:rsid w:val="00D57520"/>
    <w:rsid w:val="00D576CD"/>
    <w:rsid w:val="00D57F14"/>
    <w:rsid w:val="00D6035C"/>
    <w:rsid w:val="00D6038D"/>
    <w:rsid w:val="00D60605"/>
    <w:rsid w:val="00D60685"/>
    <w:rsid w:val="00D609E0"/>
    <w:rsid w:val="00D60D1D"/>
    <w:rsid w:val="00D60EE6"/>
    <w:rsid w:val="00D60FF6"/>
    <w:rsid w:val="00D61207"/>
    <w:rsid w:val="00D61243"/>
    <w:rsid w:val="00D6188E"/>
    <w:rsid w:val="00D61CDF"/>
    <w:rsid w:val="00D61D2A"/>
    <w:rsid w:val="00D623BF"/>
    <w:rsid w:val="00D6252A"/>
    <w:rsid w:val="00D627FD"/>
    <w:rsid w:val="00D62A6B"/>
    <w:rsid w:val="00D62D75"/>
    <w:rsid w:val="00D6312A"/>
    <w:rsid w:val="00D63878"/>
    <w:rsid w:val="00D6388B"/>
    <w:rsid w:val="00D63E77"/>
    <w:rsid w:val="00D63E99"/>
    <w:rsid w:val="00D63FD9"/>
    <w:rsid w:val="00D64504"/>
    <w:rsid w:val="00D646C3"/>
    <w:rsid w:val="00D649B6"/>
    <w:rsid w:val="00D6507F"/>
    <w:rsid w:val="00D654D9"/>
    <w:rsid w:val="00D6550F"/>
    <w:rsid w:val="00D6556D"/>
    <w:rsid w:val="00D65C6A"/>
    <w:rsid w:val="00D65DAE"/>
    <w:rsid w:val="00D66268"/>
    <w:rsid w:val="00D66425"/>
    <w:rsid w:val="00D664F5"/>
    <w:rsid w:val="00D667D4"/>
    <w:rsid w:val="00D670E7"/>
    <w:rsid w:val="00D67786"/>
    <w:rsid w:val="00D67866"/>
    <w:rsid w:val="00D67C0A"/>
    <w:rsid w:val="00D67C71"/>
    <w:rsid w:val="00D6D461"/>
    <w:rsid w:val="00D7039C"/>
    <w:rsid w:val="00D703B5"/>
    <w:rsid w:val="00D7054C"/>
    <w:rsid w:val="00D707BA"/>
    <w:rsid w:val="00D70CBD"/>
    <w:rsid w:val="00D7138E"/>
    <w:rsid w:val="00D71713"/>
    <w:rsid w:val="00D7229C"/>
    <w:rsid w:val="00D7236B"/>
    <w:rsid w:val="00D72400"/>
    <w:rsid w:val="00D7264E"/>
    <w:rsid w:val="00D728B2"/>
    <w:rsid w:val="00D730BC"/>
    <w:rsid w:val="00D73208"/>
    <w:rsid w:val="00D73912"/>
    <w:rsid w:val="00D73953"/>
    <w:rsid w:val="00D7426F"/>
    <w:rsid w:val="00D7438F"/>
    <w:rsid w:val="00D74919"/>
    <w:rsid w:val="00D74C04"/>
    <w:rsid w:val="00D74C87"/>
    <w:rsid w:val="00D74DF4"/>
    <w:rsid w:val="00D75076"/>
    <w:rsid w:val="00D75191"/>
    <w:rsid w:val="00D752E2"/>
    <w:rsid w:val="00D7546B"/>
    <w:rsid w:val="00D75743"/>
    <w:rsid w:val="00D75746"/>
    <w:rsid w:val="00D75C38"/>
    <w:rsid w:val="00D75EE4"/>
    <w:rsid w:val="00D76094"/>
    <w:rsid w:val="00D760D3"/>
    <w:rsid w:val="00D762FE"/>
    <w:rsid w:val="00D76344"/>
    <w:rsid w:val="00D7654B"/>
    <w:rsid w:val="00D76C7C"/>
    <w:rsid w:val="00D7705D"/>
    <w:rsid w:val="00D77205"/>
    <w:rsid w:val="00D7740A"/>
    <w:rsid w:val="00D77475"/>
    <w:rsid w:val="00D77D69"/>
    <w:rsid w:val="00D77F12"/>
    <w:rsid w:val="00D800DB"/>
    <w:rsid w:val="00D80D45"/>
    <w:rsid w:val="00D80E56"/>
    <w:rsid w:val="00D8108D"/>
    <w:rsid w:val="00D810B5"/>
    <w:rsid w:val="00D81296"/>
    <w:rsid w:val="00D81597"/>
    <w:rsid w:val="00D815B2"/>
    <w:rsid w:val="00D81B58"/>
    <w:rsid w:val="00D81D71"/>
    <w:rsid w:val="00D82796"/>
    <w:rsid w:val="00D82D95"/>
    <w:rsid w:val="00D82E91"/>
    <w:rsid w:val="00D83116"/>
    <w:rsid w:val="00D835A1"/>
    <w:rsid w:val="00D83AD6"/>
    <w:rsid w:val="00D83B80"/>
    <w:rsid w:val="00D83DAB"/>
    <w:rsid w:val="00D83E02"/>
    <w:rsid w:val="00D840EE"/>
    <w:rsid w:val="00D8424D"/>
    <w:rsid w:val="00D84485"/>
    <w:rsid w:val="00D84C34"/>
    <w:rsid w:val="00D85226"/>
    <w:rsid w:val="00D85304"/>
    <w:rsid w:val="00D853EA"/>
    <w:rsid w:val="00D85B96"/>
    <w:rsid w:val="00D85D1C"/>
    <w:rsid w:val="00D85F76"/>
    <w:rsid w:val="00D8615F"/>
    <w:rsid w:val="00D862EA"/>
    <w:rsid w:val="00D863BE"/>
    <w:rsid w:val="00D8687F"/>
    <w:rsid w:val="00D868B2"/>
    <w:rsid w:val="00D86A48"/>
    <w:rsid w:val="00D86A7E"/>
    <w:rsid w:val="00D86A8D"/>
    <w:rsid w:val="00D86B19"/>
    <w:rsid w:val="00D873D1"/>
    <w:rsid w:val="00D87487"/>
    <w:rsid w:val="00D87657"/>
    <w:rsid w:val="00D878E9"/>
    <w:rsid w:val="00D87B94"/>
    <w:rsid w:val="00D87C2A"/>
    <w:rsid w:val="00D9042A"/>
    <w:rsid w:val="00D90662"/>
    <w:rsid w:val="00D90880"/>
    <w:rsid w:val="00D90BB5"/>
    <w:rsid w:val="00D90F92"/>
    <w:rsid w:val="00D91626"/>
    <w:rsid w:val="00D916D3"/>
    <w:rsid w:val="00D91D2F"/>
    <w:rsid w:val="00D92B8C"/>
    <w:rsid w:val="00D92C08"/>
    <w:rsid w:val="00D92D49"/>
    <w:rsid w:val="00D92EC1"/>
    <w:rsid w:val="00D92FE1"/>
    <w:rsid w:val="00D93322"/>
    <w:rsid w:val="00D93C20"/>
    <w:rsid w:val="00D93C8D"/>
    <w:rsid w:val="00D93F59"/>
    <w:rsid w:val="00D93FDE"/>
    <w:rsid w:val="00D941EA"/>
    <w:rsid w:val="00D9460F"/>
    <w:rsid w:val="00D946B0"/>
    <w:rsid w:val="00D94AB4"/>
    <w:rsid w:val="00D952FD"/>
    <w:rsid w:val="00D95925"/>
    <w:rsid w:val="00D95BA5"/>
    <w:rsid w:val="00D95D19"/>
    <w:rsid w:val="00D9682B"/>
    <w:rsid w:val="00D969B0"/>
    <w:rsid w:val="00D96B2B"/>
    <w:rsid w:val="00D96B77"/>
    <w:rsid w:val="00D96DCC"/>
    <w:rsid w:val="00D96DEA"/>
    <w:rsid w:val="00D96F06"/>
    <w:rsid w:val="00D96F6A"/>
    <w:rsid w:val="00D9712D"/>
    <w:rsid w:val="00D97E49"/>
    <w:rsid w:val="00DA0159"/>
    <w:rsid w:val="00DA06CF"/>
    <w:rsid w:val="00DA085C"/>
    <w:rsid w:val="00DA0C7E"/>
    <w:rsid w:val="00DA0CDF"/>
    <w:rsid w:val="00DA0E9A"/>
    <w:rsid w:val="00DA1126"/>
    <w:rsid w:val="00DA1159"/>
    <w:rsid w:val="00DA12BD"/>
    <w:rsid w:val="00DA155F"/>
    <w:rsid w:val="00DA15EC"/>
    <w:rsid w:val="00DA16F6"/>
    <w:rsid w:val="00DA18A6"/>
    <w:rsid w:val="00DA1BAC"/>
    <w:rsid w:val="00DA1E00"/>
    <w:rsid w:val="00DA1EF1"/>
    <w:rsid w:val="00DA2018"/>
    <w:rsid w:val="00DA2182"/>
    <w:rsid w:val="00DA220C"/>
    <w:rsid w:val="00DA2C85"/>
    <w:rsid w:val="00DA2E2C"/>
    <w:rsid w:val="00DA30B8"/>
    <w:rsid w:val="00DA30EB"/>
    <w:rsid w:val="00DA33A9"/>
    <w:rsid w:val="00DA3716"/>
    <w:rsid w:val="00DA3763"/>
    <w:rsid w:val="00DA4161"/>
    <w:rsid w:val="00DA41C6"/>
    <w:rsid w:val="00DA4CCC"/>
    <w:rsid w:val="00DA4E41"/>
    <w:rsid w:val="00DA4F0E"/>
    <w:rsid w:val="00DA514A"/>
    <w:rsid w:val="00DA51EB"/>
    <w:rsid w:val="00DA5482"/>
    <w:rsid w:val="00DA5A02"/>
    <w:rsid w:val="00DA5C25"/>
    <w:rsid w:val="00DA5CBE"/>
    <w:rsid w:val="00DA637D"/>
    <w:rsid w:val="00DA6515"/>
    <w:rsid w:val="00DA673A"/>
    <w:rsid w:val="00DA67D3"/>
    <w:rsid w:val="00DA6988"/>
    <w:rsid w:val="00DA6F86"/>
    <w:rsid w:val="00DA7D7E"/>
    <w:rsid w:val="00DA7E47"/>
    <w:rsid w:val="00DB057B"/>
    <w:rsid w:val="00DB0A00"/>
    <w:rsid w:val="00DB0AE7"/>
    <w:rsid w:val="00DB0CC3"/>
    <w:rsid w:val="00DB117A"/>
    <w:rsid w:val="00DB1850"/>
    <w:rsid w:val="00DB1997"/>
    <w:rsid w:val="00DB1A19"/>
    <w:rsid w:val="00DB1A37"/>
    <w:rsid w:val="00DB1CFF"/>
    <w:rsid w:val="00DB2C72"/>
    <w:rsid w:val="00DB2EDC"/>
    <w:rsid w:val="00DB31B7"/>
    <w:rsid w:val="00DB3324"/>
    <w:rsid w:val="00DB3423"/>
    <w:rsid w:val="00DB37CA"/>
    <w:rsid w:val="00DB39D2"/>
    <w:rsid w:val="00DB3AD8"/>
    <w:rsid w:val="00DB3B58"/>
    <w:rsid w:val="00DB4025"/>
    <w:rsid w:val="00DB43BA"/>
    <w:rsid w:val="00DB445F"/>
    <w:rsid w:val="00DB47B8"/>
    <w:rsid w:val="00DB48CD"/>
    <w:rsid w:val="00DB5100"/>
    <w:rsid w:val="00DB5173"/>
    <w:rsid w:val="00DB537E"/>
    <w:rsid w:val="00DB5446"/>
    <w:rsid w:val="00DB5D4A"/>
    <w:rsid w:val="00DB5DDE"/>
    <w:rsid w:val="00DB6190"/>
    <w:rsid w:val="00DB621B"/>
    <w:rsid w:val="00DB63B6"/>
    <w:rsid w:val="00DB68A9"/>
    <w:rsid w:val="00DB692E"/>
    <w:rsid w:val="00DB729E"/>
    <w:rsid w:val="00DB731C"/>
    <w:rsid w:val="00DB764F"/>
    <w:rsid w:val="00DB7873"/>
    <w:rsid w:val="00DB7CC3"/>
    <w:rsid w:val="00DB7E25"/>
    <w:rsid w:val="00DB7EB4"/>
    <w:rsid w:val="00DB7F0C"/>
    <w:rsid w:val="00DC0000"/>
    <w:rsid w:val="00DC017D"/>
    <w:rsid w:val="00DC0193"/>
    <w:rsid w:val="00DC04BC"/>
    <w:rsid w:val="00DC0B8E"/>
    <w:rsid w:val="00DC0B92"/>
    <w:rsid w:val="00DC0D84"/>
    <w:rsid w:val="00DC14AC"/>
    <w:rsid w:val="00DC17BC"/>
    <w:rsid w:val="00DC187B"/>
    <w:rsid w:val="00DC18A8"/>
    <w:rsid w:val="00DC1A9F"/>
    <w:rsid w:val="00DC1EAB"/>
    <w:rsid w:val="00DC1EB3"/>
    <w:rsid w:val="00DC23B2"/>
    <w:rsid w:val="00DC2480"/>
    <w:rsid w:val="00DC2CCB"/>
    <w:rsid w:val="00DC2D9F"/>
    <w:rsid w:val="00DC2DC2"/>
    <w:rsid w:val="00DC2F28"/>
    <w:rsid w:val="00DC3114"/>
    <w:rsid w:val="00DC3780"/>
    <w:rsid w:val="00DC40D0"/>
    <w:rsid w:val="00DC41AA"/>
    <w:rsid w:val="00DC427A"/>
    <w:rsid w:val="00DC42CA"/>
    <w:rsid w:val="00DC4331"/>
    <w:rsid w:val="00DC433D"/>
    <w:rsid w:val="00DC43A7"/>
    <w:rsid w:val="00DC43AD"/>
    <w:rsid w:val="00DC4831"/>
    <w:rsid w:val="00DC489F"/>
    <w:rsid w:val="00DC491A"/>
    <w:rsid w:val="00DC4AD4"/>
    <w:rsid w:val="00DC4DD4"/>
    <w:rsid w:val="00DC4EC5"/>
    <w:rsid w:val="00DC51AD"/>
    <w:rsid w:val="00DC57F2"/>
    <w:rsid w:val="00DC59A2"/>
    <w:rsid w:val="00DC5FBD"/>
    <w:rsid w:val="00DC60E4"/>
    <w:rsid w:val="00DC6168"/>
    <w:rsid w:val="00DC6B14"/>
    <w:rsid w:val="00DC6C46"/>
    <w:rsid w:val="00DC7118"/>
    <w:rsid w:val="00DC724B"/>
    <w:rsid w:val="00DC7318"/>
    <w:rsid w:val="00DD0060"/>
    <w:rsid w:val="00DD0790"/>
    <w:rsid w:val="00DD0C66"/>
    <w:rsid w:val="00DD0D44"/>
    <w:rsid w:val="00DD0F0E"/>
    <w:rsid w:val="00DD0F56"/>
    <w:rsid w:val="00DD10DE"/>
    <w:rsid w:val="00DD1A43"/>
    <w:rsid w:val="00DD1B9A"/>
    <w:rsid w:val="00DD1D33"/>
    <w:rsid w:val="00DD1EA0"/>
    <w:rsid w:val="00DD2A5B"/>
    <w:rsid w:val="00DD311E"/>
    <w:rsid w:val="00DD3193"/>
    <w:rsid w:val="00DD3899"/>
    <w:rsid w:val="00DD38E9"/>
    <w:rsid w:val="00DD3C58"/>
    <w:rsid w:val="00DD4786"/>
    <w:rsid w:val="00DD486E"/>
    <w:rsid w:val="00DD4A8E"/>
    <w:rsid w:val="00DD4FFE"/>
    <w:rsid w:val="00DD52E3"/>
    <w:rsid w:val="00DD5898"/>
    <w:rsid w:val="00DD6116"/>
    <w:rsid w:val="00DD6241"/>
    <w:rsid w:val="00DD6631"/>
    <w:rsid w:val="00DD68E5"/>
    <w:rsid w:val="00DD73C2"/>
    <w:rsid w:val="00DE0015"/>
    <w:rsid w:val="00DE0BF0"/>
    <w:rsid w:val="00DE0C79"/>
    <w:rsid w:val="00DE12A3"/>
    <w:rsid w:val="00DE1D58"/>
    <w:rsid w:val="00DE25AE"/>
    <w:rsid w:val="00DE2892"/>
    <w:rsid w:val="00DE29D3"/>
    <w:rsid w:val="00DE2B7A"/>
    <w:rsid w:val="00DE319B"/>
    <w:rsid w:val="00DE33B9"/>
    <w:rsid w:val="00DE360F"/>
    <w:rsid w:val="00DE3C3B"/>
    <w:rsid w:val="00DE43AA"/>
    <w:rsid w:val="00DE43AC"/>
    <w:rsid w:val="00DE4422"/>
    <w:rsid w:val="00DE46EA"/>
    <w:rsid w:val="00DE48C5"/>
    <w:rsid w:val="00DE4A49"/>
    <w:rsid w:val="00DE503C"/>
    <w:rsid w:val="00DE51DD"/>
    <w:rsid w:val="00DE54C4"/>
    <w:rsid w:val="00DE57A1"/>
    <w:rsid w:val="00DE6010"/>
    <w:rsid w:val="00DE6415"/>
    <w:rsid w:val="00DE6768"/>
    <w:rsid w:val="00DE6868"/>
    <w:rsid w:val="00DE715A"/>
    <w:rsid w:val="00DE74A3"/>
    <w:rsid w:val="00DE7832"/>
    <w:rsid w:val="00DE7C8B"/>
    <w:rsid w:val="00DF0587"/>
    <w:rsid w:val="00DF0A18"/>
    <w:rsid w:val="00DF0B91"/>
    <w:rsid w:val="00DF1AB5"/>
    <w:rsid w:val="00DF25C1"/>
    <w:rsid w:val="00DF2717"/>
    <w:rsid w:val="00DF2B82"/>
    <w:rsid w:val="00DF3379"/>
    <w:rsid w:val="00DF337E"/>
    <w:rsid w:val="00DF34FE"/>
    <w:rsid w:val="00DF3B65"/>
    <w:rsid w:val="00DF4474"/>
    <w:rsid w:val="00DF46A3"/>
    <w:rsid w:val="00DF4902"/>
    <w:rsid w:val="00DF55F7"/>
    <w:rsid w:val="00DF56AA"/>
    <w:rsid w:val="00DF56AF"/>
    <w:rsid w:val="00DF6255"/>
    <w:rsid w:val="00DF6344"/>
    <w:rsid w:val="00DF635B"/>
    <w:rsid w:val="00DF6806"/>
    <w:rsid w:val="00DF6911"/>
    <w:rsid w:val="00DF69C2"/>
    <w:rsid w:val="00DF6B1A"/>
    <w:rsid w:val="00DF6C01"/>
    <w:rsid w:val="00DF6C14"/>
    <w:rsid w:val="00DF706D"/>
    <w:rsid w:val="00DF78E7"/>
    <w:rsid w:val="00DF78F9"/>
    <w:rsid w:val="00DF7B47"/>
    <w:rsid w:val="00DF7B8B"/>
    <w:rsid w:val="00DF7DCE"/>
    <w:rsid w:val="00DFBDF3"/>
    <w:rsid w:val="00E005AA"/>
    <w:rsid w:val="00E00983"/>
    <w:rsid w:val="00E00B21"/>
    <w:rsid w:val="00E00F0E"/>
    <w:rsid w:val="00E010C2"/>
    <w:rsid w:val="00E010F0"/>
    <w:rsid w:val="00E01A6E"/>
    <w:rsid w:val="00E01D3D"/>
    <w:rsid w:val="00E02364"/>
    <w:rsid w:val="00E033D1"/>
    <w:rsid w:val="00E033D5"/>
    <w:rsid w:val="00E03613"/>
    <w:rsid w:val="00E037D2"/>
    <w:rsid w:val="00E03A01"/>
    <w:rsid w:val="00E03B2C"/>
    <w:rsid w:val="00E03C0D"/>
    <w:rsid w:val="00E03EA8"/>
    <w:rsid w:val="00E0414C"/>
    <w:rsid w:val="00E04C09"/>
    <w:rsid w:val="00E04D07"/>
    <w:rsid w:val="00E04ECC"/>
    <w:rsid w:val="00E050F6"/>
    <w:rsid w:val="00E0539C"/>
    <w:rsid w:val="00E0549A"/>
    <w:rsid w:val="00E058A1"/>
    <w:rsid w:val="00E05C0F"/>
    <w:rsid w:val="00E05DB3"/>
    <w:rsid w:val="00E062E6"/>
    <w:rsid w:val="00E065D0"/>
    <w:rsid w:val="00E06633"/>
    <w:rsid w:val="00E0669C"/>
    <w:rsid w:val="00E066FE"/>
    <w:rsid w:val="00E06771"/>
    <w:rsid w:val="00E067AC"/>
    <w:rsid w:val="00E0696A"/>
    <w:rsid w:val="00E07195"/>
    <w:rsid w:val="00E071FA"/>
    <w:rsid w:val="00E0736B"/>
    <w:rsid w:val="00E07D2F"/>
    <w:rsid w:val="00E10455"/>
    <w:rsid w:val="00E104C7"/>
    <w:rsid w:val="00E10555"/>
    <w:rsid w:val="00E109B8"/>
    <w:rsid w:val="00E10B6C"/>
    <w:rsid w:val="00E10B7D"/>
    <w:rsid w:val="00E10C0C"/>
    <w:rsid w:val="00E10D77"/>
    <w:rsid w:val="00E110E0"/>
    <w:rsid w:val="00E11527"/>
    <w:rsid w:val="00E117DA"/>
    <w:rsid w:val="00E11B16"/>
    <w:rsid w:val="00E121A5"/>
    <w:rsid w:val="00E12BA2"/>
    <w:rsid w:val="00E12C0C"/>
    <w:rsid w:val="00E1300A"/>
    <w:rsid w:val="00E13098"/>
    <w:rsid w:val="00E13A97"/>
    <w:rsid w:val="00E13C9E"/>
    <w:rsid w:val="00E13DF9"/>
    <w:rsid w:val="00E14096"/>
    <w:rsid w:val="00E1455F"/>
    <w:rsid w:val="00E14A22"/>
    <w:rsid w:val="00E14FB1"/>
    <w:rsid w:val="00E15357"/>
    <w:rsid w:val="00E15371"/>
    <w:rsid w:val="00E15457"/>
    <w:rsid w:val="00E15B5E"/>
    <w:rsid w:val="00E16327"/>
    <w:rsid w:val="00E16C70"/>
    <w:rsid w:val="00E16F1B"/>
    <w:rsid w:val="00E1710B"/>
    <w:rsid w:val="00E172C2"/>
    <w:rsid w:val="00E173DD"/>
    <w:rsid w:val="00E179EC"/>
    <w:rsid w:val="00E17AA3"/>
    <w:rsid w:val="00E17AAA"/>
    <w:rsid w:val="00E20408"/>
    <w:rsid w:val="00E20619"/>
    <w:rsid w:val="00E20953"/>
    <w:rsid w:val="00E209F8"/>
    <w:rsid w:val="00E20E85"/>
    <w:rsid w:val="00E20E9B"/>
    <w:rsid w:val="00E21056"/>
    <w:rsid w:val="00E210DD"/>
    <w:rsid w:val="00E21414"/>
    <w:rsid w:val="00E21484"/>
    <w:rsid w:val="00E21899"/>
    <w:rsid w:val="00E21EE4"/>
    <w:rsid w:val="00E224B7"/>
    <w:rsid w:val="00E2311D"/>
    <w:rsid w:val="00E23438"/>
    <w:rsid w:val="00E234D1"/>
    <w:rsid w:val="00E23595"/>
    <w:rsid w:val="00E235A4"/>
    <w:rsid w:val="00E24104"/>
    <w:rsid w:val="00E24621"/>
    <w:rsid w:val="00E249A7"/>
    <w:rsid w:val="00E24E11"/>
    <w:rsid w:val="00E2515A"/>
    <w:rsid w:val="00E2551B"/>
    <w:rsid w:val="00E255B8"/>
    <w:rsid w:val="00E2594F"/>
    <w:rsid w:val="00E25F7B"/>
    <w:rsid w:val="00E26298"/>
    <w:rsid w:val="00E26406"/>
    <w:rsid w:val="00E26487"/>
    <w:rsid w:val="00E268A9"/>
    <w:rsid w:val="00E26D55"/>
    <w:rsid w:val="00E26D58"/>
    <w:rsid w:val="00E26DBF"/>
    <w:rsid w:val="00E26DC1"/>
    <w:rsid w:val="00E26EC0"/>
    <w:rsid w:val="00E270C6"/>
    <w:rsid w:val="00E27850"/>
    <w:rsid w:val="00E27C08"/>
    <w:rsid w:val="00E27D79"/>
    <w:rsid w:val="00E27DA6"/>
    <w:rsid w:val="00E302D0"/>
    <w:rsid w:val="00E3053F"/>
    <w:rsid w:val="00E30628"/>
    <w:rsid w:val="00E30818"/>
    <w:rsid w:val="00E30973"/>
    <w:rsid w:val="00E3098B"/>
    <w:rsid w:val="00E30BBA"/>
    <w:rsid w:val="00E30C33"/>
    <w:rsid w:val="00E30F1A"/>
    <w:rsid w:val="00E30FC1"/>
    <w:rsid w:val="00E31400"/>
    <w:rsid w:val="00E31667"/>
    <w:rsid w:val="00E31C48"/>
    <w:rsid w:val="00E32C2A"/>
    <w:rsid w:val="00E32E10"/>
    <w:rsid w:val="00E33060"/>
    <w:rsid w:val="00E33189"/>
    <w:rsid w:val="00E335E5"/>
    <w:rsid w:val="00E33979"/>
    <w:rsid w:val="00E33D05"/>
    <w:rsid w:val="00E33F5E"/>
    <w:rsid w:val="00E34076"/>
    <w:rsid w:val="00E3419C"/>
    <w:rsid w:val="00E34502"/>
    <w:rsid w:val="00E3474A"/>
    <w:rsid w:val="00E347FF"/>
    <w:rsid w:val="00E350F9"/>
    <w:rsid w:val="00E353B3"/>
    <w:rsid w:val="00E355A5"/>
    <w:rsid w:val="00E35657"/>
    <w:rsid w:val="00E35707"/>
    <w:rsid w:val="00E362E1"/>
    <w:rsid w:val="00E3694B"/>
    <w:rsid w:val="00E36AA1"/>
    <w:rsid w:val="00E36C5E"/>
    <w:rsid w:val="00E36E41"/>
    <w:rsid w:val="00E37125"/>
    <w:rsid w:val="00E37537"/>
    <w:rsid w:val="00E37CF4"/>
    <w:rsid w:val="00E37D4E"/>
    <w:rsid w:val="00E400C6"/>
    <w:rsid w:val="00E403B2"/>
    <w:rsid w:val="00E40728"/>
    <w:rsid w:val="00E40C6F"/>
    <w:rsid w:val="00E41318"/>
    <w:rsid w:val="00E413B7"/>
    <w:rsid w:val="00E413E4"/>
    <w:rsid w:val="00E4140C"/>
    <w:rsid w:val="00E41577"/>
    <w:rsid w:val="00E4163F"/>
    <w:rsid w:val="00E416F0"/>
    <w:rsid w:val="00E41971"/>
    <w:rsid w:val="00E41A44"/>
    <w:rsid w:val="00E41BAA"/>
    <w:rsid w:val="00E41ECB"/>
    <w:rsid w:val="00E42200"/>
    <w:rsid w:val="00E425F5"/>
    <w:rsid w:val="00E42676"/>
    <w:rsid w:val="00E42917"/>
    <w:rsid w:val="00E429D7"/>
    <w:rsid w:val="00E42B4E"/>
    <w:rsid w:val="00E433A3"/>
    <w:rsid w:val="00E43481"/>
    <w:rsid w:val="00E43668"/>
    <w:rsid w:val="00E4393F"/>
    <w:rsid w:val="00E4396D"/>
    <w:rsid w:val="00E43A8C"/>
    <w:rsid w:val="00E43ECF"/>
    <w:rsid w:val="00E43F7E"/>
    <w:rsid w:val="00E44189"/>
    <w:rsid w:val="00E4457A"/>
    <w:rsid w:val="00E449E8"/>
    <w:rsid w:val="00E44A72"/>
    <w:rsid w:val="00E44B5F"/>
    <w:rsid w:val="00E44D8A"/>
    <w:rsid w:val="00E45257"/>
    <w:rsid w:val="00E45806"/>
    <w:rsid w:val="00E458C1"/>
    <w:rsid w:val="00E462EE"/>
    <w:rsid w:val="00E463CF"/>
    <w:rsid w:val="00E463ED"/>
    <w:rsid w:val="00E46690"/>
    <w:rsid w:val="00E469CB"/>
    <w:rsid w:val="00E46A34"/>
    <w:rsid w:val="00E46D82"/>
    <w:rsid w:val="00E46E59"/>
    <w:rsid w:val="00E46E6B"/>
    <w:rsid w:val="00E46F0D"/>
    <w:rsid w:val="00E46F0F"/>
    <w:rsid w:val="00E46F9D"/>
    <w:rsid w:val="00E47223"/>
    <w:rsid w:val="00E47287"/>
    <w:rsid w:val="00E50086"/>
    <w:rsid w:val="00E5041E"/>
    <w:rsid w:val="00E50518"/>
    <w:rsid w:val="00E50B7F"/>
    <w:rsid w:val="00E51382"/>
    <w:rsid w:val="00E513F8"/>
    <w:rsid w:val="00E51416"/>
    <w:rsid w:val="00E515DF"/>
    <w:rsid w:val="00E517E7"/>
    <w:rsid w:val="00E518B0"/>
    <w:rsid w:val="00E51A16"/>
    <w:rsid w:val="00E51AC2"/>
    <w:rsid w:val="00E51AF4"/>
    <w:rsid w:val="00E526C0"/>
    <w:rsid w:val="00E528FD"/>
    <w:rsid w:val="00E52A6F"/>
    <w:rsid w:val="00E52D3B"/>
    <w:rsid w:val="00E52DB4"/>
    <w:rsid w:val="00E52E05"/>
    <w:rsid w:val="00E52EBF"/>
    <w:rsid w:val="00E53336"/>
    <w:rsid w:val="00E5334B"/>
    <w:rsid w:val="00E534D4"/>
    <w:rsid w:val="00E535F1"/>
    <w:rsid w:val="00E536B4"/>
    <w:rsid w:val="00E53A69"/>
    <w:rsid w:val="00E5423C"/>
    <w:rsid w:val="00E543FB"/>
    <w:rsid w:val="00E54743"/>
    <w:rsid w:val="00E5486C"/>
    <w:rsid w:val="00E54A31"/>
    <w:rsid w:val="00E54B66"/>
    <w:rsid w:val="00E54DF7"/>
    <w:rsid w:val="00E54FDB"/>
    <w:rsid w:val="00E55312"/>
    <w:rsid w:val="00E554D0"/>
    <w:rsid w:val="00E55B01"/>
    <w:rsid w:val="00E55D05"/>
    <w:rsid w:val="00E5617D"/>
    <w:rsid w:val="00E56193"/>
    <w:rsid w:val="00E563D7"/>
    <w:rsid w:val="00E565EE"/>
    <w:rsid w:val="00E567A7"/>
    <w:rsid w:val="00E56A45"/>
    <w:rsid w:val="00E56F9B"/>
    <w:rsid w:val="00E5731D"/>
    <w:rsid w:val="00E577E3"/>
    <w:rsid w:val="00E60293"/>
    <w:rsid w:val="00E60371"/>
    <w:rsid w:val="00E607CD"/>
    <w:rsid w:val="00E612F7"/>
    <w:rsid w:val="00E61428"/>
    <w:rsid w:val="00E61561"/>
    <w:rsid w:val="00E61627"/>
    <w:rsid w:val="00E61665"/>
    <w:rsid w:val="00E61843"/>
    <w:rsid w:val="00E61D48"/>
    <w:rsid w:val="00E62583"/>
    <w:rsid w:val="00E62B59"/>
    <w:rsid w:val="00E62C87"/>
    <w:rsid w:val="00E62D09"/>
    <w:rsid w:val="00E63125"/>
    <w:rsid w:val="00E636EC"/>
    <w:rsid w:val="00E63AB4"/>
    <w:rsid w:val="00E63B95"/>
    <w:rsid w:val="00E63C2F"/>
    <w:rsid w:val="00E63EA8"/>
    <w:rsid w:val="00E640D5"/>
    <w:rsid w:val="00E64131"/>
    <w:rsid w:val="00E64807"/>
    <w:rsid w:val="00E64B21"/>
    <w:rsid w:val="00E64B72"/>
    <w:rsid w:val="00E64BA8"/>
    <w:rsid w:val="00E64D0B"/>
    <w:rsid w:val="00E65730"/>
    <w:rsid w:val="00E65964"/>
    <w:rsid w:val="00E65E26"/>
    <w:rsid w:val="00E662B0"/>
    <w:rsid w:val="00E66366"/>
    <w:rsid w:val="00E663F4"/>
    <w:rsid w:val="00E66572"/>
    <w:rsid w:val="00E66582"/>
    <w:rsid w:val="00E666F2"/>
    <w:rsid w:val="00E66DD4"/>
    <w:rsid w:val="00E67612"/>
    <w:rsid w:val="00E676BB"/>
    <w:rsid w:val="00E67D04"/>
    <w:rsid w:val="00E67DE0"/>
    <w:rsid w:val="00E7050D"/>
    <w:rsid w:val="00E70A01"/>
    <w:rsid w:val="00E70C58"/>
    <w:rsid w:val="00E70DBF"/>
    <w:rsid w:val="00E70F65"/>
    <w:rsid w:val="00E713BB"/>
    <w:rsid w:val="00E71686"/>
    <w:rsid w:val="00E71707"/>
    <w:rsid w:val="00E71872"/>
    <w:rsid w:val="00E718BA"/>
    <w:rsid w:val="00E71D5B"/>
    <w:rsid w:val="00E721E1"/>
    <w:rsid w:val="00E7267D"/>
    <w:rsid w:val="00E7284A"/>
    <w:rsid w:val="00E72A31"/>
    <w:rsid w:val="00E72A65"/>
    <w:rsid w:val="00E72D4F"/>
    <w:rsid w:val="00E73207"/>
    <w:rsid w:val="00E73236"/>
    <w:rsid w:val="00E7337B"/>
    <w:rsid w:val="00E740C7"/>
    <w:rsid w:val="00E7448E"/>
    <w:rsid w:val="00E747F4"/>
    <w:rsid w:val="00E748CC"/>
    <w:rsid w:val="00E74A47"/>
    <w:rsid w:val="00E75179"/>
    <w:rsid w:val="00E751AB"/>
    <w:rsid w:val="00E75415"/>
    <w:rsid w:val="00E75425"/>
    <w:rsid w:val="00E7573A"/>
    <w:rsid w:val="00E75F20"/>
    <w:rsid w:val="00E762FA"/>
    <w:rsid w:val="00E76350"/>
    <w:rsid w:val="00E76781"/>
    <w:rsid w:val="00E768F0"/>
    <w:rsid w:val="00E771E8"/>
    <w:rsid w:val="00E775B1"/>
    <w:rsid w:val="00E8004D"/>
    <w:rsid w:val="00E8038F"/>
    <w:rsid w:val="00E8067B"/>
    <w:rsid w:val="00E80742"/>
    <w:rsid w:val="00E80AD6"/>
    <w:rsid w:val="00E80B48"/>
    <w:rsid w:val="00E81029"/>
    <w:rsid w:val="00E810A7"/>
    <w:rsid w:val="00E8135A"/>
    <w:rsid w:val="00E8152A"/>
    <w:rsid w:val="00E81853"/>
    <w:rsid w:val="00E81E1B"/>
    <w:rsid w:val="00E824E3"/>
    <w:rsid w:val="00E825F8"/>
    <w:rsid w:val="00E82628"/>
    <w:rsid w:val="00E82C20"/>
    <w:rsid w:val="00E82CD0"/>
    <w:rsid w:val="00E834E2"/>
    <w:rsid w:val="00E83B31"/>
    <w:rsid w:val="00E83F7C"/>
    <w:rsid w:val="00E843CE"/>
    <w:rsid w:val="00E849EA"/>
    <w:rsid w:val="00E856E4"/>
    <w:rsid w:val="00E85ACA"/>
    <w:rsid w:val="00E85E16"/>
    <w:rsid w:val="00E860E0"/>
    <w:rsid w:val="00E86276"/>
    <w:rsid w:val="00E867AD"/>
    <w:rsid w:val="00E86829"/>
    <w:rsid w:val="00E86B67"/>
    <w:rsid w:val="00E870C0"/>
    <w:rsid w:val="00E8729D"/>
    <w:rsid w:val="00E874CC"/>
    <w:rsid w:val="00E87692"/>
    <w:rsid w:val="00E87AA2"/>
    <w:rsid w:val="00E87AE0"/>
    <w:rsid w:val="00E90174"/>
    <w:rsid w:val="00E905C7"/>
    <w:rsid w:val="00E906AB"/>
    <w:rsid w:val="00E91018"/>
    <w:rsid w:val="00E910CD"/>
    <w:rsid w:val="00E91212"/>
    <w:rsid w:val="00E91316"/>
    <w:rsid w:val="00E918CA"/>
    <w:rsid w:val="00E91FA7"/>
    <w:rsid w:val="00E92109"/>
    <w:rsid w:val="00E925B2"/>
    <w:rsid w:val="00E9294A"/>
    <w:rsid w:val="00E92A52"/>
    <w:rsid w:val="00E92CA5"/>
    <w:rsid w:val="00E92DA7"/>
    <w:rsid w:val="00E92E28"/>
    <w:rsid w:val="00E92E31"/>
    <w:rsid w:val="00E93629"/>
    <w:rsid w:val="00E938BC"/>
    <w:rsid w:val="00E939B3"/>
    <w:rsid w:val="00E939F3"/>
    <w:rsid w:val="00E93B5C"/>
    <w:rsid w:val="00E942AB"/>
    <w:rsid w:val="00E942F7"/>
    <w:rsid w:val="00E94445"/>
    <w:rsid w:val="00E948C0"/>
    <w:rsid w:val="00E94A98"/>
    <w:rsid w:val="00E94AC9"/>
    <w:rsid w:val="00E94CC0"/>
    <w:rsid w:val="00E94CEC"/>
    <w:rsid w:val="00E952C4"/>
    <w:rsid w:val="00E9537F"/>
    <w:rsid w:val="00E958CF"/>
    <w:rsid w:val="00E95BDC"/>
    <w:rsid w:val="00E95D0A"/>
    <w:rsid w:val="00E9604F"/>
    <w:rsid w:val="00E960F2"/>
    <w:rsid w:val="00E9668D"/>
    <w:rsid w:val="00E96706"/>
    <w:rsid w:val="00E96905"/>
    <w:rsid w:val="00E96CAD"/>
    <w:rsid w:val="00E96E53"/>
    <w:rsid w:val="00E96EB5"/>
    <w:rsid w:val="00E97287"/>
    <w:rsid w:val="00E97340"/>
    <w:rsid w:val="00E97439"/>
    <w:rsid w:val="00E9747A"/>
    <w:rsid w:val="00E97DFB"/>
    <w:rsid w:val="00E97E97"/>
    <w:rsid w:val="00EA02F3"/>
    <w:rsid w:val="00EA04B5"/>
    <w:rsid w:val="00EA04EF"/>
    <w:rsid w:val="00EA0983"/>
    <w:rsid w:val="00EA0BB8"/>
    <w:rsid w:val="00EA0C5D"/>
    <w:rsid w:val="00EA0CDD"/>
    <w:rsid w:val="00EA0EFD"/>
    <w:rsid w:val="00EA149F"/>
    <w:rsid w:val="00EA1549"/>
    <w:rsid w:val="00EA1736"/>
    <w:rsid w:val="00EA17E2"/>
    <w:rsid w:val="00EA1F33"/>
    <w:rsid w:val="00EA1F3F"/>
    <w:rsid w:val="00EA2C2D"/>
    <w:rsid w:val="00EA2D4B"/>
    <w:rsid w:val="00EA3730"/>
    <w:rsid w:val="00EA3BBD"/>
    <w:rsid w:val="00EA3BC5"/>
    <w:rsid w:val="00EA40C8"/>
    <w:rsid w:val="00EA42E1"/>
    <w:rsid w:val="00EA4464"/>
    <w:rsid w:val="00EA45F4"/>
    <w:rsid w:val="00EA512F"/>
    <w:rsid w:val="00EA5418"/>
    <w:rsid w:val="00EA57FA"/>
    <w:rsid w:val="00EA61E6"/>
    <w:rsid w:val="00EA635F"/>
    <w:rsid w:val="00EA66E5"/>
    <w:rsid w:val="00EA6761"/>
    <w:rsid w:val="00EA6C79"/>
    <w:rsid w:val="00EA6F19"/>
    <w:rsid w:val="00EA71D0"/>
    <w:rsid w:val="00EA7638"/>
    <w:rsid w:val="00EA7640"/>
    <w:rsid w:val="00EA7D58"/>
    <w:rsid w:val="00EB006A"/>
    <w:rsid w:val="00EB0277"/>
    <w:rsid w:val="00EB0A5C"/>
    <w:rsid w:val="00EB1013"/>
    <w:rsid w:val="00EB113E"/>
    <w:rsid w:val="00EB125B"/>
    <w:rsid w:val="00EB141B"/>
    <w:rsid w:val="00EB165B"/>
    <w:rsid w:val="00EB17CE"/>
    <w:rsid w:val="00EB2B9A"/>
    <w:rsid w:val="00EB2C83"/>
    <w:rsid w:val="00EB2CD4"/>
    <w:rsid w:val="00EB35F6"/>
    <w:rsid w:val="00EB365C"/>
    <w:rsid w:val="00EB376A"/>
    <w:rsid w:val="00EB3BA5"/>
    <w:rsid w:val="00EB3D40"/>
    <w:rsid w:val="00EB4790"/>
    <w:rsid w:val="00EB48B2"/>
    <w:rsid w:val="00EB4EF3"/>
    <w:rsid w:val="00EB4FEA"/>
    <w:rsid w:val="00EB5034"/>
    <w:rsid w:val="00EB5379"/>
    <w:rsid w:val="00EB53DE"/>
    <w:rsid w:val="00EB57E9"/>
    <w:rsid w:val="00EB600E"/>
    <w:rsid w:val="00EB61AA"/>
    <w:rsid w:val="00EB66B1"/>
    <w:rsid w:val="00EB6D62"/>
    <w:rsid w:val="00EB7090"/>
    <w:rsid w:val="00EB723F"/>
    <w:rsid w:val="00EB72C9"/>
    <w:rsid w:val="00EB7510"/>
    <w:rsid w:val="00EB793A"/>
    <w:rsid w:val="00EB798E"/>
    <w:rsid w:val="00EB799B"/>
    <w:rsid w:val="00EB7A32"/>
    <w:rsid w:val="00EB7B66"/>
    <w:rsid w:val="00EC0157"/>
    <w:rsid w:val="00EC02A3"/>
    <w:rsid w:val="00EC06E5"/>
    <w:rsid w:val="00EC0948"/>
    <w:rsid w:val="00EC09AF"/>
    <w:rsid w:val="00EC0A78"/>
    <w:rsid w:val="00EC0CCC"/>
    <w:rsid w:val="00EC0F5C"/>
    <w:rsid w:val="00EC0FD5"/>
    <w:rsid w:val="00EC1041"/>
    <w:rsid w:val="00EC1555"/>
    <w:rsid w:val="00EC15C2"/>
    <w:rsid w:val="00EC1BBE"/>
    <w:rsid w:val="00EC1DB8"/>
    <w:rsid w:val="00EC1F1F"/>
    <w:rsid w:val="00EC22E6"/>
    <w:rsid w:val="00EC2412"/>
    <w:rsid w:val="00EC28C9"/>
    <w:rsid w:val="00EC29BC"/>
    <w:rsid w:val="00EC2B68"/>
    <w:rsid w:val="00EC2F9F"/>
    <w:rsid w:val="00EC31C7"/>
    <w:rsid w:val="00EC3921"/>
    <w:rsid w:val="00EC3AEF"/>
    <w:rsid w:val="00EC3E11"/>
    <w:rsid w:val="00EC3EEE"/>
    <w:rsid w:val="00EC3FD4"/>
    <w:rsid w:val="00EC423B"/>
    <w:rsid w:val="00EC45B5"/>
    <w:rsid w:val="00EC46AC"/>
    <w:rsid w:val="00EC4708"/>
    <w:rsid w:val="00EC4956"/>
    <w:rsid w:val="00EC4F11"/>
    <w:rsid w:val="00EC5682"/>
    <w:rsid w:val="00EC59D2"/>
    <w:rsid w:val="00EC5C29"/>
    <w:rsid w:val="00EC5CD7"/>
    <w:rsid w:val="00EC5DDA"/>
    <w:rsid w:val="00EC5FF5"/>
    <w:rsid w:val="00EC6268"/>
    <w:rsid w:val="00EC62A4"/>
    <w:rsid w:val="00EC65A1"/>
    <w:rsid w:val="00EC67AD"/>
    <w:rsid w:val="00EC6834"/>
    <w:rsid w:val="00EC6858"/>
    <w:rsid w:val="00EC6A89"/>
    <w:rsid w:val="00EC708A"/>
    <w:rsid w:val="00EC71E9"/>
    <w:rsid w:val="00EC72CF"/>
    <w:rsid w:val="00EC7C4A"/>
    <w:rsid w:val="00EC7CC3"/>
    <w:rsid w:val="00ED000E"/>
    <w:rsid w:val="00ED01C2"/>
    <w:rsid w:val="00ED059D"/>
    <w:rsid w:val="00ED0912"/>
    <w:rsid w:val="00ED0FBE"/>
    <w:rsid w:val="00ED105A"/>
    <w:rsid w:val="00ED1A4D"/>
    <w:rsid w:val="00ED1B1C"/>
    <w:rsid w:val="00ED1BF8"/>
    <w:rsid w:val="00ED1FC3"/>
    <w:rsid w:val="00ED2181"/>
    <w:rsid w:val="00ED223A"/>
    <w:rsid w:val="00ED223C"/>
    <w:rsid w:val="00ED2549"/>
    <w:rsid w:val="00ED2EB3"/>
    <w:rsid w:val="00ED3174"/>
    <w:rsid w:val="00ED3308"/>
    <w:rsid w:val="00ED3377"/>
    <w:rsid w:val="00ED3942"/>
    <w:rsid w:val="00ED39C6"/>
    <w:rsid w:val="00ED3B16"/>
    <w:rsid w:val="00ED4168"/>
    <w:rsid w:val="00ED469B"/>
    <w:rsid w:val="00ED4A32"/>
    <w:rsid w:val="00ED4B0E"/>
    <w:rsid w:val="00ED4CF2"/>
    <w:rsid w:val="00ED4D89"/>
    <w:rsid w:val="00ED4E94"/>
    <w:rsid w:val="00ED4EBD"/>
    <w:rsid w:val="00ED5078"/>
    <w:rsid w:val="00ED507D"/>
    <w:rsid w:val="00ED531D"/>
    <w:rsid w:val="00ED55D6"/>
    <w:rsid w:val="00ED5AFA"/>
    <w:rsid w:val="00ED5C3B"/>
    <w:rsid w:val="00ED5F5F"/>
    <w:rsid w:val="00ED60FB"/>
    <w:rsid w:val="00ED6471"/>
    <w:rsid w:val="00ED6576"/>
    <w:rsid w:val="00ED6A27"/>
    <w:rsid w:val="00ED6F33"/>
    <w:rsid w:val="00ED7255"/>
    <w:rsid w:val="00ED732E"/>
    <w:rsid w:val="00ED761F"/>
    <w:rsid w:val="00ED765B"/>
    <w:rsid w:val="00ED7E45"/>
    <w:rsid w:val="00EE00C8"/>
    <w:rsid w:val="00EE041B"/>
    <w:rsid w:val="00EE080B"/>
    <w:rsid w:val="00EE0E16"/>
    <w:rsid w:val="00EE1482"/>
    <w:rsid w:val="00EE1514"/>
    <w:rsid w:val="00EE188F"/>
    <w:rsid w:val="00EE1B9B"/>
    <w:rsid w:val="00EE1C28"/>
    <w:rsid w:val="00EE1DC8"/>
    <w:rsid w:val="00EE1EDD"/>
    <w:rsid w:val="00EE1F2C"/>
    <w:rsid w:val="00EE1F37"/>
    <w:rsid w:val="00EE2071"/>
    <w:rsid w:val="00EE24F7"/>
    <w:rsid w:val="00EE263D"/>
    <w:rsid w:val="00EE27C0"/>
    <w:rsid w:val="00EE2B3E"/>
    <w:rsid w:val="00EE2D94"/>
    <w:rsid w:val="00EE2F57"/>
    <w:rsid w:val="00EE322A"/>
    <w:rsid w:val="00EE335E"/>
    <w:rsid w:val="00EE383B"/>
    <w:rsid w:val="00EE397E"/>
    <w:rsid w:val="00EE3C56"/>
    <w:rsid w:val="00EE3DBD"/>
    <w:rsid w:val="00EE3FB1"/>
    <w:rsid w:val="00EE4259"/>
    <w:rsid w:val="00EE43F1"/>
    <w:rsid w:val="00EE4713"/>
    <w:rsid w:val="00EE48A6"/>
    <w:rsid w:val="00EE4911"/>
    <w:rsid w:val="00EE4B93"/>
    <w:rsid w:val="00EE4C5C"/>
    <w:rsid w:val="00EE4E83"/>
    <w:rsid w:val="00EE538E"/>
    <w:rsid w:val="00EE5444"/>
    <w:rsid w:val="00EE5C66"/>
    <w:rsid w:val="00EE5D5E"/>
    <w:rsid w:val="00EE5E16"/>
    <w:rsid w:val="00EE5FB3"/>
    <w:rsid w:val="00EE63DE"/>
    <w:rsid w:val="00EE63EC"/>
    <w:rsid w:val="00EE68CB"/>
    <w:rsid w:val="00EE6962"/>
    <w:rsid w:val="00EE6D5A"/>
    <w:rsid w:val="00EE6EFF"/>
    <w:rsid w:val="00EE7249"/>
    <w:rsid w:val="00EE73FE"/>
    <w:rsid w:val="00EE74DE"/>
    <w:rsid w:val="00EE7680"/>
    <w:rsid w:val="00EE785C"/>
    <w:rsid w:val="00EE795F"/>
    <w:rsid w:val="00EE7BC3"/>
    <w:rsid w:val="00EE7CAE"/>
    <w:rsid w:val="00EE7E84"/>
    <w:rsid w:val="00EE7F79"/>
    <w:rsid w:val="00EF01C8"/>
    <w:rsid w:val="00EF05C6"/>
    <w:rsid w:val="00EF0928"/>
    <w:rsid w:val="00EF0A53"/>
    <w:rsid w:val="00EF0EF0"/>
    <w:rsid w:val="00EF0FC8"/>
    <w:rsid w:val="00EF1094"/>
    <w:rsid w:val="00EF12B0"/>
    <w:rsid w:val="00EF1A43"/>
    <w:rsid w:val="00EF1A6F"/>
    <w:rsid w:val="00EF1C95"/>
    <w:rsid w:val="00EF1D8D"/>
    <w:rsid w:val="00EF1F8F"/>
    <w:rsid w:val="00EF20BF"/>
    <w:rsid w:val="00EF247D"/>
    <w:rsid w:val="00EF25B3"/>
    <w:rsid w:val="00EF2A1F"/>
    <w:rsid w:val="00EF2A33"/>
    <w:rsid w:val="00EF2BE7"/>
    <w:rsid w:val="00EF2DE8"/>
    <w:rsid w:val="00EF3061"/>
    <w:rsid w:val="00EF3391"/>
    <w:rsid w:val="00EF3D50"/>
    <w:rsid w:val="00EF3EF7"/>
    <w:rsid w:val="00EF45D4"/>
    <w:rsid w:val="00EF46CA"/>
    <w:rsid w:val="00EF482E"/>
    <w:rsid w:val="00EF49B8"/>
    <w:rsid w:val="00EF4DE8"/>
    <w:rsid w:val="00EF4E07"/>
    <w:rsid w:val="00EF4F9D"/>
    <w:rsid w:val="00EF52F4"/>
    <w:rsid w:val="00EF5877"/>
    <w:rsid w:val="00EF5B4D"/>
    <w:rsid w:val="00EF5D48"/>
    <w:rsid w:val="00EF64AE"/>
    <w:rsid w:val="00EF65CF"/>
    <w:rsid w:val="00EF67DB"/>
    <w:rsid w:val="00EF6ACA"/>
    <w:rsid w:val="00EF715A"/>
    <w:rsid w:val="00EF724D"/>
    <w:rsid w:val="00EF7793"/>
    <w:rsid w:val="00EF7BB5"/>
    <w:rsid w:val="00EF7DEC"/>
    <w:rsid w:val="00EF7E76"/>
    <w:rsid w:val="00F00110"/>
    <w:rsid w:val="00F002C7"/>
    <w:rsid w:val="00F002E0"/>
    <w:rsid w:val="00F00321"/>
    <w:rsid w:val="00F00344"/>
    <w:rsid w:val="00F009F5"/>
    <w:rsid w:val="00F00C7F"/>
    <w:rsid w:val="00F00E29"/>
    <w:rsid w:val="00F0126C"/>
    <w:rsid w:val="00F01392"/>
    <w:rsid w:val="00F0144C"/>
    <w:rsid w:val="00F0223A"/>
    <w:rsid w:val="00F0231F"/>
    <w:rsid w:val="00F023EA"/>
    <w:rsid w:val="00F02635"/>
    <w:rsid w:val="00F02A13"/>
    <w:rsid w:val="00F02A58"/>
    <w:rsid w:val="00F02BCE"/>
    <w:rsid w:val="00F02D87"/>
    <w:rsid w:val="00F02F27"/>
    <w:rsid w:val="00F03384"/>
    <w:rsid w:val="00F0344F"/>
    <w:rsid w:val="00F038AF"/>
    <w:rsid w:val="00F03983"/>
    <w:rsid w:val="00F03DAD"/>
    <w:rsid w:val="00F0419C"/>
    <w:rsid w:val="00F042D5"/>
    <w:rsid w:val="00F04330"/>
    <w:rsid w:val="00F045B4"/>
    <w:rsid w:val="00F04892"/>
    <w:rsid w:val="00F04CE1"/>
    <w:rsid w:val="00F04E57"/>
    <w:rsid w:val="00F04F99"/>
    <w:rsid w:val="00F05041"/>
    <w:rsid w:val="00F05098"/>
    <w:rsid w:val="00F05109"/>
    <w:rsid w:val="00F05745"/>
    <w:rsid w:val="00F0595C"/>
    <w:rsid w:val="00F05D00"/>
    <w:rsid w:val="00F06037"/>
    <w:rsid w:val="00F06578"/>
    <w:rsid w:val="00F06B68"/>
    <w:rsid w:val="00F06E14"/>
    <w:rsid w:val="00F06FD0"/>
    <w:rsid w:val="00F076EB"/>
    <w:rsid w:val="00F07761"/>
    <w:rsid w:val="00F07A2D"/>
    <w:rsid w:val="00F07E2B"/>
    <w:rsid w:val="00F07FEC"/>
    <w:rsid w:val="00F10304"/>
    <w:rsid w:val="00F10540"/>
    <w:rsid w:val="00F105C4"/>
    <w:rsid w:val="00F105D5"/>
    <w:rsid w:val="00F10732"/>
    <w:rsid w:val="00F10B6A"/>
    <w:rsid w:val="00F10B78"/>
    <w:rsid w:val="00F10C28"/>
    <w:rsid w:val="00F10D71"/>
    <w:rsid w:val="00F10D81"/>
    <w:rsid w:val="00F10F4A"/>
    <w:rsid w:val="00F11436"/>
    <w:rsid w:val="00F1160E"/>
    <w:rsid w:val="00F11A5B"/>
    <w:rsid w:val="00F11B25"/>
    <w:rsid w:val="00F11EE7"/>
    <w:rsid w:val="00F124A6"/>
    <w:rsid w:val="00F125D2"/>
    <w:rsid w:val="00F12C28"/>
    <w:rsid w:val="00F130BD"/>
    <w:rsid w:val="00F132A5"/>
    <w:rsid w:val="00F1376A"/>
    <w:rsid w:val="00F1382B"/>
    <w:rsid w:val="00F13921"/>
    <w:rsid w:val="00F13CAE"/>
    <w:rsid w:val="00F13E81"/>
    <w:rsid w:val="00F1404E"/>
    <w:rsid w:val="00F146D1"/>
    <w:rsid w:val="00F146F3"/>
    <w:rsid w:val="00F15125"/>
    <w:rsid w:val="00F152BC"/>
    <w:rsid w:val="00F15C02"/>
    <w:rsid w:val="00F1609B"/>
    <w:rsid w:val="00F164FA"/>
    <w:rsid w:val="00F1663B"/>
    <w:rsid w:val="00F1686F"/>
    <w:rsid w:val="00F16F56"/>
    <w:rsid w:val="00F1751F"/>
    <w:rsid w:val="00F179D4"/>
    <w:rsid w:val="00F17B70"/>
    <w:rsid w:val="00F17CDE"/>
    <w:rsid w:val="00F17D14"/>
    <w:rsid w:val="00F20567"/>
    <w:rsid w:val="00F20C48"/>
    <w:rsid w:val="00F20F70"/>
    <w:rsid w:val="00F21296"/>
    <w:rsid w:val="00F213C2"/>
    <w:rsid w:val="00F215FB"/>
    <w:rsid w:val="00F21601"/>
    <w:rsid w:val="00F21793"/>
    <w:rsid w:val="00F21B35"/>
    <w:rsid w:val="00F22085"/>
    <w:rsid w:val="00F22173"/>
    <w:rsid w:val="00F22401"/>
    <w:rsid w:val="00F2296F"/>
    <w:rsid w:val="00F22A23"/>
    <w:rsid w:val="00F23191"/>
    <w:rsid w:val="00F23195"/>
    <w:rsid w:val="00F23460"/>
    <w:rsid w:val="00F23591"/>
    <w:rsid w:val="00F23A4D"/>
    <w:rsid w:val="00F23D0F"/>
    <w:rsid w:val="00F241D0"/>
    <w:rsid w:val="00F247E6"/>
    <w:rsid w:val="00F24ADF"/>
    <w:rsid w:val="00F24B8B"/>
    <w:rsid w:val="00F24BD1"/>
    <w:rsid w:val="00F24C68"/>
    <w:rsid w:val="00F250C6"/>
    <w:rsid w:val="00F25213"/>
    <w:rsid w:val="00F253A6"/>
    <w:rsid w:val="00F258F3"/>
    <w:rsid w:val="00F25A52"/>
    <w:rsid w:val="00F25BA8"/>
    <w:rsid w:val="00F25CD4"/>
    <w:rsid w:val="00F25FA3"/>
    <w:rsid w:val="00F26278"/>
    <w:rsid w:val="00F269AA"/>
    <w:rsid w:val="00F270FE"/>
    <w:rsid w:val="00F27269"/>
    <w:rsid w:val="00F27592"/>
    <w:rsid w:val="00F27894"/>
    <w:rsid w:val="00F27A92"/>
    <w:rsid w:val="00F27F46"/>
    <w:rsid w:val="00F30299"/>
    <w:rsid w:val="00F31365"/>
    <w:rsid w:val="00F314BB"/>
    <w:rsid w:val="00F32157"/>
    <w:rsid w:val="00F3217B"/>
    <w:rsid w:val="00F3219C"/>
    <w:rsid w:val="00F322B2"/>
    <w:rsid w:val="00F32396"/>
    <w:rsid w:val="00F3273D"/>
    <w:rsid w:val="00F329F3"/>
    <w:rsid w:val="00F32A1A"/>
    <w:rsid w:val="00F32FED"/>
    <w:rsid w:val="00F3390A"/>
    <w:rsid w:val="00F33C56"/>
    <w:rsid w:val="00F33D57"/>
    <w:rsid w:val="00F3458D"/>
    <w:rsid w:val="00F347C7"/>
    <w:rsid w:val="00F34848"/>
    <w:rsid w:val="00F34D1C"/>
    <w:rsid w:val="00F34EA1"/>
    <w:rsid w:val="00F353F9"/>
    <w:rsid w:val="00F35453"/>
    <w:rsid w:val="00F3545A"/>
    <w:rsid w:val="00F3560E"/>
    <w:rsid w:val="00F357FB"/>
    <w:rsid w:val="00F358D7"/>
    <w:rsid w:val="00F35A12"/>
    <w:rsid w:val="00F35A26"/>
    <w:rsid w:val="00F36156"/>
    <w:rsid w:val="00F36318"/>
    <w:rsid w:val="00F36540"/>
    <w:rsid w:val="00F365C2"/>
    <w:rsid w:val="00F36694"/>
    <w:rsid w:val="00F36805"/>
    <w:rsid w:val="00F36968"/>
    <w:rsid w:val="00F36E58"/>
    <w:rsid w:val="00F375F2"/>
    <w:rsid w:val="00F377B9"/>
    <w:rsid w:val="00F379C7"/>
    <w:rsid w:val="00F4003E"/>
    <w:rsid w:val="00F401C0"/>
    <w:rsid w:val="00F401E4"/>
    <w:rsid w:val="00F40CD4"/>
    <w:rsid w:val="00F40E69"/>
    <w:rsid w:val="00F41887"/>
    <w:rsid w:val="00F41C7C"/>
    <w:rsid w:val="00F420FA"/>
    <w:rsid w:val="00F42237"/>
    <w:rsid w:val="00F426CB"/>
    <w:rsid w:val="00F42812"/>
    <w:rsid w:val="00F428BA"/>
    <w:rsid w:val="00F4291D"/>
    <w:rsid w:val="00F42BE0"/>
    <w:rsid w:val="00F42C4F"/>
    <w:rsid w:val="00F42D46"/>
    <w:rsid w:val="00F4336C"/>
    <w:rsid w:val="00F434F4"/>
    <w:rsid w:val="00F43728"/>
    <w:rsid w:val="00F43B3E"/>
    <w:rsid w:val="00F441B2"/>
    <w:rsid w:val="00F4434A"/>
    <w:rsid w:val="00F443D4"/>
    <w:rsid w:val="00F44633"/>
    <w:rsid w:val="00F4496C"/>
    <w:rsid w:val="00F44CE3"/>
    <w:rsid w:val="00F44DBE"/>
    <w:rsid w:val="00F44E75"/>
    <w:rsid w:val="00F44F3A"/>
    <w:rsid w:val="00F44FF2"/>
    <w:rsid w:val="00F45CA4"/>
    <w:rsid w:val="00F46682"/>
    <w:rsid w:val="00F4693C"/>
    <w:rsid w:val="00F46DC9"/>
    <w:rsid w:val="00F4729B"/>
    <w:rsid w:val="00F47436"/>
    <w:rsid w:val="00F478D6"/>
    <w:rsid w:val="00F47AE1"/>
    <w:rsid w:val="00F47C9F"/>
    <w:rsid w:val="00F47D68"/>
    <w:rsid w:val="00F47F02"/>
    <w:rsid w:val="00F50047"/>
    <w:rsid w:val="00F503D3"/>
    <w:rsid w:val="00F508AD"/>
    <w:rsid w:val="00F50D74"/>
    <w:rsid w:val="00F5133A"/>
    <w:rsid w:val="00F513F3"/>
    <w:rsid w:val="00F51870"/>
    <w:rsid w:val="00F519C7"/>
    <w:rsid w:val="00F51AE6"/>
    <w:rsid w:val="00F51E25"/>
    <w:rsid w:val="00F51F10"/>
    <w:rsid w:val="00F5203F"/>
    <w:rsid w:val="00F52292"/>
    <w:rsid w:val="00F52458"/>
    <w:rsid w:val="00F525DF"/>
    <w:rsid w:val="00F529A5"/>
    <w:rsid w:val="00F52D23"/>
    <w:rsid w:val="00F5301E"/>
    <w:rsid w:val="00F53029"/>
    <w:rsid w:val="00F530BE"/>
    <w:rsid w:val="00F5310D"/>
    <w:rsid w:val="00F53216"/>
    <w:rsid w:val="00F534B0"/>
    <w:rsid w:val="00F53605"/>
    <w:rsid w:val="00F536E2"/>
    <w:rsid w:val="00F53C73"/>
    <w:rsid w:val="00F53DAA"/>
    <w:rsid w:val="00F5418B"/>
    <w:rsid w:val="00F54BDD"/>
    <w:rsid w:val="00F54C0E"/>
    <w:rsid w:val="00F55275"/>
    <w:rsid w:val="00F559D4"/>
    <w:rsid w:val="00F55D9A"/>
    <w:rsid w:val="00F55DEB"/>
    <w:rsid w:val="00F56253"/>
    <w:rsid w:val="00F567B7"/>
    <w:rsid w:val="00F56979"/>
    <w:rsid w:val="00F569E4"/>
    <w:rsid w:val="00F56B0C"/>
    <w:rsid w:val="00F56D3F"/>
    <w:rsid w:val="00F56F1C"/>
    <w:rsid w:val="00F57037"/>
    <w:rsid w:val="00F57D51"/>
    <w:rsid w:val="00F57D9C"/>
    <w:rsid w:val="00F60042"/>
    <w:rsid w:val="00F60205"/>
    <w:rsid w:val="00F60744"/>
    <w:rsid w:val="00F607FA"/>
    <w:rsid w:val="00F60B32"/>
    <w:rsid w:val="00F60F00"/>
    <w:rsid w:val="00F611E3"/>
    <w:rsid w:val="00F614C0"/>
    <w:rsid w:val="00F61C75"/>
    <w:rsid w:val="00F61C88"/>
    <w:rsid w:val="00F6211E"/>
    <w:rsid w:val="00F62285"/>
    <w:rsid w:val="00F62385"/>
    <w:rsid w:val="00F628AC"/>
    <w:rsid w:val="00F632F4"/>
    <w:rsid w:val="00F635F2"/>
    <w:rsid w:val="00F639B4"/>
    <w:rsid w:val="00F640CE"/>
    <w:rsid w:val="00F641B7"/>
    <w:rsid w:val="00F6460D"/>
    <w:rsid w:val="00F64A03"/>
    <w:rsid w:val="00F64BB7"/>
    <w:rsid w:val="00F6545C"/>
    <w:rsid w:val="00F654E2"/>
    <w:rsid w:val="00F6577D"/>
    <w:rsid w:val="00F65CC7"/>
    <w:rsid w:val="00F66421"/>
    <w:rsid w:val="00F666CC"/>
    <w:rsid w:val="00F6683A"/>
    <w:rsid w:val="00F66C9F"/>
    <w:rsid w:val="00F670B5"/>
    <w:rsid w:val="00F67580"/>
    <w:rsid w:val="00F675BE"/>
    <w:rsid w:val="00F67699"/>
    <w:rsid w:val="00F678EF"/>
    <w:rsid w:val="00F67C25"/>
    <w:rsid w:val="00F67CF2"/>
    <w:rsid w:val="00F70159"/>
    <w:rsid w:val="00F70934"/>
    <w:rsid w:val="00F70D6D"/>
    <w:rsid w:val="00F70E78"/>
    <w:rsid w:val="00F71318"/>
    <w:rsid w:val="00F71A78"/>
    <w:rsid w:val="00F71E90"/>
    <w:rsid w:val="00F72312"/>
    <w:rsid w:val="00F72342"/>
    <w:rsid w:val="00F7245B"/>
    <w:rsid w:val="00F72736"/>
    <w:rsid w:val="00F72C2D"/>
    <w:rsid w:val="00F72EE6"/>
    <w:rsid w:val="00F7314E"/>
    <w:rsid w:val="00F73370"/>
    <w:rsid w:val="00F734FB"/>
    <w:rsid w:val="00F7353B"/>
    <w:rsid w:val="00F74127"/>
    <w:rsid w:val="00F7423F"/>
    <w:rsid w:val="00F74687"/>
    <w:rsid w:val="00F74817"/>
    <w:rsid w:val="00F74A40"/>
    <w:rsid w:val="00F74AE0"/>
    <w:rsid w:val="00F752BE"/>
    <w:rsid w:val="00F7555E"/>
    <w:rsid w:val="00F7566B"/>
    <w:rsid w:val="00F75AA9"/>
    <w:rsid w:val="00F75C8A"/>
    <w:rsid w:val="00F75DAF"/>
    <w:rsid w:val="00F761EF"/>
    <w:rsid w:val="00F7627B"/>
    <w:rsid w:val="00F76B1D"/>
    <w:rsid w:val="00F773B8"/>
    <w:rsid w:val="00F773C4"/>
    <w:rsid w:val="00F77CA8"/>
    <w:rsid w:val="00F8034B"/>
    <w:rsid w:val="00F80357"/>
    <w:rsid w:val="00F8098A"/>
    <w:rsid w:val="00F80CF8"/>
    <w:rsid w:val="00F8126C"/>
    <w:rsid w:val="00F8127D"/>
    <w:rsid w:val="00F81576"/>
    <w:rsid w:val="00F81B80"/>
    <w:rsid w:val="00F81D0B"/>
    <w:rsid w:val="00F81D27"/>
    <w:rsid w:val="00F8209D"/>
    <w:rsid w:val="00F82385"/>
    <w:rsid w:val="00F824C5"/>
    <w:rsid w:val="00F825E4"/>
    <w:rsid w:val="00F8279B"/>
    <w:rsid w:val="00F827FF"/>
    <w:rsid w:val="00F82B97"/>
    <w:rsid w:val="00F83084"/>
    <w:rsid w:val="00F832F4"/>
    <w:rsid w:val="00F83848"/>
    <w:rsid w:val="00F8399E"/>
    <w:rsid w:val="00F83C12"/>
    <w:rsid w:val="00F83C6D"/>
    <w:rsid w:val="00F83F82"/>
    <w:rsid w:val="00F8428B"/>
    <w:rsid w:val="00F84978"/>
    <w:rsid w:val="00F853EC"/>
    <w:rsid w:val="00F8544E"/>
    <w:rsid w:val="00F8545E"/>
    <w:rsid w:val="00F85556"/>
    <w:rsid w:val="00F85DBF"/>
    <w:rsid w:val="00F85EA4"/>
    <w:rsid w:val="00F86394"/>
    <w:rsid w:val="00F86869"/>
    <w:rsid w:val="00F86924"/>
    <w:rsid w:val="00F86A19"/>
    <w:rsid w:val="00F86C34"/>
    <w:rsid w:val="00F86FA8"/>
    <w:rsid w:val="00F8789C"/>
    <w:rsid w:val="00F87988"/>
    <w:rsid w:val="00F87AAB"/>
    <w:rsid w:val="00F87B25"/>
    <w:rsid w:val="00F87ECD"/>
    <w:rsid w:val="00F90083"/>
    <w:rsid w:val="00F90326"/>
    <w:rsid w:val="00F90329"/>
    <w:rsid w:val="00F90592"/>
    <w:rsid w:val="00F90635"/>
    <w:rsid w:val="00F90C32"/>
    <w:rsid w:val="00F912AC"/>
    <w:rsid w:val="00F91E6C"/>
    <w:rsid w:val="00F91FE6"/>
    <w:rsid w:val="00F9277E"/>
    <w:rsid w:val="00F92A5F"/>
    <w:rsid w:val="00F92DBE"/>
    <w:rsid w:val="00F92F87"/>
    <w:rsid w:val="00F93108"/>
    <w:rsid w:val="00F9374C"/>
    <w:rsid w:val="00F93AF5"/>
    <w:rsid w:val="00F93D18"/>
    <w:rsid w:val="00F93FCC"/>
    <w:rsid w:val="00F946C6"/>
    <w:rsid w:val="00F94E12"/>
    <w:rsid w:val="00F94FCC"/>
    <w:rsid w:val="00F9501E"/>
    <w:rsid w:val="00F9536A"/>
    <w:rsid w:val="00F956DC"/>
    <w:rsid w:val="00F95FA9"/>
    <w:rsid w:val="00F96413"/>
    <w:rsid w:val="00F9647F"/>
    <w:rsid w:val="00F96625"/>
    <w:rsid w:val="00F966A1"/>
    <w:rsid w:val="00F96F0C"/>
    <w:rsid w:val="00F97566"/>
    <w:rsid w:val="00F975E9"/>
    <w:rsid w:val="00F97E43"/>
    <w:rsid w:val="00F97FB8"/>
    <w:rsid w:val="00FA00AE"/>
    <w:rsid w:val="00FA0464"/>
    <w:rsid w:val="00FA050D"/>
    <w:rsid w:val="00FA0B24"/>
    <w:rsid w:val="00FA1106"/>
    <w:rsid w:val="00FA164A"/>
    <w:rsid w:val="00FA1879"/>
    <w:rsid w:val="00FA1B7D"/>
    <w:rsid w:val="00FA1E63"/>
    <w:rsid w:val="00FA1ECF"/>
    <w:rsid w:val="00FA1F41"/>
    <w:rsid w:val="00FA2480"/>
    <w:rsid w:val="00FA2529"/>
    <w:rsid w:val="00FA2810"/>
    <w:rsid w:val="00FA2C6B"/>
    <w:rsid w:val="00FA306D"/>
    <w:rsid w:val="00FA3239"/>
    <w:rsid w:val="00FA359D"/>
    <w:rsid w:val="00FA371D"/>
    <w:rsid w:val="00FA3988"/>
    <w:rsid w:val="00FA3E3A"/>
    <w:rsid w:val="00FA3F89"/>
    <w:rsid w:val="00FA40A8"/>
    <w:rsid w:val="00FA449A"/>
    <w:rsid w:val="00FA47D1"/>
    <w:rsid w:val="00FA4898"/>
    <w:rsid w:val="00FA4C65"/>
    <w:rsid w:val="00FA5199"/>
    <w:rsid w:val="00FA5595"/>
    <w:rsid w:val="00FA5602"/>
    <w:rsid w:val="00FA5A2C"/>
    <w:rsid w:val="00FA5F92"/>
    <w:rsid w:val="00FA6A5C"/>
    <w:rsid w:val="00FA736E"/>
    <w:rsid w:val="00FA7644"/>
    <w:rsid w:val="00FA786D"/>
    <w:rsid w:val="00FA7B81"/>
    <w:rsid w:val="00FA7C4B"/>
    <w:rsid w:val="00FA7E4C"/>
    <w:rsid w:val="00FB01C7"/>
    <w:rsid w:val="00FB04FC"/>
    <w:rsid w:val="00FB0725"/>
    <w:rsid w:val="00FB0756"/>
    <w:rsid w:val="00FB0A1A"/>
    <w:rsid w:val="00FB0C63"/>
    <w:rsid w:val="00FB0C99"/>
    <w:rsid w:val="00FB0E46"/>
    <w:rsid w:val="00FB1771"/>
    <w:rsid w:val="00FB188F"/>
    <w:rsid w:val="00FB1AC6"/>
    <w:rsid w:val="00FB1BD9"/>
    <w:rsid w:val="00FB2525"/>
    <w:rsid w:val="00FB292E"/>
    <w:rsid w:val="00FB3D15"/>
    <w:rsid w:val="00FB4367"/>
    <w:rsid w:val="00FB4566"/>
    <w:rsid w:val="00FB476F"/>
    <w:rsid w:val="00FB5137"/>
    <w:rsid w:val="00FB56AA"/>
    <w:rsid w:val="00FB5AD9"/>
    <w:rsid w:val="00FB5D81"/>
    <w:rsid w:val="00FB5EA5"/>
    <w:rsid w:val="00FB5F2D"/>
    <w:rsid w:val="00FB6131"/>
    <w:rsid w:val="00FB6274"/>
    <w:rsid w:val="00FB63F8"/>
    <w:rsid w:val="00FB6621"/>
    <w:rsid w:val="00FB6C8B"/>
    <w:rsid w:val="00FB7067"/>
    <w:rsid w:val="00FB76AC"/>
    <w:rsid w:val="00FB773E"/>
    <w:rsid w:val="00FB7745"/>
    <w:rsid w:val="00FB7FDE"/>
    <w:rsid w:val="00FC0324"/>
    <w:rsid w:val="00FC03C1"/>
    <w:rsid w:val="00FC06FC"/>
    <w:rsid w:val="00FC07B9"/>
    <w:rsid w:val="00FC0F04"/>
    <w:rsid w:val="00FC0FB3"/>
    <w:rsid w:val="00FC1044"/>
    <w:rsid w:val="00FC1516"/>
    <w:rsid w:val="00FC1527"/>
    <w:rsid w:val="00FC16BF"/>
    <w:rsid w:val="00FC1A9C"/>
    <w:rsid w:val="00FC1B11"/>
    <w:rsid w:val="00FC1CE8"/>
    <w:rsid w:val="00FC2335"/>
    <w:rsid w:val="00FC26C0"/>
    <w:rsid w:val="00FC26DB"/>
    <w:rsid w:val="00FC2748"/>
    <w:rsid w:val="00FC2DB8"/>
    <w:rsid w:val="00FC3414"/>
    <w:rsid w:val="00FC3534"/>
    <w:rsid w:val="00FC354F"/>
    <w:rsid w:val="00FC3699"/>
    <w:rsid w:val="00FC3BCB"/>
    <w:rsid w:val="00FC3ED1"/>
    <w:rsid w:val="00FC407F"/>
    <w:rsid w:val="00FC40F3"/>
    <w:rsid w:val="00FC4584"/>
    <w:rsid w:val="00FC4A1C"/>
    <w:rsid w:val="00FC4AD4"/>
    <w:rsid w:val="00FC4E21"/>
    <w:rsid w:val="00FC519C"/>
    <w:rsid w:val="00FC54AA"/>
    <w:rsid w:val="00FC587D"/>
    <w:rsid w:val="00FC5F6D"/>
    <w:rsid w:val="00FC61B8"/>
    <w:rsid w:val="00FC6E61"/>
    <w:rsid w:val="00FC6F0A"/>
    <w:rsid w:val="00FC7236"/>
    <w:rsid w:val="00FC747A"/>
    <w:rsid w:val="00FC7784"/>
    <w:rsid w:val="00FC7A22"/>
    <w:rsid w:val="00FD0107"/>
    <w:rsid w:val="00FD0168"/>
    <w:rsid w:val="00FD04F1"/>
    <w:rsid w:val="00FD0F19"/>
    <w:rsid w:val="00FD1032"/>
    <w:rsid w:val="00FD1100"/>
    <w:rsid w:val="00FD1144"/>
    <w:rsid w:val="00FD11A8"/>
    <w:rsid w:val="00FD1603"/>
    <w:rsid w:val="00FD174D"/>
    <w:rsid w:val="00FD1A27"/>
    <w:rsid w:val="00FD20CB"/>
    <w:rsid w:val="00FD21EF"/>
    <w:rsid w:val="00FD2C2F"/>
    <w:rsid w:val="00FD2E41"/>
    <w:rsid w:val="00FD2F06"/>
    <w:rsid w:val="00FD31CD"/>
    <w:rsid w:val="00FD39A7"/>
    <w:rsid w:val="00FD3B31"/>
    <w:rsid w:val="00FD3C0C"/>
    <w:rsid w:val="00FD3FB9"/>
    <w:rsid w:val="00FD4133"/>
    <w:rsid w:val="00FD438E"/>
    <w:rsid w:val="00FD4565"/>
    <w:rsid w:val="00FD4578"/>
    <w:rsid w:val="00FD4A79"/>
    <w:rsid w:val="00FD4D58"/>
    <w:rsid w:val="00FD5550"/>
    <w:rsid w:val="00FD6269"/>
    <w:rsid w:val="00FD6A85"/>
    <w:rsid w:val="00FD6E90"/>
    <w:rsid w:val="00FD6F4E"/>
    <w:rsid w:val="00FD76CC"/>
    <w:rsid w:val="00FD7C09"/>
    <w:rsid w:val="00FD7E60"/>
    <w:rsid w:val="00FD7E85"/>
    <w:rsid w:val="00FE0C5F"/>
    <w:rsid w:val="00FE0E1B"/>
    <w:rsid w:val="00FE0E4F"/>
    <w:rsid w:val="00FE10AA"/>
    <w:rsid w:val="00FE10BE"/>
    <w:rsid w:val="00FE1184"/>
    <w:rsid w:val="00FE14C3"/>
    <w:rsid w:val="00FE1764"/>
    <w:rsid w:val="00FE1823"/>
    <w:rsid w:val="00FE1B3C"/>
    <w:rsid w:val="00FE1CB6"/>
    <w:rsid w:val="00FE23BB"/>
    <w:rsid w:val="00FE2ADC"/>
    <w:rsid w:val="00FE2C35"/>
    <w:rsid w:val="00FE2F0F"/>
    <w:rsid w:val="00FE3013"/>
    <w:rsid w:val="00FE3993"/>
    <w:rsid w:val="00FE3B01"/>
    <w:rsid w:val="00FE3E25"/>
    <w:rsid w:val="00FE3E48"/>
    <w:rsid w:val="00FE3EC5"/>
    <w:rsid w:val="00FE3F95"/>
    <w:rsid w:val="00FE3FFA"/>
    <w:rsid w:val="00FE440D"/>
    <w:rsid w:val="00FE487A"/>
    <w:rsid w:val="00FE5091"/>
    <w:rsid w:val="00FE54E3"/>
    <w:rsid w:val="00FE56E6"/>
    <w:rsid w:val="00FE5900"/>
    <w:rsid w:val="00FE5B5D"/>
    <w:rsid w:val="00FE5D91"/>
    <w:rsid w:val="00FE6268"/>
    <w:rsid w:val="00FE6293"/>
    <w:rsid w:val="00FE646F"/>
    <w:rsid w:val="00FE68C0"/>
    <w:rsid w:val="00FE69A0"/>
    <w:rsid w:val="00FE6DC0"/>
    <w:rsid w:val="00FE6F36"/>
    <w:rsid w:val="00FE7190"/>
    <w:rsid w:val="00FE7467"/>
    <w:rsid w:val="00FE7B90"/>
    <w:rsid w:val="00FE7BD1"/>
    <w:rsid w:val="00FE7FBE"/>
    <w:rsid w:val="00FF00CE"/>
    <w:rsid w:val="00FF0395"/>
    <w:rsid w:val="00FF0446"/>
    <w:rsid w:val="00FF0569"/>
    <w:rsid w:val="00FF07E1"/>
    <w:rsid w:val="00FF0A39"/>
    <w:rsid w:val="00FF0BC4"/>
    <w:rsid w:val="00FF0FC1"/>
    <w:rsid w:val="00FF18F4"/>
    <w:rsid w:val="00FF19B4"/>
    <w:rsid w:val="00FF1A69"/>
    <w:rsid w:val="00FF1F5B"/>
    <w:rsid w:val="00FF200C"/>
    <w:rsid w:val="00FF206E"/>
    <w:rsid w:val="00FF22CD"/>
    <w:rsid w:val="00FF238E"/>
    <w:rsid w:val="00FF24E4"/>
    <w:rsid w:val="00FF271D"/>
    <w:rsid w:val="00FF2CD3"/>
    <w:rsid w:val="00FF2E04"/>
    <w:rsid w:val="00FF2E0F"/>
    <w:rsid w:val="00FF308C"/>
    <w:rsid w:val="00FF35E7"/>
    <w:rsid w:val="00FF39FE"/>
    <w:rsid w:val="00FF3C69"/>
    <w:rsid w:val="00FF3C72"/>
    <w:rsid w:val="00FF3C94"/>
    <w:rsid w:val="00FF4216"/>
    <w:rsid w:val="00FF467C"/>
    <w:rsid w:val="00FF4E54"/>
    <w:rsid w:val="00FF4F26"/>
    <w:rsid w:val="00FF539F"/>
    <w:rsid w:val="00FF53C2"/>
    <w:rsid w:val="00FF541B"/>
    <w:rsid w:val="00FF5780"/>
    <w:rsid w:val="00FF5F73"/>
    <w:rsid w:val="00FF60A2"/>
    <w:rsid w:val="00FF66E6"/>
    <w:rsid w:val="00FF6A8D"/>
    <w:rsid w:val="00FF6AE8"/>
    <w:rsid w:val="00FF6CEF"/>
    <w:rsid w:val="00FF6E0A"/>
    <w:rsid w:val="00FF6ECE"/>
    <w:rsid w:val="00FF71FC"/>
    <w:rsid w:val="00FF73DE"/>
    <w:rsid w:val="00FF75EF"/>
    <w:rsid w:val="00FF7759"/>
    <w:rsid w:val="00FF7ABB"/>
    <w:rsid w:val="011D63FC"/>
    <w:rsid w:val="01230ABF"/>
    <w:rsid w:val="013AE7F8"/>
    <w:rsid w:val="0189E7D1"/>
    <w:rsid w:val="01D9C3EF"/>
    <w:rsid w:val="01F3120E"/>
    <w:rsid w:val="01FA03C9"/>
    <w:rsid w:val="021E746F"/>
    <w:rsid w:val="022A438D"/>
    <w:rsid w:val="02467B3D"/>
    <w:rsid w:val="029F81DD"/>
    <w:rsid w:val="02C16E74"/>
    <w:rsid w:val="02E4B53A"/>
    <w:rsid w:val="02ECBF53"/>
    <w:rsid w:val="02F42849"/>
    <w:rsid w:val="0306940F"/>
    <w:rsid w:val="030C984B"/>
    <w:rsid w:val="031A916D"/>
    <w:rsid w:val="03236DAD"/>
    <w:rsid w:val="03295BBF"/>
    <w:rsid w:val="032EBA96"/>
    <w:rsid w:val="03498329"/>
    <w:rsid w:val="034A701E"/>
    <w:rsid w:val="0365E897"/>
    <w:rsid w:val="037F7DF1"/>
    <w:rsid w:val="03EF2B1C"/>
    <w:rsid w:val="03F45648"/>
    <w:rsid w:val="0451DA7D"/>
    <w:rsid w:val="045D37BB"/>
    <w:rsid w:val="04A78B0F"/>
    <w:rsid w:val="05741484"/>
    <w:rsid w:val="057BDA3B"/>
    <w:rsid w:val="057CCC10"/>
    <w:rsid w:val="0585D075"/>
    <w:rsid w:val="05948F80"/>
    <w:rsid w:val="059B79A0"/>
    <w:rsid w:val="05A81B17"/>
    <w:rsid w:val="05E4DAD0"/>
    <w:rsid w:val="05F1C50F"/>
    <w:rsid w:val="061A0F23"/>
    <w:rsid w:val="06301420"/>
    <w:rsid w:val="0630C68C"/>
    <w:rsid w:val="0636D6A2"/>
    <w:rsid w:val="06A78ED8"/>
    <w:rsid w:val="06DCF94A"/>
    <w:rsid w:val="06F0F0BA"/>
    <w:rsid w:val="070FA60D"/>
    <w:rsid w:val="0717ABB6"/>
    <w:rsid w:val="071E4DFA"/>
    <w:rsid w:val="071F0843"/>
    <w:rsid w:val="072C9177"/>
    <w:rsid w:val="07471F8F"/>
    <w:rsid w:val="074A65AF"/>
    <w:rsid w:val="07581649"/>
    <w:rsid w:val="0781A85D"/>
    <w:rsid w:val="07A2BB43"/>
    <w:rsid w:val="07B5D8B4"/>
    <w:rsid w:val="07C75277"/>
    <w:rsid w:val="07DAF68C"/>
    <w:rsid w:val="07E9D1AE"/>
    <w:rsid w:val="07FC8F95"/>
    <w:rsid w:val="08029076"/>
    <w:rsid w:val="0808CDAC"/>
    <w:rsid w:val="080923C3"/>
    <w:rsid w:val="0824E9E0"/>
    <w:rsid w:val="082ABA2C"/>
    <w:rsid w:val="083D5FC8"/>
    <w:rsid w:val="087C48A7"/>
    <w:rsid w:val="089B9140"/>
    <w:rsid w:val="091CD6AE"/>
    <w:rsid w:val="092DC2F6"/>
    <w:rsid w:val="09398452"/>
    <w:rsid w:val="093CAD52"/>
    <w:rsid w:val="0944A570"/>
    <w:rsid w:val="0946EEEA"/>
    <w:rsid w:val="09472EB2"/>
    <w:rsid w:val="0989DE00"/>
    <w:rsid w:val="09B06D2A"/>
    <w:rsid w:val="09D535AE"/>
    <w:rsid w:val="09F4998D"/>
    <w:rsid w:val="0A193469"/>
    <w:rsid w:val="0A6BD2A6"/>
    <w:rsid w:val="0A7B5083"/>
    <w:rsid w:val="0A89AC93"/>
    <w:rsid w:val="0AC01831"/>
    <w:rsid w:val="0AE447A1"/>
    <w:rsid w:val="0AEB0198"/>
    <w:rsid w:val="0AF07766"/>
    <w:rsid w:val="0AFC345F"/>
    <w:rsid w:val="0B12978E"/>
    <w:rsid w:val="0B27645D"/>
    <w:rsid w:val="0B2CD9BD"/>
    <w:rsid w:val="0B3EF232"/>
    <w:rsid w:val="0B450341"/>
    <w:rsid w:val="0B68F0DB"/>
    <w:rsid w:val="0B7C00E5"/>
    <w:rsid w:val="0B7EF59D"/>
    <w:rsid w:val="0B8F893D"/>
    <w:rsid w:val="0BAEFE31"/>
    <w:rsid w:val="0BCDFE78"/>
    <w:rsid w:val="0BD79F2E"/>
    <w:rsid w:val="0BDECCEF"/>
    <w:rsid w:val="0BEC9088"/>
    <w:rsid w:val="0C00FEB9"/>
    <w:rsid w:val="0C106103"/>
    <w:rsid w:val="0C18DC0D"/>
    <w:rsid w:val="0C3FF818"/>
    <w:rsid w:val="0C4AA3BE"/>
    <w:rsid w:val="0C5B5458"/>
    <w:rsid w:val="0C7DAA3C"/>
    <w:rsid w:val="0C87582C"/>
    <w:rsid w:val="0CA840A4"/>
    <w:rsid w:val="0CAEEC53"/>
    <w:rsid w:val="0CCE931B"/>
    <w:rsid w:val="0CED37F6"/>
    <w:rsid w:val="0D07E193"/>
    <w:rsid w:val="0D120421"/>
    <w:rsid w:val="0D21D806"/>
    <w:rsid w:val="0D314254"/>
    <w:rsid w:val="0D3B97FC"/>
    <w:rsid w:val="0D3BCFF6"/>
    <w:rsid w:val="0DCB27CC"/>
    <w:rsid w:val="0DE3D7A0"/>
    <w:rsid w:val="0E2D077B"/>
    <w:rsid w:val="0E3A98F4"/>
    <w:rsid w:val="0E3EB6EB"/>
    <w:rsid w:val="0E446F94"/>
    <w:rsid w:val="0E95A165"/>
    <w:rsid w:val="0F0DFBBC"/>
    <w:rsid w:val="0F142E03"/>
    <w:rsid w:val="0F1CC585"/>
    <w:rsid w:val="0F2CB7C6"/>
    <w:rsid w:val="0F2E1919"/>
    <w:rsid w:val="0F3182FC"/>
    <w:rsid w:val="0F3768F0"/>
    <w:rsid w:val="0F4EB933"/>
    <w:rsid w:val="0F6FBA4E"/>
    <w:rsid w:val="0F750CC6"/>
    <w:rsid w:val="0F7ED4E1"/>
    <w:rsid w:val="0F841999"/>
    <w:rsid w:val="0F8BEA66"/>
    <w:rsid w:val="0FA43C90"/>
    <w:rsid w:val="0FB5D6EA"/>
    <w:rsid w:val="0FF1D90B"/>
    <w:rsid w:val="0FFB4214"/>
    <w:rsid w:val="10012675"/>
    <w:rsid w:val="102E1F34"/>
    <w:rsid w:val="1043C6AE"/>
    <w:rsid w:val="1093E119"/>
    <w:rsid w:val="10B664A2"/>
    <w:rsid w:val="10B7199A"/>
    <w:rsid w:val="10E484DB"/>
    <w:rsid w:val="10E86F98"/>
    <w:rsid w:val="10ED44A5"/>
    <w:rsid w:val="114BA37B"/>
    <w:rsid w:val="1152E32C"/>
    <w:rsid w:val="11BC7E5C"/>
    <w:rsid w:val="11ECD855"/>
    <w:rsid w:val="11EEDB7A"/>
    <w:rsid w:val="120CB1C2"/>
    <w:rsid w:val="12235CC3"/>
    <w:rsid w:val="12246836"/>
    <w:rsid w:val="12252BA8"/>
    <w:rsid w:val="1237ED0D"/>
    <w:rsid w:val="1238D9EB"/>
    <w:rsid w:val="123EC84E"/>
    <w:rsid w:val="1254ED4A"/>
    <w:rsid w:val="1273CDC0"/>
    <w:rsid w:val="12A0EFD4"/>
    <w:rsid w:val="131A5B3D"/>
    <w:rsid w:val="13696F72"/>
    <w:rsid w:val="137385D3"/>
    <w:rsid w:val="1380C875"/>
    <w:rsid w:val="13A8DFFC"/>
    <w:rsid w:val="13C23AB6"/>
    <w:rsid w:val="13E284A6"/>
    <w:rsid w:val="1434CD0D"/>
    <w:rsid w:val="149ADEF6"/>
    <w:rsid w:val="149C0735"/>
    <w:rsid w:val="14DB7124"/>
    <w:rsid w:val="14DD2B6E"/>
    <w:rsid w:val="1529B5FE"/>
    <w:rsid w:val="153089DD"/>
    <w:rsid w:val="154F45E4"/>
    <w:rsid w:val="158300BE"/>
    <w:rsid w:val="158AA42E"/>
    <w:rsid w:val="15D8F5F4"/>
    <w:rsid w:val="15ED06BF"/>
    <w:rsid w:val="16582E42"/>
    <w:rsid w:val="1664C568"/>
    <w:rsid w:val="167779A2"/>
    <w:rsid w:val="1686B083"/>
    <w:rsid w:val="16903428"/>
    <w:rsid w:val="1691EC4A"/>
    <w:rsid w:val="16A12F82"/>
    <w:rsid w:val="16BDFDD2"/>
    <w:rsid w:val="16D14A37"/>
    <w:rsid w:val="16D5FB23"/>
    <w:rsid w:val="16EEDD81"/>
    <w:rsid w:val="17114AD9"/>
    <w:rsid w:val="1725FD4E"/>
    <w:rsid w:val="17336104"/>
    <w:rsid w:val="173FF124"/>
    <w:rsid w:val="175536F2"/>
    <w:rsid w:val="175F7D92"/>
    <w:rsid w:val="176350BE"/>
    <w:rsid w:val="17AFA778"/>
    <w:rsid w:val="17BD24BD"/>
    <w:rsid w:val="17FD415C"/>
    <w:rsid w:val="180DD74B"/>
    <w:rsid w:val="18465CCF"/>
    <w:rsid w:val="18635751"/>
    <w:rsid w:val="1865A2C7"/>
    <w:rsid w:val="1873671F"/>
    <w:rsid w:val="18809768"/>
    <w:rsid w:val="189B36AC"/>
    <w:rsid w:val="18AA6EE9"/>
    <w:rsid w:val="18B68BCD"/>
    <w:rsid w:val="18CB02D3"/>
    <w:rsid w:val="18DA9E8B"/>
    <w:rsid w:val="19111E68"/>
    <w:rsid w:val="1938113F"/>
    <w:rsid w:val="193AC85B"/>
    <w:rsid w:val="195B6780"/>
    <w:rsid w:val="197387C2"/>
    <w:rsid w:val="1984624D"/>
    <w:rsid w:val="19CD2DE5"/>
    <w:rsid w:val="19E61041"/>
    <w:rsid w:val="1A203A3C"/>
    <w:rsid w:val="1A31DA46"/>
    <w:rsid w:val="1A884BD3"/>
    <w:rsid w:val="1ABAF94E"/>
    <w:rsid w:val="1B190A07"/>
    <w:rsid w:val="1B2B3907"/>
    <w:rsid w:val="1B3DC1BB"/>
    <w:rsid w:val="1B48F13B"/>
    <w:rsid w:val="1B569628"/>
    <w:rsid w:val="1B8FAB9A"/>
    <w:rsid w:val="1BAFC1A3"/>
    <w:rsid w:val="1C01A66A"/>
    <w:rsid w:val="1C431FC9"/>
    <w:rsid w:val="1C674C31"/>
    <w:rsid w:val="1C747E44"/>
    <w:rsid w:val="1C79EB12"/>
    <w:rsid w:val="1C928431"/>
    <w:rsid w:val="1CADF19C"/>
    <w:rsid w:val="1CB26488"/>
    <w:rsid w:val="1D1166A3"/>
    <w:rsid w:val="1D1BBBA6"/>
    <w:rsid w:val="1D33FF2A"/>
    <w:rsid w:val="1D744705"/>
    <w:rsid w:val="1D754FDC"/>
    <w:rsid w:val="1D904489"/>
    <w:rsid w:val="1DBE2E0D"/>
    <w:rsid w:val="1E1DFCE2"/>
    <w:rsid w:val="1E50A6D6"/>
    <w:rsid w:val="1E6986F5"/>
    <w:rsid w:val="1E84D9A3"/>
    <w:rsid w:val="1E862282"/>
    <w:rsid w:val="1E90525F"/>
    <w:rsid w:val="1E979DBC"/>
    <w:rsid w:val="1E9C1FAC"/>
    <w:rsid w:val="1E9C9974"/>
    <w:rsid w:val="1EC32FE8"/>
    <w:rsid w:val="1ED25BEB"/>
    <w:rsid w:val="1EEBD4E9"/>
    <w:rsid w:val="1EFB9B37"/>
    <w:rsid w:val="1EFDB861"/>
    <w:rsid w:val="1F13C8D1"/>
    <w:rsid w:val="1F472377"/>
    <w:rsid w:val="1F94B6D9"/>
    <w:rsid w:val="1F9BF170"/>
    <w:rsid w:val="1FC7AA43"/>
    <w:rsid w:val="1FF36B0A"/>
    <w:rsid w:val="2005AF41"/>
    <w:rsid w:val="201BCF17"/>
    <w:rsid w:val="206F1653"/>
    <w:rsid w:val="2072F213"/>
    <w:rsid w:val="20909928"/>
    <w:rsid w:val="20D158BD"/>
    <w:rsid w:val="2119D831"/>
    <w:rsid w:val="211F5DEB"/>
    <w:rsid w:val="212D9F9E"/>
    <w:rsid w:val="21831188"/>
    <w:rsid w:val="219203EA"/>
    <w:rsid w:val="21921F7C"/>
    <w:rsid w:val="219681BB"/>
    <w:rsid w:val="219E44D7"/>
    <w:rsid w:val="21D1F32D"/>
    <w:rsid w:val="21D52D89"/>
    <w:rsid w:val="21D819DC"/>
    <w:rsid w:val="21DB066E"/>
    <w:rsid w:val="21E5BF9B"/>
    <w:rsid w:val="21E95D5C"/>
    <w:rsid w:val="21EF8E65"/>
    <w:rsid w:val="2222ADD6"/>
    <w:rsid w:val="224A7EDD"/>
    <w:rsid w:val="22641206"/>
    <w:rsid w:val="226679F2"/>
    <w:rsid w:val="22955F62"/>
    <w:rsid w:val="22AC059F"/>
    <w:rsid w:val="22E6E5DB"/>
    <w:rsid w:val="22EF0C28"/>
    <w:rsid w:val="22FA8CA1"/>
    <w:rsid w:val="22FEE3C6"/>
    <w:rsid w:val="233E34E5"/>
    <w:rsid w:val="23413E24"/>
    <w:rsid w:val="234887C6"/>
    <w:rsid w:val="23FE460A"/>
    <w:rsid w:val="23FEBA05"/>
    <w:rsid w:val="2407C128"/>
    <w:rsid w:val="24198420"/>
    <w:rsid w:val="244567F5"/>
    <w:rsid w:val="24C69A0F"/>
    <w:rsid w:val="24D09117"/>
    <w:rsid w:val="250444DC"/>
    <w:rsid w:val="250451AE"/>
    <w:rsid w:val="2528BF4E"/>
    <w:rsid w:val="254DB101"/>
    <w:rsid w:val="25602152"/>
    <w:rsid w:val="2579E0F1"/>
    <w:rsid w:val="2582CC98"/>
    <w:rsid w:val="25BDFC7C"/>
    <w:rsid w:val="25C3B9EE"/>
    <w:rsid w:val="25DBC644"/>
    <w:rsid w:val="25DBF3AE"/>
    <w:rsid w:val="25DE91AA"/>
    <w:rsid w:val="25E19CB4"/>
    <w:rsid w:val="25EA2EEE"/>
    <w:rsid w:val="260EFF39"/>
    <w:rsid w:val="26583AD7"/>
    <w:rsid w:val="26B0DA49"/>
    <w:rsid w:val="26C820C5"/>
    <w:rsid w:val="2702139B"/>
    <w:rsid w:val="27063EAC"/>
    <w:rsid w:val="27076017"/>
    <w:rsid w:val="270910DE"/>
    <w:rsid w:val="277BA08E"/>
    <w:rsid w:val="2789C1E2"/>
    <w:rsid w:val="27A8696D"/>
    <w:rsid w:val="28428047"/>
    <w:rsid w:val="2857CCE9"/>
    <w:rsid w:val="2883BB76"/>
    <w:rsid w:val="28904C00"/>
    <w:rsid w:val="2897BAE3"/>
    <w:rsid w:val="28B4F8B0"/>
    <w:rsid w:val="28EFDB79"/>
    <w:rsid w:val="2914B7E0"/>
    <w:rsid w:val="295ECC26"/>
    <w:rsid w:val="297020E9"/>
    <w:rsid w:val="29705A48"/>
    <w:rsid w:val="2971821E"/>
    <w:rsid w:val="29C14747"/>
    <w:rsid w:val="29C8573E"/>
    <w:rsid w:val="29E92956"/>
    <w:rsid w:val="29EE05C7"/>
    <w:rsid w:val="29F7DF2F"/>
    <w:rsid w:val="29FF0B3E"/>
    <w:rsid w:val="2A004509"/>
    <w:rsid w:val="2A07BDC9"/>
    <w:rsid w:val="2A248BE4"/>
    <w:rsid w:val="2A26D0CD"/>
    <w:rsid w:val="2A4BB850"/>
    <w:rsid w:val="2A7E3935"/>
    <w:rsid w:val="2A89F92C"/>
    <w:rsid w:val="2AB36F09"/>
    <w:rsid w:val="2ABCBD55"/>
    <w:rsid w:val="2ADD2DCF"/>
    <w:rsid w:val="2AFCF266"/>
    <w:rsid w:val="2AFD3B3B"/>
    <w:rsid w:val="2B0146C4"/>
    <w:rsid w:val="2B152C75"/>
    <w:rsid w:val="2B64D815"/>
    <w:rsid w:val="2B66F223"/>
    <w:rsid w:val="2B6AA3D5"/>
    <w:rsid w:val="2B7D77B0"/>
    <w:rsid w:val="2B7D78BE"/>
    <w:rsid w:val="2B92E10A"/>
    <w:rsid w:val="2BBEF28A"/>
    <w:rsid w:val="2BFD0099"/>
    <w:rsid w:val="2C226E3E"/>
    <w:rsid w:val="2C49F72E"/>
    <w:rsid w:val="2C658B54"/>
    <w:rsid w:val="2C84ED45"/>
    <w:rsid w:val="2C8B790A"/>
    <w:rsid w:val="2C8FA1B2"/>
    <w:rsid w:val="2CB6002D"/>
    <w:rsid w:val="2CC78819"/>
    <w:rsid w:val="2CCADE51"/>
    <w:rsid w:val="2CDA478E"/>
    <w:rsid w:val="2CDE25D2"/>
    <w:rsid w:val="2CF27BAF"/>
    <w:rsid w:val="2D11F87B"/>
    <w:rsid w:val="2D1E16E5"/>
    <w:rsid w:val="2D38B4AF"/>
    <w:rsid w:val="2D393E9A"/>
    <w:rsid w:val="2D5DEB42"/>
    <w:rsid w:val="2D72943E"/>
    <w:rsid w:val="2E08BC6F"/>
    <w:rsid w:val="2E09CB8F"/>
    <w:rsid w:val="2E2871E0"/>
    <w:rsid w:val="2E28BBE6"/>
    <w:rsid w:val="2E2A9435"/>
    <w:rsid w:val="2E4612CE"/>
    <w:rsid w:val="2E8B5171"/>
    <w:rsid w:val="2E8B9E47"/>
    <w:rsid w:val="2EE118B1"/>
    <w:rsid w:val="2EE717DF"/>
    <w:rsid w:val="2EE788F3"/>
    <w:rsid w:val="2EEECD79"/>
    <w:rsid w:val="2EF28AA6"/>
    <w:rsid w:val="2F02775C"/>
    <w:rsid w:val="2F21216E"/>
    <w:rsid w:val="2F254D47"/>
    <w:rsid w:val="2F5F8BE8"/>
    <w:rsid w:val="2F7228C5"/>
    <w:rsid w:val="2F7393B2"/>
    <w:rsid w:val="2F76F159"/>
    <w:rsid w:val="2FC4122A"/>
    <w:rsid w:val="30382A77"/>
    <w:rsid w:val="306F42BF"/>
    <w:rsid w:val="3071D4A8"/>
    <w:rsid w:val="30A4A3FB"/>
    <w:rsid w:val="30A5E484"/>
    <w:rsid w:val="30A88C39"/>
    <w:rsid w:val="30ADFE51"/>
    <w:rsid w:val="30F4215C"/>
    <w:rsid w:val="313B904A"/>
    <w:rsid w:val="315D605E"/>
    <w:rsid w:val="31606799"/>
    <w:rsid w:val="31873828"/>
    <w:rsid w:val="318F68D5"/>
    <w:rsid w:val="31F46077"/>
    <w:rsid w:val="31F94A0A"/>
    <w:rsid w:val="31FE56F2"/>
    <w:rsid w:val="3216E996"/>
    <w:rsid w:val="32639FE3"/>
    <w:rsid w:val="3281B0D1"/>
    <w:rsid w:val="3296A7F0"/>
    <w:rsid w:val="32A1F5C7"/>
    <w:rsid w:val="32BF0998"/>
    <w:rsid w:val="32CEA99C"/>
    <w:rsid w:val="33101B10"/>
    <w:rsid w:val="333388B3"/>
    <w:rsid w:val="3341538E"/>
    <w:rsid w:val="3346FC84"/>
    <w:rsid w:val="3350D536"/>
    <w:rsid w:val="3396C8F4"/>
    <w:rsid w:val="339C15C5"/>
    <w:rsid w:val="33ACE320"/>
    <w:rsid w:val="33CD5EB4"/>
    <w:rsid w:val="33DCA566"/>
    <w:rsid w:val="341E30D7"/>
    <w:rsid w:val="34709404"/>
    <w:rsid w:val="34A6B0CA"/>
    <w:rsid w:val="34A716A7"/>
    <w:rsid w:val="34E39E56"/>
    <w:rsid w:val="35214738"/>
    <w:rsid w:val="3562D7B3"/>
    <w:rsid w:val="35BC9DA1"/>
    <w:rsid w:val="35C6087D"/>
    <w:rsid w:val="3647D866"/>
    <w:rsid w:val="365732FB"/>
    <w:rsid w:val="36D94BDC"/>
    <w:rsid w:val="37001795"/>
    <w:rsid w:val="37014857"/>
    <w:rsid w:val="3723C57B"/>
    <w:rsid w:val="374861EC"/>
    <w:rsid w:val="3760FA3A"/>
    <w:rsid w:val="37BA686A"/>
    <w:rsid w:val="37D02790"/>
    <w:rsid w:val="37F356F0"/>
    <w:rsid w:val="381C5820"/>
    <w:rsid w:val="381CAA6E"/>
    <w:rsid w:val="381DB76A"/>
    <w:rsid w:val="3832B04B"/>
    <w:rsid w:val="38533BC4"/>
    <w:rsid w:val="38782383"/>
    <w:rsid w:val="38A5B088"/>
    <w:rsid w:val="38A7B8FF"/>
    <w:rsid w:val="38BCABBB"/>
    <w:rsid w:val="38FAB8A6"/>
    <w:rsid w:val="390CB6BF"/>
    <w:rsid w:val="3918DB8C"/>
    <w:rsid w:val="3933DE34"/>
    <w:rsid w:val="3940BE6C"/>
    <w:rsid w:val="39558C41"/>
    <w:rsid w:val="397CEE89"/>
    <w:rsid w:val="397E5551"/>
    <w:rsid w:val="399CE766"/>
    <w:rsid w:val="39AFBF95"/>
    <w:rsid w:val="39FDAADE"/>
    <w:rsid w:val="39FE9F7D"/>
    <w:rsid w:val="3A58F310"/>
    <w:rsid w:val="3A92CEED"/>
    <w:rsid w:val="3AAF7C8B"/>
    <w:rsid w:val="3AD912D5"/>
    <w:rsid w:val="3AE9802E"/>
    <w:rsid w:val="3B078CE9"/>
    <w:rsid w:val="3B0A6F3B"/>
    <w:rsid w:val="3B2617B1"/>
    <w:rsid w:val="3B26C554"/>
    <w:rsid w:val="3B435652"/>
    <w:rsid w:val="3BA697D2"/>
    <w:rsid w:val="3BC3FE77"/>
    <w:rsid w:val="3BE63DE0"/>
    <w:rsid w:val="3BE65B78"/>
    <w:rsid w:val="3C1DEE9D"/>
    <w:rsid w:val="3C4C052D"/>
    <w:rsid w:val="3C539E44"/>
    <w:rsid w:val="3C677770"/>
    <w:rsid w:val="3C9026AF"/>
    <w:rsid w:val="3C904A00"/>
    <w:rsid w:val="3CD8578D"/>
    <w:rsid w:val="3CDAFE4B"/>
    <w:rsid w:val="3D2B2495"/>
    <w:rsid w:val="3D30E787"/>
    <w:rsid w:val="3D320E87"/>
    <w:rsid w:val="3D3953CB"/>
    <w:rsid w:val="3D834293"/>
    <w:rsid w:val="3DB028F4"/>
    <w:rsid w:val="3DBDB607"/>
    <w:rsid w:val="3DCFF8AF"/>
    <w:rsid w:val="3DD7DBE0"/>
    <w:rsid w:val="3DF0FE12"/>
    <w:rsid w:val="3E3E51C6"/>
    <w:rsid w:val="3E59767E"/>
    <w:rsid w:val="3E78D280"/>
    <w:rsid w:val="3E9CDB7D"/>
    <w:rsid w:val="3EA1AA80"/>
    <w:rsid w:val="3EBF1479"/>
    <w:rsid w:val="3ECEE7F9"/>
    <w:rsid w:val="3F1456D3"/>
    <w:rsid w:val="3F1D7090"/>
    <w:rsid w:val="3F82DB6E"/>
    <w:rsid w:val="3FB06E98"/>
    <w:rsid w:val="3FB6E48E"/>
    <w:rsid w:val="3FC4EE4F"/>
    <w:rsid w:val="3FCDD808"/>
    <w:rsid w:val="3FD29B63"/>
    <w:rsid w:val="4022DF9A"/>
    <w:rsid w:val="4031E784"/>
    <w:rsid w:val="4048D568"/>
    <w:rsid w:val="4049BB6E"/>
    <w:rsid w:val="4096CC3F"/>
    <w:rsid w:val="40AD4C67"/>
    <w:rsid w:val="40C22FA1"/>
    <w:rsid w:val="40D3D825"/>
    <w:rsid w:val="40EB4A11"/>
    <w:rsid w:val="4101636D"/>
    <w:rsid w:val="410869A6"/>
    <w:rsid w:val="4116ECD6"/>
    <w:rsid w:val="412F77F7"/>
    <w:rsid w:val="413E92B1"/>
    <w:rsid w:val="4147B7D1"/>
    <w:rsid w:val="4167A044"/>
    <w:rsid w:val="41740DA8"/>
    <w:rsid w:val="417A11A8"/>
    <w:rsid w:val="41AEAE79"/>
    <w:rsid w:val="41F4CDB4"/>
    <w:rsid w:val="42165319"/>
    <w:rsid w:val="42A086B3"/>
    <w:rsid w:val="42A2DA56"/>
    <w:rsid w:val="431550F7"/>
    <w:rsid w:val="432F0141"/>
    <w:rsid w:val="43349D81"/>
    <w:rsid w:val="43596B89"/>
    <w:rsid w:val="4398D983"/>
    <w:rsid w:val="43BEC954"/>
    <w:rsid w:val="43C85B2E"/>
    <w:rsid w:val="43F790AC"/>
    <w:rsid w:val="441EED05"/>
    <w:rsid w:val="44509906"/>
    <w:rsid w:val="446B2F6A"/>
    <w:rsid w:val="44B3A69B"/>
    <w:rsid w:val="45018ADF"/>
    <w:rsid w:val="452EC2DE"/>
    <w:rsid w:val="454CB971"/>
    <w:rsid w:val="45ED9BC4"/>
    <w:rsid w:val="4616ADFC"/>
    <w:rsid w:val="46175625"/>
    <w:rsid w:val="465A3562"/>
    <w:rsid w:val="4661C7DE"/>
    <w:rsid w:val="466EE89D"/>
    <w:rsid w:val="46794831"/>
    <w:rsid w:val="46A635C9"/>
    <w:rsid w:val="46D0C100"/>
    <w:rsid w:val="46DBAD53"/>
    <w:rsid w:val="46F51BAF"/>
    <w:rsid w:val="471BE8D5"/>
    <w:rsid w:val="472ACA0E"/>
    <w:rsid w:val="473EA238"/>
    <w:rsid w:val="474A808E"/>
    <w:rsid w:val="47613902"/>
    <w:rsid w:val="47A413F0"/>
    <w:rsid w:val="47C8C1BC"/>
    <w:rsid w:val="47D4D4A7"/>
    <w:rsid w:val="47D85E08"/>
    <w:rsid w:val="481919AD"/>
    <w:rsid w:val="4820F876"/>
    <w:rsid w:val="48301C4B"/>
    <w:rsid w:val="484FA3E1"/>
    <w:rsid w:val="485A53AF"/>
    <w:rsid w:val="4867193C"/>
    <w:rsid w:val="4898644D"/>
    <w:rsid w:val="48B0B3FC"/>
    <w:rsid w:val="48C5D48E"/>
    <w:rsid w:val="48CF349F"/>
    <w:rsid w:val="48E48FF1"/>
    <w:rsid w:val="48E6497B"/>
    <w:rsid w:val="494823D1"/>
    <w:rsid w:val="495CC3F7"/>
    <w:rsid w:val="497C3A97"/>
    <w:rsid w:val="497E607B"/>
    <w:rsid w:val="49C46DA1"/>
    <w:rsid w:val="49D7C31E"/>
    <w:rsid w:val="4A003B80"/>
    <w:rsid w:val="4A0BFD65"/>
    <w:rsid w:val="4A34157D"/>
    <w:rsid w:val="4A4532FE"/>
    <w:rsid w:val="4A55A413"/>
    <w:rsid w:val="4A78FA86"/>
    <w:rsid w:val="4AB60DBE"/>
    <w:rsid w:val="4B8327C7"/>
    <w:rsid w:val="4B84C7BD"/>
    <w:rsid w:val="4B921EA4"/>
    <w:rsid w:val="4B971A71"/>
    <w:rsid w:val="4BA6013C"/>
    <w:rsid w:val="4BB37993"/>
    <w:rsid w:val="4BC09325"/>
    <w:rsid w:val="4C5CA731"/>
    <w:rsid w:val="4CCFF7E4"/>
    <w:rsid w:val="4CD35B85"/>
    <w:rsid w:val="4CDAD0AE"/>
    <w:rsid w:val="4D10F6FD"/>
    <w:rsid w:val="4D22BE15"/>
    <w:rsid w:val="4D271863"/>
    <w:rsid w:val="4D2B7B37"/>
    <w:rsid w:val="4D2E4F81"/>
    <w:rsid w:val="4D32697A"/>
    <w:rsid w:val="4D7BA6E2"/>
    <w:rsid w:val="4D880334"/>
    <w:rsid w:val="4D98C8F0"/>
    <w:rsid w:val="4DAE8C9D"/>
    <w:rsid w:val="4DCC1CB2"/>
    <w:rsid w:val="4DE00D5A"/>
    <w:rsid w:val="4DF1BC42"/>
    <w:rsid w:val="4E250330"/>
    <w:rsid w:val="4E2B9F35"/>
    <w:rsid w:val="4E3BB3F5"/>
    <w:rsid w:val="4E41FC3C"/>
    <w:rsid w:val="4E58F032"/>
    <w:rsid w:val="4E759351"/>
    <w:rsid w:val="4ECECB13"/>
    <w:rsid w:val="4EE3D5CF"/>
    <w:rsid w:val="4EEB0C21"/>
    <w:rsid w:val="4F00F780"/>
    <w:rsid w:val="4F458ED7"/>
    <w:rsid w:val="4F4A7B20"/>
    <w:rsid w:val="4F54F62B"/>
    <w:rsid w:val="4F585CC4"/>
    <w:rsid w:val="4F6F68A7"/>
    <w:rsid w:val="4F78A06D"/>
    <w:rsid w:val="4F90CFB2"/>
    <w:rsid w:val="4FADF0D6"/>
    <w:rsid w:val="4FD26110"/>
    <w:rsid w:val="4FF7159A"/>
    <w:rsid w:val="4FFC6263"/>
    <w:rsid w:val="502BDF83"/>
    <w:rsid w:val="505EA826"/>
    <w:rsid w:val="5068497D"/>
    <w:rsid w:val="5114597B"/>
    <w:rsid w:val="512430E5"/>
    <w:rsid w:val="5134EEE8"/>
    <w:rsid w:val="51531859"/>
    <w:rsid w:val="516E91E8"/>
    <w:rsid w:val="516F22F8"/>
    <w:rsid w:val="51D1E0E4"/>
    <w:rsid w:val="51E9431C"/>
    <w:rsid w:val="5279778C"/>
    <w:rsid w:val="52B31C6F"/>
    <w:rsid w:val="52D72EF4"/>
    <w:rsid w:val="52E252F1"/>
    <w:rsid w:val="533766B5"/>
    <w:rsid w:val="53547F8E"/>
    <w:rsid w:val="5379CB77"/>
    <w:rsid w:val="53A7B1A7"/>
    <w:rsid w:val="5407452A"/>
    <w:rsid w:val="543BD9FD"/>
    <w:rsid w:val="545AF142"/>
    <w:rsid w:val="54601C8E"/>
    <w:rsid w:val="5467C522"/>
    <w:rsid w:val="54697B94"/>
    <w:rsid w:val="5474C3F9"/>
    <w:rsid w:val="54927E1D"/>
    <w:rsid w:val="54A69347"/>
    <w:rsid w:val="54D0A280"/>
    <w:rsid w:val="54D4710E"/>
    <w:rsid w:val="54D5D76E"/>
    <w:rsid w:val="54D9967B"/>
    <w:rsid w:val="5508E7C7"/>
    <w:rsid w:val="5519992F"/>
    <w:rsid w:val="55560EAD"/>
    <w:rsid w:val="5581FB26"/>
    <w:rsid w:val="558F265D"/>
    <w:rsid w:val="558F901B"/>
    <w:rsid w:val="55CC9AC2"/>
    <w:rsid w:val="561E937F"/>
    <w:rsid w:val="565014CE"/>
    <w:rsid w:val="565BC020"/>
    <w:rsid w:val="5667FC67"/>
    <w:rsid w:val="56770438"/>
    <w:rsid w:val="56B5E496"/>
    <w:rsid w:val="56DAB665"/>
    <w:rsid w:val="5721138D"/>
    <w:rsid w:val="573494B0"/>
    <w:rsid w:val="574F4511"/>
    <w:rsid w:val="575A47B1"/>
    <w:rsid w:val="576B77F6"/>
    <w:rsid w:val="576D77CE"/>
    <w:rsid w:val="577B4687"/>
    <w:rsid w:val="578A22F0"/>
    <w:rsid w:val="57CD5CAC"/>
    <w:rsid w:val="57CEF15D"/>
    <w:rsid w:val="583827F3"/>
    <w:rsid w:val="583ED0BA"/>
    <w:rsid w:val="585B4807"/>
    <w:rsid w:val="586457F5"/>
    <w:rsid w:val="5864C58A"/>
    <w:rsid w:val="5864FFA2"/>
    <w:rsid w:val="5876F33F"/>
    <w:rsid w:val="58E73D78"/>
    <w:rsid w:val="58F2EF2B"/>
    <w:rsid w:val="5911477B"/>
    <w:rsid w:val="59248451"/>
    <w:rsid w:val="5942D6FC"/>
    <w:rsid w:val="59678465"/>
    <w:rsid w:val="59827136"/>
    <w:rsid w:val="598B17F0"/>
    <w:rsid w:val="59BBC8F9"/>
    <w:rsid w:val="59C2F0C3"/>
    <w:rsid w:val="59DE0063"/>
    <w:rsid w:val="59FE9301"/>
    <w:rsid w:val="5A14468C"/>
    <w:rsid w:val="5A1876BC"/>
    <w:rsid w:val="5A648663"/>
    <w:rsid w:val="5A7131BD"/>
    <w:rsid w:val="5A812BDE"/>
    <w:rsid w:val="5A987A1C"/>
    <w:rsid w:val="5AFB4F9F"/>
    <w:rsid w:val="5B141A42"/>
    <w:rsid w:val="5B152AFC"/>
    <w:rsid w:val="5B442D64"/>
    <w:rsid w:val="5B518AC0"/>
    <w:rsid w:val="5B795AA5"/>
    <w:rsid w:val="5B7FD756"/>
    <w:rsid w:val="5BC35518"/>
    <w:rsid w:val="5BCECE81"/>
    <w:rsid w:val="5BEE95E3"/>
    <w:rsid w:val="5BF7D603"/>
    <w:rsid w:val="5C04480C"/>
    <w:rsid w:val="5C25F35D"/>
    <w:rsid w:val="5C5B136D"/>
    <w:rsid w:val="5C6B15EA"/>
    <w:rsid w:val="5C78D93F"/>
    <w:rsid w:val="5CA27B1C"/>
    <w:rsid w:val="5CAD861B"/>
    <w:rsid w:val="5D240558"/>
    <w:rsid w:val="5D3353B8"/>
    <w:rsid w:val="5D388EE9"/>
    <w:rsid w:val="5D5D0AC7"/>
    <w:rsid w:val="5D5E42C1"/>
    <w:rsid w:val="5DD1CF14"/>
    <w:rsid w:val="5DDCE69C"/>
    <w:rsid w:val="5DE01E9C"/>
    <w:rsid w:val="5DEAF4A9"/>
    <w:rsid w:val="5E117CAC"/>
    <w:rsid w:val="5E212AC4"/>
    <w:rsid w:val="5E836F76"/>
    <w:rsid w:val="5EED868A"/>
    <w:rsid w:val="5F00323D"/>
    <w:rsid w:val="5F1EAEF2"/>
    <w:rsid w:val="5F5013F2"/>
    <w:rsid w:val="5F689D5D"/>
    <w:rsid w:val="5F7B36C2"/>
    <w:rsid w:val="600A0E19"/>
    <w:rsid w:val="60162D32"/>
    <w:rsid w:val="602B7876"/>
    <w:rsid w:val="604A33EE"/>
    <w:rsid w:val="605D2EC9"/>
    <w:rsid w:val="60BB5782"/>
    <w:rsid w:val="60C94174"/>
    <w:rsid w:val="60C95924"/>
    <w:rsid w:val="60CA4D45"/>
    <w:rsid w:val="60F46FFE"/>
    <w:rsid w:val="612C3B63"/>
    <w:rsid w:val="6157D7E7"/>
    <w:rsid w:val="61798D19"/>
    <w:rsid w:val="618BC453"/>
    <w:rsid w:val="618C7A30"/>
    <w:rsid w:val="61CA29F8"/>
    <w:rsid w:val="61D790E0"/>
    <w:rsid w:val="62130E46"/>
    <w:rsid w:val="6236CBBC"/>
    <w:rsid w:val="62495A5B"/>
    <w:rsid w:val="62588721"/>
    <w:rsid w:val="627C59E0"/>
    <w:rsid w:val="628CCF2A"/>
    <w:rsid w:val="629041C3"/>
    <w:rsid w:val="629A9D79"/>
    <w:rsid w:val="62BD0843"/>
    <w:rsid w:val="62CE9F4A"/>
    <w:rsid w:val="62DD7F64"/>
    <w:rsid w:val="62E62F81"/>
    <w:rsid w:val="62F02D2C"/>
    <w:rsid w:val="631A17D5"/>
    <w:rsid w:val="632F423F"/>
    <w:rsid w:val="6337B08E"/>
    <w:rsid w:val="635340F4"/>
    <w:rsid w:val="63ABF789"/>
    <w:rsid w:val="63B367E8"/>
    <w:rsid w:val="63C30AC5"/>
    <w:rsid w:val="63C7A725"/>
    <w:rsid w:val="63E790B2"/>
    <w:rsid w:val="641FF854"/>
    <w:rsid w:val="648EE66D"/>
    <w:rsid w:val="649C5905"/>
    <w:rsid w:val="64B0D96E"/>
    <w:rsid w:val="64DF68A5"/>
    <w:rsid w:val="64E8C2CA"/>
    <w:rsid w:val="6517F218"/>
    <w:rsid w:val="65482DF6"/>
    <w:rsid w:val="65693A01"/>
    <w:rsid w:val="656DA330"/>
    <w:rsid w:val="65D2CB48"/>
    <w:rsid w:val="65F21655"/>
    <w:rsid w:val="6613AA88"/>
    <w:rsid w:val="661824D6"/>
    <w:rsid w:val="661B36CC"/>
    <w:rsid w:val="664D4E67"/>
    <w:rsid w:val="666072E1"/>
    <w:rsid w:val="666D7B40"/>
    <w:rsid w:val="66B309B7"/>
    <w:rsid w:val="66CFB0DB"/>
    <w:rsid w:val="66F24874"/>
    <w:rsid w:val="67148D82"/>
    <w:rsid w:val="673D072D"/>
    <w:rsid w:val="6768300F"/>
    <w:rsid w:val="677CD14B"/>
    <w:rsid w:val="677E035F"/>
    <w:rsid w:val="678CEB23"/>
    <w:rsid w:val="67998DCA"/>
    <w:rsid w:val="67C593F2"/>
    <w:rsid w:val="67E93F5E"/>
    <w:rsid w:val="67EAE8B1"/>
    <w:rsid w:val="67F83572"/>
    <w:rsid w:val="6811B030"/>
    <w:rsid w:val="6865B64B"/>
    <w:rsid w:val="6871865A"/>
    <w:rsid w:val="689FA1FB"/>
    <w:rsid w:val="68A051FC"/>
    <w:rsid w:val="68A2EC4A"/>
    <w:rsid w:val="68AEB2BE"/>
    <w:rsid w:val="68FC2FC2"/>
    <w:rsid w:val="690997E4"/>
    <w:rsid w:val="6923A624"/>
    <w:rsid w:val="69749FC0"/>
    <w:rsid w:val="6976E890"/>
    <w:rsid w:val="6987DF3C"/>
    <w:rsid w:val="69A7CE56"/>
    <w:rsid w:val="69AD05EC"/>
    <w:rsid w:val="69F279DB"/>
    <w:rsid w:val="6A16AD9C"/>
    <w:rsid w:val="6A213F2B"/>
    <w:rsid w:val="6A69EA15"/>
    <w:rsid w:val="6A76475C"/>
    <w:rsid w:val="6A975CB8"/>
    <w:rsid w:val="6AB783E3"/>
    <w:rsid w:val="6AC7B7CF"/>
    <w:rsid w:val="6AC82876"/>
    <w:rsid w:val="6AECA889"/>
    <w:rsid w:val="6AEF7D6F"/>
    <w:rsid w:val="6AF359DB"/>
    <w:rsid w:val="6B1C68FC"/>
    <w:rsid w:val="6B30CB44"/>
    <w:rsid w:val="6B3C6936"/>
    <w:rsid w:val="6B3EA575"/>
    <w:rsid w:val="6B49C491"/>
    <w:rsid w:val="6B4CC064"/>
    <w:rsid w:val="6B693449"/>
    <w:rsid w:val="6B81AB59"/>
    <w:rsid w:val="6B9B810C"/>
    <w:rsid w:val="6BD25C7D"/>
    <w:rsid w:val="6BDC4033"/>
    <w:rsid w:val="6BDFB87B"/>
    <w:rsid w:val="6BED249A"/>
    <w:rsid w:val="6C02C5D0"/>
    <w:rsid w:val="6C074DC4"/>
    <w:rsid w:val="6C187DCC"/>
    <w:rsid w:val="6C350B71"/>
    <w:rsid w:val="6C4C47FE"/>
    <w:rsid w:val="6CCE18E7"/>
    <w:rsid w:val="6CEA38BA"/>
    <w:rsid w:val="6D46982A"/>
    <w:rsid w:val="6DA45783"/>
    <w:rsid w:val="6E36136E"/>
    <w:rsid w:val="6E3D4F5E"/>
    <w:rsid w:val="6E8C9951"/>
    <w:rsid w:val="6EEBEC3E"/>
    <w:rsid w:val="6EEF8809"/>
    <w:rsid w:val="6F265DD3"/>
    <w:rsid w:val="6F2C5C1E"/>
    <w:rsid w:val="6F43266C"/>
    <w:rsid w:val="6F60F8CF"/>
    <w:rsid w:val="6FA32D67"/>
    <w:rsid w:val="6FA9C293"/>
    <w:rsid w:val="6FB53CD6"/>
    <w:rsid w:val="6FBAD484"/>
    <w:rsid w:val="7007719D"/>
    <w:rsid w:val="702396BD"/>
    <w:rsid w:val="703A2BAA"/>
    <w:rsid w:val="704284FC"/>
    <w:rsid w:val="70673DB6"/>
    <w:rsid w:val="706B0CD0"/>
    <w:rsid w:val="7085F8DB"/>
    <w:rsid w:val="70B5A2B9"/>
    <w:rsid w:val="70BE810C"/>
    <w:rsid w:val="70D82563"/>
    <w:rsid w:val="712DED05"/>
    <w:rsid w:val="716C576E"/>
    <w:rsid w:val="71B86A80"/>
    <w:rsid w:val="721546CC"/>
    <w:rsid w:val="722DCE7C"/>
    <w:rsid w:val="7235EEC0"/>
    <w:rsid w:val="72380A2B"/>
    <w:rsid w:val="7248BF00"/>
    <w:rsid w:val="7253A4A4"/>
    <w:rsid w:val="725B3ABC"/>
    <w:rsid w:val="725D1A07"/>
    <w:rsid w:val="7263DF9B"/>
    <w:rsid w:val="72999942"/>
    <w:rsid w:val="72AAA9FC"/>
    <w:rsid w:val="72AAEB6E"/>
    <w:rsid w:val="72D063F5"/>
    <w:rsid w:val="731C8457"/>
    <w:rsid w:val="73348CAE"/>
    <w:rsid w:val="736615B7"/>
    <w:rsid w:val="736BFF7B"/>
    <w:rsid w:val="73BB9698"/>
    <w:rsid w:val="73C804E4"/>
    <w:rsid w:val="73C9F695"/>
    <w:rsid w:val="73DB4A48"/>
    <w:rsid w:val="74475DDF"/>
    <w:rsid w:val="746A5804"/>
    <w:rsid w:val="749EBE02"/>
    <w:rsid w:val="74B65FE2"/>
    <w:rsid w:val="74E3A2D1"/>
    <w:rsid w:val="75158E32"/>
    <w:rsid w:val="75272D19"/>
    <w:rsid w:val="755F4148"/>
    <w:rsid w:val="756A3333"/>
    <w:rsid w:val="759E2E17"/>
    <w:rsid w:val="75B50DEC"/>
    <w:rsid w:val="75D7ACAB"/>
    <w:rsid w:val="76038F96"/>
    <w:rsid w:val="760FC9F4"/>
    <w:rsid w:val="76141814"/>
    <w:rsid w:val="762D7944"/>
    <w:rsid w:val="7639DDE9"/>
    <w:rsid w:val="765B7BA5"/>
    <w:rsid w:val="768CDC90"/>
    <w:rsid w:val="76B5FEFD"/>
    <w:rsid w:val="77201C15"/>
    <w:rsid w:val="77612E7B"/>
    <w:rsid w:val="778F1EDE"/>
    <w:rsid w:val="77C66483"/>
    <w:rsid w:val="7808240E"/>
    <w:rsid w:val="7835AC5C"/>
    <w:rsid w:val="783A6691"/>
    <w:rsid w:val="783FC432"/>
    <w:rsid w:val="784EAF07"/>
    <w:rsid w:val="7879CDC7"/>
    <w:rsid w:val="788137E2"/>
    <w:rsid w:val="788DBD3C"/>
    <w:rsid w:val="78D73DB1"/>
    <w:rsid w:val="78DED0F9"/>
    <w:rsid w:val="78E122BA"/>
    <w:rsid w:val="78F6B216"/>
    <w:rsid w:val="7954FCDA"/>
    <w:rsid w:val="795C074B"/>
    <w:rsid w:val="7978B2E7"/>
    <w:rsid w:val="79D9D182"/>
    <w:rsid w:val="79F4669B"/>
    <w:rsid w:val="79FB553C"/>
    <w:rsid w:val="7A2526BD"/>
    <w:rsid w:val="7A33F168"/>
    <w:rsid w:val="7A60FDFB"/>
    <w:rsid w:val="7A92DD8B"/>
    <w:rsid w:val="7AE69EC4"/>
    <w:rsid w:val="7AF96FFF"/>
    <w:rsid w:val="7B4D6B23"/>
    <w:rsid w:val="7B576F39"/>
    <w:rsid w:val="7B7AC7B6"/>
    <w:rsid w:val="7BC65217"/>
    <w:rsid w:val="7BF62E2A"/>
    <w:rsid w:val="7C4623D3"/>
    <w:rsid w:val="7CB5CB55"/>
    <w:rsid w:val="7CB79BB3"/>
    <w:rsid w:val="7CF135B0"/>
    <w:rsid w:val="7D05ABBF"/>
    <w:rsid w:val="7D1A3DEE"/>
    <w:rsid w:val="7D5545A9"/>
    <w:rsid w:val="7D61EEFB"/>
    <w:rsid w:val="7D691B78"/>
    <w:rsid w:val="7D9A8D11"/>
    <w:rsid w:val="7DE283A7"/>
    <w:rsid w:val="7DEB84E5"/>
    <w:rsid w:val="7DFA015C"/>
    <w:rsid w:val="7E375644"/>
    <w:rsid w:val="7E3F6111"/>
    <w:rsid w:val="7E664CE3"/>
    <w:rsid w:val="7ED67436"/>
    <w:rsid w:val="7F132F61"/>
    <w:rsid w:val="7F1F5DFA"/>
    <w:rsid w:val="7F8AAF9A"/>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red,#4d4d4f"/>
    </o:shapedefaults>
    <o:shapelayout v:ext="edit">
      <o:idmap v:ext="edit" data="1"/>
    </o:shapelayout>
  </w:shapeDefaults>
  <w:decimalSymbol w:val="."/>
  <w:listSeparator w:val=","/>
  <w14:docId w14:val="251A9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5C34EF"/>
    <w:pPr>
      <w:spacing w:after="240" w:line="240" w:lineRule="atLeast"/>
    </w:pPr>
    <w:rPr>
      <w:rFonts w:ascii="Arial" w:hAnsi="Arial"/>
      <w:sz w:val="20"/>
    </w:rPr>
  </w:style>
  <w:style w:type="paragraph" w:styleId="Heading1">
    <w:name w:val="heading 1"/>
    <w:aliases w:val="RIS 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aliases w:val="RIS Heading 2"/>
    <w:basedOn w:val="Normal"/>
    <w:next w:val="Paragraph"/>
    <w:link w:val="Heading2Char"/>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qFormat/>
    <w:rsid w:val="00C55235"/>
    <w:pPr>
      <w:keepNext/>
      <w:spacing w:before="60" w:after="60"/>
      <w:outlineLvl w:val="2"/>
    </w:pPr>
    <w:rPr>
      <w:rFonts w:cs="Arial"/>
      <w:b/>
      <w:bCs/>
      <w:szCs w:val="26"/>
    </w:rPr>
  </w:style>
  <w:style w:type="paragraph" w:styleId="Heading4">
    <w:name w:val="heading 4"/>
    <w:basedOn w:val="BodySubHeader"/>
    <w:next w:val="Normal"/>
    <w:uiPriority w:val="2"/>
    <w:qFormat/>
    <w:rsid w:val="005B2F0D"/>
    <w:pPr>
      <w:outlineLvl w:val="3"/>
    </w:pPr>
    <w:rPr>
      <w:rFonts w:cs="Arial"/>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qFormat/>
    <w:rsid w:val="00E8152A"/>
    <w:pPr>
      <w:numPr>
        <w:numId w:val="9"/>
      </w:numPr>
      <w:spacing w:after="0"/>
    </w:pPr>
    <w:rPr>
      <w:b/>
      <w:bCs/>
      <w:color w:val="323232"/>
      <w:szCs w:val="20"/>
    </w:rPr>
  </w:style>
  <w:style w:type="paragraph" w:customStyle="1" w:styleId="BodySubHeader">
    <w:name w:val="BodySubHeader"/>
    <w:basedOn w:val="Normal"/>
    <w:next w:val="Normal"/>
    <w:qFormat/>
    <w:rsid w:val="00146CE6"/>
    <w:pPr>
      <w:spacing w:before="240" w:after="0"/>
    </w:pPr>
    <w:rPr>
      <w:b/>
      <w:i/>
    </w:rPr>
  </w:style>
  <w:style w:type="paragraph" w:styleId="ListBullet">
    <w:name w:val="List Bullet"/>
    <w:aliases w:val="List Bullet 1"/>
    <w:basedOn w:val="Normal"/>
    <w:link w:val="ListBulletChar"/>
    <w:qFormat/>
    <w:rsid w:val="001C6AEE"/>
    <w:pPr>
      <w:numPr>
        <w:numId w:val="1"/>
      </w:numPr>
      <w:tabs>
        <w:tab w:val="clear" w:pos="4265"/>
        <w:tab w:val="num" w:pos="295"/>
      </w:tabs>
      <w:spacing w:after="80"/>
      <w:ind w:left="295"/>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aliases w:val="CEO_Hyperlink"/>
    <w:basedOn w:val="DefaultParagraphFont"/>
    <w:uiPriority w:val="99"/>
    <w:qFormat/>
    <w:rsid w:val="00C35CCE"/>
    <w:rPr>
      <w:color w:val="0000FF"/>
      <w:u w:val="single" w:color="0000FF"/>
    </w:rPr>
  </w:style>
  <w:style w:type="character" w:styleId="FootnoteReference">
    <w:name w:val="footnote reference"/>
    <w:aliases w:val="Appel note de bas de p,Appel note de bas de p + 11 pt,Italic,Footnote,Style 12,(NECG) Footnote Reference,Style 124,o,fr,Style 3,Appel note de bas de p1,Appel note de bas de p2,Appel note de bas de p3,Footnote Reference/,Style 13,FR"/>
    <w:basedOn w:val="DefaultParagraphFont"/>
    <w:qFormat/>
    <w:rsid w:val="00566AB4"/>
    <w:rPr>
      <w:rFonts w:ascii="Arial" w:hAnsi="Arial"/>
      <w:vertAlign w:val="superscript"/>
    </w:rPr>
  </w:style>
  <w:style w:type="paragraph" w:styleId="FootnoteText">
    <w:name w:val="footnote text"/>
    <w:aliases w:val="Footnote text,ACMA Footnote Text,footnote text,Footnote Text Char1,Footnote Text Char Char,Footnote Text Char1 Char Char,Footnote Text Char Char Char Char,Footnote Text Char1 Char Char Char Char,Footnote Text Char Char Char Char Char Char"/>
    <w:basedOn w:val="Normal"/>
    <w:link w:val="FootnoteTextChar"/>
    <w:qFormat/>
    <w:rsid w:val="00D61243"/>
    <w:pPr>
      <w:spacing w:after="0"/>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uiPriority w:val="99"/>
    <w:rsid w:val="00EE7F79"/>
    <w:rPr>
      <w:sz w:val="16"/>
      <w:szCs w:val="16"/>
    </w:rPr>
  </w:style>
  <w:style w:type="paragraph" w:styleId="CommentText">
    <w:name w:val="annotation text"/>
    <w:basedOn w:val="Normal"/>
    <w:link w:val="CommentTextChar"/>
    <w:uiPriority w:val="99"/>
    <w:rsid w:val="00EE7F79"/>
    <w:pPr>
      <w:spacing w:line="240" w:lineRule="auto"/>
    </w:pPr>
    <w:rPr>
      <w:szCs w:val="20"/>
    </w:rPr>
  </w:style>
  <w:style w:type="character" w:customStyle="1" w:styleId="CommentTextChar">
    <w:name w:val="Comment Text Char"/>
    <w:basedOn w:val="DefaultParagraphFont"/>
    <w:link w:val="CommentText"/>
    <w:uiPriority w:val="99"/>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A824E8"/>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qFormat/>
    <w:rsid w:val="003F10EE"/>
    <w:pPr>
      <w:numPr>
        <w:numId w:val="7"/>
      </w:numPr>
      <w:spacing w:after="160"/>
    </w:pPr>
    <w:rPr>
      <w:rFonts w:ascii="Arial" w:hAnsi="Arial"/>
      <w:b/>
      <w:bCs/>
      <w:color w:val="323232"/>
      <w:sz w:val="20"/>
      <w:szCs w:val="20"/>
    </w:rPr>
  </w:style>
  <w:style w:type="paragraph" w:customStyle="1" w:styleId="ACMANotes">
    <w:name w:val="ACMA_Notes"/>
    <w:semiHidden/>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aliases w:val="RIS Heading 1 Char"/>
    <w:basedOn w:val="DefaultParagraphFont"/>
    <w:link w:val="Heading1"/>
    <w:uiPriority w:val="1"/>
    <w:rsid w:val="00F5310D"/>
    <w:rPr>
      <w:rFonts w:ascii="Arial" w:hAnsi="Arial" w:cs="Arial"/>
      <w:bCs/>
      <w:color w:val="323232"/>
      <w:kern w:val="32"/>
      <w:sz w:val="53"/>
      <w:szCs w:val="32"/>
    </w:rPr>
  </w:style>
  <w:style w:type="character" w:customStyle="1" w:styleId="Heading2Char">
    <w:name w:val="Heading 2 Char"/>
    <w:aliases w:val="RIS Heading 2 Char"/>
    <w:basedOn w:val="DefaultParagraphFont"/>
    <w:link w:val="Heading2"/>
    <w:rsid w:val="00800CCD"/>
    <w:rPr>
      <w:rFonts w:ascii="Arial" w:hAnsi="Arial" w:cs="Arial"/>
      <w:b/>
      <w:bCs/>
      <w:iCs/>
      <w:sz w:val="28"/>
      <w:szCs w:val="28"/>
    </w:rPr>
  </w:style>
  <w:style w:type="character" w:styleId="UnresolvedMention">
    <w:name w:val="Unresolved Mention"/>
    <w:basedOn w:val="DefaultParagraphFont"/>
    <w:uiPriority w:val="99"/>
    <w:unhideWhenUsed/>
    <w:rsid w:val="006B52DE"/>
    <w:rPr>
      <w:color w:val="605E5C"/>
      <w:shd w:val="clear" w:color="auto" w:fill="E1DFDD"/>
    </w:rPr>
  </w:style>
  <w:style w:type="character" w:customStyle="1" w:styleId="Heading3Char">
    <w:name w:val="Heading 3 Char"/>
    <w:basedOn w:val="DefaultParagraphFont"/>
    <w:link w:val="Heading3"/>
    <w:rsid w:val="00800CCD"/>
    <w:rPr>
      <w:rFonts w:ascii="Arial" w:hAnsi="Arial" w:cs="Arial"/>
      <w:b/>
      <w:bCs/>
      <w:sz w:val="20"/>
      <w:szCs w:val="26"/>
    </w:rPr>
  </w:style>
  <w:style w:type="paragraph" w:customStyle="1" w:styleId="Paragraph">
    <w:name w:val="Paragraph"/>
    <w:basedOn w:val="Normal"/>
    <w:qFormat/>
    <w:rsid w:val="00A824E8"/>
    <w:rPr>
      <w:rFonts w:cs="Arial"/>
    </w:rPr>
  </w:style>
  <w:style w:type="paragraph" w:customStyle="1" w:styleId="Bulletlevel2">
    <w:name w:val="Bullet level 2"/>
    <w:basedOn w:val="ListBullet2"/>
    <w:uiPriority w:val="7"/>
    <w:qFormat/>
    <w:rsid w:val="00A824E8"/>
    <w:rPr>
      <w:rFonts w:cs="Arial"/>
    </w:rPr>
  </w:style>
  <w:style w:type="paragraph" w:customStyle="1" w:styleId="Bulletlevel1last">
    <w:name w:val="Bullet level 1 last"/>
    <w:basedOn w:val="ListBulletLast"/>
    <w:uiPriority w:val="6"/>
    <w:qFormat/>
    <w:rsid w:val="00A824E8"/>
  </w:style>
  <w:style w:type="paragraph" w:customStyle="1" w:styleId="Numberlistlevel2">
    <w:name w:val="Number list level 2"/>
    <w:basedOn w:val="ListNumber2"/>
    <w:uiPriority w:val="11"/>
    <w:qFormat/>
    <w:rsid w:val="004A70D6"/>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63346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next w:val="Paragraph"/>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next w:val="Paragraph"/>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styleId="BalloonText">
    <w:name w:val="Balloon Text"/>
    <w:basedOn w:val="Normal"/>
    <w:link w:val="BalloonTextChar"/>
    <w:semiHidden/>
    <w:unhideWhenUsed/>
    <w:rsid w:val="00393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933E8"/>
    <w:rPr>
      <w:rFonts w:ascii="Segoe UI" w:hAnsi="Segoe UI" w:cs="Segoe UI"/>
      <w:sz w:val="18"/>
      <w:szCs w:val="18"/>
    </w:rPr>
  </w:style>
  <w:style w:type="paragraph" w:customStyle="1" w:styleId="Note">
    <w:name w:val="Note"/>
    <w:basedOn w:val="ACMANotes"/>
    <w:uiPriority w:val="23"/>
    <w:semiHidden/>
    <w:qFormat/>
    <w:rsid w:val="00D61243"/>
  </w:style>
  <w:style w:type="paragraph" w:customStyle="1" w:styleId="ACMABulletLevel1">
    <w:name w:val="ACMA Bullet Level 1"/>
    <w:rsid w:val="005C34EF"/>
    <w:pPr>
      <w:numPr>
        <w:numId w:val="10"/>
      </w:numPr>
      <w:tabs>
        <w:tab w:val="num" w:pos="-31680"/>
      </w:tabs>
      <w:spacing w:after="120"/>
    </w:pPr>
    <w:rPr>
      <w:szCs w:val="20"/>
      <w:lang w:eastAsia="en-US"/>
    </w:rPr>
  </w:style>
  <w:style w:type="paragraph" w:customStyle="1" w:styleId="Protectivemarking">
    <w:name w:val="Protective marking"/>
    <w:basedOn w:val="ACMABulletLevel1"/>
    <w:uiPriority w:val="99"/>
    <w:qFormat/>
    <w:rsid w:val="005C34EF"/>
    <w:pPr>
      <w:numPr>
        <w:numId w:val="0"/>
      </w:numPr>
      <w:tabs>
        <w:tab w:val="left" w:pos="720"/>
      </w:tabs>
      <w:spacing w:after="0"/>
      <w:jc w:val="center"/>
    </w:pPr>
    <w:rPr>
      <w:rFonts w:ascii="Arial" w:hAnsi="Arial" w:cs="Arial"/>
      <w:b/>
      <w:bCs/>
      <w:color w:val="FF0000"/>
      <w:sz w:val="32"/>
      <w:szCs w:val="24"/>
    </w:rPr>
  </w:style>
  <w:style w:type="character" w:customStyle="1" w:styleId="ListBulletChar">
    <w:name w:val="List Bullet Char"/>
    <w:aliases w:val="List Bullet 1 Char"/>
    <w:basedOn w:val="DefaultParagraphFont"/>
    <w:link w:val="ListBullet"/>
    <w:rsid w:val="001D28DC"/>
    <w:rPr>
      <w:rFonts w:ascii="Arial" w:hAnsi="Arial"/>
      <w:sz w:val="20"/>
    </w:rPr>
  </w:style>
  <w:style w:type="character" w:customStyle="1" w:styleId="FootnoteTextChar">
    <w:name w:val="Footnote Text Char"/>
    <w:aliases w:val="Footnote text Char,ACMA Footnote Text Char,footnote text Char,Footnote Text Char1 Char,Footnote Text Char Char Char,Footnote Text Char1 Char Char Char,Footnote Text Char Char Char Char Char,Footnote Text Char1 Char Char Char Char Char"/>
    <w:basedOn w:val="DefaultParagraphFont"/>
    <w:link w:val="FootnoteText"/>
    <w:qFormat/>
    <w:rsid w:val="008217D5"/>
    <w:rPr>
      <w:rFonts w:ascii="Arial" w:hAnsi="Arial"/>
      <w:sz w:val="16"/>
      <w:szCs w:val="16"/>
    </w:rPr>
  </w:style>
  <w:style w:type="paragraph" w:customStyle="1" w:styleId="ACMASpaceaftertable">
    <w:name w:val="ACMA_Space after table"/>
    <w:basedOn w:val="Normal"/>
    <w:qFormat/>
    <w:rsid w:val="008217D5"/>
    <w:rPr>
      <w:rFonts w:cs="Arial"/>
    </w:rPr>
  </w:style>
  <w:style w:type="paragraph" w:styleId="ListParagraph">
    <w:name w:val="List Paragraph"/>
    <w:basedOn w:val="Normal"/>
    <w:link w:val="ListParagraphChar"/>
    <w:uiPriority w:val="34"/>
    <w:qFormat/>
    <w:rsid w:val="0003220F"/>
    <w:pPr>
      <w:ind w:left="720"/>
      <w:contextualSpacing/>
    </w:pPr>
  </w:style>
  <w:style w:type="paragraph" w:customStyle="1" w:styleId="ACMANormalTabbed">
    <w:name w:val="ACMA_NormalTabbed"/>
    <w:basedOn w:val="Normal"/>
    <w:qFormat/>
    <w:rsid w:val="00872993"/>
    <w:pPr>
      <w:tabs>
        <w:tab w:val="left" w:pos="1134"/>
      </w:tabs>
    </w:pPr>
  </w:style>
  <w:style w:type="paragraph" w:customStyle="1" w:styleId="TableHeading0">
    <w:name w:val="Table Heading"/>
    <w:basedOn w:val="Normal"/>
    <w:qFormat/>
    <w:rsid w:val="00031657"/>
    <w:pPr>
      <w:spacing w:after="0"/>
    </w:pPr>
    <w:rPr>
      <w:b/>
    </w:rPr>
  </w:style>
  <w:style w:type="character" w:customStyle="1" w:styleId="ListParagraphChar">
    <w:name w:val="List Paragraph Char"/>
    <w:basedOn w:val="DefaultParagraphFont"/>
    <w:link w:val="ListParagraph"/>
    <w:locked/>
    <w:rsid w:val="002849AF"/>
    <w:rPr>
      <w:rFonts w:ascii="Arial" w:hAnsi="Arial"/>
      <w:sz w:val="20"/>
    </w:rPr>
  </w:style>
  <w:style w:type="paragraph" w:customStyle="1" w:styleId="RISHeading3">
    <w:name w:val="RIS Heading 3"/>
    <w:basedOn w:val="Paragraph"/>
    <w:qFormat/>
    <w:rsid w:val="00C414C1"/>
  </w:style>
  <w:style w:type="paragraph" w:customStyle="1" w:styleId="ListBullet1l">
    <w:name w:val="List Bullet 1 l"/>
    <w:basedOn w:val="ListBullet"/>
    <w:qFormat/>
    <w:rsid w:val="00EA1549"/>
    <w:rPr>
      <w:b/>
      <w:bCs/>
    </w:rPr>
  </w:style>
  <w:style w:type="paragraph" w:customStyle="1" w:styleId="ACMAHeading3">
    <w:name w:val="ACMA Heading 3"/>
    <w:next w:val="Normal"/>
    <w:rsid w:val="006D0EFF"/>
    <w:pPr>
      <w:keepNext/>
      <w:numPr>
        <w:numId w:val="12"/>
      </w:numPr>
      <w:suppressAutoHyphens/>
      <w:spacing w:before="240"/>
      <w:outlineLvl w:val="3"/>
    </w:pPr>
    <w:rPr>
      <w:rFonts w:ascii="Arial" w:hAnsi="Arial"/>
      <w:b/>
      <w:szCs w:val="20"/>
      <w:lang w:val="en-US" w:eastAsia="en-US"/>
    </w:rPr>
  </w:style>
  <w:style w:type="paragraph" w:customStyle="1" w:styleId="No">
    <w:name w:val="No"/>
    <w:basedOn w:val="FootnoteText"/>
    <w:qFormat/>
    <w:rsid w:val="0067536C"/>
  </w:style>
  <w:style w:type="paragraph" w:styleId="Revision">
    <w:name w:val="Revision"/>
    <w:hidden/>
    <w:semiHidden/>
    <w:rsid w:val="00790C22"/>
    <w:rPr>
      <w:rFonts w:ascii="Arial" w:hAnsi="Arial"/>
      <w:sz w:val="20"/>
    </w:rPr>
  </w:style>
  <w:style w:type="character" w:styleId="Mention">
    <w:name w:val="Mention"/>
    <w:basedOn w:val="DefaultParagraphFont"/>
    <w:uiPriority w:val="99"/>
    <w:unhideWhenUsed/>
    <w:rsid w:val="00E429D7"/>
    <w:rPr>
      <w:color w:val="2B579A"/>
      <w:shd w:val="clear" w:color="auto" w:fill="E1DFDD"/>
    </w:rPr>
  </w:style>
  <w:style w:type="paragraph" w:customStyle="1" w:styleId="Hyperlinkinternal">
    <w:name w:val="Hyperlink internal"/>
    <w:basedOn w:val="Normal"/>
    <w:link w:val="HyperlinkinternalChar"/>
    <w:qFormat/>
    <w:rsid w:val="00196F41"/>
    <w:rPr>
      <w:i/>
    </w:rPr>
  </w:style>
  <w:style w:type="character" w:customStyle="1" w:styleId="HyperlinkinternalChar">
    <w:name w:val="Hyperlink internal Char"/>
    <w:basedOn w:val="DefaultParagraphFont"/>
    <w:link w:val="Hyperlinkinternal"/>
    <w:rsid w:val="00196F41"/>
    <w:rPr>
      <w:rFonts w:ascii="Arial" w:hAnsi="Arial"/>
      <w:i/>
      <w:sz w:val="20"/>
    </w:rPr>
  </w:style>
  <w:style w:type="paragraph" w:customStyle="1" w:styleId="ListBullet2Last">
    <w:name w:val="List Bullet 2 Last"/>
    <w:basedOn w:val="ListBullet"/>
    <w:link w:val="ListBullet2LastChar"/>
    <w:qFormat/>
    <w:rsid w:val="009F1977"/>
    <w:pPr>
      <w:tabs>
        <w:tab w:val="clear" w:pos="295"/>
        <w:tab w:val="num" w:pos="579"/>
      </w:tabs>
      <w:spacing w:after="240"/>
      <w:ind w:left="579"/>
    </w:pPr>
  </w:style>
  <w:style w:type="character" w:customStyle="1" w:styleId="ListBullet2LastChar">
    <w:name w:val="List Bullet 2 Last Char"/>
    <w:basedOn w:val="ListBulletChar"/>
    <w:link w:val="ListBullet2Last"/>
    <w:rsid w:val="009F1977"/>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02675">
      <w:bodyDiv w:val="1"/>
      <w:marLeft w:val="0"/>
      <w:marRight w:val="0"/>
      <w:marTop w:val="0"/>
      <w:marBottom w:val="0"/>
      <w:divBdr>
        <w:top w:val="none" w:sz="0" w:space="0" w:color="auto"/>
        <w:left w:val="none" w:sz="0" w:space="0" w:color="auto"/>
        <w:bottom w:val="none" w:sz="0" w:space="0" w:color="auto"/>
        <w:right w:val="none" w:sz="0" w:space="0" w:color="auto"/>
      </w:divBdr>
    </w:div>
    <w:div w:id="77294793">
      <w:bodyDiv w:val="1"/>
      <w:marLeft w:val="0"/>
      <w:marRight w:val="0"/>
      <w:marTop w:val="0"/>
      <w:marBottom w:val="0"/>
      <w:divBdr>
        <w:top w:val="none" w:sz="0" w:space="0" w:color="auto"/>
        <w:left w:val="none" w:sz="0" w:space="0" w:color="auto"/>
        <w:bottom w:val="none" w:sz="0" w:space="0" w:color="auto"/>
        <w:right w:val="none" w:sz="0" w:space="0" w:color="auto"/>
      </w:divBdr>
    </w:div>
    <w:div w:id="223027084">
      <w:bodyDiv w:val="1"/>
      <w:marLeft w:val="0"/>
      <w:marRight w:val="0"/>
      <w:marTop w:val="0"/>
      <w:marBottom w:val="0"/>
      <w:divBdr>
        <w:top w:val="none" w:sz="0" w:space="0" w:color="auto"/>
        <w:left w:val="none" w:sz="0" w:space="0" w:color="auto"/>
        <w:bottom w:val="none" w:sz="0" w:space="0" w:color="auto"/>
        <w:right w:val="none" w:sz="0" w:space="0" w:color="auto"/>
      </w:divBdr>
    </w:div>
    <w:div w:id="282813674">
      <w:bodyDiv w:val="1"/>
      <w:marLeft w:val="0"/>
      <w:marRight w:val="0"/>
      <w:marTop w:val="0"/>
      <w:marBottom w:val="0"/>
      <w:divBdr>
        <w:top w:val="none" w:sz="0" w:space="0" w:color="auto"/>
        <w:left w:val="none" w:sz="0" w:space="0" w:color="auto"/>
        <w:bottom w:val="none" w:sz="0" w:space="0" w:color="auto"/>
        <w:right w:val="none" w:sz="0" w:space="0" w:color="auto"/>
      </w:divBdr>
    </w:div>
    <w:div w:id="326447594">
      <w:bodyDiv w:val="1"/>
      <w:marLeft w:val="0"/>
      <w:marRight w:val="0"/>
      <w:marTop w:val="0"/>
      <w:marBottom w:val="0"/>
      <w:divBdr>
        <w:top w:val="none" w:sz="0" w:space="0" w:color="auto"/>
        <w:left w:val="none" w:sz="0" w:space="0" w:color="auto"/>
        <w:bottom w:val="none" w:sz="0" w:space="0" w:color="auto"/>
        <w:right w:val="none" w:sz="0" w:space="0" w:color="auto"/>
      </w:divBdr>
    </w:div>
    <w:div w:id="380908957">
      <w:bodyDiv w:val="1"/>
      <w:marLeft w:val="0"/>
      <w:marRight w:val="0"/>
      <w:marTop w:val="0"/>
      <w:marBottom w:val="0"/>
      <w:divBdr>
        <w:top w:val="none" w:sz="0" w:space="0" w:color="auto"/>
        <w:left w:val="none" w:sz="0" w:space="0" w:color="auto"/>
        <w:bottom w:val="none" w:sz="0" w:space="0" w:color="auto"/>
        <w:right w:val="none" w:sz="0" w:space="0" w:color="auto"/>
      </w:divBdr>
    </w:div>
    <w:div w:id="525873070">
      <w:bodyDiv w:val="1"/>
      <w:marLeft w:val="0"/>
      <w:marRight w:val="0"/>
      <w:marTop w:val="0"/>
      <w:marBottom w:val="0"/>
      <w:divBdr>
        <w:top w:val="none" w:sz="0" w:space="0" w:color="auto"/>
        <w:left w:val="none" w:sz="0" w:space="0" w:color="auto"/>
        <w:bottom w:val="none" w:sz="0" w:space="0" w:color="auto"/>
        <w:right w:val="none" w:sz="0" w:space="0" w:color="auto"/>
      </w:divBdr>
    </w:div>
    <w:div w:id="545989822">
      <w:bodyDiv w:val="1"/>
      <w:marLeft w:val="0"/>
      <w:marRight w:val="0"/>
      <w:marTop w:val="0"/>
      <w:marBottom w:val="0"/>
      <w:divBdr>
        <w:top w:val="none" w:sz="0" w:space="0" w:color="auto"/>
        <w:left w:val="none" w:sz="0" w:space="0" w:color="auto"/>
        <w:bottom w:val="none" w:sz="0" w:space="0" w:color="auto"/>
        <w:right w:val="none" w:sz="0" w:space="0" w:color="auto"/>
      </w:divBdr>
    </w:div>
    <w:div w:id="561411792">
      <w:bodyDiv w:val="1"/>
      <w:marLeft w:val="0"/>
      <w:marRight w:val="0"/>
      <w:marTop w:val="0"/>
      <w:marBottom w:val="0"/>
      <w:divBdr>
        <w:top w:val="none" w:sz="0" w:space="0" w:color="auto"/>
        <w:left w:val="none" w:sz="0" w:space="0" w:color="auto"/>
        <w:bottom w:val="none" w:sz="0" w:space="0" w:color="auto"/>
        <w:right w:val="none" w:sz="0" w:space="0" w:color="auto"/>
      </w:divBdr>
    </w:div>
    <w:div w:id="567426326">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578948098">
      <w:bodyDiv w:val="1"/>
      <w:marLeft w:val="0"/>
      <w:marRight w:val="0"/>
      <w:marTop w:val="0"/>
      <w:marBottom w:val="0"/>
      <w:divBdr>
        <w:top w:val="none" w:sz="0" w:space="0" w:color="auto"/>
        <w:left w:val="none" w:sz="0" w:space="0" w:color="auto"/>
        <w:bottom w:val="none" w:sz="0" w:space="0" w:color="auto"/>
        <w:right w:val="none" w:sz="0" w:space="0" w:color="auto"/>
      </w:divBdr>
    </w:div>
    <w:div w:id="870804799">
      <w:bodyDiv w:val="1"/>
      <w:marLeft w:val="0"/>
      <w:marRight w:val="0"/>
      <w:marTop w:val="0"/>
      <w:marBottom w:val="0"/>
      <w:divBdr>
        <w:top w:val="none" w:sz="0" w:space="0" w:color="auto"/>
        <w:left w:val="none" w:sz="0" w:space="0" w:color="auto"/>
        <w:bottom w:val="none" w:sz="0" w:space="0" w:color="auto"/>
        <w:right w:val="none" w:sz="0" w:space="0" w:color="auto"/>
      </w:divBdr>
    </w:div>
    <w:div w:id="873539684">
      <w:bodyDiv w:val="1"/>
      <w:marLeft w:val="0"/>
      <w:marRight w:val="0"/>
      <w:marTop w:val="0"/>
      <w:marBottom w:val="0"/>
      <w:divBdr>
        <w:top w:val="none" w:sz="0" w:space="0" w:color="auto"/>
        <w:left w:val="none" w:sz="0" w:space="0" w:color="auto"/>
        <w:bottom w:val="none" w:sz="0" w:space="0" w:color="auto"/>
        <w:right w:val="none" w:sz="0" w:space="0" w:color="auto"/>
      </w:divBdr>
    </w:div>
    <w:div w:id="1025132767">
      <w:bodyDiv w:val="1"/>
      <w:marLeft w:val="0"/>
      <w:marRight w:val="0"/>
      <w:marTop w:val="0"/>
      <w:marBottom w:val="0"/>
      <w:divBdr>
        <w:top w:val="none" w:sz="0" w:space="0" w:color="auto"/>
        <w:left w:val="none" w:sz="0" w:space="0" w:color="auto"/>
        <w:bottom w:val="none" w:sz="0" w:space="0" w:color="auto"/>
        <w:right w:val="none" w:sz="0" w:space="0" w:color="auto"/>
      </w:divBdr>
    </w:div>
    <w:div w:id="1039819810">
      <w:bodyDiv w:val="1"/>
      <w:marLeft w:val="0"/>
      <w:marRight w:val="0"/>
      <w:marTop w:val="0"/>
      <w:marBottom w:val="0"/>
      <w:divBdr>
        <w:top w:val="none" w:sz="0" w:space="0" w:color="auto"/>
        <w:left w:val="none" w:sz="0" w:space="0" w:color="auto"/>
        <w:bottom w:val="none" w:sz="0" w:space="0" w:color="auto"/>
        <w:right w:val="none" w:sz="0" w:space="0" w:color="auto"/>
      </w:divBdr>
    </w:div>
    <w:div w:id="1086463220">
      <w:bodyDiv w:val="1"/>
      <w:marLeft w:val="0"/>
      <w:marRight w:val="0"/>
      <w:marTop w:val="0"/>
      <w:marBottom w:val="0"/>
      <w:divBdr>
        <w:top w:val="none" w:sz="0" w:space="0" w:color="auto"/>
        <w:left w:val="none" w:sz="0" w:space="0" w:color="auto"/>
        <w:bottom w:val="none" w:sz="0" w:space="0" w:color="auto"/>
        <w:right w:val="none" w:sz="0" w:space="0" w:color="auto"/>
      </w:divBdr>
    </w:div>
    <w:div w:id="1109469586">
      <w:bodyDiv w:val="1"/>
      <w:marLeft w:val="0"/>
      <w:marRight w:val="0"/>
      <w:marTop w:val="0"/>
      <w:marBottom w:val="0"/>
      <w:divBdr>
        <w:top w:val="none" w:sz="0" w:space="0" w:color="auto"/>
        <w:left w:val="none" w:sz="0" w:space="0" w:color="auto"/>
        <w:bottom w:val="none" w:sz="0" w:space="0" w:color="auto"/>
        <w:right w:val="none" w:sz="0" w:space="0" w:color="auto"/>
      </w:divBdr>
    </w:div>
    <w:div w:id="1148473760">
      <w:bodyDiv w:val="1"/>
      <w:marLeft w:val="0"/>
      <w:marRight w:val="0"/>
      <w:marTop w:val="0"/>
      <w:marBottom w:val="0"/>
      <w:divBdr>
        <w:top w:val="none" w:sz="0" w:space="0" w:color="auto"/>
        <w:left w:val="none" w:sz="0" w:space="0" w:color="auto"/>
        <w:bottom w:val="none" w:sz="0" w:space="0" w:color="auto"/>
        <w:right w:val="none" w:sz="0" w:space="0" w:color="auto"/>
      </w:divBdr>
    </w:div>
    <w:div w:id="1156334791">
      <w:bodyDiv w:val="1"/>
      <w:marLeft w:val="0"/>
      <w:marRight w:val="0"/>
      <w:marTop w:val="0"/>
      <w:marBottom w:val="0"/>
      <w:divBdr>
        <w:top w:val="none" w:sz="0" w:space="0" w:color="auto"/>
        <w:left w:val="none" w:sz="0" w:space="0" w:color="auto"/>
        <w:bottom w:val="none" w:sz="0" w:space="0" w:color="auto"/>
        <w:right w:val="none" w:sz="0" w:space="0" w:color="auto"/>
      </w:divBdr>
    </w:div>
    <w:div w:id="1165707980">
      <w:bodyDiv w:val="1"/>
      <w:marLeft w:val="0"/>
      <w:marRight w:val="0"/>
      <w:marTop w:val="0"/>
      <w:marBottom w:val="0"/>
      <w:divBdr>
        <w:top w:val="none" w:sz="0" w:space="0" w:color="auto"/>
        <w:left w:val="none" w:sz="0" w:space="0" w:color="auto"/>
        <w:bottom w:val="none" w:sz="0" w:space="0" w:color="auto"/>
        <w:right w:val="none" w:sz="0" w:space="0" w:color="auto"/>
      </w:divBdr>
    </w:div>
    <w:div w:id="1318344977">
      <w:bodyDiv w:val="1"/>
      <w:marLeft w:val="0"/>
      <w:marRight w:val="0"/>
      <w:marTop w:val="0"/>
      <w:marBottom w:val="0"/>
      <w:divBdr>
        <w:top w:val="none" w:sz="0" w:space="0" w:color="auto"/>
        <w:left w:val="none" w:sz="0" w:space="0" w:color="auto"/>
        <w:bottom w:val="none" w:sz="0" w:space="0" w:color="auto"/>
        <w:right w:val="none" w:sz="0" w:space="0" w:color="auto"/>
      </w:divBdr>
    </w:div>
    <w:div w:id="1383141025">
      <w:bodyDiv w:val="1"/>
      <w:marLeft w:val="0"/>
      <w:marRight w:val="0"/>
      <w:marTop w:val="0"/>
      <w:marBottom w:val="0"/>
      <w:divBdr>
        <w:top w:val="none" w:sz="0" w:space="0" w:color="auto"/>
        <w:left w:val="none" w:sz="0" w:space="0" w:color="auto"/>
        <w:bottom w:val="none" w:sz="0" w:space="0" w:color="auto"/>
        <w:right w:val="none" w:sz="0" w:space="0" w:color="auto"/>
      </w:divBdr>
    </w:div>
    <w:div w:id="1383215925">
      <w:bodyDiv w:val="1"/>
      <w:marLeft w:val="0"/>
      <w:marRight w:val="0"/>
      <w:marTop w:val="0"/>
      <w:marBottom w:val="0"/>
      <w:divBdr>
        <w:top w:val="none" w:sz="0" w:space="0" w:color="auto"/>
        <w:left w:val="none" w:sz="0" w:space="0" w:color="auto"/>
        <w:bottom w:val="none" w:sz="0" w:space="0" w:color="auto"/>
        <w:right w:val="none" w:sz="0" w:space="0" w:color="auto"/>
      </w:divBdr>
    </w:div>
    <w:div w:id="1390959302">
      <w:bodyDiv w:val="1"/>
      <w:marLeft w:val="0"/>
      <w:marRight w:val="0"/>
      <w:marTop w:val="0"/>
      <w:marBottom w:val="0"/>
      <w:divBdr>
        <w:top w:val="none" w:sz="0" w:space="0" w:color="auto"/>
        <w:left w:val="none" w:sz="0" w:space="0" w:color="auto"/>
        <w:bottom w:val="none" w:sz="0" w:space="0" w:color="auto"/>
        <w:right w:val="none" w:sz="0" w:space="0" w:color="auto"/>
      </w:divBdr>
    </w:div>
    <w:div w:id="1396397342">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443960451">
      <w:bodyDiv w:val="1"/>
      <w:marLeft w:val="0"/>
      <w:marRight w:val="0"/>
      <w:marTop w:val="0"/>
      <w:marBottom w:val="0"/>
      <w:divBdr>
        <w:top w:val="none" w:sz="0" w:space="0" w:color="auto"/>
        <w:left w:val="none" w:sz="0" w:space="0" w:color="auto"/>
        <w:bottom w:val="none" w:sz="0" w:space="0" w:color="auto"/>
        <w:right w:val="none" w:sz="0" w:space="0" w:color="auto"/>
      </w:divBdr>
    </w:div>
    <w:div w:id="1481773981">
      <w:bodyDiv w:val="1"/>
      <w:marLeft w:val="0"/>
      <w:marRight w:val="0"/>
      <w:marTop w:val="0"/>
      <w:marBottom w:val="0"/>
      <w:divBdr>
        <w:top w:val="none" w:sz="0" w:space="0" w:color="auto"/>
        <w:left w:val="none" w:sz="0" w:space="0" w:color="auto"/>
        <w:bottom w:val="none" w:sz="0" w:space="0" w:color="auto"/>
        <w:right w:val="none" w:sz="0" w:space="0" w:color="auto"/>
      </w:divBdr>
    </w:div>
    <w:div w:id="1509056074">
      <w:bodyDiv w:val="1"/>
      <w:marLeft w:val="0"/>
      <w:marRight w:val="0"/>
      <w:marTop w:val="0"/>
      <w:marBottom w:val="0"/>
      <w:divBdr>
        <w:top w:val="none" w:sz="0" w:space="0" w:color="auto"/>
        <w:left w:val="none" w:sz="0" w:space="0" w:color="auto"/>
        <w:bottom w:val="none" w:sz="0" w:space="0" w:color="auto"/>
        <w:right w:val="none" w:sz="0" w:space="0" w:color="auto"/>
      </w:divBdr>
    </w:div>
    <w:div w:id="1518614618">
      <w:bodyDiv w:val="1"/>
      <w:marLeft w:val="0"/>
      <w:marRight w:val="0"/>
      <w:marTop w:val="0"/>
      <w:marBottom w:val="0"/>
      <w:divBdr>
        <w:top w:val="none" w:sz="0" w:space="0" w:color="auto"/>
        <w:left w:val="none" w:sz="0" w:space="0" w:color="auto"/>
        <w:bottom w:val="none" w:sz="0" w:space="0" w:color="auto"/>
        <w:right w:val="none" w:sz="0" w:space="0" w:color="auto"/>
      </w:divBdr>
      <w:divsChild>
        <w:div w:id="411123020">
          <w:marLeft w:val="0"/>
          <w:marRight w:val="0"/>
          <w:marTop w:val="0"/>
          <w:marBottom w:val="0"/>
          <w:divBdr>
            <w:top w:val="none" w:sz="0" w:space="0" w:color="auto"/>
            <w:left w:val="none" w:sz="0" w:space="0" w:color="auto"/>
            <w:bottom w:val="none" w:sz="0" w:space="0" w:color="auto"/>
            <w:right w:val="none" w:sz="0" w:space="0" w:color="auto"/>
          </w:divBdr>
          <w:divsChild>
            <w:div w:id="698436704">
              <w:marLeft w:val="0"/>
              <w:marRight w:val="0"/>
              <w:marTop w:val="0"/>
              <w:marBottom w:val="0"/>
              <w:divBdr>
                <w:top w:val="none" w:sz="0" w:space="0" w:color="auto"/>
                <w:left w:val="none" w:sz="0" w:space="0" w:color="auto"/>
                <w:bottom w:val="none" w:sz="0" w:space="0" w:color="auto"/>
                <w:right w:val="none" w:sz="0" w:space="0" w:color="auto"/>
              </w:divBdr>
            </w:div>
          </w:divsChild>
        </w:div>
        <w:div w:id="1435635947">
          <w:marLeft w:val="0"/>
          <w:marRight w:val="0"/>
          <w:marTop w:val="0"/>
          <w:marBottom w:val="0"/>
          <w:divBdr>
            <w:top w:val="none" w:sz="0" w:space="0" w:color="auto"/>
            <w:left w:val="none" w:sz="0" w:space="0" w:color="auto"/>
            <w:bottom w:val="none" w:sz="0" w:space="0" w:color="auto"/>
            <w:right w:val="none" w:sz="0" w:space="0" w:color="auto"/>
          </w:divBdr>
          <w:divsChild>
            <w:div w:id="302583004">
              <w:marLeft w:val="0"/>
              <w:marRight w:val="0"/>
              <w:marTop w:val="0"/>
              <w:marBottom w:val="0"/>
              <w:divBdr>
                <w:top w:val="none" w:sz="0" w:space="0" w:color="auto"/>
                <w:left w:val="none" w:sz="0" w:space="0" w:color="auto"/>
                <w:bottom w:val="none" w:sz="0" w:space="0" w:color="auto"/>
                <w:right w:val="none" w:sz="0" w:space="0" w:color="auto"/>
              </w:divBdr>
            </w:div>
          </w:divsChild>
        </w:div>
        <w:div w:id="1682586924">
          <w:marLeft w:val="0"/>
          <w:marRight w:val="0"/>
          <w:marTop w:val="0"/>
          <w:marBottom w:val="0"/>
          <w:divBdr>
            <w:top w:val="none" w:sz="0" w:space="0" w:color="auto"/>
            <w:left w:val="none" w:sz="0" w:space="0" w:color="auto"/>
            <w:bottom w:val="none" w:sz="0" w:space="0" w:color="auto"/>
            <w:right w:val="none" w:sz="0" w:space="0" w:color="auto"/>
          </w:divBdr>
          <w:divsChild>
            <w:div w:id="133503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574317250">
      <w:bodyDiv w:val="1"/>
      <w:marLeft w:val="0"/>
      <w:marRight w:val="0"/>
      <w:marTop w:val="0"/>
      <w:marBottom w:val="0"/>
      <w:divBdr>
        <w:top w:val="none" w:sz="0" w:space="0" w:color="auto"/>
        <w:left w:val="none" w:sz="0" w:space="0" w:color="auto"/>
        <w:bottom w:val="none" w:sz="0" w:space="0" w:color="auto"/>
        <w:right w:val="none" w:sz="0" w:space="0" w:color="auto"/>
      </w:divBdr>
    </w:div>
    <w:div w:id="1634100055">
      <w:bodyDiv w:val="1"/>
      <w:marLeft w:val="0"/>
      <w:marRight w:val="0"/>
      <w:marTop w:val="0"/>
      <w:marBottom w:val="0"/>
      <w:divBdr>
        <w:top w:val="none" w:sz="0" w:space="0" w:color="auto"/>
        <w:left w:val="none" w:sz="0" w:space="0" w:color="auto"/>
        <w:bottom w:val="none" w:sz="0" w:space="0" w:color="auto"/>
        <w:right w:val="none" w:sz="0" w:space="0" w:color="auto"/>
      </w:divBdr>
    </w:div>
    <w:div w:id="1736972654">
      <w:bodyDiv w:val="1"/>
      <w:marLeft w:val="0"/>
      <w:marRight w:val="0"/>
      <w:marTop w:val="0"/>
      <w:marBottom w:val="0"/>
      <w:divBdr>
        <w:top w:val="none" w:sz="0" w:space="0" w:color="auto"/>
        <w:left w:val="none" w:sz="0" w:space="0" w:color="auto"/>
        <w:bottom w:val="none" w:sz="0" w:space="0" w:color="auto"/>
        <w:right w:val="none" w:sz="0" w:space="0" w:color="auto"/>
      </w:divBdr>
    </w:div>
    <w:div w:id="1825852004">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 w:id="1926987413">
      <w:bodyDiv w:val="1"/>
      <w:marLeft w:val="0"/>
      <w:marRight w:val="0"/>
      <w:marTop w:val="0"/>
      <w:marBottom w:val="0"/>
      <w:divBdr>
        <w:top w:val="none" w:sz="0" w:space="0" w:color="auto"/>
        <w:left w:val="none" w:sz="0" w:space="0" w:color="auto"/>
        <w:bottom w:val="none" w:sz="0" w:space="0" w:color="auto"/>
        <w:right w:val="none" w:sz="0" w:space="0" w:color="auto"/>
      </w:divBdr>
    </w:div>
    <w:div w:id="1962347133">
      <w:bodyDiv w:val="1"/>
      <w:marLeft w:val="0"/>
      <w:marRight w:val="0"/>
      <w:marTop w:val="0"/>
      <w:marBottom w:val="0"/>
      <w:divBdr>
        <w:top w:val="none" w:sz="0" w:space="0" w:color="auto"/>
        <w:left w:val="none" w:sz="0" w:space="0" w:color="auto"/>
        <w:bottom w:val="none" w:sz="0" w:space="0" w:color="auto"/>
        <w:right w:val="none" w:sz="0" w:space="0" w:color="auto"/>
      </w:divBdr>
    </w:div>
    <w:div w:id="1973367354">
      <w:bodyDiv w:val="1"/>
      <w:marLeft w:val="0"/>
      <w:marRight w:val="0"/>
      <w:marTop w:val="0"/>
      <w:marBottom w:val="0"/>
      <w:divBdr>
        <w:top w:val="none" w:sz="0" w:space="0" w:color="auto"/>
        <w:left w:val="none" w:sz="0" w:space="0" w:color="auto"/>
        <w:bottom w:val="none" w:sz="0" w:space="0" w:color="auto"/>
        <w:right w:val="none" w:sz="0" w:space="0" w:color="auto"/>
      </w:divBdr>
      <w:divsChild>
        <w:div w:id="6105614">
          <w:marLeft w:val="0"/>
          <w:marRight w:val="0"/>
          <w:marTop w:val="0"/>
          <w:marBottom w:val="0"/>
          <w:divBdr>
            <w:top w:val="none" w:sz="0" w:space="0" w:color="auto"/>
            <w:left w:val="none" w:sz="0" w:space="0" w:color="auto"/>
            <w:bottom w:val="none" w:sz="0" w:space="0" w:color="auto"/>
            <w:right w:val="none" w:sz="0" w:space="0" w:color="auto"/>
          </w:divBdr>
          <w:divsChild>
            <w:div w:id="153526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0534">
      <w:bodyDiv w:val="1"/>
      <w:marLeft w:val="0"/>
      <w:marRight w:val="0"/>
      <w:marTop w:val="0"/>
      <w:marBottom w:val="0"/>
      <w:divBdr>
        <w:top w:val="none" w:sz="0" w:space="0" w:color="auto"/>
        <w:left w:val="none" w:sz="0" w:space="0" w:color="auto"/>
        <w:bottom w:val="none" w:sz="0" w:space="0" w:color="auto"/>
        <w:right w:val="none" w:sz="0" w:space="0" w:color="auto"/>
      </w:divBdr>
    </w:div>
    <w:div w:id="1999193341">
      <w:bodyDiv w:val="1"/>
      <w:marLeft w:val="0"/>
      <w:marRight w:val="0"/>
      <w:marTop w:val="0"/>
      <w:marBottom w:val="0"/>
      <w:divBdr>
        <w:top w:val="none" w:sz="0" w:space="0" w:color="auto"/>
        <w:left w:val="none" w:sz="0" w:space="0" w:color="auto"/>
        <w:bottom w:val="none" w:sz="0" w:space="0" w:color="auto"/>
        <w:right w:val="none" w:sz="0" w:space="0" w:color="auto"/>
      </w:divBdr>
    </w:div>
    <w:div w:id="2001738078">
      <w:bodyDiv w:val="1"/>
      <w:marLeft w:val="0"/>
      <w:marRight w:val="0"/>
      <w:marTop w:val="0"/>
      <w:marBottom w:val="0"/>
      <w:divBdr>
        <w:top w:val="none" w:sz="0" w:space="0" w:color="auto"/>
        <w:left w:val="none" w:sz="0" w:space="0" w:color="auto"/>
        <w:bottom w:val="none" w:sz="0" w:space="0" w:color="auto"/>
        <w:right w:val="none" w:sz="0" w:space="0" w:color="auto"/>
      </w:divBdr>
    </w:div>
    <w:div w:id="2025666235">
      <w:bodyDiv w:val="1"/>
      <w:marLeft w:val="0"/>
      <w:marRight w:val="0"/>
      <w:marTop w:val="0"/>
      <w:marBottom w:val="0"/>
      <w:divBdr>
        <w:top w:val="none" w:sz="0" w:space="0" w:color="auto"/>
        <w:left w:val="none" w:sz="0" w:space="0" w:color="auto"/>
        <w:bottom w:val="none" w:sz="0" w:space="0" w:color="auto"/>
        <w:right w:val="none" w:sz="0" w:space="0" w:color="auto"/>
      </w:divBdr>
    </w:div>
    <w:div w:id="212777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cma.gov.au/consultations/2019-09/planning-2-ghz-band-consultation-262019" TargetMode="External"/><Relationship Id="rId21" Type="http://schemas.openxmlformats.org/officeDocument/2006/relationships/header" Target="header6.xml"/><Relationship Id="rId42" Type="http://schemas.openxmlformats.org/officeDocument/2006/relationships/hyperlink" Target="mailto:wrc@communications.gov.au" TargetMode="External"/><Relationship Id="rId47" Type="http://schemas.openxmlformats.org/officeDocument/2006/relationships/hyperlink" Target="https://www.legislation.gov.au/Series/F2015L01438" TargetMode="External"/><Relationship Id="rId63" Type="http://schemas.openxmlformats.org/officeDocument/2006/relationships/hyperlink" Target="https://www.acma.gov.au/have-your-say" TargetMode="External"/><Relationship Id="rId68" Type="http://schemas.openxmlformats.org/officeDocument/2006/relationships/hyperlink" Target="https://www.acma.gov.au/consultations/2019-09/planning-2-ghz-band-consultation-262019" TargetMode="External"/><Relationship Id="rId84" Type="http://schemas.openxmlformats.org/officeDocument/2006/relationships/image" Target="media/image10.png"/><Relationship Id="rId89" Type="http://schemas.openxmlformats.org/officeDocument/2006/relationships/hyperlink" Target="https://www.acma.gov.au/publications/2019-08/publication/rali-ms32-mid-west-radio-quiet-zone" TargetMode="External"/><Relationship Id="rId16" Type="http://schemas.openxmlformats.org/officeDocument/2006/relationships/hyperlink" Target="mailto:info@acma.gov.au" TargetMode="External"/><Relationship Id="rId11" Type="http://schemas.openxmlformats.org/officeDocument/2006/relationships/footer" Target="footer2.xml"/><Relationship Id="rId32" Type="http://schemas.openxmlformats.org/officeDocument/2006/relationships/hyperlink" Target="https://www.industry.gov.au/data-and-publications/australian-civil-space-strategy-2019-2028/national-civil-space-priority-areas" TargetMode="External"/><Relationship Id="rId37" Type="http://schemas.openxmlformats.org/officeDocument/2006/relationships/image" Target="media/image4.png"/><Relationship Id="rId53" Type="http://schemas.openxmlformats.org/officeDocument/2006/relationships/hyperlink" Target="https://www.acma.gov.au/sites/default/files/2019-11/BOP%20Space%20Space%20Receive.docx" TargetMode="External"/><Relationship Id="rId58" Type="http://schemas.openxmlformats.org/officeDocument/2006/relationships/hyperlink" Target="https://www.acma.gov.au/sites/default/files/2019-11/BOP%20Space%20Space%20Receive.docx" TargetMode="External"/><Relationship Id="rId74" Type="http://schemas.openxmlformats.org/officeDocument/2006/relationships/hyperlink" Target="https://www.legislation.gov.au/Series/F2015L01438" TargetMode="External"/><Relationship Id="rId79" Type="http://schemas.openxmlformats.org/officeDocument/2006/relationships/hyperlink" Target="https://www.legislation.gov.au/Series/F2014L01586" TargetMode="External"/><Relationship Id="rId5" Type="http://schemas.openxmlformats.org/officeDocument/2006/relationships/webSettings" Target="webSettings.xml"/><Relationship Id="rId90" Type="http://schemas.openxmlformats.org/officeDocument/2006/relationships/hyperlink" Target="https://www.acma.gov.au/current-and-past-spectrum-embargoes" TargetMode="External"/><Relationship Id="rId95" Type="http://schemas.openxmlformats.org/officeDocument/2006/relationships/image" Target="media/image14.png"/><Relationship Id="rId22" Type="http://schemas.openxmlformats.org/officeDocument/2006/relationships/header" Target="header7.xml"/><Relationship Id="rId27" Type="http://schemas.openxmlformats.org/officeDocument/2006/relationships/hyperlink" Target="https://www.acma.gov.au/consultations/2019-09/planning-2-ghz-band-consultation-262019" TargetMode="External"/><Relationship Id="rId43" Type="http://schemas.openxmlformats.org/officeDocument/2006/relationships/hyperlink" Target="https://www.acma.gov.au/consultations/2019-09/planning-2-ghz-band-consultation-262019" TargetMode="External"/><Relationship Id="rId48" Type="http://schemas.openxmlformats.org/officeDocument/2006/relationships/image" Target="media/image5.emf"/><Relationship Id="rId64" Type="http://schemas.openxmlformats.org/officeDocument/2006/relationships/hyperlink" Target="mailto:freqplan@acma.gov.au" TargetMode="External"/><Relationship Id="rId69" Type="http://schemas.openxmlformats.org/officeDocument/2006/relationships/hyperlink" Target="https://www.legislation.gov.au/Series/F2011L01520" TargetMode="External"/><Relationship Id="rId80" Type="http://schemas.openxmlformats.org/officeDocument/2006/relationships/hyperlink" Target="https://www.legislation.gov.au/Series/F2014L01584" TargetMode="External"/><Relationship Id="rId85" Type="http://schemas.openxmlformats.org/officeDocument/2006/relationships/image" Target="media/image11.pn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yperlink" Target="https://www.aph.gov.au/Parliamentary_Business/Committees/House/Communications/5G/Report" TargetMode="External"/><Relationship Id="rId38" Type="http://schemas.openxmlformats.org/officeDocument/2006/relationships/hyperlink" Target="https://www.acma.gov.au/consultations/2020-02/implementation-spectrum-pricing-review-consultation-072020" TargetMode="External"/><Relationship Id="rId46" Type="http://schemas.openxmlformats.org/officeDocument/2006/relationships/hyperlink" Target="https://web.acma.gov.au/rrl/spectrum_search.show_table?pSV_ID=85&amp;pSS_ID=854" TargetMode="External"/><Relationship Id="rId59" Type="http://schemas.openxmlformats.org/officeDocument/2006/relationships/header" Target="header8.xml"/><Relationship Id="rId67" Type="http://schemas.openxmlformats.org/officeDocument/2006/relationships/hyperlink" Target="https://www.acma.gov.au/consultations/2019-09/planning-2-ghz-band-consultation-262019" TargetMode="External"/><Relationship Id="rId20" Type="http://schemas.openxmlformats.org/officeDocument/2006/relationships/footer" Target="footer4.xml"/><Relationship Id="rId41" Type="http://schemas.openxmlformats.org/officeDocument/2006/relationships/hyperlink" Target="mailto:irs@acma.gov.au" TargetMode="External"/><Relationship Id="rId54" Type="http://schemas.openxmlformats.org/officeDocument/2006/relationships/hyperlink" Target="https://www.legislation.gov.au/Series/F2012L00731" TargetMode="External"/><Relationship Id="rId62" Type="http://schemas.openxmlformats.org/officeDocument/2006/relationships/footer" Target="footer9.xml"/><Relationship Id="rId70" Type="http://schemas.openxmlformats.org/officeDocument/2006/relationships/hyperlink" Target="https://www.acma.gov.au/publications/2019-08/publication/rali-ms32-mid-west-radio-quiet-zone" TargetMode="External"/><Relationship Id="rId75" Type="http://schemas.openxmlformats.org/officeDocument/2006/relationships/hyperlink" Target="https://www.acma.gov.au/procedures-space-and-space-receive-licensing" TargetMode="External"/><Relationship Id="rId83" Type="http://schemas.openxmlformats.org/officeDocument/2006/relationships/image" Target="media/image9.png"/><Relationship Id="rId88" Type="http://schemas.openxmlformats.org/officeDocument/2006/relationships/hyperlink" Target="https://www.legislation.gov.au/Series/F2011L01520" TargetMode="External"/><Relationship Id="rId91" Type="http://schemas.openxmlformats.org/officeDocument/2006/relationships/hyperlink" Target="https://www.acma.gov.au/consultations/2019-08/optimising-3400-3575-mhz-band-consultation-122019" TargetMode="External"/><Relationship Id="rId96" Type="http://schemas.openxmlformats.org/officeDocument/2006/relationships/hyperlink" Target="https://www.acma.gov.au/convert-hcis-area-description-placemar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4.0/" TargetMode="External"/><Relationship Id="rId23" Type="http://schemas.openxmlformats.org/officeDocument/2006/relationships/footer" Target="footer5.xml"/><Relationship Id="rId28" Type="http://schemas.openxmlformats.org/officeDocument/2006/relationships/hyperlink" Target="https://www.legislation.gov.au/Series/C2004A04465" TargetMode="External"/><Relationship Id="rId36" Type="http://schemas.openxmlformats.org/officeDocument/2006/relationships/hyperlink" Target="https://www.acma.gov.au/object-and-scope-radiocommunications-act-1992" TargetMode="External"/><Relationship Id="rId49" Type="http://schemas.openxmlformats.org/officeDocument/2006/relationships/hyperlink" Target="https://www.acma.gov.au/sites/default/files/2019-11/BOP%20Space%20Space%20Receive.docx" TargetMode="External"/><Relationship Id="rId57" Type="http://schemas.openxmlformats.org/officeDocument/2006/relationships/hyperlink" Target="https://www.legislation.gov.au/Series/F2014L01586" TargetMode="External"/><Relationship Id="rId10" Type="http://schemas.openxmlformats.org/officeDocument/2006/relationships/footer" Target="footer1.xml"/><Relationship Id="rId31" Type="http://schemas.openxmlformats.org/officeDocument/2006/relationships/hyperlink" Target="https://www.industry.gov.au/data-and-publications/australian-civil-space-strategy-2019-2028" TargetMode="External"/><Relationship Id="rId44" Type="http://schemas.openxmlformats.org/officeDocument/2006/relationships/hyperlink" Target="https://www.acma.gov.au/consultations/2019-09/planning-2-ghz-band-consultation-262019" TargetMode="External"/><Relationship Id="rId52" Type="http://schemas.openxmlformats.org/officeDocument/2006/relationships/image" Target="media/image7.emf"/><Relationship Id="rId60" Type="http://schemas.openxmlformats.org/officeDocument/2006/relationships/header" Target="header9.xml"/><Relationship Id="rId65" Type="http://schemas.openxmlformats.org/officeDocument/2006/relationships/hyperlink" Target="https://www.acma.gov.au/publication-submissions" TargetMode="External"/><Relationship Id="rId73" Type="http://schemas.openxmlformats.org/officeDocument/2006/relationships/hyperlink" Target="https://www.acma.gov.au/publications/2019-11/form/australian-procedures-coordination-notification-satellite-systems" TargetMode="External"/><Relationship Id="rId78" Type="http://schemas.openxmlformats.org/officeDocument/2006/relationships/hyperlink" Target="https://www.acma.gov.au/procedures-space-and-space-receive-licensing" TargetMode="External"/><Relationship Id="rId81" Type="http://schemas.openxmlformats.org/officeDocument/2006/relationships/hyperlink" Target="https://www.legislation.gov.au/Series/F2015L01284" TargetMode="External"/><Relationship Id="rId86" Type="http://schemas.openxmlformats.org/officeDocument/2006/relationships/image" Target="media/image12.png"/><Relationship Id="rId94" Type="http://schemas.openxmlformats.org/officeDocument/2006/relationships/hyperlink" Target="https://www.acma.gov.au/sites/default/files/2019-10/The%20Australian%20spectrum%20map%20grid%202012_0.PDF" TargetMode="External"/><Relationship Id="rId99" Type="http://schemas.openxmlformats.org/officeDocument/2006/relationships/customXml" Target="../customXml/item2.xml"/><Relationship Id="rId10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i.creativecommons.org/l/by/3.0/88x31.png" TargetMode="External"/><Relationship Id="rId18" Type="http://schemas.openxmlformats.org/officeDocument/2006/relationships/header" Target="header5.xml"/><Relationship Id="rId39" Type="http://schemas.openxmlformats.org/officeDocument/2006/relationships/hyperlink" Target="https://www.acma.gov.au/consultations/2020-04/draft-five-year-spectrum-outlook-2020-24-consultation-092020" TargetMode="External"/><Relationship Id="rId34" Type="http://schemas.openxmlformats.org/officeDocument/2006/relationships/hyperlink" Target="https://www.acma.gov.au/fees-apparatus-licences" TargetMode="External"/><Relationship Id="rId50" Type="http://schemas.openxmlformats.org/officeDocument/2006/relationships/image" Target="media/image6.emf"/><Relationship Id="rId55" Type="http://schemas.openxmlformats.org/officeDocument/2006/relationships/hyperlink" Target="https://www.legislation.gov.au/Series/F2015L01486" TargetMode="External"/><Relationship Id="rId76" Type="http://schemas.openxmlformats.org/officeDocument/2006/relationships/hyperlink" Target="https://www.legislation.gov.au/Series/F2014L01586"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acma.gov.au/current-and-past-spectrum-embargoes" TargetMode="External"/><Relationship Id="rId92" Type="http://schemas.openxmlformats.org/officeDocument/2006/relationships/hyperlink" Target="http://www.itu.int/pub/R-REP-M.2292-2014" TargetMode="External"/><Relationship Id="rId2" Type="http://schemas.openxmlformats.org/officeDocument/2006/relationships/numbering" Target="numbering.xml"/><Relationship Id="rId29" Type="http://schemas.openxmlformats.org/officeDocument/2006/relationships/hyperlink" Target="https://www.communications.gov.au/departmental-news/5g-enabling-future-economy" TargetMode="External"/><Relationship Id="rId24" Type="http://schemas.openxmlformats.org/officeDocument/2006/relationships/footer" Target="footer6.xml"/><Relationship Id="rId40" Type="http://schemas.openxmlformats.org/officeDocument/2006/relationships/hyperlink" Target="https://www.acma.gov.au/international-radiocommunications-activities" TargetMode="External"/><Relationship Id="rId45" Type="http://schemas.openxmlformats.org/officeDocument/2006/relationships/hyperlink" Target="https://web.acma.gov.au/rrl/spectrum_search.show_table?pSV_ID=85&amp;pSS_ID=872" TargetMode="External"/><Relationship Id="rId66" Type="http://schemas.openxmlformats.org/officeDocument/2006/relationships/hyperlink" Target="https://www.acma.gov.au/privacy-policy" TargetMode="External"/><Relationship Id="rId87" Type="http://schemas.openxmlformats.org/officeDocument/2006/relationships/hyperlink" Target="https://www.acma.gov.au/consultations/2019-09/planning-2-ghz-band-consultation-262019" TargetMode="External"/><Relationship Id="rId61" Type="http://schemas.openxmlformats.org/officeDocument/2006/relationships/footer" Target="footer8.xml"/><Relationship Id="rId82" Type="http://schemas.openxmlformats.org/officeDocument/2006/relationships/image" Target="media/image8.png"/><Relationship Id="rId19" Type="http://schemas.openxmlformats.org/officeDocument/2006/relationships/footer" Target="footer3.xml"/><Relationship Id="rId14" Type="http://schemas.openxmlformats.org/officeDocument/2006/relationships/image" Target="media/image3.png"/><Relationship Id="rId30" Type="http://schemas.openxmlformats.org/officeDocument/2006/relationships/hyperlink" Target="https://www.industry.gov.au/news-media/australias-tech-future" TargetMode="External"/><Relationship Id="rId35" Type="http://schemas.openxmlformats.org/officeDocument/2006/relationships/hyperlink" Target="https://www.acma.gov.au/area-wide-apparatus-licence" TargetMode="External"/><Relationship Id="rId56" Type="http://schemas.openxmlformats.org/officeDocument/2006/relationships/hyperlink" Target="https://www.legislation.gov.au/Series/F2014L01584" TargetMode="External"/><Relationship Id="rId77" Type="http://schemas.openxmlformats.org/officeDocument/2006/relationships/hyperlink" Target="https://www.legislation.gov.au/Series/F2014L01584" TargetMode="External"/><Relationship Id="rId100" Type="http://schemas.openxmlformats.org/officeDocument/2006/relationships/customXml" Target="../customXml/item3.xml"/><Relationship Id="rId8" Type="http://schemas.openxmlformats.org/officeDocument/2006/relationships/header" Target="header1.xml"/><Relationship Id="rId51" Type="http://schemas.openxmlformats.org/officeDocument/2006/relationships/hyperlink" Target="https://www.acma.gov.au/sites/default/files/2019-11/BOP%20Space%20Space%20Receive.docx" TargetMode="External"/><Relationship Id="rId72" Type="http://schemas.openxmlformats.org/officeDocument/2006/relationships/hyperlink" Target="https://web.acma.gov.au/rrl/spectrum_search.show_table?pSV_ID=85&amp;pSS_ID=872" TargetMode="External"/><Relationship Id="rId93" Type="http://schemas.openxmlformats.org/officeDocument/2006/relationships/image" Target="media/image13.jpg"/><Relationship Id="rId98" Type="http://schemas.openxmlformats.org/officeDocument/2006/relationships/theme" Target="theme/theme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3gpp.org/DynaReport/38101-1.htm" TargetMode="External"/><Relationship Id="rId13" Type="http://schemas.openxmlformats.org/officeDocument/2006/relationships/hyperlink" Target="https://www.acma.gov.au/publications/2019-09/publication/rali-fx3-microwave-fixed-services" TargetMode="External"/><Relationship Id="rId18" Type="http://schemas.openxmlformats.org/officeDocument/2006/relationships/hyperlink" Target="https://web.acma.gov.au/rrl/spectrum_search.show_table?pSV_ID=85&amp;pSS_ID=854" TargetMode="External"/><Relationship Id="rId26" Type="http://schemas.openxmlformats.org/officeDocument/2006/relationships/hyperlink" Target="https://www.acma.gov.au/auction-summary-36-ghz-band-2018" TargetMode="External"/><Relationship Id="rId3" Type="http://schemas.openxmlformats.org/officeDocument/2006/relationships/hyperlink" Target="https://www.legislation.gov.au/Series/F2011L02181" TargetMode="External"/><Relationship Id="rId21" Type="http://schemas.openxmlformats.org/officeDocument/2006/relationships/hyperlink" Target="http://www.3gpp.org/ftp/Specs/archive/38_series/38.101-1/38101-1-g20.zip" TargetMode="External"/><Relationship Id="rId7" Type="http://schemas.openxmlformats.org/officeDocument/2006/relationships/hyperlink" Target="https://eur-lex.europa.eu/legal-content/EN/TXT/?uri=CELEX%3A32009D0449" TargetMode="External"/><Relationship Id="rId12" Type="http://schemas.openxmlformats.org/officeDocument/2006/relationships/hyperlink" Target="https://www.itu.int/dms_pub/itu-r/opb/rep/R-REP-BT.2069-7-2017-PDF-E.pdf" TargetMode="External"/><Relationship Id="rId17" Type="http://schemas.openxmlformats.org/officeDocument/2006/relationships/hyperlink" Target="https://www.acma.gov.au/current-and-past-spectrum-embargoes" TargetMode="External"/><Relationship Id="rId25" Type="http://schemas.openxmlformats.org/officeDocument/2006/relationships/hyperlink" Target="https://www.acma.gov.au/technical-frameworks-spectrum-licences" TargetMode="External"/><Relationship Id="rId2" Type="http://schemas.openxmlformats.org/officeDocument/2006/relationships/hyperlink" Target="https://www.legislation.gov.au/Series/F2012L02552" TargetMode="External"/><Relationship Id="rId16" Type="http://schemas.openxmlformats.org/officeDocument/2006/relationships/hyperlink" Target="https://www.acma.gov.au/node/773" TargetMode="External"/><Relationship Id="rId20" Type="http://schemas.openxmlformats.org/officeDocument/2006/relationships/hyperlink" Target="https://www.ecodocdb.dk/download/7415162b-af4b/ECTRADEC9901.PDF" TargetMode="External"/><Relationship Id="rId1" Type="http://schemas.openxmlformats.org/officeDocument/2006/relationships/hyperlink" Target="https://www.legislation.gov.au/Series/F2012L02542" TargetMode="External"/><Relationship Id="rId6" Type="http://schemas.openxmlformats.org/officeDocument/2006/relationships/hyperlink" Target="https://www.ecodocdb.dk/download/cdf6fecf-f27e/ECCDEC0609.PDF" TargetMode="External"/><Relationship Id="rId11" Type="http://schemas.openxmlformats.org/officeDocument/2006/relationships/hyperlink" Target="https://gsacom.com/" TargetMode="External"/><Relationship Id="rId24" Type="http://schemas.openxmlformats.org/officeDocument/2006/relationships/hyperlink" Target="https://www.acma.gov.au/publications/2016-01/report/2-ghz-tlg-package-2016" TargetMode="External"/><Relationship Id="rId5" Type="http://schemas.openxmlformats.org/officeDocument/2006/relationships/hyperlink" Target="https://www.acma.gov.au/sites/default/files/2019-08/ACMA%20corporate%20plan%202019-20.pdf" TargetMode="External"/><Relationship Id="rId15" Type="http://schemas.openxmlformats.org/officeDocument/2006/relationships/hyperlink" Target="https://www.acma.gov.au/spectrum-auctions" TargetMode="External"/><Relationship Id="rId23" Type="http://schemas.openxmlformats.org/officeDocument/2006/relationships/hyperlink" Target="https://www.acma.gov.au/procedures-space-and-space-receive-licensing" TargetMode="External"/><Relationship Id="rId10" Type="http://schemas.openxmlformats.org/officeDocument/2006/relationships/hyperlink" Target="http://www.3gpp.org/ftp//Specs/archive/38_series/38.821/38821-g00.zip" TargetMode="External"/><Relationship Id="rId19" Type="http://schemas.openxmlformats.org/officeDocument/2006/relationships/hyperlink" Target="https://web.acma.gov.au/rrl/spectrum_search.show_table?pSV_ID=85&amp;pSS_ID=857" TargetMode="External"/><Relationship Id="rId4" Type="http://schemas.openxmlformats.org/officeDocument/2006/relationships/hyperlink" Target="https://www.acma.gov.au/publications/2019-09/publication/rali-fx3-microwave-fixed-services" TargetMode="External"/><Relationship Id="rId9" Type="http://schemas.openxmlformats.org/officeDocument/2006/relationships/hyperlink" Target="http://www.3gpp.org/ftp//Specs/archive/38_series/38.811/38811-f20.zip" TargetMode="External"/><Relationship Id="rId14" Type="http://schemas.openxmlformats.org/officeDocument/2006/relationships/hyperlink" Target="https://www.legislation.gov.au/Series/F2012L00731" TargetMode="External"/><Relationship Id="rId22" Type="http://schemas.openxmlformats.org/officeDocument/2006/relationships/hyperlink" Target="https://www.ecodocdb.dk/download/cdf6fecf-f27e/ECCDEC060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00ACE45694B3D4892C74020F839F147" ma:contentTypeVersion="16" ma:contentTypeDescription="Create a new document." ma:contentTypeScope="" ma:versionID="9239f4960bea8bb52a849c241c333692">
  <xsd:schema xmlns:xsd="http://www.w3.org/2001/XMLSchema" xmlns:xs="http://www.w3.org/2001/XMLSchema" xmlns:p="http://schemas.microsoft.com/office/2006/metadata/properties" xmlns:ns2="85d45f94-32ec-4546-b73b-9a6848394926" xmlns:ns3="fb919850-406e-4d20-9cee-cf3a55172231" targetNamespace="http://schemas.microsoft.com/office/2006/metadata/properties" ma:root="true" ma:fieldsID="737f86c4e465b9646a10b6e59f1fd544" ns2:_="" ns3:_="">
    <xsd:import namespace="85d45f94-32ec-4546-b73b-9a6848394926"/>
    <xsd:import namespace="fb919850-406e-4d20-9cee-cf3a551722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45f94-32ec-4546-b73b-9a6848394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fe8815-ddc4-4b7c-be07-fec6d2f953c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919850-406e-4d20-9cee-cf3a5517223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136ea6b-f371-41c9-afaf-5925768188c8}" ma:internalName="TaxCatchAll" ma:showField="CatchAllData" ma:web="fb919850-406e-4d20-9cee-cf3a551722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d45f94-32ec-4546-b73b-9a6848394926">
      <Terms xmlns="http://schemas.microsoft.com/office/infopath/2007/PartnerControls"/>
    </lcf76f155ced4ddcb4097134ff3c332f>
    <TaxCatchAll xmlns="fb919850-406e-4d20-9cee-cf3a55172231" xsi:nil="true"/>
  </documentManagement>
</p:properties>
</file>

<file path=customXml/itemProps1.xml><?xml version="1.0" encoding="utf-8"?>
<ds:datastoreItem xmlns:ds="http://schemas.openxmlformats.org/officeDocument/2006/customXml" ds:itemID="{A7AC4B60-2104-463D-B846-50A5A12939F8}">
  <ds:schemaRefs>
    <ds:schemaRef ds:uri="http://schemas.openxmlformats.org/officeDocument/2006/bibliography"/>
  </ds:schemaRefs>
</ds:datastoreItem>
</file>

<file path=customXml/itemProps2.xml><?xml version="1.0" encoding="utf-8"?>
<ds:datastoreItem xmlns:ds="http://schemas.openxmlformats.org/officeDocument/2006/customXml" ds:itemID="{2AA6B6FF-894E-48F9-AE62-EFE650973F6B}"/>
</file>

<file path=customXml/itemProps3.xml><?xml version="1.0" encoding="utf-8"?>
<ds:datastoreItem xmlns:ds="http://schemas.openxmlformats.org/officeDocument/2006/customXml" ds:itemID="{A90E1B41-1633-450D-8B02-333D082014EB}"/>
</file>

<file path=customXml/itemProps4.xml><?xml version="1.0" encoding="utf-8"?>
<ds:datastoreItem xmlns:ds="http://schemas.openxmlformats.org/officeDocument/2006/customXml" ds:itemID="{8D188743-07A5-4489-8467-C5641AE8F4F0}"/>
</file>

<file path=docProps/app.xml><?xml version="1.0" encoding="utf-8"?>
<Properties xmlns="http://schemas.openxmlformats.org/officeDocument/2006/extended-properties" xmlns:vt="http://schemas.openxmlformats.org/officeDocument/2006/docPropsVTypes">
  <Template>Normal.dotm</Template>
  <TotalTime>0</TotalTime>
  <Pages>79</Pages>
  <Words>27824</Words>
  <Characters>158598</Characters>
  <Application>Microsoft Office Word</Application>
  <DocSecurity>2</DocSecurity>
  <Lines>1321</Lines>
  <Paragraphs>372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186050</CharactersWithSpaces>
  <SharedDoc>false</SharedDoc>
  <HyperlinkBase/>
  <HLinks>
    <vt:vector size="594" baseType="variant">
      <vt:variant>
        <vt:i4>393335</vt:i4>
      </vt:variant>
      <vt:variant>
        <vt:i4>393</vt:i4>
      </vt:variant>
      <vt:variant>
        <vt:i4>0</vt:i4>
      </vt:variant>
      <vt:variant>
        <vt:i4>5</vt:i4>
      </vt:variant>
      <vt:variant>
        <vt:lpwstr/>
      </vt:variant>
      <vt:variant>
        <vt:lpwstr>_Cost-benefit_analysis_methodology</vt:lpwstr>
      </vt:variant>
      <vt:variant>
        <vt:i4>2293874</vt:i4>
      </vt:variant>
      <vt:variant>
        <vt:i4>390</vt:i4>
      </vt:variant>
      <vt:variant>
        <vt:i4>0</vt:i4>
      </vt:variant>
      <vt:variant>
        <vt:i4>5</vt:i4>
      </vt:variant>
      <vt:variant>
        <vt:lpwstr>https://www.acma.gov.au/convert-hcis-area-description-placemark</vt:lpwstr>
      </vt:variant>
      <vt:variant>
        <vt:lpwstr/>
      </vt:variant>
      <vt:variant>
        <vt:i4>1835111</vt:i4>
      </vt:variant>
      <vt:variant>
        <vt:i4>387</vt:i4>
      </vt:variant>
      <vt:variant>
        <vt:i4>0</vt:i4>
      </vt:variant>
      <vt:variant>
        <vt:i4>5</vt:i4>
      </vt:variant>
      <vt:variant>
        <vt:lpwstr>https://www.acma.gov.au/sites/default/files/2019-10/The Australian spectrum map grid 2012_0.PDF</vt:lpwstr>
      </vt:variant>
      <vt:variant>
        <vt:lpwstr/>
      </vt:variant>
      <vt:variant>
        <vt:i4>458841</vt:i4>
      </vt:variant>
      <vt:variant>
        <vt:i4>381</vt:i4>
      </vt:variant>
      <vt:variant>
        <vt:i4>0</vt:i4>
      </vt:variant>
      <vt:variant>
        <vt:i4>5</vt:i4>
      </vt:variant>
      <vt:variant>
        <vt:lpwstr>http://www.itu.int/pub/R-REP-M.2292-2014</vt:lpwstr>
      </vt:variant>
      <vt:variant>
        <vt:lpwstr/>
      </vt:variant>
      <vt:variant>
        <vt:i4>7864375</vt:i4>
      </vt:variant>
      <vt:variant>
        <vt:i4>378</vt:i4>
      </vt:variant>
      <vt:variant>
        <vt:i4>0</vt:i4>
      </vt:variant>
      <vt:variant>
        <vt:i4>5</vt:i4>
      </vt:variant>
      <vt:variant>
        <vt:lpwstr>https://www.acma.gov.au/consultations/2019-08/optimising-3400-3575-mhz-band-consultation-122019</vt:lpwstr>
      </vt:variant>
      <vt:variant>
        <vt:lpwstr/>
      </vt:variant>
      <vt:variant>
        <vt:i4>3342443</vt:i4>
      </vt:variant>
      <vt:variant>
        <vt:i4>375</vt:i4>
      </vt:variant>
      <vt:variant>
        <vt:i4>0</vt:i4>
      </vt:variant>
      <vt:variant>
        <vt:i4>5</vt:i4>
      </vt:variant>
      <vt:variant>
        <vt:lpwstr>https://www.acma.gov.au/current-and-past-spectrum-embargoes</vt:lpwstr>
      </vt:variant>
      <vt:variant>
        <vt:lpwstr/>
      </vt:variant>
      <vt:variant>
        <vt:i4>4980755</vt:i4>
      </vt:variant>
      <vt:variant>
        <vt:i4>372</vt:i4>
      </vt:variant>
      <vt:variant>
        <vt:i4>0</vt:i4>
      </vt:variant>
      <vt:variant>
        <vt:i4>5</vt:i4>
      </vt:variant>
      <vt:variant>
        <vt:lpwstr>https://www.acma.gov.au/publications/2019-08/publication/rali-ms32-mid-west-radio-quiet-zone</vt:lpwstr>
      </vt:variant>
      <vt:variant>
        <vt:lpwstr/>
      </vt:variant>
      <vt:variant>
        <vt:i4>917532</vt:i4>
      </vt:variant>
      <vt:variant>
        <vt:i4>369</vt:i4>
      </vt:variant>
      <vt:variant>
        <vt:i4>0</vt:i4>
      </vt:variant>
      <vt:variant>
        <vt:i4>5</vt:i4>
      </vt:variant>
      <vt:variant>
        <vt:lpwstr>https://www.legislation.gov.au/Series/F2011L01520</vt:lpwstr>
      </vt:variant>
      <vt:variant>
        <vt:lpwstr/>
      </vt:variant>
      <vt:variant>
        <vt:i4>2031688</vt:i4>
      </vt:variant>
      <vt:variant>
        <vt:i4>366</vt:i4>
      </vt:variant>
      <vt:variant>
        <vt:i4>0</vt:i4>
      </vt:variant>
      <vt:variant>
        <vt:i4>5</vt:i4>
      </vt:variant>
      <vt:variant>
        <vt:lpwstr>https://www.acma.gov.au/consultations/2019-09/planning-2-ghz-band-consultation-262019</vt:lpwstr>
      </vt:variant>
      <vt:variant>
        <vt:lpwstr/>
      </vt:variant>
      <vt:variant>
        <vt:i4>65645</vt:i4>
      </vt:variant>
      <vt:variant>
        <vt:i4>363</vt:i4>
      </vt:variant>
      <vt:variant>
        <vt:i4>0</vt:i4>
      </vt:variant>
      <vt:variant>
        <vt:i4>5</vt:i4>
      </vt:variant>
      <vt:variant>
        <vt:lpwstr/>
      </vt:variant>
      <vt:variant>
        <vt:lpwstr>_Appendix_D:_Television</vt:lpwstr>
      </vt:variant>
      <vt:variant>
        <vt:i4>262175</vt:i4>
      </vt:variant>
      <vt:variant>
        <vt:i4>360</vt:i4>
      </vt:variant>
      <vt:variant>
        <vt:i4>0</vt:i4>
      </vt:variant>
      <vt:variant>
        <vt:i4>5</vt:i4>
      </vt:variant>
      <vt:variant>
        <vt:lpwstr>https://www.legislation.gov.au/Series/F2015L01284</vt:lpwstr>
      </vt:variant>
      <vt:variant>
        <vt:lpwstr/>
      </vt:variant>
      <vt:variant>
        <vt:i4>262169</vt:i4>
      </vt:variant>
      <vt:variant>
        <vt:i4>357</vt:i4>
      </vt:variant>
      <vt:variant>
        <vt:i4>0</vt:i4>
      </vt:variant>
      <vt:variant>
        <vt:i4>5</vt:i4>
      </vt:variant>
      <vt:variant>
        <vt:lpwstr>https://www.legislation.gov.au/Series/F2014L01584</vt:lpwstr>
      </vt:variant>
      <vt:variant>
        <vt:lpwstr/>
      </vt:variant>
      <vt:variant>
        <vt:i4>262169</vt:i4>
      </vt:variant>
      <vt:variant>
        <vt:i4>354</vt:i4>
      </vt:variant>
      <vt:variant>
        <vt:i4>0</vt:i4>
      </vt:variant>
      <vt:variant>
        <vt:i4>5</vt:i4>
      </vt:variant>
      <vt:variant>
        <vt:lpwstr>https://www.legislation.gov.au/Series/F2014L01586</vt:lpwstr>
      </vt:variant>
      <vt:variant>
        <vt:lpwstr/>
      </vt:variant>
      <vt:variant>
        <vt:i4>1441816</vt:i4>
      </vt:variant>
      <vt:variant>
        <vt:i4>351</vt:i4>
      </vt:variant>
      <vt:variant>
        <vt:i4>0</vt:i4>
      </vt:variant>
      <vt:variant>
        <vt:i4>5</vt:i4>
      </vt:variant>
      <vt:variant>
        <vt:lpwstr>https://www.acma.gov.au/procedures-space-and-space-receive-licensing</vt:lpwstr>
      </vt:variant>
      <vt:variant>
        <vt:lpwstr/>
      </vt:variant>
      <vt:variant>
        <vt:i4>262169</vt:i4>
      </vt:variant>
      <vt:variant>
        <vt:i4>348</vt:i4>
      </vt:variant>
      <vt:variant>
        <vt:i4>0</vt:i4>
      </vt:variant>
      <vt:variant>
        <vt:i4>5</vt:i4>
      </vt:variant>
      <vt:variant>
        <vt:lpwstr>https://www.legislation.gov.au/Series/F2014L01584</vt:lpwstr>
      </vt:variant>
      <vt:variant>
        <vt:lpwstr/>
      </vt:variant>
      <vt:variant>
        <vt:i4>262169</vt:i4>
      </vt:variant>
      <vt:variant>
        <vt:i4>345</vt:i4>
      </vt:variant>
      <vt:variant>
        <vt:i4>0</vt:i4>
      </vt:variant>
      <vt:variant>
        <vt:i4>5</vt:i4>
      </vt:variant>
      <vt:variant>
        <vt:lpwstr>https://www.legislation.gov.au/Series/F2014L01586</vt:lpwstr>
      </vt:variant>
      <vt:variant>
        <vt:lpwstr/>
      </vt:variant>
      <vt:variant>
        <vt:i4>1441816</vt:i4>
      </vt:variant>
      <vt:variant>
        <vt:i4>342</vt:i4>
      </vt:variant>
      <vt:variant>
        <vt:i4>0</vt:i4>
      </vt:variant>
      <vt:variant>
        <vt:i4>5</vt:i4>
      </vt:variant>
      <vt:variant>
        <vt:lpwstr>https://www.acma.gov.au/procedures-space-and-space-receive-licensing</vt:lpwstr>
      </vt:variant>
      <vt:variant>
        <vt:lpwstr/>
      </vt:variant>
      <vt:variant>
        <vt:i4>262169</vt:i4>
      </vt:variant>
      <vt:variant>
        <vt:i4>339</vt:i4>
      </vt:variant>
      <vt:variant>
        <vt:i4>0</vt:i4>
      </vt:variant>
      <vt:variant>
        <vt:i4>5</vt:i4>
      </vt:variant>
      <vt:variant>
        <vt:lpwstr>https://www.legislation.gov.au/Series/F2015L01486</vt:lpwstr>
      </vt:variant>
      <vt:variant>
        <vt:lpwstr/>
      </vt:variant>
      <vt:variant>
        <vt:i4>983065</vt:i4>
      </vt:variant>
      <vt:variant>
        <vt:i4>336</vt:i4>
      </vt:variant>
      <vt:variant>
        <vt:i4>0</vt:i4>
      </vt:variant>
      <vt:variant>
        <vt:i4>5</vt:i4>
      </vt:variant>
      <vt:variant>
        <vt:lpwstr>https://www.legislation.gov.au/Series/F2015L01438</vt:lpwstr>
      </vt:variant>
      <vt:variant>
        <vt:lpwstr/>
      </vt:variant>
      <vt:variant>
        <vt:i4>6881406</vt:i4>
      </vt:variant>
      <vt:variant>
        <vt:i4>333</vt:i4>
      </vt:variant>
      <vt:variant>
        <vt:i4>0</vt:i4>
      </vt:variant>
      <vt:variant>
        <vt:i4>5</vt:i4>
      </vt:variant>
      <vt:variant>
        <vt:lpwstr>https://www.acma.gov.au/publications/2019-11/form/australian-procedures-coordination-notification-satellite-systems</vt:lpwstr>
      </vt:variant>
      <vt:variant>
        <vt:lpwstr/>
      </vt:variant>
      <vt:variant>
        <vt:i4>1900662</vt:i4>
      </vt:variant>
      <vt:variant>
        <vt:i4>330</vt:i4>
      </vt:variant>
      <vt:variant>
        <vt:i4>0</vt:i4>
      </vt:variant>
      <vt:variant>
        <vt:i4>5</vt:i4>
      </vt:variant>
      <vt:variant>
        <vt:lpwstr/>
      </vt:variant>
      <vt:variant>
        <vt:lpwstr>_Appendix_A:_Responses</vt:lpwstr>
      </vt:variant>
      <vt:variant>
        <vt:i4>6553612</vt:i4>
      </vt:variant>
      <vt:variant>
        <vt:i4>327</vt:i4>
      </vt:variant>
      <vt:variant>
        <vt:i4>0</vt:i4>
      </vt:variant>
      <vt:variant>
        <vt:i4>5</vt:i4>
      </vt:variant>
      <vt:variant>
        <vt:lpwstr/>
      </vt:variant>
      <vt:variant>
        <vt:lpwstr>_Appendix_D:_Spectrum</vt:lpwstr>
      </vt:variant>
      <vt:variant>
        <vt:i4>6422589</vt:i4>
      </vt:variant>
      <vt:variant>
        <vt:i4>324</vt:i4>
      </vt:variant>
      <vt:variant>
        <vt:i4>0</vt:i4>
      </vt:variant>
      <vt:variant>
        <vt:i4>5</vt:i4>
      </vt:variant>
      <vt:variant>
        <vt:lpwstr>https://web.acma.gov.au/rrl/spectrum_search.show_table?pSV_ID=85&amp;pSS_ID=872</vt:lpwstr>
      </vt:variant>
      <vt:variant>
        <vt:lpwstr/>
      </vt:variant>
      <vt:variant>
        <vt:i4>6553612</vt:i4>
      </vt:variant>
      <vt:variant>
        <vt:i4>321</vt:i4>
      </vt:variant>
      <vt:variant>
        <vt:i4>0</vt:i4>
      </vt:variant>
      <vt:variant>
        <vt:i4>5</vt:i4>
      </vt:variant>
      <vt:variant>
        <vt:lpwstr/>
      </vt:variant>
      <vt:variant>
        <vt:lpwstr>_Appendix_D:_Spectrum</vt:lpwstr>
      </vt:variant>
      <vt:variant>
        <vt:i4>3342443</vt:i4>
      </vt:variant>
      <vt:variant>
        <vt:i4>318</vt:i4>
      </vt:variant>
      <vt:variant>
        <vt:i4>0</vt:i4>
      </vt:variant>
      <vt:variant>
        <vt:i4>5</vt:i4>
      </vt:variant>
      <vt:variant>
        <vt:lpwstr>https://www.acma.gov.au/current-and-past-spectrum-embargoes</vt:lpwstr>
      </vt:variant>
      <vt:variant>
        <vt:lpwstr/>
      </vt:variant>
      <vt:variant>
        <vt:i4>4980755</vt:i4>
      </vt:variant>
      <vt:variant>
        <vt:i4>315</vt:i4>
      </vt:variant>
      <vt:variant>
        <vt:i4>0</vt:i4>
      </vt:variant>
      <vt:variant>
        <vt:i4>5</vt:i4>
      </vt:variant>
      <vt:variant>
        <vt:lpwstr>https://www.acma.gov.au/publications/2019-08/publication/rali-ms32-mid-west-radio-quiet-zone</vt:lpwstr>
      </vt:variant>
      <vt:variant>
        <vt:lpwstr/>
      </vt:variant>
      <vt:variant>
        <vt:i4>917532</vt:i4>
      </vt:variant>
      <vt:variant>
        <vt:i4>312</vt:i4>
      </vt:variant>
      <vt:variant>
        <vt:i4>0</vt:i4>
      </vt:variant>
      <vt:variant>
        <vt:i4>5</vt:i4>
      </vt:variant>
      <vt:variant>
        <vt:lpwstr>https://www.legislation.gov.au/Series/F2011L01520</vt:lpwstr>
      </vt:variant>
      <vt:variant>
        <vt:lpwstr/>
      </vt:variant>
      <vt:variant>
        <vt:i4>2031688</vt:i4>
      </vt:variant>
      <vt:variant>
        <vt:i4>309</vt:i4>
      </vt:variant>
      <vt:variant>
        <vt:i4>0</vt:i4>
      </vt:variant>
      <vt:variant>
        <vt:i4>5</vt:i4>
      </vt:variant>
      <vt:variant>
        <vt:lpwstr>https://www.acma.gov.au/consultations/2019-09/planning-2-ghz-band-consultation-262019</vt:lpwstr>
      </vt:variant>
      <vt:variant>
        <vt:lpwstr/>
      </vt:variant>
      <vt:variant>
        <vt:i4>2031688</vt:i4>
      </vt:variant>
      <vt:variant>
        <vt:i4>306</vt:i4>
      </vt:variant>
      <vt:variant>
        <vt:i4>0</vt:i4>
      </vt:variant>
      <vt:variant>
        <vt:i4>5</vt:i4>
      </vt:variant>
      <vt:variant>
        <vt:lpwstr>https://www.acma.gov.au/consultations/2019-09/planning-2-ghz-band-consultation-262019</vt:lpwstr>
      </vt:variant>
      <vt:variant>
        <vt:lpwstr/>
      </vt:variant>
      <vt:variant>
        <vt:i4>2097192</vt:i4>
      </vt:variant>
      <vt:variant>
        <vt:i4>303</vt:i4>
      </vt:variant>
      <vt:variant>
        <vt:i4>0</vt:i4>
      </vt:variant>
      <vt:variant>
        <vt:i4>5</vt:i4>
      </vt:variant>
      <vt:variant>
        <vt:lpwstr>https://www.acma.gov.au/privacy-policy</vt:lpwstr>
      </vt:variant>
      <vt:variant>
        <vt:lpwstr/>
      </vt:variant>
      <vt:variant>
        <vt:i4>3473455</vt:i4>
      </vt:variant>
      <vt:variant>
        <vt:i4>300</vt:i4>
      </vt:variant>
      <vt:variant>
        <vt:i4>0</vt:i4>
      </vt:variant>
      <vt:variant>
        <vt:i4>5</vt:i4>
      </vt:variant>
      <vt:variant>
        <vt:lpwstr>https://www.acma.gov.au/publication-submissions</vt:lpwstr>
      </vt:variant>
      <vt:variant>
        <vt:lpwstr/>
      </vt:variant>
      <vt:variant>
        <vt:i4>4325416</vt:i4>
      </vt:variant>
      <vt:variant>
        <vt:i4>297</vt:i4>
      </vt:variant>
      <vt:variant>
        <vt:i4>0</vt:i4>
      </vt:variant>
      <vt:variant>
        <vt:i4>5</vt:i4>
      </vt:variant>
      <vt:variant>
        <vt:lpwstr>mailto:freqplan@acma.gov.au</vt:lpwstr>
      </vt:variant>
      <vt:variant>
        <vt:lpwstr/>
      </vt:variant>
      <vt:variant>
        <vt:i4>5308427</vt:i4>
      </vt:variant>
      <vt:variant>
        <vt:i4>294</vt:i4>
      </vt:variant>
      <vt:variant>
        <vt:i4>0</vt:i4>
      </vt:variant>
      <vt:variant>
        <vt:i4>5</vt:i4>
      </vt:variant>
      <vt:variant>
        <vt:lpwstr>https://www.acma.gov.au/have-your-say</vt:lpwstr>
      </vt:variant>
      <vt:variant>
        <vt:lpwstr/>
      </vt:variant>
      <vt:variant>
        <vt:i4>2555935</vt:i4>
      </vt:variant>
      <vt:variant>
        <vt:i4>291</vt:i4>
      </vt:variant>
      <vt:variant>
        <vt:i4>0</vt:i4>
      </vt:variant>
      <vt:variant>
        <vt:i4>5</vt:i4>
      </vt:variant>
      <vt:variant>
        <vt:lpwstr/>
      </vt:variant>
      <vt:variant>
        <vt:lpwstr>_Appendix_G:_Cost-benefit</vt:lpwstr>
      </vt:variant>
      <vt:variant>
        <vt:i4>6291477</vt:i4>
      </vt:variant>
      <vt:variant>
        <vt:i4>288</vt:i4>
      </vt:variant>
      <vt:variant>
        <vt:i4>0</vt:i4>
      </vt:variant>
      <vt:variant>
        <vt:i4>5</vt:i4>
      </vt:variant>
      <vt:variant>
        <vt:lpwstr/>
      </vt:variant>
      <vt:variant>
        <vt:lpwstr>_Appendix_B:_Domestic</vt:lpwstr>
      </vt:variant>
      <vt:variant>
        <vt:i4>65644</vt:i4>
      </vt:variant>
      <vt:variant>
        <vt:i4>282</vt:i4>
      </vt:variant>
      <vt:variant>
        <vt:i4>0</vt:i4>
      </vt:variant>
      <vt:variant>
        <vt:i4>5</vt:i4>
      </vt:variant>
      <vt:variant>
        <vt:lpwstr/>
      </vt:variant>
      <vt:variant>
        <vt:lpwstr>_Appendix_E:_Television</vt:lpwstr>
      </vt:variant>
      <vt:variant>
        <vt:i4>4522063</vt:i4>
      </vt:variant>
      <vt:variant>
        <vt:i4>279</vt:i4>
      </vt:variant>
      <vt:variant>
        <vt:i4>0</vt:i4>
      </vt:variant>
      <vt:variant>
        <vt:i4>5</vt:i4>
      </vt:variant>
      <vt:variant>
        <vt:lpwstr>https://www.acma.gov.au/sites/default/files/2019-11/BOP Space Space Receive.docx</vt:lpwstr>
      </vt:variant>
      <vt:variant>
        <vt:lpwstr/>
      </vt:variant>
      <vt:variant>
        <vt:i4>262169</vt:i4>
      </vt:variant>
      <vt:variant>
        <vt:i4>276</vt:i4>
      </vt:variant>
      <vt:variant>
        <vt:i4>0</vt:i4>
      </vt:variant>
      <vt:variant>
        <vt:i4>5</vt:i4>
      </vt:variant>
      <vt:variant>
        <vt:lpwstr>https://www.legislation.gov.au/Series/F2014L01586</vt:lpwstr>
      </vt:variant>
      <vt:variant>
        <vt:lpwstr/>
      </vt:variant>
      <vt:variant>
        <vt:i4>262169</vt:i4>
      </vt:variant>
      <vt:variant>
        <vt:i4>273</vt:i4>
      </vt:variant>
      <vt:variant>
        <vt:i4>0</vt:i4>
      </vt:variant>
      <vt:variant>
        <vt:i4>5</vt:i4>
      </vt:variant>
      <vt:variant>
        <vt:lpwstr>https://www.legislation.gov.au/Series/F2014L01584</vt:lpwstr>
      </vt:variant>
      <vt:variant>
        <vt:lpwstr/>
      </vt:variant>
      <vt:variant>
        <vt:i4>262169</vt:i4>
      </vt:variant>
      <vt:variant>
        <vt:i4>270</vt:i4>
      </vt:variant>
      <vt:variant>
        <vt:i4>0</vt:i4>
      </vt:variant>
      <vt:variant>
        <vt:i4>5</vt:i4>
      </vt:variant>
      <vt:variant>
        <vt:lpwstr>https://www.legislation.gov.au/Series/F2015L01486</vt:lpwstr>
      </vt:variant>
      <vt:variant>
        <vt:lpwstr/>
      </vt:variant>
      <vt:variant>
        <vt:i4>917533</vt:i4>
      </vt:variant>
      <vt:variant>
        <vt:i4>267</vt:i4>
      </vt:variant>
      <vt:variant>
        <vt:i4>0</vt:i4>
      </vt:variant>
      <vt:variant>
        <vt:i4>5</vt:i4>
      </vt:variant>
      <vt:variant>
        <vt:lpwstr>https://www.legislation.gov.au/Series/F2012L00731</vt:lpwstr>
      </vt:variant>
      <vt:variant>
        <vt:lpwstr/>
      </vt:variant>
      <vt:variant>
        <vt:i4>4522063</vt:i4>
      </vt:variant>
      <vt:variant>
        <vt:i4>264</vt:i4>
      </vt:variant>
      <vt:variant>
        <vt:i4>0</vt:i4>
      </vt:variant>
      <vt:variant>
        <vt:i4>5</vt:i4>
      </vt:variant>
      <vt:variant>
        <vt:lpwstr>https://www.acma.gov.au/sites/default/files/2019-11/BOP Space Space Receive.docx</vt:lpwstr>
      </vt:variant>
      <vt:variant>
        <vt:lpwstr/>
      </vt:variant>
      <vt:variant>
        <vt:i4>4522063</vt:i4>
      </vt:variant>
      <vt:variant>
        <vt:i4>261</vt:i4>
      </vt:variant>
      <vt:variant>
        <vt:i4>0</vt:i4>
      </vt:variant>
      <vt:variant>
        <vt:i4>5</vt:i4>
      </vt:variant>
      <vt:variant>
        <vt:lpwstr>https://www.acma.gov.au/sites/default/files/2019-11/BOP Space Space Receive.docx</vt:lpwstr>
      </vt:variant>
      <vt:variant>
        <vt:lpwstr/>
      </vt:variant>
      <vt:variant>
        <vt:i4>4522063</vt:i4>
      </vt:variant>
      <vt:variant>
        <vt:i4>258</vt:i4>
      </vt:variant>
      <vt:variant>
        <vt:i4>0</vt:i4>
      </vt:variant>
      <vt:variant>
        <vt:i4>5</vt:i4>
      </vt:variant>
      <vt:variant>
        <vt:lpwstr>https://www.acma.gov.au/sites/default/files/2019-11/BOP Space Space Receive.docx</vt:lpwstr>
      </vt:variant>
      <vt:variant>
        <vt:lpwstr/>
      </vt:variant>
      <vt:variant>
        <vt:i4>327791</vt:i4>
      </vt:variant>
      <vt:variant>
        <vt:i4>255</vt:i4>
      </vt:variant>
      <vt:variant>
        <vt:i4>0</vt:i4>
      </vt:variant>
      <vt:variant>
        <vt:i4>5</vt:i4>
      </vt:variant>
      <vt:variant>
        <vt:lpwstr/>
      </vt:variant>
      <vt:variant>
        <vt:lpwstr>_Appendix_C:_Technical</vt:lpwstr>
      </vt:variant>
      <vt:variant>
        <vt:i4>983065</vt:i4>
      </vt:variant>
      <vt:variant>
        <vt:i4>252</vt:i4>
      </vt:variant>
      <vt:variant>
        <vt:i4>0</vt:i4>
      </vt:variant>
      <vt:variant>
        <vt:i4>5</vt:i4>
      </vt:variant>
      <vt:variant>
        <vt:lpwstr>https://www.legislation.gov.au/Series/F2015L01438</vt:lpwstr>
      </vt:variant>
      <vt:variant>
        <vt:lpwstr/>
      </vt:variant>
      <vt:variant>
        <vt:i4>6291517</vt:i4>
      </vt:variant>
      <vt:variant>
        <vt:i4>249</vt:i4>
      </vt:variant>
      <vt:variant>
        <vt:i4>0</vt:i4>
      </vt:variant>
      <vt:variant>
        <vt:i4>5</vt:i4>
      </vt:variant>
      <vt:variant>
        <vt:lpwstr>https://web.acma.gov.au/rrl/spectrum_search.show_table?pSV_ID=85&amp;pSS_ID=854</vt:lpwstr>
      </vt:variant>
      <vt:variant>
        <vt:lpwstr/>
      </vt:variant>
      <vt:variant>
        <vt:i4>7405575</vt:i4>
      </vt:variant>
      <vt:variant>
        <vt:i4>246</vt:i4>
      </vt:variant>
      <vt:variant>
        <vt:i4>0</vt:i4>
      </vt:variant>
      <vt:variant>
        <vt:i4>5</vt:i4>
      </vt:variant>
      <vt:variant>
        <vt:lpwstr/>
      </vt:variant>
      <vt:variant>
        <vt:lpwstr>_Appendix_F:_Geographical</vt:lpwstr>
      </vt:variant>
      <vt:variant>
        <vt:i4>6291477</vt:i4>
      </vt:variant>
      <vt:variant>
        <vt:i4>243</vt:i4>
      </vt:variant>
      <vt:variant>
        <vt:i4>0</vt:i4>
      </vt:variant>
      <vt:variant>
        <vt:i4>5</vt:i4>
      </vt:variant>
      <vt:variant>
        <vt:lpwstr/>
      </vt:variant>
      <vt:variant>
        <vt:lpwstr>_Appendix_B:_Domestic</vt:lpwstr>
      </vt:variant>
      <vt:variant>
        <vt:i4>6422589</vt:i4>
      </vt:variant>
      <vt:variant>
        <vt:i4>240</vt:i4>
      </vt:variant>
      <vt:variant>
        <vt:i4>0</vt:i4>
      </vt:variant>
      <vt:variant>
        <vt:i4>5</vt:i4>
      </vt:variant>
      <vt:variant>
        <vt:lpwstr>https://web.acma.gov.au/rrl/spectrum_search.show_table?pSV_ID=85&amp;pSS_ID=872</vt:lpwstr>
      </vt:variant>
      <vt:variant>
        <vt:lpwstr/>
      </vt:variant>
      <vt:variant>
        <vt:i4>1900662</vt:i4>
      </vt:variant>
      <vt:variant>
        <vt:i4>237</vt:i4>
      </vt:variant>
      <vt:variant>
        <vt:i4>0</vt:i4>
      </vt:variant>
      <vt:variant>
        <vt:i4>5</vt:i4>
      </vt:variant>
      <vt:variant>
        <vt:lpwstr/>
      </vt:variant>
      <vt:variant>
        <vt:lpwstr>_Appendix_A:_Responses</vt:lpwstr>
      </vt:variant>
      <vt:variant>
        <vt:i4>2031688</vt:i4>
      </vt:variant>
      <vt:variant>
        <vt:i4>234</vt:i4>
      </vt:variant>
      <vt:variant>
        <vt:i4>0</vt:i4>
      </vt:variant>
      <vt:variant>
        <vt:i4>5</vt:i4>
      </vt:variant>
      <vt:variant>
        <vt:lpwstr>https://www.acma.gov.au/consultations/2019-09/planning-2-ghz-band-consultation-262019</vt:lpwstr>
      </vt:variant>
      <vt:variant>
        <vt:lpwstr/>
      </vt:variant>
      <vt:variant>
        <vt:i4>2031688</vt:i4>
      </vt:variant>
      <vt:variant>
        <vt:i4>231</vt:i4>
      </vt:variant>
      <vt:variant>
        <vt:i4>0</vt:i4>
      </vt:variant>
      <vt:variant>
        <vt:i4>5</vt:i4>
      </vt:variant>
      <vt:variant>
        <vt:lpwstr>https://www.acma.gov.au/consultations/2019-09/planning-2-ghz-band-consultation-262019</vt:lpwstr>
      </vt:variant>
      <vt:variant>
        <vt:lpwstr/>
      </vt:variant>
      <vt:variant>
        <vt:i4>1572975</vt:i4>
      </vt:variant>
      <vt:variant>
        <vt:i4>228</vt:i4>
      </vt:variant>
      <vt:variant>
        <vt:i4>0</vt:i4>
      </vt:variant>
      <vt:variant>
        <vt:i4>5</vt:i4>
      </vt:variant>
      <vt:variant>
        <vt:lpwstr>mailto:wrc@communications.gov.au</vt:lpwstr>
      </vt:variant>
      <vt:variant>
        <vt:lpwstr/>
      </vt:variant>
      <vt:variant>
        <vt:i4>7208970</vt:i4>
      </vt:variant>
      <vt:variant>
        <vt:i4>225</vt:i4>
      </vt:variant>
      <vt:variant>
        <vt:i4>0</vt:i4>
      </vt:variant>
      <vt:variant>
        <vt:i4>5</vt:i4>
      </vt:variant>
      <vt:variant>
        <vt:lpwstr>mailto:irs@acma.gov.au</vt:lpwstr>
      </vt:variant>
      <vt:variant>
        <vt:lpwstr/>
      </vt:variant>
      <vt:variant>
        <vt:i4>983135</vt:i4>
      </vt:variant>
      <vt:variant>
        <vt:i4>222</vt:i4>
      </vt:variant>
      <vt:variant>
        <vt:i4>0</vt:i4>
      </vt:variant>
      <vt:variant>
        <vt:i4>5</vt:i4>
      </vt:variant>
      <vt:variant>
        <vt:lpwstr>https://www.acma.gov.au/international-radiocommunications-activities</vt:lpwstr>
      </vt:variant>
      <vt:variant>
        <vt:lpwstr/>
      </vt:variant>
      <vt:variant>
        <vt:i4>3801128</vt:i4>
      </vt:variant>
      <vt:variant>
        <vt:i4>219</vt:i4>
      </vt:variant>
      <vt:variant>
        <vt:i4>0</vt:i4>
      </vt:variant>
      <vt:variant>
        <vt:i4>5</vt:i4>
      </vt:variant>
      <vt:variant>
        <vt:lpwstr>https://www.acma.gov.au/consultations/2020-04/draft-five-year-spectrum-outlook-2020-24-consultation-092020</vt:lpwstr>
      </vt:variant>
      <vt:variant>
        <vt:lpwstr/>
      </vt:variant>
      <vt:variant>
        <vt:i4>4784135</vt:i4>
      </vt:variant>
      <vt:variant>
        <vt:i4>216</vt:i4>
      </vt:variant>
      <vt:variant>
        <vt:i4>0</vt:i4>
      </vt:variant>
      <vt:variant>
        <vt:i4>5</vt:i4>
      </vt:variant>
      <vt:variant>
        <vt:lpwstr>https://www.acma.gov.au/consultations/2020-02/implementation-spectrum-pricing-review-consultation-072020</vt:lpwstr>
      </vt:variant>
      <vt:variant>
        <vt:lpwstr/>
      </vt:variant>
      <vt:variant>
        <vt:i4>1638470</vt:i4>
      </vt:variant>
      <vt:variant>
        <vt:i4>213</vt:i4>
      </vt:variant>
      <vt:variant>
        <vt:i4>0</vt:i4>
      </vt:variant>
      <vt:variant>
        <vt:i4>5</vt:i4>
      </vt:variant>
      <vt:variant>
        <vt:lpwstr>https://www.acma.gov.au/object-and-scope-radiocommunications-act-1992</vt:lpwstr>
      </vt:variant>
      <vt:variant>
        <vt:lpwstr/>
      </vt:variant>
      <vt:variant>
        <vt:i4>8323190</vt:i4>
      </vt:variant>
      <vt:variant>
        <vt:i4>210</vt:i4>
      </vt:variant>
      <vt:variant>
        <vt:i4>0</vt:i4>
      </vt:variant>
      <vt:variant>
        <vt:i4>5</vt:i4>
      </vt:variant>
      <vt:variant>
        <vt:lpwstr>https://www.acma.gov.au/area-wide-apparatus-licence</vt:lpwstr>
      </vt:variant>
      <vt:variant>
        <vt:lpwstr/>
      </vt:variant>
      <vt:variant>
        <vt:i4>6488127</vt:i4>
      </vt:variant>
      <vt:variant>
        <vt:i4>207</vt:i4>
      </vt:variant>
      <vt:variant>
        <vt:i4>0</vt:i4>
      </vt:variant>
      <vt:variant>
        <vt:i4>5</vt:i4>
      </vt:variant>
      <vt:variant>
        <vt:lpwstr>https://www.acma.gov.au/fees-apparatus-licences</vt:lpwstr>
      </vt:variant>
      <vt:variant>
        <vt:lpwstr/>
      </vt:variant>
      <vt:variant>
        <vt:i4>2424913</vt:i4>
      </vt:variant>
      <vt:variant>
        <vt:i4>204</vt:i4>
      </vt:variant>
      <vt:variant>
        <vt:i4>0</vt:i4>
      </vt:variant>
      <vt:variant>
        <vt:i4>5</vt:i4>
      </vt:variant>
      <vt:variant>
        <vt:lpwstr>https://www.aph.gov.au/Parliamentary_Business/Committees/House/Communications/5G/Report</vt:lpwstr>
      </vt:variant>
      <vt:variant>
        <vt:lpwstr/>
      </vt:variant>
      <vt:variant>
        <vt:i4>6488165</vt:i4>
      </vt:variant>
      <vt:variant>
        <vt:i4>201</vt:i4>
      </vt:variant>
      <vt:variant>
        <vt:i4>0</vt:i4>
      </vt:variant>
      <vt:variant>
        <vt:i4>5</vt:i4>
      </vt:variant>
      <vt:variant>
        <vt:lpwstr>https://www.industry.gov.au/data-and-publications/australian-civil-space-strategy-2019-2028/national-civil-space-priority-areas</vt:lpwstr>
      </vt:variant>
      <vt:variant>
        <vt:lpwstr/>
      </vt:variant>
      <vt:variant>
        <vt:i4>6881406</vt:i4>
      </vt:variant>
      <vt:variant>
        <vt:i4>198</vt:i4>
      </vt:variant>
      <vt:variant>
        <vt:i4>0</vt:i4>
      </vt:variant>
      <vt:variant>
        <vt:i4>5</vt:i4>
      </vt:variant>
      <vt:variant>
        <vt:lpwstr>https://www.industry.gov.au/data-and-publications/australian-civil-space-strategy-2019-2028</vt:lpwstr>
      </vt:variant>
      <vt:variant>
        <vt:lpwstr/>
      </vt:variant>
      <vt:variant>
        <vt:i4>5373953</vt:i4>
      </vt:variant>
      <vt:variant>
        <vt:i4>195</vt:i4>
      </vt:variant>
      <vt:variant>
        <vt:i4>0</vt:i4>
      </vt:variant>
      <vt:variant>
        <vt:i4>5</vt:i4>
      </vt:variant>
      <vt:variant>
        <vt:lpwstr>https://www.industry.gov.au/news-media/australias-tech-future</vt:lpwstr>
      </vt:variant>
      <vt:variant>
        <vt:lpwstr/>
      </vt:variant>
      <vt:variant>
        <vt:i4>8257574</vt:i4>
      </vt:variant>
      <vt:variant>
        <vt:i4>192</vt:i4>
      </vt:variant>
      <vt:variant>
        <vt:i4>0</vt:i4>
      </vt:variant>
      <vt:variant>
        <vt:i4>5</vt:i4>
      </vt:variant>
      <vt:variant>
        <vt:lpwstr>https://www.communications.gov.au/departmental-news/5g-enabling-future-economy</vt:lpwstr>
      </vt:variant>
      <vt:variant>
        <vt:lpwstr/>
      </vt:variant>
      <vt:variant>
        <vt:i4>196637</vt:i4>
      </vt:variant>
      <vt:variant>
        <vt:i4>189</vt:i4>
      </vt:variant>
      <vt:variant>
        <vt:i4>0</vt:i4>
      </vt:variant>
      <vt:variant>
        <vt:i4>5</vt:i4>
      </vt:variant>
      <vt:variant>
        <vt:lpwstr>https://www.legislation.gov.au/Series/C2004A04465</vt:lpwstr>
      </vt:variant>
      <vt:variant>
        <vt:lpwstr/>
      </vt:variant>
      <vt:variant>
        <vt:i4>2031688</vt:i4>
      </vt:variant>
      <vt:variant>
        <vt:i4>186</vt:i4>
      </vt:variant>
      <vt:variant>
        <vt:i4>0</vt:i4>
      </vt:variant>
      <vt:variant>
        <vt:i4>5</vt:i4>
      </vt:variant>
      <vt:variant>
        <vt:lpwstr>https://www.acma.gov.au/consultations/2019-09/planning-2-ghz-band-consultation-262019</vt:lpwstr>
      </vt:variant>
      <vt:variant>
        <vt:lpwstr/>
      </vt:variant>
      <vt:variant>
        <vt:i4>6226041</vt:i4>
      </vt:variant>
      <vt:variant>
        <vt:i4>183</vt:i4>
      </vt:variant>
      <vt:variant>
        <vt:i4>0</vt:i4>
      </vt:variant>
      <vt:variant>
        <vt:i4>5</vt:i4>
      </vt:variant>
      <vt:variant>
        <vt:lpwstr/>
      </vt:variant>
      <vt:variant>
        <vt:lpwstr>_Invitation_to_comment</vt:lpwstr>
      </vt:variant>
      <vt:variant>
        <vt:i4>2031688</vt:i4>
      </vt:variant>
      <vt:variant>
        <vt:i4>180</vt:i4>
      </vt:variant>
      <vt:variant>
        <vt:i4>0</vt:i4>
      </vt:variant>
      <vt:variant>
        <vt:i4>5</vt:i4>
      </vt:variant>
      <vt:variant>
        <vt:lpwstr>https://www.acma.gov.au/consultations/2019-09/planning-2-ghz-band-consultation-262019</vt:lpwstr>
      </vt:variant>
      <vt:variant>
        <vt:lpwstr/>
      </vt:variant>
      <vt:variant>
        <vt:i4>6225960</vt:i4>
      </vt:variant>
      <vt:variant>
        <vt:i4>3</vt:i4>
      </vt:variant>
      <vt:variant>
        <vt:i4>0</vt:i4>
      </vt:variant>
      <vt:variant>
        <vt:i4>5</vt:i4>
      </vt:variant>
      <vt:variant>
        <vt:lpwstr>mailto:info@acma.gov.au</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1245192</vt:i4>
      </vt:variant>
      <vt:variant>
        <vt:i4>78</vt:i4>
      </vt:variant>
      <vt:variant>
        <vt:i4>0</vt:i4>
      </vt:variant>
      <vt:variant>
        <vt:i4>5</vt:i4>
      </vt:variant>
      <vt:variant>
        <vt:lpwstr>https://www.acma.gov.au/auction-summary-36-ghz-band-2018</vt:lpwstr>
      </vt:variant>
      <vt:variant>
        <vt:lpwstr/>
      </vt:variant>
      <vt:variant>
        <vt:i4>7471203</vt:i4>
      </vt:variant>
      <vt:variant>
        <vt:i4>75</vt:i4>
      </vt:variant>
      <vt:variant>
        <vt:i4>0</vt:i4>
      </vt:variant>
      <vt:variant>
        <vt:i4>5</vt:i4>
      </vt:variant>
      <vt:variant>
        <vt:lpwstr>https://www.acma.gov.au/technical-frameworks-spectrum-licences</vt:lpwstr>
      </vt:variant>
      <vt:variant>
        <vt:lpwstr/>
      </vt:variant>
      <vt:variant>
        <vt:i4>2621483</vt:i4>
      </vt:variant>
      <vt:variant>
        <vt:i4>72</vt:i4>
      </vt:variant>
      <vt:variant>
        <vt:i4>0</vt:i4>
      </vt:variant>
      <vt:variant>
        <vt:i4>5</vt:i4>
      </vt:variant>
      <vt:variant>
        <vt:lpwstr>https://www.acma.gov.au/publications/2016-01/report/2-ghz-tlg-package-2016</vt:lpwstr>
      </vt:variant>
      <vt:variant>
        <vt:lpwstr/>
      </vt:variant>
      <vt:variant>
        <vt:i4>1441816</vt:i4>
      </vt:variant>
      <vt:variant>
        <vt:i4>69</vt:i4>
      </vt:variant>
      <vt:variant>
        <vt:i4>0</vt:i4>
      </vt:variant>
      <vt:variant>
        <vt:i4>5</vt:i4>
      </vt:variant>
      <vt:variant>
        <vt:lpwstr>https://www.acma.gov.au/procedures-space-and-space-receive-licensing</vt:lpwstr>
      </vt:variant>
      <vt:variant>
        <vt:lpwstr/>
      </vt:variant>
      <vt:variant>
        <vt:i4>6029313</vt:i4>
      </vt:variant>
      <vt:variant>
        <vt:i4>66</vt:i4>
      </vt:variant>
      <vt:variant>
        <vt:i4>0</vt:i4>
      </vt:variant>
      <vt:variant>
        <vt:i4>5</vt:i4>
      </vt:variant>
      <vt:variant>
        <vt:lpwstr>https://www.ecodocdb.dk/download/cdf6fecf-f27e/ECCDEC0609.PDF</vt:lpwstr>
      </vt:variant>
      <vt:variant>
        <vt:lpwstr/>
      </vt:variant>
      <vt:variant>
        <vt:i4>1704051</vt:i4>
      </vt:variant>
      <vt:variant>
        <vt:i4>63</vt:i4>
      </vt:variant>
      <vt:variant>
        <vt:i4>0</vt:i4>
      </vt:variant>
      <vt:variant>
        <vt:i4>5</vt:i4>
      </vt:variant>
      <vt:variant>
        <vt:lpwstr>http://www.3gpp.org/ftp/Specs/archive/38_series/38.101-1/38101-1-g20.zip</vt:lpwstr>
      </vt:variant>
      <vt:variant>
        <vt:lpwstr/>
      </vt:variant>
      <vt:variant>
        <vt:i4>7667828</vt:i4>
      </vt:variant>
      <vt:variant>
        <vt:i4>60</vt:i4>
      </vt:variant>
      <vt:variant>
        <vt:i4>0</vt:i4>
      </vt:variant>
      <vt:variant>
        <vt:i4>5</vt:i4>
      </vt:variant>
      <vt:variant>
        <vt:lpwstr>https://www.ecodocdb.dk/download/7415162b-af4b/ECTRADEC9901.PDF</vt:lpwstr>
      </vt:variant>
      <vt:variant>
        <vt:lpwstr/>
      </vt:variant>
      <vt:variant>
        <vt:i4>6291517</vt:i4>
      </vt:variant>
      <vt:variant>
        <vt:i4>57</vt:i4>
      </vt:variant>
      <vt:variant>
        <vt:i4>0</vt:i4>
      </vt:variant>
      <vt:variant>
        <vt:i4>5</vt:i4>
      </vt:variant>
      <vt:variant>
        <vt:lpwstr>https://web.acma.gov.au/rrl/spectrum_search.show_table?pSV_ID=85&amp;pSS_ID=857</vt:lpwstr>
      </vt:variant>
      <vt:variant>
        <vt:lpwstr/>
      </vt:variant>
      <vt:variant>
        <vt:i4>6291517</vt:i4>
      </vt:variant>
      <vt:variant>
        <vt:i4>54</vt:i4>
      </vt:variant>
      <vt:variant>
        <vt:i4>0</vt:i4>
      </vt:variant>
      <vt:variant>
        <vt:i4>5</vt:i4>
      </vt:variant>
      <vt:variant>
        <vt:lpwstr>https://web.acma.gov.au/rrl/spectrum_search.show_table?pSV_ID=85&amp;pSS_ID=854</vt:lpwstr>
      </vt:variant>
      <vt:variant>
        <vt:lpwstr/>
      </vt:variant>
      <vt:variant>
        <vt:i4>6750331</vt:i4>
      </vt:variant>
      <vt:variant>
        <vt:i4>51</vt:i4>
      </vt:variant>
      <vt:variant>
        <vt:i4>0</vt:i4>
      </vt:variant>
      <vt:variant>
        <vt:i4>5</vt:i4>
      </vt:variant>
      <vt:variant>
        <vt:lpwstr>https://www.acma.gov.au/publications/2019-09/publication/rali-fx21-television-outside-broadcasting-services</vt:lpwstr>
      </vt:variant>
      <vt:variant>
        <vt:lpwstr/>
      </vt:variant>
      <vt:variant>
        <vt:i4>3342443</vt:i4>
      </vt:variant>
      <vt:variant>
        <vt:i4>48</vt:i4>
      </vt:variant>
      <vt:variant>
        <vt:i4>0</vt:i4>
      </vt:variant>
      <vt:variant>
        <vt:i4>5</vt:i4>
      </vt:variant>
      <vt:variant>
        <vt:lpwstr>https://www.acma.gov.au/current-and-past-spectrum-embargoes</vt:lpwstr>
      </vt:variant>
      <vt:variant>
        <vt:lpwstr/>
      </vt:variant>
      <vt:variant>
        <vt:i4>1769540</vt:i4>
      </vt:variant>
      <vt:variant>
        <vt:i4>45</vt:i4>
      </vt:variant>
      <vt:variant>
        <vt:i4>0</vt:i4>
      </vt:variant>
      <vt:variant>
        <vt:i4>5</vt:i4>
      </vt:variant>
      <vt:variant>
        <vt:lpwstr>https://www.acma.gov.au/node/773</vt:lpwstr>
      </vt:variant>
      <vt:variant>
        <vt:lpwstr/>
      </vt:variant>
      <vt:variant>
        <vt:i4>1835010</vt:i4>
      </vt:variant>
      <vt:variant>
        <vt:i4>42</vt:i4>
      </vt:variant>
      <vt:variant>
        <vt:i4>0</vt:i4>
      </vt:variant>
      <vt:variant>
        <vt:i4>5</vt:i4>
      </vt:variant>
      <vt:variant>
        <vt:lpwstr>https://www.acma.gov.au/spectrum-auctions</vt:lpwstr>
      </vt:variant>
      <vt:variant>
        <vt:lpwstr/>
      </vt:variant>
      <vt:variant>
        <vt:i4>917533</vt:i4>
      </vt:variant>
      <vt:variant>
        <vt:i4>39</vt:i4>
      </vt:variant>
      <vt:variant>
        <vt:i4>0</vt:i4>
      </vt:variant>
      <vt:variant>
        <vt:i4>5</vt:i4>
      </vt:variant>
      <vt:variant>
        <vt:lpwstr>https://www.legislation.gov.au/Series/F2012L00731</vt:lpwstr>
      </vt:variant>
      <vt:variant>
        <vt:lpwstr/>
      </vt:variant>
      <vt:variant>
        <vt:i4>8257651</vt:i4>
      </vt:variant>
      <vt:variant>
        <vt:i4>36</vt:i4>
      </vt:variant>
      <vt:variant>
        <vt:i4>0</vt:i4>
      </vt:variant>
      <vt:variant>
        <vt:i4>5</vt:i4>
      </vt:variant>
      <vt:variant>
        <vt:lpwstr>https://www.acma.gov.au/publications/2019-09/publication/rali-fx3-microwave-fixed-services</vt:lpwstr>
      </vt:variant>
      <vt:variant>
        <vt:lpwstr/>
      </vt:variant>
      <vt:variant>
        <vt:i4>3080202</vt:i4>
      </vt:variant>
      <vt:variant>
        <vt:i4>33</vt:i4>
      </vt:variant>
      <vt:variant>
        <vt:i4>0</vt:i4>
      </vt:variant>
      <vt:variant>
        <vt:i4>5</vt:i4>
      </vt:variant>
      <vt:variant>
        <vt:lpwstr>https://www.itu.int/dms_pub/itu-r/opb/rep/R-REP-BT.2069-7-2017-PDF-E.pdf</vt:lpwstr>
      </vt:variant>
      <vt:variant>
        <vt:lpwstr/>
      </vt:variant>
      <vt:variant>
        <vt:i4>6422632</vt:i4>
      </vt:variant>
      <vt:variant>
        <vt:i4>30</vt:i4>
      </vt:variant>
      <vt:variant>
        <vt:i4>0</vt:i4>
      </vt:variant>
      <vt:variant>
        <vt:i4>5</vt:i4>
      </vt:variant>
      <vt:variant>
        <vt:lpwstr>https://gsacom.com/</vt:lpwstr>
      </vt:variant>
      <vt:variant>
        <vt:lpwstr/>
      </vt:variant>
      <vt:variant>
        <vt:i4>6815836</vt:i4>
      </vt:variant>
      <vt:variant>
        <vt:i4>27</vt:i4>
      </vt:variant>
      <vt:variant>
        <vt:i4>0</vt:i4>
      </vt:variant>
      <vt:variant>
        <vt:i4>5</vt:i4>
      </vt:variant>
      <vt:variant>
        <vt:lpwstr>http://www.3gpp.org/ftp//Specs/archive/38_series/38.821/38821-g00.zip</vt:lpwstr>
      </vt:variant>
      <vt:variant>
        <vt:lpwstr/>
      </vt:variant>
      <vt:variant>
        <vt:i4>6946909</vt:i4>
      </vt:variant>
      <vt:variant>
        <vt:i4>24</vt:i4>
      </vt:variant>
      <vt:variant>
        <vt:i4>0</vt:i4>
      </vt:variant>
      <vt:variant>
        <vt:i4>5</vt:i4>
      </vt:variant>
      <vt:variant>
        <vt:lpwstr>http://www.3gpp.org/ftp//Specs/archive/38_series/38.811/38811-f20.zip</vt:lpwstr>
      </vt:variant>
      <vt:variant>
        <vt:lpwstr/>
      </vt:variant>
      <vt:variant>
        <vt:i4>8192124</vt:i4>
      </vt:variant>
      <vt:variant>
        <vt:i4>21</vt:i4>
      </vt:variant>
      <vt:variant>
        <vt:i4>0</vt:i4>
      </vt:variant>
      <vt:variant>
        <vt:i4>5</vt:i4>
      </vt:variant>
      <vt:variant>
        <vt:lpwstr>https://www.3gpp.org/DynaReport/38101-1.htm</vt:lpwstr>
      </vt:variant>
      <vt:variant>
        <vt:lpwstr/>
      </vt:variant>
      <vt:variant>
        <vt:i4>7405695</vt:i4>
      </vt:variant>
      <vt:variant>
        <vt:i4>18</vt:i4>
      </vt:variant>
      <vt:variant>
        <vt:i4>0</vt:i4>
      </vt:variant>
      <vt:variant>
        <vt:i4>5</vt:i4>
      </vt:variant>
      <vt:variant>
        <vt:lpwstr>https://eur-lex.europa.eu/legal-content/EN/TXT/?uri=CELEX%3A32009D0449</vt:lpwstr>
      </vt:variant>
      <vt:variant>
        <vt:lpwstr/>
      </vt:variant>
      <vt:variant>
        <vt:i4>6029313</vt:i4>
      </vt:variant>
      <vt:variant>
        <vt:i4>15</vt:i4>
      </vt:variant>
      <vt:variant>
        <vt:i4>0</vt:i4>
      </vt:variant>
      <vt:variant>
        <vt:i4>5</vt:i4>
      </vt:variant>
      <vt:variant>
        <vt:lpwstr>https://www.ecodocdb.dk/download/cdf6fecf-f27e/ECCDEC0609.PDF</vt:lpwstr>
      </vt:variant>
      <vt:variant>
        <vt:lpwstr/>
      </vt:variant>
      <vt:variant>
        <vt:i4>8126519</vt:i4>
      </vt:variant>
      <vt:variant>
        <vt:i4>12</vt:i4>
      </vt:variant>
      <vt:variant>
        <vt:i4>0</vt:i4>
      </vt:variant>
      <vt:variant>
        <vt:i4>5</vt:i4>
      </vt:variant>
      <vt:variant>
        <vt:lpwstr>https://www.acma.gov.au/sites/default/files/2019-08/ACMA corporate plan 2019-20.pdf</vt:lpwstr>
      </vt:variant>
      <vt:variant>
        <vt:lpwstr/>
      </vt:variant>
      <vt:variant>
        <vt:i4>8257651</vt:i4>
      </vt:variant>
      <vt:variant>
        <vt:i4>9</vt:i4>
      </vt:variant>
      <vt:variant>
        <vt:i4>0</vt:i4>
      </vt:variant>
      <vt:variant>
        <vt:i4>5</vt:i4>
      </vt:variant>
      <vt:variant>
        <vt:lpwstr>https://www.acma.gov.au/publications/2019-09/publication/rali-fx3-microwave-fixed-services</vt:lpwstr>
      </vt:variant>
      <vt:variant>
        <vt:lpwstr/>
      </vt:variant>
      <vt:variant>
        <vt:i4>458776</vt:i4>
      </vt:variant>
      <vt:variant>
        <vt:i4>6</vt:i4>
      </vt:variant>
      <vt:variant>
        <vt:i4>0</vt:i4>
      </vt:variant>
      <vt:variant>
        <vt:i4>5</vt:i4>
      </vt:variant>
      <vt:variant>
        <vt:lpwstr>https://www.legislation.gov.au/Series/F2011L02181</vt:lpwstr>
      </vt:variant>
      <vt:variant>
        <vt:lpwstr/>
      </vt:variant>
      <vt:variant>
        <vt:i4>655391</vt:i4>
      </vt:variant>
      <vt:variant>
        <vt:i4>3</vt:i4>
      </vt:variant>
      <vt:variant>
        <vt:i4>0</vt:i4>
      </vt:variant>
      <vt:variant>
        <vt:i4>5</vt:i4>
      </vt:variant>
      <vt:variant>
        <vt:lpwstr>https://www.legislation.gov.au/Series/F2012L02552</vt:lpwstr>
      </vt:variant>
      <vt:variant>
        <vt:lpwstr/>
      </vt:variant>
      <vt:variant>
        <vt:i4>720927</vt:i4>
      </vt:variant>
      <vt:variant>
        <vt:i4>0</vt:i4>
      </vt:variant>
      <vt:variant>
        <vt:i4>0</vt:i4>
      </vt:variant>
      <vt:variant>
        <vt:i4>5</vt:i4>
      </vt:variant>
      <vt:variant>
        <vt:lpwstr>https://www.legislation.gov.au/Series/F2012L02542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2020-11-06T03:23:00Z</dcterms:created>
  <dcterms:modified xsi:type="dcterms:W3CDTF">2020-11-06T03:23:00Z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0x010100100ACE45694B3D4892C74020F839F147</vt:lpwstr>
  </property>
</Properties>
</file>