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F2C7" w14:textId="784A81FD" w:rsidR="00F06E14" w:rsidRPr="00A17B1B" w:rsidRDefault="00B84BD6" w:rsidP="00A51D1A">
      <w:pPr>
        <w:pStyle w:val="Reporttitle"/>
      </w:pPr>
      <w:r>
        <w:t xml:space="preserve">Commercial </w:t>
      </w:r>
      <w:r w:rsidR="00187948">
        <w:t>t</w:t>
      </w:r>
      <w:r>
        <w:t xml:space="preserve">elevision </w:t>
      </w:r>
      <w:r w:rsidR="00187948">
        <w:t>c</w:t>
      </w:r>
      <w:r>
        <w:t xml:space="preserve">ompliance with Australian </w:t>
      </w:r>
      <w:r w:rsidR="00187948">
        <w:t>c</w:t>
      </w:r>
      <w:r>
        <w:t xml:space="preserve">ontent </w:t>
      </w:r>
      <w:r w:rsidR="00187948">
        <w:t>r</w:t>
      </w:r>
      <w:r>
        <w:t>equirements</w:t>
      </w:r>
    </w:p>
    <w:p w14:paraId="0D9C607D" w14:textId="3B08F7BD" w:rsidR="00F06E14" w:rsidRPr="00A17B1B" w:rsidRDefault="00B84BD6" w:rsidP="00F06E14">
      <w:pPr>
        <w:pStyle w:val="Reportsubtitle"/>
      </w:pPr>
      <w:r w:rsidRPr="00B84BD6">
        <w:t>2021 compliance report</w:t>
      </w:r>
      <w:r w:rsidR="00187948">
        <w:t>: r</w:t>
      </w:r>
      <w:r w:rsidR="0068669A">
        <w:t xml:space="preserve">egional </w:t>
      </w:r>
      <w:r w:rsidR="00187948">
        <w:t>l</w:t>
      </w:r>
      <w:r w:rsidR="009C32EC">
        <w:t>icences</w:t>
      </w:r>
      <w:r w:rsidR="0068669A">
        <w:t xml:space="preserve"> </w:t>
      </w:r>
    </w:p>
    <w:p w14:paraId="432E449F" w14:textId="04EC5BDD" w:rsidR="006E245F" w:rsidRPr="006E245F" w:rsidRDefault="00CC1DA2" w:rsidP="00EC2B68">
      <w:pPr>
        <w:pStyle w:val="Reportdate"/>
        <w:spacing w:after="720"/>
        <w:sectPr w:rsidR="006E245F" w:rsidRPr="006E245F" w:rsidSect="002E55B6">
          <w:headerReference w:type="default" r:id="rId8"/>
          <w:footerReference w:type="default" r:id="rId9"/>
          <w:headerReference w:type="first" r:id="rId10"/>
          <w:pgSz w:w="11906" w:h="16838" w:code="9"/>
          <w:pgMar w:top="3828" w:right="992" w:bottom="1440" w:left="1134" w:header="709" w:footer="454" w:gutter="0"/>
          <w:cols w:space="708"/>
          <w:docGrid w:linePitch="360"/>
        </w:sectPr>
      </w:pPr>
      <w:r w:rsidRPr="00CC1DA2">
        <w:t xml:space="preserve">september </w:t>
      </w:r>
      <w:r w:rsidR="00BD4421" w:rsidRPr="00CC1DA2">
        <w:t>20</w:t>
      </w:r>
      <w:r w:rsidR="000971BD" w:rsidRPr="00CC1DA2">
        <w:t>2</w:t>
      </w:r>
      <w:r w:rsidR="00A17B1B" w:rsidRPr="00CC1DA2">
        <w:t>2</w:t>
      </w:r>
    </w:p>
    <w:p w14:paraId="610B5DDA" w14:textId="77777777" w:rsidR="00284A74" w:rsidRPr="00A17B1B" w:rsidRDefault="00284A74" w:rsidP="00284A74">
      <w:pPr>
        <w:pStyle w:val="ACMACorporateAddressHeader"/>
      </w:pPr>
      <w:r w:rsidRPr="00A17B1B">
        <w:lastRenderedPageBreak/>
        <w:t>Canberra</w:t>
      </w:r>
    </w:p>
    <w:p w14:paraId="0C1C6916"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38F83241" w14:textId="77777777" w:rsidR="00284A74" w:rsidRPr="00A17B1B" w:rsidRDefault="00284A74" w:rsidP="00284A74">
      <w:pPr>
        <w:pStyle w:val="ACMACorporateAddresses"/>
      </w:pPr>
      <w:r w:rsidRPr="00A17B1B">
        <w:t>PO Box 78</w:t>
      </w:r>
      <w:r w:rsidRPr="00A17B1B">
        <w:br/>
        <w:t>Belconnen ACT 2616</w:t>
      </w:r>
    </w:p>
    <w:p w14:paraId="24ACC979"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13B9E2FA" w14:textId="77777777" w:rsidR="00284A74" w:rsidRPr="00A17B1B" w:rsidRDefault="00284A74" w:rsidP="00284A74">
      <w:pPr>
        <w:pStyle w:val="ACMACorporateAddressHeader"/>
      </w:pPr>
      <w:r w:rsidRPr="00A17B1B">
        <w:t>Melbourne</w:t>
      </w:r>
    </w:p>
    <w:p w14:paraId="5D455740"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48312890"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0EDEEE3"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62F23462" w14:textId="77777777" w:rsidR="00284A74" w:rsidRPr="00A17B1B" w:rsidRDefault="00284A74" w:rsidP="00284A74">
      <w:pPr>
        <w:pStyle w:val="ACMACorporateAddressHeader"/>
      </w:pPr>
      <w:r w:rsidRPr="00A17B1B">
        <w:t>Sydney</w:t>
      </w:r>
    </w:p>
    <w:p w14:paraId="00D07D1B"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595C1EB1"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3E125ABF"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61302CA6" w14:textId="77777777" w:rsidR="00284A74" w:rsidRPr="00A17B1B" w:rsidRDefault="00284A74" w:rsidP="00284A74">
      <w:pPr>
        <w:pStyle w:val="ACMACopyrightHeader"/>
      </w:pPr>
      <w:r w:rsidRPr="00A17B1B">
        <w:t>Copyright notice</w:t>
      </w:r>
    </w:p>
    <w:p w14:paraId="102DBF4A" w14:textId="77777777" w:rsidR="00284A74" w:rsidRPr="00A17B1B" w:rsidRDefault="00284A74" w:rsidP="00284A74">
      <w:pPr>
        <w:pStyle w:val="ACMACClogo"/>
      </w:pPr>
      <w:r w:rsidRPr="00A17B1B">
        <w:rPr>
          <w:noProof/>
        </w:rPr>
        <w:drawing>
          <wp:inline distT="0" distB="0" distL="0" distR="0" wp14:anchorId="4FAB9EB6" wp14:editId="05F48B5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6102B56" w14:textId="77777777" w:rsidR="00284A74" w:rsidRPr="00A17B1B" w:rsidRDefault="00DD5926" w:rsidP="00284A74">
      <w:pPr>
        <w:pStyle w:val="ACMACorporateAddresses"/>
        <w:rPr>
          <w:rStyle w:val="Hyperlink"/>
        </w:rPr>
      </w:pPr>
      <w:hyperlink r:id="rId13" w:history="1">
        <w:r w:rsidR="00284A74" w:rsidRPr="00A17B1B">
          <w:rPr>
            <w:rStyle w:val="Hyperlink"/>
          </w:rPr>
          <w:t>https://creativecommons.org/licenses/by/4.0/</w:t>
        </w:r>
      </w:hyperlink>
    </w:p>
    <w:p w14:paraId="755B5795"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4C3BEB0F" w14:textId="77777777" w:rsidR="00284A74" w:rsidRPr="00A17B1B" w:rsidRDefault="00284A74" w:rsidP="00284A74">
      <w:pPr>
        <w:pStyle w:val="ACMACorporateAddresses"/>
      </w:pPr>
      <w:r w:rsidRPr="00A17B1B">
        <w:t>We request attribution as © Commonwealth of Australia (Australian Communications and Media Authority) 202</w:t>
      </w:r>
      <w:r w:rsidR="00A17B1B" w:rsidRPr="00A17B1B">
        <w:t>2</w:t>
      </w:r>
      <w:r w:rsidRPr="00A17B1B">
        <w:t>.</w:t>
      </w:r>
    </w:p>
    <w:p w14:paraId="31B58913" w14:textId="77777777" w:rsidR="00284A74" w:rsidRPr="00A17B1B" w:rsidRDefault="00284A74" w:rsidP="00284A74">
      <w:pPr>
        <w:pStyle w:val="ACMACorporateAddresses"/>
      </w:pPr>
      <w:r w:rsidRPr="00A17B1B">
        <w:t>All other rights are reserved.</w:t>
      </w:r>
    </w:p>
    <w:p w14:paraId="1C586397"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F1487D" w14:textId="77777777" w:rsidR="00284A74" w:rsidRPr="00A17B1B" w:rsidRDefault="00284A74" w:rsidP="00284A74">
      <w:pPr>
        <w:pStyle w:val="ACMACorporateAddresses"/>
      </w:pPr>
      <w:r w:rsidRPr="00A17B1B">
        <w:t>Written enquiries may be sent to:</w:t>
      </w:r>
    </w:p>
    <w:p w14:paraId="14769278"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23DDBBC5"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2C8807A" w14:textId="790D063C" w:rsidR="00F80B1A"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12825512" w:history="1">
        <w:r w:rsidR="00F80B1A" w:rsidRPr="002B3690">
          <w:rPr>
            <w:rStyle w:val="Hyperlink"/>
          </w:rPr>
          <w:t>Executive summary</w:t>
        </w:r>
        <w:r w:rsidR="00F80B1A">
          <w:rPr>
            <w:webHidden/>
          </w:rPr>
          <w:tab/>
        </w:r>
        <w:r w:rsidR="00F80B1A">
          <w:rPr>
            <w:webHidden/>
          </w:rPr>
          <w:fldChar w:fldCharType="begin"/>
        </w:r>
        <w:r w:rsidR="00F80B1A">
          <w:rPr>
            <w:webHidden/>
          </w:rPr>
          <w:instrText xml:space="preserve"> PAGEREF _Toc112825512 \h </w:instrText>
        </w:r>
        <w:r w:rsidR="00F80B1A">
          <w:rPr>
            <w:webHidden/>
          </w:rPr>
        </w:r>
        <w:r w:rsidR="00F80B1A">
          <w:rPr>
            <w:webHidden/>
          </w:rPr>
          <w:fldChar w:fldCharType="separate"/>
        </w:r>
        <w:r w:rsidR="00F80B1A">
          <w:rPr>
            <w:webHidden/>
          </w:rPr>
          <w:t>1</w:t>
        </w:r>
        <w:r w:rsidR="00F80B1A">
          <w:rPr>
            <w:webHidden/>
          </w:rPr>
          <w:fldChar w:fldCharType="end"/>
        </w:r>
      </w:hyperlink>
    </w:p>
    <w:p w14:paraId="20F59A25" w14:textId="26C16EA2" w:rsidR="00F80B1A" w:rsidRDefault="00DD5926">
      <w:pPr>
        <w:pStyle w:val="TOC1"/>
        <w:rPr>
          <w:rFonts w:asciiTheme="minorHAnsi" w:eastAsiaTheme="minorEastAsia" w:hAnsiTheme="minorHAnsi" w:cstheme="minorBidi"/>
          <w:b w:val="0"/>
          <w:spacing w:val="0"/>
          <w:sz w:val="22"/>
          <w:szCs w:val="22"/>
        </w:rPr>
      </w:pPr>
      <w:hyperlink w:anchor="_Toc112825513" w:history="1">
        <w:r w:rsidR="00F80B1A" w:rsidRPr="002B3690">
          <w:rPr>
            <w:rStyle w:val="Hyperlink"/>
          </w:rPr>
          <w:t>Regional compliance for 2021</w:t>
        </w:r>
        <w:r w:rsidR="00F80B1A">
          <w:rPr>
            <w:webHidden/>
          </w:rPr>
          <w:tab/>
        </w:r>
        <w:r w:rsidR="00F80B1A">
          <w:rPr>
            <w:webHidden/>
          </w:rPr>
          <w:fldChar w:fldCharType="begin"/>
        </w:r>
        <w:r w:rsidR="00F80B1A">
          <w:rPr>
            <w:webHidden/>
          </w:rPr>
          <w:instrText xml:space="preserve"> PAGEREF _Toc112825513 \h </w:instrText>
        </w:r>
        <w:r w:rsidR="00F80B1A">
          <w:rPr>
            <w:webHidden/>
          </w:rPr>
        </w:r>
        <w:r w:rsidR="00F80B1A">
          <w:rPr>
            <w:webHidden/>
          </w:rPr>
          <w:fldChar w:fldCharType="separate"/>
        </w:r>
        <w:r w:rsidR="00F80B1A">
          <w:rPr>
            <w:webHidden/>
          </w:rPr>
          <w:t>2</w:t>
        </w:r>
        <w:r w:rsidR="00F80B1A">
          <w:rPr>
            <w:webHidden/>
          </w:rPr>
          <w:fldChar w:fldCharType="end"/>
        </w:r>
      </w:hyperlink>
    </w:p>
    <w:p w14:paraId="09273E68" w14:textId="2308CA28" w:rsidR="00F80B1A" w:rsidRDefault="00DD5926">
      <w:pPr>
        <w:pStyle w:val="TOC2"/>
        <w:rPr>
          <w:rFonts w:asciiTheme="minorHAnsi" w:eastAsiaTheme="minorEastAsia" w:hAnsiTheme="minorHAnsi" w:cstheme="minorBidi"/>
          <w:spacing w:val="0"/>
          <w:sz w:val="22"/>
          <w:szCs w:val="22"/>
        </w:rPr>
      </w:pPr>
      <w:hyperlink w:anchor="_Toc112825514" w:history="1">
        <w:r w:rsidR="00F80B1A" w:rsidRPr="002B3690">
          <w:rPr>
            <w:rStyle w:val="Hyperlink"/>
          </w:rPr>
          <w:t>Transmission results for broadcasts in 2021</w:t>
        </w:r>
        <w:r w:rsidR="00F80B1A">
          <w:rPr>
            <w:webHidden/>
          </w:rPr>
          <w:tab/>
        </w:r>
        <w:r w:rsidR="00F80B1A">
          <w:rPr>
            <w:webHidden/>
          </w:rPr>
          <w:fldChar w:fldCharType="begin"/>
        </w:r>
        <w:r w:rsidR="00F80B1A">
          <w:rPr>
            <w:webHidden/>
          </w:rPr>
          <w:instrText xml:space="preserve"> PAGEREF _Toc112825514 \h </w:instrText>
        </w:r>
        <w:r w:rsidR="00F80B1A">
          <w:rPr>
            <w:webHidden/>
          </w:rPr>
        </w:r>
        <w:r w:rsidR="00F80B1A">
          <w:rPr>
            <w:webHidden/>
          </w:rPr>
          <w:fldChar w:fldCharType="separate"/>
        </w:r>
        <w:r w:rsidR="00F80B1A">
          <w:rPr>
            <w:webHidden/>
          </w:rPr>
          <w:t>2</w:t>
        </w:r>
        <w:r w:rsidR="00F80B1A">
          <w:rPr>
            <w:webHidden/>
          </w:rPr>
          <w:fldChar w:fldCharType="end"/>
        </w:r>
      </w:hyperlink>
    </w:p>
    <w:p w14:paraId="4191E1C4" w14:textId="49F75004" w:rsidR="00F80B1A" w:rsidRDefault="00DD5926">
      <w:pPr>
        <w:pStyle w:val="TOC3"/>
        <w:rPr>
          <w:rFonts w:asciiTheme="minorHAnsi" w:eastAsiaTheme="minorEastAsia" w:hAnsiTheme="minorHAnsi" w:cstheme="minorBidi"/>
        </w:rPr>
      </w:pPr>
      <w:hyperlink w:anchor="_Toc112825515" w:history="1">
        <w:r w:rsidR="00F80B1A" w:rsidRPr="002B3690">
          <w:rPr>
            <w:rStyle w:val="Hyperlink"/>
          </w:rPr>
          <w:t>Deemed compliance - Australian content transmission quotas</w:t>
        </w:r>
        <w:r w:rsidR="00F80B1A">
          <w:rPr>
            <w:webHidden/>
          </w:rPr>
          <w:tab/>
        </w:r>
        <w:r w:rsidR="00F80B1A">
          <w:rPr>
            <w:webHidden/>
          </w:rPr>
          <w:fldChar w:fldCharType="begin"/>
        </w:r>
        <w:r w:rsidR="00F80B1A">
          <w:rPr>
            <w:webHidden/>
          </w:rPr>
          <w:instrText xml:space="preserve"> PAGEREF _Toc112825515 \h </w:instrText>
        </w:r>
        <w:r w:rsidR="00F80B1A">
          <w:rPr>
            <w:webHidden/>
          </w:rPr>
        </w:r>
        <w:r w:rsidR="00F80B1A">
          <w:rPr>
            <w:webHidden/>
          </w:rPr>
          <w:fldChar w:fldCharType="separate"/>
        </w:r>
        <w:r w:rsidR="00F80B1A">
          <w:rPr>
            <w:webHidden/>
          </w:rPr>
          <w:t>2</w:t>
        </w:r>
        <w:r w:rsidR="00F80B1A">
          <w:rPr>
            <w:webHidden/>
          </w:rPr>
          <w:fldChar w:fldCharType="end"/>
        </w:r>
      </w:hyperlink>
    </w:p>
    <w:p w14:paraId="148EE8B5" w14:textId="724DB766" w:rsidR="00F80B1A" w:rsidRDefault="00DD5926" w:rsidP="001C203D">
      <w:pPr>
        <w:pStyle w:val="TOC2"/>
        <w:ind w:left="0" w:firstLine="0"/>
        <w:rPr>
          <w:rFonts w:asciiTheme="minorHAnsi" w:eastAsiaTheme="minorEastAsia" w:hAnsiTheme="minorHAnsi" w:cstheme="minorBidi"/>
          <w:spacing w:val="0"/>
          <w:sz w:val="22"/>
          <w:szCs w:val="22"/>
        </w:rPr>
      </w:pPr>
      <w:hyperlink w:anchor="_Toc112825516" w:history="1">
        <w:r w:rsidR="00F80B1A" w:rsidRPr="002B3690">
          <w:rPr>
            <w:rStyle w:val="Hyperlink"/>
          </w:rPr>
          <w:t>Points quota for first release Australian programs and acquired films broadcast in 2021</w:t>
        </w:r>
        <w:r w:rsidR="00F80B1A">
          <w:rPr>
            <w:webHidden/>
          </w:rPr>
          <w:tab/>
        </w:r>
        <w:r w:rsidR="00F80B1A">
          <w:rPr>
            <w:webHidden/>
          </w:rPr>
          <w:fldChar w:fldCharType="begin"/>
        </w:r>
        <w:r w:rsidR="00F80B1A">
          <w:rPr>
            <w:webHidden/>
          </w:rPr>
          <w:instrText xml:space="preserve"> PAGEREF _Toc112825516 \h </w:instrText>
        </w:r>
        <w:r w:rsidR="00F80B1A">
          <w:rPr>
            <w:webHidden/>
          </w:rPr>
        </w:r>
        <w:r w:rsidR="00F80B1A">
          <w:rPr>
            <w:webHidden/>
          </w:rPr>
          <w:fldChar w:fldCharType="separate"/>
        </w:r>
        <w:r w:rsidR="00F80B1A">
          <w:rPr>
            <w:webHidden/>
          </w:rPr>
          <w:t>3</w:t>
        </w:r>
        <w:r w:rsidR="00F80B1A">
          <w:rPr>
            <w:webHidden/>
          </w:rPr>
          <w:fldChar w:fldCharType="end"/>
        </w:r>
      </w:hyperlink>
    </w:p>
    <w:p w14:paraId="49822CB0" w14:textId="782A1D7F" w:rsidR="00F80B1A" w:rsidRDefault="00DD5926">
      <w:pPr>
        <w:pStyle w:val="TOC3"/>
        <w:rPr>
          <w:rFonts w:asciiTheme="minorHAnsi" w:eastAsiaTheme="minorEastAsia" w:hAnsiTheme="minorHAnsi" w:cstheme="minorBidi"/>
        </w:rPr>
      </w:pPr>
      <w:hyperlink w:anchor="_Toc112825517" w:history="1">
        <w:r w:rsidR="00F80B1A" w:rsidRPr="002B3690">
          <w:rPr>
            <w:rStyle w:val="Hyperlink"/>
          </w:rPr>
          <w:t>When is a program commissioned?</w:t>
        </w:r>
        <w:r w:rsidR="00F80B1A">
          <w:rPr>
            <w:webHidden/>
          </w:rPr>
          <w:tab/>
        </w:r>
        <w:r w:rsidR="00F80B1A">
          <w:rPr>
            <w:webHidden/>
          </w:rPr>
          <w:fldChar w:fldCharType="begin"/>
        </w:r>
        <w:r w:rsidR="00F80B1A">
          <w:rPr>
            <w:webHidden/>
          </w:rPr>
          <w:instrText xml:space="preserve"> PAGEREF _Toc112825517 \h </w:instrText>
        </w:r>
        <w:r w:rsidR="00F80B1A">
          <w:rPr>
            <w:webHidden/>
          </w:rPr>
        </w:r>
        <w:r w:rsidR="00F80B1A">
          <w:rPr>
            <w:webHidden/>
          </w:rPr>
          <w:fldChar w:fldCharType="separate"/>
        </w:r>
        <w:r w:rsidR="00F80B1A">
          <w:rPr>
            <w:webHidden/>
          </w:rPr>
          <w:t>3</w:t>
        </w:r>
        <w:r w:rsidR="00F80B1A">
          <w:rPr>
            <w:webHidden/>
          </w:rPr>
          <w:fldChar w:fldCharType="end"/>
        </w:r>
      </w:hyperlink>
    </w:p>
    <w:p w14:paraId="21F939FA" w14:textId="628B4616" w:rsidR="00F80B1A" w:rsidRDefault="00DD5926">
      <w:pPr>
        <w:pStyle w:val="TOC3"/>
        <w:rPr>
          <w:rFonts w:asciiTheme="minorHAnsi" w:eastAsiaTheme="minorEastAsia" w:hAnsiTheme="minorHAnsi" w:cstheme="minorBidi"/>
        </w:rPr>
      </w:pPr>
      <w:hyperlink w:anchor="_Toc112825518" w:history="1">
        <w:r w:rsidR="00F80B1A" w:rsidRPr="002B3690">
          <w:rPr>
            <w:rStyle w:val="Hyperlink"/>
          </w:rPr>
          <w:t>What points can be claimed?</w:t>
        </w:r>
        <w:r w:rsidR="00F80B1A">
          <w:rPr>
            <w:webHidden/>
          </w:rPr>
          <w:tab/>
        </w:r>
        <w:r w:rsidR="00F80B1A">
          <w:rPr>
            <w:webHidden/>
          </w:rPr>
          <w:fldChar w:fldCharType="begin"/>
        </w:r>
        <w:r w:rsidR="00F80B1A">
          <w:rPr>
            <w:webHidden/>
          </w:rPr>
          <w:instrText xml:space="preserve"> PAGEREF _Toc112825518 \h </w:instrText>
        </w:r>
        <w:r w:rsidR="00F80B1A">
          <w:rPr>
            <w:webHidden/>
          </w:rPr>
        </w:r>
        <w:r w:rsidR="00F80B1A">
          <w:rPr>
            <w:webHidden/>
          </w:rPr>
          <w:fldChar w:fldCharType="separate"/>
        </w:r>
        <w:r w:rsidR="00F80B1A">
          <w:rPr>
            <w:webHidden/>
          </w:rPr>
          <w:t>4</w:t>
        </w:r>
        <w:r w:rsidR="00F80B1A">
          <w:rPr>
            <w:webHidden/>
          </w:rPr>
          <w:fldChar w:fldCharType="end"/>
        </w:r>
      </w:hyperlink>
    </w:p>
    <w:p w14:paraId="7131DDB8" w14:textId="261DA322" w:rsidR="00F80B1A" w:rsidRDefault="00DD5926">
      <w:pPr>
        <w:pStyle w:val="TOC3"/>
        <w:rPr>
          <w:rFonts w:asciiTheme="minorHAnsi" w:eastAsiaTheme="minorEastAsia" w:hAnsiTheme="minorHAnsi" w:cstheme="minorBidi"/>
        </w:rPr>
      </w:pPr>
      <w:hyperlink w:anchor="_Toc112825519" w:history="1">
        <w:r w:rsidR="00F80B1A" w:rsidRPr="002B3690">
          <w:rPr>
            <w:rStyle w:val="Hyperlink"/>
          </w:rPr>
          <w:t xml:space="preserve">Deemed compliance: </w:t>
        </w:r>
        <w:r w:rsidR="00F80B1A" w:rsidRPr="002B3690">
          <w:rPr>
            <w:rStyle w:val="Hyperlink"/>
            <w:shd w:val="clear" w:color="auto" w:fill="FFFFFF"/>
          </w:rPr>
          <w:t>ACCTS annual points quota</w:t>
        </w:r>
        <w:r w:rsidR="00F80B1A">
          <w:rPr>
            <w:webHidden/>
          </w:rPr>
          <w:tab/>
        </w:r>
        <w:r w:rsidR="00F80B1A">
          <w:rPr>
            <w:webHidden/>
          </w:rPr>
          <w:fldChar w:fldCharType="begin"/>
        </w:r>
        <w:r w:rsidR="00F80B1A">
          <w:rPr>
            <w:webHidden/>
          </w:rPr>
          <w:instrText xml:space="preserve"> PAGEREF _Toc112825519 \h </w:instrText>
        </w:r>
        <w:r w:rsidR="00F80B1A">
          <w:rPr>
            <w:webHidden/>
          </w:rPr>
        </w:r>
        <w:r w:rsidR="00F80B1A">
          <w:rPr>
            <w:webHidden/>
          </w:rPr>
          <w:fldChar w:fldCharType="separate"/>
        </w:r>
        <w:r w:rsidR="00F80B1A">
          <w:rPr>
            <w:webHidden/>
          </w:rPr>
          <w:t>4</w:t>
        </w:r>
        <w:r w:rsidR="00F80B1A">
          <w:rPr>
            <w:webHidden/>
          </w:rPr>
          <w:fldChar w:fldCharType="end"/>
        </w:r>
      </w:hyperlink>
    </w:p>
    <w:p w14:paraId="2113DB00" w14:textId="69003695" w:rsidR="00F80B1A" w:rsidRDefault="00DD5926">
      <w:pPr>
        <w:pStyle w:val="TOC1"/>
        <w:rPr>
          <w:rFonts w:asciiTheme="minorHAnsi" w:eastAsiaTheme="minorEastAsia" w:hAnsiTheme="minorHAnsi" w:cstheme="minorBidi"/>
          <w:b w:val="0"/>
          <w:spacing w:val="0"/>
          <w:sz w:val="22"/>
          <w:szCs w:val="22"/>
        </w:rPr>
      </w:pPr>
      <w:hyperlink w:anchor="_Toc112825520" w:history="1">
        <w:r w:rsidR="00F80B1A" w:rsidRPr="002B3690">
          <w:rPr>
            <w:rStyle w:val="Hyperlink"/>
          </w:rPr>
          <w:t>Table 1: Transmission quota and ACCTS points quota – regional licensee results</w:t>
        </w:r>
        <w:r w:rsidR="00F80B1A">
          <w:rPr>
            <w:webHidden/>
          </w:rPr>
          <w:tab/>
        </w:r>
        <w:r w:rsidR="00F80B1A">
          <w:rPr>
            <w:webHidden/>
          </w:rPr>
          <w:fldChar w:fldCharType="begin"/>
        </w:r>
        <w:r w:rsidR="00F80B1A">
          <w:rPr>
            <w:webHidden/>
          </w:rPr>
          <w:instrText xml:space="preserve"> PAGEREF _Toc112825520 \h </w:instrText>
        </w:r>
        <w:r w:rsidR="00F80B1A">
          <w:rPr>
            <w:webHidden/>
          </w:rPr>
        </w:r>
        <w:r w:rsidR="00F80B1A">
          <w:rPr>
            <w:webHidden/>
          </w:rPr>
          <w:fldChar w:fldCharType="separate"/>
        </w:r>
        <w:r w:rsidR="00F80B1A">
          <w:rPr>
            <w:webHidden/>
          </w:rPr>
          <w:t>6</w:t>
        </w:r>
        <w:r w:rsidR="00F80B1A">
          <w:rPr>
            <w:webHidden/>
          </w:rPr>
          <w:fldChar w:fldCharType="end"/>
        </w:r>
      </w:hyperlink>
    </w:p>
    <w:p w14:paraId="02F88957" w14:textId="11C54BEB"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13B98D79" w14:textId="77777777" w:rsidR="009D6C71" w:rsidRPr="00A17B1B" w:rsidRDefault="009D6C71" w:rsidP="009174F3">
      <w:pPr>
        <w:pStyle w:val="Execsummaryheading"/>
      </w:pPr>
      <w:bookmarkStart w:id="0" w:name="_Toc112825512"/>
      <w:r w:rsidRPr="00A17B1B">
        <w:lastRenderedPageBreak/>
        <w:t>Executive summary</w:t>
      </w:r>
      <w:bookmarkEnd w:id="0"/>
    </w:p>
    <w:p w14:paraId="50751DA5" w14:textId="0A6113C0" w:rsidR="00CB6EA4" w:rsidRDefault="003E2B96" w:rsidP="006E245F">
      <w:pPr>
        <w:pStyle w:val="Paragraph"/>
      </w:pPr>
      <w:r>
        <w:t xml:space="preserve">The availability of Australian </w:t>
      </w:r>
      <w:r w:rsidR="00CB6EA4">
        <w:t>p</w:t>
      </w:r>
      <w:r>
        <w:t xml:space="preserve">rograms on television </w:t>
      </w:r>
      <w:r w:rsidR="00CB6EA4">
        <w:t>contributes to strong and vibrant communities and a shared sense of who we are as Australians</w:t>
      </w:r>
      <w:r w:rsidR="00187948">
        <w:t>,</w:t>
      </w:r>
      <w:r w:rsidR="00CB6EA4">
        <w:t xml:space="preserve"> by building a common understanding of Australian experiences and stories and enhanc</w:t>
      </w:r>
      <w:r w:rsidR="007D156B">
        <w:t>ing</w:t>
      </w:r>
      <w:r w:rsidR="00CB6EA4">
        <w:t xml:space="preserve"> our understanding of </w:t>
      </w:r>
      <w:r w:rsidR="007D156B">
        <w:t xml:space="preserve">the Australian </w:t>
      </w:r>
      <w:r w:rsidR="00CB6EA4">
        <w:t xml:space="preserve">national identity.  </w:t>
      </w:r>
    </w:p>
    <w:p w14:paraId="37FF26BF" w14:textId="14439890" w:rsidR="00283C97" w:rsidRPr="006E245F" w:rsidRDefault="00372EE0" w:rsidP="00F80B1A">
      <w:pPr>
        <w:pStyle w:val="Paragraphbeforelist"/>
      </w:pPr>
      <w:r>
        <w:t>Relatedly</w:t>
      </w:r>
      <w:r w:rsidR="00CB6EA4">
        <w:t xml:space="preserve">, there are </w:t>
      </w:r>
      <w:r w:rsidR="00187948">
        <w:t xml:space="preserve">2 </w:t>
      </w:r>
      <w:r w:rsidR="00CB6EA4">
        <w:t>key obligations on c</w:t>
      </w:r>
      <w:r w:rsidR="006B6399" w:rsidRPr="006B6399">
        <w:t xml:space="preserve">ommercial </w:t>
      </w:r>
      <w:r w:rsidR="00CB6EA4">
        <w:t xml:space="preserve">television licensees </w:t>
      </w:r>
      <w:r w:rsidR="00187948">
        <w:t xml:space="preserve">that </w:t>
      </w:r>
      <w:r w:rsidR="00CB6EA4">
        <w:t xml:space="preserve">require them to meet certain minimum standards for broadcasting Australian content each year. </w:t>
      </w:r>
      <w:r w:rsidR="007D156B">
        <w:t>As a result, c</w:t>
      </w:r>
      <w:r w:rsidR="00283C97" w:rsidRPr="006E245F">
        <w:t xml:space="preserve">ommercial </w:t>
      </w:r>
      <w:r w:rsidR="007D156B">
        <w:t>television</w:t>
      </w:r>
      <w:r w:rsidR="00283C97" w:rsidRPr="006E245F">
        <w:t xml:space="preserve"> licensees report to the ACMA </w:t>
      </w:r>
      <w:r w:rsidR="007D156B">
        <w:t xml:space="preserve">annually </w:t>
      </w:r>
      <w:r w:rsidR="0099648A" w:rsidRPr="006E245F">
        <w:t>on their compliance with</w:t>
      </w:r>
      <w:r w:rsidR="00283C97" w:rsidRPr="006E245F">
        <w:t>:</w:t>
      </w:r>
    </w:p>
    <w:p w14:paraId="527E4520" w14:textId="77777777" w:rsidR="00283C97" w:rsidRPr="006E245F" w:rsidRDefault="00283C97" w:rsidP="006E245F">
      <w:pPr>
        <w:pStyle w:val="Numberlistlevel1"/>
        <w:numPr>
          <w:ilvl w:val="0"/>
          <w:numId w:val="19"/>
        </w:numPr>
        <w:ind w:left="360" w:hanging="360"/>
      </w:pPr>
      <w:r w:rsidRPr="006E245F">
        <w:t xml:space="preserve">the Australian content transmission quotas required by section 121G of the </w:t>
      </w:r>
      <w:r w:rsidRPr="006E245F">
        <w:rPr>
          <w:i/>
          <w:iCs/>
        </w:rPr>
        <w:t>Broadcasting Services Act 1992</w:t>
      </w:r>
      <w:r w:rsidRPr="006E245F">
        <w:t xml:space="preserve"> (BSA)</w:t>
      </w:r>
      <w:r w:rsidR="00670278" w:rsidRPr="006E245F">
        <w:t xml:space="preserve"> – the transmission quotas </w:t>
      </w:r>
    </w:p>
    <w:p w14:paraId="512ED15D" w14:textId="77777777" w:rsidR="00283C97" w:rsidRPr="006E245F" w:rsidRDefault="00283C97" w:rsidP="006E245F">
      <w:pPr>
        <w:pStyle w:val="Numberlistlast"/>
        <w:numPr>
          <w:ilvl w:val="0"/>
          <w:numId w:val="19"/>
        </w:numPr>
        <w:ind w:left="357" w:hanging="357"/>
      </w:pPr>
      <w:r w:rsidRPr="006E245F">
        <w:t>the new first-release Australian program points quota</w:t>
      </w:r>
      <w:r w:rsidR="00BF0D81">
        <w:t>s</w:t>
      </w:r>
      <w:r w:rsidRPr="006E245F">
        <w:t xml:space="preserve"> as required by the </w:t>
      </w:r>
      <w:r w:rsidRPr="00F80B1A">
        <w:t>Broadcasting Services (Australian Content and Children’s Television) Standards 2020</w:t>
      </w:r>
      <w:r w:rsidRPr="00187948">
        <w:t xml:space="preserve"> </w:t>
      </w:r>
      <w:r w:rsidRPr="006E245F">
        <w:t>(ACCTS)</w:t>
      </w:r>
      <w:r w:rsidR="00670278" w:rsidRPr="006E245F">
        <w:t xml:space="preserve"> – the points quota</w:t>
      </w:r>
      <w:r w:rsidR="00051410">
        <w:t>.</w:t>
      </w:r>
    </w:p>
    <w:p w14:paraId="0C22B67A" w14:textId="468585F6" w:rsidR="00BF0D81" w:rsidRDefault="0099648A" w:rsidP="006E245F">
      <w:pPr>
        <w:pStyle w:val="Paragraph"/>
      </w:pPr>
      <w:r w:rsidRPr="006E245F">
        <w:t>This report provides the compliance result</w:t>
      </w:r>
      <w:r w:rsidR="00670278" w:rsidRPr="006E245F">
        <w:t>s</w:t>
      </w:r>
      <w:r w:rsidRPr="006E245F">
        <w:t xml:space="preserve"> and</w:t>
      </w:r>
      <w:r w:rsidR="00670278" w:rsidRPr="006E245F">
        <w:t xml:space="preserve"> related</w:t>
      </w:r>
      <w:r w:rsidRPr="006E245F">
        <w:t xml:space="preserve"> information for </w:t>
      </w:r>
      <w:r w:rsidR="00CB0853" w:rsidRPr="006E245F">
        <w:t xml:space="preserve">all </w:t>
      </w:r>
      <w:r w:rsidR="008D7C87" w:rsidRPr="008D7C87">
        <w:t xml:space="preserve">62 regional </w:t>
      </w:r>
      <w:r w:rsidR="00B235C7">
        <w:t>commercial television</w:t>
      </w:r>
      <w:r w:rsidRPr="006E245F">
        <w:t xml:space="preserve"> licensees</w:t>
      </w:r>
      <w:r w:rsidR="007D156B">
        <w:t xml:space="preserve"> for the 2021 calendar year</w:t>
      </w:r>
      <w:r w:rsidRPr="006E245F">
        <w:t>.</w:t>
      </w:r>
      <w:r w:rsidR="007D156B">
        <w:t xml:space="preserve"> </w:t>
      </w:r>
      <w:r w:rsidR="00A232CC">
        <w:t>The BSA transmission quotas have remained static across recent years.</w:t>
      </w:r>
    </w:p>
    <w:p w14:paraId="2ABF2A0F" w14:textId="318C1E3B" w:rsidR="00CB0853" w:rsidRPr="006E245F" w:rsidRDefault="007D156B" w:rsidP="006E245F">
      <w:pPr>
        <w:pStyle w:val="Paragraph"/>
      </w:pPr>
      <w:r>
        <w:t>Of note, this was the first year of operation for the ACCTS</w:t>
      </w:r>
      <w:r w:rsidR="00187948">
        <w:t>,</w:t>
      </w:r>
      <w:r>
        <w:t xml:space="preserve"> which the Australian Communications and </w:t>
      </w:r>
      <w:r w:rsidR="00051410">
        <w:t>M</w:t>
      </w:r>
      <w:r>
        <w:t xml:space="preserve">edia Authority (ACMA) made in December 2020 following a direction from the then Minister for Communications </w:t>
      </w:r>
      <w:r w:rsidR="00F80B1A" w:rsidRPr="00F80B1A">
        <w:t xml:space="preserve">Urban Infrastructure, Cities </w:t>
      </w:r>
      <w:r>
        <w:t xml:space="preserve">and the Arts. </w:t>
      </w:r>
    </w:p>
    <w:p w14:paraId="02BD3CB9" w14:textId="585901FD" w:rsidR="001314D2" w:rsidRPr="00D32082" w:rsidRDefault="00A232CC" w:rsidP="00F80B1A">
      <w:pPr>
        <w:pStyle w:val="Paragraphbeforelist"/>
      </w:pPr>
      <w:r w:rsidRPr="00D32082">
        <w:t xml:space="preserve">This report provides a summary of regional commercial television compliance for 2021 with the Australian content obligations set out in the BSA and ACCTS. </w:t>
      </w:r>
      <w:r w:rsidR="007D156B" w:rsidRPr="00D32082">
        <w:t>Under th</w:t>
      </w:r>
      <w:r w:rsidR="00BF0D81" w:rsidRPr="00D32082">
        <w:t>ese</w:t>
      </w:r>
      <w:r w:rsidR="007D156B" w:rsidRPr="00D32082">
        <w:t xml:space="preserve"> reporting obligations, </w:t>
      </w:r>
      <w:r w:rsidR="008F4CAC" w:rsidRPr="00D32082">
        <w:t xml:space="preserve">regional </w:t>
      </w:r>
      <w:r w:rsidR="00283C97" w:rsidRPr="00D32082">
        <w:t xml:space="preserve">television licensees lodge content returns with the ACMA </w:t>
      </w:r>
      <w:r w:rsidR="007D156B" w:rsidRPr="00D32082">
        <w:t xml:space="preserve">by the end of </w:t>
      </w:r>
      <w:r w:rsidR="00283C97" w:rsidRPr="00D32082">
        <w:t xml:space="preserve">March each year, </w:t>
      </w:r>
      <w:r w:rsidR="00BF0D81" w:rsidRPr="00D32082">
        <w:t>giving</w:t>
      </w:r>
      <w:r w:rsidR="00283C97" w:rsidRPr="00D32082">
        <w:t xml:space="preserve"> details of</w:t>
      </w:r>
      <w:r w:rsidR="001314D2" w:rsidRPr="00D32082">
        <w:t>:</w:t>
      </w:r>
    </w:p>
    <w:p w14:paraId="30CF2C52" w14:textId="67709B77" w:rsidR="001314D2" w:rsidRPr="006E245F" w:rsidRDefault="0099648A" w:rsidP="00001E04">
      <w:pPr>
        <w:pStyle w:val="Bulletlevel1"/>
        <w:numPr>
          <w:ilvl w:val="0"/>
          <w:numId w:val="32"/>
        </w:numPr>
        <w:ind w:left="426"/>
      </w:pPr>
      <w:r w:rsidRPr="006E245F">
        <w:t xml:space="preserve">broadcast hours </w:t>
      </w:r>
      <w:r w:rsidR="002E512E">
        <w:t xml:space="preserve">of </w:t>
      </w:r>
      <w:r w:rsidRPr="006E245F">
        <w:t xml:space="preserve">programs </w:t>
      </w:r>
      <w:r w:rsidR="00BF0D81">
        <w:t>cl</w:t>
      </w:r>
      <w:r w:rsidR="00283C97" w:rsidRPr="006E245F">
        <w:t>aimed towards the transmission quotas</w:t>
      </w:r>
      <w:r w:rsidRPr="006E245F">
        <w:t xml:space="preserve"> in the preceding calendar year</w:t>
      </w:r>
      <w:r w:rsidR="00187948">
        <w:t xml:space="preserve">; </w:t>
      </w:r>
      <w:r w:rsidR="00CB0853" w:rsidRPr="006E245F">
        <w:t xml:space="preserve">and </w:t>
      </w:r>
    </w:p>
    <w:p w14:paraId="16E41897" w14:textId="47BF1A92" w:rsidR="00283C97" w:rsidRPr="006E245F" w:rsidRDefault="001314D2" w:rsidP="00001E04">
      <w:pPr>
        <w:pStyle w:val="Bulletlevel1"/>
        <w:numPr>
          <w:ilvl w:val="0"/>
          <w:numId w:val="32"/>
        </w:numPr>
        <w:ind w:left="426"/>
      </w:pPr>
      <w:r w:rsidRPr="006E245F">
        <w:t xml:space="preserve">the annual points claimed for </w:t>
      </w:r>
      <w:bookmarkStart w:id="1" w:name="_Hlk110246920"/>
      <w:r w:rsidRPr="006E245F">
        <w:t>first-release</w:t>
      </w:r>
      <w:r w:rsidR="00670278" w:rsidRPr="006E245F">
        <w:t xml:space="preserve"> </w:t>
      </w:r>
      <w:r w:rsidRPr="006E245F">
        <w:t xml:space="preserve">Australian programs </w:t>
      </w:r>
      <w:bookmarkEnd w:id="1"/>
      <w:r w:rsidRPr="006E245F">
        <w:t>broadcast</w:t>
      </w:r>
      <w:r w:rsidR="0099648A" w:rsidRPr="006E245F">
        <w:t xml:space="preserve"> in the preceding calendar year. </w:t>
      </w:r>
      <w:r w:rsidR="00BF0D81" w:rsidRPr="00D32082">
        <w:t>First</w:t>
      </w:r>
      <w:r w:rsidR="00DD5926">
        <w:t xml:space="preserve"> </w:t>
      </w:r>
      <w:r w:rsidR="00BF0D81" w:rsidRPr="00D32082">
        <w:t>release Australian programs</w:t>
      </w:r>
      <w:r w:rsidR="00BF0D81" w:rsidRPr="00BF0D81">
        <w:t xml:space="preserve"> </w:t>
      </w:r>
      <w:r w:rsidR="00BF0D81">
        <w:t xml:space="preserve">are </w:t>
      </w:r>
      <w:r w:rsidRPr="006E245F">
        <w:t xml:space="preserve">either commissioned Australian drama (including children’s drama), </w:t>
      </w:r>
      <w:r w:rsidR="0099648A" w:rsidRPr="006E245F">
        <w:t xml:space="preserve">commissioned </w:t>
      </w:r>
      <w:r w:rsidRPr="006E245F">
        <w:t xml:space="preserve">Australian </w:t>
      </w:r>
      <w:r w:rsidR="006E363D" w:rsidRPr="006E245F">
        <w:t>documentar</w:t>
      </w:r>
      <w:r w:rsidR="006E363D">
        <w:t>ies</w:t>
      </w:r>
      <w:r w:rsidR="00BF0D81" w:rsidRPr="006E245F">
        <w:t>,</w:t>
      </w:r>
      <w:r w:rsidRPr="006E245F">
        <w:t xml:space="preserve"> </w:t>
      </w:r>
      <w:r w:rsidR="0099648A" w:rsidRPr="006E245F">
        <w:t xml:space="preserve">commissioned </w:t>
      </w:r>
      <w:r w:rsidRPr="006E245F">
        <w:t xml:space="preserve">Australian children’s non-drama programs, </w:t>
      </w:r>
      <w:r w:rsidR="00BF0D81">
        <w:t>or</w:t>
      </w:r>
      <w:r w:rsidRPr="006E245F">
        <w:t xml:space="preserve"> acquired Australian films.</w:t>
      </w:r>
    </w:p>
    <w:p w14:paraId="7E01D5DB" w14:textId="77777777" w:rsidR="007D156B" w:rsidRPr="00D32082" w:rsidRDefault="007D156B" w:rsidP="00D31E4A">
      <w:pPr>
        <w:tabs>
          <w:tab w:val="left" w:pos="426"/>
        </w:tabs>
        <w:spacing w:before="240" w:after="0" w:line="240" w:lineRule="auto"/>
        <w:rPr>
          <w:rFonts w:cs="Arial"/>
        </w:rPr>
      </w:pPr>
      <w:r w:rsidRPr="00D32082">
        <w:rPr>
          <w:rFonts w:cs="Arial"/>
        </w:rPr>
        <w:t>Notably, all licensees met all their obligations in 2021 for both the transmission quotas and the ACCTS</w:t>
      </w:r>
      <w:r w:rsidR="00051410" w:rsidRPr="00D32082">
        <w:rPr>
          <w:rFonts w:cs="Arial"/>
        </w:rPr>
        <w:t xml:space="preserve"> points quota</w:t>
      </w:r>
      <w:r w:rsidRPr="00D32082">
        <w:rPr>
          <w:rFonts w:cs="Arial"/>
        </w:rPr>
        <w:t xml:space="preserve"> obligations. </w:t>
      </w:r>
      <w:r w:rsidR="00EF78FB" w:rsidRPr="00D32082">
        <w:rPr>
          <w:rFonts w:cs="Arial"/>
        </w:rPr>
        <w:t xml:space="preserve">Compliance has been achieved </w:t>
      </w:r>
      <w:r w:rsidR="000E3133" w:rsidRPr="00D32082">
        <w:rPr>
          <w:rFonts w:cs="Arial"/>
        </w:rPr>
        <w:t xml:space="preserve">through a mix of actual or </w:t>
      </w:r>
      <w:r w:rsidR="00C51AC4" w:rsidRPr="00D32082">
        <w:rPr>
          <w:rFonts w:cs="Arial"/>
        </w:rPr>
        <w:t>deemed</w:t>
      </w:r>
      <w:r w:rsidR="000E3133" w:rsidRPr="00D32082">
        <w:rPr>
          <w:rFonts w:cs="Arial"/>
        </w:rPr>
        <w:t xml:space="preserve"> compliance</w:t>
      </w:r>
      <w:r w:rsidR="00C51AC4" w:rsidRPr="00D32082">
        <w:rPr>
          <w:rFonts w:cs="Arial"/>
        </w:rPr>
        <w:t xml:space="preserve"> with the BSA transmission requirements and the ACCTS quota requirements.</w:t>
      </w:r>
    </w:p>
    <w:p w14:paraId="27762B1F" w14:textId="77777777" w:rsidR="0099648A" w:rsidRDefault="00D1388D" w:rsidP="001C672A">
      <w:pPr>
        <w:pStyle w:val="Heading1"/>
        <w:spacing w:after="120"/>
      </w:pPr>
      <w:bookmarkStart w:id="2" w:name="_Toc112825513"/>
      <w:r>
        <w:lastRenderedPageBreak/>
        <w:t>Re</w:t>
      </w:r>
      <w:r w:rsidR="001C672A">
        <w:t>gional c</w:t>
      </w:r>
      <w:r w:rsidR="0099648A">
        <w:t>ompliance for 2021</w:t>
      </w:r>
      <w:bookmarkEnd w:id="2"/>
    </w:p>
    <w:p w14:paraId="7B6101C6" w14:textId="77777777" w:rsidR="001014D9" w:rsidRDefault="001014D9" w:rsidP="001014D9">
      <w:pPr>
        <w:pStyle w:val="Heading2"/>
      </w:pPr>
      <w:bookmarkStart w:id="3" w:name="_Toc112825514"/>
      <w:r>
        <w:t>Transmission results for broadcasts in 2021</w:t>
      </w:r>
      <w:bookmarkEnd w:id="3"/>
    </w:p>
    <w:p w14:paraId="538E0E00" w14:textId="77777777" w:rsidR="00CB0853" w:rsidRDefault="00CB0853" w:rsidP="00F80B1A">
      <w:pPr>
        <w:pStyle w:val="Paragraphbeforelist"/>
      </w:pPr>
      <w:r>
        <w:t>The Australian content transmission quotas</w:t>
      </w:r>
      <w:r w:rsidR="002311C8">
        <w:t xml:space="preserve"> in the BSA</w:t>
      </w:r>
      <w:r>
        <w:t xml:space="preserve"> require </w:t>
      </w:r>
      <w:r w:rsidR="00471A0A">
        <w:t>c</w:t>
      </w:r>
      <w:r w:rsidR="002311C8">
        <w:t xml:space="preserve">ommercial </w:t>
      </w:r>
      <w:r w:rsidR="00471A0A">
        <w:t xml:space="preserve">television </w:t>
      </w:r>
      <w:r>
        <w:t>licensees to transmit:</w:t>
      </w:r>
    </w:p>
    <w:p w14:paraId="0BBC069F" w14:textId="00F26B54" w:rsidR="00CB0853" w:rsidRPr="00D544C3" w:rsidRDefault="00CB0853" w:rsidP="00F80B1A">
      <w:pPr>
        <w:pStyle w:val="Numberlistlevel1"/>
      </w:pPr>
      <w:r w:rsidRPr="00D544C3">
        <w:t>Australian programs</w:t>
      </w:r>
      <w:r w:rsidR="006D63EA" w:rsidRPr="00D544C3">
        <w:rPr>
          <w:vertAlign w:val="superscript"/>
        </w:rPr>
        <w:footnoteReference w:id="2"/>
      </w:r>
      <w:r w:rsidRPr="00D544C3">
        <w:t xml:space="preserve"> for at least 55% of all programming broadcast between 6</w:t>
      </w:r>
      <w:r w:rsidR="006E363D">
        <w:t xml:space="preserve"> </w:t>
      </w:r>
      <w:r w:rsidRPr="00D544C3">
        <w:t>am and midnight on their primary television services</w:t>
      </w:r>
      <w:r w:rsidR="006E363D">
        <w:t>;</w:t>
      </w:r>
      <w:r w:rsidRPr="00D544C3">
        <w:t xml:space="preserve"> and</w:t>
      </w:r>
    </w:p>
    <w:p w14:paraId="4756B576" w14:textId="3BB79763" w:rsidR="00CB0853" w:rsidRPr="00D544C3" w:rsidRDefault="00CB0853" w:rsidP="00F80B1A">
      <w:pPr>
        <w:pStyle w:val="Numberlistlast"/>
      </w:pPr>
      <w:r w:rsidRPr="00D544C3">
        <w:t>at least 1,460 hours of Australian programs between 6</w:t>
      </w:r>
      <w:r w:rsidR="006E363D">
        <w:t xml:space="preserve"> </w:t>
      </w:r>
      <w:r w:rsidRPr="00D544C3">
        <w:t xml:space="preserve">am and midnight on their non-primary television services (multi-channels). </w:t>
      </w:r>
    </w:p>
    <w:p w14:paraId="647C5671" w14:textId="25A81184" w:rsidR="006B6399" w:rsidRDefault="006B6399" w:rsidP="00D544C3">
      <w:pPr>
        <w:pStyle w:val="Paragraph"/>
      </w:pPr>
      <w:r>
        <w:t xml:space="preserve">All </w:t>
      </w:r>
      <w:r w:rsidR="004102F3">
        <w:t xml:space="preserve">regional </w:t>
      </w:r>
      <w:r>
        <w:t>licensees reported meeting transmission quotas for their primary channel (55%)</w:t>
      </w:r>
      <w:r w:rsidR="004102F3">
        <w:t xml:space="preserve">. </w:t>
      </w:r>
      <w:r w:rsidR="00B14E7F">
        <w:t xml:space="preserve">The level of compliance for </w:t>
      </w:r>
      <w:r w:rsidR="004102F3" w:rsidRPr="004102F3">
        <w:t>Australian content</w:t>
      </w:r>
      <w:r w:rsidR="006E363D">
        <w:t>,</w:t>
      </w:r>
      <w:r w:rsidR="004102F3" w:rsidRPr="004102F3">
        <w:t xml:space="preserve"> between 6</w:t>
      </w:r>
      <w:r w:rsidR="006E363D">
        <w:t xml:space="preserve"> </w:t>
      </w:r>
      <w:r w:rsidR="004102F3" w:rsidRPr="004102F3">
        <w:t>am and midnight on primary channels, rang</w:t>
      </w:r>
      <w:r w:rsidR="00B14E7F">
        <w:t>ed</w:t>
      </w:r>
      <w:r w:rsidR="004102F3" w:rsidRPr="004102F3">
        <w:t xml:space="preserve"> from 67.81% to 77.7%</w:t>
      </w:r>
      <w:r w:rsidR="00AB6BE9">
        <w:t xml:space="preserve"> </w:t>
      </w:r>
      <w:r>
        <w:t>in 2021.</w:t>
      </w:r>
    </w:p>
    <w:p w14:paraId="110D2072" w14:textId="6F0C1582" w:rsidR="00807A56" w:rsidRDefault="0048241E" w:rsidP="000628DE">
      <w:pPr>
        <w:pStyle w:val="Paragraph"/>
      </w:pPr>
      <w:r>
        <w:t>Fifty-two</w:t>
      </w:r>
      <w:r w:rsidR="006B6399" w:rsidRPr="00CB0853">
        <w:t xml:space="preserve"> </w:t>
      </w:r>
      <w:r w:rsidR="00AB6BE9">
        <w:t>regional</w:t>
      </w:r>
      <w:r w:rsidR="006B6399" w:rsidRPr="00CB0853">
        <w:t xml:space="preserve"> </w:t>
      </w:r>
      <w:r w:rsidR="00AD07E2">
        <w:t xml:space="preserve">licensees </w:t>
      </w:r>
      <w:r w:rsidR="00FC472B">
        <w:t>reported broadcasting more than the</w:t>
      </w:r>
      <w:r w:rsidR="006B6399" w:rsidRPr="00CB0853">
        <w:t xml:space="preserve"> 1,460 hours </w:t>
      </w:r>
      <w:r w:rsidR="006B6399">
        <w:t>quota for non-primary channels</w:t>
      </w:r>
      <w:r w:rsidR="001014D9">
        <w:t xml:space="preserve"> </w:t>
      </w:r>
      <w:r w:rsidR="00FC472B">
        <w:t xml:space="preserve">by broadcasting </w:t>
      </w:r>
      <w:r w:rsidR="0089184E">
        <w:t>a</w:t>
      </w:r>
      <w:r w:rsidR="0008718B">
        <w:t xml:space="preserve"> range of hours</w:t>
      </w:r>
      <w:r w:rsidR="006E363D">
        <w:t>;</w:t>
      </w:r>
      <w:r w:rsidR="0008718B">
        <w:t xml:space="preserve"> the lowest being 1</w:t>
      </w:r>
      <w:r w:rsidR="00974D09">
        <w:t>,</w:t>
      </w:r>
      <w:r w:rsidR="0008718B">
        <w:t xml:space="preserve">502 hours and the highest being </w:t>
      </w:r>
      <w:r w:rsidR="000628DE">
        <w:t>8</w:t>
      </w:r>
      <w:r w:rsidR="00974D09">
        <w:t>,</w:t>
      </w:r>
      <w:r w:rsidR="000628DE">
        <w:t xml:space="preserve">205 hours for 2021. </w:t>
      </w:r>
      <w:r w:rsidR="009F1F5C">
        <w:t>Ten regional licensees broadcast less than 1</w:t>
      </w:r>
      <w:r w:rsidR="00974D09">
        <w:t>,</w:t>
      </w:r>
      <w:r w:rsidR="009F1F5C">
        <w:t>460 hours</w:t>
      </w:r>
      <w:r w:rsidR="002E0810">
        <w:t xml:space="preserve">. These licensees </w:t>
      </w:r>
      <w:r w:rsidR="00690942">
        <w:t xml:space="preserve">have relied </w:t>
      </w:r>
      <w:r w:rsidR="002E0810">
        <w:t>on ‘deemed compliance</w:t>
      </w:r>
      <w:r w:rsidR="00A657FB">
        <w:t>’</w:t>
      </w:r>
      <w:r w:rsidR="007074AF">
        <w:t xml:space="preserve"> available under the </w:t>
      </w:r>
      <w:r w:rsidR="002A2FE9">
        <w:t>BSA</w:t>
      </w:r>
      <w:r w:rsidR="007074AF">
        <w:t>.</w:t>
      </w:r>
      <w:r w:rsidR="00974D09">
        <w:t xml:space="preserve"> </w:t>
      </w:r>
    </w:p>
    <w:p w14:paraId="164C2E49" w14:textId="37B1E969" w:rsidR="00F943D7" w:rsidRPr="006E363D" w:rsidRDefault="003C0E3B" w:rsidP="006E363D">
      <w:pPr>
        <w:pStyle w:val="Heading3"/>
        <w:rPr>
          <w:highlight w:val="cyan"/>
        </w:rPr>
      </w:pPr>
      <w:bookmarkStart w:id="4" w:name="_Toc112825515"/>
      <w:r w:rsidRPr="006E363D">
        <w:t>D</w:t>
      </w:r>
      <w:r w:rsidR="00F943D7" w:rsidRPr="006E363D">
        <w:t>eem</w:t>
      </w:r>
      <w:r w:rsidR="00B77015" w:rsidRPr="006E363D">
        <w:t>ed compliance</w:t>
      </w:r>
      <w:r w:rsidR="00E20D5A" w:rsidRPr="006E363D">
        <w:t xml:space="preserve"> </w:t>
      </w:r>
      <w:r w:rsidR="00294E91">
        <w:t>–</w:t>
      </w:r>
      <w:r w:rsidR="00E20D5A" w:rsidRPr="006E363D">
        <w:t xml:space="preserve"> Australian content transmission quotas</w:t>
      </w:r>
      <w:bookmarkEnd w:id="4"/>
    </w:p>
    <w:p w14:paraId="390ED9C3" w14:textId="0CA2C246" w:rsidR="004B7E06" w:rsidRPr="003C0E3B" w:rsidRDefault="001616C4" w:rsidP="00F80B1A">
      <w:r w:rsidRPr="003C0E3B">
        <w:t>In 2020</w:t>
      </w:r>
      <w:r w:rsidR="00811BA7" w:rsidRPr="003C0E3B">
        <w:t>,</w:t>
      </w:r>
      <w:r w:rsidRPr="003C0E3B">
        <w:t xml:space="preserve"> section 121H of the BSA was introduced. Section 121H permits a regional commercial licensee to be deemed compliant. The introduction of the section recognises that </w:t>
      </w:r>
      <w:r w:rsidR="00F00943" w:rsidRPr="003C0E3B">
        <w:t xml:space="preserve">regional and remote licensees can find it difficult to satisfy the Australian content obligations </w:t>
      </w:r>
      <w:r w:rsidR="000061E4" w:rsidRPr="003C0E3B">
        <w:t>because</w:t>
      </w:r>
      <w:r w:rsidR="00043BB4" w:rsidRPr="003C0E3B">
        <w:t xml:space="preserve"> </w:t>
      </w:r>
      <w:r w:rsidRPr="003C0E3B">
        <w:t>they</w:t>
      </w:r>
      <w:r w:rsidR="004B7E06" w:rsidRPr="003C0E3B">
        <w:t xml:space="preserve"> rely on metropolitan licensees for content</w:t>
      </w:r>
      <w:r w:rsidR="00043BB4" w:rsidRPr="003C0E3B">
        <w:t xml:space="preserve"> </w:t>
      </w:r>
      <w:r w:rsidR="004B7E06" w:rsidRPr="003C0E3B">
        <w:t xml:space="preserve">provided through program affiliation agreements. The number and type of multi-channels provided by regional and remote licensees </w:t>
      </w:r>
      <w:r w:rsidRPr="003C0E3B">
        <w:t xml:space="preserve">can be impacted by </w:t>
      </w:r>
      <w:r w:rsidR="004B7E06" w:rsidRPr="003C0E3B">
        <w:t>infrastructure capacity and</w:t>
      </w:r>
      <w:r w:rsidR="006E363D">
        <w:t>/</w:t>
      </w:r>
      <w:r w:rsidR="004B7E06" w:rsidRPr="003C0E3B">
        <w:t>or by affiliation agreements</w:t>
      </w:r>
      <w:r w:rsidR="0054608B" w:rsidRPr="003C0E3B">
        <w:t xml:space="preserve"> </w:t>
      </w:r>
      <w:r w:rsidR="006E363D">
        <w:t>that</w:t>
      </w:r>
      <w:r w:rsidR="006E363D" w:rsidRPr="003C0E3B">
        <w:t xml:space="preserve"> </w:t>
      </w:r>
      <w:r w:rsidR="0054608B" w:rsidRPr="003C0E3B">
        <w:t>exist between licensees</w:t>
      </w:r>
      <w:r w:rsidR="004B7E06" w:rsidRPr="003C0E3B">
        <w:t xml:space="preserve">. </w:t>
      </w:r>
    </w:p>
    <w:p w14:paraId="2F49082E" w14:textId="1556CE0D" w:rsidR="00B071DF" w:rsidRDefault="00811BA7" w:rsidP="005F4D12">
      <w:pPr>
        <w:rPr>
          <w:color w:val="000000"/>
          <w:shd w:val="clear" w:color="auto" w:fill="FFFFFF"/>
        </w:rPr>
      </w:pPr>
      <w:r w:rsidRPr="003C0E3B">
        <w:rPr>
          <w:color w:val="000000"/>
          <w:shd w:val="clear" w:color="auto" w:fill="FFFFFF"/>
        </w:rPr>
        <w:t>R</w:t>
      </w:r>
      <w:r w:rsidR="005F4D12" w:rsidRPr="003C0E3B">
        <w:rPr>
          <w:color w:val="000000"/>
          <w:shd w:val="clear" w:color="auto" w:fill="FFFFFF"/>
        </w:rPr>
        <w:t>egional and remote licensees can be deemed compliant with multi-channel quota obligation</w:t>
      </w:r>
      <w:r w:rsidR="00AE64FF" w:rsidRPr="003C0E3B">
        <w:rPr>
          <w:color w:val="000000"/>
          <w:shd w:val="clear" w:color="auto" w:fill="FFFFFF"/>
        </w:rPr>
        <w:t xml:space="preserve"> to broadcast </w:t>
      </w:r>
      <w:r w:rsidR="00EE4872" w:rsidRPr="003C0E3B">
        <w:t>at least 1,460 hours of Australian programs</w:t>
      </w:r>
      <w:r w:rsidR="005F4D12" w:rsidRPr="003C0E3B">
        <w:rPr>
          <w:color w:val="000000"/>
          <w:shd w:val="clear" w:color="auto" w:fill="FFFFFF"/>
        </w:rPr>
        <w:t xml:space="preserve"> if they provide the ACMA with a notice that meets relevant conditions set out in subsection 121H(1) of the BSA. The ACMA must publish a copy of the notice on the </w:t>
      </w:r>
      <w:hyperlink r:id="rId24" w:history="1">
        <w:r w:rsidR="005F4D12" w:rsidRPr="002E55B6">
          <w:rPr>
            <w:rStyle w:val="Hyperlink"/>
            <w:shd w:val="clear" w:color="auto" w:fill="FFFFFF"/>
          </w:rPr>
          <w:t>ACMA’s website</w:t>
        </w:r>
      </w:hyperlink>
      <w:r w:rsidR="005F4D12" w:rsidRPr="003C0E3B">
        <w:rPr>
          <w:color w:val="000000"/>
          <w:shd w:val="clear" w:color="auto" w:fill="FFFFFF"/>
        </w:rPr>
        <w:t xml:space="preserve">. </w:t>
      </w:r>
      <w:bookmarkStart w:id="5" w:name="_Hlk112332912"/>
      <w:r w:rsidR="00AC61C6" w:rsidRPr="003C0E3B">
        <w:rPr>
          <w:color w:val="000000"/>
          <w:shd w:val="clear" w:color="auto" w:fill="FFFFFF"/>
        </w:rPr>
        <w:t xml:space="preserve">As part of the 2021 </w:t>
      </w:r>
      <w:r w:rsidR="00D32082">
        <w:rPr>
          <w:color w:val="000000"/>
          <w:shd w:val="clear" w:color="auto" w:fill="FFFFFF"/>
        </w:rPr>
        <w:t xml:space="preserve">regional licensee </w:t>
      </w:r>
      <w:r w:rsidR="005A12BC" w:rsidRPr="003C0E3B">
        <w:rPr>
          <w:color w:val="000000"/>
          <w:shd w:val="clear" w:color="auto" w:fill="FFFFFF"/>
        </w:rPr>
        <w:t xml:space="preserve">compliance </w:t>
      </w:r>
      <w:r w:rsidR="00AC61C6" w:rsidRPr="003C0E3B">
        <w:rPr>
          <w:color w:val="000000"/>
          <w:shd w:val="clear" w:color="auto" w:fill="FFFFFF"/>
        </w:rPr>
        <w:t xml:space="preserve">reporting, </w:t>
      </w:r>
      <w:r w:rsidR="00D32082">
        <w:rPr>
          <w:color w:val="000000"/>
          <w:shd w:val="clear" w:color="auto" w:fill="FFFFFF"/>
        </w:rPr>
        <w:t>the ACMA</w:t>
      </w:r>
      <w:r w:rsidR="00AC61C6" w:rsidRPr="003C0E3B">
        <w:rPr>
          <w:color w:val="000000"/>
          <w:shd w:val="clear" w:color="auto" w:fill="FFFFFF"/>
        </w:rPr>
        <w:t xml:space="preserve"> received 10 </w:t>
      </w:r>
      <w:r w:rsidR="004343C4" w:rsidRPr="003C0E3B">
        <w:rPr>
          <w:color w:val="000000"/>
          <w:shd w:val="clear" w:color="auto" w:fill="FFFFFF"/>
        </w:rPr>
        <w:t>notices for deemed compliance with</w:t>
      </w:r>
      <w:r w:rsidR="00DC0CA8" w:rsidRPr="003C0E3B">
        <w:rPr>
          <w:color w:val="000000"/>
          <w:shd w:val="clear" w:color="auto" w:fill="FFFFFF"/>
        </w:rPr>
        <w:t xml:space="preserve"> the multi-channel quota</w:t>
      </w:r>
      <w:r w:rsidR="00BF615E" w:rsidRPr="003C0E3B">
        <w:rPr>
          <w:color w:val="000000"/>
          <w:shd w:val="clear" w:color="auto" w:fill="FFFFFF"/>
        </w:rPr>
        <w:t xml:space="preserve"> requirements. </w:t>
      </w:r>
      <w:bookmarkEnd w:id="5"/>
    </w:p>
    <w:p w14:paraId="19AC0A52" w14:textId="3E2B8424" w:rsidR="00DC0CA8" w:rsidRPr="003C0E3B" w:rsidRDefault="00BF615E" w:rsidP="005F4D12">
      <w:pPr>
        <w:rPr>
          <w:color w:val="000000"/>
          <w:shd w:val="clear" w:color="auto" w:fill="FFFFFF"/>
        </w:rPr>
      </w:pPr>
      <w:r w:rsidRPr="003C0E3B">
        <w:rPr>
          <w:color w:val="000000"/>
          <w:shd w:val="clear" w:color="auto" w:fill="FFFFFF"/>
        </w:rPr>
        <w:t>The effect of deemed compliance is that</w:t>
      </w:r>
      <w:r w:rsidR="006C3F5F" w:rsidRPr="003C0E3B">
        <w:rPr>
          <w:color w:val="000000"/>
          <w:shd w:val="clear" w:color="auto" w:fill="FFFFFF"/>
        </w:rPr>
        <w:t xml:space="preserve"> the 10 licensees</w:t>
      </w:r>
      <w:r w:rsidR="00653A9E" w:rsidRPr="003C0E3B">
        <w:rPr>
          <w:color w:val="000000"/>
          <w:shd w:val="clear" w:color="auto" w:fill="FFFFFF"/>
        </w:rPr>
        <w:t xml:space="preserve"> will </w:t>
      </w:r>
      <w:r w:rsidR="00AD15C5" w:rsidRPr="003C0E3B">
        <w:rPr>
          <w:color w:val="000000"/>
          <w:shd w:val="clear" w:color="auto" w:fill="FFFFFF"/>
        </w:rPr>
        <w:t>be taken</w:t>
      </w:r>
      <w:r w:rsidR="00C654E0" w:rsidRPr="003C0E3B">
        <w:rPr>
          <w:color w:val="000000"/>
          <w:shd w:val="clear" w:color="auto" w:fill="FFFFFF"/>
        </w:rPr>
        <w:t xml:space="preserve"> to </w:t>
      </w:r>
      <w:r w:rsidR="006E363D">
        <w:rPr>
          <w:color w:val="000000"/>
          <w:shd w:val="clear" w:color="auto" w:fill="FFFFFF"/>
        </w:rPr>
        <w:t xml:space="preserve">each </w:t>
      </w:r>
      <w:r w:rsidR="00C654E0" w:rsidRPr="003C0E3B">
        <w:rPr>
          <w:color w:val="000000"/>
          <w:shd w:val="clear" w:color="auto" w:fill="FFFFFF"/>
        </w:rPr>
        <w:t>have broadcast</w:t>
      </w:r>
      <w:r w:rsidR="00811BA7" w:rsidRPr="003C0E3B">
        <w:rPr>
          <w:color w:val="000000"/>
          <w:shd w:val="clear" w:color="auto" w:fill="FFFFFF"/>
        </w:rPr>
        <w:t xml:space="preserve"> 1,460 hours of Australian programs because they have </w:t>
      </w:r>
      <w:r w:rsidR="00B071DF">
        <w:rPr>
          <w:color w:val="000000"/>
          <w:shd w:val="clear" w:color="auto" w:fill="FFFFFF"/>
        </w:rPr>
        <w:t xml:space="preserve">each </w:t>
      </w:r>
      <w:r w:rsidR="00811BA7" w:rsidRPr="003C0E3B">
        <w:rPr>
          <w:color w:val="000000"/>
          <w:shd w:val="clear" w:color="auto" w:fill="FFFFFF"/>
        </w:rPr>
        <w:t>transmitted no less</w:t>
      </w:r>
      <w:r w:rsidR="00DC0CA8" w:rsidRPr="003C0E3B">
        <w:rPr>
          <w:color w:val="000000"/>
          <w:shd w:val="clear" w:color="auto" w:fill="FFFFFF"/>
        </w:rPr>
        <w:t xml:space="preserve"> than the total number of hours of Australian programs broadcast on the equivalent multi-channel by the metropolitan commercial television broadcasting licensee, during targeted viewing hours in </w:t>
      </w:r>
      <w:r w:rsidR="00B071DF">
        <w:rPr>
          <w:color w:val="000000"/>
          <w:shd w:val="clear" w:color="auto" w:fill="FFFFFF"/>
        </w:rPr>
        <w:t>2021.</w:t>
      </w:r>
      <w:r w:rsidR="00C654E0" w:rsidRPr="003C0E3B">
        <w:rPr>
          <w:color w:val="000000"/>
          <w:shd w:val="clear" w:color="auto" w:fill="FFFFFF"/>
        </w:rPr>
        <w:t xml:space="preserve"> </w:t>
      </w:r>
      <w:r w:rsidR="006E363D">
        <w:rPr>
          <w:color w:val="000000"/>
          <w:shd w:val="clear" w:color="auto" w:fill="FFFFFF"/>
        </w:rPr>
        <w:t xml:space="preserve">For </w:t>
      </w:r>
      <w:r w:rsidR="005B6F29" w:rsidRPr="003C0E3B">
        <w:rPr>
          <w:color w:val="000000"/>
          <w:shd w:val="clear" w:color="auto" w:fill="FFFFFF"/>
        </w:rPr>
        <w:t>exa</w:t>
      </w:r>
      <w:r w:rsidR="00811BA7" w:rsidRPr="003C0E3B">
        <w:rPr>
          <w:color w:val="000000"/>
          <w:shd w:val="clear" w:color="auto" w:fill="FFFFFF"/>
        </w:rPr>
        <w:t>mple</w:t>
      </w:r>
      <w:r w:rsidR="005B6F29" w:rsidRPr="003C0E3B">
        <w:rPr>
          <w:color w:val="000000"/>
          <w:shd w:val="clear" w:color="auto" w:fill="FFFFFF"/>
        </w:rPr>
        <w:t>, 7 regional and remote licensees showing 10, 10</w:t>
      </w:r>
      <w:r w:rsidR="006E363D">
        <w:rPr>
          <w:color w:val="000000"/>
          <w:shd w:val="clear" w:color="auto" w:fill="FFFFFF"/>
        </w:rPr>
        <w:t> </w:t>
      </w:r>
      <w:r w:rsidR="005B6F29" w:rsidRPr="003C0E3B">
        <w:rPr>
          <w:color w:val="000000"/>
          <w:shd w:val="clear" w:color="auto" w:fill="FFFFFF"/>
        </w:rPr>
        <w:t>Bold and 10</w:t>
      </w:r>
      <w:r w:rsidR="006E363D">
        <w:rPr>
          <w:color w:val="000000"/>
          <w:shd w:val="clear" w:color="auto" w:fill="FFFFFF"/>
        </w:rPr>
        <w:t xml:space="preserve"> </w:t>
      </w:r>
      <w:r w:rsidR="005B6F29" w:rsidRPr="003C0E3B">
        <w:rPr>
          <w:color w:val="000000"/>
          <w:shd w:val="clear" w:color="auto" w:fill="FFFFFF"/>
        </w:rPr>
        <w:t xml:space="preserve">Peach on their multi-channels transmitted the same amount of </w:t>
      </w:r>
      <w:r w:rsidR="00B071DF">
        <w:rPr>
          <w:color w:val="000000"/>
          <w:shd w:val="clear" w:color="auto" w:fill="FFFFFF"/>
        </w:rPr>
        <w:t xml:space="preserve">Australian </w:t>
      </w:r>
      <w:r w:rsidR="005B6F29" w:rsidRPr="003C0E3B">
        <w:rPr>
          <w:color w:val="000000"/>
          <w:shd w:val="clear" w:color="auto" w:fill="FFFFFF"/>
        </w:rPr>
        <w:t>content as the affiliate metropolitan counterparts</w:t>
      </w:r>
      <w:r w:rsidR="006E363D">
        <w:rPr>
          <w:color w:val="000000"/>
          <w:shd w:val="clear" w:color="auto" w:fill="FFFFFF"/>
        </w:rPr>
        <w:t>,</w:t>
      </w:r>
      <w:r w:rsidR="005B6F29" w:rsidRPr="003C0E3B">
        <w:rPr>
          <w:color w:val="000000"/>
          <w:shd w:val="clear" w:color="auto" w:fill="FFFFFF"/>
        </w:rPr>
        <w:t xml:space="preserve"> so </w:t>
      </w:r>
      <w:r w:rsidR="00B071DF">
        <w:rPr>
          <w:color w:val="000000"/>
          <w:shd w:val="clear" w:color="auto" w:fill="FFFFFF"/>
        </w:rPr>
        <w:t xml:space="preserve">these licensees </w:t>
      </w:r>
      <w:r w:rsidR="005B6F29" w:rsidRPr="003C0E3B">
        <w:rPr>
          <w:color w:val="000000"/>
          <w:shd w:val="clear" w:color="auto" w:fill="FFFFFF"/>
        </w:rPr>
        <w:t xml:space="preserve">can be deemed compliant. </w:t>
      </w:r>
    </w:p>
    <w:p w14:paraId="3FA25E66" w14:textId="323249E7" w:rsidR="001014D9" w:rsidRDefault="00840DFA" w:rsidP="002E55B6">
      <w:r w:rsidRPr="00D23AE5">
        <w:t xml:space="preserve">The transmission percentages and hours broadcast for each </w:t>
      </w:r>
      <w:r w:rsidR="0021769C" w:rsidRPr="00D23AE5">
        <w:t>regional</w:t>
      </w:r>
      <w:r w:rsidRPr="00D23AE5">
        <w:t xml:space="preserve"> licensee </w:t>
      </w:r>
      <w:r w:rsidR="00B63FB2" w:rsidRPr="00D23AE5">
        <w:t>are</w:t>
      </w:r>
      <w:r w:rsidRPr="00D23AE5">
        <w:t xml:space="preserve"> in </w:t>
      </w:r>
      <w:r w:rsidR="000628DE" w:rsidRPr="00D23AE5">
        <w:t xml:space="preserve">Table </w:t>
      </w:r>
      <w:r w:rsidR="00807A56" w:rsidRPr="00D23AE5">
        <w:t xml:space="preserve">1 </w:t>
      </w:r>
      <w:hyperlink w:anchor="_Part_one_–" w:history="1">
        <w:r w:rsidR="00807A56" w:rsidRPr="00D23AE5">
          <w:rPr>
            <w:rStyle w:val="Hyperlink"/>
          </w:rPr>
          <w:t>below</w:t>
        </w:r>
      </w:hyperlink>
      <w:r w:rsidRPr="00D23AE5">
        <w:t>.</w:t>
      </w:r>
    </w:p>
    <w:p w14:paraId="530C569B" w14:textId="77777777" w:rsidR="001014D9" w:rsidRPr="001014D9" w:rsidRDefault="001014D9" w:rsidP="002E55B6">
      <w:pPr>
        <w:pStyle w:val="Heading2"/>
        <w:keepNext w:val="0"/>
        <w:pageBreakBefore/>
      </w:pPr>
      <w:bookmarkStart w:id="6" w:name="_Toc112825516"/>
      <w:r w:rsidRPr="001014D9">
        <w:lastRenderedPageBreak/>
        <w:t>Points quota for first release Australian programs and acquired films broadcast in 2021</w:t>
      </w:r>
      <w:bookmarkEnd w:id="6"/>
    </w:p>
    <w:p w14:paraId="1B635333" w14:textId="77777777" w:rsidR="00894353" w:rsidRDefault="00105B51" w:rsidP="002E55B6">
      <w:pPr>
        <w:pStyle w:val="Paragraphbeforelist"/>
        <w:rPr>
          <w:bCs/>
          <w:color w:val="000000"/>
          <w:lang w:bidi="he-IL"/>
        </w:rPr>
      </w:pPr>
      <w:r>
        <w:t>T</w:t>
      </w:r>
      <w:r w:rsidR="00D535D5" w:rsidRPr="00D535D5">
        <w:t xml:space="preserve">he </w:t>
      </w:r>
      <w:hyperlink r:id="rId25" w:history="1">
        <w:r w:rsidR="00D535D5" w:rsidRPr="00894353">
          <w:rPr>
            <w:rStyle w:val="Hyperlink"/>
          </w:rPr>
          <w:t>ACCTS</w:t>
        </w:r>
      </w:hyperlink>
      <w:r w:rsidR="00D535D5" w:rsidRPr="00D535D5">
        <w:t xml:space="preserve"> commenced on 1 January 2021</w:t>
      </w:r>
      <w:r>
        <w:t xml:space="preserve">. </w:t>
      </w:r>
      <w:r w:rsidR="00F56877">
        <w:t xml:space="preserve">The </w:t>
      </w:r>
      <w:r w:rsidR="00F56877" w:rsidRPr="00F56877">
        <w:t xml:space="preserve">ACCTS requires commercial television licensees to broadcast at least 250 points of first release Australian programs, across certain genres, each calendar year. </w:t>
      </w:r>
      <w:r w:rsidR="00894353" w:rsidRPr="0099648A">
        <w:rPr>
          <w:bCs/>
          <w:color w:val="000000"/>
          <w:lang w:bidi="he-IL"/>
        </w:rPr>
        <w:t>The</w:t>
      </w:r>
      <w:r w:rsidR="00894353">
        <w:rPr>
          <w:bCs/>
          <w:color w:val="000000"/>
          <w:lang w:bidi="he-IL"/>
        </w:rPr>
        <w:t xml:space="preserve"> genres </w:t>
      </w:r>
      <w:r w:rsidR="00894353" w:rsidRPr="00D544C3">
        <w:t>include</w:t>
      </w:r>
      <w:r w:rsidR="00894353">
        <w:rPr>
          <w:bCs/>
          <w:color w:val="000000"/>
          <w:lang w:bidi="he-IL"/>
        </w:rPr>
        <w:t>:</w:t>
      </w:r>
    </w:p>
    <w:p w14:paraId="4C7B8BAA" w14:textId="2679347E" w:rsidR="00894353" w:rsidRPr="00894353" w:rsidRDefault="006E363D" w:rsidP="002E55B6">
      <w:pPr>
        <w:pStyle w:val="Bulletlevel1"/>
      </w:pPr>
      <w:r>
        <w:t>c</w:t>
      </w:r>
      <w:r w:rsidR="00894353" w:rsidRPr="00894353">
        <w:t>ommissioned first release Australian documentary programs</w:t>
      </w:r>
    </w:p>
    <w:p w14:paraId="3AA9E52E" w14:textId="12DF9055" w:rsidR="00894353" w:rsidRPr="00894353" w:rsidRDefault="006E363D" w:rsidP="002E55B6">
      <w:pPr>
        <w:pStyle w:val="Bulletlevel1"/>
      </w:pPr>
      <w:r>
        <w:t>c</w:t>
      </w:r>
      <w:r w:rsidR="00894353" w:rsidRPr="00894353">
        <w:t>ommissioned first release Australian children’s programs (non</w:t>
      </w:r>
      <w:r w:rsidR="006F780E">
        <w:t>-</w:t>
      </w:r>
      <w:r w:rsidR="00894353" w:rsidRPr="00894353">
        <w:t>drama)</w:t>
      </w:r>
    </w:p>
    <w:p w14:paraId="22C9E92F" w14:textId="25B0B617" w:rsidR="00894353" w:rsidRDefault="006E363D" w:rsidP="002E55B6">
      <w:pPr>
        <w:pStyle w:val="Bulletlevel1"/>
      </w:pPr>
      <w:r>
        <w:t>c</w:t>
      </w:r>
      <w:r w:rsidR="00894353" w:rsidRPr="00894353">
        <w:t xml:space="preserve">ommissioned first release Australian </w:t>
      </w:r>
      <w:r w:rsidR="00894353" w:rsidRPr="005F01CF">
        <w:t>drama</w:t>
      </w:r>
      <w:r w:rsidR="00894353" w:rsidRPr="00782B18">
        <w:t xml:space="preserve"> programs</w:t>
      </w:r>
    </w:p>
    <w:p w14:paraId="370370E3" w14:textId="07466674" w:rsidR="004F0876" w:rsidRPr="00782B18" w:rsidRDefault="006E363D" w:rsidP="002E55B6">
      <w:pPr>
        <w:pStyle w:val="Bulletlevel1last"/>
      </w:pPr>
      <w:r>
        <w:t>a</w:t>
      </w:r>
      <w:r w:rsidR="004F0876" w:rsidRPr="00782B18">
        <w:t xml:space="preserve">cquired first release </w:t>
      </w:r>
      <w:r w:rsidR="004F0876">
        <w:t xml:space="preserve">Australian </w:t>
      </w:r>
      <w:r w:rsidR="004F0876" w:rsidRPr="00782B18">
        <w:t>films</w:t>
      </w:r>
      <w:r w:rsidR="004F0876">
        <w:t>.</w:t>
      </w:r>
    </w:p>
    <w:p w14:paraId="1A0E92E1" w14:textId="77777777" w:rsidR="00B04389" w:rsidRPr="00D544C3" w:rsidRDefault="00F56877" w:rsidP="00D23AE5">
      <w:pPr>
        <w:spacing w:before="240"/>
        <w:rPr>
          <w:rFonts w:cs="Arial"/>
        </w:rPr>
      </w:pPr>
      <w:r w:rsidRPr="00D544C3">
        <w:rPr>
          <w:rFonts w:cs="Arial"/>
        </w:rPr>
        <w:t xml:space="preserve">This is the first report of </w:t>
      </w:r>
      <w:r w:rsidR="006F6F77">
        <w:rPr>
          <w:rFonts w:cs="Arial"/>
        </w:rPr>
        <w:t xml:space="preserve">regional </w:t>
      </w:r>
      <w:r w:rsidRPr="00D544C3">
        <w:rPr>
          <w:rFonts w:cs="Arial"/>
        </w:rPr>
        <w:t>licensee compliance results</w:t>
      </w:r>
      <w:r w:rsidR="00E6322F" w:rsidRPr="00D544C3">
        <w:rPr>
          <w:rFonts w:cs="Arial"/>
        </w:rPr>
        <w:t xml:space="preserve"> under the ACCTS</w:t>
      </w:r>
      <w:r w:rsidR="00B04389" w:rsidRPr="00D544C3">
        <w:rPr>
          <w:rFonts w:cs="Arial"/>
        </w:rPr>
        <w:t>.</w:t>
      </w:r>
    </w:p>
    <w:p w14:paraId="3C25701F" w14:textId="4635BACF" w:rsidR="008B51D6" w:rsidRPr="00D544C3" w:rsidRDefault="008B51D6" w:rsidP="00D23AE5">
      <w:pPr>
        <w:spacing w:before="240"/>
        <w:rPr>
          <w:rFonts w:cs="Arial"/>
        </w:rPr>
      </w:pPr>
      <w:r w:rsidRPr="00D544C3">
        <w:rPr>
          <w:rFonts w:cs="Arial"/>
        </w:rPr>
        <w:t xml:space="preserve">The ACCTS </w:t>
      </w:r>
      <w:r w:rsidR="00E6322F" w:rsidRPr="00D544C3">
        <w:rPr>
          <w:rFonts w:cs="Arial"/>
        </w:rPr>
        <w:t xml:space="preserve">allocates </w:t>
      </w:r>
      <w:r w:rsidRPr="00D544C3">
        <w:rPr>
          <w:rFonts w:cs="Arial"/>
        </w:rPr>
        <w:t>points per broadcast hour based on the program’s production budget</w:t>
      </w:r>
      <w:r w:rsidR="006E363D">
        <w:rPr>
          <w:rFonts w:cs="Arial"/>
        </w:rPr>
        <w:t>,</w:t>
      </w:r>
      <w:r w:rsidRPr="00D544C3">
        <w:rPr>
          <w:rFonts w:cs="Arial"/>
        </w:rPr>
        <w:t xml:space="preserve"> and higher points can be claimed </w:t>
      </w:r>
      <w:r w:rsidR="00E6322F" w:rsidRPr="00D544C3">
        <w:rPr>
          <w:rFonts w:cs="Arial"/>
        </w:rPr>
        <w:t xml:space="preserve">by licensees </w:t>
      </w:r>
      <w:r w:rsidRPr="00D544C3">
        <w:rPr>
          <w:rFonts w:cs="Arial"/>
        </w:rPr>
        <w:t>for commissioned Australian drama programs with high production budgets.</w:t>
      </w:r>
    </w:p>
    <w:p w14:paraId="034B1973" w14:textId="77777777" w:rsidR="00CD11FF" w:rsidRPr="00D544C3" w:rsidRDefault="00CD11FF" w:rsidP="00D544C3">
      <w:pPr>
        <w:pStyle w:val="Heading3"/>
        <w:keepLines/>
      </w:pPr>
      <w:bookmarkStart w:id="7" w:name="_Toc112825517"/>
      <w:r w:rsidRPr="00D544C3">
        <w:t>When is a program commissioned?</w:t>
      </w:r>
      <w:bookmarkEnd w:id="7"/>
    </w:p>
    <w:p w14:paraId="731C0F7D" w14:textId="77777777" w:rsidR="00434D78" w:rsidRDefault="00782B18" w:rsidP="00D544C3">
      <w:pPr>
        <w:pStyle w:val="Paragraph"/>
        <w:keepNext/>
        <w:keepLines/>
      </w:pPr>
      <w:r w:rsidRPr="00D544C3">
        <w:t xml:space="preserve">‘Commissioned’ in relation to a program is defined in section 8 of the ACCTS to mean that a licensee or its program supplier has made a material and meaningful financial contribution to a program (before completion). </w:t>
      </w:r>
      <w:r w:rsidR="003F720D">
        <w:t>Commissioned programs may include in-house productions or domestic co-productions with national broadcasters, streaming video services or subscription broadcast channels.</w:t>
      </w:r>
    </w:p>
    <w:p w14:paraId="168B2FE4" w14:textId="77777777" w:rsidR="007D1AF7" w:rsidRDefault="005F01CF" w:rsidP="006E363D">
      <w:pPr>
        <w:pStyle w:val="Paragraph"/>
      </w:pPr>
      <w:r w:rsidRPr="00D544C3">
        <w:t xml:space="preserve">The </w:t>
      </w:r>
      <w:r w:rsidRPr="002E55B6">
        <w:t>Explanatory Statement</w:t>
      </w:r>
      <w:r w:rsidRPr="00D544C3">
        <w:t xml:space="preserve"> to the ACCTS states that for a financial contribution to be considered ‘material and meaningful’, it should be a contribution that is both significant and enables the program to be made. </w:t>
      </w:r>
      <w:r w:rsidR="00782B18">
        <w:t>If the contribution of the licensee is not considered material and meaningful, quota points cannot be claimed for the program.</w:t>
      </w:r>
    </w:p>
    <w:p w14:paraId="74B90395" w14:textId="32D5184E" w:rsidR="00340EB6" w:rsidRDefault="00F224C4" w:rsidP="002E55B6">
      <w:pPr>
        <w:pStyle w:val="Paragraphbeforelist"/>
      </w:pPr>
      <w:r>
        <w:t>T</w:t>
      </w:r>
      <w:r w:rsidR="005B10B3">
        <w:t xml:space="preserve">he </w:t>
      </w:r>
      <w:r w:rsidR="00340EB6">
        <w:t>significance of a financial contribution</w:t>
      </w:r>
      <w:r w:rsidR="003D2F70">
        <w:t xml:space="preserve"> </w:t>
      </w:r>
      <w:r>
        <w:t xml:space="preserve">is assessed by </w:t>
      </w:r>
      <w:r w:rsidR="003D2F70">
        <w:t xml:space="preserve">looking </w:t>
      </w:r>
      <w:r w:rsidR="00EC783F">
        <w:t>a</w:t>
      </w:r>
      <w:r w:rsidR="00587F38">
        <w:t>t the</w:t>
      </w:r>
      <w:r w:rsidR="003D2F70">
        <w:t xml:space="preserve"> licensee </w:t>
      </w:r>
      <w:r w:rsidR="00340EB6">
        <w:t>contribution as a proportion of the overall production budget for</w:t>
      </w:r>
      <w:r w:rsidR="00587F38">
        <w:t xml:space="preserve"> </w:t>
      </w:r>
      <w:r>
        <w:t xml:space="preserve">the </w:t>
      </w:r>
      <w:r w:rsidR="00EC783F">
        <w:t xml:space="preserve">commissioned </w:t>
      </w:r>
      <w:r w:rsidR="00340EB6">
        <w:t>program.</w:t>
      </w:r>
      <w:r w:rsidR="009211E4">
        <w:t xml:space="preserve"> </w:t>
      </w:r>
      <w:r w:rsidR="00587F38">
        <w:t xml:space="preserve">The approach to the 2021 points quota has </w:t>
      </w:r>
      <w:r w:rsidR="00F57676">
        <w:t>been</w:t>
      </w:r>
      <w:r w:rsidR="00587F38">
        <w:t>:</w:t>
      </w:r>
    </w:p>
    <w:p w14:paraId="78CB6F73" w14:textId="6B3D82D8" w:rsidR="00051410" w:rsidRPr="00E20D5A" w:rsidRDefault="0053633A" w:rsidP="002E55B6">
      <w:pPr>
        <w:pStyle w:val="Bulletlevel1"/>
      </w:pPr>
      <w:r w:rsidRPr="00E20D5A">
        <w:t xml:space="preserve">For all </w:t>
      </w:r>
      <w:r w:rsidR="002E55B6" w:rsidRPr="00E20D5A">
        <w:t>fully</w:t>
      </w:r>
      <w:r w:rsidR="00365187">
        <w:t>-</w:t>
      </w:r>
      <w:r w:rsidR="002E55B6">
        <w:t>funded</w:t>
      </w:r>
      <w:r w:rsidR="00587F38" w:rsidRPr="00E20D5A">
        <w:t xml:space="preserve"> programs</w:t>
      </w:r>
      <w:r w:rsidRPr="00E20D5A">
        <w:t xml:space="preserve">, licensees </w:t>
      </w:r>
      <w:r w:rsidR="00E6322F" w:rsidRPr="00E20D5A">
        <w:t>are considered to</w:t>
      </w:r>
      <w:r w:rsidRPr="00E20D5A">
        <w:t xml:space="preserve"> have made a </w:t>
      </w:r>
      <w:r w:rsidR="001F13FA" w:rsidRPr="00E20D5A">
        <w:t xml:space="preserve">significant </w:t>
      </w:r>
      <w:r w:rsidR="004E1F96" w:rsidRPr="00E20D5A">
        <w:t xml:space="preserve">financial contribution </w:t>
      </w:r>
      <w:r w:rsidR="003C7E13" w:rsidRPr="00E20D5A">
        <w:t xml:space="preserve">and </w:t>
      </w:r>
      <w:r w:rsidR="00D653AF" w:rsidRPr="00E20D5A">
        <w:t>this</w:t>
      </w:r>
      <w:r w:rsidR="003C7E13" w:rsidRPr="00E20D5A">
        <w:t xml:space="preserve"> has enable</w:t>
      </w:r>
      <w:r w:rsidR="004C1CE1" w:rsidRPr="00E20D5A">
        <w:t>d</w:t>
      </w:r>
      <w:r w:rsidR="003C7E13" w:rsidRPr="00E20D5A">
        <w:t xml:space="preserve"> the programs to be made. </w:t>
      </w:r>
      <w:r w:rsidR="00E6322F" w:rsidRPr="00E20D5A">
        <w:t xml:space="preserve">A </w:t>
      </w:r>
      <w:r w:rsidR="004C1CE1" w:rsidRPr="00E20D5A">
        <w:t>licensee’s</w:t>
      </w:r>
      <w:r w:rsidR="003C7E13" w:rsidRPr="00E20D5A">
        <w:t xml:space="preserve"> contribution is </w:t>
      </w:r>
      <w:r w:rsidR="00CD7E4A" w:rsidRPr="00E20D5A">
        <w:t>material and meaningful as a result.</w:t>
      </w:r>
    </w:p>
    <w:p w14:paraId="2F7F8697" w14:textId="52FAED09" w:rsidR="00051410" w:rsidRPr="00E20D5A" w:rsidRDefault="00A76BE3" w:rsidP="002E55B6">
      <w:pPr>
        <w:pStyle w:val="Bulletlevel1"/>
      </w:pPr>
      <w:r w:rsidRPr="00E20D5A">
        <w:t xml:space="preserve">For programs where a </w:t>
      </w:r>
      <w:r w:rsidR="00756D6D" w:rsidRPr="00E20D5A">
        <w:t>medium to high</w:t>
      </w:r>
      <w:r w:rsidRPr="00E20D5A">
        <w:t xml:space="preserve"> proportion of the total production budget has been supplied by </w:t>
      </w:r>
      <w:r w:rsidR="00F36607" w:rsidRPr="00E20D5A">
        <w:t xml:space="preserve">the </w:t>
      </w:r>
      <w:r w:rsidRPr="00E20D5A">
        <w:t xml:space="preserve">licensee, the </w:t>
      </w:r>
      <w:r w:rsidR="006E363D">
        <w:t>ACMA has considered</w:t>
      </w:r>
      <w:r w:rsidR="00AD1BB5" w:rsidRPr="00E20D5A">
        <w:t xml:space="preserve"> </w:t>
      </w:r>
      <w:r w:rsidR="006E363D">
        <w:t xml:space="preserve">this </w:t>
      </w:r>
      <w:r w:rsidR="00AD1BB5" w:rsidRPr="00E20D5A">
        <w:t xml:space="preserve">a significant financial </w:t>
      </w:r>
      <w:r w:rsidR="00693108" w:rsidRPr="00E20D5A">
        <w:t>contribution,</w:t>
      </w:r>
      <w:r w:rsidR="00AD1BB5" w:rsidRPr="00E20D5A">
        <w:t xml:space="preserve"> and </w:t>
      </w:r>
      <w:r w:rsidR="00756D6D" w:rsidRPr="00E20D5A">
        <w:t>this</w:t>
      </w:r>
      <w:r w:rsidR="00AD1BB5" w:rsidRPr="00E20D5A">
        <w:t xml:space="preserve"> has enabled the programs to be made.</w:t>
      </w:r>
      <w:r w:rsidRPr="00E20D5A">
        <w:t xml:space="preserve"> </w:t>
      </w:r>
      <w:r w:rsidR="00E6322F" w:rsidRPr="00E20D5A">
        <w:t>A licensee’s contribution is material and meaningful as a result.</w:t>
      </w:r>
      <w:r w:rsidR="00051410" w:rsidRPr="00E20D5A">
        <w:t xml:space="preserve"> </w:t>
      </w:r>
    </w:p>
    <w:p w14:paraId="4A5B136A" w14:textId="324CBADE" w:rsidR="00D544C3" w:rsidRPr="00E20D5A" w:rsidRDefault="003939D4" w:rsidP="002E55B6">
      <w:pPr>
        <w:pStyle w:val="Bulletlevel1last"/>
      </w:pPr>
      <w:r w:rsidRPr="00E20D5A">
        <w:t>For programs where a lower proportion of the total production budget has been supplied by the licensee</w:t>
      </w:r>
      <w:r w:rsidR="00AD5C66" w:rsidRPr="00E20D5A">
        <w:t xml:space="preserve">, </w:t>
      </w:r>
      <w:r w:rsidR="006E363D">
        <w:t xml:space="preserve">the ACMA </w:t>
      </w:r>
      <w:r w:rsidR="00AD5C66" w:rsidRPr="00E20D5A">
        <w:t>queried licensees</w:t>
      </w:r>
      <w:r w:rsidR="00F306B8" w:rsidRPr="00E20D5A">
        <w:t xml:space="preserve"> </w:t>
      </w:r>
      <w:r w:rsidR="00BC6673" w:rsidRPr="00E20D5A">
        <w:t xml:space="preserve">on matters beyond </w:t>
      </w:r>
      <w:r w:rsidR="00F306B8" w:rsidRPr="00E20D5A">
        <w:t>direct funding, such as broadcasting and streaming rights</w:t>
      </w:r>
      <w:r w:rsidR="00BC6673" w:rsidRPr="00E20D5A">
        <w:t>/entitlements</w:t>
      </w:r>
      <w:r w:rsidR="00F306B8" w:rsidRPr="00E20D5A">
        <w:t>;</w:t>
      </w:r>
      <w:r w:rsidR="00BC6673" w:rsidRPr="00E20D5A">
        <w:t xml:space="preserve"> the </w:t>
      </w:r>
      <w:r w:rsidR="00F306B8" w:rsidRPr="00E20D5A">
        <w:t>creative control</w:t>
      </w:r>
      <w:r w:rsidR="001B5B9D" w:rsidRPr="00E20D5A">
        <w:t xml:space="preserve"> the licensee has</w:t>
      </w:r>
      <w:r w:rsidR="00F306B8" w:rsidRPr="00E20D5A">
        <w:t>; the type of program being produced</w:t>
      </w:r>
      <w:r w:rsidR="009E6526" w:rsidRPr="00E20D5A">
        <w:t xml:space="preserve"> and</w:t>
      </w:r>
      <w:r w:rsidR="00F306B8" w:rsidRPr="00E20D5A">
        <w:t xml:space="preserve"> </w:t>
      </w:r>
      <w:r w:rsidR="001B5B9D" w:rsidRPr="00E20D5A">
        <w:t xml:space="preserve">the arrangements for </w:t>
      </w:r>
      <w:r w:rsidR="00E02DC8" w:rsidRPr="00E20D5A">
        <w:t>co-commissioning or multiparty</w:t>
      </w:r>
      <w:r w:rsidR="00841BAB" w:rsidRPr="00E20D5A">
        <w:t xml:space="preserve"> productions</w:t>
      </w:r>
      <w:r w:rsidR="006E363D">
        <w:t>,</w:t>
      </w:r>
      <w:r w:rsidR="00E02DC8" w:rsidRPr="00E20D5A">
        <w:t xml:space="preserve"> </w:t>
      </w:r>
      <w:r w:rsidR="00FA367B" w:rsidRPr="00E20D5A">
        <w:t xml:space="preserve">as well as </w:t>
      </w:r>
      <w:r w:rsidR="00F306B8" w:rsidRPr="00E20D5A">
        <w:t>the overall budget of the program.</w:t>
      </w:r>
      <w:r w:rsidR="00AD5C66" w:rsidRPr="00E20D5A">
        <w:t xml:space="preserve"> </w:t>
      </w:r>
      <w:r w:rsidR="00E97CEA" w:rsidRPr="00E20D5A">
        <w:t xml:space="preserve">Following assessment of further evidence, </w:t>
      </w:r>
      <w:r w:rsidR="006E363D">
        <w:t>the ACMA</w:t>
      </w:r>
      <w:r w:rsidR="006E363D" w:rsidRPr="00E20D5A">
        <w:t xml:space="preserve"> </w:t>
      </w:r>
      <w:r w:rsidR="00F57676" w:rsidRPr="00E20D5A">
        <w:t xml:space="preserve">determined whether </w:t>
      </w:r>
      <w:r w:rsidR="00E97CEA" w:rsidRPr="00E20D5A">
        <w:t>licensee contributions</w:t>
      </w:r>
      <w:r w:rsidR="00F57676" w:rsidRPr="00E20D5A">
        <w:t xml:space="preserve"> for particular programs meet the ‘</w:t>
      </w:r>
      <w:r w:rsidR="00E97CEA" w:rsidRPr="00E20D5A">
        <w:t>material and meaningful</w:t>
      </w:r>
      <w:r w:rsidR="00F57676" w:rsidRPr="00E20D5A">
        <w:t>’ test</w:t>
      </w:r>
      <w:r w:rsidR="00E97CEA" w:rsidRPr="00E20D5A">
        <w:t xml:space="preserve"> as a result.</w:t>
      </w:r>
    </w:p>
    <w:p w14:paraId="2304AB11" w14:textId="77777777" w:rsidR="00E97CEA" w:rsidRPr="00D544C3" w:rsidRDefault="00E97CEA" w:rsidP="002E55B6">
      <w:pPr>
        <w:pStyle w:val="Heading3"/>
        <w:keepLines/>
        <w:pageBreakBefore/>
      </w:pPr>
      <w:bookmarkStart w:id="8" w:name="_Toc112825518"/>
      <w:r w:rsidRPr="00D544C3">
        <w:lastRenderedPageBreak/>
        <w:t>What points can be claimed?</w:t>
      </w:r>
      <w:bookmarkEnd w:id="8"/>
    </w:p>
    <w:p w14:paraId="052371B0" w14:textId="77777777" w:rsidR="006E4620" w:rsidRPr="00D544C3" w:rsidRDefault="006E4620" w:rsidP="002E55B6">
      <w:pPr>
        <w:pStyle w:val="Paragraph"/>
        <w:spacing w:after="120"/>
      </w:pPr>
      <w:r w:rsidRPr="00D544C3">
        <w:t xml:space="preserve">Schedule 1 of the ACCTS provides for points allocation across genres as follows: </w:t>
      </w:r>
    </w:p>
    <w:tbl>
      <w:tblPr>
        <w:tblStyle w:val="TableGrid"/>
        <w:tblW w:w="5000" w:type="pct"/>
        <w:tblLook w:val="04A0" w:firstRow="1" w:lastRow="0" w:firstColumn="1" w:lastColumn="0" w:noHBand="0" w:noVBand="1"/>
      </w:tblPr>
      <w:tblGrid>
        <w:gridCol w:w="8075"/>
        <w:gridCol w:w="1696"/>
      </w:tblGrid>
      <w:tr w:rsidR="006E4620" w:rsidRPr="00A42587" w14:paraId="2F2D205E" w14:textId="77777777" w:rsidTr="002E55B6">
        <w:trPr>
          <w:tblHeader/>
        </w:trPr>
        <w:tc>
          <w:tcPr>
            <w:tcW w:w="4132" w:type="pct"/>
            <w:tcBorders>
              <w:top w:val="single" w:sz="4" w:space="0" w:color="auto"/>
              <w:left w:val="single" w:sz="4" w:space="0" w:color="auto"/>
              <w:bottom w:val="single" w:sz="4" w:space="0" w:color="auto"/>
              <w:right w:val="single" w:sz="4" w:space="0" w:color="auto"/>
            </w:tcBorders>
            <w:shd w:val="clear" w:color="auto" w:fill="39457C"/>
            <w:vAlign w:val="center"/>
            <w:hideMark/>
          </w:tcPr>
          <w:p w14:paraId="3BCD1D7E" w14:textId="77777777" w:rsidR="006E4620" w:rsidRPr="00A42587" w:rsidRDefault="006E4620" w:rsidP="002E55B6">
            <w:pPr>
              <w:spacing w:before="40" w:after="40" w:line="240" w:lineRule="auto"/>
              <w:rPr>
                <w:rFonts w:eastAsiaTheme="minorHAnsi" w:cs="Arial"/>
                <w:b/>
                <w:bCs/>
                <w:color w:val="FFFFFF" w:themeColor="background1"/>
                <w:szCs w:val="20"/>
              </w:rPr>
            </w:pPr>
            <w:r w:rsidRPr="00A42587">
              <w:rPr>
                <w:rFonts w:cs="Arial"/>
                <w:b/>
                <w:bCs/>
                <w:color w:val="FFFFFF" w:themeColor="background1"/>
                <w:szCs w:val="20"/>
              </w:rPr>
              <w:t>Genre</w:t>
            </w:r>
          </w:p>
        </w:tc>
        <w:tc>
          <w:tcPr>
            <w:tcW w:w="868" w:type="pct"/>
            <w:tcBorders>
              <w:top w:val="single" w:sz="4" w:space="0" w:color="auto"/>
              <w:left w:val="single" w:sz="4" w:space="0" w:color="auto"/>
              <w:bottom w:val="single" w:sz="4" w:space="0" w:color="auto"/>
              <w:right w:val="single" w:sz="4" w:space="0" w:color="auto"/>
            </w:tcBorders>
            <w:shd w:val="clear" w:color="auto" w:fill="39457C"/>
            <w:vAlign w:val="center"/>
            <w:hideMark/>
          </w:tcPr>
          <w:p w14:paraId="46F13939" w14:textId="77777777" w:rsidR="006E4620" w:rsidRPr="00A42587" w:rsidRDefault="006E4620">
            <w:pPr>
              <w:spacing w:before="40" w:after="40" w:line="240" w:lineRule="auto"/>
              <w:jc w:val="center"/>
              <w:rPr>
                <w:rFonts w:cs="Arial"/>
                <w:b/>
                <w:bCs/>
                <w:color w:val="FFFFFF" w:themeColor="background1"/>
                <w:szCs w:val="20"/>
              </w:rPr>
            </w:pPr>
            <w:r w:rsidRPr="00A42587">
              <w:rPr>
                <w:rFonts w:cs="Arial"/>
                <w:b/>
                <w:bCs/>
                <w:color w:val="FFFFFF" w:themeColor="background1"/>
                <w:szCs w:val="20"/>
              </w:rPr>
              <w:t>Points per hour broadcast</w:t>
            </w:r>
          </w:p>
        </w:tc>
      </w:tr>
      <w:tr w:rsidR="006E4620" w:rsidRPr="00A42587" w14:paraId="48889DC9" w14:textId="77777777" w:rsidTr="002E55B6">
        <w:tc>
          <w:tcPr>
            <w:tcW w:w="4132" w:type="pct"/>
            <w:tcBorders>
              <w:top w:val="single" w:sz="4" w:space="0" w:color="auto"/>
              <w:left w:val="single" w:sz="4" w:space="0" w:color="auto"/>
              <w:bottom w:val="single" w:sz="4" w:space="0" w:color="auto"/>
              <w:right w:val="single" w:sz="4" w:space="0" w:color="auto"/>
            </w:tcBorders>
            <w:vAlign w:val="center"/>
            <w:hideMark/>
          </w:tcPr>
          <w:p w14:paraId="713F75C3" w14:textId="77777777" w:rsidR="006E4620" w:rsidRPr="00A42587" w:rsidRDefault="006E4620">
            <w:pPr>
              <w:spacing w:before="40" w:after="40" w:line="240" w:lineRule="auto"/>
              <w:rPr>
                <w:rFonts w:cs="Arial"/>
                <w:szCs w:val="20"/>
              </w:rPr>
            </w:pPr>
            <w:r w:rsidRPr="00A42587">
              <w:rPr>
                <w:rFonts w:cs="Arial"/>
                <w:szCs w:val="20"/>
              </w:rPr>
              <w:t>Commissioned first release Australian documentary program (capped at a maximum 50 points per calendar year)</w:t>
            </w:r>
          </w:p>
        </w:tc>
        <w:tc>
          <w:tcPr>
            <w:tcW w:w="868" w:type="pct"/>
            <w:tcBorders>
              <w:top w:val="single" w:sz="4" w:space="0" w:color="auto"/>
              <w:left w:val="single" w:sz="4" w:space="0" w:color="auto"/>
              <w:bottom w:val="single" w:sz="4" w:space="0" w:color="auto"/>
              <w:right w:val="single" w:sz="4" w:space="0" w:color="auto"/>
            </w:tcBorders>
            <w:vAlign w:val="center"/>
            <w:hideMark/>
          </w:tcPr>
          <w:p w14:paraId="2A959BD9" w14:textId="77777777" w:rsidR="006E4620" w:rsidRPr="00A42587" w:rsidRDefault="006E4620">
            <w:pPr>
              <w:spacing w:before="40" w:after="40" w:line="240" w:lineRule="auto"/>
              <w:jc w:val="center"/>
              <w:rPr>
                <w:rFonts w:cs="Arial"/>
                <w:szCs w:val="20"/>
              </w:rPr>
            </w:pPr>
            <w:r w:rsidRPr="00A42587">
              <w:rPr>
                <w:rFonts w:cs="Arial"/>
                <w:szCs w:val="20"/>
              </w:rPr>
              <w:t>1</w:t>
            </w:r>
          </w:p>
        </w:tc>
      </w:tr>
      <w:tr w:rsidR="006E4620" w:rsidRPr="00A42587" w14:paraId="021894FA" w14:textId="77777777" w:rsidTr="002E55B6">
        <w:tc>
          <w:tcPr>
            <w:tcW w:w="41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A0C93" w14:textId="77777777" w:rsidR="006E4620" w:rsidRPr="00A42587" w:rsidRDefault="006E4620">
            <w:pPr>
              <w:spacing w:before="40" w:after="40" w:line="240" w:lineRule="auto"/>
              <w:rPr>
                <w:rFonts w:cs="Arial"/>
                <w:szCs w:val="20"/>
              </w:rPr>
            </w:pPr>
            <w:r w:rsidRPr="00A42587">
              <w:rPr>
                <w:rFonts w:cs="Arial"/>
                <w:szCs w:val="20"/>
              </w:rPr>
              <w:t>Commissioned first release Australian children’s program (non-drama)</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13419" w14:textId="77777777" w:rsidR="006E4620" w:rsidRPr="00A42587" w:rsidRDefault="006E4620">
            <w:pPr>
              <w:spacing w:before="40" w:after="40" w:line="240" w:lineRule="auto"/>
              <w:jc w:val="center"/>
              <w:rPr>
                <w:rFonts w:cs="Arial"/>
                <w:szCs w:val="20"/>
              </w:rPr>
            </w:pPr>
            <w:r w:rsidRPr="00A42587">
              <w:rPr>
                <w:rFonts w:cs="Arial"/>
                <w:szCs w:val="20"/>
              </w:rPr>
              <w:t>1.5</w:t>
            </w:r>
          </w:p>
        </w:tc>
      </w:tr>
      <w:tr w:rsidR="006E4620" w:rsidRPr="00A42587" w14:paraId="2B74B44B" w14:textId="77777777" w:rsidTr="002E55B6">
        <w:tc>
          <w:tcPr>
            <w:tcW w:w="4132" w:type="pct"/>
            <w:tcBorders>
              <w:top w:val="single" w:sz="4" w:space="0" w:color="auto"/>
              <w:left w:val="single" w:sz="4" w:space="0" w:color="auto"/>
              <w:bottom w:val="single" w:sz="4" w:space="0" w:color="auto"/>
              <w:right w:val="single" w:sz="4" w:space="0" w:color="auto"/>
            </w:tcBorders>
            <w:vAlign w:val="center"/>
            <w:hideMark/>
          </w:tcPr>
          <w:p w14:paraId="0417F1E6" w14:textId="77777777" w:rsidR="006E4620" w:rsidRPr="00A42587" w:rsidRDefault="006E4620">
            <w:pPr>
              <w:spacing w:before="40" w:after="40" w:line="240" w:lineRule="auto"/>
              <w:rPr>
                <w:rFonts w:cs="Arial"/>
                <w:szCs w:val="20"/>
              </w:rPr>
            </w:pPr>
            <w:r w:rsidRPr="00A42587">
              <w:rPr>
                <w:rFonts w:cs="Arial"/>
                <w:szCs w:val="20"/>
              </w:rPr>
              <w:t>Commissioned first release Australian drama program (less than or equal to $450,000 production budget per hour)</w:t>
            </w:r>
          </w:p>
        </w:tc>
        <w:tc>
          <w:tcPr>
            <w:tcW w:w="868" w:type="pct"/>
            <w:tcBorders>
              <w:top w:val="single" w:sz="4" w:space="0" w:color="auto"/>
              <w:left w:val="single" w:sz="4" w:space="0" w:color="auto"/>
              <w:bottom w:val="single" w:sz="4" w:space="0" w:color="auto"/>
              <w:right w:val="single" w:sz="4" w:space="0" w:color="auto"/>
            </w:tcBorders>
            <w:vAlign w:val="center"/>
            <w:hideMark/>
          </w:tcPr>
          <w:p w14:paraId="25A7A514" w14:textId="77777777" w:rsidR="006E4620" w:rsidRPr="00A42587" w:rsidRDefault="006E4620">
            <w:pPr>
              <w:spacing w:before="40" w:after="40" w:line="240" w:lineRule="auto"/>
              <w:jc w:val="center"/>
              <w:rPr>
                <w:rFonts w:cs="Arial"/>
                <w:szCs w:val="20"/>
              </w:rPr>
            </w:pPr>
            <w:r w:rsidRPr="00A42587">
              <w:rPr>
                <w:rFonts w:cs="Arial"/>
                <w:szCs w:val="20"/>
              </w:rPr>
              <w:t>1.5</w:t>
            </w:r>
          </w:p>
        </w:tc>
      </w:tr>
      <w:tr w:rsidR="006E4620" w:rsidRPr="00A42587" w14:paraId="433B5E5F" w14:textId="77777777" w:rsidTr="002E55B6">
        <w:tc>
          <w:tcPr>
            <w:tcW w:w="41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56924" w14:textId="77777777" w:rsidR="006E4620" w:rsidRPr="00A42587" w:rsidRDefault="006E4620">
            <w:pPr>
              <w:spacing w:before="40" w:after="40" w:line="240" w:lineRule="auto"/>
              <w:rPr>
                <w:rFonts w:cs="Arial"/>
                <w:szCs w:val="20"/>
              </w:rPr>
            </w:pPr>
            <w:r w:rsidRPr="00A42587">
              <w:rPr>
                <w:rFonts w:cs="Arial"/>
                <w:szCs w:val="20"/>
              </w:rPr>
              <w:t>Commissioned first release Australian drama program (more than $450,000 up to $700,000 production budget per hour)</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0F5BA4" w14:textId="77777777" w:rsidR="006E4620" w:rsidRPr="00A42587" w:rsidRDefault="006E4620">
            <w:pPr>
              <w:spacing w:before="40" w:after="40" w:line="240" w:lineRule="auto"/>
              <w:jc w:val="center"/>
              <w:rPr>
                <w:rFonts w:cs="Arial"/>
                <w:szCs w:val="20"/>
              </w:rPr>
            </w:pPr>
            <w:r w:rsidRPr="00A42587">
              <w:rPr>
                <w:rFonts w:cs="Arial"/>
                <w:szCs w:val="20"/>
              </w:rPr>
              <w:t>4</w:t>
            </w:r>
          </w:p>
        </w:tc>
      </w:tr>
      <w:tr w:rsidR="006E4620" w:rsidRPr="00A42587" w14:paraId="0531A062" w14:textId="77777777" w:rsidTr="002E55B6">
        <w:tc>
          <w:tcPr>
            <w:tcW w:w="4132" w:type="pct"/>
            <w:tcBorders>
              <w:top w:val="single" w:sz="4" w:space="0" w:color="auto"/>
              <w:left w:val="single" w:sz="4" w:space="0" w:color="auto"/>
              <w:bottom w:val="single" w:sz="4" w:space="0" w:color="auto"/>
              <w:right w:val="single" w:sz="4" w:space="0" w:color="auto"/>
            </w:tcBorders>
            <w:vAlign w:val="center"/>
            <w:hideMark/>
          </w:tcPr>
          <w:p w14:paraId="57A03A67" w14:textId="77777777" w:rsidR="006E4620" w:rsidRPr="00A42587" w:rsidRDefault="006E4620">
            <w:pPr>
              <w:spacing w:before="40" w:after="40" w:line="240" w:lineRule="auto"/>
              <w:rPr>
                <w:rFonts w:cs="Arial"/>
                <w:szCs w:val="20"/>
              </w:rPr>
            </w:pPr>
            <w:r w:rsidRPr="00A42587">
              <w:rPr>
                <w:rFonts w:cs="Arial"/>
                <w:szCs w:val="20"/>
              </w:rPr>
              <w:t>Commissioned first release Australian drama program (more than $700,000 up to $1,000,000 production budget per hour)</w:t>
            </w:r>
          </w:p>
        </w:tc>
        <w:tc>
          <w:tcPr>
            <w:tcW w:w="868" w:type="pct"/>
            <w:tcBorders>
              <w:top w:val="single" w:sz="4" w:space="0" w:color="auto"/>
              <w:left w:val="single" w:sz="4" w:space="0" w:color="auto"/>
              <w:bottom w:val="single" w:sz="4" w:space="0" w:color="auto"/>
              <w:right w:val="single" w:sz="4" w:space="0" w:color="auto"/>
            </w:tcBorders>
            <w:vAlign w:val="center"/>
            <w:hideMark/>
          </w:tcPr>
          <w:p w14:paraId="38ED5DBB" w14:textId="77777777" w:rsidR="006E4620" w:rsidRPr="00A42587" w:rsidRDefault="006E4620">
            <w:pPr>
              <w:spacing w:before="40" w:after="40" w:line="240" w:lineRule="auto"/>
              <w:jc w:val="center"/>
              <w:rPr>
                <w:rFonts w:cs="Arial"/>
                <w:szCs w:val="20"/>
              </w:rPr>
            </w:pPr>
            <w:r w:rsidRPr="00A42587">
              <w:rPr>
                <w:rFonts w:cs="Arial"/>
                <w:szCs w:val="20"/>
              </w:rPr>
              <w:t>5</w:t>
            </w:r>
          </w:p>
        </w:tc>
      </w:tr>
      <w:tr w:rsidR="006E4620" w:rsidRPr="00A42587" w14:paraId="2DCF20C2" w14:textId="77777777" w:rsidTr="002E55B6">
        <w:tc>
          <w:tcPr>
            <w:tcW w:w="41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E29416" w14:textId="77777777" w:rsidR="006E4620" w:rsidRPr="00A42587" w:rsidRDefault="006E4620">
            <w:pPr>
              <w:spacing w:before="40" w:after="40" w:line="240" w:lineRule="auto"/>
              <w:rPr>
                <w:rFonts w:cs="Arial"/>
                <w:szCs w:val="20"/>
              </w:rPr>
            </w:pPr>
            <w:r w:rsidRPr="00A42587">
              <w:rPr>
                <w:rFonts w:cs="Arial"/>
                <w:szCs w:val="20"/>
              </w:rPr>
              <w:t>Commissioned first release Australian drama program (more than $1,000,000 up to $1,400,000 production budget per hour)</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7EA95" w14:textId="77777777" w:rsidR="006E4620" w:rsidRPr="00A42587" w:rsidRDefault="006E4620">
            <w:pPr>
              <w:spacing w:before="40" w:after="40" w:line="240" w:lineRule="auto"/>
              <w:jc w:val="center"/>
              <w:rPr>
                <w:rFonts w:cs="Arial"/>
                <w:szCs w:val="20"/>
              </w:rPr>
            </w:pPr>
            <w:r w:rsidRPr="00A42587">
              <w:rPr>
                <w:rFonts w:cs="Arial"/>
                <w:szCs w:val="20"/>
              </w:rPr>
              <w:t>6</w:t>
            </w:r>
          </w:p>
        </w:tc>
      </w:tr>
      <w:tr w:rsidR="006E4620" w:rsidRPr="00A42587" w14:paraId="2497526F" w14:textId="77777777" w:rsidTr="002E55B6">
        <w:tc>
          <w:tcPr>
            <w:tcW w:w="4132" w:type="pct"/>
            <w:tcBorders>
              <w:top w:val="single" w:sz="4" w:space="0" w:color="auto"/>
              <w:left w:val="single" w:sz="4" w:space="0" w:color="auto"/>
              <w:bottom w:val="single" w:sz="4" w:space="0" w:color="auto"/>
              <w:right w:val="single" w:sz="4" w:space="0" w:color="auto"/>
            </w:tcBorders>
            <w:vAlign w:val="center"/>
            <w:hideMark/>
          </w:tcPr>
          <w:p w14:paraId="7E288904" w14:textId="77777777" w:rsidR="006E4620" w:rsidRPr="00A42587" w:rsidRDefault="006E4620">
            <w:pPr>
              <w:spacing w:before="40" w:after="40" w:line="240" w:lineRule="auto"/>
              <w:rPr>
                <w:rFonts w:cs="Arial"/>
                <w:szCs w:val="20"/>
              </w:rPr>
            </w:pPr>
            <w:r w:rsidRPr="00A42587">
              <w:rPr>
                <w:rFonts w:cs="Arial"/>
                <w:szCs w:val="20"/>
              </w:rPr>
              <w:t>Commissioned first release Australian drama program (more than $1,400,000 production budget per hour)</w:t>
            </w:r>
          </w:p>
        </w:tc>
        <w:tc>
          <w:tcPr>
            <w:tcW w:w="868" w:type="pct"/>
            <w:tcBorders>
              <w:top w:val="single" w:sz="4" w:space="0" w:color="auto"/>
              <w:left w:val="single" w:sz="4" w:space="0" w:color="auto"/>
              <w:bottom w:val="single" w:sz="4" w:space="0" w:color="auto"/>
              <w:right w:val="single" w:sz="4" w:space="0" w:color="auto"/>
            </w:tcBorders>
            <w:vAlign w:val="center"/>
            <w:hideMark/>
          </w:tcPr>
          <w:p w14:paraId="741D56C9" w14:textId="77777777" w:rsidR="006E4620" w:rsidRPr="00A42587" w:rsidRDefault="006E4620">
            <w:pPr>
              <w:spacing w:before="40" w:after="40" w:line="240" w:lineRule="auto"/>
              <w:jc w:val="center"/>
              <w:rPr>
                <w:rFonts w:cs="Arial"/>
                <w:szCs w:val="20"/>
              </w:rPr>
            </w:pPr>
            <w:r w:rsidRPr="00A42587">
              <w:rPr>
                <w:rFonts w:cs="Arial"/>
                <w:szCs w:val="20"/>
              </w:rPr>
              <w:t>7</w:t>
            </w:r>
          </w:p>
        </w:tc>
      </w:tr>
      <w:tr w:rsidR="006E4620" w:rsidRPr="00A42587" w14:paraId="634AE267" w14:textId="77777777" w:rsidTr="002E55B6">
        <w:tc>
          <w:tcPr>
            <w:tcW w:w="41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423813" w14:textId="77777777" w:rsidR="006E4620" w:rsidRPr="00A42587" w:rsidRDefault="006E4620">
            <w:pPr>
              <w:spacing w:before="40" w:after="40" w:line="240" w:lineRule="auto"/>
              <w:rPr>
                <w:rFonts w:cs="Arial"/>
                <w:szCs w:val="20"/>
              </w:rPr>
            </w:pPr>
            <w:r w:rsidRPr="00A42587">
              <w:rPr>
                <w:rFonts w:cs="Arial"/>
                <w:szCs w:val="20"/>
              </w:rPr>
              <w:t>Acquired first release Australian film (licence fee per film less than $50,000)</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E233D" w14:textId="77777777" w:rsidR="006E4620" w:rsidRPr="00A42587" w:rsidRDefault="006E4620">
            <w:pPr>
              <w:spacing w:before="40" w:after="40" w:line="240" w:lineRule="auto"/>
              <w:jc w:val="center"/>
              <w:rPr>
                <w:rFonts w:cs="Arial"/>
                <w:szCs w:val="20"/>
              </w:rPr>
            </w:pPr>
            <w:r w:rsidRPr="00A42587">
              <w:rPr>
                <w:rFonts w:cs="Arial"/>
                <w:szCs w:val="20"/>
              </w:rPr>
              <w:t>1</w:t>
            </w:r>
          </w:p>
        </w:tc>
      </w:tr>
      <w:tr w:rsidR="006E4620" w:rsidRPr="00A42587" w14:paraId="0FF7095F" w14:textId="77777777" w:rsidTr="002E55B6">
        <w:tc>
          <w:tcPr>
            <w:tcW w:w="4132" w:type="pct"/>
            <w:tcBorders>
              <w:top w:val="single" w:sz="4" w:space="0" w:color="auto"/>
              <w:left w:val="single" w:sz="4" w:space="0" w:color="auto"/>
              <w:bottom w:val="single" w:sz="4" w:space="0" w:color="auto"/>
              <w:right w:val="single" w:sz="4" w:space="0" w:color="auto"/>
            </w:tcBorders>
            <w:vAlign w:val="center"/>
            <w:hideMark/>
          </w:tcPr>
          <w:p w14:paraId="4ADC8460" w14:textId="77777777" w:rsidR="006E4620" w:rsidRPr="00A42587" w:rsidRDefault="006E4620">
            <w:pPr>
              <w:spacing w:before="40" w:after="40" w:line="240" w:lineRule="auto"/>
              <w:rPr>
                <w:rFonts w:cs="Arial"/>
                <w:szCs w:val="20"/>
              </w:rPr>
            </w:pPr>
            <w:r w:rsidRPr="00A42587">
              <w:rPr>
                <w:rFonts w:cs="Arial"/>
                <w:szCs w:val="20"/>
              </w:rPr>
              <w:t>Acquired first release Australian film (licence fee per film equal to or more than $50,000)</w:t>
            </w:r>
          </w:p>
        </w:tc>
        <w:tc>
          <w:tcPr>
            <w:tcW w:w="868" w:type="pct"/>
            <w:tcBorders>
              <w:top w:val="single" w:sz="4" w:space="0" w:color="auto"/>
              <w:left w:val="single" w:sz="4" w:space="0" w:color="auto"/>
              <w:bottom w:val="single" w:sz="4" w:space="0" w:color="auto"/>
              <w:right w:val="single" w:sz="4" w:space="0" w:color="auto"/>
            </w:tcBorders>
            <w:vAlign w:val="center"/>
            <w:hideMark/>
          </w:tcPr>
          <w:p w14:paraId="08CF337D" w14:textId="77777777" w:rsidR="006E4620" w:rsidRPr="00A42587" w:rsidRDefault="006E4620">
            <w:pPr>
              <w:spacing w:before="40" w:after="40" w:line="240" w:lineRule="auto"/>
              <w:jc w:val="center"/>
              <w:rPr>
                <w:rFonts w:cs="Arial"/>
                <w:szCs w:val="20"/>
              </w:rPr>
            </w:pPr>
            <w:r w:rsidRPr="00A42587">
              <w:rPr>
                <w:rFonts w:cs="Arial"/>
                <w:szCs w:val="20"/>
              </w:rPr>
              <w:t>2</w:t>
            </w:r>
          </w:p>
        </w:tc>
      </w:tr>
    </w:tbl>
    <w:p w14:paraId="132F3584" w14:textId="5496619D" w:rsidR="00BA4C61" w:rsidRPr="003727BB" w:rsidRDefault="006B6399" w:rsidP="002E55B6">
      <w:pPr>
        <w:pStyle w:val="Paragraphbeforelist"/>
        <w:spacing w:before="240"/>
      </w:pPr>
      <w:r w:rsidRPr="003727BB">
        <w:t>All</w:t>
      </w:r>
      <w:r w:rsidR="003C7521">
        <w:t xml:space="preserve"> regional</w:t>
      </w:r>
      <w:r w:rsidRPr="003727BB">
        <w:t xml:space="preserve"> licensees </w:t>
      </w:r>
      <w:r w:rsidR="003C7521">
        <w:t xml:space="preserve">have met </w:t>
      </w:r>
      <w:r w:rsidRPr="003727BB">
        <w:t>the annual points quota under the ACCTS</w:t>
      </w:r>
      <w:r w:rsidR="006E363D">
        <w:t>,</w:t>
      </w:r>
      <w:r w:rsidR="00BA4C61" w:rsidRPr="003727BB">
        <w:t xml:space="preserve"> with:</w:t>
      </w:r>
    </w:p>
    <w:p w14:paraId="1524BEAE" w14:textId="53E26949" w:rsidR="00BA4C61" w:rsidRDefault="009344C9" w:rsidP="00EB2AB5">
      <w:pPr>
        <w:pStyle w:val="Bulletlevel1"/>
        <w:numPr>
          <w:ilvl w:val="0"/>
          <w:numId w:val="32"/>
        </w:numPr>
        <w:tabs>
          <w:tab w:val="num" w:pos="295"/>
        </w:tabs>
        <w:ind w:left="295" w:hanging="295"/>
      </w:pPr>
      <w:r>
        <w:t>4</w:t>
      </w:r>
      <w:r w:rsidR="00B00A8F">
        <w:t>4</w:t>
      </w:r>
      <w:r>
        <w:t xml:space="preserve"> licensees </w:t>
      </w:r>
      <w:r w:rsidR="006B6399" w:rsidRPr="003727BB">
        <w:t>broadcast</w:t>
      </w:r>
      <w:r w:rsidR="00BA4C61" w:rsidRPr="003727BB">
        <w:t>ing</w:t>
      </w:r>
      <w:r w:rsidR="006B6399" w:rsidRPr="003727BB">
        <w:t xml:space="preserve"> </w:t>
      </w:r>
      <w:r w:rsidR="003727BB" w:rsidRPr="003727BB">
        <w:t xml:space="preserve">first release Australian content </w:t>
      </w:r>
      <w:r w:rsidR="00F47979">
        <w:t xml:space="preserve">between </w:t>
      </w:r>
      <w:r w:rsidR="00956712">
        <w:t>27</w:t>
      </w:r>
      <w:r w:rsidR="004E370A">
        <w:t xml:space="preserve">0 and </w:t>
      </w:r>
      <w:r w:rsidR="006B6399" w:rsidRPr="003727BB">
        <w:t>374 points</w:t>
      </w:r>
      <w:r w:rsidR="00193D0E">
        <w:rPr>
          <w:rStyle w:val="FootnoteReference"/>
        </w:rPr>
        <w:footnoteReference w:id="3"/>
      </w:r>
    </w:p>
    <w:p w14:paraId="3DB3D5C1" w14:textId="7244ED2B" w:rsidR="006B6399" w:rsidRPr="003727BB" w:rsidRDefault="004E370A" w:rsidP="002E55B6">
      <w:pPr>
        <w:pStyle w:val="Bulletlevel1last"/>
      </w:pPr>
      <w:r>
        <w:t>18 licensees broadcasting first release Australian content below 250</w:t>
      </w:r>
      <w:r w:rsidR="006A16DF">
        <w:t xml:space="preserve"> </w:t>
      </w:r>
      <w:r w:rsidR="00F578C7">
        <w:t xml:space="preserve">points </w:t>
      </w:r>
      <w:r w:rsidR="006A16DF">
        <w:t xml:space="preserve">but relying on </w:t>
      </w:r>
      <w:r w:rsidR="00BB4A1F">
        <w:t xml:space="preserve">the </w:t>
      </w:r>
      <w:r w:rsidR="006A16DF">
        <w:t>deemed compliance</w:t>
      </w:r>
      <w:r w:rsidR="00BB4A1F">
        <w:t xml:space="preserve"> provisions of</w:t>
      </w:r>
      <w:r w:rsidR="006A16DF">
        <w:t xml:space="preserve"> the ACCTS.</w:t>
      </w:r>
    </w:p>
    <w:p w14:paraId="5A0727FF" w14:textId="2CF1DC98" w:rsidR="00C84154" w:rsidRDefault="00C84154" w:rsidP="0072649C">
      <w:pPr>
        <w:pStyle w:val="Paragraph"/>
      </w:pPr>
      <w:r>
        <w:t xml:space="preserve">Licensees </w:t>
      </w:r>
      <w:r w:rsidRPr="005001F5">
        <w:t xml:space="preserve">may ‘carry over’ up to 50 points in excess of the </w:t>
      </w:r>
      <w:r w:rsidRPr="000F1C3A">
        <w:t xml:space="preserve">annual points </w:t>
      </w:r>
      <w:r w:rsidRPr="005001F5">
        <w:t xml:space="preserve">quota </w:t>
      </w:r>
      <w:r>
        <w:t>from</w:t>
      </w:r>
      <w:r w:rsidRPr="005001F5">
        <w:t xml:space="preserve"> one calendar year to the </w:t>
      </w:r>
      <w:r>
        <w:t>next</w:t>
      </w:r>
      <w:r w:rsidRPr="005001F5">
        <w:t>.</w:t>
      </w:r>
      <w:r>
        <w:t xml:space="preserve"> </w:t>
      </w:r>
    </w:p>
    <w:p w14:paraId="6E2F05A9" w14:textId="77777777" w:rsidR="003D36CA" w:rsidRDefault="003D36CA" w:rsidP="003D36CA">
      <w:pPr>
        <w:pStyle w:val="Paragraph"/>
      </w:pPr>
      <w:r>
        <w:t xml:space="preserve">The average hours of ACCTS first release commissioned programs and acquired films broadcast by regional licensees in 2021 ranged between 109 hours and 192 hours. </w:t>
      </w:r>
    </w:p>
    <w:p w14:paraId="46D90083" w14:textId="55A87202" w:rsidR="00043F89" w:rsidRPr="003C0E3B" w:rsidRDefault="003C0E3B" w:rsidP="00E20D5A">
      <w:pPr>
        <w:pStyle w:val="Heading3"/>
      </w:pPr>
      <w:bookmarkStart w:id="9" w:name="_Toc112825519"/>
      <w:r w:rsidRPr="003C0E3B">
        <w:t>D</w:t>
      </w:r>
      <w:r w:rsidR="00043F89" w:rsidRPr="003C0E3B">
        <w:t>eemed compliance</w:t>
      </w:r>
      <w:r w:rsidR="006E363D">
        <w:t xml:space="preserve">: </w:t>
      </w:r>
      <w:r w:rsidR="00E20D5A" w:rsidRPr="003C0E3B">
        <w:rPr>
          <w:color w:val="000000"/>
          <w:shd w:val="clear" w:color="auto" w:fill="FFFFFF"/>
        </w:rPr>
        <w:t>ACCTS annual points quota</w:t>
      </w:r>
      <w:bookmarkEnd w:id="9"/>
    </w:p>
    <w:p w14:paraId="784EB732" w14:textId="08FB36AC" w:rsidR="00DE7FB6" w:rsidRPr="003C0E3B" w:rsidRDefault="00412BF7" w:rsidP="002E55B6">
      <w:pPr>
        <w:pStyle w:val="Paragraph"/>
        <w:rPr>
          <w:shd w:val="clear" w:color="auto" w:fill="FFFFFF"/>
        </w:rPr>
      </w:pPr>
      <w:r w:rsidRPr="003C0E3B">
        <w:rPr>
          <w:shd w:val="clear" w:color="auto" w:fill="FFFFFF"/>
        </w:rPr>
        <w:t xml:space="preserve">Section 16 of the </w:t>
      </w:r>
      <w:bookmarkStart w:id="10" w:name="_Hlk112335253"/>
      <w:r w:rsidRPr="003C0E3B">
        <w:rPr>
          <w:shd w:val="clear" w:color="auto" w:fill="FFFFFF"/>
        </w:rPr>
        <w:t xml:space="preserve">ACCTS </w:t>
      </w:r>
      <w:r w:rsidR="00486B83" w:rsidRPr="003C0E3B">
        <w:rPr>
          <w:shd w:val="clear" w:color="auto" w:fill="FFFFFF"/>
        </w:rPr>
        <w:t xml:space="preserve">provides that </w:t>
      </w:r>
      <w:r w:rsidRPr="003C0E3B">
        <w:rPr>
          <w:shd w:val="clear" w:color="auto" w:fill="FFFFFF"/>
        </w:rPr>
        <w:t xml:space="preserve">a regional licensee </w:t>
      </w:r>
      <w:r w:rsidR="00486B83" w:rsidRPr="003C0E3B">
        <w:rPr>
          <w:shd w:val="clear" w:color="auto" w:fill="FFFFFF"/>
        </w:rPr>
        <w:t xml:space="preserve">can be </w:t>
      </w:r>
      <w:r w:rsidRPr="003C0E3B">
        <w:rPr>
          <w:shd w:val="clear" w:color="auto" w:fill="FFFFFF"/>
        </w:rPr>
        <w:t xml:space="preserve">deemed compliant with the annual points quota </w:t>
      </w:r>
      <w:bookmarkEnd w:id="10"/>
      <w:r w:rsidRPr="003C0E3B">
        <w:rPr>
          <w:shd w:val="clear" w:color="auto" w:fill="FFFFFF"/>
        </w:rPr>
        <w:t xml:space="preserve">under the Standards. </w:t>
      </w:r>
      <w:bookmarkStart w:id="11" w:name="_Hlk112417148"/>
      <w:r w:rsidR="00DE7FB6" w:rsidRPr="003C0E3B">
        <w:rPr>
          <w:shd w:val="clear" w:color="auto" w:fill="FFFFFF"/>
        </w:rPr>
        <w:t xml:space="preserve">The </w:t>
      </w:r>
      <w:hyperlink r:id="rId26" w:history="1">
        <w:r w:rsidR="00DE7FB6" w:rsidRPr="002E55B6">
          <w:rPr>
            <w:rStyle w:val="Hyperlink"/>
            <w:iCs/>
            <w:shd w:val="clear" w:color="auto" w:fill="FFFFFF"/>
          </w:rPr>
          <w:t>Explanatory Statement</w:t>
        </w:r>
        <w:r w:rsidR="00DE7FB6" w:rsidRPr="003C0E3B">
          <w:rPr>
            <w:rStyle w:val="Hyperlink"/>
            <w:bCs/>
            <w:shd w:val="clear" w:color="auto" w:fill="FFFFFF"/>
          </w:rPr>
          <w:t xml:space="preserve"> to the ACCTS</w:t>
        </w:r>
      </w:hyperlink>
      <w:r w:rsidR="00DE7FB6" w:rsidRPr="003C0E3B">
        <w:rPr>
          <w:shd w:val="clear" w:color="auto" w:fill="FFFFFF"/>
        </w:rPr>
        <w:t xml:space="preserve"> indicates that the deeming provision was introduced to protect regional and remote licensees</w:t>
      </w:r>
      <w:r w:rsidR="006E363D">
        <w:rPr>
          <w:shd w:val="clear" w:color="auto" w:fill="FFFFFF"/>
        </w:rPr>
        <w:t xml:space="preserve"> that</w:t>
      </w:r>
      <w:r w:rsidR="00DE7FB6" w:rsidRPr="003C0E3B">
        <w:rPr>
          <w:shd w:val="clear" w:color="auto" w:fill="FFFFFF"/>
        </w:rPr>
        <w:t xml:space="preserve"> may have limited control over programming retransmitted under an affiliate agreement. </w:t>
      </w:r>
    </w:p>
    <w:bookmarkEnd w:id="11"/>
    <w:p w14:paraId="4657EE85" w14:textId="27F13C05" w:rsidR="00407ACA" w:rsidRPr="003C0E3B" w:rsidRDefault="000C40B7" w:rsidP="002E55B6">
      <w:pPr>
        <w:pStyle w:val="Paragraph"/>
        <w:rPr>
          <w:shd w:val="clear" w:color="auto" w:fill="FFFFFF"/>
        </w:rPr>
      </w:pPr>
      <w:r w:rsidRPr="003C0E3B">
        <w:rPr>
          <w:shd w:val="clear" w:color="auto" w:fill="FFFFFF"/>
        </w:rPr>
        <w:t xml:space="preserve">As part of the 2021 compliance reporting, </w:t>
      </w:r>
      <w:r w:rsidR="006E363D">
        <w:rPr>
          <w:shd w:val="clear" w:color="auto" w:fill="FFFFFF"/>
        </w:rPr>
        <w:t>the ACMA</w:t>
      </w:r>
      <w:r w:rsidR="006E363D" w:rsidRPr="003C0E3B">
        <w:rPr>
          <w:shd w:val="clear" w:color="auto" w:fill="FFFFFF"/>
        </w:rPr>
        <w:t xml:space="preserve"> </w:t>
      </w:r>
      <w:r w:rsidRPr="003C0E3B">
        <w:rPr>
          <w:shd w:val="clear" w:color="auto" w:fill="FFFFFF"/>
        </w:rPr>
        <w:t>received 1</w:t>
      </w:r>
      <w:r w:rsidR="004D13FB" w:rsidRPr="003C0E3B">
        <w:rPr>
          <w:shd w:val="clear" w:color="auto" w:fill="FFFFFF"/>
        </w:rPr>
        <w:t>8</w:t>
      </w:r>
      <w:r w:rsidRPr="003C0E3B">
        <w:rPr>
          <w:shd w:val="clear" w:color="auto" w:fill="FFFFFF"/>
        </w:rPr>
        <w:t xml:space="preserve"> notices for deemed compliance with</w:t>
      </w:r>
      <w:r w:rsidR="00DA6F1F" w:rsidRPr="003C0E3B">
        <w:rPr>
          <w:shd w:val="clear" w:color="auto" w:fill="FFFFFF"/>
        </w:rPr>
        <w:t xml:space="preserve"> </w:t>
      </w:r>
      <w:r w:rsidR="008A5DB7" w:rsidRPr="003C0E3B">
        <w:rPr>
          <w:shd w:val="clear" w:color="auto" w:fill="FFFFFF"/>
        </w:rPr>
        <w:t xml:space="preserve">the </w:t>
      </w:r>
      <w:r w:rsidR="00DA6F1F" w:rsidRPr="003C0E3B">
        <w:rPr>
          <w:shd w:val="clear" w:color="auto" w:fill="FFFFFF"/>
        </w:rPr>
        <w:t>250 annual points quota for f</w:t>
      </w:r>
      <w:r w:rsidR="003D36CA" w:rsidRPr="003C0E3B">
        <w:rPr>
          <w:shd w:val="clear" w:color="auto" w:fill="FFFFFF"/>
        </w:rPr>
        <w:t>i</w:t>
      </w:r>
      <w:r w:rsidR="00DA6F1F" w:rsidRPr="003C0E3B">
        <w:rPr>
          <w:shd w:val="clear" w:color="auto" w:fill="FFFFFF"/>
        </w:rPr>
        <w:t>rst re</w:t>
      </w:r>
      <w:r w:rsidR="003D36CA" w:rsidRPr="003C0E3B">
        <w:rPr>
          <w:shd w:val="clear" w:color="auto" w:fill="FFFFFF"/>
        </w:rPr>
        <w:t>lease</w:t>
      </w:r>
      <w:r w:rsidR="00DA6F1F" w:rsidRPr="003C0E3B">
        <w:rPr>
          <w:shd w:val="clear" w:color="auto" w:fill="FFFFFF"/>
        </w:rPr>
        <w:t xml:space="preserve"> Australian content</w:t>
      </w:r>
      <w:r w:rsidR="003D36CA" w:rsidRPr="003C0E3B">
        <w:rPr>
          <w:shd w:val="clear" w:color="auto" w:fill="FFFFFF"/>
        </w:rPr>
        <w:t xml:space="preserve"> and films</w:t>
      </w:r>
      <w:r w:rsidR="00DA6F1F" w:rsidRPr="003C0E3B">
        <w:rPr>
          <w:shd w:val="clear" w:color="auto" w:fill="FFFFFF"/>
        </w:rPr>
        <w:t xml:space="preserve">. </w:t>
      </w:r>
      <w:r w:rsidR="00412BF7" w:rsidRPr="003C0E3B">
        <w:rPr>
          <w:shd w:val="clear" w:color="auto" w:fill="FFFFFF"/>
        </w:rPr>
        <w:t xml:space="preserve">Deemed compliance </w:t>
      </w:r>
      <w:r w:rsidR="006742B6" w:rsidRPr="003C0E3B">
        <w:rPr>
          <w:shd w:val="clear" w:color="auto" w:fill="FFFFFF"/>
        </w:rPr>
        <w:t xml:space="preserve">for the ACCTS points requirement </w:t>
      </w:r>
      <w:r w:rsidR="00412BF7" w:rsidRPr="003C0E3B">
        <w:rPr>
          <w:shd w:val="clear" w:color="auto" w:fill="FFFFFF"/>
        </w:rPr>
        <w:t xml:space="preserve">can </w:t>
      </w:r>
      <w:r w:rsidR="003014A2" w:rsidRPr="003C0E3B">
        <w:rPr>
          <w:shd w:val="clear" w:color="auto" w:fill="FFFFFF"/>
        </w:rPr>
        <w:t>occur</w:t>
      </w:r>
      <w:r w:rsidR="00412BF7" w:rsidRPr="003C0E3B">
        <w:rPr>
          <w:shd w:val="clear" w:color="auto" w:fill="FFFFFF"/>
        </w:rPr>
        <w:t xml:space="preserve"> if the duration of first release Australian programs the regional </w:t>
      </w:r>
      <w:r w:rsidR="004A2753" w:rsidRPr="003C0E3B">
        <w:rPr>
          <w:shd w:val="clear" w:color="auto" w:fill="FFFFFF"/>
        </w:rPr>
        <w:t xml:space="preserve">or remote </w:t>
      </w:r>
      <w:r w:rsidR="00412BF7" w:rsidRPr="003C0E3B">
        <w:rPr>
          <w:shd w:val="clear" w:color="auto" w:fill="FFFFFF"/>
        </w:rPr>
        <w:t xml:space="preserve">licensee broadcasts is the same as, or more than, the amount broadcast by its metropolitan affiliate on the latter’s equivalent channel/s during the same year. </w:t>
      </w:r>
      <w:r w:rsidR="006E363D">
        <w:rPr>
          <w:shd w:val="clear" w:color="auto" w:fill="FFFFFF"/>
        </w:rPr>
        <w:t xml:space="preserve">For </w:t>
      </w:r>
      <w:r w:rsidR="001B49D9" w:rsidRPr="003C0E3B">
        <w:rPr>
          <w:shd w:val="clear" w:color="auto" w:fill="FFFFFF"/>
        </w:rPr>
        <w:t xml:space="preserve">example, </w:t>
      </w:r>
      <w:r w:rsidR="00DE7FB6" w:rsidRPr="003C0E3B">
        <w:rPr>
          <w:shd w:val="clear" w:color="auto" w:fill="FFFFFF"/>
        </w:rPr>
        <w:t>10</w:t>
      </w:r>
      <w:r w:rsidR="001B49D9" w:rsidRPr="003C0E3B">
        <w:rPr>
          <w:shd w:val="clear" w:color="auto" w:fill="FFFFFF"/>
        </w:rPr>
        <w:t xml:space="preserve"> </w:t>
      </w:r>
      <w:r w:rsidR="00DE7FB6" w:rsidRPr="003C0E3B">
        <w:rPr>
          <w:shd w:val="clear" w:color="auto" w:fill="FFFFFF"/>
        </w:rPr>
        <w:t xml:space="preserve">WIN Television </w:t>
      </w:r>
      <w:r w:rsidR="001B49D9" w:rsidRPr="003C0E3B">
        <w:rPr>
          <w:shd w:val="clear" w:color="auto" w:fill="FFFFFF"/>
        </w:rPr>
        <w:t>regional</w:t>
      </w:r>
      <w:r w:rsidR="00DE7FB6" w:rsidRPr="003C0E3B">
        <w:rPr>
          <w:shd w:val="clear" w:color="auto" w:fill="FFFFFF"/>
        </w:rPr>
        <w:t xml:space="preserve"> and</w:t>
      </w:r>
      <w:r w:rsidR="001B49D9" w:rsidRPr="003C0E3B">
        <w:rPr>
          <w:shd w:val="clear" w:color="auto" w:fill="FFFFFF"/>
        </w:rPr>
        <w:t xml:space="preserve"> licensees </w:t>
      </w:r>
      <w:r w:rsidR="00DE7FB6" w:rsidRPr="003C0E3B">
        <w:rPr>
          <w:shd w:val="clear" w:color="auto" w:fill="FFFFFF"/>
        </w:rPr>
        <w:t>transmitted the same duration of first release Australian programs</w:t>
      </w:r>
      <w:r w:rsidR="001B49D9" w:rsidRPr="003C0E3B">
        <w:rPr>
          <w:shd w:val="clear" w:color="auto" w:fill="FFFFFF"/>
        </w:rPr>
        <w:t xml:space="preserve"> </w:t>
      </w:r>
      <w:r w:rsidR="00D23AE5" w:rsidRPr="003C0E3B">
        <w:rPr>
          <w:shd w:val="clear" w:color="auto" w:fill="FFFFFF"/>
        </w:rPr>
        <w:t xml:space="preserve">and Australian films </w:t>
      </w:r>
      <w:r w:rsidR="001B49D9" w:rsidRPr="003C0E3B">
        <w:rPr>
          <w:shd w:val="clear" w:color="auto" w:fill="FFFFFF"/>
        </w:rPr>
        <w:t>as the affiliate metropolitan counterparts</w:t>
      </w:r>
      <w:r w:rsidR="006E363D">
        <w:rPr>
          <w:shd w:val="clear" w:color="auto" w:fill="FFFFFF"/>
        </w:rPr>
        <w:t>,</w:t>
      </w:r>
      <w:r w:rsidR="001B49D9" w:rsidRPr="003C0E3B">
        <w:rPr>
          <w:shd w:val="clear" w:color="auto" w:fill="FFFFFF"/>
        </w:rPr>
        <w:t xml:space="preserve"> so can be deemed compliant.</w:t>
      </w:r>
      <w:r w:rsidR="00DE7FB6" w:rsidRPr="003C0E3B">
        <w:t xml:space="preserve"> WIN </w:t>
      </w:r>
      <w:r w:rsidR="00B54F9E" w:rsidRPr="003C0E3B">
        <w:t>Television licensees transmitted</w:t>
      </w:r>
      <w:r w:rsidR="00821D52" w:rsidRPr="003C0E3B">
        <w:t xml:space="preserve"> </w:t>
      </w:r>
      <w:r w:rsidR="00DE7FB6" w:rsidRPr="003C0E3B">
        <w:rPr>
          <w:shd w:val="clear" w:color="auto" w:fill="FFFFFF"/>
        </w:rPr>
        <w:t xml:space="preserve">10, </w:t>
      </w:r>
      <w:r w:rsidR="00821D52" w:rsidRPr="003C0E3B">
        <w:rPr>
          <w:shd w:val="clear" w:color="auto" w:fill="FFFFFF"/>
        </w:rPr>
        <w:t>10</w:t>
      </w:r>
      <w:r w:rsidR="006E363D">
        <w:rPr>
          <w:shd w:val="clear" w:color="auto" w:fill="FFFFFF"/>
        </w:rPr>
        <w:t> </w:t>
      </w:r>
      <w:r w:rsidR="00DE7FB6" w:rsidRPr="003C0E3B">
        <w:rPr>
          <w:shd w:val="clear" w:color="auto" w:fill="FFFFFF"/>
        </w:rPr>
        <w:t>Peach</w:t>
      </w:r>
      <w:r w:rsidR="00821D52" w:rsidRPr="003C0E3B">
        <w:rPr>
          <w:shd w:val="clear" w:color="auto" w:fill="FFFFFF"/>
        </w:rPr>
        <w:t xml:space="preserve"> and 10</w:t>
      </w:r>
      <w:r w:rsidR="006E363D">
        <w:rPr>
          <w:shd w:val="clear" w:color="auto" w:fill="FFFFFF"/>
        </w:rPr>
        <w:t> </w:t>
      </w:r>
      <w:r w:rsidR="00DE7FB6" w:rsidRPr="003C0E3B">
        <w:rPr>
          <w:shd w:val="clear" w:color="auto" w:fill="FFFFFF"/>
        </w:rPr>
        <w:t xml:space="preserve">Bold </w:t>
      </w:r>
      <w:r w:rsidR="003B18F7" w:rsidRPr="003C0E3B">
        <w:rPr>
          <w:shd w:val="clear" w:color="auto" w:fill="FFFFFF"/>
        </w:rPr>
        <w:t>from</w:t>
      </w:r>
      <w:r w:rsidR="00821D52" w:rsidRPr="003C0E3B">
        <w:rPr>
          <w:shd w:val="clear" w:color="auto" w:fill="FFFFFF"/>
        </w:rPr>
        <w:t xml:space="preserve"> </w:t>
      </w:r>
      <w:r w:rsidR="00DE7FB6" w:rsidRPr="003C0E3B">
        <w:rPr>
          <w:shd w:val="clear" w:color="auto" w:fill="FFFFFF"/>
        </w:rPr>
        <w:t>1</w:t>
      </w:r>
      <w:r w:rsidR="00821D52" w:rsidRPr="003C0E3B">
        <w:rPr>
          <w:shd w:val="clear" w:color="auto" w:fill="FFFFFF"/>
        </w:rPr>
        <w:t xml:space="preserve"> January</w:t>
      </w:r>
      <w:r w:rsidR="006E363D">
        <w:rPr>
          <w:shd w:val="clear" w:color="auto" w:fill="FFFFFF"/>
        </w:rPr>
        <w:t xml:space="preserve"> to </w:t>
      </w:r>
      <w:r w:rsidR="003B18F7" w:rsidRPr="003C0E3B">
        <w:rPr>
          <w:shd w:val="clear" w:color="auto" w:fill="FFFFFF"/>
        </w:rPr>
        <w:t>30 June</w:t>
      </w:r>
      <w:r w:rsidR="00821D52" w:rsidRPr="003C0E3B">
        <w:rPr>
          <w:shd w:val="clear" w:color="auto" w:fill="FFFFFF"/>
        </w:rPr>
        <w:t xml:space="preserve"> 2021</w:t>
      </w:r>
      <w:r w:rsidR="003B18F7" w:rsidRPr="003C0E3B">
        <w:rPr>
          <w:shd w:val="clear" w:color="auto" w:fill="FFFFFF"/>
        </w:rPr>
        <w:t xml:space="preserve">, </w:t>
      </w:r>
      <w:r w:rsidR="00DE7FB6" w:rsidRPr="003C0E3B">
        <w:rPr>
          <w:shd w:val="clear" w:color="auto" w:fill="FFFFFF"/>
        </w:rPr>
        <w:t xml:space="preserve">Sky News on WIN </w:t>
      </w:r>
      <w:r w:rsidR="003B18F7" w:rsidRPr="003C0E3B">
        <w:rPr>
          <w:shd w:val="clear" w:color="auto" w:fill="FFFFFF"/>
        </w:rPr>
        <w:t>from 1 January</w:t>
      </w:r>
      <w:r w:rsidR="006E363D">
        <w:rPr>
          <w:shd w:val="clear" w:color="auto" w:fill="FFFFFF"/>
        </w:rPr>
        <w:t xml:space="preserve"> to </w:t>
      </w:r>
      <w:r w:rsidR="003B18F7" w:rsidRPr="003C0E3B">
        <w:rPr>
          <w:shd w:val="clear" w:color="auto" w:fill="FFFFFF"/>
        </w:rPr>
        <w:t>31 July 2021</w:t>
      </w:r>
      <w:r w:rsidR="00D23AE5" w:rsidRPr="003C0E3B">
        <w:rPr>
          <w:shd w:val="clear" w:color="auto" w:fill="FFFFFF"/>
        </w:rPr>
        <w:t>. T</w:t>
      </w:r>
      <w:r w:rsidR="003B18F7" w:rsidRPr="003C0E3B">
        <w:rPr>
          <w:shd w:val="clear" w:color="auto" w:fill="FFFFFF"/>
        </w:rPr>
        <w:t xml:space="preserve">hen following new affiliation agreements transmitted </w:t>
      </w:r>
      <w:r w:rsidR="00DE7FB6" w:rsidRPr="003C0E3B">
        <w:rPr>
          <w:shd w:val="clear" w:color="auto" w:fill="FFFFFF"/>
        </w:rPr>
        <w:t>9, 9Go!, 9Gem</w:t>
      </w:r>
      <w:r w:rsidR="003B18F7" w:rsidRPr="003C0E3B">
        <w:rPr>
          <w:shd w:val="clear" w:color="auto" w:fill="FFFFFF"/>
        </w:rPr>
        <w:t xml:space="preserve"> from 1 July </w:t>
      </w:r>
      <w:r w:rsidR="006E363D">
        <w:rPr>
          <w:shd w:val="clear" w:color="auto" w:fill="FFFFFF"/>
        </w:rPr>
        <w:t xml:space="preserve">to </w:t>
      </w:r>
      <w:r w:rsidR="003B18F7" w:rsidRPr="003C0E3B">
        <w:rPr>
          <w:shd w:val="clear" w:color="auto" w:fill="FFFFFF"/>
        </w:rPr>
        <w:t xml:space="preserve">30 December 2021 and </w:t>
      </w:r>
      <w:r w:rsidR="00DE7FB6" w:rsidRPr="003C0E3B">
        <w:rPr>
          <w:shd w:val="clear" w:color="auto" w:fill="FFFFFF"/>
        </w:rPr>
        <w:t>9Life</w:t>
      </w:r>
      <w:r w:rsidR="003B18F7" w:rsidRPr="003C0E3B">
        <w:rPr>
          <w:shd w:val="clear" w:color="auto" w:fill="FFFFFF"/>
        </w:rPr>
        <w:t xml:space="preserve"> from 1 August </w:t>
      </w:r>
      <w:r w:rsidR="006E363D">
        <w:rPr>
          <w:shd w:val="clear" w:color="auto" w:fill="FFFFFF"/>
        </w:rPr>
        <w:t>to</w:t>
      </w:r>
      <w:r w:rsidR="006E363D" w:rsidRPr="003C0E3B">
        <w:rPr>
          <w:shd w:val="clear" w:color="auto" w:fill="FFFFFF"/>
        </w:rPr>
        <w:t xml:space="preserve"> </w:t>
      </w:r>
      <w:r w:rsidR="003B18F7" w:rsidRPr="003C0E3B">
        <w:rPr>
          <w:shd w:val="clear" w:color="auto" w:fill="FFFFFF"/>
        </w:rPr>
        <w:t xml:space="preserve">30 December 2021. </w:t>
      </w:r>
    </w:p>
    <w:p w14:paraId="0033D66D" w14:textId="51AB3DC0" w:rsidR="00DD5355" w:rsidRDefault="00DD5355" w:rsidP="002E55B6">
      <w:pPr>
        <w:pStyle w:val="Paragraph"/>
        <w:rPr>
          <w:szCs w:val="20"/>
        </w:rPr>
      </w:pPr>
      <w:r w:rsidRPr="003C0E3B">
        <w:rPr>
          <w:shd w:val="clear" w:color="auto" w:fill="FFFFFF"/>
        </w:rPr>
        <w:t xml:space="preserve">The ACMA </w:t>
      </w:r>
      <w:r w:rsidR="00990DD1" w:rsidRPr="003C0E3B">
        <w:rPr>
          <w:shd w:val="clear" w:color="auto" w:fill="FFFFFF"/>
        </w:rPr>
        <w:t xml:space="preserve">has </w:t>
      </w:r>
      <w:r w:rsidRPr="003C0E3B">
        <w:rPr>
          <w:shd w:val="clear" w:color="auto" w:fill="FFFFFF"/>
        </w:rPr>
        <w:t>publish</w:t>
      </w:r>
      <w:r w:rsidR="00071C0D" w:rsidRPr="003C0E3B">
        <w:rPr>
          <w:shd w:val="clear" w:color="auto" w:fill="FFFFFF"/>
        </w:rPr>
        <w:t>ed</w:t>
      </w:r>
      <w:r w:rsidRPr="003C0E3B">
        <w:rPr>
          <w:shd w:val="clear" w:color="auto" w:fill="FFFFFF"/>
        </w:rPr>
        <w:t xml:space="preserve"> cop</w:t>
      </w:r>
      <w:r w:rsidR="00071C0D" w:rsidRPr="003C0E3B">
        <w:rPr>
          <w:shd w:val="clear" w:color="auto" w:fill="FFFFFF"/>
        </w:rPr>
        <w:t>ies</w:t>
      </w:r>
      <w:r w:rsidRPr="003C0E3B">
        <w:rPr>
          <w:shd w:val="clear" w:color="auto" w:fill="FFFFFF"/>
        </w:rPr>
        <w:t xml:space="preserve"> of the notice</w:t>
      </w:r>
      <w:r w:rsidR="00FA4D2A" w:rsidRPr="003C0E3B">
        <w:rPr>
          <w:shd w:val="clear" w:color="auto" w:fill="FFFFFF"/>
        </w:rPr>
        <w:t xml:space="preserve">s given </w:t>
      </w:r>
      <w:r w:rsidR="00B940C7" w:rsidRPr="003C0E3B">
        <w:rPr>
          <w:shd w:val="clear" w:color="auto" w:fill="FFFFFF"/>
        </w:rPr>
        <w:t>under the ACCTS</w:t>
      </w:r>
      <w:r w:rsidRPr="003C0E3B">
        <w:rPr>
          <w:shd w:val="clear" w:color="auto" w:fill="FFFFFF"/>
        </w:rPr>
        <w:t xml:space="preserve"> on the </w:t>
      </w:r>
      <w:hyperlink r:id="rId27" w:history="1">
        <w:r w:rsidRPr="002E55B6">
          <w:rPr>
            <w:rStyle w:val="Hyperlink"/>
            <w:shd w:val="clear" w:color="auto" w:fill="FFFFFF"/>
          </w:rPr>
          <w:t>ACMA’s website</w:t>
        </w:r>
      </w:hyperlink>
      <w:r w:rsidRPr="003C0E3B">
        <w:rPr>
          <w:shd w:val="clear" w:color="auto" w:fill="FFFFFF"/>
        </w:rPr>
        <w:t>.</w:t>
      </w:r>
      <w:r w:rsidR="002E55B6">
        <w:rPr>
          <w:shd w:val="clear" w:color="auto" w:fill="FFFFFF"/>
        </w:rPr>
        <w:t xml:space="preserve"> </w:t>
      </w:r>
    </w:p>
    <w:p w14:paraId="06BBA394" w14:textId="699D0E0C" w:rsidR="001A32BE" w:rsidRDefault="005130F7" w:rsidP="00D1388D">
      <w:pPr>
        <w:pStyle w:val="Paragraph"/>
      </w:pPr>
      <w:r>
        <w:lastRenderedPageBreak/>
        <w:t xml:space="preserve">The </w:t>
      </w:r>
      <w:r w:rsidR="00E44860">
        <w:t xml:space="preserve">ACCTS </w:t>
      </w:r>
      <w:r w:rsidR="00291F28">
        <w:t xml:space="preserve">quota </w:t>
      </w:r>
      <w:r w:rsidR="001A43B7">
        <w:t>points</w:t>
      </w:r>
      <w:r w:rsidR="00586AC4">
        <w:t xml:space="preserve"> </w:t>
      </w:r>
      <w:r w:rsidR="001A43B7">
        <w:t xml:space="preserve">broadcast by </w:t>
      </w:r>
      <w:r w:rsidR="0020485A">
        <w:t xml:space="preserve">each </w:t>
      </w:r>
      <w:r w:rsidR="00F222A6">
        <w:t xml:space="preserve">licensee </w:t>
      </w:r>
      <w:r w:rsidR="00B63FB2">
        <w:t>are</w:t>
      </w:r>
      <w:r w:rsidR="00B92D00">
        <w:t xml:space="preserve"> in </w:t>
      </w:r>
      <w:r w:rsidR="00586AC4">
        <w:t xml:space="preserve">Table 1 below. </w:t>
      </w:r>
    </w:p>
    <w:p w14:paraId="677F0608" w14:textId="77777777" w:rsidR="00534833" w:rsidRDefault="00534833" w:rsidP="00110462">
      <w:pPr>
        <w:pStyle w:val="Paragraph"/>
        <w:sectPr w:rsidR="00534833" w:rsidSect="002E55B6">
          <w:headerReference w:type="even" r:id="rId28"/>
          <w:headerReference w:type="default" r:id="rId29"/>
          <w:footerReference w:type="even" r:id="rId30"/>
          <w:footerReference w:type="default" r:id="rId31"/>
          <w:pgSz w:w="11906" w:h="16838" w:code="9"/>
          <w:pgMar w:top="1560" w:right="991" w:bottom="851" w:left="1134" w:header="709" w:footer="119" w:gutter="0"/>
          <w:pgNumType w:start="1"/>
          <w:cols w:space="708"/>
          <w:docGrid w:linePitch="360"/>
        </w:sectPr>
      </w:pPr>
    </w:p>
    <w:p w14:paraId="0F1753A0" w14:textId="2B4AC346" w:rsidR="00534833" w:rsidRPr="002E55B6" w:rsidRDefault="00534833" w:rsidP="002E55B6">
      <w:pPr>
        <w:pStyle w:val="Heading1"/>
        <w:spacing w:before="120" w:after="240"/>
        <w:rPr>
          <w:b/>
          <w:bCs w:val="0"/>
          <w:sz w:val="28"/>
          <w:szCs w:val="28"/>
        </w:rPr>
      </w:pPr>
      <w:bookmarkStart w:id="12" w:name="_Toc112825520"/>
      <w:r w:rsidRPr="002E55B6">
        <w:rPr>
          <w:b/>
          <w:bCs w:val="0"/>
          <w:sz w:val="28"/>
          <w:szCs w:val="28"/>
        </w:rPr>
        <w:lastRenderedPageBreak/>
        <w:t>Table 1</w:t>
      </w:r>
      <w:r w:rsidR="006E363D" w:rsidRPr="002E55B6">
        <w:rPr>
          <w:b/>
          <w:bCs w:val="0"/>
          <w:sz w:val="28"/>
          <w:szCs w:val="28"/>
        </w:rPr>
        <w:t>:</w:t>
      </w:r>
      <w:r w:rsidRPr="002E55B6">
        <w:rPr>
          <w:b/>
          <w:bCs w:val="0"/>
          <w:sz w:val="28"/>
          <w:szCs w:val="28"/>
        </w:rPr>
        <w:t xml:space="preserve"> Transmission quota and ACCTS points quota – regional </w:t>
      </w:r>
      <w:r w:rsidR="00A42587" w:rsidRPr="002E55B6">
        <w:rPr>
          <w:b/>
          <w:bCs w:val="0"/>
          <w:sz w:val="28"/>
          <w:szCs w:val="28"/>
        </w:rPr>
        <w:t xml:space="preserve">licensee </w:t>
      </w:r>
      <w:r w:rsidRPr="002E55B6">
        <w:rPr>
          <w:b/>
          <w:bCs w:val="0"/>
          <w:sz w:val="28"/>
          <w:szCs w:val="28"/>
        </w:rPr>
        <w:t>results</w:t>
      </w:r>
      <w:bookmarkEnd w:id="12"/>
    </w:p>
    <w:p w14:paraId="0CEFD820" w14:textId="762882B1" w:rsidR="00721446" w:rsidRDefault="006E363D" w:rsidP="00721446">
      <w:pPr>
        <w:rPr>
          <w:b/>
          <w:lang w:val="en-US"/>
        </w:rPr>
      </w:pPr>
      <w:r>
        <w:rPr>
          <w:b/>
          <w:lang w:val="en-US"/>
        </w:rPr>
        <w:t xml:space="preserve">1 January </w:t>
      </w:r>
      <w:r w:rsidR="00721446" w:rsidRPr="00721446">
        <w:rPr>
          <w:b/>
          <w:lang w:val="en-US"/>
        </w:rPr>
        <w:t>2021</w:t>
      </w:r>
      <w:r>
        <w:rPr>
          <w:b/>
          <w:lang w:val="en-US"/>
        </w:rPr>
        <w:t xml:space="preserve"> to 31 December </w:t>
      </w:r>
      <w:r w:rsidR="00721446" w:rsidRPr="00721446">
        <w:rPr>
          <w:b/>
          <w:lang w:val="en-US"/>
        </w:rPr>
        <w:t>2021</w:t>
      </w:r>
    </w:p>
    <w:tbl>
      <w:tblPr>
        <w:tblW w:w="16438" w:type="dxa"/>
        <w:tblCellMar>
          <w:top w:w="57" w:type="dxa"/>
          <w:left w:w="57" w:type="dxa"/>
          <w:bottom w:w="57" w:type="dxa"/>
          <w:right w:w="57" w:type="dxa"/>
        </w:tblCellMar>
        <w:tblLook w:val="04A0" w:firstRow="1" w:lastRow="0" w:firstColumn="1" w:lastColumn="0" w:noHBand="0" w:noVBand="1"/>
      </w:tblPr>
      <w:tblGrid>
        <w:gridCol w:w="1271"/>
        <w:gridCol w:w="1559"/>
        <w:gridCol w:w="5529"/>
        <w:gridCol w:w="2551"/>
        <w:gridCol w:w="2977"/>
        <w:gridCol w:w="2551"/>
      </w:tblGrid>
      <w:tr w:rsidR="002E512E" w:rsidRPr="00C0306A" w14:paraId="63ED64FA" w14:textId="77777777" w:rsidTr="00F07E76">
        <w:trPr>
          <w:trHeight w:val="408"/>
          <w:tblHeader/>
        </w:trPr>
        <w:tc>
          <w:tcPr>
            <w:tcW w:w="1271" w:type="dxa"/>
            <w:tcBorders>
              <w:top w:val="single" w:sz="4" w:space="0" w:color="D3D3D3"/>
              <w:left w:val="single" w:sz="4" w:space="0" w:color="D3D3D3"/>
              <w:bottom w:val="single" w:sz="4" w:space="0" w:color="D3D3D3"/>
              <w:right w:val="single" w:sz="4" w:space="0" w:color="D3D3D3"/>
            </w:tcBorders>
            <w:shd w:val="clear" w:color="auto" w:fill="39457C"/>
            <w:hideMark/>
          </w:tcPr>
          <w:p w14:paraId="709FF117" w14:textId="0B2AAC5A" w:rsidR="002E512E" w:rsidRPr="00C0306A" w:rsidRDefault="002E512E" w:rsidP="002E55B6">
            <w:pPr>
              <w:spacing w:after="0" w:line="240" w:lineRule="auto"/>
              <w:rPr>
                <w:rFonts w:cs="Arial"/>
                <w:b/>
                <w:bCs/>
                <w:color w:val="FFFFFF"/>
                <w:sz w:val="18"/>
                <w:szCs w:val="18"/>
              </w:rPr>
            </w:pPr>
            <w:r w:rsidRPr="00C0306A">
              <w:rPr>
                <w:rFonts w:cs="Arial"/>
                <w:b/>
                <w:bCs/>
                <w:color w:val="FFFFFF"/>
                <w:sz w:val="18"/>
                <w:szCs w:val="18"/>
              </w:rPr>
              <w:t xml:space="preserve">Call </w:t>
            </w:r>
            <w:r w:rsidR="006E363D">
              <w:rPr>
                <w:rFonts w:cs="Arial"/>
                <w:b/>
                <w:bCs/>
                <w:color w:val="FFFFFF"/>
                <w:sz w:val="18"/>
                <w:szCs w:val="18"/>
              </w:rPr>
              <w:t>s</w:t>
            </w:r>
            <w:r w:rsidRPr="00C0306A">
              <w:rPr>
                <w:rFonts w:cs="Arial"/>
                <w:b/>
                <w:bCs/>
                <w:color w:val="FFFFFF"/>
                <w:sz w:val="18"/>
                <w:szCs w:val="18"/>
              </w:rPr>
              <w:t>ign</w:t>
            </w:r>
          </w:p>
        </w:tc>
        <w:tc>
          <w:tcPr>
            <w:tcW w:w="1559" w:type="dxa"/>
            <w:tcBorders>
              <w:top w:val="single" w:sz="4" w:space="0" w:color="D3D3D3"/>
              <w:left w:val="nil"/>
              <w:bottom w:val="single" w:sz="4" w:space="0" w:color="D3D3D3"/>
              <w:right w:val="single" w:sz="4" w:space="0" w:color="D3D3D3"/>
            </w:tcBorders>
            <w:shd w:val="clear" w:color="auto" w:fill="39457C"/>
            <w:hideMark/>
          </w:tcPr>
          <w:p w14:paraId="42F0FF2F" w14:textId="718156A7" w:rsidR="002E512E" w:rsidRPr="00C0306A" w:rsidRDefault="002E512E" w:rsidP="002E55B6">
            <w:pPr>
              <w:spacing w:after="0" w:line="240" w:lineRule="auto"/>
              <w:rPr>
                <w:rFonts w:cs="Arial"/>
                <w:b/>
                <w:bCs/>
                <w:color w:val="FFFFFF"/>
                <w:sz w:val="18"/>
                <w:szCs w:val="18"/>
              </w:rPr>
            </w:pPr>
            <w:r w:rsidRPr="00C0306A">
              <w:rPr>
                <w:rFonts w:cs="Arial"/>
                <w:b/>
                <w:bCs/>
                <w:color w:val="FFFFFF"/>
                <w:sz w:val="18"/>
                <w:szCs w:val="18"/>
              </w:rPr>
              <w:t>Licence</w:t>
            </w:r>
            <w:r w:rsidR="00430427">
              <w:rPr>
                <w:rFonts w:cs="Arial"/>
                <w:b/>
                <w:bCs/>
                <w:color w:val="FFFFFF"/>
                <w:sz w:val="18"/>
                <w:szCs w:val="18"/>
              </w:rPr>
              <w:t xml:space="preserve"> </w:t>
            </w:r>
            <w:r w:rsidR="006E363D">
              <w:rPr>
                <w:rFonts w:cs="Arial"/>
                <w:b/>
                <w:bCs/>
                <w:color w:val="FFFFFF"/>
                <w:sz w:val="18"/>
                <w:szCs w:val="18"/>
              </w:rPr>
              <w:t>n</w:t>
            </w:r>
            <w:r w:rsidRPr="00C0306A">
              <w:rPr>
                <w:rFonts w:cs="Arial"/>
                <w:b/>
                <w:bCs/>
                <w:color w:val="FFFFFF"/>
                <w:sz w:val="18"/>
                <w:szCs w:val="18"/>
              </w:rPr>
              <w:t>o.</w:t>
            </w:r>
          </w:p>
        </w:tc>
        <w:tc>
          <w:tcPr>
            <w:tcW w:w="5529" w:type="dxa"/>
            <w:tcBorders>
              <w:top w:val="single" w:sz="4" w:space="0" w:color="D3D3D3"/>
              <w:left w:val="nil"/>
              <w:bottom w:val="single" w:sz="4" w:space="0" w:color="D3D3D3"/>
              <w:right w:val="single" w:sz="4" w:space="0" w:color="D3D3D3"/>
            </w:tcBorders>
            <w:shd w:val="clear" w:color="auto" w:fill="39457C"/>
            <w:hideMark/>
          </w:tcPr>
          <w:p w14:paraId="327A836B" w14:textId="09E632E4" w:rsidR="002E512E" w:rsidRPr="00C0306A" w:rsidRDefault="002E512E" w:rsidP="002E55B6">
            <w:pPr>
              <w:spacing w:after="0" w:line="240" w:lineRule="auto"/>
              <w:rPr>
                <w:rFonts w:cs="Arial"/>
                <w:b/>
                <w:bCs/>
                <w:color w:val="FFFFFF"/>
                <w:sz w:val="18"/>
                <w:szCs w:val="18"/>
              </w:rPr>
            </w:pPr>
            <w:r w:rsidRPr="00C0306A">
              <w:rPr>
                <w:rFonts w:cs="Arial"/>
                <w:b/>
                <w:bCs/>
                <w:color w:val="FFFFFF"/>
                <w:sz w:val="18"/>
                <w:szCs w:val="18"/>
              </w:rPr>
              <w:t xml:space="preserve">Company </w:t>
            </w:r>
            <w:r w:rsidR="006E363D">
              <w:rPr>
                <w:rFonts w:cs="Arial"/>
                <w:b/>
                <w:bCs/>
                <w:color w:val="FFFFFF"/>
                <w:sz w:val="18"/>
                <w:szCs w:val="18"/>
              </w:rPr>
              <w:t>n</w:t>
            </w:r>
            <w:r w:rsidRPr="00C0306A">
              <w:rPr>
                <w:rFonts w:cs="Arial"/>
                <w:b/>
                <w:bCs/>
                <w:color w:val="FFFFFF"/>
                <w:sz w:val="18"/>
                <w:szCs w:val="18"/>
              </w:rPr>
              <w:t>ame</w:t>
            </w:r>
          </w:p>
        </w:tc>
        <w:tc>
          <w:tcPr>
            <w:tcW w:w="2551" w:type="dxa"/>
            <w:tcBorders>
              <w:top w:val="single" w:sz="4" w:space="0" w:color="D3D3D3"/>
              <w:left w:val="nil"/>
              <w:bottom w:val="single" w:sz="4" w:space="0" w:color="D3D3D3"/>
              <w:right w:val="single" w:sz="4" w:space="0" w:color="D3D3D3"/>
            </w:tcBorders>
            <w:shd w:val="clear" w:color="auto" w:fill="39457C"/>
            <w:hideMark/>
          </w:tcPr>
          <w:p w14:paraId="21107571" w14:textId="7C03052E" w:rsidR="002E512E" w:rsidRPr="00C0306A" w:rsidRDefault="002E512E" w:rsidP="00294E91">
            <w:pPr>
              <w:spacing w:after="0" w:line="240" w:lineRule="auto"/>
              <w:jc w:val="right"/>
              <w:rPr>
                <w:rFonts w:cs="Arial"/>
                <w:b/>
                <w:bCs/>
                <w:color w:val="FFFFFF"/>
                <w:sz w:val="18"/>
                <w:szCs w:val="18"/>
              </w:rPr>
            </w:pPr>
            <w:r w:rsidRPr="00C0306A">
              <w:rPr>
                <w:rFonts w:cs="Arial"/>
                <w:b/>
                <w:bCs/>
                <w:color w:val="FFFFFF"/>
                <w:sz w:val="18"/>
                <w:szCs w:val="18"/>
              </w:rPr>
              <w:t xml:space="preserve">Primary </w:t>
            </w:r>
            <w:r w:rsidR="006E363D">
              <w:rPr>
                <w:rFonts w:cs="Arial"/>
                <w:b/>
                <w:bCs/>
                <w:color w:val="FFFFFF"/>
                <w:sz w:val="18"/>
                <w:szCs w:val="18"/>
              </w:rPr>
              <w:t>c</w:t>
            </w:r>
            <w:r w:rsidRPr="00C0306A">
              <w:rPr>
                <w:rFonts w:cs="Arial"/>
                <w:b/>
                <w:bCs/>
                <w:color w:val="FFFFFF"/>
                <w:sz w:val="18"/>
                <w:szCs w:val="18"/>
              </w:rPr>
              <w:t xml:space="preserve">hannel </w:t>
            </w:r>
            <w:r w:rsidR="006E363D">
              <w:rPr>
                <w:rFonts w:cs="Arial"/>
                <w:b/>
                <w:bCs/>
                <w:color w:val="FFFFFF"/>
                <w:sz w:val="18"/>
                <w:szCs w:val="18"/>
              </w:rPr>
              <w:t>t</w:t>
            </w:r>
            <w:r w:rsidRPr="00C0306A">
              <w:rPr>
                <w:rFonts w:cs="Arial"/>
                <w:b/>
                <w:bCs/>
                <w:color w:val="FFFFFF"/>
                <w:sz w:val="18"/>
                <w:szCs w:val="18"/>
              </w:rPr>
              <w:t xml:space="preserve">ransmission </w:t>
            </w:r>
            <w:r w:rsidR="006E363D">
              <w:rPr>
                <w:rFonts w:cs="Arial"/>
                <w:b/>
                <w:bCs/>
                <w:color w:val="FFFFFF"/>
                <w:sz w:val="18"/>
                <w:szCs w:val="18"/>
              </w:rPr>
              <w:t>q</w:t>
            </w:r>
            <w:r w:rsidRPr="00C0306A">
              <w:rPr>
                <w:rFonts w:cs="Arial"/>
                <w:b/>
                <w:bCs/>
                <w:color w:val="FFFFFF"/>
                <w:sz w:val="18"/>
                <w:szCs w:val="18"/>
              </w:rPr>
              <w:t>uota (%)</w:t>
            </w:r>
          </w:p>
        </w:tc>
        <w:tc>
          <w:tcPr>
            <w:tcW w:w="2977" w:type="dxa"/>
            <w:tcBorders>
              <w:top w:val="single" w:sz="4" w:space="0" w:color="D3D3D3"/>
              <w:left w:val="nil"/>
              <w:bottom w:val="single" w:sz="4" w:space="0" w:color="D3D3D3"/>
              <w:right w:val="single" w:sz="4" w:space="0" w:color="D3D3D3"/>
            </w:tcBorders>
            <w:shd w:val="clear" w:color="auto" w:fill="39457C"/>
            <w:hideMark/>
          </w:tcPr>
          <w:p w14:paraId="0F76342A" w14:textId="6D8A0166" w:rsidR="002E512E" w:rsidRPr="00C0306A" w:rsidRDefault="002E512E" w:rsidP="00294E91">
            <w:pPr>
              <w:spacing w:after="0" w:line="240" w:lineRule="auto"/>
              <w:jc w:val="right"/>
              <w:rPr>
                <w:rFonts w:cs="Arial"/>
                <w:b/>
                <w:bCs/>
                <w:color w:val="FFFFFF"/>
                <w:sz w:val="18"/>
                <w:szCs w:val="18"/>
              </w:rPr>
            </w:pPr>
            <w:r w:rsidRPr="00C0306A">
              <w:rPr>
                <w:rFonts w:cs="Arial"/>
                <w:b/>
                <w:bCs/>
                <w:color w:val="FFFFFF"/>
                <w:sz w:val="18"/>
                <w:szCs w:val="18"/>
              </w:rPr>
              <w:t xml:space="preserve">Non-primary </w:t>
            </w:r>
            <w:r w:rsidR="00430427">
              <w:rPr>
                <w:rFonts w:cs="Arial"/>
                <w:b/>
                <w:bCs/>
                <w:color w:val="FFFFFF"/>
                <w:sz w:val="18"/>
                <w:szCs w:val="18"/>
              </w:rPr>
              <w:t>c</w:t>
            </w:r>
            <w:r w:rsidRPr="00C0306A">
              <w:rPr>
                <w:rFonts w:cs="Arial"/>
                <w:b/>
                <w:bCs/>
                <w:color w:val="FFFFFF"/>
                <w:sz w:val="18"/>
                <w:szCs w:val="18"/>
              </w:rPr>
              <w:t xml:space="preserve">hannel </w:t>
            </w:r>
            <w:r w:rsidR="00430427">
              <w:rPr>
                <w:rFonts w:cs="Arial"/>
                <w:b/>
                <w:bCs/>
                <w:color w:val="FFFFFF"/>
                <w:sz w:val="18"/>
                <w:szCs w:val="18"/>
              </w:rPr>
              <w:t>t</w:t>
            </w:r>
            <w:r w:rsidRPr="00C0306A">
              <w:rPr>
                <w:rFonts w:cs="Arial"/>
                <w:b/>
                <w:bCs/>
                <w:color w:val="FFFFFF"/>
                <w:sz w:val="18"/>
                <w:szCs w:val="18"/>
              </w:rPr>
              <w:t xml:space="preserve">ransmission </w:t>
            </w:r>
            <w:r w:rsidR="00430427">
              <w:rPr>
                <w:rFonts w:cs="Arial"/>
                <w:b/>
                <w:bCs/>
                <w:color w:val="FFFFFF"/>
                <w:sz w:val="18"/>
                <w:szCs w:val="18"/>
              </w:rPr>
              <w:t>q</w:t>
            </w:r>
            <w:r w:rsidRPr="00C0306A">
              <w:rPr>
                <w:rFonts w:cs="Arial"/>
                <w:b/>
                <w:bCs/>
                <w:color w:val="FFFFFF"/>
                <w:sz w:val="18"/>
                <w:szCs w:val="18"/>
              </w:rPr>
              <w:t>uota (</w:t>
            </w:r>
            <w:r w:rsidR="00430427">
              <w:rPr>
                <w:rFonts w:cs="Arial"/>
                <w:b/>
                <w:bCs/>
                <w:color w:val="FFFFFF"/>
                <w:sz w:val="18"/>
                <w:szCs w:val="18"/>
              </w:rPr>
              <w:t>h</w:t>
            </w:r>
            <w:r w:rsidRPr="00C0306A">
              <w:rPr>
                <w:rFonts w:cs="Arial"/>
                <w:b/>
                <w:bCs/>
                <w:color w:val="FFFFFF"/>
                <w:sz w:val="18"/>
                <w:szCs w:val="18"/>
              </w:rPr>
              <w:t>ours)</w:t>
            </w:r>
          </w:p>
        </w:tc>
        <w:tc>
          <w:tcPr>
            <w:tcW w:w="2551" w:type="dxa"/>
            <w:tcBorders>
              <w:top w:val="single" w:sz="4" w:space="0" w:color="D3D3D3"/>
              <w:left w:val="nil"/>
              <w:bottom w:val="single" w:sz="4" w:space="0" w:color="D3D3D3"/>
              <w:right w:val="single" w:sz="4" w:space="0" w:color="D3D3D3"/>
            </w:tcBorders>
            <w:shd w:val="clear" w:color="auto" w:fill="39457C"/>
            <w:hideMark/>
          </w:tcPr>
          <w:p w14:paraId="44BBE701" w14:textId="17CBC24E" w:rsidR="002E512E" w:rsidRPr="00C0306A" w:rsidRDefault="00430427" w:rsidP="00294E91">
            <w:pPr>
              <w:spacing w:after="0" w:line="240" w:lineRule="auto"/>
              <w:jc w:val="right"/>
              <w:rPr>
                <w:rFonts w:cs="Arial"/>
                <w:b/>
                <w:bCs/>
                <w:color w:val="FFFFFF"/>
                <w:sz w:val="18"/>
                <w:szCs w:val="18"/>
              </w:rPr>
            </w:pPr>
            <w:r>
              <w:rPr>
                <w:rFonts w:cs="Arial"/>
                <w:b/>
                <w:bCs/>
                <w:color w:val="FFFFFF"/>
                <w:sz w:val="18"/>
                <w:szCs w:val="18"/>
              </w:rPr>
              <w:t>First r</w:t>
            </w:r>
            <w:r w:rsidR="002E512E" w:rsidRPr="00C0306A">
              <w:rPr>
                <w:rFonts w:cs="Arial"/>
                <w:b/>
                <w:bCs/>
                <w:color w:val="FFFFFF"/>
                <w:sz w:val="18"/>
                <w:szCs w:val="18"/>
              </w:rPr>
              <w:t xml:space="preserve">elease Australian </w:t>
            </w:r>
            <w:r>
              <w:rPr>
                <w:rFonts w:cs="Arial"/>
                <w:b/>
                <w:bCs/>
                <w:color w:val="FFFFFF"/>
                <w:sz w:val="18"/>
                <w:szCs w:val="18"/>
              </w:rPr>
              <w:t>p</w:t>
            </w:r>
            <w:r w:rsidR="002E512E" w:rsidRPr="00C0306A">
              <w:rPr>
                <w:rFonts w:cs="Arial"/>
                <w:b/>
                <w:bCs/>
                <w:color w:val="FFFFFF"/>
                <w:sz w:val="18"/>
                <w:szCs w:val="18"/>
              </w:rPr>
              <w:t xml:space="preserve">rogram </w:t>
            </w:r>
            <w:r>
              <w:rPr>
                <w:rFonts w:cs="Arial"/>
                <w:b/>
                <w:bCs/>
                <w:color w:val="FFFFFF"/>
                <w:sz w:val="18"/>
                <w:szCs w:val="18"/>
              </w:rPr>
              <w:t>q</w:t>
            </w:r>
            <w:r w:rsidR="002E512E" w:rsidRPr="00C0306A">
              <w:rPr>
                <w:rFonts w:cs="Arial"/>
                <w:b/>
                <w:bCs/>
                <w:color w:val="FFFFFF"/>
                <w:sz w:val="18"/>
                <w:szCs w:val="18"/>
              </w:rPr>
              <w:t xml:space="preserve">uota </w:t>
            </w:r>
            <w:r>
              <w:rPr>
                <w:rFonts w:cs="Arial"/>
                <w:b/>
                <w:bCs/>
                <w:color w:val="FFFFFF"/>
                <w:sz w:val="18"/>
                <w:szCs w:val="18"/>
              </w:rPr>
              <w:t>p</w:t>
            </w:r>
            <w:r w:rsidR="002E512E" w:rsidRPr="00C0306A">
              <w:rPr>
                <w:rFonts w:cs="Arial"/>
                <w:b/>
                <w:bCs/>
                <w:color w:val="FFFFFF"/>
                <w:sz w:val="18"/>
                <w:szCs w:val="18"/>
              </w:rPr>
              <w:t xml:space="preserve">oints </w:t>
            </w:r>
          </w:p>
        </w:tc>
      </w:tr>
      <w:tr w:rsidR="002E512E" w:rsidRPr="00C0306A" w14:paraId="4CE8A680" w14:textId="77777777" w:rsidTr="00430427">
        <w:trPr>
          <w:trHeight w:val="284"/>
        </w:trPr>
        <w:tc>
          <w:tcPr>
            <w:tcW w:w="16438" w:type="dxa"/>
            <w:gridSpan w:val="6"/>
            <w:tcBorders>
              <w:top w:val="single" w:sz="4" w:space="0" w:color="D3D3D3"/>
              <w:left w:val="single" w:sz="4" w:space="0" w:color="D3D3D3"/>
              <w:bottom w:val="single" w:sz="4" w:space="0" w:color="D3D3D3"/>
              <w:right w:val="single" w:sz="4" w:space="0" w:color="D3D3D3"/>
            </w:tcBorders>
            <w:shd w:val="clear" w:color="F5F5F5" w:fill="F5F5F5"/>
            <w:vAlign w:val="center"/>
            <w:hideMark/>
          </w:tcPr>
          <w:p w14:paraId="424B7C00" w14:textId="32280AF9" w:rsidR="002E512E" w:rsidRPr="00C0306A" w:rsidRDefault="002E512E" w:rsidP="004F01AF">
            <w:pPr>
              <w:pStyle w:val="TableParagraph"/>
              <w:kinsoku w:val="0"/>
              <w:overflowPunct w:val="0"/>
              <w:spacing w:before="0"/>
              <w:ind w:left="0"/>
              <w:jc w:val="left"/>
              <w:rPr>
                <w:rFonts w:ascii="Arial" w:hAnsi="Arial" w:cs="Arial"/>
                <w:b/>
                <w:bCs/>
                <w:spacing w:val="-4"/>
                <w:sz w:val="20"/>
                <w:szCs w:val="20"/>
              </w:rPr>
            </w:pPr>
            <w:r w:rsidRPr="00C0306A">
              <w:rPr>
                <w:rFonts w:ascii="Arial" w:hAnsi="Arial" w:cs="Arial"/>
                <w:b/>
                <w:bCs/>
                <w:spacing w:val="-4"/>
                <w:sz w:val="20"/>
                <w:szCs w:val="20"/>
              </w:rPr>
              <w:t xml:space="preserve">Major </w:t>
            </w:r>
            <w:r w:rsidR="006E363D">
              <w:rPr>
                <w:rFonts w:ascii="Arial" w:hAnsi="Arial" w:cs="Arial"/>
                <w:b/>
                <w:bCs/>
                <w:spacing w:val="-4"/>
                <w:sz w:val="20"/>
                <w:szCs w:val="20"/>
              </w:rPr>
              <w:t>s</w:t>
            </w:r>
            <w:r w:rsidRPr="00C0306A">
              <w:rPr>
                <w:rFonts w:ascii="Arial" w:hAnsi="Arial" w:cs="Arial"/>
                <w:b/>
                <w:bCs/>
                <w:spacing w:val="-4"/>
                <w:sz w:val="20"/>
                <w:szCs w:val="20"/>
              </w:rPr>
              <w:t xml:space="preserve">ource of </w:t>
            </w:r>
            <w:r w:rsidR="006E363D">
              <w:rPr>
                <w:rFonts w:ascii="Arial" w:hAnsi="Arial" w:cs="Arial"/>
                <w:b/>
                <w:bCs/>
                <w:spacing w:val="-4"/>
                <w:sz w:val="20"/>
                <w:szCs w:val="20"/>
              </w:rPr>
              <w:t>p</w:t>
            </w:r>
            <w:r w:rsidRPr="00C0306A">
              <w:rPr>
                <w:rFonts w:ascii="Arial" w:hAnsi="Arial" w:cs="Arial"/>
                <w:b/>
                <w:bCs/>
                <w:spacing w:val="-4"/>
                <w:sz w:val="20"/>
                <w:szCs w:val="20"/>
              </w:rPr>
              <w:t>rograms: Cherry-picked (</w:t>
            </w:r>
            <w:r w:rsidR="006E363D">
              <w:rPr>
                <w:rFonts w:ascii="Arial" w:hAnsi="Arial" w:cs="Arial"/>
                <w:b/>
                <w:bCs/>
                <w:spacing w:val="-4"/>
                <w:sz w:val="20"/>
                <w:szCs w:val="20"/>
              </w:rPr>
              <w:t>n</w:t>
            </w:r>
            <w:r w:rsidRPr="00C0306A">
              <w:rPr>
                <w:rFonts w:ascii="Arial" w:hAnsi="Arial" w:cs="Arial"/>
                <w:b/>
                <w:bCs/>
                <w:spacing w:val="-4"/>
                <w:sz w:val="20"/>
                <w:szCs w:val="20"/>
              </w:rPr>
              <w:t>umber of licences: 5) </w:t>
            </w:r>
          </w:p>
        </w:tc>
      </w:tr>
      <w:tr w:rsidR="002E512E" w:rsidRPr="00C0306A" w14:paraId="1B17308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44855D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BCV</w:t>
            </w:r>
          </w:p>
        </w:tc>
        <w:tc>
          <w:tcPr>
            <w:tcW w:w="1559" w:type="dxa"/>
            <w:tcBorders>
              <w:top w:val="single" w:sz="4" w:space="0" w:color="D3D3D3"/>
              <w:left w:val="nil"/>
              <w:bottom w:val="single" w:sz="4" w:space="0" w:color="D3D3D3"/>
              <w:right w:val="single" w:sz="4" w:space="0" w:color="D3D3D3"/>
            </w:tcBorders>
            <w:shd w:val="clear" w:color="auto" w:fill="auto"/>
            <w:hideMark/>
          </w:tcPr>
          <w:p w14:paraId="3610FA2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104</w:t>
            </w:r>
          </w:p>
        </w:tc>
        <w:tc>
          <w:tcPr>
            <w:tcW w:w="5529" w:type="dxa"/>
            <w:tcBorders>
              <w:top w:val="single" w:sz="4" w:space="0" w:color="D3D3D3"/>
              <w:left w:val="nil"/>
              <w:bottom w:val="single" w:sz="4" w:space="0" w:color="D3D3D3"/>
              <w:right w:val="single" w:sz="4" w:space="0" w:color="D3D3D3"/>
            </w:tcBorders>
            <w:shd w:val="clear" w:color="auto" w:fill="auto"/>
            <w:hideMark/>
          </w:tcPr>
          <w:p w14:paraId="445AACF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SOUTHERN CROSS COMMUNICATIONS PTY LIMITED</w:t>
            </w:r>
          </w:p>
        </w:tc>
        <w:tc>
          <w:tcPr>
            <w:tcW w:w="2551" w:type="dxa"/>
            <w:tcBorders>
              <w:top w:val="nil"/>
              <w:left w:val="nil"/>
              <w:bottom w:val="single" w:sz="4" w:space="0" w:color="D3D3D3"/>
              <w:right w:val="single" w:sz="4" w:space="0" w:color="D3D3D3"/>
            </w:tcBorders>
            <w:shd w:val="clear" w:color="auto" w:fill="auto"/>
            <w:hideMark/>
          </w:tcPr>
          <w:p w14:paraId="65A9B1E1"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72.16</w:t>
            </w:r>
          </w:p>
        </w:tc>
        <w:tc>
          <w:tcPr>
            <w:tcW w:w="2977" w:type="dxa"/>
            <w:tcBorders>
              <w:top w:val="nil"/>
              <w:left w:val="nil"/>
              <w:bottom w:val="single" w:sz="4" w:space="0" w:color="D3D3D3"/>
              <w:right w:val="single" w:sz="4" w:space="0" w:color="D3D3D3"/>
            </w:tcBorders>
            <w:shd w:val="clear" w:color="auto" w:fill="auto"/>
            <w:hideMark/>
          </w:tcPr>
          <w:p w14:paraId="3A19E92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2,114.93</w:t>
            </w:r>
          </w:p>
        </w:tc>
        <w:tc>
          <w:tcPr>
            <w:tcW w:w="2551" w:type="dxa"/>
            <w:tcBorders>
              <w:top w:val="nil"/>
              <w:left w:val="nil"/>
              <w:bottom w:val="single" w:sz="4" w:space="0" w:color="D3D3D3"/>
              <w:right w:val="single" w:sz="4" w:space="0" w:color="D3D3D3"/>
            </w:tcBorders>
            <w:shd w:val="clear" w:color="auto" w:fill="auto"/>
            <w:hideMark/>
          </w:tcPr>
          <w:p w14:paraId="0F11F335" w14:textId="7ADEE323"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340.17</w:t>
            </w:r>
          </w:p>
        </w:tc>
      </w:tr>
      <w:tr w:rsidR="002E512E" w:rsidRPr="00C0306A" w14:paraId="1A021BA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3AE8DD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CTC</w:t>
            </w:r>
          </w:p>
        </w:tc>
        <w:tc>
          <w:tcPr>
            <w:tcW w:w="1559" w:type="dxa"/>
            <w:tcBorders>
              <w:top w:val="single" w:sz="4" w:space="0" w:color="D3D3D3"/>
              <w:left w:val="nil"/>
              <w:bottom w:val="single" w:sz="4" w:space="0" w:color="D3D3D3"/>
              <w:right w:val="single" w:sz="4" w:space="0" w:color="D3D3D3"/>
            </w:tcBorders>
            <w:shd w:val="clear" w:color="auto" w:fill="auto"/>
            <w:hideMark/>
          </w:tcPr>
          <w:p w14:paraId="3A83DA7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85</w:t>
            </w:r>
          </w:p>
        </w:tc>
        <w:tc>
          <w:tcPr>
            <w:tcW w:w="5529" w:type="dxa"/>
            <w:tcBorders>
              <w:top w:val="single" w:sz="4" w:space="0" w:color="D3D3D3"/>
              <w:left w:val="nil"/>
              <w:bottom w:val="single" w:sz="4" w:space="0" w:color="D3D3D3"/>
              <w:right w:val="single" w:sz="4" w:space="0" w:color="D3D3D3"/>
            </w:tcBorders>
            <w:shd w:val="clear" w:color="auto" w:fill="auto"/>
            <w:hideMark/>
          </w:tcPr>
          <w:p w14:paraId="6F6159B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AUSTRALIAN CAPITAL TELEVISION PTY LTD</w:t>
            </w:r>
          </w:p>
        </w:tc>
        <w:tc>
          <w:tcPr>
            <w:tcW w:w="2551" w:type="dxa"/>
            <w:tcBorders>
              <w:top w:val="nil"/>
              <w:left w:val="nil"/>
              <w:bottom w:val="single" w:sz="4" w:space="0" w:color="D3D3D3"/>
              <w:right w:val="single" w:sz="4" w:space="0" w:color="D3D3D3"/>
            </w:tcBorders>
            <w:shd w:val="clear" w:color="auto" w:fill="auto"/>
            <w:hideMark/>
          </w:tcPr>
          <w:p w14:paraId="04BB310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72.95</w:t>
            </w:r>
          </w:p>
        </w:tc>
        <w:tc>
          <w:tcPr>
            <w:tcW w:w="2977" w:type="dxa"/>
            <w:tcBorders>
              <w:top w:val="nil"/>
              <w:left w:val="nil"/>
              <w:bottom w:val="single" w:sz="4" w:space="0" w:color="D3D3D3"/>
              <w:right w:val="single" w:sz="4" w:space="0" w:color="D3D3D3"/>
            </w:tcBorders>
            <w:shd w:val="clear" w:color="auto" w:fill="auto"/>
            <w:hideMark/>
          </w:tcPr>
          <w:p w14:paraId="1C5381FA"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2,008.47</w:t>
            </w:r>
          </w:p>
        </w:tc>
        <w:tc>
          <w:tcPr>
            <w:tcW w:w="2551" w:type="dxa"/>
            <w:tcBorders>
              <w:top w:val="nil"/>
              <w:left w:val="nil"/>
              <w:bottom w:val="single" w:sz="4" w:space="0" w:color="D3D3D3"/>
              <w:right w:val="single" w:sz="4" w:space="0" w:color="D3D3D3"/>
            </w:tcBorders>
            <w:shd w:val="clear" w:color="auto" w:fill="auto"/>
            <w:hideMark/>
          </w:tcPr>
          <w:p w14:paraId="4AAE1768" w14:textId="0A28A3B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340.17</w:t>
            </w:r>
          </w:p>
        </w:tc>
      </w:tr>
      <w:tr w:rsidR="002E512E" w:rsidRPr="00C0306A" w14:paraId="1BCB26E6"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DECB82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GLV</w:t>
            </w:r>
          </w:p>
        </w:tc>
        <w:tc>
          <w:tcPr>
            <w:tcW w:w="1559" w:type="dxa"/>
            <w:tcBorders>
              <w:top w:val="single" w:sz="4" w:space="0" w:color="D3D3D3"/>
              <w:left w:val="nil"/>
              <w:bottom w:val="single" w:sz="4" w:space="0" w:color="D3D3D3"/>
              <w:right w:val="single" w:sz="4" w:space="0" w:color="D3D3D3"/>
            </w:tcBorders>
            <w:shd w:val="clear" w:color="auto" w:fill="auto"/>
            <w:hideMark/>
          </w:tcPr>
          <w:p w14:paraId="5D61971E"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106</w:t>
            </w:r>
          </w:p>
        </w:tc>
        <w:tc>
          <w:tcPr>
            <w:tcW w:w="5529" w:type="dxa"/>
            <w:tcBorders>
              <w:top w:val="single" w:sz="4" w:space="0" w:color="D3D3D3"/>
              <w:left w:val="nil"/>
              <w:bottom w:val="single" w:sz="4" w:space="0" w:color="D3D3D3"/>
              <w:right w:val="single" w:sz="4" w:space="0" w:color="D3D3D3"/>
            </w:tcBorders>
            <w:shd w:val="clear" w:color="auto" w:fill="auto"/>
            <w:hideMark/>
          </w:tcPr>
          <w:p w14:paraId="03EF49C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SOUTHERN CROSS COMMUNICATIONS PTY LIMITED</w:t>
            </w:r>
          </w:p>
        </w:tc>
        <w:tc>
          <w:tcPr>
            <w:tcW w:w="2551" w:type="dxa"/>
            <w:tcBorders>
              <w:top w:val="nil"/>
              <w:left w:val="nil"/>
              <w:bottom w:val="single" w:sz="4" w:space="0" w:color="D3D3D3"/>
              <w:right w:val="single" w:sz="4" w:space="0" w:color="D3D3D3"/>
            </w:tcBorders>
            <w:shd w:val="clear" w:color="auto" w:fill="auto"/>
            <w:hideMark/>
          </w:tcPr>
          <w:p w14:paraId="0DEDC55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72.16</w:t>
            </w:r>
          </w:p>
        </w:tc>
        <w:tc>
          <w:tcPr>
            <w:tcW w:w="2977" w:type="dxa"/>
            <w:tcBorders>
              <w:top w:val="nil"/>
              <w:left w:val="nil"/>
              <w:bottom w:val="single" w:sz="4" w:space="0" w:color="D3D3D3"/>
              <w:right w:val="single" w:sz="4" w:space="0" w:color="D3D3D3"/>
            </w:tcBorders>
            <w:shd w:val="clear" w:color="auto" w:fill="auto"/>
            <w:hideMark/>
          </w:tcPr>
          <w:p w14:paraId="75B7511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2,114.93</w:t>
            </w:r>
          </w:p>
        </w:tc>
        <w:tc>
          <w:tcPr>
            <w:tcW w:w="2551" w:type="dxa"/>
            <w:tcBorders>
              <w:top w:val="nil"/>
              <w:left w:val="nil"/>
              <w:bottom w:val="single" w:sz="4" w:space="0" w:color="D3D3D3"/>
              <w:right w:val="single" w:sz="4" w:space="0" w:color="D3D3D3"/>
            </w:tcBorders>
            <w:shd w:val="clear" w:color="auto" w:fill="auto"/>
            <w:hideMark/>
          </w:tcPr>
          <w:p w14:paraId="14B001E8" w14:textId="7D48BB1F"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340.17</w:t>
            </w:r>
          </w:p>
        </w:tc>
      </w:tr>
      <w:tr w:rsidR="002E512E" w:rsidRPr="00C0306A" w14:paraId="38AD1478"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B9FF6C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TDT</w:t>
            </w:r>
          </w:p>
        </w:tc>
        <w:tc>
          <w:tcPr>
            <w:tcW w:w="1559" w:type="dxa"/>
            <w:tcBorders>
              <w:top w:val="single" w:sz="4" w:space="0" w:color="D3D3D3"/>
              <w:left w:val="nil"/>
              <w:bottom w:val="single" w:sz="4" w:space="0" w:color="D3D3D3"/>
              <w:right w:val="single" w:sz="4" w:space="0" w:color="D3D3D3"/>
            </w:tcBorders>
            <w:shd w:val="clear" w:color="auto" w:fill="auto"/>
            <w:hideMark/>
          </w:tcPr>
          <w:p w14:paraId="22CB3D7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1150806</w:t>
            </w:r>
          </w:p>
        </w:tc>
        <w:tc>
          <w:tcPr>
            <w:tcW w:w="5529" w:type="dxa"/>
            <w:tcBorders>
              <w:top w:val="single" w:sz="4" w:space="0" w:color="D3D3D3"/>
              <w:left w:val="nil"/>
              <w:bottom w:val="single" w:sz="4" w:space="0" w:color="D3D3D3"/>
              <w:right w:val="single" w:sz="4" w:space="0" w:color="D3D3D3"/>
            </w:tcBorders>
            <w:shd w:val="clear" w:color="auto" w:fill="auto"/>
            <w:hideMark/>
          </w:tcPr>
          <w:p w14:paraId="6A01936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TASMANIAN DIGITAL TELEVISION PTY LTD</w:t>
            </w:r>
          </w:p>
        </w:tc>
        <w:tc>
          <w:tcPr>
            <w:tcW w:w="2551" w:type="dxa"/>
            <w:tcBorders>
              <w:top w:val="nil"/>
              <w:left w:val="nil"/>
              <w:bottom w:val="single" w:sz="4" w:space="0" w:color="D3D3D3"/>
              <w:right w:val="single" w:sz="4" w:space="0" w:color="D3D3D3"/>
            </w:tcBorders>
            <w:shd w:val="clear" w:color="auto" w:fill="auto"/>
            <w:hideMark/>
          </w:tcPr>
          <w:p w14:paraId="5981F2AC"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72.16</w:t>
            </w:r>
          </w:p>
        </w:tc>
        <w:tc>
          <w:tcPr>
            <w:tcW w:w="2977" w:type="dxa"/>
            <w:tcBorders>
              <w:top w:val="nil"/>
              <w:left w:val="nil"/>
              <w:bottom w:val="single" w:sz="4" w:space="0" w:color="D3D3D3"/>
              <w:right w:val="single" w:sz="4" w:space="0" w:color="D3D3D3"/>
            </w:tcBorders>
            <w:shd w:val="clear" w:color="auto" w:fill="auto"/>
            <w:hideMark/>
          </w:tcPr>
          <w:p w14:paraId="6947992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2,114.93</w:t>
            </w:r>
          </w:p>
        </w:tc>
        <w:tc>
          <w:tcPr>
            <w:tcW w:w="2551" w:type="dxa"/>
            <w:tcBorders>
              <w:top w:val="nil"/>
              <w:left w:val="nil"/>
              <w:bottom w:val="single" w:sz="4" w:space="0" w:color="D3D3D3"/>
              <w:right w:val="single" w:sz="4" w:space="0" w:color="D3D3D3"/>
            </w:tcBorders>
            <w:shd w:val="clear" w:color="auto" w:fill="auto"/>
            <w:hideMark/>
          </w:tcPr>
          <w:p w14:paraId="7ACB8A37" w14:textId="24F5C1FB"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340.17</w:t>
            </w:r>
          </w:p>
        </w:tc>
      </w:tr>
      <w:tr w:rsidR="002E512E" w:rsidRPr="00C0306A" w14:paraId="038EBA7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2F7011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TNQ</w:t>
            </w:r>
          </w:p>
        </w:tc>
        <w:tc>
          <w:tcPr>
            <w:tcW w:w="1559" w:type="dxa"/>
            <w:tcBorders>
              <w:top w:val="single" w:sz="4" w:space="0" w:color="D3D3D3"/>
              <w:left w:val="nil"/>
              <w:bottom w:val="single" w:sz="4" w:space="0" w:color="D3D3D3"/>
              <w:right w:val="single" w:sz="4" w:space="0" w:color="D3D3D3"/>
            </w:tcBorders>
            <w:shd w:val="clear" w:color="auto" w:fill="auto"/>
            <w:hideMark/>
          </w:tcPr>
          <w:p w14:paraId="38F1530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w:t>
            </w:r>
          </w:p>
        </w:tc>
        <w:tc>
          <w:tcPr>
            <w:tcW w:w="5529" w:type="dxa"/>
            <w:tcBorders>
              <w:top w:val="single" w:sz="4" w:space="0" w:color="D3D3D3"/>
              <w:left w:val="nil"/>
              <w:bottom w:val="single" w:sz="4" w:space="0" w:color="D3D3D3"/>
              <w:right w:val="single" w:sz="4" w:space="0" w:color="D3D3D3"/>
            </w:tcBorders>
            <w:shd w:val="clear" w:color="auto" w:fill="auto"/>
            <w:hideMark/>
          </w:tcPr>
          <w:p w14:paraId="1D0B099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REGIONAL TELEVISION PTY LIMITED</w:t>
            </w:r>
          </w:p>
        </w:tc>
        <w:tc>
          <w:tcPr>
            <w:tcW w:w="2551" w:type="dxa"/>
            <w:tcBorders>
              <w:top w:val="nil"/>
              <w:left w:val="nil"/>
              <w:bottom w:val="single" w:sz="4" w:space="0" w:color="D3D3D3"/>
              <w:right w:val="single" w:sz="4" w:space="0" w:color="D3D3D3"/>
            </w:tcBorders>
            <w:shd w:val="clear" w:color="auto" w:fill="auto"/>
            <w:hideMark/>
          </w:tcPr>
          <w:p w14:paraId="4B7AA0D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72.63</w:t>
            </w:r>
          </w:p>
        </w:tc>
        <w:tc>
          <w:tcPr>
            <w:tcW w:w="2977" w:type="dxa"/>
            <w:tcBorders>
              <w:top w:val="nil"/>
              <w:left w:val="nil"/>
              <w:bottom w:val="single" w:sz="4" w:space="0" w:color="D3D3D3"/>
              <w:right w:val="single" w:sz="4" w:space="0" w:color="D3D3D3"/>
            </w:tcBorders>
            <w:shd w:val="clear" w:color="auto" w:fill="auto"/>
            <w:hideMark/>
          </w:tcPr>
          <w:p w14:paraId="3A7A506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2,020.05</w:t>
            </w:r>
          </w:p>
        </w:tc>
        <w:tc>
          <w:tcPr>
            <w:tcW w:w="2551" w:type="dxa"/>
            <w:tcBorders>
              <w:top w:val="nil"/>
              <w:left w:val="nil"/>
              <w:bottom w:val="single" w:sz="4" w:space="0" w:color="D3D3D3"/>
              <w:right w:val="single" w:sz="4" w:space="0" w:color="D3D3D3"/>
            </w:tcBorders>
            <w:shd w:val="clear" w:color="auto" w:fill="auto"/>
            <w:hideMark/>
          </w:tcPr>
          <w:p w14:paraId="016B142D" w14:textId="6B0EB7EA"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340.17</w:t>
            </w:r>
          </w:p>
        </w:tc>
      </w:tr>
      <w:tr w:rsidR="002E512E" w:rsidRPr="00C0306A" w14:paraId="482E14ED"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hideMark/>
          </w:tcPr>
          <w:p w14:paraId="5F0A81B1" w14:textId="6057724B" w:rsidR="002E512E" w:rsidRPr="00C0306A" w:rsidRDefault="002E512E" w:rsidP="002E512E">
            <w:pPr>
              <w:spacing w:after="0" w:line="240" w:lineRule="auto"/>
              <w:rPr>
                <w:rFonts w:cs="Arial"/>
                <w:b/>
                <w:bCs/>
                <w:color w:val="000000"/>
                <w:szCs w:val="20"/>
              </w:rPr>
            </w:pPr>
            <w:r w:rsidRPr="00C0306A">
              <w:rPr>
                <w:rFonts w:cs="Arial"/>
                <w:b/>
                <w:bCs/>
                <w:color w:val="000000"/>
                <w:szCs w:val="20"/>
              </w:rPr>
              <w:t xml:space="preserve">Major </w:t>
            </w:r>
            <w:r w:rsidR="006E363D">
              <w:rPr>
                <w:rFonts w:cs="Arial"/>
                <w:b/>
                <w:bCs/>
                <w:color w:val="000000"/>
                <w:szCs w:val="20"/>
              </w:rPr>
              <w:t>s</w:t>
            </w:r>
            <w:r w:rsidRPr="00C0306A">
              <w:rPr>
                <w:rFonts w:cs="Arial"/>
                <w:b/>
                <w:bCs/>
                <w:color w:val="000000"/>
                <w:szCs w:val="20"/>
              </w:rPr>
              <w:t xml:space="preserve">ource of </w:t>
            </w:r>
            <w:r w:rsidR="006E363D">
              <w:rPr>
                <w:rFonts w:cs="Arial"/>
                <w:b/>
                <w:bCs/>
                <w:color w:val="000000"/>
                <w:szCs w:val="20"/>
              </w:rPr>
              <w:t>p</w:t>
            </w:r>
            <w:r w:rsidRPr="00C0306A">
              <w:rPr>
                <w:rFonts w:cs="Arial"/>
                <w:b/>
                <w:bCs/>
                <w:color w:val="000000"/>
                <w:szCs w:val="20"/>
              </w:rPr>
              <w:t>rograms: Nine (</w:t>
            </w:r>
            <w:r w:rsidR="006E363D">
              <w:rPr>
                <w:rFonts w:cs="Arial"/>
                <w:b/>
                <w:bCs/>
                <w:color w:val="000000"/>
                <w:szCs w:val="20"/>
              </w:rPr>
              <w:t>n</w:t>
            </w:r>
            <w:r w:rsidRPr="00C0306A">
              <w:rPr>
                <w:rFonts w:cs="Arial"/>
                <w:b/>
                <w:bCs/>
                <w:color w:val="000000"/>
                <w:szCs w:val="20"/>
              </w:rPr>
              <w:t>umber of licences: 16)</w:t>
            </w:r>
          </w:p>
        </w:tc>
      </w:tr>
      <w:tr w:rsidR="002E512E" w:rsidRPr="00C0306A" w14:paraId="41DEA17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2AE5A47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BDN</w:t>
            </w:r>
          </w:p>
        </w:tc>
        <w:tc>
          <w:tcPr>
            <w:tcW w:w="1559" w:type="dxa"/>
            <w:tcBorders>
              <w:top w:val="single" w:sz="4" w:space="0" w:color="D3D3D3"/>
              <w:left w:val="nil"/>
              <w:bottom w:val="single" w:sz="4" w:space="0" w:color="D3D3D3"/>
              <w:right w:val="single" w:sz="4" w:space="0" w:color="D3D3D3"/>
            </w:tcBorders>
            <w:shd w:val="clear" w:color="auto" w:fill="auto"/>
            <w:hideMark/>
          </w:tcPr>
          <w:p w14:paraId="46E4017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1130143</w:t>
            </w:r>
          </w:p>
        </w:tc>
        <w:tc>
          <w:tcPr>
            <w:tcW w:w="5529" w:type="dxa"/>
            <w:tcBorders>
              <w:top w:val="single" w:sz="4" w:space="0" w:color="D3D3D3"/>
              <w:left w:val="nil"/>
              <w:bottom w:val="single" w:sz="4" w:space="0" w:color="D3D3D3"/>
              <w:right w:val="single" w:sz="4" w:space="0" w:color="D3D3D3"/>
            </w:tcBorders>
            <w:shd w:val="clear" w:color="auto" w:fill="auto"/>
            <w:hideMark/>
          </w:tcPr>
          <w:p w14:paraId="3418F29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BROKEN HILL TELEVISION PTY LIMITED</w:t>
            </w:r>
          </w:p>
        </w:tc>
        <w:tc>
          <w:tcPr>
            <w:tcW w:w="2551" w:type="dxa"/>
            <w:tcBorders>
              <w:top w:val="nil"/>
              <w:left w:val="nil"/>
              <w:bottom w:val="single" w:sz="4" w:space="0" w:color="D3D3D3"/>
              <w:right w:val="single" w:sz="4" w:space="0" w:color="D3D3D3"/>
            </w:tcBorders>
            <w:shd w:val="clear" w:color="auto" w:fill="auto"/>
            <w:hideMark/>
          </w:tcPr>
          <w:p w14:paraId="3C1F8C2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76.23</w:t>
            </w:r>
          </w:p>
        </w:tc>
        <w:tc>
          <w:tcPr>
            <w:tcW w:w="2977" w:type="dxa"/>
            <w:tcBorders>
              <w:top w:val="nil"/>
              <w:left w:val="nil"/>
              <w:bottom w:val="single" w:sz="4" w:space="0" w:color="D3D3D3"/>
              <w:right w:val="single" w:sz="4" w:space="0" w:color="D3D3D3"/>
            </w:tcBorders>
            <w:shd w:val="clear" w:color="auto" w:fill="auto"/>
            <w:hideMark/>
          </w:tcPr>
          <w:p w14:paraId="2151AE2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2,303.93</w:t>
            </w:r>
          </w:p>
        </w:tc>
        <w:tc>
          <w:tcPr>
            <w:tcW w:w="2551" w:type="dxa"/>
            <w:tcBorders>
              <w:top w:val="nil"/>
              <w:left w:val="nil"/>
              <w:bottom w:val="single" w:sz="4" w:space="0" w:color="D3D3D3"/>
              <w:right w:val="single" w:sz="4" w:space="0" w:color="D3D3D3"/>
            </w:tcBorders>
            <w:shd w:val="clear" w:color="auto" w:fill="auto"/>
            <w:hideMark/>
          </w:tcPr>
          <w:p w14:paraId="55940303" w14:textId="2D0144D3"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3CB4CCF1"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4E60F0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GDS</w:t>
            </w:r>
          </w:p>
        </w:tc>
        <w:tc>
          <w:tcPr>
            <w:tcW w:w="1559" w:type="dxa"/>
            <w:tcBorders>
              <w:top w:val="single" w:sz="4" w:space="0" w:color="D3D3D3"/>
              <w:left w:val="nil"/>
              <w:bottom w:val="single" w:sz="4" w:space="0" w:color="D3D3D3"/>
              <w:right w:val="single" w:sz="4" w:space="0" w:color="D3D3D3"/>
            </w:tcBorders>
            <w:shd w:val="clear" w:color="auto" w:fill="auto"/>
            <w:hideMark/>
          </w:tcPr>
          <w:p w14:paraId="58DB587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1130142</w:t>
            </w:r>
          </w:p>
        </w:tc>
        <w:tc>
          <w:tcPr>
            <w:tcW w:w="5529" w:type="dxa"/>
            <w:tcBorders>
              <w:top w:val="single" w:sz="4" w:space="0" w:color="D3D3D3"/>
              <w:left w:val="nil"/>
              <w:bottom w:val="single" w:sz="4" w:space="0" w:color="D3D3D3"/>
              <w:right w:val="single" w:sz="4" w:space="0" w:color="D3D3D3"/>
            </w:tcBorders>
            <w:shd w:val="clear" w:color="auto" w:fill="auto"/>
            <w:hideMark/>
          </w:tcPr>
          <w:p w14:paraId="71DE57D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SPENCER GULF TELECASTERS PTY LIMITED</w:t>
            </w:r>
          </w:p>
        </w:tc>
        <w:tc>
          <w:tcPr>
            <w:tcW w:w="2551" w:type="dxa"/>
            <w:tcBorders>
              <w:top w:val="nil"/>
              <w:left w:val="nil"/>
              <w:bottom w:val="single" w:sz="4" w:space="0" w:color="D3D3D3"/>
              <w:right w:val="single" w:sz="4" w:space="0" w:color="D3D3D3"/>
            </w:tcBorders>
            <w:shd w:val="clear" w:color="auto" w:fill="auto"/>
            <w:hideMark/>
          </w:tcPr>
          <w:p w14:paraId="79DC1E21"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76.23</w:t>
            </w:r>
          </w:p>
        </w:tc>
        <w:tc>
          <w:tcPr>
            <w:tcW w:w="2977" w:type="dxa"/>
            <w:tcBorders>
              <w:top w:val="nil"/>
              <w:left w:val="nil"/>
              <w:bottom w:val="single" w:sz="4" w:space="0" w:color="D3D3D3"/>
              <w:right w:val="single" w:sz="4" w:space="0" w:color="D3D3D3"/>
            </w:tcBorders>
            <w:shd w:val="clear" w:color="auto" w:fill="auto"/>
            <w:hideMark/>
          </w:tcPr>
          <w:p w14:paraId="0C7CC82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2,303.93</w:t>
            </w:r>
          </w:p>
        </w:tc>
        <w:tc>
          <w:tcPr>
            <w:tcW w:w="2551" w:type="dxa"/>
            <w:tcBorders>
              <w:top w:val="nil"/>
              <w:left w:val="nil"/>
              <w:bottom w:val="single" w:sz="4" w:space="0" w:color="D3D3D3"/>
              <w:right w:val="single" w:sz="4" w:space="0" w:color="D3D3D3"/>
            </w:tcBorders>
            <w:shd w:val="clear" w:color="auto" w:fill="auto"/>
            <w:hideMark/>
          </w:tcPr>
          <w:p w14:paraId="2A177D3A" w14:textId="15387039"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48AB274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F26FFC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IMP</w:t>
            </w:r>
          </w:p>
        </w:tc>
        <w:tc>
          <w:tcPr>
            <w:tcW w:w="1559" w:type="dxa"/>
            <w:tcBorders>
              <w:top w:val="single" w:sz="4" w:space="0" w:color="D3D3D3"/>
              <w:left w:val="nil"/>
              <w:bottom w:val="single" w:sz="4" w:space="0" w:color="D3D3D3"/>
              <w:right w:val="single" w:sz="4" w:space="0" w:color="D3D3D3"/>
            </w:tcBorders>
            <w:shd w:val="clear" w:color="auto" w:fill="auto"/>
            <w:hideMark/>
          </w:tcPr>
          <w:p w14:paraId="162E96E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2898</w:t>
            </w:r>
          </w:p>
        </w:tc>
        <w:tc>
          <w:tcPr>
            <w:tcW w:w="5529" w:type="dxa"/>
            <w:tcBorders>
              <w:top w:val="single" w:sz="4" w:space="0" w:color="D3D3D3"/>
              <w:left w:val="nil"/>
              <w:bottom w:val="single" w:sz="4" w:space="0" w:color="D3D3D3"/>
              <w:right w:val="single" w:sz="4" w:space="0" w:color="D3D3D3"/>
            </w:tcBorders>
            <w:shd w:val="clear" w:color="auto" w:fill="auto"/>
            <w:hideMark/>
          </w:tcPr>
          <w:p w14:paraId="145F3B0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IMPARJA TELEVISION PTY LTD</w:t>
            </w:r>
          </w:p>
        </w:tc>
        <w:tc>
          <w:tcPr>
            <w:tcW w:w="2551" w:type="dxa"/>
            <w:tcBorders>
              <w:top w:val="nil"/>
              <w:left w:val="nil"/>
              <w:bottom w:val="single" w:sz="4" w:space="0" w:color="D3D3D3"/>
              <w:right w:val="single" w:sz="4" w:space="0" w:color="D3D3D3"/>
            </w:tcBorders>
            <w:shd w:val="clear" w:color="auto" w:fill="auto"/>
            <w:hideMark/>
          </w:tcPr>
          <w:p w14:paraId="2468A76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77.70</w:t>
            </w:r>
          </w:p>
        </w:tc>
        <w:tc>
          <w:tcPr>
            <w:tcW w:w="2977" w:type="dxa"/>
            <w:tcBorders>
              <w:top w:val="nil"/>
              <w:left w:val="nil"/>
              <w:bottom w:val="single" w:sz="4" w:space="0" w:color="D3D3D3"/>
              <w:right w:val="single" w:sz="4" w:space="0" w:color="D3D3D3"/>
            </w:tcBorders>
            <w:shd w:val="clear" w:color="auto" w:fill="auto"/>
            <w:hideMark/>
          </w:tcPr>
          <w:p w14:paraId="5DEBF4A9" w14:textId="4490CFF2"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4015DF18" w14:textId="00A2A8D9"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270.50</w:t>
            </w:r>
          </w:p>
        </w:tc>
      </w:tr>
      <w:tr w:rsidR="002E512E" w:rsidRPr="00C0306A" w14:paraId="184C8B4A"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90EE7F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MTN</w:t>
            </w:r>
          </w:p>
        </w:tc>
        <w:tc>
          <w:tcPr>
            <w:tcW w:w="1559" w:type="dxa"/>
            <w:tcBorders>
              <w:top w:val="single" w:sz="4" w:space="0" w:color="D3D3D3"/>
              <w:left w:val="nil"/>
              <w:bottom w:val="single" w:sz="4" w:space="0" w:color="D3D3D3"/>
              <w:right w:val="single" w:sz="4" w:space="0" w:color="D3D3D3"/>
            </w:tcBorders>
            <w:shd w:val="clear" w:color="auto" w:fill="auto"/>
            <w:hideMark/>
          </w:tcPr>
          <w:p w14:paraId="7BE5133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10103</w:t>
            </w:r>
          </w:p>
        </w:tc>
        <w:tc>
          <w:tcPr>
            <w:tcW w:w="5529" w:type="dxa"/>
            <w:tcBorders>
              <w:top w:val="single" w:sz="4" w:space="0" w:color="D3D3D3"/>
              <w:left w:val="nil"/>
              <w:bottom w:val="single" w:sz="4" w:space="0" w:color="D3D3D3"/>
              <w:right w:val="single" w:sz="4" w:space="0" w:color="D3D3D3"/>
            </w:tcBorders>
            <w:shd w:val="clear" w:color="auto" w:fill="auto"/>
            <w:hideMark/>
          </w:tcPr>
          <w:p w14:paraId="1E2013A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GRIFFITH PTY LTD</w:t>
            </w:r>
          </w:p>
        </w:tc>
        <w:tc>
          <w:tcPr>
            <w:tcW w:w="2551" w:type="dxa"/>
            <w:tcBorders>
              <w:top w:val="nil"/>
              <w:left w:val="nil"/>
              <w:bottom w:val="single" w:sz="4" w:space="0" w:color="D3D3D3"/>
              <w:right w:val="single" w:sz="4" w:space="0" w:color="D3D3D3"/>
            </w:tcBorders>
            <w:shd w:val="clear" w:color="auto" w:fill="auto"/>
            <w:hideMark/>
          </w:tcPr>
          <w:p w14:paraId="4F9FD24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76.46</w:t>
            </w:r>
          </w:p>
        </w:tc>
        <w:tc>
          <w:tcPr>
            <w:tcW w:w="2977" w:type="dxa"/>
            <w:tcBorders>
              <w:top w:val="nil"/>
              <w:left w:val="nil"/>
              <w:bottom w:val="single" w:sz="4" w:space="0" w:color="D3D3D3"/>
              <w:right w:val="single" w:sz="4" w:space="0" w:color="D3D3D3"/>
            </w:tcBorders>
            <w:shd w:val="clear" w:color="auto" w:fill="auto"/>
            <w:hideMark/>
          </w:tcPr>
          <w:p w14:paraId="4151CB8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5,660.37</w:t>
            </w:r>
          </w:p>
        </w:tc>
        <w:tc>
          <w:tcPr>
            <w:tcW w:w="2551" w:type="dxa"/>
            <w:tcBorders>
              <w:top w:val="nil"/>
              <w:left w:val="nil"/>
              <w:bottom w:val="single" w:sz="4" w:space="0" w:color="D3D3D3"/>
              <w:right w:val="single" w:sz="4" w:space="0" w:color="D3D3D3"/>
            </w:tcBorders>
            <w:shd w:val="clear" w:color="auto" w:fill="auto"/>
            <w:hideMark/>
          </w:tcPr>
          <w:p w14:paraId="79F8B6B4" w14:textId="4930D5AC"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A9297F" w:rsidRPr="00ED3605">
              <w:rPr>
                <w:rFonts w:cs="Arial"/>
                <w:sz w:val="18"/>
                <w:szCs w:val="18"/>
                <w:vertAlign w:val="superscript"/>
              </w:rPr>
              <w:t>#</w:t>
            </w:r>
          </w:p>
        </w:tc>
      </w:tr>
      <w:tr w:rsidR="002E512E" w:rsidRPr="00C0306A" w14:paraId="23CFEA13"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4B8849C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NBN</w:t>
            </w:r>
          </w:p>
        </w:tc>
        <w:tc>
          <w:tcPr>
            <w:tcW w:w="1559" w:type="dxa"/>
            <w:tcBorders>
              <w:top w:val="single" w:sz="4" w:space="0" w:color="D3D3D3"/>
              <w:left w:val="nil"/>
              <w:bottom w:val="single" w:sz="4" w:space="0" w:color="D3D3D3"/>
              <w:right w:val="single" w:sz="4" w:space="0" w:color="D3D3D3"/>
            </w:tcBorders>
            <w:shd w:val="clear" w:color="auto" w:fill="auto"/>
            <w:hideMark/>
          </w:tcPr>
          <w:p w14:paraId="46845F5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94</w:t>
            </w:r>
          </w:p>
        </w:tc>
        <w:tc>
          <w:tcPr>
            <w:tcW w:w="5529" w:type="dxa"/>
            <w:tcBorders>
              <w:top w:val="single" w:sz="4" w:space="0" w:color="D3D3D3"/>
              <w:left w:val="nil"/>
              <w:bottom w:val="single" w:sz="4" w:space="0" w:color="D3D3D3"/>
              <w:right w:val="single" w:sz="4" w:space="0" w:color="D3D3D3"/>
            </w:tcBorders>
            <w:shd w:val="clear" w:color="auto" w:fill="auto"/>
            <w:hideMark/>
          </w:tcPr>
          <w:p w14:paraId="5F498D7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NBN PTY LTD</w:t>
            </w:r>
          </w:p>
        </w:tc>
        <w:tc>
          <w:tcPr>
            <w:tcW w:w="2551" w:type="dxa"/>
            <w:tcBorders>
              <w:top w:val="nil"/>
              <w:left w:val="nil"/>
              <w:bottom w:val="single" w:sz="4" w:space="0" w:color="D3D3D3"/>
              <w:right w:val="single" w:sz="4" w:space="0" w:color="D3D3D3"/>
            </w:tcBorders>
            <w:shd w:val="clear" w:color="auto" w:fill="auto"/>
            <w:hideMark/>
          </w:tcPr>
          <w:p w14:paraId="23C46B9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77.74</w:t>
            </w:r>
          </w:p>
        </w:tc>
        <w:tc>
          <w:tcPr>
            <w:tcW w:w="2977" w:type="dxa"/>
            <w:tcBorders>
              <w:top w:val="nil"/>
              <w:left w:val="nil"/>
              <w:bottom w:val="single" w:sz="4" w:space="0" w:color="D3D3D3"/>
              <w:right w:val="single" w:sz="4" w:space="0" w:color="D3D3D3"/>
            </w:tcBorders>
            <w:shd w:val="clear" w:color="auto" w:fill="auto"/>
            <w:hideMark/>
          </w:tcPr>
          <w:p w14:paraId="4161430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2,158.40</w:t>
            </w:r>
          </w:p>
        </w:tc>
        <w:tc>
          <w:tcPr>
            <w:tcW w:w="2551" w:type="dxa"/>
            <w:tcBorders>
              <w:top w:val="nil"/>
              <w:left w:val="nil"/>
              <w:bottom w:val="single" w:sz="4" w:space="0" w:color="D3D3D3"/>
              <w:right w:val="single" w:sz="4" w:space="0" w:color="D3D3D3"/>
            </w:tcBorders>
            <w:shd w:val="clear" w:color="auto" w:fill="auto"/>
            <w:hideMark/>
          </w:tcPr>
          <w:p w14:paraId="4B55009D" w14:textId="7D4D5449"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4C66989B"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A53917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NTD</w:t>
            </w:r>
          </w:p>
        </w:tc>
        <w:tc>
          <w:tcPr>
            <w:tcW w:w="1559" w:type="dxa"/>
            <w:tcBorders>
              <w:top w:val="single" w:sz="4" w:space="0" w:color="D3D3D3"/>
              <w:left w:val="nil"/>
              <w:bottom w:val="single" w:sz="4" w:space="0" w:color="D3D3D3"/>
              <w:right w:val="single" w:sz="4" w:space="0" w:color="D3D3D3"/>
            </w:tcBorders>
            <w:shd w:val="clear" w:color="auto" w:fill="auto"/>
            <w:hideMark/>
          </w:tcPr>
          <w:p w14:paraId="72FFCB9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10172</w:t>
            </w:r>
          </w:p>
        </w:tc>
        <w:tc>
          <w:tcPr>
            <w:tcW w:w="5529" w:type="dxa"/>
            <w:tcBorders>
              <w:top w:val="single" w:sz="4" w:space="0" w:color="D3D3D3"/>
              <w:left w:val="nil"/>
              <w:bottom w:val="single" w:sz="4" w:space="0" w:color="D3D3D3"/>
              <w:right w:val="single" w:sz="4" w:space="0" w:color="D3D3D3"/>
            </w:tcBorders>
            <w:shd w:val="clear" w:color="auto" w:fill="auto"/>
            <w:hideMark/>
          </w:tcPr>
          <w:p w14:paraId="5A32E9A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TERRITORY TELEVISION PTY LTD</w:t>
            </w:r>
          </w:p>
        </w:tc>
        <w:tc>
          <w:tcPr>
            <w:tcW w:w="2551" w:type="dxa"/>
            <w:tcBorders>
              <w:top w:val="nil"/>
              <w:left w:val="nil"/>
              <w:bottom w:val="single" w:sz="4" w:space="0" w:color="D3D3D3"/>
              <w:right w:val="single" w:sz="4" w:space="0" w:color="D3D3D3"/>
            </w:tcBorders>
            <w:shd w:val="clear" w:color="auto" w:fill="auto"/>
            <w:hideMark/>
          </w:tcPr>
          <w:p w14:paraId="6E3983C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77.15</w:t>
            </w:r>
          </w:p>
        </w:tc>
        <w:tc>
          <w:tcPr>
            <w:tcW w:w="2977" w:type="dxa"/>
            <w:tcBorders>
              <w:top w:val="nil"/>
              <w:left w:val="nil"/>
              <w:bottom w:val="single" w:sz="4" w:space="0" w:color="D3D3D3"/>
              <w:right w:val="single" w:sz="4" w:space="0" w:color="D3D3D3"/>
            </w:tcBorders>
            <w:shd w:val="clear" w:color="auto" w:fill="auto"/>
            <w:hideMark/>
          </w:tcPr>
          <w:p w14:paraId="2F805AC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2,177.03</w:t>
            </w:r>
          </w:p>
        </w:tc>
        <w:tc>
          <w:tcPr>
            <w:tcW w:w="2551" w:type="dxa"/>
            <w:tcBorders>
              <w:top w:val="nil"/>
              <w:left w:val="nil"/>
              <w:bottom w:val="single" w:sz="4" w:space="0" w:color="D3D3D3"/>
              <w:right w:val="single" w:sz="4" w:space="0" w:color="D3D3D3"/>
            </w:tcBorders>
            <w:shd w:val="clear" w:color="auto" w:fill="auto"/>
            <w:hideMark/>
          </w:tcPr>
          <w:p w14:paraId="6A277236" w14:textId="221C52A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1A7E57F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6F94D5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NWS</w:t>
            </w:r>
          </w:p>
        </w:tc>
        <w:tc>
          <w:tcPr>
            <w:tcW w:w="1559" w:type="dxa"/>
            <w:tcBorders>
              <w:top w:val="single" w:sz="4" w:space="0" w:color="D3D3D3"/>
              <w:left w:val="nil"/>
              <w:bottom w:val="single" w:sz="4" w:space="0" w:color="D3D3D3"/>
              <w:right w:val="single" w:sz="4" w:space="0" w:color="D3D3D3"/>
            </w:tcBorders>
            <w:shd w:val="clear" w:color="auto" w:fill="auto"/>
            <w:hideMark/>
          </w:tcPr>
          <w:p w14:paraId="75191D6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121</w:t>
            </w:r>
          </w:p>
        </w:tc>
        <w:tc>
          <w:tcPr>
            <w:tcW w:w="5529" w:type="dxa"/>
            <w:tcBorders>
              <w:top w:val="single" w:sz="4" w:space="0" w:color="D3D3D3"/>
              <w:left w:val="nil"/>
              <w:bottom w:val="single" w:sz="4" w:space="0" w:color="D3D3D3"/>
              <w:right w:val="single" w:sz="4" w:space="0" w:color="D3D3D3"/>
            </w:tcBorders>
            <w:shd w:val="clear" w:color="auto" w:fill="auto"/>
            <w:hideMark/>
          </w:tcPr>
          <w:p w14:paraId="5F8A02F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CHANNEL 9 SOUTH AUSTRALIA PTY LIMITED</w:t>
            </w:r>
          </w:p>
        </w:tc>
        <w:tc>
          <w:tcPr>
            <w:tcW w:w="2551" w:type="dxa"/>
            <w:tcBorders>
              <w:top w:val="nil"/>
              <w:left w:val="nil"/>
              <w:bottom w:val="single" w:sz="4" w:space="0" w:color="D3D3D3"/>
              <w:right w:val="single" w:sz="4" w:space="0" w:color="D3D3D3"/>
            </w:tcBorders>
            <w:shd w:val="clear" w:color="auto" w:fill="auto"/>
            <w:hideMark/>
          </w:tcPr>
          <w:p w14:paraId="4CA06BA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76.23</w:t>
            </w:r>
          </w:p>
        </w:tc>
        <w:tc>
          <w:tcPr>
            <w:tcW w:w="2977" w:type="dxa"/>
            <w:tcBorders>
              <w:top w:val="nil"/>
              <w:left w:val="nil"/>
              <w:bottom w:val="single" w:sz="4" w:space="0" w:color="D3D3D3"/>
              <w:right w:val="single" w:sz="4" w:space="0" w:color="D3D3D3"/>
            </w:tcBorders>
            <w:shd w:val="clear" w:color="auto" w:fill="auto"/>
            <w:hideMark/>
          </w:tcPr>
          <w:p w14:paraId="414F197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2,304.10</w:t>
            </w:r>
          </w:p>
        </w:tc>
        <w:tc>
          <w:tcPr>
            <w:tcW w:w="2551" w:type="dxa"/>
            <w:tcBorders>
              <w:top w:val="nil"/>
              <w:left w:val="nil"/>
              <w:bottom w:val="single" w:sz="4" w:space="0" w:color="D3D3D3"/>
              <w:right w:val="single" w:sz="4" w:space="0" w:color="D3D3D3"/>
            </w:tcBorders>
            <w:shd w:val="clear" w:color="auto" w:fill="auto"/>
            <w:hideMark/>
          </w:tcPr>
          <w:p w14:paraId="1291F495" w14:textId="6F1DFD23"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162870D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C029AF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RTQ</w:t>
            </w:r>
          </w:p>
        </w:tc>
        <w:tc>
          <w:tcPr>
            <w:tcW w:w="1559" w:type="dxa"/>
            <w:tcBorders>
              <w:top w:val="single" w:sz="4" w:space="0" w:color="D3D3D3"/>
              <w:left w:val="nil"/>
              <w:bottom w:val="single" w:sz="4" w:space="0" w:color="D3D3D3"/>
              <w:right w:val="single" w:sz="4" w:space="0" w:color="D3D3D3"/>
            </w:tcBorders>
            <w:shd w:val="clear" w:color="auto" w:fill="auto"/>
            <w:hideMark/>
          </w:tcPr>
          <w:p w14:paraId="0B00D57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116</w:t>
            </w:r>
          </w:p>
        </w:tc>
        <w:tc>
          <w:tcPr>
            <w:tcW w:w="5529" w:type="dxa"/>
            <w:tcBorders>
              <w:top w:val="single" w:sz="4" w:space="0" w:color="D3D3D3"/>
              <w:left w:val="nil"/>
              <w:bottom w:val="single" w:sz="4" w:space="0" w:color="D3D3D3"/>
              <w:right w:val="single" w:sz="4" w:space="0" w:color="D3D3D3"/>
            </w:tcBorders>
            <w:shd w:val="clear" w:color="auto" w:fill="auto"/>
            <w:hideMark/>
          </w:tcPr>
          <w:p w14:paraId="3A0941DE"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QLD PTY LTD</w:t>
            </w:r>
          </w:p>
        </w:tc>
        <w:tc>
          <w:tcPr>
            <w:tcW w:w="2551" w:type="dxa"/>
            <w:tcBorders>
              <w:top w:val="nil"/>
              <w:left w:val="nil"/>
              <w:bottom w:val="single" w:sz="4" w:space="0" w:color="D3D3D3"/>
              <w:right w:val="single" w:sz="4" w:space="0" w:color="D3D3D3"/>
            </w:tcBorders>
            <w:shd w:val="clear" w:color="auto" w:fill="auto"/>
            <w:hideMark/>
          </w:tcPr>
          <w:p w14:paraId="1030B81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76.05</w:t>
            </w:r>
          </w:p>
        </w:tc>
        <w:tc>
          <w:tcPr>
            <w:tcW w:w="2977" w:type="dxa"/>
            <w:tcBorders>
              <w:top w:val="nil"/>
              <w:left w:val="nil"/>
              <w:bottom w:val="single" w:sz="4" w:space="0" w:color="D3D3D3"/>
              <w:right w:val="single" w:sz="4" w:space="0" w:color="D3D3D3"/>
            </w:tcBorders>
            <w:shd w:val="clear" w:color="auto" w:fill="auto"/>
            <w:hideMark/>
          </w:tcPr>
          <w:p w14:paraId="381421E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5,671.95</w:t>
            </w:r>
          </w:p>
        </w:tc>
        <w:tc>
          <w:tcPr>
            <w:tcW w:w="2551" w:type="dxa"/>
            <w:tcBorders>
              <w:top w:val="nil"/>
              <w:left w:val="nil"/>
              <w:bottom w:val="single" w:sz="4" w:space="0" w:color="D3D3D3"/>
              <w:right w:val="single" w:sz="4" w:space="0" w:color="D3D3D3"/>
            </w:tcBorders>
            <w:shd w:val="clear" w:color="auto" w:fill="auto"/>
            <w:hideMark/>
          </w:tcPr>
          <w:p w14:paraId="77656DEF" w14:textId="7182163A"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A9297F" w:rsidRPr="00ED3605">
              <w:rPr>
                <w:rFonts w:cs="Arial"/>
                <w:sz w:val="18"/>
                <w:szCs w:val="18"/>
                <w:vertAlign w:val="superscript"/>
              </w:rPr>
              <w:t>#</w:t>
            </w:r>
          </w:p>
        </w:tc>
      </w:tr>
      <w:tr w:rsidR="002E512E" w:rsidRPr="00C0306A" w14:paraId="2644006E"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287C8A6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RTS</w:t>
            </w:r>
          </w:p>
        </w:tc>
        <w:tc>
          <w:tcPr>
            <w:tcW w:w="1559" w:type="dxa"/>
            <w:tcBorders>
              <w:top w:val="single" w:sz="4" w:space="0" w:color="D3D3D3"/>
              <w:left w:val="nil"/>
              <w:bottom w:val="single" w:sz="4" w:space="0" w:color="D3D3D3"/>
              <w:right w:val="single" w:sz="4" w:space="0" w:color="D3D3D3"/>
            </w:tcBorders>
            <w:shd w:val="clear" w:color="auto" w:fill="auto"/>
            <w:hideMark/>
          </w:tcPr>
          <w:p w14:paraId="4CD60C5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10174</w:t>
            </w:r>
          </w:p>
        </w:tc>
        <w:tc>
          <w:tcPr>
            <w:tcW w:w="5529" w:type="dxa"/>
            <w:tcBorders>
              <w:top w:val="single" w:sz="4" w:space="0" w:color="D3D3D3"/>
              <w:left w:val="nil"/>
              <w:bottom w:val="single" w:sz="4" w:space="0" w:color="D3D3D3"/>
              <w:right w:val="single" w:sz="4" w:space="0" w:color="D3D3D3"/>
            </w:tcBorders>
            <w:shd w:val="clear" w:color="auto" w:fill="auto"/>
            <w:hideMark/>
          </w:tcPr>
          <w:p w14:paraId="4AA3988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011E6A3A"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74.75</w:t>
            </w:r>
          </w:p>
        </w:tc>
        <w:tc>
          <w:tcPr>
            <w:tcW w:w="2977" w:type="dxa"/>
            <w:tcBorders>
              <w:top w:val="nil"/>
              <w:left w:val="nil"/>
              <w:bottom w:val="single" w:sz="4" w:space="0" w:color="D3D3D3"/>
              <w:right w:val="single" w:sz="4" w:space="0" w:color="D3D3D3"/>
            </w:tcBorders>
            <w:shd w:val="clear" w:color="auto" w:fill="auto"/>
            <w:hideMark/>
          </w:tcPr>
          <w:p w14:paraId="06DDF2F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5,721.72</w:t>
            </w:r>
          </w:p>
        </w:tc>
        <w:tc>
          <w:tcPr>
            <w:tcW w:w="2551" w:type="dxa"/>
            <w:tcBorders>
              <w:top w:val="nil"/>
              <w:left w:val="nil"/>
              <w:bottom w:val="single" w:sz="4" w:space="0" w:color="D3D3D3"/>
              <w:right w:val="single" w:sz="4" w:space="0" w:color="D3D3D3"/>
            </w:tcBorders>
            <w:shd w:val="clear" w:color="auto" w:fill="auto"/>
            <w:hideMark/>
          </w:tcPr>
          <w:p w14:paraId="0BBF8511" w14:textId="269B9ABF"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A9297F" w:rsidRPr="00ED3605">
              <w:rPr>
                <w:rFonts w:cs="Arial"/>
                <w:sz w:val="18"/>
                <w:szCs w:val="18"/>
                <w:vertAlign w:val="superscript"/>
              </w:rPr>
              <w:t>#</w:t>
            </w:r>
          </w:p>
        </w:tc>
      </w:tr>
      <w:tr w:rsidR="002E512E" w:rsidRPr="00C0306A" w14:paraId="1069D5D6"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9D13E4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SES</w:t>
            </w:r>
          </w:p>
        </w:tc>
        <w:tc>
          <w:tcPr>
            <w:tcW w:w="1559" w:type="dxa"/>
            <w:tcBorders>
              <w:top w:val="single" w:sz="4" w:space="0" w:color="D3D3D3"/>
              <w:left w:val="nil"/>
              <w:bottom w:val="single" w:sz="4" w:space="0" w:color="D3D3D3"/>
              <w:right w:val="single" w:sz="4" w:space="0" w:color="D3D3D3"/>
            </w:tcBorders>
            <w:shd w:val="clear" w:color="auto" w:fill="auto"/>
            <w:hideMark/>
          </w:tcPr>
          <w:p w14:paraId="0B4ED3C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10330</w:t>
            </w:r>
          </w:p>
        </w:tc>
        <w:tc>
          <w:tcPr>
            <w:tcW w:w="5529" w:type="dxa"/>
            <w:tcBorders>
              <w:top w:val="single" w:sz="4" w:space="0" w:color="D3D3D3"/>
              <w:left w:val="nil"/>
              <w:bottom w:val="single" w:sz="4" w:space="0" w:color="D3D3D3"/>
              <w:right w:val="single" w:sz="4" w:space="0" w:color="D3D3D3"/>
            </w:tcBorders>
            <w:shd w:val="clear" w:color="auto" w:fill="auto"/>
            <w:hideMark/>
          </w:tcPr>
          <w:p w14:paraId="6A1E622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2AA8B0F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74.75</w:t>
            </w:r>
          </w:p>
        </w:tc>
        <w:tc>
          <w:tcPr>
            <w:tcW w:w="2977" w:type="dxa"/>
            <w:tcBorders>
              <w:top w:val="nil"/>
              <w:left w:val="nil"/>
              <w:bottom w:val="single" w:sz="4" w:space="0" w:color="D3D3D3"/>
              <w:right w:val="single" w:sz="4" w:space="0" w:color="D3D3D3"/>
            </w:tcBorders>
            <w:shd w:val="clear" w:color="auto" w:fill="auto"/>
            <w:hideMark/>
          </w:tcPr>
          <w:p w14:paraId="2498AC33"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5,721.72</w:t>
            </w:r>
          </w:p>
        </w:tc>
        <w:tc>
          <w:tcPr>
            <w:tcW w:w="2551" w:type="dxa"/>
            <w:tcBorders>
              <w:top w:val="nil"/>
              <w:left w:val="nil"/>
              <w:bottom w:val="single" w:sz="4" w:space="0" w:color="D3D3D3"/>
              <w:right w:val="single" w:sz="4" w:space="0" w:color="D3D3D3"/>
            </w:tcBorders>
            <w:shd w:val="clear" w:color="auto" w:fill="auto"/>
            <w:hideMark/>
          </w:tcPr>
          <w:p w14:paraId="1012DF2C" w14:textId="3A8C459D"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A9297F" w:rsidRPr="00ED3605">
              <w:rPr>
                <w:rFonts w:cs="Arial"/>
                <w:sz w:val="18"/>
                <w:szCs w:val="18"/>
                <w:vertAlign w:val="superscript"/>
              </w:rPr>
              <w:t>#</w:t>
            </w:r>
          </w:p>
        </w:tc>
      </w:tr>
      <w:tr w:rsidR="002E512E" w:rsidRPr="00C0306A" w14:paraId="2324D23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473D247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STV</w:t>
            </w:r>
          </w:p>
        </w:tc>
        <w:tc>
          <w:tcPr>
            <w:tcW w:w="1559" w:type="dxa"/>
            <w:tcBorders>
              <w:top w:val="single" w:sz="4" w:space="0" w:color="D3D3D3"/>
              <w:left w:val="nil"/>
              <w:bottom w:val="single" w:sz="4" w:space="0" w:color="D3D3D3"/>
              <w:right w:val="single" w:sz="4" w:space="0" w:color="D3D3D3"/>
            </w:tcBorders>
            <w:shd w:val="clear" w:color="auto" w:fill="auto"/>
            <w:hideMark/>
          </w:tcPr>
          <w:p w14:paraId="0FADE6FE"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10088</w:t>
            </w:r>
          </w:p>
        </w:tc>
        <w:tc>
          <w:tcPr>
            <w:tcW w:w="5529" w:type="dxa"/>
            <w:tcBorders>
              <w:top w:val="single" w:sz="4" w:space="0" w:color="D3D3D3"/>
              <w:left w:val="nil"/>
              <w:bottom w:val="single" w:sz="4" w:space="0" w:color="D3D3D3"/>
              <w:right w:val="single" w:sz="4" w:space="0" w:color="D3D3D3"/>
            </w:tcBorders>
            <w:shd w:val="clear" w:color="auto" w:fill="auto"/>
            <w:hideMark/>
          </w:tcPr>
          <w:p w14:paraId="1D83635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MILDURA PTY LTD</w:t>
            </w:r>
          </w:p>
        </w:tc>
        <w:tc>
          <w:tcPr>
            <w:tcW w:w="2551" w:type="dxa"/>
            <w:tcBorders>
              <w:top w:val="nil"/>
              <w:left w:val="nil"/>
              <w:bottom w:val="single" w:sz="4" w:space="0" w:color="D3D3D3"/>
              <w:right w:val="single" w:sz="4" w:space="0" w:color="D3D3D3"/>
            </w:tcBorders>
            <w:shd w:val="clear" w:color="auto" w:fill="auto"/>
            <w:hideMark/>
          </w:tcPr>
          <w:p w14:paraId="5487860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75.53</w:t>
            </w:r>
          </w:p>
        </w:tc>
        <w:tc>
          <w:tcPr>
            <w:tcW w:w="2977" w:type="dxa"/>
            <w:tcBorders>
              <w:top w:val="nil"/>
              <w:left w:val="nil"/>
              <w:bottom w:val="single" w:sz="4" w:space="0" w:color="D3D3D3"/>
              <w:right w:val="single" w:sz="4" w:space="0" w:color="D3D3D3"/>
            </w:tcBorders>
            <w:shd w:val="clear" w:color="auto" w:fill="auto"/>
            <w:hideMark/>
          </w:tcPr>
          <w:p w14:paraId="6E2DB0E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5,752.53</w:t>
            </w:r>
          </w:p>
        </w:tc>
        <w:tc>
          <w:tcPr>
            <w:tcW w:w="2551" w:type="dxa"/>
            <w:tcBorders>
              <w:top w:val="nil"/>
              <w:left w:val="nil"/>
              <w:bottom w:val="single" w:sz="4" w:space="0" w:color="D3D3D3"/>
              <w:right w:val="single" w:sz="4" w:space="0" w:color="D3D3D3"/>
            </w:tcBorders>
            <w:shd w:val="clear" w:color="auto" w:fill="auto"/>
            <w:hideMark/>
          </w:tcPr>
          <w:p w14:paraId="69E973FF" w14:textId="325762AA"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A9297F" w:rsidRPr="00ED3605">
              <w:rPr>
                <w:rFonts w:cs="Arial"/>
                <w:sz w:val="18"/>
                <w:szCs w:val="18"/>
                <w:vertAlign w:val="superscript"/>
              </w:rPr>
              <w:t>#</w:t>
            </w:r>
          </w:p>
        </w:tc>
      </w:tr>
      <w:tr w:rsidR="002E512E" w:rsidRPr="00C0306A" w14:paraId="2F883294"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6A02F4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STW</w:t>
            </w:r>
          </w:p>
        </w:tc>
        <w:tc>
          <w:tcPr>
            <w:tcW w:w="1559" w:type="dxa"/>
            <w:tcBorders>
              <w:top w:val="single" w:sz="4" w:space="0" w:color="D3D3D3"/>
              <w:left w:val="nil"/>
              <w:bottom w:val="single" w:sz="4" w:space="0" w:color="D3D3D3"/>
              <w:right w:val="single" w:sz="4" w:space="0" w:color="D3D3D3"/>
            </w:tcBorders>
            <w:shd w:val="clear" w:color="auto" w:fill="auto"/>
            <w:hideMark/>
          </w:tcPr>
          <w:p w14:paraId="5A42F80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10162</w:t>
            </w:r>
          </w:p>
        </w:tc>
        <w:tc>
          <w:tcPr>
            <w:tcW w:w="5529" w:type="dxa"/>
            <w:tcBorders>
              <w:top w:val="single" w:sz="4" w:space="0" w:color="D3D3D3"/>
              <w:left w:val="nil"/>
              <w:bottom w:val="single" w:sz="4" w:space="0" w:color="D3D3D3"/>
              <w:right w:val="single" w:sz="4" w:space="0" w:color="D3D3D3"/>
            </w:tcBorders>
            <w:shd w:val="clear" w:color="auto" w:fill="auto"/>
            <w:hideMark/>
          </w:tcPr>
          <w:p w14:paraId="5632360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SWAN TELEVISION &amp; RADIO BROADCASTERS PTY LTD</w:t>
            </w:r>
          </w:p>
        </w:tc>
        <w:tc>
          <w:tcPr>
            <w:tcW w:w="2551" w:type="dxa"/>
            <w:tcBorders>
              <w:top w:val="nil"/>
              <w:left w:val="nil"/>
              <w:bottom w:val="single" w:sz="4" w:space="0" w:color="D3D3D3"/>
              <w:right w:val="single" w:sz="4" w:space="0" w:color="D3D3D3"/>
            </w:tcBorders>
            <w:shd w:val="clear" w:color="auto" w:fill="auto"/>
            <w:hideMark/>
          </w:tcPr>
          <w:p w14:paraId="5F50872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75.82</w:t>
            </w:r>
          </w:p>
        </w:tc>
        <w:tc>
          <w:tcPr>
            <w:tcW w:w="2977" w:type="dxa"/>
            <w:tcBorders>
              <w:top w:val="nil"/>
              <w:left w:val="nil"/>
              <w:bottom w:val="single" w:sz="4" w:space="0" w:color="D3D3D3"/>
              <w:right w:val="single" w:sz="4" w:space="0" w:color="D3D3D3"/>
            </w:tcBorders>
            <w:shd w:val="clear" w:color="auto" w:fill="auto"/>
            <w:hideMark/>
          </w:tcPr>
          <w:p w14:paraId="2F5EF69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2,397.38</w:t>
            </w:r>
          </w:p>
        </w:tc>
        <w:tc>
          <w:tcPr>
            <w:tcW w:w="2551" w:type="dxa"/>
            <w:tcBorders>
              <w:top w:val="nil"/>
              <w:left w:val="nil"/>
              <w:bottom w:val="single" w:sz="4" w:space="0" w:color="D3D3D3"/>
              <w:right w:val="single" w:sz="4" w:space="0" w:color="D3D3D3"/>
            </w:tcBorders>
            <w:shd w:val="clear" w:color="auto" w:fill="auto"/>
            <w:hideMark/>
          </w:tcPr>
          <w:p w14:paraId="69268A2B" w14:textId="0D32645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271.00</w:t>
            </w:r>
          </w:p>
        </w:tc>
      </w:tr>
      <w:tr w:rsidR="002E512E" w:rsidRPr="00C0306A" w14:paraId="0EA22BAC"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7092B5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TVT</w:t>
            </w:r>
          </w:p>
        </w:tc>
        <w:tc>
          <w:tcPr>
            <w:tcW w:w="1559" w:type="dxa"/>
            <w:tcBorders>
              <w:top w:val="single" w:sz="4" w:space="0" w:color="D3D3D3"/>
              <w:left w:val="nil"/>
              <w:bottom w:val="single" w:sz="4" w:space="0" w:color="D3D3D3"/>
              <w:right w:val="single" w:sz="4" w:space="0" w:color="D3D3D3"/>
            </w:tcBorders>
            <w:shd w:val="clear" w:color="auto" w:fill="auto"/>
            <w:hideMark/>
          </w:tcPr>
          <w:p w14:paraId="55CF63D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132</w:t>
            </w:r>
          </w:p>
        </w:tc>
        <w:tc>
          <w:tcPr>
            <w:tcW w:w="5529" w:type="dxa"/>
            <w:tcBorders>
              <w:top w:val="single" w:sz="4" w:space="0" w:color="D3D3D3"/>
              <w:left w:val="nil"/>
              <w:bottom w:val="single" w:sz="4" w:space="0" w:color="D3D3D3"/>
              <w:right w:val="single" w:sz="4" w:space="0" w:color="D3D3D3"/>
            </w:tcBorders>
            <w:shd w:val="clear" w:color="auto" w:fill="auto"/>
            <w:hideMark/>
          </w:tcPr>
          <w:p w14:paraId="10362FC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TAS PTY LTD</w:t>
            </w:r>
          </w:p>
        </w:tc>
        <w:tc>
          <w:tcPr>
            <w:tcW w:w="2551" w:type="dxa"/>
            <w:tcBorders>
              <w:top w:val="nil"/>
              <w:left w:val="nil"/>
              <w:bottom w:val="single" w:sz="4" w:space="0" w:color="D3D3D3"/>
              <w:right w:val="single" w:sz="4" w:space="0" w:color="D3D3D3"/>
            </w:tcBorders>
            <w:shd w:val="clear" w:color="auto" w:fill="auto"/>
            <w:hideMark/>
          </w:tcPr>
          <w:p w14:paraId="09D2FA9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75.53</w:t>
            </w:r>
          </w:p>
        </w:tc>
        <w:tc>
          <w:tcPr>
            <w:tcW w:w="2977" w:type="dxa"/>
            <w:tcBorders>
              <w:top w:val="nil"/>
              <w:left w:val="nil"/>
              <w:bottom w:val="single" w:sz="4" w:space="0" w:color="D3D3D3"/>
              <w:right w:val="single" w:sz="4" w:space="0" w:color="D3D3D3"/>
            </w:tcBorders>
            <w:shd w:val="clear" w:color="auto" w:fill="auto"/>
            <w:hideMark/>
          </w:tcPr>
          <w:p w14:paraId="7DE4803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5,752.53</w:t>
            </w:r>
          </w:p>
        </w:tc>
        <w:tc>
          <w:tcPr>
            <w:tcW w:w="2551" w:type="dxa"/>
            <w:tcBorders>
              <w:top w:val="nil"/>
              <w:left w:val="nil"/>
              <w:bottom w:val="single" w:sz="4" w:space="0" w:color="D3D3D3"/>
              <w:right w:val="single" w:sz="4" w:space="0" w:color="D3D3D3"/>
            </w:tcBorders>
            <w:shd w:val="clear" w:color="auto" w:fill="auto"/>
            <w:hideMark/>
          </w:tcPr>
          <w:p w14:paraId="4218C15C" w14:textId="5D70EA4C"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2373630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E721DD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VTV</w:t>
            </w:r>
          </w:p>
        </w:tc>
        <w:tc>
          <w:tcPr>
            <w:tcW w:w="1559" w:type="dxa"/>
            <w:tcBorders>
              <w:top w:val="single" w:sz="4" w:space="0" w:color="D3D3D3"/>
              <w:left w:val="nil"/>
              <w:bottom w:val="single" w:sz="4" w:space="0" w:color="D3D3D3"/>
              <w:right w:val="single" w:sz="4" w:space="0" w:color="D3D3D3"/>
            </w:tcBorders>
            <w:shd w:val="clear" w:color="auto" w:fill="auto"/>
            <w:hideMark/>
          </w:tcPr>
          <w:p w14:paraId="7AEF3EA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107</w:t>
            </w:r>
          </w:p>
        </w:tc>
        <w:tc>
          <w:tcPr>
            <w:tcW w:w="5529" w:type="dxa"/>
            <w:tcBorders>
              <w:top w:val="single" w:sz="4" w:space="0" w:color="D3D3D3"/>
              <w:left w:val="nil"/>
              <w:bottom w:val="single" w:sz="4" w:space="0" w:color="D3D3D3"/>
              <w:right w:val="single" w:sz="4" w:space="0" w:color="D3D3D3"/>
            </w:tcBorders>
            <w:shd w:val="clear" w:color="auto" w:fill="auto"/>
            <w:hideMark/>
          </w:tcPr>
          <w:p w14:paraId="4742A6F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VIC PTY LTD</w:t>
            </w:r>
          </w:p>
        </w:tc>
        <w:tc>
          <w:tcPr>
            <w:tcW w:w="2551" w:type="dxa"/>
            <w:tcBorders>
              <w:top w:val="nil"/>
              <w:left w:val="nil"/>
              <w:bottom w:val="single" w:sz="4" w:space="0" w:color="D3D3D3"/>
              <w:right w:val="single" w:sz="4" w:space="0" w:color="D3D3D3"/>
            </w:tcBorders>
            <w:shd w:val="clear" w:color="auto" w:fill="auto"/>
            <w:hideMark/>
          </w:tcPr>
          <w:p w14:paraId="630D258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75.53</w:t>
            </w:r>
          </w:p>
        </w:tc>
        <w:tc>
          <w:tcPr>
            <w:tcW w:w="2977" w:type="dxa"/>
            <w:tcBorders>
              <w:top w:val="nil"/>
              <w:left w:val="nil"/>
              <w:bottom w:val="single" w:sz="4" w:space="0" w:color="D3D3D3"/>
              <w:right w:val="single" w:sz="4" w:space="0" w:color="D3D3D3"/>
            </w:tcBorders>
            <w:shd w:val="clear" w:color="auto" w:fill="auto"/>
            <w:hideMark/>
          </w:tcPr>
          <w:p w14:paraId="0A65A24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5,752.53</w:t>
            </w:r>
          </w:p>
        </w:tc>
        <w:tc>
          <w:tcPr>
            <w:tcW w:w="2551" w:type="dxa"/>
            <w:tcBorders>
              <w:top w:val="nil"/>
              <w:left w:val="nil"/>
              <w:bottom w:val="single" w:sz="4" w:space="0" w:color="D3D3D3"/>
              <w:right w:val="single" w:sz="4" w:space="0" w:color="D3D3D3"/>
            </w:tcBorders>
            <w:shd w:val="clear" w:color="auto" w:fill="auto"/>
            <w:hideMark/>
          </w:tcPr>
          <w:p w14:paraId="780F6FC1" w14:textId="4FD95DF2"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5F1F8AB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CAC03C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w:t>
            </w:r>
          </w:p>
        </w:tc>
        <w:tc>
          <w:tcPr>
            <w:tcW w:w="1559" w:type="dxa"/>
            <w:tcBorders>
              <w:top w:val="single" w:sz="4" w:space="0" w:color="D3D3D3"/>
              <w:left w:val="nil"/>
              <w:bottom w:val="single" w:sz="4" w:space="0" w:color="D3D3D3"/>
              <w:right w:val="single" w:sz="4" w:space="0" w:color="D3D3D3"/>
            </w:tcBorders>
            <w:shd w:val="clear" w:color="auto" w:fill="auto"/>
            <w:hideMark/>
          </w:tcPr>
          <w:p w14:paraId="0E19AE2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99</w:t>
            </w:r>
          </w:p>
        </w:tc>
        <w:tc>
          <w:tcPr>
            <w:tcW w:w="5529" w:type="dxa"/>
            <w:tcBorders>
              <w:top w:val="single" w:sz="4" w:space="0" w:color="D3D3D3"/>
              <w:left w:val="nil"/>
              <w:bottom w:val="single" w:sz="4" w:space="0" w:color="D3D3D3"/>
              <w:right w:val="single" w:sz="4" w:space="0" w:color="D3D3D3"/>
            </w:tcBorders>
            <w:shd w:val="clear" w:color="auto" w:fill="auto"/>
            <w:hideMark/>
          </w:tcPr>
          <w:p w14:paraId="0A3AE53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NSW PTY LIMITED</w:t>
            </w:r>
          </w:p>
        </w:tc>
        <w:tc>
          <w:tcPr>
            <w:tcW w:w="2551" w:type="dxa"/>
            <w:tcBorders>
              <w:top w:val="nil"/>
              <w:left w:val="nil"/>
              <w:bottom w:val="single" w:sz="4" w:space="0" w:color="D3D3D3"/>
              <w:right w:val="single" w:sz="4" w:space="0" w:color="D3D3D3"/>
            </w:tcBorders>
            <w:shd w:val="clear" w:color="auto" w:fill="auto"/>
            <w:hideMark/>
          </w:tcPr>
          <w:p w14:paraId="10790B3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76.46</w:t>
            </w:r>
          </w:p>
        </w:tc>
        <w:tc>
          <w:tcPr>
            <w:tcW w:w="2977" w:type="dxa"/>
            <w:tcBorders>
              <w:top w:val="nil"/>
              <w:left w:val="nil"/>
              <w:bottom w:val="single" w:sz="4" w:space="0" w:color="D3D3D3"/>
              <w:right w:val="single" w:sz="4" w:space="0" w:color="D3D3D3"/>
            </w:tcBorders>
            <w:shd w:val="clear" w:color="auto" w:fill="auto"/>
            <w:hideMark/>
          </w:tcPr>
          <w:p w14:paraId="0EAEE27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5,660.37</w:t>
            </w:r>
          </w:p>
        </w:tc>
        <w:tc>
          <w:tcPr>
            <w:tcW w:w="2551" w:type="dxa"/>
            <w:tcBorders>
              <w:top w:val="nil"/>
              <w:left w:val="nil"/>
              <w:bottom w:val="single" w:sz="4" w:space="0" w:color="D3D3D3"/>
              <w:right w:val="single" w:sz="4" w:space="0" w:color="D3D3D3"/>
            </w:tcBorders>
            <w:shd w:val="clear" w:color="auto" w:fill="auto"/>
            <w:hideMark/>
          </w:tcPr>
          <w:p w14:paraId="6633BC23" w14:textId="60F5DBD0"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514DE38B"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819D56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WOW</w:t>
            </w:r>
          </w:p>
        </w:tc>
        <w:tc>
          <w:tcPr>
            <w:tcW w:w="1559" w:type="dxa"/>
            <w:tcBorders>
              <w:top w:val="single" w:sz="4" w:space="0" w:color="D3D3D3"/>
              <w:left w:val="nil"/>
              <w:bottom w:val="single" w:sz="4" w:space="0" w:color="D3D3D3"/>
              <w:right w:val="single" w:sz="4" w:space="0" w:color="D3D3D3"/>
            </w:tcBorders>
            <w:shd w:val="clear" w:color="auto" w:fill="auto"/>
            <w:hideMark/>
          </w:tcPr>
          <w:p w14:paraId="721D272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10048</w:t>
            </w:r>
          </w:p>
        </w:tc>
        <w:tc>
          <w:tcPr>
            <w:tcW w:w="5529" w:type="dxa"/>
            <w:tcBorders>
              <w:top w:val="single" w:sz="4" w:space="0" w:color="D3D3D3"/>
              <w:left w:val="nil"/>
              <w:bottom w:val="single" w:sz="4" w:space="0" w:color="D3D3D3"/>
              <w:right w:val="single" w:sz="4" w:space="0" w:color="D3D3D3"/>
            </w:tcBorders>
            <w:shd w:val="clear" w:color="auto" w:fill="auto"/>
            <w:hideMark/>
          </w:tcPr>
          <w:p w14:paraId="6374400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WA PTY LTD</w:t>
            </w:r>
          </w:p>
        </w:tc>
        <w:tc>
          <w:tcPr>
            <w:tcW w:w="2551" w:type="dxa"/>
            <w:tcBorders>
              <w:top w:val="nil"/>
              <w:left w:val="nil"/>
              <w:bottom w:val="single" w:sz="4" w:space="0" w:color="D3D3D3"/>
              <w:right w:val="single" w:sz="4" w:space="0" w:color="D3D3D3"/>
            </w:tcBorders>
            <w:shd w:val="clear" w:color="auto" w:fill="auto"/>
            <w:hideMark/>
          </w:tcPr>
          <w:p w14:paraId="7DCA7C8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72.25</w:t>
            </w:r>
          </w:p>
        </w:tc>
        <w:tc>
          <w:tcPr>
            <w:tcW w:w="2977" w:type="dxa"/>
            <w:tcBorders>
              <w:top w:val="nil"/>
              <w:left w:val="nil"/>
              <w:bottom w:val="single" w:sz="4" w:space="0" w:color="D3D3D3"/>
              <w:right w:val="single" w:sz="4" w:space="0" w:color="D3D3D3"/>
            </w:tcBorders>
            <w:shd w:val="clear" w:color="auto" w:fill="auto"/>
            <w:hideMark/>
          </w:tcPr>
          <w:p w14:paraId="5C1740C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5,852.65</w:t>
            </w:r>
          </w:p>
        </w:tc>
        <w:tc>
          <w:tcPr>
            <w:tcW w:w="2551" w:type="dxa"/>
            <w:tcBorders>
              <w:top w:val="nil"/>
              <w:left w:val="nil"/>
              <w:bottom w:val="single" w:sz="4" w:space="0" w:color="D3D3D3"/>
              <w:right w:val="single" w:sz="4" w:space="0" w:color="D3D3D3"/>
            </w:tcBorders>
            <w:shd w:val="clear" w:color="auto" w:fill="auto"/>
            <w:hideMark/>
          </w:tcPr>
          <w:p w14:paraId="031CB297" w14:textId="52FE9EAA"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294FCCC5"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hideMark/>
          </w:tcPr>
          <w:p w14:paraId="6ADC4958" w14:textId="0729B8DD" w:rsidR="002E512E" w:rsidRPr="00C0306A" w:rsidRDefault="002E512E" w:rsidP="002E512E">
            <w:pPr>
              <w:spacing w:after="0" w:line="240" w:lineRule="auto"/>
              <w:rPr>
                <w:rFonts w:cs="Arial"/>
                <w:b/>
                <w:bCs/>
                <w:color w:val="000000"/>
                <w:szCs w:val="20"/>
              </w:rPr>
            </w:pPr>
            <w:r w:rsidRPr="00C0306A">
              <w:rPr>
                <w:rFonts w:cs="Arial"/>
                <w:b/>
                <w:bCs/>
                <w:color w:val="000000"/>
                <w:szCs w:val="20"/>
              </w:rPr>
              <w:t xml:space="preserve">Major </w:t>
            </w:r>
            <w:r w:rsidR="006E363D">
              <w:rPr>
                <w:rFonts w:cs="Arial"/>
                <w:b/>
                <w:bCs/>
                <w:color w:val="000000"/>
                <w:szCs w:val="20"/>
              </w:rPr>
              <w:t>s</w:t>
            </w:r>
            <w:r w:rsidRPr="00C0306A">
              <w:rPr>
                <w:rFonts w:cs="Arial"/>
                <w:b/>
                <w:bCs/>
                <w:color w:val="000000"/>
                <w:szCs w:val="20"/>
              </w:rPr>
              <w:t xml:space="preserve">ource of </w:t>
            </w:r>
            <w:r w:rsidR="006E363D">
              <w:rPr>
                <w:rFonts w:cs="Arial"/>
                <w:b/>
                <w:bCs/>
                <w:color w:val="000000"/>
                <w:szCs w:val="20"/>
              </w:rPr>
              <w:t>p</w:t>
            </w:r>
            <w:r w:rsidRPr="00C0306A">
              <w:rPr>
                <w:rFonts w:cs="Arial"/>
                <w:b/>
                <w:bCs/>
                <w:color w:val="000000"/>
                <w:szCs w:val="20"/>
              </w:rPr>
              <w:t>rograms: Seven (</w:t>
            </w:r>
            <w:r w:rsidR="006E363D">
              <w:rPr>
                <w:rFonts w:cs="Arial"/>
                <w:b/>
                <w:bCs/>
                <w:color w:val="000000"/>
                <w:szCs w:val="20"/>
              </w:rPr>
              <w:t>n</w:t>
            </w:r>
            <w:r w:rsidRPr="00C0306A">
              <w:rPr>
                <w:rFonts w:cs="Arial"/>
                <w:b/>
                <w:bCs/>
                <w:color w:val="000000"/>
                <w:szCs w:val="20"/>
              </w:rPr>
              <w:t>umber of licences: 18) </w:t>
            </w:r>
          </w:p>
        </w:tc>
      </w:tr>
      <w:tr w:rsidR="002E512E" w:rsidRPr="00C0306A" w14:paraId="505D8FF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56F6F3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AMN</w:t>
            </w:r>
          </w:p>
        </w:tc>
        <w:tc>
          <w:tcPr>
            <w:tcW w:w="1559" w:type="dxa"/>
            <w:tcBorders>
              <w:top w:val="single" w:sz="4" w:space="0" w:color="D3D3D3"/>
              <w:left w:val="nil"/>
              <w:bottom w:val="single" w:sz="4" w:space="0" w:color="D3D3D3"/>
              <w:right w:val="single" w:sz="4" w:space="0" w:color="D3D3D3"/>
            </w:tcBorders>
            <w:shd w:val="clear" w:color="auto" w:fill="auto"/>
            <w:hideMark/>
          </w:tcPr>
          <w:p w14:paraId="4F098B8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10104</w:t>
            </w:r>
          </w:p>
        </w:tc>
        <w:tc>
          <w:tcPr>
            <w:tcW w:w="5529" w:type="dxa"/>
            <w:tcBorders>
              <w:top w:val="single" w:sz="4" w:space="0" w:color="D3D3D3"/>
              <w:left w:val="nil"/>
              <w:bottom w:val="single" w:sz="4" w:space="0" w:color="D3D3D3"/>
              <w:right w:val="single" w:sz="4" w:space="0" w:color="D3D3D3"/>
            </w:tcBorders>
            <w:shd w:val="clear" w:color="auto" w:fill="auto"/>
            <w:hideMark/>
          </w:tcPr>
          <w:p w14:paraId="3C3ACD6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GRIFFITH PTY LTD</w:t>
            </w:r>
          </w:p>
        </w:tc>
        <w:tc>
          <w:tcPr>
            <w:tcW w:w="2551" w:type="dxa"/>
            <w:tcBorders>
              <w:top w:val="nil"/>
              <w:left w:val="nil"/>
              <w:bottom w:val="single" w:sz="4" w:space="0" w:color="D3D3D3"/>
              <w:right w:val="single" w:sz="4" w:space="0" w:color="D3D3D3"/>
            </w:tcBorders>
            <w:shd w:val="clear" w:color="auto" w:fill="auto"/>
            <w:hideMark/>
          </w:tcPr>
          <w:p w14:paraId="36E7B374"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72.92</w:t>
            </w:r>
          </w:p>
        </w:tc>
        <w:tc>
          <w:tcPr>
            <w:tcW w:w="2977" w:type="dxa"/>
            <w:tcBorders>
              <w:top w:val="nil"/>
              <w:left w:val="nil"/>
              <w:bottom w:val="single" w:sz="4" w:space="0" w:color="D3D3D3"/>
              <w:right w:val="single" w:sz="4" w:space="0" w:color="D3D3D3"/>
            </w:tcBorders>
            <w:shd w:val="clear" w:color="auto" w:fill="auto"/>
            <w:hideMark/>
          </w:tcPr>
          <w:p w14:paraId="71DC2F5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5,361.75</w:t>
            </w:r>
          </w:p>
        </w:tc>
        <w:tc>
          <w:tcPr>
            <w:tcW w:w="2551" w:type="dxa"/>
            <w:tcBorders>
              <w:top w:val="nil"/>
              <w:left w:val="nil"/>
              <w:bottom w:val="single" w:sz="4" w:space="0" w:color="D3D3D3"/>
              <w:right w:val="single" w:sz="4" w:space="0" w:color="D3D3D3"/>
            </w:tcBorders>
            <w:shd w:val="clear" w:color="auto" w:fill="auto"/>
            <w:hideMark/>
          </w:tcPr>
          <w:p w14:paraId="27114ABE" w14:textId="1A78F3FA"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0744056E"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3067D1E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AMV</w:t>
            </w:r>
          </w:p>
        </w:tc>
        <w:tc>
          <w:tcPr>
            <w:tcW w:w="1559" w:type="dxa"/>
            <w:tcBorders>
              <w:top w:val="single" w:sz="4" w:space="0" w:color="D3D3D3"/>
              <w:left w:val="nil"/>
              <w:bottom w:val="single" w:sz="4" w:space="0" w:color="D3D3D3"/>
              <w:right w:val="single" w:sz="4" w:space="0" w:color="D3D3D3"/>
            </w:tcBorders>
            <w:shd w:val="clear" w:color="auto" w:fill="auto"/>
            <w:hideMark/>
          </w:tcPr>
          <w:p w14:paraId="19EBDA4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103</w:t>
            </w:r>
          </w:p>
        </w:tc>
        <w:tc>
          <w:tcPr>
            <w:tcW w:w="5529" w:type="dxa"/>
            <w:tcBorders>
              <w:top w:val="single" w:sz="4" w:space="0" w:color="D3D3D3"/>
              <w:left w:val="nil"/>
              <w:bottom w:val="single" w:sz="4" w:space="0" w:color="D3D3D3"/>
              <w:right w:val="single" w:sz="4" w:space="0" w:color="D3D3D3"/>
            </w:tcBorders>
            <w:shd w:val="clear" w:color="auto" w:fill="auto"/>
            <w:hideMark/>
          </w:tcPr>
          <w:p w14:paraId="0822272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PRIME TELEVISION (VICTORIA) PTY LIMITED</w:t>
            </w:r>
          </w:p>
        </w:tc>
        <w:tc>
          <w:tcPr>
            <w:tcW w:w="2551" w:type="dxa"/>
            <w:tcBorders>
              <w:top w:val="nil"/>
              <w:left w:val="nil"/>
              <w:bottom w:val="single" w:sz="4" w:space="0" w:color="D3D3D3"/>
              <w:right w:val="single" w:sz="4" w:space="0" w:color="D3D3D3"/>
            </w:tcBorders>
            <w:shd w:val="clear" w:color="auto" w:fill="auto"/>
            <w:hideMark/>
          </w:tcPr>
          <w:p w14:paraId="21447D4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76.24</w:t>
            </w:r>
          </w:p>
        </w:tc>
        <w:tc>
          <w:tcPr>
            <w:tcW w:w="2977" w:type="dxa"/>
            <w:tcBorders>
              <w:top w:val="nil"/>
              <w:left w:val="nil"/>
              <w:bottom w:val="single" w:sz="4" w:space="0" w:color="D3D3D3"/>
              <w:right w:val="single" w:sz="4" w:space="0" w:color="D3D3D3"/>
            </w:tcBorders>
            <w:shd w:val="clear" w:color="auto" w:fill="auto"/>
            <w:hideMark/>
          </w:tcPr>
          <w:p w14:paraId="5B85CCA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4,671.38</w:t>
            </w:r>
          </w:p>
        </w:tc>
        <w:tc>
          <w:tcPr>
            <w:tcW w:w="2551" w:type="dxa"/>
            <w:tcBorders>
              <w:top w:val="nil"/>
              <w:left w:val="nil"/>
              <w:bottom w:val="single" w:sz="4" w:space="0" w:color="D3D3D3"/>
              <w:right w:val="single" w:sz="4" w:space="0" w:color="D3D3D3"/>
            </w:tcBorders>
            <w:shd w:val="clear" w:color="auto" w:fill="auto"/>
            <w:hideMark/>
          </w:tcPr>
          <w:p w14:paraId="3709ED2D" w14:textId="5318BDAE"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2F4C446A"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790F80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BKN</w:t>
            </w:r>
          </w:p>
        </w:tc>
        <w:tc>
          <w:tcPr>
            <w:tcW w:w="1559" w:type="dxa"/>
            <w:tcBorders>
              <w:top w:val="single" w:sz="4" w:space="0" w:color="D3D3D3"/>
              <w:left w:val="nil"/>
              <w:bottom w:val="single" w:sz="4" w:space="0" w:color="D3D3D3"/>
              <w:right w:val="single" w:sz="4" w:space="0" w:color="D3D3D3"/>
            </w:tcBorders>
            <w:shd w:val="clear" w:color="auto" w:fill="auto"/>
            <w:hideMark/>
          </w:tcPr>
          <w:p w14:paraId="6F88A8D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10241</w:t>
            </w:r>
          </w:p>
        </w:tc>
        <w:tc>
          <w:tcPr>
            <w:tcW w:w="5529" w:type="dxa"/>
            <w:tcBorders>
              <w:top w:val="single" w:sz="4" w:space="0" w:color="D3D3D3"/>
              <w:left w:val="nil"/>
              <w:bottom w:val="single" w:sz="4" w:space="0" w:color="D3D3D3"/>
              <w:right w:val="single" w:sz="4" w:space="0" w:color="D3D3D3"/>
            </w:tcBorders>
            <w:shd w:val="clear" w:color="auto" w:fill="auto"/>
            <w:hideMark/>
          </w:tcPr>
          <w:p w14:paraId="68C2410E"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BROKEN HILL TELEVISION PTY LIMITED</w:t>
            </w:r>
          </w:p>
        </w:tc>
        <w:tc>
          <w:tcPr>
            <w:tcW w:w="2551" w:type="dxa"/>
            <w:tcBorders>
              <w:top w:val="nil"/>
              <w:left w:val="nil"/>
              <w:bottom w:val="single" w:sz="4" w:space="0" w:color="D3D3D3"/>
              <w:right w:val="single" w:sz="4" w:space="0" w:color="D3D3D3"/>
            </w:tcBorders>
            <w:shd w:val="clear" w:color="auto" w:fill="auto"/>
            <w:hideMark/>
          </w:tcPr>
          <w:p w14:paraId="7F46A726"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75.60</w:t>
            </w:r>
          </w:p>
        </w:tc>
        <w:tc>
          <w:tcPr>
            <w:tcW w:w="2977" w:type="dxa"/>
            <w:tcBorders>
              <w:top w:val="nil"/>
              <w:left w:val="nil"/>
              <w:bottom w:val="single" w:sz="4" w:space="0" w:color="D3D3D3"/>
              <w:right w:val="single" w:sz="4" w:space="0" w:color="D3D3D3"/>
            </w:tcBorders>
            <w:shd w:val="clear" w:color="auto" w:fill="auto"/>
            <w:hideMark/>
          </w:tcPr>
          <w:p w14:paraId="548760A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5,171.82</w:t>
            </w:r>
          </w:p>
        </w:tc>
        <w:tc>
          <w:tcPr>
            <w:tcW w:w="2551" w:type="dxa"/>
            <w:tcBorders>
              <w:top w:val="nil"/>
              <w:left w:val="nil"/>
              <w:bottom w:val="single" w:sz="4" w:space="0" w:color="D3D3D3"/>
              <w:right w:val="single" w:sz="4" w:space="0" w:color="D3D3D3"/>
            </w:tcBorders>
            <w:shd w:val="clear" w:color="auto" w:fill="auto"/>
            <w:hideMark/>
          </w:tcPr>
          <w:p w14:paraId="6894C10F" w14:textId="47B77B78"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2A4E22C1"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BE9564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CBN</w:t>
            </w:r>
          </w:p>
        </w:tc>
        <w:tc>
          <w:tcPr>
            <w:tcW w:w="1559" w:type="dxa"/>
            <w:tcBorders>
              <w:top w:val="single" w:sz="4" w:space="0" w:color="D3D3D3"/>
              <w:left w:val="nil"/>
              <w:bottom w:val="single" w:sz="4" w:space="0" w:color="D3D3D3"/>
              <w:right w:val="single" w:sz="4" w:space="0" w:color="D3D3D3"/>
            </w:tcBorders>
            <w:shd w:val="clear" w:color="auto" w:fill="auto"/>
            <w:hideMark/>
          </w:tcPr>
          <w:p w14:paraId="619F850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90</w:t>
            </w:r>
          </w:p>
        </w:tc>
        <w:tc>
          <w:tcPr>
            <w:tcW w:w="5529" w:type="dxa"/>
            <w:tcBorders>
              <w:top w:val="single" w:sz="4" w:space="0" w:color="D3D3D3"/>
              <w:left w:val="nil"/>
              <w:bottom w:val="single" w:sz="4" w:space="0" w:color="D3D3D3"/>
              <w:right w:val="single" w:sz="4" w:space="0" w:color="D3D3D3"/>
            </w:tcBorders>
            <w:shd w:val="clear" w:color="auto" w:fill="auto"/>
            <w:hideMark/>
          </w:tcPr>
          <w:p w14:paraId="3FBE85C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PRIME TELEVISION (SOUTHERN) PTY. LIMITED</w:t>
            </w:r>
          </w:p>
        </w:tc>
        <w:tc>
          <w:tcPr>
            <w:tcW w:w="2551" w:type="dxa"/>
            <w:tcBorders>
              <w:top w:val="nil"/>
              <w:left w:val="nil"/>
              <w:bottom w:val="single" w:sz="4" w:space="0" w:color="D3D3D3"/>
              <w:right w:val="single" w:sz="4" w:space="0" w:color="D3D3D3"/>
            </w:tcBorders>
            <w:shd w:val="clear" w:color="auto" w:fill="auto"/>
            <w:hideMark/>
          </w:tcPr>
          <w:p w14:paraId="0B1FEEC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72.90</w:t>
            </w:r>
          </w:p>
        </w:tc>
        <w:tc>
          <w:tcPr>
            <w:tcW w:w="2977" w:type="dxa"/>
            <w:tcBorders>
              <w:top w:val="nil"/>
              <w:left w:val="nil"/>
              <w:bottom w:val="single" w:sz="4" w:space="0" w:color="D3D3D3"/>
              <w:right w:val="single" w:sz="4" w:space="0" w:color="D3D3D3"/>
            </w:tcBorders>
            <w:shd w:val="clear" w:color="auto" w:fill="auto"/>
            <w:hideMark/>
          </w:tcPr>
          <w:p w14:paraId="631811F2"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4,929.75</w:t>
            </w:r>
          </w:p>
        </w:tc>
        <w:tc>
          <w:tcPr>
            <w:tcW w:w="2551" w:type="dxa"/>
            <w:tcBorders>
              <w:top w:val="nil"/>
              <w:left w:val="nil"/>
              <w:bottom w:val="single" w:sz="4" w:space="0" w:color="D3D3D3"/>
              <w:right w:val="single" w:sz="4" w:space="0" w:color="D3D3D3"/>
            </w:tcBorders>
            <w:shd w:val="clear" w:color="auto" w:fill="auto"/>
            <w:hideMark/>
          </w:tcPr>
          <w:p w14:paraId="2D755FF6" w14:textId="10D37EC3"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4A45DAA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29812B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GTS</w:t>
            </w:r>
          </w:p>
        </w:tc>
        <w:tc>
          <w:tcPr>
            <w:tcW w:w="1559" w:type="dxa"/>
            <w:tcBorders>
              <w:top w:val="single" w:sz="4" w:space="0" w:color="D3D3D3"/>
              <w:left w:val="nil"/>
              <w:bottom w:val="single" w:sz="4" w:space="0" w:color="D3D3D3"/>
              <w:right w:val="single" w:sz="4" w:space="0" w:color="D3D3D3"/>
            </w:tcBorders>
            <w:shd w:val="clear" w:color="auto" w:fill="auto"/>
            <w:hideMark/>
          </w:tcPr>
          <w:p w14:paraId="6F11DC3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10234</w:t>
            </w:r>
          </w:p>
        </w:tc>
        <w:tc>
          <w:tcPr>
            <w:tcW w:w="5529" w:type="dxa"/>
            <w:tcBorders>
              <w:top w:val="single" w:sz="4" w:space="0" w:color="D3D3D3"/>
              <w:left w:val="nil"/>
              <w:bottom w:val="single" w:sz="4" w:space="0" w:color="D3D3D3"/>
              <w:right w:val="single" w:sz="4" w:space="0" w:color="D3D3D3"/>
            </w:tcBorders>
            <w:shd w:val="clear" w:color="auto" w:fill="auto"/>
            <w:hideMark/>
          </w:tcPr>
          <w:p w14:paraId="1B3990C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SPENCER GULF TELECASTERS PTY LIMITED</w:t>
            </w:r>
          </w:p>
        </w:tc>
        <w:tc>
          <w:tcPr>
            <w:tcW w:w="2551" w:type="dxa"/>
            <w:tcBorders>
              <w:top w:val="nil"/>
              <w:left w:val="nil"/>
              <w:bottom w:val="single" w:sz="4" w:space="0" w:color="D3D3D3"/>
              <w:right w:val="single" w:sz="4" w:space="0" w:color="D3D3D3"/>
            </w:tcBorders>
            <w:shd w:val="clear" w:color="auto" w:fill="auto"/>
            <w:hideMark/>
          </w:tcPr>
          <w:p w14:paraId="0A75077B"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75.60</w:t>
            </w:r>
          </w:p>
        </w:tc>
        <w:tc>
          <w:tcPr>
            <w:tcW w:w="2977" w:type="dxa"/>
            <w:tcBorders>
              <w:top w:val="nil"/>
              <w:left w:val="nil"/>
              <w:bottom w:val="single" w:sz="4" w:space="0" w:color="D3D3D3"/>
              <w:right w:val="single" w:sz="4" w:space="0" w:color="D3D3D3"/>
            </w:tcBorders>
            <w:shd w:val="clear" w:color="auto" w:fill="auto"/>
            <w:hideMark/>
          </w:tcPr>
          <w:p w14:paraId="46ACA89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5,171.82</w:t>
            </w:r>
          </w:p>
        </w:tc>
        <w:tc>
          <w:tcPr>
            <w:tcW w:w="2551" w:type="dxa"/>
            <w:tcBorders>
              <w:top w:val="nil"/>
              <w:left w:val="nil"/>
              <w:bottom w:val="single" w:sz="4" w:space="0" w:color="D3D3D3"/>
              <w:right w:val="single" w:sz="4" w:space="0" w:color="D3D3D3"/>
            </w:tcBorders>
            <w:shd w:val="clear" w:color="auto" w:fill="auto"/>
            <w:hideMark/>
          </w:tcPr>
          <w:p w14:paraId="68CC7774" w14:textId="0DD4661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158FCF9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4E26ED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GTW</w:t>
            </w:r>
          </w:p>
        </w:tc>
        <w:tc>
          <w:tcPr>
            <w:tcW w:w="1559" w:type="dxa"/>
            <w:tcBorders>
              <w:top w:val="single" w:sz="4" w:space="0" w:color="D3D3D3"/>
              <w:left w:val="nil"/>
              <w:bottom w:val="single" w:sz="4" w:space="0" w:color="D3D3D3"/>
              <w:right w:val="single" w:sz="4" w:space="0" w:color="D3D3D3"/>
            </w:tcBorders>
            <w:shd w:val="clear" w:color="auto" w:fill="auto"/>
            <w:hideMark/>
          </w:tcPr>
          <w:p w14:paraId="2DC2379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10418</w:t>
            </w:r>
          </w:p>
        </w:tc>
        <w:tc>
          <w:tcPr>
            <w:tcW w:w="5529" w:type="dxa"/>
            <w:tcBorders>
              <w:top w:val="single" w:sz="4" w:space="0" w:color="D3D3D3"/>
              <w:left w:val="nil"/>
              <w:bottom w:val="single" w:sz="4" w:space="0" w:color="D3D3D3"/>
              <w:right w:val="single" w:sz="4" w:space="0" w:color="D3D3D3"/>
            </w:tcBorders>
            <w:shd w:val="clear" w:color="auto" w:fill="auto"/>
            <w:hideMark/>
          </w:tcPr>
          <w:p w14:paraId="0EDAA86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GERALDTON TELECASTERS PTY LTD</w:t>
            </w:r>
          </w:p>
        </w:tc>
        <w:tc>
          <w:tcPr>
            <w:tcW w:w="2551" w:type="dxa"/>
            <w:tcBorders>
              <w:top w:val="nil"/>
              <w:left w:val="nil"/>
              <w:bottom w:val="single" w:sz="4" w:space="0" w:color="D3D3D3"/>
              <w:right w:val="single" w:sz="4" w:space="0" w:color="D3D3D3"/>
            </w:tcBorders>
            <w:shd w:val="clear" w:color="auto" w:fill="auto"/>
            <w:hideMark/>
          </w:tcPr>
          <w:p w14:paraId="757AE1B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71.29</w:t>
            </w:r>
          </w:p>
        </w:tc>
        <w:tc>
          <w:tcPr>
            <w:tcW w:w="2977" w:type="dxa"/>
            <w:tcBorders>
              <w:top w:val="nil"/>
              <w:left w:val="nil"/>
              <w:bottom w:val="single" w:sz="4" w:space="0" w:color="D3D3D3"/>
              <w:right w:val="single" w:sz="4" w:space="0" w:color="D3D3D3"/>
            </w:tcBorders>
            <w:shd w:val="clear" w:color="auto" w:fill="auto"/>
            <w:hideMark/>
          </w:tcPr>
          <w:p w14:paraId="0631033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5,093.35</w:t>
            </w:r>
          </w:p>
        </w:tc>
        <w:tc>
          <w:tcPr>
            <w:tcW w:w="2551" w:type="dxa"/>
            <w:tcBorders>
              <w:top w:val="nil"/>
              <w:left w:val="nil"/>
              <w:bottom w:val="single" w:sz="4" w:space="0" w:color="D3D3D3"/>
              <w:right w:val="single" w:sz="4" w:space="0" w:color="D3D3D3"/>
            </w:tcBorders>
            <w:shd w:val="clear" w:color="auto" w:fill="auto"/>
            <w:hideMark/>
          </w:tcPr>
          <w:p w14:paraId="21552C93" w14:textId="13A4143C"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34E6FDF7"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491CC91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ITQ</w:t>
            </w:r>
          </w:p>
        </w:tc>
        <w:tc>
          <w:tcPr>
            <w:tcW w:w="1559" w:type="dxa"/>
            <w:tcBorders>
              <w:top w:val="single" w:sz="4" w:space="0" w:color="D3D3D3"/>
              <w:left w:val="nil"/>
              <w:bottom w:val="single" w:sz="4" w:space="0" w:color="D3D3D3"/>
              <w:right w:val="single" w:sz="4" w:space="0" w:color="D3D3D3"/>
            </w:tcBorders>
            <w:shd w:val="clear" w:color="auto" w:fill="auto"/>
            <w:hideMark/>
          </w:tcPr>
          <w:p w14:paraId="705AC53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114</w:t>
            </w:r>
          </w:p>
        </w:tc>
        <w:tc>
          <w:tcPr>
            <w:tcW w:w="5529" w:type="dxa"/>
            <w:tcBorders>
              <w:top w:val="single" w:sz="4" w:space="0" w:color="D3D3D3"/>
              <w:left w:val="nil"/>
              <w:bottom w:val="single" w:sz="4" w:space="0" w:color="D3D3D3"/>
              <w:right w:val="single" w:sz="4" w:space="0" w:color="D3D3D3"/>
            </w:tcBorders>
            <w:shd w:val="clear" w:color="auto" w:fill="auto"/>
            <w:hideMark/>
          </w:tcPr>
          <w:p w14:paraId="654D2E6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REGIONAL TELEVISION PTY LIMITED</w:t>
            </w:r>
          </w:p>
        </w:tc>
        <w:tc>
          <w:tcPr>
            <w:tcW w:w="2551" w:type="dxa"/>
            <w:tcBorders>
              <w:top w:val="nil"/>
              <w:left w:val="nil"/>
              <w:bottom w:val="single" w:sz="4" w:space="0" w:color="D3D3D3"/>
              <w:right w:val="single" w:sz="4" w:space="0" w:color="D3D3D3"/>
            </w:tcBorders>
            <w:shd w:val="clear" w:color="auto" w:fill="auto"/>
            <w:hideMark/>
          </w:tcPr>
          <w:p w14:paraId="5CFA8B8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72.54</w:t>
            </w:r>
          </w:p>
        </w:tc>
        <w:tc>
          <w:tcPr>
            <w:tcW w:w="2977" w:type="dxa"/>
            <w:tcBorders>
              <w:top w:val="nil"/>
              <w:left w:val="nil"/>
              <w:bottom w:val="single" w:sz="4" w:space="0" w:color="D3D3D3"/>
              <w:right w:val="single" w:sz="4" w:space="0" w:color="D3D3D3"/>
            </w:tcBorders>
            <w:shd w:val="clear" w:color="auto" w:fill="auto"/>
            <w:hideMark/>
          </w:tcPr>
          <w:p w14:paraId="12C7668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5,157.55</w:t>
            </w:r>
          </w:p>
        </w:tc>
        <w:tc>
          <w:tcPr>
            <w:tcW w:w="2551" w:type="dxa"/>
            <w:tcBorders>
              <w:top w:val="nil"/>
              <w:left w:val="nil"/>
              <w:bottom w:val="single" w:sz="4" w:space="0" w:color="D3D3D3"/>
              <w:right w:val="single" w:sz="4" w:space="0" w:color="D3D3D3"/>
            </w:tcBorders>
            <w:shd w:val="clear" w:color="auto" w:fill="auto"/>
            <w:hideMark/>
          </w:tcPr>
          <w:p w14:paraId="06B60505" w14:textId="283A690C"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6EE954D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CA9B6D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NEN</w:t>
            </w:r>
          </w:p>
        </w:tc>
        <w:tc>
          <w:tcPr>
            <w:tcW w:w="1559" w:type="dxa"/>
            <w:tcBorders>
              <w:top w:val="single" w:sz="4" w:space="0" w:color="D3D3D3"/>
              <w:left w:val="nil"/>
              <w:bottom w:val="single" w:sz="4" w:space="0" w:color="D3D3D3"/>
              <w:right w:val="single" w:sz="4" w:space="0" w:color="D3D3D3"/>
            </w:tcBorders>
            <w:shd w:val="clear" w:color="auto" w:fill="auto"/>
            <w:hideMark/>
          </w:tcPr>
          <w:p w14:paraId="35D7FBD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95</w:t>
            </w:r>
          </w:p>
        </w:tc>
        <w:tc>
          <w:tcPr>
            <w:tcW w:w="5529" w:type="dxa"/>
            <w:tcBorders>
              <w:top w:val="single" w:sz="4" w:space="0" w:color="D3D3D3"/>
              <w:left w:val="nil"/>
              <w:bottom w:val="single" w:sz="4" w:space="0" w:color="D3D3D3"/>
              <w:right w:val="single" w:sz="4" w:space="0" w:color="D3D3D3"/>
            </w:tcBorders>
            <w:shd w:val="clear" w:color="auto" w:fill="auto"/>
            <w:hideMark/>
          </w:tcPr>
          <w:p w14:paraId="39E6627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PRIME TELEVISION (NORTHERN) PTY LIMITED</w:t>
            </w:r>
          </w:p>
        </w:tc>
        <w:tc>
          <w:tcPr>
            <w:tcW w:w="2551" w:type="dxa"/>
            <w:tcBorders>
              <w:top w:val="nil"/>
              <w:left w:val="nil"/>
              <w:bottom w:val="single" w:sz="4" w:space="0" w:color="D3D3D3"/>
              <w:right w:val="single" w:sz="4" w:space="0" w:color="D3D3D3"/>
            </w:tcBorders>
            <w:shd w:val="clear" w:color="auto" w:fill="auto"/>
            <w:hideMark/>
          </w:tcPr>
          <w:p w14:paraId="565C61D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72.90</w:t>
            </w:r>
          </w:p>
        </w:tc>
        <w:tc>
          <w:tcPr>
            <w:tcW w:w="2977" w:type="dxa"/>
            <w:tcBorders>
              <w:top w:val="nil"/>
              <w:left w:val="nil"/>
              <w:bottom w:val="single" w:sz="4" w:space="0" w:color="D3D3D3"/>
              <w:right w:val="single" w:sz="4" w:space="0" w:color="D3D3D3"/>
            </w:tcBorders>
            <w:shd w:val="clear" w:color="auto" w:fill="auto"/>
            <w:hideMark/>
          </w:tcPr>
          <w:p w14:paraId="31237E6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4,929.75</w:t>
            </w:r>
          </w:p>
        </w:tc>
        <w:tc>
          <w:tcPr>
            <w:tcW w:w="2551" w:type="dxa"/>
            <w:tcBorders>
              <w:top w:val="nil"/>
              <w:left w:val="nil"/>
              <w:bottom w:val="single" w:sz="4" w:space="0" w:color="D3D3D3"/>
              <w:right w:val="single" w:sz="4" w:space="0" w:color="D3D3D3"/>
            </w:tcBorders>
            <w:shd w:val="clear" w:color="auto" w:fill="auto"/>
            <w:hideMark/>
          </w:tcPr>
          <w:p w14:paraId="39B51FD1" w14:textId="25D15334"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7AE7A50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0868FDE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PTV</w:t>
            </w:r>
          </w:p>
        </w:tc>
        <w:tc>
          <w:tcPr>
            <w:tcW w:w="1559" w:type="dxa"/>
            <w:tcBorders>
              <w:top w:val="single" w:sz="4" w:space="0" w:color="D3D3D3"/>
              <w:left w:val="nil"/>
              <w:bottom w:val="single" w:sz="4" w:space="0" w:color="D3D3D3"/>
              <w:right w:val="single" w:sz="4" w:space="0" w:color="D3D3D3"/>
            </w:tcBorders>
            <w:shd w:val="clear" w:color="auto" w:fill="auto"/>
            <w:hideMark/>
          </w:tcPr>
          <w:p w14:paraId="3EE0235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10089</w:t>
            </w:r>
          </w:p>
        </w:tc>
        <w:tc>
          <w:tcPr>
            <w:tcW w:w="5529" w:type="dxa"/>
            <w:tcBorders>
              <w:top w:val="single" w:sz="4" w:space="0" w:color="D3D3D3"/>
              <w:left w:val="nil"/>
              <w:bottom w:val="single" w:sz="4" w:space="0" w:color="D3D3D3"/>
              <w:right w:val="single" w:sz="4" w:space="0" w:color="D3D3D3"/>
            </w:tcBorders>
            <w:shd w:val="clear" w:color="auto" w:fill="auto"/>
            <w:hideMark/>
          </w:tcPr>
          <w:p w14:paraId="37B967F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PRIME TELEVISION (VICTORIA) PTY LIMITED</w:t>
            </w:r>
          </w:p>
        </w:tc>
        <w:tc>
          <w:tcPr>
            <w:tcW w:w="2551" w:type="dxa"/>
            <w:tcBorders>
              <w:top w:val="nil"/>
              <w:left w:val="nil"/>
              <w:bottom w:val="single" w:sz="4" w:space="0" w:color="D3D3D3"/>
              <w:right w:val="single" w:sz="4" w:space="0" w:color="D3D3D3"/>
            </w:tcBorders>
            <w:shd w:val="clear" w:color="auto" w:fill="auto"/>
            <w:hideMark/>
          </w:tcPr>
          <w:p w14:paraId="5ED6965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76.24</w:t>
            </w:r>
          </w:p>
        </w:tc>
        <w:tc>
          <w:tcPr>
            <w:tcW w:w="2977" w:type="dxa"/>
            <w:tcBorders>
              <w:top w:val="nil"/>
              <w:left w:val="nil"/>
              <w:bottom w:val="single" w:sz="4" w:space="0" w:color="D3D3D3"/>
              <w:right w:val="single" w:sz="4" w:space="0" w:color="D3D3D3"/>
            </w:tcBorders>
            <w:shd w:val="clear" w:color="auto" w:fill="auto"/>
            <w:hideMark/>
          </w:tcPr>
          <w:p w14:paraId="6952947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4,671.38</w:t>
            </w:r>
          </w:p>
        </w:tc>
        <w:tc>
          <w:tcPr>
            <w:tcW w:w="2551" w:type="dxa"/>
            <w:tcBorders>
              <w:top w:val="nil"/>
              <w:left w:val="nil"/>
              <w:bottom w:val="single" w:sz="4" w:space="0" w:color="D3D3D3"/>
              <w:right w:val="single" w:sz="4" w:space="0" w:color="D3D3D3"/>
            </w:tcBorders>
            <w:shd w:val="clear" w:color="auto" w:fill="auto"/>
            <w:hideMark/>
          </w:tcPr>
          <w:p w14:paraId="2016AC04" w14:textId="2A1D5C8E"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6D44B725"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23B3DED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QQQ</w:t>
            </w:r>
          </w:p>
        </w:tc>
        <w:tc>
          <w:tcPr>
            <w:tcW w:w="1559" w:type="dxa"/>
            <w:tcBorders>
              <w:top w:val="single" w:sz="4" w:space="0" w:color="D3D3D3"/>
              <w:left w:val="nil"/>
              <w:bottom w:val="single" w:sz="4" w:space="0" w:color="D3D3D3"/>
              <w:right w:val="single" w:sz="4" w:space="0" w:color="D3D3D3"/>
            </w:tcBorders>
            <w:shd w:val="clear" w:color="auto" w:fill="auto"/>
            <w:hideMark/>
          </w:tcPr>
          <w:p w14:paraId="467855A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4285</w:t>
            </w:r>
          </w:p>
        </w:tc>
        <w:tc>
          <w:tcPr>
            <w:tcW w:w="5529" w:type="dxa"/>
            <w:tcBorders>
              <w:top w:val="single" w:sz="4" w:space="0" w:color="D3D3D3"/>
              <w:left w:val="nil"/>
              <w:bottom w:val="single" w:sz="4" w:space="0" w:color="D3D3D3"/>
              <w:right w:val="single" w:sz="4" w:space="0" w:color="D3D3D3"/>
            </w:tcBorders>
            <w:shd w:val="clear" w:color="auto" w:fill="auto"/>
            <w:hideMark/>
          </w:tcPr>
          <w:p w14:paraId="117A3A4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REGIONAL TELEVISION PTY LIMITED</w:t>
            </w:r>
          </w:p>
        </w:tc>
        <w:tc>
          <w:tcPr>
            <w:tcW w:w="2551" w:type="dxa"/>
            <w:tcBorders>
              <w:top w:val="nil"/>
              <w:left w:val="nil"/>
              <w:bottom w:val="single" w:sz="4" w:space="0" w:color="D3D3D3"/>
              <w:right w:val="single" w:sz="4" w:space="0" w:color="D3D3D3"/>
            </w:tcBorders>
            <w:shd w:val="clear" w:color="auto" w:fill="auto"/>
            <w:hideMark/>
          </w:tcPr>
          <w:p w14:paraId="1919F356"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72.54</w:t>
            </w:r>
          </w:p>
        </w:tc>
        <w:tc>
          <w:tcPr>
            <w:tcW w:w="2977" w:type="dxa"/>
            <w:tcBorders>
              <w:top w:val="nil"/>
              <w:left w:val="nil"/>
              <w:bottom w:val="single" w:sz="4" w:space="0" w:color="D3D3D3"/>
              <w:right w:val="single" w:sz="4" w:space="0" w:color="D3D3D3"/>
            </w:tcBorders>
            <w:shd w:val="clear" w:color="auto" w:fill="auto"/>
            <w:hideMark/>
          </w:tcPr>
          <w:p w14:paraId="1398D94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5,157.55</w:t>
            </w:r>
          </w:p>
        </w:tc>
        <w:tc>
          <w:tcPr>
            <w:tcW w:w="2551" w:type="dxa"/>
            <w:tcBorders>
              <w:top w:val="nil"/>
              <w:left w:val="nil"/>
              <w:bottom w:val="single" w:sz="4" w:space="0" w:color="D3D3D3"/>
              <w:right w:val="single" w:sz="4" w:space="0" w:color="D3D3D3"/>
            </w:tcBorders>
            <w:shd w:val="clear" w:color="auto" w:fill="auto"/>
            <w:hideMark/>
          </w:tcPr>
          <w:p w14:paraId="69D51525" w14:textId="68FAE4EC"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41073AC7"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0032ECD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RDS</w:t>
            </w:r>
          </w:p>
        </w:tc>
        <w:tc>
          <w:tcPr>
            <w:tcW w:w="1559" w:type="dxa"/>
            <w:tcBorders>
              <w:top w:val="single" w:sz="4" w:space="0" w:color="D3D3D3"/>
              <w:left w:val="nil"/>
              <w:bottom w:val="single" w:sz="4" w:space="0" w:color="D3D3D3"/>
              <w:right w:val="single" w:sz="4" w:space="0" w:color="D3D3D3"/>
            </w:tcBorders>
            <w:shd w:val="clear" w:color="auto" w:fill="auto"/>
            <w:hideMark/>
          </w:tcPr>
          <w:p w14:paraId="3CB5E62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1130145</w:t>
            </w:r>
          </w:p>
        </w:tc>
        <w:tc>
          <w:tcPr>
            <w:tcW w:w="5529" w:type="dxa"/>
            <w:tcBorders>
              <w:top w:val="single" w:sz="4" w:space="0" w:color="D3D3D3"/>
              <w:left w:val="nil"/>
              <w:bottom w:val="single" w:sz="4" w:space="0" w:color="D3D3D3"/>
              <w:right w:val="single" w:sz="4" w:space="0" w:color="D3D3D3"/>
            </w:tcBorders>
            <w:shd w:val="clear" w:color="auto" w:fill="auto"/>
            <w:hideMark/>
          </w:tcPr>
          <w:p w14:paraId="294C2AE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6A16F75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75.60</w:t>
            </w:r>
          </w:p>
        </w:tc>
        <w:tc>
          <w:tcPr>
            <w:tcW w:w="2977" w:type="dxa"/>
            <w:tcBorders>
              <w:top w:val="nil"/>
              <w:left w:val="nil"/>
              <w:bottom w:val="single" w:sz="4" w:space="0" w:color="D3D3D3"/>
              <w:right w:val="single" w:sz="4" w:space="0" w:color="D3D3D3"/>
            </w:tcBorders>
            <w:shd w:val="clear" w:color="auto" w:fill="auto"/>
            <w:hideMark/>
          </w:tcPr>
          <w:p w14:paraId="0E1BEED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5,171.82</w:t>
            </w:r>
          </w:p>
        </w:tc>
        <w:tc>
          <w:tcPr>
            <w:tcW w:w="2551" w:type="dxa"/>
            <w:tcBorders>
              <w:top w:val="nil"/>
              <w:left w:val="nil"/>
              <w:bottom w:val="single" w:sz="4" w:space="0" w:color="D3D3D3"/>
              <w:right w:val="single" w:sz="4" w:space="0" w:color="D3D3D3"/>
            </w:tcBorders>
            <w:shd w:val="clear" w:color="auto" w:fill="auto"/>
            <w:hideMark/>
          </w:tcPr>
          <w:p w14:paraId="60A6A251" w14:textId="6C0CDF6D"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20214A24"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4D66AB1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SDS</w:t>
            </w:r>
          </w:p>
        </w:tc>
        <w:tc>
          <w:tcPr>
            <w:tcW w:w="1559" w:type="dxa"/>
            <w:tcBorders>
              <w:top w:val="single" w:sz="4" w:space="0" w:color="D3D3D3"/>
              <w:left w:val="nil"/>
              <w:bottom w:val="single" w:sz="4" w:space="0" w:color="D3D3D3"/>
              <w:right w:val="single" w:sz="4" w:space="0" w:color="D3D3D3"/>
            </w:tcBorders>
            <w:shd w:val="clear" w:color="auto" w:fill="auto"/>
            <w:hideMark/>
          </w:tcPr>
          <w:p w14:paraId="76BED0D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1130144</w:t>
            </w:r>
          </w:p>
        </w:tc>
        <w:tc>
          <w:tcPr>
            <w:tcW w:w="5529" w:type="dxa"/>
            <w:tcBorders>
              <w:top w:val="single" w:sz="4" w:space="0" w:color="D3D3D3"/>
              <w:left w:val="nil"/>
              <w:bottom w:val="single" w:sz="4" w:space="0" w:color="D3D3D3"/>
              <w:right w:val="single" w:sz="4" w:space="0" w:color="D3D3D3"/>
            </w:tcBorders>
            <w:shd w:val="clear" w:color="auto" w:fill="auto"/>
            <w:hideMark/>
          </w:tcPr>
          <w:p w14:paraId="115FDF5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2607EED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75.60</w:t>
            </w:r>
          </w:p>
        </w:tc>
        <w:tc>
          <w:tcPr>
            <w:tcW w:w="2977" w:type="dxa"/>
            <w:tcBorders>
              <w:top w:val="nil"/>
              <w:left w:val="nil"/>
              <w:bottom w:val="single" w:sz="4" w:space="0" w:color="D3D3D3"/>
              <w:right w:val="single" w:sz="4" w:space="0" w:color="D3D3D3"/>
            </w:tcBorders>
            <w:shd w:val="clear" w:color="auto" w:fill="auto"/>
            <w:hideMark/>
          </w:tcPr>
          <w:p w14:paraId="1962669B"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5,171.82</w:t>
            </w:r>
          </w:p>
        </w:tc>
        <w:tc>
          <w:tcPr>
            <w:tcW w:w="2551" w:type="dxa"/>
            <w:tcBorders>
              <w:top w:val="nil"/>
              <w:left w:val="nil"/>
              <w:bottom w:val="single" w:sz="4" w:space="0" w:color="D3D3D3"/>
              <w:right w:val="single" w:sz="4" w:space="0" w:color="D3D3D3"/>
            </w:tcBorders>
            <w:shd w:val="clear" w:color="auto" w:fill="auto"/>
            <w:hideMark/>
          </w:tcPr>
          <w:p w14:paraId="6F06FA22" w14:textId="06D3865D"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52035933"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38261AA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SSW</w:t>
            </w:r>
          </w:p>
        </w:tc>
        <w:tc>
          <w:tcPr>
            <w:tcW w:w="1559" w:type="dxa"/>
            <w:tcBorders>
              <w:top w:val="single" w:sz="4" w:space="0" w:color="D3D3D3"/>
              <w:left w:val="nil"/>
              <w:bottom w:val="single" w:sz="4" w:space="0" w:color="D3D3D3"/>
              <w:right w:val="single" w:sz="4" w:space="0" w:color="D3D3D3"/>
            </w:tcBorders>
            <w:shd w:val="clear" w:color="auto" w:fill="auto"/>
            <w:hideMark/>
          </w:tcPr>
          <w:p w14:paraId="28D833E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10417</w:t>
            </w:r>
          </w:p>
        </w:tc>
        <w:tc>
          <w:tcPr>
            <w:tcW w:w="5529" w:type="dxa"/>
            <w:tcBorders>
              <w:top w:val="single" w:sz="4" w:space="0" w:color="D3D3D3"/>
              <w:left w:val="nil"/>
              <w:bottom w:val="single" w:sz="4" w:space="0" w:color="D3D3D3"/>
              <w:right w:val="single" w:sz="4" w:space="0" w:color="D3D3D3"/>
            </w:tcBorders>
            <w:shd w:val="clear" w:color="auto" w:fill="auto"/>
            <w:hideMark/>
          </w:tcPr>
          <w:p w14:paraId="094C259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GOLDEN WEST NETWORK PTY. LIMITED</w:t>
            </w:r>
          </w:p>
        </w:tc>
        <w:tc>
          <w:tcPr>
            <w:tcW w:w="2551" w:type="dxa"/>
            <w:tcBorders>
              <w:top w:val="nil"/>
              <w:left w:val="nil"/>
              <w:bottom w:val="single" w:sz="4" w:space="0" w:color="D3D3D3"/>
              <w:right w:val="single" w:sz="4" w:space="0" w:color="D3D3D3"/>
            </w:tcBorders>
            <w:shd w:val="clear" w:color="auto" w:fill="auto"/>
            <w:hideMark/>
          </w:tcPr>
          <w:p w14:paraId="494A272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71.29</w:t>
            </w:r>
          </w:p>
        </w:tc>
        <w:tc>
          <w:tcPr>
            <w:tcW w:w="2977" w:type="dxa"/>
            <w:tcBorders>
              <w:top w:val="nil"/>
              <w:left w:val="nil"/>
              <w:bottom w:val="single" w:sz="4" w:space="0" w:color="D3D3D3"/>
              <w:right w:val="single" w:sz="4" w:space="0" w:color="D3D3D3"/>
            </w:tcBorders>
            <w:shd w:val="clear" w:color="auto" w:fill="auto"/>
            <w:hideMark/>
          </w:tcPr>
          <w:p w14:paraId="3CCD108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5,093.35</w:t>
            </w:r>
          </w:p>
        </w:tc>
        <w:tc>
          <w:tcPr>
            <w:tcW w:w="2551" w:type="dxa"/>
            <w:tcBorders>
              <w:top w:val="nil"/>
              <w:left w:val="nil"/>
              <w:bottom w:val="single" w:sz="4" w:space="0" w:color="D3D3D3"/>
              <w:right w:val="single" w:sz="4" w:space="0" w:color="D3D3D3"/>
            </w:tcBorders>
            <w:shd w:val="clear" w:color="auto" w:fill="auto"/>
            <w:hideMark/>
          </w:tcPr>
          <w:p w14:paraId="22010E6D" w14:textId="65B68301"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68AB616B"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581D77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STQ</w:t>
            </w:r>
          </w:p>
        </w:tc>
        <w:tc>
          <w:tcPr>
            <w:tcW w:w="1559" w:type="dxa"/>
            <w:tcBorders>
              <w:top w:val="single" w:sz="4" w:space="0" w:color="D3D3D3"/>
              <w:left w:val="nil"/>
              <w:bottom w:val="single" w:sz="4" w:space="0" w:color="D3D3D3"/>
              <w:right w:val="single" w:sz="4" w:space="0" w:color="D3D3D3"/>
            </w:tcBorders>
            <w:shd w:val="clear" w:color="auto" w:fill="auto"/>
            <w:hideMark/>
          </w:tcPr>
          <w:p w14:paraId="4134A7B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w:t>
            </w:r>
          </w:p>
        </w:tc>
        <w:tc>
          <w:tcPr>
            <w:tcW w:w="5529" w:type="dxa"/>
            <w:tcBorders>
              <w:top w:val="single" w:sz="4" w:space="0" w:color="D3D3D3"/>
              <w:left w:val="nil"/>
              <w:bottom w:val="single" w:sz="4" w:space="0" w:color="D3D3D3"/>
              <w:right w:val="single" w:sz="4" w:space="0" w:color="D3D3D3"/>
            </w:tcBorders>
            <w:shd w:val="clear" w:color="auto" w:fill="auto"/>
            <w:hideMark/>
          </w:tcPr>
          <w:p w14:paraId="1C12A7A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CHANNEL SEVEN QUEENSLAND PTY. LIMITED</w:t>
            </w:r>
          </w:p>
        </w:tc>
        <w:tc>
          <w:tcPr>
            <w:tcW w:w="2551" w:type="dxa"/>
            <w:tcBorders>
              <w:top w:val="nil"/>
              <w:left w:val="nil"/>
              <w:bottom w:val="single" w:sz="4" w:space="0" w:color="D3D3D3"/>
              <w:right w:val="single" w:sz="4" w:space="0" w:color="D3D3D3"/>
            </w:tcBorders>
            <w:shd w:val="clear" w:color="auto" w:fill="auto"/>
            <w:hideMark/>
          </w:tcPr>
          <w:p w14:paraId="12B7079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72.11</w:t>
            </w:r>
          </w:p>
        </w:tc>
        <w:tc>
          <w:tcPr>
            <w:tcW w:w="2977" w:type="dxa"/>
            <w:tcBorders>
              <w:top w:val="nil"/>
              <w:left w:val="nil"/>
              <w:bottom w:val="single" w:sz="4" w:space="0" w:color="D3D3D3"/>
              <w:right w:val="single" w:sz="4" w:space="0" w:color="D3D3D3"/>
            </w:tcBorders>
            <w:shd w:val="clear" w:color="auto" w:fill="auto"/>
            <w:hideMark/>
          </w:tcPr>
          <w:p w14:paraId="12AAF5B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5,356.80</w:t>
            </w:r>
          </w:p>
        </w:tc>
        <w:tc>
          <w:tcPr>
            <w:tcW w:w="2551" w:type="dxa"/>
            <w:tcBorders>
              <w:top w:val="nil"/>
              <w:left w:val="nil"/>
              <w:bottom w:val="single" w:sz="4" w:space="0" w:color="D3D3D3"/>
              <w:right w:val="single" w:sz="4" w:space="0" w:color="D3D3D3"/>
            </w:tcBorders>
            <w:shd w:val="clear" w:color="auto" w:fill="auto"/>
            <w:hideMark/>
          </w:tcPr>
          <w:p w14:paraId="43A20AE2" w14:textId="382A110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4FD29DE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1C547B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TND</w:t>
            </w:r>
          </w:p>
        </w:tc>
        <w:tc>
          <w:tcPr>
            <w:tcW w:w="1559" w:type="dxa"/>
            <w:tcBorders>
              <w:top w:val="single" w:sz="4" w:space="0" w:color="D3D3D3"/>
              <w:left w:val="nil"/>
              <w:bottom w:val="single" w:sz="4" w:space="0" w:color="D3D3D3"/>
              <w:right w:val="single" w:sz="4" w:space="0" w:color="D3D3D3"/>
            </w:tcBorders>
            <w:shd w:val="clear" w:color="auto" w:fill="auto"/>
            <w:hideMark/>
          </w:tcPr>
          <w:p w14:paraId="585D55B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10173</w:t>
            </w:r>
          </w:p>
        </w:tc>
        <w:tc>
          <w:tcPr>
            <w:tcW w:w="5529" w:type="dxa"/>
            <w:tcBorders>
              <w:top w:val="single" w:sz="4" w:space="0" w:color="D3D3D3"/>
              <w:left w:val="nil"/>
              <w:bottom w:val="single" w:sz="4" w:space="0" w:color="D3D3D3"/>
              <w:right w:val="single" w:sz="4" w:space="0" w:color="D3D3D3"/>
            </w:tcBorders>
            <w:shd w:val="clear" w:color="auto" w:fill="auto"/>
            <w:hideMark/>
          </w:tcPr>
          <w:p w14:paraId="0FAEB26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REGIONAL TELEVISION PTY LIMITED</w:t>
            </w:r>
          </w:p>
        </w:tc>
        <w:tc>
          <w:tcPr>
            <w:tcW w:w="2551" w:type="dxa"/>
            <w:tcBorders>
              <w:top w:val="nil"/>
              <w:left w:val="nil"/>
              <w:bottom w:val="single" w:sz="4" w:space="0" w:color="D3D3D3"/>
              <w:right w:val="single" w:sz="4" w:space="0" w:color="D3D3D3"/>
            </w:tcBorders>
            <w:shd w:val="clear" w:color="auto" w:fill="auto"/>
            <w:hideMark/>
          </w:tcPr>
          <w:p w14:paraId="3BFE566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75.60</w:t>
            </w:r>
          </w:p>
        </w:tc>
        <w:tc>
          <w:tcPr>
            <w:tcW w:w="2977" w:type="dxa"/>
            <w:tcBorders>
              <w:top w:val="nil"/>
              <w:left w:val="nil"/>
              <w:bottom w:val="single" w:sz="4" w:space="0" w:color="D3D3D3"/>
              <w:right w:val="single" w:sz="4" w:space="0" w:color="D3D3D3"/>
            </w:tcBorders>
            <w:shd w:val="clear" w:color="auto" w:fill="auto"/>
            <w:hideMark/>
          </w:tcPr>
          <w:p w14:paraId="2746AB54"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5,171.82</w:t>
            </w:r>
          </w:p>
        </w:tc>
        <w:tc>
          <w:tcPr>
            <w:tcW w:w="2551" w:type="dxa"/>
            <w:tcBorders>
              <w:top w:val="nil"/>
              <w:left w:val="nil"/>
              <w:bottom w:val="single" w:sz="4" w:space="0" w:color="D3D3D3"/>
              <w:right w:val="single" w:sz="4" w:space="0" w:color="D3D3D3"/>
            </w:tcBorders>
            <w:shd w:val="clear" w:color="auto" w:fill="auto"/>
            <w:hideMark/>
          </w:tcPr>
          <w:p w14:paraId="5D278889" w14:textId="4FFE2C0A"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7B793E96"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E01666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TNT</w:t>
            </w:r>
          </w:p>
        </w:tc>
        <w:tc>
          <w:tcPr>
            <w:tcW w:w="1559" w:type="dxa"/>
            <w:tcBorders>
              <w:top w:val="single" w:sz="4" w:space="0" w:color="D3D3D3"/>
              <w:left w:val="nil"/>
              <w:bottom w:val="single" w:sz="4" w:space="0" w:color="D3D3D3"/>
              <w:right w:val="single" w:sz="4" w:space="0" w:color="D3D3D3"/>
            </w:tcBorders>
            <w:shd w:val="clear" w:color="auto" w:fill="auto"/>
            <w:hideMark/>
          </w:tcPr>
          <w:p w14:paraId="76C2B7C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133</w:t>
            </w:r>
          </w:p>
        </w:tc>
        <w:tc>
          <w:tcPr>
            <w:tcW w:w="5529" w:type="dxa"/>
            <w:tcBorders>
              <w:top w:val="single" w:sz="4" w:space="0" w:color="D3D3D3"/>
              <w:left w:val="nil"/>
              <w:bottom w:val="single" w:sz="4" w:space="0" w:color="D3D3D3"/>
              <w:right w:val="single" w:sz="4" w:space="0" w:color="D3D3D3"/>
            </w:tcBorders>
            <w:shd w:val="clear" w:color="auto" w:fill="auto"/>
            <w:hideMark/>
          </w:tcPr>
          <w:p w14:paraId="2710AA1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SOUTHERN CROSS TELEVISION (TNT9) PTY. LIMITED</w:t>
            </w:r>
          </w:p>
        </w:tc>
        <w:tc>
          <w:tcPr>
            <w:tcW w:w="2551" w:type="dxa"/>
            <w:tcBorders>
              <w:top w:val="nil"/>
              <w:left w:val="nil"/>
              <w:bottom w:val="single" w:sz="4" w:space="0" w:color="D3D3D3"/>
              <w:right w:val="single" w:sz="4" w:space="0" w:color="D3D3D3"/>
            </w:tcBorders>
            <w:shd w:val="clear" w:color="auto" w:fill="auto"/>
            <w:hideMark/>
          </w:tcPr>
          <w:p w14:paraId="45598D0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76.26</w:t>
            </w:r>
          </w:p>
        </w:tc>
        <w:tc>
          <w:tcPr>
            <w:tcW w:w="2977" w:type="dxa"/>
            <w:tcBorders>
              <w:top w:val="nil"/>
              <w:left w:val="nil"/>
              <w:bottom w:val="single" w:sz="4" w:space="0" w:color="D3D3D3"/>
              <w:right w:val="single" w:sz="4" w:space="0" w:color="D3D3D3"/>
            </w:tcBorders>
            <w:shd w:val="clear" w:color="auto" w:fill="auto"/>
            <w:hideMark/>
          </w:tcPr>
          <w:p w14:paraId="1783C4CC"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5,117.10</w:t>
            </w:r>
          </w:p>
        </w:tc>
        <w:tc>
          <w:tcPr>
            <w:tcW w:w="2551" w:type="dxa"/>
            <w:tcBorders>
              <w:top w:val="nil"/>
              <w:left w:val="nil"/>
              <w:bottom w:val="single" w:sz="4" w:space="0" w:color="D3D3D3"/>
              <w:right w:val="single" w:sz="4" w:space="0" w:color="D3D3D3"/>
            </w:tcBorders>
            <w:shd w:val="clear" w:color="auto" w:fill="auto"/>
            <w:hideMark/>
          </w:tcPr>
          <w:p w14:paraId="352180A1" w14:textId="5B300243"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5BAE9743"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56300D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VEW</w:t>
            </w:r>
          </w:p>
        </w:tc>
        <w:tc>
          <w:tcPr>
            <w:tcW w:w="1559" w:type="dxa"/>
            <w:tcBorders>
              <w:top w:val="single" w:sz="4" w:space="0" w:color="D3D3D3"/>
              <w:left w:val="nil"/>
              <w:bottom w:val="single" w:sz="4" w:space="0" w:color="D3D3D3"/>
              <w:right w:val="single" w:sz="4" w:space="0" w:color="D3D3D3"/>
            </w:tcBorders>
            <w:shd w:val="clear" w:color="auto" w:fill="auto"/>
            <w:hideMark/>
          </w:tcPr>
          <w:p w14:paraId="72243E2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10416</w:t>
            </w:r>
          </w:p>
        </w:tc>
        <w:tc>
          <w:tcPr>
            <w:tcW w:w="5529" w:type="dxa"/>
            <w:tcBorders>
              <w:top w:val="single" w:sz="4" w:space="0" w:color="D3D3D3"/>
              <w:left w:val="nil"/>
              <w:bottom w:val="single" w:sz="4" w:space="0" w:color="D3D3D3"/>
              <w:right w:val="single" w:sz="4" w:space="0" w:color="D3D3D3"/>
            </w:tcBorders>
            <w:shd w:val="clear" w:color="auto" w:fill="auto"/>
            <w:hideMark/>
          </w:tcPr>
          <w:p w14:paraId="7371365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MID-WESTERN TELEVISION PTY LTD</w:t>
            </w:r>
          </w:p>
        </w:tc>
        <w:tc>
          <w:tcPr>
            <w:tcW w:w="2551" w:type="dxa"/>
            <w:tcBorders>
              <w:top w:val="nil"/>
              <w:left w:val="nil"/>
              <w:bottom w:val="single" w:sz="4" w:space="0" w:color="D3D3D3"/>
              <w:right w:val="single" w:sz="4" w:space="0" w:color="D3D3D3"/>
            </w:tcBorders>
            <w:shd w:val="clear" w:color="auto" w:fill="auto"/>
            <w:hideMark/>
          </w:tcPr>
          <w:p w14:paraId="593F3951"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71.29</w:t>
            </w:r>
          </w:p>
        </w:tc>
        <w:tc>
          <w:tcPr>
            <w:tcW w:w="2977" w:type="dxa"/>
            <w:tcBorders>
              <w:top w:val="nil"/>
              <w:left w:val="nil"/>
              <w:bottom w:val="single" w:sz="4" w:space="0" w:color="D3D3D3"/>
              <w:right w:val="single" w:sz="4" w:space="0" w:color="D3D3D3"/>
            </w:tcBorders>
            <w:shd w:val="clear" w:color="auto" w:fill="auto"/>
            <w:hideMark/>
          </w:tcPr>
          <w:p w14:paraId="6986C6CB"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5,093.35</w:t>
            </w:r>
          </w:p>
        </w:tc>
        <w:tc>
          <w:tcPr>
            <w:tcW w:w="2551" w:type="dxa"/>
            <w:tcBorders>
              <w:top w:val="nil"/>
              <w:left w:val="nil"/>
              <w:bottom w:val="single" w:sz="4" w:space="0" w:color="D3D3D3"/>
              <w:right w:val="single" w:sz="4" w:space="0" w:color="D3D3D3"/>
            </w:tcBorders>
            <w:shd w:val="clear" w:color="auto" w:fill="auto"/>
            <w:hideMark/>
          </w:tcPr>
          <w:p w14:paraId="728548F0" w14:textId="64A0EBC1"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6CBC1951"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3EDD41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WAW</w:t>
            </w:r>
          </w:p>
        </w:tc>
        <w:tc>
          <w:tcPr>
            <w:tcW w:w="1559" w:type="dxa"/>
            <w:tcBorders>
              <w:top w:val="single" w:sz="4" w:space="0" w:color="D3D3D3"/>
              <w:left w:val="nil"/>
              <w:bottom w:val="single" w:sz="4" w:space="0" w:color="D3D3D3"/>
              <w:right w:val="single" w:sz="4" w:space="0" w:color="D3D3D3"/>
            </w:tcBorders>
            <w:shd w:val="clear" w:color="auto" w:fill="auto"/>
            <w:hideMark/>
          </w:tcPr>
          <w:p w14:paraId="65EE154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4747</w:t>
            </w:r>
          </w:p>
        </w:tc>
        <w:tc>
          <w:tcPr>
            <w:tcW w:w="5529" w:type="dxa"/>
            <w:tcBorders>
              <w:top w:val="single" w:sz="4" w:space="0" w:color="D3D3D3"/>
              <w:left w:val="nil"/>
              <w:bottom w:val="single" w:sz="4" w:space="0" w:color="D3D3D3"/>
              <w:right w:val="single" w:sz="4" w:space="0" w:color="D3D3D3"/>
            </w:tcBorders>
            <w:shd w:val="clear" w:color="auto" w:fill="auto"/>
            <w:hideMark/>
          </w:tcPr>
          <w:p w14:paraId="79B4057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GOLDEN WEST SATELLITE COMMUNICATIONS PTY LTD</w:t>
            </w:r>
          </w:p>
        </w:tc>
        <w:tc>
          <w:tcPr>
            <w:tcW w:w="2551" w:type="dxa"/>
            <w:tcBorders>
              <w:top w:val="nil"/>
              <w:left w:val="nil"/>
              <w:bottom w:val="single" w:sz="4" w:space="0" w:color="D3D3D3"/>
              <w:right w:val="single" w:sz="4" w:space="0" w:color="D3D3D3"/>
            </w:tcBorders>
            <w:shd w:val="clear" w:color="auto" w:fill="auto"/>
            <w:hideMark/>
          </w:tcPr>
          <w:p w14:paraId="0A435013"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71.29</w:t>
            </w:r>
          </w:p>
        </w:tc>
        <w:tc>
          <w:tcPr>
            <w:tcW w:w="2977" w:type="dxa"/>
            <w:tcBorders>
              <w:top w:val="nil"/>
              <w:left w:val="nil"/>
              <w:bottom w:val="single" w:sz="4" w:space="0" w:color="D3D3D3"/>
              <w:right w:val="single" w:sz="4" w:space="0" w:color="D3D3D3"/>
            </w:tcBorders>
            <w:shd w:val="clear" w:color="auto" w:fill="auto"/>
            <w:hideMark/>
          </w:tcPr>
          <w:p w14:paraId="53639D4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5,093.35</w:t>
            </w:r>
          </w:p>
        </w:tc>
        <w:tc>
          <w:tcPr>
            <w:tcW w:w="2551" w:type="dxa"/>
            <w:tcBorders>
              <w:top w:val="nil"/>
              <w:left w:val="nil"/>
              <w:bottom w:val="single" w:sz="4" w:space="0" w:color="D3D3D3"/>
              <w:right w:val="single" w:sz="4" w:space="0" w:color="D3D3D3"/>
            </w:tcBorders>
            <w:shd w:val="clear" w:color="auto" w:fill="auto"/>
            <w:hideMark/>
          </w:tcPr>
          <w:p w14:paraId="2F95855C" w14:textId="54E30EBD"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373.75</w:t>
            </w:r>
          </w:p>
        </w:tc>
      </w:tr>
      <w:tr w:rsidR="002E512E" w:rsidRPr="00C0306A" w14:paraId="0EFA1FBA"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hideMark/>
          </w:tcPr>
          <w:p w14:paraId="57632A2C" w14:textId="70620374" w:rsidR="002E512E" w:rsidRPr="00C0306A" w:rsidRDefault="002E512E" w:rsidP="002E512E">
            <w:pPr>
              <w:spacing w:after="0" w:line="240" w:lineRule="auto"/>
              <w:rPr>
                <w:rFonts w:cs="Arial"/>
                <w:b/>
                <w:bCs/>
                <w:color w:val="000000"/>
                <w:szCs w:val="20"/>
              </w:rPr>
            </w:pPr>
            <w:r w:rsidRPr="00C0306A">
              <w:rPr>
                <w:rFonts w:cs="Arial"/>
                <w:b/>
                <w:bCs/>
                <w:color w:val="000000"/>
                <w:szCs w:val="20"/>
              </w:rPr>
              <w:t xml:space="preserve">Major </w:t>
            </w:r>
            <w:r w:rsidR="006E363D">
              <w:rPr>
                <w:rFonts w:cs="Arial"/>
                <w:b/>
                <w:bCs/>
                <w:color w:val="000000"/>
                <w:szCs w:val="20"/>
              </w:rPr>
              <w:t>s</w:t>
            </w:r>
            <w:r w:rsidRPr="00C0306A">
              <w:rPr>
                <w:rFonts w:cs="Arial"/>
                <w:b/>
                <w:bCs/>
                <w:color w:val="000000"/>
                <w:szCs w:val="20"/>
              </w:rPr>
              <w:t xml:space="preserve">ource of </w:t>
            </w:r>
            <w:r w:rsidR="006E363D">
              <w:rPr>
                <w:rFonts w:cs="Arial"/>
                <w:b/>
                <w:bCs/>
                <w:color w:val="000000"/>
                <w:szCs w:val="20"/>
              </w:rPr>
              <w:t>p</w:t>
            </w:r>
            <w:r w:rsidRPr="00C0306A">
              <w:rPr>
                <w:rFonts w:cs="Arial"/>
                <w:b/>
                <w:bCs/>
                <w:color w:val="000000"/>
                <w:szCs w:val="20"/>
              </w:rPr>
              <w:t>rograms: Ten (</w:t>
            </w:r>
            <w:r w:rsidR="00430427">
              <w:rPr>
                <w:rFonts w:cs="Arial"/>
                <w:b/>
                <w:bCs/>
                <w:color w:val="000000"/>
                <w:szCs w:val="20"/>
              </w:rPr>
              <w:t>n</w:t>
            </w:r>
            <w:r w:rsidRPr="00C0306A">
              <w:rPr>
                <w:rFonts w:cs="Arial"/>
                <w:b/>
                <w:bCs/>
                <w:color w:val="000000"/>
                <w:szCs w:val="20"/>
              </w:rPr>
              <w:t>umber of licences: 14) </w:t>
            </w:r>
          </w:p>
        </w:tc>
      </w:tr>
      <w:tr w:rsidR="002E512E" w:rsidRPr="00C0306A" w14:paraId="6CB8595C"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2C9FCB2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CDT</w:t>
            </w:r>
          </w:p>
        </w:tc>
        <w:tc>
          <w:tcPr>
            <w:tcW w:w="1559" w:type="dxa"/>
            <w:tcBorders>
              <w:top w:val="single" w:sz="4" w:space="0" w:color="D3D3D3"/>
              <w:left w:val="nil"/>
              <w:bottom w:val="single" w:sz="4" w:space="0" w:color="D3D3D3"/>
              <w:right w:val="single" w:sz="4" w:space="0" w:color="D3D3D3"/>
            </w:tcBorders>
            <w:shd w:val="clear" w:color="auto" w:fill="auto"/>
            <w:hideMark/>
          </w:tcPr>
          <w:p w14:paraId="09428EC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1130050</w:t>
            </w:r>
          </w:p>
        </w:tc>
        <w:tc>
          <w:tcPr>
            <w:tcW w:w="5529" w:type="dxa"/>
            <w:tcBorders>
              <w:top w:val="single" w:sz="4" w:space="0" w:color="D3D3D3"/>
              <w:left w:val="nil"/>
              <w:bottom w:val="single" w:sz="4" w:space="0" w:color="D3D3D3"/>
              <w:right w:val="single" w:sz="4" w:space="0" w:color="D3D3D3"/>
            </w:tcBorders>
            <w:shd w:val="clear" w:color="auto" w:fill="auto"/>
            <w:hideMark/>
          </w:tcPr>
          <w:p w14:paraId="596C7E2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CENTRAL DIGITAL TELEVISION PTY LIMITED</w:t>
            </w:r>
          </w:p>
        </w:tc>
        <w:tc>
          <w:tcPr>
            <w:tcW w:w="2551" w:type="dxa"/>
            <w:tcBorders>
              <w:top w:val="nil"/>
              <w:left w:val="nil"/>
              <w:bottom w:val="single" w:sz="4" w:space="0" w:color="D3D3D3"/>
              <w:right w:val="single" w:sz="4" w:space="0" w:color="D3D3D3"/>
            </w:tcBorders>
            <w:shd w:val="clear" w:color="auto" w:fill="auto"/>
            <w:hideMark/>
          </w:tcPr>
          <w:p w14:paraId="32305C6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67.99</w:t>
            </w:r>
          </w:p>
        </w:tc>
        <w:tc>
          <w:tcPr>
            <w:tcW w:w="2977" w:type="dxa"/>
            <w:tcBorders>
              <w:top w:val="nil"/>
              <w:left w:val="nil"/>
              <w:bottom w:val="single" w:sz="4" w:space="0" w:color="D3D3D3"/>
              <w:right w:val="single" w:sz="4" w:space="0" w:color="D3D3D3"/>
            </w:tcBorders>
            <w:shd w:val="clear" w:color="auto" w:fill="auto"/>
            <w:hideMark/>
          </w:tcPr>
          <w:p w14:paraId="0456E5FF" w14:textId="1801F9C0"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14C208AF" w14:textId="0D19D360"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5390C185"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749077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DTD</w:t>
            </w:r>
          </w:p>
        </w:tc>
        <w:tc>
          <w:tcPr>
            <w:tcW w:w="1559" w:type="dxa"/>
            <w:tcBorders>
              <w:top w:val="single" w:sz="4" w:space="0" w:color="D3D3D3"/>
              <w:left w:val="nil"/>
              <w:bottom w:val="single" w:sz="4" w:space="0" w:color="D3D3D3"/>
              <w:right w:val="single" w:sz="4" w:space="0" w:color="D3D3D3"/>
            </w:tcBorders>
            <w:shd w:val="clear" w:color="auto" w:fill="auto"/>
            <w:hideMark/>
          </w:tcPr>
          <w:p w14:paraId="47B079E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1130013</w:t>
            </w:r>
          </w:p>
        </w:tc>
        <w:tc>
          <w:tcPr>
            <w:tcW w:w="5529" w:type="dxa"/>
            <w:tcBorders>
              <w:top w:val="single" w:sz="4" w:space="0" w:color="D3D3D3"/>
              <w:left w:val="nil"/>
              <w:bottom w:val="single" w:sz="4" w:space="0" w:color="D3D3D3"/>
              <w:right w:val="single" w:sz="4" w:space="0" w:color="D3D3D3"/>
            </w:tcBorders>
            <w:shd w:val="clear" w:color="auto" w:fill="auto"/>
            <w:hideMark/>
          </w:tcPr>
          <w:p w14:paraId="5841A81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DARWIN DIGITAL TELEVISION PTY LIMITED</w:t>
            </w:r>
          </w:p>
        </w:tc>
        <w:tc>
          <w:tcPr>
            <w:tcW w:w="2551" w:type="dxa"/>
            <w:tcBorders>
              <w:top w:val="nil"/>
              <w:left w:val="nil"/>
              <w:bottom w:val="single" w:sz="4" w:space="0" w:color="D3D3D3"/>
              <w:right w:val="single" w:sz="4" w:space="0" w:color="D3D3D3"/>
            </w:tcBorders>
            <w:shd w:val="clear" w:color="auto" w:fill="auto"/>
            <w:hideMark/>
          </w:tcPr>
          <w:p w14:paraId="69DAB9B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67.99</w:t>
            </w:r>
          </w:p>
        </w:tc>
        <w:tc>
          <w:tcPr>
            <w:tcW w:w="2977" w:type="dxa"/>
            <w:tcBorders>
              <w:top w:val="nil"/>
              <w:left w:val="nil"/>
              <w:bottom w:val="single" w:sz="4" w:space="0" w:color="D3D3D3"/>
              <w:right w:val="single" w:sz="4" w:space="0" w:color="D3D3D3"/>
            </w:tcBorders>
            <w:shd w:val="clear" w:color="auto" w:fill="auto"/>
            <w:hideMark/>
          </w:tcPr>
          <w:p w14:paraId="0713C49A" w14:textId="379A8BF1"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1C6A0BFC" w14:textId="32CEC7C4"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4049F3B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35CF26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GDW</w:t>
            </w:r>
          </w:p>
        </w:tc>
        <w:tc>
          <w:tcPr>
            <w:tcW w:w="1559" w:type="dxa"/>
            <w:tcBorders>
              <w:top w:val="single" w:sz="4" w:space="0" w:color="D3D3D3"/>
              <w:left w:val="nil"/>
              <w:bottom w:val="single" w:sz="4" w:space="0" w:color="D3D3D3"/>
              <w:right w:val="single" w:sz="4" w:space="0" w:color="D3D3D3"/>
            </w:tcBorders>
            <w:shd w:val="clear" w:color="auto" w:fill="auto"/>
            <w:hideMark/>
          </w:tcPr>
          <w:p w14:paraId="4FCCCA5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1130046</w:t>
            </w:r>
          </w:p>
        </w:tc>
        <w:tc>
          <w:tcPr>
            <w:tcW w:w="5529" w:type="dxa"/>
            <w:tcBorders>
              <w:top w:val="single" w:sz="4" w:space="0" w:color="D3D3D3"/>
              <w:left w:val="nil"/>
              <w:bottom w:val="single" w:sz="4" w:space="0" w:color="D3D3D3"/>
              <w:right w:val="single" w:sz="4" w:space="0" w:color="D3D3D3"/>
            </w:tcBorders>
            <w:shd w:val="clear" w:color="auto" w:fill="auto"/>
            <w:hideMark/>
          </w:tcPr>
          <w:p w14:paraId="7E7A380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WEST DIGITAL TELEVISION NO.2 PTY LTD</w:t>
            </w:r>
          </w:p>
        </w:tc>
        <w:tc>
          <w:tcPr>
            <w:tcW w:w="2551" w:type="dxa"/>
            <w:tcBorders>
              <w:top w:val="nil"/>
              <w:left w:val="nil"/>
              <w:bottom w:val="single" w:sz="4" w:space="0" w:color="D3D3D3"/>
              <w:right w:val="single" w:sz="4" w:space="0" w:color="D3D3D3"/>
            </w:tcBorders>
            <w:shd w:val="clear" w:color="auto" w:fill="auto"/>
            <w:hideMark/>
          </w:tcPr>
          <w:p w14:paraId="31C3492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69.43</w:t>
            </w:r>
          </w:p>
        </w:tc>
        <w:tc>
          <w:tcPr>
            <w:tcW w:w="2977" w:type="dxa"/>
            <w:tcBorders>
              <w:top w:val="nil"/>
              <w:left w:val="nil"/>
              <w:bottom w:val="single" w:sz="4" w:space="0" w:color="D3D3D3"/>
              <w:right w:val="single" w:sz="4" w:space="0" w:color="D3D3D3"/>
            </w:tcBorders>
            <w:shd w:val="clear" w:color="auto" w:fill="auto"/>
            <w:hideMark/>
          </w:tcPr>
          <w:p w14:paraId="2BD9CEB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1,567.83</w:t>
            </w:r>
          </w:p>
        </w:tc>
        <w:tc>
          <w:tcPr>
            <w:tcW w:w="2551" w:type="dxa"/>
            <w:tcBorders>
              <w:top w:val="nil"/>
              <w:left w:val="nil"/>
              <w:bottom w:val="single" w:sz="4" w:space="0" w:color="D3D3D3"/>
              <w:right w:val="single" w:sz="4" w:space="0" w:color="D3D3D3"/>
            </w:tcBorders>
            <w:shd w:val="clear" w:color="auto" w:fill="auto"/>
            <w:hideMark/>
          </w:tcPr>
          <w:p w14:paraId="5DDBCD6B" w14:textId="0E6030F6"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278.00</w:t>
            </w:r>
          </w:p>
        </w:tc>
      </w:tr>
      <w:tr w:rsidR="002E512E" w:rsidRPr="00C0306A" w14:paraId="20EBD514"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0168C17"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IDQ</w:t>
            </w:r>
          </w:p>
        </w:tc>
        <w:tc>
          <w:tcPr>
            <w:tcW w:w="1559" w:type="dxa"/>
            <w:tcBorders>
              <w:top w:val="single" w:sz="4" w:space="0" w:color="D3D3D3"/>
              <w:left w:val="nil"/>
              <w:bottom w:val="single" w:sz="4" w:space="0" w:color="D3D3D3"/>
              <w:right w:val="single" w:sz="4" w:space="0" w:color="D3D3D3"/>
            </w:tcBorders>
            <w:shd w:val="clear" w:color="auto" w:fill="auto"/>
            <w:hideMark/>
          </w:tcPr>
          <w:p w14:paraId="2C09307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1130051</w:t>
            </w:r>
          </w:p>
        </w:tc>
        <w:tc>
          <w:tcPr>
            <w:tcW w:w="5529" w:type="dxa"/>
            <w:tcBorders>
              <w:top w:val="single" w:sz="4" w:space="0" w:color="D3D3D3"/>
              <w:left w:val="nil"/>
              <w:bottom w:val="single" w:sz="4" w:space="0" w:color="D3D3D3"/>
              <w:right w:val="single" w:sz="4" w:space="0" w:color="D3D3D3"/>
            </w:tcBorders>
            <w:shd w:val="clear" w:color="auto" w:fill="auto"/>
            <w:hideMark/>
          </w:tcPr>
          <w:p w14:paraId="779409A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CENTRAL DIGITAL TELEVISION PTY LIMITED</w:t>
            </w:r>
          </w:p>
        </w:tc>
        <w:tc>
          <w:tcPr>
            <w:tcW w:w="2551" w:type="dxa"/>
            <w:tcBorders>
              <w:top w:val="nil"/>
              <w:left w:val="nil"/>
              <w:bottom w:val="single" w:sz="4" w:space="0" w:color="D3D3D3"/>
              <w:right w:val="single" w:sz="4" w:space="0" w:color="D3D3D3"/>
            </w:tcBorders>
            <w:shd w:val="clear" w:color="auto" w:fill="auto"/>
            <w:hideMark/>
          </w:tcPr>
          <w:p w14:paraId="054465FB"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67.81</w:t>
            </w:r>
          </w:p>
        </w:tc>
        <w:tc>
          <w:tcPr>
            <w:tcW w:w="2977" w:type="dxa"/>
            <w:tcBorders>
              <w:top w:val="nil"/>
              <w:left w:val="nil"/>
              <w:bottom w:val="single" w:sz="4" w:space="0" w:color="D3D3D3"/>
              <w:right w:val="single" w:sz="4" w:space="0" w:color="D3D3D3"/>
            </w:tcBorders>
            <w:shd w:val="clear" w:color="auto" w:fill="auto"/>
            <w:hideMark/>
          </w:tcPr>
          <w:p w14:paraId="2C08F4C6" w14:textId="6640F870"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6EA3184F" w14:textId="41D28564"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66786B1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25A277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LRS</w:t>
            </w:r>
          </w:p>
        </w:tc>
        <w:tc>
          <w:tcPr>
            <w:tcW w:w="1559" w:type="dxa"/>
            <w:tcBorders>
              <w:top w:val="single" w:sz="4" w:space="0" w:color="D3D3D3"/>
              <w:left w:val="nil"/>
              <w:bottom w:val="single" w:sz="4" w:space="0" w:color="D3D3D3"/>
              <w:right w:val="single" w:sz="4" w:space="0" w:color="D3D3D3"/>
            </w:tcBorders>
            <w:shd w:val="clear" w:color="auto" w:fill="auto"/>
            <w:hideMark/>
          </w:tcPr>
          <w:p w14:paraId="27A82FA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1150796</w:t>
            </w:r>
          </w:p>
        </w:tc>
        <w:tc>
          <w:tcPr>
            <w:tcW w:w="5529" w:type="dxa"/>
            <w:tcBorders>
              <w:top w:val="single" w:sz="4" w:space="0" w:color="D3D3D3"/>
              <w:left w:val="nil"/>
              <w:bottom w:val="single" w:sz="4" w:space="0" w:color="D3D3D3"/>
              <w:right w:val="single" w:sz="4" w:space="0" w:color="D3D3D3"/>
            </w:tcBorders>
            <w:shd w:val="clear" w:color="auto" w:fill="auto"/>
            <w:hideMark/>
          </w:tcPr>
          <w:p w14:paraId="7A3A1C4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225C73A4"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72.11</w:t>
            </w:r>
          </w:p>
        </w:tc>
        <w:tc>
          <w:tcPr>
            <w:tcW w:w="2977" w:type="dxa"/>
            <w:tcBorders>
              <w:top w:val="nil"/>
              <w:left w:val="nil"/>
              <w:bottom w:val="single" w:sz="4" w:space="0" w:color="D3D3D3"/>
              <w:right w:val="single" w:sz="4" w:space="0" w:color="D3D3D3"/>
            </w:tcBorders>
            <w:shd w:val="clear" w:color="auto" w:fill="auto"/>
            <w:hideMark/>
          </w:tcPr>
          <w:p w14:paraId="4FCD20EF"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8,059.12</w:t>
            </w:r>
          </w:p>
        </w:tc>
        <w:tc>
          <w:tcPr>
            <w:tcW w:w="2551" w:type="dxa"/>
            <w:tcBorders>
              <w:top w:val="nil"/>
              <w:left w:val="nil"/>
              <w:bottom w:val="single" w:sz="4" w:space="0" w:color="D3D3D3"/>
              <w:right w:val="single" w:sz="4" w:space="0" w:color="D3D3D3"/>
            </w:tcBorders>
            <w:shd w:val="clear" w:color="auto" w:fill="auto"/>
            <w:hideMark/>
          </w:tcPr>
          <w:p w14:paraId="0B75602C" w14:textId="4209C3EA"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279.00</w:t>
            </w:r>
          </w:p>
        </w:tc>
      </w:tr>
      <w:tr w:rsidR="002E512E" w:rsidRPr="00C0306A" w14:paraId="66AF0FF8"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34B21C6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MDN</w:t>
            </w:r>
          </w:p>
        </w:tc>
        <w:tc>
          <w:tcPr>
            <w:tcW w:w="1559" w:type="dxa"/>
            <w:tcBorders>
              <w:top w:val="single" w:sz="4" w:space="0" w:color="D3D3D3"/>
              <w:left w:val="nil"/>
              <w:bottom w:val="single" w:sz="4" w:space="0" w:color="D3D3D3"/>
              <w:right w:val="single" w:sz="4" w:space="0" w:color="D3D3D3"/>
            </w:tcBorders>
            <w:shd w:val="clear" w:color="auto" w:fill="auto"/>
            <w:hideMark/>
          </w:tcPr>
          <w:p w14:paraId="2FF7EE8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1130146</w:t>
            </w:r>
          </w:p>
        </w:tc>
        <w:tc>
          <w:tcPr>
            <w:tcW w:w="5529" w:type="dxa"/>
            <w:tcBorders>
              <w:top w:val="single" w:sz="4" w:space="0" w:color="D3D3D3"/>
              <w:left w:val="nil"/>
              <w:bottom w:val="single" w:sz="4" w:space="0" w:color="D3D3D3"/>
              <w:right w:val="single" w:sz="4" w:space="0" w:color="D3D3D3"/>
            </w:tcBorders>
            <w:shd w:val="clear" w:color="auto" w:fill="auto"/>
            <w:hideMark/>
          </w:tcPr>
          <w:p w14:paraId="5586DF2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GRIFFITH PTY LTD</w:t>
            </w:r>
          </w:p>
        </w:tc>
        <w:tc>
          <w:tcPr>
            <w:tcW w:w="2551" w:type="dxa"/>
            <w:tcBorders>
              <w:top w:val="nil"/>
              <w:left w:val="nil"/>
              <w:bottom w:val="single" w:sz="4" w:space="0" w:color="D3D3D3"/>
              <w:right w:val="single" w:sz="4" w:space="0" w:color="D3D3D3"/>
            </w:tcBorders>
            <w:shd w:val="clear" w:color="auto" w:fill="auto"/>
            <w:hideMark/>
          </w:tcPr>
          <w:p w14:paraId="322CA04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71.05</w:t>
            </w:r>
          </w:p>
        </w:tc>
        <w:tc>
          <w:tcPr>
            <w:tcW w:w="2977" w:type="dxa"/>
            <w:tcBorders>
              <w:top w:val="nil"/>
              <w:left w:val="nil"/>
              <w:bottom w:val="single" w:sz="4" w:space="0" w:color="D3D3D3"/>
              <w:right w:val="single" w:sz="4" w:space="0" w:color="D3D3D3"/>
            </w:tcBorders>
            <w:shd w:val="clear" w:color="auto" w:fill="auto"/>
            <w:hideMark/>
          </w:tcPr>
          <w:p w14:paraId="750DC950"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7,938.28</w:t>
            </w:r>
          </w:p>
        </w:tc>
        <w:tc>
          <w:tcPr>
            <w:tcW w:w="2551" w:type="dxa"/>
            <w:tcBorders>
              <w:top w:val="nil"/>
              <w:left w:val="nil"/>
              <w:bottom w:val="single" w:sz="4" w:space="0" w:color="D3D3D3"/>
              <w:right w:val="single" w:sz="4" w:space="0" w:color="D3D3D3"/>
            </w:tcBorders>
            <w:shd w:val="clear" w:color="auto" w:fill="auto"/>
            <w:hideMark/>
          </w:tcPr>
          <w:p w14:paraId="2CF0F621" w14:textId="20F8B5C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278.50</w:t>
            </w:r>
          </w:p>
        </w:tc>
      </w:tr>
      <w:tr w:rsidR="002E512E" w:rsidRPr="00C0306A" w14:paraId="7A00B773"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5048AA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MDV</w:t>
            </w:r>
          </w:p>
        </w:tc>
        <w:tc>
          <w:tcPr>
            <w:tcW w:w="1559" w:type="dxa"/>
            <w:tcBorders>
              <w:top w:val="single" w:sz="4" w:space="0" w:color="D3D3D3"/>
              <w:left w:val="nil"/>
              <w:bottom w:val="single" w:sz="4" w:space="0" w:color="D3D3D3"/>
              <w:right w:val="single" w:sz="4" w:space="0" w:color="D3D3D3"/>
            </w:tcBorders>
            <w:shd w:val="clear" w:color="auto" w:fill="auto"/>
            <w:hideMark/>
          </w:tcPr>
          <w:p w14:paraId="7A477E7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1150827</w:t>
            </w:r>
          </w:p>
        </w:tc>
        <w:tc>
          <w:tcPr>
            <w:tcW w:w="5529" w:type="dxa"/>
            <w:tcBorders>
              <w:top w:val="single" w:sz="4" w:space="0" w:color="D3D3D3"/>
              <w:left w:val="nil"/>
              <w:bottom w:val="single" w:sz="4" w:space="0" w:color="D3D3D3"/>
              <w:right w:val="single" w:sz="4" w:space="0" w:color="D3D3D3"/>
            </w:tcBorders>
            <w:shd w:val="clear" w:color="auto" w:fill="auto"/>
            <w:hideMark/>
          </w:tcPr>
          <w:p w14:paraId="23CC2AC6"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MILDURA DIGITAL TELEVISION PTY LTD</w:t>
            </w:r>
          </w:p>
        </w:tc>
        <w:tc>
          <w:tcPr>
            <w:tcW w:w="2551" w:type="dxa"/>
            <w:tcBorders>
              <w:top w:val="nil"/>
              <w:left w:val="nil"/>
              <w:bottom w:val="single" w:sz="4" w:space="0" w:color="D3D3D3"/>
              <w:right w:val="single" w:sz="4" w:space="0" w:color="D3D3D3"/>
            </w:tcBorders>
            <w:shd w:val="clear" w:color="auto" w:fill="auto"/>
            <w:hideMark/>
          </w:tcPr>
          <w:p w14:paraId="6A91AB98"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70.26</w:t>
            </w:r>
          </w:p>
        </w:tc>
        <w:tc>
          <w:tcPr>
            <w:tcW w:w="2977" w:type="dxa"/>
            <w:tcBorders>
              <w:top w:val="nil"/>
              <w:left w:val="nil"/>
              <w:bottom w:val="single" w:sz="4" w:space="0" w:color="D3D3D3"/>
              <w:right w:val="single" w:sz="4" w:space="0" w:color="D3D3D3"/>
            </w:tcBorders>
            <w:shd w:val="clear" w:color="auto" w:fill="auto"/>
            <w:hideMark/>
          </w:tcPr>
          <w:p w14:paraId="7170D2D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1,501.25</w:t>
            </w:r>
          </w:p>
        </w:tc>
        <w:tc>
          <w:tcPr>
            <w:tcW w:w="2551" w:type="dxa"/>
            <w:tcBorders>
              <w:top w:val="nil"/>
              <w:left w:val="nil"/>
              <w:bottom w:val="single" w:sz="4" w:space="0" w:color="D3D3D3"/>
              <w:right w:val="single" w:sz="4" w:space="0" w:color="D3D3D3"/>
            </w:tcBorders>
            <w:shd w:val="clear" w:color="auto" w:fill="auto"/>
            <w:hideMark/>
          </w:tcPr>
          <w:p w14:paraId="105650AA" w14:textId="57DF871B"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278.50</w:t>
            </w:r>
          </w:p>
        </w:tc>
      </w:tr>
      <w:tr w:rsidR="002E512E" w:rsidRPr="00C0306A" w14:paraId="5935AD62"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088AB09D"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MGS</w:t>
            </w:r>
          </w:p>
        </w:tc>
        <w:tc>
          <w:tcPr>
            <w:tcW w:w="1559" w:type="dxa"/>
            <w:tcBorders>
              <w:top w:val="single" w:sz="4" w:space="0" w:color="D3D3D3"/>
              <w:left w:val="nil"/>
              <w:bottom w:val="single" w:sz="4" w:space="0" w:color="D3D3D3"/>
              <w:right w:val="single" w:sz="4" w:space="0" w:color="D3D3D3"/>
            </w:tcBorders>
            <w:shd w:val="clear" w:color="auto" w:fill="auto"/>
            <w:hideMark/>
          </w:tcPr>
          <w:p w14:paraId="4BA637FF"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1150799</w:t>
            </w:r>
          </w:p>
        </w:tc>
        <w:tc>
          <w:tcPr>
            <w:tcW w:w="5529" w:type="dxa"/>
            <w:tcBorders>
              <w:top w:val="single" w:sz="4" w:space="0" w:color="D3D3D3"/>
              <w:left w:val="nil"/>
              <w:bottom w:val="single" w:sz="4" w:space="0" w:color="D3D3D3"/>
              <w:right w:val="single" w:sz="4" w:space="0" w:color="D3D3D3"/>
            </w:tcBorders>
            <w:shd w:val="clear" w:color="auto" w:fill="auto"/>
            <w:hideMark/>
          </w:tcPr>
          <w:p w14:paraId="42BF1DFC"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WIN TELEVISION SA PTY LTD</w:t>
            </w:r>
          </w:p>
        </w:tc>
        <w:tc>
          <w:tcPr>
            <w:tcW w:w="2551" w:type="dxa"/>
            <w:tcBorders>
              <w:top w:val="nil"/>
              <w:left w:val="nil"/>
              <w:bottom w:val="single" w:sz="4" w:space="0" w:color="D3D3D3"/>
              <w:right w:val="single" w:sz="4" w:space="0" w:color="D3D3D3"/>
            </w:tcBorders>
            <w:shd w:val="clear" w:color="auto" w:fill="auto"/>
            <w:hideMark/>
          </w:tcPr>
          <w:p w14:paraId="38EE190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72.11</w:t>
            </w:r>
          </w:p>
        </w:tc>
        <w:tc>
          <w:tcPr>
            <w:tcW w:w="2977" w:type="dxa"/>
            <w:tcBorders>
              <w:top w:val="nil"/>
              <w:left w:val="nil"/>
              <w:bottom w:val="single" w:sz="4" w:space="0" w:color="D3D3D3"/>
              <w:right w:val="single" w:sz="4" w:space="0" w:color="D3D3D3"/>
            </w:tcBorders>
            <w:shd w:val="clear" w:color="auto" w:fill="auto"/>
            <w:hideMark/>
          </w:tcPr>
          <w:p w14:paraId="2143CCA9"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8,059.12</w:t>
            </w:r>
          </w:p>
        </w:tc>
        <w:tc>
          <w:tcPr>
            <w:tcW w:w="2551" w:type="dxa"/>
            <w:tcBorders>
              <w:top w:val="nil"/>
              <w:left w:val="nil"/>
              <w:bottom w:val="single" w:sz="4" w:space="0" w:color="D3D3D3"/>
              <w:right w:val="single" w:sz="4" w:space="0" w:color="D3D3D3"/>
            </w:tcBorders>
            <w:shd w:val="clear" w:color="auto" w:fill="auto"/>
            <w:hideMark/>
          </w:tcPr>
          <w:p w14:paraId="410F2711" w14:textId="30369314"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279.00</w:t>
            </w:r>
          </w:p>
        </w:tc>
      </w:tr>
      <w:tr w:rsidR="002E512E" w:rsidRPr="00C0306A" w14:paraId="1E1CC62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7B497C4A"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NRN</w:t>
            </w:r>
          </w:p>
        </w:tc>
        <w:tc>
          <w:tcPr>
            <w:tcW w:w="1559" w:type="dxa"/>
            <w:tcBorders>
              <w:top w:val="single" w:sz="4" w:space="0" w:color="D3D3D3"/>
              <w:left w:val="nil"/>
              <w:bottom w:val="single" w:sz="4" w:space="0" w:color="D3D3D3"/>
              <w:right w:val="single" w:sz="4" w:space="0" w:color="D3D3D3"/>
            </w:tcBorders>
            <w:shd w:val="clear" w:color="auto" w:fill="auto"/>
            <w:hideMark/>
          </w:tcPr>
          <w:p w14:paraId="4D320E1B"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96</w:t>
            </w:r>
          </w:p>
        </w:tc>
        <w:tc>
          <w:tcPr>
            <w:tcW w:w="5529" w:type="dxa"/>
            <w:tcBorders>
              <w:top w:val="single" w:sz="4" w:space="0" w:color="D3D3D3"/>
              <w:left w:val="nil"/>
              <w:bottom w:val="single" w:sz="4" w:space="0" w:color="D3D3D3"/>
              <w:right w:val="single" w:sz="4" w:space="0" w:color="D3D3D3"/>
            </w:tcBorders>
            <w:shd w:val="clear" w:color="auto" w:fill="auto"/>
            <w:hideMark/>
          </w:tcPr>
          <w:p w14:paraId="1453F8F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NETWORK INVESTMENTS PTY LTD</w:t>
            </w:r>
          </w:p>
        </w:tc>
        <w:tc>
          <w:tcPr>
            <w:tcW w:w="2551" w:type="dxa"/>
            <w:tcBorders>
              <w:top w:val="nil"/>
              <w:left w:val="nil"/>
              <w:bottom w:val="single" w:sz="4" w:space="0" w:color="D3D3D3"/>
              <w:right w:val="single" w:sz="4" w:space="0" w:color="D3D3D3"/>
            </w:tcBorders>
            <w:shd w:val="clear" w:color="auto" w:fill="auto"/>
            <w:hideMark/>
          </w:tcPr>
          <w:p w14:paraId="748265A1"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69.77</w:t>
            </w:r>
          </w:p>
        </w:tc>
        <w:tc>
          <w:tcPr>
            <w:tcW w:w="2977" w:type="dxa"/>
            <w:tcBorders>
              <w:top w:val="nil"/>
              <w:left w:val="nil"/>
              <w:bottom w:val="single" w:sz="4" w:space="0" w:color="D3D3D3"/>
              <w:right w:val="single" w:sz="4" w:space="0" w:color="D3D3D3"/>
            </w:tcBorders>
            <w:shd w:val="clear" w:color="auto" w:fill="auto"/>
            <w:hideMark/>
          </w:tcPr>
          <w:p w14:paraId="4981CC25"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8,205.05</w:t>
            </w:r>
          </w:p>
        </w:tc>
        <w:tc>
          <w:tcPr>
            <w:tcW w:w="2551" w:type="dxa"/>
            <w:tcBorders>
              <w:top w:val="nil"/>
              <w:left w:val="nil"/>
              <w:bottom w:val="single" w:sz="4" w:space="0" w:color="D3D3D3"/>
              <w:right w:val="single" w:sz="4" w:space="0" w:color="D3D3D3"/>
            </w:tcBorders>
            <w:shd w:val="clear" w:color="auto" w:fill="auto"/>
            <w:hideMark/>
          </w:tcPr>
          <w:p w14:paraId="13818E9F" w14:textId="44542957"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B81511" w:rsidRPr="00ED3605">
              <w:rPr>
                <w:rFonts w:cs="Arial"/>
                <w:sz w:val="18"/>
                <w:szCs w:val="18"/>
                <w:vertAlign w:val="superscript"/>
              </w:rPr>
              <w:t>#</w:t>
            </w:r>
          </w:p>
        </w:tc>
      </w:tr>
      <w:tr w:rsidR="002E512E" w:rsidRPr="00C0306A" w14:paraId="6F16085D"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50EB720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SCN</w:t>
            </w:r>
          </w:p>
        </w:tc>
        <w:tc>
          <w:tcPr>
            <w:tcW w:w="1559" w:type="dxa"/>
            <w:tcBorders>
              <w:top w:val="single" w:sz="4" w:space="0" w:color="D3D3D3"/>
              <w:left w:val="nil"/>
              <w:bottom w:val="single" w:sz="4" w:space="0" w:color="D3D3D3"/>
              <w:right w:val="single" w:sz="4" w:space="0" w:color="D3D3D3"/>
            </w:tcBorders>
            <w:shd w:val="clear" w:color="auto" w:fill="auto"/>
            <w:hideMark/>
          </w:tcPr>
          <w:p w14:paraId="738273E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1150797</w:t>
            </w:r>
          </w:p>
        </w:tc>
        <w:tc>
          <w:tcPr>
            <w:tcW w:w="5529" w:type="dxa"/>
            <w:tcBorders>
              <w:top w:val="single" w:sz="4" w:space="0" w:color="D3D3D3"/>
              <w:left w:val="nil"/>
              <w:bottom w:val="single" w:sz="4" w:space="0" w:color="D3D3D3"/>
              <w:right w:val="single" w:sz="4" w:space="0" w:color="D3D3D3"/>
            </w:tcBorders>
            <w:shd w:val="clear" w:color="auto" w:fill="auto"/>
            <w:hideMark/>
          </w:tcPr>
          <w:p w14:paraId="6EA513F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BROKEN HILL TELEVISION PTY LIMITED</w:t>
            </w:r>
          </w:p>
        </w:tc>
        <w:tc>
          <w:tcPr>
            <w:tcW w:w="2551" w:type="dxa"/>
            <w:tcBorders>
              <w:top w:val="nil"/>
              <w:left w:val="nil"/>
              <w:bottom w:val="single" w:sz="4" w:space="0" w:color="D3D3D3"/>
              <w:right w:val="single" w:sz="4" w:space="0" w:color="D3D3D3"/>
            </w:tcBorders>
            <w:shd w:val="clear" w:color="auto" w:fill="auto"/>
            <w:hideMark/>
          </w:tcPr>
          <w:p w14:paraId="4DFC13FE"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67.85</w:t>
            </w:r>
          </w:p>
        </w:tc>
        <w:tc>
          <w:tcPr>
            <w:tcW w:w="2977" w:type="dxa"/>
            <w:tcBorders>
              <w:top w:val="nil"/>
              <w:left w:val="nil"/>
              <w:bottom w:val="single" w:sz="4" w:space="0" w:color="D3D3D3"/>
              <w:right w:val="single" w:sz="4" w:space="0" w:color="D3D3D3"/>
            </w:tcBorders>
            <w:shd w:val="clear" w:color="auto" w:fill="auto"/>
            <w:hideMark/>
          </w:tcPr>
          <w:p w14:paraId="5A97DDB3" w14:textId="32CE36CF"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0F21017C" w14:textId="6BC2CA8A"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2D0765" w:rsidRPr="00ED3605">
              <w:rPr>
                <w:rFonts w:cs="Arial"/>
                <w:sz w:val="18"/>
                <w:szCs w:val="18"/>
                <w:vertAlign w:val="superscript"/>
              </w:rPr>
              <w:t>#</w:t>
            </w:r>
          </w:p>
        </w:tc>
      </w:tr>
      <w:tr w:rsidR="002E512E" w:rsidRPr="00C0306A" w14:paraId="27AB0D97"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3B4BCF81"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SDW</w:t>
            </w:r>
          </w:p>
        </w:tc>
        <w:tc>
          <w:tcPr>
            <w:tcW w:w="1559" w:type="dxa"/>
            <w:tcBorders>
              <w:top w:val="single" w:sz="4" w:space="0" w:color="D3D3D3"/>
              <w:left w:val="nil"/>
              <w:bottom w:val="single" w:sz="4" w:space="0" w:color="D3D3D3"/>
              <w:right w:val="single" w:sz="4" w:space="0" w:color="D3D3D3"/>
            </w:tcBorders>
            <w:shd w:val="clear" w:color="auto" w:fill="auto"/>
            <w:hideMark/>
          </w:tcPr>
          <w:p w14:paraId="66644D52"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1130049</w:t>
            </w:r>
          </w:p>
        </w:tc>
        <w:tc>
          <w:tcPr>
            <w:tcW w:w="5529" w:type="dxa"/>
            <w:tcBorders>
              <w:top w:val="single" w:sz="4" w:space="0" w:color="D3D3D3"/>
              <w:left w:val="nil"/>
              <w:bottom w:val="single" w:sz="4" w:space="0" w:color="D3D3D3"/>
              <w:right w:val="single" w:sz="4" w:space="0" w:color="D3D3D3"/>
            </w:tcBorders>
            <w:shd w:val="clear" w:color="auto" w:fill="auto"/>
            <w:hideMark/>
          </w:tcPr>
          <w:p w14:paraId="30F72B3E"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WEST DIGITAL TELEVISION PTY LTD</w:t>
            </w:r>
          </w:p>
        </w:tc>
        <w:tc>
          <w:tcPr>
            <w:tcW w:w="2551" w:type="dxa"/>
            <w:tcBorders>
              <w:top w:val="nil"/>
              <w:left w:val="nil"/>
              <w:bottom w:val="single" w:sz="4" w:space="0" w:color="D3D3D3"/>
              <w:right w:val="single" w:sz="4" w:space="0" w:color="D3D3D3"/>
            </w:tcBorders>
            <w:shd w:val="clear" w:color="auto" w:fill="auto"/>
            <w:hideMark/>
          </w:tcPr>
          <w:p w14:paraId="1542A4F2"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69.43</w:t>
            </w:r>
          </w:p>
        </w:tc>
        <w:tc>
          <w:tcPr>
            <w:tcW w:w="2977" w:type="dxa"/>
            <w:tcBorders>
              <w:top w:val="nil"/>
              <w:left w:val="nil"/>
              <w:bottom w:val="single" w:sz="4" w:space="0" w:color="D3D3D3"/>
              <w:right w:val="single" w:sz="4" w:space="0" w:color="D3D3D3"/>
            </w:tcBorders>
            <w:shd w:val="clear" w:color="auto" w:fill="auto"/>
            <w:hideMark/>
          </w:tcPr>
          <w:p w14:paraId="38BE8CF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1,567.83</w:t>
            </w:r>
          </w:p>
        </w:tc>
        <w:tc>
          <w:tcPr>
            <w:tcW w:w="2551" w:type="dxa"/>
            <w:tcBorders>
              <w:top w:val="nil"/>
              <w:left w:val="nil"/>
              <w:bottom w:val="single" w:sz="4" w:space="0" w:color="D3D3D3"/>
              <w:right w:val="single" w:sz="4" w:space="0" w:color="D3D3D3"/>
            </w:tcBorders>
            <w:shd w:val="clear" w:color="auto" w:fill="auto"/>
            <w:hideMark/>
          </w:tcPr>
          <w:p w14:paraId="0132AA4A" w14:textId="25F4134C"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278.00</w:t>
            </w:r>
          </w:p>
        </w:tc>
      </w:tr>
      <w:tr w:rsidR="002E512E" w:rsidRPr="00C0306A" w14:paraId="7D40486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683529C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SGS</w:t>
            </w:r>
          </w:p>
        </w:tc>
        <w:tc>
          <w:tcPr>
            <w:tcW w:w="1559" w:type="dxa"/>
            <w:tcBorders>
              <w:top w:val="single" w:sz="4" w:space="0" w:color="D3D3D3"/>
              <w:left w:val="nil"/>
              <w:bottom w:val="single" w:sz="4" w:space="0" w:color="D3D3D3"/>
              <w:right w:val="single" w:sz="4" w:space="0" w:color="D3D3D3"/>
            </w:tcBorders>
            <w:shd w:val="clear" w:color="auto" w:fill="auto"/>
            <w:hideMark/>
          </w:tcPr>
          <w:p w14:paraId="5A902678"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1150798</w:t>
            </w:r>
          </w:p>
        </w:tc>
        <w:tc>
          <w:tcPr>
            <w:tcW w:w="5529" w:type="dxa"/>
            <w:tcBorders>
              <w:top w:val="single" w:sz="4" w:space="0" w:color="D3D3D3"/>
              <w:left w:val="nil"/>
              <w:bottom w:val="single" w:sz="4" w:space="0" w:color="D3D3D3"/>
              <w:right w:val="single" w:sz="4" w:space="0" w:color="D3D3D3"/>
            </w:tcBorders>
            <w:shd w:val="clear" w:color="auto" w:fill="auto"/>
            <w:hideMark/>
          </w:tcPr>
          <w:p w14:paraId="6720BF1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SPENCER GULF TELECASTERS PTY LIMITED</w:t>
            </w:r>
          </w:p>
        </w:tc>
        <w:tc>
          <w:tcPr>
            <w:tcW w:w="2551" w:type="dxa"/>
            <w:tcBorders>
              <w:top w:val="nil"/>
              <w:left w:val="nil"/>
              <w:bottom w:val="single" w:sz="4" w:space="0" w:color="D3D3D3"/>
              <w:right w:val="single" w:sz="4" w:space="0" w:color="D3D3D3"/>
            </w:tcBorders>
            <w:shd w:val="clear" w:color="auto" w:fill="auto"/>
            <w:hideMark/>
          </w:tcPr>
          <w:p w14:paraId="6E4F5B46"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67.85</w:t>
            </w:r>
          </w:p>
        </w:tc>
        <w:tc>
          <w:tcPr>
            <w:tcW w:w="2977" w:type="dxa"/>
            <w:tcBorders>
              <w:top w:val="nil"/>
              <w:left w:val="nil"/>
              <w:bottom w:val="single" w:sz="4" w:space="0" w:color="D3D3D3"/>
              <w:right w:val="single" w:sz="4" w:space="0" w:color="D3D3D3"/>
            </w:tcBorders>
            <w:shd w:val="clear" w:color="auto" w:fill="auto"/>
            <w:hideMark/>
          </w:tcPr>
          <w:p w14:paraId="756D73AE" w14:textId="23257D8E"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w:t>
            </w:r>
            <w:r w:rsidRPr="005B4DB0">
              <w:rPr>
                <w:rFonts w:cs="Arial"/>
                <w:color w:val="000000"/>
                <w:sz w:val="18"/>
                <w:szCs w:val="18"/>
              </w:rPr>
              <w:t>460.00^</w:t>
            </w:r>
          </w:p>
        </w:tc>
        <w:tc>
          <w:tcPr>
            <w:tcW w:w="2551" w:type="dxa"/>
            <w:tcBorders>
              <w:top w:val="nil"/>
              <w:left w:val="nil"/>
              <w:bottom w:val="single" w:sz="4" w:space="0" w:color="D3D3D3"/>
              <w:right w:val="single" w:sz="4" w:space="0" w:color="D3D3D3"/>
            </w:tcBorders>
            <w:shd w:val="clear" w:color="auto" w:fill="auto"/>
            <w:hideMark/>
          </w:tcPr>
          <w:p w14:paraId="02FBBFBE" w14:textId="2AE10B77" w:rsidR="002E512E" w:rsidRPr="00C0306A" w:rsidRDefault="002E512E" w:rsidP="00294E91">
            <w:pPr>
              <w:spacing w:after="0" w:line="240" w:lineRule="auto"/>
              <w:jc w:val="right"/>
              <w:rPr>
                <w:rFonts w:cs="Arial"/>
                <w:color w:val="000000"/>
                <w:sz w:val="18"/>
                <w:szCs w:val="18"/>
              </w:rPr>
            </w:pPr>
            <w:r w:rsidRPr="005B4DB0">
              <w:rPr>
                <w:rFonts w:cs="Arial"/>
                <w:sz w:val="18"/>
                <w:szCs w:val="18"/>
              </w:rPr>
              <w:t>250.00</w:t>
            </w:r>
            <w:r w:rsidR="002D0765" w:rsidRPr="00ED3605">
              <w:rPr>
                <w:rFonts w:cs="Arial"/>
                <w:sz w:val="18"/>
                <w:szCs w:val="18"/>
                <w:vertAlign w:val="superscript"/>
              </w:rPr>
              <w:t>#</w:t>
            </w:r>
          </w:p>
        </w:tc>
      </w:tr>
      <w:tr w:rsidR="002E512E" w:rsidRPr="00C0306A" w14:paraId="59FB4807"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26258E60"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VDW</w:t>
            </w:r>
          </w:p>
        </w:tc>
        <w:tc>
          <w:tcPr>
            <w:tcW w:w="1559" w:type="dxa"/>
            <w:tcBorders>
              <w:top w:val="single" w:sz="4" w:space="0" w:color="D3D3D3"/>
              <w:left w:val="nil"/>
              <w:bottom w:val="single" w:sz="4" w:space="0" w:color="D3D3D3"/>
              <w:right w:val="single" w:sz="4" w:space="0" w:color="D3D3D3"/>
            </w:tcBorders>
            <w:shd w:val="clear" w:color="auto" w:fill="auto"/>
            <w:hideMark/>
          </w:tcPr>
          <w:p w14:paraId="09D3CA53"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1130048</w:t>
            </w:r>
          </w:p>
        </w:tc>
        <w:tc>
          <w:tcPr>
            <w:tcW w:w="5529" w:type="dxa"/>
            <w:tcBorders>
              <w:top w:val="single" w:sz="4" w:space="0" w:color="D3D3D3"/>
              <w:left w:val="nil"/>
              <w:bottom w:val="single" w:sz="4" w:space="0" w:color="D3D3D3"/>
              <w:right w:val="single" w:sz="4" w:space="0" w:color="D3D3D3"/>
            </w:tcBorders>
            <w:shd w:val="clear" w:color="auto" w:fill="auto"/>
            <w:hideMark/>
          </w:tcPr>
          <w:p w14:paraId="1D0596A4"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WEST DIGITAL TELEVISION NO.3 PTY LTD</w:t>
            </w:r>
          </w:p>
        </w:tc>
        <w:tc>
          <w:tcPr>
            <w:tcW w:w="2551" w:type="dxa"/>
            <w:tcBorders>
              <w:top w:val="nil"/>
              <w:left w:val="nil"/>
              <w:bottom w:val="single" w:sz="4" w:space="0" w:color="D3D3D3"/>
              <w:right w:val="single" w:sz="4" w:space="0" w:color="D3D3D3"/>
            </w:tcBorders>
            <w:shd w:val="clear" w:color="auto" w:fill="auto"/>
            <w:hideMark/>
          </w:tcPr>
          <w:p w14:paraId="7A70C5CD"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69.43</w:t>
            </w:r>
          </w:p>
        </w:tc>
        <w:tc>
          <w:tcPr>
            <w:tcW w:w="2977" w:type="dxa"/>
            <w:tcBorders>
              <w:top w:val="nil"/>
              <w:left w:val="nil"/>
              <w:bottom w:val="single" w:sz="4" w:space="0" w:color="D3D3D3"/>
              <w:right w:val="single" w:sz="4" w:space="0" w:color="D3D3D3"/>
            </w:tcBorders>
            <w:shd w:val="clear" w:color="auto" w:fill="auto"/>
            <w:hideMark/>
          </w:tcPr>
          <w:p w14:paraId="53613A77"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1,567.83</w:t>
            </w:r>
          </w:p>
        </w:tc>
        <w:tc>
          <w:tcPr>
            <w:tcW w:w="2551" w:type="dxa"/>
            <w:tcBorders>
              <w:top w:val="nil"/>
              <w:left w:val="nil"/>
              <w:bottom w:val="single" w:sz="4" w:space="0" w:color="D3D3D3"/>
              <w:right w:val="single" w:sz="4" w:space="0" w:color="D3D3D3"/>
            </w:tcBorders>
            <w:shd w:val="clear" w:color="auto" w:fill="auto"/>
            <w:hideMark/>
          </w:tcPr>
          <w:p w14:paraId="540CBDC6" w14:textId="607762DC"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278.00</w:t>
            </w:r>
          </w:p>
        </w:tc>
      </w:tr>
      <w:tr w:rsidR="002E512E" w:rsidRPr="00C0306A" w14:paraId="19844A83"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hideMark/>
          </w:tcPr>
          <w:p w14:paraId="1807282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WDW</w:t>
            </w:r>
          </w:p>
        </w:tc>
        <w:tc>
          <w:tcPr>
            <w:tcW w:w="1559" w:type="dxa"/>
            <w:tcBorders>
              <w:top w:val="single" w:sz="4" w:space="0" w:color="D3D3D3"/>
              <w:left w:val="nil"/>
              <w:bottom w:val="single" w:sz="4" w:space="0" w:color="D3D3D3"/>
              <w:right w:val="single" w:sz="4" w:space="0" w:color="D3D3D3"/>
            </w:tcBorders>
            <w:shd w:val="clear" w:color="auto" w:fill="auto"/>
            <w:hideMark/>
          </w:tcPr>
          <w:p w14:paraId="659C6AC9"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1130047</w:t>
            </w:r>
          </w:p>
        </w:tc>
        <w:tc>
          <w:tcPr>
            <w:tcW w:w="5529" w:type="dxa"/>
            <w:tcBorders>
              <w:top w:val="single" w:sz="4" w:space="0" w:color="D3D3D3"/>
              <w:left w:val="nil"/>
              <w:bottom w:val="single" w:sz="4" w:space="0" w:color="D3D3D3"/>
              <w:right w:val="single" w:sz="4" w:space="0" w:color="D3D3D3"/>
            </w:tcBorders>
            <w:shd w:val="clear" w:color="auto" w:fill="auto"/>
            <w:hideMark/>
          </w:tcPr>
          <w:p w14:paraId="3CB97C35" w14:textId="77777777" w:rsidR="002E512E" w:rsidRPr="00C0306A" w:rsidRDefault="002E512E" w:rsidP="002E512E">
            <w:pPr>
              <w:spacing w:after="0" w:line="240" w:lineRule="auto"/>
              <w:rPr>
                <w:rFonts w:cs="Arial"/>
                <w:color w:val="000000"/>
                <w:sz w:val="18"/>
                <w:szCs w:val="18"/>
              </w:rPr>
            </w:pPr>
            <w:r w:rsidRPr="00C0306A">
              <w:rPr>
                <w:rFonts w:cs="Arial"/>
                <w:color w:val="000000"/>
                <w:sz w:val="18"/>
                <w:szCs w:val="18"/>
              </w:rPr>
              <w:t>WEST DIGITAL TELEVISION NO.4 PTY LTD</w:t>
            </w:r>
          </w:p>
        </w:tc>
        <w:tc>
          <w:tcPr>
            <w:tcW w:w="2551" w:type="dxa"/>
            <w:tcBorders>
              <w:top w:val="nil"/>
              <w:left w:val="nil"/>
              <w:bottom w:val="single" w:sz="4" w:space="0" w:color="D3D3D3"/>
              <w:right w:val="single" w:sz="4" w:space="0" w:color="D3D3D3"/>
            </w:tcBorders>
            <w:shd w:val="clear" w:color="auto" w:fill="auto"/>
            <w:hideMark/>
          </w:tcPr>
          <w:p w14:paraId="32DED944"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69.43</w:t>
            </w:r>
          </w:p>
        </w:tc>
        <w:tc>
          <w:tcPr>
            <w:tcW w:w="2977" w:type="dxa"/>
            <w:tcBorders>
              <w:top w:val="nil"/>
              <w:left w:val="nil"/>
              <w:bottom w:val="single" w:sz="4" w:space="0" w:color="D3D3D3"/>
              <w:right w:val="single" w:sz="4" w:space="0" w:color="D3D3D3"/>
            </w:tcBorders>
            <w:shd w:val="clear" w:color="auto" w:fill="auto"/>
            <w:hideMark/>
          </w:tcPr>
          <w:p w14:paraId="2A41E1A4" w14:textId="77777777"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1,567.83</w:t>
            </w:r>
          </w:p>
        </w:tc>
        <w:tc>
          <w:tcPr>
            <w:tcW w:w="2551" w:type="dxa"/>
            <w:tcBorders>
              <w:top w:val="nil"/>
              <w:left w:val="nil"/>
              <w:bottom w:val="single" w:sz="4" w:space="0" w:color="D3D3D3"/>
              <w:right w:val="single" w:sz="4" w:space="0" w:color="D3D3D3"/>
            </w:tcBorders>
            <w:shd w:val="clear" w:color="auto" w:fill="auto"/>
            <w:hideMark/>
          </w:tcPr>
          <w:p w14:paraId="3C7A258C" w14:textId="46FF089B" w:rsidR="002E512E" w:rsidRPr="00C0306A" w:rsidRDefault="002E512E" w:rsidP="00294E91">
            <w:pPr>
              <w:spacing w:after="0" w:line="240" w:lineRule="auto"/>
              <w:jc w:val="right"/>
              <w:rPr>
                <w:rFonts w:cs="Arial"/>
                <w:color w:val="000000"/>
                <w:sz w:val="18"/>
                <w:szCs w:val="18"/>
              </w:rPr>
            </w:pPr>
            <w:r w:rsidRPr="00C0306A">
              <w:rPr>
                <w:rFonts w:cs="Arial"/>
                <w:color w:val="000000"/>
                <w:sz w:val="18"/>
                <w:szCs w:val="18"/>
              </w:rPr>
              <w:t>278.00</w:t>
            </w:r>
          </w:p>
        </w:tc>
      </w:tr>
      <w:tr w:rsidR="002E512E" w:rsidRPr="00C0306A" w14:paraId="2F5ED125"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hideMark/>
          </w:tcPr>
          <w:p w14:paraId="1CEB0BC3" w14:textId="77777777" w:rsidR="002E512E" w:rsidRPr="00C0306A" w:rsidRDefault="002E512E" w:rsidP="002E512E">
            <w:pPr>
              <w:spacing w:after="0" w:line="240" w:lineRule="auto"/>
              <w:rPr>
                <w:rFonts w:cs="Arial"/>
                <w:b/>
                <w:bCs/>
                <w:szCs w:val="20"/>
              </w:rPr>
            </w:pPr>
            <w:r w:rsidRPr="005B4DB0">
              <w:rPr>
                <w:rFonts w:cs="Arial"/>
                <w:b/>
                <w:bCs/>
                <w:szCs w:val="20"/>
              </w:rPr>
              <w:t xml:space="preserve">VAST licences: </w:t>
            </w:r>
            <w:r w:rsidRPr="00C0306A">
              <w:rPr>
                <w:rFonts w:cs="Arial"/>
                <w:b/>
                <w:bCs/>
                <w:szCs w:val="20"/>
              </w:rPr>
              <w:t>(</w:t>
            </w:r>
            <w:r w:rsidRPr="005B4DB0">
              <w:rPr>
                <w:rFonts w:cs="Arial"/>
                <w:b/>
                <w:bCs/>
                <w:szCs w:val="20"/>
              </w:rPr>
              <w:t>9 callsigns)</w:t>
            </w:r>
            <w:r w:rsidRPr="00C0306A">
              <w:rPr>
                <w:rFonts w:cs="Arial"/>
                <w:b/>
                <w:bCs/>
                <w:szCs w:val="20"/>
              </w:rPr>
              <w:t> </w:t>
            </w:r>
          </w:p>
        </w:tc>
      </w:tr>
      <w:tr w:rsidR="002E512E" w:rsidRPr="00C0306A" w14:paraId="4C91DC2F"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tcPr>
          <w:p w14:paraId="6897ED3E" w14:textId="4C3189DB" w:rsidR="002E512E" w:rsidRPr="005B4DB0" w:rsidRDefault="002E512E" w:rsidP="002E512E">
            <w:pPr>
              <w:spacing w:after="0" w:line="240" w:lineRule="auto"/>
              <w:rPr>
                <w:rFonts w:cs="Arial"/>
                <w:b/>
                <w:bCs/>
                <w:szCs w:val="20"/>
              </w:rPr>
            </w:pPr>
            <w:r w:rsidRPr="00C0306A">
              <w:rPr>
                <w:rFonts w:cs="Arial"/>
                <w:b/>
                <w:bCs/>
                <w:szCs w:val="20"/>
              </w:rPr>
              <w:t xml:space="preserve">Major </w:t>
            </w:r>
            <w:r w:rsidR="00430427">
              <w:rPr>
                <w:rFonts w:cs="Arial"/>
                <w:b/>
                <w:bCs/>
                <w:szCs w:val="20"/>
              </w:rPr>
              <w:t>s</w:t>
            </w:r>
            <w:r w:rsidRPr="00C0306A">
              <w:rPr>
                <w:rFonts w:cs="Arial"/>
                <w:b/>
                <w:bCs/>
                <w:szCs w:val="20"/>
              </w:rPr>
              <w:t xml:space="preserve">ource of </w:t>
            </w:r>
            <w:r w:rsidR="00430427">
              <w:rPr>
                <w:rFonts w:cs="Arial"/>
                <w:b/>
                <w:bCs/>
                <w:szCs w:val="20"/>
              </w:rPr>
              <w:t>p</w:t>
            </w:r>
            <w:r w:rsidRPr="00C0306A">
              <w:rPr>
                <w:rFonts w:cs="Arial"/>
                <w:b/>
                <w:bCs/>
                <w:szCs w:val="20"/>
              </w:rPr>
              <w:t xml:space="preserve">rograms: </w:t>
            </w:r>
            <w:r w:rsidRPr="005B4DB0">
              <w:rPr>
                <w:rFonts w:cs="Arial"/>
                <w:b/>
                <w:bCs/>
                <w:szCs w:val="20"/>
              </w:rPr>
              <w:t>Nine</w:t>
            </w:r>
          </w:p>
        </w:tc>
      </w:tr>
      <w:tr w:rsidR="002E512E" w:rsidRPr="00C0306A" w14:paraId="13D3353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12B8D929" w14:textId="77777777" w:rsidR="002E512E" w:rsidRPr="005B4DB0" w:rsidRDefault="002E512E" w:rsidP="002E512E">
            <w:pPr>
              <w:spacing w:after="0" w:line="240" w:lineRule="auto"/>
              <w:rPr>
                <w:rFonts w:cs="Arial"/>
                <w:sz w:val="18"/>
                <w:szCs w:val="18"/>
              </w:rPr>
            </w:pPr>
            <w:r w:rsidRPr="005B4DB0">
              <w:rPr>
                <w:rFonts w:cs="Arial"/>
                <w:sz w:val="18"/>
                <w:szCs w:val="18"/>
              </w:rPr>
              <w:t>SVW (WIN9)</w:t>
            </w:r>
          </w:p>
        </w:tc>
        <w:tc>
          <w:tcPr>
            <w:tcW w:w="1559" w:type="dxa"/>
            <w:tcBorders>
              <w:top w:val="single" w:sz="4" w:space="0" w:color="D3D3D3"/>
              <w:left w:val="nil"/>
              <w:bottom w:val="single" w:sz="4" w:space="0" w:color="D3D3D3"/>
              <w:right w:val="single" w:sz="4" w:space="0" w:color="D3D3D3"/>
            </w:tcBorders>
            <w:shd w:val="clear" w:color="auto" w:fill="auto"/>
          </w:tcPr>
          <w:p w14:paraId="586FA474" w14:textId="77777777" w:rsidR="002E512E" w:rsidRPr="005B4DB0" w:rsidRDefault="002E512E" w:rsidP="002E512E">
            <w:pPr>
              <w:spacing w:after="0" w:line="240" w:lineRule="auto"/>
              <w:rPr>
                <w:rFonts w:cs="Arial"/>
                <w:sz w:val="18"/>
                <w:szCs w:val="18"/>
              </w:rPr>
            </w:pPr>
            <w:r w:rsidRPr="005B4DB0">
              <w:rPr>
                <w:rFonts w:cs="Arial"/>
                <w:sz w:val="18"/>
                <w:szCs w:val="18"/>
              </w:rPr>
              <w:t>1130166</w:t>
            </w:r>
          </w:p>
        </w:tc>
        <w:tc>
          <w:tcPr>
            <w:tcW w:w="5529" w:type="dxa"/>
            <w:tcBorders>
              <w:top w:val="single" w:sz="4" w:space="0" w:color="D3D3D3"/>
              <w:left w:val="nil"/>
              <w:bottom w:val="single" w:sz="4" w:space="0" w:color="D3D3D3"/>
              <w:right w:val="single" w:sz="4" w:space="0" w:color="D3D3D3"/>
            </w:tcBorders>
            <w:shd w:val="clear" w:color="auto" w:fill="auto"/>
          </w:tcPr>
          <w:p w14:paraId="4E04D693" w14:textId="7E907181" w:rsidR="002E512E" w:rsidRPr="005B4DB0" w:rsidRDefault="002E512E" w:rsidP="002E512E">
            <w:pPr>
              <w:spacing w:after="0" w:line="240" w:lineRule="auto"/>
              <w:rPr>
                <w:rFonts w:cs="Arial"/>
                <w:sz w:val="18"/>
                <w:szCs w:val="18"/>
              </w:rPr>
            </w:pPr>
            <w:r w:rsidRPr="005B4DB0">
              <w:rPr>
                <w:rFonts w:cs="Arial"/>
                <w:sz w:val="18"/>
                <w:szCs w:val="18"/>
              </w:rPr>
              <w:t>WA S</w:t>
            </w:r>
            <w:r w:rsidR="00AA0295">
              <w:rPr>
                <w:rFonts w:cs="Arial"/>
                <w:sz w:val="18"/>
                <w:szCs w:val="18"/>
              </w:rPr>
              <w:t>ATCO PTY LIMITED</w:t>
            </w:r>
          </w:p>
        </w:tc>
        <w:tc>
          <w:tcPr>
            <w:tcW w:w="2551" w:type="dxa"/>
            <w:tcBorders>
              <w:top w:val="nil"/>
              <w:left w:val="nil"/>
              <w:bottom w:val="single" w:sz="4" w:space="0" w:color="D3D3D3"/>
              <w:right w:val="single" w:sz="4" w:space="0" w:color="D3D3D3"/>
            </w:tcBorders>
            <w:shd w:val="clear" w:color="auto" w:fill="auto"/>
            <w:vAlign w:val="bottom"/>
          </w:tcPr>
          <w:p w14:paraId="2AA8967A" w14:textId="77777777" w:rsidR="002E512E" w:rsidRPr="005B4DB0" w:rsidRDefault="002E512E" w:rsidP="00294E91">
            <w:pPr>
              <w:spacing w:after="0" w:line="240" w:lineRule="auto"/>
              <w:jc w:val="right"/>
              <w:rPr>
                <w:rFonts w:cs="Arial"/>
                <w:sz w:val="18"/>
                <w:szCs w:val="18"/>
              </w:rPr>
            </w:pPr>
            <w:r w:rsidRPr="005B4DB0">
              <w:rPr>
                <w:rFonts w:cs="Arial"/>
                <w:sz w:val="18"/>
                <w:szCs w:val="18"/>
              </w:rPr>
              <w:t>72.25</w:t>
            </w:r>
          </w:p>
        </w:tc>
        <w:tc>
          <w:tcPr>
            <w:tcW w:w="2977" w:type="dxa"/>
            <w:tcBorders>
              <w:top w:val="nil"/>
              <w:left w:val="nil"/>
              <w:bottom w:val="single" w:sz="4" w:space="0" w:color="D3D3D3"/>
              <w:right w:val="single" w:sz="4" w:space="0" w:color="D3D3D3"/>
            </w:tcBorders>
            <w:shd w:val="clear" w:color="auto" w:fill="auto"/>
            <w:vAlign w:val="bottom"/>
          </w:tcPr>
          <w:p w14:paraId="20A18E54" w14:textId="77777777" w:rsidR="002E512E" w:rsidRPr="005B4DB0" w:rsidRDefault="002E512E" w:rsidP="00294E91">
            <w:pPr>
              <w:spacing w:after="0" w:line="240" w:lineRule="auto"/>
              <w:jc w:val="right"/>
              <w:rPr>
                <w:rFonts w:cs="Arial"/>
                <w:sz w:val="18"/>
                <w:szCs w:val="18"/>
              </w:rPr>
            </w:pPr>
            <w:r w:rsidRPr="005B4DB0">
              <w:rPr>
                <w:rFonts w:cs="Arial"/>
                <w:sz w:val="18"/>
                <w:szCs w:val="18"/>
              </w:rPr>
              <w:t>5852.65</w:t>
            </w:r>
          </w:p>
        </w:tc>
        <w:tc>
          <w:tcPr>
            <w:tcW w:w="2551" w:type="dxa"/>
            <w:tcBorders>
              <w:top w:val="nil"/>
              <w:left w:val="nil"/>
              <w:bottom w:val="single" w:sz="4" w:space="0" w:color="D3D3D3"/>
              <w:right w:val="single" w:sz="4" w:space="0" w:color="D3D3D3"/>
            </w:tcBorders>
            <w:shd w:val="clear" w:color="auto" w:fill="auto"/>
            <w:vAlign w:val="bottom"/>
          </w:tcPr>
          <w:p w14:paraId="70DDF558" w14:textId="1681AD79" w:rsidR="002E512E" w:rsidRPr="005B4DB0" w:rsidRDefault="002E512E" w:rsidP="00294E91">
            <w:pPr>
              <w:spacing w:after="0" w:line="240" w:lineRule="auto"/>
              <w:jc w:val="right"/>
              <w:rPr>
                <w:rFonts w:cs="Arial"/>
                <w:sz w:val="18"/>
                <w:szCs w:val="18"/>
              </w:rPr>
            </w:pPr>
            <w:r w:rsidRPr="005B4DB0">
              <w:rPr>
                <w:rFonts w:cs="Arial"/>
                <w:sz w:val="18"/>
                <w:szCs w:val="18"/>
              </w:rPr>
              <w:t>250.00</w:t>
            </w:r>
            <w:r w:rsidR="00566062" w:rsidRPr="00D23AE5">
              <w:rPr>
                <w:rFonts w:cs="Arial"/>
                <w:sz w:val="18"/>
                <w:szCs w:val="18"/>
                <w:vertAlign w:val="superscript"/>
              </w:rPr>
              <w:t>#</w:t>
            </w:r>
          </w:p>
        </w:tc>
      </w:tr>
      <w:tr w:rsidR="002E512E" w:rsidRPr="00C0306A" w14:paraId="024D5F62"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28AD8D1F" w14:textId="77777777" w:rsidR="002E512E" w:rsidRPr="005B4DB0" w:rsidRDefault="002E512E" w:rsidP="002E512E">
            <w:pPr>
              <w:spacing w:after="0" w:line="240" w:lineRule="auto"/>
              <w:rPr>
                <w:rFonts w:cs="Arial"/>
                <w:sz w:val="18"/>
                <w:szCs w:val="18"/>
              </w:rPr>
            </w:pPr>
            <w:r w:rsidRPr="005B4DB0">
              <w:rPr>
                <w:rFonts w:cs="Arial"/>
                <w:sz w:val="18"/>
                <w:szCs w:val="18"/>
              </w:rPr>
              <w:t>VAN (IMP)</w:t>
            </w:r>
          </w:p>
        </w:tc>
        <w:tc>
          <w:tcPr>
            <w:tcW w:w="1559" w:type="dxa"/>
            <w:tcBorders>
              <w:top w:val="single" w:sz="4" w:space="0" w:color="D3D3D3"/>
              <w:left w:val="nil"/>
              <w:bottom w:val="single" w:sz="4" w:space="0" w:color="D3D3D3"/>
              <w:right w:val="single" w:sz="4" w:space="0" w:color="D3D3D3"/>
            </w:tcBorders>
            <w:shd w:val="clear" w:color="auto" w:fill="auto"/>
          </w:tcPr>
          <w:p w14:paraId="250BA7B2" w14:textId="77777777" w:rsidR="002E512E" w:rsidRPr="005B4DB0" w:rsidRDefault="002E512E" w:rsidP="002E512E">
            <w:pPr>
              <w:spacing w:after="0" w:line="240" w:lineRule="auto"/>
              <w:rPr>
                <w:rFonts w:cs="Arial"/>
                <w:sz w:val="18"/>
                <w:szCs w:val="18"/>
              </w:rPr>
            </w:pPr>
            <w:r w:rsidRPr="005B4DB0">
              <w:rPr>
                <w:rFonts w:cs="Arial"/>
                <w:sz w:val="18"/>
                <w:szCs w:val="18"/>
              </w:rPr>
              <w:t>1130136</w:t>
            </w:r>
          </w:p>
        </w:tc>
        <w:tc>
          <w:tcPr>
            <w:tcW w:w="5529" w:type="dxa"/>
            <w:tcBorders>
              <w:top w:val="single" w:sz="4" w:space="0" w:color="D3D3D3"/>
              <w:left w:val="nil"/>
              <w:bottom w:val="single" w:sz="4" w:space="0" w:color="D3D3D3"/>
              <w:right w:val="single" w:sz="4" w:space="0" w:color="D3D3D3"/>
            </w:tcBorders>
            <w:shd w:val="clear" w:color="auto" w:fill="auto"/>
          </w:tcPr>
          <w:p w14:paraId="4B2D0B70" w14:textId="7FFA07A1" w:rsidR="002E512E" w:rsidRPr="005B4DB0" w:rsidRDefault="002E512E" w:rsidP="002E512E">
            <w:pPr>
              <w:spacing w:after="0" w:line="240" w:lineRule="auto"/>
              <w:rPr>
                <w:rFonts w:cs="Arial"/>
                <w:sz w:val="18"/>
                <w:szCs w:val="18"/>
              </w:rPr>
            </w:pPr>
            <w:r w:rsidRPr="005B4DB0">
              <w:rPr>
                <w:rFonts w:cs="Arial"/>
                <w:sz w:val="18"/>
                <w:szCs w:val="18"/>
              </w:rPr>
              <w:t>E</w:t>
            </w:r>
            <w:r w:rsidR="00AA0295">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1A1CB53C" w14:textId="019F9176" w:rsidR="002E512E" w:rsidRPr="005B4DB0" w:rsidRDefault="002E512E" w:rsidP="00294E91">
            <w:pPr>
              <w:spacing w:after="0" w:line="240" w:lineRule="auto"/>
              <w:jc w:val="right"/>
              <w:rPr>
                <w:rFonts w:cs="Arial"/>
                <w:sz w:val="18"/>
                <w:szCs w:val="18"/>
              </w:rPr>
            </w:pPr>
            <w:r w:rsidRPr="005B4DB0">
              <w:rPr>
                <w:rFonts w:cs="Arial"/>
                <w:sz w:val="18"/>
                <w:szCs w:val="18"/>
              </w:rPr>
              <w:t>77.70</w:t>
            </w:r>
          </w:p>
        </w:tc>
        <w:tc>
          <w:tcPr>
            <w:tcW w:w="2977" w:type="dxa"/>
            <w:tcBorders>
              <w:top w:val="nil"/>
              <w:left w:val="nil"/>
              <w:bottom w:val="single" w:sz="4" w:space="0" w:color="D3D3D3"/>
              <w:right w:val="single" w:sz="4" w:space="0" w:color="D3D3D3"/>
            </w:tcBorders>
            <w:shd w:val="clear" w:color="auto" w:fill="auto"/>
            <w:vAlign w:val="bottom"/>
          </w:tcPr>
          <w:p w14:paraId="5A6187B3" w14:textId="0A812A11" w:rsidR="002E512E" w:rsidRPr="005B4DB0" w:rsidRDefault="002E512E" w:rsidP="00294E91">
            <w:pPr>
              <w:spacing w:after="0" w:line="240" w:lineRule="auto"/>
              <w:jc w:val="right"/>
              <w:rPr>
                <w:rFonts w:cs="Arial"/>
                <w:sz w:val="18"/>
                <w:szCs w:val="18"/>
              </w:rPr>
            </w:pPr>
            <w:r w:rsidRPr="00C0306A">
              <w:rPr>
                <w:rFonts w:cs="Arial"/>
                <w:sz w:val="18"/>
                <w:szCs w:val="18"/>
              </w:rPr>
              <w:t>1,</w:t>
            </w:r>
            <w:r w:rsidRPr="005B4DB0">
              <w:rPr>
                <w:rFonts w:cs="Arial"/>
                <w:sz w:val="18"/>
                <w:szCs w:val="18"/>
              </w:rPr>
              <w:t>460.00^</w:t>
            </w:r>
          </w:p>
        </w:tc>
        <w:tc>
          <w:tcPr>
            <w:tcW w:w="2551" w:type="dxa"/>
            <w:tcBorders>
              <w:top w:val="nil"/>
              <w:left w:val="nil"/>
              <w:bottom w:val="single" w:sz="4" w:space="0" w:color="D3D3D3"/>
              <w:right w:val="single" w:sz="4" w:space="0" w:color="D3D3D3"/>
            </w:tcBorders>
            <w:shd w:val="clear" w:color="auto" w:fill="auto"/>
            <w:vAlign w:val="bottom"/>
          </w:tcPr>
          <w:p w14:paraId="6A9FD41D" w14:textId="2A0161B9" w:rsidR="002E512E" w:rsidRPr="005B4DB0" w:rsidRDefault="002E512E" w:rsidP="00294E91">
            <w:pPr>
              <w:spacing w:after="0" w:line="240" w:lineRule="auto"/>
              <w:jc w:val="right"/>
              <w:rPr>
                <w:rFonts w:cs="Arial"/>
                <w:sz w:val="18"/>
                <w:szCs w:val="18"/>
              </w:rPr>
            </w:pPr>
            <w:r w:rsidRPr="005B4DB0">
              <w:rPr>
                <w:rFonts w:cs="Arial"/>
                <w:sz w:val="18"/>
                <w:szCs w:val="18"/>
              </w:rPr>
              <w:t>270.50</w:t>
            </w:r>
          </w:p>
        </w:tc>
      </w:tr>
      <w:tr w:rsidR="002E512E" w:rsidRPr="00C0306A" w14:paraId="32E6C1F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6D50E70D" w14:textId="77777777" w:rsidR="002E512E" w:rsidRPr="005B4DB0" w:rsidRDefault="002E512E" w:rsidP="002E512E">
            <w:pPr>
              <w:spacing w:after="0" w:line="240" w:lineRule="auto"/>
              <w:rPr>
                <w:rFonts w:cs="Arial"/>
                <w:sz w:val="18"/>
                <w:szCs w:val="18"/>
              </w:rPr>
            </w:pPr>
            <w:r w:rsidRPr="005B4DB0">
              <w:rPr>
                <w:rFonts w:cs="Arial"/>
                <w:sz w:val="18"/>
                <w:szCs w:val="18"/>
              </w:rPr>
              <w:t>VAS (IMP)</w:t>
            </w:r>
          </w:p>
        </w:tc>
        <w:tc>
          <w:tcPr>
            <w:tcW w:w="1559" w:type="dxa"/>
            <w:tcBorders>
              <w:top w:val="single" w:sz="4" w:space="0" w:color="D3D3D3"/>
              <w:left w:val="nil"/>
              <w:bottom w:val="single" w:sz="4" w:space="0" w:color="D3D3D3"/>
              <w:right w:val="single" w:sz="4" w:space="0" w:color="D3D3D3"/>
            </w:tcBorders>
            <w:shd w:val="clear" w:color="auto" w:fill="auto"/>
          </w:tcPr>
          <w:p w14:paraId="53BCBD42" w14:textId="77777777" w:rsidR="002E512E" w:rsidRPr="005B4DB0" w:rsidRDefault="002E512E" w:rsidP="002E512E">
            <w:pPr>
              <w:spacing w:after="0" w:line="240" w:lineRule="auto"/>
              <w:rPr>
                <w:rFonts w:cs="Arial"/>
                <w:sz w:val="18"/>
                <w:szCs w:val="18"/>
              </w:rPr>
            </w:pPr>
            <w:r w:rsidRPr="005B4DB0">
              <w:rPr>
                <w:rFonts w:cs="Arial"/>
                <w:sz w:val="18"/>
                <w:szCs w:val="18"/>
              </w:rPr>
              <w:t>1130135</w:t>
            </w:r>
          </w:p>
        </w:tc>
        <w:tc>
          <w:tcPr>
            <w:tcW w:w="5529" w:type="dxa"/>
            <w:tcBorders>
              <w:top w:val="single" w:sz="4" w:space="0" w:color="D3D3D3"/>
              <w:left w:val="nil"/>
              <w:bottom w:val="single" w:sz="4" w:space="0" w:color="D3D3D3"/>
              <w:right w:val="single" w:sz="4" w:space="0" w:color="D3D3D3"/>
            </w:tcBorders>
            <w:shd w:val="clear" w:color="auto" w:fill="auto"/>
          </w:tcPr>
          <w:p w14:paraId="0AB56E2A" w14:textId="4EAE6218" w:rsidR="002E512E" w:rsidRPr="005B4DB0" w:rsidRDefault="00AA0295" w:rsidP="002E512E">
            <w:pPr>
              <w:spacing w:after="0" w:line="240" w:lineRule="auto"/>
              <w:rPr>
                <w:rFonts w:cs="Arial"/>
                <w:sz w:val="18"/>
                <w:szCs w:val="18"/>
              </w:rPr>
            </w:pPr>
            <w:r w:rsidRPr="005B4DB0">
              <w:rPr>
                <w:rFonts w:cs="Arial"/>
                <w:sz w:val="18"/>
                <w:szCs w:val="18"/>
              </w:rPr>
              <w:t>E</w:t>
            </w:r>
            <w:r>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6D4FE4EC" w14:textId="619C188F" w:rsidR="002E512E" w:rsidRPr="005B4DB0" w:rsidRDefault="002E512E" w:rsidP="00294E91">
            <w:pPr>
              <w:spacing w:after="0" w:line="240" w:lineRule="auto"/>
              <w:jc w:val="right"/>
              <w:rPr>
                <w:rFonts w:cs="Arial"/>
                <w:sz w:val="18"/>
                <w:szCs w:val="18"/>
              </w:rPr>
            </w:pPr>
            <w:r w:rsidRPr="005B4DB0">
              <w:rPr>
                <w:rFonts w:cs="Arial"/>
                <w:sz w:val="18"/>
                <w:szCs w:val="18"/>
              </w:rPr>
              <w:t>77.70</w:t>
            </w:r>
          </w:p>
        </w:tc>
        <w:tc>
          <w:tcPr>
            <w:tcW w:w="2977" w:type="dxa"/>
            <w:tcBorders>
              <w:top w:val="nil"/>
              <w:left w:val="nil"/>
              <w:bottom w:val="single" w:sz="4" w:space="0" w:color="D3D3D3"/>
              <w:right w:val="single" w:sz="4" w:space="0" w:color="D3D3D3"/>
            </w:tcBorders>
            <w:shd w:val="clear" w:color="auto" w:fill="auto"/>
            <w:vAlign w:val="bottom"/>
          </w:tcPr>
          <w:p w14:paraId="2D0E1D42" w14:textId="235C0204" w:rsidR="002E512E" w:rsidRPr="005B4DB0" w:rsidRDefault="002E512E" w:rsidP="00294E91">
            <w:pPr>
              <w:spacing w:after="0" w:line="240" w:lineRule="auto"/>
              <w:jc w:val="right"/>
              <w:rPr>
                <w:rFonts w:cs="Arial"/>
                <w:sz w:val="18"/>
                <w:szCs w:val="18"/>
              </w:rPr>
            </w:pPr>
            <w:r w:rsidRPr="00C0306A">
              <w:rPr>
                <w:rFonts w:cs="Arial"/>
                <w:sz w:val="18"/>
                <w:szCs w:val="18"/>
              </w:rPr>
              <w:t>1,</w:t>
            </w:r>
            <w:r w:rsidRPr="005B4DB0">
              <w:rPr>
                <w:rFonts w:cs="Arial"/>
                <w:sz w:val="18"/>
                <w:szCs w:val="18"/>
              </w:rPr>
              <w:t>460.00^</w:t>
            </w:r>
          </w:p>
        </w:tc>
        <w:tc>
          <w:tcPr>
            <w:tcW w:w="2551" w:type="dxa"/>
            <w:tcBorders>
              <w:top w:val="nil"/>
              <w:left w:val="nil"/>
              <w:bottom w:val="single" w:sz="4" w:space="0" w:color="D3D3D3"/>
              <w:right w:val="single" w:sz="4" w:space="0" w:color="D3D3D3"/>
            </w:tcBorders>
            <w:shd w:val="clear" w:color="auto" w:fill="auto"/>
            <w:vAlign w:val="bottom"/>
          </w:tcPr>
          <w:p w14:paraId="118539A2" w14:textId="5B5364EC" w:rsidR="002E512E" w:rsidRPr="005B4DB0" w:rsidRDefault="002E512E" w:rsidP="00294E91">
            <w:pPr>
              <w:spacing w:after="0" w:line="240" w:lineRule="auto"/>
              <w:jc w:val="right"/>
              <w:rPr>
                <w:rFonts w:cs="Arial"/>
                <w:sz w:val="18"/>
                <w:szCs w:val="18"/>
              </w:rPr>
            </w:pPr>
            <w:r w:rsidRPr="005B4DB0">
              <w:rPr>
                <w:rFonts w:cs="Arial"/>
                <w:sz w:val="18"/>
                <w:szCs w:val="18"/>
              </w:rPr>
              <w:t>270.50</w:t>
            </w:r>
          </w:p>
        </w:tc>
      </w:tr>
      <w:tr w:rsidR="002E512E" w:rsidRPr="00C0306A" w14:paraId="628000F5"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tcPr>
          <w:p w14:paraId="0FE0507E" w14:textId="5E864612" w:rsidR="002E512E" w:rsidRPr="005B4DB0" w:rsidRDefault="002E512E" w:rsidP="002E55B6">
            <w:pPr>
              <w:keepNext/>
              <w:keepLines/>
              <w:spacing w:after="0" w:line="240" w:lineRule="auto"/>
              <w:rPr>
                <w:rFonts w:cs="Arial"/>
                <w:b/>
                <w:bCs/>
                <w:szCs w:val="20"/>
              </w:rPr>
            </w:pPr>
            <w:r w:rsidRPr="00C0306A">
              <w:rPr>
                <w:rFonts w:cs="Arial"/>
                <w:b/>
                <w:bCs/>
                <w:szCs w:val="20"/>
              </w:rPr>
              <w:t xml:space="preserve">Major </w:t>
            </w:r>
            <w:r w:rsidR="00430427">
              <w:rPr>
                <w:rFonts w:cs="Arial"/>
                <w:b/>
                <w:bCs/>
                <w:szCs w:val="20"/>
              </w:rPr>
              <w:t>s</w:t>
            </w:r>
            <w:r w:rsidRPr="00C0306A">
              <w:rPr>
                <w:rFonts w:cs="Arial"/>
                <w:b/>
                <w:bCs/>
                <w:szCs w:val="20"/>
              </w:rPr>
              <w:t xml:space="preserve">ource of </w:t>
            </w:r>
            <w:r w:rsidR="00430427">
              <w:rPr>
                <w:rFonts w:cs="Arial"/>
                <w:b/>
                <w:bCs/>
                <w:szCs w:val="20"/>
              </w:rPr>
              <w:t>p</w:t>
            </w:r>
            <w:r w:rsidRPr="00C0306A">
              <w:rPr>
                <w:rFonts w:cs="Arial"/>
                <w:b/>
                <w:bCs/>
                <w:szCs w:val="20"/>
              </w:rPr>
              <w:t xml:space="preserve">rograms: </w:t>
            </w:r>
            <w:r w:rsidRPr="005B4DB0">
              <w:rPr>
                <w:rFonts w:cs="Arial"/>
                <w:b/>
                <w:bCs/>
                <w:szCs w:val="20"/>
              </w:rPr>
              <w:t>Seven</w:t>
            </w:r>
          </w:p>
        </w:tc>
      </w:tr>
      <w:tr w:rsidR="002E512E" w:rsidRPr="00C0306A" w14:paraId="339C3337"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63B1A778"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SVW (GWN7)</w:t>
            </w:r>
          </w:p>
        </w:tc>
        <w:tc>
          <w:tcPr>
            <w:tcW w:w="1559" w:type="dxa"/>
            <w:tcBorders>
              <w:top w:val="single" w:sz="4" w:space="0" w:color="D3D3D3"/>
              <w:left w:val="nil"/>
              <w:bottom w:val="single" w:sz="4" w:space="0" w:color="D3D3D3"/>
              <w:right w:val="single" w:sz="4" w:space="0" w:color="D3D3D3"/>
            </w:tcBorders>
            <w:shd w:val="clear" w:color="auto" w:fill="auto"/>
          </w:tcPr>
          <w:p w14:paraId="31729916"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1130166</w:t>
            </w:r>
          </w:p>
        </w:tc>
        <w:tc>
          <w:tcPr>
            <w:tcW w:w="5529" w:type="dxa"/>
            <w:tcBorders>
              <w:top w:val="single" w:sz="4" w:space="0" w:color="D3D3D3"/>
              <w:left w:val="nil"/>
              <w:bottom w:val="single" w:sz="4" w:space="0" w:color="D3D3D3"/>
              <w:right w:val="single" w:sz="4" w:space="0" w:color="D3D3D3"/>
            </w:tcBorders>
            <w:shd w:val="clear" w:color="auto" w:fill="auto"/>
          </w:tcPr>
          <w:p w14:paraId="1467A973" w14:textId="1DBB13C3" w:rsidR="002E512E" w:rsidRPr="005B4DB0" w:rsidRDefault="00AA0295" w:rsidP="002E55B6">
            <w:pPr>
              <w:keepNext/>
              <w:keepLines/>
              <w:spacing w:after="0" w:line="240" w:lineRule="auto"/>
              <w:rPr>
                <w:rFonts w:cs="Arial"/>
                <w:sz w:val="18"/>
                <w:szCs w:val="18"/>
              </w:rPr>
            </w:pPr>
            <w:r w:rsidRPr="005B4DB0">
              <w:rPr>
                <w:rFonts w:cs="Arial"/>
                <w:sz w:val="18"/>
                <w:szCs w:val="18"/>
              </w:rPr>
              <w:t>WA S</w:t>
            </w:r>
            <w:r>
              <w:rPr>
                <w:rFonts w:cs="Arial"/>
                <w:sz w:val="18"/>
                <w:szCs w:val="18"/>
              </w:rPr>
              <w:t>ATCO PTY LIMITED</w:t>
            </w:r>
          </w:p>
        </w:tc>
        <w:tc>
          <w:tcPr>
            <w:tcW w:w="2551" w:type="dxa"/>
            <w:tcBorders>
              <w:top w:val="nil"/>
              <w:left w:val="nil"/>
              <w:bottom w:val="single" w:sz="4" w:space="0" w:color="D3D3D3"/>
              <w:right w:val="single" w:sz="4" w:space="0" w:color="D3D3D3"/>
            </w:tcBorders>
            <w:shd w:val="clear" w:color="auto" w:fill="auto"/>
            <w:vAlign w:val="bottom"/>
          </w:tcPr>
          <w:p w14:paraId="67DC6D0D"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71.29</w:t>
            </w:r>
          </w:p>
        </w:tc>
        <w:tc>
          <w:tcPr>
            <w:tcW w:w="2977" w:type="dxa"/>
            <w:tcBorders>
              <w:top w:val="nil"/>
              <w:left w:val="nil"/>
              <w:bottom w:val="single" w:sz="4" w:space="0" w:color="D3D3D3"/>
              <w:right w:val="single" w:sz="4" w:space="0" w:color="D3D3D3"/>
            </w:tcBorders>
            <w:shd w:val="clear" w:color="auto" w:fill="auto"/>
            <w:vAlign w:val="bottom"/>
          </w:tcPr>
          <w:p w14:paraId="0E50887B"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5093.35</w:t>
            </w:r>
          </w:p>
        </w:tc>
        <w:tc>
          <w:tcPr>
            <w:tcW w:w="2551" w:type="dxa"/>
            <w:tcBorders>
              <w:top w:val="nil"/>
              <w:left w:val="nil"/>
              <w:bottom w:val="single" w:sz="4" w:space="0" w:color="D3D3D3"/>
              <w:right w:val="single" w:sz="4" w:space="0" w:color="D3D3D3"/>
            </w:tcBorders>
            <w:shd w:val="clear" w:color="auto" w:fill="auto"/>
            <w:vAlign w:val="bottom"/>
          </w:tcPr>
          <w:p w14:paraId="42909AB8" w14:textId="4CD1B81C" w:rsidR="002E512E" w:rsidRPr="005B4DB0" w:rsidRDefault="002E512E" w:rsidP="00294E91">
            <w:pPr>
              <w:keepNext/>
              <w:keepLines/>
              <w:spacing w:after="0" w:line="240" w:lineRule="auto"/>
              <w:jc w:val="right"/>
              <w:rPr>
                <w:rFonts w:cs="Arial"/>
                <w:sz w:val="18"/>
                <w:szCs w:val="18"/>
              </w:rPr>
            </w:pPr>
            <w:r w:rsidRPr="005B4DB0">
              <w:rPr>
                <w:rFonts w:cs="Arial"/>
                <w:sz w:val="18"/>
                <w:szCs w:val="18"/>
              </w:rPr>
              <w:t>360.00</w:t>
            </w:r>
          </w:p>
        </w:tc>
      </w:tr>
      <w:tr w:rsidR="002E512E" w:rsidRPr="00C0306A" w14:paraId="0A32B18A"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0A6585B9"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VAN (SCT)</w:t>
            </w:r>
          </w:p>
        </w:tc>
        <w:tc>
          <w:tcPr>
            <w:tcW w:w="1559" w:type="dxa"/>
            <w:tcBorders>
              <w:top w:val="single" w:sz="4" w:space="0" w:color="D3D3D3"/>
              <w:left w:val="nil"/>
              <w:bottom w:val="single" w:sz="4" w:space="0" w:color="D3D3D3"/>
              <w:right w:val="single" w:sz="4" w:space="0" w:color="D3D3D3"/>
            </w:tcBorders>
            <w:shd w:val="clear" w:color="auto" w:fill="auto"/>
          </w:tcPr>
          <w:p w14:paraId="73C7BB48"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1130136</w:t>
            </w:r>
          </w:p>
        </w:tc>
        <w:tc>
          <w:tcPr>
            <w:tcW w:w="5529" w:type="dxa"/>
            <w:tcBorders>
              <w:top w:val="single" w:sz="4" w:space="0" w:color="D3D3D3"/>
              <w:left w:val="nil"/>
              <w:bottom w:val="single" w:sz="4" w:space="0" w:color="D3D3D3"/>
              <w:right w:val="single" w:sz="4" w:space="0" w:color="D3D3D3"/>
            </w:tcBorders>
            <w:shd w:val="clear" w:color="auto" w:fill="auto"/>
          </w:tcPr>
          <w:p w14:paraId="5068B862" w14:textId="04947864" w:rsidR="002E512E" w:rsidRPr="005B4DB0" w:rsidRDefault="00AA0295" w:rsidP="002E55B6">
            <w:pPr>
              <w:keepNext/>
              <w:keepLines/>
              <w:spacing w:after="0" w:line="240" w:lineRule="auto"/>
              <w:rPr>
                <w:rFonts w:cs="Arial"/>
                <w:sz w:val="18"/>
                <w:szCs w:val="18"/>
              </w:rPr>
            </w:pPr>
            <w:r w:rsidRPr="005B4DB0">
              <w:rPr>
                <w:rFonts w:cs="Arial"/>
                <w:sz w:val="18"/>
                <w:szCs w:val="18"/>
              </w:rPr>
              <w:t>E</w:t>
            </w:r>
            <w:r>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5C7671EC"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72.54</w:t>
            </w:r>
          </w:p>
        </w:tc>
        <w:tc>
          <w:tcPr>
            <w:tcW w:w="2977" w:type="dxa"/>
            <w:tcBorders>
              <w:top w:val="nil"/>
              <w:left w:val="nil"/>
              <w:bottom w:val="single" w:sz="4" w:space="0" w:color="D3D3D3"/>
              <w:right w:val="single" w:sz="4" w:space="0" w:color="D3D3D3"/>
            </w:tcBorders>
            <w:shd w:val="clear" w:color="auto" w:fill="auto"/>
            <w:vAlign w:val="bottom"/>
          </w:tcPr>
          <w:p w14:paraId="46FD6145"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5157.55</w:t>
            </w:r>
          </w:p>
        </w:tc>
        <w:tc>
          <w:tcPr>
            <w:tcW w:w="2551" w:type="dxa"/>
            <w:tcBorders>
              <w:top w:val="nil"/>
              <w:left w:val="nil"/>
              <w:bottom w:val="single" w:sz="4" w:space="0" w:color="D3D3D3"/>
              <w:right w:val="single" w:sz="4" w:space="0" w:color="D3D3D3"/>
            </w:tcBorders>
            <w:shd w:val="clear" w:color="auto" w:fill="auto"/>
            <w:vAlign w:val="bottom"/>
          </w:tcPr>
          <w:p w14:paraId="01897B8C" w14:textId="2490ED3B" w:rsidR="002E512E" w:rsidRPr="005B4DB0" w:rsidRDefault="002E512E" w:rsidP="00294E91">
            <w:pPr>
              <w:keepNext/>
              <w:keepLines/>
              <w:spacing w:after="0" w:line="240" w:lineRule="auto"/>
              <w:jc w:val="right"/>
              <w:rPr>
                <w:rFonts w:cs="Arial"/>
                <w:sz w:val="18"/>
                <w:szCs w:val="18"/>
              </w:rPr>
            </w:pPr>
            <w:r w:rsidRPr="005B4DB0">
              <w:rPr>
                <w:rFonts w:cs="Arial"/>
                <w:sz w:val="18"/>
                <w:szCs w:val="18"/>
              </w:rPr>
              <w:t>373.75</w:t>
            </w:r>
          </w:p>
        </w:tc>
      </w:tr>
      <w:tr w:rsidR="002E512E" w:rsidRPr="00C0306A" w14:paraId="73CF0896"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55D1BA72"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VAS (SCT)</w:t>
            </w:r>
          </w:p>
        </w:tc>
        <w:tc>
          <w:tcPr>
            <w:tcW w:w="1559" w:type="dxa"/>
            <w:tcBorders>
              <w:top w:val="single" w:sz="4" w:space="0" w:color="D3D3D3"/>
              <w:left w:val="nil"/>
              <w:bottom w:val="single" w:sz="4" w:space="0" w:color="D3D3D3"/>
              <w:right w:val="single" w:sz="4" w:space="0" w:color="D3D3D3"/>
            </w:tcBorders>
            <w:shd w:val="clear" w:color="auto" w:fill="auto"/>
          </w:tcPr>
          <w:p w14:paraId="69EA93E8"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1130135</w:t>
            </w:r>
          </w:p>
        </w:tc>
        <w:tc>
          <w:tcPr>
            <w:tcW w:w="5529" w:type="dxa"/>
            <w:tcBorders>
              <w:top w:val="single" w:sz="4" w:space="0" w:color="D3D3D3"/>
              <w:left w:val="nil"/>
              <w:bottom w:val="single" w:sz="4" w:space="0" w:color="D3D3D3"/>
              <w:right w:val="single" w:sz="4" w:space="0" w:color="D3D3D3"/>
            </w:tcBorders>
            <w:shd w:val="clear" w:color="auto" w:fill="auto"/>
          </w:tcPr>
          <w:p w14:paraId="67392C15" w14:textId="4F1C0776" w:rsidR="002E512E" w:rsidRPr="005B4DB0" w:rsidRDefault="00AA0295" w:rsidP="002E55B6">
            <w:pPr>
              <w:keepNext/>
              <w:keepLines/>
              <w:spacing w:after="0" w:line="240" w:lineRule="auto"/>
              <w:rPr>
                <w:rFonts w:cs="Arial"/>
                <w:sz w:val="18"/>
                <w:szCs w:val="18"/>
              </w:rPr>
            </w:pPr>
            <w:r w:rsidRPr="005B4DB0">
              <w:rPr>
                <w:rFonts w:cs="Arial"/>
                <w:sz w:val="18"/>
                <w:szCs w:val="18"/>
              </w:rPr>
              <w:t>E</w:t>
            </w:r>
            <w:r>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175D04B0"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76.26</w:t>
            </w:r>
          </w:p>
        </w:tc>
        <w:tc>
          <w:tcPr>
            <w:tcW w:w="2977" w:type="dxa"/>
            <w:tcBorders>
              <w:top w:val="nil"/>
              <w:left w:val="nil"/>
              <w:bottom w:val="single" w:sz="4" w:space="0" w:color="D3D3D3"/>
              <w:right w:val="single" w:sz="4" w:space="0" w:color="D3D3D3"/>
            </w:tcBorders>
            <w:shd w:val="clear" w:color="auto" w:fill="auto"/>
            <w:vAlign w:val="bottom"/>
          </w:tcPr>
          <w:p w14:paraId="66898C5B"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5176.10</w:t>
            </w:r>
          </w:p>
        </w:tc>
        <w:tc>
          <w:tcPr>
            <w:tcW w:w="2551" w:type="dxa"/>
            <w:tcBorders>
              <w:top w:val="nil"/>
              <w:left w:val="nil"/>
              <w:bottom w:val="single" w:sz="4" w:space="0" w:color="D3D3D3"/>
              <w:right w:val="single" w:sz="4" w:space="0" w:color="D3D3D3"/>
            </w:tcBorders>
            <w:shd w:val="clear" w:color="auto" w:fill="auto"/>
            <w:vAlign w:val="bottom"/>
          </w:tcPr>
          <w:p w14:paraId="45DA76A5" w14:textId="66E9A8DA" w:rsidR="002E512E" w:rsidRPr="005B4DB0" w:rsidRDefault="002E512E" w:rsidP="00294E91">
            <w:pPr>
              <w:keepNext/>
              <w:keepLines/>
              <w:spacing w:after="0" w:line="240" w:lineRule="auto"/>
              <w:jc w:val="right"/>
              <w:rPr>
                <w:rFonts w:cs="Arial"/>
                <w:sz w:val="18"/>
                <w:szCs w:val="18"/>
              </w:rPr>
            </w:pPr>
            <w:r w:rsidRPr="005B4DB0">
              <w:rPr>
                <w:rFonts w:cs="Arial"/>
                <w:sz w:val="18"/>
                <w:szCs w:val="18"/>
              </w:rPr>
              <w:t>373.75</w:t>
            </w:r>
          </w:p>
        </w:tc>
      </w:tr>
      <w:tr w:rsidR="002E512E" w:rsidRPr="00C0306A" w14:paraId="7AB2EBCA" w14:textId="77777777" w:rsidTr="00430427">
        <w:trPr>
          <w:trHeight w:val="272"/>
        </w:trPr>
        <w:tc>
          <w:tcPr>
            <w:tcW w:w="16438" w:type="dxa"/>
            <w:gridSpan w:val="6"/>
            <w:tcBorders>
              <w:top w:val="single" w:sz="4" w:space="0" w:color="D3D3D3"/>
              <w:left w:val="single" w:sz="4" w:space="0" w:color="D3D3D3"/>
              <w:bottom w:val="single" w:sz="4" w:space="0" w:color="D3D3D3"/>
            </w:tcBorders>
            <w:shd w:val="clear" w:color="F5F5F5" w:fill="F5F5F5"/>
            <w:vAlign w:val="center"/>
          </w:tcPr>
          <w:p w14:paraId="0B4B10DD" w14:textId="525664E4" w:rsidR="002E512E" w:rsidRPr="005B4DB0" w:rsidRDefault="002E512E" w:rsidP="002E55B6">
            <w:pPr>
              <w:keepNext/>
              <w:keepLines/>
              <w:spacing w:after="0" w:line="240" w:lineRule="auto"/>
              <w:rPr>
                <w:rFonts w:cs="Arial"/>
                <w:b/>
                <w:bCs/>
                <w:szCs w:val="20"/>
              </w:rPr>
            </w:pPr>
            <w:r w:rsidRPr="00C0306A">
              <w:rPr>
                <w:rFonts w:cs="Arial"/>
                <w:b/>
                <w:bCs/>
                <w:szCs w:val="20"/>
              </w:rPr>
              <w:t xml:space="preserve">Major </w:t>
            </w:r>
            <w:r w:rsidR="00430427">
              <w:rPr>
                <w:rFonts w:cs="Arial"/>
                <w:b/>
                <w:bCs/>
                <w:szCs w:val="20"/>
              </w:rPr>
              <w:t>s</w:t>
            </w:r>
            <w:r w:rsidRPr="00C0306A">
              <w:rPr>
                <w:rFonts w:cs="Arial"/>
                <w:b/>
                <w:bCs/>
                <w:szCs w:val="20"/>
              </w:rPr>
              <w:t xml:space="preserve">ource of </w:t>
            </w:r>
            <w:r w:rsidR="00430427">
              <w:rPr>
                <w:rFonts w:cs="Arial"/>
                <w:b/>
                <w:bCs/>
                <w:szCs w:val="20"/>
              </w:rPr>
              <w:t>p</w:t>
            </w:r>
            <w:r w:rsidRPr="00C0306A">
              <w:rPr>
                <w:rFonts w:cs="Arial"/>
                <w:b/>
                <w:bCs/>
                <w:szCs w:val="20"/>
              </w:rPr>
              <w:t xml:space="preserve">rograms: </w:t>
            </w:r>
            <w:r w:rsidRPr="005B4DB0">
              <w:rPr>
                <w:rFonts w:cs="Arial"/>
                <w:b/>
                <w:bCs/>
                <w:szCs w:val="20"/>
              </w:rPr>
              <w:t>Ten</w:t>
            </w:r>
          </w:p>
        </w:tc>
      </w:tr>
      <w:tr w:rsidR="002E512E" w:rsidRPr="00C0306A" w14:paraId="6DEFCF4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3D0C9407"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SVW (WIN10)</w:t>
            </w:r>
          </w:p>
        </w:tc>
        <w:tc>
          <w:tcPr>
            <w:tcW w:w="1559" w:type="dxa"/>
            <w:tcBorders>
              <w:top w:val="single" w:sz="4" w:space="0" w:color="D3D3D3"/>
              <w:left w:val="nil"/>
              <w:bottom w:val="single" w:sz="4" w:space="0" w:color="D3D3D3"/>
              <w:right w:val="single" w:sz="4" w:space="0" w:color="D3D3D3"/>
            </w:tcBorders>
            <w:shd w:val="clear" w:color="auto" w:fill="auto"/>
          </w:tcPr>
          <w:p w14:paraId="26979CE6"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1130166</w:t>
            </w:r>
          </w:p>
        </w:tc>
        <w:tc>
          <w:tcPr>
            <w:tcW w:w="5529" w:type="dxa"/>
            <w:tcBorders>
              <w:top w:val="single" w:sz="4" w:space="0" w:color="D3D3D3"/>
              <w:left w:val="nil"/>
              <w:bottom w:val="single" w:sz="4" w:space="0" w:color="D3D3D3"/>
              <w:right w:val="single" w:sz="4" w:space="0" w:color="D3D3D3"/>
            </w:tcBorders>
            <w:shd w:val="clear" w:color="auto" w:fill="auto"/>
          </w:tcPr>
          <w:p w14:paraId="216ADA8E" w14:textId="57C293E0" w:rsidR="002E512E" w:rsidRPr="005B4DB0" w:rsidRDefault="00AA0295" w:rsidP="002E55B6">
            <w:pPr>
              <w:keepNext/>
              <w:keepLines/>
              <w:spacing w:after="0" w:line="240" w:lineRule="auto"/>
              <w:rPr>
                <w:rFonts w:cs="Arial"/>
                <w:sz w:val="18"/>
                <w:szCs w:val="18"/>
              </w:rPr>
            </w:pPr>
            <w:r w:rsidRPr="005B4DB0">
              <w:rPr>
                <w:rFonts w:cs="Arial"/>
                <w:sz w:val="18"/>
                <w:szCs w:val="18"/>
              </w:rPr>
              <w:t>WA S</w:t>
            </w:r>
            <w:r>
              <w:rPr>
                <w:rFonts w:cs="Arial"/>
                <w:sz w:val="18"/>
                <w:szCs w:val="18"/>
              </w:rPr>
              <w:t>ATCO PTY LIMITED</w:t>
            </w:r>
          </w:p>
        </w:tc>
        <w:tc>
          <w:tcPr>
            <w:tcW w:w="2551" w:type="dxa"/>
            <w:tcBorders>
              <w:top w:val="nil"/>
              <w:left w:val="nil"/>
              <w:bottom w:val="single" w:sz="4" w:space="0" w:color="D3D3D3"/>
              <w:right w:val="single" w:sz="4" w:space="0" w:color="D3D3D3"/>
            </w:tcBorders>
            <w:shd w:val="clear" w:color="auto" w:fill="auto"/>
            <w:vAlign w:val="bottom"/>
          </w:tcPr>
          <w:p w14:paraId="1B4F3981"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69.43</w:t>
            </w:r>
          </w:p>
        </w:tc>
        <w:tc>
          <w:tcPr>
            <w:tcW w:w="2977" w:type="dxa"/>
            <w:tcBorders>
              <w:top w:val="nil"/>
              <w:left w:val="nil"/>
              <w:bottom w:val="single" w:sz="4" w:space="0" w:color="D3D3D3"/>
              <w:right w:val="single" w:sz="4" w:space="0" w:color="D3D3D3"/>
            </w:tcBorders>
            <w:shd w:val="clear" w:color="auto" w:fill="auto"/>
            <w:vAlign w:val="bottom"/>
          </w:tcPr>
          <w:p w14:paraId="495DBB04"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1567.83</w:t>
            </w:r>
          </w:p>
        </w:tc>
        <w:tc>
          <w:tcPr>
            <w:tcW w:w="2551" w:type="dxa"/>
            <w:tcBorders>
              <w:top w:val="nil"/>
              <w:left w:val="nil"/>
              <w:bottom w:val="single" w:sz="4" w:space="0" w:color="D3D3D3"/>
              <w:right w:val="single" w:sz="4" w:space="0" w:color="D3D3D3"/>
            </w:tcBorders>
            <w:shd w:val="clear" w:color="auto" w:fill="auto"/>
            <w:vAlign w:val="bottom"/>
          </w:tcPr>
          <w:p w14:paraId="2BDC684A" w14:textId="7B081D18" w:rsidR="002E512E" w:rsidRPr="005B4DB0" w:rsidRDefault="002E512E" w:rsidP="00294E91">
            <w:pPr>
              <w:keepNext/>
              <w:keepLines/>
              <w:spacing w:after="0" w:line="240" w:lineRule="auto"/>
              <w:jc w:val="right"/>
              <w:rPr>
                <w:rFonts w:cs="Arial"/>
                <w:sz w:val="18"/>
                <w:szCs w:val="18"/>
              </w:rPr>
            </w:pPr>
            <w:r w:rsidRPr="005B4DB0">
              <w:rPr>
                <w:rFonts w:cs="Arial"/>
                <w:sz w:val="18"/>
                <w:szCs w:val="18"/>
              </w:rPr>
              <w:t>278.00</w:t>
            </w:r>
          </w:p>
        </w:tc>
      </w:tr>
      <w:tr w:rsidR="002E512E" w:rsidRPr="00C0306A" w14:paraId="07948B90"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23F00873"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VAN (CDT)</w:t>
            </w:r>
          </w:p>
        </w:tc>
        <w:tc>
          <w:tcPr>
            <w:tcW w:w="1559" w:type="dxa"/>
            <w:tcBorders>
              <w:top w:val="single" w:sz="4" w:space="0" w:color="D3D3D3"/>
              <w:left w:val="nil"/>
              <w:bottom w:val="single" w:sz="4" w:space="0" w:color="D3D3D3"/>
              <w:right w:val="single" w:sz="4" w:space="0" w:color="D3D3D3"/>
            </w:tcBorders>
            <w:shd w:val="clear" w:color="auto" w:fill="auto"/>
          </w:tcPr>
          <w:p w14:paraId="4A80F107"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1130136</w:t>
            </w:r>
          </w:p>
        </w:tc>
        <w:tc>
          <w:tcPr>
            <w:tcW w:w="5529" w:type="dxa"/>
            <w:tcBorders>
              <w:top w:val="single" w:sz="4" w:space="0" w:color="D3D3D3"/>
              <w:left w:val="nil"/>
              <w:bottom w:val="single" w:sz="4" w:space="0" w:color="D3D3D3"/>
              <w:right w:val="single" w:sz="4" w:space="0" w:color="D3D3D3"/>
            </w:tcBorders>
            <w:shd w:val="clear" w:color="auto" w:fill="auto"/>
          </w:tcPr>
          <w:p w14:paraId="4FAB7DCC" w14:textId="068D220E" w:rsidR="002E512E" w:rsidRPr="005B4DB0" w:rsidRDefault="00AA0295" w:rsidP="002E55B6">
            <w:pPr>
              <w:keepNext/>
              <w:keepLines/>
              <w:spacing w:after="0" w:line="240" w:lineRule="auto"/>
              <w:rPr>
                <w:rFonts w:cs="Arial"/>
                <w:sz w:val="18"/>
                <w:szCs w:val="18"/>
              </w:rPr>
            </w:pPr>
            <w:r w:rsidRPr="005B4DB0">
              <w:rPr>
                <w:rFonts w:cs="Arial"/>
                <w:sz w:val="18"/>
                <w:szCs w:val="18"/>
              </w:rPr>
              <w:t>E</w:t>
            </w:r>
            <w:r>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0105D64D"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67.81</w:t>
            </w:r>
          </w:p>
        </w:tc>
        <w:tc>
          <w:tcPr>
            <w:tcW w:w="2977" w:type="dxa"/>
            <w:tcBorders>
              <w:top w:val="nil"/>
              <w:left w:val="nil"/>
              <w:bottom w:val="single" w:sz="4" w:space="0" w:color="D3D3D3"/>
              <w:right w:val="single" w:sz="4" w:space="0" w:color="D3D3D3"/>
            </w:tcBorders>
            <w:shd w:val="clear" w:color="auto" w:fill="auto"/>
            <w:vAlign w:val="bottom"/>
          </w:tcPr>
          <w:p w14:paraId="57FAFD9F" w14:textId="19FB87FE" w:rsidR="002E512E" w:rsidRPr="005B4DB0" w:rsidRDefault="002E512E" w:rsidP="00294E91">
            <w:pPr>
              <w:keepNext/>
              <w:keepLines/>
              <w:spacing w:after="0" w:line="240" w:lineRule="auto"/>
              <w:jc w:val="right"/>
              <w:rPr>
                <w:rFonts w:cs="Arial"/>
                <w:sz w:val="18"/>
                <w:szCs w:val="18"/>
              </w:rPr>
            </w:pPr>
            <w:r w:rsidRPr="00C0306A">
              <w:rPr>
                <w:rFonts w:cs="Arial"/>
                <w:sz w:val="18"/>
                <w:szCs w:val="18"/>
              </w:rPr>
              <w:t>1,</w:t>
            </w:r>
            <w:r w:rsidRPr="005B4DB0">
              <w:rPr>
                <w:rFonts w:cs="Arial"/>
                <w:sz w:val="18"/>
                <w:szCs w:val="18"/>
              </w:rPr>
              <w:t>460.00^</w:t>
            </w:r>
          </w:p>
        </w:tc>
        <w:tc>
          <w:tcPr>
            <w:tcW w:w="2551" w:type="dxa"/>
            <w:tcBorders>
              <w:top w:val="nil"/>
              <w:left w:val="nil"/>
              <w:bottom w:val="single" w:sz="4" w:space="0" w:color="D3D3D3"/>
              <w:right w:val="single" w:sz="4" w:space="0" w:color="D3D3D3"/>
            </w:tcBorders>
            <w:shd w:val="clear" w:color="auto" w:fill="auto"/>
            <w:vAlign w:val="bottom"/>
          </w:tcPr>
          <w:p w14:paraId="52E098B3" w14:textId="07E8BB40" w:rsidR="002E512E" w:rsidRPr="005B4DB0" w:rsidRDefault="002E512E" w:rsidP="00294E91">
            <w:pPr>
              <w:keepNext/>
              <w:keepLines/>
              <w:spacing w:after="0" w:line="240" w:lineRule="auto"/>
              <w:jc w:val="right"/>
              <w:rPr>
                <w:rFonts w:cs="Arial"/>
                <w:sz w:val="18"/>
                <w:szCs w:val="18"/>
              </w:rPr>
            </w:pPr>
            <w:r w:rsidRPr="005B4DB0">
              <w:rPr>
                <w:rFonts w:cs="Arial"/>
                <w:sz w:val="18"/>
                <w:szCs w:val="18"/>
              </w:rPr>
              <w:t>250.00</w:t>
            </w:r>
            <w:r w:rsidR="00566062" w:rsidRPr="00D23AE5">
              <w:rPr>
                <w:rFonts w:cs="Arial"/>
                <w:sz w:val="18"/>
                <w:szCs w:val="18"/>
                <w:vertAlign w:val="superscript"/>
              </w:rPr>
              <w:t>#</w:t>
            </w:r>
          </w:p>
        </w:tc>
      </w:tr>
      <w:tr w:rsidR="002E512E" w:rsidRPr="00C0306A" w14:paraId="61B74CB9"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auto" w:fill="auto"/>
          </w:tcPr>
          <w:p w14:paraId="68BAB5C7"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VAS (CDT)</w:t>
            </w:r>
          </w:p>
        </w:tc>
        <w:tc>
          <w:tcPr>
            <w:tcW w:w="1559" w:type="dxa"/>
            <w:tcBorders>
              <w:top w:val="single" w:sz="4" w:space="0" w:color="D3D3D3"/>
              <w:left w:val="nil"/>
              <w:bottom w:val="single" w:sz="4" w:space="0" w:color="D3D3D3"/>
              <w:right w:val="single" w:sz="4" w:space="0" w:color="D3D3D3"/>
            </w:tcBorders>
            <w:shd w:val="clear" w:color="auto" w:fill="auto"/>
          </w:tcPr>
          <w:p w14:paraId="5DDC8269" w14:textId="77777777" w:rsidR="002E512E" w:rsidRPr="005B4DB0" w:rsidRDefault="002E512E" w:rsidP="002E55B6">
            <w:pPr>
              <w:keepNext/>
              <w:keepLines/>
              <w:spacing w:after="0" w:line="240" w:lineRule="auto"/>
              <w:rPr>
                <w:rFonts w:cs="Arial"/>
                <w:sz w:val="18"/>
                <w:szCs w:val="18"/>
              </w:rPr>
            </w:pPr>
            <w:r w:rsidRPr="005B4DB0">
              <w:rPr>
                <w:rFonts w:cs="Arial"/>
                <w:sz w:val="18"/>
                <w:szCs w:val="18"/>
              </w:rPr>
              <w:t>1130135</w:t>
            </w:r>
          </w:p>
        </w:tc>
        <w:tc>
          <w:tcPr>
            <w:tcW w:w="5529" w:type="dxa"/>
            <w:tcBorders>
              <w:top w:val="single" w:sz="4" w:space="0" w:color="D3D3D3"/>
              <w:left w:val="nil"/>
              <w:bottom w:val="single" w:sz="4" w:space="0" w:color="D3D3D3"/>
              <w:right w:val="single" w:sz="4" w:space="0" w:color="D3D3D3"/>
            </w:tcBorders>
            <w:shd w:val="clear" w:color="auto" w:fill="auto"/>
          </w:tcPr>
          <w:p w14:paraId="6F83DE4B" w14:textId="590744B6" w:rsidR="002E512E" w:rsidRPr="005B4DB0" w:rsidRDefault="00AA0295" w:rsidP="002E55B6">
            <w:pPr>
              <w:keepNext/>
              <w:keepLines/>
              <w:spacing w:after="0" w:line="240" w:lineRule="auto"/>
              <w:rPr>
                <w:rFonts w:cs="Arial"/>
                <w:sz w:val="18"/>
                <w:szCs w:val="18"/>
              </w:rPr>
            </w:pPr>
            <w:r w:rsidRPr="005B4DB0">
              <w:rPr>
                <w:rFonts w:cs="Arial"/>
                <w:sz w:val="18"/>
                <w:szCs w:val="18"/>
              </w:rPr>
              <w:t>E</w:t>
            </w:r>
            <w:r>
              <w:rPr>
                <w:rFonts w:cs="Arial"/>
                <w:sz w:val="18"/>
                <w:szCs w:val="18"/>
              </w:rPr>
              <w:t>ASTERN AUSTRALIA SATELLITE BROADCASTERS PTY LTD</w:t>
            </w:r>
          </w:p>
        </w:tc>
        <w:tc>
          <w:tcPr>
            <w:tcW w:w="2551" w:type="dxa"/>
            <w:tcBorders>
              <w:top w:val="nil"/>
              <w:left w:val="nil"/>
              <w:bottom w:val="single" w:sz="4" w:space="0" w:color="D3D3D3"/>
              <w:right w:val="single" w:sz="4" w:space="0" w:color="D3D3D3"/>
            </w:tcBorders>
            <w:shd w:val="clear" w:color="auto" w:fill="auto"/>
            <w:vAlign w:val="bottom"/>
          </w:tcPr>
          <w:p w14:paraId="30F3CF85" w14:textId="77777777" w:rsidR="002E512E" w:rsidRPr="005B4DB0" w:rsidRDefault="002E512E" w:rsidP="00294E91">
            <w:pPr>
              <w:keepNext/>
              <w:keepLines/>
              <w:spacing w:after="0" w:line="240" w:lineRule="auto"/>
              <w:jc w:val="right"/>
              <w:rPr>
                <w:rFonts w:cs="Arial"/>
                <w:sz w:val="18"/>
                <w:szCs w:val="18"/>
              </w:rPr>
            </w:pPr>
            <w:r w:rsidRPr="005B4DB0">
              <w:rPr>
                <w:rFonts w:cs="Arial"/>
                <w:sz w:val="18"/>
                <w:szCs w:val="18"/>
              </w:rPr>
              <w:t>67.99</w:t>
            </w:r>
          </w:p>
        </w:tc>
        <w:tc>
          <w:tcPr>
            <w:tcW w:w="2977" w:type="dxa"/>
            <w:tcBorders>
              <w:top w:val="nil"/>
              <w:left w:val="nil"/>
              <w:bottom w:val="single" w:sz="4" w:space="0" w:color="D3D3D3"/>
              <w:right w:val="single" w:sz="4" w:space="0" w:color="D3D3D3"/>
            </w:tcBorders>
            <w:shd w:val="clear" w:color="auto" w:fill="auto"/>
            <w:vAlign w:val="bottom"/>
          </w:tcPr>
          <w:p w14:paraId="146CE6EE" w14:textId="5B5203C7" w:rsidR="002E512E" w:rsidRPr="005B4DB0" w:rsidRDefault="002E512E" w:rsidP="00294E91">
            <w:pPr>
              <w:keepNext/>
              <w:keepLines/>
              <w:spacing w:after="0" w:line="240" w:lineRule="auto"/>
              <w:jc w:val="right"/>
              <w:rPr>
                <w:rFonts w:cs="Arial"/>
                <w:sz w:val="18"/>
                <w:szCs w:val="18"/>
              </w:rPr>
            </w:pPr>
            <w:r w:rsidRPr="00C0306A">
              <w:rPr>
                <w:rFonts w:cs="Arial"/>
                <w:sz w:val="18"/>
                <w:szCs w:val="18"/>
              </w:rPr>
              <w:t>1,</w:t>
            </w:r>
            <w:r w:rsidRPr="005B4DB0">
              <w:rPr>
                <w:rFonts w:cs="Arial"/>
                <w:sz w:val="18"/>
                <w:szCs w:val="18"/>
              </w:rPr>
              <w:t>460.00^</w:t>
            </w:r>
          </w:p>
        </w:tc>
        <w:tc>
          <w:tcPr>
            <w:tcW w:w="2551" w:type="dxa"/>
            <w:tcBorders>
              <w:top w:val="nil"/>
              <w:left w:val="nil"/>
              <w:bottom w:val="single" w:sz="4" w:space="0" w:color="D3D3D3"/>
              <w:right w:val="single" w:sz="4" w:space="0" w:color="D3D3D3"/>
            </w:tcBorders>
            <w:shd w:val="clear" w:color="auto" w:fill="auto"/>
            <w:vAlign w:val="bottom"/>
          </w:tcPr>
          <w:p w14:paraId="30E3E21F" w14:textId="066433E3" w:rsidR="002E512E" w:rsidRPr="005B4DB0" w:rsidRDefault="002E512E" w:rsidP="00294E91">
            <w:pPr>
              <w:keepNext/>
              <w:keepLines/>
              <w:spacing w:after="0" w:line="240" w:lineRule="auto"/>
              <w:jc w:val="right"/>
              <w:rPr>
                <w:rFonts w:cs="Arial"/>
                <w:sz w:val="18"/>
                <w:szCs w:val="18"/>
              </w:rPr>
            </w:pPr>
            <w:r w:rsidRPr="005B4DB0">
              <w:rPr>
                <w:rFonts w:cs="Arial"/>
                <w:sz w:val="18"/>
                <w:szCs w:val="18"/>
              </w:rPr>
              <w:t>250.00</w:t>
            </w:r>
            <w:r w:rsidR="00566062" w:rsidRPr="00D23AE5">
              <w:rPr>
                <w:rFonts w:cs="Arial"/>
                <w:sz w:val="18"/>
                <w:szCs w:val="18"/>
                <w:vertAlign w:val="superscript"/>
              </w:rPr>
              <w:t>#</w:t>
            </w:r>
          </w:p>
        </w:tc>
      </w:tr>
      <w:tr w:rsidR="00430427" w:rsidRPr="00C0306A" w14:paraId="3A58D436" w14:textId="77777777" w:rsidTr="00F07E76">
        <w:trPr>
          <w:trHeight w:val="272"/>
        </w:trPr>
        <w:tc>
          <w:tcPr>
            <w:tcW w:w="2830" w:type="dxa"/>
            <w:gridSpan w:val="2"/>
            <w:tcBorders>
              <w:top w:val="nil"/>
              <w:left w:val="single" w:sz="4" w:space="0" w:color="D3D3D3"/>
              <w:bottom w:val="single" w:sz="4" w:space="0" w:color="D3D3D3"/>
              <w:right w:val="single" w:sz="4" w:space="0" w:color="D3D3D3"/>
            </w:tcBorders>
            <w:shd w:val="clear" w:color="D3D3D3" w:fill="D3D3D3"/>
            <w:hideMark/>
          </w:tcPr>
          <w:p w14:paraId="426D6573" w14:textId="015E5412" w:rsidR="00430427" w:rsidRPr="00C0306A" w:rsidRDefault="00430427" w:rsidP="002E55B6">
            <w:pPr>
              <w:keepNext/>
              <w:keepLines/>
              <w:spacing w:after="0" w:line="240" w:lineRule="auto"/>
              <w:rPr>
                <w:rFonts w:cs="Arial"/>
                <w:b/>
                <w:bCs/>
                <w:color w:val="000000"/>
                <w:sz w:val="18"/>
                <w:szCs w:val="18"/>
              </w:rPr>
            </w:pPr>
            <w:r w:rsidRPr="00C0306A">
              <w:rPr>
                <w:rFonts w:cs="Arial"/>
                <w:b/>
                <w:bCs/>
                <w:color w:val="000000"/>
                <w:sz w:val="18"/>
                <w:szCs w:val="18"/>
              </w:rPr>
              <w:t>Summary</w:t>
            </w:r>
            <w:r>
              <w:rPr>
                <w:rFonts w:cs="Arial"/>
                <w:b/>
                <w:bCs/>
                <w:color w:val="000000"/>
                <w:sz w:val="18"/>
                <w:szCs w:val="18"/>
              </w:rPr>
              <w:t xml:space="preserve"> i</w:t>
            </w:r>
            <w:r w:rsidRPr="00C0306A">
              <w:rPr>
                <w:rFonts w:cs="Arial"/>
                <w:b/>
                <w:bCs/>
                <w:color w:val="000000"/>
                <w:sz w:val="18"/>
                <w:szCs w:val="18"/>
              </w:rPr>
              <w:t>nformation</w:t>
            </w:r>
          </w:p>
        </w:tc>
        <w:tc>
          <w:tcPr>
            <w:tcW w:w="5529" w:type="dxa"/>
            <w:tcBorders>
              <w:top w:val="single" w:sz="4" w:space="0" w:color="D3D3D3"/>
              <w:left w:val="nil"/>
              <w:bottom w:val="single" w:sz="4" w:space="0" w:color="D3D3D3"/>
              <w:right w:val="single" w:sz="4" w:space="0" w:color="D3D3D3"/>
            </w:tcBorders>
            <w:shd w:val="clear" w:color="D3D3D3" w:fill="D3D3D3"/>
            <w:hideMark/>
          </w:tcPr>
          <w:p w14:paraId="79D9BE72" w14:textId="77777777" w:rsidR="00430427" w:rsidRPr="00C0306A" w:rsidRDefault="00430427" w:rsidP="002E55B6">
            <w:pPr>
              <w:keepNext/>
              <w:keepLines/>
              <w:spacing w:after="0" w:line="240" w:lineRule="auto"/>
              <w:jc w:val="right"/>
              <w:rPr>
                <w:rFonts w:cs="Arial"/>
                <w:b/>
                <w:bCs/>
                <w:color w:val="000000"/>
                <w:sz w:val="18"/>
                <w:szCs w:val="18"/>
              </w:rPr>
            </w:pPr>
            <w:r w:rsidRPr="00C0306A">
              <w:rPr>
                <w:rFonts w:cs="Arial"/>
                <w:b/>
                <w:bCs/>
                <w:color w:val="000000"/>
                <w:sz w:val="18"/>
                <w:szCs w:val="18"/>
              </w:rPr>
              <w:t>Lowest</w:t>
            </w:r>
          </w:p>
        </w:tc>
        <w:tc>
          <w:tcPr>
            <w:tcW w:w="2551" w:type="dxa"/>
            <w:tcBorders>
              <w:top w:val="nil"/>
              <w:left w:val="nil"/>
              <w:bottom w:val="single" w:sz="4" w:space="0" w:color="D3D3D3"/>
              <w:right w:val="single" w:sz="4" w:space="0" w:color="D3D3D3"/>
            </w:tcBorders>
            <w:shd w:val="clear" w:color="D3D3D3" w:fill="D3D3D3"/>
            <w:hideMark/>
          </w:tcPr>
          <w:p w14:paraId="316C1B2B" w14:textId="77777777" w:rsidR="00430427" w:rsidRPr="00C0306A" w:rsidRDefault="00430427" w:rsidP="00294E91">
            <w:pPr>
              <w:keepNext/>
              <w:keepLines/>
              <w:spacing w:after="0" w:line="240" w:lineRule="auto"/>
              <w:jc w:val="right"/>
              <w:rPr>
                <w:rFonts w:cs="Arial"/>
                <w:b/>
                <w:bCs/>
                <w:color w:val="000000"/>
                <w:sz w:val="18"/>
                <w:szCs w:val="18"/>
              </w:rPr>
            </w:pPr>
            <w:r w:rsidRPr="00C0306A">
              <w:rPr>
                <w:rFonts w:cs="Arial"/>
                <w:b/>
                <w:bCs/>
                <w:color w:val="000000"/>
                <w:sz w:val="18"/>
                <w:szCs w:val="18"/>
              </w:rPr>
              <w:t>67.81</w:t>
            </w:r>
          </w:p>
        </w:tc>
        <w:tc>
          <w:tcPr>
            <w:tcW w:w="2977" w:type="dxa"/>
            <w:tcBorders>
              <w:top w:val="nil"/>
              <w:left w:val="nil"/>
              <w:bottom w:val="single" w:sz="4" w:space="0" w:color="D3D3D3"/>
              <w:right w:val="single" w:sz="4" w:space="0" w:color="D3D3D3"/>
            </w:tcBorders>
            <w:shd w:val="clear" w:color="D3D3D3" w:fill="D3D3D3"/>
            <w:hideMark/>
          </w:tcPr>
          <w:p w14:paraId="1B5B0EEC" w14:textId="21CE2CC9" w:rsidR="00430427" w:rsidRPr="00C0306A" w:rsidRDefault="00430427" w:rsidP="00294E91">
            <w:pPr>
              <w:keepNext/>
              <w:keepLines/>
              <w:spacing w:after="0" w:line="240" w:lineRule="auto"/>
              <w:jc w:val="right"/>
              <w:rPr>
                <w:rFonts w:cs="Arial"/>
                <w:b/>
                <w:bCs/>
                <w:color w:val="000000"/>
                <w:sz w:val="18"/>
                <w:szCs w:val="18"/>
              </w:rPr>
            </w:pPr>
            <w:r w:rsidRPr="00C0306A">
              <w:rPr>
                <w:rFonts w:cs="Arial"/>
                <w:b/>
                <w:bCs/>
                <w:color w:val="000000"/>
                <w:sz w:val="18"/>
                <w:szCs w:val="18"/>
              </w:rPr>
              <w:t>1,</w:t>
            </w:r>
            <w:r>
              <w:rPr>
                <w:rFonts w:cs="Arial"/>
                <w:b/>
                <w:bCs/>
                <w:color w:val="000000"/>
                <w:sz w:val="18"/>
                <w:szCs w:val="18"/>
              </w:rPr>
              <w:t>460</w:t>
            </w:r>
            <w:r w:rsidRPr="00C0306A">
              <w:rPr>
                <w:rFonts w:cs="Arial"/>
                <w:b/>
                <w:bCs/>
                <w:color w:val="000000"/>
                <w:sz w:val="18"/>
                <w:szCs w:val="18"/>
              </w:rPr>
              <w:t>.</w:t>
            </w:r>
            <w:r>
              <w:rPr>
                <w:rFonts w:cs="Arial"/>
                <w:b/>
                <w:bCs/>
                <w:color w:val="000000"/>
                <w:sz w:val="18"/>
                <w:szCs w:val="18"/>
              </w:rPr>
              <w:t>00</w:t>
            </w:r>
          </w:p>
        </w:tc>
        <w:tc>
          <w:tcPr>
            <w:tcW w:w="2551" w:type="dxa"/>
            <w:tcBorders>
              <w:top w:val="nil"/>
              <w:left w:val="nil"/>
              <w:bottom w:val="single" w:sz="4" w:space="0" w:color="D3D3D3"/>
              <w:right w:val="single" w:sz="4" w:space="0" w:color="D3D3D3"/>
            </w:tcBorders>
            <w:shd w:val="clear" w:color="D3D3D3" w:fill="D3D3D3"/>
            <w:hideMark/>
          </w:tcPr>
          <w:p w14:paraId="0F584675" w14:textId="1F53123D" w:rsidR="00430427" w:rsidRPr="00C0306A" w:rsidRDefault="00430427" w:rsidP="00294E91">
            <w:pPr>
              <w:keepNext/>
              <w:keepLines/>
              <w:spacing w:after="0" w:line="240" w:lineRule="auto"/>
              <w:jc w:val="right"/>
              <w:rPr>
                <w:rFonts w:cs="Arial"/>
                <w:b/>
                <w:bCs/>
                <w:color w:val="000000"/>
                <w:sz w:val="18"/>
                <w:szCs w:val="18"/>
              </w:rPr>
            </w:pPr>
            <w:r w:rsidRPr="00C0306A">
              <w:rPr>
                <w:rFonts w:cs="Arial"/>
                <w:b/>
                <w:bCs/>
                <w:color w:val="000000"/>
                <w:sz w:val="18"/>
                <w:szCs w:val="18"/>
              </w:rPr>
              <w:t>2</w:t>
            </w:r>
            <w:r>
              <w:rPr>
                <w:rFonts w:cs="Arial"/>
                <w:b/>
                <w:bCs/>
                <w:color w:val="000000"/>
                <w:sz w:val="18"/>
                <w:szCs w:val="18"/>
              </w:rPr>
              <w:t>50</w:t>
            </w:r>
            <w:r w:rsidRPr="00C0306A">
              <w:rPr>
                <w:rFonts w:cs="Arial"/>
                <w:b/>
                <w:bCs/>
                <w:color w:val="000000"/>
                <w:sz w:val="18"/>
                <w:szCs w:val="18"/>
              </w:rPr>
              <w:t>.</w:t>
            </w:r>
            <w:r>
              <w:rPr>
                <w:rFonts w:cs="Arial"/>
                <w:b/>
                <w:bCs/>
                <w:color w:val="000000"/>
                <w:sz w:val="18"/>
                <w:szCs w:val="18"/>
              </w:rPr>
              <w:t>00</w:t>
            </w:r>
          </w:p>
        </w:tc>
      </w:tr>
      <w:tr w:rsidR="002E512E" w:rsidRPr="00C0306A" w14:paraId="10D57C15"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FFFFFF" w:fill="FFFFFF"/>
            <w:hideMark/>
          </w:tcPr>
          <w:p w14:paraId="7CD1DCA7" w14:textId="77777777" w:rsidR="002E512E" w:rsidRPr="00C0306A" w:rsidRDefault="002E512E" w:rsidP="002E55B6">
            <w:pPr>
              <w:keepNext/>
              <w:keepLines/>
              <w:spacing w:after="0" w:line="240" w:lineRule="auto"/>
              <w:rPr>
                <w:rFonts w:cs="Arial"/>
                <w:b/>
                <w:bCs/>
                <w:color w:val="000000"/>
                <w:sz w:val="18"/>
                <w:szCs w:val="18"/>
              </w:rPr>
            </w:pPr>
            <w:r w:rsidRPr="00C0306A">
              <w:rPr>
                <w:rFonts w:cs="Arial"/>
                <w:b/>
                <w:bCs/>
                <w:color w:val="000000"/>
                <w:sz w:val="18"/>
                <w:szCs w:val="18"/>
              </w:rPr>
              <w:t> </w:t>
            </w:r>
          </w:p>
        </w:tc>
        <w:tc>
          <w:tcPr>
            <w:tcW w:w="1559" w:type="dxa"/>
            <w:tcBorders>
              <w:top w:val="single" w:sz="4" w:space="0" w:color="D3D3D3"/>
              <w:left w:val="nil"/>
              <w:bottom w:val="single" w:sz="4" w:space="0" w:color="D3D3D3"/>
              <w:right w:val="single" w:sz="4" w:space="0" w:color="D3D3D3"/>
            </w:tcBorders>
            <w:shd w:val="clear" w:color="FFFFFF" w:fill="FFFFFF"/>
            <w:hideMark/>
          </w:tcPr>
          <w:p w14:paraId="1A0AE5FC" w14:textId="77777777" w:rsidR="002E512E" w:rsidRPr="00C0306A" w:rsidRDefault="002E512E" w:rsidP="002E55B6">
            <w:pPr>
              <w:keepNext/>
              <w:keepLines/>
              <w:spacing w:after="0" w:line="240" w:lineRule="auto"/>
              <w:rPr>
                <w:rFonts w:cs="Arial"/>
                <w:b/>
                <w:bCs/>
                <w:color w:val="000000"/>
                <w:sz w:val="18"/>
                <w:szCs w:val="18"/>
              </w:rPr>
            </w:pPr>
            <w:r w:rsidRPr="00C0306A">
              <w:rPr>
                <w:rFonts w:cs="Arial"/>
                <w:b/>
                <w:bCs/>
                <w:color w:val="000000"/>
                <w:sz w:val="18"/>
                <w:szCs w:val="18"/>
              </w:rPr>
              <w:t> </w:t>
            </w:r>
          </w:p>
        </w:tc>
        <w:tc>
          <w:tcPr>
            <w:tcW w:w="5529" w:type="dxa"/>
            <w:tcBorders>
              <w:top w:val="single" w:sz="4" w:space="0" w:color="D3D3D3"/>
              <w:left w:val="nil"/>
              <w:bottom w:val="single" w:sz="4" w:space="0" w:color="D3D3D3"/>
              <w:right w:val="single" w:sz="4" w:space="0" w:color="D3D3D3"/>
            </w:tcBorders>
            <w:shd w:val="clear" w:color="FFFFFF" w:fill="FFFFFF"/>
            <w:hideMark/>
          </w:tcPr>
          <w:p w14:paraId="2F25BD01" w14:textId="77777777" w:rsidR="002E512E" w:rsidRPr="00C0306A" w:rsidRDefault="002E512E" w:rsidP="002E55B6">
            <w:pPr>
              <w:keepNext/>
              <w:keepLines/>
              <w:spacing w:after="0" w:line="240" w:lineRule="auto"/>
              <w:jc w:val="right"/>
              <w:rPr>
                <w:rFonts w:cs="Arial"/>
                <w:b/>
                <w:bCs/>
                <w:color w:val="000000"/>
                <w:sz w:val="18"/>
                <w:szCs w:val="18"/>
              </w:rPr>
            </w:pPr>
            <w:r w:rsidRPr="00C0306A">
              <w:rPr>
                <w:rFonts w:cs="Arial"/>
                <w:b/>
                <w:bCs/>
                <w:color w:val="000000"/>
                <w:sz w:val="18"/>
                <w:szCs w:val="18"/>
              </w:rPr>
              <w:t>Highest</w:t>
            </w:r>
          </w:p>
        </w:tc>
        <w:tc>
          <w:tcPr>
            <w:tcW w:w="2551" w:type="dxa"/>
            <w:tcBorders>
              <w:top w:val="nil"/>
              <w:left w:val="nil"/>
              <w:bottom w:val="single" w:sz="4" w:space="0" w:color="D3D3D3"/>
              <w:right w:val="single" w:sz="4" w:space="0" w:color="D3D3D3"/>
            </w:tcBorders>
            <w:shd w:val="clear" w:color="FFFFFF" w:fill="FFFFFF"/>
            <w:hideMark/>
          </w:tcPr>
          <w:p w14:paraId="55D09BA4" w14:textId="77777777"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77.74</w:t>
            </w:r>
          </w:p>
        </w:tc>
        <w:tc>
          <w:tcPr>
            <w:tcW w:w="2977" w:type="dxa"/>
            <w:tcBorders>
              <w:top w:val="nil"/>
              <w:left w:val="nil"/>
              <w:bottom w:val="single" w:sz="4" w:space="0" w:color="D3D3D3"/>
              <w:right w:val="single" w:sz="4" w:space="0" w:color="D3D3D3"/>
            </w:tcBorders>
            <w:shd w:val="clear" w:color="FFFFFF" w:fill="FFFFFF"/>
            <w:hideMark/>
          </w:tcPr>
          <w:p w14:paraId="3EEFB8F9" w14:textId="77777777"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8,205.05</w:t>
            </w:r>
          </w:p>
        </w:tc>
        <w:tc>
          <w:tcPr>
            <w:tcW w:w="2551" w:type="dxa"/>
            <w:tcBorders>
              <w:top w:val="nil"/>
              <w:left w:val="nil"/>
              <w:bottom w:val="single" w:sz="4" w:space="0" w:color="D3D3D3"/>
              <w:right w:val="single" w:sz="4" w:space="0" w:color="D3D3D3"/>
            </w:tcBorders>
            <w:shd w:val="clear" w:color="FFFFFF" w:fill="FFFFFF"/>
            <w:hideMark/>
          </w:tcPr>
          <w:p w14:paraId="0D97EC7F" w14:textId="0A7E9C05"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373.75</w:t>
            </w:r>
          </w:p>
        </w:tc>
      </w:tr>
      <w:tr w:rsidR="002E512E" w:rsidRPr="00C0306A" w14:paraId="37AC849F" w14:textId="77777777" w:rsidTr="00F07E76">
        <w:trPr>
          <w:trHeight w:val="272"/>
        </w:trPr>
        <w:tc>
          <w:tcPr>
            <w:tcW w:w="1271" w:type="dxa"/>
            <w:tcBorders>
              <w:top w:val="nil"/>
              <w:left w:val="single" w:sz="4" w:space="0" w:color="D3D3D3"/>
              <w:bottom w:val="single" w:sz="4" w:space="0" w:color="D3D3D3"/>
              <w:right w:val="single" w:sz="4" w:space="0" w:color="D3D3D3"/>
            </w:tcBorders>
            <w:shd w:val="clear" w:color="D3D3D3" w:fill="D3D3D3"/>
            <w:hideMark/>
          </w:tcPr>
          <w:p w14:paraId="6905F25D" w14:textId="77777777" w:rsidR="002E512E" w:rsidRPr="00C0306A" w:rsidRDefault="002E512E" w:rsidP="002E55B6">
            <w:pPr>
              <w:keepNext/>
              <w:keepLines/>
              <w:spacing w:after="0" w:line="240" w:lineRule="auto"/>
              <w:jc w:val="right"/>
              <w:rPr>
                <w:rFonts w:cs="Arial"/>
                <w:b/>
                <w:bCs/>
                <w:color w:val="000000"/>
                <w:sz w:val="18"/>
                <w:szCs w:val="18"/>
              </w:rPr>
            </w:pPr>
            <w:r w:rsidRPr="00C0306A">
              <w:rPr>
                <w:rFonts w:cs="Arial"/>
                <w:b/>
                <w:bCs/>
                <w:color w:val="000000"/>
                <w:sz w:val="18"/>
                <w:szCs w:val="18"/>
              </w:rPr>
              <w:t> </w:t>
            </w:r>
          </w:p>
        </w:tc>
        <w:tc>
          <w:tcPr>
            <w:tcW w:w="1559" w:type="dxa"/>
            <w:tcBorders>
              <w:top w:val="single" w:sz="4" w:space="0" w:color="D3D3D3"/>
              <w:left w:val="nil"/>
              <w:bottom w:val="single" w:sz="4" w:space="0" w:color="D3D3D3"/>
              <w:right w:val="single" w:sz="4" w:space="0" w:color="D3D3D3"/>
            </w:tcBorders>
            <w:shd w:val="clear" w:color="D3D3D3" w:fill="D3D3D3"/>
            <w:hideMark/>
          </w:tcPr>
          <w:p w14:paraId="242FD797" w14:textId="77777777" w:rsidR="002E512E" w:rsidRPr="00C0306A" w:rsidRDefault="002E512E" w:rsidP="002E55B6">
            <w:pPr>
              <w:keepNext/>
              <w:keepLines/>
              <w:spacing w:after="0" w:line="240" w:lineRule="auto"/>
              <w:jc w:val="right"/>
              <w:rPr>
                <w:rFonts w:cs="Arial"/>
                <w:b/>
                <w:bCs/>
                <w:color w:val="000000"/>
                <w:sz w:val="18"/>
                <w:szCs w:val="18"/>
              </w:rPr>
            </w:pPr>
            <w:r w:rsidRPr="00C0306A">
              <w:rPr>
                <w:rFonts w:cs="Arial"/>
                <w:b/>
                <w:bCs/>
                <w:color w:val="000000"/>
                <w:sz w:val="18"/>
                <w:szCs w:val="18"/>
              </w:rPr>
              <w:t> </w:t>
            </w:r>
          </w:p>
        </w:tc>
        <w:tc>
          <w:tcPr>
            <w:tcW w:w="5529" w:type="dxa"/>
            <w:tcBorders>
              <w:top w:val="single" w:sz="4" w:space="0" w:color="D3D3D3"/>
              <w:left w:val="nil"/>
              <w:bottom w:val="single" w:sz="4" w:space="0" w:color="D3D3D3"/>
              <w:right w:val="single" w:sz="4" w:space="0" w:color="D3D3D3"/>
            </w:tcBorders>
            <w:shd w:val="clear" w:color="D3D3D3" w:fill="D3D3D3"/>
            <w:hideMark/>
          </w:tcPr>
          <w:p w14:paraId="5A6E94B8" w14:textId="77777777" w:rsidR="002E512E" w:rsidRPr="00C0306A" w:rsidRDefault="002E512E" w:rsidP="002E55B6">
            <w:pPr>
              <w:keepNext/>
              <w:keepLines/>
              <w:spacing w:after="0" w:line="240" w:lineRule="auto"/>
              <w:jc w:val="right"/>
              <w:rPr>
                <w:rFonts w:cs="Arial"/>
                <w:b/>
                <w:bCs/>
                <w:color w:val="000000"/>
                <w:sz w:val="18"/>
                <w:szCs w:val="18"/>
              </w:rPr>
            </w:pPr>
            <w:r w:rsidRPr="00C0306A">
              <w:rPr>
                <w:rFonts w:cs="Arial"/>
                <w:b/>
                <w:bCs/>
                <w:color w:val="000000"/>
                <w:sz w:val="18"/>
                <w:szCs w:val="18"/>
              </w:rPr>
              <w:t>Minimum annual requirement</w:t>
            </w:r>
          </w:p>
        </w:tc>
        <w:tc>
          <w:tcPr>
            <w:tcW w:w="2551" w:type="dxa"/>
            <w:tcBorders>
              <w:top w:val="nil"/>
              <w:left w:val="nil"/>
              <w:bottom w:val="single" w:sz="4" w:space="0" w:color="D3D3D3"/>
              <w:right w:val="single" w:sz="4" w:space="0" w:color="D3D3D3"/>
            </w:tcBorders>
            <w:shd w:val="clear" w:color="D3D3D3" w:fill="D3D3D3"/>
            <w:hideMark/>
          </w:tcPr>
          <w:p w14:paraId="5F4C4104" w14:textId="77777777"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55.00</w:t>
            </w:r>
          </w:p>
        </w:tc>
        <w:tc>
          <w:tcPr>
            <w:tcW w:w="2977" w:type="dxa"/>
            <w:tcBorders>
              <w:top w:val="nil"/>
              <w:left w:val="nil"/>
              <w:bottom w:val="single" w:sz="4" w:space="0" w:color="D3D3D3"/>
              <w:right w:val="single" w:sz="4" w:space="0" w:color="D3D3D3"/>
            </w:tcBorders>
            <w:shd w:val="clear" w:color="D3D3D3" w:fill="D3D3D3"/>
            <w:hideMark/>
          </w:tcPr>
          <w:p w14:paraId="0B671F0E" w14:textId="77777777"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1,460.00</w:t>
            </w:r>
          </w:p>
        </w:tc>
        <w:tc>
          <w:tcPr>
            <w:tcW w:w="2551" w:type="dxa"/>
            <w:tcBorders>
              <w:top w:val="nil"/>
              <w:left w:val="nil"/>
              <w:bottom w:val="single" w:sz="4" w:space="0" w:color="D3D3D3"/>
              <w:right w:val="single" w:sz="4" w:space="0" w:color="D3D3D3"/>
            </w:tcBorders>
            <w:shd w:val="clear" w:color="D3D3D3" w:fill="D3D3D3"/>
            <w:hideMark/>
          </w:tcPr>
          <w:p w14:paraId="0E1F2572" w14:textId="092E2B96" w:rsidR="002E512E" w:rsidRPr="00C0306A" w:rsidRDefault="002E512E" w:rsidP="00294E91">
            <w:pPr>
              <w:keepNext/>
              <w:keepLines/>
              <w:spacing w:after="0" w:line="240" w:lineRule="auto"/>
              <w:jc w:val="right"/>
              <w:rPr>
                <w:rFonts w:cs="Arial"/>
                <w:b/>
                <w:bCs/>
                <w:color w:val="000000"/>
                <w:sz w:val="18"/>
                <w:szCs w:val="18"/>
              </w:rPr>
            </w:pPr>
            <w:r w:rsidRPr="00C0306A">
              <w:rPr>
                <w:rFonts w:cs="Arial"/>
                <w:b/>
                <w:bCs/>
                <w:color w:val="000000"/>
                <w:sz w:val="18"/>
                <w:szCs w:val="18"/>
              </w:rPr>
              <w:t>250.00</w:t>
            </w:r>
          </w:p>
        </w:tc>
      </w:tr>
    </w:tbl>
    <w:p w14:paraId="1D8D4563" w14:textId="32B81147" w:rsidR="004916A1" w:rsidRDefault="00AA0295" w:rsidP="002E55B6">
      <w:pPr>
        <w:spacing w:before="120" w:after="120" w:line="240" w:lineRule="auto"/>
        <w:rPr>
          <w:rFonts w:cs="Arial"/>
          <w:spacing w:val="-2"/>
          <w:sz w:val="18"/>
          <w:szCs w:val="18"/>
        </w:rPr>
      </w:pPr>
      <w:r w:rsidRPr="00540C1B">
        <w:rPr>
          <w:rFonts w:cs="Arial"/>
          <w:spacing w:val="-2"/>
          <w:sz w:val="18"/>
          <w:szCs w:val="18"/>
        </w:rPr>
        <w:t xml:space="preserve">^ Denotes licensees provided notice to the ACMA </w:t>
      </w:r>
      <w:r w:rsidR="00735750">
        <w:rPr>
          <w:rFonts w:cs="Arial"/>
          <w:spacing w:val="-2"/>
          <w:sz w:val="18"/>
          <w:szCs w:val="18"/>
        </w:rPr>
        <w:t>for</w:t>
      </w:r>
      <w:r w:rsidRPr="00540C1B">
        <w:rPr>
          <w:rFonts w:cs="Arial"/>
          <w:spacing w:val="-2"/>
          <w:sz w:val="18"/>
          <w:szCs w:val="18"/>
        </w:rPr>
        <w:t xml:space="preserve"> deemed compliance</w:t>
      </w:r>
      <w:r w:rsidR="002C21D1">
        <w:rPr>
          <w:rFonts w:cs="Arial"/>
          <w:spacing w:val="-2"/>
          <w:sz w:val="18"/>
          <w:szCs w:val="18"/>
        </w:rPr>
        <w:t xml:space="preserve"> under s121H(1)</w:t>
      </w:r>
      <w:r w:rsidR="00416443">
        <w:rPr>
          <w:rFonts w:cs="Arial"/>
          <w:spacing w:val="-2"/>
          <w:sz w:val="18"/>
          <w:szCs w:val="18"/>
        </w:rPr>
        <w:t xml:space="preserve"> of the BSA</w:t>
      </w:r>
      <w:r w:rsidRPr="00540C1B">
        <w:rPr>
          <w:rFonts w:cs="Arial"/>
          <w:spacing w:val="-2"/>
          <w:sz w:val="18"/>
          <w:szCs w:val="18"/>
        </w:rPr>
        <w:t xml:space="preserve">. Notices </w:t>
      </w:r>
      <w:r w:rsidR="00CE0B0A">
        <w:rPr>
          <w:rFonts w:cs="Arial"/>
          <w:spacing w:val="-2"/>
          <w:sz w:val="18"/>
          <w:szCs w:val="18"/>
        </w:rPr>
        <w:t xml:space="preserve">are </w:t>
      </w:r>
      <w:r w:rsidRPr="00540C1B">
        <w:rPr>
          <w:rFonts w:cs="Arial"/>
          <w:spacing w:val="-2"/>
          <w:sz w:val="18"/>
          <w:szCs w:val="18"/>
        </w:rPr>
        <w:t>available on the ACMA website.</w:t>
      </w:r>
    </w:p>
    <w:p w14:paraId="4DE12D3E" w14:textId="5AFB0409" w:rsidR="00416443" w:rsidRDefault="0064223E" w:rsidP="00416443">
      <w:pPr>
        <w:spacing w:after="0" w:line="240" w:lineRule="auto"/>
        <w:rPr>
          <w:rFonts w:cs="Arial"/>
          <w:spacing w:val="-2"/>
          <w:sz w:val="18"/>
          <w:szCs w:val="18"/>
        </w:rPr>
      </w:pPr>
      <w:r>
        <w:rPr>
          <w:rFonts w:cs="Arial"/>
          <w:spacing w:val="-2"/>
          <w:sz w:val="18"/>
          <w:szCs w:val="18"/>
        </w:rPr>
        <w:t xml:space="preserve"># Denotes </w:t>
      </w:r>
      <w:r w:rsidR="00416443">
        <w:rPr>
          <w:rFonts w:cs="Arial"/>
          <w:spacing w:val="-2"/>
          <w:sz w:val="18"/>
          <w:szCs w:val="18"/>
        </w:rPr>
        <w:t xml:space="preserve">licensees provided notice to the ACMA </w:t>
      </w:r>
      <w:r w:rsidR="00735750">
        <w:rPr>
          <w:rFonts w:cs="Arial"/>
          <w:spacing w:val="-2"/>
          <w:sz w:val="18"/>
          <w:szCs w:val="18"/>
        </w:rPr>
        <w:t>for</w:t>
      </w:r>
      <w:r w:rsidR="00416443">
        <w:rPr>
          <w:rFonts w:cs="Arial"/>
          <w:spacing w:val="-2"/>
          <w:sz w:val="18"/>
          <w:szCs w:val="18"/>
        </w:rPr>
        <w:t xml:space="preserve"> deemed compliance under section 16 of the ACCTS.</w:t>
      </w:r>
      <w:r w:rsidR="00416443" w:rsidRPr="00416443">
        <w:rPr>
          <w:rFonts w:cs="Arial"/>
          <w:spacing w:val="-2"/>
          <w:sz w:val="18"/>
          <w:szCs w:val="18"/>
        </w:rPr>
        <w:t xml:space="preserve"> </w:t>
      </w:r>
      <w:r w:rsidR="00416443" w:rsidRPr="00540C1B">
        <w:rPr>
          <w:rFonts w:cs="Arial"/>
          <w:spacing w:val="-2"/>
          <w:sz w:val="18"/>
          <w:szCs w:val="18"/>
        </w:rPr>
        <w:t xml:space="preserve">Notices </w:t>
      </w:r>
      <w:r w:rsidR="00416443">
        <w:rPr>
          <w:rFonts w:cs="Arial"/>
          <w:spacing w:val="-2"/>
          <w:sz w:val="18"/>
          <w:szCs w:val="18"/>
        </w:rPr>
        <w:t xml:space="preserve">are </w:t>
      </w:r>
      <w:r w:rsidR="00416443" w:rsidRPr="00540C1B">
        <w:rPr>
          <w:rFonts w:cs="Arial"/>
          <w:spacing w:val="-2"/>
          <w:sz w:val="18"/>
          <w:szCs w:val="18"/>
        </w:rPr>
        <w:t>available on the ACMA website.</w:t>
      </w:r>
    </w:p>
    <w:p w14:paraId="685BFB33" w14:textId="5291775E" w:rsidR="0064223E" w:rsidRPr="00540C1B" w:rsidRDefault="0064223E" w:rsidP="002E512E">
      <w:pPr>
        <w:spacing w:after="0" w:line="240" w:lineRule="auto"/>
        <w:rPr>
          <w:rFonts w:cs="Arial"/>
          <w:spacing w:val="-2"/>
          <w:sz w:val="18"/>
          <w:szCs w:val="18"/>
        </w:rPr>
      </w:pPr>
    </w:p>
    <w:sectPr w:rsidR="0064223E" w:rsidRPr="00540C1B" w:rsidSect="004F2123">
      <w:headerReference w:type="default" r:id="rId32"/>
      <w:footerReference w:type="default" r:id="rId33"/>
      <w:pgSz w:w="23811" w:h="16838" w:orient="landscape" w:code="8"/>
      <w:pgMar w:top="1440" w:right="1440" w:bottom="1440" w:left="144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1CD5" w14:textId="77777777" w:rsidR="00A44D91" w:rsidRDefault="00A44D91">
      <w:r>
        <w:separator/>
      </w:r>
    </w:p>
  </w:endnote>
  <w:endnote w:type="continuationSeparator" w:id="0">
    <w:p w14:paraId="7DC3A939" w14:textId="77777777" w:rsidR="00A44D91" w:rsidRDefault="00A44D91">
      <w:r>
        <w:continuationSeparator/>
      </w:r>
    </w:p>
  </w:endnote>
  <w:endnote w:type="continuationNotice" w:id="1">
    <w:p w14:paraId="6C14C449" w14:textId="77777777" w:rsidR="00A44D91" w:rsidRDefault="00A4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Lt">
    <w:altName w:val="Tahoma"/>
    <w:panose1 w:val="00000000000000000000"/>
    <w:charset w:val="4D"/>
    <w:family w:val="auto"/>
    <w:notTrueType/>
    <w:pitch w:val="variable"/>
    <w:sig w:usb0="8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36A" w14:textId="77777777" w:rsidR="005E250B" w:rsidRDefault="005E250B" w:rsidP="005E250B">
    <w:pPr>
      <w:pStyle w:val="Footer"/>
      <w:jc w:val="right"/>
    </w:pPr>
    <w:r w:rsidRPr="005E250B">
      <w:rPr>
        <w:noProof/>
        <w:vertAlign w:val="subscript"/>
      </w:rPr>
      <w:drawing>
        <wp:inline distT="0" distB="0" distL="0" distR="0" wp14:anchorId="15225B4F" wp14:editId="6215A649">
          <wp:extent cx="1066800" cy="277368"/>
          <wp:effectExtent l="0" t="0" r="0" b="0"/>
          <wp:docPr id="14" name="Picture 1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3C06"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8B8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C454"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9D7B177"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2A30"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BF65CD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DC1"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028CA0E"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4107"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0BF7FB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CA2E"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8BA0E0B"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16DF" w14:textId="77777777" w:rsidR="00430427" w:rsidRPr="00622A3B" w:rsidRDefault="00430427" w:rsidP="0043042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3</w:t>
    </w:r>
    <w:r w:rsidRPr="00575AC5">
      <w:rPr>
        <w:color w:val="505050"/>
      </w:rPr>
      <w:fldChar w:fldCharType="end"/>
    </w:r>
  </w:p>
  <w:p w14:paraId="7E51D0BE" w14:textId="4F5DD709" w:rsidR="00D90244" w:rsidRDefault="00D90244">
    <w:pPr>
      <w:pStyle w:val="Footer"/>
      <w:jc w:val="center"/>
    </w:pPr>
  </w:p>
  <w:p w14:paraId="23C1F586" w14:textId="77777777" w:rsidR="00721446" w:rsidRDefault="00721446">
    <w:pPr>
      <w:pStyle w:val="BodyText"/>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9F4C" w14:textId="77777777" w:rsidR="00A44D91" w:rsidRDefault="00A44D91" w:rsidP="00DB3A64">
      <w:pPr>
        <w:spacing w:after="0"/>
      </w:pPr>
      <w:r>
        <w:separator/>
      </w:r>
    </w:p>
  </w:footnote>
  <w:footnote w:type="continuationSeparator" w:id="0">
    <w:p w14:paraId="48E7CF26" w14:textId="77777777" w:rsidR="00A44D91" w:rsidRDefault="00A44D91">
      <w:r>
        <w:continuationSeparator/>
      </w:r>
    </w:p>
  </w:footnote>
  <w:footnote w:type="continuationNotice" w:id="1">
    <w:p w14:paraId="01CEEED8" w14:textId="77777777" w:rsidR="00A44D91" w:rsidRDefault="00A44D91">
      <w:pPr>
        <w:spacing w:after="0" w:line="240" w:lineRule="auto"/>
      </w:pPr>
    </w:p>
  </w:footnote>
  <w:footnote w:id="2">
    <w:p w14:paraId="60AAB102" w14:textId="4D273054" w:rsidR="006D63EA" w:rsidRDefault="006D63EA">
      <w:pPr>
        <w:pStyle w:val="FootnoteText"/>
      </w:pPr>
      <w:r>
        <w:rPr>
          <w:rStyle w:val="FootnoteReference"/>
        </w:rPr>
        <w:footnoteRef/>
      </w:r>
      <w:r>
        <w:t xml:space="preserve"> </w:t>
      </w:r>
      <w:r w:rsidR="006225CB" w:rsidRPr="006225CB">
        <w:t>An</w:t>
      </w:r>
      <w:r w:rsidR="004A7234">
        <w:t xml:space="preserve"> ‘</w:t>
      </w:r>
      <w:r w:rsidR="006225CB" w:rsidRPr="006225CB">
        <w:t xml:space="preserve">Australian program’ </w:t>
      </w:r>
      <w:r w:rsidR="00F578C7">
        <w:t>i</w:t>
      </w:r>
      <w:r w:rsidR="006225CB" w:rsidRPr="006225CB">
        <w:t>s one that is produced under the creative control of Australians. This may include having Australian producers, directors</w:t>
      </w:r>
      <w:r w:rsidR="006F780E">
        <w:t>,</w:t>
      </w:r>
      <w:r w:rsidR="006225CB" w:rsidRPr="006225CB">
        <w:t xml:space="preserve"> writers and cast.</w:t>
      </w:r>
    </w:p>
  </w:footnote>
  <w:footnote w:id="3">
    <w:p w14:paraId="0F558C4C" w14:textId="280CC8F6" w:rsidR="00193D0E" w:rsidRDefault="00193D0E" w:rsidP="00193D0E">
      <w:pPr>
        <w:pStyle w:val="FootnoteText"/>
      </w:pPr>
      <w:r>
        <w:rPr>
          <w:rStyle w:val="FootnoteReference"/>
        </w:rPr>
        <w:footnoteRef/>
      </w:r>
      <w:r>
        <w:t xml:space="preserve"> Figures have been rounded up or down to reflect a whole number</w:t>
      </w:r>
      <w:r w:rsidR="006E36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CC91" w14:textId="77777777" w:rsidR="00C053A1" w:rsidRPr="00A5474E" w:rsidRDefault="00C053A1" w:rsidP="00A5474E">
    <w:pPr>
      <w:pStyle w:val="Header"/>
    </w:pPr>
    <w:r>
      <w:rPr>
        <w:noProof/>
      </w:rPr>
      <w:drawing>
        <wp:inline distT="0" distB="0" distL="0" distR="0" wp14:anchorId="0F945469" wp14:editId="4876EB01">
          <wp:extent cx="6283434" cy="578076"/>
          <wp:effectExtent l="0" t="0" r="3175" b="0"/>
          <wp:docPr id="13" name="Picture 1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7E9"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DAB7"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D08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96C4063" w14:textId="77777777" w:rsidTr="003B0421">
      <w:trPr>
        <w:trHeight w:hRule="exact" w:val="988"/>
      </w:trPr>
      <w:tc>
        <w:tcPr>
          <w:tcW w:w="7678" w:type="dxa"/>
          <w:shd w:val="clear" w:color="auto" w:fill="auto"/>
        </w:tcPr>
        <w:p w14:paraId="3FCA92BD" w14:textId="77777777" w:rsidR="00971914" w:rsidRDefault="00971914" w:rsidP="00971914">
          <w:pPr>
            <w:pStyle w:val="Header"/>
          </w:pPr>
        </w:p>
      </w:tc>
    </w:tr>
    <w:tr w:rsidR="00971914" w14:paraId="75D670F0" w14:textId="77777777" w:rsidTr="003B0421">
      <w:tc>
        <w:tcPr>
          <w:tcW w:w="7678" w:type="dxa"/>
          <w:shd w:val="clear" w:color="auto" w:fill="auto"/>
        </w:tcPr>
        <w:p w14:paraId="28EF0D1A" w14:textId="77777777" w:rsidR="00971914" w:rsidRDefault="00971914" w:rsidP="00971914">
          <w:pPr>
            <w:pStyle w:val="GridTable31"/>
          </w:pPr>
          <w:r>
            <w:t xml:space="preserve">Contents </w:t>
          </w:r>
          <w:r w:rsidRPr="00915B1C">
            <w:rPr>
              <w:b w:val="0"/>
              <w:spacing w:val="0"/>
              <w:sz w:val="28"/>
              <w:szCs w:val="28"/>
            </w:rPr>
            <w:t>(Continued)</w:t>
          </w:r>
        </w:p>
      </w:tc>
    </w:tr>
    <w:tr w:rsidR="00971914" w14:paraId="268959E8" w14:textId="77777777" w:rsidTr="003B0421">
      <w:trPr>
        <w:trHeight w:val="1220"/>
      </w:trPr>
      <w:tc>
        <w:tcPr>
          <w:tcW w:w="7678" w:type="dxa"/>
          <w:shd w:val="clear" w:color="auto" w:fill="auto"/>
        </w:tcPr>
        <w:p w14:paraId="3EB7A6DE" w14:textId="77777777" w:rsidR="00971914" w:rsidRDefault="00971914" w:rsidP="00971914"/>
      </w:tc>
    </w:tr>
  </w:tbl>
  <w:p w14:paraId="7E4AE927"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B7E681B" w14:textId="77777777" w:rsidTr="003B0421">
      <w:trPr>
        <w:trHeight w:hRule="exact" w:val="988"/>
      </w:trPr>
      <w:tc>
        <w:tcPr>
          <w:tcW w:w="7678" w:type="dxa"/>
          <w:shd w:val="clear" w:color="auto" w:fill="auto"/>
        </w:tcPr>
        <w:p w14:paraId="08B74FD6" w14:textId="77777777" w:rsidR="00971914" w:rsidRDefault="00971914" w:rsidP="00971914">
          <w:pPr>
            <w:pStyle w:val="Header"/>
          </w:pPr>
        </w:p>
      </w:tc>
    </w:tr>
    <w:tr w:rsidR="00971914" w14:paraId="57875A6C" w14:textId="77777777" w:rsidTr="003B0421">
      <w:tc>
        <w:tcPr>
          <w:tcW w:w="7678" w:type="dxa"/>
          <w:shd w:val="clear" w:color="auto" w:fill="auto"/>
        </w:tcPr>
        <w:p w14:paraId="3B6CC9D2" w14:textId="77777777" w:rsidR="00971914" w:rsidRDefault="00971914" w:rsidP="00971914">
          <w:pPr>
            <w:pStyle w:val="GridTable31"/>
          </w:pPr>
          <w:r>
            <w:t xml:space="preserve">Contents </w:t>
          </w:r>
          <w:r w:rsidRPr="00915B1C">
            <w:rPr>
              <w:b w:val="0"/>
              <w:spacing w:val="0"/>
              <w:sz w:val="28"/>
              <w:szCs w:val="28"/>
            </w:rPr>
            <w:t>(Continued)</w:t>
          </w:r>
        </w:p>
      </w:tc>
    </w:tr>
    <w:tr w:rsidR="00971914" w14:paraId="152485FA" w14:textId="77777777" w:rsidTr="003B0421">
      <w:trPr>
        <w:trHeight w:val="1220"/>
      </w:trPr>
      <w:tc>
        <w:tcPr>
          <w:tcW w:w="7678" w:type="dxa"/>
          <w:shd w:val="clear" w:color="auto" w:fill="auto"/>
        </w:tcPr>
        <w:p w14:paraId="7EA4D8F7" w14:textId="77777777" w:rsidR="00971914" w:rsidRDefault="00971914" w:rsidP="00971914"/>
      </w:tc>
    </w:tr>
  </w:tbl>
  <w:p w14:paraId="3534803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D7A5"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AD63" w14:textId="77777777" w:rsidR="00C053A1" w:rsidRDefault="00C053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0996" w14:textId="6202343E" w:rsidR="00721446" w:rsidRDefault="00721446">
    <w:pPr>
      <w:pStyle w:val="BodyText"/>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272C4236"/>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2F65B9"/>
    <w:multiLevelType w:val="hybridMultilevel"/>
    <w:tmpl w:val="737E3EF2"/>
    <w:lvl w:ilvl="0" w:tplc="3E8ABFD2">
      <w:start w:val="1"/>
      <w:numFmt w:val="lowerLetter"/>
      <w:pStyle w:val="ListParagraph"/>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086D7864"/>
    <w:multiLevelType w:val="hybridMultilevel"/>
    <w:tmpl w:val="AA3C3742"/>
    <w:lvl w:ilvl="0" w:tplc="3E8ABFD2">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A6C3E"/>
    <w:multiLevelType w:val="hybridMultilevel"/>
    <w:tmpl w:val="1068E896"/>
    <w:lvl w:ilvl="0" w:tplc="0C090019">
      <w:start w:val="1"/>
      <w:numFmt w:val="lowerLetter"/>
      <w:lvlText w:val="%1."/>
      <w:lvlJc w:val="left"/>
      <w:pPr>
        <w:ind w:left="780" w:hanging="360"/>
      </w:pPr>
      <w:rPr>
        <w:rFonts w:hint="default"/>
      </w:rPr>
    </w:lvl>
    <w:lvl w:ilvl="1" w:tplc="0C090019">
      <w:start w:val="1"/>
      <w:numFmt w:val="lowerLetter"/>
      <w:lvlText w:val="%2."/>
      <w:lvlJc w:val="left"/>
      <w:pPr>
        <w:ind w:left="1500" w:hanging="360"/>
      </w:pPr>
      <w:rPr>
        <w:rFonts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 w15:restartNumberingAfterBreak="0">
    <w:nsid w:val="21697452"/>
    <w:multiLevelType w:val="hybridMultilevel"/>
    <w:tmpl w:val="5B52B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E55DF6"/>
    <w:multiLevelType w:val="hybridMultilevel"/>
    <w:tmpl w:val="CD62D6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A430AF0"/>
    <w:multiLevelType w:val="hybridMultilevel"/>
    <w:tmpl w:val="15AA7BDA"/>
    <w:lvl w:ilvl="0" w:tplc="C6D2E6C8">
      <w:start w:val="1"/>
      <w:numFmt w:val="lowerLetter"/>
      <w:lvlText w:val="%1."/>
      <w:lvlJc w:val="left"/>
      <w:pPr>
        <w:ind w:left="787" w:hanging="4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D4E9E"/>
    <w:multiLevelType w:val="hybridMultilevel"/>
    <w:tmpl w:val="8B327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2EC326B"/>
    <w:multiLevelType w:val="hybridMultilevel"/>
    <w:tmpl w:val="D8E6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A1C67"/>
    <w:multiLevelType w:val="hybridMultilevel"/>
    <w:tmpl w:val="AABC93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60A5A0B"/>
    <w:multiLevelType w:val="hybridMultilevel"/>
    <w:tmpl w:val="41CC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9239B"/>
    <w:multiLevelType w:val="hybridMultilevel"/>
    <w:tmpl w:val="52026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20905"/>
    <w:multiLevelType w:val="hybridMultilevel"/>
    <w:tmpl w:val="A83451A4"/>
    <w:lvl w:ilvl="0" w:tplc="5650D0BA">
      <w:start w:val="1"/>
      <w:numFmt w:val="decimal"/>
      <w:lvlText w:val="%1."/>
      <w:lvlJc w:val="left"/>
      <w:pPr>
        <w:ind w:left="360" w:hanging="360"/>
      </w:pPr>
      <w:rPr>
        <w:rFonts w:ascii="Arial" w:hAnsi="Arial" w:cs="Arial" w:hint="default"/>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7515204"/>
    <w:multiLevelType w:val="multilevel"/>
    <w:tmpl w:val="27F0A89A"/>
    <w:styleLink w:val="ShorterBullet"/>
    <w:lvl w:ilvl="0">
      <w:start w:val="1"/>
      <w:numFmt w:val="decimal"/>
      <w:pStyle w:val="NumberedSpacing"/>
      <w:lvlText w:val="%1."/>
      <w:lvlJc w:val="left"/>
      <w:pPr>
        <w:tabs>
          <w:tab w:val="num" w:pos="1060"/>
        </w:tabs>
        <w:ind w:left="1060" w:hanging="368"/>
      </w:pPr>
      <w:rPr>
        <w:rFonts w:ascii="Tahoma" w:hAnsi="Tahoma" w:hint="default"/>
        <w:szCs w:val="24"/>
      </w:rPr>
    </w:lvl>
    <w:lvl w:ilvl="1">
      <w:start w:val="1"/>
      <w:numFmt w:val="bullet"/>
      <w:lvlText w:val=""/>
      <w:lvlJc w:val="left"/>
      <w:pPr>
        <w:tabs>
          <w:tab w:val="num" w:pos="1401"/>
        </w:tabs>
        <w:ind w:left="1401" w:firstLine="229"/>
      </w:pPr>
      <w:rPr>
        <w:rFonts w:ascii="Symbol" w:hAnsi="Symbol" w:cs="Times New Roman" w:hint="default"/>
        <w:szCs w:val="24"/>
      </w:rPr>
    </w:lvl>
    <w:lvl w:ilvl="2">
      <w:start w:val="1"/>
      <w:numFmt w:val="lowerRoman"/>
      <w:lvlText w:val="%3."/>
      <w:lvlJc w:val="right"/>
      <w:pPr>
        <w:tabs>
          <w:tab w:val="num" w:pos="2710"/>
        </w:tabs>
        <w:ind w:left="2710" w:hanging="180"/>
      </w:pPr>
      <w:rPr>
        <w:rFonts w:hint="default"/>
      </w:rPr>
    </w:lvl>
    <w:lvl w:ilvl="3">
      <w:start w:val="1"/>
      <w:numFmt w:val="decimal"/>
      <w:lvlText w:val="%4."/>
      <w:lvlJc w:val="left"/>
      <w:pPr>
        <w:tabs>
          <w:tab w:val="num" w:pos="3430"/>
        </w:tabs>
        <w:ind w:left="3430" w:hanging="360"/>
      </w:pPr>
      <w:rPr>
        <w:rFonts w:hint="default"/>
      </w:rPr>
    </w:lvl>
    <w:lvl w:ilvl="4">
      <w:start w:val="1"/>
      <w:numFmt w:val="lowerLetter"/>
      <w:lvlText w:val="%5."/>
      <w:lvlJc w:val="left"/>
      <w:pPr>
        <w:tabs>
          <w:tab w:val="num" w:pos="4150"/>
        </w:tabs>
        <w:ind w:left="4150" w:hanging="360"/>
      </w:pPr>
      <w:rPr>
        <w:rFonts w:hint="default"/>
      </w:rPr>
    </w:lvl>
    <w:lvl w:ilvl="5">
      <w:start w:val="1"/>
      <w:numFmt w:val="lowerRoman"/>
      <w:lvlText w:val="%6."/>
      <w:lvlJc w:val="right"/>
      <w:pPr>
        <w:tabs>
          <w:tab w:val="num" w:pos="4870"/>
        </w:tabs>
        <w:ind w:left="4870" w:hanging="180"/>
      </w:pPr>
      <w:rPr>
        <w:rFonts w:hint="default"/>
      </w:rPr>
    </w:lvl>
    <w:lvl w:ilvl="6">
      <w:start w:val="1"/>
      <w:numFmt w:val="decimal"/>
      <w:lvlText w:val="%7."/>
      <w:lvlJc w:val="left"/>
      <w:pPr>
        <w:tabs>
          <w:tab w:val="num" w:pos="5590"/>
        </w:tabs>
        <w:ind w:left="5590" w:hanging="360"/>
      </w:pPr>
      <w:rPr>
        <w:rFonts w:hint="default"/>
      </w:rPr>
    </w:lvl>
    <w:lvl w:ilvl="7">
      <w:start w:val="1"/>
      <w:numFmt w:val="lowerLetter"/>
      <w:lvlText w:val="%8."/>
      <w:lvlJc w:val="left"/>
      <w:pPr>
        <w:tabs>
          <w:tab w:val="num" w:pos="6310"/>
        </w:tabs>
        <w:ind w:left="6310" w:hanging="360"/>
      </w:pPr>
      <w:rPr>
        <w:rFonts w:hint="default"/>
      </w:rPr>
    </w:lvl>
    <w:lvl w:ilvl="8">
      <w:start w:val="1"/>
      <w:numFmt w:val="lowerRoman"/>
      <w:lvlText w:val="%9."/>
      <w:lvlJc w:val="right"/>
      <w:pPr>
        <w:tabs>
          <w:tab w:val="num" w:pos="7030"/>
        </w:tabs>
        <w:ind w:left="7030" w:hanging="180"/>
      </w:pPr>
      <w:rPr>
        <w:rFonts w:hint="default"/>
      </w:rPr>
    </w:lvl>
  </w:abstractNum>
  <w:abstractNum w:abstractNumId="19" w15:restartNumberingAfterBreak="0">
    <w:nsid w:val="3B417612"/>
    <w:multiLevelType w:val="hybridMultilevel"/>
    <w:tmpl w:val="B66272DE"/>
    <w:lvl w:ilvl="0" w:tplc="2682A18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C2992"/>
    <w:multiLevelType w:val="hybridMultilevel"/>
    <w:tmpl w:val="7E749402"/>
    <w:lvl w:ilvl="0" w:tplc="FB9A10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700FE"/>
    <w:multiLevelType w:val="hybridMultilevel"/>
    <w:tmpl w:val="9BB4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46D7E"/>
    <w:multiLevelType w:val="hybridMultilevel"/>
    <w:tmpl w:val="8108B400"/>
    <w:lvl w:ilvl="0" w:tplc="169CAC26">
      <w:start w:val="1"/>
      <w:numFmt w:val="bullet"/>
      <w:lvlText w:val="&gt;"/>
      <w:lvlJc w:val="left"/>
      <w:pPr>
        <w:ind w:left="780" w:hanging="360"/>
      </w:pPr>
      <w:rPr>
        <w:rFonts w:ascii="Arial" w:eastAsia="Times New Roman" w:hAnsi="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4ECB157F"/>
    <w:multiLevelType w:val="hybridMultilevel"/>
    <w:tmpl w:val="9D72A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60839"/>
    <w:multiLevelType w:val="hybridMultilevel"/>
    <w:tmpl w:val="3348A7C0"/>
    <w:lvl w:ilvl="0" w:tplc="FFFFFFFF">
      <w:start w:val="1"/>
      <w:numFmt w:val="lowerLetter"/>
      <w:lvlText w:val="%1."/>
      <w:lvlJc w:val="left"/>
      <w:pPr>
        <w:ind w:left="780" w:hanging="360"/>
      </w:pPr>
      <w:rPr>
        <w:rFonts w:hint="default"/>
      </w:rPr>
    </w:lvl>
    <w:lvl w:ilvl="1" w:tplc="0C09000F">
      <w:start w:val="1"/>
      <w:numFmt w:val="decimal"/>
      <w:lvlText w:val="%2."/>
      <w:lvlJc w:val="left"/>
      <w:pPr>
        <w:ind w:left="1500" w:hanging="360"/>
      </w:pPr>
      <w:rPr>
        <w:rFonts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55AA21F0"/>
    <w:multiLevelType w:val="hybridMultilevel"/>
    <w:tmpl w:val="9B5CB936"/>
    <w:lvl w:ilvl="0" w:tplc="CCA08FFA">
      <w:start w:val="1"/>
      <w:numFmt w:val="decimal"/>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301E3"/>
    <w:multiLevelType w:val="hybridMultilevel"/>
    <w:tmpl w:val="3CC4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57665"/>
    <w:multiLevelType w:val="hybridMultilevel"/>
    <w:tmpl w:val="8C7AAFAC"/>
    <w:lvl w:ilvl="0" w:tplc="169CAC26">
      <w:start w:val="1"/>
      <w:numFmt w:val="bullet"/>
      <w:lvlText w:val="&gt;"/>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71478"/>
    <w:multiLevelType w:val="hybridMultilevel"/>
    <w:tmpl w:val="16D2B96E"/>
    <w:lvl w:ilvl="0" w:tplc="3A9CF91A">
      <w:start w:val="1"/>
      <w:numFmt w:val="decimal"/>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64FB9"/>
    <w:multiLevelType w:val="hybridMultilevel"/>
    <w:tmpl w:val="75D86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8D1657"/>
    <w:multiLevelType w:val="hybridMultilevel"/>
    <w:tmpl w:val="8684201C"/>
    <w:lvl w:ilvl="0" w:tplc="0C09000F">
      <w:start w:val="1"/>
      <w:numFmt w:val="decimal"/>
      <w:lvlText w:val="%1."/>
      <w:lvlJc w:val="left"/>
      <w:pPr>
        <w:ind w:left="787" w:hanging="4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780091"/>
    <w:multiLevelType w:val="hybridMultilevel"/>
    <w:tmpl w:val="C3E6F00A"/>
    <w:lvl w:ilvl="0" w:tplc="169CAC26">
      <w:start w:val="1"/>
      <w:numFmt w:val="bullet"/>
      <w:lvlText w:val="&gt;"/>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E321014"/>
    <w:multiLevelType w:val="hybridMultilevel"/>
    <w:tmpl w:val="242616AE"/>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2"/>
  </w:num>
  <w:num w:numId="6">
    <w:abstractNumId w:val="29"/>
  </w:num>
  <w:num w:numId="7">
    <w:abstractNumId w:val="25"/>
  </w:num>
  <w:num w:numId="8">
    <w:abstractNumId w:val="28"/>
  </w:num>
  <w:num w:numId="9">
    <w:abstractNumId w:val="30"/>
  </w:num>
  <w:num w:numId="10">
    <w:abstractNumId w:val="6"/>
  </w:num>
  <w:num w:numId="11">
    <w:abstractNumId w:val="2"/>
    <w:lvlOverride w:ilvl="0">
      <w:startOverride w:val="1"/>
    </w:lvlOverride>
  </w:num>
  <w:num w:numId="12">
    <w:abstractNumId w:val="2"/>
    <w:lvlOverride w:ilvl="0">
      <w:startOverride w:val="1"/>
    </w:lvlOverride>
  </w:num>
  <w:num w:numId="13">
    <w:abstractNumId w:val="18"/>
  </w:num>
  <w:num w:numId="14">
    <w:abstractNumId w:val="3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0"/>
  </w:num>
  <w:num w:numId="19">
    <w:abstractNumId w:val="32"/>
  </w:num>
  <w:num w:numId="20">
    <w:abstractNumId w:val="9"/>
  </w:num>
  <w:num w:numId="21">
    <w:abstractNumId w:val="34"/>
  </w:num>
  <w:num w:numId="22">
    <w:abstractNumId w:val="4"/>
  </w:num>
  <w:num w:numId="23">
    <w:abstractNumId w:val="5"/>
  </w:num>
  <w:num w:numId="24">
    <w:abstractNumId w:val="15"/>
  </w:num>
  <w:num w:numId="25">
    <w:abstractNumId w:val="21"/>
  </w:num>
  <w:num w:numId="26">
    <w:abstractNumId w:val="26"/>
  </w:num>
  <w:num w:numId="27">
    <w:abstractNumId w:val="16"/>
  </w:num>
  <w:num w:numId="28">
    <w:abstractNumId w:val="13"/>
  </w:num>
  <w:num w:numId="29">
    <w:abstractNumId w:val="11"/>
  </w:num>
  <w:num w:numId="30">
    <w:abstractNumId w:val="3"/>
  </w:num>
  <w:num w:numId="31">
    <w:abstractNumId w:val="19"/>
  </w:num>
  <w:num w:numId="32">
    <w:abstractNumId w:val="22"/>
  </w:num>
  <w:num w:numId="33">
    <w:abstractNumId w:val="7"/>
  </w:num>
  <w:num w:numId="34">
    <w:abstractNumId w:val="20"/>
  </w:num>
  <w:num w:numId="35">
    <w:abstractNumId w:val="23"/>
  </w:num>
  <w:num w:numId="36">
    <w:abstractNumId w:val="33"/>
  </w:num>
  <w:num w:numId="37">
    <w:abstractNumId w:val="27"/>
  </w:num>
  <w:num w:numId="38">
    <w:abstractNumId w:val="14"/>
  </w:num>
  <w:num w:numId="39">
    <w:abstractNumId w:val="24"/>
  </w:num>
  <w:num w:numId="40">
    <w:abstractNumId w:val="3"/>
  </w:num>
  <w:num w:numId="41">
    <w:abstractNumId w:val="1"/>
  </w:num>
  <w:num w:numId="42">
    <w:abstractNumId w:val="3"/>
  </w:num>
  <w:num w:numId="43">
    <w:abstractNumId w:val="2"/>
  </w:num>
  <w:num w:numId="44">
    <w:abstractNumId w:val="0"/>
  </w:num>
  <w:num w:numId="45">
    <w:abstractNumId w:val="0"/>
  </w:num>
  <w:num w:numId="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D6"/>
    <w:rsid w:val="00001E04"/>
    <w:rsid w:val="000032B8"/>
    <w:rsid w:val="0000406F"/>
    <w:rsid w:val="000061E4"/>
    <w:rsid w:val="00010667"/>
    <w:rsid w:val="000129D5"/>
    <w:rsid w:val="00014392"/>
    <w:rsid w:val="00015AE7"/>
    <w:rsid w:val="00016E21"/>
    <w:rsid w:val="0001719C"/>
    <w:rsid w:val="000219F2"/>
    <w:rsid w:val="0002224E"/>
    <w:rsid w:val="000245E5"/>
    <w:rsid w:val="00026F91"/>
    <w:rsid w:val="0003009B"/>
    <w:rsid w:val="00033830"/>
    <w:rsid w:val="00037B2A"/>
    <w:rsid w:val="00043BB4"/>
    <w:rsid w:val="00043F89"/>
    <w:rsid w:val="000463A9"/>
    <w:rsid w:val="0004764C"/>
    <w:rsid w:val="0005011A"/>
    <w:rsid w:val="0005045A"/>
    <w:rsid w:val="000506F2"/>
    <w:rsid w:val="00051410"/>
    <w:rsid w:val="00051C1E"/>
    <w:rsid w:val="000539F9"/>
    <w:rsid w:val="00054C27"/>
    <w:rsid w:val="00055EC3"/>
    <w:rsid w:val="000563CE"/>
    <w:rsid w:val="000605F4"/>
    <w:rsid w:val="000611FC"/>
    <w:rsid w:val="000628DE"/>
    <w:rsid w:val="000659B6"/>
    <w:rsid w:val="0006686F"/>
    <w:rsid w:val="00066D4C"/>
    <w:rsid w:val="0006722A"/>
    <w:rsid w:val="000712C5"/>
    <w:rsid w:val="00071C0D"/>
    <w:rsid w:val="000732CF"/>
    <w:rsid w:val="00075B96"/>
    <w:rsid w:val="0008196A"/>
    <w:rsid w:val="0008718B"/>
    <w:rsid w:val="000915ED"/>
    <w:rsid w:val="0009209D"/>
    <w:rsid w:val="0009463C"/>
    <w:rsid w:val="000969BD"/>
    <w:rsid w:val="000969BF"/>
    <w:rsid w:val="000971BD"/>
    <w:rsid w:val="000A0C22"/>
    <w:rsid w:val="000A1400"/>
    <w:rsid w:val="000A3C43"/>
    <w:rsid w:val="000A4A51"/>
    <w:rsid w:val="000A4BA6"/>
    <w:rsid w:val="000A5D2B"/>
    <w:rsid w:val="000A62C4"/>
    <w:rsid w:val="000B4664"/>
    <w:rsid w:val="000B5DE3"/>
    <w:rsid w:val="000C0A57"/>
    <w:rsid w:val="000C230C"/>
    <w:rsid w:val="000C40B7"/>
    <w:rsid w:val="000C4784"/>
    <w:rsid w:val="000C6AB4"/>
    <w:rsid w:val="000D35AE"/>
    <w:rsid w:val="000D3E50"/>
    <w:rsid w:val="000D71D9"/>
    <w:rsid w:val="000D76E0"/>
    <w:rsid w:val="000D7E8B"/>
    <w:rsid w:val="000E0CED"/>
    <w:rsid w:val="000E3133"/>
    <w:rsid w:val="000E4449"/>
    <w:rsid w:val="000E6097"/>
    <w:rsid w:val="000F0F71"/>
    <w:rsid w:val="00101243"/>
    <w:rsid w:val="001014D9"/>
    <w:rsid w:val="0010267F"/>
    <w:rsid w:val="00103829"/>
    <w:rsid w:val="00105B51"/>
    <w:rsid w:val="00105BF9"/>
    <w:rsid w:val="00110462"/>
    <w:rsid w:val="00111FCE"/>
    <w:rsid w:val="00113F84"/>
    <w:rsid w:val="00120561"/>
    <w:rsid w:val="001229A5"/>
    <w:rsid w:val="0012489B"/>
    <w:rsid w:val="00126511"/>
    <w:rsid w:val="00130017"/>
    <w:rsid w:val="00130F91"/>
    <w:rsid w:val="001314D2"/>
    <w:rsid w:val="001347CF"/>
    <w:rsid w:val="001349ED"/>
    <w:rsid w:val="00137424"/>
    <w:rsid w:val="00140318"/>
    <w:rsid w:val="00141AD9"/>
    <w:rsid w:val="001452A1"/>
    <w:rsid w:val="001465AD"/>
    <w:rsid w:val="00146CE6"/>
    <w:rsid w:val="00147B6F"/>
    <w:rsid w:val="001517D1"/>
    <w:rsid w:val="00152903"/>
    <w:rsid w:val="00153FD5"/>
    <w:rsid w:val="00154F1F"/>
    <w:rsid w:val="0015614F"/>
    <w:rsid w:val="001577C2"/>
    <w:rsid w:val="001616C4"/>
    <w:rsid w:val="001633C4"/>
    <w:rsid w:val="001704D5"/>
    <w:rsid w:val="00171591"/>
    <w:rsid w:val="00172633"/>
    <w:rsid w:val="00173981"/>
    <w:rsid w:val="0017719D"/>
    <w:rsid w:val="00177373"/>
    <w:rsid w:val="00183FD7"/>
    <w:rsid w:val="001846CA"/>
    <w:rsid w:val="00185CAB"/>
    <w:rsid w:val="001875B7"/>
    <w:rsid w:val="00187948"/>
    <w:rsid w:val="00187CB3"/>
    <w:rsid w:val="0019050A"/>
    <w:rsid w:val="001910D4"/>
    <w:rsid w:val="00193D0E"/>
    <w:rsid w:val="001976E3"/>
    <w:rsid w:val="00197712"/>
    <w:rsid w:val="001A32BE"/>
    <w:rsid w:val="001A43B7"/>
    <w:rsid w:val="001A44EC"/>
    <w:rsid w:val="001B28D9"/>
    <w:rsid w:val="001B38CF"/>
    <w:rsid w:val="001B49D9"/>
    <w:rsid w:val="001B58AA"/>
    <w:rsid w:val="001B5B9D"/>
    <w:rsid w:val="001B6DE2"/>
    <w:rsid w:val="001B7E48"/>
    <w:rsid w:val="001C17CE"/>
    <w:rsid w:val="001C203D"/>
    <w:rsid w:val="001C36CA"/>
    <w:rsid w:val="001C44D1"/>
    <w:rsid w:val="001C46D8"/>
    <w:rsid w:val="001C4A58"/>
    <w:rsid w:val="001C672A"/>
    <w:rsid w:val="001C6AEE"/>
    <w:rsid w:val="001C7630"/>
    <w:rsid w:val="001D27E8"/>
    <w:rsid w:val="001D4DD0"/>
    <w:rsid w:val="001D6D15"/>
    <w:rsid w:val="001D73A7"/>
    <w:rsid w:val="001E2890"/>
    <w:rsid w:val="001E3FA2"/>
    <w:rsid w:val="001F13FA"/>
    <w:rsid w:val="001F1992"/>
    <w:rsid w:val="001F2672"/>
    <w:rsid w:val="001F5476"/>
    <w:rsid w:val="001F7558"/>
    <w:rsid w:val="00202B6D"/>
    <w:rsid w:val="0020485A"/>
    <w:rsid w:val="00205B57"/>
    <w:rsid w:val="00214848"/>
    <w:rsid w:val="00214D8A"/>
    <w:rsid w:val="002157E0"/>
    <w:rsid w:val="00216A57"/>
    <w:rsid w:val="00217448"/>
    <w:rsid w:val="0021769C"/>
    <w:rsid w:val="002212BD"/>
    <w:rsid w:val="0022334F"/>
    <w:rsid w:val="002249C0"/>
    <w:rsid w:val="00226819"/>
    <w:rsid w:val="002311C8"/>
    <w:rsid w:val="00233101"/>
    <w:rsid w:val="00233817"/>
    <w:rsid w:val="002367FF"/>
    <w:rsid w:val="002379EC"/>
    <w:rsid w:val="00240CE9"/>
    <w:rsid w:val="002434BA"/>
    <w:rsid w:val="00246089"/>
    <w:rsid w:val="00246093"/>
    <w:rsid w:val="00246702"/>
    <w:rsid w:val="00247C59"/>
    <w:rsid w:val="00247F2E"/>
    <w:rsid w:val="00250ADC"/>
    <w:rsid w:val="00250B07"/>
    <w:rsid w:val="00255310"/>
    <w:rsid w:val="00257553"/>
    <w:rsid w:val="00257CD8"/>
    <w:rsid w:val="00260FB2"/>
    <w:rsid w:val="00262128"/>
    <w:rsid w:val="0027165D"/>
    <w:rsid w:val="00273CEB"/>
    <w:rsid w:val="00281C89"/>
    <w:rsid w:val="0028282F"/>
    <w:rsid w:val="00283C97"/>
    <w:rsid w:val="00284A74"/>
    <w:rsid w:val="00291F28"/>
    <w:rsid w:val="00294E91"/>
    <w:rsid w:val="0029593B"/>
    <w:rsid w:val="00297FC5"/>
    <w:rsid w:val="002A00C0"/>
    <w:rsid w:val="002A0239"/>
    <w:rsid w:val="002A0417"/>
    <w:rsid w:val="002A075B"/>
    <w:rsid w:val="002A093E"/>
    <w:rsid w:val="002A16D8"/>
    <w:rsid w:val="002A1BC8"/>
    <w:rsid w:val="002A2FE9"/>
    <w:rsid w:val="002A3EF2"/>
    <w:rsid w:val="002A4CEC"/>
    <w:rsid w:val="002A7BF2"/>
    <w:rsid w:val="002B0DED"/>
    <w:rsid w:val="002B19A2"/>
    <w:rsid w:val="002B381A"/>
    <w:rsid w:val="002B4FCC"/>
    <w:rsid w:val="002B7408"/>
    <w:rsid w:val="002B7CFD"/>
    <w:rsid w:val="002C1172"/>
    <w:rsid w:val="002C210F"/>
    <w:rsid w:val="002C21D1"/>
    <w:rsid w:val="002C23F1"/>
    <w:rsid w:val="002D0765"/>
    <w:rsid w:val="002D3600"/>
    <w:rsid w:val="002E0353"/>
    <w:rsid w:val="002E0810"/>
    <w:rsid w:val="002E3B1B"/>
    <w:rsid w:val="002E4DDC"/>
    <w:rsid w:val="002E512E"/>
    <w:rsid w:val="002E55B6"/>
    <w:rsid w:val="002F3F5D"/>
    <w:rsid w:val="002F4BCC"/>
    <w:rsid w:val="003014A2"/>
    <w:rsid w:val="00302480"/>
    <w:rsid w:val="00302758"/>
    <w:rsid w:val="003125DD"/>
    <w:rsid w:val="00314892"/>
    <w:rsid w:val="003165E6"/>
    <w:rsid w:val="0031713A"/>
    <w:rsid w:val="003215B5"/>
    <w:rsid w:val="003221CF"/>
    <w:rsid w:val="003233ED"/>
    <w:rsid w:val="00323A7C"/>
    <w:rsid w:val="00324D9F"/>
    <w:rsid w:val="00327948"/>
    <w:rsid w:val="0033000F"/>
    <w:rsid w:val="0033148D"/>
    <w:rsid w:val="00332011"/>
    <w:rsid w:val="00332518"/>
    <w:rsid w:val="00332925"/>
    <w:rsid w:val="003332ED"/>
    <w:rsid w:val="00334A7C"/>
    <w:rsid w:val="003368DC"/>
    <w:rsid w:val="00340EB6"/>
    <w:rsid w:val="00345927"/>
    <w:rsid w:val="00350584"/>
    <w:rsid w:val="00351857"/>
    <w:rsid w:val="003545E8"/>
    <w:rsid w:val="003578A4"/>
    <w:rsid w:val="003610E1"/>
    <w:rsid w:val="00362B82"/>
    <w:rsid w:val="00365187"/>
    <w:rsid w:val="00365E4E"/>
    <w:rsid w:val="003671BE"/>
    <w:rsid w:val="003676DE"/>
    <w:rsid w:val="00372485"/>
    <w:rsid w:val="003727BB"/>
    <w:rsid w:val="00372EE0"/>
    <w:rsid w:val="00373200"/>
    <w:rsid w:val="00374CCD"/>
    <w:rsid w:val="00375EF5"/>
    <w:rsid w:val="003767A5"/>
    <w:rsid w:val="00381D15"/>
    <w:rsid w:val="00383544"/>
    <w:rsid w:val="00385254"/>
    <w:rsid w:val="003939D4"/>
    <w:rsid w:val="003A04DB"/>
    <w:rsid w:val="003A3397"/>
    <w:rsid w:val="003A5F5B"/>
    <w:rsid w:val="003A789A"/>
    <w:rsid w:val="003B12EC"/>
    <w:rsid w:val="003B18F7"/>
    <w:rsid w:val="003B7A33"/>
    <w:rsid w:val="003C0E3B"/>
    <w:rsid w:val="003C1B29"/>
    <w:rsid w:val="003C7521"/>
    <w:rsid w:val="003C77E0"/>
    <w:rsid w:val="003C7E13"/>
    <w:rsid w:val="003D130A"/>
    <w:rsid w:val="003D17D7"/>
    <w:rsid w:val="003D2678"/>
    <w:rsid w:val="003D2F70"/>
    <w:rsid w:val="003D36CA"/>
    <w:rsid w:val="003D71A3"/>
    <w:rsid w:val="003E2B8A"/>
    <w:rsid w:val="003E2B96"/>
    <w:rsid w:val="003E3555"/>
    <w:rsid w:val="003F10EE"/>
    <w:rsid w:val="003F16F6"/>
    <w:rsid w:val="003F4DC7"/>
    <w:rsid w:val="003F5235"/>
    <w:rsid w:val="003F720D"/>
    <w:rsid w:val="004027E4"/>
    <w:rsid w:val="00402802"/>
    <w:rsid w:val="00404BEC"/>
    <w:rsid w:val="00407ACA"/>
    <w:rsid w:val="004102F3"/>
    <w:rsid w:val="0041071D"/>
    <w:rsid w:val="004110F1"/>
    <w:rsid w:val="00412BF7"/>
    <w:rsid w:val="00414AFC"/>
    <w:rsid w:val="004151A7"/>
    <w:rsid w:val="00415310"/>
    <w:rsid w:val="00416443"/>
    <w:rsid w:val="00421709"/>
    <w:rsid w:val="00423763"/>
    <w:rsid w:val="004250F1"/>
    <w:rsid w:val="0042762F"/>
    <w:rsid w:val="00427DC7"/>
    <w:rsid w:val="00430427"/>
    <w:rsid w:val="00431613"/>
    <w:rsid w:val="00431792"/>
    <w:rsid w:val="0043297A"/>
    <w:rsid w:val="00432EB2"/>
    <w:rsid w:val="004343C4"/>
    <w:rsid w:val="00434D78"/>
    <w:rsid w:val="00434E57"/>
    <w:rsid w:val="00436EBB"/>
    <w:rsid w:val="00436F5C"/>
    <w:rsid w:val="0043714F"/>
    <w:rsid w:val="00442D46"/>
    <w:rsid w:val="0044350F"/>
    <w:rsid w:val="004438B5"/>
    <w:rsid w:val="00443A7B"/>
    <w:rsid w:val="00447037"/>
    <w:rsid w:val="00447D29"/>
    <w:rsid w:val="00450A52"/>
    <w:rsid w:val="004511C5"/>
    <w:rsid w:val="0045124D"/>
    <w:rsid w:val="004541EC"/>
    <w:rsid w:val="00454596"/>
    <w:rsid w:val="004545A0"/>
    <w:rsid w:val="0045605D"/>
    <w:rsid w:val="0046135B"/>
    <w:rsid w:val="00461D47"/>
    <w:rsid w:val="00470666"/>
    <w:rsid w:val="00470DDC"/>
    <w:rsid w:val="004718CC"/>
    <w:rsid w:val="00471A0A"/>
    <w:rsid w:val="004741A7"/>
    <w:rsid w:val="00481695"/>
    <w:rsid w:val="0048241E"/>
    <w:rsid w:val="004826B6"/>
    <w:rsid w:val="004869FC"/>
    <w:rsid w:val="00486B83"/>
    <w:rsid w:val="004916A1"/>
    <w:rsid w:val="00493A98"/>
    <w:rsid w:val="0049474B"/>
    <w:rsid w:val="00495A96"/>
    <w:rsid w:val="00495BB3"/>
    <w:rsid w:val="00495E54"/>
    <w:rsid w:val="004962DC"/>
    <w:rsid w:val="004A2753"/>
    <w:rsid w:val="004A2A8B"/>
    <w:rsid w:val="004A5210"/>
    <w:rsid w:val="004A56BB"/>
    <w:rsid w:val="004A70D6"/>
    <w:rsid w:val="004A7234"/>
    <w:rsid w:val="004B1751"/>
    <w:rsid w:val="004B2A2C"/>
    <w:rsid w:val="004B5325"/>
    <w:rsid w:val="004B78D3"/>
    <w:rsid w:val="004B7E06"/>
    <w:rsid w:val="004C0253"/>
    <w:rsid w:val="004C1CE1"/>
    <w:rsid w:val="004C2264"/>
    <w:rsid w:val="004C268F"/>
    <w:rsid w:val="004D0FC4"/>
    <w:rsid w:val="004D13FB"/>
    <w:rsid w:val="004D56FF"/>
    <w:rsid w:val="004E1F96"/>
    <w:rsid w:val="004E370A"/>
    <w:rsid w:val="004E39D3"/>
    <w:rsid w:val="004E508A"/>
    <w:rsid w:val="004E616D"/>
    <w:rsid w:val="004F0876"/>
    <w:rsid w:val="004F1BDE"/>
    <w:rsid w:val="004F2123"/>
    <w:rsid w:val="004F2CEE"/>
    <w:rsid w:val="004F4175"/>
    <w:rsid w:val="004F556E"/>
    <w:rsid w:val="004F591C"/>
    <w:rsid w:val="004F5C0D"/>
    <w:rsid w:val="004F71F0"/>
    <w:rsid w:val="004F72B7"/>
    <w:rsid w:val="004F7F44"/>
    <w:rsid w:val="0050073D"/>
    <w:rsid w:val="005037B4"/>
    <w:rsid w:val="00503FCD"/>
    <w:rsid w:val="005079BF"/>
    <w:rsid w:val="0051269A"/>
    <w:rsid w:val="005130F7"/>
    <w:rsid w:val="00513EEF"/>
    <w:rsid w:val="005144FA"/>
    <w:rsid w:val="005207F6"/>
    <w:rsid w:val="00520A06"/>
    <w:rsid w:val="005219E7"/>
    <w:rsid w:val="00521ED4"/>
    <w:rsid w:val="00524254"/>
    <w:rsid w:val="00525B37"/>
    <w:rsid w:val="00525E07"/>
    <w:rsid w:val="00531B9A"/>
    <w:rsid w:val="00531D15"/>
    <w:rsid w:val="00533F50"/>
    <w:rsid w:val="00534833"/>
    <w:rsid w:val="0053633A"/>
    <w:rsid w:val="00537604"/>
    <w:rsid w:val="00540C1B"/>
    <w:rsid w:val="00542377"/>
    <w:rsid w:val="0054608B"/>
    <w:rsid w:val="005476EB"/>
    <w:rsid w:val="00551782"/>
    <w:rsid w:val="00551E17"/>
    <w:rsid w:val="00552E10"/>
    <w:rsid w:val="00563EF1"/>
    <w:rsid w:val="00566062"/>
    <w:rsid w:val="00566AB4"/>
    <w:rsid w:val="00575AC5"/>
    <w:rsid w:val="0057605D"/>
    <w:rsid w:val="00581347"/>
    <w:rsid w:val="00581AC9"/>
    <w:rsid w:val="00582C97"/>
    <w:rsid w:val="005849F8"/>
    <w:rsid w:val="005864F0"/>
    <w:rsid w:val="00586AC4"/>
    <w:rsid w:val="00587F38"/>
    <w:rsid w:val="005938DF"/>
    <w:rsid w:val="00594E9C"/>
    <w:rsid w:val="00595C46"/>
    <w:rsid w:val="00596117"/>
    <w:rsid w:val="005A099B"/>
    <w:rsid w:val="005A12BC"/>
    <w:rsid w:val="005A2D9C"/>
    <w:rsid w:val="005A55FE"/>
    <w:rsid w:val="005A6A11"/>
    <w:rsid w:val="005B10B3"/>
    <w:rsid w:val="005B4DB0"/>
    <w:rsid w:val="005B54FF"/>
    <w:rsid w:val="005B57C7"/>
    <w:rsid w:val="005B6F29"/>
    <w:rsid w:val="005C2044"/>
    <w:rsid w:val="005D2502"/>
    <w:rsid w:val="005D40BB"/>
    <w:rsid w:val="005D47F3"/>
    <w:rsid w:val="005D49BF"/>
    <w:rsid w:val="005D4AA5"/>
    <w:rsid w:val="005D6F4E"/>
    <w:rsid w:val="005D7C73"/>
    <w:rsid w:val="005D7EE9"/>
    <w:rsid w:val="005E250B"/>
    <w:rsid w:val="005E3ACD"/>
    <w:rsid w:val="005E7226"/>
    <w:rsid w:val="005E7A57"/>
    <w:rsid w:val="005F01CF"/>
    <w:rsid w:val="005F24B0"/>
    <w:rsid w:val="005F4D12"/>
    <w:rsid w:val="005F76E8"/>
    <w:rsid w:val="00601B57"/>
    <w:rsid w:val="00604315"/>
    <w:rsid w:val="00604E26"/>
    <w:rsid w:val="0060523F"/>
    <w:rsid w:val="006052CF"/>
    <w:rsid w:val="00607B8D"/>
    <w:rsid w:val="00611F5C"/>
    <w:rsid w:val="00611F64"/>
    <w:rsid w:val="00615346"/>
    <w:rsid w:val="00616E09"/>
    <w:rsid w:val="006225CB"/>
    <w:rsid w:val="00622A3B"/>
    <w:rsid w:val="00622EEA"/>
    <w:rsid w:val="0062396C"/>
    <w:rsid w:val="00623FF9"/>
    <w:rsid w:val="00627D4E"/>
    <w:rsid w:val="00632B89"/>
    <w:rsid w:val="0063346D"/>
    <w:rsid w:val="00634478"/>
    <w:rsid w:val="006364FA"/>
    <w:rsid w:val="00641945"/>
    <w:rsid w:val="0064223E"/>
    <w:rsid w:val="00644373"/>
    <w:rsid w:val="00645915"/>
    <w:rsid w:val="006519C3"/>
    <w:rsid w:val="00652B30"/>
    <w:rsid w:val="00653A9E"/>
    <w:rsid w:val="00656345"/>
    <w:rsid w:val="00656DC6"/>
    <w:rsid w:val="00660EC6"/>
    <w:rsid w:val="00664110"/>
    <w:rsid w:val="00664B76"/>
    <w:rsid w:val="00664D17"/>
    <w:rsid w:val="0066582B"/>
    <w:rsid w:val="00666520"/>
    <w:rsid w:val="00667C5B"/>
    <w:rsid w:val="00670278"/>
    <w:rsid w:val="00670E7F"/>
    <w:rsid w:val="00671243"/>
    <w:rsid w:val="00673E9D"/>
    <w:rsid w:val="00674073"/>
    <w:rsid w:val="006742B6"/>
    <w:rsid w:val="0067672A"/>
    <w:rsid w:val="006773ED"/>
    <w:rsid w:val="0068058F"/>
    <w:rsid w:val="00682113"/>
    <w:rsid w:val="00686679"/>
    <w:rsid w:val="0068669A"/>
    <w:rsid w:val="00690942"/>
    <w:rsid w:val="00691EB8"/>
    <w:rsid w:val="00692CDE"/>
    <w:rsid w:val="00693073"/>
    <w:rsid w:val="00693108"/>
    <w:rsid w:val="006977FF"/>
    <w:rsid w:val="006A01FA"/>
    <w:rsid w:val="006A0E9E"/>
    <w:rsid w:val="006A16DF"/>
    <w:rsid w:val="006A25C7"/>
    <w:rsid w:val="006A4AAD"/>
    <w:rsid w:val="006A6DA2"/>
    <w:rsid w:val="006A7AB2"/>
    <w:rsid w:val="006B52DE"/>
    <w:rsid w:val="006B5717"/>
    <w:rsid w:val="006B582F"/>
    <w:rsid w:val="006B5EB2"/>
    <w:rsid w:val="006B6399"/>
    <w:rsid w:val="006C0CEB"/>
    <w:rsid w:val="006C1631"/>
    <w:rsid w:val="006C3B1E"/>
    <w:rsid w:val="006C3F5F"/>
    <w:rsid w:val="006C47FD"/>
    <w:rsid w:val="006C49E6"/>
    <w:rsid w:val="006C5C19"/>
    <w:rsid w:val="006C70A0"/>
    <w:rsid w:val="006D0B80"/>
    <w:rsid w:val="006D1E75"/>
    <w:rsid w:val="006D27CB"/>
    <w:rsid w:val="006D2F08"/>
    <w:rsid w:val="006D576C"/>
    <w:rsid w:val="006D5865"/>
    <w:rsid w:val="006D63EA"/>
    <w:rsid w:val="006D7B04"/>
    <w:rsid w:val="006E245F"/>
    <w:rsid w:val="006E363D"/>
    <w:rsid w:val="006E4620"/>
    <w:rsid w:val="006E4B1B"/>
    <w:rsid w:val="006E5445"/>
    <w:rsid w:val="006E7D93"/>
    <w:rsid w:val="006F161E"/>
    <w:rsid w:val="006F18BC"/>
    <w:rsid w:val="006F3B2B"/>
    <w:rsid w:val="006F6F77"/>
    <w:rsid w:val="006F780E"/>
    <w:rsid w:val="007029A3"/>
    <w:rsid w:val="00702EA1"/>
    <w:rsid w:val="00706E4E"/>
    <w:rsid w:val="007074AF"/>
    <w:rsid w:val="0070791C"/>
    <w:rsid w:val="0071383C"/>
    <w:rsid w:val="007141A7"/>
    <w:rsid w:val="007152CD"/>
    <w:rsid w:val="00715722"/>
    <w:rsid w:val="00716913"/>
    <w:rsid w:val="00721032"/>
    <w:rsid w:val="00721446"/>
    <w:rsid w:val="00721B55"/>
    <w:rsid w:val="00722F7A"/>
    <w:rsid w:val="0072649C"/>
    <w:rsid w:val="00726CE4"/>
    <w:rsid w:val="0072749A"/>
    <w:rsid w:val="00732456"/>
    <w:rsid w:val="00734143"/>
    <w:rsid w:val="0073453B"/>
    <w:rsid w:val="00735750"/>
    <w:rsid w:val="00737E47"/>
    <w:rsid w:val="00740EAC"/>
    <w:rsid w:val="00744956"/>
    <w:rsid w:val="00745A5C"/>
    <w:rsid w:val="0074605F"/>
    <w:rsid w:val="00747D3D"/>
    <w:rsid w:val="00747E94"/>
    <w:rsid w:val="00754C83"/>
    <w:rsid w:val="00756D6D"/>
    <w:rsid w:val="00761E5C"/>
    <w:rsid w:val="00764296"/>
    <w:rsid w:val="00765DF8"/>
    <w:rsid w:val="00766749"/>
    <w:rsid w:val="00767362"/>
    <w:rsid w:val="0076759A"/>
    <w:rsid w:val="00767C1B"/>
    <w:rsid w:val="007714A9"/>
    <w:rsid w:val="00774F88"/>
    <w:rsid w:val="00774FDB"/>
    <w:rsid w:val="00775B45"/>
    <w:rsid w:val="007772B2"/>
    <w:rsid w:val="007775FC"/>
    <w:rsid w:val="00777BA2"/>
    <w:rsid w:val="00781408"/>
    <w:rsid w:val="00782B18"/>
    <w:rsid w:val="00784F7F"/>
    <w:rsid w:val="007878BD"/>
    <w:rsid w:val="00796F25"/>
    <w:rsid w:val="007A2E98"/>
    <w:rsid w:val="007A3BA3"/>
    <w:rsid w:val="007A6CC0"/>
    <w:rsid w:val="007A7FEC"/>
    <w:rsid w:val="007B1499"/>
    <w:rsid w:val="007B1967"/>
    <w:rsid w:val="007B1BBF"/>
    <w:rsid w:val="007B2960"/>
    <w:rsid w:val="007B355D"/>
    <w:rsid w:val="007B3D12"/>
    <w:rsid w:val="007B7980"/>
    <w:rsid w:val="007C0DEF"/>
    <w:rsid w:val="007C2DC7"/>
    <w:rsid w:val="007C5D5A"/>
    <w:rsid w:val="007C607F"/>
    <w:rsid w:val="007C6E44"/>
    <w:rsid w:val="007C79DD"/>
    <w:rsid w:val="007D156B"/>
    <w:rsid w:val="007D1A97"/>
    <w:rsid w:val="007D1AF7"/>
    <w:rsid w:val="007D2CD6"/>
    <w:rsid w:val="007D2DD2"/>
    <w:rsid w:val="007D3063"/>
    <w:rsid w:val="007D3CEB"/>
    <w:rsid w:val="007E1129"/>
    <w:rsid w:val="007E3375"/>
    <w:rsid w:val="007E37E9"/>
    <w:rsid w:val="007E6137"/>
    <w:rsid w:val="007E74E0"/>
    <w:rsid w:val="007E7683"/>
    <w:rsid w:val="007F49FA"/>
    <w:rsid w:val="007F54C4"/>
    <w:rsid w:val="007F6E9A"/>
    <w:rsid w:val="00800CCD"/>
    <w:rsid w:val="008044D4"/>
    <w:rsid w:val="00807456"/>
    <w:rsid w:val="00807A56"/>
    <w:rsid w:val="00810AB4"/>
    <w:rsid w:val="00811BA7"/>
    <w:rsid w:val="00815AFE"/>
    <w:rsid w:val="0081673D"/>
    <w:rsid w:val="00817B56"/>
    <w:rsid w:val="00821A88"/>
    <w:rsid w:val="00821D52"/>
    <w:rsid w:val="0082495D"/>
    <w:rsid w:val="00831AC3"/>
    <w:rsid w:val="008333E1"/>
    <w:rsid w:val="00834232"/>
    <w:rsid w:val="00836FCE"/>
    <w:rsid w:val="008408FF"/>
    <w:rsid w:val="00840DFA"/>
    <w:rsid w:val="00841BAB"/>
    <w:rsid w:val="00844099"/>
    <w:rsid w:val="00846465"/>
    <w:rsid w:val="00851F3F"/>
    <w:rsid w:val="0085618F"/>
    <w:rsid w:val="00856EDC"/>
    <w:rsid w:val="00860E56"/>
    <w:rsid w:val="008623B5"/>
    <w:rsid w:val="00870ABA"/>
    <w:rsid w:val="008710E1"/>
    <w:rsid w:val="008716E5"/>
    <w:rsid w:val="00874BEA"/>
    <w:rsid w:val="00881CA9"/>
    <w:rsid w:val="00883628"/>
    <w:rsid w:val="00885544"/>
    <w:rsid w:val="0088634E"/>
    <w:rsid w:val="00891573"/>
    <w:rsid w:val="0089184E"/>
    <w:rsid w:val="00893AB8"/>
    <w:rsid w:val="00894353"/>
    <w:rsid w:val="00897F63"/>
    <w:rsid w:val="008A04C8"/>
    <w:rsid w:val="008A5DB7"/>
    <w:rsid w:val="008A6014"/>
    <w:rsid w:val="008A6913"/>
    <w:rsid w:val="008A757B"/>
    <w:rsid w:val="008B353F"/>
    <w:rsid w:val="008B3A34"/>
    <w:rsid w:val="008B3FD5"/>
    <w:rsid w:val="008B51D6"/>
    <w:rsid w:val="008B69AA"/>
    <w:rsid w:val="008B70F3"/>
    <w:rsid w:val="008B71C4"/>
    <w:rsid w:val="008B76DF"/>
    <w:rsid w:val="008C10F4"/>
    <w:rsid w:val="008C65F7"/>
    <w:rsid w:val="008D306A"/>
    <w:rsid w:val="008D338F"/>
    <w:rsid w:val="008D4AD6"/>
    <w:rsid w:val="008D7C87"/>
    <w:rsid w:val="008E4767"/>
    <w:rsid w:val="008E70EC"/>
    <w:rsid w:val="008E7A8C"/>
    <w:rsid w:val="008F4CAC"/>
    <w:rsid w:val="0090203B"/>
    <w:rsid w:val="00902127"/>
    <w:rsid w:val="00903285"/>
    <w:rsid w:val="00906F40"/>
    <w:rsid w:val="0090731E"/>
    <w:rsid w:val="00915B1C"/>
    <w:rsid w:val="009174F3"/>
    <w:rsid w:val="0091797D"/>
    <w:rsid w:val="009211E4"/>
    <w:rsid w:val="00923CBA"/>
    <w:rsid w:val="009242EB"/>
    <w:rsid w:val="00926703"/>
    <w:rsid w:val="00926930"/>
    <w:rsid w:val="00927691"/>
    <w:rsid w:val="00927A5F"/>
    <w:rsid w:val="00930510"/>
    <w:rsid w:val="009344C9"/>
    <w:rsid w:val="00935B63"/>
    <w:rsid w:val="0094078F"/>
    <w:rsid w:val="00940FA3"/>
    <w:rsid w:val="00941FB0"/>
    <w:rsid w:val="009426D4"/>
    <w:rsid w:val="00947F25"/>
    <w:rsid w:val="00950159"/>
    <w:rsid w:val="00950596"/>
    <w:rsid w:val="0095490B"/>
    <w:rsid w:val="0095554F"/>
    <w:rsid w:val="00956712"/>
    <w:rsid w:val="009609BA"/>
    <w:rsid w:val="00960A33"/>
    <w:rsid w:val="0096279B"/>
    <w:rsid w:val="0096404B"/>
    <w:rsid w:val="009655DE"/>
    <w:rsid w:val="00971914"/>
    <w:rsid w:val="00974363"/>
    <w:rsid w:val="00974D09"/>
    <w:rsid w:val="00981898"/>
    <w:rsid w:val="009865BD"/>
    <w:rsid w:val="00986B70"/>
    <w:rsid w:val="00986F4D"/>
    <w:rsid w:val="00990DD1"/>
    <w:rsid w:val="0099577C"/>
    <w:rsid w:val="0099648A"/>
    <w:rsid w:val="009966EE"/>
    <w:rsid w:val="009B24A5"/>
    <w:rsid w:val="009B2601"/>
    <w:rsid w:val="009B4BFC"/>
    <w:rsid w:val="009B4E9E"/>
    <w:rsid w:val="009B63B5"/>
    <w:rsid w:val="009C1690"/>
    <w:rsid w:val="009C32EC"/>
    <w:rsid w:val="009C43BE"/>
    <w:rsid w:val="009C6881"/>
    <w:rsid w:val="009C7759"/>
    <w:rsid w:val="009D043D"/>
    <w:rsid w:val="009D07C8"/>
    <w:rsid w:val="009D1D05"/>
    <w:rsid w:val="009D6C71"/>
    <w:rsid w:val="009E0631"/>
    <w:rsid w:val="009E16D0"/>
    <w:rsid w:val="009E2051"/>
    <w:rsid w:val="009E2B8E"/>
    <w:rsid w:val="009E38FD"/>
    <w:rsid w:val="009E41DA"/>
    <w:rsid w:val="009E6526"/>
    <w:rsid w:val="009F13D6"/>
    <w:rsid w:val="009F1F5C"/>
    <w:rsid w:val="009F44BD"/>
    <w:rsid w:val="009F4C6B"/>
    <w:rsid w:val="009F78A8"/>
    <w:rsid w:val="00A02AD6"/>
    <w:rsid w:val="00A031DA"/>
    <w:rsid w:val="00A07096"/>
    <w:rsid w:val="00A07318"/>
    <w:rsid w:val="00A11370"/>
    <w:rsid w:val="00A14E90"/>
    <w:rsid w:val="00A16FAF"/>
    <w:rsid w:val="00A17B1B"/>
    <w:rsid w:val="00A21DC8"/>
    <w:rsid w:val="00A224CE"/>
    <w:rsid w:val="00A22522"/>
    <w:rsid w:val="00A232CC"/>
    <w:rsid w:val="00A23357"/>
    <w:rsid w:val="00A2440D"/>
    <w:rsid w:val="00A24882"/>
    <w:rsid w:val="00A24AFD"/>
    <w:rsid w:val="00A24F5C"/>
    <w:rsid w:val="00A32F96"/>
    <w:rsid w:val="00A40871"/>
    <w:rsid w:val="00A412AB"/>
    <w:rsid w:val="00A4193E"/>
    <w:rsid w:val="00A41A1D"/>
    <w:rsid w:val="00A42587"/>
    <w:rsid w:val="00A440E0"/>
    <w:rsid w:val="00A442EF"/>
    <w:rsid w:val="00A44D91"/>
    <w:rsid w:val="00A51D1A"/>
    <w:rsid w:val="00A5418D"/>
    <w:rsid w:val="00A5474E"/>
    <w:rsid w:val="00A63578"/>
    <w:rsid w:val="00A64234"/>
    <w:rsid w:val="00A657FB"/>
    <w:rsid w:val="00A70ADF"/>
    <w:rsid w:val="00A71466"/>
    <w:rsid w:val="00A74B5E"/>
    <w:rsid w:val="00A76BE3"/>
    <w:rsid w:val="00A8109B"/>
    <w:rsid w:val="00A81BED"/>
    <w:rsid w:val="00A81EC4"/>
    <w:rsid w:val="00A824E8"/>
    <w:rsid w:val="00A9297F"/>
    <w:rsid w:val="00A9381B"/>
    <w:rsid w:val="00A94AF3"/>
    <w:rsid w:val="00A967FD"/>
    <w:rsid w:val="00AA0295"/>
    <w:rsid w:val="00AA2150"/>
    <w:rsid w:val="00AA2DE5"/>
    <w:rsid w:val="00AA3126"/>
    <w:rsid w:val="00AA5F6B"/>
    <w:rsid w:val="00AA6720"/>
    <w:rsid w:val="00AB156C"/>
    <w:rsid w:val="00AB5A0D"/>
    <w:rsid w:val="00AB6814"/>
    <w:rsid w:val="00AB6BE9"/>
    <w:rsid w:val="00AB6F31"/>
    <w:rsid w:val="00AC04BA"/>
    <w:rsid w:val="00AC0E39"/>
    <w:rsid w:val="00AC3C92"/>
    <w:rsid w:val="00AC61C6"/>
    <w:rsid w:val="00AD07E2"/>
    <w:rsid w:val="00AD15C5"/>
    <w:rsid w:val="00AD1BB5"/>
    <w:rsid w:val="00AD3082"/>
    <w:rsid w:val="00AD32B4"/>
    <w:rsid w:val="00AD4AD0"/>
    <w:rsid w:val="00AD4BCF"/>
    <w:rsid w:val="00AD4DC2"/>
    <w:rsid w:val="00AD5436"/>
    <w:rsid w:val="00AD5C66"/>
    <w:rsid w:val="00AD60CD"/>
    <w:rsid w:val="00AD6C8C"/>
    <w:rsid w:val="00AE091D"/>
    <w:rsid w:val="00AE2AD7"/>
    <w:rsid w:val="00AE3B60"/>
    <w:rsid w:val="00AE53A1"/>
    <w:rsid w:val="00AE55DC"/>
    <w:rsid w:val="00AE64FF"/>
    <w:rsid w:val="00AF2484"/>
    <w:rsid w:val="00AF3355"/>
    <w:rsid w:val="00AF63E7"/>
    <w:rsid w:val="00AF6E17"/>
    <w:rsid w:val="00AF7F81"/>
    <w:rsid w:val="00B00A8F"/>
    <w:rsid w:val="00B0165D"/>
    <w:rsid w:val="00B01B60"/>
    <w:rsid w:val="00B031F3"/>
    <w:rsid w:val="00B04389"/>
    <w:rsid w:val="00B047F9"/>
    <w:rsid w:val="00B052A4"/>
    <w:rsid w:val="00B071DF"/>
    <w:rsid w:val="00B125DE"/>
    <w:rsid w:val="00B13FDD"/>
    <w:rsid w:val="00B14E7F"/>
    <w:rsid w:val="00B15FBF"/>
    <w:rsid w:val="00B22EB2"/>
    <w:rsid w:val="00B234B4"/>
    <w:rsid w:val="00B235C7"/>
    <w:rsid w:val="00B27442"/>
    <w:rsid w:val="00B3104A"/>
    <w:rsid w:val="00B31167"/>
    <w:rsid w:val="00B329D8"/>
    <w:rsid w:val="00B32BB9"/>
    <w:rsid w:val="00B33AE1"/>
    <w:rsid w:val="00B37C38"/>
    <w:rsid w:val="00B4288C"/>
    <w:rsid w:val="00B43262"/>
    <w:rsid w:val="00B44100"/>
    <w:rsid w:val="00B46CBA"/>
    <w:rsid w:val="00B46F94"/>
    <w:rsid w:val="00B5101C"/>
    <w:rsid w:val="00B54F9E"/>
    <w:rsid w:val="00B572DB"/>
    <w:rsid w:val="00B6003C"/>
    <w:rsid w:val="00B61F03"/>
    <w:rsid w:val="00B626E4"/>
    <w:rsid w:val="00B63FB2"/>
    <w:rsid w:val="00B67D6A"/>
    <w:rsid w:val="00B72F4A"/>
    <w:rsid w:val="00B77015"/>
    <w:rsid w:val="00B8021A"/>
    <w:rsid w:val="00B81511"/>
    <w:rsid w:val="00B83C27"/>
    <w:rsid w:val="00B84954"/>
    <w:rsid w:val="00B84BC3"/>
    <w:rsid w:val="00B84BD6"/>
    <w:rsid w:val="00B84BDD"/>
    <w:rsid w:val="00B86404"/>
    <w:rsid w:val="00B87900"/>
    <w:rsid w:val="00B92812"/>
    <w:rsid w:val="00B92D00"/>
    <w:rsid w:val="00B940C7"/>
    <w:rsid w:val="00BA3407"/>
    <w:rsid w:val="00BA4C61"/>
    <w:rsid w:val="00BA4E39"/>
    <w:rsid w:val="00BB45A1"/>
    <w:rsid w:val="00BB4A1F"/>
    <w:rsid w:val="00BB7686"/>
    <w:rsid w:val="00BB7F6C"/>
    <w:rsid w:val="00BC13E1"/>
    <w:rsid w:val="00BC23F9"/>
    <w:rsid w:val="00BC3421"/>
    <w:rsid w:val="00BC41FF"/>
    <w:rsid w:val="00BC6673"/>
    <w:rsid w:val="00BC732C"/>
    <w:rsid w:val="00BD4421"/>
    <w:rsid w:val="00BD7249"/>
    <w:rsid w:val="00BE2580"/>
    <w:rsid w:val="00BE266D"/>
    <w:rsid w:val="00BE35CB"/>
    <w:rsid w:val="00BE3938"/>
    <w:rsid w:val="00BE4C11"/>
    <w:rsid w:val="00BE6805"/>
    <w:rsid w:val="00BE6DF8"/>
    <w:rsid w:val="00BE71C0"/>
    <w:rsid w:val="00BF0D81"/>
    <w:rsid w:val="00BF610C"/>
    <w:rsid w:val="00BF615E"/>
    <w:rsid w:val="00C0060B"/>
    <w:rsid w:val="00C01A6C"/>
    <w:rsid w:val="00C0277D"/>
    <w:rsid w:val="00C053A1"/>
    <w:rsid w:val="00C16198"/>
    <w:rsid w:val="00C2083D"/>
    <w:rsid w:val="00C24A53"/>
    <w:rsid w:val="00C34A05"/>
    <w:rsid w:val="00C35CCE"/>
    <w:rsid w:val="00C4032F"/>
    <w:rsid w:val="00C44047"/>
    <w:rsid w:val="00C45155"/>
    <w:rsid w:val="00C45A04"/>
    <w:rsid w:val="00C45F0E"/>
    <w:rsid w:val="00C507BE"/>
    <w:rsid w:val="00C51AC4"/>
    <w:rsid w:val="00C5498F"/>
    <w:rsid w:val="00C550D5"/>
    <w:rsid w:val="00C55235"/>
    <w:rsid w:val="00C619B6"/>
    <w:rsid w:val="00C64CD0"/>
    <w:rsid w:val="00C654E0"/>
    <w:rsid w:val="00C6684F"/>
    <w:rsid w:val="00C66CDD"/>
    <w:rsid w:val="00C70E70"/>
    <w:rsid w:val="00C75F8D"/>
    <w:rsid w:val="00C77380"/>
    <w:rsid w:val="00C82940"/>
    <w:rsid w:val="00C84154"/>
    <w:rsid w:val="00C87E8A"/>
    <w:rsid w:val="00C97736"/>
    <w:rsid w:val="00CA345A"/>
    <w:rsid w:val="00CA4D89"/>
    <w:rsid w:val="00CA63B7"/>
    <w:rsid w:val="00CB0853"/>
    <w:rsid w:val="00CB1E82"/>
    <w:rsid w:val="00CB4BA8"/>
    <w:rsid w:val="00CB52D7"/>
    <w:rsid w:val="00CB6EA4"/>
    <w:rsid w:val="00CC1DA2"/>
    <w:rsid w:val="00CC28AD"/>
    <w:rsid w:val="00CC6732"/>
    <w:rsid w:val="00CD11FF"/>
    <w:rsid w:val="00CD7E4A"/>
    <w:rsid w:val="00CE0B0A"/>
    <w:rsid w:val="00CE0BB5"/>
    <w:rsid w:val="00CE3C96"/>
    <w:rsid w:val="00CE51A8"/>
    <w:rsid w:val="00CF369B"/>
    <w:rsid w:val="00D00E28"/>
    <w:rsid w:val="00D0269E"/>
    <w:rsid w:val="00D02A78"/>
    <w:rsid w:val="00D04423"/>
    <w:rsid w:val="00D05D6C"/>
    <w:rsid w:val="00D1388D"/>
    <w:rsid w:val="00D15810"/>
    <w:rsid w:val="00D16D4E"/>
    <w:rsid w:val="00D16FE3"/>
    <w:rsid w:val="00D23AE5"/>
    <w:rsid w:val="00D26463"/>
    <w:rsid w:val="00D27F41"/>
    <w:rsid w:val="00D31E4A"/>
    <w:rsid w:val="00D32082"/>
    <w:rsid w:val="00D36441"/>
    <w:rsid w:val="00D4064E"/>
    <w:rsid w:val="00D40FA6"/>
    <w:rsid w:val="00D414E9"/>
    <w:rsid w:val="00D417F2"/>
    <w:rsid w:val="00D42EF0"/>
    <w:rsid w:val="00D44E9B"/>
    <w:rsid w:val="00D45FD2"/>
    <w:rsid w:val="00D47AEB"/>
    <w:rsid w:val="00D50DB9"/>
    <w:rsid w:val="00D51302"/>
    <w:rsid w:val="00D52C43"/>
    <w:rsid w:val="00D535D5"/>
    <w:rsid w:val="00D544C3"/>
    <w:rsid w:val="00D6507F"/>
    <w:rsid w:val="00D653AF"/>
    <w:rsid w:val="00D730BC"/>
    <w:rsid w:val="00D73912"/>
    <w:rsid w:val="00D761A9"/>
    <w:rsid w:val="00D77122"/>
    <w:rsid w:val="00D85226"/>
    <w:rsid w:val="00D87B46"/>
    <w:rsid w:val="00D87B94"/>
    <w:rsid w:val="00D90244"/>
    <w:rsid w:val="00D92D49"/>
    <w:rsid w:val="00D92EC1"/>
    <w:rsid w:val="00D96DEA"/>
    <w:rsid w:val="00D97CDA"/>
    <w:rsid w:val="00DA4E41"/>
    <w:rsid w:val="00DA6A30"/>
    <w:rsid w:val="00DA6F1F"/>
    <w:rsid w:val="00DB117A"/>
    <w:rsid w:val="00DB3A64"/>
    <w:rsid w:val="00DB5173"/>
    <w:rsid w:val="00DB7666"/>
    <w:rsid w:val="00DB7873"/>
    <w:rsid w:val="00DC0CA8"/>
    <w:rsid w:val="00DC187B"/>
    <w:rsid w:val="00DC7DEF"/>
    <w:rsid w:val="00DD1A43"/>
    <w:rsid w:val="00DD5355"/>
    <w:rsid w:val="00DD5926"/>
    <w:rsid w:val="00DD73C2"/>
    <w:rsid w:val="00DE319B"/>
    <w:rsid w:val="00DE4D0B"/>
    <w:rsid w:val="00DE7FB6"/>
    <w:rsid w:val="00DF0799"/>
    <w:rsid w:val="00DF2237"/>
    <w:rsid w:val="00DF280F"/>
    <w:rsid w:val="00DF34FE"/>
    <w:rsid w:val="00DF56AA"/>
    <w:rsid w:val="00DF56AF"/>
    <w:rsid w:val="00DF78E7"/>
    <w:rsid w:val="00E00058"/>
    <w:rsid w:val="00E02DC8"/>
    <w:rsid w:val="00E110E0"/>
    <w:rsid w:val="00E11DDB"/>
    <w:rsid w:val="00E127CC"/>
    <w:rsid w:val="00E12B67"/>
    <w:rsid w:val="00E14D7F"/>
    <w:rsid w:val="00E15371"/>
    <w:rsid w:val="00E169CC"/>
    <w:rsid w:val="00E20D5A"/>
    <w:rsid w:val="00E23372"/>
    <w:rsid w:val="00E24104"/>
    <w:rsid w:val="00E26612"/>
    <w:rsid w:val="00E302D0"/>
    <w:rsid w:val="00E35707"/>
    <w:rsid w:val="00E36554"/>
    <w:rsid w:val="00E36AA1"/>
    <w:rsid w:val="00E41ECB"/>
    <w:rsid w:val="00E42676"/>
    <w:rsid w:val="00E44860"/>
    <w:rsid w:val="00E44F8B"/>
    <w:rsid w:val="00E54FDB"/>
    <w:rsid w:val="00E5617D"/>
    <w:rsid w:val="00E563D7"/>
    <w:rsid w:val="00E60BCC"/>
    <w:rsid w:val="00E6322F"/>
    <w:rsid w:val="00E641EC"/>
    <w:rsid w:val="00E663F4"/>
    <w:rsid w:val="00E666F2"/>
    <w:rsid w:val="00E66DD4"/>
    <w:rsid w:val="00E742F8"/>
    <w:rsid w:val="00E748CC"/>
    <w:rsid w:val="00E75415"/>
    <w:rsid w:val="00E775B1"/>
    <w:rsid w:val="00E8152A"/>
    <w:rsid w:val="00E832A9"/>
    <w:rsid w:val="00E91BF4"/>
    <w:rsid w:val="00E93629"/>
    <w:rsid w:val="00E93B5C"/>
    <w:rsid w:val="00E94943"/>
    <w:rsid w:val="00E94CEC"/>
    <w:rsid w:val="00E97060"/>
    <w:rsid w:val="00E97CEA"/>
    <w:rsid w:val="00EA04EF"/>
    <w:rsid w:val="00EA0849"/>
    <w:rsid w:val="00EA1243"/>
    <w:rsid w:val="00EA3ED3"/>
    <w:rsid w:val="00EA6F19"/>
    <w:rsid w:val="00EB2AB5"/>
    <w:rsid w:val="00EB7090"/>
    <w:rsid w:val="00EC001C"/>
    <w:rsid w:val="00EC1BBE"/>
    <w:rsid w:val="00EC2B68"/>
    <w:rsid w:val="00EC3AEF"/>
    <w:rsid w:val="00EC42DA"/>
    <w:rsid w:val="00EC5CD7"/>
    <w:rsid w:val="00EC783F"/>
    <w:rsid w:val="00ED1338"/>
    <w:rsid w:val="00ED1CBD"/>
    <w:rsid w:val="00ED7CDB"/>
    <w:rsid w:val="00EE4872"/>
    <w:rsid w:val="00EE5FB3"/>
    <w:rsid w:val="00EE7F79"/>
    <w:rsid w:val="00EF715A"/>
    <w:rsid w:val="00EF78FB"/>
    <w:rsid w:val="00F00943"/>
    <w:rsid w:val="00F01BC3"/>
    <w:rsid w:val="00F04366"/>
    <w:rsid w:val="00F06E14"/>
    <w:rsid w:val="00F07E76"/>
    <w:rsid w:val="00F13471"/>
    <w:rsid w:val="00F13FD8"/>
    <w:rsid w:val="00F179D4"/>
    <w:rsid w:val="00F222A6"/>
    <w:rsid w:val="00F224C4"/>
    <w:rsid w:val="00F306B8"/>
    <w:rsid w:val="00F33C56"/>
    <w:rsid w:val="00F347C7"/>
    <w:rsid w:val="00F34848"/>
    <w:rsid w:val="00F36510"/>
    <w:rsid w:val="00F36607"/>
    <w:rsid w:val="00F3788E"/>
    <w:rsid w:val="00F42D46"/>
    <w:rsid w:val="00F4496C"/>
    <w:rsid w:val="00F44F3A"/>
    <w:rsid w:val="00F45DD5"/>
    <w:rsid w:val="00F46821"/>
    <w:rsid w:val="00F47979"/>
    <w:rsid w:val="00F51F10"/>
    <w:rsid w:val="00F529A5"/>
    <w:rsid w:val="00F54D6F"/>
    <w:rsid w:val="00F56877"/>
    <w:rsid w:val="00F570C2"/>
    <w:rsid w:val="00F57676"/>
    <w:rsid w:val="00F578C7"/>
    <w:rsid w:val="00F6065B"/>
    <w:rsid w:val="00F60F00"/>
    <w:rsid w:val="00F614C0"/>
    <w:rsid w:val="00F61C77"/>
    <w:rsid w:val="00F61CFE"/>
    <w:rsid w:val="00F669E6"/>
    <w:rsid w:val="00F76A7D"/>
    <w:rsid w:val="00F76C9D"/>
    <w:rsid w:val="00F80B1A"/>
    <w:rsid w:val="00F83848"/>
    <w:rsid w:val="00F83A8E"/>
    <w:rsid w:val="00F857F7"/>
    <w:rsid w:val="00F86A5C"/>
    <w:rsid w:val="00F90988"/>
    <w:rsid w:val="00F90F2D"/>
    <w:rsid w:val="00F943D7"/>
    <w:rsid w:val="00F975E9"/>
    <w:rsid w:val="00FA1B7D"/>
    <w:rsid w:val="00FA367B"/>
    <w:rsid w:val="00FA4053"/>
    <w:rsid w:val="00FA46C6"/>
    <w:rsid w:val="00FA4D2A"/>
    <w:rsid w:val="00FA691E"/>
    <w:rsid w:val="00FB438E"/>
    <w:rsid w:val="00FB63C2"/>
    <w:rsid w:val="00FC07B9"/>
    <w:rsid w:val="00FC472B"/>
    <w:rsid w:val="00FC4E21"/>
    <w:rsid w:val="00FC5F6D"/>
    <w:rsid w:val="00FD0107"/>
    <w:rsid w:val="00FD1AF4"/>
    <w:rsid w:val="00FD2C2F"/>
    <w:rsid w:val="00FD3B31"/>
    <w:rsid w:val="00FD5651"/>
    <w:rsid w:val="00FD6DD9"/>
    <w:rsid w:val="00FE00A1"/>
    <w:rsid w:val="00FE0FFE"/>
    <w:rsid w:val="00FE1823"/>
    <w:rsid w:val="00FE487A"/>
    <w:rsid w:val="00FE53FE"/>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825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053"/>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link w:val="ListBulletChar"/>
    <w:qFormat/>
    <w:rsid w:val="006E363D"/>
    <w:pPr>
      <w:numPr>
        <w:numId w:val="42"/>
      </w:numPr>
      <w:spacing w:after="80"/>
    </w:pPr>
  </w:style>
  <w:style w:type="paragraph" w:styleId="ListBullet2">
    <w:name w:val="List Bullet 2"/>
    <w:basedOn w:val="Normal"/>
    <w:semiHidden/>
    <w:qFormat/>
    <w:rsid w:val="006E363D"/>
    <w:pPr>
      <w:numPr>
        <w:numId w:val="41"/>
      </w:numPr>
      <w:spacing w:after="80"/>
    </w:pPr>
  </w:style>
  <w:style w:type="paragraph" w:styleId="ListNumber">
    <w:name w:val="List Number"/>
    <w:basedOn w:val="Normal"/>
    <w:semiHidden/>
    <w:qFormat/>
    <w:rsid w:val="006E363D"/>
    <w:pPr>
      <w:numPr>
        <w:numId w:val="46"/>
      </w:numPr>
      <w:spacing w:after="80"/>
    </w:pPr>
  </w:style>
  <w:style w:type="paragraph" w:styleId="ListNumber2">
    <w:name w:val="List Number 2"/>
    <w:basedOn w:val="Normal"/>
    <w:semiHidden/>
    <w:qFormat/>
    <w:rsid w:val="006E363D"/>
    <w:pPr>
      <w:numPr>
        <w:numId w:val="45"/>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6E363D"/>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6E363D"/>
    <w:pPr>
      <w:spacing w:after="240"/>
    </w:pPr>
    <w:rPr>
      <w:rFonts w:cs="Arial"/>
    </w:rPr>
  </w:style>
  <w:style w:type="paragraph" w:customStyle="1" w:styleId="ListNumberLast">
    <w:name w:val="List Number Last"/>
    <w:basedOn w:val="ListNumber"/>
    <w:semiHidden/>
    <w:qFormat/>
    <w:rsid w:val="006E363D"/>
    <w:pPr>
      <w:spacing w:after="240"/>
      <w:ind w:left="357" w:hanging="357"/>
    </w:pPr>
    <w:rPr>
      <w:rFonts w:cs="Arial"/>
    </w:rPr>
  </w:style>
  <w:style w:type="paragraph" w:customStyle="1" w:styleId="ACMATableHeader">
    <w:name w:val="ACMA_TableHeader"/>
    <w:semiHidden/>
    <w:qFormat/>
    <w:rsid w:val="003F10EE"/>
    <w:p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6E363D"/>
    <w:pPr>
      <w:spacing w:after="240"/>
      <w:ind w:left="907" w:hanging="35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styleId="ListParagraph">
    <w:name w:val="List Paragraph"/>
    <w:aliases w:val="Recommendation,List Paragraph1,List Paragraph11,NFP GP Bulleted List,bullet point list,List Bullet Cab,CAB - List Bullet,Bullet List,Bulletr List Paragraph,FooterText,List Paragraph2,List Paragraph21,Listeafsnit1,Listenabsatz,numbered,L"/>
    <w:basedOn w:val="ListBullet"/>
    <w:link w:val="ListParagraphChar"/>
    <w:uiPriority w:val="1"/>
    <w:qFormat/>
    <w:rsid w:val="006B6399"/>
    <w:pPr>
      <w:numPr>
        <w:numId w:val="22"/>
      </w:numPr>
    </w:pPr>
    <w:rPr>
      <w:rFonts w:eastAsiaTheme="majorEastAsia" w:cstheme="majorBidi"/>
      <w:szCs w:val="22"/>
      <w:lang w:eastAsia="en-US"/>
    </w:rPr>
  </w:style>
  <w:style w:type="paragraph" w:customStyle="1" w:styleId="NumberedSpacing">
    <w:name w:val="Numbered Spacing"/>
    <w:basedOn w:val="Normal"/>
    <w:rsid w:val="006B6399"/>
    <w:pPr>
      <w:numPr>
        <w:numId w:val="13"/>
      </w:numPr>
      <w:tabs>
        <w:tab w:val="left" w:pos="567"/>
      </w:tabs>
      <w:spacing w:before="200" w:line="300" w:lineRule="auto"/>
    </w:pPr>
    <w:rPr>
      <w:rFonts w:ascii="Proxima Nova Lt" w:hAnsi="Proxima Nova Lt"/>
      <w:color w:val="343335"/>
      <w:lang w:eastAsia="en-US"/>
    </w:rPr>
  </w:style>
  <w:style w:type="numbering" w:customStyle="1" w:styleId="ShorterBullet">
    <w:name w:val="Shorter Bullet"/>
    <w:basedOn w:val="NoList"/>
    <w:rsid w:val="006B6399"/>
    <w:pPr>
      <w:numPr>
        <w:numId w:val="13"/>
      </w:numPr>
    </w:pPr>
  </w:style>
  <w:style w:type="character" w:customStyle="1" w:styleId="ListParagraphChar">
    <w:name w:val="List Paragraph Char"/>
    <w:aliases w:val="Recommendation Char,List Paragraph1 Char,List Paragraph11 Char,NFP GP Bulleted List Char,bullet point list Char,List Bullet Cab Char,CAB - List Bullet Char,Bullet List Char,Bulletr List Paragraph Char,FooterText Char,numbered Char"/>
    <w:basedOn w:val="DefaultParagraphFont"/>
    <w:link w:val="ListParagraph"/>
    <w:uiPriority w:val="34"/>
    <w:qFormat/>
    <w:locked/>
    <w:rsid w:val="006B6399"/>
    <w:rPr>
      <w:rFonts w:ascii="Arial" w:eastAsiaTheme="majorEastAsia" w:hAnsi="Arial" w:cstheme="majorBidi"/>
      <w:sz w:val="20"/>
      <w:szCs w:val="22"/>
      <w:lang w:eastAsia="en-US"/>
    </w:rPr>
  </w:style>
  <w:style w:type="character" w:customStyle="1" w:styleId="ListBulletChar">
    <w:name w:val="List Bullet Char"/>
    <w:basedOn w:val="DefaultParagraphFont"/>
    <w:link w:val="ListBullet"/>
    <w:rsid w:val="006B6399"/>
    <w:rPr>
      <w:rFonts w:ascii="Arial" w:hAnsi="Arial"/>
      <w:sz w:val="20"/>
    </w:rPr>
  </w:style>
  <w:style w:type="paragraph" w:customStyle="1" w:styleId="ACMABulletLevel1">
    <w:name w:val="ACMA Bullet Level 1"/>
    <w:rsid w:val="00283C97"/>
    <w:pPr>
      <w:spacing w:after="120"/>
    </w:pPr>
    <w:rPr>
      <w:szCs w:val="20"/>
      <w:lang w:eastAsia="en-US"/>
    </w:rPr>
  </w:style>
  <w:style w:type="paragraph" w:styleId="BodyText">
    <w:name w:val="Body Text"/>
    <w:basedOn w:val="Normal"/>
    <w:link w:val="BodyTextChar"/>
    <w:uiPriority w:val="1"/>
    <w:qFormat/>
    <w:rsid w:val="002311C8"/>
    <w:pPr>
      <w:autoSpaceDE w:val="0"/>
      <w:autoSpaceDN w:val="0"/>
      <w:adjustRightInd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2311C8"/>
    <w:rPr>
      <w:rFonts w:ascii="Calibri" w:hAnsi="Calibri" w:cs="Calibri"/>
      <w:sz w:val="18"/>
      <w:szCs w:val="18"/>
    </w:rPr>
  </w:style>
  <w:style w:type="paragraph" w:styleId="Title">
    <w:name w:val="Title"/>
    <w:basedOn w:val="Normal"/>
    <w:next w:val="Normal"/>
    <w:link w:val="TitleChar"/>
    <w:uiPriority w:val="1"/>
    <w:qFormat/>
    <w:rsid w:val="002311C8"/>
    <w:pPr>
      <w:autoSpaceDE w:val="0"/>
      <w:autoSpaceDN w:val="0"/>
      <w:adjustRightInd w:val="0"/>
      <w:spacing w:before="59" w:after="0" w:line="240" w:lineRule="auto"/>
      <w:ind w:left="40"/>
    </w:pPr>
    <w:rPr>
      <w:rFonts w:ascii="Calibri" w:hAnsi="Calibri" w:cs="Calibri"/>
      <w:b/>
      <w:bCs/>
      <w:sz w:val="22"/>
      <w:szCs w:val="22"/>
    </w:rPr>
  </w:style>
  <w:style w:type="character" w:customStyle="1" w:styleId="TitleChar">
    <w:name w:val="Title Char"/>
    <w:basedOn w:val="DefaultParagraphFont"/>
    <w:link w:val="Title"/>
    <w:uiPriority w:val="1"/>
    <w:rsid w:val="002311C8"/>
    <w:rPr>
      <w:rFonts w:ascii="Calibri" w:hAnsi="Calibri" w:cs="Calibri"/>
      <w:b/>
      <w:bCs/>
      <w:sz w:val="22"/>
      <w:szCs w:val="22"/>
    </w:rPr>
  </w:style>
  <w:style w:type="paragraph" w:customStyle="1" w:styleId="TableParagraph">
    <w:name w:val="Table Paragraph"/>
    <w:basedOn w:val="Normal"/>
    <w:uiPriority w:val="1"/>
    <w:qFormat/>
    <w:rsid w:val="002311C8"/>
    <w:pPr>
      <w:autoSpaceDE w:val="0"/>
      <w:autoSpaceDN w:val="0"/>
      <w:adjustRightInd w:val="0"/>
      <w:spacing w:before="30" w:after="0" w:line="240" w:lineRule="auto"/>
      <w:ind w:left="39"/>
      <w:jc w:val="center"/>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0154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59791273">
      <w:bodyDiv w:val="1"/>
      <w:marLeft w:val="0"/>
      <w:marRight w:val="0"/>
      <w:marTop w:val="0"/>
      <w:marBottom w:val="0"/>
      <w:divBdr>
        <w:top w:val="none" w:sz="0" w:space="0" w:color="auto"/>
        <w:left w:val="none" w:sz="0" w:space="0" w:color="auto"/>
        <w:bottom w:val="none" w:sz="0" w:space="0" w:color="auto"/>
        <w:right w:val="none" w:sz="0" w:space="0" w:color="auto"/>
      </w:divBdr>
    </w:div>
    <w:div w:id="825896987">
      <w:bodyDiv w:val="1"/>
      <w:marLeft w:val="0"/>
      <w:marRight w:val="0"/>
      <w:marTop w:val="0"/>
      <w:marBottom w:val="0"/>
      <w:divBdr>
        <w:top w:val="none" w:sz="0" w:space="0" w:color="auto"/>
        <w:left w:val="none" w:sz="0" w:space="0" w:color="auto"/>
        <w:bottom w:val="none" w:sz="0" w:space="0" w:color="auto"/>
        <w:right w:val="none" w:sz="0" w:space="0" w:color="auto"/>
      </w:divBdr>
    </w:div>
    <w:div w:id="123601322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112240052">
      <w:bodyDiv w:val="1"/>
      <w:marLeft w:val="0"/>
      <w:marRight w:val="0"/>
      <w:marTop w:val="0"/>
      <w:marBottom w:val="0"/>
      <w:divBdr>
        <w:top w:val="none" w:sz="0" w:space="0" w:color="auto"/>
        <w:left w:val="none" w:sz="0" w:space="0" w:color="auto"/>
        <w:bottom w:val="none" w:sz="0" w:space="0" w:color="auto"/>
        <w:right w:val="none" w:sz="0" w:space="0" w:color="auto"/>
      </w:divBdr>
    </w:div>
    <w:div w:id="21246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0L01653/Explanatory%20Statement/Text"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20L01653"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broadcaster-compliance-tv-content-standards"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broadcaster-compliance-tv-content-standards"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2922</Words>
  <Characters>16691</Characters>
  <Application>Microsoft Office Word</Application>
  <DocSecurity>0</DocSecurity>
  <Lines>490</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2022-09-01T03:43:00Z</dcterms:created>
  <dcterms:modified xsi:type="dcterms:W3CDTF">2022-09-01T03:44:00Z</dcterms:modified>
  <cp:category/>
</cp:coreProperties>
</file>