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4744" w14:textId="4ED5BBC8" w:rsidR="005D09E1" w:rsidRDefault="00504BE6" w:rsidP="0076098E">
      <w:pPr>
        <w:pStyle w:val="Reportsubtitle"/>
        <w:spacing w:after="0"/>
        <w:rPr>
          <w:b/>
          <w:color w:val="auto"/>
        </w:rPr>
      </w:pPr>
      <w:r w:rsidRPr="00504BE6">
        <w:rPr>
          <w:b/>
          <w:color w:val="auto"/>
        </w:rPr>
        <w:t xml:space="preserve">Interim </w:t>
      </w:r>
      <w:r w:rsidR="002903F8">
        <w:rPr>
          <w:b/>
          <w:color w:val="auto"/>
        </w:rPr>
        <w:t>g</w:t>
      </w:r>
      <w:r w:rsidRPr="00504BE6">
        <w:rPr>
          <w:b/>
          <w:color w:val="auto"/>
        </w:rPr>
        <w:t>uideline</w:t>
      </w:r>
      <w:r w:rsidR="002903F8">
        <w:rPr>
          <w:b/>
          <w:color w:val="auto"/>
        </w:rPr>
        <w:t>:</w:t>
      </w:r>
      <w:r w:rsidRPr="00504BE6">
        <w:rPr>
          <w:b/>
          <w:color w:val="auto"/>
        </w:rPr>
        <w:t xml:space="preserve"> </w:t>
      </w:r>
      <w:r w:rsidR="002903F8">
        <w:rPr>
          <w:b/>
          <w:color w:val="auto"/>
        </w:rPr>
        <w:t xml:space="preserve">access to </w:t>
      </w:r>
      <w:r w:rsidR="002903F8">
        <w:rPr>
          <w:b/>
          <w:color w:val="auto"/>
        </w:rPr>
        <w:br/>
      </w:r>
      <w:r w:rsidRPr="00504BE6">
        <w:rPr>
          <w:b/>
          <w:color w:val="auto"/>
        </w:rPr>
        <w:t>5055</w:t>
      </w:r>
      <w:r w:rsidR="002903F8">
        <w:rPr>
          <w:b/>
          <w:color w:val="auto"/>
        </w:rPr>
        <w:t>–</w:t>
      </w:r>
      <w:r w:rsidRPr="00504BE6">
        <w:rPr>
          <w:b/>
          <w:color w:val="auto"/>
        </w:rPr>
        <w:t>5065</w:t>
      </w:r>
      <w:r w:rsidR="002903F8">
        <w:t> </w:t>
      </w:r>
      <w:r w:rsidRPr="00504BE6">
        <w:rPr>
          <w:b/>
          <w:color w:val="auto"/>
        </w:rPr>
        <w:t xml:space="preserve">MHz for </w:t>
      </w:r>
      <w:r w:rsidR="002903F8">
        <w:rPr>
          <w:b/>
          <w:color w:val="auto"/>
        </w:rPr>
        <w:t xml:space="preserve">line of sight </w:t>
      </w:r>
      <w:r w:rsidR="002903F8">
        <w:rPr>
          <w:b/>
          <w:color w:val="auto"/>
        </w:rPr>
        <w:br/>
        <w:t>remotely piloted aircraft systems</w:t>
      </w:r>
      <w:r w:rsidRPr="00504BE6">
        <w:rPr>
          <w:b/>
          <w:color w:val="auto"/>
        </w:rPr>
        <w:t xml:space="preserve"> </w:t>
      </w:r>
    </w:p>
    <w:p w14:paraId="33385EF7" w14:textId="7C10F42F" w:rsidR="00F06E14" w:rsidRDefault="00F744DB" w:rsidP="00F06E14">
      <w:pPr>
        <w:pStyle w:val="Reportsubtitle"/>
      </w:pPr>
      <w:r>
        <w:t>Summary of and response to submissions</w:t>
      </w:r>
    </w:p>
    <w:p w14:paraId="149FEF31" w14:textId="6D2FB291" w:rsidR="00C97736" w:rsidRPr="000D76E0" w:rsidRDefault="005D09E1"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august</w:t>
      </w:r>
      <w:r w:rsidR="000F08C8">
        <w:t xml:space="preserve"> 2022</w:t>
      </w:r>
    </w:p>
    <w:p w14:paraId="56A7ECE3" w14:textId="77777777" w:rsidR="0005011A" w:rsidRPr="00F44F3A" w:rsidRDefault="0005011A" w:rsidP="00FC07B9">
      <w:pPr>
        <w:pStyle w:val="ACMACorporateAddressHeader"/>
      </w:pPr>
      <w:r w:rsidRPr="00F44F3A">
        <w:lastRenderedPageBreak/>
        <w:t>Canberra</w:t>
      </w:r>
    </w:p>
    <w:p w14:paraId="0337A240"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0858264E" w14:textId="77777777" w:rsidR="0005011A" w:rsidRPr="00FC07B9" w:rsidRDefault="0005011A" w:rsidP="00FC07B9">
      <w:pPr>
        <w:pStyle w:val="ACMACorporateAddresses"/>
      </w:pPr>
      <w:r w:rsidRPr="00FC07B9">
        <w:t>PO Box 78</w:t>
      </w:r>
      <w:r w:rsidRPr="00FC07B9">
        <w:br/>
        <w:t>Belconnen ACT 2616</w:t>
      </w:r>
    </w:p>
    <w:p w14:paraId="38C22288"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0AB37B9D" w14:textId="77777777" w:rsidR="0005011A" w:rsidRPr="00F44F3A" w:rsidRDefault="0005011A" w:rsidP="00FC07B9">
      <w:pPr>
        <w:pStyle w:val="ACMACorporateAddressHeader"/>
      </w:pPr>
      <w:r w:rsidRPr="00F44F3A">
        <w:t>Melbourne</w:t>
      </w:r>
    </w:p>
    <w:p w14:paraId="2299F3C7"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0729E68C"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6D7E46BF"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206D0EF1" w14:textId="77777777" w:rsidR="0005011A" w:rsidRPr="00F44F3A" w:rsidRDefault="0005011A" w:rsidP="00FC07B9">
      <w:pPr>
        <w:pStyle w:val="ACMACorporateAddressHeader"/>
      </w:pPr>
      <w:r w:rsidRPr="00F44F3A">
        <w:t>Sydney</w:t>
      </w:r>
    </w:p>
    <w:p w14:paraId="12E2E947"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261C0556"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1C058518"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1ACF9CD3" w14:textId="77777777" w:rsidR="00140318" w:rsidRPr="006D46E5" w:rsidRDefault="00140318" w:rsidP="00FC07B9">
      <w:pPr>
        <w:pStyle w:val="ACMACopyrightHeader"/>
      </w:pPr>
      <w:r w:rsidRPr="00140318">
        <w:t>Copyright notice</w:t>
      </w:r>
    </w:p>
    <w:p w14:paraId="29BFF97C" w14:textId="77777777" w:rsidR="00140318" w:rsidRPr="006D46E5" w:rsidRDefault="00623FF9" w:rsidP="00623FF9">
      <w:pPr>
        <w:pStyle w:val="ACMACClogo"/>
      </w:pPr>
      <w:r w:rsidRPr="00623FF9">
        <w:rPr>
          <w:noProof/>
        </w:rPr>
        <w:drawing>
          <wp:inline distT="0" distB="0" distL="0" distR="0" wp14:anchorId="1745FE77" wp14:editId="733FDF7D">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4D2D1AE" w14:textId="77777777" w:rsidR="00AA2DE5" w:rsidRDefault="00D92F66" w:rsidP="00AA2DE5">
      <w:pPr>
        <w:pStyle w:val="ACMACorporateAddresses"/>
        <w:rPr>
          <w:rStyle w:val="Hyperlink"/>
        </w:rPr>
      </w:pPr>
      <w:hyperlink r:id="rId13" w:history="1">
        <w:r w:rsidR="00AA2DE5">
          <w:rPr>
            <w:rStyle w:val="Hyperlink"/>
          </w:rPr>
          <w:t>https://creativecommons.org/licenses/by/4.0/</w:t>
        </w:r>
      </w:hyperlink>
    </w:p>
    <w:p w14:paraId="66C2CC90"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5A2E8DAC" w14:textId="7891D340" w:rsidR="00AA2DE5" w:rsidRDefault="00AA2DE5" w:rsidP="00AA2DE5">
      <w:pPr>
        <w:pStyle w:val="ACMACorporateAddresses"/>
      </w:pPr>
      <w:r>
        <w:t>We request attribution as © Commonwealth of Australia (Australian Communications and Media Authority) 20</w:t>
      </w:r>
      <w:r w:rsidR="00C41F21">
        <w:t>2</w:t>
      </w:r>
      <w:r w:rsidR="007F58BD">
        <w:t>2</w:t>
      </w:r>
      <w:r>
        <w:t>.</w:t>
      </w:r>
    </w:p>
    <w:p w14:paraId="46FDE5C3" w14:textId="77777777" w:rsidR="00AA2DE5" w:rsidRDefault="00AA2DE5" w:rsidP="00AA2DE5">
      <w:pPr>
        <w:pStyle w:val="ACMACorporateAddresses"/>
      </w:pPr>
      <w:r>
        <w:t>All other rights are reserved.</w:t>
      </w:r>
    </w:p>
    <w:p w14:paraId="1564415C"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22C1FE4" w14:textId="77777777" w:rsidR="00AA2DE5" w:rsidRDefault="00AA2DE5" w:rsidP="00AA2DE5">
      <w:pPr>
        <w:pStyle w:val="ACMACorporateAddresses"/>
      </w:pPr>
      <w:r>
        <w:t>Written enquiries may be sent to:</w:t>
      </w:r>
    </w:p>
    <w:p w14:paraId="31D053E2"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202EC7B7" w14:textId="77777777" w:rsidR="00D16FE3" w:rsidRDefault="00D16FE3" w:rsidP="00D16FE3">
      <w:pPr>
        <w:pStyle w:val="ACMACorporateAddresses"/>
        <w:rPr>
          <w:rStyle w:val="Hyperlink"/>
        </w:rPr>
      </w:pPr>
    </w:p>
    <w:p w14:paraId="3DB07D50"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ED4A3A7" w14:textId="59BB2031" w:rsidR="005B2B92" w:rsidRDefault="006A3ECF">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"1-2" \h \z \t "Exec summary heading,1" </w:instrText>
      </w:r>
      <w:r>
        <w:rPr>
          <w:rFonts w:cs="Arial"/>
        </w:rPr>
        <w:fldChar w:fldCharType="separate"/>
      </w:r>
      <w:hyperlink w:anchor="_Toc112162458" w:history="1">
        <w:r w:rsidR="005B2B92" w:rsidRPr="00D703F3">
          <w:rPr>
            <w:rStyle w:val="Hyperlink"/>
          </w:rPr>
          <w:t>Executive summary</w:t>
        </w:r>
        <w:r w:rsidR="005B2B92">
          <w:rPr>
            <w:webHidden/>
          </w:rPr>
          <w:tab/>
        </w:r>
        <w:r w:rsidR="005B2B92">
          <w:rPr>
            <w:webHidden/>
          </w:rPr>
          <w:fldChar w:fldCharType="begin"/>
        </w:r>
        <w:r w:rsidR="005B2B92">
          <w:rPr>
            <w:webHidden/>
          </w:rPr>
          <w:instrText xml:space="preserve"> PAGEREF _Toc112162458 \h </w:instrText>
        </w:r>
        <w:r w:rsidR="005B2B92">
          <w:rPr>
            <w:webHidden/>
          </w:rPr>
        </w:r>
        <w:r w:rsidR="005B2B92">
          <w:rPr>
            <w:webHidden/>
          </w:rPr>
          <w:fldChar w:fldCharType="separate"/>
        </w:r>
        <w:r w:rsidR="005B2B92">
          <w:rPr>
            <w:webHidden/>
          </w:rPr>
          <w:t>1</w:t>
        </w:r>
        <w:r w:rsidR="005B2B92">
          <w:rPr>
            <w:webHidden/>
          </w:rPr>
          <w:fldChar w:fldCharType="end"/>
        </w:r>
      </w:hyperlink>
    </w:p>
    <w:p w14:paraId="4E971050" w14:textId="791BA3B4" w:rsidR="005B2B92" w:rsidRDefault="00D92F66">
      <w:pPr>
        <w:pStyle w:val="TOC1"/>
        <w:rPr>
          <w:rFonts w:asciiTheme="minorHAnsi" w:eastAsiaTheme="minorEastAsia" w:hAnsiTheme="minorHAnsi" w:cstheme="minorBidi"/>
          <w:b w:val="0"/>
          <w:spacing w:val="0"/>
          <w:sz w:val="22"/>
          <w:szCs w:val="22"/>
        </w:rPr>
      </w:pPr>
      <w:hyperlink w:anchor="_Toc112162459" w:history="1">
        <w:r w:rsidR="005B2B92" w:rsidRPr="00D703F3">
          <w:rPr>
            <w:rStyle w:val="Hyperlink"/>
          </w:rPr>
          <w:t>Introduction</w:t>
        </w:r>
        <w:r w:rsidR="005B2B92">
          <w:rPr>
            <w:webHidden/>
          </w:rPr>
          <w:tab/>
        </w:r>
        <w:r w:rsidR="005B2B92">
          <w:rPr>
            <w:webHidden/>
          </w:rPr>
          <w:fldChar w:fldCharType="begin"/>
        </w:r>
        <w:r w:rsidR="005B2B92">
          <w:rPr>
            <w:webHidden/>
          </w:rPr>
          <w:instrText xml:space="preserve"> PAGEREF _Toc112162459 \h </w:instrText>
        </w:r>
        <w:r w:rsidR="005B2B92">
          <w:rPr>
            <w:webHidden/>
          </w:rPr>
        </w:r>
        <w:r w:rsidR="005B2B92">
          <w:rPr>
            <w:webHidden/>
          </w:rPr>
          <w:fldChar w:fldCharType="separate"/>
        </w:r>
        <w:r w:rsidR="005B2B92">
          <w:rPr>
            <w:webHidden/>
          </w:rPr>
          <w:t>2</w:t>
        </w:r>
        <w:r w:rsidR="005B2B92">
          <w:rPr>
            <w:webHidden/>
          </w:rPr>
          <w:fldChar w:fldCharType="end"/>
        </w:r>
      </w:hyperlink>
    </w:p>
    <w:p w14:paraId="1459B451" w14:textId="26DEAF03" w:rsidR="005B2B92" w:rsidRDefault="00D92F66">
      <w:pPr>
        <w:pStyle w:val="TOC1"/>
        <w:rPr>
          <w:rFonts w:asciiTheme="minorHAnsi" w:eastAsiaTheme="minorEastAsia" w:hAnsiTheme="minorHAnsi" w:cstheme="minorBidi"/>
          <w:b w:val="0"/>
          <w:spacing w:val="0"/>
          <w:sz w:val="22"/>
          <w:szCs w:val="22"/>
        </w:rPr>
      </w:pPr>
      <w:hyperlink w:anchor="_Toc112162460" w:history="1">
        <w:r w:rsidR="005B2B92" w:rsidRPr="00D703F3">
          <w:rPr>
            <w:rStyle w:val="Hyperlink"/>
          </w:rPr>
          <w:t>Summary of submissions</w:t>
        </w:r>
        <w:r w:rsidR="005B2B92">
          <w:rPr>
            <w:webHidden/>
          </w:rPr>
          <w:tab/>
        </w:r>
        <w:r w:rsidR="005B2B92">
          <w:rPr>
            <w:webHidden/>
          </w:rPr>
          <w:fldChar w:fldCharType="begin"/>
        </w:r>
        <w:r w:rsidR="005B2B92">
          <w:rPr>
            <w:webHidden/>
          </w:rPr>
          <w:instrText xml:space="preserve"> PAGEREF _Toc112162460 \h </w:instrText>
        </w:r>
        <w:r w:rsidR="005B2B92">
          <w:rPr>
            <w:webHidden/>
          </w:rPr>
        </w:r>
        <w:r w:rsidR="005B2B92">
          <w:rPr>
            <w:webHidden/>
          </w:rPr>
          <w:fldChar w:fldCharType="separate"/>
        </w:r>
        <w:r w:rsidR="005B2B92">
          <w:rPr>
            <w:webHidden/>
          </w:rPr>
          <w:t>4</w:t>
        </w:r>
        <w:r w:rsidR="005B2B92">
          <w:rPr>
            <w:webHidden/>
          </w:rPr>
          <w:fldChar w:fldCharType="end"/>
        </w:r>
      </w:hyperlink>
    </w:p>
    <w:p w14:paraId="3434E81D" w14:textId="5F6F86BC" w:rsidR="004D56FF" w:rsidRPr="000D76E0" w:rsidRDefault="006A3ECF">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4FFF915E" w14:textId="208CD1BE" w:rsidR="00C52177" w:rsidRDefault="00C52177" w:rsidP="002C0530">
      <w:pPr>
        <w:pStyle w:val="Heading1"/>
      </w:pPr>
      <w:bookmarkStart w:id="0" w:name="_Toc112162458"/>
      <w:r>
        <w:lastRenderedPageBreak/>
        <w:t xml:space="preserve">Executive </w:t>
      </w:r>
      <w:r w:rsidR="007F58BD">
        <w:t>s</w:t>
      </w:r>
      <w:r>
        <w:t>ummary</w:t>
      </w:r>
      <w:bookmarkEnd w:id="0"/>
    </w:p>
    <w:p w14:paraId="4AE23489" w14:textId="4D13269F" w:rsidR="004719D8" w:rsidRDefault="00301266" w:rsidP="004719D8">
      <w:r w:rsidRPr="00301266">
        <w:t>Remotely piloted aircraft systems (RPAS) us</w:t>
      </w:r>
      <w:r w:rsidR="00A460D1">
        <w:t>age</w:t>
      </w:r>
      <w:r w:rsidRPr="00301266">
        <w:t xml:space="preserve"> and technologies have expanded significantly in recent years. Safe operation and seamless interoperability of RPAS within controlled airspace is emerging as an important next step.</w:t>
      </w:r>
    </w:p>
    <w:p w14:paraId="05E49237" w14:textId="7F5E1F8F" w:rsidR="00917341" w:rsidRDefault="007F58BD" w:rsidP="004719D8">
      <w:r>
        <w:t xml:space="preserve">We have </w:t>
      </w:r>
      <w:r w:rsidR="00917341" w:rsidRPr="00917341">
        <w:t>been monitoring the progress of spectrum arrangements for RPAS control and non-payload communications (CNPC), both within the international regulatory environment and in other jurisdictions</w:t>
      </w:r>
      <w:r w:rsidR="00B90A85">
        <w:t xml:space="preserve">. </w:t>
      </w:r>
      <w:r w:rsidR="0047710A">
        <w:t>We released a paper in April 2021 that was intended t</w:t>
      </w:r>
      <w:r w:rsidR="00921AC8" w:rsidRPr="00921AC8">
        <w:t>o begin a discussion with Australian RPAS regulators, the operator community and industry on the potential for using the 5030–5091 MHz band for line of sight (</w:t>
      </w:r>
      <w:proofErr w:type="spellStart"/>
      <w:r w:rsidR="00921AC8" w:rsidRPr="00921AC8">
        <w:t>LoS</w:t>
      </w:r>
      <w:proofErr w:type="spellEnd"/>
      <w:r w:rsidR="00921AC8" w:rsidRPr="00921AC8">
        <w:t>) CNPC in controlled airspace</w:t>
      </w:r>
      <w:r w:rsidR="00921AC8">
        <w:t xml:space="preserve"> </w:t>
      </w:r>
    </w:p>
    <w:p w14:paraId="0F5438B1" w14:textId="2E67BCE2" w:rsidR="00B5059C" w:rsidRDefault="0047710A" w:rsidP="004719D8">
      <w:r>
        <w:t xml:space="preserve">We received </w:t>
      </w:r>
      <w:r w:rsidR="007F58BD">
        <w:t xml:space="preserve">3 </w:t>
      </w:r>
      <w:r>
        <w:t>submissions from industry i</w:t>
      </w:r>
      <w:r w:rsidR="003F33D2">
        <w:t>n response to the discussion paper</w:t>
      </w:r>
      <w:r w:rsidR="007A044A">
        <w:t xml:space="preserve">. </w:t>
      </w:r>
      <w:r>
        <w:t>All were</w:t>
      </w:r>
      <w:r w:rsidR="007A044A">
        <w:t xml:space="preserve"> supportive </w:t>
      </w:r>
      <w:r>
        <w:t xml:space="preserve">of </w:t>
      </w:r>
      <w:r w:rsidR="007A044A">
        <w:t xml:space="preserve">the introduction of </w:t>
      </w:r>
      <w:r w:rsidR="00B5059C">
        <w:t>the 5030</w:t>
      </w:r>
      <w:r w:rsidR="007F58BD">
        <w:t>–</w:t>
      </w:r>
      <w:r w:rsidR="00B5059C">
        <w:t xml:space="preserve">5091 MHz band for the usage of RPAS CNPC. </w:t>
      </w:r>
    </w:p>
    <w:p w14:paraId="321F56D5" w14:textId="7F61CF79" w:rsidR="007F58BD" w:rsidRDefault="00F15799" w:rsidP="00F15799">
      <w:r>
        <w:t xml:space="preserve">ITU-R is currently in the process of finalising the new Recommendation ITU-R </w:t>
      </w:r>
      <w:proofErr w:type="gramStart"/>
      <w:r>
        <w:t>M.[</w:t>
      </w:r>
      <w:proofErr w:type="gramEnd"/>
      <w:r>
        <w:t>CNPC_CHAR_5 GHz]</w:t>
      </w:r>
      <w:r w:rsidR="00875AA7">
        <w:rPr>
          <w:rStyle w:val="FootnoteReference"/>
        </w:rPr>
        <w:footnoteReference w:id="2"/>
      </w:r>
      <w:r>
        <w:t xml:space="preserve"> that concerns c</w:t>
      </w:r>
      <w:r w:rsidRPr="003A619A">
        <w:t xml:space="preserve">haracteristics and protection criteria of terrestrial and satellite unmanned aircraft system </w:t>
      </w:r>
      <w:r>
        <w:t>CNPC</w:t>
      </w:r>
      <w:r w:rsidRPr="003A619A">
        <w:t xml:space="preserve"> links operating in the aeronautical mobile (route) service and aeronautical mobile satellite (R) service in the 5030</w:t>
      </w:r>
      <w:r w:rsidR="007F58BD">
        <w:t>–</w:t>
      </w:r>
      <w:r w:rsidRPr="003A619A">
        <w:t>5091 MHz</w:t>
      </w:r>
      <w:r w:rsidR="009A0A03">
        <w:t xml:space="preserve"> band</w:t>
      </w:r>
      <w:r>
        <w:t xml:space="preserve">. </w:t>
      </w:r>
    </w:p>
    <w:p w14:paraId="0677A82D" w14:textId="5D69527D" w:rsidR="004A74B1" w:rsidRDefault="00F15799" w:rsidP="00F15799">
      <w:r>
        <w:t>While that work is not yet complete</w:t>
      </w:r>
      <w:r w:rsidR="00AA48DB">
        <w:t>d</w:t>
      </w:r>
      <w:r>
        <w:t xml:space="preserve">, we consider it sufficiently mature to inform interim licensing arrangements in the band, ahead of more permanent options being considered. With that view in mind, we released a draft interim RALI for consultation in May 2022. This RALI aims to facilitate interim access to 5055–5065 MHz for </w:t>
      </w:r>
      <w:proofErr w:type="spellStart"/>
      <w:r>
        <w:t>LoS</w:t>
      </w:r>
      <w:proofErr w:type="spellEnd"/>
      <w:r>
        <w:t xml:space="preserve"> RPAS CNPC links. We received </w:t>
      </w:r>
      <w:r w:rsidR="007F58BD">
        <w:t xml:space="preserve">2 </w:t>
      </w:r>
      <w:r>
        <w:t xml:space="preserve">submissions in response to that consultation. </w:t>
      </w:r>
      <w:r w:rsidR="004A74B1">
        <w:t xml:space="preserve">This paper summarises those responses to the specific </w:t>
      </w:r>
      <w:r w:rsidR="002B74D4">
        <w:t>sections of</w:t>
      </w:r>
      <w:r w:rsidR="004A74B1">
        <w:t xml:space="preserve"> the </w:t>
      </w:r>
      <w:r w:rsidR="00040270">
        <w:t>interim RALI</w:t>
      </w:r>
      <w:r w:rsidR="004A74B1">
        <w:t>.</w:t>
      </w:r>
    </w:p>
    <w:p w14:paraId="22457352" w14:textId="78874A5E" w:rsidR="00F15799" w:rsidRDefault="00F15799" w:rsidP="00F15799">
      <w:r>
        <w:t xml:space="preserve">We expect that the international spectrum arrangements will begin to firm up in 2023. We are developing and will release for consultation later an options paper identifying an approach for ongoing frequency arrangements that take into account the work being undertaken with ITU-R. </w:t>
      </w:r>
    </w:p>
    <w:p w14:paraId="5CE975B0" w14:textId="580196B5" w:rsidR="005E250B" w:rsidRPr="00C35CCE" w:rsidRDefault="004A0E71" w:rsidP="002C0530">
      <w:pPr>
        <w:pStyle w:val="Heading1"/>
      </w:pPr>
      <w:bookmarkStart w:id="1" w:name="_Toc112162459"/>
      <w:r>
        <w:lastRenderedPageBreak/>
        <w:t>Introduction</w:t>
      </w:r>
      <w:bookmarkEnd w:id="1"/>
    </w:p>
    <w:p w14:paraId="5DCF4DAC" w14:textId="418CB778" w:rsidR="00171BF6" w:rsidRDefault="006C2024" w:rsidP="003253EE">
      <w:pPr>
        <w:pStyle w:val="Paragraph"/>
      </w:pPr>
      <w:bookmarkStart w:id="2" w:name="_Hlk26868779"/>
      <w:r w:rsidRPr="006C2024">
        <w:t>Remotely piloted aircraft systems (RPAS)</w:t>
      </w:r>
      <w:r w:rsidR="007F58BD">
        <w:t xml:space="preserve"> – </w:t>
      </w:r>
      <w:r w:rsidRPr="006C2024">
        <w:t xml:space="preserve">also known as drones or </w:t>
      </w:r>
      <w:r w:rsidR="007F58BD">
        <w:t>u</w:t>
      </w:r>
      <w:r w:rsidRPr="006C2024">
        <w:t xml:space="preserve">nmanned </w:t>
      </w:r>
      <w:r w:rsidR="007F58BD">
        <w:t>a</w:t>
      </w:r>
      <w:r w:rsidRPr="006C2024">
        <w:t xml:space="preserve">erial </w:t>
      </w:r>
      <w:r w:rsidR="007F58BD">
        <w:t>v</w:t>
      </w:r>
      <w:r w:rsidRPr="006C2024">
        <w:t>ehicles (UAVs)</w:t>
      </w:r>
      <w:r w:rsidR="007F58BD">
        <w:t xml:space="preserve"> –</w:t>
      </w:r>
      <w:r w:rsidRPr="006C2024">
        <w:t xml:space="preserve"> currently use radiocommunication technologies authorised under the Radiocommunications Low Interference Potential Devices Class Licence 2015 (the LIPD class licence)</w:t>
      </w:r>
      <w:r w:rsidR="00F16138">
        <w:rPr>
          <w:rStyle w:val="FootnoteReference"/>
        </w:rPr>
        <w:footnoteReference w:id="3"/>
      </w:r>
      <w:r w:rsidRPr="006C2024">
        <w:t xml:space="preserve"> for both payload and control communications in non-controlled airspace.</w:t>
      </w:r>
      <w:r w:rsidR="00B10EA1">
        <w:t xml:space="preserve"> </w:t>
      </w:r>
      <w:r w:rsidR="00B10EA1" w:rsidRPr="00B10EA1">
        <w:t>However, the operation of RPAS in controlled airspace is far more heavily regulated and the current radiocommunications licensing arrangements</w:t>
      </w:r>
      <w:r w:rsidR="00FD2278">
        <w:t xml:space="preserve"> will</w:t>
      </w:r>
      <w:r w:rsidR="00B10EA1" w:rsidRPr="00B10EA1">
        <w:t xml:space="preserve"> require </w:t>
      </w:r>
      <w:r w:rsidR="00FD2278">
        <w:t>detailed consideration</w:t>
      </w:r>
      <w:r w:rsidR="00FD2278" w:rsidRPr="00B10EA1">
        <w:t xml:space="preserve"> </w:t>
      </w:r>
      <w:r w:rsidR="00B10EA1" w:rsidRPr="00B10EA1">
        <w:t xml:space="preserve">to address the need for </w:t>
      </w:r>
      <w:r w:rsidR="006576A6">
        <w:t xml:space="preserve">the </w:t>
      </w:r>
      <w:r w:rsidR="00B10EA1" w:rsidRPr="00B10EA1">
        <w:t xml:space="preserve">safe integration of the aircraft into current </w:t>
      </w:r>
      <w:r w:rsidR="007F58BD">
        <w:t>a</w:t>
      </w:r>
      <w:r w:rsidR="00B10EA1" w:rsidRPr="00B10EA1">
        <w:t xml:space="preserve">ir </w:t>
      </w:r>
      <w:r w:rsidR="007F58BD">
        <w:t>t</w:t>
      </w:r>
      <w:r w:rsidR="00B10EA1" w:rsidRPr="00B10EA1">
        <w:t xml:space="preserve">raffic </w:t>
      </w:r>
      <w:r w:rsidR="007F58BD">
        <w:t>c</w:t>
      </w:r>
      <w:r w:rsidR="00B10EA1" w:rsidRPr="00B10EA1">
        <w:t>ontrol (ATC) systems</w:t>
      </w:r>
      <w:r w:rsidR="005B1090">
        <w:rPr>
          <w:rStyle w:val="FootnoteReference"/>
        </w:rPr>
        <w:footnoteReference w:id="4"/>
      </w:r>
      <w:r w:rsidR="00B10EA1" w:rsidRPr="00B10EA1">
        <w:t>.</w:t>
      </w:r>
    </w:p>
    <w:p w14:paraId="31E60B55" w14:textId="207656D7" w:rsidR="005207BD" w:rsidRDefault="00934CBD" w:rsidP="00934CBD">
      <w:pPr>
        <w:pStyle w:val="Paragraph"/>
      </w:pPr>
      <w:r>
        <w:t xml:space="preserve">In the Australian Radiofrequency Spectrum Plan 2021 (the Spectrum Plan), the </w:t>
      </w:r>
      <w:r w:rsidR="007F58BD">
        <w:br/>
      </w:r>
      <w:r>
        <w:t>5030</w:t>
      </w:r>
      <w:r w:rsidR="007F58BD">
        <w:t>–</w:t>
      </w:r>
      <w:r>
        <w:t>5091 MHz band is allocated to the Aeronautical Mobile (Route) Service and Aeronautical Mobile-Satellite (Route) Service. Line</w:t>
      </w:r>
      <w:r w:rsidR="008E5288">
        <w:t xml:space="preserve"> </w:t>
      </w:r>
      <w:r>
        <w:t>of</w:t>
      </w:r>
      <w:r w:rsidR="008E5288">
        <w:t xml:space="preserve"> </w:t>
      </w:r>
      <w:r>
        <w:t>sight (</w:t>
      </w:r>
      <w:proofErr w:type="spellStart"/>
      <w:r>
        <w:t>LoS</w:t>
      </w:r>
      <w:proofErr w:type="spellEnd"/>
      <w:r>
        <w:t>) RPAS CNPC in this band is intended to be facilitated under the Aeronautical Mobile (Route) Service</w:t>
      </w:r>
      <w:r w:rsidR="000C580D">
        <w:t xml:space="preserve"> (AM(R)S)</w:t>
      </w:r>
      <w:r>
        <w:t>. The 5030</w:t>
      </w:r>
      <w:r w:rsidR="007F58BD">
        <w:t>–</w:t>
      </w:r>
      <w:r>
        <w:t xml:space="preserve">5091 MHz band was identified internationally for the implementation of the microwave landing system (MLS), a precision radio guidance system intended to be installed at large airports to assist aircraft in landing. These systems have largely been rendered obsolete by other technologies (most notably satellite and ground based RNSS augmentation systems) and are no longer in use. </w:t>
      </w:r>
    </w:p>
    <w:p w14:paraId="0F13848B" w14:textId="2D3EE274" w:rsidR="00934CBD" w:rsidRDefault="00934CBD" w:rsidP="00934CBD">
      <w:pPr>
        <w:pStyle w:val="Paragraph"/>
      </w:pPr>
      <w:r>
        <w:t xml:space="preserve">The band is currently only accessed in Australia via a single scientific licence in the 5032.5–5037.5 MHz band, assigned to </w:t>
      </w:r>
      <w:proofErr w:type="spellStart"/>
      <w:r>
        <w:t>Insitu</w:t>
      </w:r>
      <w:proofErr w:type="spellEnd"/>
      <w:r>
        <w:t xml:space="preserve"> Pacific Ltd (an RPAS company, and a subsidiary of Boeing) for use in 5 locations in regional Queensland.</w:t>
      </w:r>
      <w:r w:rsidR="002F7C27">
        <w:t xml:space="preserve"> </w:t>
      </w:r>
      <w:r>
        <w:t xml:space="preserve">In </w:t>
      </w:r>
      <w:r w:rsidR="00D952D9">
        <w:t xml:space="preserve">its </w:t>
      </w:r>
      <w:r>
        <w:t>response to the draft FYSO 2020</w:t>
      </w:r>
      <w:r w:rsidR="008E5288">
        <w:t>–</w:t>
      </w:r>
      <w:r>
        <w:t>24, Boeing Australia submitted that dedicated spectrum arrangements are urgently required for RPAS operation in controlled airspace.</w:t>
      </w:r>
    </w:p>
    <w:p w14:paraId="29388E42" w14:textId="2FD3151D" w:rsidR="00BB5D92" w:rsidRDefault="00D952D9" w:rsidP="00BB5D92">
      <w:pPr>
        <w:pStyle w:val="Paragraph"/>
      </w:pPr>
      <w:r>
        <w:t xml:space="preserve">We </w:t>
      </w:r>
      <w:r w:rsidR="00BB5D92">
        <w:t>have been monitoring considerations for 5030</w:t>
      </w:r>
      <w:r>
        <w:t>–</w:t>
      </w:r>
      <w:r w:rsidR="00BB5D92">
        <w:t xml:space="preserve">5091 MHz RPAS globally to </w:t>
      </w:r>
      <w:r>
        <w:br/>
      </w:r>
      <w:r w:rsidR="00BB5D92">
        <w:t>inform timing considerations on developing domestic arrangements for RPAS in the 5030</w:t>
      </w:r>
      <w:r>
        <w:t>–</w:t>
      </w:r>
      <w:r w:rsidR="00BB5D92">
        <w:t xml:space="preserve">5091 MHz band. </w:t>
      </w:r>
      <w:r w:rsidR="00A3522A">
        <w:t>While</w:t>
      </w:r>
      <w:r w:rsidR="00FF4AC8">
        <w:t xml:space="preserve"> no</w:t>
      </w:r>
      <w:r w:rsidR="00BB5D92">
        <w:t xml:space="preserve"> countries have adopted regulatory arrangements for </w:t>
      </w:r>
      <w:r w:rsidR="00A02474">
        <w:t>this band</w:t>
      </w:r>
      <w:r w:rsidR="00BB5D92">
        <w:t xml:space="preserve">, international and domestic interest and negligible incumbency issues in the band meant that it was timely to start a discussion with industry on possible spectrum arrangements for </w:t>
      </w:r>
      <w:proofErr w:type="spellStart"/>
      <w:r w:rsidR="00BB5D92">
        <w:t>LoS</w:t>
      </w:r>
      <w:proofErr w:type="spellEnd"/>
      <w:r w:rsidR="00BB5D92">
        <w:t xml:space="preserve"> CNPC. </w:t>
      </w:r>
    </w:p>
    <w:p w14:paraId="7385A6F6" w14:textId="5932944F" w:rsidR="00AB57B6" w:rsidRDefault="00BB5D92" w:rsidP="00D06C86">
      <w:pPr>
        <w:pStyle w:val="Paragraph"/>
      </w:pPr>
      <w:r>
        <w:t>In April 2021</w:t>
      </w:r>
      <w:r w:rsidR="00D952D9">
        <w:t>,</w:t>
      </w:r>
      <w:r>
        <w:t xml:space="preserve"> we released a </w:t>
      </w:r>
      <w:hyperlink r:id="rId24" w:history="1">
        <w:r w:rsidRPr="005A3F33">
          <w:rPr>
            <w:rStyle w:val="Hyperlink"/>
          </w:rPr>
          <w:t>discussion paper</w:t>
        </w:r>
      </w:hyperlink>
      <w:r>
        <w:t xml:space="preserve"> examining future use of the </w:t>
      </w:r>
      <w:r w:rsidR="00D952D9">
        <w:br/>
      </w:r>
      <w:r>
        <w:t>5030</w:t>
      </w:r>
      <w:r w:rsidR="00D952D9">
        <w:t>–</w:t>
      </w:r>
      <w:r>
        <w:t>5091 MHz band for RPAS CNPC. The discussion paper gave an overview of the</w:t>
      </w:r>
      <w:r w:rsidR="00D952D9">
        <w:t> </w:t>
      </w:r>
      <w:r>
        <w:t>current status of the spectrum arrangements for 5030</w:t>
      </w:r>
      <w:r w:rsidR="00D952D9">
        <w:t>–</w:t>
      </w:r>
      <w:r>
        <w:t xml:space="preserve">5091 MHz </w:t>
      </w:r>
      <w:proofErr w:type="spellStart"/>
      <w:r>
        <w:t>LoS</w:t>
      </w:r>
      <w:proofErr w:type="spellEnd"/>
      <w:r>
        <w:t xml:space="preserve"> RPAS CNPC in Australia and internationally. The paper sought input from industry on whether it would be appropriate to begin </w:t>
      </w:r>
      <w:r w:rsidR="00BF13EF">
        <w:t xml:space="preserve">the </w:t>
      </w:r>
      <w:r>
        <w:t xml:space="preserve">development of </w:t>
      </w:r>
      <w:r w:rsidR="00BF13EF">
        <w:t xml:space="preserve">facilitating </w:t>
      </w:r>
      <w:proofErr w:type="spellStart"/>
      <w:r w:rsidR="009673CC">
        <w:t>LoS</w:t>
      </w:r>
      <w:proofErr w:type="spellEnd"/>
      <w:r w:rsidR="009673CC">
        <w:t xml:space="preserve"> CNPC</w:t>
      </w:r>
      <w:r>
        <w:t xml:space="preserve"> for RPAS in the band</w:t>
      </w:r>
      <w:r w:rsidR="00A3522A">
        <w:t xml:space="preserve">, focusing </w:t>
      </w:r>
      <w:r w:rsidR="00E23366">
        <w:t xml:space="preserve">on </w:t>
      </w:r>
      <w:r w:rsidR="00665526">
        <w:t xml:space="preserve">6 </w:t>
      </w:r>
      <w:r w:rsidR="00A3522A">
        <w:t xml:space="preserve">specific </w:t>
      </w:r>
      <w:r w:rsidR="00E23366">
        <w:t>issues</w:t>
      </w:r>
      <w:r w:rsidR="009A520E">
        <w:t xml:space="preserve">. </w:t>
      </w:r>
    </w:p>
    <w:p w14:paraId="5CA67DEE" w14:textId="41C7094F" w:rsidR="00C51E50" w:rsidRDefault="00665526" w:rsidP="005C083D">
      <w:pPr>
        <w:pStyle w:val="Paragraph"/>
        <w:rPr>
          <w:szCs w:val="20"/>
        </w:rPr>
      </w:pPr>
      <w:r>
        <w:t>We</w:t>
      </w:r>
      <w:r w:rsidR="007D5B59">
        <w:t xml:space="preserve"> received submissions </w:t>
      </w:r>
      <w:bookmarkEnd w:id="2"/>
      <w:r w:rsidR="008C2AB7">
        <w:t xml:space="preserve">from </w:t>
      </w:r>
      <w:r w:rsidR="005C083D" w:rsidRPr="005C083D">
        <w:t xml:space="preserve">Boeing Australia, the Department of Defence and </w:t>
      </w:r>
      <w:r w:rsidR="008C2AB7">
        <w:t xml:space="preserve">the </w:t>
      </w:r>
      <w:r w:rsidR="005C083D" w:rsidRPr="005C083D">
        <w:t>Australian Association of Unmanned Systems (AAUS).</w:t>
      </w:r>
      <w:r w:rsidR="006215E6">
        <w:t xml:space="preserve"> </w:t>
      </w:r>
      <w:r w:rsidR="001F19AA">
        <w:rPr>
          <w:szCs w:val="20"/>
        </w:rPr>
        <w:t>The responses are all</w:t>
      </w:r>
      <w:r w:rsidR="003C1944">
        <w:rPr>
          <w:szCs w:val="20"/>
        </w:rPr>
        <w:t xml:space="preserve"> publicly</w:t>
      </w:r>
      <w:r w:rsidR="001F19AA">
        <w:rPr>
          <w:szCs w:val="20"/>
        </w:rPr>
        <w:t xml:space="preserve"> available on the </w:t>
      </w:r>
      <w:hyperlink r:id="rId25" w:history="1">
        <w:r w:rsidR="003C1944" w:rsidRPr="00D06C86">
          <w:rPr>
            <w:rStyle w:val="Hyperlink"/>
          </w:rPr>
          <w:t>consultation webpage</w:t>
        </w:r>
      </w:hyperlink>
      <w:r w:rsidR="003C1944">
        <w:rPr>
          <w:szCs w:val="20"/>
        </w:rPr>
        <w:t>.</w:t>
      </w:r>
    </w:p>
    <w:p w14:paraId="42004CEE" w14:textId="77777777" w:rsidR="00A911CE" w:rsidRPr="00A911CE" w:rsidRDefault="00A911CE" w:rsidP="00A911CE">
      <w:pPr>
        <w:pStyle w:val="Paragraph"/>
      </w:pPr>
      <w:r w:rsidRPr="00A911CE">
        <w:t xml:space="preserve">While respondents were enthusiastic in their responses about proceeding with domestic arrangements to support growth in domestic RPAS interests, international spectrum management arrangements are yet to be finalised for this allocation. This creates the risk that any domestic arrangements established now may ultimately be </w:t>
      </w:r>
      <w:r w:rsidRPr="00A911CE">
        <w:lastRenderedPageBreak/>
        <w:t>inconsistent with global arrangements creating equipment availability and interoperability issues.</w:t>
      </w:r>
    </w:p>
    <w:p w14:paraId="209416A3" w14:textId="4607091E" w:rsidR="00A911CE" w:rsidRPr="00A911CE" w:rsidRDefault="00A911CE" w:rsidP="00A911CE">
      <w:pPr>
        <w:pStyle w:val="Paragraph"/>
      </w:pPr>
      <w:r w:rsidRPr="00A911CE">
        <w:t xml:space="preserve">To help balance these considerations, we </w:t>
      </w:r>
      <w:r w:rsidR="00665526">
        <w:t>will</w:t>
      </w:r>
      <w:r w:rsidR="00665526" w:rsidRPr="00A911CE">
        <w:t xml:space="preserve"> </w:t>
      </w:r>
      <w:r w:rsidRPr="00A911CE">
        <w:t>release an options paper with proposals for ongoing arrangements at a later date when global developments are clearer, including when the ITU-R has completed development of the relevant r</w:t>
      </w:r>
      <w:r w:rsidR="00364B62">
        <w:t>ecommendation</w:t>
      </w:r>
      <w:r w:rsidRPr="00A911CE">
        <w:t xml:space="preserve"> (mo</w:t>
      </w:r>
      <w:r w:rsidR="00665526">
        <w:t>st</w:t>
      </w:r>
      <w:r w:rsidRPr="00A911CE">
        <w:t xml:space="preserve"> likely</w:t>
      </w:r>
      <w:r w:rsidR="00C134A9">
        <w:t xml:space="preserve"> in</w:t>
      </w:r>
      <w:r w:rsidRPr="00A911CE">
        <w:t xml:space="preserve"> 2023). </w:t>
      </w:r>
    </w:p>
    <w:p w14:paraId="79F17E30" w14:textId="66C577EF" w:rsidR="00904D32" w:rsidRDefault="00A911CE" w:rsidP="00A911CE">
      <w:pPr>
        <w:pStyle w:val="Paragraph"/>
      </w:pPr>
      <w:r w:rsidRPr="00A911CE">
        <w:t>In the meantime, we are enabling interim aeronautical mobile licensing arrangements (as distinct from the current temporary access that made access possible under scientific licensing) that are based on current draft arrangements being considered within ITU-R</w:t>
      </w:r>
      <w:r w:rsidR="00034BDD">
        <w:t xml:space="preserve"> (</w:t>
      </w:r>
      <w:r w:rsidR="00034BDD" w:rsidRPr="00955FDD">
        <w:t>PDNR ITU-R.M.[CNPC_CHAR_5GHz]</w:t>
      </w:r>
      <w:r w:rsidR="00034BDD">
        <w:t>)</w:t>
      </w:r>
      <w:r w:rsidR="00530A95">
        <w:t>.</w:t>
      </w:r>
      <w:r w:rsidRPr="00A911CE">
        <w:rPr>
          <w:vertAlign w:val="superscript"/>
        </w:rPr>
        <w:footnoteReference w:id="5"/>
      </w:r>
      <w:r w:rsidRPr="00A911CE">
        <w:t xml:space="preserve"> </w:t>
      </w:r>
      <w:r w:rsidR="00904D32">
        <w:t xml:space="preserve">In May 2022, we released a </w:t>
      </w:r>
      <w:hyperlink r:id="rId26" w:history="1">
        <w:r w:rsidR="00904D32" w:rsidRPr="003F796D">
          <w:rPr>
            <w:rStyle w:val="Hyperlink"/>
          </w:rPr>
          <w:t>draft interim RALI</w:t>
        </w:r>
      </w:hyperlink>
      <w:r w:rsidR="00904D32">
        <w:t xml:space="preserve"> for consultation</w:t>
      </w:r>
      <w:r w:rsidR="00BB33B9">
        <w:t xml:space="preserve">. </w:t>
      </w:r>
      <w:r w:rsidR="00BB33B9" w:rsidRPr="00A911CE">
        <w:t>Th</w:t>
      </w:r>
      <w:r w:rsidR="00BB33B9">
        <w:t xml:space="preserve">e RALI </w:t>
      </w:r>
      <w:r w:rsidR="00BB33B9" w:rsidRPr="00A911CE">
        <w:t>sets out those interim arrangements for access to a segment of the 5030-5091 MHz band for RPAS CNPC.</w:t>
      </w:r>
    </w:p>
    <w:p w14:paraId="0FDEF124" w14:textId="4097043C" w:rsidR="00BD4DC8" w:rsidRDefault="00530A95" w:rsidP="00BD4DC8">
      <w:pPr>
        <w:pStyle w:val="Paragraph"/>
        <w:rPr>
          <w:szCs w:val="20"/>
        </w:rPr>
      </w:pPr>
      <w:r>
        <w:t>We</w:t>
      </w:r>
      <w:r w:rsidR="00BD4DC8">
        <w:t xml:space="preserve"> received submissions from </w:t>
      </w:r>
      <w:proofErr w:type="spellStart"/>
      <w:r w:rsidR="004D1C4D">
        <w:t>Airservices</w:t>
      </w:r>
      <w:proofErr w:type="spellEnd"/>
      <w:r w:rsidR="004D1C4D">
        <w:t xml:space="preserve"> Australia (ASA) and </w:t>
      </w:r>
      <w:r w:rsidR="00BD4DC8" w:rsidRPr="005C083D">
        <w:t>Boeing Australia.</w:t>
      </w:r>
      <w:r w:rsidR="00BD4DC8">
        <w:t xml:space="preserve"> </w:t>
      </w:r>
      <w:r w:rsidR="00BD4DC8">
        <w:rPr>
          <w:szCs w:val="20"/>
        </w:rPr>
        <w:t xml:space="preserve">The responses are all publicly available on the </w:t>
      </w:r>
      <w:hyperlink r:id="rId27" w:history="1">
        <w:r w:rsidR="00BD4DC8" w:rsidRPr="00D06C86">
          <w:rPr>
            <w:rStyle w:val="Hyperlink"/>
          </w:rPr>
          <w:t>consultation webpage</w:t>
        </w:r>
      </w:hyperlink>
      <w:r w:rsidR="00BD4DC8">
        <w:rPr>
          <w:szCs w:val="20"/>
        </w:rPr>
        <w:t>.</w:t>
      </w:r>
    </w:p>
    <w:p w14:paraId="4EF2666F" w14:textId="28F07FEF" w:rsidR="00A911CE" w:rsidRPr="00A911CE" w:rsidRDefault="00A911CE" w:rsidP="00A911CE">
      <w:pPr>
        <w:pStyle w:val="Paragraph"/>
      </w:pPr>
    </w:p>
    <w:p w14:paraId="660B01FD" w14:textId="77777777" w:rsidR="006215E6" w:rsidRDefault="006215E6" w:rsidP="005C083D">
      <w:pPr>
        <w:pStyle w:val="Paragraph"/>
        <w:rPr>
          <w:b/>
          <w:vanish/>
          <w:szCs w:val="20"/>
        </w:rPr>
      </w:pPr>
    </w:p>
    <w:p w14:paraId="33AE17B2" w14:textId="09749A3A" w:rsidR="000B4664" w:rsidRDefault="00C815C6" w:rsidP="000B4664">
      <w:pPr>
        <w:pStyle w:val="Heading1"/>
      </w:pPr>
      <w:bookmarkStart w:id="3" w:name="_Toc112162460"/>
      <w:r>
        <w:lastRenderedPageBreak/>
        <w:t>Summary of submissions</w:t>
      </w:r>
      <w:bookmarkEnd w:id="3"/>
    </w:p>
    <w:p w14:paraId="1AD9C362" w14:textId="3FFBAFDF" w:rsidR="008D2908" w:rsidRDefault="009A4892" w:rsidP="003E2FF4">
      <w:pPr>
        <w:pStyle w:val="Paragraph"/>
        <w:rPr>
          <w:lang w:val="en-US"/>
        </w:rPr>
      </w:pPr>
      <w:r>
        <w:rPr>
          <w:bCs/>
        </w:rPr>
        <w:t xml:space="preserve">In their responses to the draft interim RALI, </w:t>
      </w:r>
      <w:r w:rsidR="008D2908" w:rsidRPr="008D2908">
        <w:rPr>
          <w:bCs/>
        </w:rPr>
        <w:t>A</w:t>
      </w:r>
      <w:r w:rsidR="003F615C">
        <w:rPr>
          <w:bCs/>
        </w:rPr>
        <w:t>SA and Boeing Australia</w:t>
      </w:r>
      <w:r w:rsidR="008D2908" w:rsidRPr="008D2908">
        <w:rPr>
          <w:bCs/>
        </w:rPr>
        <w:t xml:space="preserve"> were mostly supportive of proposed interim access arrangements detailed in the draft </w:t>
      </w:r>
      <w:r w:rsidR="000D52FF">
        <w:rPr>
          <w:bCs/>
        </w:rPr>
        <w:t xml:space="preserve">interim </w:t>
      </w:r>
      <w:r w:rsidR="008D2908" w:rsidRPr="008D2908">
        <w:rPr>
          <w:bCs/>
        </w:rPr>
        <w:t xml:space="preserve">RALI. They </w:t>
      </w:r>
      <w:r w:rsidR="00FF1B3A">
        <w:rPr>
          <w:bCs/>
        </w:rPr>
        <w:t xml:space="preserve">both </w:t>
      </w:r>
      <w:r w:rsidR="008D2908" w:rsidRPr="008D2908">
        <w:rPr>
          <w:bCs/>
        </w:rPr>
        <w:t>agreed with most of the measures described in the paper.</w:t>
      </w:r>
      <w:r w:rsidR="002E7A36">
        <w:rPr>
          <w:bCs/>
        </w:rPr>
        <w:t xml:space="preserve"> </w:t>
      </w:r>
      <w:r w:rsidR="002E7A36" w:rsidRPr="002E7A36">
        <w:rPr>
          <w:bCs/>
        </w:rPr>
        <w:t>They were mostly supportive of all proposals set out in the paper.</w:t>
      </w:r>
    </w:p>
    <w:p w14:paraId="78C0BC33" w14:textId="44731259" w:rsidR="00A23659" w:rsidRPr="00BC7DB0" w:rsidRDefault="00A23659" w:rsidP="0079043E">
      <w:pPr>
        <w:pStyle w:val="Paragraph"/>
        <w:rPr>
          <w:lang w:val="en-US"/>
        </w:rPr>
      </w:pPr>
      <w:r>
        <w:rPr>
          <w:lang w:val="en-US"/>
        </w:rPr>
        <w:t>T</w:t>
      </w:r>
      <w:r w:rsidR="00DA4203">
        <w:rPr>
          <w:lang w:val="en-US"/>
        </w:rPr>
        <w:t>able 1 below</w:t>
      </w:r>
      <w:r w:rsidR="003C1944">
        <w:rPr>
          <w:lang w:val="en-US"/>
        </w:rPr>
        <w:t xml:space="preserve"> </w:t>
      </w:r>
      <w:proofErr w:type="spellStart"/>
      <w:r w:rsidR="00DE37E8">
        <w:rPr>
          <w:lang w:val="en-US"/>
        </w:rPr>
        <w:t>summarise</w:t>
      </w:r>
      <w:r w:rsidR="00DA4203">
        <w:rPr>
          <w:lang w:val="en-US"/>
        </w:rPr>
        <w:t>s</w:t>
      </w:r>
      <w:proofErr w:type="spellEnd"/>
      <w:r>
        <w:rPr>
          <w:lang w:val="en-US"/>
        </w:rPr>
        <w:t xml:space="preserve"> responses</w:t>
      </w:r>
      <w:r w:rsidR="00ED6E23">
        <w:rPr>
          <w:lang w:val="en-US"/>
        </w:rPr>
        <w:t xml:space="preserve"> of the stakeholders</w:t>
      </w:r>
      <w:r>
        <w:rPr>
          <w:lang w:val="en-US"/>
        </w:rPr>
        <w:t xml:space="preserve"> </w:t>
      </w:r>
      <w:r w:rsidR="00B40536">
        <w:rPr>
          <w:lang w:val="en-US"/>
        </w:rPr>
        <w:t xml:space="preserve">by </w:t>
      </w:r>
      <w:r w:rsidR="002E7A36">
        <w:rPr>
          <w:lang w:val="en-US"/>
        </w:rPr>
        <w:t>spec</w:t>
      </w:r>
      <w:r w:rsidR="004129CD">
        <w:rPr>
          <w:lang w:val="en-US"/>
        </w:rPr>
        <w:t>ific sections of the interim RALI</w:t>
      </w:r>
      <w:r w:rsidR="004B75F0">
        <w:rPr>
          <w:lang w:val="en-US"/>
        </w:rPr>
        <w:t>.</w:t>
      </w:r>
      <w:r w:rsidR="00ED6E23">
        <w:rPr>
          <w:lang w:val="en-US"/>
        </w:rPr>
        <w:t xml:space="preserve"> It also </w:t>
      </w:r>
      <w:r w:rsidR="00A71C3E">
        <w:rPr>
          <w:lang w:val="en-US"/>
        </w:rPr>
        <w:t xml:space="preserve">lists </w:t>
      </w:r>
      <w:r w:rsidR="00F0177A">
        <w:rPr>
          <w:lang w:val="en-US"/>
        </w:rPr>
        <w:t>our</w:t>
      </w:r>
      <w:r w:rsidR="00A71C3E">
        <w:rPr>
          <w:lang w:val="en-US"/>
        </w:rPr>
        <w:t xml:space="preserve"> corresponding response</w:t>
      </w:r>
      <w:r w:rsidR="005037FA">
        <w:rPr>
          <w:lang w:val="en-US"/>
        </w:rPr>
        <w:t>s.</w:t>
      </w:r>
    </w:p>
    <w:p w14:paraId="124633A4" w14:textId="77777777" w:rsidR="009E71C4" w:rsidRDefault="009E71C4" w:rsidP="006B3714">
      <w:pPr>
        <w:pStyle w:val="Paragraph"/>
        <w:rPr>
          <w:lang w:val="en-US"/>
        </w:rPr>
      </w:pPr>
      <w:bookmarkStart w:id="4" w:name="_Toc298924672"/>
      <w:bookmarkStart w:id="5" w:name="_Toc300909555"/>
      <w:bookmarkStart w:id="6" w:name="_Toc348105636"/>
    </w:p>
    <w:p w14:paraId="542847D5" w14:textId="29FFC8AC" w:rsidR="00925552" w:rsidRDefault="00925552" w:rsidP="001412AA">
      <w:pPr>
        <w:sectPr w:rsidR="00925552" w:rsidSect="00C77380">
          <w:headerReference w:type="even" r:id="rId28"/>
          <w:headerReference w:type="default" r:id="rId29"/>
          <w:footerReference w:type="even" r:id="rId30"/>
          <w:footerReference w:type="default" r:id="rId31"/>
          <w:pgSz w:w="11906" w:h="16838" w:code="9"/>
          <w:pgMar w:top="1945" w:right="3101" w:bottom="1134" w:left="1134" w:header="709" w:footer="119" w:gutter="0"/>
          <w:pgNumType w:start="1"/>
          <w:cols w:space="708"/>
          <w:docGrid w:linePitch="360"/>
        </w:sectPr>
      </w:pPr>
    </w:p>
    <w:bookmarkEnd w:id="4"/>
    <w:bookmarkEnd w:id="5"/>
    <w:bookmarkEnd w:id="6"/>
    <w:p w14:paraId="4B1D6689" w14:textId="093D9FF9" w:rsidR="00240CE9" w:rsidRDefault="00925552" w:rsidP="004A31BF">
      <w:pPr>
        <w:pStyle w:val="Tableheading"/>
      </w:pPr>
      <w:r>
        <w:lastRenderedPageBreak/>
        <w:t>Summary of submission</w:t>
      </w:r>
      <w:r w:rsidR="00B465D2">
        <w:t>s</w:t>
      </w:r>
      <w:r w:rsidR="00F00934">
        <w:t xml:space="preserve"> – </w:t>
      </w:r>
      <w:r w:rsidR="00EC034E">
        <w:t>i</w:t>
      </w:r>
      <w:r w:rsidR="00F00934">
        <w:t>nterim RALI</w:t>
      </w:r>
    </w:p>
    <w:tbl>
      <w:tblPr>
        <w:tblStyle w:val="ACMAtablestyle"/>
        <w:tblW w:w="5000" w:type="pct"/>
        <w:tblLook w:val="04A0" w:firstRow="1" w:lastRow="0" w:firstColumn="1" w:lastColumn="0" w:noHBand="0" w:noVBand="1"/>
      </w:tblPr>
      <w:tblGrid>
        <w:gridCol w:w="1553"/>
        <w:gridCol w:w="2978"/>
        <w:gridCol w:w="3402"/>
        <w:gridCol w:w="5816"/>
      </w:tblGrid>
      <w:tr w:rsidR="00D27358" w:rsidRPr="00201AC1" w14:paraId="23C10362" w14:textId="77777777" w:rsidTr="00563216">
        <w:trPr>
          <w:cnfStyle w:val="100000000000" w:firstRow="1" w:lastRow="0" w:firstColumn="0" w:lastColumn="0" w:oddVBand="0" w:evenVBand="0" w:oddHBand="0" w:evenHBand="0" w:firstRowFirstColumn="0" w:firstRowLastColumn="0" w:lastRowFirstColumn="0" w:lastRowLastColumn="0"/>
          <w:cantSplit/>
        </w:trPr>
        <w:tc>
          <w:tcPr>
            <w:tcW w:w="565" w:type="pct"/>
          </w:tcPr>
          <w:p w14:paraId="4D6608B0" w14:textId="72F50741" w:rsidR="00BC3923" w:rsidRPr="004D67E1" w:rsidRDefault="00BC3923" w:rsidP="003A7AFF">
            <w:pPr>
              <w:pStyle w:val="ACMABulletLevel1"/>
              <w:spacing w:before="80"/>
              <w:rPr>
                <w:rFonts w:cs="Arial"/>
                <w:b/>
              </w:rPr>
            </w:pPr>
            <w:r w:rsidRPr="004D67E1">
              <w:rPr>
                <w:rFonts w:cs="Arial"/>
                <w:b/>
              </w:rPr>
              <w:t>Topic</w:t>
            </w:r>
          </w:p>
        </w:tc>
        <w:tc>
          <w:tcPr>
            <w:tcW w:w="1083" w:type="pct"/>
          </w:tcPr>
          <w:p w14:paraId="5E682453" w14:textId="1C2ED88B" w:rsidR="00BC3923" w:rsidRPr="004D67E1" w:rsidRDefault="00BC3923" w:rsidP="003A7AFF">
            <w:pPr>
              <w:pStyle w:val="ACMABulletLevel1"/>
              <w:spacing w:before="80"/>
              <w:rPr>
                <w:rFonts w:cs="Arial"/>
                <w:b/>
              </w:rPr>
            </w:pPr>
            <w:proofErr w:type="spellStart"/>
            <w:r w:rsidRPr="004D67E1">
              <w:rPr>
                <w:rFonts w:cs="Arial"/>
                <w:b/>
              </w:rPr>
              <w:t>Air</w:t>
            </w:r>
            <w:r w:rsidR="00E74E62">
              <w:rPr>
                <w:rFonts w:cs="Arial"/>
                <w:b/>
              </w:rPr>
              <w:t>s</w:t>
            </w:r>
            <w:r w:rsidRPr="004D67E1">
              <w:rPr>
                <w:rFonts w:cs="Arial"/>
                <w:b/>
              </w:rPr>
              <w:t>ervices</w:t>
            </w:r>
            <w:proofErr w:type="spellEnd"/>
            <w:r w:rsidRPr="004D67E1">
              <w:rPr>
                <w:rFonts w:cs="Arial"/>
                <w:b/>
              </w:rPr>
              <w:t xml:space="preserve"> Australia</w:t>
            </w:r>
          </w:p>
        </w:tc>
        <w:tc>
          <w:tcPr>
            <w:tcW w:w="1237" w:type="pct"/>
          </w:tcPr>
          <w:p w14:paraId="5C465C91" w14:textId="77777777" w:rsidR="00BC3923" w:rsidRPr="004D67E1" w:rsidRDefault="00BC3923" w:rsidP="003A7AFF">
            <w:pPr>
              <w:pStyle w:val="ACMABulletLevel1"/>
              <w:spacing w:before="80"/>
              <w:rPr>
                <w:rFonts w:cs="Arial"/>
                <w:b/>
              </w:rPr>
            </w:pPr>
            <w:r w:rsidRPr="004D67E1">
              <w:rPr>
                <w:rFonts w:cs="Arial"/>
                <w:b/>
              </w:rPr>
              <w:t>Boeing Australia</w:t>
            </w:r>
          </w:p>
        </w:tc>
        <w:tc>
          <w:tcPr>
            <w:tcW w:w="2115" w:type="pct"/>
          </w:tcPr>
          <w:p w14:paraId="125A0D68" w14:textId="77777777" w:rsidR="00BC3923" w:rsidRPr="004D67E1" w:rsidRDefault="00BC3923" w:rsidP="003A7AFF">
            <w:pPr>
              <w:pStyle w:val="ACMABulletLevel1"/>
              <w:spacing w:before="80"/>
              <w:rPr>
                <w:rFonts w:cs="Arial"/>
                <w:b/>
              </w:rPr>
            </w:pPr>
            <w:r w:rsidRPr="004D67E1">
              <w:rPr>
                <w:rFonts w:cs="Arial"/>
                <w:b/>
              </w:rPr>
              <w:t>ACMA response (if applicable)</w:t>
            </w:r>
          </w:p>
        </w:tc>
      </w:tr>
      <w:tr w:rsidR="00D27358" w:rsidRPr="00F05DE1" w14:paraId="3D8D6FDA" w14:textId="77777777" w:rsidTr="00563216">
        <w:trPr>
          <w:cnfStyle w:val="000000100000" w:firstRow="0" w:lastRow="0" w:firstColumn="0" w:lastColumn="0" w:oddVBand="0" w:evenVBand="0" w:oddHBand="1" w:evenHBand="0" w:firstRowFirstColumn="0" w:firstRowLastColumn="0" w:lastRowFirstColumn="0" w:lastRowLastColumn="0"/>
          <w:cantSplit/>
        </w:trPr>
        <w:tc>
          <w:tcPr>
            <w:tcW w:w="565" w:type="pct"/>
          </w:tcPr>
          <w:p w14:paraId="3EAB8DB5" w14:textId="77777777" w:rsidR="00BC3923" w:rsidRPr="004D67E1" w:rsidRDefault="00BC3923" w:rsidP="003A7AFF">
            <w:pPr>
              <w:pStyle w:val="ACMABulletLevel1"/>
              <w:spacing w:before="80"/>
              <w:rPr>
                <w:rFonts w:cs="Arial"/>
                <w:b/>
              </w:rPr>
            </w:pPr>
            <w:r w:rsidRPr="004D67E1">
              <w:rPr>
                <w:rFonts w:cs="Arial"/>
                <w:b/>
              </w:rPr>
              <w:t>Summary</w:t>
            </w:r>
          </w:p>
        </w:tc>
        <w:tc>
          <w:tcPr>
            <w:tcW w:w="1083" w:type="pct"/>
          </w:tcPr>
          <w:p w14:paraId="5668410E" w14:textId="4C36121B" w:rsidR="00BC3923" w:rsidRPr="004D67E1" w:rsidRDefault="00BC3923" w:rsidP="003A7AFF">
            <w:pPr>
              <w:pStyle w:val="ACMABulletLevel1"/>
              <w:spacing w:before="80"/>
              <w:rPr>
                <w:rFonts w:cs="Arial"/>
              </w:rPr>
            </w:pPr>
            <w:proofErr w:type="spellStart"/>
            <w:r w:rsidRPr="004D67E1">
              <w:rPr>
                <w:rFonts w:cs="Arial"/>
              </w:rPr>
              <w:t>Air</w:t>
            </w:r>
            <w:r w:rsidR="00E74E62">
              <w:rPr>
                <w:rFonts w:cs="Arial"/>
              </w:rPr>
              <w:t>s</w:t>
            </w:r>
            <w:r w:rsidRPr="004D67E1">
              <w:rPr>
                <w:rFonts w:cs="Arial"/>
              </w:rPr>
              <w:t>ervices</w:t>
            </w:r>
            <w:proofErr w:type="spellEnd"/>
            <w:r w:rsidRPr="004D67E1">
              <w:rPr>
                <w:rFonts w:cs="Arial"/>
              </w:rPr>
              <w:t xml:space="preserve"> Australia (ASA) were mostly supportive of proposed interim access arrangements detailed in the draft RALI. They agreed with most of the measures described in the paper.</w:t>
            </w:r>
          </w:p>
        </w:tc>
        <w:tc>
          <w:tcPr>
            <w:tcW w:w="1237" w:type="pct"/>
          </w:tcPr>
          <w:p w14:paraId="789489ED" w14:textId="516165D5" w:rsidR="00BC3923" w:rsidRPr="004D67E1" w:rsidRDefault="00BC3923" w:rsidP="003A7AFF">
            <w:pPr>
              <w:pStyle w:val="ACMABulletLevel1"/>
              <w:spacing w:before="80"/>
              <w:rPr>
                <w:rFonts w:cs="Arial"/>
              </w:rPr>
            </w:pPr>
            <w:r w:rsidRPr="004D67E1">
              <w:rPr>
                <w:rFonts w:cs="Arial"/>
              </w:rPr>
              <w:t>Boeing Australia welcomed arrangements for interim access to 5055</w:t>
            </w:r>
            <w:r w:rsidR="00EC034E">
              <w:rPr>
                <w:rFonts w:cs="Arial"/>
              </w:rPr>
              <w:t>–</w:t>
            </w:r>
            <w:r w:rsidRPr="004D67E1">
              <w:rPr>
                <w:rFonts w:cs="Arial"/>
              </w:rPr>
              <w:t xml:space="preserve">5065 MHz for </w:t>
            </w:r>
            <w:proofErr w:type="spellStart"/>
            <w:r w:rsidRPr="004D67E1">
              <w:rPr>
                <w:rFonts w:cs="Arial"/>
              </w:rPr>
              <w:t>LoS</w:t>
            </w:r>
            <w:proofErr w:type="spellEnd"/>
            <w:r w:rsidRPr="004D67E1">
              <w:rPr>
                <w:rFonts w:cs="Arial"/>
              </w:rPr>
              <w:t xml:space="preserve"> RPAS CNPC. They were mostly supportive of all proposals set out in the paper. </w:t>
            </w:r>
          </w:p>
        </w:tc>
        <w:tc>
          <w:tcPr>
            <w:tcW w:w="2115" w:type="pct"/>
          </w:tcPr>
          <w:p w14:paraId="757C531D" w14:textId="77777777" w:rsidR="00BC3923" w:rsidRPr="004D67E1" w:rsidRDefault="00BC3923" w:rsidP="003A7AFF">
            <w:pPr>
              <w:pStyle w:val="ACMABulletLevel1"/>
              <w:spacing w:before="80"/>
              <w:rPr>
                <w:rFonts w:cs="Arial"/>
              </w:rPr>
            </w:pPr>
          </w:p>
        </w:tc>
      </w:tr>
      <w:tr w:rsidR="004D67E1" w:rsidRPr="0025322D" w14:paraId="65500ED7" w14:textId="77777777" w:rsidTr="00563216">
        <w:trPr>
          <w:cnfStyle w:val="000000010000" w:firstRow="0" w:lastRow="0" w:firstColumn="0" w:lastColumn="0" w:oddVBand="0" w:evenVBand="0" w:oddHBand="0" w:evenHBand="1" w:firstRowFirstColumn="0" w:firstRowLastColumn="0" w:lastRowFirstColumn="0" w:lastRowLastColumn="0"/>
        </w:trPr>
        <w:tc>
          <w:tcPr>
            <w:tcW w:w="565" w:type="pct"/>
          </w:tcPr>
          <w:p w14:paraId="65E2E333" w14:textId="51BC51F2" w:rsidR="004D67E1" w:rsidRPr="004D67E1" w:rsidRDefault="004D67E1" w:rsidP="004D67E1">
            <w:pPr>
              <w:pStyle w:val="ACMABulletLevel1"/>
              <w:spacing w:before="80"/>
              <w:rPr>
                <w:rFonts w:cs="Arial"/>
                <w:b/>
                <w:bCs/>
              </w:rPr>
            </w:pPr>
            <w:r w:rsidRPr="005546C7">
              <w:rPr>
                <w:rFonts w:cs="Arial"/>
                <w:b/>
                <w:bCs/>
              </w:rPr>
              <w:t>Licence type</w:t>
            </w:r>
          </w:p>
        </w:tc>
        <w:tc>
          <w:tcPr>
            <w:tcW w:w="1083" w:type="pct"/>
          </w:tcPr>
          <w:p w14:paraId="4C331609" w14:textId="40A0A20E" w:rsidR="004D67E1" w:rsidRPr="004D67E1" w:rsidRDefault="004D67E1" w:rsidP="004D67E1">
            <w:pPr>
              <w:pStyle w:val="ACMABulletLevel1"/>
              <w:spacing w:before="80"/>
              <w:rPr>
                <w:rFonts w:cs="Arial"/>
                <w:bCs/>
              </w:rPr>
            </w:pPr>
            <w:r w:rsidRPr="005546C7">
              <w:rPr>
                <w:rFonts w:cs="Arial"/>
                <w:bCs/>
              </w:rPr>
              <w:t>ASA agreed with the proposed licence type.</w:t>
            </w:r>
          </w:p>
        </w:tc>
        <w:tc>
          <w:tcPr>
            <w:tcW w:w="1237" w:type="pct"/>
          </w:tcPr>
          <w:p w14:paraId="5EE1306F" w14:textId="6D75D790" w:rsidR="004D67E1" w:rsidRPr="004D67E1" w:rsidRDefault="004D67E1" w:rsidP="004D67E1">
            <w:pPr>
              <w:pStyle w:val="ACMABulletLevel1"/>
              <w:spacing w:before="80"/>
              <w:rPr>
                <w:rFonts w:cs="Arial"/>
                <w:bCs/>
              </w:rPr>
            </w:pPr>
            <w:r w:rsidRPr="005546C7">
              <w:rPr>
                <w:rFonts w:cs="Arial"/>
                <w:bCs/>
              </w:rPr>
              <w:t>Boeing Australia agreed on the proposed licence type.</w:t>
            </w:r>
          </w:p>
        </w:tc>
        <w:tc>
          <w:tcPr>
            <w:tcW w:w="2115" w:type="pct"/>
          </w:tcPr>
          <w:p w14:paraId="000BF203" w14:textId="77777777" w:rsidR="004D67E1" w:rsidRPr="004D67E1" w:rsidRDefault="004D67E1" w:rsidP="004D67E1">
            <w:pPr>
              <w:pStyle w:val="ACMABulletLevel1"/>
              <w:spacing w:before="80"/>
              <w:rPr>
                <w:rFonts w:cs="Arial"/>
                <w:bCs/>
              </w:rPr>
            </w:pPr>
          </w:p>
        </w:tc>
      </w:tr>
      <w:tr w:rsidR="004D67E1" w:rsidRPr="0025322D" w14:paraId="5893202F" w14:textId="77777777" w:rsidTr="00563216">
        <w:trPr>
          <w:cnfStyle w:val="000000100000" w:firstRow="0" w:lastRow="0" w:firstColumn="0" w:lastColumn="0" w:oddVBand="0" w:evenVBand="0" w:oddHBand="1" w:evenHBand="0" w:firstRowFirstColumn="0" w:firstRowLastColumn="0" w:lastRowFirstColumn="0" w:lastRowLastColumn="0"/>
        </w:trPr>
        <w:tc>
          <w:tcPr>
            <w:tcW w:w="565" w:type="pct"/>
          </w:tcPr>
          <w:p w14:paraId="763562E3" w14:textId="2324A140" w:rsidR="004D67E1" w:rsidRPr="005546C7" w:rsidRDefault="004D67E1" w:rsidP="004D67E1">
            <w:pPr>
              <w:pStyle w:val="ACMABulletLevel1"/>
              <w:spacing w:before="80"/>
              <w:rPr>
                <w:rFonts w:cs="Arial"/>
                <w:b/>
                <w:bCs/>
              </w:rPr>
            </w:pPr>
            <w:r w:rsidRPr="004D67E1">
              <w:rPr>
                <w:rFonts w:cs="Arial"/>
                <w:b/>
                <w:bCs/>
              </w:rPr>
              <w:t>Assignment procedure</w:t>
            </w:r>
          </w:p>
        </w:tc>
        <w:tc>
          <w:tcPr>
            <w:tcW w:w="1083" w:type="pct"/>
          </w:tcPr>
          <w:p w14:paraId="791F8843" w14:textId="4F4AE300" w:rsidR="004D67E1" w:rsidRPr="005546C7" w:rsidRDefault="004D67E1" w:rsidP="004D67E1">
            <w:pPr>
              <w:pStyle w:val="ACMABulletLevel1"/>
              <w:spacing w:before="80"/>
              <w:rPr>
                <w:rFonts w:cs="Arial"/>
                <w:bCs/>
              </w:rPr>
            </w:pPr>
            <w:r w:rsidRPr="004D67E1">
              <w:rPr>
                <w:rFonts w:cs="Arial"/>
                <w:bCs/>
              </w:rPr>
              <w:t>-</w:t>
            </w:r>
          </w:p>
        </w:tc>
        <w:tc>
          <w:tcPr>
            <w:tcW w:w="1237" w:type="pct"/>
          </w:tcPr>
          <w:p w14:paraId="49BB5E76" w14:textId="06F34D2C" w:rsidR="004D67E1" w:rsidRPr="005546C7" w:rsidRDefault="004D67E1" w:rsidP="004D67E1">
            <w:pPr>
              <w:pStyle w:val="ACMABulletLevel1"/>
              <w:spacing w:before="80"/>
              <w:rPr>
                <w:rFonts w:cs="Arial"/>
                <w:bCs/>
              </w:rPr>
            </w:pPr>
            <w:r w:rsidRPr="004D67E1">
              <w:rPr>
                <w:rFonts w:cs="Arial"/>
                <w:bCs/>
              </w:rPr>
              <w:t>-</w:t>
            </w:r>
          </w:p>
        </w:tc>
        <w:tc>
          <w:tcPr>
            <w:tcW w:w="2115" w:type="pct"/>
          </w:tcPr>
          <w:p w14:paraId="3423B2E7" w14:textId="77777777" w:rsidR="004D67E1" w:rsidRPr="004D67E1" w:rsidRDefault="004D67E1" w:rsidP="004D67E1">
            <w:pPr>
              <w:pStyle w:val="ACMABulletLevel1"/>
              <w:spacing w:before="80"/>
              <w:rPr>
                <w:rFonts w:cs="Arial"/>
                <w:bCs/>
              </w:rPr>
            </w:pPr>
          </w:p>
        </w:tc>
      </w:tr>
      <w:tr w:rsidR="00563216" w:rsidRPr="0025322D" w14:paraId="691FF46C" w14:textId="77777777" w:rsidTr="00563216">
        <w:trPr>
          <w:cnfStyle w:val="000000010000" w:firstRow="0" w:lastRow="0" w:firstColumn="0" w:lastColumn="0" w:oddVBand="0" w:evenVBand="0" w:oddHBand="0" w:evenHBand="1" w:firstRowFirstColumn="0" w:firstRowLastColumn="0" w:lastRowFirstColumn="0" w:lastRowLastColumn="0"/>
        </w:trPr>
        <w:tc>
          <w:tcPr>
            <w:tcW w:w="565" w:type="pct"/>
          </w:tcPr>
          <w:p w14:paraId="4C47E792" w14:textId="3BCF7D93" w:rsidR="00563216" w:rsidRPr="004D67E1" w:rsidRDefault="00563216" w:rsidP="00563216">
            <w:pPr>
              <w:pStyle w:val="ACMABulletLevel1"/>
              <w:spacing w:before="80"/>
              <w:rPr>
                <w:rFonts w:cs="Arial"/>
                <w:b/>
                <w:bCs/>
              </w:rPr>
            </w:pPr>
            <w:r w:rsidRPr="00563216">
              <w:rPr>
                <w:rFonts w:cs="Arial"/>
                <w:b/>
                <w:bCs/>
              </w:rPr>
              <w:t>Technical requirements</w:t>
            </w:r>
          </w:p>
        </w:tc>
        <w:tc>
          <w:tcPr>
            <w:tcW w:w="1083" w:type="pct"/>
          </w:tcPr>
          <w:p w14:paraId="7D8BB2FD" w14:textId="2211405A" w:rsidR="00563216" w:rsidRPr="004D67E1" w:rsidRDefault="00563216" w:rsidP="00563216">
            <w:pPr>
              <w:pStyle w:val="ACMABulletLevel1"/>
              <w:spacing w:before="80"/>
              <w:rPr>
                <w:rFonts w:cs="Arial"/>
                <w:bCs/>
              </w:rPr>
            </w:pPr>
            <w:r w:rsidRPr="00563216">
              <w:rPr>
                <w:rFonts w:cs="Arial"/>
                <w:bCs/>
              </w:rPr>
              <w:t>ASA agreed with the proposed technical requirements.</w:t>
            </w:r>
          </w:p>
        </w:tc>
        <w:tc>
          <w:tcPr>
            <w:tcW w:w="1237" w:type="pct"/>
          </w:tcPr>
          <w:p w14:paraId="735E83C6" w14:textId="47949488" w:rsidR="00563216" w:rsidRPr="004D67E1" w:rsidRDefault="00563216" w:rsidP="00563216">
            <w:pPr>
              <w:pStyle w:val="ACMABulletLevel1"/>
              <w:spacing w:before="80"/>
              <w:rPr>
                <w:rFonts w:cs="Arial"/>
                <w:bCs/>
              </w:rPr>
            </w:pPr>
            <w:r w:rsidRPr="00563216">
              <w:rPr>
                <w:rFonts w:cs="Arial"/>
                <w:bCs/>
              </w:rPr>
              <w:t xml:space="preserve">Boeing Australia agreed with the proposed technical requirements. </w:t>
            </w:r>
            <w:r w:rsidR="00EC034E">
              <w:rPr>
                <w:rFonts w:cs="Arial"/>
                <w:bCs/>
              </w:rPr>
              <w:t xml:space="preserve">It </w:t>
            </w:r>
            <w:r w:rsidRPr="00563216">
              <w:rPr>
                <w:rFonts w:cs="Arial"/>
                <w:bCs/>
              </w:rPr>
              <w:t xml:space="preserve">also suggested that </w:t>
            </w:r>
            <w:r w:rsidR="00EC034E">
              <w:rPr>
                <w:rFonts w:cs="Arial"/>
                <w:bCs/>
              </w:rPr>
              <w:t>we</w:t>
            </w:r>
            <w:r w:rsidR="00EC034E" w:rsidRPr="00563216">
              <w:rPr>
                <w:rFonts w:cs="Arial"/>
                <w:bCs/>
              </w:rPr>
              <w:t xml:space="preserve"> </w:t>
            </w:r>
            <w:r w:rsidRPr="00563216">
              <w:rPr>
                <w:rFonts w:cs="Arial"/>
                <w:bCs/>
              </w:rPr>
              <w:t xml:space="preserve">should take the United States’ Radio Technical Commission for Aeronautics (RTCA) Command and Control (C2) Data Link Minimum Operational Performance Standards (MOPS) (Terrestrial) as a reference. </w:t>
            </w:r>
          </w:p>
        </w:tc>
        <w:tc>
          <w:tcPr>
            <w:tcW w:w="2115" w:type="pct"/>
          </w:tcPr>
          <w:p w14:paraId="0BF24A7A" w14:textId="2A130F48" w:rsidR="00563216" w:rsidRPr="004D67E1" w:rsidRDefault="00563216" w:rsidP="00563216">
            <w:pPr>
              <w:pStyle w:val="ACMABulletLevel1"/>
              <w:spacing w:before="80"/>
              <w:rPr>
                <w:rFonts w:cs="Arial"/>
                <w:bCs/>
              </w:rPr>
            </w:pPr>
            <w:r w:rsidRPr="00563216">
              <w:rPr>
                <w:rFonts w:cs="Arial"/>
                <w:bCs/>
              </w:rPr>
              <w:t>The suggestion regarding RTCA MOPS for C2 data links is noted</w:t>
            </w:r>
            <w:r w:rsidR="00EC034E">
              <w:rPr>
                <w:rFonts w:cs="Arial"/>
                <w:bCs/>
              </w:rPr>
              <w:t>,</w:t>
            </w:r>
            <w:r w:rsidRPr="00563216">
              <w:rPr>
                <w:rFonts w:cs="Arial"/>
                <w:bCs/>
              </w:rPr>
              <w:t xml:space="preserve"> and we will explore the relevance of those procedures when making long</w:t>
            </w:r>
            <w:r w:rsidR="00EC034E">
              <w:rPr>
                <w:rFonts w:cs="Arial"/>
                <w:bCs/>
              </w:rPr>
              <w:t>-</w:t>
            </w:r>
            <w:r w:rsidRPr="00563216">
              <w:rPr>
                <w:rFonts w:cs="Arial"/>
                <w:bCs/>
              </w:rPr>
              <w:t>term arrangements for access.</w:t>
            </w:r>
          </w:p>
        </w:tc>
      </w:tr>
      <w:tr w:rsidR="00D27358" w:rsidRPr="00F05DE1" w14:paraId="59E44554" w14:textId="77777777" w:rsidTr="00563216">
        <w:trPr>
          <w:cnfStyle w:val="000000100000" w:firstRow="0" w:lastRow="0" w:firstColumn="0" w:lastColumn="0" w:oddVBand="0" w:evenVBand="0" w:oddHBand="1" w:evenHBand="0" w:firstRowFirstColumn="0" w:firstRowLastColumn="0" w:lastRowFirstColumn="0" w:lastRowLastColumn="0"/>
          <w:cantSplit/>
        </w:trPr>
        <w:tc>
          <w:tcPr>
            <w:tcW w:w="565" w:type="pct"/>
          </w:tcPr>
          <w:p w14:paraId="7608E2D2" w14:textId="77777777" w:rsidR="00BC3923" w:rsidRPr="004D67E1" w:rsidRDefault="00BC3923" w:rsidP="003A7AFF">
            <w:pPr>
              <w:pStyle w:val="ACMABulletLevel1"/>
              <w:spacing w:before="80"/>
              <w:rPr>
                <w:rFonts w:cs="Arial"/>
                <w:b/>
              </w:rPr>
            </w:pPr>
            <w:r w:rsidRPr="004D67E1">
              <w:rPr>
                <w:rFonts w:cs="Arial"/>
                <w:b/>
              </w:rPr>
              <w:lastRenderedPageBreak/>
              <w:t>Channelling arrangements</w:t>
            </w:r>
          </w:p>
        </w:tc>
        <w:tc>
          <w:tcPr>
            <w:tcW w:w="1083" w:type="pct"/>
          </w:tcPr>
          <w:p w14:paraId="4DF29051" w14:textId="383E09E2" w:rsidR="00BC3923" w:rsidRPr="004D67E1" w:rsidRDefault="00BC3923" w:rsidP="003A7AFF">
            <w:pPr>
              <w:pStyle w:val="ACMABulletLevel1"/>
              <w:spacing w:before="80"/>
              <w:rPr>
                <w:rFonts w:cs="Arial"/>
              </w:rPr>
            </w:pPr>
            <w:r w:rsidRPr="004D67E1">
              <w:rPr>
                <w:rFonts w:cs="Arial"/>
              </w:rPr>
              <w:t>ASA mentioned there is a broad expectation that the RPAS movements will overshadow Air Traffic Management movements by a factor of 10. From that perspective, ASA thinks that the proposed 40 channels will be insufficient.</w:t>
            </w:r>
          </w:p>
          <w:p w14:paraId="6D976158" w14:textId="77777777" w:rsidR="00BC3923" w:rsidRPr="004D67E1" w:rsidRDefault="00BC3923" w:rsidP="00917E7B">
            <w:pPr>
              <w:pStyle w:val="ACMABulletLevel1"/>
              <w:spacing w:before="80"/>
              <w:rPr>
                <w:rFonts w:cs="Arial"/>
              </w:rPr>
            </w:pPr>
          </w:p>
        </w:tc>
        <w:tc>
          <w:tcPr>
            <w:tcW w:w="1237" w:type="pct"/>
          </w:tcPr>
          <w:p w14:paraId="637E58B7" w14:textId="45B2744F" w:rsidR="00BC3923" w:rsidRPr="004D67E1" w:rsidRDefault="00BC3923" w:rsidP="003A7AFF">
            <w:pPr>
              <w:pStyle w:val="ACMABulletLevel1"/>
              <w:spacing w:before="80"/>
              <w:rPr>
                <w:rFonts w:cs="Arial"/>
              </w:rPr>
            </w:pPr>
            <w:r w:rsidRPr="004D67E1">
              <w:rPr>
                <w:rFonts w:cs="Arial"/>
              </w:rPr>
              <w:t xml:space="preserve">Boeing Australia is of the view that the 10 MHz identified for </w:t>
            </w:r>
            <w:proofErr w:type="spellStart"/>
            <w:r w:rsidRPr="004D67E1">
              <w:rPr>
                <w:rFonts w:cs="Arial"/>
              </w:rPr>
              <w:t>LoS</w:t>
            </w:r>
            <w:proofErr w:type="spellEnd"/>
            <w:r w:rsidRPr="004D67E1">
              <w:rPr>
                <w:rFonts w:cs="Arial"/>
              </w:rPr>
              <w:t xml:space="preserve"> RPAS CNPC will not be viable for the use by larger and more sophisticated RPAS. </w:t>
            </w:r>
            <w:r w:rsidR="00E74E62">
              <w:rPr>
                <w:rFonts w:cs="Arial"/>
              </w:rPr>
              <w:t xml:space="preserve">It </w:t>
            </w:r>
            <w:r w:rsidRPr="004D67E1">
              <w:rPr>
                <w:rFonts w:cs="Arial"/>
              </w:rPr>
              <w:t xml:space="preserve">also suggested the allotment of 250 kHz for air and ground station is insufficient for more advanced medium/large RPAS. Boeing suggested that the draft RALI should be reviewed to extend the amount of frequency variable and number and width of channels to accommodate operation of larger RPAs. </w:t>
            </w:r>
            <w:r w:rsidR="00E74E62">
              <w:rPr>
                <w:rFonts w:cs="Arial"/>
              </w:rPr>
              <w:t xml:space="preserve">It </w:t>
            </w:r>
            <w:r w:rsidRPr="004D67E1">
              <w:rPr>
                <w:rFonts w:cs="Arial"/>
              </w:rPr>
              <w:t xml:space="preserve">requested </w:t>
            </w:r>
            <w:r w:rsidR="00E74E62">
              <w:rPr>
                <w:rFonts w:cs="Arial"/>
              </w:rPr>
              <w:t>we</w:t>
            </w:r>
            <w:r w:rsidRPr="004D67E1">
              <w:rPr>
                <w:rFonts w:cs="Arial"/>
              </w:rPr>
              <w:t xml:space="preserve"> increase the ‘interim’ spectrum amount to at least 20 </w:t>
            </w:r>
            <w:proofErr w:type="spellStart"/>
            <w:r w:rsidRPr="004D67E1">
              <w:rPr>
                <w:rFonts w:cs="Arial"/>
              </w:rPr>
              <w:t>MHz.</w:t>
            </w:r>
            <w:proofErr w:type="spellEnd"/>
          </w:p>
        </w:tc>
        <w:tc>
          <w:tcPr>
            <w:tcW w:w="2115" w:type="pct"/>
          </w:tcPr>
          <w:p w14:paraId="011E461E" w14:textId="26E98BC8" w:rsidR="00BC3923" w:rsidRPr="004D67E1" w:rsidRDefault="00BC3923" w:rsidP="00EE289E">
            <w:pPr>
              <w:pStyle w:val="ACMABulletLevel1"/>
              <w:spacing w:before="80" w:after="60"/>
              <w:rPr>
                <w:rFonts w:cs="Arial"/>
              </w:rPr>
            </w:pPr>
            <w:r w:rsidRPr="004D67E1">
              <w:rPr>
                <w:rFonts w:cs="Arial"/>
              </w:rPr>
              <w:t>The ACMA agrees that the provisions of the interim RALI may not be sufficient in the longer</w:t>
            </w:r>
            <w:r w:rsidR="00E74E62">
              <w:rPr>
                <w:rFonts w:cs="Arial"/>
              </w:rPr>
              <w:t>-</w:t>
            </w:r>
            <w:r w:rsidRPr="004D67E1">
              <w:rPr>
                <w:rFonts w:cs="Arial"/>
              </w:rPr>
              <w:t>term, but we note for the interim purposes of these arrangement the 40 channels identified will be more than sufficient, given:</w:t>
            </w:r>
          </w:p>
          <w:p w14:paraId="01749404" w14:textId="79B930C6" w:rsidR="00BC3923" w:rsidRPr="004D67E1" w:rsidRDefault="00BC3923" w:rsidP="00EE289E">
            <w:pPr>
              <w:pStyle w:val="ACMABulletLevel1"/>
              <w:numPr>
                <w:ilvl w:val="0"/>
                <w:numId w:val="25"/>
              </w:numPr>
              <w:spacing w:before="80"/>
              <w:ind w:left="364" w:hanging="284"/>
              <w:rPr>
                <w:rFonts w:cs="Arial"/>
              </w:rPr>
            </w:pPr>
            <w:r w:rsidRPr="004D67E1">
              <w:rPr>
                <w:rFonts w:cs="Arial"/>
              </w:rPr>
              <w:t>There are currently no drones using 5 GHz CNPC in Australia</w:t>
            </w:r>
            <w:r w:rsidR="00E74E62">
              <w:rPr>
                <w:rFonts w:cs="Arial"/>
              </w:rPr>
              <w:t>.</w:t>
            </w:r>
          </w:p>
          <w:p w14:paraId="705F09E2" w14:textId="08889DE7" w:rsidR="00BC3923" w:rsidRPr="004D67E1" w:rsidRDefault="00BC3923" w:rsidP="00EE289E">
            <w:pPr>
              <w:pStyle w:val="ACMABulletLevel1"/>
              <w:numPr>
                <w:ilvl w:val="0"/>
                <w:numId w:val="25"/>
              </w:numPr>
              <w:spacing w:before="80"/>
              <w:ind w:left="364" w:hanging="284"/>
              <w:rPr>
                <w:rFonts w:cs="Arial"/>
              </w:rPr>
            </w:pPr>
            <w:r w:rsidRPr="004D67E1">
              <w:rPr>
                <w:rFonts w:cs="Arial"/>
              </w:rPr>
              <w:t>Regulatory arrangements in other key jurisdictions (e</w:t>
            </w:r>
            <w:r w:rsidR="00E74E62">
              <w:rPr>
                <w:rFonts w:cs="Arial"/>
              </w:rPr>
              <w:t>.</w:t>
            </w:r>
            <w:r w:rsidRPr="004D67E1">
              <w:rPr>
                <w:rFonts w:cs="Arial"/>
              </w:rPr>
              <w:t>g.</w:t>
            </w:r>
            <w:r w:rsidR="00E74E62">
              <w:rPr>
                <w:rFonts w:cs="Arial"/>
              </w:rPr>
              <w:t>,</w:t>
            </w:r>
            <w:r w:rsidRPr="004D67E1">
              <w:rPr>
                <w:rFonts w:cs="Arial"/>
              </w:rPr>
              <w:t xml:space="preserve"> </w:t>
            </w:r>
            <w:r w:rsidR="00E74E62">
              <w:rPr>
                <w:rFonts w:cs="Arial"/>
              </w:rPr>
              <w:br/>
            </w:r>
            <w:r w:rsidRPr="004D67E1">
              <w:rPr>
                <w:rFonts w:cs="Arial"/>
              </w:rPr>
              <w:t>air safety) still require finalisation before widespread deployment would be possible</w:t>
            </w:r>
            <w:r w:rsidR="00E74E62">
              <w:rPr>
                <w:rFonts w:cs="Arial"/>
              </w:rPr>
              <w:t>.</w:t>
            </w:r>
          </w:p>
          <w:p w14:paraId="090B23CB" w14:textId="68A44C2C" w:rsidR="00BC3923" w:rsidRPr="004D67E1" w:rsidRDefault="00BC3923" w:rsidP="00EE289E">
            <w:pPr>
              <w:pStyle w:val="ACMABulletLevel1"/>
              <w:numPr>
                <w:ilvl w:val="0"/>
                <w:numId w:val="25"/>
              </w:numPr>
              <w:spacing w:before="80"/>
              <w:ind w:left="364" w:hanging="284"/>
              <w:rPr>
                <w:rFonts w:cs="Arial"/>
              </w:rPr>
            </w:pPr>
            <w:r w:rsidRPr="004D67E1">
              <w:rPr>
                <w:rFonts w:cs="Arial"/>
              </w:rPr>
              <w:t>Many countries have no arrangements in place.</w:t>
            </w:r>
          </w:p>
          <w:p w14:paraId="0B68D148" w14:textId="020B2FFF" w:rsidR="00BC3923" w:rsidRPr="004D67E1" w:rsidRDefault="00BC3923" w:rsidP="00EE289E">
            <w:pPr>
              <w:pStyle w:val="ACMABulletLevel1"/>
              <w:numPr>
                <w:ilvl w:val="0"/>
                <w:numId w:val="25"/>
              </w:numPr>
              <w:spacing w:before="80" w:after="240"/>
              <w:ind w:left="363" w:hanging="284"/>
              <w:rPr>
                <w:rFonts w:cs="Arial"/>
              </w:rPr>
            </w:pPr>
            <w:r w:rsidRPr="004D67E1">
              <w:rPr>
                <w:rFonts w:cs="Arial"/>
              </w:rPr>
              <w:t xml:space="preserve">The life of the interim RALI is expected to only be one to </w:t>
            </w:r>
            <w:r w:rsidR="00E74E62">
              <w:rPr>
                <w:rFonts w:cs="Arial"/>
              </w:rPr>
              <w:br/>
              <w:t>2</w:t>
            </w:r>
            <w:r w:rsidR="00E74E62" w:rsidRPr="004D67E1">
              <w:rPr>
                <w:rFonts w:cs="Arial"/>
              </w:rPr>
              <w:t xml:space="preserve"> </w:t>
            </w:r>
            <w:r w:rsidRPr="004D67E1">
              <w:rPr>
                <w:rFonts w:cs="Arial"/>
              </w:rPr>
              <w:t>years, depending on finalisation timeframes for relevant ITU-R documents</w:t>
            </w:r>
            <w:r w:rsidR="00E74E62">
              <w:rPr>
                <w:rFonts w:cs="Arial"/>
              </w:rPr>
              <w:t>.</w:t>
            </w:r>
          </w:p>
          <w:p w14:paraId="4F3162EA" w14:textId="17877421" w:rsidR="00BC3923" w:rsidRPr="004D67E1" w:rsidRDefault="00BC3923" w:rsidP="003A7AFF">
            <w:pPr>
              <w:pStyle w:val="ACMABulletLevel1"/>
              <w:spacing w:before="80"/>
              <w:rPr>
                <w:rFonts w:cs="Arial"/>
              </w:rPr>
            </w:pPr>
            <w:r w:rsidRPr="004D67E1">
              <w:rPr>
                <w:rFonts w:cs="Arial"/>
              </w:rPr>
              <w:t xml:space="preserve">Regarding the suggestion for wider channel bandwidths, we note that the channel bandwidth proposed is consistent with </w:t>
            </w:r>
            <w:r w:rsidR="007244AB" w:rsidRPr="004D67E1">
              <w:rPr>
                <w:rFonts w:cs="Arial"/>
              </w:rPr>
              <w:t xml:space="preserve">the system 1 presented in the </w:t>
            </w:r>
            <w:r w:rsidR="00611429" w:rsidRPr="004D67E1">
              <w:rPr>
                <w:rFonts w:cs="Arial"/>
              </w:rPr>
              <w:t xml:space="preserve">WD towards </w:t>
            </w:r>
            <w:r w:rsidR="007244AB" w:rsidRPr="004D67E1">
              <w:rPr>
                <w:rFonts w:cs="Arial"/>
              </w:rPr>
              <w:t xml:space="preserve">PDNR ITU-R </w:t>
            </w:r>
            <w:proofErr w:type="gramStart"/>
            <w:r w:rsidR="007244AB" w:rsidRPr="004D67E1">
              <w:rPr>
                <w:rFonts w:cs="Arial"/>
              </w:rPr>
              <w:t>M.[</w:t>
            </w:r>
            <w:proofErr w:type="gramEnd"/>
            <w:r w:rsidR="007244AB" w:rsidRPr="004D67E1">
              <w:rPr>
                <w:rFonts w:cs="Arial"/>
              </w:rPr>
              <w:t>CNPC_CHAR_5 GHz]</w:t>
            </w:r>
            <w:r w:rsidRPr="004D67E1">
              <w:rPr>
                <w:rFonts w:cs="Arial"/>
              </w:rPr>
              <w:t>.</w:t>
            </w:r>
          </w:p>
          <w:p w14:paraId="34AC87D8" w14:textId="023CEE5B" w:rsidR="00BC3923" w:rsidRPr="004D67E1" w:rsidDel="007C64C3" w:rsidRDefault="00BC3923" w:rsidP="003A7AFF">
            <w:pPr>
              <w:pStyle w:val="ACMABulletLevel1"/>
              <w:spacing w:before="80"/>
              <w:rPr>
                <w:rFonts w:cs="Arial"/>
              </w:rPr>
            </w:pPr>
            <w:r w:rsidRPr="004D67E1">
              <w:rPr>
                <w:rFonts w:cs="Arial"/>
              </w:rPr>
              <w:t>In addition, out-of-policy exemptions</w:t>
            </w:r>
            <w:r w:rsidR="002A322F" w:rsidRPr="004D67E1">
              <w:rPr>
                <w:rFonts w:cs="Arial"/>
              </w:rPr>
              <w:t xml:space="preserve"> </w:t>
            </w:r>
            <w:r w:rsidR="00FC2F20" w:rsidRPr="004D67E1">
              <w:rPr>
                <w:rFonts w:cs="Arial"/>
              </w:rPr>
              <w:t xml:space="preserve">to </w:t>
            </w:r>
            <w:r w:rsidRPr="004D67E1">
              <w:rPr>
                <w:rFonts w:cs="Arial"/>
              </w:rPr>
              <w:t>conditions set out in RALIs</w:t>
            </w:r>
            <w:r w:rsidR="00FC2F20" w:rsidRPr="004D67E1">
              <w:rPr>
                <w:rFonts w:cs="Arial"/>
              </w:rPr>
              <w:t>, including potential aggregation of channels to enable wider bandwidths,</w:t>
            </w:r>
            <w:r w:rsidRPr="004D67E1">
              <w:rPr>
                <w:rFonts w:cs="Arial"/>
              </w:rPr>
              <w:t xml:space="preserve"> can always be considered on a </w:t>
            </w:r>
            <w:r w:rsidR="00E74E62">
              <w:rPr>
                <w:rFonts w:cs="Arial"/>
              </w:rPr>
              <w:br/>
            </w:r>
            <w:r w:rsidRPr="004D67E1">
              <w:rPr>
                <w:rFonts w:cs="Arial"/>
              </w:rPr>
              <w:t>case-by-case basis.</w:t>
            </w:r>
          </w:p>
        </w:tc>
      </w:tr>
      <w:tr w:rsidR="00563216" w:rsidRPr="00563216" w14:paraId="50B228A5" w14:textId="77777777" w:rsidTr="00563216">
        <w:trPr>
          <w:cnfStyle w:val="000000010000" w:firstRow="0" w:lastRow="0" w:firstColumn="0" w:lastColumn="0" w:oddVBand="0" w:evenVBand="0" w:oddHBand="0" w:evenHBand="1" w:firstRowFirstColumn="0" w:firstRowLastColumn="0" w:lastRowFirstColumn="0" w:lastRowLastColumn="0"/>
        </w:trPr>
        <w:tc>
          <w:tcPr>
            <w:tcW w:w="565" w:type="pct"/>
          </w:tcPr>
          <w:p w14:paraId="6BAB9769" w14:textId="66CAF866" w:rsidR="00563216" w:rsidRPr="00563216" w:rsidRDefault="00563216" w:rsidP="00EE289E">
            <w:pPr>
              <w:pStyle w:val="ACMABulletLevel1"/>
              <w:keepNext/>
              <w:keepLines/>
              <w:spacing w:before="80"/>
              <w:rPr>
                <w:rFonts w:cs="Arial"/>
                <w:b/>
                <w:bCs/>
              </w:rPr>
            </w:pPr>
            <w:r w:rsidRPr="00563216">
              <w:rPr>
                <w:rFonts w:cs="Arial"/>
                <w:b/>
                <w:bCs/>
              </w:rPr>
              <w:lastRenderedPageBreak/>
              <w:t>Licence condition – Notional service area</w:t>
            </w:r>
          </w:p>
        </w:tc>
        <w:tc>
          <w:tcPr>
            <w:tcW w:w="1083" w:type="pct"/>
          </w:tcPr>
          <w:p w14:paraId="30DC8212" w14:textId="13A85891" w:rsidR="00563216" w:rsidRPr="00563216" w:rsidRDefault="00563216" w:rsidP="00EE289E">
            <w:pPr>
              <w:pStyle w:val="ACMABulletLevel1"/>
              <w:keepNext/>
              <w:keepLines/>
              <w:spacing w:before="80"/>
              <w:rPr>
                <w:rFonts w:cs="Arial"/>
                <w:bCs/>
              </w:rPr>
            </w:pPr>
            <w:r w:rsidRPr="00563216">
              <w:rPr>
                <w:rFonts w:cs="Arial"/>
                <w:bCs/>
              </w:rPr>
              <w:t>-</w:t>
            </w:r>
          </w:p>
        </w:tc>
        <w:tc>
          <w:tcPr>
            <w:tcW w:w="1237" w:type="pct"/>
          </w:tcPr>
          <w:p w14:paraId="1676A7CF" w14:textId="7BBC6796" w:rsidR="00563216" w:rsidRPr="00563216" w:rsidRDefault="00563216" w:rsidP="00EE289E">
            <w:pPr>
              <w:pStyle w:val="ACMABulletLevel1"/>
              <w:keepNext/>
              <w:keepLines/>
              <w:tabs>
                <w:tab w:val="left" w:pos="285"/>
              </w:tabs>
              <w:spacing w:before="80"/>
              <w:rPr>
                <w:rFonts w:cs="Arial"/>
                <w:bCs/>
              </w:rPr>
            </w:pPr>
            <w:r w:rsidRPr="00563216">
              <w:rPr>
                <w:rFonts w:cs="Arial"/>
                <w:bCs/>
              </w:rPr>
              <w:t xml:space="preserve">Boeing Australia did not object to the geographical service areas set out in the interim RALI, but requested </w:t>
            </w:r>
            <w:r w:rsidR="00E74E62">
              <w:rPr>
                <w:rFonts w:cs="Arial"/>
                <w:bCs/>
              </w:rPr>
              <w:t>we</w:t>
            </w:r>
            <w:r w:rsidRPr="00563216">
              <w:rPr>
                <w:rFonts w:cs="Arial"/>
                <w:bCs/>
              </w:rPr>
              <w:t xml:space="preserve"> remain open to exemptions on a case-by-case basis.</w:t>
            </w:r>
          </w:p>
        </w:tc>
        <w:tc>
          <w:tcPr>
            <w:tcW w:w="2115" w:type="pct"/>
          </w:tcPr>
          <w:p w14:paraId="61107DAC" w14:textId="772CA860" w:rsidR="00563216" w:rsidRPr="00563216" w:rsidRDefault="00563216" w:rsidP="00EE289E">
            <w:pPr>
              <w:pStyle w:val="ACMABulletLevel1"/>
              <w:keepNext/>
              <w:keepLines/>
              <w:tabs>
                <w:tab w:val="left" w:pos="285"/>
              </w:tabs>
              <w:spacing w:before="80"/>
              <w:rPr>
                <w:rFonts w:cs="Arial"/>
                <w:bCs/>
              </w:rPr>
            </w:pPr>
            <w:r w:rsidRPr="00563216">
              <w:rPr>
                <w:rFonts w:cs="Arial"/>
                <w:bCs/>
              </w:rPr>
              <w:t>Out-of-policy exemptions to conditions set out in RALIs can always be considered on a case-by-case basis.</w:t>
            </w:r>
          </w:p>
        </w:tc>
      </w:tr>
      <w:tr w:rsidR="00D27358" w:rsidRPr="00F05DE1" w14:paraId="37DF5A2B" w14:textId="77777777" w:rsidTr="00563216">
        <w:trPr>
          <w:cnfStyle w:val="000000100000" w:firstRow="0" w:lastRow="0" w:firstColumn="0" w:lastColumn="0" w:oddVBand="0" w:evenVBand="0" w:oddHBand="1" w:evenHBand="0" w:firstRowFirstColumn="0" w:firstRowLastColumn="0" w:lastRowFirstColumn="0" w:lastRowLastColumn="0"/>
          <w:cantSplit/>
        </w:trPr>
        <w:tc>
          <w:tcPr>
            <w:tcW w:w="565" w:type="pct"/>
          </w:tcPr>
          <w:p w14:paraId="61AFB6EC" w14:textId="33FA30C3" w:rsidR="00BC3923" w:rsidRPr="00E4760F" w:rsidRDefault="00BC3923" w:rsidP="003A7AFF">
            <w:pPr>
              <w:pStyle w:val="ACMABulletLevel1"/>
              <w:spacing w:before="80"/>
              <w:rPr>
                <w:rFonts w:cs="Arial"/>
                <w:b/>
              </w:rPr>
            </w:pPr>
            <w:r w:rsidRPr="00260531">
              <w:rPr>
                <w:rFonts w:cs="Arial"/>
                <w:b/>
              </w:rPr>
              <w:t>Licence condition – SC</w:t>
            </w:r>
            <w:r w:rsidR="00563216">
              <w:rPr>
                <w:rFonts w:cs="Arial"/>
                <w:b/>
                <w:bCs/>
              </w:rPr>
              <w:t> </w:t>
            </w:r>
            <w:r w:rsidRPr="004B4B4F">
              <w:rPr>
                <w:rFonts w:cs="Arial"/>
                <w:b/>
              </w:rPr>
              <w:t>27</w:t>
            </w:r>
          </w:p>
        </w:tc>
        <w:tc>
          <w:tcPr>
            <w:tcW w:w="1083" w:type="pct"/>
          </w:tcPr>
          <w:p w14:paraId="2D096F0D" w14:textId="4FA0B78E" w:rsidR="00BC3923" w:rsidRPr="00260531" w:rsidRDefault="00BC3923" w:rsidP="003A7AFF">
            <w:pPr>
              <w:pStyle w:val="ACMABulletLevel1"/>
              <w:spacing w:before="80"/>
              <w:rPr>
                <w:rFonts w:cs="Arial"/>
              </w:rPr>
            </w:pPr>
            <w:r w:rsidRPr="00260531">
              <w:rPr>
                <w:rFonts w:cs="Arial"/>
              </w:rPr>
              <w:t>ICAO handbook on Radio Frequency Spectrum Requirements for Civil Aviation (Doc 9718) established that safety</w:t>
            </w:r>
            <w:r w:rsidR="00F54A78">
              <w:rPr>
                <w:rFonts w:cs="Arial"/>
              </w:rPr>
              <w:t>-</w:t>
            </w:r>
            <w:r w:rsidRPr="00260531">
              <w:rPr>
                <w:rFonts w:cs="Arial"/>
              </w:rPr>
              <w:t>critical aeronautical communication, navigation and surveillance systems should be protected from harmful interference. The RPAS CNCP link is a safety</w:t>
            </w:r>
            <w:r w:rsidR="00F54A78">
              <w:rPr>
                <w:rFonts w:cs="Arial"/>
              </w:rPr>
              <w:t>-</w:t>
            </w:r>
            <w:r w:rsidRPr="00260531">
              <w:rPr>
                <w:rFonts w:cs="Arial"/>
              </w:rPr>
              <w:t>critical link and has been assigned as AM(R)S allocation. AM(R)S is reserved for communications relating to safety and regularity of flight. From that perspective</w:t>
            </w:r>
            <w:r w:rsidR="00F54A78">
              <w:rPr>
                <w:rFonts w:cs="Arial"/>
              </w:rPr>
              <w:t>,</w:t>
            </w:r>
            <w:r w:rsidRPr="00260531">
              <w:rPr>
                <w:rFonts w:cs="Arial"/>
              </w:rPr>
              <w:t xml:space="preserve"> ASA considers it appropriate that spectrum used to deliver safety of life service is afforded protection under the licence. </w:t>
            </w:r>
          </w:p>
        </w:tc>
        <w:tc>
          <w:tcPr>
            <w:tcW w:w="1237" w:type="pct"/>
          </w:tcPr>
          <w:p w14:paraId="5DF60E1A" w14:textId="0AB0D8F8" w:rsidR="00BC3923" w:rsidRPr="00260531" w:rsidRDefault="00BC3923" w:rsidP="003A7AFF">
            <w:pPr>
              <w:pStyle w:val="ACMABulletLevel1"/>
              <w:spacing w:before="80"/>
              <w:rPr>
                <w:rFonts w:cs="Arial"/>
              </w:rPr>
            </w:pPr>
            <w:r w:rsidRPr="00260531">
              <w:rPr>
                <w:rFonts w:cs="Arial"/>
              </w:rPr>
              <w:t>Boeing Australia stated that Special condition 27 ‘no interference / no protection’ is not appropriate for the frequency band 5030</w:t>
            </w:r>
            <w:r w:rsidR="00F54A78">
              <w:rPr>
                <w:rFonts w:cs="Arial"/>
              </w:rPr>
              <w:t>–</w:t>
            </w:r>
            <w:r w:rsidRPr="00260531">
              <w:rPr>
                <w:rFonts w:cs="Arial"/>
              </w:rPr>
              <w:t>5091 MHz allocated to the safety-of-life aeronautical mobile (R) service. This frequency band is allocated for safety-of-life operations globally through the International Telecommunication Union (ITU) Radio Regulations. Boeing Australia mentioned that Australia</w:t>
            </w:r>
            <w:r w:rsidR="00F54A78">
              <w:rPr>
                <w:rFonts w:cs="Arial"/>
              </w:rPr>
              <w:t>,</w:t>
            </w:r>
            <w:r w:rsidRPr="00260531">
              <w:rPr>
                <w:rFonts w:cs="Arial"/>
              </w:rPr>
              <w:t xml:space="preserve"> as a </w:t>
            </w:r>
            <w:r w:rsidR="00F54A78">
              <w:rPr>
                <w:rFonts w:cs="Arial"/>
              </w:rPr>
              <w:t>m</w:t>
            </w:r>
            <w:r w:rsidRPr="00260531">
              <w:rPr>
                <w:rFonts w:cs="Arial"/>
              </w:rPr>
              <w:t xml:space="preserve">ember </w:t>
            </w:r>
            <w:r w:rsidR="00F54A78">
              <w:rPr>
                <w:rFonts w:cs="Arial"/>
              </w:rPr>
              <w:t>s</w:t>
            </w:r>
            <w:r w:rsidRPr="00260531">
              <w:rPr>
                <w:rFonts w:cs="Arial"/>
              </w:rPr>
              <w:t>tate of the ITU</w:t>
            </w:r>
            <w:r w:rsidR="00F54A78">
              <w:rPr>
                <w:rFonts w:cs="Arial"/>
              </w:rPr>
              <w:t>,</w:t>
            </w:r>
            <w:r w:rsidRPr="00260531">
              <w:rPr>
                <w:rFonts w:cs="Arial"/>
              </w:rPr>
              <w:t xml:space="preserve"> has an obligation to uphold the provisions of the Radio Regulations</w:t>
            </w:r>
            <w:r w:rsidR="00F54A78">
              <w:rPr>
                <w:rFonts w:cs="Arial"/>
              </w:rPr>
              <w:t>,</w:t>
            </w:r>
            <w:r w:rsidRPr="00260531">
              <w:rPr>
                <w:rFonts w:cs="Arial"/>
              </w:rPr>
              <w:t xml:space="preserve"> including this safety-of-life service allocation.</w:t>
            </w:r>
          </w:p>
        </w:tc>
        <w:tc>
          <w:tcPr>
            <w:tcW w:w="2115" w:type="pct"/>
          </w:tcPr>
          <w:p w14:paraId="4387E71E" w14:textId="0D8518AE" w:rsidR="00BC3923" w:rsidRPr="00260531" w:rsidRDefault="00BC3923" w:rsidP="003A7AFF">
            <w:pPr>
              <w:pStyle w:val="ACMABulletLevel1"/>
              <w:spacing w:before="80"/>
              <w:rPr>
                <w:rFonts w:cs="Arial"/>
              </w:rPr>
            </w:pPr>
            <w:r w:rsidRPr="00260531">
              <w:rPr>
                <w:rFonts w:cs="Arial"/>
              </w:rPr>
              <w:t xml:space="preserve">‘No interference/no protection’ conditions are generally applied to itinerant and/or trial deployments, both being the case here. The interim provisions </w:t>
            </w:r>
            <w:r w:rsidR="0009683B" w:rsidRPr="00260531">
              <w:rPr>
                <w:rFonts w:cs="Arial"/>
              </w:rPr>
              <w:t>were</w:t>
            </w:r>
            <w:r w:rsidRPr="00260531">
              <w:rPr>
                <w:rFonts w:cs="Arial"/>
              </w:rPr>
              <w:t xml:space="preserve"> being put in place to enable early deployments in advance of finalisation of relevant international studies and regulations, so it is appropriate that such deployments should not assert any interference/protection rights over existing services during the interim period. The alternative </w:t>
            </w:r>
            <w:r w:rsidR="0009683B" w:rsidRPr="00260531">
              <w:rPr>
                <w:rFonts w:cs="Arial"/>
              </w:rPr>
              <w:t>was</w:t>
            </w:r>
            <w:r w:rsidRPr="00260531">
              <w:rPr>
                <w:rFonts w:cs="Arial"/>
              </w:rPr>
              <w:t xml:space="preserve"> to hold off on enabling interim access and await international outcomes instead.</w:t>
            </w:r>
          </w:p>
          <w:p w14:paraId="5F314DF3" w14:textId="77777777" w:rsidR="00BC3923" w:rsidRPr="00260531" w:rsidRDefault="00BC3923" w:rsidP="003A7AFF">
            <w:pPr>
              <w:pStyle w:val="ACMABulletLevel1"/>
              <w:spacing w:before="80"/>
              <w:rPr>
                <w:rFonts w:cs="Arial"/>
              </w:rPr>
            </w:pPr>
            <w:r w:rsidRPr="00260531">
              <w:rPr>
                <w:rFonts w:cs="Arial"/>
              </w:rPr>
              <w:t>It is intended that long-term arrangements will afford licences the same status as other safety-critical aeronautical services.</w:t>
            </w:r>
          </w:p>
          <w:p w14:paraId="4FBA4469" w14:textId="021D0B27" w:rsidR="0009683B" w:rsidRPr="00260531" w:rsidDel="007C64C3" w:rsidRDefault="0009683B" w:rsidP="003A7AFF">
            <w:pPr>
              <w:pStyle w:val="ACMABulletLevel1"/>
              <w:spacing w:before="80"/>
              <w:rPr>
                <w:rFonts w:cs="Arial"/>
              </w:rPr>
            </w:pPr>
            <w:r w:rsidRPr="00260531">
              <w:rPr>
                <w:rFonts w:cs="Arial"/>
              </w:rPr>
              <w:t>However, for th</w:t>
            </w:r>
            <w:r w:rsidR="00FC2F20" w:rsidRPr="00260531">
              <w:rPr>
                <w:rFonts w:cs="Arial"/>
              </w:rPr>
              <w:t>ese interim</w:t>
            </w:r>
            <w:r w:rsidRPr="00260531">
              <w:rPr>
                <w:rFonts w:cs="Arial"/>
              </w:rPr>
              <w:t xml:space="preserve"> purpose</w:t>
            </w:r>
            <w:r w:rsidR="00FC2F20" w:rsidRPr="00260531">
              <w:rPr>
                <w:rFonts w:cs="Arial"/>
              </w:rPr>
              <w:t>s</w:t>
            </w:r>
            <w:r w:rsidRPr="00260531">
              <w:rPr>
                <w:rFonts w:cs="Arial"/>
              </w:rPr>
              <w:t xml:space="preserve">, </w:t>
            </w:r>
            <w:r w:rsidR="00FC2F20" w:rsidRPr="00260531">
              <w:rPr>
                <w:rFonts w:cs="Arial"/>
              </w:rPr>
              <w:t>the ACMA is prepared</w:t>
            </w:r>
            <w:r w:rsidR="00F173C8" w:rsidRPr="00260531">
              <w:rPr>
                <w:rFonts w:cs="Arial"/>
              </w:rPr>
              <w:t xml:space="preserve"> to downgrade SC 27 to </w:t>
            </w:r>
            <w:r w:rsidR="00F54A78">
              <w:rPr>
                <w:rFonts w:cs="Arial"/>
              </w:rPr>
              <w:t>an a</w:t>
            </w:r>
            <w:r w:rsidR="00F173C8" w:rsidRPr="00260531">
              <w:rPr>
                <w:rFonts w:cs="Arial"/>
              </w:rPr>
              <w:t xml:space="preserve">dvisory </w:t>
            </w:r>
            <w:r w:rsidR="00F54A78">
              <w:rPr>
                <w:rFonts w:cs="Arial"/>
              </w:rPr>
              <w:t>n</w:t>
            </w:r>
            <w:r w:rsidR="00F173C8" w:rsidRPr="00260531">
              <w:rPr>
                <w:rFonts w:cs="Arial"/>
              </w:rPr>
              <w:t>ote</w:t>
            </w:r>
            <w:r w:rsidR="00FC2F20" w:rsidRPr="00260531">
              <w:rPr>
                <w:rFonts w:cs="Arial"/>
              </w:rPr>
              <w:t>,</w:t>
            </w:r>
            <w:r w:rsidR="00F173C8" w:rsidRPr="00260531">
              <w:rPr>
                <w:rFonts w:cs="Arial"/>
              </w:rPr>
              <w:t xml:space="preserve"> noting exclusivity of aeronautical </w:t>
            </w:r>
            <w:r w:rsidR="00FC2F20" w:rsidRPr="00260531">
              <w:rPr>
                <w:rFonts w:cs="Arial"/>
              </w:rPr>
              <w:t>use of</w:t>
            </w:r>
            <w:r w:rsidR="00F173C8" w:rsidRPr="00260531">
              <w:rPr>
                <w:rFonts w:cs="Arial"/>
              </w:rPr>
              <w:t xml:space="preserve"> this band.</w:t>
            </w:r>
            <w:r w:rsidR="00FC2F20" w:rsidRPr="00260531">
              <w:rPr>
                <w:rFonts w:cs="Arial"/>
              </w:rPr>
              <w:t xml:space="preserve"> The advisory note establishes a first-in-time hierarchy of licences authorising RPAS CNPC for interference management purposes. </w:t>
            </w:r>
          </w:p>
        </w:tc>
      </w:tr>
      <w:tr w:rsidR="00D27358" w:rsidRPr="00F05DE1" w14:paraId="2E6A9394" w14:textId="77777777" w:rsidTr="00563216">
        <w:trPr>
          <w:cnfStyle w:val="000000010000" w:firstRow="0" w:lastRow="0" w:firstColumn="0" w:lastColumn="0" w:oddVBand="0" w:evenVBand="0" w:oddHBand="0" w:evenHBand="1" w:firstRowFirstColumn="0" w:firstRowLastColumn="0" w:lastRowFirstColumn="0" w:lastRowLastColumn="0"/>
          <w:cantSplit/>
        </w:trPr>
        <w:tc>
          <w:tcPr>
            <w:tcW w:w="565" w:type="pct"/>
          </w:tcPr>
          <w:p w14:paraId="262F0317" w14:textId="77777777" w:rsidR="00BC3923" w:rsidRPr="00563216" w:rsidRDefault="00BC3923" w:rsidP="003A7AFF">
            <w:pPr>
              <w:pStyle w:val="ACMABulletLevel1"/>
              <w:spacing w:before="80"/>
              <w:rPr>
                <w:rFonts w:cs="Arial"/>
                <w:b/>
              </w:rPr>
            </w:pPr>
            <w:r w:rsidRPr="00563216">
              <w:rPr>
                <w:rFonts w:cs="Arial"/>
                <w:b/>
              </w:rPr>
              <w:t>Advisory notes – Duration of licence</w:t>
            </w:r>
          </w:p>
        </w:tc>
        <w:tc>
          <w:tcPr>
            <w:tcW w:w="1083" w:type="pct"/>
          </w:tcPr>
          <w:p w14:paraId="74965481" w14:textId="77777777" w:rsidR="00BC3923" w:rsidRPr="00563216" w:rsidRDefault="00BC3923" w:rsidP="003A7AFF">
            <w:pPr>
              <w:pStyle w:val="ACMABulletLevel1"/>
              <w:spacing w:before="80"/>
              <w:rPr>
                <w:rFonts w:cs="Arial"/>
              </w:rPr>
            </w:pPr>
            <w:r w:rsidRPr="00563216">
              <w:rPr>
                <w:rFonts w:cs="Arial"/>
              </w:rPr>
              <w:t>-</w:t>
            </w:r>
          </w:p>
        </w:tc>
        <w:tc>
          <w:tcPr>
            <w:tcW w:w="1237" w:type="pct"/>
          </w:tcPr>
          <w:p w14:paraId="4634E02F" w14:textId="77777777" w:rsidR="00BC3923" w:rsidRPr="00563216" w:rsidRDefault="00BC3923" w:rsidP="003A7AFF">
            <w:pPr>
              <w:pStyle w:val="ACMABulletLevel1"/>
              <w:spacing w:before="80"/>
              <w:rPr>
                <w:rFonts w:cs="Arial"/>
              </w:rPr>
            </w:pPr>
            <w:r w:rsidRPr="00563216">
              <w:rPr>
                <w:rFonts w:cs="Arial"/>
              </w:rPr>
              <w:t>Boeing Australia agreed that a licence duration of 12 months is appropriate.</w:t>
            </w:r>
          </w:p>
        </w:tc>
        <w:tc>
          <w:tcPr>
            <w:tcW w:w="2115" w:type="pct"/>
          </w:tcPr>
          <w:p w14:paraId="758946B5" w14:textId="77777777" w:rsidR="00BC3923" w:rsidRPr="00563216" w:rsidDel="007C64C3" w:rsidRDefault="00BC3923" w:rsidP="003A7AFF">
            <w:pPr>
              <w:pStyle w:val="ACMABulletLevel1"/>
              <w:spacing w:before="80"/>
              <w:rPr>
                <w:rFonts w:cs="Arial"/>
              </w:rPr>
            </w:pPr>
          </w:p>
        </w:tc>
      </w:tr>
      <w:tr w:rsidR="00D27358" w:rsidRPr="00F05DE1" w14:paraId="0B01756B" w14:textId="77777777" w:rsidTr="00563216">
        <w:trPr>
          <w:cnfStyle w:val="000000100000" w:firstRow="0" w:lastRow="0" w:firstColumn="0" w:lastColumn="0" w:oddVBand="0" w:evenVBand="0" w:oddHBand="1" w:evenHBand="0" w:firstRowFirstColumn="0" w:firstRowLastColumn="0" w:lastRowFirstColumn="0" w:lastRowLastColumn="0"/>
          <w:cantSplit/>
        </w:trPr>
        <w:tc>
          <w:tcPr>
            <w:tcW w:w="565" w:type="pct"/>
          </w:tcPr>
          <w:p w14:paraId="49AC5820" w14:textId="77777777" w:rsidR="00BC3923" w:rsidRPr="00563216" w:rsidRDefault="00BC3923" w:rsidP="003A7AFF">
            <w:pPr>
              <w:pStyle w:val="ACMABulletLevel1"/>
              <w:spacing w:before="80"/>
              <w:rPr>
                <w:rFonts w:cs="Arial"/>
                <w:b/>
              </w:rPr>
            </w:pPr>
            <w:r w:rsidRPr="00563216">
              <w:rPr>
                <w:rFonts w:cs="Arial"/>
                <w:b/>
              </w:rPr>
              <w:lastRenderedPageBreak/>
              <w:t>Advisory notes – Operating parameters</w:t>
            </w:r>
          </w:p>
        </w:tc>
        <w:tc>
          <w:tcPr>
            <w:tcW w:w="1083" w:type="pct"/>
          </w:tcPr>
          <w:p w14:paraId="73BDA8C6" w14:textId="77777777" w:rsidR="00BC3923" w:rsidRPr="00563216" w:rsidRDefault="00BC3923" w:rsidP="003A7AFF">
            <w:pPr>
              <w:pStyle w:val="ACMABulletLevel1"/>
              <w:spacing w:before="80"/>
              <w:rPr>
                <w:rFonts w:cs="Arial"/>
              </w:rPr>
            </w:pPr>
            <w:r w:rsidRPr="00563216">
              <w:rPr>
                <w:rFonts w:cs="Arial"/>
              </w:rPr>
              <w:t>-</w:t>
            </w:r>
          </w:p>
        </w:tc>
        <w:tc>
          <w:tcPr>
            <w:tcW w:w="1237" w:type="pct"/>
          </w:tcPr>
          <w:p w14:paraId="4E00BC60" w14:textId="77777777" w:rsidR="00BC3923" w:rsidRPr="00563216" w:rsidRDefault="00BC3923" w:rsidP="003A7AFF">
            <w:pPr>
              <w:pStyle w:val="ACMABulletLevel1"/>
              <w:spacing w:before="80"/>
              <w:rPr>
                <w:rFonts w:cs="Arial"/>
              </w:rPr>
            </w:pPr>
            <w:r w:rsidRPr="00563216">
              <w:rPr>
                <w:rFonts w:cs="Arial"/>
              </w:rPr>
              <w:t>Boeing Australia supported the application of this advisory note.</w:t>
            </w:r>
          </w:p>
        </w:tc>
        <w:tc>
          <w:tcPr>
            <w:tcW w:w="2115" w:type="pct"/>
          </w:tcPr>
          <w:p w14:paraId="0D477FE0" w14:textId="77777777" w:rsidR="00BC3923" w:rsidRPr="00563216" w:rsidDel="007C64C3" w:rsidRDefault="00BC3923" w:rsidP="003A7AFF">
            <w:pPr>
              <w:pStyle w:val="ACMABulletLevel1"/>
              <w:spacing w:before="80"/>
              <w:rPr>
                <w:rFonts w:cs="Arial"/>
              </w:rPr>
            </w:pPr>
          </w:p>
        </w:tc>
      </w:tr>
      <w:tr w:rsidR="00D27358" w:rsidRPr="00F05DE1" w14:paraId="44057DEF" w14:textId="77777777" w:rsidTr="00563216">
        <w:trPr>
          <w:cnfStyle w:val="000000010000" w:firstRow="0" w:lastRow="0" w:firstColumn="0" w:lastColumn="0" w:oddVBand="0" w:evenVBand="0" w:oddHBand="0" w:evenHBand="1" w:firstRowFirstColumn="0" w:firstRowLastColumn="0" w:lastRowFirstColumn="0" w:lastRowLastColumn="0"/>
          <w:cantSplit/>
        </w:trPr>
        <w:tc>
          <w:tcPr>
            <w:tcW w:w="565" w:type="pct"/>
          </w:tcPr>
          <w:p w14:paraId="52023075" w14:textId="77777777" w:rsidR="00BC3923" w:rsidRPr="00260531" w:rsidRDefault="00BC3923" w:rsidP="003A7AFF">
            <w:pPr>
              <w:pStyle w:val="ACMABulletLevel1"/>
              <w:spacing w:before="80"/>
              <w:rPr>
                <w:rFonts w:cs="Arial"/>
                <w:b/>
              </w:rPr>
            </w:pPr>
            <w:r w:rsidRPr="00260531">
              <w:rPr>
                <w:rFonts w:cs="Arial"/>
                <w:b/>
              </w:rPr>
              <w:t>Licence assignment</w:t>
            </w:r>
          </w:p>
        </w:tc>
        <w:tc>
          <w:tcPr>
            <w:tcW w:w="1083" w:type="pct"/>
          </w:tcPr>
          <w:p w14:paraId="3909E740" w14:textId="550D5450" w:rsidR="00BC3923" w:rsidRPr="00260531" w:rsidRDefault="00BC3923" w:rsidP="003A7AFF">
            <w:pPr>
              <w:pStyle w:val="ACMABulletLevel1"/>
              <w:spacing w:before="80"/>
              <w:rPr>
                <w:rFonts w:cs="Arial"/>
              </w:rPr>
            </w:pPr>
            <w:r w:rsidRPr="00260531">
              <w:rPr>
                <w:rFonts w:cs="Arial"/>
              </w:rPr>
              <w:t>In order to support the operation of RPAs, ASA is required to endorse assignments of aeronautical or aircraft frequencies. However, the ASA spectrum management database is only set up for frequency bands in (and around) the aviation VHF band. ASA will need to modify that system to allow for the endorsements of channels in the 5</w:t>
            </w:r>
            <w:r w:rsidR="00F54A78">
              <w:rPr>
                <w:rFonts w:cs="Arial"/>
              </w:rPr>
              <w:t xml:space="preserve"> </w:t>
            </w:r>
            <w:r w:rsidRPr="00260531">
              <w:rPr>
                <w:rFonts w:cs="Arial"/>
              </w:rPr>
              <w:t xml:space="preserve">GHz band. ASA requested </w:t>
            </w:r>
            <w:r w:rsidR="00F54A78">
              <w:rPr>
                <w:rFonts w:cs="Arial"/>
              </w:rPr>
              <w:t>we</w:t>
            </w:r>
            <w:r w:rsidRPr="00260531">
              <w:rPr>
                <w:rFonts w:cs="Arial"/>
              </w:rPr>
              <w:t xml:space="preserve"> provide as much notice as possible before this draft RALI is </w:t>
            </w:r>
            <w:proofErr w:type="gramStart"/>
            <w:r w:rsidRPr="00260531">
              <w:rPr>
                <w:rFonts w:cs="Arial"/>
              </w:rPr>
              <w:t>finalised</w:t>
            </w:r>
            <w:proofErr w:type="gramEnd"/>
            <w:r w:rsidRPr="00260531">
              <w:rPr>
                <w:rFonts w:cs="Arial"/>
              </w:rPr>
              <w:t xml:space="preserve"> so they have sufficient time to update </w:t>
            </w:r>
            <w:r w:rsidR="00F54A78">
              <w:rPr>
                <w:rFonts w:cs="Arial"/>
              </w:rPr>
              <w:t xml:space="preserve">the </w:t>
            </w:r>
            <w:r w:rsidRPr="00260531">
              <w:rPr>
                <w:rFonts w:cs="Arial"/>
              </w:rPr>
              <w:t>system and avoid any delays in endorsing assignments.</w:t>
            </w:r>
          </w:p>
        </w:tc>
        <w:tc>
          <w:tcPr>
            <w:tcW w:w="1237" w:type="pct"/>
          </w:tcPr>
          <w:p w14:paraId="4BF9478F" w14:textId="2B81C4F2" w:rsidR="00BC3923" w:rsidRPr="00260531" w:rsidRDefault="00BC3923" w:rsidP="003A7AFF">
            <w:pPr>
              <w:pStyle w:val="ACMABulletLevel1"/>
              <w:spacing w:before="80"/>
              <w:rPr>
                <w:rFonts w:cs="Arial"/>
              </w:rPr>
            </w:pPr>
            <w:r w:rsidRPr="00260531">
              <w:rPr>
                <w:rFonts w:cs="Arial"/>
              </w:rPr>
              <w:t xml:space="preserve">Boeing Australia suggested </w:t>
            </w:r>
            <w:r w:rsidR="00E823E9">
              <w:rPr>
                <w:rFonts w:cs="Arial"/>
              </w:rPr>
              <w:t xml:space="preserve">the </w:t>
            </w:r>
            <w:r w:rsidRPr="00260531">
              <w:rPr>
                <w:rFonts w:cs="Arial"/>
              </w:rPr>
              <w:t>ACMA to work with ASA to explore a means for establishing a dynamic frequency assignment process to efficiently manage approved operator access to the frequency band on an automated basis.</w:t>
            </w:r>
          </w:p>
          <w:p w14:paraId="353B1377" w14:textId="57E2ACB8" w:rsidR="00BC3923" w:rsidRPr="00260531" w:rsidRDefault="00BC3923" w:rsidP="003A7AFF">
            <w:pPr>
              <w:pStyle w:val="ACMABulletLevel1"/>
              <w:spacing w:before="80"/>
              <w:rPr>
                <w:rFonts w:cs="Arial"/>
              </w:rPr>
            </w:pPr>
            <w:r w:rsidRPr="00260531">
              <w:rPr>
                <w:rFonts w:cs="Arial"/>
              </w:rPr>
              <w:t>Boeing Australia again provided a reference to the proposal made by the Aerospace Industries Association (AIA) in a petition to the FCC to Adopt Service Rules for Unmanned Aircraft Systems (</w:t>
            </w:r>
            <w:r w:rsidR="00E823E9">
              <w:rPr>
                <w:rFonts w:cs="Arial"/>
              </w:rPr>
              <w:t>‘</w:t>
            </w:r>
            <w:r w:rsidRPr="00260531">
              <w:rPr>
                <w:rFonts w:cs="Arial"/>
              </w:rPr>
              <w:t>UAS</w:t>
            </w:r>
            <w:r w:rsidR="00E823E9">
              <w:rPr>
                <w:rFonts w:cs="Arial"/>
              </w:rPr>
              <w:t>’</w:t>
            </w:r>
            <w:r w:rsidRPr="00260531">
              <w:rPr>
                <w:rFonts w:cs="Arial"/>
              </w:rPr>
              <w:t xml:space="preserve">) Command and Control in the </w:t>
            </w:r>
            <w:r w:rsidR="00E823E9">
              <w:rPr>
                <w:rFonts w:cs="Arial"/>
              </w:rPr>
              <w:br/>
            </w:r>
            <w:r w:rsidRPr="00260531">
              <w:rPr>
                <w:rFonts w:cs="Arial"/>
              </w:rPr>
              <w:t>5030</w:t>
            </w:r>
            <w:r w:rsidR="00E823E9">
              <w:rPr>
                <w:rFonts w:cs="Arial"/>
              </w:rPr>
              <w:t>–</w:t>
            </w:r>
            <w:r w:rsidRPr="00260531">
              <w:rPr>
                <w:rFonts w:cs="Arial"/>
              </w:rPr>
              <w:t>5091 MHz Band for a dynamic frequency assignment process.</w:t>
            </w:r>
          </w:p>
          <w:p w14:paraId="36667FE4" w14:textId="77777777" w:rsidR="00BC3923" w:rsidRPr="00260531" w:rsidRDefault="00BC3923" w:rsidP="003A7AFF">
            <w:pPr>
              <w:pStyle w:val="ACMABulletLevel1"/>
              <w:spacing w:before="80"/>
              <w:rPr>
                <w:rFonts w:cs="Arial"/>
              </w:rPr>
            </w:pPr>
            <w:r w:rsidRPr="00260531">
              <w:rPr>
                <w:rFonts w:cs="Arial"/>
              </w:rPr>
              <w:t>The AIA dynamic frequency assignment process proposes an authorised remote pilot in charge (PIC) can secure access to necessary frequency channels covering a specific geographic area, and then release those channels as soon as the UAS flight is completed.</w:t>
            </w:r>
          </w:p>
        </w:tc>
        <w:tc>
          <w:tcPr>
            <w:tcW w:w="2115" w:type="pct"/>
          </w:tcPr>
          <w:p w14:paraId="1545287F" w14:textId="2E0903F5" w:rsidR="00BC3923" w:rsidRPr="00260531" w:rsidRDefault="00E823E9" w:rsidP="003A7AFF">
            <w:pPr>
              <w:pStyle w:val="ACMABulletLevel1"/>
              <w:spacing w:before="80"/>
              <w:rPr>
                <w:rFonts w:cs="Arial"/>
              </w:rPr>
            </w:pPr>
            <w:r>
              <w:rPr>
                <w:rFonts w:cs="Arial"/>
              </w:rPr>
              <w:t>We</w:t>
            </w:r>
            <w:r w:rsidR="00BC3923" w:rsidRPr="00260531">
              <w:rPr>
                <w:rFonts w:cs="Arial"/>
              </w:rPr>
              <w:t xml:space="preserve"> will provide advance notice of publication of the interim </w:t>
            </w:r>
            <w:r>
              <w:rPr>
                <w:rFonts w:cs="Arial"/>
              </w:rPr>
              <w:br/>
            </w:r>
            <w:r w:rsidR="00BC3923" w:rsidRPr="00260531">
              <w:rPr>
                <w:rFonts w:cs="Arial"/>
              </w:rPr>
              <w:t xml:space="preserve">RALI to </w:t>
            </w:r>
            <w:proofErr w:type="spellStart"/>
            <w:r w:rsidR="00BC3923" w:rsidRPr="00260531">
              <w:rPr>
                <w:rFonts w:cs="Arial"/>
              </w:rPr>
              <w:t>Airservices</w:t>
            </w:r>
            <w:proofErr w:type="spellEnd"/>
            <w:r w:rsidR="00BC3923" w:rsidRPr="00260531">
              <w:rPr>
                <w:rFonts w:cs="Arial"/>
              </w:rPr>
              <w:t xml:space="preserve">. </w:t>
            </w:r>
          </w:p>
          <w:p w14:paraId="192F3B5F" w14:textId="2AE9A42C" w:rsidR="00BC3923" w:rsidRPr="00260531" w:rsidDel="007C64C3" w:rsidRDefault="00BC3923" w:rsidP="003A7AFF">
            <w:pPr>
              <w:pStyle w:val="ACMABulletLevel1"/>
              <w:spacing w:before="80"/>
              <w:rPr>
                <w:rFonts w:cs="Arial"/>
              </w:rPr>
            </w:pPr>
            <w:r w:rsidRPr="00260531">
              <w:rPr>
                <w:rFonts w:cs="Arial"/>
              </w:rPr>
              <w:t>Regarding dynamic frequency assignment, third</w:t>
            </w:r>
            <w:r w:rsidR="005B2B92">
              <w:rPr>
                <w:rFonts w:cs="Arial"/>
              </w:rPr>
              <w:t>-</w:t>
            </w:r>
            <w:r w:rsidRPr="00260531">
              <w:rPr>
                <w:rFonts w:cs="Arial"/>
              </w:rPr>
              <w:t xml:space="preserve">party band managers such as </w:t>
            </w:r>
            <w:proofErr w:type="spellStart"/>
            <w:r w:rsidRPr="00260531">
              <w:rPr>
                <w:rFonts w:cs="Arial"/>
              </w:rPr>
              <w:t>Airservices</w:t>
            </w:r>
            <w:proofErr w:type="spellEnd"/>
            <w:r w:rsidRPr="00260531">
              <w:rPr>
                <w:rFonts w:cs="Arial"/>
              </w:rPr>
              <w:t xml:space="preserve"> are welcome to implement access management systems as they see fit, so long as they hold the appropriate licences.</w:t>
            </w:r>
          </w:p>
        </w:tc>
      </w:tr>
    </w:tbl>
    <w:p w14:paraId="2FBFAC89" w14:textId="77777777" w:rsidR="00925552" w:rsidRPr="00925552" w:rsidRDefault="00925552" w:rsidP="00925552"/>
    <w:sectPr w:rsidR="00925552" w:rsidRPr="00925552" w:rsidSect="00EE289E">
      <w:footerReference w:type="default" r:id="rId32"/>
      <w:pgSz w:w="16838" w:h="11906" w:orient="landscape" w:code="9"/>
      <w:pgMar w:top="1134" w:right="1945" w:bottom="1843"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99FA" w14:textId="77777777" w:rsidR="00E87394" w:rsidRDefault="00E87394">
      <w:r>
        <w:separator/>
      </w:r>
    </w:p>
  </w:endnote>
  <w:endnote w:type="continuationSeparator" w:id="0">
    <w:p w14:paraId="31B49FA3" w14:textId="77777777" w:rsidR="00E87394" w:rsidRDefault="00E87394">
      <w:r>
        <w:continuationSeparator/>
      </w:r>
    </w:p>
  </w:endnote>
  <w:endnote w:type="continuationNotice" w:id="1">
    <w:p w14:paraId="00FB90E7" w14:textId="77777777" w:rsidR="00E87394" w:rsidRDefault="00E87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05A8" w14:textId="77777777" w:rsidR="005E250B" w:rsidRDefault="005E250B" w:rsidP="005E250B">
    <w:pPr>
      <w:pStyle w:val="Footer"/>
      <w:jc w:val="right"/>
    </w:pPr>
    <w:r w:rsidRPr="005E250B">
      <w:rPr>
        <w:noProof/>
        <w:vertAlign w:val="subscript"/>
      </w:rPr>
      <w:drawing>
        <wp:inline distT="0" distB="0" distL="0" distR="0" wp14:anchorId="2AB019C8" wp14:editId="40D9C986">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3441"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8894"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7DDF"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534EC8C0"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3D86"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6DC83D6E"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61EB"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5F34698F"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244E"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0F87D82"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9EE0" w14:textId="77777777" w:rsidR="00C053A1" w:rsidRPr="00622A3B" w:rsidRDefault="00C053A1" w:rsidP="005D6C68">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13B9E227" w14:textId="77777777" w:rsidR="00C053A1" w:rsidRPr="00A5474E" w:rsidRDefault="00C053A1"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9A5B" w14:textId="77777777" w:rsidR="00C975B4" w:rsidRPr="00622A3B" w:rsidRDefault="00C975B4" w:rsidP="00C975B4">
    <w:pPr>
      <w:pStyle w:val="Footer"/>
      <w:framePr w:w="1440" w:h="357" w:hRule="exact" w:vSpace="425" w:wrap="around" w:vAnchor="page" w:hAnchor="page" w:x="13521" w:y="11473"/>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6BBC683A" w14:textId="77777777" w:rsidR="00C975B4" w:rsidRPr="00A5474E" w:rsidRDefault="00C975B4"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F6AB" w14:textId="77777777" w:rsidR="00E87394" w:rsidRDefault="00E87394" w:rsidP="00EA0969">
      <w:pPr>
        <w:spacing w:after="0"/>
      </w:pPr>
      <w:r>
        <w:separator/>
      </w:r>
    </w:p>
  </w:footnote>
  <w:footnote w:type="continuationSeparator" w:id="0">
    <w:p w14:paraId="4A8017B1" w14:textId="77777777" w:rsidR="00E87394" w:rsidRDefault="00E87394">
      <w:r>
        <w:continuationSeparator/>
      </w:r>
    </w:p>
  </w:footnote>
  <w:footnote w:type="continuationNotice" w:id="1">
    <w:p w14:paraId="08A8EBB4" w14:textId="77777777" w:rsidR="00E87394" w:rsidRDefault="00E87394">
      <w:pPr>
        <w:spacing w:after="0" w:line="240" w:lineRule="auto"/>
      </w:pPr>
    </w:p>
  </w:footnote>
  <w:footnote w:id="2">
    <w:p w14:paraId="73D30836" w14:textId="018C2D51" w:rsidR="00875AA7" w:rsidRPr="007F58BD" w:rsidRDefault="00875AA7">
      <w:pPr>
        <w:pStyle w:val="FootnoteText"/>
      </w:pPr>
      <w:r>
        <w:rPr>
          <w:rStyle w:val="FootnoteReference"/>
        </w:rPr>
        <w:footnoteRef/>
      </w:r>
      <w:r>
        <w:t xml:space="preserve"> </w:t>
      </w:r>
      <w:r w:rsidRPr="00955FDD">
        <w:t xml:space="preserve">Working </w:t>
      </w:r>
      <w:r w:rsidR="007F58BD">
        <w:t>d</w:t>
      </w:r>
      <w:r w:rsidRPr="00955FDD">
        <w:t xml:space="preserve">ocument </w:t>
      </w:r>
      <w:r w:rsidR="007F58BD">
        <w:t>t</w:t>
      </w:r>
      <w:r w:rsidRPr="00955FDD">
        <w:t xml:space="preserve">owards a </w:t>
      </w:r>
      <w:r w:rsidR="007F58BD">
        <w:t>p</w:t>
      </w:r>
      <w:r w:rsidRPr="00955FDD">
        <w:t xml:space="preserve">reliminary </w:t>
      </w:r>
      <w:r w:rsidR="007F58BD">
        <w:t>d</w:t>
      </w:r>
      <w:r w:rsidRPr="00955FDD">
        <w:t xml:space="preserve">raft </w:t>
      </w:r>
      <w:r w:rsidR="007F58BD">
        <w:t>n</w:t>
      </w:r>
      <w:r w:rsidRPr="00955FDD">
        <w:t xml:space="preserve">ew </w:t>
      </w:r>
      <w:r w:rsidR="007F58BD">
        <w:t>r</w:t>
      </w:r>
      <w:r w:rsidRPr="00955FDD">
        <w:t xml:space="preserve">ecommendation ITU-R.M.[CNPC_CHAR_5GHz] </w:t>
      </w:r>
      <w:r w:rsidRPr="0076098E">
        <w:t>on the characteristics and protection criteria of terrestrial and satellite unmanned aircraft system control</w:t>
      </w:r>
      <w:r w:rsidR="007F58BD">
        <w:t>,</w:t>
      </w:r>
      <w:r w:rsidRPr="0076098E">
        <w:t xml:space="preserve"> and non-payload communications links operating in the aeronautical mobile (route) service and aeronautical mobile satellite (R) service in the band 5030</w:t>
      </w:r>
      <w:r w:rsidR="007F58BD">
        <w:t>–</w:t>
      </w:r>
      <w:r w:rsidRPr="0076098E">
        <w:t xml:space="preserve">5091 </w:t>
      </w:r>
      <w:proofErr w:type="spellStart"/>
      <w:r w:rsidRPr="0076098E">
        <w:t>MHz</w:t>
      </w:r>
      <w:r w:rsidR="007F58BD">
        <w:t>.</w:t>
      </w:r>
      <w:proofErr w:type="spellEnd"/>
    </w:p>
  </w:footnote>
  <w:footnote w:id="3">
    <w:p w14:paraId="1F26F9B3" w14:textId="5DD0FE75" w:rsidR="00F16138" w:rsidRDefault="00F16138">
      <w:pPr>
        <w:pStyle w:val="FootnoteText"/>
      </w:pPr>
      <w:r>
        <w:rPr>
          <w:rStyle w:val="FootnoteReference"/>
        </w:rPr>
        <w:footnoteRef/>
      </w:r>
      <w:r>
        <w:t xml:space="preserve"> </w:t>
      </w:r>
      <w:r w:rsidR="00547FDE" w:rsidRPr="00D879FE">
        <w:t xml:space="preserve">The current version of the LIPD </w:t>
      </w:r>
      <w:r w:rsidR="00547FDE">
        <w:t>c</w:t>
      </w:r>
      <w:r w:rsidR="00547FDE" w:rsidRPr="00D879FE">
        <w:t xml:space="preserve">lass </w:t>
      </w:r>
      <w:r w:rsidR="00547FDE">
        <w:t>l</w:t>
      </w:r>
      <w:r w:rsidR="00547FDE" w:rsidRPr="00D879FE">
        <w:t xml:space="preserve">icence is available on </w:t>
      </w:r>
      <w:r w:rsidR="00547FDE" w:rsidRPr="000B301B">
        <w:t xml:space="preserve">the </w:t>
      </w:r>
      <w:hyperlink r:id="rId1" w:history="1">
        <w:r w:rsidR="00547FDE" w:rsidRPr="000B301B">
          <w:rPr>
            <w:rStyle w:val="Hyperlink"/>
          </w:rPr>
          <w:t>Federal Register of Legislation website</w:t>
        </w:r>
      </w:hyperlink>
      <w:r w:rsidR="00547FDE" w:rsidRPr="000B301B">
        <w:t>.</w:t>
      </w:r>
    </w:p>
  </w:footnote>
  <w:footnote w:id="4">
    <w:p w14:paraId="4093750C" w14:textId="6DC326D9" w:rsidR="005B1090" w:rsidRDefault="005B1090">
      <w:pPr>
        <w:pStyle w:val="FootnoteText"/>
      </w:pPr>
      <w:r>
        <w:rPr>
          <w:rStyle w:val="FootnoteReference"/>
        </w:rPr>
        <w:footnoteRef/>
      </w:r>
      <w:r>
        <w:t xml:space="preserve"> </w:t>
      </w:r>
      <w:r w:rsidR="009B3B22" w:rsidRPr="00D317AF">
        <w:t xml:space="preserve">In Australia, there are </w:t>
      </w:r>
      <w:r w:rsidR="00665526">
        <w:t>2</w:t>
      </w:r>
      <w:r w:rsidR="00665526" w:rsidRPr="00D317AF">
        <w:t xml:space="preserve"> </w:t>
      </w:r>
      <w:r w:rsidR="009B3B22" w:rsidRPr="00D317AF">
        <w:t>major types of airspace: controlled, and uncontrolled. Controlled airspace in Australia is actively monitored and managed by air traffic controllers. To enter controlled airspace, an aircraft must first gain a clearance from an air traffic controller. Uncontrolled airspace has no supervision by air traffic control</w:t>
      </w:r>
      <w:r w:rsidR="00665526">
        <w:t>,</w:t>
      </w:r>
      <w:r w:rsidR="009B3B22" w:rsidRPr="00D317AF">
        <w:t xml:space="preserve"> so no clearance is required to operate</w:t>
      </w:r>
      <w:r w:rsidR="00665526">
        <w:t xml:space="preserve"> within it</w:t>
      </w:r>
      <w:r w:rsidR="009B3B22" w:rsidRPr="00D317AF">
        <w:t>.</w:t>
      </w:r>
      <w:r w:rsidR="009B3B22" w:rsidRPr="00F87D4F">
        <w:rPr>
          <w:rFonts w:cs="Arial"/>
          <w:color w:val="242B35"/>
          <w:sz w:val="18"/>
          <w:szCs w:val="18"/>
        </w:rPr>
        <w:t> </w:t>
      </w:r>
    </w:p>
  </w:footnote>
  <w:footnote w:id="5">
    <w:p w14:paraId="44509AF2" w14:textId="05819C0B" w:rsidR="00A911CE" w:rsidRDefault="00A911CE" w:rsidP="00A911CE">
      <w:pPr>
        <w:pStyle w:val="FootnoteText"/>
      </w:pPr>
      <w:r>
        <w:rPr>
          <w:rStyle w:val="FootnoteReference"/>
        </w:rPr>
        <w:footnoteRef/>
      </w:r>
      <w:r>
        <w:t xml:space="preserve"> </w:t>
      </w:r>
      <w:r w:rsidRPr="00DA1042">
        <w:t>The latest working document towards a preliminary draft new Recommendation ITU-R M.</w:t>
      </w:r>
      <w:r w:rsidRPr="00DA1042">
        <w:t xml:space="preserve">[CNPC_CHAR_5GHz] can be found </w:t>
      </w:r>
      <w:hyperlink r:id="rId2" w:history="1">
        <w:r w:rsidRPr="00827CDE">
          <w:rPr>
            <w:rStyle w:val="Hyperlink"/>
          </w:rPr>
          <w:t>here</w:t>
        </w:r>
      </w:hyperlink>
      <w:r w:rsidR="002976D2">
        <w:t xml:space="preserve"> (ITU TIES account is required to access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7853" w14:textId="77777777" w:rsidR="00C053A1" w:rsidRPr="00A5474E" w:rsidRDefault="0021426C" w:rsidP="00A5474E">
    <w:pPr>
      <w:pStyle w:val="Header"/>
    </w:pPr>
    <w:r>
      <w:rPr>
        <w:noProof/>
      </w:rPr>
      <w:drawing>
        <wp:inline distT="0" distB="0" distL="0" distR="0" wp14:anchorId="51F51780" wp14:editId="42935EFE">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DF62"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7CB5"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562C"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E78FED2" w14:textId="77777777" w:rsidTr="003B0421">
      <w:trPr>
        <w:trHeight w:hRule="exact" w:val="988"/>
      </w:trPr>
      <w:tc>
        <w:tcPr>
          <w:tcW w:w="7678" w:type="dxa"/>
          <w:shd w:val="clear" w:color="auto" w:fill="auto"/>
        </w:tcPr>
        <w:p w14:paraId="32D98967" w14:textId="77777777" w:rsidR="00971914" w:rsidRDefault="00971914" w:rsidP="00971914">
          <w:pPr>
            <w:pStyle w:val="Header"/>
          </w:pPr>
        </w:p>
      </w:tc>
    </w:tr>
    <w:tr w:rsidR="00971914" w14:paraId="12FC4338" w14:textId="77777777" w:rsidTr="003B0421">
      <w:tc>
        <w:tcPr>
          <w:tcW w:w="7678" w:type="dxa"/>
          <w:shd w:val="clear" w:color="auto" w:fill="auto"/>
        </w:tcPr>
        <w:p w14:paraId="62D4A64A" w14:textId="77777777" w:rsidR="00971914" w:rsidRDefault="00971914" w:rsidP="00971914">
          <w:pPr>
            <w:pStyle w:val="GridTable31"/>
          </w:pPr>
          <w:r>
            <w:t xml:space="preserve">Contents </w:t>
          </w:r>
          <w:r w:rsidRPr="00915B1C">
            <w:rPr>
              <w:b w:val="0"/>
              <w:spacing w:val="0"/>
              <w:sz w:val="28"/>
              <w:szCs w:val="28"/>
            </w:rPr>
            <w:t>(Continued)</w:t>
          </w:r>
        </w:p>
      </w:tc>
    </w:tr>
    <w:tr w:rsidR="00971914" w14:paraId="39B83291" w14:textId="77777777" w:rsidTr="003B0421">
      <w:trPr>
        <w:trHeight w:val="1220"/>
      </w:trPr>
      <w:tc>
        <w:tcPr>
          <w:tcW w:w="7678" w:type="dxa"/>
          <w:shd w:val="clear" w:color="auto" w:fill="auto"/>
        </w:tcPr>
        <w:p w14:paraId="72AB891E" w14:textId="77777777" w:rsidR="00971914" w:rsidRDefault="00971914" w:rsidP="00971914"/>
      </w:tc>
    </w:tr>
  </w:tbl>
  <w:p w14:paraId="6A78C974"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7B1D1C8" w14:textId="77777777" w:rsidTr="003B0421">
      <w:trPr>
        <w:trHeight w:hRule="exact" w:val="988"/>
      </w:trPr>
      <w:tc>
        <w:tcPr>
          <w:tcW w:w="7678" w:type="dxa"/>
          <w:shd w:val="clear" w:color="auto" w:fill="auto"/>
        </w:tcPr>
        <w:p w14:paraId="2FEDFA8D" w14:textId="77777777" w:rsidR="00971914" w:rsidRDefault="00971914" w:rsidP="00971914">
          <w:pPr>
            <w:pStyle w:val="Header"/>
          </w:pPr>
        </w:p>
      </w:tc>
    </w:tr>
    <w:tr w:rsidR="00971914" w14:paraId="67176D8C" w14:textId="77777777" w:rsidTr="003B0421">
      <w:tc>
        <w:tcPr>
          <w:tcW w:w="7678" w:type="dxa"/>
          <w:shd w:val="clear" w:color="auto" w:fill="auto"/>
        </w:tcPr>
        <w:p w14:paraId="5BC9C856" w14:textId="77777777" w:rsidR="00971914" w:rsidRDefault="00971914" w:rsidP="00971914">
          <w:pPr>
            <w:pStyle w:val="GridTable31"/>
          </w:pPr>
          <w:r>
            <w:t xml:space="preserve">Contents </w:t>
          </w:r>
          <w:r w:rsidRPr="00915B1C">
            <w:rPr>
              <w:b w:val="0"/>
              <w:spacing w:val="0"/>
              <w:sz w:val="28"/>
              <w:szCs w:val="28"/>
            </w:rPr>
            <w:t>(Continued)</w:t>
          </w:r>
        </w:p>
      </w:tc>
    </w:tr>
    <w:tr w:rsidR="00971914" w14:paraId="0D932903" w14:textId="77777777" w:rsidTr="003B0421">
      <w:trPr>
        <w:trHeight w:val="1220"/>
      </w:trPr>
      <w:tc>
        <w:tcPr>
          <w:tcW w:w="7678" w:type="dxa"/>
          <w:shd w:val="clear" w:color="auto" w:fill="auto"/>
        </w:tcPr>
        <w:p w14:paraId="08D279B1" w14:textId="77777777" w:rsidR="00971914" w:rsidRDefault="00971914" w:rsidP="00971914"/>
      </w:tc>
    </w:tr>
  </w:tbl>
  <w:p w14:paraId="619903EC"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CD5D"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B435"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C1A92"/>
    <w:multiLevelType w:val="hybridMultilevel"/>
    <w:tmpl w:val="F4308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0DC178D"/>
    <w:multiLevelType w:val="hybridMultilevel"/>
    <w:tmpl w:val="64582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775FD1"/>
    <w:multiLevelType w:val="hybridMultilevel"/>
    <w:tmpl w:val="28F8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1E56E5"/>
    <w:multiLevelType w:val="hybridMultilevel"/>
    <w:tmpl w:val="D114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220A33"/>
    <w:multiLevelType w:val="hybridMultilevel"/>
    <w:tmpl w:val="EEE0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13FAB"/>
    <w:multiLevelType w:val="hybridMultilevel"/>
    <w:tmpl w:val="670E0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4727D"/>
    <w:multiLevelType w:val="hybridMultilevel"/>
    <w:tmpl w:val="E28EE348"/>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E21630"/>
    <w:multiLevelType w:val="hybridMultilevel"/>
    <w:tmpl w:val="B65EE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7"/>
  </w:num>
  <w:num w:numId="6">
    <w:abstractNumId w:val="15"/>
  </w:num>
  <w:num w:numId="7">
    <w:abstractNumId w:val="13"/>
  </w:num>
  <w:num w:numId="8">
    <w:abstractNumId w:val="14"/>
  </w:num>
  <w:num w:numId="9">
    <w:abstractNumId w:val="17"/>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8"/>
  </w:num>
  <w:num w:numId="17">
    <w:abstractNumId w:val="2"/>
    <w:lvlOverride w:ilvl="0">
      <w:startOverride w:val="1"/>
    </w:lvlOverride>
  </w:num>
  <w:num w:numId="18">
    <w:abstractNumId w:val="19"/>
  </w:num>
  <w:num w:numId="19">
    <w:abstractNumId w:val="11"/>
  </w:num>
  <w:num w:numId="20">
    <w:abstractNumId w:val="12"/>
  </w:num>
  <w:num w:numId="21">
    <w:abstractNumId w:val="6"/>
  </w:num>
  <w:num w:numId="22">
    <w:abstractNumId w:val="9"/>
  </w:num>
  <w:num w:numId="23">
    <w:abstractNumId w:val="10"/>
  </w:num>
  <w:num w:numId="24">
    <w:abstractNumId w:val="16"/>
  </w:num>
  <w:num w:numId="2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DB"/>
    <w:rsid w:val="00005C8D"/>
    <w:rsid w:val="00010667"/>
    <w:rsid w:val="000129D5"/>
    <w:rsid w:val="00012FD0"/>
    <w:rsid w:val="00015AE7"/>
    <w:rsid w:val="00016CC7"/>
    <w:rsid w:val="00016E21"/>
    <w:rsid w:val="0001719C"/>
    <w:rsid w:val="00020E37"/>
    <w:rsid w:val="0002224E"/>
    <w:rsid w:val="00023A36"/>
    <w:rsid w:val="000245E5"/>
    <w:rsid w:val="00026F91"/>
    <w:rsid w:val="00032621"/>
    <w:rsid w:val="00032B5C"/>
    <w:rsid w:val="00034BDD"/>
    <w:rsid w:val="00040270"/>
    <w:rsid w:val="0004284F"/>
    <w:rsid w:val="000441C5"/>
    <w:rsid w:val="00044815"/>
    <w:rsid w:val="00045A8B"/>
    <w:rsid w:val="0004764C"/>
    <w:rsid w:val="0005011A"/>
    <w:rsid w:val="0005045A"/>
    <w:rsid w:val="0005175B"/>
    <w:rsid w:val="00051C1E"/>
    <w:rsid w:val="0005361F"/>
    <w:rsid w:val="000539F9"/>
    <w:rsid w:val="00054C27"/>
    <w:rsid w:val="00055EC3"/>
    <w:rsid w:val="000563CE"/>
    <w:rsid w:val="0006120B"/>
    <w:rsid w:val="000659B6"/>
    <w:rsid w:val="0006686F"/>
    <w:rsid w:val="0006722A"/>
    <w:rsid w:val="000732CF"/>
    <w:rsid w:val="0007330E"/>
    <w:rsid w:val="00075B96"/>
    <w:rsid w:val="0008196A"/>
    <w:rsid w:val="000870C4"/>
    <w:rsid w:val="0008777E"/>
    <w:rsid w:val="00087B98"/>
    <w:rsid w:val="000915ED"/>
    <w:rsid w:val="0009209D"/>
    <w:rsid w:val="00092DFC"/>
    <w:rsid w:val="0009463C"/>
    <w:rsid w:val="0009683B"/>
    <w:rsid w:val="000969BD"/>
    <w:rsid w:val="000969BF"/>
    <w:rsid w:val="000A0C22"/>
    <w:rsid w:val="000A1400"/>
    <w:rsid w:val="000A3C43"/>
    <w:rsid w:val="000A4A51"/>
    <w:rsid w:val="000A5D2B"/>
    <w:rsid w:val="000B301B"/>
    <w:rsid w:val="000B4664"/>
    <w:rsid w:val="000B5DE3"/>
    <w:rsid w:val="000B6AA5"/>
    <w:rsid w:val="000C094E"/>
    <w:rsid w:val="000C0A57"/>
    <w:rsid w:val="000C230C"/>
    <w:rsid w:val="000C43E9"/>
    <w:rsid w:val="000C580D"/>
    <w:rsid w:val="000C6AB4"/>
    <w:rsid w:val="000D52FF"/>
    <w:rsid w:val="000D54D0"/>
    <w:rsid w:val="000D640F"/>
    <w:rsid w:val="000D71D9"/>
    <w:rsid w:val="000D76E0"/>
    <w:rsid w:val="000D7E8B"/>
    <w:rsid w:val="000E4449"/>
    <w:rsid w:val="000E44AD"/>
    <w:rsid w:val="000E6097"/>
    <w:rsid w:val="000E7D4A"/>
    <w:rsid w:val="000F08C8"/>
    <w:rsid w:val="00103829"/>
    <w:rsid w:val="00104822"/>
    <w:rsid w:val="00107BE6"/>
    <w:rsid w:val="00111FCE"/>
    <w:rsid w:val="001229A5"/>
    <w:rsid w:val="0012489B"/>
    <w:rsid w:val="00126C7D"/>
    <w:rsid w:val="00130017"/>
    <w:rsid w:val="00130F91"/>
    <w:rsid w:val="001349ED"/>
    <w:rsid w:val="0013722C"/>
    <w:rsid w:val="00137424"/>
    <w:rsid w:val="00140318"/>
    <w:rsid w:val="001412AA"/>
    <w:rsid w:val="00141AD9"/>
    <w:rsid w:val="00146CE6"/>
    <w:rsid w:val="00152730"/>
    <w:rsid w:val="00152903"/>
    <w:rsid w:val="00153FD5"/>
    <w:rsid w:val="00156045"/>
    <w:rsid w:val="0015614F"/>
    <w:rsid w:val="001577C2"/>
    <w:rsid w:val="001633C4"/>
    <w:rsid w:val="00164567"/>
    <w:rsid w:val="001704D5"/>
    <w:rsid w:val="00171591"/>
    <w:rsid w:val="00171BF6"/>
    <w:rsid w:val="00173981"/>
    <w:rsid w:val="00174E4E"/>
    <w:rsid w:val="0017719D"/>
    <w:rsid w:val="001801AE"/>
    <w:rsid w:val="00183FD7"/>
    <w:rsid w:val="00185CAB"/>
    <w:rsid w:val="001875B7"/>
    <w:rsid w:val="00187CB3"/>
    <w:rsid w:val="0019050A"/>
    <w:rsid w:val="001910D4"/>
    <w:rsid w:val="00194CD4"/>
    <w:rsid w:val="00197607"/>
    <w:rsid w:val="001976E3"/>
    <w:rsid w:val="00197DD4"/>
    <w:rsid w:val="001A1E5C"/>
    <w:rsid w:val="001A44EC"/>
    <w:rsid w:val="001A6366"/>
    <w:rsid w:val="001B2260"/>
    <w:rsid w:val="001B2331"/>
    <w:rsid w:val="001B58AA"/>
    <w:rsid w:val="001B7E48"/>
    <w:rsid w:val="001C17CE"/>
    <w:rsid w:val="001C1B51"/>
    <w:rsid w:val="001C36CA"/>
    <w:rsid w:val="001C37F7"/>
    <w:rsid w:val="001C44D1"/>
    <w:rsid w:val="001C6AEE"/>
    <w:rsid w:val="001C7630"/>
    <w:rsid w:val="001D0D8F"/>
    <w:rsid w:val="001D349F"/>
    <w:rsid w:val="001D6894"/>
    <w:rsid w:val="001D6D15"/>
    <w:rsid w:val="001E10A8"/>
    <w:rsid w:val="001E3B62"/>
    <w:rsid w:val="001F19AA"/>
    <w:rsid w:val="001F1ED8"/>
    <w:rsid w:val="001F50F7"/>
    <w:rsid w:val="001F7558"/>
    <w:rsid w:val="00201EE2"/>
    <w:rsid w:val="002048A9"/>
    <w:rsid w:val="00205654"/>
    <w:rsid w:val="00205B57"/>
    <w:rsid w:val="0021026F"/>
    <w:rsid w:val="002129A3"/>
    <w:rsid w:val="002129FF"/>
    <w:rsid w:val="0021426C"/>
    <w:rsid w:val="002156DD"/>
    <w:rsid w:val="002157E0"/>
    <w:rsid w:val="00216A57"/>
    <w:rsid w:val="00217448"/>
    <w:rsid w:val="00217E38"/>
    <w:rsid w:val="00222294"/>
    <w:rsid w:val="0022334F"/>
    <w:rsid w:val="00226819"/>
    <w:rsid w:val="00233101"/>
    <w:rsid w:val="0023345C"/>
    <w:rsid w:val="00233817"/>
    <w:rsid w:val="00234234"/>
    <w:rsid w:val="002367FF"/>
    <w:rsid w:val="00240CE9"/>
    <w:rsid w:val="002434BA"/>
    <w:rsid w:val="00246089"/>
    <w:rsid w:val="00246093"/>
    <w:rsid w:val="00246702"/>
    <w:rsid w:val="00247C59"/>
    <w:rsid w:val="00247F2E"/>
    <w:rsid w:val="00250ADC"/>
    <w:rsid w:val="00250B07"/>
    <w:rsid w:val="00251477"/>
    <w:rsid w:val="0025322D"/>
    <w:rsid w:val="002562D9"/>
    <w:rsid w:val="00257553"/>
    <w:rsid w:val="00260531"/>
    <w:rsid w:val="00260FB2"/>
    <w:rsid w:val="00262128"/>
    <w:rsid w:val="00270CC5"/>
    <w:rsid w:val="0027165D"/>
    <w:rsid w:val="00273CEB"/>
    <w:rsid w:val="00277B2F"/>
    <w:rsid w:val="00277E4F"/>
    <w:rsid w:val="00281C89"/>
    <w:rsid w:val="0028282F"/>
    <w:rsid w:val="00285C2B"/>
    <w:rsid w:val="002903F8"/>
    <w:rsid w:val="0029593B"/>
    <w:rsid w:val="002976D2"/>
    <w:rsid w:val="00297FC5"/>
    <w:rsid w:val="002A0417"/>
    <w:rsid w:val="002A0C28"/>
    <w:rsid w:val="002A16D8"/>
    <w:rsid w:val="002A1BC8"/>
    <w:rsid w:val="002A322F"/>
    <w:rsid w:val="002A3EF2"/>
    <w:rsid w:val="002A6A82"/>
    <w:rsid w:val="002A6B32"/>
    <w:rsid w:val="002B0DED"/>
    <w:rsid w:val="002B19A2"/>
    <w:rsid w:val="002B2B94"/>
    <w:rsid w:val="002B381A"/>
    <w:rsid w:val="002B4FCC"/>
    <w:rsid w:val="002B7408"/>
    <w:rsid w:val="002B74D4"/>
    <w:rsid w:val="002B7CFD"/>
    <w:rsid w:val="002C0530"/>
    <w:rsid w:val="002C210F"/>
    <w:rsid w:val="002D3600"/>
    <w:rsid w:val="002D673A"/>
    <w:rsid w:val="002E3055"/>
    <w:rsid w:val="002E3572"/>
    <w:rsid w:val="002E4DDC"/>
    <w:rsid w:val="002E56DC"/>
    <w:rsid w:val="002E7A36"/>
    <w:rsid w:val="002F392A"/>
    <w:rsid w:val="002F627C"/>
    <w:rsid w:val="002F77B1"/>
    <w:rsid w:val="002F7C27"/>
    <w:rsid w:val="00301266"/>
    <w:rsid w:val="00302480"/>
    <w:rsid w:val="00302758"/>
    <w:rsid w:val="00306BB7"/>
    <w:rsid w:val="00313A30"/>
    <w:rsid w:val="003165E6"/>
    <w:rsid w:val="00320FA6"/>
    <w:rsid w:val="003215B5"/>
    <w:rsid w:val="003221CF"/>
    <w:rsid w:val="003233ED"/>
    <w:rsid w:val="00324A8D"/>
    <w:rsid w:val="00324D9F"/>
    <w:rsid w:val="003253EE"/>
    <w:rsid w:val="00327948"/>
    <w:rsid w:val="0033000F"/>
    <w:rsid w:val="003318C0"/>
    <w:rsid w:val="00332011"/>
    <w:rsid w:val="00332518"/>
    <w:rsid w:val="00332925"/>
    <w:rsid w:val="00332E3F"/>
    <w:rsid w:val="003332ED"/>
    <w:rsid w:val="003339FE"/>
    <w:rsid w:val="003368DC"/>
    <w:rsid w:val="0034490B"/>
    <w:rsid w:val="00345927"/>
    <w:rsid w:val="00350584"/>
    <w:rsid w:val="00351857"/>
    <w:rsid w:val="003545E8"/>
    <w:rsid w:val="003610E1"/>
    <w:rsid w:val="00362A35"/>
    <w:rsid w:val="00364B62"/>
    <w:rsid w:val="00366D73"/>
    <w:rsid w:val="003671BE"/>
    <w:rsid w:val="00372485"/>
    <w:rsid w:val="00373200"/>
    <w:rsid w:val="00375EF5"/>
    <w:rsid w:val="00376547"/>
    <w:rsid w:val="003767A5"/>
    <w:rsid w:val="00381D15"/>
    <w:rsid w:val="00385254"/>
    <w:rsid w:val="00390D91"/>
    <w:rsid w:val="00391AC5"/>
    <w:rsid w:val="00392ABC"/>
    <w:rsid w:val="003933E8"/>
    <w:rsid w:val="00394031"/>
    <w:rsid w:val="003949A5"/>
    <w:rsid w:val="00395B7D"/>
    <w:rsid w:val="00396DC2"/>
    <w:rsid w:val="003A04DB"/>
    <w:rsid w:val="003A1AB0"/>
    <w:rsid w:val="003A5F5B"/>
    <w:rsid w:val="003A789A"/>
    <w:rsid w:val="003B12EC"/>
    <w:rsid w:val="003B1807"/>
    <w:rsid w:val="003C020A"/>
    <w:rsid w:val="003C03B8"/>
    <w:rsid w:val="003C1944"/>
    <w:rsid w:val="003C2595"/>
    <w:rsid w:val="003C5121"/>
    <w:rsid w:val="003C65DA"/>
    <w:rsid w:val="003C77E0"/>
    <w:rsid w:val="003D011E"/>
    <w:rsid w:val="003D17D7"/>
    <w:rsid w:val="003D2678"/>
    <w:rsid w:val="003D4177"/>
    <w:rsid w:val="003D71A3"/>
    <w:rsid w:val="003E2B8A"/>
    <w:rsid w:val="003E2DBC"/>
    <w:rsid w:val="003E2FF4"/>
    <w:rsid w:val="003E4A12"/>
    <w:rsid w:val="003F10EE"/>
    <w:rsid w:val="003F16F6"/>
    <w:rsid w:val="003F1AFF"/>
    <w:rsid w:val="003F33D2"/>
    <w:rsid w:val="003F4DC7"/>
    <w:rsid w:val="003F5235"/>
    <w:rsid w:val="003F615C"/>
    <w:rsid w:val="003F796D"/>
    <w:rsid w:val="004021D4"/>
    <w:rsid w:val="004027E4"/>
    <w:rsid w:val="00405F43"/>
    <w:rsid w:val="0041071D"/>
    <w:rsid w:val="00411F0B"/>
    <w:rsid w:val="004129CD"/>
    <w:rsid w:val="00414AFC"/>
    <w:rsid w:val="004151A7"/>
    <w:rsid w:val="00415310"/>
    <w:rsid w:val="00415F7D"/>
    <w:rsid w:val="00420A73"/>
    <w:rsid w:val="00421709"/>
    <w:rsid w:val="00421B92"/>
    <w:rsid w:val="00423271"/>
    <w:rsid w:val="00423763"/>
    <w:rsid w:val="0042762F"/>
    <w:rsid w:val="00427DC7"/>
    <w:rsid w:val="00431613"/>
    <w:rsid w:val="00431614"/>
    <w:rsid w:val="00431792"/>
    <w:rsid w:val="00432400"/>
    <w:rsid w:val="0043297A"/>
    <w:rsid w:val="00432EB2"/>
    <w:rsid w:val="0043714F"/>
    <w:rsid w:val="00441DA4"/>
    <w:rsid w:val="004438B5"/>
    <w:rsid w:val="00447037"/>
    <w:rsid w:val="0045124D"/>
    <w:rsid w:val="00454596"/>
    <w:rsid w:val="0045605D"/>
    <w:rsid w:val="004566E8"/>
    <w:rsid w:val="0046135B"/>
    <w:rsid w:val="00461D47"/>
    <w:rsid w:val="00461F8A"/>
    <w:rsid w:val="00462134"/>
    <w:rsid w:val="00464CCA"/>
    <w:rsid w:val="00467487"/>
    <w:rsid w:val="004718CC"/>
    <w:rsid w:val="004719D8"/>
    <w:rsid w:val="0047710A"/>
    <w:rsid w:val="00481695"/>
    <w:rsid w:val="00487DE3"/>
    <w:rsid w:val="00490FE7"/>
    <w:rsid w:val="00495A96"/>
    <w:rsid w:val="00495BB3"/>
    <w:rsid w:val="004A0E71"/>
    <w:rsid w:val="004A31BF"/>
    <w:rsid w:val="004A56BB"/>
    <w:rsid w:val="004A70D6"/>
    <w:rsid w:val="004A74B1"/>
    <w:rsid w:val="004B1751"/>
    <w:rsid w:val="004B3DF6"/>
    <w:rsid w:val="004B4B4F"/>
    <w:rsid w:val="004B519F"/>
    <w:rsid w:val="004B75F0"/>
    <w:rsid w:val="004C0253"/>
    <w:rsid w:val="004C5EDE"/>
    <w:rsid w:val="004D1C4D"/>
    <w:rsid w:val="004D2E93"/>
    <w:rsid w:val="004D56FF"/>
    <w:rsid w:val="004D67E1"/>
    <w:rsid w:val="004E39D3"/>
    <w:rsid w:val="004E508A"/>
    <w:rsid w:val="004E616D"/>
    <w:rsid w:val="004F1BDE"/>
    <w:rsid w:val="004F2CEE"/>
    <w:rsid w:val="004F556E"/>
    <w:rsid w:val="004F591C"/>
    <w:rsid w:val="004F5DBA"/>
    <w:rsid w:val="004F7F44"/>
    <w:rsid w:val="005037B4"/>
    <w:rsid w:val="005037FA"/>
    <w:rsid w:val="00504BE6"/>
    <w:rsid w:val="005079BF"/>
    <w:rsid w:val="00511358"/>
    <w:rsid w:val="00511891"/>
    <w:rsid w:val="0051269A"/>
    <w:rsid w:val="005207BD"/>
    <w:rsid w:val="005219E7"/>
    <w:rsid w:val="005256FA"/>
    <w:rsid w:val="00530A95"/>
    <w:rsid w:val="00531B9A"/>
    <w:rsid w:val="00531D15"/>
    <w:rsid w:val="00537604"/>
    <w:rsid w:val="00542006"/>
    <w:rsid w:val="00542377"/>
    <w:rsid w:val="005476EB"/>
    <w:rsid w:val="00547FDE"/>
    <w:rsid w:val="00550215"/>
    <w:rsid w:val="00551782"/>
    <w:rsid w:val="00563216"/>
    <w:rsid w:val="00563EF1"/>
    <w:rsid w:val="00566AB4"/>
    <w:rsid w:val="00572480"/>
    <w:rsid w:val="00573812"/>
    <w:rsid w:val="00575AC5"/>
    <w:rsid w:val="0057605D"/>
    <w:rsid w:val="005763B0"/>
    <w:rsid w:val="00581347"/>
    <w:rsid w:val="00581AC9"/>
    <w:rsid w:val="005831EB"/>
    <w:rsid w:val="005849F8"/>
    <w:rsid w:val="00584FAE"/>
    <w:rsid w:val="00585326"/>
    <w:rsid w:val="00587875"/>
    <w:rsid w:val="00592530"/>
    <w:rsid w:val="005938DF"/>
    <w:rsid w:val="00594E9C"/>
    <w:rsid w:val="005A099B"/>
    <w:rsid w:val="005A2D9C"/>
    <w:rsid w:val="005A3F33"/>
    <w:rsid w:val="005A55FE"/>
    <w:rsid w:val="005A6A11"/>
    <w:rsid w:val="005B1090"/>
    <w:rsid w:val="005B1B42"/>
    <w:rsid w:val="005B2B92"/>
    <w:rsid w:val="005B2F0D"/>
    <w:rsid w:val="005B4AED"/>
    <w:rsid w:val="005B5D46"/>
    <w:rsid w:val="005C083D"/>
    <w:rsid w:val="005C34EF"/>
    <w:rsid w:val="005C3E0D"/>
    <w:rsid w:val="005D097E"/>
    <w:rsid w:val="005D09E1"/>
    <w:rsid w:val="005D2502"/>
    <w:rsid w:val="005D40BB"/>
    <w:rsid w:val="005D47F3"/>
    <w:rsid w:val="005D49BF"/>
    <w:rsid w:val="005D4AA5"/>
    <w:rsid w:val="005D6A1D"/>
    <w:rsid w:val="005D6C68"/>
    <w:rsid w:val="005D6F4E"/>
    <w:rsid w:val="005D7C73"/>
    <w:rsid w:val="005E250B"/>
    <w:rsid w:val="005E37C0"/>
    <w:rsid w:val="005E3ACD"/>
    <w:rsid w:val="005E41CD"/>
    <w:rsid w:val="005E7226"/>
    <w:rsid w:val="005E7A57"/>
    <w:rsid w:val="005E7FDF"/>
    <w:rsid w:val="005F0203"/>
    <w:rsid w:val="005F24B0"/>
    <w:rsid w:val="005F50CB"/>
    <w:rsid w:val="005F536C"/>
    <w:rsid w:val="005F6C72"/>
    <w:rsid w:val="005F6EB2"/>
    <w:rsid w:val="00600FC0"/>
    <w:rsid w:val="006022DB"/>
    <w:rsid w:val="00604315"/>
    <w:rsid w:val="00604E26"/>
    <w:rsid w:val="0060523F"/>
    <w:rsid w:val="006052CF"/>
    <w:rsid w:val="00607426"/>
    <w:rsid w:val="00607B8D"/>
    <w:rsid w:val="006110AB"/>
    <w:rsid w:val="00611429"/>
    <w:rsid w:val="00611F5C"/>
    <w:rsid w:val="00616E09"/>
    <w:rsid w:val="006215E6"/>
    <w:rsid w:val="00622A3B"/>
    <w:rsid w:val="00622EEA"/>
    <w:rsid w:val="0062396C"/>
    <w:rsid w:val="00623FF9"/>
    <w:rsid w:val="0062437D"/>
    <w:rsid w:val="006265EC"/>
    <w:rsid w:val="00627D4E"/>
    <w:rsid w:val="00630147"/>
    <w:rsid w:val="00632B89"/>
    <w:rsid w:val="0063346D"/>
    <w:rsid w:val="00634478"/>
    <w:rsid w:val="006352B2"/>
    <w:rsid w:val="00640DE5"/>
    <w:rsid w:val="00644373"/>
    <w:rsid w:val="00645915"/>
    <w:rsid w:val="00646018"/>
    <w:rsid w:val="00646CC4"/>
    <w:rsid w:val="006474F3"/>
    <w:rsid w:val="006519C3"/>
    <w:rsid w:val="00651E67"/>
    <w:rsid w:val="00652B30"/>
    <w:rsid w:val="006549E6"/>
    <w:rsid w:val="00656345"/>
    <w:rsid w:val="00656DC6"/>
    <w:rsid w:val="006576A6"/>
    <w:rsid w:val="006606C7"/>
    <w:rsid w:val="00660EC6"/>
    <w:rsid w:val="00664110"/>
    <w:rsid w:val="00664D17"/>
    <w:rsid w:val="00665526"/>
    <w:rsid w:val="00666520"/>
    <w:rsid w:val="00667C5B"/>
    <w:rsid w:val="006760F3"/>
    <w:rsid w:val="0068559D"/>
    <w:rsid w:val="00691EB8"/>
    <w:rsid w:val="00692CDE"/>
    <w:rsid w:val="00693073"/>
    <w:rsid w:val="0069648D"/>
    <w:rsid w:val="00696B93"/>
    <w:rsid w:val="00697681"/>
    <w:rsid w:val="006977FF"/>
    <w:rsid w:val="006A01FA"/>
    <w:rsid w:val="006A0E9E"/>
    <w:rsid w:val="006A25C7"/>
    <w:rsid w:val="006A3D99"/>
    <w:rsid w:val="006A3ECF"/>
    <w:rsid w:val="006A4559"/>
    <w:rsid w:val="006A4AAD"/>
    <w:rsid w:val="006A4CCA"/>
    <w:rsid w:val="006A5911"/>
    <w:rsid w:val="006A5EE9"/>
    <w:rsid w:val="006A6ACC"/>
    <w:rsid w:val="006A6DA2"/>
    <w:rsid w:val="006A7AB2"/>
    <w:rsid w:val="006B0765"/>
    <w:rsid w:val="006B1A26"/>
    <w:rsid w:val="006B3714"/>
    <w:rsid w:val="006B52DE"/>
    <w:rsid w:val="006B5717"/>
    <w:rsid w:val="006B582F"/>
    <w:rsid w:val="006B5EB2"/>
    <w:rsid w:val="006C0CEB"/>
    <w:rsid w:val="006C1631"/>
    <w:rsid w:val="006C2024"/>
    <w:rsid w:val="006C3B1E"/>
    <w:rsid w:val="006C47FD"/>
    <w:rsid w:val="006C5C19"/>
    <w:rsid w:val="006C5FD4"/>
    <w:rsid w:val="006C70A0"/>
    <w:rsid w:val="006D27CB"/>
    <w:rsid w:val="006D2F08"/>
    <w:rsid w:val="006D576C"/>
    <w:rsid w:val="006D5865"/>
    <w:rsid w:val="006E4B1B"/>
    <w:rsid w:val="006E5445"/>
    <w:rsid w:val="006E7D93"/>
    <w:rsid w:val="006F23CA"/>
    <w:rsid w:val="006F4465"/>
    <w:rsid w:val="0070049D"/>
    <w:rsid w:val="0070133D"/>
    <w:rsid w:val="007029A3"/>
    <w:rsid w:val="00706E4E"/>
    <w:rsid w:val="0070791C"/>
    <w:rsid w:val="0071383C"/>
    <w:rsid w:val="007141A7"/>
    <w:rsid w:val="00715722"/>
    <w:rsid w:val="00715BAF"/>
    <w:rsid w:val="007164C9"/>
    <w:rsid w:val="0072100A"/>
    <w:rsid w:val="00721032"/>
    <w:rsid w:val="00721B55"/>
    <w:rsid w:val="00722257"/>
    <w:rsid w:val="007244AB"/>
    <w:rsid w:val="00726CE4"/>
    <w:rsid w:val="00734143"/>
    <w:rsid w:val="00737E47"/>
    <w:rsid w:val="00740EAC"/>
    <w:rsid w:val="00744956"/>
    <w:rsid w:val="00745A5C"/>
    <w:rsid w:val="0074605F"/>
    <w:rsid w:val="00747E94"/>
    <w:rsid w:val="00753F48"/>
    <w:rsid w:val="00754C83"/>
    <w:rsid w:val="0075539A"/>
    <w:rsid w:val="0075606E"/>
    <w:rsid w:val="0076098E"/>
    <w:rsid w:val="00761E5C"/>
    <w:rsid w:val="00765DF8"/>
    <w:rsid w:val="00766749"/>
    <w:rsid w:val="00767C1B"/>
    <w:rsid w:val="00770B3F"/>
    <w:rsid w:val="007714A9"/>
    <w:rsid w:val="00772185"/>
    <w:rsid w:val="00774F88"/>
    <w:rsid w:val="00774FDB"/>
    <w:rsid w:val="00777BA2"/>
    <w:rsid w:val="00777FFB"/>
    <w:rsid w:val="00781408"/>
    <w:rsid w:val="00784D49"/>
    <w:rsid w:val="00784F15"/>
    <w:rsid w:val="00784F7F"/>
    <w:rsid w:val="00786C7E"/>
    <w:rsid w:val="007878BD"/>
    <w:rsid w:val="0079043E"/>
    <w:rsid w:val="00796F25"/>
    <w:rsid w:val="00797334"/>
    <w:rsid w:val="007A044A"/>
    <w:rsid w:val="007A2E98"/>
    <w:rsid w:val="007A3BA3"/>
    <w:rsid w:val="007A4293"/>
    <w:rsid w:val="007A4450"/>
    <w:rsid w:val="007A6CC0"/>
    <w:rsid w:val="007A7FEC"/>
    <w:rsid w:val="007B1499"/>
    <w:rsid w:val="007B1BBF"/>
    <w:rsid w:val="007B2960"/>
    <w:rsid w:val="007B355D"/>
    <w:rsid w:val="007B6B68"/>
    <w:rsid w:val="007B7658"/>
    <w:rsid w:val="007B7980"/>
    <w:rsid w:val="007C0DEF"/>
    <w:rsid w:val="007C141A"/>
    <w:rsid w:val="007C5D5A"/>
    <w:rsid w:val="007C607F"/>
    <w:rsid w:val="007C67BF"/>
    <w:rsid w:val="007C6865"/>
    <w:rsid w:val="007C79DD"/>
    <w:rsid w:val="007D1A97"/>
    <w:rsid w:val="007D2CD6"/>
    <w:rsid w:val="007D3063"/>
    <w:rsid w:val="007D3CEB"/>
    <w:rsid w:val="007D5B59"/>
    <w:rsid w:val="007D6419"/>
    <w:rsid w:val="007E6C3B"/>
    <w:rsid w:val="007E7683"/>
    <w:rsid w:val="007F49FA"/>
    <w:rsid w:val="007F54C4"/>
    <w:rsid w:val="007F58BD"/>
    <w:rsid w:val="007F6D35"/>
    <w:rsid w:val="007F6E9A"/>
    <w:rsid w:val="00800CCD"/>
    <w:rsid w:val="00801FEB"/>
    <w:rsid w:val="008044D4"/>
    <w:rsid w:val="00810AB4"/>
    <w:rsid w:val="00817B56"/>
    <w:rsid w:val="008204AC"/>
    <w:rsid w:val="008208CF"/>
    <w:rsid w:val="00821A88"/>
    <w:rsid w:val="0082322E"/>
    <w:rsid w:val="00824114"/>
    <w:rsid w:val="0082495D"/>
    <w:rsid w:val="008275A3"/>
    <w:rsid w:val="00831914"/>
    <w:rsid w:val="00831AC3"/>
    <w:rsid w:val="00836FCE"/>
    <w:rsid w:val="008375E5"/>
    <w:rsid w:val="00840330"/>
    <w:rsid w:val="008408FF"/>
    <w:rsid w:val="008475E1"/>
    <w:rsid w:val="00851F3F"/>
    <w:rsid w:val="00852A57"/>
    <w:rsid w:val="00856EDC"/>
    <w:rsid w:val="008623B5"/>
    <w:rsid w:val="00864D17"/>
    <w:rsid w:val="00865E43"/>
    <w:rsid w:val="00867876"/>
    <w:rsid w:val="00870ABA"/>
    <w:rsid w:val="00870EFE"/>
    <w:rsid w:val="008710E1"/>
    <w:rsid w:val="008716E5"/>
    <w:rsid w:val="00875AA7"/>
    <w:rsid w:val="00881CA9"/>
    <w:rsid w:val="00881D3B"/>
    <w:rsid w:val="00883628"/>
    <w:rsid w:val="00883D3E"/>
    <w:rsid w:val="00885544"/>
    <w:rsid w:val="0088634E"/>
    <w:rsid w:val="00893AB8"/>
    <w:rsid w:val="008A04C8"/>
    <w:rsid w:val="008A0C42"/>
    <w:rsid w:val="008A0D75"/>
    <w:rsid w:val="008A4066"/>
    <w:rsid w:val="008A65E8"/>
    <w:rsid w:val="008A6913"/>
    <w:rsid w:val="008A72CC"/>
    <w:rsid w:val="008B70F3"/>
    <w:rsid w:val="008B71C4"/>
    <w:rsid w:val="008B76DF"/>
    <w:rsid w:val="008C10F4"/>
    <w:rsid w:val="008C2AB7"/>
    <w:rsid w:val="008C65F7"/>
    <w:rsid w:val="008D2908"/>
    <w:rsid w:val="008D4EC7"/>
    <w:rsid w:val="008E0428"/>
    <w:rsid w:val="008E05E5"/>
    <w:rsid w:val="008E35B0"/>
    <w:rsid w:val="008E4767"/>
    <w:rsid w:val="008E4829"/>
    <w:rsid w:val="008E5288"/>
    <w:rsid w:val="008E7A8C"/>
    <w:rsid w:val="008F6444"/>
    <w:rsid w:val="008F7754"/>
    <w:rsid w:val="008F7B6B"/>
    <w:rsid w:val="009002A4"/>
    <w:rsid w:val="0090203B"/>
    <w:rsid w:val="00903285"/>
    <w:rsid w:val="00904D32"/>
    <w:rsid w:val="00906F40"/>
    <w:rsid w:val="009070D3"/>
    <w:rsid w:val="0090731E"/>
    <w:rsid w:val="00915B1C"/>
    <w:rsid w:val="00917341"/>
    <w:rsid w:val="009174F3"/>
    <w:rsid w:val="0091797D"/>
    <w:rsid w:val="00917E7B"/>
    <w:rsid w:val="00921AC8"/>
    <w:rsid w:val="00922DA8"/>
    <w:rsid w:val="00923CBA"/>
    <w:rsid w:val="00925552"/>
    <w:rsid w:val="0092599A"/>
    <w:rsid w:val="00926703"/>
    <w:rsid w:val="00926824"/>
    <w:rsid w:val="00927691"/>
    <w:rsid w:val="00927A5F"/>
    <w:rsid w:val="0093033C"/>
    <w:rsid w:val="00930510"/>
    <w:rsid w:val="00933E52"/>
    <w:rsid w:val="00934CBD"/>
    <w:rsid w:val="00935B63"/>
    <w:rsid w:val="00936E95"/>
    <w:rsid w:val="00937659"/>
    <w:rsid w:val="009406BB"/>
    <w:rsid w:val="0094078F"/>
    <w:rsid w:val="00940FA3"/>
    <w:rsid w:val="009416FA"/>
    <w:rsid w:val="00941FB0"/>
    <w:rsid w:val="009426D4"/>
    <w:rsid w:val="00942AD5"/>
    <w:rsid w:val="00943A0D"/>
    <w:rsid w:val="0094468D"/>
    <w:rsid w:val="00944F09"/>
    <w:rsid w:val="00947F25"/>
    <w:rsid w:val="00950159"/>
    <w:rsid w:val="0095109F"/>
    <w:rsid w:val="00952521"/>
    <w:rsid w:val="0095490B"/>
    <w:rsid w:val="009558F3"/>
    <w:rsid w:val="00960A33"/>
    <w:rsid w:val="009673CC"/>
    <w:rsid w:val="00971914"/>
    <w:rsid w:val="0097359B"/>
    <w:rsid w:val="00974187"/>
    <w:rsid w:val="00974363"/>
    <w:rsid w:val="00976AC4"/>
    <w:rsid w:val="00981898"/>
    <w:rsid w:val="009821EA"/>
    <w:rsid w:val="0099577C"/>
    <w:rsid w:val="00997D43"/>
    <w:rsid w:val="009A021C"/>
    <w:rsid w:val="009A0A03"/>
    <w:rsid w:val="009A25CC"/>
    <w:rsid w:val="009A4892"/>
    <w:rsid w:val="009A520E"/>
    <w:rsid w:val="009A7601"/>
    <w:rsid w:val="009B24A5"/>
    <w:rsid w:val="009B2601"/>
    <w:rsid w:val="009B3B22"/>
    <w:rsid w:val="009B4E9E"/>
    <w:rsid w:val="009C1690"/>
    <w:rsid w:val="009C6881"/>
    <w:rsid w:val="009C7759"/>
    <w:rsid w:val="009D043D"/>
    <w:rsid w:val="009D07C8"/>
    <w:rsid w:val="009D4C85"/>
    <w:rsid w:val="009D6C71"/>
    <w:rsid w:val="009E0631"/>
    <w:rsid w:val="009E0F4C"/>
    <w:rsid w:val="009E16D0"/>
    <w:rsid w:val="009E1A78"/>
    <w:rsid w:val="009E2051"/>
    <w:rsid w:val="009E38FD"/>
    <w:rsid w:val="009E5691"/>
    <w:rsid w:val="009E71C4"/>
    <w:rsid w:val="009E74E8"/>
    <w:rsid w:val="009F0AA6"/>
    <w:rsid w:val="009F13D6"/>
    <w:rsid w:val="009F4C6B"/>
    <w:rsid w:val="009F78A8"/>
    <w:rsid w:val="00A017E0"/>
    <w:rsid w:val="00A02474"/>
    <w:rsid w:val="00A02AD6"/>
    <w:rsid w:val="00A07096"/>
    <w:rsid w:val="00A07318"/>
    <w:rsid w:val="00A11370"/>
    <w:rsid w:val="00A13825"/>
    <w:rsid w:val="00A15122"/>
    <w:rsid w:val="00A15DF7"/>
    <w:rsid w:val="00A202DB"/>
    <w:rsid w:val="00A224CE"/>
    <w:rsid w:val="00A22522"/>
    <w:rsid w:val="00A23659"/>
    <w:rsid w:val="00A24AFD"/>
    <w:rsid w:val="00A24F5C"/>
    <w:rsid w:val="00A320D5"/>
    <w:rsid w:val="00A32F96"/>
    <w:rsid w:val="00A34A99"/>
    <w:rsid w:val="00A3522A"/>
    <w:rsid w:val="00A40871"/>
    <w:rsid w:val="00A412AB"/>
    <w:rsid w:val="00A4170E"/>
    <w:rsid w:val="00A4193E"/>
    <w:rsid w:val="00A440E0"/>
    <w:rsid w:val="00A442EF"/>
    <w:rsid w:val="00A460D1"/>
    <w:rsid w:val="00A51D1A"/>
    <w:rsid w:val="00A538BF"/>
    <w:rsid w:val="00A5418D"/>
    <w:rsid w:val="00A5474E"/>
    <w:rsid w:val="00A569EA"/>
    <w:rsid w:val="00A56EE9"/>
    <w:rsid w:val="00A64234"/>
    <w:rsid w:val="00A70ADF"/>
    <w:rsid w:val="00A71466"/>
    <w:rsid w:val="00A71C3E"/>
    <w:rsid w:val="00A74B5E"/>
    <w:rsid w:val="00A81BED"/>
    <w:rsid w:val="00A81EC4"/>
    <w:rsid w:val="00A824E8"/>
    <w:rsid w:val="00A82661"/>
    <w:rsid w:val="00A86D82"/>
    <w:rsid w:val="00A911CE"/>
    <w:rsid w:val="00A91D75"/>
    <w:rsid w:val="00A953A5"/>
    <w:rsid w:val="00A967FD"/>
    <w:rsid w:val="00AA0CD1"/>
    <w:rsid w:val="00AA160F"/>
    <w:rsid w:val="00AA2DE5"/>
    <w:rsid w:val="00AA48DB"/>
    <w:rsid w:val="00AB156C"/>
    <w:rsid w:val="00AB4D78"/>
    <w:rsid w:val="00AB57B6"/>
    <w:rsid w:val="00AB6814"/>
    <w:rsid w:val="00AB6C94"/>
    <w:rsid w:val="00AC04BA"/>
    <w:rsid w:val="00AC0E39"/>
    <w:rsid w:val="00AD3082"/>
    <w:rsid w:val="00AD32B4"/>
    <w:rsid w:val="00AD4AD0"/>
    <w:rsid w:val="00AD5436"/>
    <w:rsid w:val="00AD60CD"/>
    <w:rsid w:val="00AD6C8C"/>
    <w:rsid w:val="00AE091D"/>
    <w:rsid w:val="00AE0BE0"/>
    <w:rsid w:val="00AE3B60"/>
    <w:rsid w:val="00AE53A1"/>
    <w:rsid w:val="00AE69DF"/>
    <w:rsid w:val="00AF2484"/>
    <w:rsid w:val="00AF40E4"/>
    <w:rsid w:val="00AF63E7"/>
    <w:rsid w:val="00AF6E17"/>
    <w:rsid w:val="00AF7435"/>
    <w:rsid w:val="00B0165D"/>
    <w:rsid w:val="00B01B60"/>
    <w:rsid w:val="00B031F3"/>
    <w:rsid w:val="00B052A4"/>
    <w:rsid w:val="00B10EA1"/>
    <w:rsid w:val="00B11A78"/>
    <w:rsid w:val="00B125DE"/>
    <w:rsid w:val="00B12FB4"/>
    <w:rsid w:val="00B13FDD"/>
    <w:rsid w:val="00B17356"/>
    <w:rsid w:val="00B17B49"/>
    <w:rsid w:val="00B20C17"/>
    <w:rsid w:val="00B2252F"/>
    <w:rsid w:val="00B22E34"/>
    <w:rsid w:val="00B22EB2"/>
    <w:rsid w:val="00B27442"/>
    <w:rsid w:val="00B27745"/>
    <w:rsid w:val="00B31167"/>
    <w:rsid w:val="00B3220A"/>
    <w:rsid w:val="00B329D8"/>
    <w:rsid w:val="00B32BB9"/>
    <w:rsid w:val="00B33AE1"/>
    <w:rsid w:val="00B3562A"/>
    <w:rsid w:val="00B363B8"/>
    <w:rsid w:val="00B37C38"/>
    <w:rsid w:val="00B40536"/>
    <w:rsid w:val="00B40728"/>
    <w:rsid w:val="00B4288C"/>
    <w:rsid w:val="00B43262"/>
    <w:rsid w:val="00B44100"/>
    <w:rsid w:val="00B446A6"/>
    <w:rsid w:val="00B465D2"/>
    <w:rsid w:val="00B46CBA"/>
    <w:rsid w:val="00B46F94"/>
    <w:rsid w:val="00B479D8"/>
    <w:rsid w:val="00B5059C"/>
    <w:rsid w:val="00B53789"/>
    <w:rsid w:val="00B6003C"/>
    <w:rsid w:val="00B61F03"/>
    <w:rsid w:val="00B626E4"/>
    <w:rsid w:val="00B65D30"/>
    <w:rsid w:val="00B67A7E"/>
    <w:rsid w:val="00B72BBB"/>
    <w:rsid w:val="00B72F4A"/>
    <w:rsid w:val="00B815D3"/>
    <w:rsid w:val="00B83C27"/>
    <w:rsid w:val="00B84BC3"/>
    <w:rsid w:val="00B84BDD"/>
    <w:rsid w:val="00B86A43"/>
    <w:rsid w:val="00B90A85"/>
    <w:rsid w:val="00B92812"/>
    <w:rsid w:val="00B93180"/>
    <w:rsid w:val="00BA36A4"/>
    <w:rsid w:val="00BB33B9"/>
    <w:rsid w:val="00BB3461"/>
    <w:rsid w:val="00BB45A1"/>
    <w:rsid w:val="00BB5D92"/>
    <w:rsid w:val="00BB6335"/>
    <w:rsid w:val="00BB7686"/>
    <w:rsid w:val="00BB7802"/>
    <w:rsid w:val="00BC1724"/>
    <w:rsid w:val="00BC23F9"/>
    <w:rsid w:val="00BC3421"/>
    <w:rsid w:val="00BC3923"/>
    <w:rsid w:val="00BC732C"/>
    <w:rsid w:val="00BD4421"/>
    <w:rsid w:val="00BD48D9"/>
    <w:rsid w:val="00BD4DC8"/>
    <w:rsid w:val="00BE2580"/>
    <w:rsid w:val="00BE266D"/>
    <w:rsid w:val="00BE3938"/>
    <w:rsid w:val="00BE4C11"/>
    <w:rsid w:val="00BE71C0"/>
    <w:rsid w:val="00BF13EF"/>
    <w:rsid w:val="00BF610C"/>
    <w:rsid w:val="00C0060B"/>
    <w:rsid w:val="00C01826"/>
    <w:rsid w:val="00C01A6C"/>
    <w:rsid w:val="00C0277D"/>
    <w:rsid w:val="00C02F26"/>
    <w:rsid w:val="00C053A1"/>
    <w:rsid w:val="00C134A9"/>
    <w:rsid w:val="00C13FCA"/>
    <w:rsid w:val="00C15D95"/>
    <w:rsid w:val="00C16198"/>
    <w:rsid w:val="00C2083D"/>
    <w:rsid w:val="00C24A53"/>
    <w:rsid w:val="00C34A05"/>
    <w:rsid w:val="00C35CCE"/>
    <w:rsid w:val="00C4032F"/>
    <w:rsid w:val="00C41DBB"/>
    <w:rsid w:val="00C41F21"/>
    <w:rsid w:val="00C44047"/>
    <w:rsid w:val="00C45155"/>
    <w:rsid w:val="00C45275"/>
    <w:rsid w:val="00C51E50"/>
    <w:rsid w:val="00C52177"/>
    <w:rsid w:val="00C5498F"/>
    <w:rsid w:val="00C55235"/>
    <w:rsid w:val="00C56E48"/>
    <w:rsid w:val="00C64CD0"/>
    <w:rsid w:val="00C65F61"/>
    <w:rsid w:val="00C6684F"/>
    <w:rsid w:val="00C673B7"/>
    <w:rsid w:val="00C70CBB"/>
    <w:rsid w:val="00C70E70"/>
    <w:rsid w:val="00C73947"/>
    <w:rsid w:val="00C75F8D"/>
    <w:rsid w:val="00C77380"/>
    <w:rsid w:val="00C815C6"/>
    <w:rsid w:val="00C85847"/>
    <w:rsid w:val="00C85D9D"/>
    <w:rsid w:val="00C87E8A"/>
    <w:rsid w:val="00C913D6"/>
    <w:rsid w:val="00C922C7"/>
    <w:rsid w:val="00C9706C"/>
    <w:rsid w:val="00C975B4"/>
    <w:rsid w:val="00C97736"/>
    <w:rsid w:val="00CA345A"/>
    <w:rsid w:val="00CA38B1"/>
    <w:rsid w:val="00CA3CED"/>
    <w:rsid w:val="00CB1AD9"/>
    <w:rsid w:val="00CB1E82"/>
    <w:rsid w:val="00CB4BA8"/>
    <w:rsid w:val="00CB52D7"/>
    <w:rsid w:val="00CC0714"/>
    <w:rsid w:val="00CC6732"/>
    <w:rsid w:val="00CD5C53"/>
    <w:rsid w:val="00CD6547"/>
    <w:rsid w:val="00CD6ACF"/>
    <w:rsid w:val="00CE21CD"/>
    <w:rsid w:val="00CE3C96"/>
    <w:rsid w:val="00CE51A8"/>
    <w:rsid w:val="00CE53A1"/>
    <w:rsid w:val="00CF0BFE"/>
    <w:rsid w:val="00CF369B"/>
    <w:rsid w:val="00D00E28"/>
    <w:rsid w:val="00D0269E"/>
    <w:rsid w:val="00D0510B"/>
    <w:rsid w:val="00D05D6C"/>
    <w:rsid w:val="00D06C86"/>
    <w:rsid w:val="00D15308"/>
    <w:rsid w:val="00D15810"/>
    <w:rsid w:val="00D16D4E"/>
    <w:rsid w:val="00D16FE3"/>
    <w:rsid w:val="00D23BB8"/>
    <w:rsid w:val="00D26785"/>
    <w:rsid w:val="00D27358"/>
    <w:rsid w:val="00D27F41"/>
    <w:rsid w:val="00D317AF"/>
    <w:rsid w:val="00D337E9"/>
    <w:rsid w:val="00D35A5D"/>
    <w:rsid w:val="00D36441"/>
    <w:rsid w:val="00D4064E"/>
    <w:rsid w:val="00D43B47"/>
    <w:rsid w:val="00D44E9B"/>
    <w:rsid w:val="00D47AEB"/>
    <w:rsid w:val="00D50DB9"/>
    <w:rsid w:val="00D51302"/>
    <w:rsid w:val="00D52C43"/>
    <w:rsid w:val="00D55EC5"/>
    <w:rsid w:val="00D61243"/>
    <w:rsid w:val="00D61BD6"/>
    <w:rsid w:val="00D64E80"/>
    <w:rsid w:val="00D6507F"/>
    <w:rsid w:val="00D730BC"/>
    <w:rsid w:val="00D73912"/>
    <w:rsid w:val="00D8110B"/>
    <w:rsid w:val="00D85226"/>
    <w:rsid w:val="00D87B94"/>
    <w:rsid w:val="00D911D1"/>
    <w:rsid w:val="00D92D49"/>
    <w:rsid w:val="00D92EC1"/>
    <w:rsid w:val="00D92F66"/>
    <w:rsid w:val="00D952D9"/>
    <w:rsid w:val="00D96DEA"/>
    <w:rsid w:val="00DA4203"/>
    <w:rsid w:val="00DA4E41"/>
    <w:rsid w:val="00DB117A"/>
    <w:rsid w:val="00DB48F8"/>
    <w:rsid w:val="00DB5173"/>
    <w:rsid w:val="00DB7873"/>
    <w:rsid w:val="00DC187B"/>
    <w:rsid w:val="00DC1E19"/>
    <w:rsid w:val="00DC7663"/>
    <w:rsid w:val="00DD0718"/>
    <w:rsid w:val="00DD1A43"/>
    <w:rsid w:val="00DD2AD9"/>
    <w:rsid w:val="00DD6579"/>
    <w:rsid w:val="00DD73C2"/>
    <w:rsid w:val="00DE01E9"/>
    <w:rsid w:val="00DE319B"/>
    <w:rsid w:val="00DE37E8"/>
    <w:rsid w:val="00DE601E"/>
    <w:rsid w:val="00DF34FE"/>
    <w:rsid w:val="00DF56AA"/>
    <w:rsid w:val="00DF56AF"/>
    <w:rsid w:val="00DF78E7"/>
    <w:rsid w:val="00E110E0"/>
    <w:rsid w:val="00E12DEF"/>
    <w:rsid w:val="00E15371"/>
    <w:rsid w:val="00E21056"/>
    <w:rsid w:val="00E23366"/>
    <w:rsid w:val="00E24104"/>
    <w:rsid w:val="00E24488"/>
    <w:rsid w:val="00E302D0"/>
    <w:rsid w:val="00E3070D"/>
    <w:rsid w:val="00E34EC8"/>
    <w:rsid w:val="00E35707"/>
    <w:rsid w:val="00E36AA1"/>
    <w:rsid w:val="00E418DA"/>
    <w:rsid w:val="00E41ECB"/>
    <w:rsid w:val="00E42676"/>
    <w:rsid w:val="00E455B4"/>
    <w:rsid w:val="00E4760F"/>
    <w:rsid w:val="00E54FDB"/>
    <w:rsid w:val="00E5617D"/>
    <w:rsid w:val="00E563D7"/>
    <w:rsid w:val="00E5704C"/>
    <w:rsid w:val="00E6474B"/>
    <w:rsid w:val="00E663F4"/>
    <w:rsid w:val="00E666F2"/>
    <w:rsid w:val="00E66845"/>
    <w:rsid w:val="00E66DD4"/>
    <w:rsid w:val="00E714C6"/>
    <w:rsid w:val="00E71872"/>
    <w:rsid w:val="00E71AC8"/>
    <w:rsid w:val="00E748CC"/>
    <w:rsid w:val="00E74E62"/>
    <w:rsid w:val="00E74F15"/>
    <w:rsid w:val="00E75415"/>
    <w:rsid w:val="00E775B1"/>
    <w:rsid w:val="00E810A7"/>
    <w:rsid w:val="00E8152A"/>
    <w:rsid w:val="00E823E9"/>
    <w:rsid w:val="00E87394"/>
    <w:rsid w:val="00E90010"/>
    <w:rsid w:val="00E93629"/>
    <w:rsid w:val="00E938DD"/>
    <w:rsid w:val="00E93B5C"/>
    <w:rsid w:val="00E94CEC"/>
    <w:rsid w:val="00E9545B"/>
    <w:rsid w:val="00EA04EF"/>
    <w:rsid w:val="00EA0969"/>
    <w:rsid w:val="00EA46CA"/>
    <w:rsid w:val="00EA6C79"/>
    <w:rsid w:val="00EA6F19"/>
    <w:rsid w:val="00EB31EB"/>
    <w:rsid w:val="00EB7090"/>
    <w:rsid w:val="00EC034E"/>
    <w:rsid w:val="00EC1BBE"/>
    <w:rsid w:val="00EC2B68"/>
    <w:rsid w:val="00EC3AEF"/>
    <w:rsid w:val="00EC5BB9"/>
    <w:rsid w:val="00EC5CD7"/>
    <w:rsid w:val="00EC60F2"/>
    <w:rsid w:val="00EC6937"/>
    <w:rsid w:val="00ED5D54"/>
    <w:rsid w:val="00ED6E23"/>
    <w:rsid w:val="00ED7476"/>
    <w:rsid w:val="00EE289E"/>
    <w:rsid w:val="00EE5FB3"/>
    <w:rsid w:val="00EE788B"/>
    <w:rsid w:val="00EE7F79"/>
    <w:rsid w:val="00EF6EDE"/>
    <w:rsid w:val="00EF715A"/>
    <w:rsid w:val="00F00934"/>
    <w:rsid w:val="00F0177A"/>
    <w:rsid w:val="00F03871"/>
    <w:rsid w:val="00F06E14"/>
    <w:rsid w:val="00F10556"/>
    <w:rsid w:val="00F118F1"/>
    <w:rsid w:val="00F131ED"/>
    <w:rsid w:val="00F15799"/>
    <w:rsid w:val="00F16138"/>
    <w:rsid w:val="00F173C8"/>
    <w:rsid w:val="00F179D4"/>
    <w:rsid w:val="00F2126E"/>
    <w:rsid w:val="00F22A23"/>
    <w:rsid w:val="00F23843"/>
    <w:rsid w:val="00F32CA9"/>
    <w:rsid w:val="00F33C56"/>
    <w:rsid w:val="00F347C7"/>
    <w:rsid w:val="00F34848"/>
    <w:rsid w:val="00F361D7"/>
    <w:rsid w:val="00F408A1"/>
    <w:rsid w:val="00F42D46"/>
    <w:rsid w:val="00F4496C"/>
    <w:rsid w:val="00F44F3A"/>
    <w:rsid w:val="00F4502C"/>
    <w:rsid w:val="00F51F10"/>
    <w:rsid w:val="00F529A5"/>
    <w:rsid w:val="00F5310D"/>
    <w:rsid w:val="00F54A78"/>
    <w:rsid w:val="00F60F00"/>
    <w:rsid w:val="00F614C0"/>
    <w:rsid w:val="00F61699"/>
    <w:rsid w:val="00F744DB"/>
    <w:rsid w:val="00F748E0"/>
    <w:rsid w:val="00F83848"/>
    <w:rsid w:val="00F86627"/>
    <w:rsid w:val="00F9310C"/>
    <w:rsid w:val="00F975E9"/>
    <w:rsid w:val="00FA1B7D"/>
    <w:rsid w:val="00FA5948"/>
    <w:rsid w:val="00FA6C65"/>
    <w:rsid w:val="00FC07B9"/>
    <w:rsid w:val="00FC2F20"/>
    <w:rsid w:val="00FC4E21"/>
    <w:rsid w:val="00FC5F6D"/>
    <w:rsid w:val="00FD0107"/>
    <w:rsid w:val="00FD0E5B"/>
    <w:rsid w:val="00FD2278"/>
    <w:rsid w:val="00FD2C2F"/>
    <w:rsid w:val="00FD3B31"/>
    <w:rsid w:val="00FE1823"/>
    <w:rsid w:val="00FE487A"/>
    <w:rsid w:val="00FF0569"/>
    <w:rsid w:val="00FF1B3A"/>
    <w:rsid w:val="00FF206E"/>
    <w:rsid w:val="00FF3C69"/>
    <w:rsid w:val="00FF3D71"/>
    <w:rsid w:val="00FF4AC8"/>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A70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ACMABodyText">
    <w:name w:val="ACMA Body Text"/>
    <w:rsid w:val="0005175B"/>
    <w:pPr>
      <w:suppressAutoHyphens/>
      <w:spacing w:before="80" w:after="120" w:line="280" w:lineRule="atLeast"/>
    </w:pPr>
    <w:rPr>
      <w:snapToGrid w:val="0"/>
      <w:szCs w:val="20"/>
      <w:lang w:eastAsia="en-US"/>
    </w:rPr>
  </w:style>
  <w:style w:type="table" w:customStyle="1" w:styleId="GridTable5Dark-Accent31">
    <w:name w:val="Grid Table 5 Dark - Accent 31"/>
    <w:basedOn w:val="TableNormal"/>
    <w:next w:val="GridTable5Dark-Accent3"/>
    <w:uiPriority w:val="50"/>
    <w:rsid w:val="008275A3"/>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3">
    <w:name w:val="Grid Table 5 Dark Accent 3"/>
    <w:basedOn w:val="TableNormal"/>
    <w:uiPriority w:val="50"/>
    <w:rsid w:val="008275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ACMABulletLevel1">
    <w:name w:val="ACMA Bullet Level 1"/>
    <w:rsid w:val="00BC3923"/>
    <w:pPr>
      <w:spacing w:after="12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consultations/2022-05/new-interim-arrangements-remotely-piloted-aircraft-systems-5055-5065-mhz-band-consultation-172022"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1-04/new-arrangements-remotely-piloted-aircraft-systems-consultation-11202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1-04/new-arrangements-remotely-piloted-aircraft-systems-consultation-112021" TargetMode="Externa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2-05/new-interim-arrangements-remotely-piloted-aircraft-systems-5055-5065-mhz-band-consultation-172022" TargetMode="External"/><Relationship Id="rId30" Type="http://schemas.openxmlformats.org/officeDocument/2006/relationships/footer" Target="footer7.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dms_ties/itu-r/md/19/wp5b/c/R19-WP5B-C-0649!N18!MSW-E.docx" TargetMode="External"/><Relationship Id="rId1" Type="http://schemas.openxmlformats.org/officeDocument/2006/relationships/hyperlink" Target="https://www.legislation.gov.au/Details/F2022C002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2289</Words>
  <Characters>12880</Characters>
  <Application>Microsoft Office Word</Application>
  <DocSecurity>0</DocSecurity>
  <Lines>378</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2022-08-24T03:01:00Z</dcterms:created>
  <dcterms:modified xsi:type="dcterms:W3CDTF">2022-08-24T03:01:00Z</dcterms:modified>
  <cp:category/>
</cp:coreProperties>
</file>