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48FA8" w14:textId="173A18B8" w:rsidR="00F06E14" w:rsidRPr="00A51D1A" w:rsidRDefault="00A6173D" w:rsidP="00A51D1A">
      <w:pPr>
        <w:pStyle w:val="ACMAReportTitle"/>
      </w:pPr>
      <w:r>
        <w:t>B</w:t>
      </w:r>
      <w:r w:rsidR="00232AAB" w:rsidRPr="00232AAB">
        <w:t>usiness operating procedure</w:t>
      </w:r>
    </w:p>
    <w:p w14:paraId="3708118C" w14:textId="0140D4A5" w:rsidR="00F06E14" w:rsidRDefault="001654DF" w:rsidP="00F06E14">
      <w:pPr>
        <w:pStyle w:val="ACMAReportSubTitle"/>
      </w:pPr>
      <w:r w:rsidRPr="001654DF">
        <w:t xml:space="preserve">Submission and processing of applications for </w:t>
      </w:r>
      <w:bookmarkStart w:id="0" w:name="_Hlk23775739"/>
      <w:r w:rsidRPr="001654DF">
        <w:t>earth</w:t>
      </w:r>
      <w:r w:rsidR="00E044AE">
        <w:t>,</w:t>
      </w:r>
      <w:r w:rsidRPr="001654DF">
        <w:t xml:space="preserve"> earth receive apparatus licences</w:t>
      </w:r>
      <w:r w:rsidR="00E044AE">
        <w:t xml:space="preserve"> and device registrations under area-wide apparatus licences for</w:t>
      </w:r>
      <w:r w:rsidRPr="001654DF">
        <w:t xml:space="preserve"> </w:t>
      </w:r>
      <w:bookmarkEnd w:id="0"/>
      <w:r w:rsidRPr="001654DF">
        <w:t>fixed earth stations</w:t>
      </w:r>
    </w:p>
    <w:p w14:paraId="4B9608D1" w14:textId="4CF498F7" w:rsidR="00F06E14" w:rsidRDefault="004436B9" w:rsidP="00D47AEB">
      <w:pPr>
        <w:pStyle w:val="ACMAReportDate"/>
        <w:spacing w:after="720"/>
      </w:pPr>
      <w:r>
        <w:t xml:space="preserve">august </w:t>
      </w:r>
      <w:r w:rsidR="007A214A">
        <w:t>2022</w:t>
      </w:r>
    </w:p>
    <w:p w14:paraId="55DD156A" w14:textId="77777777" w:rsidR="00C97736" w:rsidRPr="000D76E0" w:rsidRDefault="00C97736" w:rsidP="0041071D">
      <w:pPr>
        <w:rPr>
          <w:rFonts w:cs="Arial"/>
        </w:rPr>
      </w:pPr>
    </w:p>
    <w:p w14:paraId="1D8B5508" w14:textId="77777777" w:rsidR="00C97736" w:rsidRPr="000D76E0" w:rsidRDefault="00C97736" w:rsidP="0041071D">
      <w:pPr>
        <w:rPr>
          <w:rFonts w:cs="Arial"/>
        </w:rPr>
        <w:sectPr w:rsidR="00C97736" w:rsidRPr="000D76E0" w:rsidSect="004F556E">
          <w:headerReference w:type="default" r:id="rId11"/>
          <w:footerReference w:type="default" r:id="rId12"/>
          <w:headerReference w:type="first" r:id="rId13"/>
          <w:pgSz w:w="11906" w:h="16838" w:code="9"/>
          <w:pgMar w:top="3924" w:right="1797" w:bottom="1440" w:left="1134" w:header="709" w:footer="454" w:gutter="0"/>
          <w:cols w:space="708"/>
          <w:docGrid w:linePitch="360"/>
        </w:sectPr>
      </w:pPr>
    </w:p>
    <w:p w14:paraId="0549DF5D" w14:textId="77777777" w:rsidR="0005011A" w:rsidRPr="00F44F3A" w:rsidRDefault="0005011A" w:rsidP="00FC07B9">
      <w:pPr>
        <w:pStyle w:val="ACMACorporateAddressHeader"/>
      </w:pPr>
      <w:r w:rsidRPr="00F44F3A">
        <w:lastRenderedPageBreak/>
        <w:t>Canberra</w:t>
      </w:r>
    </w:p>
    <w:p w14:paraId="7E0AA2E3"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7917CFD4" w14:textId="77777777" w:rsidR="0005011A" w:rsidRPr="00FC07B9" w:rsidRDefault="0005011A" w:rsidP="00FC07B9">
      <w:pPr>
        <w:pStyle w:val="ACMACorporateAddresses"/>
      </w:pPr>
      <w:r w:rsidRPr="00FC07B9">
        <w:t>PO Box 78</w:t>
      </w:r>
      <w:r w:rsidRPr="00FC07B9">
        <w:br/>
        <w:t>Belconnen ACT 2616</w:t>
      </w:r>
    </w:p>
    <w:p w14:paraId="218CF17A"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371899BB" w14:textId="77777777" w:rsidR="0005011A" w:rsidRPr="00F44F3A" w:rsidRDefault="0005011A" w:rsidP="00FC07B9">
      <w:pPr>
        <w:pStyle w:val="ACMACorporateAddressHeader"/>
      </w:pPr>
      <w:r w:rsidRPr="00F44F3A">
        <w:t>Melbourne</w:t>
      </w:r>
    </w:p>
    <w:p w14:paraId="45CE6E8E"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1B740C57"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4E0A1569"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73E432A3" w14:textId="77777777" w:rsidR="0005011A" w:rsidRPr="00F44F3A" w:rsidRDefault="0005011A" w:rsidP="00FC07B9">
      <w:pPr>
        <w:pStyle w:val="ACMACorporateAddressHeader"/>
      </w:pPr>
      <w:r w:rsidRPr="00F44F3A">
        <w:t>Sydney</w:t>
      </w:r>
    </w:p>
    <w:p w14:paraId="14777AB9"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46ABC713"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470102C3" w14:textId="77777777" w:rsidR="0005011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7C4E8153" w14:textId="77777777" w:rsidR="004840D9" w:rsidRDefault="004840D9" w:rsidP="00FC07B9">
      <w:pPr>
        <w:pStyle w:val="ACMACorporateAddresses"/>
        <w:sectPr w:rsidR="004840D9" w:rsidSect="004B06F4">
          <w:headerReference w:type="even" r:id="rId14"/>
          <w:headerReference w:type="default" r:id="rId15"/>
          <w:footerReference w:type="even" r:id="rId16"/>
          <w:footerReference w:type="default" r:id="rId17"/>
          <w:pgSz w:w="11906" w:h="16838" w:code="9"/>
          <w:pgMar w:top="2836" w:right="1797" w:bottom="697" w:left="1134" w:header="709" w:footer="119" w:gutter="0"/>
          <w:cols w:space="708"/>
          <w:docGrid w:linePitch="360"/>
        </w:sectPr>
      </w:pPr>
    </w:p>
    <w:p w14:paraId="060795EE" w14:textId="77777777" w:rsidR="00140318" w:rsidRPr="006D46E5" w:rsidRDefault="00140318" w:rsidP="00232AAB">
      <w:pPr>
        <w:pStyle w:val="ACMACopyrightHeader"/>
        <w:spacing w:before="840"/>
      </w:pPr>
      <w:r w:rsidRPr="00140318">
        <w:t>Copyright notice</w:t>
      </w:r>
    </w:p>
    <w:p w14:paraId="6C0F74BE" w14:textId="77777777" w:rsidR="00140318" w:rsidRPr="006D46E5" w:rsidRDefault="00623FF9" w:rsidP="00623FF9">
      <w:pPr>
        <w:pStyle w:val="ACMACClogo"/>
      </w:pPr>
      <w:r w:rsidRPr="00623FF9">
        <w:rPr>
          <w:noProof/>
        </w:rPr>
        <w:drawing>
          <wp:inline distT="0" distB="0" distL="0" distR="0" wp14:anchorId="2BDDB82A" wp14:editId="73EEF766">
            <wp:extent cx="838200" cy="295275"/>
            <wp:effectExtent l="0" t="0" r="0" b="0"/>
            <wp:docPr id="1" name="Picture 1" title="Creative Commons log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8"/>
                    </pic:cNvPr>
                    <pic:cNvPicPr>
                      <a:picLocks noChangeAspect="1" noChangeArrowheads="1"/>
                    </pic:cNvPicPr>
                  </pic:nvPicPr>
                  <pic:blipFill>
                    <a:blip r:embed="rId19" cstate="print"/>
                    <a:srcRect/>
                    <a:stretch>
                      <a:fillRect/>
                    </a:stretch>
                  </pic:blipFill>
                  <pic:spPr bwMode="auto">
                    <a:xfrm>
                      <a:off x="0" y="0"/>
                      <a:ext cx="838200" cy="295275"/>
                    </a:xfrm>
                    <a:prstGeom prst="rect">
                      <a:avLst/>
                    </a:prstGeom>
                    <a:noFill/>
                  </pic:spPr>
                </pic:pic>
              </a:graphicData>
            </a:graphic>
          </wp:inline>
        </w:drawing>
      </w:r>
    </w:p>
    <w:p w14:paraId="27FEA073" w14:textId="3DCAEA7D" w:rsidR="00140318" w:rsidRPr="00431792" w:rsidRDefault="005776AC" w:rsidP="00FC07B9">
      <w:pPr>
        <w:pStyle w:val="ACMACorporateAddresses"/>
        <w:rPr>
          <w:rStyle w:val="Hyperlink"/>
        </w:rPr>
      </w:pPr>
      <w:hyperlink r:id="rId20" w:tooltip="Creative Commons Licenses" w:history="1">
        <w:r w:rsidR="00140318" w:rsidRPr="00431792">
          <w:rPr>
            <w:rStyle w:val="Hyperlink"/>
          </w:rPr>
          <w:t>http://creativecommons.org/licenses/by/3.0/au/</w:t>
        </w:r>
      </w:hyperlink>
    </w:p>
    <w:p w14:paraId="6E5E2654" w14:textId="77777777" w:rsidR="00140318" w:rsidRPr="006D46E5" w:rsidRDefault="00140318" w:rsidP="00FC07B9">
      <w:pPr>
        <w:pStyle w:val="ACMACorporateAddresses"/>
      </w:pPr>
      <w:r w:rsidRPr="006D46E5">
        <w:t xml:space="preserve">With the exception of coats of arms, logos, emblems, images, other third-party material or devices protected by a trademark, this content is licensed under the Creative Commons Australia Attribution 3.0 Licence. </w:t>
      </w:r>
    </w:p>
    <w:p w14:paraId="2CF15A74" w14:textId="39B7F3AE" w:rsidR="00140318" w:rsidRPr="006D46E5" w:rsidRDefault="00C34A05" w:rsidP="00FC07B9">
      <w:pPr>
        <w:pStyle w:val="ACMACorporateAddresses"/>
      </w:pPr>
      <w:r>
        <w:t>We request attribution as</w:t>
      </w:r>
      <w:r w:rsidR="00140318" w:rsidRPr="006D46E5">
        <w:t xml:space="preserve"> © Commonwealth of Australia (Australian Communic</w:t>
      </w:r>
      <w:r w:rsidR="003215B5">
        <w:t>ations and Media Authority) 20</w:t>
      </w:r>
      <w:r w:rsidR="00C670B7">
        <w:t>20</w:t>
      </w:r>
      <w:r w:rsidR="00140318" w:rsidRPr="006D46E5">
        <w:t>.</w:t>
      </w:r>
    </w:p>
    <w:p w14:paraId="4227EA62" w14:textId="77777777" w:rsidR="00140318" w:rsidRPr="006D46E5" w:rsidRDefault="00140318" w:rsidP="00FC07B9">
      <w:pPr>
        <w:pStyle w:val="ACMACorporateAddresses"/>
      </w:pPr>
      <w:r>
        <w:t>All other rights are reserved.</w:t>
      </w:r>
    </w:p>
    <w:p w14:paraId="10578E11" w14:textId="77777777" w:rsidR="00140318" w:rsidRPr="006D46E5" w:rsidRDefault="00140318" w:rsidP="00FC07B9">
      <w:pPr>
        <w:pStyle w:val="ACMACorporateAddresses"/>
      </w:pPr>
      <w:r w:rsidRPr="006D46E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09F1DB33" w14:textId="77777777" w:rsidR="00140318" w:rsidRPr="006D46E5" w:rsidRDefault="00140318" w:rsidP="00FC07B9">
      <w:pPr>
        <w:pStyle w:val="ACMACorporateAddresses"/>
      </w:pPr>
      <w:r w:rsidRPr="006D46E5">
        <w:t>Written enquiries may be sent to:</w:t>
      </w:r>
    </w:p>
    <w:p w14:paraId="3A6533E8" w14:textId="11E0EAF1" w:rsidR="00D16FE3" w:rsidRDefault="00140318" w:rsidP="00D16FE3">
      <w:pPr>
        <w:pStyle w:val="ACMACorporateAddresses"/>
        <w:rPr>
          <w:rStyle w:val="Hyperlink"/>
        </w:rPr>
      </w:pPr>
      <w:r w:rsidRPr="006D46E5">
        <w:t>Manager, Editorial and Design</w:t>
      </w:r>
      <w:r w:rsidR="00623FF9">
        <w:br/>
      </w:r>
      <w:r w:rsidRPr="006D46E5">
        <w:t>PO Box 13112</w:t>
      </w:r>
      <w:r w:rsidR="00623FF9">
        <w:br/>
      </w:r>
      <w:r w:rsidRPr="006D46E5">
        <w:t>Law Courts</w:t>
      </w:r>
      <w:r w:rsidR="00623FF9">
        <w:br/>
      </w:r>
      <w:r w:rsidRPr="006D46E5">
        <w:t>Melbourne VIC 8010</w:t>
      </w:r>
      <w:r w:rsidR="00623FF9">
        <w:br/>
      </w:r>
      <w:r w:rsidRPr="006D46E5">
        <w:t xml:space="preserve">Email: </w:t>
      </w:r>
      <w:hyperlink r:id="rId21" w:history="1">
        <w:r w:rsidR="000A1400" w:rsidRPr="00826BEB">
          <w:rPr>
            <w:rStyle w:val="Hyperlink"/>
          </w:rPr>
          <w:t>info@acma.gov.au</w:t>
        </w:r>
      </w:hyperlink>
    </w:p>
    <w:p w14:paraId="6B762016" w14:textId="77777777" w:rsidR="00A96E99" w:rsidRDefault="00A96E99" w:rsidP="00D16FE3">
      <w:pPr>
        <w:pStyle w:val="ACMACorporateAddresses"/>
        <w:sectPr w:rsidR="00A96E99" w:rsidSect="004840D9">
          <w:type w:val="continuous"/>
          <w:pgSz w:w="11906" w:h="16838" w:code="9"/>
          <w:pgMar w:top="3924" w:right="1797" w:bottom="697" w:left="1134" w:header="709" w:footer="119" w:gutter="0"/>
          <w:cols w:space="708"/>
          <w:docGrid w:linePitch="360"/>
        </w:sectPr>
      </w:pPr>
    </w:p>
    <w:p w14:paraId="2DB9D75E" w14:textId="77777777" w:rsidR="00A96E99" w:rsidRDefault="00A96E99" w:rsidP="00A96E99">
      <w:pPr>
        <w:pStyle w:val="ACMACorporateAddresses"/>
      </w:pPr>
    </w:p>
    <w:p w14:paraId="4D87EFDD" w14:textId="77777777" w:rsidR="00A96E99" w:rsidRPr="004117A4" w:rsidRDefault="00A96E99" w:rsidP="00A96E99">
      <w:pPr>
        <w:spacing w:after="60"/>
        <w:rPr>
          <w:rFonts w:cs="Arial"/>
          <w:b/>
          <w:bCs/>
          <w:szCs w:val="20"/>
        </w:rPr>
      </w:pPr>
      <w:r w:rsidRPr="004117A4">
        <w:rPr>
          <w:rFonts w:cs="Arial"/>
          <w:b/>
          <w:bCs/>
          <w:szCs w:val="20"/>
        </w:rPr>
        <w:t>Amendment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2"/>
        <w:gridCol w:w="1559"/>
        <w:gridCol w:w="6406"/>
      </w:tblGrid>
      <w:tr w:rsidR="00A96E99" w:rsidRPr="004B06F4" w14:paraId="5F83668B" w14:textId="77777777" w:rsidTr="005A0B5C">
        <w:tc>
          <w:tcPr>
            <w:tcW w:w="892" w:type="dxa"/>
            <w:tcMar>
              <w:top w:w="0" w:type="dxa"/>
              <w:left w:w="108" w:type="dxa"/>
              <w:bottom w:w="0" w:type="dxa"/>
              <w:right w:w="108" w:type="dxa"/>
            </w:tcMar>
            <w:vAlign w:val="center"/>
            <w:hideMark/>
          </w:tcPr>
          <w:p w14:paraId="7309CC65" w14:textId="77777777" w:rsidR="00A96E99" w:rsidRPr="004B06F4" w:rsidRDefault="00A96E99" w:rsidP="005A0B5C">
            <w:pPr>
              <w:spacing w:after="0"/>
              <w:rPr>
                <w:rFonts w:eastAsiaTheme="minorHAnsi" w:cs="Arial"/>
                <w:b/>
                <w:bCs/>
                <w:sz w:val="16"/>
                <w:szCs w:val="16"/>
              </w:rPr>
            </w:pPr>
            <w:r w:rsidRPr="004B06F4">
              <w:rPr>
                <w:rFonts w:cs="Arial"/>
                <w:b/>
                <w:bCs/>
                <w:sz w:val="16"/>
                <w:szCs w:val="16"/>
              </w:rPr>
              <w:t>Version</w:t>
            </w:r>
          </w:p>
        </w:tc>
        <w:tc>
          <w:tcPr>
            <w:tcW w:w="1559" w:type="dxa"/>
            <w:tcMar>
              <w:top w:w="0" w:type="dxa"/>
              <w:left w:w="108" w:type="dxa"/>
              <w:bottom w:w="0" w:type="dxa"/>
              <w:right w:w="108" w:type="dxa"/>
            </w:tcMar>
            <w:vAlign w:val="center"/>
            <w:hideMark/>
          </w:tcPr>
          <w:p w14:paraId="59F33A19" w14:textId="77777777" w:rsidR="00A96E99" w:rsidRPr="004B06F4" w:rsidRDefault="00A96E99" w:rsidP="005A0B5C">
            <w:pPr>
              <w:spacing w:after="0"/>
              <w:rPr>
                <w:rFonts w:eastAsiaTheme="minorHAnsi" w:cs="Arial"/>
                <w:b/>
                <w:bCs/>
                <w:sz w:val="16"/>
                <w:szCs w:val="16"/>
              </w:rPr>
            </w:pPr>
            <w:r w:rsidRPr="004B06F4">
              <w:rPr>
                <w:rFonts w:cs="Arial"/>
                <w:b/>
                <w:bCs/>
                <w:sz w:val="16"/>
                <w:szCs w:val="16"/>
              </w:rPr>
              <w:t>Date of effect</w:t>
            </w:r>
          </w:p>
        </w:tc>
        <w:tc>
          <w:tcPr>
            <w:tcW w:w="6406" w:type="dxa"/>
            <w:tcMar>
              <w:top w:w="0" w:type="dxa"/>
              <w:left w:w="108" w:type="dxa"/>
              <w:bottom w:w="0" w:type="dxa"/>
              <w:right w:w="108" w:type="dxa"/>
            </w:tcMar>
            <w:vAlign w:val="center"/>
            <w:hideMark/>
          </w:tcPr>
          <w:p w14:paraId="6308B137" w14:textId="77777777" w:rsidR="00A96E99" w:rsidRPr="004B06F4" w:rsidRDefault="00A96E99" w:rsidP="005A0B5C">
            <w:pPr>
              <w:spacing w:after="0"/>
              <w:rPr>
                <w:rFonts w:eastAsiaTheme="minorHAnsi" w:cs="Arial"/>
                <w:b/>
                <w:bCs/>
                <w:sz w:val="16"/>
                <w:szCs w:val="16"/>
              </w:rPr>
            </w:pPr>
            <w:r w:rsidRPr="004B06F4">
              <w:rPr>
                <w:rFonts w:cs="Arial"/>
                <w:b/>
                <w:bCs/>
                <w:sz w:val="16"/>
                <w:szCs w:val="16"/>
              </w:rPr>
              <w:t>Comments</w:t>
            </w:r>
          </w:p>
        </w:tc>
      </w:tr>
      <w:tr w:rsidR="00A96E99" w:rsidRPr="004B06F4" w14:paraId="43DD75A1" w14:textId="77777777" w:rsidTr="005A0B5C">
        <w:tc>
          <w:tcPr>
            <w:tcW w:w="892" w:type="dxa"/>
            <w:tcMar>
              <w:top w:w="0" w:type="dxa"/>
              <w:left w:w="108" w:type="dxa"/>
              <w:bottom w:w="0" w:type="dxa"/>
              <w:right w:w="108" w:type="dxa"/>
            </w:tcMar>
            <w:vAlign w:val="center"/>
            <w:hideMark/>
          </w:tcPr>
          <w:p w14:paraId="4F01BAFC" w14:textId="77777777" w:rsidR="00A96E99" w:rsidRPr="004B06F4" w:rsidRDefault="00A96E99" w:rsidP="005A0B5C">
            <w:pPr>
              <w:spacing w:after="0"/>
              <w:rPr>
                <w:rFonts w:eastAsiaTheme="minorHAnsi" w:cs="Arial"/>
                <w:sz w:val="16"/>
                <w:szCs w:val="16"/>
              </w:rPr>
            </w:pPr>
            <w:r w:rsidRPr="004B06F4">
              <w:rPr>
                <w:rFonts w:cs="Arial"/>
                <w:sz w:val="16"/>
                <w:szCs w:val="16"/>
              </w:rPr>
              <w:t>1.0</w:t>
            </w:r>
          </w:p>
        </w:tc>
        <w:tc>
          <w:tcPr>
            <w:tcW w:w="1559" w:type="dxa"/>
            <w:tcMar>
              <w:top w:w="0" w:type="dxa"/>
              <w:left w:w="108" w:type="dxa"/>
              <w:bottom w:w="0" w:type="dxa"/>
              <w:right w:w="108" w:type="dxa"/>
            </w:tcMar>
            <w:vAlign w:val="center"/>
          </w:tcPr>
          <w:p w14:paraId="106F433F" w14:textId="77777777" w:rsidR="00A96E99" w:rsidRPr="004B06F4" w:rsidRDefault="00A96E99" w:rsidP="005A0B5C">
            <w:pPr>
              <w:spacing w:after="0"/>
              <w:rPr>
                <w:rFonts w:eastAsiaTheme="minorHAnsi" w:cs="Arial"/>
                <w:sz w:val="16"/>
                <w:szCs w:val="16"/>
              </w:rPr>
            </w:pPr>
            <w:r w:rsidRPr="004B06F4">
              <w:rPr>
                <w:rFonts w:eastAsiaTheme="minorHAnsi" w:cs="Arial"/>
                <w:sz w:val="16"/>
                <w:szCs w:val="16"/>
              </w:rPr>
              <w:t>6 August 2014</w:t>
            </w:r>
          </w:p>
        </w:tc>
        <w:tc>
          <w:tcPr>
            <w:tcW w:w="6406" w:type="dxa"/>
            <w:tcMar>
              <w:top w:w="0" w:type="dxa"/>
              <w:left w:w="108" w:type="dxa"/>
              <w:bottom w:w="0" w:type="dxa"/>
              <w:right w:w="108" w:type="dxa"/>
            </w:tcMar>
            <w:vAlign w:val="center"/>
            <w:hideMark/>
          </w:tcPr>
          <w:p w14:paraId="1773785E" w14:textId="77777777" w:rsidR="00A96E99" w:rsidRPr="004B06F4" w:rsidRDefault="00A96E99" w:rsidP="005A0B5C">
            <w:pPr>
              <w:spacing w:after="0"/>
              <w:rPr>
                <w:rFonts w:eastAsiaTheme="minorHAnsi" w:cs="Arial"/>
                <w:sz w:val="16"/>
                <w:szCs w:val="16"/>
              </w:rPr>
            </w:pPr>
            <w:r w:rsidRPr="004B06F4">
              <w:rPr>
                <w:rFonts w:cs="Arial"/>
                <w:sz w:val="16"/>
                <w:szCs w:val="16"/>
              </w:rPr>
              <w:t>Initial release</w:t>
            </w:r>
            <w:r>
              <w:rPr>
                <w:rFonts w:cs="Arial"/>
                <w:sz w:val="16"/>
                <w:szCs w:val="16"/>
              </w:rPr>
              <w:t>.</w:t>
            </w:r>
          </w:p>
        </w:tc>
      </w:tr>
      <w:tr w:rsidR="00A96E99" w:rsidRPr="004B06F4" w14:paraId="081901D9" w14:textId="77777777" w:rsidTr="005A0B5C">
        <w:tc>
          <w:tcPr>
            <w:tcW w:w="892" w:type="dxa"/>
            <w:tcMar>
              <w:top w:w="0" w:type="dxa"/>
              <w:left w:w="108" w:type="dxa"/>
              <w:bottom w:w="0" w:type="dxa"/>
              <w:right w:w="108" w:type="dxa"/>
            </w:tcMar>
            <w:vAlign w:val="center"/>
          </w:tcPr>
          <w:p w14:paraId="21F68645" w14:textId="77777777" w:rsidR="00A96E99" w:rsidRPr="004B06F4" w:rsidRDefault="00A96E99" w:rsidP="005A0B5C">
            <w:pPr>
              <w:spacing w:after="0"/>
              <w:rPr>
                <w:rFonts w:cs="Arial"/>
                <w:sz w:val="16"/>
                <w:szCs w:val="16"/>
              </w:rPr>
            </w:pPr>
            <w:r w:rsidRPr="004B06F4">
              <w:rPr>
                <w:rFonts w:cs="Arial"/>
                <w:sz w:val="16"/>
                <w:szCs w:val="16"/>
              </w:rPr>
              <w:t>1.1</w:t>
            </w:r>
          </w:p>
        </w:tc>
        <w:tc>
          <w:tcPr>
            <w:tcW w:w="1559" w:type="dxa"/>
            <w:tcMar>
              <w:top w:w="0" w:type="dxa"/>
              <w:left w:w="108" w:type="dxa"/>
              <w:bottom w:w="0" w:type="dxa"/>
              <w:right w:w="108" w:type="dxa"/>
            </w:tcMar>
            <w:vAlign w:val="center"/>
          </w:tcPr>
          <w:p w14:paraId="0989C44F" w14:textId="77777777" w:rsidR="00A96E99" w:rsidRPr="004B06F4" w:rsidRDefault="00A96E99" w:rsidP="005A0B5C">
            <w:pPr>
              <w:spacing w:after="0"/>
              <w:rPr>
                <w:rFonts w:eastAsiaTheme="minorHAnsi" w:cs="Arial"/>
                <w:sz w:val="16"/>
                <w:szCs w:val="16"/>
                <w:highlight w:val="yellow"/>
              </w:rPr>
            </w:pPr>
            <w:r w:rsidRPr="004B06F4">
              <w:rPr>
                <w:rFonts w:eastAsiaTheme="minorHAnsi" w:cs="Arial"/>
                <w:sz w:val="16"/>
                <w:szCs w:val="16"/>
              </w:rPr>
              <w:t>3 May 2016</w:t>
            </w:r>
          </w:p>
        </w:tc>
        <w:tc>
          <w:tcPr>
            <w:tcW w:w="6406" w:type="dxa"/>
            <w:tcMar>
              <w:top w:w="0" w:type="dxa"/>
              <w:left w:w="108" w:type="dxa"/>
              <w:bottom w:w="0" w:type="dxa"/>
              <w:right w:w="108" w:type="dxa"/>
            </w:tcMar>
            <w:vAlign w:val="center"/>
          </w:tcPr>
          <w:p w14:paraId="053CC9DE" w14:textId="77777777" w:rsidR="00A96E99" w:rsidRPr="004B06F4" w:rsidRDefault="00A96E99" w:rsidP="005A0B5C">
            <w:pPr>
              <w:spacing w:after="0"/>
              <w:rPr>
                <w:rFonts w:cs="Arial"/>
                <w:sz w:val="16"/>
                <w:szCs w:val="16"/>
              </w:rPr>
            </w:pPr>
            <w:r w:rsidRPr="004B06F4">
              <w:rPr>
                <w:rFonts w:cs="Arial"/>
                <w:sz w:val="16"/>
                <w:szCs w:val="16"/>
              </w:rPr>
              <w:t>Update to include procedures to be followed by APs</w:t>
            </w:r>
            <w:r>
              <w:rPr>
                <w:rFonts w:cs="Arial"/>
                <w:sz w:val="16"/>
                <w:szCs w:val="16"/>
              </w:rPr>
              <w:t>.</w:t>
            </w:r>
          </w:p>
        </w:tc>
      </w:tr>
      <w:tr w:rsidR="00A96E99" w:rsidRPr="004B06F4" w14:paraId="2027D612" w14:textId="77777777" w:rsidTr="005A0B5C">
        <w:tc>
          <w:tcPr>
            <w:tcW w:w="892" w:type="dxa"/>
            <w:tcMar>
              <w:top w:w="0" w:type="dxa"/>
              <w:left w:w="108" w:type="dxa"/>
              <w:bottom w:w="0" w:type="dxa"/>
              <w:right w:w="108" w:type="dxa"/>
            </w:tcMar>
            <w:vAlign w:val="center"/>
          </w:tcPr>
          <w:p w14:paraId="42689E26" w14:textId="77777777" w:rsidR="00A96E99" w:rsidRPr="004B06F4" w:rsidRDefault="00A96E99" w:rsidP="005A0B5C">
            <w:pPr>
              <w:spacing w:after="0"/>
              <w:rPr>
                <w:rFonts w:cs="Arial"/>
                <w:sz w:val="16"/>
                <w:szCs w:val="16"/>
              </w:rPr>
            </w:pPr>
            <w:r w:rsidRPr="004B06F4">
              <w:rPr>
                <w:rFonts w:cs="Arial"/>
                <w:sz w:val="16"/>
                <w:szCs w:val="16"/>
              </w:rPr>
              <w:t>2.0</w:t>
            </w:r>
          </w:p>
        </w:tc>
        <w:tc>
          <w:tcPr>
            <w:tcW w:w="1559" w:type="dxa"/>
            <w:tcMar>
              <w:top w:w="0" w:type="dxa"/>
              <w:left w:w="108" w:type="dxa"/>
              <w:bottom w:w="0" w:type="dxa"/>
              <w:right w:w="108" w:type="dxa"/>
            </w:tcMar>
            <w:vAlign w:val="center"/>
          </w:tcPr>
          <w:p w14:paraId="4287FA1C" w14:textId="77777777" w:rsidR="00A96E99" w:rsidRPr="004B06F4" w:rsidRDefault="00A96E99" w:rsidP="005A0B5C">
            <w:pPr>
              <w:spacing w:after="0"/>
              <w:rPr>
                <w:rFonts w:eastAsiaTheme="minorHAnsi" w:cs="Arial"/>
                <w:sz w:val="16"/>
                <w:szCs w:val="16"/>
                <w:highlight w:val="yellow"/>
              </w:rPr>
            </w:pPr>
            <w:r>
              <w:rPr>
                <w:rFonts w:eastAsiaTheme="minorHAnsi" w:cs="Arial"/>
                <w:sz w:val="16"/>
                <w:szCs w:val="16"/>
              </w:rPr>
              <w:t>19</w:t>
            </w:r>
            <w:r w:rsidRPr="004B06F4">
              <w:rPr>
                <w:rFonts w:eastAsiaTheme="minorHAnsi" w:cs="Arial"/>
                <w:sz w:val="16"/>
                <w:szCs w:val="16"/>
              </w:rPr>
              <w:t xml:space="preserve"> </w:t>
            </w:r>
            <w:r>
              <w:rPr>
                <w:rFonts w:eastAsiaTheme="minorHAnsi" w:cs="Arial"/>
                <w:sz w:val="16"/>
                <w:szCs w:val="16"/>
              </w:rPr>
              <w:t>December</w:t>
            </w:r>
            <w:r w:rsidRPr="004B06F4">
              <w:rPr>
                <w:rFonts w:eastAsiaTheme="minorHAnsi" w:cs="Arial"/>
                <w:sz w:val="16"/>
                <w:szCs w:val="16"/>
              </w:rPr>
              <w:t xml:space="preserve"> 2017</w:t>
            </w:r>
          </w:p>
        </w:tc>
        <w:tc>
          <w:tcPr>
            <w:tcW w:w="6406" w:type="dxa"/>
            <w:tcMar>
              <w:top w:w="0" w:type="dxa"/>
              <w:left w:w="108" w:type="dxa"/>
              <w:bottom w:w="0" w:type="dxa"/>
              <w:right w:w="108" w:type="dxa"/>
            </w:tcMar>
            <w:vAlign w:val="center"/>
          </w:tcPr>
          <w:p w14:paraId="7592E9FF" w14:textId="77777777" w:rsidR="00A96E99" w:rsidRPr="004B06F4" w:rsidRDefault="00A96E99" w:rsidP="005A0B5C">
            <w:pPr>
              <w:spacing w:after="0"/>
              <w:rPr>
                <w:rFonts w:cs="Arial"/>
                <w:sz w:val="16"/>
                <w:szCs w:val="16"/>
              </w:rPr>
            </w:pPr>
            <w:r w:rsidRPr="004B06F4">
              <w:rPr>
                <w:rFonts w:cs="Arial"/>
                <w:sz w:val="16"/>
                <w:szCs w:val="16"/>
              </w:rPr>
              <w:t>Update</w:t>
            </w:r>
            <w:r>
              <w:rPr>
                <w:rFonts w:cs="Arial"/>
                <w:sz w:val="16"/>
                <w:szCs w:val="16"/>
              </w:rPr>
              <w:t>d</w:t>
            </w:r>
            <w:r w:rsidRPr="004B06F4">
              <w:rPr>
                <w:rFonts w:cs="Arial"/>
                <w:sz w:val="16"/>
                <w:szCs w:val="16"/>
              </w:rPr>
              <w:t xml:space="preserve"> to include further detail and information on procedures and checks undertaken by the ACMA</w:t>
            </w:r>
            <w:r>
              <w:rPr>
                <w:rFonts w:cs="Arial"/>
                <w:sz w:val="16"/>
                <w:szCs w:val="16"/>
              </w:rPr>
              <w:t xml:space="preserve">. Refer </w:t>
            </w:r>
            <w:r w:rsidRPr="009F7338">
              <w:rPr>
                <w:rFonts w:cs="Arial"/>
                <w:sz w:val="16"/>
                <w:szCs w:val="16"/>
                <w:lang w:val="en"/>
              </w:rPr>
              <w:t xml:space="preserve">IFC 19/2017 </w:t>
            </w:r>
            <w:hyperlink r:id="rId22" w:history="1">
              <w:r w:rsidRPr="009F7338">
                <w:rPr>
                  <w:rStyle w:val="Hyperlink"/>
                  <w:rFonts w:cs="Arial"/>
                  <w:sz w:val="16"/>
                  <w:szCs w:val="16"/>
                  <w:lang w:val="en"/>
                </w:rPr>
                <w:t>Update of licensing procedures for space-based communications systems</w:t>
              </w:r>
            </w:hyperlink>
            <w:r w:rsidRPr="00C3152C">
              <w:rPr>
                <w:rStyle w:val="Hyperlink"/>
                <w:rFonts w:cs="Arial"/>
                <w:color w:val="auto"/>
                <w:sz w:val="16"/>
                <w:szCs w:val="16"/>
                <w:u w:val="none"/>
                <w:lang w:val="en"/>
              </w:rPr>
              <w:t>.</w:t>
            </w:r>
          </w:p>
        </w:tc>
      </w:tr>
      <w:tr w:rsidR="00A96E99" w:rsidRPr="004B06F4" w14:paraId="00EA2339" w14:textId="77777777" w:rsidTr="005A0B5C">
        <w:tc>
          <w:tcPr>
            <w:tcW w:w="892" w:type="dxa"/>
            <w:tcMar>
              <w:top w:w="0" w:type="dxa"/>
              <w:left w:w="108" w:type="dxa"/>
              <w:bottom w:w="0" w:type="dxa"/>
              <w:right w:w="108" w:type="dxa"/>
            </w:tcMar>
            <w:vAlign w:val="center"/>
          </w:tcPr>
          <w:p w14:paraId="334C42E3" w14:textId="77777777" w:rsidR="00A96E99" w:rsidRPr="004B06F4" w:rsidRDefault="00A96E99" w:rsidP="005A0B5C">
            <w:pPr>
              <w:spacing w:after="0"/>
              <w:rPr>
                <w:rFonts w:cs="Arial"/>
                <w:sz w:val="16"/>
                <w:szCs w:val="16"/>
              </w:rPr>
            </w:pPr>
            <w:r>
              <w:rPr>
                <w:rFonts w:cs="Arial"/>
                <w:sz w:val="16"/>
                <w:szCs w:val="16"/>
              </w:rPr>
              <w:t>3.0</w:t>
            </w:r>
          </w:p>
        </w:tc>
        <w:tc>
          <w:tcPr>
            <w:tcW w:w="1559" w:type="dxa"/>
            <w:tcMar>
              <w:top w:w="0" w:type="dxa"/>
              <w:left w:w="108" w:type="dxa"/>
              <w:bottom w:w="0" w:type="dxa"/>
              <w:right w:w="108" w:type="dxa"/>
            </w:tcMar>
            <w:vAlign w:val="center"/>
          </w:tcPr>
          <w:p w14:paraId="0FAEC9D9" w14:textId="77777777" w:rsidR="00A96E99" w:rsidRDefault="00A96E99" w:rsidP="005A0B5C">
            <w:pPr>
              <w:spacing w:after="0"/>
              <w:rPr>
                <w:rFonts w:eastAsiaTheme="minorHAnsi" w:cs="Arial"/>
                <w:sz w:val="16"/>
                <w:szCs w:val="16"/>
              </w:rPr>
            </w:pPr>
            <w:r>
              <w:rPr>
                <w:rFonts w:eastAsiaTheme="minorHAnsi" w:cs="Arial"/>
                <w:sz w:val="16"/>
                <w:szCs w:val="16"/>
              </w:rPr>
              <w:t>November 2019</w:t>
            </w:r>
          </w:p>
        </w:tc>
        <w:tc>
          <w:tcPr>
            <w:tcW w:w="6406" w:type="dxa"/>
            <w:tcMar>
              <w:top w:w="0" w:type="dxa"/>
              <w:left w:w="108" w:type="dxa"/>
              <w:bottom w:w="0" w:type="dxa"/>
              <w:right w:w="108" w:type="dxa"/>
            </w:tcMar>
            <w:vAlign w:val="center"/>
          </w:tcPr>
          <w:p w14:paraId="3F8232F8" w14:textId="77777777" w:rsidR="00A96E99" w:rsidRPr="004B06F4" w:rsidRDefault="00A96E99" w:rsidP="005A0B5C">
            <w:pPr>
              <w:spacing w:after="0"/>
              <w:rPr>
                <w:rFonts w:cs="Arial"/>
                <w:sz w:val="16"/>
                <w:szCs w:val="16"/>
              </w:rPr>
            </w:pPr>
            <w:r>
              <w:rPr>
                <w:rFonts w:cs="Arial"/>
                <w:sz w:val="16"/>
                <w:szCs w:val="16"/>
              </w:rPr>
              <w:t xml:space="preserve">Draft for industry consultation. Refer IFC </w:t>
            </w:r>
            <w:hyperlink r:id="rId23" w:history="1">
              <w:r w:rsidRPr="00BF581E">
                <w:rPr>
                  <w:rStyle w:val="Hyperlink"/>
                  <w:rFonts w:cs="Arial"/>
                  <w:sz w:val="16"/>
                  <w:szCs w:val="16"/>
                </w:rPr>
                <w:t>38/2019 Review of space licensing procedures</w:t>
              </w:r>
            </w:hyperlink>
            <w:r>
              <w:rPr>
                <w:rFonts w:cs="Arial"/>
                <w:sz w:val="16"/>
                <w:szCs w:val="16"/>
              </w:rPr>
              <w:t>.</w:t>
            </w:r>
          </w:p>
        </w:tc>
      </w:tr>
      <w:tr w:rsidR="00A96E99" w:rsidRPr="004B06F4" w14:paraId="033FE63E" w14:textId="77777777" w:rsidTr="005A0B5C">
        <w:tc>
          <w:tcPr>
            <w:tcW w:w="892" w:type="dxa"/>
            <w:tcMar>
              <w:top w:w="0" w:type="dxa"/>
              <w:left w:w="108" w:type="dxa"/>
              <w:bottom w:w="0" w:type="dxa"/>
              <w:right w:w="108" w:type="dxa"/>
            </w:tcMar>
            <w:vAlign w:val="center"/>
          </w:tcPr>
          <w:p w14:paraId="3155EDFE" w14:textId="77777777" w:rsidR="00A96E99" w:rsidRDefault="00A96E99" w:rsidP="005A0B5C">
            <w:pPr>
              <w:spacing w:after="0"/>
              <w:rPr>
                <w:rFonts w:cs="Arial"/>
                <w:sz w:val="16"/>
                <w:szCs w:val="16"/>
              </w:rPr>
            </w:pPr>
            <w:r>
              <w:rPr>
                <w:rFonts w:cs="Arial"/>
                <w:sz w:val="16"/>
                <w:szCs w:val="16"/>
              </w:rPr>
              <w:t>3.1</w:t>
            </w:r>
          </w:p>
        </w:tc>
        <w:tc>
          <w:tcPr>
            <w:tcW w:w="1559" w:type="dxa"/>
            <w:tcMar>
              <w:top w:w="0" w:type="dxa"/>
              <w:left w:w="108" w:type="dxa"/>
              <w:bottom w:w="0" w:type="dxa"/>
              <w:right w:w="108" w:type="dxa"/>
            </w:tcMar>
            <w:vAlign w:val="center"/>
          </w:tcPr>
          <w:p w14:paraId="4897EA2A" w14:textId="77777777" w:rsidR="00A96E99" w:rsidRDefault="00A96E99" w:rsidP="005A0B5C">
            <w:pPr>
              <w:spacing w:after="0"/>
              <w:rPr>
                <w:rFonts w:eastAsiaTheme="minorHAnsi" w:cs="Arial"/>
                <w:sz w:val="16"/>
                <w:szCs w:val="16"/>
              </w:rPr>
            </w:pPr>
            <w:r>
              <w:rPr>
                <w:rFonts w:eastAsiaTheme="minorHAnsi" w:cs="Arial"/>
                <w:sz w:val="16"/>
                <w:szCs w:val="16"/>
              </w:rPr>
              <w:t>August 2020</w:t>
            </w:r>
          </w:p>
        </w:tc>
        <w:tc>
          <w:tcPr>
            <w:tcW w:w="6406" w:type="dxa"/>
            <w:tcMar>
              <w:top w:w="0" w:type="dxa"/>
              <w:left w:w="108" w:type="dxa"/>
              <w:bottom w:w="0" w:type="dxa"/>
              <w:right w:w="108" w:type="dxa"/>
            </w:tcMar>
            <w:vAlign w:val="center"/>
          </w:tcPr>
          <w:p w14:paraId="06FF17C7" w14:textId="77777777" w:rsidR="00A96E99" w:rsidRDefault="00A96E99" w:rsidP="005A0B5C">
            <w:pPr>
              <w:spacing w:after="0"/>
              <w:rPr>
                <w:rFonts w:cs="Arial"/>
                <w:sz w:val="16"/>
                <w:szCs w:val="16"/>
              </w:rPr>
            </w:pPr>
            <w:r>
              <w:rPr>
                <w:rFonts w:cs="Arial"/>
                <w:sz w:val="16"/>
                <w:szCs w:val="16"/>
              </w:rPr>
              <w:t xml:space="preserve">Finalisation of IFC 38/2019. </w:t>
            </w:r>
          </w:p>
        </w:tc>
      </w:tr>
      <w:tr w:rsidR="00A96E99" w:rsidRPr="004B06F4" w14:paraId="5559F4C3" w14:textId="77777777" w:rsidTr="005A0B5C">
        <w:tc>
          <w:tcPr>
            <w:tcW w:w="892" w:type="dxa"/>
            <w:tcMar>
              <w:top w:w="0" w:type="dxa"/>
              <w:left w:w="108" w:type="dxa"/>
              <w:bottom w:w="0" w:type="dxa"/>
              <w:right w:w="108" w:type="dxa"/>
            </w:tcMar>
            <w:vAlign w:val="center"/>
          </w:tcPr>
          <w:p w14:paraId="45708DCC" w14:textId="77777777" w:rsidR="00A96E99" w:rsidRDefault="00A96E99" w:rsidP="005A0B5C">
            <w:pPr>
              <w:spacing w:after="0"/>
              <w:rPr>
                <w:rFonts w:cs="Arial"/>
                <w:sz w:val="16"/>
                <w:szCs w:val="16"/>
              </w:rPr>
            </w:pPr>
            <w:r>
              <w:rPr>
                <w:rFonts w:cs="Arial"/>
                <w:sz w:val="16"/>
                <w:szCs w:val="16"/>
              </w:rPr>
              <w:t>3.2</w:t>
            </w:r>
          </w:p>
        </w:tc>
        <w:tc>
          <w:tcPr>
            <w:tcW w:w="1559" w:type="dxa"/>
            <w:tcMar>
              <w:top w:w="0" w:type="dxa"/>
              <w:left w:w="108" w:type="dxa"/>
              <w:bottom w:w="0" w:type="dxa"/>
              <w:right w:w="108" w:type="dxa"/>
            </w:tcMar>
            <w:vAlign w:val="center"/>
          </w:tcPr>
          <w:p w14:paraId="09FCAA93" w14:textId="77777777" w:rsidR="00A96E99" w:rsidRDefault="00A96E99" w:rsidP="005A0B5C">
            <w:pPr>
              <w:spacing w:after="0"/>
              <w:rPr>
                <w:rFonts w:eastAsiaTheme="minorHAnsi" w:cs="Arial"/>
                <w:sz w:val="16"/>
                <w:szCs w:val="16"/>
              </w:rPr>
            </w:pPr>
            <w:r w:rsidRPr="00851535">
              <w:rPr>
                <w:rFonts w:eastAsiaTheme="minorHAnsi" w:cs="Arial"/>
                <w:sz w:val="16"/>
                <w:szCs w:val="16"/>
              </w:rPr>
              <w:t>October 2020</w:t>
            </w:r>
          </w:p>
        </w:tc>
        <w:tc>
          <w:tcPr>
            <w:tcW w:w="6406" w:type="dxa"/>
            <w:tcMar>
              <w:top w:w="0" w:type="dxa"/>
              <w:left w:w="108" w:type="dxa"/>
              <w:bottom w:w="0" w:type="dxa"/>
              <w:right w:w="108" w:type="dxa"/>
            </w:tcMar>
            <w:vAlign w:val="center"/>
          </w:tcPr>
          <w:p w14:paraId="3D287D41" w14:textId="77777777" w:rsidR="00A96E99" w:rsidRDefault="00A96E99" w:rsidP="005A0B5C">
            <w:pPr>
              <w:spacing w:after="0"/>
              <w:rPr>
                <w:rFonts w:cs="Arial"/>
                <w:sz w:val="16"/>
                <w:szCs w:val="16"/>
              </w:rPr>
            </w:pPr>
            <w:r>
              <w:rPr>
                <w:rFonts w:cs="Arial"/>
                <w:sz w:val="16"/>
                <w:szCs w:val="16"/>
              </w:rPr>
              <w:t>Update to include arrangements for earth stations authorised to operate under an area-wide apparatus licence in the 28 GHz band</w:t>
            </w:r>
          </w:p>
        </w:tc>
      </w:tr>
      <w:tr w:rsidR="00A96E99" w:rsidRPr="004B06F4" w14:paraId="237CFBB6" w14:textId="77777777" w:rsidTr="005A0B5C">
        <w:tc>
          <w:tcPr>
            <w:tcW w:w="892" w:type="dxa"/>
            <w:tcMar>
              <w:top w:w="0" w:type="dxa"/>
              <w:left w:w="108" w:type="dxa"/>
              <w:bottom w:w="0" w:type="dxa"/>
              <w:right w:w="108" w:type="dxa"/>
            </w:tcMar>
            <w:vAlign w:val="center"/>
          </w:tcPr>
          <w:p w14:paraId="770FC7FC" w14:textId="77777777" w:rsidR="00A96E99" w:rsidRDefault="00A96E99" w:rsidP="005A0B5C">
            <w:pPr>
              <w:spacing w:after="0"/>
              <w:rPr>
                <w:rFonts w:cs="Arial"/>
                <w:sz w:val="16"/>
                <w:szCs w:val="16"/>
              </w:rPr>
            </w:pPr>
            <w:r>
              <w:rPr>
                <w:rFonts w:cs="Arial"/>
                <w:sz w:val="16"/>
                <w:szCs w:val="16"/>
              </w:rPr>
              <w:t>3.3</w:t>
            </w:r>
          </w:p>
        </w:tc>
        <w:tc>
          <w:tcPr>
            <w:tcW w:w="1559" w:type="dxa"/>
            <w:tcMar>
              <w:top w:w="0" w:type="dxa"/>
              <w:left w:w="108" w:type="dxa"/>
              <w:bottom w:w="0" w:type="dxa"/>
              <w:right w:w="108" w:type="dxa"/>
            </w:tcMar>
            <w:vAlign w:val="center"/>
          </w:tcPr>
          <w:p w14:paraId="33780502" w14:textId="77777777" w:rsidR="00A96E99" w:rsidRPr="00851535" w:rsidRDefault="00A96E99" w:rsidP="005A0B5C">
            <w:pPr>
              <w:spacing w:after="0"/>
              <w:rPr>
                <w:rFonts w:eastAsiaTheme="minorHAnsi" w:cs="Arial"/>
                <w:sz w:val="16"/>
                <w:szCs w:val="16"/>
              </w:rPr>
            </w:pPr>
            <w:r>
              <w:rPr>
                <w:rFonts w:eastAsiaTheme="minorHAnsi" w:cs="Arial"/>
                <w:sz w:val="16"/>
                <w:szCs w:val="16"/>
              </w:rPr>
              <w:t>September 2021</w:t>
            </w:r>
          </w:p>
        </w:tc>
        <w:tc>
          <w:tcPr>
            <w:tcW w:w="6406" w:type="dxa"/>
            <w:tcMar>
              <w:top w:w="0" w:type="dxa"/>
              <w:left w:w="108" w:type="dxa"/>
              <w:bottom w:w="0" w:type="dxa"/>
              <w:right w:w="108" w:type="dxa"/>
            </w:tcMar>
            <w:vAlign w:val="center"/>
          </w:tcPr>
          <w:p w14:paraId="1E64FE50" w14:textId="04CD3E84" w:rsidR="00A96E99" w:rsidRDefault="00A96E99" w:rsidP="005A0B5C">
            <w:pPr>
              <w:spacing w:after="0"/>
              <w:rPr>
                <w:rFonts w:cs="Arial"/>
                <w:sz w:val="16"/>
                <w:szCs w:val="16"/>
              </w:rPr>
            </w:pPr>
            <w:r>
              <w:rPr>
                <w:rFonts w:cs="Arial"/>
                <w:sz w:val="16"/>
                <w:szCs w:val="16"/>
              </w:rPr>
              <w:t>Draft for industry consultation U</w:t>
            </w:r>
            <w:r w:rsidRPr="00A96E99">
              <w:rPr>
                <w:rFonts w:cs="Arial"/>
                <w:sz w:val="16"/>
                <w:szCs w:val="16"/>
              </w:rPr>
              <w:t>pdates for consistency with procedures for space/space receive apparatus licences</w:t>
            </w:r>
            <w:r w:rsidR="009B0AB5">
              <w:rPr>
                <w:rFonts w:cs="Arial"/>
                <w:sz w:val="16"/>
                <w:szCs w:val="16"/>
              </w:rPr>
              <w:t xml:space="preserve">. Refer </w:t>
            </w:r>
            <w:r w:rsidR="009B0AB5" w:rsidRPr="0009485A">
              <w:rPr>
                <w:sz w:val="16"/>
                <w:szCs w:val="16"/>
              </w:rPr>
              <w:t xml:space="preserve">Updating regulatory requirements for earth stations in motion - </w:t>
            </w:r>
            <w:hyperlink r:id="rId24" w:history="1">
              <w:r w:rsidR="009B0AB5" w:rsidRPr="0009485A">
                <w:rPr>
                  <w:rStyle w:val="Hyperlink"/>
                  <w:rFonts w:cs="Arial"/>
                  <w:sz w:val="16"/>
                  <w:szCs w:val="16"/>
                </w:rPr>
                <w:t>consultation IFC 33/2021</w:t>
              </w:r>
            </w:hyperlink>
            <w:r w:rsidR="009B0AB5">
              <w:rPr>
                <w:rFonts w:cs="Arial"/>
                <w:sz w:val="16"/>
                <w:szCs w:val="16"/>
              </w:rPr>
              <w:t>.</w:t>
            </w:r>
          </w:p>
        </w:tc>
      </w:tr>
      <w:tr w:rsidR="00584E6D" w:rsidRPr="004B06F4" w14:paraId="43FDAA19" w14:textId="77777777" w:rsidTr="005A0B5C">
        <w:tc>
          <w:tcPr>
            <w:tcW w:w="892" w:type="dxa"/>
            <w:tcMar>
              <w:top w:w="0" w:type="dxa"/>
              <w:left w:w="108" w:type="dxa"/>
              <w:bottom w:w="0" w:type="dxa"/>
              <w:right w:w="108" w:type="dxa"/>
            </w:tcMar>
            <w:vAlign w:val="center"/>
          </w:tcPr>
          <w:p w14:paraId="3D4A5E37" w14:textId="2E0485E9" w:rsidR="00584E6D" w:rsidRDefault="00584E6D" w:rsidP="00584E6D">
            <w:pPr>
              <w:spacing w:after="0"/>
              <w:rPr>
                <w:rFonts w:cs="Arial"/>
                <w:sz w:val="16"/>
                <w:szCs w:val="16"/>
              </w:rPr>
            </w:pPr>
            <w:r>
              <w:rPr>
                <w:rFonts w:cs="Arial"/>
                <w:sz w:val="16"/>
                <w:szCs w:val="16"/>
              </w:rPr>
              <w:t>3.4</w:t>
            </w:r>
          </w:p>
        </w:tc>
        <w:tc>
          <w:tcPr>
            <w:tcW w:w="1559" w:type="dxa"/>
            <w:tcMar>
              <w:top w:w="0" w:type="dxa"/>
              <w:left w:w="108" w:type="dxa"/>
              <w:bottom w:w="0" w:type="dxa"/>
              <w:right w:w="108" w:type="dxa"/>
            </w:tcMar>
            <w:vAlign w:val="center"/>
          </w:tcPr>
          <w:p w14:paraId="690D34AD" w14:textId="3179B416" w:rsidR="00584E6D" w:rsidRDefault="00061CCF" w:rsidP="00584E6D">
            <w:pPr>
              <w:spacing w:after="0"/>
              <w:rPr>
                <w:rFonts w:eastAsiaTheme="minorHAnsi" w:cs="Arial"/>
                <w:sz w:val="16"/>
                <w:szCs w:val="16"/>
              </w:rPr>
            </w:pPr>
            <w:r>
              <w:rPr>
                <w:rFonts w:eastAsiaTheme="minorHAnsi" w:cs="Arial"/>
                <w:sz w:val="16"/>
                <w:szCs w:val="16"/>
              </w:rPr>
              <w:t>August</w:t>
            </w:r>
            <w:r w:rsidRPr="0040062B">
              <w:rPr>
                <w:rFonts w:eastAsiaTheme="minorHAnsi" w:cs="Arial"/>
                <w:sz w:val="16"/>
                <w:szCs w:val="16"/>
              </w:rPr>
              <w:t xml:space="preserve"> </w:t>
            </w:r>
            <w:r w:rsidR="00584E6D" w:rsidRPr="0040062B">
              <w:rPr>
                <w:rFonts w:eastAsiaTheme="minorHAnsi" w:cs="Arial"/>
                <w:sz w:val="16"/>
                <w:szCs w:val="16"/>
              </w:rPr>
              <w:t>2022</w:t>
            </w:r>
          </w:p>
        </w:tc>
        <w:tc>
          <w:tcPr>
            <w:tcW w:w="6406" w:type="dxa"/>
            <w:tcMar>
              <w:top w:w="0" w:type="dxa"/>
              <w:left w:w="108" w:type="dxa"/>
              <w:bottom w:w="0" w:type="dxa"/>
              <w:right w:w="108" w:type="dxa"/>
            </w:tcMar>
            <w:vAlign w:val="center"/>
          </w:tcPr>
          <w:p w14:paraId="04E0FF51" w14:textId="07F9ED92" w:rsidR="007F354F" w:rsidRDefault="00E54281" w:rsidP="00584E6D">
            <w:pPr>
              <w:spacing w:after="0"/>
              <w:rPr>
                <w:rFonts w:cs="Arial"/>
                <w:sz w:val="16"/>
                <w:szCs w:val="16"/>
              </w:rPr>
            </w:pPr>
            <w:r w:rsidRPr="00486E11">
              <w:rPr>
                <w:rFonts w:cs="Arial"/>
                <w:sz w:val="16"/>
                <w:szCs w:val="16"/>
              </w:rPr>
              <w:t>Finalisation of IFC 33/2021</w:t>
            </w:r>
            <w:r w:rsidR="0040062B">
              <w:rPr>
                <w:rFonts w:cs="Arial"/>
                <w:sz w:val="16"/>
                <w:szCs w:val="16"/>
              </w:rPr>
              <w:t xml:space="preserve"> </w:t>
            </w:r>
            <w:r w:rsidR="00584E6D">
              <w:rPr>
                <w:rFonts w:cs="Arial"/>
                <w:sz w:val="16"/>
                <w:szCs w:val="16"/>
              </w:rPr>
              <w:t>following industry consultation</w:t>
            </w:r>
            <w:r w:rsidR="00FC2BF6">
              <w:rPr>
                <w:rFonts w:cs="Arial"/>
                <w:sz w:val="16"/>
                <w:szCs w:val="16"/>
              </w:rPr>
              <w:t xml:space="preserve">, </w:t>
            </w:r>
            <w:r w:rsidR="007F354F">
              <w:rPr>
                <w:rFonts w:cs="Arial"/>
                <w:sz w:val="16"/>
                <w:szCs w:val="16"/>
              </w:rPr>
              <w:t xml:space="preserve">with following </w:t>
            </w:r>
            <w:r w:rsidR="006533E3">
              <w:rPr>
                <w:rFonts w:cs="Arial"/>
                <w:sz w:val="16"/>
                <w:szCs w:val="16"/>
              </w:rPr>
              <w:t>changes</w:t>
            </w:r>
            <w:r w:rsidR="007F354F">
              <w:rPr>
                <w:rFonts w:cs="Arial"/>
                <w:sz w:val="16"/>
                <w:szCs w:val="16"/>
              </w:rPr>
              <w:t>:</w:t>
            </w:r>
          </w:p>
          <w:p w14:paraId="6CAA9274" w14:textId="76A96532" w:rsidR="00AA5089" w:rsidRDefault="00720286" w:rsidP="007F354F">
            <w:pPr>
              <w:pStyle w:val="ListParagraph"/>
              <w:numPr>
                <w:ilvl w:val="0"/>
                <w:numId w:val="40"/>
              </w:numPr>
              <w:rPr>
                <w:rFonts w:cs="Arial"/>
                <w:sz w:val="16"/>
                <w:szCs w:val="16"/>
              </w:rPr>
            </w:pPr>
            <w:r>
              <w:rPr>
                <w:rFonts w:cs="Arial"/>
                <w:sz w:val="16"/>
                <w:szCs w:val="16"/>
              </w:rPr>
              <w:t xml:space="preserve">Included </w:t>
            </w:r>
            <w:r w:rsidR="00827D73">
              <w:rPr>
                <w:rFonts w:cs="Arial"/>
                <w:sz w:val="16"/>
                <w:szCs w:val="16"/>
              </w:rPr>
              <w:t>paragraph</w:t>
            </w:r>
            <w:r>
              <w:rPr>
                <w:rFonts w:cs="Arial"/>
                <w:sz w:val="16"/>
                <w:szCs w:val="16"/>
              </w:rPr>
              <w:t xml:space="preserve"> in background to </w:t>
            </w:r>
            <w:r w:rsidR="00710098">
              <w:rPr>
                <w:rFonts w:cs="Arial"/>
                <w:sz w:val="16"/>
                <w:szCs w:val="16"/>
              </w:rPr>
              <w:t>emphasise</w:t>
            </w:r>
            <w:r>
              <w:rPr>
                <w:rFonts w:cs="Arial"/>
                <w:sz w:val="16"/>
                <w:szCs w:val="16"/>
              </w:rPr>
              <w:t xml:space="preserve"> that the ACMA </w:t>
            </w:r>
            <w:r w:rsidR="00827D73" w:rsidRPr="00827D73">
              <w:rPr>
                <w:rFonts w:cs="Arial"/>
                <w:sz w:val="16"/>
                <w:szCs w:val="16"/>
              </w:rPr>
              <w:t>encourage</w:t>
            </w:r>
            <w:r w:rsidR="00AA5089">
              <w:rPr>
                <w:rFonts w:cs="Arial"/>
                <w:sz w:val="16"/>
                <w:szCs w:val="16"/>
              </w:rPr>
              <w:t>s</w:t>
            </w:r>
            <w:r w:rsidR="00827D73" w:rsidRPr="00827D73">
              <w:rPr>
                <w:rFonts w:cs="Arial"/>
                <w:sz w:val="16"/>
                <w:szCs w:val="16"/>
              </w:rPr>
              <w:t xml:space="preserve"> cooperation and coordination between satellite operators to achieve mutual benefit</w:t>
            </w:r>
            <w:r w:rsidR="005776AC">
              <w:rPr>
                <w:rFonts w:cs="Arial"/>
                <w:sz w:val="16"/>
                <w:szCs w:val="16"/>
              </w:rPr>
              <w:t>.</w:t>
            </w:r>
          </w:p>
          <w:p w14:paraId="7D461A17" w14:textId="7641AE65" w:rsidR="007F354F" w:rsidRDefault="005776AC" w:rsidP="007F354F">
            <w:pPr>
              <w:pStyle w:val="ListParagraph"/>
              <w:numPr>
                <w:ilvl w:val="0"/>
                <w:numId w:val="40"/>
              </w:numPr>
              <w:rPr>
                <w:rFonts w:cs="Arial"/>
                <w:sz w:val="16"/>
                <w:szCs w:val="16"/>
              </w:rPr>
            </w:pPr>
            <w:r>
              <w:rPr>
                <w:rFonts w:cs="Arial"/>
                <w:sz w:val="16"/>
                <w:szCs w:val="16"/>
              </w:rPr>
              <w:t>M</w:t>
            </w:r>
            <w:r w:rsidR="000E427F" w:rsidRPr="00ED6AC4">
              <w:rPr>
                <w:rFonts w:cs="Arial"/>
                <w:sz w:val="16"/>
                <w:szCs w:val="16"/>
              </w:rPr>
              <w:t xml:space="preserve">oved conditions </w:t>
            </w:r>
            <w:r w:rsidR="00513F14" w:rsidRPr="00ED6AC4">
              <w:rPr>
                <w:rFonts w:cs="Arial"/>
                <w:sz w:val="16"/>
                <w:szCs w:val="16"/>
              </w:rPr>
              <w:t xml:space="preserve">for </w:t>
            </w:r>
            <w:r w:rsidR="000E427F" w:rsidRPr="00ED6AC4">
              <w:rPr>
                <w:rFonts w:cs="Arial"/>
                <w:sz w:val="16"/>
                <w:szCs w:val="16"/>
              </w:rPr>
              <w:t xml:space="preserve">when </w:t>
            </w:r>
            <w:r w:rsidR="00FC2BF6" w:rsidRPr="00ED6AC4">
              <w:rPr>
                <w:rFonts w:cs="Arial"/>
                <w:sz w:val="16"/>
                <w:szCs w:val="16"/>
              </w:rPr>
              <w:t>Recorded in the MIFR with an unfavourable finding</w:t>
            </w:r>
            <w:r w:rsidR="000E427F" w:rsidRPr="00ED6AC4">
              <w:rPr>
                <w:rFonts w:cs="Arial"/>
                <w:sz w:val="16"/>
                <w:szCs w:val="16"/>
              </w:rPr>
              <w:t xml:space="preserve"> into a </w:t>
            </w:r>
            <w:r w:rsidR="00513F14" w:rsidRPr="00ED6AC4">
              <w:rPr>
                <w:rFonts w:cs="Arial"/>
                <w:sz w:val="16"/>
                <w:szCs w:val="16"/>
              </w:rPr>
              <w:t xml:space="preserve">separate </w:t>
            </w:r>
            <w:r w:rsidR="000E427F" w:rsidRPr="00ED6AC4">
              <w:rPr>
                <w:rFonts w:cs="Arial"/>
                <w:sz w:val="16"/>
                <w:szCs w:val="16"/>
              </w:rPr>
              <w:t xml:space="preserve">section </w:t>
            </w:r>
            <w:r w:rsidR="00513F14" w:rsidRPr="00ED6AC4">
              <w:rPr>
                <w:rFonts w:cs="Arial"/>
                <w:sz w:val="16"/>
                <w:szCs w:val="16"/>
              </w:rPr>
              <w:t>in Appendix A</w:t>
            </w:r>
            <w:r w:rsidR="00896799" w:rsidRPr="00ED6AC4">
              <w:rPr>
                <w:rFonts w:cs="Arial"/>
                <w:sz w:val="16"/>
                <w:szCs w:val="16"/>
              </w:rPr>
              <w:t xml:space="preserve"> for clarity</w:t>
            </w:r>
            <w:r w:rsidR="00C76AE6" w:rsidRPr="00ED6AC4">
              <w:rPr>
                <w:rFonts w:cs="Arial"/>
                <w:sz w:val="16"/>
                <w:szCs w:val="16"/>
              </w:rPr>
              <w:t xml:space="preserve">. </w:t>
            </w:r>
          </w:p>
          <w:p w14:paraId="3AAAC2BD" w14:textId="77FF4B34" w:rsidR="00584E6D" w:rsidRPr="00ED6AC4" w:rsidRDefault="007F354F" w:rsidP="00ED6AC4">
            <w:pPr>
              <w:pStyle w:val="ListParagraph"/>
              <w:numPr>
                <w:ilvl w:val="0"/>
                <w:numId w:val="40"/>
              </w:numPr>
              <w:rPr>
                <w:rFonts w:cs="Arial"/>
                <w:sz w:val="16"/>
                <w:szCs w:val="16"/>
              </w:rPr>
            </w:pPr>
            <w:r w:rsidRPr="00ED6AC4">
              <w:rPr>
                <w:rFonts w:cs="Arial"/>
                <w:sz w:val="16"/>
                <w:szCs w:val="16"/>
              </w:rPr>
              <w:t xml:space="preserve">Clarified </w:t>
            </w:r>
            <w:r w:rsidR="00B914AB">
              <w:rPr>
                <w:rFonts w:cs="Arial"/>
                <w:sz w:val="16"/>
                <w:szCs w:val="16"/>
              </w:rPr>
              <w:t xml:space="preserve">that Appendix </w:t>
            </w:r>
            <w:r w:rsidR="006533E3">
              <w:rPr>
                <w:rFonts w:cs="Arial"/>
                <w:sz w:val="16"/>
                <w:szCs w:val="16"/>
              </w:rPr>
              <w:t xml:space="preserve"> C </w:t>
            </w:r>
            <w:r w:rsidR="00B914AB">
              <w:rPr>
                <w:rFonts w:cs="Arial"/>
                <w:sz w:val="16"/>
                <w:szCs w:val="16"/>
              </w:rPr>
              <w:t xml:space="preserve">provides examples of </w:t>
            </w:r>
            <w:r w:rsidR="006533E3" w:rsidRPr="006533E3">
              <w:rPr>
                <w:rFonts w:cs="Arial"/>
                <w:sz w:val="16"/>
                <w:szCs w:val="16"/>
              </w:rPr>
              <w:t>Information required for regulatory assessment</w:t>
            </w:r>
            <w:r w:rsidR="006533E3">
              <w:rPr>
                <w:rFonts w:cs="Arial"/>
                <w:sz w:val="16"/>
                <w:szCs w:val="16"/>
              </w:rPr>
              <w:t xml:space="preserve"> and is </w:t>
            </w:r>
            <w:r w:rsidR="00F040F8">
              <w:rPr>
                <w:rFonts w:cs="Arial"/>
                <w:sz w:val="16"/>
                <w:szCs w:val="16"/>
              </w:rPr>
              <w:t xml:space="preserve">not </w:t>
            </w:r>
            <w:r w:rsidR="006533E3">
              <w:rPr>
                <w:rFonts w:cs="Arial"/>
                <w:sz w:val="16"/>
                <w:szCs w:val="16"/>
              </w:rPr>
              <w:t>a mandatory list</w:t>
            </w:r>
            <w:r w:rsidR="005776AC">
              <w:rPr>
                <w:rFonts w:cs="Arial"/>
                <w:sz w:val="16"/>
                <w:szCs w:val="16"/>
              </w:rPr>
              <w:t>.</w:t>
            </w:r>
          </w:p>
        </w:tc>
      </w:tr>
    </w:tbl>
    <w:p w14:paraId="57850EDE" w14:textId="7ACB7C8D" w:rsidR="00D16FE3" w:rsidRPr="00D16FE3" w:rsidRDefault="00D16FE3" w:rsidP="00D16FE3">
      <w:pPr>
        <w:pStyle w:val="ACMACorporateAddresses"/>
        <w:sectPr w:rsidR="00D16FE3" w:rsidRPr="00D16FE3" w:rsidSect="00A96E99">
          <w:pgSz w:w="11906" w:h="16838" w:code="9"/>
          <w:pgMar w:top="3924" w:right="1797" w:bottom="697" w:left="1134" w:header="709" w:footer="119" w:gutter="0"/>
          <w:cols w:space="708"/>
          <w:docGrid w:linePitch="360"/>
        </w:sectPr>
      </w:pPr>
    </w:p>
    <w:p w14:paraId="0CDE3955" w14:textId="5D0B1443" w:rsidR="00F851CC" w:rsidRDefault="007A6CC0">
      <w:pPr>
        <w:pStyle w:val="TOC1"/>
        <w:tabs>
          <w:tab w:val="left" w:pos="885"/>
        </w:tabs>
        <w:rPr>
          <w:rFonts w:asciiTheme="minorHAnsi" w:eastAsiaTheme="minorEastAsia" w:hAnsiTheme="minorHAnsi" w:cstheme="minorBidi"/>
          <w:b w:val="0"/>
          <w:spacing w:val="0"/>
          <w:sz w:val="22"/>
          <w:szCs w:val="22"/>
        </w:rPr>
      </w:pPr>
      <w:r>
        <w:rPr>
          <w:rFonts w:cs="Arial"/>
          <w:b w:val="0"/>
        </w:rPr>
        <w:lastRenderedPageBreak/>
        <w:fldChar w:fldCharType="begin"/>
      </w:r>
      <w:r>
        <w:rPr>
          <w:rFonts w:cs="Arial"/>
          <w:b w:val="0"/>
        </w:rPr>
        <w:instrText xml:space="preserve"> TOC \o "1-3" \t "ACMA_ExecSummaryHeading,1" </w:instrText>
      </w:r>
      <w:r>
        <w:rPr>
          <w:rFonts w:cs="Arial"/>
          <w:b w:val="0"/>
        </w:rPr>
        <w:fldChar w:fldCharType="separate"/>
      </w:r>
      <w:r w:rsidR="00F851CC">
        <w:t>1</w:t>
      </w:r>
      <w:r w:rsidR="00F851CC">
        <w:rPr>
          <w:rFonts w:asciiTheme="minorHAnsi" w:eastAsiaTheme="minorEastAsia" w:hAnsiTheme="minorHAnsi" w:cstheme="minorBidi"/>
          <w:b w:val="0"/>
          <w:spacing w:val="0"/>
          <w:sz w:val="22"/>
          <w:szCs w:val="22"/>
        </w:rPr>
        <w:tab/>
      </w:r>
      <w:r w:rsidR="00F851CC">
        <w:t>Purpose</w:t>
      </w:r>
      <w:r w:rsidR="00F851CC">
        <w:tab/>
      </w:r>
      <w:r w:rsidR="00F851CC">
        <w:fldChar w:fldCharType="begin"/>
      </w:r>
      <w:r w:rsidR="00F851CC">
        <w:instrText xml:space="preserve"> PAGEREF _Toc109221763 \h </w:instrText>
      </w:r>
      <w:r w:rsidR="00F851CC">
        <w:fldChar w:fldCharType="separate"/>
      </w:r>
      <w:r w:rsidR="003046C8">
        <w:t>1</w:t>
      </w:r>
      <w:r w:rsidR="00F851CC">
        <w:fldChar w:fldCharType="end"/>
      </w:r>
    </w:p>
    <w:p w14:paraId="444A2FC5" w14:textId="0184E970" w:rsidR="00F851CC" w:rsidRDefault="00F851CC">
      <w:pPr>
        <w:pStyle w:val="TOC1"/>
        <w:tabs>
          <w:tab w:val="left" w:pos="885"/>
        </w:tabs>
        <w:rPr>
          <w:rFonts w:asciiTheme="minorHAnsi" w:eastAsiaTheme="minorEastAsia" w:hAnsiTheme="minorHAnsi" w:cstheme="minorBidi"/>
          <w:b w:val="0"/>
          <w:spacing w:val="0"/>
          <w:sz w:val="22"/>
          <w:szCs w:val="22"/>
        </w:rPr>
      </w:pPr>
      <w:r>
        <w:t>2</w:t>
      </w:r>
      <w:r>
        <w:rPr>
          <w:rFonts w:asciiTheme="minorHAnsi" w:eastAsiaTheme="minorEastAsia" w:hAnsiTheme="minorHAnsi" w:cstheme="minorBidi"/>
          <w:b w:val="0"/>
          <w:spacing w:val="0"/>
          <w:sz w:val="22"/>
          <w:szCs w:val="22"/>
        </w:rPr>
        <w:tab/>
      </w:r>
      <w:r>
        <w:t>Background</w:t>
      </w:r>
      <w:r>
        <w:tab/>
      </w:r>
      <w:r>
        <w:fldChar w:fldCharType="begin"/>
      </w:r>
      <w:r>
        <w:instrText xml:space="preserve"> PAGEREF _Toc109221764 \h </w:instrText>
      </w:r>
      <w:r>
        <w:fldChar w:fldCharType="separate"/>
      </w:r>
      <w:r w:rsidR="003046C8">
        <w:t>1</w:t>
      </w:r>
      <w:r>
        <w:fldChar w:fldCharType="end"/>
      </w:r>
    </w:p>
    <w:p w14:paraId="6D1773C0" w14:textId="7B2FB558" w:rsidR="00F851CC" w:rsidRDefault="00F851CC">
      <w:pPr>
        <w:pStyle w:val="TOC1"/>
        <w:tabs>
          <w:tab w:val="left" w:pos="885"/>
        </w:tabs>
        <w:rPr>
          <w:rFonts w:asciiTheme="minorHAnsi" w:eastAsiaTheme="minorEastAsia" w:hAnsiTheme="minorHAnsi" w:cstheme="minorBidi"/>
          <w:b w:val="0"/>
          <w:spacing w:val="0"/>
          <w:sz w:val="22"/>
          <w:szCs w:val="22"/>
        </w:rPr>
      </w:pPr>
      <w:r>
        <w:t>3</w:t>
      </w:r>
      <w:r>
        <w:rPr>
          <w:rFonts w:asciiTheme="minorHAnsi" w:eastAsiaTheme="minorEastAsia" w:hAnsiTheme="minorHAnsi" w:cstheme="minorBidi"/>
          <w:b w:val="0"/>
          <w:spacing w:val="0"/>
          <w:sz w:val="22"/>
          <w:szCs w:val="22"/>
        </w:rPr>
        <w:tab/>
      </w:r>
      <w:r>
        <w:t>Regulatory considerations</w:t>
      </w:r>
      <w:r>
        <w:tab/>
      </w:r>
      <w:r>
        <w:fldChar w:fldCharType="begin"/>
      </w:r>
      <w:r>
        <w:instrText xml:space="preserve"> PAGEREF _Toc109221765 \h </w:instrText>
      </w:r>
      <w:r>
        <w:fldChar w:fldCharType="separate"/>
      </w:r>
      <w:r w:rsidR="003046C8">
        <w:t>2</w:t>
      </w:r>
      <w:r>
        <w:fldChar w:fldCharType="end"/>
      </w:r>
    </w:p>
    <w:p w14:paraId="37C08F20" w14:textId="532612CC" w:rsidR="00F851CC" w:rsidRDefault="00F851CC">
      <w:pPr>
        <w:pStyle w:val="TOC2"/>
        <w:rPr>
          <w:rFonts w:asciiTheme="minorHAnsi" w:eastAsiaTheme="minorEastAsia" w:hAnsiTheme="minorHAnsi" w:cstheme="minorBidi"/>
          <w:spacing w:val="0"/>
          <w:sz w:val="22"/>
          <w:szCs w:val="22"/>
        </w:rPr>
      </w:pPr>
      <w:r>
        <w:t>3.1</w:t>
      </w:r>
      <w:r>
        <w:rPr>
          <w:rFonts w:asciiTheme="minorHAnsi" w:eastAsiaTheme="minorEastAsia" w:hAnsiTheme="minorHAnsi" w:cstheme="minorBidi"/>
          <w:spacing w:val="0"/>
          <w:sz w:val="22"/>
          <w:szCs w:val="22"/>
        </w:rPr>
        <w:tab/>
      </w:r>
      <w:r>
        <w:t>Determining the ITU regulatory status</w:t>
      </w:r>
      <w:r>
        <w:tab/>
      </w:r>
      <w:r>
        <w:fldChar w:fldCharType="begin"/>
      </w:r>
      <w:r>
        <w:instrText xml:space="preserve"> PAGEREF _Toc109221766 \h </w:instrText>
      </w:r>
      <w:r>
        <w:fldChar w:fldCharType="separate"/>
      </w:r>
      <w:r w:rsidR="003046C8">
        <w:t>2</w:t>
      </w:r>
      <w:r>
        <w:fldChar w:fldCharType="end"/>
      </w:r>
    </w:p>
    <w:p w14:paraId="713F9A8F" w14:textId="3E29BB66" w:rsidR="00F851CC" w:rsidRDefault="00F851CC">
      <w:pPr>
        <w:pStyle w:val="TOC3"/>
        <w:tabs>
          <w:tab w:val="left" w:pos="885"/>
        </w:tabs>
        <w:rPr>
          <w:rFonts w:asciiTheme="minorHAnsi" w:eastAsiaTheme="minorEastAsia" w:hAnsiTheme="minorHAnsi" w:cstheme="minorBidi"/>
        </w:rPr>
      </w:pPr>
      <w:r>
        <w:t>3.1.1</w:t>
      </w:r>
      <w:r>
        <w:rPr>
          <w:rFonts w:asciiTheme="minorHAnsi" w:eastAsiaTheme="minorEastAsia" w:hAnsiTheme="minorHAnsi" w:cstheme="minorBidi"/>
        </w:rPr>
        <w:tab/>
      </w:r>
      <w:r>
        <w:t>Recorded in the MIFR with favourable finding</w:t>
      </w:r>
      <w:r>
        <w:tab/>
      </w:r>
      <w:r>
        <w:fldChar w:fldCharType="begin"/>
      </w:r>
      <w:r>
        <w:instrText xml:space="preserve"> PAGEREF _Toc109221767 \h </w:instrText>
      </w:r>
      <w:r>
        <w:fldChar w:fldCharType="separate"/>
      </w:r>
      <w:r w:rsidR="003046C8">
        <w:t>3</w:t>
      </w:r>
      <w:r>
        <w:fldChar w:fldCharType="end"/>
      </w:r>
    </w:p>
    <w:p w14:paraId="30195B48" w14:textId="42916385" w:rsidR="00F851CC" w:rsidRDefault="00F851CC">
      <w:pPr>
        <w:pStyle w:val="TOC3"/>
        <w:tabs>
          <w:tab w:val="left" w:pos="885"/>
        </w:tabs>
        <w:rPr>
          <w:rFonts w:asciiTheme="minorHAnsi" w:eastAsiaTheme="minorEastAsia" w:hAnsiTheme="minorHAnsi" w:cstheme="minorBidi"/>
        </w:rPr>
      </w:pPr>
      <w:r>
        <w:t>3.1.2</w:t>
      </w:r>
      <w:r>
        <w:rPr>
          <w:rFonts w:asciiTheme="minorHAnsi" w:eastAsiaTheme="minorEastAsia" w:hAnsiTheme="minorHAnsi" w:cstheme="minorBidi"/>
        </w:rPr>
        <w:tab/>
      </w:r>
      <w:r>
        <w:t>Recorded in the MIFR and 11.41</w:t>
      </w:r>
      <w:r>
        <w:tab/>
      </w:r>
      <w:r>
        <w:fldChar w:fldCharType="begin"/>
      </w:r>
      <w:r>
        <w:instrText xml:space="preserve"> PAGEREF _Toc109221768 \h </w:instrText>
      </w:r>
      <w:r>
        <w:fldChar w:fldCharType="separate"/>
      </w:r>
      <w:r w:rsidR="003046C8">
        <w:t>3</w:t>
      </w:r>
      <w:r>
        <w:fldChar w:fldCharType="end"/>
      </w:r>
    </w:p>
    <w:p w14:paraId="57CFB265" w14:textId="4CBADE40" w:rsidR="00F851CC" w:rsidRDefault="00F851CC">
      <w:pPr>
        <w:pStyle w:val="TOC3"/>
        <w:tabs>
          <w:tab w:val="left" w:pos="885"/>
        </w:tabs>
        <w:rPr>
          <w:rFonts w:asciiTheme="minorHAnsi" w:eastAsiaTheme="minorEastAsia" w:hAnsiTheme="minorHAnsi" w:cstheme="minorBidi"/>
        </w:rPr>
      </w:pPr>
      <w:r>
        <w:t>3.1.3</w:t>
      </w:r>
      <w:r>
        <w:rPr>
          <w:rFonts w:asciiTheme="minorHAnsi" w:eastAsiaTheme="minorEastAsia" w:hAnsiTheme="minorHAnsi" w:cstheme="minorBidi"/>
        </w:rPr>
        <w:tab/>
      </w:r>
      <w:r>
        <w:t>Not recorded in the MIFR</w:t>
      </w:r>
      <w:r>
        <w:tab/>
      </w:r>
      <w:r>
        <w:fldChar w:fldCharType="begin"/>
      </w:r>
      <w:r>
        <w:instrText xml:space="preserve"> PAGEREF _Toc109221769 \h </w:instrText>
      </w:r>
      <w:r>
        <w:fldChar w:fldCharType="separate"/>
      </w:r>
      <w:r w:rsidR="003046C8">
        <w:t>3</w:t>
      </w:r>
      <w:r>
        <w:fldChar w:fldCharType="end"/>
      </w:r>
    </w:p>
    <w:p w14:paraId="55FBB358" w14:textId="20F9F83B" w:rsidR="00F851CC" w:rsidRDefault="00F851CC">
      <w:pPr>
        <w:pStyle w:val="TOC2"/>
        <w:rPr>
          <w:rFonts w:asciiTheme="minorHAnsi" w:eastAsiaTheme="minorEastAsia" w:hAnsiTheme="minorHAnsi" w:cstheme="minorBidi"/>
          <w:spacing w:val="0"/>
          <w:sz w:val="22"/>
          <w:szCs w:val="22"/>
        </w:rPr>
      </w:pPr>
      <w:r>
        <w:t>3.2</w:t>
      </w:r>
      <w:r>
        <w:rPr>
          <w:rFonts w:asciiTheme="minorHAnsi" w:eastAsiaTheme="minorEastAsia" w:hAnsiTheme="minorHAnsi" w:cstheme="minorBidi"/>
          <w:spacing w:val="0"/>
          <w:sz w:val="22"/>
          <w:szCs w:val="22"/>
        </w:rPr>
        <w:tab/>
      </w:r>
      <w:r>
        <w:t>Checking consistency with ITU registration details of the satellite network and proposed use</w:t>
      </w:r>
      <w:r>
        <w:tab/>
      </w:r>
      <w:r>
        <w:fldChar w:fldCharType="begin"/>
      </w:r>
      <w:r>
        <w:instrText xml:space="preserve"> PAGEREF _Toc109221770 \h </w:instrText>
      </w:r>
      <w:r>
        <w:fldChar w:fldCharType="separate"/>
      </w:r>
      <w:r w:rsidR="003046C8">
        <w:t>3</w:t>
      </w:r>
      <w:r>
        <w:fldChar w:fldCharType="end"/>
      </w:r>
    </w:p>
    <w:p w14:paraId="341C0AF7" w14:textId="213BA3E2" w:rsidR="00F851CC" w:rsidRDefault="00F851CC">
      <w:pPr>
        <w:pStyle w:val="TOC2"/>
        <w:rPr>
          <w:rFonts w:asciiTheme="minorHAnsi" w:eastAsiaTheme="minorEastAsia" w:hAnsiTheme="minorHAnsi" w:cstheme="minorBidi"/>
          <w:spacing w:val="0"/>
          <w:sz w:val="22"/>
          <w:szCs w:val="22"/>
        </w:rPr>
      </w:pPr>
      <w:r>
        <w:t>3.3</w:t>
      </w:r>
      <w:r>
        <w:rPr>
          <w:rFonts w:asciiTheme="minorHAnsi" w:eastAsiaTheme="minorEastAsia" w:hAnsiTheme="minorHAnsi" w:cstheme="minorBidi"/>
          <w:spacing w:val="0"/>
          <w:sz w:val="22"/>
          <w:szCs w:val="22"/>
        </w:rPr>
        <w:tab/>
      </w:r>
      <w:r>
        <w:t>Launch and transfer orbit support services and/or in-orbit testing</w:t>
      </w:r>
      <w:r>
        <w:tab/>
      </w:r>
      <w:r>
        <w:fldChar w:fldCharType="begin"/>
      </w:r>
      <w:r>
        <w:instrText xml:space="preserve"> PAGEREF _Toc109221771 \h </w:instrText>
      </w:r>
      <w:r>
        <w:fldChar w:fldCharType="separate"/>
      </w:r>
      <w:r w:rsidR="003046C8">
        <w:t>4</w:t>
      </w:r>
      <w:r>
        <w:fldChar w:fldCharType="end"/>
      </w:r>
    </w:p>
    <w:p w14:paraId="32DD70F6" w14:textId="2147A13B" w:rsidR="00F851CC" w:rsidRDefault="00F851CC">
      <w:pPr>
        <w:pStyle w:val="TOC2"/>
        <w:rPr>
          <w:rFonts w:asciiTheme="minorHAnsi" w:eastAsiaTheme="minorEastAsia" w:hAnsiTheme="minorHAnsi" w:cstheme="minorBidi"/>
          <w:spacing w:val="0"/>
          <w:sz w:val="22"/>
          <w:szCs w:val="22"/>
        </w:rPr>
      </w:pPr>
      <w:r>
        <w:t>3.4</w:t>
      </w:r>
      <w:r>
        <w:rPr>
          <w:rFonts w:asciiTheme="minorHAnsi" w:eastAsiaTheme="minorEastAsia" w:hAnsiTheme="minorHAnsi" w:cstheme="minorBidi"/>
          <w:spacing w:val="0"/>
          <w:sz w:val="22"/>
          <w:szCs w:val="22"/>
        </w:rPr>
        <w:tab/>
      </w:r>
      <w:r>
        <w:t>Information required for regulatory assessment</w:t>
      </w:r>
      <w:r>
        <w:tab/>
      </w:r>
      <w:r>
        <w:fldChar w:fldCharType="begin"/>
      </w:r>
      <w:r>
        <w:instrText xml:space="preserve"> PAGEREF _Toc109221772 \h </w:instrText>
      </w:r>
      <w:r>
        <w:fldChar w:fldCharType="separate"/>
      </w:r>
      <w:r w:rsidR="003046C8">
        <w:t>4</w:t>
      </w:r>
      <w:r>
        <w:fldChar w:fldCharType="end"/>
      </w:r>
    </w:p>
    <w:p w14:paraId="74434EED" w14:textId="4B61D039" w:rsidR="00F851CC" w:rsidRDefault="00F851CC">
      <w:pPr>
        <w:pStyle w:val="TOC2"/>
        <w:rPr>
          <w:rFonts w:asciiTheme="minorHAnsi" w:eastAsiaTheme="minorEastAsia" w:hAnsiTheme="minorHAnsi" w:cstheme="minorBidi"/>
          <w:spacing w:val="0"/>
          <w:sz w:val="22"/>
          <w:szCs w:val="22"/>
        </w:rPr>
      </w:pPr>
      <w:r>
        <w:t>3.5</w:t>
      </w:r>
      <w:r>
        <w:rPr>
          <w:rFonts w:asciiTheme="minorHAnsi" w:eastAsiaTheme="minorEastAsia" w:hAnsiTheme="minorHAnsi" w:cstheme="minorBidi"/>
          <w:spacing w:val="0"/>
          <w:sz w:val="22"/>
          <w:szCs w:val="22"/>
        </w:rPr>
        <w:tab/>
      </w:r>
      <w:r>
        <w:t>Interference management requirements</w:t>
      </w:r>
      <w:r>
        <w:tab/>
      </w:r>
      <w:r>
        <w:fldChar w:fldCharType="begin"/>
      </w:r>
      <w:r>
        <w:instrText xml:space="preserve"> PAGEREF _Toc109221773 \h </w:instrText>
      </w:r>
      <w:r>
        <w:fldChar w:fldCharType="separate"/>
      </w:r>
      <w:r w:rsidR="003046C8">
        <w:t>5</w:t>
      </w:r>
      <w:r>
        <w:fldChar w:fldCharType="end"/>
      </w:r>
    </w:p>
    <w:p w14:paraId="5537D7D4" w14:textId="3668E188" w:rsidR="00F851CC" w:rsidRDefault="00F851CC">
      <w:pPr>
        <w:pStyle w:val="TOC3"/>
        <w:tabs>
          <w:tab w:val="left" w:pos="885"/>
        </w:tabs>
        <w:rPr>
          <w:rFonts w:asciiTheme="minorHAnsi" w:eastAsiaTheme="minorEastAsia" w:hAnsiTheme="minorHAnsi" w:cstheme="minorBidi"/>
        </w:rPr>
      </w:pPr>
      <w:r>
        <w:t>3.5.1</w:t>
      </w:r>
      <w:r>
        <w:rPr>
          <w:rFonts w:asciiTheme="minorHAnsi" w:eastAsiaTheme="minorEastAsia" w:hAnsiTheme="minorHAnsi" w:cstheme="minorBidi"/>
        </w:rPr>
        <w:tab/>
      </w:r>
      <w:r>
        <w:t>Interference point of contact</w:t>
      </w:r>
      <w:r>
        <w:tab/>
      </w:r>
      <w:r>
        <w:fldChar w:fldCharType="begin"/>
      </w:r>
      <w:r>
        <w:instrText xml:space="preserve"> PAGEREF _Toc109221774 \h </w:instrText>
      </w:r>
      <w:r>
        <w:fldChar w:fldCharType="separate"/>
      </w:r>
      <w:r w:rsidR="003046C8">
        <w:t>5</w:t>
      </w:r>
      <w:r>
        <w:fldChar w:fldCharType="end"/>
      </w:r>
    </w:p>
    <w:p w14:paraId="5A5FB210" w14:textId="67A8D0DB" w:rsidR="00F851CC" w:rsidRDefault="00F851CC">
      <w:pPr>
        <w:pStyle w:val="TOC3"/>
        <w:tabs>
          <w:tab w:val="left" w:pos="885"/>
        </w:tabs>
        <w:rPr>
          <w:rFonts w:asciiTheme="minorHAnsi" w:eastAsiaTheme="minorEastAsia" w:hAnsiTheme="minorHAnsi" w:cstheme="minorBidi"/>
        </w:rPr>
      </w:pPr>
      <w:r>
        <w:t>3.5.2</w:t>
      </w:r>
      <w:r>
        <w:rPr>
          <w:rFonts w:asciiTheme="minorHAnsi" w:eastAsiaTheme="minorEastAsia" w:hAnsiTheme="minorHAnsi" w:cstheme="minorBidi"/>
        </w:rPr>
        <w:tab/>
      </w:r>
      <w:r>
        <w:t>Very large earth stations</w:t>
      </w:r>
      <w:r>
        <w:tab/>
      </w:r>
      <w:r>
        <w:fldChar w:fldCharType="begin"/>
      </w:r>
      <w:r>
        <w:instrText xml:space="preserve"> PAGEREF _Toc109221775 \h </w:instrText>
      </w:r>
      <w:r>
        <w:fldChar w:fldCharType="separate"/>
      </w:r>
      <w:r w:rsidR="003046C8">
        <w:t>5</w:t>
      </w:r>
      <w:r>
        <w:fldChar w:fldCharType="end"/>
      </w:r>
    </w:p>
    <w:p w14:paraId="243EE5AF" w14:textId="7B805810" w:rsidR="00F851CC" w:rsidRDefault="00F851CC">
      <w:pPr>
        <w:pStyle w:val="TOC3"/>
        <w:tabs>
          <w:tab w:val="left" w:pos="885"/>
        </w:tabs>
        <w:rPr>
          <w:rFonts w:asciiTheme="minorHAnsi" w:eastAsiaTheme="minorEastAsia" w:hAnsiTheme="minorHAnsi" w:cstheme="minorBidi"/>
        </w:rPr>
      </w:pPr>
      <w:r>
        <w:t>3.5.3</w:t>
      </w:r>
      <w:r>
        <w:rPr>
          <w:rFonts w:asciiTheme="minorHAnsi" w:eastAsiaTheme="minorEastAsia" w:hAnsiTheme="minorHAnsi" w:cstheme="minorBidi"/>
        </w:rPr>
        <w:tab/>
      </w:r>
      <w:r>
        <w:t>Protection for the Mid-West Radio Quiet Zone</w:t>
      </w:r>
      <w:r>
        <w:tab/>
      </w:r>
      <w:r>
        <w:fldChar w:fldCharType="begin"/>
      </w:r>
      <w:r>
        <w:instrText xml:space="preserve"> PAGEREF _Toc109221776 \h </w:instrText>
      </w:r>
      <w:r>
        <w:fldChar w:fldCharType="separate"/>
      </w:r>
      <w:r w:rsidR="003046C8">
        <w:t>5</w:t>
      </w:r>
      <w:r>
        <w:fldChar w:fldCharType="end"/>
      </w:r>
    </w:p>
    <w:p w14:paraId="1BFE2432" w14:textId="18056288" w:rsidR="00F851CC" w:rsidRDefault="00F851CC">
      <w:pPr>
        <w:pStyle w:val="TOC1"/>
        <w:tabs>
          <w:tab w:val="left" w:pos="885"/>
        </w:tabs>
        <w:rPr>
          <w:rFonts w:asciiTheme="minorHAnsi" w:eastAsiaTheme="minorEastAsia" w:hAnsiTheme="minorHAnsi" w:cstheme="minorBidi"/>
          <w:b w:val="0"/>
          <w:spacing w:val="0"/>
          <w:sz w:val="22"/>
          <w:szCs w:val="22"/>
        </w:rPr>
      </w:pPr>
      <w:r>
        <w:t>4</w:t>
      </w:r>
      <w:r>
        <w:rPr>
          <w:rFonts w:asciiTheme="minorHAnsi" w:eastAsiaTheme="minorEastAsia" w:hAnsiTheme="minorHAnsi" w:cstheme="minorBidi"/>
          <w:b w:val="0"/>
          <w:spacing w:val="0"/>
          <w:sz w:val="22"/>
          <w:szCs w:val="22"/>
        </w:rPr>
        <w:tab/>
      </w:r>
      <w:r>
        <w:t>Consultation with relevant government organisations</w:t>
      </w:r>
      <w:r>
        <w:tab/>
      </w:r>
      <w:r>
        <w:fldChar w:fldCharType="begin"/>
      </w:r>
      <w:r>
        <w:instrText xml:space="preserve"> PAGEREF _Toc109221777 \h </w:instrText>
      </w:r>
      <w:r>
        <w:fldChar w:fldCharType="separate"/>
      </w:r>
      <w:r w:rsidR="003046C8">
        <w:t>6</w:t>
      </w:r>
      <w:r>
        <w:fldChar w:fldCharType="end"/>
      </w:r>
    </w:p>
    <w:p w14:paraId="7FBF5FC9" w14:textId="55FDA066" w:rsidR="00F851CC" w:rsidRDefault="00F851CC">
      <w:pPr>
        <w:pStyle w:val="TOC1"/>
        <w:tabs>
          <w:tab w:val="left" w:pos="885"/>
        </w:tabs>
        <w:rPr>
          <w:rFonts w:asciiTheme="minorHAnsi" w:eastAsiaTheme="minorEastAsia" w:hAnsiTheme="minorHAnsi" w:cstheme="minorBidi"/>
          <w:b w:val="0"/>
          <w:spacing w:val="0"/>
          <w:sz w:val="22"/>
          <w:szCs w:val="22"/>
        </w:rPr>
      </w:pPr>
      <w:r>
        <w:t>5</w:t>
      </w:r>
      <w:r>
        <w:rPr>
          <w:rFonts w:asciiTheme="minorHAnsi" w:eastAsiaTheme="minorEastAsia" w:hAnsiTheme="minorHAnsi" w:cstheme="minorBidi"/>
          <w:b w:val="0"/>
          <w:spacing w:val="0"/>
          <w:sz w:val="22"/>
          <w:szCs w:val="22"/>
        </w:rPr>
        <w:tab/>
      </w:r>
      <w:r>
        <w:t>Frequency coordination</w:t>
      </w:r>
      <w:r>
        <w:tab/>
      </w:r>
      <w:r>
        <w:fldChar w:fldCharType="begin"/>
      </w:r>
      <w:r>
        <w:instrText xml:space="preserve"> PAGEREF _Toc109221778 \h </w:instrText>
      </w:r>
      <w:r>
        <w:fldChar w:fldCharType="separate"/>
      </w:r>
      <w:r w:rsidR="003046C8">
        <w:t>6</w:t>
      </w:r>
      <w:r>
        <w:fldChar w:fldCharType="end"/>
      </w:r>
    </w:p>
    <w:p w14:paraId="6BCAA91D" w14:textId="4462C09D" w:rsidR="00F851CC" w:rsidRDefault="00F851CC">
      <w:pPr>
        <w:pStyle w:val="TOC1"/>
        <w:tabs>
          <w:tab w:val="left" w:pos="885"/>
        </w:tabs>
        <w:rPr>
          <w:rFonts w:asciiTheme="minorHAnsi" w:eastAsiaTheme="minorEastAsia" w:hAnsiTheme="minorHAnsi" w:cstheme="minorBidi"/>
          <w:b w:val="0"/>
          <w:spacing w:val="0"/>
          <w:sz w:val="22"/>
          <w:szCs w:val="22"/>
        </w:rPr>
      </w:pPr>
      <w:r>
        <w:t>6</w:t>
      </w:r>
      <w:r>
        <w:rPr>
          <w:rFonts w:asciiTheme="minorHAnsi" w:eastAsiaTheme="minorEastAsia" w:hAnsiTheme="minorHAnsi" w:cstheme="minorBidi"/>
          <w:b w:val="0"/>
          <w:spacing w:val="0"/>
          <w:sz w:val="22"/>
          <w:szCs w:val="22"/>
        </w:rPr>
        <w:tab/>
      </w:r>
      <w:r>
        <w:t>Licensing arrangements for fixed earth stations</w:t>
      </w:r>
      <w:r>
        <w:tab/>
      </w:r>
      <w:r>
        <w:fldChar w:fldCharType="begin"/>
      </w:r>
      <w:r>
        <w:instrText xml:space="preserve"> PAGEREF _Toc109221779 \h </w:instrText>
      </w:r>
      <w:r>
        <w:fldChar w:fldCharType="separate"/>
      </w:r>
      <w:r w:rsidR="003046C8">
        <w:t>6</w:t>
      </w:r>
      <w:r>
        <w:fldChar w:fldCharType="end"/>
      </w:r>
    </w:p>
    <w:p w14:paraId="58C6AA8E" w14:textId="37893C10" w:rsidR="00F851CC" w:rsidRDefault="00F851CC">
      <w:pPr>
        <w:pStyle w:val="TOC2"/>
        <w:rPr>
          <w:rFonts w:asciiTheme="minorHAnsi" w:eastAsiaTheme="minorEastAsia" w:hAnsiTheme="minorHAnsi" w:cstheme="minorBidi"/>
          <w:spacing w:val="0"/>
          <w:sz w:val="22"/>
          <w:szCs w:val="22"/>
        </w:rPr>
      </w:pPr>
      <w:r>
        <w:t>6.1</w:t>
      </w:r>
      <w:r>
        <w:rPr>
          <w:rFonts w:asciiTheme="minorHAnsi" w:eastAsiaTheme="minorEastAsia" w:hAnsiTheme="minorHAnsi" w:cstheme="minorBidi"/>
          <w:spacing w:val="0"/>
          <w:sz w:val="22"/>
          <w:szCs w:val="22"/>
        </w:rPr>
        <w:tab/>
      </w:r>
      <w:r>
        <w:t>General licensing arrangements</w:t>
      </w:r>
      <w:r>
        <w:tab/>
      </w:r>
      <w:r>
        <w:fldChar w:fldCharType="begin"/>
      </w:r>
      <w:r>
        <w:instrText xml:space="preserve"> PAGEREF _Toc109221780 \h </w:instrText>
      </w:r>
      <w:r>
        <w:fldChar w:fldCharType="separate"/>
      </w:r>
      <w:r w:rsidR="003046C8">
        <w:t>6</w:t>
      </w:r>
      <w:r>
        <w:fldChar w:fldCharType="end"/>
      </w:r>
    </w:p>
    <w:p w14:paraId="5889EE83" w14:textId="6429CAEC" w:rsidR="00F851CC" w:rsidRDefault="00F851CC">
      <w:pPr>
        <w:pStyle w:val="TOC2"/>
        <w:rPr>
          <w:rFonts w:asciiTheme="minorHAnsi" w:eastAsiaTheme="minorEastAsia" w:hAnsiTheme="minorHAnsi" w:cstheme="minorBidi"/>
          <w:spacing w:val="0"/>
          <w:sz w:val="22"/>
          <w:szCs w:val="22"/>
        </w:rPr>
      </w:pPr>
      <w:r>
        <w:t>6.2</w:t>
      </w:r>
      <w:r>
        <w:rPr>
          <w:rFonts w:asciiTheme="minorHAnsi" w:eastAsiaTheme="minorEastAsia" w:hAnsiTheme="minorHAnsi" w:cstheme="minorBidi"/>
          <w:spacing w:val="0"/>
          <w:sz w:val="22"/>
          <w:szCs w:val="22"/>
        </w:rPr>
        <w:tab/>
      </w:r>
      <w:r>
        <w:t>Earth stations authorised under an AWL</w:t>
      </w:r>
      <w:r>
        <w:tab/>
      </w:r>
      <w:r>
        <w:fldChar w:fldCharType="begin"/>
      </w:r>
      <w:r>
        <w:instrText xml:space="preserve"> PAGEREF _Toc109221781 \h </w:instrText>
      </w:r>
      <w:r>
        <w:fldChar w:fldCharType="separate"/>
      </w:r>
      <w:r w:rsidR="003046C8">
        <w:t>7</w:t>
      </w:r>
      <w:r>
        <w:fldChar w:fldCharType="end"/>
      </w:r>
    </w:p>
    <w:p w14:paraId="3E900B21" w14:textId="5CA50153" w:rsidR="00F851CC" w:rsidRDefault="00F851CC">
      <w:pPr>
        <w:pStyle w:val="TOC1"/>
        <w:tabs>
          <w:tab w:val="left" w:pos="885"/>
        </w:tabs>
        <w:rPr>
          <w:rFonts w:asciiTheme="minorHAnsi" w:eastAsiaTheme="minorEastAsia" w:hAnsiTheme="minorHAnsi" w:cstheme="minorBidi"/>
          <w:b w:val="0"/>
          <w:spacing w:val="0"/>
          <w:sz w:val="22"/>
          <w:szCs w:val="22"/>
        </w:rPr>
      </w:pPr>
      <w:r>
        <w:t>7</w:t>
      </w:r>
      <w:r>
        <w:rPr>
          <w:rFonts w:asciiTheme="minorHAnsi" w:eastAsiaTheme="minorEastAsia" w:hAnsiTheme="minorHAnsi" w:cstheme="minorBidi"/>
          <w:b w:val="0"/>
          <w:spacing w:val="0"/>
          <w:sz w:val="22"/>
          <w:szCs w:val="22"/>
        </w:rPr>
        <w:tab/>
      </w:r>
      <w:r>
        <w:t>Special licence conditions and advisory notes</w:t>
      </w:r>
      <w:r>
        <w:tab/>
      </w:r>
      <w:r>
        <w:fldChar w:fldCharType="begin"/>
      </w:r>
      <w:r>
        <w:instrText xml:space="preserve"> PAGEREF _Toc109221782 \h </w:instrText>
      </w:r>
      <w:r>
        <w:fldChar w:fldCharType="separate"/>
      </w:r>
      <w:r w:rsidR="003046C8">
        <w:t>8</w:t>
      </w:r>
      <w:r>
        <w:fldChar w:fldCharType="end"/>
      </w:r>
    </w:p>
    <w:p w14:paraId="3707CE46" w14:textId="073A79A2" w:rsidR="00F851CC" w:rsidRDefault="00F851CC">
      <w:pPr>
        <w:pStyle w:val="TOC1"/>
        <w:tabs>
          <w:tab w:val="left" w:pos="885"/>
        </w:tabs>
        <w:rPr>
          <w:rFonts w:asciiTheme="minorHAnsi" w:eastAsiaTheme="minorEastAsia" w:hAnsiTheme="minorHAnsi" w:cstheme="minorBidi"/>
          <w:b w:val="0"/>
          <w:spacing w:val="0"/>
          <w:sz w:val="22"/>
          <w:szCs w:val="22"/>
        </w:rPr>
      </w:pPr>
      <w:r>
        <w:t>8</w:t>
      </w:r>
      <w:r>
        <w:rPr>
          <w:rFonts w:asciiTheme="minorHAnsi" w:eastAsiaTheme="minorEastAsia" w:hAnsiTheme="minorHAnsi" w:cstheme="minorBidi"/>
          <w:b w:val="0"/>
          <w:spacing w:val="0"/>
          <w:sz w:val="22"/>
          <w:szCs w:val="22"/>
        </w:rPr>
        <w:tab/>
      </w:r>
      <w:r>
        <w:t>Further information</w:t>
      </w:r>
      <w:r>
        <w:tab/>
      </w:r>
      <w:r>
        <w:fldChar w:fldCharType="begin"/>
      </w:r>
      <w:r>
        <w:instrText xml:space="preserve"> PAGEREF _Toc109221783 \h </w:instrText>
      </w:r>
      <w:r>
        <w:fldChar w:fldCharType="separate"/>
      </w:r>
      <w:r w:rsidR="003046C8">
        <w:t>8</w:t>
      </w:r>
      <w:r>
        <w:fldChar w:fldCharType="end"/>
      </w:r>
    </w:p>
    <w:p w14:paraId="418132BD" w14:textId="132483BA" w:rsidR="00F851CC" w:rsidRDefault="00F851CC">
      <w:pPr>
        <w:pStyle w:val="TOC1"/>
        <w:tabs>
          <w:tab w:val="left" w:pos="1760"/>
        </w:tabs>
        <w:rPr>
          <w:rFonts w:asciiTheme="minorHAnsi" w:eastAsiaTheme="minorEastAsia" w:hAnsiTheme="minorHAnsi" w:cstheme="minorBidi"/>
          <w:b w:val="0"/>
          <w:spacing w:val="0"/>
          <w:sz w:val="22"/>
          <w:szCs w:val="22"/>
        </w:rPr>
      </w:pPr>
      <w:r w:rsidRPr="00643119">
        <w:t>Appendix A:</w:t>
      </w:r>
      <w:r>
        <w:rPr>
          <w:rFonts w:asciiTheme="minorHAnsi" w:eastAsiaTheme="minorEastAsia" w:hAnsiTheme="minorHAnsi" w:cstheme="minorBidi"/>
          <w:b w:val="0"/>
          <w:spacing w:val="0"/>
          <w:sz w:val="22"/>
          <w:szCs w:val="22"/>
        </w:rPr>
        <w:tab/>
      </w:r>
      <w:r w:rsidRPr="00643119">
        <w:t>Standard special conditions and advisory notes</w:t>
      </w:r>
      <w:r>
        <w:tab/>
      </w:r>
      <w:r w:rsidR="008109AB">
        <w:tab/>
      </w:r>
      <w:r>
        <w:fldChar w:fldCharType="begin"/>
      </w:r>
      <w:r>
        <w:instrText xml:space="preserve"> PAGEREF _Toc109221784 \h </w:instrText>
      </w:r>
      <w:r>
        <w:fldChar w:fldCharType="separate"/>
      </w:r>
      <w:r w:rsidR="003046C8">
        <w:t>9</w:t>
      </w:r>
      <w:r>
        <w:fldChar w:fldCharType="end"/>
      </w:r>
    </w:p>
    <w:p w14:paraId="1484584D" w14:textId="3872DADC" w:rsidR="00F851CC" w:rsidRDefault="00F851CC">
      <w:pPr>
        <w:pStyle w:val="TOC2"/>
        <w:rPr>
          <w:rFonts w:asciiTheme="minorHAnsi" w:eastAsiaTheme="minorEastAsia" w:hAnsiTheme="minorHAnsi" w:cstheme="minorBidi"/>
          <w:spacing w:val="0"/>
          <w:sz w:val="22"/>
          <w:szCs w:val="22"/>
        </w:rPr>
      </w:pPr>
      <w:r>
        <w:t>A.1</w:t>
      </w:r>
      <w:r>
        <w:rPr>
          <w:rFonts w:asciiTheme="minorHAnsi" w:eastAsiaTheme="minorEastAsia" w:hAnsiTheme="minorHAnsi" w:cstheme="minorBidi"/>
          <w:spacing w:val="0"/>
          <w:sz w:val="22"/>
          <w:szCs w:val="22"/>
        </w:rPr>
        <w:tab/>
      </w:r>
      <w:r>
        <w:t>Recorded in the MIFR with a favourable finding</w:t>
      </w:r>
      <w:r>
        <w:tab/>
      </w:r>
      <w:r>
        <w:fldChar w:fldCharType="begin"/>
      </w:r>
      <w:r>
        <w:instrText xml:space="preserve"> PAGEREF _Toc109221785 \h </w:instrText>
      </w:r>
      <w:r>
        <w:fldChar w:fldCharType="separate"/>
      </w:r>
      <w:r w:rsidR="003046C8">
        <w:t>9</w:t>
      </w:r>
      <w:r>
        <w:fldChar w:fldCharType="end"/>
      </w:r>
    </w:p>
    <w:p w14:paraId="343C3B12" w14:textId="0933B5B1" w:rsidR="00F851CC" w:rsidRDefault="00F851CC">
      <w:pPr>
        <w:pStyle w:val="TOC3"/>
        <w:tabs>
          <w:tab w:val="left" w:pos="885"/>
        </w:tabs>
        <w:rPr>
          <w:rFonts w:asciiTheme="minorHAnsi" w:eastAsiaTheme="minorEastAsia" w:hAnsiTheme="minorHAnsi" w:cstheme="minorBidi"/>
        </w:rPr>
      </w:pPr>
      <w:r>
        <w:t>A.1.1</w:t>
      </w:r>
      <w:r>
        <w:rPr>
          <w:rFonts w:asciiTheme="minorHAnsi" w:eastAsiaTheme="minorEastAsia" w:hAnsiTheme="minorHAnsi" w:cstheme="minorBidi"/>
        </w:rPr>
        <w:tab/>
      </w:r>
      <w:r>
        <w:t>Special Conditions</w:t>
      </w:r>
      <w:r>
        <w:tab/>
      </w:r>
      <w:r>
        <w:fldChar w:fldCharType="begin"/>
      </w:r>
      <w:r>
        <w:instrText xml:space="preserve"> PAGEREF _Toc109221786 \h </w:instrText>
      </w:r>
      <w:r>
        <w:fldChar w:fldCharType="separate"/>
      </w:r>
      <w:r w:rsidR="003046C8">
        <w:t>9</w:t>
      </w:r>
      <w:r>
        <w:fldChar w:fldCharType="end"/>
      </w:r>
    </w:p>
    <w:p w14:paraId="05B2E4C1" w14:textId="3AA4C6C7" w:rsidR="00F851CC" w:rsidRDefault="00F851CC">
      <w:pPr>
        <w:pStyle w:val="TOC3"/>
        <w:tabs>
          <w:tab w:val="left" w:pos="885"/>
        </w:tabs>
        <w:rPr>
          <w:rFonts w:asciiTheme="minorHAnsi" w:eastAsiaTheme="minorEastAsia" w:hAnsiTheme="minorHAnsi" w:cstheme="minorBidi"/>
        </w:rPr>
      </w:pPr>
      <w:r>
        <w:t>A.1.2</w:t>
      </w:r>
      <w:r>
        <w:rPr>
          <w:rFonts w:asciiTheme="minorHAnsi" w:eastAsiaTheme="minorEastAsia" w:hAnsiTheme="minorHAnsi" w:cstheme="minorBidi"/>
        </w:rPr>
        <w:tab/>
      </w:r>
      <w:r>
        <w:t>Advisory Notes</w:t>
      </w:r>
      <w:r>
        <w:tab/>
      </w:r>
      <w:r>
        <w:fldChar w:fldCharType="begin"/>
      </w:r>
      <w:r>
        <w:instrText xml:space="preserve"> PAGEREF _Toc109221787 \h </w:instrText>
      </w:r>
      <w:r>
        <w:fldChar w:fldCharType="separate"/>
      </w:r>
      <w:r w:rsidR="003046C8">
        <w:t>10</w:t>
      </w:r>
      <w:r>
        <w:fldChar w:fldCharType="end"/>
      </w:r>
    </w:p>
    <w:p w14:paraId="3AFE70F8" w14:textId="3A62DF21" w:rsidR="00F851CC" w:rsidRDefault="00F851CC">
      <w:pPr>
        <w:pStyle w:val="TOC2"/>
        <w:rPr>
          <w:rFonts w:asciiTheme="minorHAnsi" w:eastAsiaTheme="minorEastAsia" w:hAnsiTheme="minorHAnsi" w:cstheme="minorBidi"/>
          <w:spacing w:val="0"/>
          <w:sz w:val="22"/>
          <w:szCs w:val="22"/>
        </w:rPr>
      </w:pPr>
      <w:r>
        <w:lastRenderedPageBreak/>
        <w:t>A.2</w:t>
      </w:r>
      <w:r>
        <w:rPr>
          <w:rFonts w:asciiTheme="minorHAnsi" w:eastAsiaTheme="minorEastAsia" w:hAnsiTheme="minorHAnsi" w:cstheme="minorBidi"/>
          <w:spacing w:val="0"/>
          <w:sz w:val="22"/>
          <w:szCs w:val="22"/>
        </w:rPr>
        <w:tab/>
      </w:r>
      <w:r>
        <w:t>Not recorded in the MIFR</w:t>
      </w:r>
      <w:r>
        <w:tab/>
      </w:r>
      <w:r>
        <w:fldChar w:fldCharType="begin"/>
      </w:r>
      <w:r>
        <w:instrText xml:space="preserve"> PAGEREF _Toc109221788 \h </w:instrText>
      </w:r>
      <w:r>
        <w:fldChar w:fldCharType="separate"/>
      </w:r>
      <w:r w:rsidR="003046C8">
        <w:t>10</w:t>
      </w:r>
      <w:r>
        <w:fldChar w:fldCharType="end"/>
      </w:r>
    </w:p>
    <w:p w14:paraId="4E409E0E" w14:textId="498B4966" w:rsidR="00F851CC" w:rsidRDefault="00F851CC">
      <w:pPr>
        <w:pStyle w:val="TOC3"/>
        <w:tabs>
          <w:tab w:val="left" w:pos="885"/>
        </w:tabs>
        <w:rPr>
          <w:rFonts w:asciiTheme="minorHAnsi" w:eastAsiaTheme="minorEastAsia" w:hAnsiTheme="minorHAnsi" w:cstheme="minorBidi"/>
        </w:rPr>
      </w:pPr>
      <w:r>
        <w:t>A.2.1</w:t>
      </w:r>
      <w:r>
        <w:rPr>
          <w:rFonts w:asciiTheme="minorHAnsi" w:eastAsiaTheme="minorEastAsia" w:hAnsiTheme="minorHAnsi" w:cstheme="minorBidi"/>
        </w:rPr>
        <w:tab/>
      </w:r>
      <w:r>
        <w:t>Special Conditions</w:t>
      </w:r>
      <w:r>
        <w:tab/>
      </w:r>
      <w:r>
        <w:fldChar w:fldCharType="begin"/>
      </w:r>
      <w:r>
        <w:instrText xml:space="preserve"> PAGEREF _Toc109221789 \h </w:instrText>
      </w:r>
      <w:r>
        <w:fldChar w:fldCharType="separate"/>
      </w:r>
      <w:r w:rsidR="003046C8">
        <w:t>10</w:t>
      </w:r>
      <w:r>
        <w:fldChar w:fldCharType="end"/>
      </w:r>
    </w:p>
    <w:p w14:paraId="1FFC4F43" w14:textId="2AC358BA" w:rsidR="00F851CC" w:rsidRDefault="00F851CC">
      <w:pPr>
        <w:pStyle w:val="TOC3"/>
        <w:tabs>
          <w:tab w:val="left" w:pos="885"/>
        </w:tabs>
        <w:rPr>
          <w:rFonts w:asciiTheme="minorHAnsi" w:eastAsiaTheme="minorEastAsia" w:hAnsiTheme="minorHAnsi" w:cstheme="minorBidi"/>
        </w:rPr>
      </w:pPr>
      <w:r>
        <w:t>A.2.2</w:t>
      </w:r>
      <w:r>
        <w:rPr>
          <w:rFonts w:asciiTheme="minorHAnsi" w:eastAsiaTheme="minorEastAsia" w:hAnsiTheme="minorHAnsi" w:cstheme="minorBidi"/>
        </w:rPr>
        <w:tab/>
      </w:r>
      <w:r>
        <w:t>Advisory Notes</w:t>
      </w:r>
      <w:r>
        <w:tab/>
      </w:r>
      <w:r>
        <w:fldChar w:fldCharType="begin"/>
      </w:r>
      <w:r>
        <w:instrText xml:space="preserve"> PAGEREF _Toc109221790 \h </w:instrText>
      </w:r>
      <w:r>
        <w:fldChar w:fldCharType="separate"/>
      </w:r>
      <w:r w:rsidR="003046C8">
        <w:t>11</w:t>
      </w:r>
      <w:r>
        <w:fldChar w:fldCharType="end"/>
      </w:r>
    </w:p>
    <w:p w14:paraId="2D797E74" w14:textId="77CCD9C7" w:rsidR="00F851CC" w:rsidRDefault="00F851CC">
      <w:pPr>
        <w:pStyle w:val="TOC2"/>
        <w:rPr>
          <w:rFonts w:asciiTheme="minorHAnsi" w:eastAsiaTheme="minorEastAsia" w:hAnsiTheme="minorHAnsi" w:cstheme="minorBidi"/>
          <w:spacing w:val="0"/>
          <w:sz w:val="22"/>
          <w:szCs w:val="22"/>
        </w:rPr>
      </w:pPr>
      <w:r>
        <w:t>A.3</w:t>
      </w:r>
      <w:r>
        <w:rPr>
          <w:rFonts w:asciiTheme="minorHAnsi" w:eastAsiaTheme="minorEastAsia" w:hAnsiTheme="minorHAnsi" w:cstheme="minorBidi"/>
          <w:spacing w:val="0"/>
          <w:sz w:val="22"/>
          <w:szCs w:val="22"/>
        </w:rPr>
        <w:tab/>
      </w:r>
      <w:r>
        <w:t>Recorded in the MIFR with an unfavourable finding</w:t>
      </w:r>
      <w:r>
        <w:tab/>
      </w:r>
      <w:r>
        <w:fldChar w:fldCharType="begin"/>
      </w:r>
      <w:r>
        <w:instrText xml:space="preserve"> PAGEREF _Toc109221791 \h </w:instrText>
      </w:r>
      <w:r>
        <w:fldChar w:fldCharType="separate"/>
      </w:r>
      <w:r w:rsidR="003046C8">
        <w:t>11</w:t>
      </w:r>
      <w:r>
        <w:fldChar w:fldCharType="end"/>
      </w:r>
    </w:p>
    <w:p w14:paraId="28F4FC10" w14:textId="08A33C5A" w:rsidR="00F851CC" w:rsidRDefault="00F851CC">
      <w:pPr>
        <w:pStyle w:val="TOC3"/>
        <w:tabs>
          <w:tab w:val="left" w:pos="885"/>
        </w:tabs>
        <w:rPr>
          <w:rFonts w:asciiTheme="minorHAnsi" w:eastAsiaTheme="minorEastAsia" w:hAnsiTheme="minorHAnsi" w:cstheme="minorBidi"/>
        </w:rPr>
      </w:pPr>
      <w:r>
        <w:t>A.3.1</w:t>
      </w:r>
      <w:r>
        <w:rPr>
          <w:rFonts w:asciiTheme="minorHAnsi" w:eastAsiaTheme="minorEastAsia" w:hAnsiTheme="minorHAnsi" w:cstheme="minorBidi"/>
        </w:rPr>
        <w:tab/>
      </w:r>
      <w:r>
        <w:t>Special Conditions</w:t>
      </w:r>
      <w:r>
        <w:tab/>
      </w:r>
      <w:r>
        <w:fldChar w:fldCharType="begin"/>
      </w:r>
      <w:r>
        <w:instrText xml:space="preserve"> PAGEREF _Toc109221792 \h </w:instrText>
      </w:r>
      <w:r>
        <w:fldChar w:fldCharType="separate"/>
      </w:r>
      <w:r w:rsidR="003046C8">
        <w:t>11</w:t>
      </w:r>
      <w:r>
        <w:fldChar w:fldCharType="end"/>
      </w:r>
    </w:p>
    <w:p w14:paraId="5976B612" w14:textId="66A2D05A" w:rsidR="00F851CC" w:rsidRDefault="00F851CC">
      <w:pPr>
        <w:pStyle w:val="TOC3"/>
        <w:tabs>
          <w:tab w:val="left" w:pos="885"/>
        </w:tabs>
        <w:rPr>
          <w:rFonts w:asciiTheme="minorHAnsi" w:eastAsiaTheme="minorEastAsia" w:hAnsiTheme="minorHAnsi" w:cstheme="minorBidi"/>
        </w:rPr>
      </w:pPr>
      <w:r>
        <w:t>A.3.2</w:t>
      </w:r>
      <w:r>
        <w:rPr>
          <w:rFonts w:asciiTheme="minorHAnsi" w:eastAsiaTheme="minorEastAsia" w:hAnsiTheme="minorHAnsi" w:cstheme="minorBidi"/>
        </w:rPr>
        <w:tab/>
      </w:r>
      <w:r>
        <w:t>Advisory Notes</w:t>
      </w:r>
      <w:r>
        <w:tab/>
      </w:r>
      <w:r>
        <w:fldChar w:fldCharType="begin"/>
      </w:r>
      <w:r>
        <w:instrText xml:space="preserve"> PAGEREF _Toc109221793 \h </w:instrText>
      </w:r>
      <w:r>
        <w:fldChar w:fldCharType="separate"/>
      </w:r>
      <w:r w:rsidR="003046C8">
        <w:t>12</w:t>
      </w:r>
      <w:r>
        <w:fldChar w:fldCharType="end"/>
      </w:r>
    </w:p>
    <w:p w14:paraId="3A33BC96" w14:textId="593A40A4" w:rsidR="00F851CC" w:rsidRDefault="00F851CC">
      <w:pPr>
        <w:pStyle w:val="TOC1"/>
        <w:tabs>
          <w:tab w:val="left" w:pos="1760"/>
        </w:tabs>
        <w:rPr>
          <w:rFonts w:asciiTheme="minorHAnsi" w:eastAsiaTheme="minorEastAsia" w:hAnsiTheme="minorHAnsi" w:cstheme="minorBidi"/>
          <w:b w:val="0"/>
          <w:spacing w:val="0"/>
          <w:sz w:val="22"/>
          <w:szCs w:val="22"/>
        </w:rPr>
      </w:pPr>
      <w:r w:rsidRPr="00643119">
        <w:t>Appendix B:</w:t>
      </w:r>
      <w:r>
        <w:rPr>
          <w:rFonts w:asciiTheme="minorHAnsi" w:eastAsiaTheme="minorEastAsia" w:hAnsiTheme="minorHAnsi" w:cstheme="minorBidi"/>
          <w:b w:val="0"/>
          <w:spacing w:val="0"/>
          <w:sz w:val="22"/>
          <w:szCs w:val="22"/>
        </w:rPr>
        <w:tab/>
      </w:r>
      <w:r w:rsidRPr="00643119">
        <w:t>Special conditions and advisory notes for launch and TOSS/IOT use</w:t>
      </w:r>
      <w:r>
        <w:tab/>
      </w:r>
      <w:r>
        <w:fldChar w:fldCharType="begin"/>
      </w:r>
      <w:r>
        <w:instrText xml:space="preserve"> PAGEREF _Toc109221794 \h </w:instrText>
      </w:r>
      <w:r>
        <w:fldChar w:fldCharType="separate"/>
      </w:r>
      <w:r w:rsidR="003046C8">
        <w:t>13</w:t>
      </w:r>
      <w:r>
        <w:fldChar w:fldCharType="end"/>
      </w:r>
    </w:p>
    <w:p w14:paraId="6DD69D7B" w14:textId="5A40C11B" w:rsidR="00F851CC" w:rsidRDefault="00F851CC">
      <w:pPr>
        <w:pStyle w:val="TOC2"/>
        <w:rPr>
          <w:rFonts w:asciiTheme="minorHAnsi" w:eastAsiaTheme="minorEastAsia" w:hAnsiTheme="minorHAnsi" w:cstheme="minorBidi"/>
          <w:spacing w:val="0"/>
          <w:sz w:val="22"/>
          <w:szCs w:val="22"/>
        </w:rPr>
      </w:pPr>
      <w:r>
        <w:t>B.1</w:t>
      </w:r>
      <w:r>
        <w:rPr>
          <w:rFonts w:asciiTheme="minorHAnsi" w:eastAsiaTheme="minorEastAsia" w:hAnsiTheme="minorHAnsi" w:cstheme="minorBidi"/>
          <w:spacing w:val="0"/>
          <w:sz w:val="22"/>
          <w:szCs w:val="22"/>
        </w:rPr>
        <w:tab/>
      </w:r>
      <w:r>
        <w:t>A specific space mission</w:t>
      </w:r>
      <w:r>
        <w:tab/>
      </w:r>
      <w:r>
        <w:fldChar w:fldCharType="begin"/>
      </w:r>
      <w:r>
        <w:instrText xml:space="preserve"> PAGEREF _Toc109221795 \h </w:instrText>
      </w:r>
      <w:r>
        <w:fldChar w:fldCharType="separate"/>
      </w:r>
      <w:r w:rsidR="003046C8">
        <w:t>13</w:t>
      </w:r>
      <w:r>
        <w:fldChar w:fldCharType="end"/>
      </w:r>
    </w:p>
    <w:p w14:paraId="5D647377" w14:textId="1D2565C5" w:rsidR="00F851CC" w:rsidRDefault="00F851CC">
      <w:pPr>
        <w:pStyle w:val="TOC3"/>
        <w:tabs>
          <w:tab w:val="left" w:pos="885"/>
        </w:tabs>
        <w:rPr>
          <w:rFonts w:asciiTheme="minorHAnsi" w:eastAsiaTheme="minorEastAsia" w:hAnsiTheme="minorHAnsi" w:cstheme="minorBidi"/>
        </w:rPr>
      </w:pPr>
      <w:r>
        <w:t>B.1.1</w:t>
      </w:r>
      <w:r>
        <w:rPr>
          <w:rFonts w:asciiTheme="minorHAnsi" w:eastAsiaTheme="minorEastAsia" w:hAnsiTheme="minorHAnsi" w:cstheme="minorBidi"/>
        </w:rPr>
        <w:tab/>
      </w:r>
      <w:r>
        <w:t>Special Conditions</w:t>
      </w:r>
      <w:r>
        <w:tab/>
      </w:r>
      <w:r>
        <w:fldChar w:fldCharType="begin"/>
      </w:r>
      <w:r>
        <w:instrText xml:space="preserve"> PAGEREF _Toc109221796 \h </w:instrText>
      </w:r>
      <w:r>
        <w:fldChar w:fldCharType="separate"/>
      </w:r>
      <w:r w:rsidR="003046C8">
        <w:t>13</w:t>
      </w:r>
      <w:r>
        <w:fldChar w:fldCharType="end"/>
      </w:r>
    </w:p>
    <w:p w14:paraId="71AE78C4" w14:textId="1B910E14" w:rsidR="00F851CC" w:rsidRDefault="00F851CC">
      <w:pPr>
        <w:pStyle w:val="TOC3"/>
        <w:tabs>
          <w:tab w:val="left" w:pos="885"/>
        </w:tabs>
        <w:rPr>
          <w:rFonts w:asciiTheme="minorHAnsi" w:eastAsiaTheme="minorEastAsia" w:hAnsiTheme="minorHAnsi" w:cstheme="minorBidi"/>
        </w:rPr>
      </w:pPr>
      <w:r>
        <w:t>B.1.2</w:t>
      </w:r>
      <w:r>
        <w:rPr>
          <w:rFonts w:asciiTheme="minorHAnsi" w:eastAsiaTheme="minorEastAsia" w:hAnsiTheme="minorHAnsi" w:cstheme="minorBidi"/>
        </w:rPr>
        <w:tab/>
      </w:r>
      <w:r>
        <w:t>Advisory Notes</w:t>
      </w:r>
      <w:r>
        <w:tab/>
      </w:r>
      <w:r>
        <w:fldChar w:fldCharType="begin"/>
      </w:r>
      <w:r>
        <w:instrText xml:space="preserve"> PAGEREF _Toc109221797 \h </w:instrText>
      </w:r>
      <w:r>
        <w:fldChar w:fldCharType="separate"/>
      </w:r>
      <w:r w:rsidR="003046C8">
        <w:t>14</w:t>
      </w:r>
      <w:r>
        <w:fldChar w:fldCharType="end"/>
      </w:r>
    </w:p>
    <w:p w14:paraId="4D5BDD8E" w14:textId="7600EA79" w:rsidR="00F851CC" w:rsidRDefault="00F851CC">
      <w:pPr>
        <w:pStyle w:val="TOC2"/>
        <w:rPr>
          <w:rFonts w:asciiTheme="minorHAnsi" w:eastAsiaTheme="minorEastAsia" w:hAnsiTheme="minorHAnsi" w:cstheme="minorBidi"/>
          <w:spacing w:val="0"/>
          <w:sz w:val="22"/>
          <w:szCs w:val="22"/>
        </w:rPr>
      </w:pPr>
      <w:r>
        <w:t>B.2</w:t>
      </w:r>
      <w:r>
        <w:rPr>
          <w:rFonts w:asciiTheme="minorHAnsi" w:eastAsiaTheme="minorEastAsia" w:hAnsiTheme="minorHAnsi" w:cstheme="minorBidi"/>
          <w:spacing w:val="0"/>
          <w:sz w:val="22"/>
          <w:szCs w:val="22"/>
        </w:rPr>
        <w:tab/>
      </w:r>
      <w:r>
        <w:t>Any number of space missions</w:t>
      </w:r>
      <w:r>
        <w:tab/>
      </w:r>
      <w:r>
        <w:fldChar w:fldCharType="begin"/>
      </w:r>
      <w:r>
        <w:instrText xml:space="preserve"> PAGEREF _Toc109221798 \h </w:instrText>
      </w:r>
      <w:r>
        <w:fldChar w:fldCharType="separate"/>
      </w:r>
      <w:r w:rsidR="003046C8">
        <w:t>14</w:t>
      </w:r>
      <w:r>
        <w:fldChar w:fldCharType="end"/>
      </w:r>
    </w:p>
    <w:p w14:paraId="584F6F38" w14:textId="7B7E065E" w:rsidR="00F851CC" w:rsidRDefault="00F851CC">
      <w:pPr>
        <w:pStyle w:val="TOC3"/>
        <w:tabs>
          <w:tab w:val="left" w:pos="885"/>
        </w:tabs>
        <w:rPr>
          <w:rFonts w:asciiTheme="minorHAnsi" w:eastAsiaTheme="minorEastAsia" w:hAnsiTheme="minorHAnsi" w:cstheme="minorBidi"/>
        </w:rPr>
      </w:pPr>
      <w:r>
        <w:t>B.2.1</w:t>
      </w:r>
      <w:r>
        <w:rPr>
          <w:rFonts w:asciiTheme="minorHAnsi" w:eastAsiaTheme="minorEastAsia" w:hAnsiTheme="minorHAnsi" w:cstheme="minorBidi"/>
        </w:rPr>
        <w:tab/>
      </w:r>
      <w:r>
        <w:t>Special Conditions</w:t>
      </w:r>
      <w:r>
        <w:tab/>
      </w:r>
      <w:r>
        <w:fldChar w:fldCharType="begin"/>
      </w:r>
      <w:r>
        <w:instrText xml:space="preserve"> PAGEREF _Toc109221799 \h </w:instrText>
      </w:r>
      <w:r>
        <w:fldChar w:fldCharType="separate"/>
      </w:r>
      <w:r w:rsidR="003046C8">
        <w:t>14</w:t>
      </w:r>
      <w:r>
        <w:fldChar w:fldCharType="end"/>
      </w:r>
    </w:p>
    <w:p w14:paraId="7A6AA0FD" w14:textId="74119CF4" w:rsidR="00F851CC" w:rsidRDefault="00F851CC">
      <w:pPr>
        <w:pStyle w:val="TOC3"/>
        <w:tabs>
          <w:tab w:val="left" w:pos="885"/>
        </w:tabs>
        <w:rPr>
          <w:rFonts w:asciiTheme="minorHAnsi" w:eastAsiaTheme="minorEastAsia" w:hAnsiTheme="minorHAnsi" w:cstheme="minorBidi"/>
        </w:rPr>
      </w:pPr>
      <w:r>
        <w:t>B.2.2</w:t>
      </w:r>
      <w:r>
        <w:rPr>
          <w:rFonts w:asciiTheme="minorHAnsi" w:eastAsiaTheme="minorEastAsia" w:hAnsiTheme="minorHAnsi" w:cstheme="minorBidi"/>
        </w:rPr>
        <w:tab/>
      </w:r>
      <w:r>
        <w:t>Advisory Notes</w:t>
      </w:r>
      <w:r>
        <w:tab/>
      </w:r>
      <w:r>
        <w:fldChar w:fldCharType="begin"/>
      </w:r>
      <w:r>
        <w:instrText xml:space="preserve"> PAGEREF _Toc109221800 \h </w:instrText>
      </w:r>
      <w:r>
        <w:fldChar w:fldCharType="separate"/>
      </w:r>
      <w:r w:rsidR="003046C8">
        <w:t>14</w:t>
      </w:r>
      <w:r>
        <w:fldChar w:fldCharType="end"/>
      </w:r>
    </w:p>
    <w:p w14:paraId="67AF0E75" w14:textId="5C042E02" w:rsidR="00F851CC" w:rsidRDefault="00F851CC">
      <w:pPr>
        <w:pStyle w:val="TOC1"/>
        <w:tabs>
          <w:tab w:val="left" w:pos="1760"/>
        </w:tabs>
        <w:rPr>
          <w:rFonts w:asciiTheme="minorHAnsi" w:eastAsiaTheme="minorEastAsia" w:hAnsiTheme="minorHAnsi" w:cstheme="minorBidi"/>
          <w:b w:val="0"/>
          <w:spacing w:val="0"/>
          <w:sz w:val="22"/>
          <w:szCs w:val="22"/>
        </w:rPr>
      </w:pPr>
      <w:r w:rsidRPr="00643119">
        <w:t>Appendix C:</w:t>
      </w:r>
      <w:r>
        <w:rPr>
          <w:rFonts w:asciiTheme="minorHAnsi" w:eastAsiaTheme="minorEastAsia" w:hAnsiTheme="minorHAnsi" w:cstheme="minorBidi"/>
          <w:b w:val="0"/>
          <w:spacing w:val="0"/>
          <w:sz w:val="22"/>
          <w:szCs w:val="22"/>
        </w:rPr>
        <w:tab/>
      </w:r>
      <w:r w:rsidRPr="00643119">
        <w:t>Information required for regulatory assessment</w:t>
      </w:r>
      <w:r>
        <w:tab/>
      </w:r>
      <w:r w:rsidR="008109AB">
        <w:tab/>
      </w:r>
      <w:r>
        <w:fldChar w:fldCharType="begin"/>
      </w:r>
      <w:r>
        <w:instrText xml:space="preserve"> PAGEREF _Toc109221801 \h </w:instrText>
      </w:r>
      <w:r>
        <w:fldChar w:fldCharType="separate"/>
      </w:r>
      <w:r w:rsidR="003046C8">
        <w:t>15</w:t>
      </w:r>
      <w:r>
        <w:fldChar w:fldCharType="end"/>
      </w:r>
    </w:p>
    <w:p w14:paraId="41CA84C8" w14:textId="0A3013D3" w:rsidR="00F851CC" w:rsidRDefault="00F851CC">
      <w:pPr>
        <w:pStyle w:val="TOC1"/>
        <w:tabs>
          <w:tab w:val="left" w:pos="1760"/>
        </w:tabs>
        <w:rPr>
          <w:rFonts w:asciiTheme="minorHAnsi" w:eastAsiaTheme="minorEastAsia" w:hAnsiTheme="minorHAnsi" w:cstheme="minorBidi"/>
          <w:b w:val="0"/>
          <w:spacing w:val="0"/>
          <w:sz w:val="22"/>
          <w:szCs w:val="22"/>
        </w:rPr>
      </w:pPr>
      <w:r w:rsidRPr="00643119">
        <w:t>Appendix D:</w:t>
      </w:r>
      <w:r>
        <w:rPr>
          <w:rFonts w:asciiTheme="minorHAnsi" w:eastAsiaTheme="minorEastAsia" w:hAnsiTheme="minorHAnsi" w:cstheme="minorBidi"/>
          <w:b w:val="0"/>
          <w:spacing w:val="0"/>
          <w:sz w:val="22"/>
          <w:szCs w:val="22"/>
        </w:rPr>
        <w:tab/>
      </w:r>
      <w:r w:rsidRPr="00643119">
        <w:t>Letter of assurance pro forma</w:t>
      </w:r>
      <w:r>
        <w:tab/>
      </w:r>
      <w:r>
        <w:fldChar w:fldCharType="begin"/>
      </w:r>
      <w:r>
        <w:instrText xml:space="preserve"> PAGEREF _Toc109221802 \h </w:instrText>
      </w:r>
      <w:r>
        <w:fldChar w:fldCharType="separate"/>
      </w:r>
      <w:r w:rsidR="003046C8">
        <w:t>17</w:t>
      </w:r>
      <w:r>
        <w:fldChar w:fldCharType="end"/>
      </w:r>
    </w:p>
    <w:p w14:paraId="21A8F69B" w14:textId="430274DC" w:rsidR="000A4A51" w:rsidRPr="000D76E0" w:rsidRDefault="007A6CC0">
      <w:pPr>
        <w:rPr>
          <w:rFonts w:cs="Arial"/>
        </w:rPr>
      </w:pPr>
      <w:r>
        <w:rPr>
          <w:rFonts w:cs="Arial"/>
          <w:b/>
          <w:noProof/>
          <w:spacing w:val="-14"/>
          <w:sz w:val="28"/>
        </w:rPr>
        <w:fldChar w:fldCharType="end"/>
      </w:r>
    </w:p>
    <w:p w14:paraId="6A095466" w14:textId="77777777" w:rsidR="004D56FF" w:rsidRPr="000D76E0" w:rsidRDefault="004D56FF">
      <w:pPr>
        <w:rPr>
          <w:rFonts w:cs="Arial"/>
        </w:rPr>
        <w:sectPr w:rsidR="004D56FF" w:rsidRPr="000D76E0" w:rsidSect="00C77380">
          <w:headerReference w:type="even" r:id="rId25"/>
          <w:headerReference w:type="default" r:id="rId26"/>
          <w:footerReference w:type="even" r:id="rId27"/>
          <w:footerReference w:type="default" r:id="rId28"/>
          <w:footerReference w:type="first" r:id="rId29"/>
          <w:pgSz w:w="11906" w:h="16838" w:code="9"/>
          <w:pgMar w:top="3646" w:right="3101" w:bottom="1134" w:left="1134" w:header="709" w:footer="119" w:gutter="0"/>
          <w:cols w:space="708"/>
          <w:titlePg/>
          <w:docGrid w:linePitch="360"/>
        </w:sectPr>
      </w:pPr>
    </w:p>
    <w:p w14:paraId="02F7C0D3" w14:textId="47AC7DE1" w:rsidR="00232AAB" w:rsidRPr="004117A4" w:rsidRDefault="00232AAB" w:rsidP="00232AAB">
      <w:pPr>
        <w:rPr>
          <w:b/>
        </w:rPr>
      </w:pPr>
      <w:bookmarkStart w:id="3" w:name="_Toc392147072"/>
      <w:r w:rsidRPr="004117A4">
        <w:rPr>
          <w:b/>
        </w:rPr>
        <w:lastRenderedPageBreak/>
        <w:t xml:space="preserve">Applicants or accredited persons must read the </w:t>
      </w:r>
      <w:hyperlink r:id="rId30" w:history="1">
        <w:r w:rsidRPr="008710B6">
          <w:rPr>
            <w:b/>
            <w:color w:val="0000FF"/>
            <w:u w:val="single"/>
          </w:rPr>
          <w:t>Disclaimer</w:t>
        </w:r>
      </w:hyperlink>
      <w:r w:rsidRPr="004117A4">
        <w:rPr>
          <w:b/>
        </w:rPr>
        <w:t xml:space="preserve"> in conjunction with the procedures set out below.</w:t>
      </w:r>
    </w:p>
    <w:p w14:paraId="7663322F" w14:textId="77777777" w:rsidR="00C670B7" w:rsidRPr="00AD5166" w:rsidRDefault="00C670B7" w:rsidP="00C670B7">
      <w:pPr>
        <w:pStyle w:val="Heading1"/>
      </w:pPr>
      <w:bookmarkStart w:id="4" w:name="_Toc482603577"/>
      <w:bookmarkStart w:id="5" w:name="_Toc483400674"/>
      <w:bookmarkStart w:id="6" w:name="_Ref488394461"/>
      <w:bookmarkStart w:id="7" w:name="_Toc490122655"/>
      <w:bookmarkStart w:id="8" w:name="_Toc24979647"/>
      <w:bookmarkStart w:id="9" w:name="_Toc490747818"/>
      <w:bookmarkStart w:id="10" w:name="_Toc109221763"/>
      <w:bookmarkEnd w:id="3"/>
      <w:r w:rsidRPr="00AD5166">
        <w:t>Purpose</w:t>
      </w:r>
      <w:bookmarkEnd w:id="4"/>
      <w:bookmarkEnd w:id="5"/>
      <w:bookmarkEnd w:id="6"/>
      <w:bookmarkEnd w:id="7"/>
      <w:bookmarkEnd w:id="8"/>
      <w:bookmarkEnd w:id="9"/>
      <w:bookmarkEnd w:id="10"/>
    </w:p>
    <w:p w14:paraId="2D2E4040" w14:textId="77777777" w:rsidR="00AC681A" w:rsidRDefault="00C670B7" w:rsidP="00AC2EF8">
      <w:pPr>
        <w:spacing w:after="80"/>
      </w:pPr>
      <w:bookmarkStart w:id="11" w:name="_Toc392147073"/>
      <w:bookmarkStart w:id="12" w:name="_Toc478115627"/>
      <w:bookmarkStart w:id="13" w:name="_Toc478115877"/>
      <w:bookmarkStart w:id="14" w:name="_Toc483400675"/>
      <w:bookmarkStart w:id="15" w:name="_Toc490122656"/>
      <w:r w:rsidRPr="00615474">
        <w:t xml:space="preserve">This business operating procedure (BOP) outlines the technical and regulatory framework applicable to the apparatus licensing of </w:t>
      </w:r>
      <w:r>
        <w:t xml:space="preserve">fixed </w:t>
      </w:r>
      <w:r w:rsidRPr="00615474">
        <w:t xml:space="preserve">earth stations, as well as the </w:t>
      </w:r>
      <w:r>
        <w:t>procedures to be followed</w:t>
      </w:r>
      <w:r w:rsidRPr="00615474">
        <w:t xml:space="preserve"> </w:t>
      </w:r>
      <w:r>
        <w:t>when</w:t>
      </w:r>
      <w:r w:rsidR="00AC681A">
        <w:t>:</w:t>
      </w:r>
    </w:p>
    <w:p w14:paraId="4178B22D" w14:textId="7A455865" w:rsidR="00AC681A" w:rsidRDefault="00C670B7" w:rsidP="00AC681A">
      <w:pPr>
        <w:pStyle w:val="ListBullet"/>
      </w:pPr>
      <w:r>
        <w:t xml:space="preserve">seeking </w:t>
      </w:r>
      <w:r w:rsidRPr="00615474">
        <w:t xml:space="preserve">the issue of </w:t>
      </w:r>
      <w:r>
        <w:t xml:space="preserve">licences for fixed </w:t>
      </w:r>
      <w:r w:rsidRPr="00615474">
        <w:t>earth station</w:t>
      </w:r>
      <w:r>
        <w:t>s</w:t>
      </w:r>
      <w:r w:rsidR="00AC681A">
        <w:t>, and</w:t>
      </w:r>
    </w:p>
    <w:p w14:paraId="740010EB" w14:textId="7FBD7EDD" w:rsidR="00AC681A" w:rsidRDefault="005B0023" w:rsidP="00851535">
      <w:pPr>
        <w:pStyle w:val="ListBulletLast"/>
      </w:pPr>
      <w:r>
        <w:t>p</w:t>
      </w:r>
      <w:r w:rsidR="001E55F7">
        <w:t>reparing to register</w:t>
      </w:r>
      <w:r w:rsidR="00AC681A">
        <w:t xml:space="preserve"> an earth station under an area-wide apparatus licence (AWL) in the 27</w:t>
      </w:r>
      <w:r w:rsidR="00AC2EF8">
        <w:t>–</w:t>
      </w:r>
      <w:r w:rsidR="00AC681A">
        <w:t>30 GHz band.</w:t>
      </w:r>
      <w:r w:rsidR="00AC681A">
        <w:rPr>
          <w:rStyle w:val="FootnoteReference"/>
        </w:rPr>
        <w:footnoteReference w:id="2"/>
      </w:r>
    </w:p>
    <w:p w14:paraId="56892398" w14:textId="18E7F882" w:rsidR="00C670B7" w:rsidRDefault="00C670B7" w:rsidP="00AC681A">
      <w:r>
        <w:t xml:space="preserve">It covers the apparatus licensing options of </w:t>
      </w:r>
      <w:r w:rsidRPr="00E85790">
        <w:rPr>
          <w:i/>
        </w:rPr>
        <w:t>fixed earth</w:t>
      </w:r>
      <w:r w:rsidR="00AC681A">
        <w:rPr>
          <w:i/>
        </w:rPr>
        <w:t>,</w:t>
      </w:r>
      <w:r>
        <w:t xml:space="preserve"> </w:t>
      </w:r>
      <w:r w:rsidRPr="00E85790">
        <w:rPr>
          <w:i/>
        </w:rPr>
        <w:t>earth receive</w:t>
      </w:r>
      <w:r w:rsidR="00AC681A">
        <w:rPr>
          <w:i/>
        </w:rPr>
        <w:t xml:space="preserve"> </w:t>
      </w:r>
      <w:r w:rsidR="00AC681A" w:rsidRPr="00851535">
        <w:rPr>
          <w:iCs/>
        </w:rPr>
        <w:t>and</w:t>
      </w:r>
      <w:r w:rsidR="00AC681A">
        <w:rPr>
          <w:i/>
        </w:rPr>
        <w:t xml:space="preserve"> AWL </w:t>
      </w:r>
      <w:r w:rsidR="00AC681A">
        <w:rPr>
          <w:iCs/>
        </w:rPr>
        <w:t>(limited to the range 27</w:t>
      </w:r>
      <w:r w:rsidR="00AC2EF8">
        <w:t>–</w:t>
      </w:r>
      <w:r w:rsidR="00AC681A">
        <w:rPr>
          <w:iCs/>
        </w:rPr>
        <w:t>30 GHz)</w:t>
      </w:r>
      <w:r>
        <w:t>.</w:t>
      </w:r>
    </w:p>
    <w:p w14:paraId="66276BFD" w14:textId="513552C2" w:rsidR="00C670B7" w:rsidRDefault="00C670B7" w:rsidP="00C670B7">
      <w:r w:rsidRPr="009F2FEC">
        <w:t>The procedures outlined in this BOP cover the assessment of the space</w:t>
      </w:r>
      <w:r>
        <w:t>-</w:t>
      </w:r>
      <w:r w:rsidRPr="009F2FEC">
        <w:t>related</w:t>
      </w:r>
      <w:r>
        <w:rPr>
          <w:rStyle w:val="FootnoteReference"/>
        </w:rPr>
        <w:footnoteReference w:id="3"/>
      </w:r>
      <w:r w:rsidRPr="009F2FEC">
        <w:t xml:space="preserve"> aspect</w:t>
      </w:r>
      <w:r>
        <w:t>s</w:t>
      </w:r>
      <w:r w:rsidRPr="009F2FEC">
        <w:t xml:space="preserve"> of the licence</w:t>
      </w:r>
      <w:r>
        <w:t xml:space="preserve"> application</w:t>
      </w:r>
      <w:r w:rsidR="00AC681A">
        <w:t xml:space="preserve">, or device registration in the case of operation under an AWL, </w:t>
      </w:r>
      <w:r>
        <w:t>process only. The accredited person</w:t>
      </w:r>
      <w:r w:rsidRPr="009F2FEC">
        <w:t xml:space="preserve"> or applicant must provide the response from this process with the subsequent </w:t>
      </w:r>
      <w:r w:rsidR="001E4F9B" w:rsidRPr="00A70960">
        <w:rPr>
          <w:i/>
        </w:rPr>
        <w:t>fixed</w:t>
      </w:r>
      <w:r w:rsidR="001E4F9B" w:rsidRPr="0027118E">
        <w:rPr>
          <w:i/>
        </w:rPr>
        <w:t xml:space="preserve"> earth</w:t>
      </w:r>
      <w:r w:rsidR="001E4F9B">
        <w:t xml:space="preserve"> or </w:t>
      </w:r>
      <w:r w:rsidR="001E4F9B" w:rsidRPr="00A70960">
        <w:rPr>
          <w:i/>
        </w:rPr>
        <w:t>earth receive</w:t>
      </w:r>
      <w:r w:rsidR="001E4F9B">
        <w:t xml:space="preserve"> </w:t>
      </w:r>
      <w:r w:rsidRPr="009F2FEC">
        <w:t>apparatus licence application. The ACMA will only issue a</w:t>
      </w:r>
      <w:r w:rsidR="001E4F9B">
        <w:t xml:space="preserve"> </w:t>
      </w:r>
      <w:r w:rsidR="001E4F9B" w:rsidRPr="00A70960">
        <w:rPr>
          <w:i/>
        </w:rPr>
        <w:t>fixed</w:t>
      </w:r>
      <w:r w:rsidR="001E4F9B" w:rsidRPr="0027118E">
        <w:rPr>
          <w:i/>
        </w:rPr>
        <w:t xml:space="preserve"> earth</w:t>
      </w:r>
      <w:r w:rsidR="001E4F9B">
        <w:t xml:space="preserve"> or </w:t>
      </w:r>
      <w:r w:rsidR="001E4F9B" w:rsidRPr="00A70960">
        <w:rPr>
          <w:i/>
        </w:rPr>
        <w:t>earth receive</w:t>
      </w:r>
      <w:r w:rsidR="001E4F9B">
        <w:t xml:space="preserve"> </w:t>
      </w:r>
      <w:r w:rsidRPr="009F2FEC">
        <w:t>apparatus licence where the space</w:t>
      </w:r>
      <w:r>
        <w:t>-</w:t>
      </w:r>
      <w:r w:rsidRPr="009F2FEC">
        <w:t>related assessment supports the application.</w:t>
      </w:r>
      <w:r w:rsidR="001E4F9B">
        <w:t xml:space="preserve"> An earth station must not be </w:t>
      </w:r>
      <w:r w:rsidR="0069632A">
        <w:t xml:space="preserve">operated or </w:t>
      </w:r>
      <w:r w:rsidR="001E4F9B">
        <w:t xml:space="preserve">registered under an AWL unless the </w:t>
      </w:r>
      <w:r w:rsidR="0029788F">
        <w:t xml:space="preserve">AWL licensee has received advice from the </w:t>
      </w:r>
      <w:r w:rsidR="001E4F9B">
        <w:t>ACMA</w:t>
      </w:r>
      <w:r w:rsidR="0029788F">
        <w:t xml:space="preserve"> supporting the</w:t>
      </w:r>
      <w:r w:rsidR="001E4F9B">
        <w:t xml:space="preserve"> </w:t>
      </w:r>
      <w:r w:rsidR="0029788F" w:rsidRPr="009F2FEC">
        <w:t>space</w:t>
      </w:r>
      <w:r w:rsidR="0029788F">
        <w:t>-</w:t>
      </w:r>
      <w:r w:rsidR="0029788F" w:rsidRPr="009F2FEC">
        <w:t>related assessment</w:t>
      </w:r>
      <w:r w:rsidR="0029788F">
        <w:t xml:space="preserve"> in accordance with this BOP.</w:t>
      </w:r>
    </w:p>
    <w:p w14:paraId="1166A6B9" w14:textId="77777777" w:rsidR="00C670B7" w:rsidRPr="00615474" w:rsidRDefault="00C670B7" w:rsidP="00C670B7">
      <w:r>
        <w:t>The procedures in this BOP are reflective of the status of satellite networks associated with typical licence applications and cover the majority of licensing scenarios only. Cases outside those outlined will be treated on a case-by-case basis.</w:t>
      </w:r>
    </w:p>
    <w:p w14:paraId="2A16CA92" w14:textId="77777777" w:rsidR="00C670B7" w:rsidRPr="006D46E5" w:rsidRDefault="00C670B7" w:rsidP="00C670B7">
      <w:pPr>
        <w:pStyle w:val="Heading1"/>
      </w:pPr>
      <w:bookmarkStart w:id="16" w:name="_Toc24979648"/>
      <w:bookmarkStart w:id="17" w:name="_Toc490747819"/>
      <w:bookmarkStart w:id="18" w:name="_Toc109221764"/>
      <w:r w:rsidRPr="00113829">
        <w:t>Background</w:t>
      </w:r>
      <w:bookmarkEnd w:id="11"/>
      <w:bookmarkEnd w:id="12"/>
      <w:bookmarkEnd w:id="13"/>
      <w:bookmarkEnd w:id="14"/>
      <w:bookmarkEnd w:id="15"/>
      <w:bookmarkEnd w:id="16"/>
      <w:bookmarkEnd w:id="17"/>
      <w:bookmarkEnd w:id="18"/>
    </w:p>
    <w:p w14:paraId="5FB49203" w14:textId="6F55C9CA" w:rsidR="006B1B60" w:rsidRPr="00474D77" w:rsidRDefault="00C670B7" w:rsidP="006B1B60">
      <w:pPr>
        <w:spacing w:after="80"/>
        <w:rPr>
          <w:rFonts w:cs="Arial"/>
          <w:szCs w:val="20"/>
        </w:rPr>
      </w:pPr>
      <w:bookmarkStart w:id="19" w:name="_Toc482603579"/>
      <w:bookmarkStart w:id="20" w:name="_Toc483400676"/>
      <w:bookmarkStart w:id="21" w:name="_Toc490122657"/>
      <w:bookmarkStart w:id="22" w:name="_Toc433122125"/>
      <w:r w:rsidRPr="00615474">
        <w:t>In considering</w:t>
      </w:r>
      <w:r w:rsidR="006B1B60">
        <w:t xml:space="preserve"> </w:t>
      </w:r>
      <w:r w:rsidR="006B1B60" w:rsidRPr="00474D77">
        <w:rPr>
          <w:rFonts w:cs="Arial"/>
          <w:szCs w:val="20"/>
        </w:rPr>
        <w:t xml:space="preserve">licence applications under the </w:t>
      </w:r>
      <w:hyperlink r:id="rId31" w:history="1">
        <w:r w:rsidR="006B1B60" w:rsidRPr="00474D77">
          <w:rPr>
            <w:rStyle w:val="Hyperlink"/>
            <w:rFonts w:cs="Arial"/>
            <w:szCs w:val="20"/>
          </w:rPr>
          <w:t>Radiocommunications Act 1992</w:t>
        </w:r>
      </w:hyperlink>
      <w:r w:rsidR="006B1B60">
        <w:rPr>
          <w:rStyle w:val="Hyperlink"/>
          <w:rFonts w:cs="Arial"/>
          <w:szCs w:val="20"/>
        </w:rPr>
        <w:t xml:space="preserve"> </w:t>
      </w:r>
      <w:r w:rsidRPr="00615474">
        <w:t>the ACMA is required to consider a range of matters.</w:t>
      </w:r>
      <w:r w:rsidR="006B1B60" w:rsidRPr="00615474">
        <w:t xml:space="preserve"> </w:t>
      </w:r>
      <w:r w:rsidR="006B1B60" w:rsidRPr="00474D77">
        <w:rPr>
          <w:rFonts w:cs="Arial"/>
          <w:szCs w:val="20"/>
        </w:rPr>
        <w:t>Under section 100 (4) of the Act:</w:t>
      </w:r>
    </w:p>
    <w:p w14:paraId="2D525E59" w14:textId="77777777" w:rsidR="006B1B60" w:rsidRPr="0019116B" w:rsidRDefault="006B1B60" w:rsidP="006B1B60">
      <w:pPr>
        <w:ind w:left="709"/>
        <w:rPr>
          <w:rFonts w:cs="Arial"/>
          <w:i/>
          <w:iCs/>
          <w:szCs w:val="20"/>
        </w:rPr>
      </w:pPr>
      <w:r w:rsidRPr="0019116B">
        <w:rPr>
          <w:rFonts w:cs="Arial"/>
          <w:i/>
          <w:iCs/>
          <w:szCs w:val="20"/>
        </w:rPr>
        <w:t>In deciding whether to issue an apparatus licence, the ACMA must have regard to:</w:t>
      </w:r>
    </w:p>
    <w:p w14:paraId="4BFA4D54" w14:textId="77777777" w:rsidR="006B1B60" w:rsidRPr="0019116B" w:rsidRDefault="006B1B60" w:rsidP="006B1B60">
      <w:pPr>
        <w:ind w:left="1276" w:hanging="425"/>
        <w:rPr>
          <w:rFonts w:cs="Arial"/>
          <w:i/>
          <w:iCs/>
          <w:szCs w:val="20"/>
        </w:rPr>
      </w:pPr>
      <w:r w:rsidRPr="0019116B">
        <w:rPr>
          <w:rFonts w:cs="Arial"/>
          <w:i/>
          <w:iCs/>
          <w:szCs w:val="20"/>
        </w:rPr>
        <w:t>(a) all matters that it considers relevant; and</w:t>
      </w:r>
    </w:p>
    <w:p w14:paraId="5C7576EA" w14:textId="77777777" w:rsidR="006B1B60" w:rsidRPr="0019116B" w:rsidRDefault="006B1B60" w:rsidP="006B1B60">
      <w:pPr>
        <w:ind w:left="1276" w:hanging="425"/>
        <w:rPr>
          <w:rFonts w:cs="Arial"/>
          <w:i/>
          <w:iCs/>
          <w:szCs w:val="20"/>
        </w:rPr>
      </w:pPr>
      <w:r w:rsidRPr="0019116B">
        <w:rPr>
          <w:rFonts w:cs="Arial"/>
          <w:i/>
          <w:iCs/>
          <w:szCs w:val="20"/>
        </w:rPr>
        <w:t>(b) without limiting paragraph (a), the effect on radiocommunications of the proposed operation of the radiocommunications devices that would be authorised under the licence.</w:t>
      </w:r>
    </w:p>
    <w:p w14:paraId="4CD97143" w14:textId="64D3281D" w:rsidR="006B1B60" w:rsidRDefault="006B1B60" w:rsidP="00C670B7">
      <w:pPr>
        <w:spacing w:after="80"/>
        <w:rPr>
          <w:rFonts w:cs="Arial"/>
          <w:szCs w:val="20"/>
        </w:rPr>
      </w:pPr>
      <w:bookmarkStart w:id="23" w:name="_Hlk82443531"/>
      <w:r w:rsidRPr="00474D77">
        <w:rPr>
          <w:rFonts w:cs="Arial"/>
          <w:szCs w:val="20"/>
        </w:rPr>
        <w:t>The procedures outlined in this document record</w:t>
      </w:r>
      <w:bookmarkEnd w:id="23"/>
      <w:r w:rsidRPr="00474D77">
        <w:rPr>
          <w:rFonts w:cs="Arial"/>
          <w:szCs w:val="20"/>
        </w:rPr>
        <w:t xml:space="preserve"> the typical satellite regulatory matters considered by the ACMA when</w:t>
      </w:r>
      <w:r>
        <w:rPr>
          <w:rFonts w:cs="Arial"/>
          <w:szCs w:val="20"/>
        </w:rPr>
        <w:t xml:space="preserve"> deciding whether </w:t>
      </w:r>
      <w:r w:rsidRPr="00615474">
        <w:t xml:space="preserve">to grant an application for </w:t>
      </w:r>
      <w:r>
        <w:t xml:space="preserve">a </w:t>
      </w:r>
      <w:r w:rsidRPr="00A70960">
        <w:rPr>
          <w:i/>
        </w:rPr>
        <w:t>fixed</w:t>
      </w:r>
      <w:r w:rsidRPr="0027118E">
        <w:rPr>
          <w:i/>
        </w:rPr>
        <w:t xml:space="preserve"> earth</w:t>
      </w:r>
      <w:r>
        <w:t xml:space="preserve"> or </w:t>
      </w:r>
      <w:r w:rsidRPr="00A70960">
        <w:rPr>
          <w:i/>
        </w:rPr>
        <w:t>earth receive</w:t>
      </w:r>
      <w:r>
        <w:t xml:space="preserve"> </w:t>
      </w:r>
      <w:r w:rsidRPr="00615474">
        <w:t>apparatus licence</w:t>
      </w:r>
      <w:r>
        <w:t xml:space="preserve"> or support an earth station to be registered under an AWL</w:t>
      </w:r>
      <w:r w:rsidRPr="00615474">
        <w:t>,</w:t>
      </w:r>
      <w:r>
        <w:t xml:space="preserve"> </w:t>
      </w:r>
      <w:r w:rsidR="00C670B7" w:rsidRPr="00615474">
        <w:t xml:space="preserve">Depending on the </w:t>
      </w:r>
      <w:r w:rsidRPr="00474D77">
        <w:rPr>
          <w:rFonts w:cs="Arial"/>
          <w:szCs w:val="20"/>
        </w:rPr>
        <w:t xml:space="preserve">specific of an application the ACMA might be required to consider additional matters and request additional information or seek the </w:t>
      </w:r>
      <w:r w:rsidRPr="00474D77">
        <w:rPr>
          <w:rFonts w:cs="Arial"/>
          <w:szCs w:val="20"/>
        </w:rPr>
        <w:lastRenderedPageBreak/>
        <w:t>views of Australia</w:t>
      </w:r>
      <w:r w:rsidR="00CB4441">
        <w:rPr>
          <w:rFonts w:cs="Arial"/>
          <w:szCs w:val="20"/>
        </w:rPr>
        <w:t>n</w:t>
      </w:r>
      <w:r w:rsidRPr="00474D77">
        <w:rPr>
          <w:rFonts w:cs="Arial"/>
          <w:szCs w:val="20"/>
        </w:rPr>
        <w:t xml:space="preserve"> satellite operators (satellite operators on whose behalf the ACMA has submitted a satellite filing to the ITU).</w:t>
      </w:r>
    </w:p>
    <w:p w14:paraId="6030895E" w14:textId="29C3228F" w:rsidR="001269A8" w:rsidRPr="001269A8" w:rsidRDefault="001269A8" w:rsidP="00C670B7">
      <w:pPr>
        <w:spacing w:after="80"/>
        <w:rPr>
          <w:szCs w:val="20"/>
        </w:rPr>
      </w:pPr>
      <w:r>
        <w:rPr>
          <w:rFonts w:cs="Arial"/>
        </w:rPr>
        <w:t>We</w:t>
      </w:r>
      <w:r>
        <w:rPr>
          <w:szCs w:val="20"/>
        </w:rPr>
        <w:t xml:space="preserve"> encourage cooperation and coordination between satellite operators to achieve mutual benefit, without the burden and delays of additional prescriptive regulation. In line with this approach, it is our view that coordination matters between foreign-filed satellite networks are the responsibility of the filing administrations and satellite operators. Accordingly, Australia’s, and the ACMA’s role is limited to the domestic licensing of these systems.</w:t>
      </w:r>
    </w:p>
    <w:p w14:paraId="476601D4" w14:textId="492B3C46" w:rsidR="00C670B7" w:rsidRPr="00615474" w:rsidRDefault="006B1B60" w:rsidP="00C670B7">
      <w:pPr>
        <w:spacing w:after="80"/>
      </w:pPr>
      <w:r>
        <w:rPr>
          <w:rFonts w:cs="Arial"/>
          <w:szCs w:val="20"/>
        </w:rPr>
        <w:t xml:space="preserve">Typically, </w:t>
      </w:r>
      <w:r w:rsidR="00C670B7" w:rsidRPr="00615474">
        <w:t>the assessment process may require:</w:t>
      </w:r>
    </w:p>
    <w:p w14:paraId="2F610419" w14:textId="0A8E3B28" w:rsidR="00C670B7" w:rsidRPr="00615474" w:rsidRDefault="00C670B7" w:rsidP="00C670B7">
      <w:pPr>
        <w:pStyle w:val="ListBullet"/>
      </w:pPr>
      <w:r>
        <w:t>consideration of consistency with current regulatory arrangements</w:t>
      </w:r>
      <w:r w:rsidRPr="00DD4280">
        <w:t xml:space="preserve">, </w:t>
      </w:r>
      <w:r>
        <w:t>including</w:t>
      </w:r>
      <w:r w:rsidRPr="00DD4280">
        <w:t xml:space="preserve"> </w:t>
      </w:r>
      <w:r w:rsidRPr="00615474">
        <w:t xml:space="preserve">the international </w:t>
      </w:r>
      <w:r>
        <w:t xml:space="preserve">(International Telecommunication Union—ITU) </w:t>
      </w:r>
      <w:r w:rsidRPr="00615474">
        <w:t xml:space="preserve">regulatory status </w:t>
      </w:r>
      <w:r>
        <w:t xml:space="preserve">and the international (ITU) registration details </w:t>
      </w:r>
      <w:r w:rsidRPr="00615474">
        <w:t xml:space="preserve">of the satellite network </w:t>
      </w:r>
      <w:r>
        <w:t>that will cover operation of the proposed fixed earth station</w:t>
      </w:r>
    </w:p>
    <w:p w14:paraId="37E70401" w14:textId="1A450142" w:rsidR="00C670B7" w:rsidRPr="00615474" w:rsidRDefault="00C670B7" w:rsidP="00C670B7">
      <w:pPr>
        <w:pStyle w:val="ListBullet"/>
      </w:pPr>
      <w:r w:rsidRPr="00615474">
        <w:t>relevant government organisations to be consulted in relation to the application</w:t>
      </w:r>
    </w:p>
    <w:p w14:paraId="34917ACC" w14:textId="46A94966" w:rsidR="00C670B7" w:rsidRPr="00615474" w:rsidRDefault="00C670B7" w:rsidP="00C670B7">
      <w:pPr>
        <w:pStyle w:val="ListBullet"/>
      </w:pPr>
      <w:r>
        <w:t xml:space="preserve">frequency coordination for </w:t>
      </w:r>
      <w:r w:rsidRPr="00615474">
        <w:t xml:space="preserve">the proposed </w:t>
      </w:r>
      <w:r>
        <w:t xml:space="preserve">fixed </w:t>
      </w:r>
      <w:r w:rsidRPr="00615474">
        <w:t>earth</w:t>
      </w:r>
      <w:r>
        <w:t xml:space="preserve"> station </w:t>
      </w:r>
      <w:r w:rsidRPr="00615474">
        <w:t>with existing</w:t>
      </w:r>
      <w:r>
        <w:t xml:space="preserve"> </w:t>
      </w:r>
      <w:r w:rsidRPr="00615474">
        <w:t>licensed radiocommunications services</w:t>
      </w:r>
    </w:p>
    <w:p w14:paraId="4C20B52E" w14:textId="057D98BF" w:rsidR="00C670B7" w:rsidRPr="00615474" w:rsidRDefault="00C670B7" w:rsidP="00C670B7">
      <w:pPr>
        <w:pStyle w:val="ListBullet"/>
      </w:pPr>
      <w:r w:rsidRPr="00615474">
        <w:t>the licence type(s)</w:t>
      </w:r>
      <w:r w:rsidR="00105E3F">
        <w:t xml:space="preserve"> (including AWLs)</w:t>
      </w:r>
      <w:r w:rsidRPr="00615474">
        <w:t xml:space="preserve">, necessary to authorise operation of the </w:t>
      </w:r>
      <w:r>
        <w:t xml:space="preserve">fixed </w:t>
      </w:r>
      <w:r w:rsidRPr="00615474">
        <w:t>earth</w:t>
      </w:r>
      <w:r>
        <w:t xml:space="preserve"> station</w:t>
      </w:r>
      <w:r w:rsidRPr="00615474">
        <w:t>, to be determined</w:t>
      </w:r>
    </w:p>
    <w:p w14:paraId="1DD39415" w14:textId="0D5EE462" w:rsidR="00C670B7" w:rsidRPr="00615474" w:rsidRDefault="00C670B7" w:rsidP="00C670B7">
      <w:pPr>
        <w:pStyle w:val="ListBulletLast"/>
      </w:pPr>
      <w:r w:rsidRPr="00615474">
        <w:t>appropriate special condition(s) and/or advisory note(s) to be applied to the licence.</w:t>
      </w:r>
    </w:p>
    <w:p w14:paraId="58E4B275" w14:textId="3974D22F" w:rsidR="00C670B7" w:rsidRDefault="00C670B7" w:rsidP="00C670B7">
      <w:r w:rsidRPr="00615474">
        <w:t xml:space="preserve">This </w:t>
      </w:r>
      <w:r>
        <w:t>BOP</w:t>
      </w:r>
      <w:r w:rsidRPr="00615474">
        <w:t xml:space="preserve"> provides an overview of the processes associated with each of the</w:t>
      </w:r>
      <w:r>
        <w:t>se</w:t>
      </w:r>
      <w:r w:rsidRPr="00615474">
        <w:t xml:space="preserve"> steps.</w:t>
      </w:r>
      <w:r>
        <w:t xml:space="preserve"> </w:t>
      </w:r>
    </w:p>
    <w:p w14:paraId="0F460478" w14:textId="77777777" w:rsidR="006A6114" w:rsidRDefault="00C670B7" w:rsidP="006A6114">
      <w:pPr>
        <w:rPr>
          <w:rFonts w:cs="Arial"/>
          <w:lang w:val="en"/>
        </w:rPr>
      </w:pPr>
      <w:bookmarkStart w:id="24" w:name="_Hlk82443192"/>
      <w:r>
        <w:t xml:space="preserve">Additional information on the arrangements for </w:t>
      </w:r>
      <w:r w:rsidRPr="00F45400">
        <w:rPr>
          <w:i/>
        </w:rPr>
        <w:t>fixed earth</w:t>
      </w:r>
      <w:r>
        <w:t xml:space="preserve"> and </w:t>
      </w:r>
      <w:r w:rsidRPr="00F45400">
        <w:rPr>
          <w:i/>
        </w:rPr>
        <w:t>earth receive</w:t>
      </w:r>
      <w:r>
        <w:t xml:space="preserve"> stations can be found in the </w:t>
      </w:r>
      <w:hyperlink r:id="rId32" w:history="1">
        <w:r w:rsidRPr="00BF5D66">
          <w:rPr>
            <w:rStyle w:val="Hyperlink"/>
          </w:rPr>
          <w:t>Apparatus licences</w:t>
        </w:r>
      </w:hyperlink>
      <w:r>
        <w:t xml:space="preserve"> </w:t>
      </w:r>
      <w:r>
        <w:rPr>
          <w:rFonts w:cs="Arial"/>
          <w:lang w:val="en"/>
        </w:rPr>
        <w:t xml:space="preserve">area on the ACMA website. </w:t>
      </w:r>
    </w:p>
    <w:p w14:paraId="1351FE70" w14:textId="6C8FBD78" w:rsidR="006A6114" w:rsidRDefault="006A6114" w:rsidP="00C670B7">
      <w:pPr>
        <w:rPr>
          <w:rFonts w:cs="Arial"/>
        </w:rPr>
      </w:pPr>
      <w:r w:rsidRPr="00474D77">
        <w:rPr>
          <w:rFonts w:cs="Arial"/>
          <w:szCs w:val="20"/>
        </w:rPr>
        <w:t>Where consideration of additional matters or consultation with Australian satellite operators is required the ACMA will consult with accredited person (AP) or applicant.</w:t>
      </w:r>
      <w:bookmarkEnd w:id="24"/>
      <w:r w:rsidR="000A27EB">
        <w:rPr>
          <w:rFonts w:cs="Arial"/>
          <w:szCs w:val="20"/>
        </w:rPr>
        <w:t xml:space="preserve"> </w:t>
      </w:r>
    </w:p>
    <w:p w14:paraId="6BD9B8E9" w14:textId="77777777" w:rsidR="00C670B7" w:rsidRPr="00872DFF" w:rsidRDefault="00C670B7" w:rsidP="00C670B7">
      <w:pPr>
        <w:pStyle w:val="Heading1"/>
      </w:pPr>
      <w:bookmarkStart w:id="25" w:name="_Toc24979649"/>
      <w:bookmarkStart w:id="26" w:name="_Toc490747820"/>
      <w:bookmarkStart w:id="27" w:name="_Toc109221765"/>
      <w:r w:rsidRPr="00872DFF">
        <w:t>Regulatory considerations</w:t>
      </w:r>
      <w:bookmarkEnd w:id="19"/>
      <w:bookmarkEnd w:id="20"/>
      <w:bookmarkEnd w:id="21"/>
      <w:bookmarkEnd w:id="25"/>
      <w:bookmarkEnd w:id="26"/>
      <w:bookmarkEnd w:id="27"/>
    </w:p>
    <w:p w14:paraId="1A97AEEB" w14:textId="77777777" w:rsidR="00C670B7" w:rsidRDefault="00C670B7" w:rsidP="00C670B7">
      <w:pPr>
        <w:rPr>
          <w:rStyle w:val="Hyperlink"/>
          <w:rFonts w:cs="Arial"/>
          <w:szCs w:val="20"/>
        </w:rPr>
      </w:pPr>
      <w:r>
        <w:t xml:space="preserve">As with all radiocommunications services, frequency assigning and licensing needs to be consistent with current regulatory arrangements. At a high level, this means consistency with requirements as specified in the </w:t>
      </w:r>
      <w:hyperlink r:id="rId33" w:history="1">
        <w:r w:rsidRPr="00B905E8">
          <w:rPr>
            <w:rStyle w:val="Hyperlink"/>
            <w:i/>
          </w:rPr>
          <w:t>Radiocommunications Act 1992</w:t>
        </w:r>
      </w:hyperlink>
      <w:r>
        <w:t xml:space="preserve">, the </w:t>
      </w:r>
      <w:hyperlink r:id="rId34" w:history="1">
        <w:r w:rsidRPr="00F41BB6">
          <w:rPr>
            <w:color w:val="0000FF"/>
            <w:u w:val="single"/>
          </w:rPr>
          <w:t>Australian Radiofrequency Spectrum Plan</w:t>
        </w:r>
      </w:hyperlink>
      <w:r w:rsidRPr="0080247B">
        <w:t xml:space="preserve"> </w:t>
      </w:r>
      <w:r>
        <w:t>(the Spectrum Plan)</w:t>
      </w:r>
      <w:r w:rsidRPr="0080247B">
        <w:t xml:space="preserve">, frequency </w:t>
      </w:r>
      <w:hyperlink r:id="rId35" w:history="1">
        <w:r w:rsidRPr="007F02B9">
          <w:rPr>
            <w:rStyle w:val="Hyperlink"/>
          </w:rPr>
          <w:t>band plans</w:t>
        </w:r>
      </w:hyperlink>
      <w:r w:rsidRPr="0080247B">
        <w:t xml:space="preserve"> (both legislative and administrative) and </w:t>
      </w:r>
      <w:hyperlink r:id="rId36" w:history="1">
        <w:r w:rsidRPr="0026136B">
          <w:rPr>
            <w:rStyle w:val="Hyperlink"/>
            <w:rFonts w:cs="Arial"/>
            <w:szCs w:val="20"/>
          </w:rPr>
          <w:t>spectrum embargo</w:t>
        </w:r>
        <w:r>
          <w:rPr>
            <w:rStyle w:val="Hyperlink"/>
            <w:rFonts w:cs="Arial"/>
            <w:szCs w:val="20"/>
          </w:rPr>
          <w:t>e</w:t>
        </w:r>
        <w:r w:rsidRPr="0026136B">
          <w:rPr>
            <w:rStyle w:val="Hyperlink"/>
            <w:rFonts w:cs="Arial"/>
            <w:szCs w:val="20"/>
          </w:rPr>
          <w:t>s</w:t>
        </w:r>
      </w:hyperlink>
      <w:r w:rsidRPr="004B06F4">
        <w:rPr>
          <w:rStyle w:val="Hyperlink"/>
          <w:rFonts w:cs="Arial"/>
          <w:color w:val="auto"/>
          <w:szCs w:val="20"/>
          <w:u w:val="none"/>
        </w:rPr>
        <w:t>.</w:t>
      </w:r>
    </w:p>
    <w:p w14:paraId="481E32FB" w14:textId="17759B94" w:rsidR="00C670B7" w:rsidRDefault="00C670B7" w:rsidP="00C670B7">
      <w:bookmarkStart w:id="28" w:name="_Toc483400677"/>
      <w:bookmarkStart w:id="29" w:name="_Toc490122658"/>
      <w:bookmarkStart w:id="30" w:name="_Toc392147074"/>
      <w:bookmarkStart w:id="31" w:name="_Toc478115628"/>
      <w:bookmarkStart w:id="32" w:name="_Toc478115878"/>
      <w:r>
        <w:t xml:space="preserve">For the licensing of space-based communication systems (in this case </w:t>
      </w:r>
      <w:r w:rsidRPr="00E85790">
        <w:rPr>
          <w:i/>
        </w:rPr>
        <w:t>fixed earth</w:t>
      </w:r>
      <w:r>
        <w:t xml:space="preserve"> and </w:t>
      </w:r>
      <w:r w:rsidRPr="00E85790">
        <w:rPr>
          <w:i/>
        </w:rPr>
        <w:t>earth receive</w:t>
      </w:r>
      <w:r w:rsidR="00105E3F">
        <w:rPr>
          <w:i/>
        </w:rPr>
        <w:t xml:space="preserve">, </w:t>
      </w:r>
      <w:r w:rsidR="00105E3F">
        <w:rPr>
          <w:iCs/>
        </w:rPr>
        <w:t xml:space="preserve">or under an </w:t>
      </w:r>
      <w:r w:rsidR="00105E3F">
        <w:rPr>
          <w:i/>
        </w:rPr>
        <w:t>AWL</w:t>
      </w:r>
      <w:r w:rsidR="00105E3F">
        <w:rPr>
          <w:iCs/>
        </w:rPr>
        <w:t xml:space="preserve"> in the range 27</w:t>
      </w:r>
      <w:r w:rsidR="00AC2EF8">
        <w:t>–</w:t>
      </w:r>
      <w:r w:rsidR="00105E3F">
        <w:rPr>
          <w:iCs/>
        </w:rPr>
        <w:t>30 GHz</w:t>
      </w:r>
      <w:r>
        <w:t xml:space="preserve">), there is an additional requirement to consider </w:t>
      </w:r>
      <w:r w:rsidRPr="00615474">
        <w:t xml:space="preserve">the international </w:t>
      </w:r>
      <w:r>
        <w:t xml:space="preserve">(ITU) </w:t>
      </w:r>
      <w:r w:rsidRPr="00615474">
        <w:t xml:space="preserve">regulatory status </w:t>
      </w:r>
      <w:r>
        <w:t xml:space="preserve">and the international (ITU) registration details </w:t>
      </w:r>
      <w:r w:rsidRPr="00615474">
        <w:t xml:space="preserve">of the satellite </w:t>
      </w:r>
      <w:r>
        <w:t>network</w:t>
      </w:r>
      <w:r w:rsidRPr="00615474">
        <w:t xml:space="preserve"> </w:t>
      </w:r>
      <w:r>
        <w:t>that will cover operation of the proposed fixed earth station. This assessment is undertaken by the ACMA’s satellite coordination area using information provided by the applicant or accredited person (AP). The applicant or AP is advised of the result of the assessment and the appropriate special conditions and advisory notes that are to be included on the licence. More information on the special conditions and advisory notes can be seen in Section 7.</w:t>
      </w:r>
    </w:p>
    <w:p w14:paraId="49969735" w14:textId="77777777" w:rsidR="00C670B7" w:rsidRPr="004B06F4" w:rsidRDefault="00C670B7" w:rsidP="00C670B7">
      <w:r>
        <w:t>Further information on the assessment of the ITU regulatory status</w:t>
      </w:r>
      <w:r w:rsidRPr="00CF0CB0">
        <w:t xml:space="preserve"> </w:t>
      </w:r>
      <w:r>
        <w:t xml:space="preserve">and the ITU </w:t>
      </w:r>
      <w:r w:rsidRPr="004B06F4">
        <w:t>registration details of satellite system is below.</w:t>
      </w:r>
    </w:p>
    <w:p w14:paraId="3133A5CB" w14:textId="77777777" w:rsidR="00C670B7" w:rsidRPr="00AD5166" w:rsidRDefault="00C670B7" w:rsidP="00C670B7">
      <w:pPr>
        <w:pStyle w:val="Heading2"/>
      </w:pPr>
      <w:bookmarkStart w:id="33" w:name="_Toc488388549"/>
      <w:bookmarkStart w:id="34" w:name="_Toc24979650"/>
      <w:bookmarkStart w:id="35" w:name="_Toc490747821"/>
      <w:bookmarkStart w:id="36" w:name="_Toc109221766"/>
      <w:bookmarkEnd w:id="28"/>
      <w:bookmarkEnd w:id="29"/>
      <w:r w:rsidRPr="00AD5166">
        <w:t>Determining the ITU regulatory status</w:t>
      </w:r>
      <w:bookmarkEnd w:id="33"/>
      <w:bookmarkEnd w:id="34"/>
      <w:bookmarkEnd w:id="35"/>
      <w:bookmarkEnd w:id="36"/>
      <w:r w:rsidRPr="00AD5166">
        <w:t xml:space="preserve"> </w:t>
      </w:r>
    </w:p>
    <w:p w14:paraId="256C38E9" w14:textId="77777777" w:rsidR="00C670B7" w:rsidRDefault="00C670B7" w:rsidP="00C670B7">
      <w:bookmarkStart w:id="37" w:name="_Toc490122659"/>
      <w:bookmarkStart w:id="38" w:name="_Toc483400678"/>
      <w:r w:rsidRPr="00615474">
        <w:t xml:space="preserve">Prior to </w:t>
      </w:r>
      <w:r>
        <w:t>technical coordination, it is necessary to</w:t>
      </w:r>
      <w:r w:rsidRPr="00615474">
        <w:t xml:space="preserve"> ascertain the </w:t>
      </w:r>
      <w:r>
        <w:t>ITU</w:t>
      </w:r>
      <w:r w:rsidRPr="00615474">
        <w:t xml:space="preserve"> regulatory status of the satellite network that the proposed </w:t>
      </w:r>
      <w:r>
        <w:t xml:space="preserve">fixed </w:t>
      </w:r>
      <w:r w:rsidRPr="00615474">
        <w:t>earth station</w:t>
      </w:r>
      <w:r>
        <w:t xml:space="preserve"> is part of.</w:t>
      </w:r>
    </w:p>
    <w:p w14:paraId="43D00628" w14:textId="77777777" w:rsidR="00C670B7" w:rsidRPr="00DD4280" w:rsidRDefault="00C670B7" w:rsidP="00C670B7">
      <w:r>
        <w:lastRenderedPageBreak/>
        <w:t>Information about t</w:t>
      </w:r>
      <w:r w:rsidRPr="00DD4280">
        <w:t xml:space="preserve">he </w:t>
      </w:r>
      <w:r>
        <w:t>ITU</w:t>
      </w:r>
      <w:r w:rsidRPr="00DD4280">
        <w:t xml:space="preserve"> regulatory status of a satellite </w:t>
      </w:r>
      <w:r>
        <w:t>network can be</w:t>
      </w:r>
      <w:r w:rsidRPr="00DD4280">
        <w:t xml:space="preserve"> </w:t>
      </w:r>
      <w:r>
        <w:t>found</w:t>
      </w:r>
      <w:r w:rsidRPr="00DD4280">
        <w:t xml:space="preserve"> by checking the ITU’s Master International Frequency Register (MIFR).</w:t>
      </w:r>
      <w:r>
        <w:t xml:space="preserve"> Knowing how the network is progressing through the ITU coordination process will be used to inform the ACMA’s decision-making. The results of these checks are used in part to determine </w:t>
      </w:r>
      <w:r w:rsidRPr="00615474">
        <w:t>appropriate special condition(s) and/or advisory note(s) to be applied to the licence</w:t>
      </w:r>
      <w:r>
        <w:t xml:space="preserve">. </w:t>
      </w:r>
    </w:p>
    <w:p w14:paraId="1E88F943" w14:textId="77777777" w:rsidR="00C670B7" w:rsidRPr="00615474" w:rsidRDefault="00C670B7" w:rsidP="00C670B7">
      <w:pPr>
        <w:pStyle w:val="Heading3"/>
      </w:pPr>
      <w:bookmarkStart w:id="39" w:name="_Toc488388550"/>
      <w:bookmarkStart w:id="40" w:name="_Toc24979651"/>
      <w:bookmarkStart w:id="41" w:name="_Toc490747822"/>
      <w:bookmarkStart w:id="42" w:name="_Toc109221767"/>
      <w:bookmarkStart w:id="43" w:name="_Toc485201796"/>
      <w:bookmarkStart w:id="44" w:name="_Toc490122661"/>
      <w:bookmarkStart w:id="45" w:name="_Toc482603583"/>
      <w:bookmarkStart w:id="46" w:name="_Toc483400681"/>
      <w:bookmarkEnd w:id="30"/>
      <w:bookmarkEnd w:id="31"/>
      <w:bookmarkEnd w:id="32"/>
      <w:bookmarkEnd w:id="37"/>
      <w:bookmarkEnd w:id="38"/>
      <w:r>
        <w:t>Recorded in the MIFR with favourable finding</w:t>
      </w:r>
      <w:bookmarkEnd w:id="39"/>
      <w:bookmarkEnd w:id="40"/>
      <w:bookmarkEnd w:id="41"/>
      <w:bookmarkEnd w:id="42"/>
      <w:r>
        <w:t xml:space="preserve"> </w:t>
      </w:r>
    </w:p>
    <w:p w14:paraId="07CF32D2" w14:textId="77777777" w:rsidR="00C670B7" w:rsidRDefault="00C670B7" w:rsidP="00C670B7">
      <w:r w:rsidRPr="00615474">
        <w:t xml:space="preserve">If a satellite </w:t>
      </w:r>
      <w:r>
        <w:t>network</w:t>
      </w:r>
      <w:r w:rsidRPr="00615474">
        <w:t xml:space="preserve"> is recorded in the </w:t>
      </w:r>
      <w:r>
        <w:t xml:space="preserve">ITU’s </w:t>
      </w:r>
      <w:r w:rsidRPr="00615474">
        <w:t>MIFR</w:t>
      </w:r>
      <w:r>
        <w:t xml:space="preserve"> </w:t>
      </w:r>
      <w:r w:rsidRPr="00615474">
        <w:t xml:space="preserve">with a favourable finding, then </w:t>
      </w:r>
      <w:r>
        <w:t xml:space="preserve">it is more likely that </w:t>
      </w:r>
      <w:r w:rsidRPr="00615474">
        <w:t>the</w:t>
      </w:r>
      <w:r>
        <w:t xml:space="preserve"> risk of interference in Australia from the proposed service to existing licensed services is lower than for networks yet to be recorded in the ITU’s MIFR. S</w:t>
      </w:r>
      <w:r w:rsidRPr="00615474">
        <w:t xml:space="preserve">pecial conditions and advisory notes that are specific to the situation </w:t>
      </w:r>
      <w:r>
        <w:t xml:space="preserve">must </w:t>
      </w:r>
      <w:r w:rsidRPr="00615474">
        <w:t>be applied to the apparatus licence (refer to</w:t>
      </w:r>
      <w:r>
        <w:t xml:space="preserve"> section 7</w:t>
      </w:r>
      <w:r w:rsidRPr="00615474">
        <w:t>)</w:t>
      </w:r>
      <w:r>
        <w:t>.</w:t>
      </w:r>
    </w:p>
    <w:p w14:paraId="32DD4D99" w14:textId="77777777" w:rsidR="00C670B7" w:rsidRPr="009A7CBD" w:rsidRDefault="00C670B7" w:rsidP="00C670B7">
      <w:pPr>
        <w:pStyle w:val="Heading3"/>
      </w:pPr>
      <w:bookmarkStart w:id="47" w:name="_Toc24979652"/>
      <w:bookmarkStart w:id="48" w:name="_Toc109221768"/>
      <w:r w:rsidRPr="006E2EDC">
        <w:t xml:space="preserve">Recorded in the </w:t>
      </w:r>
      <w:r>
        <w:t>MIFR</w:t>
      </w:r>
      <w:r w:rsidRPr="006E2EDC">
        <w:t xml:space="preserve"> and </w:t>
      </w:r>
      <w:r w:rsidRPr="00BF3C5E">
        <w:t>11</w:t>
      </w:r>
      <w:r w:rsidRPr="006E2EDC">
        <w:t>.41</w:t>
      </w:r>
      <w:bookmarkEnd w:id="47"/>
      <w:bookmarkEnd w:id="48"/>
    </w:p>
    <w:p w14:paraId="6EF6BFF8" w14:textId="77777777" w:rsidR="00C670B7" w:rsidRDefault="00C670B7" w:rsidP="00C670B7">
      <w:r>
        <w:t>I</w:t>
      </w:r>
      <w:r w:rsidRPr="007C7B85">
        <w:t xml:space="preserve">f </w:t>
      </w:r>
      <w:bookmarkStart w:id="49" w:name="_Hlk23775617"/>
      <w:r>
        <w:t>a</w:t>
      </w:r>
      <w:r w:rsidRPr="007C7B85">
        <w:t xml:space="preserve"> </w:t>
      </w:r>
      <w:r>
        <w:t xml:space="preserve">satellite system is recorded under ITU RR No. </w:t>
      </w:r>
      <w:r w:rsidRPr="00607A02">
        <w:rPr>
          <w:b/>
        </w:rPr>
        <w:t>11.41</w:t>
      </w:r>
      <w:r w:rsidRPr="007C7B85">
        <w:t xml:space="preserve"> in the MIFR </w:t>
      </w:r>
      <w:r>
        <w:t>with an un</w:t>
      </w:r>
      <w:r w:rsidRPr="007C7B85">
        <w:t xml:space="preserve">favourable finding </w:t>
      </w:r>
      <w:r>
        <w:t xml:space="preserve">against a licensed </w:t>
      </w:r>
      <w:r w:rsidRPr="007C7B85">
        <w:t>satellite network operating in Australia</w:t>
      </w:r>
      <w:bookmarkEnd w:id="49"/>
      <w:r w:rsidRPr="007C7B85">
        <w:t>,</w:t>
      </w:r>
      <w:r w:rsidRPr="003703DF">
        <w:t xml:space="preserve"> </w:t>
      </w:r>
      <w:r w:rsidRPr="007C7B85">
        <w:t>the ACMA will require additional information that explains why the risk of interference should be consider</w:t>
      </w:r>
      <w:r>
        <w:t>ed</w:t>
      </w:r>
      <w:r w:rsidRPr="007C7B85">
        <w:t xml:space="preserve"> low</w:t>
      </w:r>
      <w:r>
        <w:t>,</w:t>
      </w:r>
      <w:r w:rsidRPr="003703DF">
        <w:t xml:space="preserve"> as well as </w:t>
      </w:r>
      <w:r w:rsidRPr="007C7B85">
        <w:t xml:space="preserve">a </w:t>
      </w:r>
      <w:r>
        <w:t>letter of assurance (</w:t>
      </w:r>
      <w:r w:rsidRPr="007C7B85">
        <w:t>LOA</w:t>
      </w:r>
      <w:r>
        <w:t>)</w:t>
      </w:r>
      <w:r w:rsidRPr="007C7B85">
        <w:t>.</w:t>
      </w:r>
      <w:r>
        <w:t xml:space="preserve"> </w:t>
      </w:r>
    </w:p>
    <w:p w14:paraId="0B2F81B0" w14:textId="77777777" w:rsidR="00C670B7" w:rsidRDefault="00C670B7" w:rsidP="00C670B7">
      <w:r>
        <w:t>In the case where an unfavourable finding</w:t>
      </w:r>
      <w:r w:rsidRPr="006E2EDC">
        <w:t xml:space="preserve"> </w:t>
      </w:r>
      <w:r>
        <w:t>is against an Australian-filed satellite that is not licensed in Australia, only a LOA is required.</w:t>
      </w:r>
    </w:p>
    <w:p w14:paraId="388EE254" w14:textId="77777777" w:rsidR="00C670B7" w:rsidRPr="00615474" w:rsidRDefault="00C670B7" w:rsidP="00C670B7">
      <w:pPr>
        <w:pStyle w:val="Heading3"/>
      </w:pPr>
      <w:bookmarkStart w:id="50" w:name="_Toc488388551"/>
      <w:bookmarkStart w:id="51" w:name="_Toc24979653"/>
      <w:bookmarkStart w:id="52" w:name="_Toc490747823"/>
      <w:bookmarkStart w:id="53" w:name="_Toc109221769"/>
      <w:bookmarkStart w:id="54" w:name="_Toc483400682"/>
      <w:bookmarkStart w:id="55" w:name="_Toc490122662"/>
      <w:bookmarkEnd w:id="43"/>
      <w:bookmarkEnd w:id="44"/>
      <w:bookmarkEnd w:id="45"/>
      <w:bookmarkEnd w:id="46"/>
      <w:r>
        <w:t>Not recorded in the MIFR</w:t>
      </w:r>
      <w:bookmarkEnd w:id="50"/>
      <w:bookmarkEnd w:id="51"/>
      <w:bookmarkEnd w:id="52"/>
      <w:bookmarkEnd w:id="53"/>
    </w:p>
    <w:p w14:paraId="5C8D7C7E" w14:textId="77777777" w:rsidR="00C670B7" w:rsidRDefault="00C670B7" w:rsidP="00C670B7">
      <w:r w:rsidRPr="00615474">
        <w:t xml:space="preserve">In the case where a satellite </w:t>
      </w:r>
      <w:r>
        <w:t>network</w:t>
      </w:r>
      <w:r w:rsidRPr="00615474">
        <w:t xml:space="preserve"> is not yet recorded in the MIFR but is progressing throug</w:t>
      </w:r>
      <w:r>
        <w:t xml:space="preserve">h the ITU coordination process, </w:t>
      </w:r>
      <w:r w:rsidRPr="00615474">
        <w:t>the ACMA may seek information</w:t>
      </w:r>
      <w:r>
        <w:t xml:space="preserve"> </w:t>
      </w:r>
      <w:r>
        <w:rPr>
          <w:rFonts w:cs="Arial"/>
        </w:rPr>
        <w:t>using</w:t>
      </w:r>
      <w:r w:rsidRPr="00AF2C0C">
        <w:rPr>
          <w:rFonts w:cs="Arial"/>
        </w:rPr>
        <w:t xml:space="preserve"> a LOA </w:t>
      </w:r>
      <w:r w:rsidRPr="00615474">
        <w:t xml:space="preserve">about its ITU coordination status from the satellite </w:t>
      </w:r>
      <w:r>
        <w:t>operator</w:t>
      </w:r>
      <w:r w:rsidRPr="00615474">
        <w:t xml:space="preserve"> </w:t>
      </w:r>
      <w:r>
        <w:t xml:space="preserve">(via the applicant or AP) </w:t>
      </w:r>
      <w:r w:rsidRPr="00615474">
        <w:t xml:space="preserve">to ascertain whether or not the proposed </w:t>
      </w:r>
      <w:r>
        <w:t>satellite network</w:t>
      </w:r>
      <w:r w:rsidRPr="00615474">
        <w:t xml:space="preserve"> is like</w:t>
      </w:r>
      <w:r>
        <w:t>ly to be recorded in the MIFR.</w:t>
      </w:r>
    </w:p>
    <w:p w14:paraId="3AEDCEA8" w14:textId="77777777" w:rsidR="00C670B7" w:rsidRPr="004B06F4" w:rsidRDefault="00C670B7" w:rsidP="00C670B7">
      <w:pPr>
        <w:rPr>
          <w:rFonts w:cs="Arial"/>
        </w:rPr>
      </w:pPr>
      <w:r>
        <w:rPr>
          <w:rFonts w:cs="Arial"/>
        </w:rPr>
        <w:t xml:space="preserve">The LOA is where </w:t>
      </w:r>
      <w:r w:rsidRPr="00AF2C0C">
        <w:rPr>
          <w:rFonts w:cs="Arial"/>
        </w:rPr>
        <w:t xml:space="preserve">the </w:t>
      </w:r>
      <w:r>
        <w:rPr>
          <w:rFonts w:cs="Arial"/>
        </w:rPr>
        <w:t>satellite operator</w:t>
      </w:r>
      <w:r w:rsidRPr="00AF2C0C">
        <w:rPr>
          <w:rFonts w:cs="Arial"/>
        </w:rPr>
        <w:t xml:space="preserve"> advises the ACMA of any ITU </w:t>
      </w:r>
      <w:r>
        <w:rPr>
          <w:rFonts w:cs="Arial"/>
        </w:rPr>
        <w:t>published</w:t>
      </w:r>
      <w:r w:rsidRPr="00AF2C0C">
        <w:rPr>
          <w:rFonts w:cs="Arial"/>
        </w:rPr>
        <w:t xml:space="preserve"> references, including coordination request</w:t>
      </w:r>
      <w:r>
        <w:rPr>
          <w:rFonts w:cs="Arial"/>
        </w:rPr>
        <w:t>s</w:t>
      </w:r>
      <w:r w:rsidRPr="00AF2C0C">
        <w:rPr>
          <w:rFonts w:cs="Arial"/>
        </w:rPr>
        <w:t xml:space="preserve"> and/or notification notices and particulars of any unresolved coordination issues. The LOA will also include a statement </w:t>
      </w:r>
      <w:r>
        <w:rPr>
          <w:rFonts w:cs="Arial"/>
        </w:rPr>
        <w:t>of the</w:t>
      </w:r>
      <w:r w:rsidRPr="00AF2C0C">
        <w:rPr>
          <w:rFonts w:cs="Arial"/>
        </w:rPr>
        <w:t xml:space="preserve"> measures </w:t>
      </w:r>
      <w:r>
        <w:rPr>
          <w:rFonts w:cs="Arial"/>
        </w:rPr>
        <w:t xml:space="preserve">that </w:t>
      </w:r>
      <w:r w:rsidRPr="00AF2C0C">
        <w:rPr>
          <w:rFonts w:cs="Arial"/>
        </w:rPr>
        <w:t>will be taken to ensure that the operation of the satellite network in Australia will not cause interference to other satellite networks</w:t>
      </w:r>
      <w:r>
        <w:rPr>
          <w:rFonts w:cs="Arial"/>
        </w:rPr>
        <w:t>/systems</w:t>
      </w:r>
      <w:r w:rsidRPr="00AF2C0C">
        <w:rPr>
          <w:rFonts w:cs="Arial"/>
        </w:rPr>
        <w:t xml:space="preserve"> operating in accordance with the ITU Radio Regulations. Details on the measures to be undertaken to not cause interference </w:t>
      </w:r>
      <w:r>
        <w:rPr>
          <w:rFonts w:cs="Arial"/>
        </w:rPr>
        <w:t>should</w:t>
      </w:r>
      <w:r w:rsidRPr="00AF2C0C">
        <w:rPr>
          <w:rFonts w:cs="Arial"/>
        </w:rPr>
        <w:t xml:space="preserve"> be included in the LOA</w:t>
      </w:r>
      <w:r w:rsidRPr="001F134F">
        <w:rPr>
          <w:rFonts w:cs="Arial"/>
        </w:rPr>
        <w:t xml:space="preserve">. The format of </w:t>
      </w:r>
      <w:r>
        <w:rPr>
          <w:rFonts w:cs="Arial"/>
        </w:rPr>
        <w:t>the LOA</w:t>
      </w:r>
      <w:r w:rsidRPr="001F134F">
        <w:rPr>
          <w:rFonts w:cs="Arial"/>
        </w:rPr>
        <w:t xml:space="preserve"> is at Appendix </w:t>
      </w:r>
      <w:r w:rsidRPr="00FF11AE">
        <w:rPr>
          <w:rFonts w:cs="Arial"/>
        </w:rPr>
        <w:t>D</w:t>
      </w:r>
      <w:r w:rsidRPr="00840CA2">
        <w:rPr>
          <w:rFonts w:cs="Arial"/>
        </w:rPr>
        <w:t>.</w:t>
      </w:r>
    </w:p>
    <w:p w14:paraId="501DD78D" w14:textId="42D70362" w:rsidR="00C670B7" w:rsidRDefault="00C670B7" w:rsidP="00C670B7">
      <w:r w:rsidRPr="00615474">
        <w:t xml:space="preserve">Where the ACMA is assured of a likely successful outcome, the ACMA will progress </w:t>
      </w:r>
      <w:r w:rsidR="008D1E26">
        <w:t xml:space="preserve">the </w:t>
      </w:r>
      <w:r w:rsidR="005B0023">
        <w:t xml:space="preserve">licence </w:t>
      </w:r>
      <w:r w:rsidR="008D1E26">
        <w:t>application</w:t>
      </w:r>
      <w:r w:rsidR="003C40BC">
        <w:t>, or support the registration,</w:t>
      </w:r>
      <w:r w:rsidR="008D1E26">
        <w:t xml:space="preserve"> for </w:t>
      </w:r>
      <w:r w:rsidRPr="00615474">
        <w:t xml:space="preserve">the </w:t>
      </w:r>
      <w:r w:rsidR="005B0023">
        <w:t xml:space="preserve">fixed </w:t>
      </w:r>
      <w:r w:rsidRPr="00615474">
        <w:t>earth station licence. However</w:t>
      </w:r>
      <w:r>
        <w:t>,</w:t>
      </w:r>
      <w:r w:rsidRPr="00615474">
        <w:t xml:space="preserve"> special conditions and advisory notes that are specific to the situation will be applied to the apparatus licence (refer to</w:t>
      </w:r>
      <w:r>
        <w:t xml:space="preserve"> Section 7)</w:t>
      </w:r>
      <w:r w:rsidRPr="00615474">
        <w:t>.</w:t>
      </w:r>
    </w:p>
    <w:p w14:paraId="23E311DE" w14:textId="4E05EBA6" w:rsidR="00C670B7" w:rsidRDefault="00C670B7" w:rsidP="00C670B7">
      <w:r w:rsidRPr="00031F9D">
        <w:t xml:space="preserve">If </w:t>
      </w:r>
      <w:bookmarkStart w:id="56" w:name="_Hlk23775689"/>
      <w:r w:rsidRPr="00031F9D">
        <w:t>information on a satellite system is yet to be published or processed by the ITU</w:t>
      </w:r>
      <w:bookmarkEnd w:id="56"/>
      <w:r w:rsidRPr="00031F9D">
        <w:t>, the ACMA is unlikely to issue a licence</w:t>
      </w:r>
      <w:r w:rsidR="008D1E26">
        <w:t xml:space="preserve"> or support a device registration</w:t>
      </w:r>
      <w:r w:rsidRPr="00031F9D">
        <w:t xml:space="preserve">, given the </w:t>
      </w:r>
      <w:r>
        <w:t xml:space="preserve">unknown scope or </w:t>
      </w:r>
      <w:r w:rsidRPr="00031F9D">
        <w:t xml:space="preserve">additional risk </w:t>
      </w:r>
      <w:r>
        <w:t>of interference.</w:t>
      </w:r>
    </w:p>
    <w:p w14:paraId="59313CBA" w14:textId="77777777" w:rsidR="00C670B7" w:rsidRPr="00615474" w:rsidRDefault="00C670B7" w:rsidP="00C670B7">
      <w:pPr>
        <w:pStyle w:val="Heading2"/>
      </w:pPr>
      <w:bookmarkStart w:id="57" w:name="_Toc488388552"/>
      <w:bookmarkStart w:id="58" w:name="_Toc24979654"/>
      <w:bookmarkStart w:id="59" w:name="_Toc490747824"/>
      <w:bookmarkStart w:id="60" w:name="_Toc109221770"/>
      <w:bookmarkStart w:id="61" w:name="_Toc483400683"/>
      <w:bookmarkStart w:id="62" w:name="_Toc490122663"/>
      <w:bookmarkEnd w:id="54"/>
      <w:bookmarkEnd w:id="55"/>
      <w:r>
        <w:t>Checking consistency with ITU registration details of the satellite network and proposed use</w:t>
      </w:r>
      <w:bookmarkEnd w:id="57"/>
      <w:bookmarkEnd w:id="58"/>
      <w:bookmarkEnd w:id="59"/>
      <w:bookmarkEnd w:id="60"/>
    </w:p>
    <w:p w14:paraId="50F3858F" w14:textId="00CD3198" w:rsidR="00C670B7" w:rsidRDefault="00C670B7" w:rsidP="00C670B7">
      <w:r>
        <w:t>Upon determination of the ITU regulatory status of the satellite network, the ACMA needs to further check whether the</w:t>
      </w:r>
      <w:r w:rsidRPr="00C048AE">
        <w:t xml:space="preserve"> </w:t>
      </w:r>
      <w:r>
        <w:t>ITU registration details of the satellite network are consistent with the characteristics of the proposed fixed earth station, as specified in the licence</w:t>
      </w:r>
      <w:r w:rsidR="008D1E26">
        <w:t xml:space="preserve"> </w:t>
      </w:r>
      <w:r>
        <w:t>application</w:t>
      </w:r>
      <w:r w:rsidR="00204287">
        <w:t xml:space="preserve"> or prospective device registration</w:t>
      </w:r>
      <w:r>
        <w:t xml:space="preserve">, and that the service is consistent with the Spectrum Plan. </w:t>
      </w:r>
    </w:p>
    <w:p w14:paraId="29579E8F" w14:textId="77777777" w:rsidR="00C670B7" w:rsidRDefault="00C670B7" w:rsidP="00C670B7">
      <w:pPr>
        <w:keepNext/>
        <w:spacing w:after="80"/>
      </w:pPr>
      <w:r>
        <w:lastRenderedPageBreak/>
        <w:t>Checking consistency of ITU registration details with the proposed service and the Spectrum Plan may include (but is not limited to) the following factors:</w:t>
      </w:r>
    </w:p>
    <w:p w14:paraId="216AA519" w14:textId="77777777" w:rsidR="00C670B7" w:rsidRDefault="00C670B7" w:rsidP="00C670B7">
      <w:pPr>
        <w:pStyle w:val="ListBullet"/>
      </w:pPr>
      <w:r>
        <w:t>the frequency ranges:</w:t>
      </w:r>
    </w:p>
    <w:p w14:paraId="134C7F0F" w14:textId="77777777" w:rsidR="00C670B7" w:rsidRDefault="00C670B7" w:rsidP="00C670B7">
      <w:pPr>
        <w:pStyle w:val="ListBullet"/>
        <w:tabs>
          <w:tab w:val="clear" w:pos="295"/>
          <w:tab w:val="num" w:pos="590"/>
        </w:tabs>
        <w:ind w:left="590"/>
      </w:pPr>
      <w:r>
        <w:t xml:space="preserve">the frequency ranges of the proposed fixed earth station must be covered by the frequency ranges of the satellite network </w:t>
      </w:r>
    </w:p>
    <w:p w14:paraId="78B32728" w14:textId="77777777" w:rsidR="00C670B7" w:rsidRDefault="00C670B7" w:rsidP="00C670B7">
      <w:pPr>
        <w:pStyle w:val="ListBullet"/>
      </w:pPr>
      <w:r>
        <w:t>the class of station:</w:t>
      </w:r>
      <w:r>
        <w:rPr>
          <w:rStyle w:val="FootnoteReference"/>
        </w:rPr>
        <w:footnoteReference w:id="4"/>
      </w:r>
    </w:p>
    <w:p w14:paraId="0BF21907" w14:textId="77777777" w:rsidR="00C670B7" w:rsidRDefault="00C670B7" w:rsidP="00C670B7">
      <w:pPr>
        <w:pStyle w:val="ListBullet"/>
        <w:tabs>
          <w:tab w:val="clear" w:pos="295"/>
          <w:tab w:val="num" w:pos="590"/>
        </w:tabs>
        <w:ind w:left="590"/>
      </w:pPr>
      <w:r>
        <w:t>the service purpose/function of the proposed fixed earth station must be consistent with the station class(es) of the satellite network</w:t>
      </w:r>
    </w:p>
    <w:p w14:paraId="61B6DFCF" w14:textId="77777777" w:rsidR="00C670B7" w:rsidRDefault="00C670B7" w:rsidP="00C670B7">
      <w:pPr>
        <w:pStyle w:val="ListBullet"/>
      </w:pPr>
      <w:r>
        <w:t>the service area:</w:t>
      </w:r>
    </w:p>
    <w:p w14:paraId="3FB4DFDE" w14:textId="77777777" w:rsidR="00C670B7" w:rsidRDefault="00C670B7" w:rsidP="00C670B7">
      <w:pPr>
        <w:pStyle w:val="ListBullet"/>
        <w:tabs>
          <w:tab w:val="clear" w:pos="295"/>
          <w:tab w:val="num" w:pos="590"/>
        </w:tabs>
        <w:ind w:left="590"/>
      </w:pPr>
      <w:r>
        <w:t>the location of the proposed fixed earth station must be within the service area of the satellite network</w:t>
      </w:r>
    </w:p>
    <w:p w14:paraId="18FD0F0F" w14:textId="77777777" w:rsidR="00C670B7" w:rsidRDefault="00C670B7" w:rsidP="00C670B7">
      <w:pPr>
        <w:pStyle w:val="ListBullet"/>
      </w:pPr>
      <w:r>
        <w:t>technical characteristics of the associated earth station:</w:t>
      </w:r>
    </w:p>
    <w:p w14:paraId="3F3769E6" w14:textId="77777777" w:rsidR="00C670B7" w:rsidRDefault="00C670B7" w:rsidP="00C670B7">
      <w:pPr>
        <w:pStyle w:val="ListBullet"/>
        <w:tabs>
          <w:tab w:val="clear" w:pos="295"/>
          <w:tab w:val="num" w:pos="590"/>
        </w:tabs>
        <w:spacing w:after="240"/>
        <w:ind w:left="590"/>
      </w:pPr>
      <w:r>
        <w:t>the technical characteristics of the proposed fixed earth station must be within the envelope of the associated earth stations of the satellite network.</w:t>
      </w:r>
    </w:p>
    <w:p w14:paraId="4BE65FEA" w14:textId="77777777" w:rsidR="00C670B7" w:rsidRDefault="00C670B7" w:rsidP="00C670B7">
      <w:pPr>
        <w:pStyle w:val="Heading2"/>
      </w:pPr>
      <w:bookmarkStart w:id="63" w:name="_Toc488388553"/>
      <w:bookmarkStart w:id="64" w:name="_Toc24979655"/>
      <w:bookmarkStart w:id="65" w:name="_Toc490747825"/>
      <w:bookmarkStart w:id="66" w:name="_Toc109221771"/>
      <w:bookmarkStart w:id="67" w:name="_Toc392147075"/>
      <w:bookmarkStart w:id="68" w:name="_Toc478115629"/>
      <w:bookmarkStart w:id="69" w:name="_Toc478115879"/>
      <w:bookmarkStart w:id="70" w:name="_Toc483400684"/>
      <w:bookmarkStart w:id="71" w:name="_Toc490122664"/>
      <w:bookmarkEnd w:id="61"/>
      <w:bookmarkEnd w:id="62"/>
      <w:r>
        <w:t>Launch and t</w:t>
      </w:r>
      <w:r w:rsidRPr="00A70960">
        <w:t>ransfer orbit</w:t>
      </w:r>
      <w:r>
        <w:t xml:space="preserve"> support</w:t>
      </w:r>
      <w:r w:rsidRPr="00A70960">
        <w:t xml:space="preserve"> services </w:t>
      </w:r>
      <w:r>
        <w:t xml:space="preserve">and/or </w:t>
      </w:r>
      <w:r w:rsidRPr="00A70960">
        <w:t>in-orbit testing</w:t>
      </w:r>
      <w:bookmarkEnd w:id="63"/>
      <w:bookmarkEnd w:id="64"/>
      <w:bookmarkEnd w:id="65"/>
      <w:bookmarkEnd w:id="66"/>
      <w:r w:rsidRPr="00A70960">
        <w:t xml:space="preserve"> </w:t>
      </w:r>
    </w:p>
    <w:p w14:paraId="5FFA7929" w14:textId="77777777" w:rsidR="00C670B7" w:rsidRDefault="00C670B7" w:rsidP="00C670B7">
      <w:r>
        <w:t xml:space="preserve">Due to the </w:t>
      </w:r>
      <w:r w:rsidRPr="00A70960">
        <w:t xml:space="preserve">transitory nature </w:t>
      </w:r>
      <w:r>
        <w:t>of launch and t</w:t>
      </w:r>
      <w:r w:rsidRPr="00A70960">
        <w:t>ransfer orbit</w:t>
      </w:r>
      <w:r>
        <w:t xml:space="preserve"> support</w:t>
      </w:r>
      <w:r w:rsidRPr="00A70960">
        <w:t xml:space="preserve"> services (TOSS) and/or in-orbit testing (IOT)</w:t>
      </w:r>
      <w:r>
        <w:t xml:space="preserve"> services</w:t>
      </w:r>
      <w:r w:rsidRPr="00A70960">
        <w:t xml:space="preserve">, such services are </w:t>
      </w:r>
      <w:r>
        <w:t xml:space="preserve">often </w:t>
      </w:r>
      <w:r w:rsidRPr="00A70960">
        <w:t>not identified in the ITU regulatory information</w:t>
      </w:r>
      <w:r>
        <w:t>. Consequently, the related licence applications</w:t>
      </w:r>
      <w:r w:rsidRPr="00A70960">
        <w:t xml:space="preserve"> are consider</w:t>
      </w:r>
      <w:r>
        <w:t>ed</w:t>
      </w:r>
      <w:r w:rsidRPr="00A70960">
        <w:t xml:space="preserve"> on a case-by</w:t>
      </w:r>
      <w:r>
        <w:t>-</w:t>
      </w:r>
      <w:r w:rsidRPr="00A70960">
        <w:t>case basis</w:t>
      </w:r>
      <w:r>
        <w:t xml:space="preserve">, with conditions determined depending on the specifics of the applications. </w:t>
      </w:r>
    </w:p>
    <w:p w14:paraId="2706FBFA" w14:textId="77777777" w:rsidR="00C670B7" w:rsidRPr="00903D7A" w:rsidRDefault="00C670B7" w:rsidP="00C670B7">
      <w:pPr>
        <w:spacing w:after="80"/>
      </w:pPr>
      <w:r>
        <w:t>Consideration of launch/TOSS/IOT are divided into two sub-categories:</w:t>
      </w:r>
      <w:r w:rsidRPr="00903D7A">
        <w:t xml:space="preserve"> </w:t>
      </w:r>
    </w:p>
    <w:p w14:paraId="51FD76BE" w14:textId="77777777" w:rsidR="00C670B7" w:rsidRDefault="00C670B7" w:rsidP="00C670B7">
      <w:pPr>
        <w:pStyle w:val="ListNumber"/>
      </w:pPr>
      <w:r>
        <w:t xml:space="preserve">Temporary fixed earth stations that </w:t>
      </w:r>
      <w:r w:rsidRPr="00F41BB6">
        <w:t>provide launch</w:t>
      </w:r>
      <w:r>
        <w:t xml:space="preserve"> and</w:t>
      </w:r>
      <w:r w:rsidRPr="00F41BB6">
        <w:t xml:space="preserve"> TOSS </w:t>
      </w:r>
      <w:r>
        <w:t xml:space="preserve">services </w:t>
      </w:r>
      <w:r w:rsidRPr="00F41BB6">
        <w:t>and/</w:t>
      </w:r>
      <w:r>
        <w:t>or</w:t>
      </w:r>
      <w:r w:rsidRPr="00F41BB6" w:rsidDel="00440F80">
        <w:t xml:space="preserve"> </w:t>
      </w:r>
      <w:r w:rsidRPr="00F41BB6">
        <w:t xml:space="preserve">IOT </w:t>
      </w:r>
      <w:r>
        <w:t>services</w:t>
      </w:r>
      <w:r w:rsidRPr="00F41BB6">
        <w:t xml:space="preserve"> for a specific space mission</w:t>
      </w:r>
      <w:r>
        <w:t xml:space="preserve">. Such licences are normally limited to the period of mission event and are non-renewable with maximum licence period of one year. </w:t>
      </w:r>
    </w:p>
    <w:p w14:paraId="03C13776" w14:textId="77777777" w:rsidR="00C670B7" w:rsidRDefault="00C670B7" w:rsidP="00AC2EF8">
      <w:pPr>
        <w:pStyle w:val="ListNumber"/>
        <w:spacing w:after="240"/>
      </w:pPr>
      <w:r>
        <w:t xml:space="preserve">Ongoing fixed earth stations that </w:t>
      </w:r>
      <w:r w:rsidRPr="00F41BB6">
        <w:t xml:space="preserve">provide launch </w:t>
      </w:r>
      <w:r>
        <w:t>and</w:t>
      </w:r>
      <w:r w:rsidRPr="00F41BB6">
        <w:t xml:space="preserve"> TOSS </w:t>
      </w:r>
      <w:r>
        <w:t xml:space="preserve">services </w:t>
      </w:r>
      <w:r w:rsidRPr="00F41BB6">
        <w:t xml:space="preserve">and/or </w:t>
      </w:r>
      <w:r>
        <w:t>IOT</w:t>
      </w:r>
      <w:r w:rsidRPr="00F41BB6">
        <w:t xml:space="preserve"> </w:t>
      </w:r>
      <w:r>
        <w:t xml:space="preserve">services </w:t>
      </w:r>
      <w:r w:rsidRPr="00F41BB6">
        <w:t xml:space="preserve">for </w:t>
      </w:r>
      <w:r>
        <w:t>any number of</w:t>
      </w:r>
      <w:r w:rsidRPr="00F41BB6">
        <w:t xml:space="preserve"> space mission</w:t>
      </w:r>
      <w:r>
        <w:t>s.</w:t>
      </w:r>
    </w:p>
    <w:p w14:paraId="17AE79C6" w14:textId="77777777" w:rsidR="00C670B7" w:rsidRDefault="00C670B7" w:rsidP="00C670B7">
      <w:r>
        <w:t>Applicable s</w:t>
      </w:r>
      <w:r w:rsidRPr="00615474">
        <w:t>pecial conditions and ad</w:t>
      </w:r>
      <w:r>
        <w:t>visory notes that</w:t>
      </w:r>
      <w:r w:rsidRPr="00615474">
        <w:t xml:space="preserve"> </w:t>
      </w:r>
      <w:r>
        <w:t xml:space="preserve">must </w:t>
      </w:r>
      <w:r w:rsidRPr="00615474">
        <w:t xml:space="preserve">be applied to the apparatus licence </w:t>
      </w:r>
      <w:r>
        <w:t>for</w:t>
      </w:r>
      <w:r w:rsidRPr="00615474">
        <w:t xml:space="preserve"> </w:t>
      </w:r>
      <w:r>
        <w:t>these types of applications are discussed at Section 7.</w:t>
      </w:r>
    </w:p>
    <w:p w14:paraId="1B8269C3" w14:textId="77777777" w:rsidR="00C670B7" w:rsidRDefault="00C670B7" w:rsidP="00C670B7">
      <w:pPr>
        <w:pStyle w:val="Heading2"/>
      </w:pPr>
      <w:bookmarkStart w:id="72" w:name="_Toc488388554"/>
      <w:bookmarkStart w:id="73" w:name="_Toc24979656"/>
      <w:bookmarkStart w:id="74" w:name="_Toc490747826"/>
      <w:bookmarkStart w:id="75" w:name="_Toc109221772"/>
      <w:bookmarkStart w:id="76" w:name="_Toc392147077"/>
      <w:bookmarkStart w:id="77" w:name="_Toc478115631"/>
      <w:bookmarkStart w:id="78" w:name="_Toc478115881"/>
      <w:bookmarkStart w:id="79" w:name="_Toc480354431"/>
      <w:bookmarkStart w:id="80" w:name="_Toc483400686"/>
      <w:bookmarkStart w:id="81" w:name="_Ref488394443"/>
      <w:bookmarkStart w:id="82" w:name="_Toc490122665"/>
      <w:bookmarkEnd w:id="67"/>
      <w:bookmarkEnd w:id="68"/>
      <w:bookmarkEnd w:id="69"/>
      <w:bookmarkEnd w:id="70"/>
      <w:bookmarkEnd w:id="71"/>
      <w:r>
        <w:t>Information required for regulatory assessment</w:t>
      </w:r>
      <w:bookmarkEnd w:id="72"/>
      <w:bookmarkEnd w:id="73"/>
      <w:bookmarkEnd w:id="74"/>
      <w:bookmarkEnd w:id="75"/>
    </w:p>
    <w:p w14:paraId="75202698" w14:textId="5AF457CE" w:rsidR="00C670B7" w:rsidRDefault="00C670B7" w:rsidP="00C670B7">
      <w:r>
        <w:t>T</w:t>
      </w:r>
      <w:r w:rsidRPr="009F2FEC">
        <w:t xml:space="preserve">o assess the proposed fixed earth stations against the above requirements for the ITU regulatory status and the ITU registration details of the related satellite network, applicants or APs may submit completed </w:t>
      </w:r>
      <w:r w:rsidRPr="009F2FEC">
        <w:rPr>
          <w:i/>
        </w:rPr>
        <w:t>earth</w:t>
      </w:r>
      <w:r w:rsidRPr="009F2FEC">
        <w:t xml:space="preserve"> and/or </w:t>
      </w:r>
      <w:r w:rsidRPr="009F2FEC">
        <w:rPr>
          <w:i/>
        </w:rPr>
        <w:t>earth receive</w:t>
      </w:r>
      <w:r w:rsidRPr="009F2FEC">
        <w:t xml:space="preserve"> application form(s) (depending on the type of licence being sought)</w:t>
      </w:r>
      <w:r w:rsidRPr="009F2FEC">
        <w:rPr>
          <w:rStyle w:val="FootnoteReference"/>
        </w:rPr>
        <w:footnoteReference w:id="5"/>
      </w:r>
      <w:r w:rsidRPr="009F2FEC">
        <w:t>, or alternatively</w:t>
      </w:r>
      <w:r w:rsidR="00581FB5" w:rsidRPr="00581FB5">
        <w:t xml:space="preserve"> </w:t>
      </w:r>
      <w:r w:rsidR="00581FB5">
        <w:t xml:space="preserve">and in the case of earth stations </w:t>
      </w:r>
      <w:r w:rsidR="00204287">
        <w:t xml:space="preserve">to be </w:t>
      </w:r>
      <w:r w:rsidR="00581FB5">
        <w:t>operat</w:t>
      </w:r>
      <w:r w:rsidR="00204287">
        <w:t>ed</w:t>
      </w:r>
      <w:r w:rsidR="00581FB5">
        <w:t xml:space="preserve"> under an AWL</w:t>
      </w:r>
      <w:r>
        <w:t>,</w:t>
      </w:r>
      <w:r w:rsidRPr="009F2FEC">
        <w:t xml:space="preserve"> provide the information as listed at Appendix C in a summary table format to </w:t>
      </w:r>
      <w:hyperlink r:id="rId37" w:history="1">
        <w:r w:rsidRPr="009F2FEC">
          <w:rPr>
            <w:rStyle w:val="Hyperlink"/>
          </w:rPr>
          <w:t>satellite.coordination@acma.gov.au</w:t>
        </w:r>
      </w:hyperlink>
      <w:r w:rsidRPr="009F2FEC">
        <w:t>.</w:t>
      </w:r>
    </w:p>
    <w:p w14:paraId="6D757D5E" w14:textId="77777777" w:rsidR="00C670B7" w:rsidRDefault="00C670B7" w:rsidP="00C670B7">
      <w:r>
        <w:t>D</w:t>
      </w:r>
      <w:r w:rsidRPr="009F2FEC">
        <w:t>epending the specifics of certain licence applications, the ACMA may seek further information from the applicant or AP to assist with the assessment</w:t>
      </w:r>
      <w:bookmarkStart w:id="83" w:name="_Toc483494259"/>
      <w:bookmarkStart w:id="84" w:name="_Toc483494157"/>
      <w:bookmarkStart w:id="85" w:name="_Toc483494260"/>
      <w:bookmarkEnd w:id="83"/>
      <w:bookmarkEnd w:id="84"/>
      <w:bookmarkEnd w:id="85"/>
      <w:r w:rsidRPr="009F2FEC">
        <w:t>.</w:t>
      </w:r>
    </w:p>
    <w:p w14:paraId="4F576B92" w14:textId="77777777" w:rsidR="00C670B7" w:rsidRDefault="00C670B7" w:rsidP="00C670B7">
      <w:pPr>
        <w:pStyle w:val="Heading2"/>
      </w:pPr>
      <w:bookmarkStart w:id="86" w:name="_Toc24979657"/>
      <w:bookmarkStart w:id="87" w:name="_Toc109221773"/>
      <w:r>
        <w:lastRenderedPageBreak/>
        <w:t>Interference management requirements</w:t>
      </w:r>
      <w:bookmarkEnd w:id="86"/>
      <w:bookmarkEnd w:id="87"/>
    </w:p>
    <w:p w14:paraId="67C69395" w14:textId="77777777" w:rsidR="00C670B7" w:rsidRDefault="00C670B7" w:rsidP="00C670B7">
      <w:bookmarkStart w:id="88" w:name="_Hlk39052410"/>
      <w:r>
        <w:t xml:space="preserve">Information on how that applicant has </w:t>
      </w:r>
      <w:r w:rsidRPr="00C44509">
        <w:t xml:space="preserve">assessed the risk and likelihood of interference to and from existing services licensed in Australia, both space-based and terrestrial, and what process the applicant will use to manage interference should it occur will be used to inform the ACMA’s decision-making.  </w:t>
      </w:r>
      <w:bookmarkEnd w:id="88"/>
      <w:r w:rsidRPr="00C44509">
        <w:t>The results of these checks</w:t>
      </w:r>
      <w:r>
        <w:t xml:space="preserve"> are used in part to determine appropriate special condition(s) and/or advisory note(s) to be applied to the licence.  Information required in this regard is outlined below.</w:t>
      </w:r>
    </w:p>
    <w:p w14:paraId="4818A946" w14:textId="77777777" w:rsidR="00C670B7" w:rsidRDefault="00C670B7" w:rsidP="00C670B7">
      <w:pPr>
        <w:pStyle w:val="Heading3"/>
      </w:pPr>
      <w:bookmarkStart w:id="89" w:name="_Toc24979658"/>
      <w:bookmarkStart w:id="90" w:name="_Toc109221774"/>
      <w:r>
        <w:t>Interference point of contact</w:t>
      </w:r>
      <w:bookmarkEnd w:id="89"/>
      <w:bookmarkEnd w:id="90"/>
    </w:p>
    <w:p w14:paraId="7522BCB7" w14:textId="77777777" w:rsidR="00C670B7" w:rsidRDefault="00C670B7" w:rsidP="00C670B7">
      <w:pPr>
        <w:keepNext/>
      </w:pPr>
      <w:r>
        <w:t xml:space="preserve">The applicant is required to provide a point of contact that can assist in addressing any suspected cases of interference and cease transmission if directed by the ACMA. The details of the point of contact must be kept up to date. </w:t>
      </w:r>
    </w:p>
    <w:p w14:paraId="50AEB3F6" w14:textId="77777777" w:rsidR="00C670B7" w:rsidRDefault="00C670B7" w:rsidP="00C670B7">
      <w:pPr>
        <w:pStyle w:val="Heading3"/>
      </w:pPr>
      <w:bookmarkStart w:id="91" w:name="_Toc24979659"/>
      <w:bookmarkStart w:id="92" w:name="_Toc109221775"/>
      <w:r>
        <w:t>V</w:t>
      </w:r>
      <w:r w:rsidRPr="008B67B4">
        <w:t>ery large earth stations</w:t>
      </w:r>
      <w:bookmarkEnd w:id="91"/>
      <w:bookmarkEnd w:id="92"/>
    </w:p>
    <w:p w14:paraId="593ACB64" w14:textId="76DF3DA1" w:rsidR="00C670B7" w:rsidRDefault="00C670B7" w:rsidP="00C670B7">
      <w:bookmarkStart w:id="93" w:name="_Hlk23852005"/>
      <w:r w:rsidRPr="004B1867">
        <w:t xml:space="preserve">For licensing applications for NGSO satellite networks, </w:t>
      </w:r>
      <w:bookmarkEnd w:id="93"/>
      <w:r w:rsidRPr="004B1867">
        <w:t>the applicant is required to demonstrate c</w:t>
      </w:r>
      <w:r w:rsidRPr="006E7E9E">
        <w:rPr>
          <w:bCs/>
        </w:rPr>
        <w:t>ompatibility with very large earth stations</w:t>
      </w:r>
      <w:r w:rsidRPr="006E7E9E">
        <w:t xml:space="preserve"> </w:t>
      </w:r>
      <w:bookmarkStart w:id="94" w:name="_Hlk23775920"/>
      <w:r w:rsidRPr="006E7E9E">
        <w:t xml:space="preserve">notified under No. </w:t>
      </w:r>
      <w:r w:rsidRPr="006E7E9E">
        <w:rPr>
          <w:b/>
        </w:rPr>
        <w:t xml:space="preserve">9.7B </w:t>
      </w:r>
      <w:r w:rsidRPr="006E7E9E">
        <w:t>and</w:t>
      </w:r>
      <w:r w:rsidRPr="00052021">
        <w:t xml:space="preserve"> No. </w:t>
      </w:r>
      <w:r w:rsidRPr="00DC26C0">
        <w:rPr>
          <w:b/>
        </w:rPr>
        <w:t>9.7A</w:t>
      </w:r>
      <w:bookmarkEnd w:id="94"/>
      <w:r w:rsidRPr="000927C1">
        <w:rPr>
          <w:rStyle w:val="FootnoteReference"/>
          <w:bCs/>
        </w:rPr>
        <w:footnoteReference w:id="6"/>
      </w:r>
      <w:r w:rsidRPr="00052021">
        <w:t xml:space="preserve">. </w:t>
      </w:r>
      <w:r w:rsidR="00AC2EF8">
        <w:t xml:space="preserve">The </w:t>
      </w:r>
      <w:r>
        <w:t xml:space="preserve">ACMA would normally consult with the organisation that notified these earth stations as part of the assessment requirements. </w:t>
      </w:r>
    </w:p>
    <w:p w14:paraId="3F99B22A" w14:textId="77777777" w:rsidR="00C670B7" w:rsidRDefault="00C670B7" w:rsidP="00C670B7">
      <w:pPr>
        <w:pStyle w:val="Heading3"/>
      </w:pPr>
      <w:bookmarkStart w:id="95" w:name="_Toc24979660"/>
      <w:bookmarkStart w:id="96" w:name="_Toc109221776"/>
      <w:r w:rsidRPr="00CD0816">
        <w:t>Protection for the Mid-West Radio Quiet Zone</w:t>
      </w:r>
      <w:bookmarkEnd w:id="95"/>
      <w:bookmarkEnd w:id="96"/>
    </w:p>
    <w:p w14:paraId="0654D23F" w14:textId="77777777" w:rsidR="00C670B7" w:rsidRDefault="00C670B7" w:rsidP="00C670B7">
      <w:r>
        <w:t xml:space="preserve">The </w:t>
      </w:r>
      <w:hyperlink r:id="rId38" w:history="1">
        <w:r w:rsidRPr="00F84A0B">
          <w:rPr>
            <w:rStyle w:val="Hyperlink"/>
          </w:rPr>
          <w:t>Radiocommunications (Mid-West Radio Quiet Zone) Frequency Band Plan 2011</w:t>
        </w:r>
      </w:hyperlink>
      <w:r>
        <w:t xml:space="preserve"> (band plan), which establishes a radio quiet zone (RQZ) in the Mid-West region of Western Australia, facilitates the development and use of new radioastronomy technologies at that site by maintaining its ‘radio-quietness’. The band plan specifies the geographic zone affected.</w:t>
      </w:r>
    </w:p>
    <w:p w14:paraId="7F127E52" w14:textId="77777777" w:rsidR="00C670B7" w:rsidRDefault="00C670B7" w:rsidP="00C670B7">
      <w:r>
        <w:t>The band plan permits use of the frequency range 70 MHz to 25.25 GHz in the RQZ for radioastronomy purposes. It also states that additional services which operate in the inner zone of the RQZ are considered secondary services to radioastronomy services. Secondary services are required to not cause harmful interference to radioastronomy services and cannot claim protection from harmful interference from radioastronomy services.</w:t>
      </w:r>
    </w:p>
    <w:p w14:paraId="0384FBEA" w14:textId="77777777" w:rsidR="00C670B7" w:rsidRDefault="005776AC" w:rsidP="00C670B7">
      <w:hyperlink r:id="rId39" w:history="1">
        <w:r w:rsidR="00C670B7" w:rsidRPr="00BE3BFF">
          <w:rPr>
            <w:rStyle w:val="Hyperlink"/>
            <w:rFonts w:cs="Arial"/>
            <w:szCs w:val="20"/>
            <w:shd w:val="clear" w:color="auto" w:fill="FFFFFF"/>
          </w:rPr>
          <w:t>Radiocommunications assignment and licensing instruction (RALI) MS32</w:t>
        </w:r>
      </w:hyperlink>
      <w:r w:rsidR="00C670B7">
        <w:rPr>
          <w:rFonts w:cs="Arial"/>
          <w:color w:val="000000"/>
          <w:szCs w:val="20"/>
          <w:shd w:val="clear" w:color="auto" w:fill="FFFFFF"/>
        </w:rPr>
        <w:t xml:space="preserve"> </w:t>
      </w:r>
      <w:r w:rsidR="00C670B7">
        <w:rPr>
          <w:rFonts w:cs="Arial"/>
          <w:szCs w:val="20"/>
          <w:shd w:val="clear" w:color="auto" w:fill="FFFFFF"/>
        </w:rPr>
        <w:t>c</w:t>
      </w:r>
      <w:r w:rsidR="00C670B7" w:rsidRPr="00830537">
        <w:t xml:space="preserve">oordination of apparatus licensed services within the </w:t>
      </w:r>
      <w:r w:rsidR="00C670B7">
        <w:rPr>
          <w:rFonts w:cs="Arial"/>
          <w:color w:val="000000"/>
          <w:szCs w:val="20"/>
          <w:shd w:val="clear" w:color="auto" w:fill="FFFFFF"/>
        </w:rPr>
        <w:t xml:space="preserve">RQZ provides a framework for </w:t>
      </w:r>
      <w:r w:rsidR="00C670B7">
        <w:rPr>
          <w:color w:val="000000"/>
        </w:rPr>
        <w:t xml:space="preserve">the interference protection of radioastronomy activities sited within 50 km of the centre of the RQZ. </w:t>
      </w:r>
      <w:r w:rsidR="00C670B7">
        <w:t>A potential frequency assignment falls within the scope of this RALI if the assignment is for an apparatus-licensed transmitter of a coordinated terrestrial service station or earth station, and its frequency and geographical location is within the RQZ.</w:t>
      </w:r>
    </w:p>
    <w:p w14:paraId="1FC0F7AF" w14:textId="77777777" w:rsidR="00C670B7" w:rsidRDefault="00C670B7" w:rsidP="00C670B7">
      <w:bookmarkStart w:id="97" w:name="_Hlk24451472"/>
      <w:r>
        <w:t>Earth and earth receive</w:t>
      </w:r>
      <w:r w:rsidRPr="00952D24">
        <w:rPr>
          <w:rFonts w:cs="Arial"/>
          <w:color w:val="000000"/>
          <w:szCs w:val="20"/>
          <w:shd w:val="clear" w:color="auto" w:fill="FFFFFF"/>
        </w:rPr>
        <w:t xml:space="preserve"> licensees </w:t>
      </w:r>
      <w:r>
        <w:rPr>
          <w:rFonts w:cs="Arial"/>
          <w:color w:val="000000"/>
          <w:szCs w:val="20"/>
          <w:shd w:val="clear" w:color="auto" w:fill="FFFFFF"/>
        </w:rPr>
        <w:t>are subject to RALI MS32</w:t>
      </w:r>
      <w:r>
        <w:t xml:space="preserve"> and</w:t>
      </w:r>
      <w:r w:rsidRPr="00952D24">
        <w:rPr>
          <w:rFonts w:cs="Arial"/>
          <w:color w:val="000000"/>
          <w:szCs w:val="20"/>
          <w:shd w:val="clear" w:color="auto" w:fill="FFFFFF"/>
        </w:rPr>
        <w:t xml:space="preserve"> the requirements of</w:t>
      </w:r>
      <w:r>
        <w:rPr>
          <w:rFonts w:cs="Arial"/>
          <w:color w:val="000000"/>
          <w:szCs w:val="20"/>
          <w:shd w:val="clear" w:color="auto" w:fill="FFFFFF"/>
        </w:rPr>
        <w:t xml:space="preserve"> the relevant</w:t>
      </w:r>
      <w:r w:rsidRPr="00952D24">
        <w:rPr>
          <w:rFonts w:cs="Arial"/>
          <w:color w:val="000000"/>
          <w:szCs w:val="20"/>
          <w:shd w:val="clear" w:color="auto" w:fill="FFFFFF"/>
        </w:rPr>
        <w:t xml:space="preserve"> </w:t>
      </w:r>
      <w:r>
        <w:t>band plan</w:t>
      </w:r>
      <w:r w:rsidRPr="00952D24">
        <w:rPr>
          <w:rFonts w:cs="Arial"/>
          <w:color w:val="000000"/>
          <w:szCs w:val="20"/>
          <w:shd w:val="clear" w:color="auto" w:fill="FFFFFF"/>
        </w:rPr>
        <w:t xml:space="preserve">, and as such are responsible for ensuring </w:t>
      </w:r>
      <w:r>
        <w:rPr>
          <w:rFonts w:cs="Arial"/>
          <w:color w:val="000000"/>
          <w:szCs w:val="20"/>
          <w:shd w:val="clear" w:color="auto" w:fill="FFFFFF"/>
        </w:rPr>
        <w:t xml:space="preserve">they </w:t>
      </w:r>
      <w:r w:rsidRPr="00952D24">
        <w:rPr>
          <w:rFonts w:cs="Arial"/>
          <w:color w:val="000000"/>
          <w:szCs w:val="20"/>
          <w:shd w:val="clear" w:color="auto" w:fill="FFFFFF"/>
        </w:rPr>
        <w:t>do not cause harmful interference to radioastronomy services in the RQZ</w:t>
      </w:r>
      <w:r>
        <w:rPr>
          <w:rFonts w:cs="Arial"/>
          <w:color w:val="000000"/>
          <w:szCs w:val="20"/>
          <w:shd w:val="clear" w:color="auto" w:fill="FFFFFF"/>
        </w:rPr>
        <w:t xml:space="preserve">. </w:t>
      </w:r>
      <w:r>
        <w:t>T</w:t>
      </w:r>
      <w:r w:rsidRPr="00031F9D">
        <w:t>he ACMA is unlikely to issue a licence</w:t>
      </w:r>
      <w:r w:rsidRPr="00952D24">
        <w:rPr>
          <w:rFonts w:cs="Arial"/>
          <w:color w:val="000000"/>
          <w:szCs w:val="20"/>
          <w:shd w:val="clear" w:color="auto" w:fill="FFFFFF"/>
        </w:rPr>
        <w:t xml:space="preserve"> </w:t>
      </w:r>
      <w:r w:rsidRPr="00F344C0">
        <w:t xml:space="preserve">within 70 kilometres distance from </w:t>
      </w:r>
      <w:r w:rsidRPr="006C53CE">
        <w:t>the Murchison Radioastronomy Observatory without the approval of the entity responsible for operating the Murchison Radioastronomy Observatory</w:t>
      </w:r>
      <w:r>
        <w:rPr>
          <w:rFonts w:cs="Arial"/>
          <w:color w:val="000000"/>
          <w:szCs w:val="20"/>
          <w:shd w:val="clear" w:color="auto" w:fill="FFFFFF"/>
        </w:rPr>
        <w:t xml:space="preserve">. Contact details for </w:t>
      </w:r>
      <w:r w:rsidRPr="001D5E77">
        <w:rPr>
          <w:rFonts w:cs="Arial"/>
          <w:color w:val="000000"/>
          <w:szCs w:val="20"/>
          <w:shd w:val="clear" w:color="auto" w:fill="FFFFFF"/>
        </w:rPr>
        <w:t>the entity responsible for operating the Murchison Radioastronomy Observatory</w:t>
      </w:r>
      <w:r>
        <w:rPr>
          <w:rFonts w:cs="Arial"/>
          <w:color w:val="000000"/>
          <w:szCs w:val="20"/>
          <w:shd w:val="clear" w:color="auto" w:fill="FFFFFF"/>
        </w:rPr>
        <w:t xml:space="preserve"> are contained in RALI MS32.</w:t>
      </w:r>
    </w:p>
    <w:p w14:paraId="48EAA67A" w14:textId="77777777" w:rsidR="00C670B7" w:rsidRPr="00615474" w:rsidRDefault="00C670B7" w:rsidP="00C670B7">
      <w:pPr>
        <w:pStyle w:val="Heading1"/>
      </w:pPr>
      <w:bookmarkStart w:id="98" w:name="_Toc392151131"/>
      <w:bookmarkStart w:id="99" w:name="_Toc488388555"/>
      <w:bookmarkStart w:id="100" w:name="_Toc24979661"/>
      <w:bookmarkStart w:id="101" w:name="_Toc490747827"/>
      <w:bookmarkStart w:id="102" w:name="_Toc109221777"/>
      <w:bookmarkStart w:id="103" w:name="_Toc392147078"/>
      <w:bookmarkStart w:id="104" w:name="_Toc478115632"/>
      <w:bookmarkStart w:id="105" w:name="_Toc478115882"/>
      <w:bookmarkStart w:id="106" w:name="_Toc480354432"/>
      <w:bookmarkStart w:id="107" w:name="_Toc483400687"/>
      <w:bookmarkStart w:id="108" w:name="_Ref488394499"/>
      <w:bookmarkStart w:id="109" w:name="_Ref488394547"/>
      <w:bookmarkStart w:id="110" w:name="_Toc490122666"/>
      <w:bookmarkEnd w:id="76"/>
      <w:bookmarkEnd w:id="77"/>
      <w:bookmarkEnd w:id="78"/>
      <w:bookmarkEnd w:id="79"/>
      <w:bookmarkEnd w:id="80"/>
      <w:bookmarkEnd w:id="81"/>
      <w:bookmarkEnd w:id="82"/>
      <w:bookmarkEnd w:id="97"/>
      <w:r w:rsidRPr="00BC3A27">
        <w:lastRenderedPageBreak/>
        <w:t>Consultation</w:t>
      </w:r>
      <w:r w:rsidRPr="00615474">
        <w:t xml:space="preserve"> with relevant </w:t>
      </w:r>
      <w:r>
        <w:t>g</w:t>
      </w:r>
      <w:r w:rsidRPr="00615474">
        <w:t xml:space="preserve">overnment </w:t>
      </w:r>
      <w:r w:rsidRPr="003B509C">
        <w:t>organisations</w:t>
      </w:r>
      <w:bookmarkEnd w:id="98"/>
      <w:bookmarkEnd w:id="99"/>
      <w:bookmarkEnd w:id="100"/>
      <w:bookmarkEnd w:id="101"/>
      <w:bookmarkEnd w:id="102"/>
    </w:p>
    <w:p w14:paraId="6D016F1C" w14:textId="77777777" w:rsidR="00C670B7" w:rsidRPr="00615474" w:rsidRDefault="00C670B7" w:rsidP="00C670B7">
      <w:pPr>
        <w:keepNext/>
        <w:spacing w:after="80"/>
      </w:pPr>
      <w:r w:rsidRPr="00615474">
        <w:t>Due to possible security issues associated with foreign ownership of aspects of space communications, some applications may be subject to wider government consultation. In general, the ACMA will consult with relevant organisations in the following situations:</w:t>
      </w:r>
    </w:p>
    <w:p w14:paraId="6B106860" w14:textId="77777777" w:rsidR="00C670B7" w:rsidRPr="00615474" w:rsidRDefault="00C670B7" w:rsidP="00C670B7">
      <w:pPr>
        <w:pStyle w:val="ListBullet"/>
      </w:pPr>
      <w:r w:rsidRPr="00615474">
        <w:t>new missions by existing ground stations that support (or suggest support) of foreign space systems, including the launch or early orbit phases</w:t>
      </w:r>
    </w:p>
    <w:p w14:paraId="6F811798" w14:textId="77777777" w:rsidR="00C670B7" w:rsidRPr="00615474" w:rsidRDefault="00C670B7" w:rsidP="00C670B7">
      <w:pPr>
        <w:pStyle w:val="ListBullet"/>
      </w:pPr>
      <w:r w:rsidRPr="00615474">
        <w:t>new foreign</w:t>
      </w:r>
      <w:r>
        <w:t>-</w:t>
      </w:r>
      <w:r w:rsidRPr="00615474">
        <w:t>owned, or partly foreign</w:t>
      </w:r>
      <w:r>
        <w:t>-</w:t>
      </w:r>
      <w:r w:rsidRPr="00615474">
        <w:t>owned, earth stations and space support equipment</w:t>
      </w:r>
      <w:r w:rsidRPr="00615474">
        <w:rPr>
          <w:vertAlign w:val="superscript"/>
        </w:rPr>
        <w:footnoteReference w:id="7"/>
      </w:r>
    </w:p>
    <w:p w14:paraId="467311A3" w14:textId="77777777" w:rsidR="00C670B7" w:rsidRPr="00615474" w:rsidRDefault="00C670B7" w:rsidP="00C670B7">
      <w:pPr>
        <w:pStyle w:val="ListBulletLast"/>
      </w:pPr>
      <w:r w:rsidRPr="00615474">
        <w:t>new Australian</w:t>
      </w:r>
      <w:r>
        <w:t>-</w:t>
      </w:r>
      <w:r w:rsidRPr="00615474">
        <w:t>owned earth stations that will provide support to foreign space systems including launch or early orbit phases, except where the foreign space system is used solely for commercial communications (for example</w:t>
      </w:r>
      <w:r>
        <w:t>,</w:t>
      </w:r>
      <w:r w:rsidRPr="00615474">
        <w:t xml:space="preserve"> television broadcasting).</w:t>
      </w:r>
    </w:p>
    <w:p w14:paraId="477877F3" w14:textId="77777777" w:rsidR="00C670B7" w:rsidRPr="00615474" w:rsidRDefault="00C670B7" w:rsidP="00C670B7">
      <w:r>
        <w:t>The applicants or APs should note that additional time may be required to process applications that are subject to wider government consultation.</w:t>
      </w:r>
    </w:p>
    <w:p w14:paraId="739E8808" w14:textId="77777777" w:rsidR="00C670B7" w:rsidRPr="00F41BB6" w:rsidRDefault="00C670B7" w:rsidP="00C670B7">
      <w:pPr>
        <w:pStyle w:val="Heading1"/>
      </w:pPr>
      <w:bookmarkStart w:id="111" w:name="_Toc392147076"/>
      <w:bookmarkStart w:id="112" w:name="_Toc478115630"/>
      <w:bookmarkStart w:id="113" w:name="_Toc478115880"/>
      <w:bookmarkStart w:id="114" w:name="_Toc392151132"/>
      <w:bookmarkStart w:id="115" w:name="_Toc488388556"/>
      <w:bookmarkStart w:id="116" w:name="_Toc24979662"/>
      <w:bookmarkStart w:id="117" w:name="_Toc490747828"/>
      <w:bookmarkStart w:id="118" w:name="_Toc109221778"/>
      <w:bookmarkStart w:id="119" w:name="_Toc392147079"/>
      <w:bookmarkStart w:id="120" w:name="_Toc478115636"/>
      <w:bookmarkStart w:id="121" w:name="_Toc478115884"/>
      <w:bookmarkStart w:id="122" w:name="_Toc480354433"/>
      <w:bookmarkStart w:id="123" w:name="_Toc483400688"/>
      <w:bookmarkStart w:id="124" w:name="_Toc490122667"/>
      <w:bookmarkEnd w:id="103"/>
      <w:bookmarkEnd w:id="104"/>
      <w:bookmarkEnd w:id="105"/>
      <w:bookmarkEnd w:id="106"/>
      <w:bookmarkEnd w:id="107"/>
      <w:bookmarkEnd w:id="108"/>
      <w:bookmarkEnd w:id="109"/>
      <w:bookmarkEnd w:id="110"/>
      <w:r w:rsidRPr="00F41BB6">
        <w:t>Frequency coordination</w:t>
      </w:r>
      <w:bookmarkEnd w:id="111"/>
      <w:bookmarkEnd w:id="112"/>
      <w:bookmarkEnd w:id="113"/>
      <w:bookmarkEnd w:id="114"/>
      <w:bookmarkEnd w:id="115"/>
      <w:bookmarkEnd w:id="116"/>
      <w:bookmarkEnd w:id="117"/>
      <w:bookmarkEnd w:id="118"/>
    </w:p>
    <w:p w14:paraId="23D5842F" w14:textId="77777777" w:rsidR="00C670B7" w:rsidRPr="00F44E74" w:rsidRDefault="00C670B7" w:rsidP="00C670B7">
      <w:pPr>
        <w:rPr>
          <w:rFonts w:cs="Arial"/>
          <w:szCs w:val="20"/>
        </w:rPr>
      </w:pPr>
      <w:r w:rsidRPr="00F41BB6">
        <w:rPr>
          <w:rFonts w:cs="Arial"/>
          <w:szCs w:val="20"/>
        </w:rPr>
        <w:t xml:space="preserve">Assignments in support of </w:t>
      </w:r>
      <w:r>
        <w:rPr>
          <w:rFonts w:cs="Arial"/>
          <w:szCs w:val="20"/>
        </w:rPr>
        <w:t xml:space="preserve">fixed </w:t>
      </w:r>
      <w:r w:rsidRPr="00F41BB6">
        <w:rPr>
          <w:rFonts w:cs="Arial"/>
          <w:szCs w:val="20"/>
        </w:rPr>
        <w:t>earth station apparatus licences must</w:t>
      </w:r>
      <w:r>
        <w:rPr>
          <w:rFonts w:cs="Arial"/>
          <w:szCs w:val="20"/>
        </w:rPr>
        <w:t xml:space="preserve"> be consistent with </w:t>
      </w:r>
      <w:r w:rsidRPr="00F41BB6">
        <w:rPr>
          <w:rFonts w:cs="Arial"/>
          <w:szCs w:val="20"/>
        </w:rPr>
        <w:t xml:space="preserve">the </w:t>
      </w:r>
      <w:hyperlink r:id="rId40" w:history="1">
        <w:r w:rsidRPr="00F41BB6">
          <w:rPr>
            <w:rFonts w:cs="Arial"/>
            <w:color w:val="0000FF"/>
            <w:szCs w:val="20"/>
            <w:u w:val="single"/>
          </w:rPr>
          <w:t>Australian Radiofrequency Spectrum Plan</w:t>
        </w:r>
      </w:hyperlink>
      <w:r w:rsidRPr="00996FEB">
        <w:rPr>
          <w:rFonts w:cs="Arial"/>
          <w:color w:val="0000FF"/>
          <w:szCs w:val="20"/>
        </w:rPr>
        <w:t xml:space="preserve"> </w:t>
      </w:r>
      <w:r>
        <w:t>(the Spectrum Plan)</w:t>
      </w:r>
      <w:r w:rsidRPr="00996FEB">
        <w:rPr>
          <w:color w:val="0000FF"/>
        </w:rPr>
        <w:t>.</w:t>
      </w:r>
    </w:p>
    <w:p w14:paraId="513CBA7E" w14:textId="77777777" w:rsidR="00C670B7" w:rsidRDefault="00C670B7" w:rsidP="00C670B7">
      <w:pPr>
        <w:rPr>
          <w:rStyle w:val="Hyperlink"/>
          <w:rFonts w:cs="Arial"/>
          <w:color w:val="auto"/>
          <w:szCs w:val="20"/>
          <w:u w:val="none"/>
        </w:rPr>
      </w:pPr>
      <w:r w:rsidRPr="00F41BB6">
        <w:rPr>
          <w:rFonts w:cs="Arial"/>
          <w:szCs w:val="20"/>
        </w:rPr>
        <w:t>Depending on the frequency band of operation</w:t>
      </w:r>
      <w:r>
        <w:rPr>
          <w:rFonts w:cs="Arial"/>
          <w:szCs w:val="20"/>
        </w:rPr>
        <w:t>,</w:t>
      </w:r>
      <w:r w:rsidRPr="00F41BB6">
        <w:rPr>
          <w:rFonts w:cs="Arial"/>
          <w:szCs w:val="20"/>
        </w:rPr>
        <w:t xml:space="preserve"> the proposed </w:t>
      </w:r>
      <w:r>
        <w:rPr>
          <w:rFonts w:cs="Arial"/>
          <w:szCs w:val="20"/>
        </w:rPr>
        <w:t>fixed earth station</w:t>
      </w:r>
      <w:r w:rsidRPr="00F41BB6">
        <w:rPr>
          <w:rFonts w:cs="Arial"/>
          <w:szCs w:val="20"/>
        </w:rPr>
        <w:t xml:space="preserve"> may need to be coordinated with incumbent radiocommunications services operating in or adjacent </w:t>
      </w:r>
      <w:r>
        <w:rPr>
          <w:rFonts w:cs="Arial"/>
          <w:szCs w:val="20"/>
        </w:rPr>
        <w:t xml:space="preserve">to </w:t>
      </w:r>
      <w:r w:rsidRPr="00F41BB6">
        <w:rPr>
          <w:rFonts w:cs="Arial"/>
          <w:szCs w:val="20"/>
        </w:rPr>
        <w:t xml:space="preserve">the proposed band of operation. Coordination criteria for some bands are detailed in </w:t>
      </w:r>
      <w:r>
        <w:rPr>
          <w:rFonts w:cs="Arial"/>
          <w:szCs w:val="20"/>
        </w:rPr>
        <w:t xml:space="preserve">relevant </w:t>
      </w:r>
      <w:hyperlink r:id="rId41" w:history="1">
        <w:r w:rsidRPr="001053A1">
          <w:rPr>
            <w:rStyle w:val="Hyperlink"/>
            <w:rFonts w:cs="Arial"/>
            <w:szCs w:val="20"/>
          </w:rPr>
          <w:t>Radiocommunications Assignment and Licensing Instructions (RALIs)</w:t>
        </w:r>
        <w:r w:rsidRPr="00B905E8">
          <w:rPr>
            <w:rStyle w:val="Hyperlink"/>
            <w:rFonts w:cs="Arial"/>
            <w:color w:val="auto"/>
            <w:szCs w:val="20"/>
            <w:u w:val="none"/>
          </w:rPr>
          <w:t>.</w:t>
        </w:r>
      </w:hyperlink>
      <w:r>
        <w:rPr>
          <w:rStyle w:val="Hyperlink"/>
          <w:rFonts w:cs="Arial"/>
          <w:color w:val="auto"/>
          <w:szCs w:val="20"/>
          <w:u w:val="none"/>
        </w:rPr>
        <w:t xml:space="preserve"> </w:t>
      </w:r>
    </w:p>
    <w:p w14:paraId="21CB4F30" w14:textId="77777777" w:rsidR="00C670B7" w:rsidRPr="00F44E74" w:rsidRDefault="00C670B7" w:rsidP="00C670B7">
      <w:pPr>
        <w:rPr>
          <w:rFonts w:cs="Arial"/>
          <w:szCs w:val="20"/>
        </w:rPr>
      </w:pPr>
      <w:r>
        <w:rPr>
          <w:rStyle w:val="Hyperlink"/>
          <w:rFonts w:cs="Arial"/>
          <w:color w:val="auto"/>
          <w:szCs w:val="20"/>
          <w:u w:val="none"/>
        </w:rPr>
        <w:t xml:space="preserve">The requirements of other business operating procedures should also be taken into account, including the BOP </w:t>
      </w:r>
      <w:hyperlink r:id="rId42" w:history="1">
        <w:r w:rsidRPr="000A39C4">
          <w:rPr>
            <w:rStyle w:val="Hyperlink"/>
            <w:rFonts w:cs="Arial"/>
            <w:szCs w:val="20"/>
          </w:rPr>
          <w:t>Restriction on earth station licensing near Alice Springs</w:t>
        </w:r>
      </w:hyperlink>
      <w:r>
        <w:rPr>
          <w:rStyle w:val="Hyperlink"/>
          <w:rFonts w:cs="Arial"/>
          <w:color w:val="auto"/>
          <w:szCs w:val="20"/>
          <w:u w:val="none"/>
        </w:rPr>
        <w:t xml:space="preserve">. </w:t>
      </w:r>
    </w:p>
    <w:p w14:paraId="0FA9AEFF" w14:textId="77777777" w:rsidR="00C670B7" w:rsidRPr="00F01625" w:rsidRDefault="00C670B7" w:rsidP="00C670B7">
      <w:pPr>
        <w:rPr>
          <w:szCs w:val="32"/>
        </w:rPr>
      </w:pPr>
      <w:r w:rsidRPr="00F41BB6">
        <w:rPr>
          <w:rFonts w:cs="Arial"/>
          <w:szCs w:val="20"/>
        </w:rPr>
        <w:t xml:space="preserve">For </w:t>
      </w:r>
      <w:r>
        <w:rPr>
          <w:rFonts w:cs="Arial"/>
          <w:szCs w:val="20"/>
        </w:rPr>
        <w:t xml:space="preserve">frequency </w:t>
      </w:r>
      <w:r w:rsidRPr="00F41BB6">
        <w:rPr>
          <w:rFonts w:cs="Arial"/>
          <w:szCs w:val="20"/>
        </w:rPr>
        <w:t xml:space="preserve">bands or sharing scenarios </w:t>
      </w:r>
      <w:r>
        <w:rPr>
          <w:rFonts w:cs="Arial"/>
          <w:szCs w:val="20"/>
        </w:rPr>
        <w:t>for which</w:t>
      </w:r>
      <w:r w:rsidRPr="00F41BB6">
        <w:rPr>
          <w:rFonts w:cs="Arial"/>
          <w:szCs w:val="20"/>
        </w:rPr>
        <w:t xml:space="preserve"> the ACMA has not published coordination criteria, </w:t>
      </w:r>
      <w:r>
        <w:rPr>
          <w:rFonts w:cs="Arial"/>
          <w:szCs w:val="20"/>
        </w:rPr>
        <w:t>the</w:t>
      </w:r>
      <w:r w:rsidRPr="00F41BB6">
        <w:rPr>
          <w:rFonts w:cs="Arial"/>
          <w:szCs w:val="20"/>
        </w:rPr>
        <w:t xml:space="preserve"> relevant ITU Recommendations</w:t>
      </w:r>
      <w:r>
        <w:rPr>
          <w:rFonts w:cs="Arial"/>
          <w:szCs w:val="20"/>
        </w:rPr>
        <w:t xml:space="preserve"> should be considered</w:t>
      </w:r>
      <w:r w:rsidRPr="00F41BB6">
        <w:rPr>
          <w:rFonts w:cs="Arial"/>
          <w:szCs w:val="20"/>
        </w:rPr>
        <w:t xml:space="preserve">. </w:t>
      </w:r>
      <w:r>
        <w:rPr>
          <w:rFonts w:cs="Arial"/>
          <w:szCs w:val="20"/>
        </w:rPr>
        <w:t>APs</w:t>
      </w:r>
      <w:r w:rsidRPr="00F41BB6">
        <w:rPr>
          <w:rFonts w:cs="Arial"/>
          <w:szCs w:val="20"/>
        </w:rPr>
        <w:t xml:space="preserve"> should also </w:t>
      </w:r>
      <w:r>
        <w:rPr>
          <w:rFonts w:cs="Arial"/>
          <w:szCs w:val="20"/>
        </w:rPr>
        <w:t>consider</w:t>
      </w:r>
      <w:r w:rsidRPr="00F41BB6">
        <w:rPr>
          <w:rFonts w:cs="Arial"/>
          <w:szCs w:val="20"/>
        </w:rPr>
        <w:t xml:space="preserve"> the matters detailed in section 5 of the </w:t>
      </w:r>
      <w:hyperlink r:id="rId43" w:history="1">
        <w:r w:rsidRPr="00F41BB6">
          <w:rPr>
            <w:rFonts w:cs="Arial"/>
            <w:color w:val="0000FF"/>
            <w:szCs w:val="20"/>
            <w:u w:val="single"/>
          </w:rPr>
          <w:t>Radiocommunications (Frequency Assignment Certificates) Determination 20</w:t>
        </w:r>
      </w:hyperlink>
      <w:r>
        <w:rPr>
          <w:rFonts w:cs="Arial"/>
          <w:color w:val="0000FF"/>
          <w:szCs w:val="20"/>
          <w:u w:val="single"/>
        </w:rPr>
        <w:t>14</w:t>
      </w:r>
      <w:r w:rsidRPr="00F41BB6">
        <w:rPr>
          <w:rFonts w:cs="Arial"/>
          <w:szCs w:val="20"/>
        </w:rPr>
        <w:t>.</w:t>
      </w:r>
    </w:p>
    <w:p w14:paraId="7BAB15D8" w14:textId="77777777" w:rsidR="00C670B7" w:rsidRPr="00F41BB6" w:rsidRDefault="00C670B7" w:rsidP="00C670B7">
      <w:pPr>
        <w:pStyle w:val="Heading1"/>
        <w:keepLines/>
      </w:pPr>
      <w:bookmarkStart w:id="125" w:name="_Toc482623788"/>
      <w:bookmarkStart w:id="126" w:name="_Toc482623789"/>
      <w:bookmarkStart w:id="127" w:name="_Toc482623790"/>
      <w:bookmarkStart w:id="128" w:name="_Toc482623791"/>
      <w:bookmarkStart w:id="129" w:name="_Toc482623792"/>
      <w:bookmarkStart w:id="130" w:name="_Toc482623793"/>
      <w:bookmarkStart w:id="131" w:name="_Toc482623794"/>
      <w:bookmarkStart w:id="132" w:name="_Toc482623795"/>
      <w:bookmarkStart w:id="133" w:name="_Toc482623796"/>
      <w:bookmarkStart w:id="134" w:name="_Toc482623797"/>
      <w:bookmarkStart w:id="135" w:name="_Toc482623798"/>
      <w:bookmarkStart w:id="136" w:name="_Toc482623799"/>
      <w:bookmarkStart w:id="137" w:name="_Toc482623800"/>
      <w:bookmarkStart w:id="138" w:name="_Toc482623801"/>
      <w:bookmarkStart w:id="139" w:name="_Toc482623802"/>
      <w:bookmarkStart w:id="140" w:name="_Toc482623803"/>
      <w:bookmarkStart w:id="141" w:name="_Toc482623804"/>
      <w:bookmarkStart w:id="142" w:name="_Toc482623805"/>
      <w:bookmarkStart w:id="143" w:name="_Toc482623806"/>
      <w:bookmarkStart w:id="144" w:name="_Toc482623807"/>
      <w:bookmarkStart w:id="145" w:name="_Toc482623808"/>
      <w:bookmarkStart w:id="146" w:name="_Toc482623809"/>
      <w:bookmarkStart w:id="147" w:name="_Toc482623810"/>
      <w:bookmarkStart w:id="148" w:name="_Toc482623811"/>
      <w:bookmarkStart w:id="149" w:name="_Toc482623812"/>
      <w:bookmarkStart w:id="150" w:name="_Toc482623813"/>
      <w:bookmarkStart w:id="151" w:name="_Toc482623814"/>
      <w:bookmarkStart w:id="152" w:name="_Toc482623815"/>
      <w:bookmarkStart w:id="153" w:name="_Toc482623816"/>
      <w:bookmarkStart w:id="154" w:name="_Toc482623817"/>
      <w:bookmarkStart w:id="155" w:name="_Toc482623818"/>
      <w:bookmarkStart w:id="156" w:name="_Toc482623819"/>
      <w:bookmarkStart w:id="157" w:name="_Toc482623820"/>
      <w:bookmarkStart w:id="158" w:name="_Toc482623821"/>
      <w:bookmarkStart w:id="159" w:name="_Toc482623822"/>
      <w:bookmarkStart w:id="160" w:name="_Toc482623823"/>
      <w:bookmarkStart w:id="161" w:name="_Toc482623824"/>
      <w:bookmarkStart w:id="162" w:name="_Toc482623825"/>
      <w:bookmarkStart w:id="163" w:name="_Toc482623826"/>
      <w:bookmarkStart w:id="164" w:name="_Toc482623827"/>
      <w:bookmarkStart w:id="165" w:name="_Toc482623828"/>
      <w:bookmarkStart w:id="166" w:name="_Toc482623829"/>
      <w:bookmarkStart w:id="167" w:name="_Toc482623830"/>
      <w:bookmarkStart w:id="168" w:name="_Toc482623831"/>
      <w:bookmarkStart w:id="169" w:name="_Toc482623832"/>
      <w:bookmarkStart w:id="170" w:name="_Toc482623833"/>
      <w:bookmarkStart w:id="171" w:name="_Toc482623834"/>
      <w:bookmarkStart w:id="172" w:name="_Toc482623835"/>
      <w:bookmarkStart w:id="173" w:name="_Toc482623836"/>
      <w:bookmarkStart w:id="174" w:name="_Toc482623837"/>
      <w:bookmarkStart w:id="175" w:name="_Toc482623838"/>
      <w:bookmarkStart w:id="176" w:name="_Toc482623839"/>
      <w:bookmarkStart w:id="177" w:name="_Toc482623840"/>
      <w:bookmarkStart w:id="178" w:name="_Toc482623841"/>
      <w:bookmarkStart w:id="179" w:name="_Toc482623842"/>
      <w:bookmarkStart w:id="180" w:name="_Toc482623843"/>
      <w:bookmarkStart w:id="181" w:name="_Toc482623844"/>
      <w:bookmarkStart w:id="182" w:name="_Toc482623845"/>
      <w:bookmarkStart w:id="183" w:name="_Toc482623846"/>
      <w:bookmarkStart w:id="184" w:name="_Toc482623847"/>
      <w:bookmarkStart w:id="185" w:name="_Toc482623848"/>
      <w:bookmarkStart w:id="186" w:name="_Toc482623849"/>
      <w:bookmarkStart w:id="187" w:name="_Toc482623850"/>
      <w:bookmarkStart w:id="188" w:name="_Toc482623851"/>
      <w:bookmarkStart w:id="189" w:name="_Toc482623852"/>
      <w:bookmarkStart w:id="190" w:name="_Toc482623853"/>
      <w:bookmarkStart w:id="191" w:name="_Toc482623854"/>
      <w:bookmarkStart w:id="192" w:name="_Toc482623855"/>
      <w:bookmarkStart w:id="193" w:name="_Toc482623856"/>
      <w:bookmarkStart w:id="194" w:name="_Toc482623857"/>
      <w:bookmarkStart w:id="195" w:name="_Toc482623858"/>
      <w:bookmarkStart w:id="196" w:name="_Toc482623859"/>
      <w:bookmarkStart w:id="197" w:name="_Toc482623860"/>
      <w:bookmarkStart w:id="198" w:name="_Toc482623861"/>
      <w:bookmarkStart w:id="199" w:name="_Toc482623862"/>
      <w:bookmarkStart w:id="200" w:name="_Toc482623863"/>
      <w:bookmarkStart w:id="201" w:name="_Toc482623864"/>
      <w:bookmarkStart w:id="202" w:name="_Toc482623865"/>
      <w:bookmarkStart w:id="203" w:name="_Toc482623866"/>
      <w:bookmarkStart w:id="204" w:name="_Toc482623867"/>
      <w:bookmarkStart w:id="205" w:name="_Toc482623868"/>
      <w:bookmarkStart w:id="206" w:name="_Toc482623869"/>
      <w:bookmarkStart w:id="207" w:name="_Toc482623870"/>
      <w:bookmarkStart w:id="208" w:name="_Toc482623871"/>
      <w:bookmarkStart w:id="209" w:name="_Toc482623872"/>
      <w:bookmarkStart w:id="210" w:name="_Toc482623873"/>
      <w:bookmarkStart w:id="211" w:name="_Toc482623874"/>
      <w:bookmarkStart w:id="212" w:name="_Toc482623875"/>
      <w:bookmarkStart w:id="213" w:name="_Toc482623876"/>
      <w:bookmarkStart w:id="214" w:name="_Toc482623877"/>
      <w:bookmarkStart w:id="215" w:name="_Toc482623878"/>
      <w:bookmarkStart w:id="216" w:name="_Toc482623879"/>
      <w:bookmarkStart w:id="217" w:name="_Toc482623880"/>
      <w:bookmarkStart w:id="218" w:name="_Toc482623881"/>
      <w:bookmarkStart w:id="219" w:name="_Toc482623882"/>
      <w:bookmarkStart w:id="220" w:name="_Toc482623883"/>
      <w:bookmarkStart w:id="221" w:name="_Toc482623884"/>
      <w:bookmarkStart w:id="222" w:name="_Toc482623885"/>
      <w:bookmarkStart w:id="223" w:name="_Toc482623886"/>
      <w:bookmarkStart w:id="224" w:name="_Toc392151133"/>
      <w:bookmarkStart w:id="225" w:name="_Toc488388557"/>
      <w:bookmarkStart w:id="226" w:name="_Toc24979663"/>
      <w:bookmarkStart w:id="227" w:name="_Toc490747829"/>
      <w:bookmarkStart w:id="228" w:name="_Toc109221779"/>
      <w:bookmarkStart w:id="229" w:name="_Toc483400689"/>
      <w:bookmarkStart w:id="230" w:name="_Toc49012266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F41BB6">
        <w:t xml:space="preserve">Licensing arrangements for </w:t>
      </w:r>
      <w:r>
        <w:t xml:space="preserve">fixed </w:t>
      </w:r>
      <w:r w:rsidRPr="00F41BB6">
        <w:t xml:space="preserve">earth </w:t>
      </w:r>
      <w:r w:rsidRPr="003B509C">
        <w:t>stations</w:t>
      </w:r>
      <w:bookmarkEnd w:id="224"/>
      <w:bookmarkEnd w:id="225"/>
      <w:bookmarkEnd w:id="226"/>
      <w:bookmarkEnd w:id="227"/>
      <w:bookmarkEnd w:id="228"/>
    </w:p>
    <w:p w14:paraId="457FDF21" w14:textId="6AD94D88" w:rsidR="003D3AD8" w:rsidRDefault="003D3AD8" w:rsidP="00851535">
      <w:pPr>
        <w:pStyle w:val="Heading2"/>
      </w:pPr>
      <w:bookmarkStart w:id="231" w:name="_Toc109221780"/>
      <w:r>
        <w:t xml:space="preserve">General licensing </w:t>
      </w:r>
      <w:r w:rsidR="0080475B">
        <w:t>arrangements</w:t>
      </w:r>
      <w:bookmarkEnd w:id="231"/>
    </w:p>
    <w:p w14:paraId="6D71FBEC" w14:textId="1D6BA404" w:rsidR="00C670B7" w:rsidRDefault="00C670B7" w:rsidP="00C670B7">
      <w:pPr>
        <w:pStyle w:val="Paragraph"/>
      </w:pPr>
      <w:r w:rsidRPr="00BE081A">
        <w:t>A</w:t>
      </w:r>
      <w:r>
        <w:t>s for all other types of radiocommunications, a</w:t>
      </w:r>
      <w:r w:rsidRPr="00BE081A">
        <w:t xml:space="preserve"> space-based radiocommunications </w:t>
      </w:r>
      <w:r>
        <w:t>system</w:t>
      </w:r>
      <w:r w:rsidRPr="00BE081A">
        <w:t xml:space="preserve"> </w:t>
      </w:r>
      <w:r>
        <w:t>may not</w:t>
      </w:r>
      <w:r w:rsidRPr="00BE081A">
        <w:t xml:space="preserve"> be operated in Australia without a licence.</w:t>
      </w:r>
      <w:r>
        <w:t xml:space="preserve"> In general, there are two broad options for licensing of space systems in Australia.</w:t>
      </w:r>
    </w:p>
    <w:p w14:paraId="48DA81B2" w14:textId="1646CBD6" w:rsidR="00C670B7" w:rsidRDefault="00C670B7" w:rsidP="00017C05">
      <w:pPr>
        <w:pStyle w:val="Paragraph"/>
      </w:pPr>
      <w:r>
        <w:t>The first option requires o</w:t>
      </w:r>
      <w:r w:rsidRPr="0079655E">
        <w:t xml:space="preserve">perators </w:t>
      </w:r>
      <w:r>
        <w:t xml:space="preserve">to obtain apparatus </w:t>
      </w:r>
      <w:r w:rsidRPr="0079655E">
        <w:t>licence</w:t>
      </w:r>
      <w:r>
        <w:t>s</w:t>
      </w:r>
      <w:r w:rsidRPr="0079655E">
        <w:t xml:space="preserve"> </w:t>
      </w:r>
      <w:r>
        <w:t xml:space="preserve">for </w:t>
      </w:r>
      <w:r w:rsidRPr="0079655E">
        <w:t>each of their earth stations individually</w:t>
      </w:r>
      <w:r>
        <w:t xml:space="preserve">: </w:t>
      </w:r>
      <w:r w:rsidRPr="0079655E">
        <w:t xml:space="preserve">an </w:t>
      </w:r>
      <w:r w:rsidRPr="00FC330F">
        <w:rPr>
          <w:i/>
        </w:rPr>
        <w:t>earth licence</w:t>
      </w:r>
      <w:r w:rsidRPr="0079655E">
        <w:t xml:space="preserve"> </w:t>
      </w:r>
      <w:r w:rsidR="00017C05">
        <w:t xml:space="preserve">or </w:t>
      </w:r>
      <w:r w:rsidR="00017C05">
        <w:rPr>
          <w:i/>
          <w:iCs/>
        </w:rPr>
        <w:t>AWL</w:t>
      </w:r>
      <w:r w:rsidR="00017C05">
        <w:rPr>
          <w:rStyle w:val="FootnoteReference"/>
          <w:i/>
          <w:iCs/>
        </w:rPr>
        <w:footnoteReference w:id="8"/>
      </w:r>
      <w:r w:rsidR="00017C05">
        <w:rPr>
          <w:i/>
          <w:iCs/>
        </w:rPr>
        <w:t xml:space="preserve"> </w:t>
      </w:r>
      <w:r w:rsidRPr="0079655E">
        <w:t xml:space="preserve">for the uplink and an </w:t>
      </w:r>
      <w:r w:rsidRPr="00FC330F">
        <w:rPr>
          <w:i/>
        </w:rPr>
        <w:t xml:space="preserve">earth receive </w:t>
      </w:r>
      <w:r w:rsidRPr="00FC330F">
        <w:rPr>
          <w:i/>
        </w:rPr>
        <w:lastRenderedPageBreak/>
        <w:t>licence</w:t>
      </w:r>
      <w:r w:rsidRPr="0079655E">
        <w:t xml:space="preserve"> for the downlink.</w:t>
      </w:r>
      <w:r>
        <w:t xml:space="preserve"> Under this approach, a licence is not required for the space stations aboard a satellite. </w:t>
      </w:r>
    </w:p>
    <w:p w14:paraId="01AE7856" w14:textId="77777777" w:rsidR="00C670B7" w:rsidRDefault="00C670B7" w:rsidP="00C670B7">
      <w:pPr>
        <w:pStyle w:val="Paragraph"/>
      </w:pPr>
      <w:r>
        <w:t xml:space="preserve">The second option involves a combination of apparatus and class licences. In certain bands specified in the </w:t>
      </w:r>
      <w:r>
        <w:rPr>
          <w:rFonts w:eastAsiaTheme="minorHAnsi"/>
          <w:szCs w:val="20"/>
        </w:rPr>
        <w:t xml:space="preserve">Communication with </w:t>
      </w:r>
      <w:r w:rsidRPr="007F306B">
        <w:t>Space Object Class Licence</w:t>
      </w:r>
      <w:r>
        <w:t xml:space="preserve">, it requires operators to obtain a licence for the space stations aboard a satellite with a </w:t>
      </w:r>
      <w:r w:rsidRPr="00FC330F">
        <w:rPr>
          <w:i/>
        </w:rPr>
        <w:t>space licence</w:t>
      </w:r>
      <w:r w:rsidRPr="00D7793A">
        <w:rPr>
          <w:iCs/>
        </w:rPr>
        <w:t xml:space="preserve"> </w:t>
      </w:r>
      <w:r>
        <w:t xml:space="preserve">for the downlink and a </w:t>
      </w:r>
      <w:r w:rsidRPr="00FC330F">
        <w:rPr>
          <w:i/>
        </w:rPr>
        <w:t>space receive licence</w:t>
      </w:r>
      <w:r>
        <w:t xml:space="preserve"> for the uplink. Earth stations in the network are then automatically authorised collectively under </w:t>
      </w:r>
      <w:bookmarkStart w:id="232" w:name="_Hlk347270"/>
      <w:r>
        <w:t>the</w:t>
      </w:r>
      <w:bookmarkEnd w:id="232"/>
      <w:r>
        <w:t xml:space="preserve"> Communication with </w:t>
      </w:r>
      <w:r w:rsidRPr="007F306B">
        <w:t>Space Object Class Licence</w:t>
      </w:r>
      <w:r>
        <w:t>. This</w:t>
      </w:r>
      <w:r w:rsidRPr="009E3086">
        <w:t xml:space="preserve"> approach is typically used </w:t>
      </w:r>
      <w:r>
        <w:t>for</w:t>
      </w:r>
      <w:r w:rsidRPr="009E3086">
        <w:t xml:space="preserve"> satellite systems with numerous or ubiquitous earth stations. </w:t>
      </w:r>
      <w:r>
        <w:t>It</w:t>
      </w:r>
      <w:r w:rsidRPr="009E3086">
        <w:t xml:space="preserve"> provides an efficient means of licensing a large number of earth stations, avoiding the need to obtain a licence for every earth station in a satellite system.</w:t>
      </w:r>
      <w:r>
        <w:t xml:space="preserve"> </w:t>
      </w:r>
    </w:p>
    <w:p w14:paraId="1D4B3996" w14:textId="77777777" w:rsidR="00C670B7" w:rsidRPr="006A57F8" w:rsidRDefault="00C670B7" w:rsidP="00C670B7">
      <w:pPr>
        <w:pStyle w:val="Paragraph"/>
      </w:pPr>
      <w:r>
        <w:t xml:space="preserve">A key requirement irrespective of which approach to licensing is used is that the satellite system must normally be filed with the International Telecommunication Union (ITU) by the ACMA or equivalent national administration of an ITU member state.  </w:t>
      </w:r>
    </w:p>
    <w:p w14:paraId="69ECE7C3" w14:textId="77777777" w:rsidR="00C670B7" w:rsidRDefault="00C670B7" w:rsidP="00C670B7">
      <w:r>
        <w:t xml:space="preserve">If an operator wishes to licence a satellite system under the second option, the controlling business entity must first be included in either the </w:t>
      </w:r>
      <w:hyperlink r:id="rId44" w:history="1">
        <w:r w:rsidRPr="00957B3E">
          <w:rPr>
            <w:rStyle w:val="Hyperlink"/>
          </w:rPr>
          <w:t>Radiocommunications (Australian Space Objects) Determination 2014</w:t>
        </w:r>
      </w:hyperlink>
      <w:r w:rsidRPr="00D7793A">
        <w:t xml:space="preserve"> </w:t>
      </w:r>
      <w:r>
        <w:t xml:space="preserve">or the </w:t>
      </w:r>
      <w:hyperlink r:id="rId45" w:history="1">
        <w:r w:rsidRPr="008A23B2">
          <w:rPr>
            <w:rStyle w:val="Hyperlink"/>
            <w:rFonts w:eastAsiaTheme="minorHAnsi" w:cs="Arial"/>
            <w:szCs w:val="20"/>
          </w:rPr>
          <w:t>Radiocommunications (Foreign Space Objects) Determination 2014</w:t>
        </w:r>
      </w:hyperlink>
      <w:r>
        <w:t xml:space="preserve">. </w:t>
      </w:r>
    </w:p>
    <w:p w14:paraId="4084247E" w14:textId="77777777" w:rsidR="00C670B7" w:rsidRPr="00F41BB6" w:rsidRDefault="00C670B7" w:rsidP="00AC2EF8">
      <w:pPr>
        <w:pStyle w:val="Paragraph"/>
        <w:spacing w:after="80"/>
      </w:pPr>
      <w:r>
        <w:t>For</w:t>
      </w:r>
      <w:r w:rsidRPr="00F41BB6">
        <w:t xml:space="preserve"> </w:t>
      </w:r>
      <w:r>
        <w:t xml:space="preserve">fixed </w:t>
      </w:r>
      <w:r w:rsidRPr="00F41BB6">
        <w:t xml:space="preserve">earth station operation, the </w:t>
      </w:r>
      <w:r>
        <w:rPr>
          <w:i/>
        </w:rPr>
        <w:t>fi</w:t>
      </w:r>
      <w:r w:rsidRPr="00996FEB">
        <w:rPr>
          <w:i/>
        </w:rPr>
        <w:t>xed</w:t>
      </w:r>
      <w:r>
        <w:t xml:space="preserve"> </w:t>
      </w:r>
      <w:r>
        <w:rPr>
          <w:i/>
        </w:rPr>
        <w:t>e</w:t>
      </w:r>
      <w:r w:rsidRPr="0027118E">
        <w:rPr>
          <w:i/>
        </w:rPr>
        <w:t>arth</w:t>
      </w:r>
      <w:r w:rsidRPr="00F41BB6">
        <w:t xml:space="preserve"> licence type may be used to authorise operation of uplink frequencies (</w:t>
      </w:r>
      <w:r>
        <w:t>that is,</w:t>
      </w:r>
      <w:r w:rsidRPr="00F41BB6">
        <w:t xml:space="preserve"> </w:t>
      </w:r>
      <w:r>
        <w:t>E</w:t>
      </w:r>
      <w:r w:rsidRPr="00F41BB6">
        <w:t>arth</w:t>
      </w:r>
      <w:r>
        <w:t>-</w:t>
      </w:r>
      <w:r w:rsidRPr="00F41BB6">
        <w:t>to</w:t>
      </w:r>
      <w:r>
        <w:t>-</w:t>
      </w:r>
      <w:r w:rsidRPr="00F41BB6">
        <w:t>space direction) and</w:t>
      </w:r>
      <w:r>
        <w:t xml:space="preserve"> </w:t>
      </w:r>
      <w:r>
        <w:rPr>
          <w:i/>
        </w:rPr>
        <w:t>e</w:t>
      </w:r>
      <w:r w:rsidRPr="0011173E">
        <w:rPr>
          <w:i/>
        </w:rPr>
        <w:t xml:space="preserve">arth </w:t>
      </w:r>
      <w:r>
        <w:rPr>
          <w:i/>
        </w:rPr>
        <w:t>r</w:t>
      </w:r>
      <w:r w:rsidRPr="00A170A4">
        <w:rPr>
          <w:i/>
        </w:rPr>
        <w:t>eceive</w:t>
      </w:r>
      <w:r w:rsidRPr="00F41BB6">
        <w:t xml:space="preserve"> </w:t>
      </w:r>
      <w:r>
        <w:t xml:space="preserve">licence type </w:t>
      </w:r>
      <w:r w:rsidRPr="00F41BB6">
        <w:t>to authorise operation of downlink frequencies (</w:t>
      </w:r>
      <w:r>
        <w:t>that is,</w:t>
      </w:r>
      <w:r w:rsidRPr="00F41BB6">
        <w:t xml:space="preserve"> space</w:t>
      </w:r>
      <w:r>
        <w:t>-</w:t>
      </w:r>
      <w:r w:rsidRPr="00F41BB6">
        <w:t>to</w:t>
      </w:r>
      <w:r>
        <w:t>-E</w:t>
      </w:r>
      <w:r w:rsidRPr="00F41BB6">
        <w:t>arth</w:t>
      </w:r>
      <w:r>
        <w:t xml:space="preserve"> direction</w:t>
      </w:r>
      <w:r w:rsidRPr="00F41BB6">
        <w:t>)</w:t>
      </w:r>
      <w:r>
        <w:t xml:space="preserve"> for one or more fixed earth stations</w:t>
      </w:r>
      <w:r w:rsidRPr="00F41BB6">
        <w:t>. These licence types are generally used to support:</w:t>
      </w:r>
    </w:p>
    <w:p w14:paraId="2878CAE5" w14:textId="77777777" w:rsidR="00C670B7" w:rsidRPr="00F41BB6" w:rsidRDefault="00C670B7" w:rsidP="00C670B7">
      <w:pPr>
        <w:pStyle w:val="ListBullet"/>
      </w:pPr>
      <w:r w:rsidRPr="00F41BB6">
        <w:t>ongoing general communications between an individual earth station and a satellite</w:t>
      </w:r>
    </w:p>
    <w:p w14:paraId="3D0C73DB" w14:textId="77777777" w:rsidR="00C670B7" w:rsidRPr="00F41BB6" w:rsidRDefault="00C670B7" w:rsidP="00C670B7">
      <w:pPr>
        <w:pStyle w:val="ListBullet"/>
      </w:pPr>
      <w:r w:rsidRPr="00F41BB6">
        <w:t>ongoing telemetry, tracking and control (TT&amp;C) for the purpose of providing permanent ‘station keeping’ services for a specific satellite</w:t>
      </w:r>
    </w:p>
    <w:p w14:paraId="21C56909" w14:textId="77777777" w:rsidR="00C670B7" w:rsidRPr="00F41BB6" w:rsidRDefault="00C670B7" w:rsidP="00C670B7">
      <w:pPr>
        <w:pStyle w:val="ListBullet"/>
      </w:pPr>
      <w:r w:rsidRPr="00F41BB6">
        <w:t>one-off requirement to provide launch and TOSS and/or IOT for a specific space mission</w:t>
      </w:r>
    </w:p>
    <w:p w14:paraId="2D5B34E5" w14:textId="5BFE1F2A" w:rsidR="00C670B7" w:rsidRDefault="00C670B7" w:rsidP="00C670B7">
      <w:pPr>
        <w:pStyle w:val="ListBulletLast"/>
      </w:pPr>
      <w:r w:rsidRPr="00F41BB6">
        <w:t>ongoing requirement to provide launch and TOSS and/or IOT for any number of space missions.</w:t>
      </w:r>
    </w:p>
    <w:p w14:paraId="44283382" w14:textId="77777777" w:rsidR="00581FB5" w:rsidRPr="007C32E9" w:rsidRDefault="00581FB5" w:rsidP="00851535">
      <w:pPr>
        <w:pStyle w:val="Heading2"/>
      </w:pPr>
      <w:bookmarkStart w:id="233" w:name="_Toc109221781"/>
      <w:r w:rsidRPr="007C32E9">
        <w:t xml:space="preserve">Earth stations </w:t>
      </w:r>
      <w:r>
        <w:t xml:space="preserve">authorised under an </w:t>
      </w:r>
      <w:r w:rsidRPr="007C32E9">
        <w:t>AWL</w:t>
      </w:r>
      <w:bookmarkEnd w:id="233"/>
    </w:p>
    <w:p w14:paraId="554CDE03" w14:textId="0AC7AB5A" w:rsidR="00581FB5" w:rsidRDefault="00581FB5" w:rsidP="00581FB5">
      <w:r>
        <w:t xml:space="preserve">The ACMA has </w:t>
      </w:r>
      <w:r w:rsidR="003C7B0A">
        <w:t>made available for issue</w:t>
      </w:r>
      <w:r>
        <w:t xml:space="preserve"> AWLs in the 26 GHz (24.7–27.5 GHz) and 28 GHz (27.5–30 GHz) bands. AWLs provide service and technology flexible access to a frequency range and geographic area specified on the licence. Conditions applicable to all AWLs in the 26/28 GHz bands are detailed in the </w:t>
      </w:r>
      <w:hyperlink r:id="rId46" w:history="1">
        <w:r w:rsidRPr="0080475B">
          <w:rPr>
            <w:rStyle w:val="Hyperlink"/>
          </w:rPr>
          <w:t>Radiocommunications Licence Conditions (Area-Wide Licence) Determination 2020</w:t>
        </w:r>
      </w:hyperlink>
      <w:r>
        <w:t xml:space="preserve"> (the AWL LCD). AWLs are used to authorise earth stations in the range 27</w:t>
      </w:r>
      <w:r w:rsidR="00AC2EF8">
        <w:t>–</w:t>
      </w:r>
      <w:r>
        <w:t>30 GHz.</w:t>
      </w:r>
    </w:p>
    <w:p w14:paraId="3EFE7DAD" w14:textId="2B7AD9F6" w:rsidR="00581FB5" w:rsidRDefault="00581FB5" w:rsidP="00851535">
      <w:r>
        <w:t xml:space="preserve">Assignment and coordination requirements for AWLs in </w:t>
      </w:r>
      <w:r w:rsidRPr="009E2E6D">
        <w:rPr>
          <w:rFonts w:cs="Arial"/>
          <w:szCs w:val="20"/>
        </w:rPr>
        <w:t xml:space="preserve">26/28 GHz </w:t>
      </w:r>
      <w:r>
        <w:rPr>
          <w:rFonts w:cs="Arial"/>
          <w:szCs w:val="20"/>
        </w:rPr>
        <w:t xml:space="preserve">bands </w:t>
      </w:r>
      <w:r w:rsidRPr="009E2E6D">
        <w:rPr>
          <w:rFonts w:cs="Arial"/>
          <w:szCs w:val="20"/>
        </w:rPr>
        <w:t xml:space="preserve">are contained in </w:t>
      </w:r>
      <w:hyperlink r:id="rId47" w:history="1">
        <w:r w:rsidRPr="0080475B">
          <w:rPr>
            <w:rStyle w:val="Hyperlink"/>
            <w:rFonts w:cs="Arial"/>
            <w:szCs w:val="20"/>
          </w:rPr>
          <w:t>RALI MS 46</w:t>
        </w:r>
      </w:hyperlink>
      <w:r w:rsidRPr="009E2E6D">
        <w:rPr>
          <w:rFonts w:cs="Arial"/>
          <w:szCs w:val="20"/>
        </w:rPr>
        <w:t>.</w:t>
      </w:r>
      <w:r>
        <w:rPr>
          <w:rFonts w:cs="Arial"/>
          <w:szCs w:val="20"/>
        </w:rPr>
        <w:t xml:space="preserve"> </w:t>
      </w:r>
      <w:r>
        <w:t>As detailed in RALI MS 46, AWLs are issued prior to device coordination. AWL licensees need to meet the requirements in the B</w:t>
      </w:r>
      <w:r w:rsidR="003D3AD8">
        <w:t>O</w:t>
      </w:r>
      <w:r>
        <w:t>P and undertake necessary device coordination prior to including applicable devices in the Register of Radiocommunications Licences (RRL).</w:t>
      </w:r>
    </w:p>
    <w:p w14:paraId="1F08F8A1" w14:textId="77777777" w:rsidR="00C670B7" w:rsidRPr="00F41BB6" w:rsidRDefault="00C670B7" w:rsidP="00C670B7">
      <w:pPr>
        <w:pStyle w:val="Heading1"/>
        <w:keepLines/>
      </w:pPr>
      <w:bookmarkStart w:id="234" w:name="_Toc392151134"/>
      <w:bookmarkStart w:id="235" w:name="_Toc488388558"/>
      <w:bookmarkStart w:id="236" w:name="_Toc24979664"/>
      <w:bookmarkStart w:id="237" w:name="_Toc490747830"/>
      <w:bookmarkStart w:id="238" w:name="_Toc109221782"/>
      <w:r w:rsidRPr="00F41BB6">
        <w:lastRenderedPageBreak/>
        <w:t xml:space="preserve">Special </w:t>
      </w:r>
      <w:r>
        <w:t>l</w:t>
      </w:r>
      <w:r w:rsidRPr="00F41BB6">
        <w:t xml:space="preserve">icence conditions and </w:t>
      </w:r>
      <w:r>
        <w:t>a</w:t>
      </w:r>
      <w:r w:rsidRPr="00F41BB6">
        <w:t xml:space="preserve">dvisory </w:t>
      </w:r>
      <w:bookmarkEnd w:id="234"/>
      <w:bookmarkEnd w:id="235"/>
      <w:r w:rsidRPr="003B509C">
        <w:t>notes</w:t>
      </w:r>
      <w:bookmarkEnd w:id="236"/>
      <w:bookmarkEnd w:id="237"/>
      <w:bookmarkEnd w:id="238"/>
    </w:p>
    <w:p w14:paraId="3636FE3F" w14:textId="77777777" w:rsidR="00C670B7" w:rsidRPr="00113829" w:rsidRDefault="00C670B7" w:rsidP="00C670B7">
      <w:pPr>
        <w:keepNext/>
        <w:keepLines/>
      </w:pPr>
      <w:r w:rsidRPr="00F41BB6">
        <w:rPr>
          <w:rFonts w:cs="Arial"/>
          <w:szCs w:val="20"/>
        </w:rPr>
        <w:t xml:space="preserve">The </w:t>
      </w:r>
      <w:hyperlink r:id="rId48" w:history="1">
        <w:r w:rsidRPr="00622B93">
          <w:rPr>
            <w:rStyle w:val="Hyperlink"/>
            <w:rFonts w:cs="Arial"/>
          </w:rPr>
          <w:t>Radiocommunications Licence Conditions (Apparatus Licence) Determination 2015</w:t>
        </w:r>
      </w:hyperlink>
      <w:r>
        <w:rPr>
          <w:rFonts w:cs="Arial"/>
        </w:rPr>
        <w:t xml:space="preserve"> (LCD) </w:t>
      </w:r>
      <w:r w:rsidRPr="00113829">
        <w:t xml:space="preserve">specifies general conditions of operation that are common to most apparatus licence types. Additional conditions not in the LCD can be included on individual apparatus licences to address issues specific to an assigned service. These conditions are printed on the licence under the heading </w:t>
      </w:r>
      <w:r>
        <w:t>‘</w:t>
      </w:r>
      <w:r w:rsidRPr="00113829">
        <w:t>Special Conditions</w:t>
      </w:r>
      <w:r>
        <w:t>’</w:t>
      </w:r>
      <w:r w:rsidRPr="00113829">
        <w:t>.</w:t>
      </w:r>
    </w:p>
    <w:p w14:paraId="76C494D8" w14:textId="6FB3D017" w:rsidR="00C670B7" w:rsidRDefault="00C670B7" w:rsidP="00C670B7">
      <w:r w:rsidRPr="00113829">
        <w:t>In addition to the above, ‘Advisory Notes’ may also be included on licences to inform licensees of matters relevant to a particular service. Unlike licence conditions, advisory notes do not impose a legal obligation on the licensee.</w:t>
      </w:r>
    </w:p>
    <w:p w14:paraId="021CE3DC" w14:textId="77777777" w:rsidR="00AE59F2" w:rsidRPr="00113829" w:rsidRDefault="00AE59F2" w:rsidP="00AE59F2">
      <w:r>
        <w:t xml:space="preserve">With regards to AWL-authorised earth stations, special conditions and advisory notes are not printed on the licence but are instead attached to the relevant device registrations in the RRL. </w:t>
      </w:r>
    </w:p>
    <w:p w14:paraId="6E8F1A20" w14:textId="77777777" w:rsidR="00C670B7" w:rsidRDefault="00C670B7" w:rsidP="00C670B7">
      <w:r>
        <w:t>Appendixes A and B</w:t>
      </w:r>
      <w:r w:rsidRPr="00113829">
        <w:t xml:space="preserve"> detail the special conditions and advisory notes </w:t>
      </w:r>
      <w:r>
        <w:t xml:space="preserve">that are </w:t>
      </w:r>
      <w:r w:rsidRPr="00113829">
        <w:t xml:space="preserve">to be included on </w:t>
      </w:r>
      <w:r w:rsidRPr="00996FEB">
        <w:rPr>
          <w:i/>
        </w:rPr>
        <w:t xml:space="preserve">fixed </w:t>
      </w:r>
      <w:r>
        <w:rPr>
          <w:i/>
        </w:rPr>
        <w:t>e</w:t>
      </w:r>
      <w:r w:rsidRPr="00A170A4">
        <w:rPr>
          <w:i/>
        </w:rPr>
        <w:t>arth</w:t>
      </w:r>
      <w:r>
        <w:t xml:space="preserve"> and </w:t>
      </w:r>
      <w:r>
        <w:rPr>
          <w:i/>
        </w:rPr>
        <w:t>e</w:t>
      </w:r>
      <w:r w:rsidRPr="00A170A4">
        <w:rPr>
          <w:i/>
        </w:rPr>
        <w:t>arth receive</w:t>
      </w:r>
      <w:r w:rsidRPr="00113829">
        <w:t xml:space="preserve"> apparatus licences. Where a special condition or advisory </w:t>
      </w:r>
      <w:r>
        <w:t xml:space="preserve">note </w:t>
      </w:r>
      <w:r w:rsidRPr="00113829">
        <w:t>is not pre-defined</w:t>
      </w:r>
      <w:r>
        <w:t>,</w:t>
      </w:r>
      <w:r w:rsidRPr="00113829">
        <w:t xml:space="preserve"> an AP</w:t>
      </w:r>
      <w:r>
        <w:t xml:space="preserve"> </w:t>
      </w:r>
      <w:r w:rsidRPr="00113829">
        <w:t>will need to request the ACMA to include the appropriate condition</w:t>
      </w:r>
      <w:r>
        <w:t>s</w:t>
      </w:r>
      <w:r w:rsidRPr="00113829">
        <w:t xml:space="preserve"> or advisory note</w:t>
      </w:r>
      <w:r>
        <w:t>s</w:t>
      </w:r>
      <w:r w:rsidRPr="00113829">
        <w:t xml:space="preserve"> on the licence.</w:t>
      </w:r>
    </w:p>
    <w:p w14:paraId="02EA40FA" w14:textId="77777777" w:rsidR="00C670B7" w:rsidRPr="00F41BB6" w:rsidRDefault="00C670B7" w:rsidP="00C670B7">
      <w:pPr>
        <w:pStyle w:val="Heading1"/>
      </w:pPr>
      <w:bookmarkStart w:id="239" w:name="_Toc392151135"/>
      <w:bookmarkStart w:id="240" w:name="_Toc488388559"/>
      <w:bookmarkStart w:id="241" w:name="_Toc24979665"/>
      <w:bookmarkStart w:id="242" w:name="_Toc490747831"/>
      <w:bookmarkStart w:id="243" w:name="_Toc109221783"/>
      <w:r w:rsidRPr="00F41BB6">
        <w:t xml:space="preserve">Further </w:t>
      </w:r>
      <w:r w:rsidRPr="003B509C">
        <w:t>information</w:t>
      </w:r>
      <w:bookmarkEnd w:id="239"/>
      <w:bookmarkEnd w:id="240"/>
      <w:bookmarkEnd w:id="241"/>
      <w:bookmarkEnd w:id="242"/>
      <w:bookmarkEnd w:id="243"/>
    </w:p>
    <w:p w14:paraId="6FCB7A54" w14:textId="77777777" w:rsidR="00C670B7" w:rsidRPr="00F41BB6" w:rsidRDefault="00C670B7" w:rsidP="00C670B7">
      <w:r w:rsidRPr="00F41BB6">
        <w:t xml:space="preserve">Please contact </w:t>
      </w:r>
      <w:r>
        <w:t xml:space="preserve">the ACMA’s Customer Service Centre at </w:t>
      </w:r>
      <w:hyperlink r:id="rId49" w:history="1">
        <w:r w:rsidRPr="00C832AA">
          <w:rPr>
            <w:rStyle w:val="Hyperlink"/>
          </w:rPr>
          <w:t>info@acma.gov.au</w:t>
        </w:r>
      </w:hyperlink>
      <w:r w:rsidRPr="00996FEB">
        <w:rPr>
          <w:rStyle w:val="Hyperlink"/>
        </w:rPr>
        <w:t>.</w:t>
      </w:r>
    </w:p>
    <w:p w14:paraId="6C20DB9B" w14:textId="77777777" w:rsidR="00C670B7" w:rsidRPr="003B509C" w:rsidRDefault="00C670B7" w:rsidP="00C670B7">
      <w:pPr>
        <w:pStyle w:val="AppL1"/>
        <w:pageBreakBefore/>
        <w:spacing w:after="360"/>
        <w:rPr>
          <w:b/>
        </w:rPr>
      </w:pPr>
      <w:bookmarkStart w:id="244" w:name="_Ref485202273"/>
      <w:bookmarkStart w:id="245" w:name="_Toc488388560"/>
      <w:bookmarkStart w:id="246" w:name="_Toc24979666"/>
      <w:bookmarkStart w:id="247" w:name="_Toc490747832"/>
      <w:bookmarkStart w:id="248" w:name="_Toc109221784"/>
      <w:bookmarkStart w:id="249" w:name="_Toc480354445"/>
      <w:bookmarkStart w:id="250" w:name="_Toc480354740"/>
      <w:bookmarkStart w:id="251" w:name="_Toc483400690"/>
      <w:bookmarkStart w:id="252" w:name="_Toc483406754"/>
      <w:bookmarkStart w:id="253" w:name="_Toc486318170"/>
      <w:bookmarkStart w:id="254" w:name="_Toc486318903"/>
      <w:bookmarkStart w:id="255" w:name="_Toc486319153"/>
      <w:bookmarkStart w:id="256" w:name="_Toc490122669"/>
      <w:bookmarkEnd w:id="229"/>
      <w:bookmarkEnd w:id="230"/>
      <w:r w:rsidRPr="003B509C">
        <w:rPr>
          <w:b/>
        </w:rPr>
        <w:lastRenderedPageBreak/>
        <w:t>Standard special conditions and advisory notes</w:t>
      </w:r>
      <w:bookmarkEnd w:id="244"/>
      <w:bookmarkEnd w:id="245"/>
      <w:bookmarkEnd w:id="246"/>
      <w:bookmarkEnd w:id="247"/>
      <w:bookmarkEnd w:id="248"/>
      <w:r w:rsidRPr="003B509C">
        <w:rPr>
          <w:b/>
        </w:rPr>
        <w:t xml:space="preserve"> </w:t>
      </w:r>
    </w:p>
    <w:p w14:paraId="4395BA3A" w14:textId="0BE358C0" w:rsidR="00C670B7" w:rsidRPr="00F41BB6" w:rsidRDefault="00C670B7" w:rsidP="00C670B7">
      <w:r>
        <w:t>This appendix applies to o</w:t>
      </w:r>
      <w:r w:rsidRPr="00F45400">
        <w:t>ngoing communications by individual fixed earth stations with a specific satellite system (including ongoing telemetry, tracking and control for the purpose of providing permanent station keeping services for a specific satellite system)</w:t>
      </w:r>
      <w:r>
        <w:t>.</w:t>
      </w:r>
      <w:r w:rsidR="00AE59F2" w:rsidRPr="00AE59F2">
        <w:t xml:space="preserve"> </w:t>
      </w:r>
      <w:r w:rsidR="004D269C">
        <w:t>The listed special conditions and advisory notes are relevant to all licence types, unless otherwise stated.</w:t>
      </w:r>
    </w:p>
    <w:p w14:paraId="621612B8" w14:textId="242505BB" w:rsidR="00C670B7" w:rsidRPr="00F41BB6" w:rsidRDefault="00C670B7" w:rsidP="00C670B7">
      <w:pPr>
        <w:pStyle w:val="AppL2"/>
      </w:pPr>
      <w:bookmarkStart w:id="257" w:name="_Toc488388561"/>
      <w:bookmarkStart w:id="258" w:name="_Toc24979667"/>
      <w:bookmarkStart w:id="259" w:name="_Toc490747833"/>
      <w:bookmarkStart w:id="260" w:name="_Toc109221785"/>
      <w:bookmarkEnd w:id="249"/>
      <w:bookmarkEnd w:id="250"/>
      <w:bookmarkEnd w:id="251"/>
      <w:bookmarkEnd w:id="252"/>
      <w:bookmarkEnd w:id="253"/>
      <w:bookmarkEnd w:id="254"/>
      <w:bookmarkEnd w:id="255"/>
      <w:bookmarkEnd w:id="256"/>
      <w:r>
        <w:t>Recorded in the MIFR with</w:t>
      </w:r>
      <w:r w:rsidR="00AE54F3">
        <w:t xml:space="preserve"> a</w:t>
      </w:r>
      <w:r>
        <w:t xml:space="preserve"> favourable finding</w:t>
      </w:r>
      <w:bookmarkEnd w:id="257"/>
      <w:bookmarkEnd w:id="258"/>
      <w:bookmarkEnd w:id="259"/>
      <w:bookmarkEnd w:id="260"/>
    </w:p>
    <w:p w14:paraId="03D8F9E9" w14:textId="762DE3A8" w:rsidR="00C670B7" w:rsidRPr="00601F6F" w:rsidRDefault="00C670B7" w:rsidP="00C670B7">
      <w:pPr>
        <w:autoSpaceDE w:val="0"/>
        <w:autoSpaceDN w:val="0"/>
        <w:adjustRightInd w:val="0"/>
        <w:spacing w:line="240" w:lineRule="auto"/>
      </w:pPr>
      <w:r w:rsidRPr="00F45400">
        <w:t xml:space="preserve">The following special conditions and advisory notes are to be applied where the satellite system has been successfully coordinated and is recorded (notified) in the ITU’s Master International Frequency Register (MIFR) with </w:t>
      </w:r>
      <w:r w:rsidR="00AE54F3">
        <w:t xml:space="preserve">a </w:t>
      </w:r>
      <w:r w:rsidRPr="00F45400">
        <w:t>favourable finding</w:t>
      </w:r>
      <w:r>
        <w:t>:</w:t>
      </w:r>
    </w:p>
    <w:p w14:paraId="35F803B0" w14:textId="77777777" w:rsidR="00C670B7" w:rsidRPr="00601F6F" w:rsidRDefault="00C670B7" w:rsidP="00C670B7">
      <w:pPr>
        <w:pStyle w:val="AppL3"/>
        <w:spacing w:after="240"/>
      </w:pPr>
      <w:bookmarkStart w:id="261" w:name="_Toc392151137"/>
      <w:bookmarkStart w:id="262" w:name="_Toc478115638"/>
      <w:bookmarkStart w:id="263" w:name="_Toc478115886"/>
      <w:bookmarkStart w:id="264" w:name="_Toc478563478"/>
      <w:bookmarkStart w:id="265" w:name="_Toc480354435"/>
      <w:bookmarkStart w:id="266" w:name="_Toc480354730"/>
      <w:bookmarkStart w:id="267" w:name="_Toc483206770"/>
      <w:bookmarkStart w:id="268" w:name="_Toc483207189"/>
      <w:bookmarkStart w:id="269" w:name="_Toc483208172"/>
      <w:bookmarkStart w:id="270" w:name="_Toc483208650"/>
      <w:bookmarkStart w:id="271" w:name="_Toc483209580"/>
      <w:bookmarkStart w:id="272" w:name="_Toc483212420"/>
      <w:bookmarkStart w:id="273" w:name="_Toc483214199"/>
      <w:bookmarkStart w:id="274" w:name="_Toc483225217"/>
      <w:bookmarkStart w:id="275" w:name="_Toc483225675"/>
      <w:bookmarkStart w:id="276" w:name="_Toc483317929"/>
      <w:bookmarkStart w:id="277" w:name="_Toc483391822"/>
      <w:bookmarkStart w:id="278" w:name="_Toc483494268"/>
      <w:bookmarkStart w:id="279" w:name="_Toc485220509"/>
      <w:bookmarkStart w:id="280" w:name="_Toc485299193"/>
      <w:bookmarkStart w:id="281" w:name="_Toc488388562"/>
      <w:bookmarkStart w:id="282" w:name="_Toc24979668"/>
      <w:bookmarkStart w:id="283" w:name="_Toc490747834"/>
      <w:bookmarkStart w:id="284" w:name="_Toc109221786"/>
      <w:r w:rsidRPr="00006756">
        <w:t>S</w:t>
      </w:r>
      <w:r>
        <w:t>pecial Conditions</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06B23894" w14:textId="77777777" w:rsidR="00C670B7" w:rsidRPr="00601F6F" w:rsidRDefault="00C670B7" w:rsidP="00C670B7">
      <w:pPr>
        <w:rPr>
          <w:b/>
        </w:rPr>
      </w:pPr>
      <w:r w:rsidRPr="00006756">
        <w:rPr>
          <w:b/>
        </w:rPr>
        <w:t>Pre-defined (EC)</w:t>
      </w:r>
    </w:p>
    <w:p w14:paraId="451E2AC7" w14:textId="414D635E" w:rsidR="004839E6" w:rsidRDefault="00C670B7" w:rsidP="00C670B7">
      <w:pPr>
        <w:pStyle w:val="ListParagraph"/>
        <w:numPr>
          <w:ilvl w:val="0"/>
          <w:numId w:val="22"/>
        </w:numPr>
        <w:spacing w:after="240"/>
      </w:pPr>
      <w:r w:rsidRPr="00F41BB6">
        <w:t>Operation of this earth station must be in accordance with frequency assignments recorded in the Master International Frequency Register (MIFR) of the International Telecommunication Union.</w:t>
      </w:r>
    </w:p>
    <w:p w14:paraId="50E9F200" w14:textId="77777777" w:rsidR="00593215" w:rsidRDefault="00593215" w:rsidP="00ED38CE">
      <w:pPr>
        <w:pStyle w:val="ListParagraph"/>
        <w:spacing w:after="240"/>
        <w:ind w:left="360"/>
      </w:pPr>
    </w:p>
    <w:p w14:paraId="7E313DBC" w14:textId="1447B8E2" w:rsidR="00C670B7" w:rsidRDefault="004839E6" w:rsidP="00ED38CE">
      <w:pPr>
        <w:pStyle w:val="ListParagraph"/>
        <w:spacing w:after="240"/>
        <w:ind w:left="360"/>
      </w:pPr>
      <w:r w:rsidRPr="004839E6">
        <w:t>[Note: Operation in accordance with frequency assignments recorded in the MFIR includes the operation in accordance with any Administration agreements reached as a result of an ITU frequency coordination process]</w:t>
      </w:r>
    </w:p>
    <w:p w14:paraId="2CFE64BE" w14:textId="77777777" w:rsidR="00ED75E8" w:rsidRPr="00126E2C" w:rsidRDefault="00ED75E8" w:rsidP="00ED75E8">
      <w:pPr>
        <w:autoSpaceDE w:val="0"/>
        <w:autoSpaceDN w:val="0"/>
        <w:adjustRightInd w:val="0"/>
        <w:spacing w:line="240" w:lineRule="auto"/>
        <w:rPr>
          <w:rFonts w:cs="Arial"/>
          <w:b/>
          <w:szCs w:val="20"/>
        </w:rPr>
      </w:pPr>
      <w:r>
        <w:rPr>
          <w:rFonts w:cs="Arial"/>
          <w:b/>
          <w:szCs w:val="20"/>
        </w:rPr>
        <w:t>Pre</w:t>
      </w:r>
      <w:r w:rsidRPr="00126E2C">
        <w:rPr>
          <w:rFonts w:cs="Arial"/>
          <w:b/>
          <w:szCs w:val="20"/>
        </w:rPr>
        <w:t>-defined</w:t>
      </w:r>
      <w:r>
        <w:rPr>
          <w:rFonts w:cs="Arial"/>
          <w:b/>
          <w:szCs w:val="20"/>
        </w:rPr>
        <w:t xml:space="preserve"> (EQ)</w:t>
      </w:r>
    </w:p>
    <w:p w14:paraId="50BADA45" w14:textId="05EB6F19" w:rsidR="00A658D0" w:rsidRPr="0080433C" w:rsidRDefault="00ED75E8" w:rsidP="00E15301">
      <w:pPr>
        <w:pStyle w:val="ListParagraph"/>
        <w:numPr>
          <w:ilvl w:val="0"/>
          <w:numId w:val="22"/>
        </w:numPr>
        <w:spacing w:after="240" w:line="240" w:lineRule="auto"/>
        <w:rPr>
          <w:rFonts w:cs="Arial"/>
          <w:szCs w:val="20"/>
        </w:rPr>
      </w:pPr>
      <w:r>
        <w:t>The licensee shall advise the ACMA of changes to the point of contact provided for the purpose of tracing any suspected cases of interference</w:t>
      </w:r>
      <w:r w:rsidRPr="00A170A4">
        <w:rPr>
          <w:rFonts w:cs="Arial"/>
          <w:szCs w:val="20"/>
        </w:rPr>
        <w:t>.</w:t>
      </w:r>
    </w:p>
    <w:p w14:paraId="179A28A1" w14:textId="77777777" w:rsidR="00E92FD1" w:rsidRDefault="00E92FD1" w:rsidP="00E92FD1">
      <w:pPr>
        <w:rPr>
          <w:b/>
        </w:rPr>
      </w:pPr>
      <w:r w:rsidRPr="00F41BB6">
        <w:rPr>
          <w:b/>
        </w:rPr>
        <w:t>User-defined</w:t>
      </w:r>
    </w:p>
    <w:p w14:paraId="10156A5A" w14:textId="77777777" w:rsidR="00E92FD1" w:rsidRPr="006F56AA" w:rsidRDefault="00E92FD1" w:rsidP="00E92FD1">
      <w:pPr>
        <w:rPr>
          <w:bCs/>
          <w:i/>
          <w:iCs/>
        </w:rPr>
      </w:pPr>
      <w:r w:rsidRPr="006F56AA">
        <w:rPr>
          <w:bCs/>
          <w:i/>
          <w:iCs/>
        </w:rPr>
        <w:t xml:space="preserve">For inclusion on </w:t>
      </w:r>
      <w:r w:rsidRPr="006F56AA">
        <w:rPr>
          <w:i/>
          <w:iCs/>
        </w:rPr>
        <w:t>fixed earth and earth receive apparatus licences:</w:t>
      </w:r>
    </w:p>
    <w:p w14:paraId="209DCB93" w14:textId="77777777" w:rsidR="00E92FD1" w:rsidRPr="00ED38CE" w:rsidRDefault="00E92FD1" w:rsidP="00E92FD1">
      <w:pPr>
        <w:pStyle w:val="ListParagraph"/>
        <w:numPr>
          <w:ilvl w:val="0"/>
          <w:numId w:val="22"/>
        </w:numPr>
        <w:spacing w:after="240"/>
        <w:rPr>
          <w:u w:val="single"/>
        </w:rPr>
      </w:pPr>
      <w:r w:rsidRPr="00F41BB6">
        <w:t xml:space="preserve">This licence authorises communications with </w:t>
      </w:r>
      <w:r w:rsidRPr="00B905E8">
        <w:rPr>
          <w:szCs w:val="20"/>
        </w:rPr>
        <w:t>[</w:t>
      </w:r>
      <w:r w:rsidRPr="00996FEB">
        <w:rPr>
          <w:szCs w:val="20"/>
        </w:rPr>
        <w:t>ITU satellite network name</w:t>
      </w:r>
      <w:r w:rsidRPr="00B905E8">
        <w:rPr>
          <w:szCs w:val="20"/>
        </w:rPr>
        <w:t>]</w:t>
      </w:r>
      <w:r w:rsidRPr="00902239">
        <w:rPr>
          <w:i/>
          <w:szCs w:val="20"/>
        </w:rPr>
        <w:t>.</w:t>
      </w:r>
      <w:r w:rsidRPr="008628BD">
        <w:t xml:space="preserve"> </w:t>
      </w:r>
    </w:p>
    <w:p w14:paraId="609787D0" w14:textId="77777777" w:rsidR="00E92FD1" w:rsidRDefault="00E92FD1" w:rsidP="00E92FD1">
      <w:pPr>
        <w:pStyle w:val="ListParagraph"/>
        <w:spacing w:after="240"/>
        <w:ind w:left="360"/>
        <w:rPr>
          <w:iCs/>
          <w:szCs w:val="20"/>
        </w:rPr>
      </w:pPr>
    </w:p>
    <w:p w14:paraId="74C64B32" w14:textId="77777777" w:rsidR="00E92FD1" w:rsidRPr="006F56AA" w:rsidRDefault="00E92FD1" w:rsidP="00E92FD1">
      <w:pPr>
        <w:rPr>
          <w:i/>
          <w:iCs/>
        </w:rPr>
      </w:pPr>
      <w:r w:rsidRPr="006F56AA">
        <w:rPr>
          <w:bCs/>
          <w:i/>
          <w:iCs/>
        </w:rPr>
        <w:t xml:space="preserve">For inclusion on the relevant </w:t>
      </w:r>
      <w:r w:rsidRPr="006F56AA">
        <w:rPr>
          <w:i/>
          <w:iCs/>
        </w:rPr>
        <w:t>AWL device registration:</w:t>
      </w:r>
    </w:p>
    <w:p w14:paraId="763FAAB5" w14:textId="08DB8AD9" w:rsidR="00E92FD1" w:rsidRPr="00F30DF6" w:rsidRDefault="00E92FD1" w:rsidP="00E92FD1">
      <w:pPr>
        <w:pStyle w:val="ListParagraph"/>
        <w:numPr>
          <w:ilvl w:val="0"/>
          <w:numId w:val="22"/>
        </w:numPr>
        <w:spacing w:after="240"/>
        <w:rPr>
          <w:u w:val="single"/>
        </w:rPr>
      </w:pPr>
      <w:r w:rsidRPr="00F41BB6">
        <w:t xml:space="preserve">This </w:t>
      </w:r>
      <w:r>
        <w:t>device registration applies to</w:t>
      </w:r>
      <w:r w:rsidRPr="00F41BB6">
        <w:t xml:space="preserve"> communications with </w:t>
      </w:r>
      <w:r w:rsidRPr="00B905E8">
        <w:rPr>
          <w:szCs w:val="20"/>
        </w:rPr>
        <w:t>[</w:t>
      </w:r>
      <w:r w:rsidRPr="00996FEB">
        <w:rPr>
          <w:szCs w:val="20"/>
        </w:rPr>
        <w:t>ITU satellite network name</w:t>
      </w:r>
      <w:r w:rsidRPr="00B905E8">
        <w:rPr>
          <w:szCs w:val="20"/>
        </w:rPr>
        <w:t>]</w:t>
      </w:r>
      <w:r w:rsidRPr="00902239">
        <w:rPr>
          <w:i/>
          <w:szCs w:val="20"/>
        </w:rPr>
        <w:t>.</w:t>
      </w:r>
    </w:p>
    <w:p w14:paraId="72393459" w14:textId="00B402FF" w:rsidR="00E92FD1" w:rsidRDefault="00E92FD1" w:rsidP="006E6AE8">
      <w:pPr>
        <w:pStyle w:val="ListParagraph"/>
        <w:spacing w:after="240" w:line="240" w:lineRule="auto"/>
        <w:ind w:left="360"/>
      </w:pPr>
    </w:p>
    <w:p w14:paraId="5D48AA20" w14:textId="159267C1" w:rsidR="007159AD" w:rsidRDefault="007159AD" w:rsidP="006E6AE8">
      <w:pPr>
        <w:pStyle w:val="ListParagraph"/>
        <w:spacing w:after="240" w:line="240" w:lineRule="auto"/>
        <w:ind w:left="360"/>
      </w:pPr>
    </w:p>
    <w:p w14:paraId="41E1DB14" w14:textId="77777777" w:rsidR="006F56AA" w:rsidRDefault="006F56AA" w:rsidP="006F56AA">
      <w:r>
        <w:t>[Note: Operation of this earth station (AWL device registration)  is only authorised if the frequency assignments of the satellite network recorded by the ITU with which communications are authorised by this licence are not cancelled or supressed.]</w:t>
      </w:r>
    </w:p>
    <w:p w14:paraId="2CA31F0C" w14:textId="6878EFE7" w:rsidR="007159AD" w:rsidRDefault="007159AD" w:rsidP="006E6AE8">
      <w:pPr>
        <w:pStyle w:val="ListParagraph"/>
        <w:spacing w:after="240" w:line="240" w:lineRule="auto"/>
        <w:ind w:left="360"/>
      </w:pPr>
    </w:p>
    <w:p w14:paraId="07865C7F" w14:textId="77777777" w:rsidR="007159AD" w:rsidRPr="0042066D" w:rsidRDefault="007159AD" w:rsidP="006E6AE8">
      <w:pPr>
        <w:pStyle w:val="ListParagraph"/>
        <w:spacing w:after="240" w:line="240" w:lineRule="auto"/>
        <w:ind w:left="360"/>
      </w:pPr>
    </w:p>
    <w:p w14:paraId="1DDE55B9" w14:textId="77777777" w:rsidR="00C670B7" w:rsidRPr="00F41BB6" w:rsidRDefault="00C670B7" w:rsidP="00C670B7">
      <w:pPr>
        <w:pStyle w:val="AppL3"/>
        <w:spacing w:before="0" w:after="240"/>
      </w:pPr>
      <w:bookmarkStart w:id="285" w:name="_Toc392151138"/>
      <w:bookmarkStart w:id="286" w:name="_Toc478115639"/>
      <w:bookmarkStart w:id="287" w:name="_Toc478115887"/>
      <w:bookmarkStart w:id="288" w:name="_Toc478563479"/>
      <w:bookmarkStart w:id="289" w:name="_Toc480354436"/>
      <w:bookmarkStart w:id="290" w:name="_Toc480354731"/>
      <w:bookmarkStart w:id="291" w:name="_Toc483206771"/>
      <w:bookmarkStart w:id="292" w:name="_Toc483207190"/>
      <w:bookmarkStart w:id="293" w:name="_Toc483208173"/>
      <w:bookmarkStart w:id="294" w:name="_Toc483208651"/>
      <w:bookmarkStart w:id="295" w:name="_Toc483209581"/>
      <w:bookmarkStart w:id="296" w:name="_Toc483212421"/>
      <w:bookmarkStart w:id="297" w:name="_Toc483214200"/>
      <w:bookmarkStart w:id="298" w:name="_Toc483225218"/>
      <w:bookmarkStart w:id="299" w:name="_Toc483225676"/>
      <w:bookmarkStart w:id="300" w:name="_Toc483317930"/>
      <w:bookmarkStart w:id="301" w:name="_Toc483391823"/>
      <w:bookmarkStart w:id="302" w:name="_Toc483494269"/>
      <w:bookmarkStart w:id="303" w:name="_Toc485220510"/>
      <w:bookmarkStart w:id="304" w:name="_Toc485299194"/>
      <w:bookmarkStart w:id="305" w:name="_Toc488388563"/>
      <w:bookmarkStart w:id="306" w:name="_Toc24979669"/>
      <w:bookmarkStart w:id="307" w:name="_Toc490747835"/>
      <w:bookmarkStart w:id="308" w:name="_Toc109221787"/>
      <w:r w:rsidRPr="00F41BB6">
        <w:lastRenderedPageBreak/>
        <w:t>A</w:t>
      </w:r>
      <w:r>
        <w:t>dvisory Notes</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758B4A3C" w14:textId="77777777" w:rsidR="00C670B7" w:rsidRPr="00601F6F" w:rsidRDefault="00C670B7" w:rsidP="00C670B7">
      <w:pPr>
        <w:rPr>
          <w:b/>
        </w:rPr>
      </w:pPr>
      <w:r w:rsidRPr="00006756">
        <w:rPr>
          <w:b/>
        </w:rPr>
        <w:t>Pre-defined (EI)</w:t>
      </w:r>
    </w:p>
    <w:p w14:paraId="7BABCA31" w14:textId="77777777" w:rsidR="00C670B7" w:rsidRPr="00F41BB6" w:rsidRDefault="00C670B7" w:rsidP="00C670B7">
      <w:pPr>
        <w:pStyle w:val="ListParagraph"/>
        <w:numPr>
          <w:ilvl w:val="0"/>
          <w:numId w:val="23"/>
        </w:numPr>
        <w:spacing w:after="240"/>
      </w:pPr>
      <w:r w:rsidRPr="00F41BB6">
        <w:t xml:space="preserve">The Master International Frequency Register (MIFR) is maintained by the International Telecommunication Union (ITU) in accordance with the Radio Regulations. </w:t>
      </w:r>
    </w:p>
    <w:p w14:paraId="7C995C78" w14:textId="77777777" w:rsidR="00AE59F2" w:rsidRPr="00601F6F" w:rsidRDefault="00AE59F2" w:rsidP="00851535">
      <w:pPr>
        <w:pStyle w:val="ListParagraph"/>
        <w:spacing w:after="240"/>
        <w:ind w:left="360"/>
        <w:rPr>
          <w:u w:val="single"/>
        </w:rPr>
      </w:pPr>
    </w:p>
    <w:p w14:paraId="67CC5077" w14:textId="77777777" w:rsidR="00C670B7" w:rsidRPr="00601F6F" w:rsidRDefault="00C670B7" w:rsidP="00C670B7">
      <w:pPr>
        <w:pStyle w:val="AppL2"/>
        <w:spacing w:before="0" w:after="240"/>
      </w:pPr>
      <w:bookmarkStart w:id="309" w:name="_Toc488388564"/>
      <w:bookmarkStart w:id="310" w:name="_Toc24979670"/>
      <w:bookmarkStart w:id="311" w:name="_Toc490747836"/>
      <w:bookmarkStart w:id="312" w:name="_Toc109221788"/>
      <w:bookmarkStart w:id="313" w:name="_Toc483400692"/>
      <w:bookmarkStart w:id="314" w:name="_Toc490122671"/>
      <w:r>
        <w:t>Not recorded in the MIFR</w:t>
      </w:r>
      <w:bookmarkEnd w:id="309"/>
      <w:bookmarkEnd w:id="310"/>
      <w:bookmarkEnd w:id="311"/>
      <w:bookmarkEnd w:id="312"/>
    </w:p>
    <w:p w14:paraId="2437C836" w14:textId="77777777" w:rsidR="00C670B7" w:rsidRPr="00F41BB6" w:rsidRDefault="00C670B7" w:rsidP="00C670B7">
      <w:r w:rsidRPr="00F45400">
        <w:t>The following special conditions and advisory notes are to be applied where the satellite system is still under coordination and has not as yet been recorded (notified) in the ITU’s Master International Frequency Register (MIFR)</w:t>
      </w:r>
      <w:r>
        <w:t>:</w:t>
      </w:r>
    </w:p>
    <w:p w14:paraId="0B089770" w14:textId="77777777" w:rsidR="00C670B7" w:rsidRPr="00F41BB6" w:rsidRDefault="00C670B7" w:rsidP="00C670B7">
      <w:pPr>
        <w:pStyle w:val="AppL3"/>
        <w:spacing w:after="240"/>
      </w:pPr>
      <w:bookmarkStart w:id="315" w:name="_Toc392151139"/>
      <w:bookmarkStart w:id="316" w:name="_Toc478115640"/>
      <w:bookmarkStart w:id="317" w:name="_Toc478115888"/>
      <w:bookmarkStart w:id="318" w:name="_Toc478563480"/>
      <w:bookmarkStart w:id="319" w:name="_Toc480354437"/>
      <w:bookmarkStart w:id="320" w:name="_Toc480354732"/>
      <w:bookmarkStart w:id="321" w:name="_Toc483206774"/>
      <w:bookmarkStart w:id="322" w:name="_Toc483207193"/>
      <w:bookmarkStart w:id="323" w:name="_Toc483208176"/>
      <w:bookmarkStart w:id="324" w:name="_Toc483208654"/>
      <w:bookmarkStart w:id="325" w:name="_Toc483209584"/>
      <w:bookmarkStart w:id="326" w:name="_Toc483212424"/>
      <w:bookmarkStart w:id="327" w:name="_Toc483214203"/>
      <w:bookmarkStart w:id="328" w:name="_Toc483225221"/>
      <w:bookmarkStart w:id="329" w:name="_Toc483225679"/>
      <w:bookmarkStart w:id="330" w:name="_Toc483317932"/>
      <w:bookmarkStart w:id="331" w:name="_Toc483391825"/>
      <w:bookmarkStart w:id="332" w:name="_Toc483494271"/>
      <w:bookmarkStart w:id="333" w:name="_Toc485220512"/>
      <w:bookmarkStart w:id="334" w:name="_Toc485299196"/>
      <w:bookmarkStart w:id="335" w:name="_Toc488388565"/>
      <w:bookmarkStart w:id="336" w:name="_Toc24979671"/>
      <w:bookmarkStart w:id="337" w:name="_Toc490747837"/>
      <w:bookmarkStart w:id="338" w:name="_Toc109221789"/>
      <w:r w:rsidRPr="00F41BB6">
        <w:t>S</w:t>
      </w:r>
      <w:r>
        <w:t>pecial Conditions</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63A652AA" w14:textId="77777777" w:rsidR="00C670B7" w:rsidRPr="00F41BB6" w:rsidRDefault="00C670B7" w:rsidP="00C670B7">
      <w:r w:rsidRPr="00F41BB6">
        <w:rPr>
          <w:b/>
        </w:rPr>
        <w:t>Pre-defined (EJ)</w:t>
      </w:r>
    </w:p>
    <w:p w14:paraId="7EBE3FB0" w14:textId="77777777" w:rsidR="00C670B7" w:rsidRPr="00F41BB6" w:rsidRDefault="00C670B7" w:rsidP="00360B43">
      <w:pPr>
        <w:pStyle w:val="ListParagraph"/>
        <w:numPr>
          <w:ilvl w:val="0"/>
          <w:numId w:val="37"/>
        </w:numPr>
        <w:spacing w:after="240"/>
      </w:pPr>
      <w:r w:rsidRPr="00F41BB6">
        <w:t>Prior to the frequency assignments being recorded in the Master International Frequency Register (MIFR), this earth station may operate in accordance with the operating parameters published by the ITU in Special Sections of International Frequency Information Circulars</w:t>
      </w:r>
      <w:r>
        <w:t>,</w:t>
      </w:r>
      <w:r w:rsidRPr="00F41BB6">
        <w:t xml:space="preserve"> and in accordance with any agreements reached as a result of an ITU frequency coordination process.</w:t>
      </w:r>
    </w:p>
    <w:p w14:paraId="639E2D69" w14:textId="77777777" w:rsidR="00C670B7" w:rsidRPr="00601F6F" w:rsidRDefault="00C670B7" w:rsidP="00C670B7">
      <w:pPr>
        <w:keepNext/>
        <w:rPr>
          <w:b/>
        </w:rPr>
      </w:pPr>
      <w:r w:rsidRPr="00F41BB6">
        <w:rPr>
          <w:b/>
        </w:rPr>
        <w:t>P</w:t>
      </w:r>
      <w:r>
        <w:rPr>
          <w:b/>
        </w:rPr>
        <w:t>re-defined (EH)</w:t>
      </w:r>
    </w:p>
    <w:p w14:paraId="4640F354" w14:textId="77777777" w:rsidR="00C670B7" w:rsidRDefault="00C670B7" w:rsidP="00360B43">
      <w:pPr>
        <w:pStyle w:val="ListParagraph"/>
        <w:keepLines/>
        <w:numPr>
          <w:ilvl w:val="0"/>
          <w:numId w:val="37"/>
        </w:numPr>
        <w:spacing w:after="240"/>
        <w:ind w:left="357" w:hanging="357"/>
      </w:pPr>
      <w:r w:rsidRPr="00F41BB6">
        <w:t>Transmissions must not occur in circumstances that result in harmful interference to stations outside of Australia where these stations are operating in accordance with the Radio Regulations of the ITU</w:t>
      </w:r>
      <w:r>
        <w:t>,</w:t>
      </w:r>
      <w:r w:rsidRPr="00F41BB6">
        <w:t xml:space="preserve"> except where the transmissions are in accordance with any agreements reached as a result of an ITU international frequency coordination process.</w:t>
      </w:r>
    </w:p>
    <w:p w14:paraId="5BDCE3CA" w14:textId="77777777" w:rsidR="00ED75E8" w:rsidRPr="00126E2C" w:rsidRDefault="00ED75E8" w:rsidP="00ED75E8">
      <w:pPr>
        <w:autoSpaceDE w:val="0"/>
        <w:autoSpaceDN w:val="0"/>
        <w:adjustRightInd w:val="0"/>
        <w:spacing w:line="240" w:lineRule="auto"/>
        <w:rPr>
          <w:rFonts w:cs="Arial"/>
          <w:b/>
          <w:szCs w:val="20"/>
        </w:rPr>
      </w:pPr>
      <w:r>
        <w:rPr>
          <w:rFonts w:cs="Arial"/>
          <w:b/>
          <w:szCs w:val="20"/>
        </w:rPr>
        <w:t>Pre</w:t>
      </w:r>
      <w:r w:rsidRPr="00126E2C">
        <w:rPr>
          <w:rFonts w:cs="Arial"/>
          <w:b/>
          <w:szCs w:val="20"/>
        </w:rPr>
        <w:t>-defined</w:t>
      </w:r>
      <w:r>
        <w:rPr>
          <w:rFonts w:cs="Arial"/>
          <w:b/>
          <w:szCs w:val="20"/>
        </w:rPr>
        <w:t xml:space="preserve"> (EQ)</w:t>
      </w:r>
    </w:p>
    <w:p w14:paraId="441B9CD1" w14:textId="77777777" w:rsidR="00ED75E8" w:rsidRPr="0042066D" w:rsidRDefault="00ED75E8" w:rsidP="005F4D64">
      <w:pPr>
        <w:pStyle w:val="ListParagraph"/>
        <w:numPr>
          <w:ilvl w:val="0"/>
          <w:numId w:val="37"/>
        </w:numPr>
        <w:spacing w:after="240" w:line="240" w:lineRule="auto"/>
      </w:pPr>
      <w:r>
        <w:t>The licensee shall advise the ACMA of changes to the point of contact provided for the purpose of tracing any suspected cases of interference</w:t>
      </w:r>
      <w:r w:rsidRPr="00A170A4">
        <w:rPr>
          <w:rFonts w:cs="Arial"/>
          <w:szCs w:val="20"/>
        </w:rPr>
        <w:t>.</w:t>
      </w:r>
    </w:p>
    <w:p w14:paraId="745924F6" w14:textId="77777777" w:rsidR="00931DCE" w:rsidRDefault="00931DCE" w:rsidP="005F4D64">
      <w:pPr>
        <w:pStyle w:val="ListParagraph"/>
        <w:spacing w:after="240"/>
        <w:ind w:left="360"/>
      </w:pPr>
    </w:p>
    <w:p w14:paraId="696D6CF3" w14:textId="77777777" w:rsidR="00C670B7" w:rsidRDefault="00C670B7" w:rsidP="00C670B7">
      <w:pPr>
        <w:rPr>
          <w:b/>
        </w:rPr>
      </w:pPr>
      <w:r w:rsidRPr="00F41BB6">
        <w:rPr>
          <w:b/>
        </w:rPr>
        <w:t>U</w:t>
      </w:r>
      <w:r>
        <w:rPr>
          <w:b/>
        </w:rPr>
        <w:t>ser-defined</w:t>
      </w:r>
    </w:p>
    <w:p w14:paraId="280F518D" w14:textId="77777777" w:rsidR="00CF00E3" w:rsidRPr="006F56AA" w:rsidRDefault="00CF00E3" w:rsidP="00CF00E3">
      <w:pPr>
        <w:rPr>
          <w:i/>
          <w:iCs/>
        </w:rPr>
      </w:pPr>
      <w:r w:rsidRPr="006F56AA">
        <w:rPr>
          <w:i/>
          <w:iCs/>
        </w:rPr>
        <w:t>For inclusion on fixed earth and earth receive apparatus licences:</w:t>
      </w:r>
    </w:p>
    <w:p w14:paraId="01B878D4" w14:textId="77777777" w:rsidR="00EE0196" w:rsidRDefault="00C670B7" w:rsidP="005F4D64">
      <w:pPr>
        <w:pStyle w:val="ListParagraph"/>
        <w:numPr>
          <w:ilvl w:val="0"/>
          <w:numId w:val="37"/>
        </w:numPr>
        <w:spacing w:after="240"/>
      </w:pPr>
      <w:r w:rsidRPr="00F41BB6">
        <w:t>This earth station is authorised to communicate with space station</w:t>
      </w:r>
      <w:r>
        <w:t>(</w:t>
      </w:r>
      <w:r w:rsidRPr="00F41BB6">
        <w:t>s</w:t>
      </w:r>
      <w:r>
        <w:t>)</w:t>
      </w:r>
      <w:r w:rsidRPr="00F41BB6">
        <w:t xml:space="preserve"> of the </w:t>
      </w:r>
      <w:r w:rsidRPr="00B905E8">
        <w:t>[</w:t>
      </w:r>
      <w:r>
        <w:rPr>
          <w:i/>
        </w:rPr>
        <w:t xml:space="preserve">ITU </w:t>
      </w:r>
      <w:r w:rsidRPr="00006756">
        <w:rPr>
          <w:i/>
        </w:rPr>
        <w:t>satellite network name</w:t>
      </w:r>
      <w:r w:rsidRPr="00B905E8">
        <w:t>]</w:t>
      </w:r>
      <w:r w:rsidRPr="00F41BB6">
        <w:t xml:space="preserve"> satellite network as published by the International Telecommunication Union (ITU) in Special Section </w:t>
      </w:r>
      <w:r w:rsidRPr="00B905E8">
        <w:t>[</w:t>
      </w:r>
      <w:r w:rsidRPr="00006756">
        <w:rPr>
          <w:i/>
        </w:rPr>
        <w:t>ITU reference</w:t>
      </w:r>
      <w:r>
        <w:rPr>
          <w:i/>
        </w:rPr>
        <w:t>—</w:t>
      </w:r>
      <w:r w:rsidRPr="00006756">
        <w:rPr>
          <w:i/>
        </w:rPr>
        <w:t>take the most recent document number]</w:t>
      </w:r>
      <w:r w:rsidRPr="00F41BB6">
        <w:t xml:space="preserve"> of International Frequency Information Circular </w:t>
      </w:r>
      <w:r w:rsidRPr="00B905E8">
        <w:t>[</w:t>
      </w:r>
      <w:r w:rsidRPr="00006756">
        <w:rPr>
          <w:i/>
        </w:rPr>
        <w:t>IFIC number</w:t>
      </w:r>
      <w:r w:rsidRPr="00B905E8">
        <w:t>]</w:t>
      </w:r>
      <w:r w:rsidRPr="00182A67">
        <w:t>.</w:t>
      </w:r>
    </w:p>
    <w:p w14:paraId="14D75C72" w14:textId="77777777" w:rsidR="00593215" w:rsidRDefault="00593215">
      <w:pPr>
        <w:pStyle w:val="ListParagraph"/>
        <w:spacing w:after="240"/>
        <w:ind w:left="360"/>
      </w:pPr>
    </w:p>
    <w:p w14:paraId="4462C587" w14:textId="77777777" w:rsidR="00CF00E3" w:rsidRPr="006F56AA" w:rsidRDefault="00CF00E3" w:rsidP="00CF00E3">
      <w:pPr>
        <w:rPr>
          <w:i/>
          <w:iCs/>
        </w:rPr>
      </w:pPr>
      <w:r w:rsidRPr="006F56AA">
        <w:rPr>
          <w:i/>
          <w:iCs/>
        </w:rPr>
        <w:t>For inclusion on the relevant AWL device registration:</w:t>
      </w:r>
    </w:p>
    <w:p w14:paraId="0614F981" w14:textId="30D8F826" w:rsidR="00CF00E3" w:rsidRDefault="00CF00E3" w:rsidP="00CF00E3">
      <w:pPr>
        <w:pStyle w:val="ListParagraph"/>
        <w:numPr>
          <w:ilvl w:val="0"/>
          <w:numId w:val="37"/>
        </w:numPr>
        <w:spacing w:after="240"/>
      </w:pPr>
      <w:r>
        <w:t xml:space="preserve">This device registration applies to communications </w:t>
      </w:r>
      <w:r w:rsidRPr="00F41BB6">
        <w:t>space station</w:t>
      </w:r>
      <w:r>
        <w:t>(</w:t>
      </w:r>
      <w:r w:rsidRPr="00F41BB6">
        <w:t>s</w:t>
      </w:r>
      <w:r>
        <w:t>)</w:t>
      </w:r>
      <w:r w:rsidRPr="00F41BB6">
        <w:t xml:space="preserve"> of the </w:t>
      </w:r>
      <w:r w:rsidRPr="00B905E8">
        <w:t>[</w:t>
      </w:r>
      <w:r>
        <w:rPr>
          <w:i/>
        </w:rPr>
        <w:t xml:space="preserve">ITU </w:t>
      </w:r>
      <w:r w:rsidRPr="00006756">
        <w:rPr>
          <w:i/>
        </w:rPr>
        <w:t>satellite network name</w:t>
      </w:r>
      <w:r w:rsidRPr="00B905E8">
        <w:t>]</w:t>
      </w:r>
      <w:r w:rsidRPr="00F41BB6">
        <w:t xml:space="preserve"> satellite network as published by the International Telecommunication Union (ITU) in Special Section </w:t>
      </w:r>
      <w:r w:rsidRPr="00B905E8">
        <w:t>[</w:t>
      </w:r>
      <w:r w:rsidRPr="00006756">
        <w:rPr>
          <w:i/>
        </w:rPr>
        <w:t>ITU reference</w:t>
      </w:r>
      <w:r>
        <w:rPr>
          <w:i/>
        </w:rPr>
        <w:t>—</w:t>
      </w:r>
      <w:r w:rsidRPr="00006756">
        <w:rPr>
          <w:i/>
        </w:rPr>
        <w:t xml:space="preserve">take the most </w:t>
      </w:r>
      <w:r w:rsidRPr="00006756">
        <w:rPr>
          <w:i/>
        </w:rPr>
        <w:lastRenderedPageBreak/>
        <w:t>recent document number]</w:t>
      </w:r>
      <w:r w:rsidRPr="00F41BB6">
        <w:t xml:space="preserve"> of International Frequency Information Circular </w:t>
      </w:r>
      <w:r w:rsidRPr="00B905E8">
        <w:t>[</w:t>
      </w:r>
      <w:r w:rsidRPr="00006756">
        <w:rPr>
          <w:i/>
        </w:rPr>
        <w:t>IFIC number</w:t>
      </w:r>
      <w:r w:rsidRPr="00B905E8">
        <w:t>]</w:t>
      </w:r>
      <w:r w:rsidRPr="00182A67">
        <w:t>.</w:t>
      </w:r>
    </w:p>
    <w:p w14:paraId="53A27531" w14:textId="77777777" w:rsidR="00CF00E3" w:rsidRDefault="00CF00E3" w:rsidP="00022AE9">
      <w:pPr>
        <w:pStyle w:val="ListParagraph"/>
        <w:spacing w:after="240"/>
        <w:ind w:left="360"/>
      </w:pPr>
    </w:p>
    <w:p w14:paraId="25F987B0" w14:textId="6B88D5DE" w:rsidR="00C670B7" w:rsidRPr="00F41BB6" w:rsidRDefault="00E4095A" w:rsidP="00022AE9">
      <w:pPr>
        <w:pStyle w:val="ListParagraph"/>
        <w:spacing w:after="240"/>
        <w:ind w:left="360"/>
      </w:pPr>
      <w:r w:rsidRPr="00E4095A">
        <w:t xml:space="preserve">[Note: Operation of this </w:t>
      </w:r>
      <w:r w:rsidR="0087244F">
        <w:t xml:space="preserve">earth station (AWL device registration)  </w:t>
      </w:r>
      <w:r w:rsidRPr="00E4095A">
        <w:t>is only authorised if the frequency assignments of the satellite network recorded by the ITU with which communications are authorised by this licence are not cancelled</w:t>
      </w:r>
      <w:r w:rsidR="00593215">
        <w:t xml:space="preserve"> or supressed</w:t>
      </w:r>
      <w:r w:rsidRPr="00E4095A">
        <w:t>.</w:t>
      </w:r>
      <w:r w:rsidR="00593215">
        <w:t>]</w:t>
      </w:r>
    </w:p>
    <w:p w14:paraId="70D72381" w14:textId="77777777" w:rsidR="00C670B7" w:rsidRPr="00F41BB6" w:rsidRDefault="00C670B7" w:rsidP="00642946">
      <w:pPr>
        <w:pStyle w:val="AppL3"/>
        <w:spacing w:before="0" w:after="240"/>
      </w:pPr>
      <w:bookmarkStart w:id="339" w:name="_Toc392151140"/>
      <w:bookmarkStart w:id="340" w:name="_Toc478115641"/>
      <w:bookmarkStart w:id="341" w:name="_Toc478115889"/>
      <w:bookmarkStart w:id="342" w:name="_Toc478563481"/>
      <w:bookmarkStart w:id="343" w:name="_Toc480354438"/>
      <w:bookmarkStart w:id="344" w:name="_Toc480354733"/>
      <w:bookmarkStart w:id="345" w:name="_Toc483206775"/>
      <w:bookmarkStart w:id="346" w:name="_Toc483207194"/>
      <w:bookmarkStart w:id="347" w:name="_Toc483208177"/>
      <w:bookmarkStart w:id="348" w:name="_Toc483208655"/>
      <w:bookmarkStart w:id="349" w:name="_Toc483209585"/>
      <w:bookmarkStart w:id="350" w:name="_Toc483212425"/>
      <w:bookmarkStart w:id="351" w:name="_Toc483214204"/>
      <w:bookmarkStart w:id="352" w:name="_Toc483225222"/>
      <w:bookmarkStart w:id="353" w:name="_Toc483225680"/>
      <w:bookmarkStart w:id="354" w:name="_Toc483317933"/>
      <w:bookmarkStart w:id="355" w:name="_Toc483391826"/>
      <w:bookmarkStart w:id="356" w:name="_Toc483494272"/>
      <w:bookmarkStart w:id="357" w:name="_Toc485220513"/>
      <w:bookmarkStart w:id="358" w:name="_Toc485299197"/>
      <w:bookmarkStart w:id="359" w:name="_Toc488388566"/>
      <w:bookmarkStart w:id="360" w:name="_Toc24979672"/>
      <w:bookmarkStart w:id="361" w:name="_Toc490747838"/>
      <w:bookmarkStart w:id="362" w:name="_Toc109221790"/>
      <w:r w:rsidRPr="00F41BB6">
        <w:t>A</w:t>
      </w:r>
      <w:r>
        <w:t>dvisory Notes</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087A1164" w14:textId="77777777" w:rsidR="00C670B7" w:rsidRPr="00601F6F" w:rsidRDefault="00C670B7" w:rsidP="00642946">
      <w:pPr>
        <w:keepNext/>
        <w:rPr>
          <w:b/>
        </w:rPr>
      </w:pPr>
      <w:r w:rsidRPr="00F41BB6">
        <w:rPr>
          <w:b/>
        </w:rPr>
        <w:t>P</w:t>
      </w:r>
      <w:r>
        <w:rPr>
          <w:b/>
        </w:rPr>
        <w:t>re-defined (EI)</w:t>
      </w:r>
    </w:p>
    <w:p w14:paraId="4DF9D0D1" w14:textId="77777777" w:rsidR="00C670B7" w:rsidRPr="00601F6F" w:rsidRDefault="00C670B7" w:rsidP="00642946">
      <w:pPr>
        <w:pStyle w:val="ListParagraph"/>
        <w:keepNext/>
        <w:numPr>
          <w:ilvl w:val="0"/>
          <w:numId w:val="25"/>
        </w:numPr>
        <w:spacing w:after="240"/>
      </w:pPr>
      <w:r w:rsidRPr="00F41BB6">
        <w:t xml:space="preserve">The Master International Frequency Register (MIFR) is maintained by the International Telecommunication Union (ITU) in accordance with the Radio Regulations. </w:t>
      </w:r>
    </w:p>
    <w:p w14:paraId="03CCB134" w14:textId="77777777" w:rsidR="00C670B7" w:rsidRPr="00601F6F" w:rsidRDefault="00C670B7" w:rsidP="00C670B7">
      <w:pPr>
        <w:rPr>
          <w:b/>
        </w:rPr>
      </w:pPr>
      <w:r w:rsidRPr="00F41BB6">
        <w:rPr>
          <w:b/>
        </w:rPr>
        <w:t>P</w:t>
      </w:r>
      <w:r>
        <w:rPr>
          <w:b/>
        </w:rPr>
        <w:t>re-defined (ED)</w:t>
      </w:r>
    </w:p>
    <w:p w14:paraId="3F6FE6CF" w14:textId="2903DCA2" w:rsidR="004C40BD" w:rsidRDefault="00C670B7" w:rsidP="004C40BD">
      <w:pPr>
        <w:pStyle w:val="ListParagraph"/>
        <w:numPr>
          <w:ilvl w:val="0"/>
          <w:numId w:val="25"/>
        </w:numPr>
        <w:spacing w:after="240"/>
      </w:pPr>
      <w:r w:rsidRPr="00F41BB6">
        <w:t>Coordination agreements reached as a result of an ITU international frequency coordination process are intended to minimise the potential for harmful interference to radiocommunications stations. A radiocommunications station operated prior to a frequency assignment being recorded in the MIFR cannot necessarily claim protection from harmful interference from radiocommunications stations of other countries.</w:t>
      </w:r>
    </w:p>
    <w:p w14:paraId="4E813207" w14:textId="21BBC27D" w:rsidR="004C40BD" w:rsidRDefault="004C40BD" w:rsidP="005252DC">
      <w:pPr>
        <w:pStyle w:val="AppL2"/>
      </w:pPr>
      <w:bookmarkStart w:id="363" w:name="_Toc109221791"/>
      <w:r>
        <w:t xml:space="preserve">Recorded in the MIFR with </w:t>
      </w:r>
      <w:r w:rsidR="007E75E0">
        <w:t xml:space="preserve">an </w:t>
      </w:r>
      <w:r>
        <w:t>unfavourable finding</w:t>
      </w:r>
      <w:bookmarkEnd w:id="363"/>
    </w:p>
    <w:p w14:paraId="3E8EAB1D" w14:textId="77777777" w:rsidR="00E5484B" w:rsidRDefault="00E5484B" w:rsidP="004C40BD"/>
    <w:p w14:paraId="6939E9AD" w14:textId="67A36216" w:rsidR="004C40BD" w:rsidRDefault="002469B2" w:rsidP="004C40BD">
      <w:r w:rsidRPr="00F45400">
        <w:t>The following special conditions and advisory notes are to be applied where the satellite system has been successfully coordinated and is recorded (notified) in the MIFR with</w:t>
      </w:r>
      <w:r w:rsidR="007E75E0">
        <w:t xml:space="preserve"> an</w:t>
      </w:r>
      <w:r w:rsidRPr="00F45400">
        <w:t xml:space="preserve"> </w:t>
      </w:r>
      <w:r>
        <w:t>un</w:t>
      </w:r>
      <w:r w:rsidRPr="00F45400">
        <w:t>favourable finding</w:t>
      </w:r>
      <w:r w:rsidR="000D4DE1">
        <w:t xml:space="preserve"> under provision No. 11.41 of the ITU Radio Regulations</w:t>
      </w:r>
      <w:r w:rsidR="00094206">
        <w:t>.</w:t>
      </w:r>
    </w:p>
    <w:p w14:paraId="2C22E66E" w14:textId="77777777" w:rsidR="00494CB0" w:rsidRPr="00F41BB6" w:rsidRDefault="00494CB0" w:rsidP="00494CB0">
      <w:pPr>
        <w:pStyle w:val="AppL3"/>
        <w:spacing w:after="240"/>
      </w:pPr>
      <w:bookmarkStart w:id="364" w:name="_Toc109221792"/>
      <w:r w:rsidRPr="00F41BB6">
        <w:t>S</w:t>
      </w:r>
      <w:r>
        <w:t>pecial Conditions</w:t>
      </w:r>
      <w:bookmarkEnd w:id="364"/>
    </w:p>
    <w:p w14:paraId="09C76C13" w14:textId="243B16EA" w:rsidR="002469B2" w:rsidRPr="006F56AA" w:rsidRDefault="002469B2" w:rsidP="002469B2">
      <w:pPr>
        <w:rPr>
          <w:b/>
          <w:bCs/>
        </w:rPr>
      </w:pPr>
      <w:r w:rsidRPr="006F56AA">
        <w:rPr>
          <w:b/>
          <w:bCs/>
        </w:rPr>
        <w:t>Pre-defined (EC)</w:t>
      </w:r>
    </w:p>
    <w:p w14:paraId="4289D7BD" w14:textId="77777777" w:rsidR="002469B2" w:rsidRDefault="002469B2" w:rsidP="002469B2">
      <w:r>
        <w:t>1.</w:t>
      </w:r>
      <w:r>
        <w:tab/>
        <w:t>Operation of this earth station must be in accordance with frequency assignments recorded in the Master International Frequency Register (MIFR) of the International Telecommunication Union.</w:t>
      </w:r>
    </w:p>
    <w:p w14:paraId="00B449A0" w14:textId="77777777" w:rsidR="002469B2" w:rsidRDefault="002469B2" w:rsidP="002469B2">
      <w:r>
        <w:t>[Note: Operation in accordance with frequency assignments recorded in the MFIR includes the operation in accordance with any Administration agreements reached as  a result of an ITU frequency coordination process]</w:t>
      </w:r>
    </w:p>
    <w:p w14:paraId="1F792710" w14:textId="77777777" w:rsidR="002469B2" w:rsidRPr="006F56AA" w:rsidRDefault="002469B2" w:rsidP="002469B2">
      <w:pPr>
        <w:rPr>
          <w:b/>
          <w:bCs/>
        </w:rPr>
      </w:pPr>
      <w:r w:rsidRPr="006F56AA">
        <w:rPr>
          <w:b/>
          <w:bCs/>
        </w:rPr>
        <w:t>Pre-defined (EQ)</w:t>
      </w:r>
    </w:p>
    <w:p w14:paraId="05DC638A" w14:textId="77777777" w:rsidR="002469B2" w:rsidRDefault="002469B2" w:rsidP="002469B2">
      <w:r>
        <w:t>2.</w:t>
      </w:r>
      <w:r>
        <w:tab/>
        <w:t>The licensee shall advise the ACMA of changes to the point of contact provided for the purpose of tracing any suspected cases of interference.</w:t>
      </w:r>
    </w:p>
    <w:p w14:paraId="72E35220" w14:textId="77777777" w:rsidR="002469B2" w:rsidRPr="006F56AA" w:rsidRDefault="002469B2" w:rsidP="002469B2">
      <w:pPr>
        <w:rPr>
          <w:b/>
          <w:bCs/>
        </w:rPr>
      </w:pPr>
      <w:r w:rsidRPr="006F56AA">
        <w:rPr>
          <w:b/>
          <w:bCs/>
        </w:rPr>
        <w:t>Pre-defined (EM)</w:t>
      </w:r>
    </w:p>
    <w:p w14:paraId="15D28589" w14:textId="77777777" w:rsidR="002469B2" w:rsidRDefault="002469B2" w:rsidP="002469B2">
      <w:r>
        <w:t>3.</w:t>
      </w:r>
      <w:r>
        <w:tab/>
        <w:t>Upon receipt of a report of harmful interference under International Telecommunication Union Radio Regulation No. 11.42 all necessary steps shall be taken to immediately eliminate the harmful interference or cease operation.</w:t>
      </w:r>
    </w:p>
    <w:p w14:paraId="2D242D0B" w14:textId="77777777" w:rsidR="002469B2" w:rsidRPr="00B32C03" w:rsidRDefault="002469B2" w:rsidP="002469B2">
      <w:pPr>
        <w:rPr>
          <w:b/>
          <w:bCs/>
        </w:rPr>
      </w:pPr>
      <w:r w:rsidRPr="00B32C03">
        <w:rPr>
          <w:b/>
          <w:bCs/>
        </w:rPr>
        <w:lastRenderedPageBreak/>
        <w:t>User-defined</w:t>
      </w:r>
    </w:p>
    <w:p w14:paraId="5FE0D995" w14:textId="77777777" w:rsidR="002469B2" w:rsidRPr="006F56AA" w:rsidRDefault="002469B2" w:rsidP="002469B2">
      <w:pPr>
        <w:rPr>
          <w:i/>
          <w:iCs/>
        </w:rPr>
      </w:pPr>
      <w:r w:rsidRPr="006F56AA">
        <w:rPr>
          <w:i/>
          <w:iCs/>
        </w:rPr>
        <w:t>For inclusion on fixed earth and earth receive apparatus licences:</w:t>
      </w:r>
    </w:p>
    <w:p w14:paraId="61DEEDCD" w14:textId="69378E1C" w:rsidR="002469B2" w:rsidRDefault="002469B2" w:rsidP="002469B2">
      <w:r>
        <w:t>4.</w:t>
      </w:r>
      <w:r>
        <w:tab/>
        <w:t xml:space="preserve">This licence authorises communications with [ITU satellite network name]. </w:t>
      </w:r>
    </w:p>
    <w:p w14:paraId="362BD91A" w14:textId="77777777" w:rsidR="002469B2" w:rsidRPr="006F56AA" w:rsidRDefault="002469B2" w:rsidP="002469B2">
      <w:pPr>
        <w:rPr>
          <w:i/>
          <w:iCs/>
        </w:rPr>
      </w:pPr>
      <w:r w:rsidRPr="006F56AA">
        <w:rPr>
          <w:i/>
          <w:iCs/>
        </w:rPr>
        <w:t>For inclusion on the relevant AWL device registration:</w:t>
      </w:r>
    </w:p>
    <w:p w14:paraId="3722957B" w14:textId="45B4691E" w:rsidR="002469B2" w:rsidRDefault="002469B2" w:rsidP="002469B2">
      <w:r>
        <w:t>5.</w:t>
      </w:r>
      <w:r>
        <w:tab/>
        <w:t>This device registration applies to communications with [ITU satellite network name].</w:t>
      </w:r>
    </w:p>
    <w:p w14:paraId="558BD0CC" w14:textId="63E60F63" w:rsidR="00B32C03" w:rsidRDefault="00B32C03" w:rsidP="00B32C03">
      <w:r>
        <w:t xml:space="preserve">[Note: Operation of </w:t>
      </w:r>
      <w:r w:rsidR="00EA540C">
        <w:t xml:space="preserve">this </w:t>
      </w:r>
      <w:r>
        <w:t>earth station</w:t>
      </w:r>
      <w:r w:rsidR="00EA540C">
        <w:t xml:space="preserve"> (AWL device registration) </w:t>
      </w:r>
      <w:r>
        <w:t xml:space="preserve"> is only authorised if the frequency assignments of the satellite network recorded by the ITU with which communications are authorised by this licence are not cancelled or supressed.]</w:t>
      </w:r>
    </w:p>
    <w:p w14:paraId="53257B23" w14:textId="77777777" w:rsidR="00D66666" w:rsidRPr="0042066D" w:rsidRDefault="00D66666" w:rsidP="00D66666">
      <w:pPr>
        <w:pStyle w:val="ListParagraph"/>
        <w:spacing w:after="240" w:line="240" w:lineRule="auto"/>
        <w:ind w:left="360"/>
      </w:pPr>
    </w:p>
    <w:p w14:paraId="5FF1D75D" w14:textId="77777777" w:rsidR="00D66666" w:rsidRPr="00F41BB6" w:rsidRDefault="00D66666" w:rsidP="00D66666">
      <w:pPr>
        <w:pStyle w:val="AppL3"/>
        <w:spacing w:before="0" w:after="240"/>
      </w:pPr>
      <w:bookmarkStart w:id="365" w:name="_Toc109221793"/>
      <w:r w:rsidRPr="00F41BB6">
        <w:t>A</w:t>
      </w:r>
      <w:r>
        <w:t>dvisory Notes</w:t>
      </w:r>
      <w:bookmarkEnd w:id="365"/>
    </w:p>
    <w:p w14:paraId="5BDFE8F8" w14:textId="77777777" w:rsidR="00D66666" w:rsidRPr="00601F6F" w:rsidRDefault="00D66666" w:rsidP="00D66666">
      <w:pPr>
        <w:rPr>
          <w:b/>
        </w:rPr>
      </w:pPr>
      <w:r w:rsidRPr="00006756">
        <w:rPr>
          <w:b/>
        </w:rPr>
        <w:t>Pre-defined (EI)</w:t>
      </w:r>
    </w:p>
    <w:p w14:paraId="37F9584C" w14:textId="77777777" w:rsidR="00D66666" w:rsidRPr="00F41BB6" w:rsidRDefault="00D66666" w:rsidP="005252DC">
      <w:pPr>
        <w:pStyle w:val="ListParagraph"/>
        <w:numPr>
          <w:ilvl w:val="0"/>
          <w:numId w:val="39"/>
        </w:numPr>
        <w:spacing w:after="240"/>
      </w:pPr>
      <w:r w:rsidRPr="00F41BB6">
        <w:t xml:space="preserve">The Master International Frequency Register (MIFR) is maintained by the International Telecommunication Union (ITU) in accordance with the Radio Regulations. </w:t>
      </w:r>
    </w:p>
    <w:p w14:paraId="3531823C" w14:textId="77777777" w:rsidR="00D66666" w:rsidRPr="00F41BB6" w:rsidRDefault="00D66666" w:rsidP="005252DC"/>
    <w:p w14:paraId="26A75B2F" w14:textId="77777777" w:rsidR="00C670B7" w:rsidRPr="00601F6F" w:rsidRDefault="00C670B7" w:rsidP="00C670B7">
      <w:pPr>
        <w:pStyle w:val="AppL1"/>
        <w:pageBreakBefore/>
        <w:spacing w:after="360"/>
        <w:rPr>
          <w:b/>
        </w:rPr>
      </w:pPr>
      <w:bookmarkStart w:id="366" w:name="_Ref485202213"/>
      <w:bookmarkStart w:id="367" w:name="_Toc488388567"/>
      <w:bookmarkStart w:id="368" w:name="_Toc24979673"/>
      <w:bookmarkStart w:id="369" w:name="_Toc490747839"/>
      <w:bookmarkStart w:id="370" w:name="_Toc109221794"/>
      <w:bookmarkStart w:id="371" w:name="_Toc490122672"/>
      <w:bookmarkStart w:id="372" w:name="_Toc480354448"/>
      <w:bookmarkStart w:id="373" w:name="_Toc480354743"/>
      <w:bookmarkStart w:id="374" w:name="_Toc483400693"/>
      <w:bookmarkStart w:id="375" w:name="_Toc483406757"/>
      <w:bookmarkStart w:id="376" w:name="_Toc486318173"/>
      <w:bookmarkStart w:id="377" w:name="_Toc486318906"/>
      <w:bookmarkStart w:id="378" w:name="_Toc486319156"/>
      <w:bookmarkEnd w:id="313"/>
      <w:bookmarkEnd w:id="314"/>
      <w:r w:rsidRPr="00601F6F">
        <w:rPr>
          <w:b/>
        </w:rPr>
        <w:lastRenderedPageBreak/>
        <w:t>Special conditions and advisory notes for launch and TOSS/IOT use</w:t>
      </w:r>
      <w:bookmarkEnd w:id="366"/>
      <w:bookmarkEnd w:id="367"/>
      <w:bookmarkEnd w:id="368"/>
      <w:bookmarkEnd w:id="369"/>
      <w:bookmarkEnd w:id="370"/>
    </w:p>
    <w:p w14:paraId="7D61D9D6" w14:textId="7DFCFECA" w:rsidR="00C670B7" w:rsidRPr="00F45400" w:rsidRDefault="00C670B7" w:rsidP="00C670B7">
      <w:pPr>
        <w:spacing w:line="240" w:lineRule="auto"/>
        <w:rPr>
          <w:rFonts w:cs="Arial"/>
        </w:rPr>
      </w:pPr>
      <w:r>
        <w:t xml:space="preserve">This appendix applies to </w:t>
      </w:r>
      <w:r>
        <w:rPr>
          <w:rFonts w:cs="Arial"/>
        </w:rPr>
        <w:t>l</w:t>
      </w:r>
      <w:r w:rsidRPr="00F45400">
        <w:rPr>
          <w:rFonts w:cs="Arial"/>
        </w:rPr>
        <w:t>aunch, and transfer orbit support services (TOSS) and/or in-orbit testing (IOT)</w:t>
      </w:r>
      <w:r>
        <w:rPr>
          <w:rFonts w:cs="Arial"/>
        </w:rPr>
        <w:t>.</w:t>
      </w:r>
      <w:r w:rsidR="00AE59F2">
        <w:rPr>
          <w:rFonts w:cs="Arial"/>
        </w:rPr>
        <w:t xml:space="preserve"> </w:t>
      </w:r>
      <w:r w:rsidR="004D269C">
        <w:t xml:space="preserve">The listed </w:t>
      </w:r>
      <w:r w:rsidR="00AE59F2">
        <w:t xml:space="preserve">special conditions and advisory notes are </w:t>
      </w:r>
      <w:r w:rsidR="004D269C">
        <w:t>relevant to all licence types, unless otherwise stated.</w:t>
      </w:r>
    </w:p>
    <w:p w14:paraId="2DEED6B0" w14:textId="77777777" w:rsidR="00C670B7" w:rsidRPr="00396A6F" w:rsidRDefault="00C670B7" w:rsidP="00C670B7">
      <w:pPr>
        <w:pStyle w:val="AppL2"/>
        <w:spacing w:before="0" w:after="240"/>
      </w:pPr>
      <w:bookmarkStart w:id="379" w:name="_Toc488388568"/>
      <w:bookmarkStart w:id="380" w:name="_Toc24979674"/>
      <w:bookmarkStart w:id="381" w:name="_Toc490747840"/>
      <w:bookmarkStart w:id="382" w:name="_Toc109221795"/>
      <w:r w:rsidRPr="003236F8">
        <w:t>A specific space mission</w:t>
      </w:r>
      <w:bookmarkEnd w:id="379"/>
      <w:bookmarkEnd w:id="380"/>
      <w:bookmarkEnd w:id="381"/>
      <w:bookmarkEnd w:id="382"/>
    </w:p>
    <w:p w14:paraId="3EAEDFCD" w14:textId="77777777" w:rsidR="00C670B7" w:rsidRPr="00601F6F" w:rsidRDefault="00C670B7" w:rsidP="00C670B7">
      <w:r w:rsidRPr="00F45400">
        <w:t xml:space="preserve">The following special conditions and advisory notes are to be applied where the temporary fixed earth station provides launch and transfer orbit services and/or in-orbit testing for a specific </w:t>
      </w:r>
      <w:r>
        <w:t>space mission:</w:t>
      </w:r>
    </w:p>
    <w:p w14:paraId="55CC8859" w14:textId="77777777" w:rsidR="00C670B7" w:rsidRPr="00601F6F" w:rsidRDefault="00C670B7" w:rsidP="00C670B7">
      <w:pPr>
        <w:pStyle w:val="AppL3"/>
        <w:spacing w:before="0" w:after="240"/>
      </w:pPr>
      <w:bookmarkStart w:id="383" w:name="_Toc483317936"/>
      <w:bookmarkStart w:id="384" w:name="_Toc483391829"/>
      <w:bookmarkStart w:id="385" w:name="_Toc483494275"/>
      <w:bookmarkStart w:id="386" w:name="_Toc485220516"/>
      <w:bookmarkStart w:id="387" w:name="_Toc485299200"/>
      <w:bookmarkStart w:id="388" w:name="_Toc488388569"/>
      <w:bookmarkStart w:id="389" w:name="_Toc392151142"/>
      <w:bookmarkStart w:id="390" w:name="_Toc478115643"/>
      <w:bookmarkStart w:id="391" w:name="_Toc478115891"/>
      <w:bookmarkStart w:id="392" w:name="_Toc478563483"/>
      <w:bookmarkStart w:id="393" w:name="_Toc480354440"/>
      <w:bookmarkStart w:id="394" w:name="_Toc480354735"/>
      <w:bookmarkStart w:id="395" w:name="_Toc24979675"/>
      <w:bookmarkStart w:id="396" w:name="_Toc490747841"/>
      <w:bookmarkStart w:id="397" w:name="_Toc109221796"/>
      <w:r w:rsidRPr="00396A6F">
        <w:t>S</w:t>
      </w:r>
      <w:r>
        <w:t>pecial</w:t>
      </w:r>
      <w:r w:rsidRPr="00396A6F">
        <w:t xml:space="preserve"> </w:t>
      </w:r>
      <w:bookmarkEnd w:id="383"/>
      <w:bookmarkEnd w:id="384"/>
      <w:bookmarkEnd w:id="385"/>
      <w:bookmarkEnd w:id="386"/>
      <w:bookmarkEnd w:id="387"/>
      <w:bookmarkEnd w:id="388"/>
      <w:r w:rsidRPr="00396A6F">
        <w:t>C</w:t>
      </w:r>
      <w:r>
        <w:t>onditions</w:t>
      </w:r>
      <w:bookmarkEnd w:id="389"/>
      <w:bookmarkEnd w:id="390"/>
      <w:bookmarkEnd w:id="391"/>
      <w:bookmarkEnd w:id="392"/>
      <w:bookmarkEnd w:id="393"/>
      <w:bookmarkEnd w:id="394"/>
      <w:bookmarkEnd w:id="395"/>
      <w:bookmarkEnd w:id="396"/>
      <w:bookmarkEnd w:id="397"/>
    </w:p>
    <w:p w14:paraId="7102BCDA" w14:textId="5D29427B" w:rsidR="00AE59F2" w:rsidRPr="007C32E9" w:rsidRDefault="00C670B7" w:rsidP="00AE59F2">
      <w:pPr>
        <w:rPr>
          <w:bCs/>
          <w:iCs/>
        </w:rPr>
      </w:pPr>
      <w:r w:rsidRPr="0027118E">
        <w:rPr>
          <w:b/>
        </w:rPr>
        <w:t>P</w:t>
      </w:r>
      <w:r>
        <w:rPr>
          <w:b/>
        </w:rPr>
        <w:t>re-defined (E8)</w:t>
      </w:r>
      <w:r w:rsidR="004D269C">
        <w:rPr>
          <w:b/>
        </w:rPr>
        <w:t xml:space="preserve"> (f</w:t>
      </w:r>
      <w:r w:rsidR="00AE59F2">
        <w:rPr>
          <w:bCs/>
        </w:rPr>
        <w:t xml:space="preserve">or inclusion on </w:t>
      </w:r>
      <w:r w:rsidR="00AE59F2" w:rsidRPr="00E85790">
        <w:rPr>
          <w:i/>
        </w:rPr>
        <w:t>fixed earth</w:t>
      </w:r>
      <w:r w:rsidR="00AE59F2">
        <w:t xml:space="preserve"> and </w:t>
      </w:r>
      <w:r w:rsidR="00AE59F2" w:rsidRPr="00E85790">
        <w:rPr>
          <w:i/>
        </w:rPr>
        <w:t>earth receive</w:t>
      </w:r>
      <w:r w:rsidR="00AE59F2">
        <w:rPr>
          <w:i/>
        </w:rPr>
        <w:t xml:space="preserve"> </w:t>
      </w:r>
      <w:r w:rsidR="00AE59F2">
        <w:rPr>
          <w:iCs/>
        </w:rPr>
        <w:t>apparatus licences</w:t>
      </w:r>
      <w:r w:rsidR="004D269C">
        <w:rPr>
          <w:iCs/>
        </w:rPr>
        <w:t xml:space="preserve"> only)</w:t>
      </w:r>
    </w:p>
    <w:p w14:paraId="2ECC499A" w14:textId="35ED9E11" w:rsidR="00C670B7" w:rsidRDefault="00C670B7" w:rsidP="00C670B7">
      <w:pPr>
        <w:pStyle w:val="ListParagraph"/>
        <w:numPr>
          <w:ilvl w:val="0"/>
          <w:numId w:val="26"/>
        </w:numPr>
        <w:spacing w:after="240"/>
      </w:pPr>
      <w:r w:rsidRPr="00006756">
        <w:t>This licence authorises radiocommunications with space stations for the purpose of performing transfer orbit support services and/or in-orbit testing.</w:t>
      </w:r>
    </w:p>
    <w:p w14:paraId="5DA7C227" w14:textId="545E1C1E" w:rsidR="00AE59F2" w:rsidRPr="00F3683B" w:rsidRDefault="004D269C" w:rsidP="00AE59F2">
      <w:pPr>
        <w:rPr>
          <w:iCs/>
        </w:rPr>
      </w:pPr>
      <w:r w:rsidRPr="0027118E">
        <w:rPr>
          <w:b/>
        </w:rPr>
        <w:t>P</w:t>
      </w:r>
      <w:r>
        <w:rPr>
          <w:b/>
        </w:rPr>
        <w:t>re-defined (</w:t>
      </w:r>
      <w:r w:rsidR="001416BA">
        <w:rPr>
          <w:b/>
        </w:rPr>
        <w:t>ER</w:t>
      </w:r>
      <w:r>
        <w:rPr>
          <w:b/>
        </w:rPr>
        <w:t xml:space="preserve">) </w:t>
      </w:r>
      <w:r w:rsidRPr="001416BA">
        <w:rPr>
          <w:bCs/>
        </w:rPr>
        <w:t>(f</w:t>
      </w:r>
      <w:r w:rsidR="00AE59F2" w:rsidRPr="001416BA">
        <w:rPr>
          <w:bCs/>
        </w:rPr>
        <w:t>or</w:t>
      </w:r>
      <w:r w:rsidR="00AE59F2" w:rsidRPr="00F3683B">
        <w:rPr>
          <w:bCs/>
        </w:rPr>
        <w:t xml:space="preserve"> inclusion on the relevant </w:t>
      </w:r>
      <w:r w:rsidR="00AE59F2" w:rsidRPr="00F3683B">
        <w:rPr>
          <w:i/>
        </w:rPr>
        <w:t xml:space="preserve">AWL </w:t>
      </w:r>
      <w:r w:rsidR="00AE59F2" w:rsidRPr="00F3683B">
        <w:rPr>
          <w:iCs/>
        </w:rPr>
        <w:t>device registration</w:t>
      </w:r>
      <w:r>
        <w:rPr>
          <w:iCs/>
        </w:rPr>
        <w:t xml:space="preserve"> only)</w:t>
      </w:r>
    </w:p>
    <w:p w14:paraId="07D03CF2" w14:textId="77777777" w:rsidR="00AE59F2" w:rsidRDefault="00AE59F2" w:rsidP="00AE59F2">
      <w:pPr>
        <w:pStyle w:val="ListParagraph"/>
        <w:numPr>
          <w:ilvl w:val="0"/>
          <w:numId w:val="26"/>
        </w:numPr>
        <w:spacing w:after="240"/>
      </w:pPr>
      <w:r w:rsidRPr="00006756">
        <w:t xml:space="preserve">This </w:t>
      </w:r>
      <w:r>
        <w:t>earth station is</w:t>
      </w:r>
      <w:r w:rsidRPr="00006756">
        <w:t xml:space="preserve"> authorise</w:t>
      </w:r>
      <w:r>
        <w:t xml:space="preserve">d to communicate </w:t>
      </w:r>
      <w:r w:rsidRPr="00006756">
        <w:t>with space stations for the purpose of performing transfer orbit support services and/or in-orbit testing.</w:t>
      </w:r>
    </w:p>
    <w:p w14:paraId="6E307315" w14:textId="77777777" w:rsidR="00C670B7" w:rsidRPr="00601F6F" w:rsidRDefault="00C670B7" w:rsidP="00C670B7">
      <w:pPr>
        <w:rPr>
          <w:b/>
        </w:rPr>
      </w:pPr>
      <w:r w:rsidRPr="00006756">
        <w:rPr>
          <w:b/>
        </w:rPr>
        <w:t>Pre-defined (EA)</w:t>
      </w:r>
    </w:p>
    <w:p w14:paraId="53BBDA2C" w14:textId="77777777" w:rsidR="00C670B7" w:rsidRDefault="00C670B7" w:rsidP="00C670B7">
      <w:pPr>
        <w:pStyle w:val="ListParagraph"/>
        <w:numPr>
          <w:ilvl w:val="0"/>
          <w:numId w:val="26"/>
        </w:numPr>
        <w:spacing w:after="240"/>
      </w:pPr>
      <w:r w:rsidRPr="00006756">
        <w:t>No harmful interference shall be caused to radiocommunications stations operating in accordance with the provisions of the Constitution, the Convention and the Radio Regulations of the International Telecommunication Union.</w:t>
      </w:r>
    </w:p>
    <w:p w14:paraId="588BEF0F" w14:textId="77777777" w:rsidR="001069EA" w:rsidRPr="00126E2C" w:rsidRDefault="001069EA" w:rsidP="001069EA">
      <w:pPr>
        <w:autoSpaceDE w:val="0"/>
        <w:autoSpaceDN w:val="0"/>
        <w:adjustRightInd w:val="0"/>
        <w:spacing w:line="240" w:lineRule="auto"/>
        <w:rPr>
          <w:rFonts w:cs="Arial"/>
          <w:b/>
          <w:szCs w:val="20"/>
        </w:rPr>
      </w:pPr>
      <w:r>
        <w:rPr>
          <w:rFonts w:cs="Arial"/>
          <w:b/>
          <w:szCs w:val="20"/>
        </w:rPr>
        <w:t>Pre</w:t>
      </w:r>
      <w:r w:rsidRPr="00126E2C">
        <w:rPr>
          <w:rFonts w:cs="Arial"/>
          <w:b/>
          <w:szCs w:val="20"/>
        </w:rPr>
        <w:t>-defined</w:t>
      </w:r>
      <w:r>
        <w:rPr>
          <w:rFonts w:cs="Arial"/>
          <w:b/>
          <w:szCs w:val="20"/>
        </w:rPr>
        <w:t xml:space="preserve"> (EQ)</w:t>
      </w:r>
    </w:p>
    <w:p w14:paraId="0B5F0338" w14:textId="4E8B792F" w:rsidR="001069EA" w:rsidRPr="00962EF4" w:rsidRDefault="001069EA" w:rsidP="001069EA">
      <w:pPr>
        <w:pStyle w:val="ListParagraph"/>
        <w:numPr>
          <w:ilvl w:val="0"/>
          <w:numId w:val="26"/>
        </w:numPr>
        <w:spacing w:after="240" w:line="240" w:lineRule="auto"/>
      </w:pPr>
      <w:r>
        <w:t>The licensee shall advise the ACMA of changes to the point of contact provided for the purpose of tracing any suspected cases of interference</w:t>
      </w:r>
      <w:r w:rsidRPr="00A170A4">
        <w:rPr>
          <w:rFonts w:cs="Arial"/>
          <w:szCs w:val="20"/>
        </w:rPr>
        <w:t>.</w:t>
      </w:r>
    </w:p>
    <w:p w14:paraId="63FCDBA9" w14:textId="77777777" w:rsidR="0066746D" w:rsidRDefault="0066746D" w:rsidP="0066746D">
      <w:pPr>
        <w:rPr>
          <w:b/>
        </w:rPr>
      </w:pPr>
      <w:r w:rsidRPr="00006756">
        <w:rPr>
          <w:b/>
        </w:rPr>
        <w:t>U</w:t>
      </w:r>
      <w:r>
        <w:rPr>
          <w:b/>
        </w:rPr>
        <w:t>ser-defined</w:t>
      </w:r>
    </w:p>
    <w:p w14:paraId="7683D209" w14:textId="77777777" w:rsidR="0066746D" w:rsidRDefault="0066746D" w:rsidP="0066746D">
      <w:pPr>
        <w:rPr>
          <w:iCs/>
        </w:rPr>
      </w:pPr>
      <w:r>
        <w:rPr>
          <w:bCs/>
        </w:rPr>
        <w:t xml:space="preserve">For inclusion on </w:t>
      </w:r>
      <w:r w:rsidRPr="00E85790">
        <w:rPr>
          <w:i/>
        </w:rPr>
        <w:t>fixed earth</w:t>
      </w:r>
      <w:r>
        <w:t xml:space="preserve"> and </w:t>
      </w:r>
      <w:r w:rsidRPr="00E85790">
        <w:rPr>
          <w:i/>
        </w:rPr>
        <w:t>earth receive</w:t>
      </w:r>
      <w:r>
        <w:rPr>
          <w:i/>
        </w:rPr>
        <w:t xml:space="preserve"> </w:t>
      </w:r>
      <w:r>
        <w:rPr>
          <w:iCs/>
        </w:rPr>
        <w:t>apparatus licences:</w:t>
      </w:r>
    </w:p>
    <w:p w14:paraId="3A1D95D6" w14:textId="0810992D" w:rsidR="0066746D" w:rsidRPr="007C32E9" w:rsidRDefault="0066746D" w:rsidP="0066746D">
      <w:pPr>
        <w:rPr>
          <w:bCs/>
          <w:iCs/>
        </w:rPr>
      </w:pPr>
      <w:r w:rsidRPr="00482DE4">
        <w:rPr>
          <w:bCs/>
          <w:iCs/>
        </w:rPr>
        <w:t>[Note: Operation of this space station and associated earth stations is only authorised if the frequency assignments of the satellite network recorded by the ITU with which communications are authorised by this licence are not cancelled</w:t>
      </w:r>
      <w:r>
        <w:rPr>
          <w:bCs/>
          <w:iCs/>
        </w:rPr>
        <w:t xml:space="preserve"> or supr</w:t>
      </w:r>
      <w:r w:rsidR="006E6AE8">
        <w:rPr>
          <w:bCs/>
          <w:iCs/>
        </w:rPr>
        <w:t>e</w:t>
      </w:r>
      <w:r>
        <w:rPr>
          <w:bCs/>
          <w:iCs/>
        </w:rPr>
        <w:t>ssed]</w:t>
      </w:r>
      <w:r w:rsidRPr="00482DE4">
        <w:rPr>
          <w:bCs/>
          <w:iCs/>
        </w:rPr>
        <w:t>.</w:t>
      </w:r>
    </w:p>
    <w:p w14:paraId="1C0A023E" w14:textId="77777777" w:rsidR="0066746D" w:rsidRPr="00851535" w:rsidRDefault="0066746D" w:rsidP="00335640">
      <w:pPr>
        <w:pStyle w:val="ListParagraph"/>
        <w:numPr>
          <w:ilvl w:val="0"/>
          <w:numId w:val="26"/>
        </w:numPr>
        <w:spacing w:after="240"/>
      </w:pPr>
      <w:r w:rsidRPr="00006756">
        <w:t xml:space="preserve">This licence authorises communications with </w:t>
      </w:r>
      <w:r w:rsidRPr="00B905E8">
        <w:rPr>
          <w:szCs w:val="20"/>
        </w:rPr>
        <w:t>[</w:t>
      </w:r>
      <w:r w:rsidRPr="00996FEB">
        <w:rPr>
          <w:szCs w:val="20"/>
        </w:rPr>
        <w:t>ITU satellite network name</w:t>
      </w:r>
      <w:r w:rsidRPr="00B905E8">
        <w:rPr>
          <w:szCs w:val="20"/>
        </w:rPr>
        <w:t>]</w:t>
      </w:r>
      <w:r w:rsidRPr="00902239">
        <w:rPr>
          <w:i/>
          <w:szCs w:val="20"/>
        </w:rPr>
        <w:t>.</w:t>
      </w:r>
    </w:p>
    <w:p w14:paraId="4704D3A6" w14:textId="77777777" w:rsidR="0066746D" w:rsidRPr="004C32DE" w:rsidRDefault="0066746D" w:rsidP="0066746D">
      <w:pPr>
        <w:keepNext/>
        <w:keepLines/>
        <w:rPr>
          <w:iCs/>
        </w:rPr>
      </w:pPr>
      <w:r w:rsidRPr="008E6580">
        <w:rPr>
          <w:bCs/>
        </w:rPr>
        <w:t xml:space="preserve">For inclusion on </w:t>
      </w:r>
      <w:r>
        <w:rPr>
          <w:bCs/>
        </w:rPr>
        <w:t xml:space="preserve">the relevant </w:t>
      </w:r>
      <w:r w:rsidRPr="008E6580">
        <w:rPr>
          <w:i/>
        </w:rPr>
        <w:t>AWL</w:t>
      </w:r>
      <w:r>
        <w:rPr>
          <w:i/>
        </w:rPr>
        <w:t xml:space="preserve"> </w:t>
      </w:r>
      <w:r>
        <w:rPr>
          <w:iCs/>
        </w:rPr>
        <w:t>device registration:</w:t>
      </w:r>
    </w:p>
    <w:p w14:paraId="1F3859F4" w14:textId="77777777" w:rsidR="0066746D" w:rsidRPr="007C32E9" w:rsidRDefault="0066746D" w:rsidP="00335640">
      <w:pPr>
        <w:pStyle w:val="ListParagraph"/>
        <w:keepNext/>
        <w:keepLines/>
        <w:numPr>
          <w:ilvl w:val="0"/>
          <w:numId w:val="26"/>
        </w:numPr>
        <w:spacing w:after="240"/>
        <w:rPr>
          <w:u w:val="single"/>
        </w:rPr>
      </w:pPr>
      <w:r w:rsidRPr="00F41BB6">
        <w:t xml:space="preserve">This </w:t>
      </w:r>
      <w:r>
        <w:t>device registration applies to</w:t>
      </w:r>
      <w:r w:rsidRPr="00F41BB6">
        <w:t xml:space="preserve"> communications with </w:t>
      </w:r>
      <w:r w:rsidRPr="00B905E8">
        <w:rPr>
          <w:szCs w:val="20"/>
        </w:rPr>
        <w:t>[</w:t>
      </w:r>
      <w:r w:rsidRPr="00996FEB">
        <w:rPr>
          <w:szCs w:val="20"/>
        </w:rPr>
        <w:t>ITU satellite network name</w:t>
      </w:r>
      <w:r w:rsidRPr="00B905E8">
        <w:rPr>
          <w:szCs w:val="20"/>
        </w:rPr>
        <w:t>]</w:t>
      </w:r>
      <w:r w:rsidRPr="00902239">
        <w:rPr>
          <w:i/>
          <w:szCs w:val="20"/>
        </w:rPr>
        <w:t>.</w:t>
      </w:r>
    </w:p>
    <w:p w14:paraId="7E764DFA" w14:textId="77777777" w:rsidR="0066746D" w:rsidRPr="0042066D" w:rsidRDefault="0066746D" w:rsidP="0066746D">
      <w:pPr>
        <w:spacing w:line="240" w:lineRule="auto"/>
      </w:pPr>
    </w:p>
    <w:p w14:paraId="20C1150E" w14:textId="2D8DE3D9" w:rsidR="00C670B7" w:rsidRPr="00006756" w:rsidRDefault="00C670B7" w:rsidP="00C670B7">
      <w:pPr>
        <w:pStyle w:val="AppL3"/>
        <w:spacing w:before="0" w:after="240"/>
      </w:pPr>
      <w:bookmarkStart w:id="398" w:name="_Toc392151143"/>
      <w:bookmarkStart w:id="399" w:name="_Toc478115644"/>
      <w:bookmarkStart w:id="400" w:name="_Toc478115892"/>
      <w:bookmarkStart w:id="401" w:name="_Toc478563484"/>
      <w:bookmarkStart w:id="402" w:name="_Toc480354441"/>
      <w:bookmarkStart w:id="403" w:name="_Toc480354736"/>
      <w:bookmarkStart w:id="404" w:name="_Toc483317937"/>
      <w:bookmarkStart w:id="405" w:name="_Toc483391830"/>
      <w:bookmarkStart w:id="406" w:name="_Toc483494276"/>
      <w:bookmarkStart w:id="407" w:name="_Toc485220517"/>
      <w:bookmarkStart w:id="408" w:name="_Toc485299201"/>
      <w:bookmarkStart w:id="409" w:name="_Toc488388570"/>
      <w:bookmarkStart w:id="410" w:name="_Toc24979676"/>
      <w:bookmarkStart w:id="411" w:name="_Toc490747842"/>
      <w:bookmarkStart w:id="412" w:name="_Toc109221797"/>
      <w:r w:rsidRPr="00396A6F">
        <w:lastRenderedPageBreak/>
        <w:t>A</w:t>
      </w:r>
      <w:r>
        <w:t>dvisory</w:t>
      </w:r>
      <w:r w:rsidRPr="00396A6F">
        <w:t xml:space="preserve"> </w:t>
      </w:r>
      <w:bookmarkEnd w:id="398"/>
      <w:bookmarkEnd w:id="399"/>
      <w:bookmarkEnd w:id="400"/>
      <w:bookmarkEnd w:id="401"/>
      <w:bookmarkEnd w:id="402"/>
      <w:bookmarkEnd w:id="403"/>
      <w:bookmarkEnd w:id="404"/>
      <w:bookmarkEnd w:id="405"/>
      <w:bookmarkEnd w:id="406"/>
      <w:bookmarkEnd w:id="407"/>
      <w:bookmarkEnd w:id="408"/>
      <w:bookmarkEnd w:id="409"/>
      <w:r>
        <w:t>Notes</w:t>
      </w:r>
      <w:bookmarkEnd w:id="410"/>
      <w:bookmarkEnd w:id="411"/>
      <w:bookmarkEnd w:id="412"/>
    </w:p>
    <w:p w14:paraId="2A518132" w14:textId="77777777" w:rsidR="00C670B7" w:rsidRPr="00601F6F" w:rsidRDefault="00C670B7" w:rsidP="00C670B7">
      <w:pPr>
        <w:rPr>
          <w:b/>
        </w:rPr>
      </w:pPr>
      <w:r w:rsidRPr="00006756">
        <w:rPr>
          <w:b/>
        </w:rPr>
        <w:t>Pre-defined (EB)</w:t>
      </w:r>
    </w:p>
    <w:p w14:paraId="13D61D1B" w14:textId="77777777" w:rsidR="00C670B7" w:rsidRPr="00006756" w:rsidRDefault="00C670B7" w:rsidP="00335640">
      <w:pPr>
        <w:pStyle w:val="ListParagraph"/>
        <w:numPr>
          <w:ilvl w:val="0"/>
          <w:numId w:val="38"/>
        </w:numPr>
        <w:spacing w:after="240"/>
      </w:pPr>
      <w:r w:rsidRPr="00006756">
        <w:t>Protection is not afforded for interference caused by radiocommunications stations operating in accordance with the provisions of the Constitution, the Convention and the Radio Regulations of the International Telecommunication Union.</w:t>
      </w:r>
    </w:p>
    <w:p w14:paraId="72137F57" w14:textId="77777777" w:rsidR="00AE59F2" w:rsidRPr="00601F6F" w:rsidRDefault="00AE59F2" w:rsidP="00851535">
      <w:pPr>
        <w:pStyle w:val="ListParagraph"/>
        <w:spacing w:after="240"/>
        <w:ind w:left="360"/>
      </w:pPr>
    </w:p>
    <w:p w14:paraId="32801BF0" w14:textId="77777777" w:rsidR="00C670B7" w:rsidRPr="00396A6F" w:rsidRDefault="00C670B7" w:rsidP="00C670B7">
      <w:pPr>
        <w:pStyle w:val="AppL2"/>
      </w:pPr>
      <w:bookmarkStart w:id="413" w:name="_Toc488388571"/>
      <w:bookmarkStart w:id="414" w:name="_Toc24979677"/>
      <w:bookmarkStart w:id="415" w:name="_Toc490747843"/>
      <w:bookmarkStart w:id="416" w:name="_Toc109221798"/>
      <w:r w:rsidRPr="003236F8">
        <w:t>Any number of space missions</w:t>
      </w:r>
      <w:bookmarkEnd w:id="413"/>
      <w:bookmarkEnd w:id="414"/>
      <w:bookmarkEnd w:id="415"/>
      <w:bookmarkEnd w:id="416"/>
    </w:p>
    <w:p w14:paraId="77BC9CCD" w14:textId="77777777" w:rsidR="00C670B7" w:rsidRPr="00601F6F" w:rsidRDefault="00C670B7" w:rsidP="00C670B7">
      <w:pPr>
        <w:rPr>
          <w:i/>
        </w:rPr>
      </w:pPr>
      <w:r w:rsidRPr="00F45400">
        <w:t>The following special conditions and advisory notes are to be applied where the ongoing fixed earth station provides launch and transfer orbit support services and/or in-orbit testing for any number of space missions:</w:t>
      </w:r>
    </w:p>
    <w:p w14:paraId="19D863C7" w14:textId="77777777" w:rsidR="00C670B7" w:rsidRPr="00006756" w:rsidRDefault="00C670B7" w:rsidP="00C670B7">
      <w:pPr>
        <w:pStyle w:val="AppL3"/>
        <w:keepLines/>
        <w:spacing w:before="0" w:after="240"/>
      </w:pPr>
      <w:bookmarkStart w:id="417" w:name="_Toc483317939"/>
      <w:bookmarkStart w:id="418" w:name="_Toc483391832"/>
      <w:bookmarkStart w:id="419" w:name="_Toc483494278"/>
      <w:bookmarkStart w:id="420" w:name="_Toc485220519"/>
      <w:bookmarkStart w:id="421" w:name="_Toc485299203"/>
      <w:bookmarkStart w:id="422" w:name="_Toc488388572"/>
      <w:bookmarkStart w:id="423" w:name="_Toc392151144"/>
      <w:bookmarkStart w:id="424" w:name="_Toc478115645"/>
      <w:bookmarkStart w:id="425" w:name="_Toc478115893"/>
      <w:bookmarkStart w:id="426" w:name="_Toc478563485"/>
      <w:bookmarkStart w:id="427" w:name="_Toc480354442"/>
      <w:bookmarkStart w:id="428" w:name="_Toc480354737"/>
      <w:bookmarkStart w:id="429" w:name="_Toc24979678"/>
      <w:bookmarkStart w:id="430" w:name="_Toc490747844"/>
      <w:bookmarkStart w:id="431" w:name="_Toc109221799"/>
      <w:r w:rsidRPr="00902239">
        <w:t>S</w:t>
      </w:r>
      <w:r>
        <w:t>pecial</w:t>
      </w:r>
      <w:r w:rsidRPr="00902239">
        <w:t xml:space="preserve"> </w:t>
      </w:r>
      <w:bookmarkEnd w:id="417"/>
      <w:bookmarkEnd w:id="418"/>
      <w:bookmarkEnd w:id="419"/>
      <w:bookmarkEnd w:id="420"/>
      <w:bookmarkEnd w:id="421"/>
      <w:bookmarkEnd w:id="422"/>
      <w:r w:rsidRPr="00902239">
        <w:t>C</w:t>
      </w:r>
      <w:r>
        <w:t>onditions</w:t>
      </w:r>
      <w:bookmarkEnd w:id="423"/>
      <w:bookmarkEnd w:id="424"/>
      <w:bookmarkEnd w:id="425"/>
      <w:bookmarkEnd w:id="426"/>
      <w:bookmarkEnd w:id="427"/>
      <w:bookmarkEnd w:id="428"/>
      <w:bookmarkEnd w:id="429"/>
      <w:bookmarkEnd w:id="430"/>
      <w:bookmarkEnd w:id="431"/>
    </w:p>
    <w:p w14:paraId="3A84A1E4" w14:textId="715CDAD4" w:rsidR="00D2322E" w:rsidRPr="007C32E9" w:rsidRDefault="00C670B7" w:rsidP="00851535">
      <w:pPr>
        <w:keepNext/>
        <w:keepLines/>
        <w:rPr>
          <w:bCs/>
          <w:iCs/>
        </w:rPr>
      </w:pPr>
      <w:r w:rsidRPr="00006756">
        <w:rPr>
          <w:b/>
        </w:rPr>
        <w:t>Pre-defined (E8)</w:t>
      </w:r>
      <w:r w:rsidR="00057BFB">
        <w:rPr>
          <w:b/>
        </w:rPr>
        <w:t xml:space="preserve"> (f</w:t>
      </w:r>
      <w:r w:rsidR="00D2322E">
        <w:rPr>
          <w:bCs/>
        </w:rPr>
        <w:t xml:space="preserve">or inclusion on </w:t>
      </w:r>
      <w:r w:rsidR="00D2322E" w:rsidRPr="00E85790">
        <w:rPr>
          <w:i/>
        </w:rPr>
        <w:t>fixed earth</w:t>
      </w:r>
      <w:r w:rsidR="00D2322E">
        <w:t xml:space="preserve"> and </w:t>
      </w:r>
      <w:r w:rsidR="00D2322E" w:rsidRPr="00E85790">
        <w:rPr>
          <w:i/>
        </w:rPr>
        <w:t>earth receive</w:t>
      </w:r>
      <w:r w:rsidR="00D2322E">
        <w:rPr>
          <w:i/>
        </w:rPr>
        <w:t xml:space="preserve"> </w:t>
      </w:r>
      <w:r w:rsidR="00D2322E">
        <w:rPr>
          <w:iCs/>
        </w:rPr>
        <w:t>apparatus licences</w:t>
      </w:r>
      <w:r w:rsidR="00057BFB">
        <w:rPr>
          <w:iCs/>
        </w:rPr>
        <w:t xml:space="preserve"> only)</w:t>
      </w:r>
    </w:p>
    <w:p w14:paraId="35D83AE4" w14:textId="4A4639B8" w:rsidR="00C670B7" w:rsidRDefault="00C670B7" w:rsidP="00C670B7">
      <w:pPr>
        <w:pStyle w:val="ListParagraph"/>
        <w:keepNext/>
        <w:keepLines/>
        <w:numPr>
          <w:ilvl w:val="0"/>
          <w:numId w:val="28"/>
        </w:numPr>
        <w:spacing w:after="240"/>
      </w:pPr>
      <w:r w:rsidRPr="00006756">
        <w:t>This licence authorises radiocommunications with space stations for the purpose of performing transfer orbit support services and/or in-orbit testing.</w:t>
      </w:r>
    </w:p>
    <w:p w14:paraId="1380714A" w14:textId="77777777" w:rsidR="00057BFB" w:rsidRPr="00851535" w:rsidRDefault="00057BFB" w:rsidP="00851535">
      <w:pPr>
        <w:pStyle w:val="ListParagraph"/>
        <w:ind w:left="360"/>
        <w:rPr>
          <w:iCs/>
        </w:rPr>
      </w:pPr>
    </w:p>
    <w:p w14:paraId="74BABC05" w14:textId="0B3B4014" w:rsidR="00057BFB" w:rsidRPr="00057BFB" w:rsidRDefault="00057BFB" w:rsidP="00851535">
      <w:pPr>
        <w:rPr>
          <w:iCs/>
        </w:rPr>
      </w:pPr>
      <w:r w:rsidRPr="00057BFB">
        <w:rPr>
          <w:b/>
        </w:rPr>
        <w:t>Pre-defined (</w:t>
      </w:r>
      <w:r w:rsidR="001416BA">
        <w:rPr>
          <w:b/>
        </w:rPr>
        <w:t>ER)</w:t>
      </w:r>
      <w:r w:rsidRPr="00057BFB">
        <w:rPr>
          <w:b/>
        </w:rPr>
        <w:t xml:space="preserve"> </w:t>
      </w:r>
      <w:r w:rsidRPr="001416BA">
        <w:rPr>
          <w:bCs/>
        </w:rPr>
        <w:t>(for</w:t>
      </w:r>
      <w:r w:rsidRPr="00057BFB">
        <w:rPr>
          <w:bCs/>
        </w:rPr>
        <w:t xml:space="preserve"> inclusion on the relevant </w:t>
      </w:r>
      <w:r w:rsidRPr="00057BFB">
        <w:rPr>
          <w:i/>
        </w:rPr>
        <w:t xml:space="preserve">AWL </w:t>
      </w:r>
      <w:r w:rsidRPr="00057BFB">
        <w:rPr>
          <w:iCs/>
        </w:rPr>
        <w:t>device registration only)</w:t>
      </w:r>
    </w:p>
    <w:p w14:paraId="032131F2" w14:textId="74AF8F35" w:rsidR="00D2322E" w:rsidRPr="00006756" w:rsidRDefault="00D2322E" w:rsidP="00AC2EF8">
      <w:pPr>
        <w:pStyle w:val="ListParagraph"/>
        <w:numPr>
          <w:ilvl w:val="0"/>
          <w:numId w:val="28"/>
        </w:numPr>
        <w:spacing w:after="240"/>
      </w:pPr>
      <w:r w:rsidRPr="00006756">
        <w:t xml:space="preserve">This </w:t>
      </w:r>
      <w:r>
        <w:t>earth station is</w:t>
      </w:r>
      <w:r w:rsidRPr="00006756">
        <w:t xml:space="preserve"> authorise</w:t>
      </w:r>
      <w:r>
        <w:t xml:space="preserve">d to communicate </w:t>
      </w:r>
      <w:r w:rsidRPr="00006756">
        <w:t>with space stations for the purpose of performing transfer orbit support services and/or in-orbit testing.</w:t>
      </w:r>
    </w:p>
    <w:p w14:paraId="43580270" w14:textId="77777777" w:rsidR="00C670B7" w:rsidRPr="00006756" w:rsidRDefault="00C670B7" w:rsidP="00C670B7">
      <w:r w:rsidRPr="00006756">
        <w:rPr>
          <w:b/>
        </w:rPr>
        <w:t>Pre-defined (E9)</w:t>
      </w:r>
    </w:p>
    <w:p w14:paraId="20436C40" w14:textId="77777777" w:rsidR="009F4085" w:rsidRDefault="00C670B7" w:rsidP="00C670B7">
      <w:pPr>
        <w:pStyle w:val="ListParagraph"/>
        <w:numPr>
          <w:ilvl w:val="0"/>
          <w:numId w:val="28"/>
        </w:numPr>
        <w:spacing w:after="240"/>
      </w:pPr>
      <w:r w:rsidRPr="00006756">
        <w:t>Before commencing transmissions to each space station, the licensee must inform ACMA of the International Telecommunication Union identity of the space station and the dates of commencement and completion of transmissions.</w:t>
      </w:r>
    </w:p>
    <w:p w14:paraId="68F8A11B" w14:textId="669C966B" w:rsidR="007E2EBA" w:rsidRDefault="007E2EBA" w:rsidP="00642946">
      <w:pPr>
        <w:pStyle w:val="ListParagraph"/>
        <w:spacing w:after="240"/>
        <w:ind w:left="360"/>
      </w:pPr>
      <w:r w:rsidRPr="007E2EBA">
        <w:t xml:space="preserve"> </w:t>
      </w:r>
    </w:p>
    <w:p w14:paraId="226252B7" w14:textId="2E07B597" w:rsidR="00C670B7" w:rsidRPr="00006756" w:rsidRDefault="007E2EBA" w:rsidP="00642946">
      <w:pPr>
        <w:pStyle w:val="ListParagraph"/>
        <w:spacing w:after="240"/>
        <w:ind w:left="0"/>
      </w:pPr>
      <w:r w:rsidRPr="007E2EBA">
        <w:t>[Note: Operation of this space station and associated earth stations is only authorised if the frequency assignments of the satellite network recorded by the ITU with which communications are authorised by this licence are not cancelled</w:t>
      </w:r>
      <w:r w:rsidR="00593215">
        <w:t xml:space="preserve"> or supressed]</w:t>
      </w:r>
      <w:r w:rsidRPr="007E2EBA">
        <w:t>.</w:t>
      </w:r>
    </w:p>
    <w:p w14:paraId="310BE9A8" w14:textId="77777777" w:rsidR="00C670B7" w:rsidRPr="00006756" w:rsidRDefault="00C670B7" w:rsidP="00C670B7">
      <w:r w:rsidRPr="00006756">
        <w:rPr>
          <w:b/>
        </w:rPr>
        <w:t>Pre-defined (EA)</w:t>
      </w:r>
    </w:p>
    <w:p w14:paraId="310FAE32" w14:textId="77777777" w:rsidR="00C670B7" w:rsidRDefault="00C670B7" w:rsidP="00C670B7">
      <w:pPr>
        <w:pStyle w:val="ListParagraph"/>
        <w:numPr>
          <w:ilvl w:val="0"/>
          <w:numId w:val="28"/>
        </w:numPr>
        <w:spacing w:after="240"/>
      </w:pPr>
      <w:r w:rsidRPr="00006756">
        <w:t>No harmful interference shall be caused to radiocommunications stations operating in accordance with the provisions of the Constitution, the Convention and the Radio Regulations of the International Telecommunication Union.</w:t>
      </w:r>
    </w:p>
    <w:p w14:paraId="66417DF2" w14:textId="77777777" w:rsidR="001069EA" w:rsidRPr="00126E2C" w:rsidRDefault="001069EA" w:rsidP="001069EA">
      <w:pPr>
        <w:autoSpaceDE w:val="0"/>
        <w:autoSpaceDN w:val="0"/>
        <w:adjustRightInd w:val="0"/>
        <w:spacing w:line="240" w:lineRule="auto"/>
        <w:rPr>
          <w:rFonts w:cs="Arial"/>
          <w:b/>
          <w:szCs w:val="20"/>
        </w:rPr>
      </w:pPr>
      <w:r>
        <w:rPr>
          <w:rFonts w:cs="Arial"/>
          <w:b/>
          <w:szCs w:val="20"/>
        </w:rPr>
        <w:t>Pre</w:t>
      </w:r>
      <w:r w:rsidRPr="00126E2C">
        <w:rPr>
          <w:rFonts w:cs="Arial"/>
          <w:b/>
          <w:szCs w:val="20"/>
        </w:rPr>
        <w:t>-defined</w:t>
      </w:r>
      <w:r>
        <w:rPr>
          <w:rFonts w:cs="Arial"/>
          <w:b/>
          <w:szCs w:val="20"/>
        </w:rPr>
        <w:t xml:space="preserve"> (EQ)</w:t>
      </w:r>
    </w:p>
    <w:p w14:paraId="7989A060" w14:textId="100F5B2F" w:rsidR="001069EA" w:rsidRPr="00962EF4" w:rsidRDefault="001069EA" w:rsidP="00962EF4">
      <w:pPr>
        <w:pStyle w:val="ListParagraph"/>
        <w:numPr>
          <w:ilvl w:val="0"/>
          <w:numId w:val="28"/>
        </w:numPr>
        <w:spacing w:after="240" w:line="240" w:lineRule="auto"/>
      </w:pPr>
      <w:r>
        <w:t>The licensee shall advise the ACMA of changes to the point of contact provided for the purpose of tracing any suspected cases of interference</w:t>
      </w:r>
      <w:r w:rsidRPr="00A170A4">
        <w:rPr>
          <w:rFonts w:cs="Arial"/>
          <w:szCs w:val="20"/>
        </w:rPr>
        <w:t>.</w:t>
      </w:r>
    </w:p>
    <w:p w14:paraId="0CCC853F" w14:textId="77777777" w:rsidR="00C670B7" w:rsidRPr="00006756" w:rsidRDefault="00C670B7" w:rsidP="00C670B7">
      <w:pPr>
        <w:pStyle w:val="AppL3"/>
        <w:spacing w:before="0" w:after="240"/>
      </w:pPr>
      <w:bookmarkStart w:id="432" w:name="_Toc24468865"/>
      <w:bookmarkStart w:id="433" w:name="_Toc483317940"/>
      <w:bookmarkStart w:id="434" w:name="_Toc483391833"/>
      <w:bookmarkStart w:id="435" w:name="_Toc483494279"/>
      <w:bookmarkStart w:id="436" w:name="_Toc485220520"/>
      <w:bookmarkStart w:id="437" w:name="_Toc485299204"/>
      <w:bookmarkStart w:id="438" w:name="_Toc488388573"/>
      <w:bookmarkStart w:id="439" w:name="_Toc392151145"/>
      <w:bookmarkStart w:id="440" w:name="_Toc478115646"/>
      <w:bookmarkStart w:id="441" w:name="_Toc478115894"/>
      <w:bookmarkStart w:id="442" w:name="_Toc478563486"/>
      <w:bookmarkStart w:id="443" w:name="_Toc480354443"/>
      <w:bookmarkStart w:id="444" w:name="_Toc480354738"/>
      <w:bookmarkStart w:id="445" w:name="_Toc24979679"/>
      <w:bookmarkStart w:id="446" w:name="_Toc490747845"/>
      <w:bookmarkStart w:id="447" w:name="_Toc109221800"/>
      <w:bookmarkEnd w:id="432"/>
      <w:r w:rsidRPr="00902239">
        <w:t>A</w:t>
      </w:r>
      <w:r>
        <w:t>dvisory</w:t>
      </w:r>
      <w:r w:rsidRPr="00902239">
        <w:t xml:space="preserve"> </w:t>
      </w:r>
      <w:bookmarkEnd w:id="433"/>
      <w:bookmarkEnd w:id="434"/>
      <w:bookmarkEnd w:id="435"/>
      <w:bookmarkEnd w:id="436"/>
      <w:bookmarkEnd w:id="437"/>
      <w:bookmarkEnd w:id="438"/>
      <w:r w:rsidRPr="00902239">
        <w:t>N</w:t>
      </w:r>
      <w:r>
        <w:t>otes</w:t>
      </w:r>
      <w:bookmarkEnd w:id="439"/>
      <w:bookmarkEnd w:id="440"/>
      <w:bookmarkEnd w:id="441"/>
      <w:bookmarkEnd w:id="442"/>
      <w:bookmarkEnd w:id="443"/>
      <w:bookmarkEnd w:id="444"/>
      <w:bookmarkEnd w:id="445"/>
      <w:bookmarkEnd w:id="446"/>
      <w:bookmarkEnd w:id="447"/>
    </w:p>
    <w:p w14:paraId="1D206D33" w14:textId="77777777" w:rsidR="00C670B7" w:rsidRPr="00006756" w:rsidRDefault="00C670B7" w:rsidP="00C670B7">
      <w:r w:rsidRPr="00006756">
        <w:rPr>
          <w:b/>
        </w:rPr>
        <w:t>Pre-defined (EB)</w:t>
      </w:r>
    </w:p>
    <w:p w14:paraId="0009F08F" w14:textId="77777777" w:rsidR="00C670B7" w:rsidRPr="00006756" w:rsidRDefault="00C670B7" w:rsidP="00C670B7">
      <w:pPr>
        <w:pStyle w:val="ListParagraph"/>
        <w:numPr>
          <w:ilvl w:val="0"/>
          <w:numId w:val="29"/>
        </w:numPr>
        <w:spacing w:after="240"/>
      </w:pPr>
      <w:r w:rsidRPr="00006756">
        <w:t>Protection is not afforded for interference caused by radiocommunications stations operating in accordance with the provisions of the Constitution, the Convention and the Radio Regulations of the International Telecommunication Union.</w:t>
      </w:r>
    </w:p>
    <w:p w14:paraId="185E45D0" w14:textId="42CA2C24" w:rsidR="00C670B7" w:rsidRPr="00601F6F" w:rsidRDefault="00A873A1" w:rsidP="00C670B7">
      <w:pPr>
        <w:pStyle w:val="AppL1"/>
        <w:pageBreakBefore/>
        <w:rPr>
          <w:b/>
        </w:rPr>
      </w:pPr>
      <w:bookmarkStart w:id="448" w:name="_Toc483400695"/>
      <w:bookmarkStart w:id="449" w:name="_Toc490122674"/>
      <w:bookmarkStart w:id="450" w:name="_Toc24979680"/>
      <w:bookmarkStart w:id="451" w:name="_Toc490747846"/>
      <w:bookmarkStart w:id="452" w:name="_Toc109221801"/>
      <w:bookmarkEnd w:id="371"/>
      <w:bookmarkEnd w:id="372"/>
      <w:bookmarkEnd w:id="373"/>
      <w:bookmarkEnd w:id="374"/>
      <w:bookmarkEnd w:id="375"/>
      <w:bookmarkEnd w:id="376"/>
      <w:bookmarkEnd w:id="377"/>
      <w:bookmarkEnd w:id="378"/>
      <w:r>
        <w:rPr>
          <w:b/>
        </w:rPr>
        <w:lastRenderedPageBreak/>
        <w:t xml:space="preserve">Examples </w:t>
      </w:r>
      <w:r w:rsidR="00BB746E">
        <w:rPr>
          <w:b/>
        </w:rPr>
        <w:t xml:space="preserve">- </w:t>
      </w:r>
      <w:r w:rsidR="00C670B7" w:rsidRPr="00601F6F">
        <w:rPr>
          <w:b/>
        </w:rPr>
        <w:t>Information required for regulatory assessment</w:t>
      </w:r>
      <w:bookmarkEnd w:id="448"/>
      <w:bookmarkEnd w:id="449"/>
      <w:bookmarkEnd w:id="450"/>
      <w:bookmarkEnd w:id="451"/>
      <w:bookmarkEnd w:id="452"/>
    </w:p>
    <w:p w14:paraId="73A90850" w14:textId="273669A1" w:rsidR="00C670B7" w:rsidRPr="00601F6F" w:rsidRDefault="00BB746E" w:rsidP="00C670B7">
      <w:pPr>
        <w:pStyle w:val="Caption"/>
      </w:pPr>
      <w:r>
        <w:t xml:space="preserve">Examples - </w:t>
      </w:r>
      <w:r w:rsidR="00C670B7" w:rsidRPr="00601F6F">
        <w:t xml:space="preserve">Information required for </w:t>
      </w:r>
      <w:r w:rsidR="00C670B7" w:rsidRPr="00601F6F">
        <w:rPr>
          <w:i/>
        </w:rPr>
        <w:t>fixed earth</w:t>
      </w:r>
      <w:r w:rsidR="003D3AD8">
        <w:t>,</w:t>
      </w:r>
      <w:r w:rsidR="00C670B7" w:rsidRPr="00601F6F">
        <w:rPr>
          <w:i/>
        </w:rPr>
        <w:t xml:space="preserve"> earth receive </w:t>
      </w:r>
      <w:r w:rsidR="003D3AD8">
        <w:rPr>
          <w:iCs/>
        </w:rPr>
        <w:t xml:space="preserve">and </w:t>
      </w:r>
      <w:r w:rsidR="003D3AD8">
        <w:rPr>
          <w:i/>
        </w:rPr>
        <w:t xml:space="preserve">area-wide </w:t>
      </w:r>
      <w:r w:rsidR="00C670B7" w:rsidRPr="00601F6F">
        <w:t>licences</w:t>
      </w:r>
    </w:p>
    <w:tbl>
      <w:tblPr>
        <w:tblW w:w="9361" w:type="dxa"/>
        <w:tblCellMar>
          <w:top w:w="113" w:type="dxa"/>
          <w:bottom w:w="113" w:type="dxa"/>
        </w:tblCellMar>
        <w:tblLook w:val="04A0" w:firstRow="1" w:lastRow="0" w:firstColumn="1" w:lastColumn="0" w:noHBand="0" w:noVBand="1"/>
      </w:tblPr>
      <w:tblGrid>
        <w:gridCol w:w="3397"/>
        <w:gridCol w:w="284"/>
        <w:gridCol w:w="2700"/>
        <w:gridCol w:w="2980"/>
      </w:tblGrid>
      <w:tr w:rsidR="00C670B7" w:rsidRPr="00601F6F" w14:paraId="2DBCC31A" w14:textId="77777777" w:rsidTr="001E55F7">
        <w:trPr>
          <w:trHeight w:val="264"/>
        </w:trPr>
        <w:tc>
          <w:tcPr>
            <w:tcW w:w="3397" w:type="dxa"/>
            <w:tcBorders>
              <w:top w:val="single" w:sz="4" w:space="0" w:color="auto"/>
            </w:tcBorders>
            <w:shd w:val="clear" w:color="auto" w:fill="auto"/>
            <w:noWrap/>
            <w:vAlign w:val="bottom"/>
            <w:hideMark/>
          </w:tcPr>
          <w:p w14:paraId="36B0E50F" w14:textId="77777777" w:rsidR="00C670B7" w:rsidRPr="00601F6F" w:rsidRDefault="00C670B7" w:rsidP="001E55F7">
            <w:pPr>
              <w:spacing w:after="120" w:line="240" w:lineRule="auto"/>
              <w:rPr>
                <w:rFonts w:ascii="Calibri" w:hAnsi="Calibri"/>
                <w:color w:val="000000"/>
                <w:sz w:val="22"/>
                <w:szCs w:val="22"/>
              </w:rPr>
            </w:pPr>
            <w:r w:rsidRPr="00601F6F">
              <w:rPr>
                <w:rFonts w:ascii="Calibri" w:hAnsi="Calibri"/>
                <w:color w:val="000000"/>
                <w:sz w:val="22"/>
                <w:szCs w:val="22"/>
              </w:rPr>
              <w:t> </w:t>
            </w:r>
          </w:p>
        </w:tc>
        <w:tc>
          <w:tcPr>
            <w:tcW w:w="284" w:type="dxa"/>
            <w:tcBorders>
              <w:top w:val="single" w:sz="4" w:space="0" w:color="auto"/>
            </w:tcBorders>
            <w:shd w:val="clear" w:color="auto" w:fill="auto"/>
            <w:noWrap/>
            <w:vAlign w:val="bottom"/>
            <w:hideMark/>
          </w:tcPr>
          <w:p w14:paraId="3B504BCA" w14:textId="77777777" w:rsidR="00C670B7" w:rsidRPr="00601F6F" w:rsidRDefault="00C670B7" w:rsidP="001E55F7">
            <w:pPr>
              <w:spacing w:after="120" w:line="240" w:lineRule="auto"/>
              <w:rPr>
                <w:rFonts w:ascii="Calibri" w:hAnsi="Calibri"/>
                <w:color w:val="000000"/>
                <w:sz w:val="22"/>
                <w:szCs w:val="22"/>
              </w:rPr>
            </w:pPr>
          </w:p>
        </w:tc>
        <w:tc>
          <w:tcPr>
            <w:tcW w:w="2700" w:type="dxa"/>
            <w:tcBorders>
              <w:top w:val="single" w:sz="4" w:space="0" w:color="auto"/>
            </w:tcBorders>
            <w:shd w:val="clear" w:color="auto" w:fill="auto"/>
            <w:noWrap/>
            <w:vAlign w:val="bottom"/>
            <w:hideMark/>
          </w:tcPr>
          <w:p w14:paraId="127847F9" w14:textId="77777777" w:rsidR="00C670B7" w:rsidRPr="00C63720" w:rsidRDefault="00C670B7" w:rsidP="001E55F7">
            <w:pPr>
              <w:spacing w:after="120" w:line="240" w:lineRule="auto"/>
              <w:rPr>
                <w:rFonts w:cs="Arial"/>
                <w:b/>
                <w:color w:val="000000"/>
                <w:szCs w:val="20"/>
              </w:rPr>
            </w:pPr>
            <w:r w:rsidRPr="00C63720">
              <w:rPr>
                <w:rFonts w:cs="Arial"/>
                <w:b/>
                <w:color w:val="000000"/>
                <w:szCs w:val="20"/>
              </w:rPr>
              <w:t>Example 1</w:t>
            </w:r>
          </w:p>
        </w:tc>
        <w:tc>
          <w:tcPr>
            <w:tcW w:w="2980" w:type="dxa"/>
            <w:tcBorders>
              <w:top w:val="single" w:sz="4" w:space="0" w:color="auto"/>
            </w:tcBorders>
            <w:shd w:val="clear" w:color="auto" w:fill="auto"/>
            <w:noWrap/>
            <w:vAlign w:val="bottom"/>
            <w:hideMark/>
          </w:tcPr>
          <w:p w14:paraId="2B6DC8CA" w14:textId="77777777" w:rsidR="00C670B7" w:rsidRPr="00C63720" w:rsidRDefault="00C670B7" w:rsidP="001E55F7">
            <w:pPr>
              <w:spacing w:after="120" w:line="240" w:lineRule="auto"/>
              <w:rPr>
                <w:rFonts w:cs="Arial"/>
                <w:b/>
                <w:color w:val="000000"/>
                <w:szCs w:val="20"/>
              </w:rPr>
            </w:pPr>
            <w:r w:rsidRPr="00C63720">
              <w:rPr>
                <w:rFonts w:cs="Arial"/>
                <w:b/>
                <w:color w:val="000000"/>
                <w:szCs w:val="20"/>
              </w:rPr>
              <w:t>Example 2</w:t>
            </w:r>
          </w:p>
        </w:tc>
      </w:tr>
      <w:tr w:rsidR="00E44C84" w:rsidRPr="00601F6F" w14:paraId="66B07E67" w14:textId="77777777" w:rsidTr="001E55F7">
        <w:trPr>
          <w:trHeight w:val="352"/>
        </w:trPr>
        <w:tc>
          <w:tcPr>
            <w:tcW w:w="3397" w:type="dxa"/>
            <w:shd w:val="clear" w:color="auto" w:fill="auto"/>
            <w:vAlign w:val="center"/>
          </w:tcPr>
          <w:p w14:paraId="3F1DD242" w14:textId="5152E538" w:rsidR="00E44C84" w:rsidRPr="00601F6F" w:rsidRDefault="00E44C84" w:rsidP="001E55F7">
            <w:pPr>
              <w:spacing w:after="120" w:line="240" w:lineRule="auto"/>
              <w:rPr>
                <w:rFonts w:cs="Arial"/>
                <w:color w:val="000000"/>
                <w:szCs w:val="20"/>
              </w:rPr>
            </w:pPr>
            <w:r>
              <w:rPr>
                <w:rFonts w:cs="Arial"/>
                <w:color w:val="000000"/>
                <w:szCs w:val="20"/>
              </w:rPr>
              <w:t>Licence/device registration number:</w:t>
            </w:r>
          </w:p>
        </w:tc>
        <w:tc>
          <w:tcPr>
            <w:tcW w:w="284" w:type="dxa"/>
            <w:shd w:val="clear" w:color="auto" w:fill="auto"/>
            <w:noWrap/>
            <w:vAlign w:val="bottom"/>
          </w:tcPr>
          <w:p w14:paraId="7618093C" w14:textId="77777777" w:rsidR="00E44C84" w:rsidRPr="00601F6F" w:rsidRDefault="00E44C84" w:rsidP="001E55F7">
            <w:pPr>
              <w:spacing w:after="120" w:line="240" w:lineRule="auto"/>
              <w:rPr>
                <w:rFonts w:cs="Arial"/>
                <w:color w:val="000000"/>
                <w:szCs w:val="20"/>
              </w:rPr>
            </w:pPr>
          </w:p>
        </w:tc>
        <w:tc>
          <w:tcPr>
            <w:tcW w:w="2700" w:type="dxa"/>
            <w:shd w:val="clear" w:color="auto" w:fill="auto"/>
            <w:noWrap/>
          </w:tcPr>
          <w:p w14:paraId="13274C25" w14:textId="579B27CF" w:rsidR="00E44C84" w:rsidRPr="00601F6F" w:rsidRDefault="00B611EF" w:rsidP="001E55F7">
            <w:pPr>
              <w:spacing w:after="120" w:line="240" w:lineRule="auto"/>
              <w:rPr>
                <w:rFonts w:cs="Arial"/>
                <w:color w:val="000000"/>
                <w:szCs w:val="20"/>
              </w:rPr>
            </w:pPr>
            <w:r>
              <w:rPr>
                <w:rFonts w:cs="Arial"/>
                <w:color w:val="000000"/>
                <w:szCs w:val="20"/>
              </w:rPr>
              <w:t>987654</w:t>
            </w:r>
            <w:r w:rsidR="002F4C3B">
              <w:rPr>
                <w:rFonts w:cs="Arial"/>
                <w:color w:val="000000"/>
                <w:szCs w:val="20"/>
              </w:rPr>
              <w:t>3/1</w:t>
            </w:r>
          </w:p>
        </w:tc>
        <w:tc>
          <w:tcPr>
            <w:tcW w:w="2980" w:type="dxa"/>
            <w:shd w:val="clear" w:color="auto" w:fill="auto"/>
            <w:noWrap/>
          </w:tcPr>
          <w:p w14:paraId="65A0D8F8" w14:textId="48650C17" w:rsidR="00E44C84" w:rsidRPr="00601F6F" w:rsidRDefault="002F4C3B" w:rsidP="001E55F7">
            <w:pPr>
              <w:spacing w:after="120" w:line="240" w:lineRule="auto"/>
              <w:rPr>
                <w:rFonts w:cs="Arial"/>
                <w:szCs w:val="20"/>
              </w:rPr>
            </w:pPr>
            <w:r>
              <w:rPr>
                <w:rFonts w:cs="Arial"/>
                <w:szCs w:val="20"/>
              </w:rPr>
              <w:t>1234567/1</w:t>
            </w:r>
          </w:p>
        </w:tc>
      </w:tr>
      <w:tr w:rsidR="00C670B7" w:rsidRPr="00601F6F" w14:paraId="2B33E0EC" w14:textId="77777777" w:rsidTr="001E55F7">
        <w:trPr>
          <w:trHeight w:val="352"/>
        </w:trPr>
        <w:tc>
          <w:tcPr>
            <w:tcW w:w="3397" w:type="dxa"/>
            <w:shd w:val="clear" w:color="auto" w:fill="auto"/>
            <w:vAlign w:val="center"/>
            <w:hideMark/>
          </w:tcPr>
          <w:p w14:paraId="3D958E7E" w14:textId="77777777" w:rsidR="00C670B7" w:rsidRPr="00601F6F" w:rsidRDefault="00C670B7" w:rsidP="001E55F7">
            <w:pPr>
              <w:spacing w:after="120" w:line="240" w:lineRule="auto"/>
              <w:rPr>
                <w:rFonts w:cs="Arial"/>
                <w:color w:val="000000"/>
                <w:szCs w:val="20"/>
              </w:rPr>
            </w:pPr>
            <w:r w:rsidRPr="00601F6F">
              <w:rPr>
                <w:rFonts w:cs="Arial"/>
                <w:color w:val="000000"/>
                <w:szCs w:val="20"/>
              </w:rPr>
              <w:t>Licence type:</w:t>
            </w:r>
          </w:p>
        </w:tc>
        <w:tc>
          <w:tcPr>
            <w:tcW w:w="284" w:type="dxa"/>
            <w:shd w:val="clear" w:color="auto" w:fill="auto"/>
            <w:noWrap/>
            <w:vAlign w:val="bottom"/>
            <w:hideMark/>
          </w:tcPr>
          <w:p w14:paraId="2D884DA5" w14:textId="77777777" w:rsidR="00C670B7" w:rsidRPr="00601F6F" w:rsidRDefault="00C670B7" w:rsidP="001E55F7">
            <w:pPr>
              <w:spacing w:after="120" w:line="240" w:lineRule="auto"/>
              <w:rPr>
                <w:rFonts w:cs="Arial"/>
                <w:color w:val="000000"/>
                <w:szCs w:val="20"/>
              </w:rPr>
            </w:pPr>
            <w:r w:rsidRPr="00601F6F">
              <w:rPr>
                <w:rFonts w:cs="Arial"/>
                <w:color w:val="000000"/>
                <w:szCs w:val="20"/>
              </w:rPr>
              <w:t> </w:t>
            </w:r>
          </w:p>
        </w:tc>
        <w:tc>
          <w:tcPr>
            <w:tcW w:w="2700" w:type="dxa"/>
            <w:shd w:val="clear" w:color="auto" w:fill="auto"/>
            <w:noWrap/>
            <w:hideMark/>
          </w:tcPr>
          <w:p w14:paraId="61176C8F" w14:textId="77777777" w:rsidR="00C670B7" w:rsidRPr="00601F6F" w:rsidRDefault="00C670B7" w:rsidP="001E55F7">
            <w:pPr>
              <w:spacing w:after="120" w:line="240" w:lineRule="auto"/>
              <w:rPr>
                <w:rFonts w:cs="Arial"/>
                <w:color w:val="000000"/>
                <w:szCs w:val="20"/>
              </w:rPr>
            </w:pPr>
            <w:r w:rsidRPr="00601F6F">
              <w:rPr>
                <w:rFonts w:cs="Arial"/>
                <w:color w:val="000000"/>
                <w:szCs w:val="20"/>
              </w:rPr>
              <w:t>Fixed earth</w:t>
            </w:r>
          </w:p>
        </w:tc>
        <w:tc>
          <w:tcPr>
            <w:tcW w:w="2980" w:type="dxa"/>
            <w:shd w:val="clear" w:color="auto" w:fill="auto"/>
            <w:noWrap/>
            <w:hideMark/>
          </w:tcPr>
          <w:p w14:paraId="5AAC9DF0" w14:textId="77777777" w:rsidR="00C670B7" w:rsidRPr="00601F6F" w:rsidRDefault="00C670B7" w:rsidP="001E55F7">
            <w:pPr>
              <w:spacing w:after="120" w:line="240" w:lineRule="auto"/>
              <w:rPr>
                <w:rFonts w:cs="Arial"/>
                <w:szCs w:val="20"/>
              </w:rPr>
            </w:pPr>
            <w:r w:rsidRPr="00601F6F">
              <w:rPr>
                <w:rFonts w:cs="Arial"/>
                <w:szCs w:val="20"/>
              </w:rPr>
              <w:t>Earth receive</w:t>
            </w:r>
          </w:p>
        </w:tc>
      </w:tr>
      <w:tr w:rsidR="00C670B7" w:rsidRPr="004B06F4" w14:paraId="6F23E40B" w14:textId="77777777" w:rsidTr="001E55F7">
        <w:trPr>
          <w:trHeight w:val="264"/>
        </w:trPr>
        <w:tc>
          <w:tcPr>
            <w:tcW w:w="3397" w:type="dxa"/>
            <w:shd w:val="clear" w:color="auto" w:fill="auto"/>
            <w:vAlign w:val="center"/>
            <w:hideMark/>
          </w:tcPr>
          <w:p w14:paraId="00488452" w14:textId="77777777" w:rsidR="00C670B7" w:rsidRPr="00601F6F" w:rsidRDefault="00C670B7" w:rsidP="001E55F7">
            <w:pPr>
              <w:spacing w:after="120" w:line="240" w:lineRule="auto"/>
              <w:rPr>
                <w:rFonts w:cs="Arial"/>
                <w:color w:val="000000"/>
                <w:szCs w:val="20"/>
              </w:rPr>
            </w:pPr>
            <w:r w:rsidRPr="00601F6F">
              <w:rPr>
                <w:rFonts w:cs="Arial"/>
                <w:color w:val="000000"/>
                <w:szCs w:val="20"/>
              </w:rPr>
              <w:t>Licence renewability (ongoing/</w:t>
            </w:r>
            <w:r w:rsidRPr="00601F6F">
              <w:rPr>
                <w:rFonts w:cs="Arial"/>
                <w:color w:val="000000"/>
                <w:szCs w:val="20"/>
              </w:rPr>
              <w:br/>
              <w:t xml:space="preserve">non-ongoing) and licence period: </w:t>
            </w:r>
          </w:p>
        </w:tc>
        <w:tc>
          <w:tcPr>
            <w:tcW w:w="284" w:type="dxa"/>
            <w:shd w:val="clear" w:color="auto" w:fill="auto"/>
            <w:noWrap/>
            <w:vAlign w:val="bottom"/>
            <w:hideMark/>
          </w:tcPr>
          <w:p w14:paraId="7908F54F" w14:textId="77777777" w:rsidR="00C670B7" w:rsidRPr="00601F6F" w:rsidRDefault="00C670B7" w:rsidP="001E55F7">
            <w:pPr>
              <w:spacing w:after="120" w:line="240" w:lineRule="auto"/>
              <w:rPr>
                <w:rFonts w:cs="Arial"/>
                <w:color w:val="000000"/>
                <w:szCs w:val="20"/>
              </w:rPr>
            </w:pPr>
          </w:p>
        </w:tc>
        <w:tc>
          <w:tcPr>
            <w:tcW w:w="2700" w:type="dxa"/>
            <w:shd w:val="clear" w:color="auto" w:fill="auto"/>
            <w:noWrap/>
            <w:hideMark/>
          </w:tcPr>
          <w:p w14:paraId="67B7C864" w14:textId="6153A8C0" w:rsidR="00C670B7" w:rsidRPr="00601F6F" w:rsidRDefault="006D49C7" w:rsidP="001E55F7">
            <w:pPr>
              <w:spacing w:after="120" w:line="240" w:lineRule="auto"/>
              <w:rPr>
                <w:rFonts w:cs="Arial"/>
                <w:color w:val="000000"/>
                <w:szCs w:val="20"/>
              </w:rPr>
            </w:pPr>
            <w:r>
              <w:rPr>
                <w:rFonts w:cs="Arial"/>
                <w:color w:val="000000"/>
                <w:szCs w:val="20"/>
              </w:rPr>
              <w:t>Non-renewable</w:t>
            </w:r>
            <w:r w:rsidRPr="00601F6F" w:rsidDel="006D49C7">
              <w:rPr>
                <w:rFonts w:cs="Arial"/>
                <w:color w:val="000000"/>
                <w:szCs w:val="20"/>
              </w:rPr>
              <w:t xml:space="preserve"> </w:t>
            </w:r>
            <w:r w:rsidR="00C670B7" w:rsidRPr="00601F6F">
              <w:rPr>
                <w:rFonts w:cs="Arial"/>
                <w:color w:val="000000"/>
                <w:szCs w:val="20"/>
              </w:rPr>
              <w:t>(</w:t>
            </w:r>
            <w:r w:rsidR="00E86BBD">
              <w:rPr>
                <w:rFonts w:cs="Arial"/>
                <w:color w:val="000000"/>
                <w:szCs w:val="20"/>
              </w:rPr>
              <w:t>12</w:t>
            </w:r>
            <w:r w:rsidR="00C670B7" w:rsidRPr="00601F6F">
              <w:rPr>
                <w:rFonts w:cs="Arial"/>
                <w:color w:val="000000"/>
                <w:szCs w:val="20"/>
              </w:rPr>
              <w:t xml:space="preserve"> months)</w:t>
            </w:r>
          </w:p>
        </w:tc>
        <w:tc>
          <w:tcPr>
            <w:tcW w:w="2980" w:type="dxa"/>
            <w:shd w:val="clear" w:color="auto" w:fill="auto"/>
            <w:noWrap/>
            <w:hideMark/>
          </w:tcPr>
          <w:p w14:paraId="108F93C0" w14:textId="5F948F8B" w:rsidR="00C670B7" w:rsidRPr="00601F6F" w:rsidRDefault="0011785E" w:rsidP="001E55F7">
            <w:pPr>
              <w:spacing w:after="120" w:line="240" w:lineRule="auto"/>
              <w:rPr>
                <w:rFonts w:cs="Arial"/>
                <w:szCs w:val="20"/>
              </w:rPr>
            </w:pPr>
            <w:r>
              <w:rPr>
                <w:rFonts w:cs="Arial"/>
                <w:szCs w:val="20"/>
              </w:rPr>
              <w:t>Renewable</w:t>
            </w:r>
            <w:r w:rsidR="00C670B7" w:rsidRPr="00601F6F">
              <w:rPr>
                <w:rFonts w:cs="Arial"/>
                <w:szCs w:val="20"/>
              </w:rPr>
              <w:t xml:space="preserve"> (initial 1 year)</w:t>
            </w:r>
          </w:p>
        </w:tc>
      </w:tr>
      <w:tr w:rsidR="00C670B7" w:rsidRPr="004B06F4" w14:paraId="2B54C722" w14:textId="77777777" w:rsidTr="001E55F7">
        <w:trPr>
          <w:trHeight w:val="264"/>
        </w:trPr>
        <w:tc>
          <w:tcPr>
            <w:tcW w:w="3397" w:type="dxa"/>
            <w:shd w:val="clear" w:color="auto" w:fill="auto"/>
            <w:vAlign w:val="center"/>
          </w:tcPr>
          <w:p w14:paraId="4EF07C25" w14:textId="77777777" w:rsidR="00C670B7" w:rsidRPr="00601F6F" w:rsidRDefault="00C670B7" w:rsidP="001E55F7">
            <w:pPr>
              <w:spacing w:after="120" w:line="240" w:lineRule="auto"/>
              <w:rPr>
                <w:rFonts w:cs="Arial"/>
                <w:color w:val="000000"/>
                <w:szCs w:val="20"/>
              </w:rPr>
            </w:pPr>
            <w:r w:rsidRPr="00601F6F">
              <w:rPr>
                <w:rFonts w:cs="Arial"/>
                <w:color w:val="000000"/>
                <w:szCs w:val="20"/>
              </w:rPr>
              <w:t>Direction:</w:t>
            </w:r>
          </w:p>
        </w:tc>
        <w:tc>
          <w:tcPr>
            <w:tcW w:w="284" w:type="dxa"/>
            <w:shd w:val="clear" w:color="auto" w:fill="auto"/>
            <w:noWrap/>
            <w:vAlign w:val="bottom"/>
          </w:tcPr>
          <w:p w14:paraId="7AD784E9" w14:textId="77777777" w:rsidR="00C670B7" w:rsidRPr="00601F6F" w:rsidRDefault="00C670B7" w:rsidP="001E55F7">
            <w:pPr>
              <w:spacing w:after="120" w:line="240" w:lineRule="auto"/>
              <w:rPr>
                <w:rFonts w:cs="Arial"/>
                <w:color w:val="000000"/>
                <w:szCs w:val="20"/>
              </w:rPr>
            </w:pPr>
          </w:p>
        </w:tc>
        <w:tc>
          <w:tcPr>
            <w:tcW w:w="2700" w:type="dxa"/>
            <w:shd w:val="clear" w:color="auto" w:fill="auto"/>
            <w:noWrap/>
            <w:vAlign w:val="bottom"/>
          </w:tcPr>
          <w:p w14:paraId="3912C6F2" w14:textId="77777777" w:rsidR="00C670B7" w:rsidRPr="00601F6F" w:rsidRDefault="00C670B7" w:rsidP="001E55F7">
            <w:pPr>
              <w:spacing w:after="120" w:line="240" w:lineRule="auto"/>
              <w:rPr>
                <w:rFonts w:cs="Arial"/>
                <w:color w:val="000000"/>
                <w:szCs w:val="20"/>
              </w:rPr>
            </w:pPr>
            <w:r w:rsidRPr="00601F6F">
              <w:rPr>
                <w:rFonts w:cs="Arial"/>
                <w:color w:val="000000"/>
                <w:szCs w:val="20"/>
              </w:rPr>
              <w:t>Uplink</w:t>
            </w:r>
          </w:p>
        </w:tc>
        <w:tc>
          <w:tcPr>
            <w:tcW w:w="2980" w:type="dxa"/>
            <w:shd w:val="clear" w:color="auto" w:fill="auto"/>
            <w:noWrap/>
            <w:vAlign w:val="bottom"/>
          </w:tcPr>
          <w:p w14:paraId="206705C3" w14:textId="77777777" w:rsidR="00C670B7" w:rsidRPr="00601F6F" w:rsidRDefault="00C670B7" w:rsidP="001E55F7">
            <w:pPr>
              <w:spacing w:after="120" w:line="240" w:lineRule="auto"/>
              <w:rPr>
                <w:rFonts w:cs="Arial"/>
                <w:szCs w:val="20"/>
              </w:rPr>
            </w:pPr>
            <w:r w:rsidRPr="00601F6F">
              <w:rPr>
                <w:rFonts w:cs="Arial"/>
                <w:szCs w:val="20"/>
              </w:rPr>
              <w:t>Downlink</w:t>
            </w:r>
          </w:p>
        </w:tc>
      </w:tr>
      <w:tr w:rsidR="00C670B7" w:rsidRPr="00CF27EE" w14:paraId="0038F1BE" w14:textId="77777777" w:rsidTr="001E55F7">
        <w:trPr>
          <w:trHeight w:val="361"/>
        </w:trPr>
        <w:tc>
          <w:tcPr>
            <w:tcW w:w="3397" w:type="dxa"/>
            <w:shd w:val="clear" w:color="auto" w:fill="auto"/>
            <w:vAlign w:val="center"/>
            <w:hideMark/>
          </w:tcPr>
          <w:p w14:paraId="6E682D27" w14:textId="77777777" w:rsidR="00C670B7" w:rsidRPr="00CF27EE" w:rsidRDefault="00C670B7" w:rsidP="001E55F7">
            <w:pPr>
              <w:spacing w:after="120" w:line="240" w:lineRule="auto"/>
              <w:rPr>
                <w:rFonts w:cs="Arial"/>
                <w:color w:val="000000"/>
                <w:szCs w:val="20"/>
              </w:rPr>
            </w:pPr>
            <w:r w:rsidRPr="00CF27EE">
              <w:rPr>
                <w:rFonts w:cs="Arial"/>
                <w:color w:val="000000"/>
                <w:szCs w:val="20"/>
              </w:rPr>
              <w:t>Frequency lower bound (MHz):</w:t>
            </w:r>
          </w:p>
        </w:tc>
        <w:tc>
          <w:tcPr>
            <w:tcW w:w="284" w:type="dxa"/>
            <w:shd w:val="clear" w:color="auto" w:fill="auto"/>
            <w:noWrap/>
            <w:vAlign w:val="bottom"/>
            <w:hideMark/>
          </w:tcPr>
          <w:p w14:paraId="2D992E26" w14:textId="77777777" w:rsidR="00C670B7" w:rsidRPr="00CF27EE" w:rsidRDefault="00C670B7" w:rsidP="001E55F7">
            <w:pPr>
              <w:spacing w:after="120" w:line="240" w:lineRule="auto"/>
              <w:rPr>
                <w:rFonts w:cs="Arial"/>
                <w:color w:val="000000"/>
                <w:szCs w:val="20"/>
              </w:rPr>
            </w:pPr>
            <w:r w:rsidRPr="00CF27EE">
              <w:rPr>
                <w:rFonts w:cs="Arial"/>
                <w:color w:val="000000"/>
                <w:szCs w:val="20"/>
              </w:rPr>
              <w:t> </w:t>
            </w:r>
          </w:p>
        </w:tc>
        <w:tc>
          <w:tcPr>
            <w:tcW w:w="2700" w:type="dxa"/>
            <w:shd w:val="clear" w:color="auto" w:fill="auto"/>
            <w:noWrap/>
            <w:hideMark/>
          </w:tcPr>
          <w:p w14:paraId="688C40BE" w14:textId="77777777" w:rsidR="00C670B7" w:rsidRPr="00CF27EE" w:rsidRDefault="00C670B7" w:rsidP="001E55F7">
            <w:pPr>
              <w:spacing w:after="120" w:line="240" w:lineRule="auto"/>
              <w:rPr>
                <w:rFonts w:cs="Arial"/>
                <w:color w:val="000000"/>
                <w:szCs w:val="20"/>
              </w:rPr>
            </w:pPr>
            <w:r w:rsidRPr="00CF27EE">
              <w:rPr>
                <w:rFonts w:cs="Arial"/>
                <w:color w:val="000000"/>
                <w:szCs w:val="20"/>
              </w:rPr>
              <w:t>14301</w:t>
            </w:r>
          </w:p>
        </w:tc>
        <w:tc>
          <w:tcPr>
            <w:tcW w:w="2980" w:type="dxa"/>
            <w:shd w:val="clear" w:color="auto" w:fill="auto"/>
            <w:noWrap/>
            <w:hideMark/>
          </w:tcPr>
          <w:p w14:paraId="679CAA2A" w14:textId="77777777" w:rsidR="00C670B7" w:rsidRPr="00CF27EE" w:rsidRDefault="00C670B7" w:rsidP="001E55F7">
            <w:pPr>
              <w:spacing w:after="120" w:line="240" w:lineRule="auto"/>
              <w:rPr>
                <w:rFonts w:cs="Arial"/>
                <w:szCs w:val="20"/>
              </w:rPr>
            </w:pPr>
            <w:r w:rsidRPr="00CF27EE">
              <w:rPr>
                <w:rFonts w:cs="Arial"/>
                <w:szCs w:val="20"/>
              </w:rPr>
              <w:t>1526</w:t>
            </w:r>
          </w:p>
        </w:tc>
      </w:tr>
      <w:tr w:rsidR="00C670B7" w:rsidRPr="00CF27EE" w14:paraId="2546CADF" w14:textId="77777777" w:rsidTr="001E55F7">
        <w:trPr>
          <w:trHeight w:val="316"/>
        </w:trPr>
        <w:tc>
          <w:tcPr>
            <w:tcW w:w="3397" w:type="dxa"/>
            <w:shd w:val="clear" w:color="auto" w:fill="auto"/>
            <w:vAlign w:val="center"/>
            <w:hideMark/>
          </w:tcPr>
          <w:p w14:paraId="239EA964" w14:textId="77777777" w:rsidR="00C670B7" w:rsidRPr="00CF27EE" w:rsidRDefault="00C670B7" w:rsidP="001E55F7">
            <w:pPr>
              <w:spacing w:after="120" w:line="240" w:lineRule="auto"/>
              <w:rPr>
                <w:rFonts w:cs="Arial"/>
                <w:color w:val="000000"/>
                <w:szCs w:val="20"/>
              </w:rPr>
            </w:pPr>
            <w:r w:rsidRPr="00CF27EE">
              <w:rPr>
                <w:rFonts w:cs="Arial"/>
                <w:color w:val="000000"/>
                <w:szCs w:val="20"/>
              </w:rPr>
              <w:t>Frequency upper bound (MHz):</w:t>
            </w:r>
          </w:p>
        </w:tc>
        <w:tc>
          <w:tcPr>
            <w:tcW w:w="284" w:type="dxa"/>
            <w:shd w:val="clear" w:color="auto" w:fill="auto"/>
            <w:noWrap/>
            <w:vAlign w:val="bottom"/>
            <w:hideMark/>
          </w:tcPr>
          <w:p w14:paraId="18D530FB" w14:textId="77777777" w:rsidR="00C670B7" w:rsidRPr="00CF27EE" w:rsidRDefault="00C670B7" w:rsidP="001E55F7">
            <w:pPr>
              <w:spacing w:after="120" w:line="240" w:lineRule="auto"/>
              <w:rPr>
                <w:rFonts w:cs="Arial"/>
                <w:color w:val="000000"/>
                <w:szCs w:val="20"/>
              </w:rPr>
            </w:pPr>
            <w:r w:rsidRPr="00CF27EE">
              <w:rPr>
                <w:rFonts w:cs="Arial"/>
                <w:color w:val="000000"/>
                <w:szCs w:val="20"/>
              </w:rPr>
              <w:t> </w:t>
            </w:r>
          </w:p>
        </w:tc>
        <w:tc>
          <w:tcPr>
            <w:tcW w:w="2700" w:type="dxa"/>
            <w:shd w:val="clear" w:color="auto" w:fill="auto"/>
            <w:noWrap/>
            <w:hideMark/>
          </w:tcPr>
          <w:p w14:paraId="45C4D244" w14:textId="77777777" w:rsidR="00C670B7" w:rsidRPr="00CF27EE" w:rsidRDefault="00C670B7" w:rsidP="001E55F7">
            <w:pPr>
              <w:spacing w:after="120" w:line="240" w:lineRule="auto"/>
              <w:rPr>
                <w:rFonts w:cs="Arial"/>
                <w:color w:val="000000"/>
                <w:szCs w:val="20"/>
              </w:rPr>
            </w:pPr>
            <w:r w:rsidRPr="00CF27EE">
              <w:rPr>
                <w:rFonts w:cs="Arial"/>
                <w:color w:val="000000"/>
                <w:szCs w:val="20"/>
              </w:rPr>
              <w:t>14302</w:t>
            </w:r>
          </w:p>
        </w:tc>
        <w:tc>
          <w:tcPr>
            <w:tcW w:w="2980" w:type="dxa"/>
            <w:shd w:val="clear" w:color="auto" w:fill="auto"/>
            <w:noWrap/>
            <w:hideMark/>
          </w:tcPr>
          <w:p w14:paraId="2AC366AD" w14:textId="77777777" w:rsidR="00C670B7" w:rsidRPr="00CF27EE" w:rsidRDefault="00C670B7" w:rsidP="001E55F7">
            <w:pPr>
              <w:spacing w:after="120" w:line="240" w:lineRule="auto"/>
              <w:rPr>
                <w:rFonts w:cs="Arial"/>
                <w:szCs w:val="20"/>
              </w:rPr>
            </w:pPr>
            <w:r w:rsidRPr="00CF27EE">
              <w:rPr>
                <w:rFonts w:cs="Arial"/>
                <w:szCs w:val="20"/>
              </w:rPr>
              <w:t>1527</w:t>
            </w:r>
          </w:p>
        </w:tc>
      </w:tr>
      <w:tr w:rsidR="00C670B7" w:rsidRPr="00CF27EE" w14:paraId="176BDF34" w14:textId="77777777" w:rsidTr="001E55F7">
        <w:trPr>
          <w:trHeight w:val="396"/>
        </w:trPr>
        <w:tc>
          <w:tcPr>
            <w:tcW w:w="3397" w:type="dxa"/>
            <w:shd w:val="clear" w:color="auto" w:fill="auto"/>
            <w:vAlign w:val="center"/>
            <w:hideMark/>
          </w:tcPr>
          <w:p w14:paraId="27E1A68E" w14:textId="77777777" w:rsidR="00C670B7" w:rsidRPr="00CF27EE" w:rsidRDefault="00C670B7" w:rsidP="001E55F7">
            <w:pPr>
              <w:spacing w:after="120" w:line="240" w:lineRule="auto"/>
              <w:rPr>
                <w:rFonts w:cs="Arial"/>
                <w:color w:val="000000"/>
                <w:szCs w:val="20"/>
              </w:rPr>
            </w:pPr>
            <w:r w:rsidRPr="00CF27EE">
              <w:rPr>
                <w:rFonts w:cs="Arial"/>
                <w:color w:val="000000"/>
                <w:szCs w:val="20"/>
              </w:rPr>
              <w:t>Service purpose (Communications, TT&amp;C, Launch/TOSS, or IOT):</w:t>
            </w:r>
          </w:p>
        </w:tc>
        <w:tc>
          <w:tcPr>
            <w:tcW w:w="284" w:type="dxa"/>
            <w:shd w:val="clear" w:color="auto" w:fill="auto"/>
            <w:noWrap/>
            <w:vAlign w:val="bottom"/>
            <w:hideMark/>
          </w:tcPr>
          <w:p w14:paraId="16BF4B63" w14:textId="77777777" w:rsidR="00C670B7" w:rsidRPr="00CF27EE" w:rsidRDefault="00C670B7" w:rsidP="001E55F7">
            <w:pPr>
              <w:spacing w:after="120" w:line="240" w:lineRule="auto"/>
              <w:rPr>
                <w:rFonts w:cs="Arial"/>
                <w:color w:val="000000"/>
                <w:szCs w:val="20"/>
              </w:rPr>
            </w:pPr>
            <w:r w:rsidRPr="00CF27EE">
              <w:rPr>
                <w:rFonts w:cs="Arial"/>
                <w:color w:val="000000"/>
                <w:szCs w:val="20"/>
              </w:rPr>
              <w:t> </w:t>
            </w:r>
          </w:p>
        </w:tc>
        <w:tc>
          <w:tcPr>
            <w:tcW w:w="2700" w:type="dxa"/>
            <w:shd w:val="clear" w:color="auto" w:fill="auto"/>
            <w:noWrap/>
            <w:hideMark/>
          </w:tcPr>
          <w:p w14:paraId="43BBD87A" w14:textId="77777777" w:rsidR="00C670B7" w:rsidRPr="00CF27EE" w:rsidRDefault="00C670B7" w:rsidP="001E55F7">
            <w:pPr>
              <w:spacing w:after="120" w:line="240" w:lineRule="auto"/>
              <w:rPr>
                <w:rFonts w:cs="Arial"/>
                <w:color w:val="000000"/>
                <w:szCs w:val="20"/>
              </w:rPr>
            </w:pPr>
            <w:r w:rsidRPr="00CF27EE">
              <w:rPr>
                <w:rFonts w:cs="Arial"/>
                <w:szCs w:val="20"/>
              </w:rPr>
              <w:t>Launch/TOSS</w:t>
            </w:r>
          </w:p>
        </w:tc>
        <w:tc>
          <w:tcPr>
            <w:tcW w:w="2980" w:type="dxa"/>
            <w:shd w:val="clear" w:color="auto" w:fill="auto"/>
            <w:noWrap/>
            <w:hideMark/>
          </w:tcPr>
          <w:p w14:paraId="186C8D0D" w14:textId="77777777" w:rsidR="00C670B7" w:rsidRPr="00CF27EE" w:rsidRDefault="00C670B7" w:rsidP="001E55F7">
            <w:pPr>
              <w:spacing w:after="120" w:line="240" w:lineRule="auto"/>
              <w:rPr>
                <w:rFonts w:cs="Arial"/>
                <w:szCs w:val="20"/>
              </w:rPr>
            </w:pPr>
            <w:r w:rsidRPr="00CF27EE">
              <w:rPr>
                <w:rFonts w:cs="Arial"/>
                <w:szCs w:val="20"/>
              </w:rPr>
              <w:t xml:space="preserve">Communications </w:t>
            </w:r>
          </w:p>
        </w:tc>
      </w:tr>
      <w:tr w:rsidR="00C670B7" w:rsidRPr="004B06F4" w14:paraId="6BCD0B4B" w14:textId="77777777" w:rsidTr="001E55F7">
        <w:trPr>
          <w:trHeight w:val="409"/>
        </w:trPr>
        <w:tc>
          <w:tcPr>
            <w:tcW w:w="3397" w:type="dxa"/>
            <w:shd w:val="clear" w:color="auto" w:fill="auto"/>
            <w:vAlign w:val="center"/>
            <w:hideMark/>
          </w:tcPr>
          <w:p w14:paraId="205E7934" w14:textId="77777777" w:rsidR="00C670B7" w:rsidRPr="00CF27EE" w:rsidRDefault="00C670B7" w:rsidP="001E55F7">
            <w:r w:rsidRPr="00CF27EE">
              <w:t>The related ITU satellite network name</w:t>
            </w:r>
            <w:r>
              <w:t>:</w:t>
            </w:r>
            <w:r>
              <w:rPr>
                <w:rStyle w:val="FootnoteReference"/>
              </w:rPr>
              <w:footnoteReference w:id="9"/>
            </w:r>
          </w:p>
        </w:tc>
        <w:tc>
          <w:tcPr>
            <w:tcW w:w="284" w:type="dxa"/>
            <w:shd w:val="clear" w:color="auto" w:fill="auto"/>
            <w:noWrap/>
            <w:vAlign w:val="bottom"/>
            <w:hideMark/>
          </w:tcPr>
          <w:p w14:paraId="635C72EA" w14:textId="77777777" w:rsidR="00C670B7" w:rsidRPr="00CF27EE" w:rsidRDefault="00C670B7" w:rsidP="001E55F7">
            <w:pPr>
              <w:spacing w:after="120" w:line="240" w:lineRule="auto"/>
              <w:rPr>
                <w:rFonts w:cs="Arial"/>
                <w:color w:val="000000"/>
                <w:szCs w:val="20"/>
              </w:rPr>
            </w:pPr>
            <w:r w:rsidRPr="00CF27EE">
              <w:rPr>
                <w:rFonts w:cs="Arial"/>
                <w:color w:val="000000"/>
                <w:szCs w:val="20"/>
              </w:rPr>
              <w:t> </w:t>
            </w:r>
          </w:p>
        </w:tc>
        <w:tc>
          <w:tcPr>
            <w:tcW w:w="2700" w:type="dxa"/>
            <w:shd w:val="clear" w:color="auto" w:fill="auto"/>
            <w:noWrap/>
            <w:hideMark/>
          </w:tcPr>
          <w:p w14:paraId="6CB16F98" w14:textId="77777777" w:rsidR="00C670B7" w:rsidRPr="00CF27EE" w:rsidRDefault="00C670B7" w:rsidP="001E55F7">
            <w:pPr>
              <w:spacing w:after="120" w:line="240" w:lineRule="auto"/>
              <w:rPr>
                <w:rFonts w:cs="Arial"/>
                <w:color w:val="000000"/>
                <w:szCs w:val="20"/>
              </w:rPr>
            </w:pPr>
            <w:r w:rsidRPr="00CF27EE">
              <w:rPr>
                <w:rFonts w:cs="Arial"/>
                <w:color w:val="000000"/>
                <w:szCs w:val="20"/>
              </w:rPr>
              <w:t>SAT-A</w:t>
            </w:r>
          </w:p>
        </w:tc>
        <w:tc>
          <w:tcPr>
            <w:tcW w:w="2980" w:type="dxa"/>
            <w:shd w:val="clear" w:color="auto" w:fill="auto"/>
            <w:noWrap/>
            <w:hideMark/>
          </w:tcPr>
          <w:p w14:paraId="6E130C55" w14:textId="77777777" w:rsidR="00C670B7" w:rsidRPr="00CF27EE" w:rsidRDefault="00C670B7" w:rsidP="001E55F7">
            <w:pPr>
              <w:spacing w:after="120" w:line="240" w:lineRule="auto"/>
              <w:rPr>
                <w:rFonts w:cs="Arial"/>
                <w:szCs w:val="20"/>
              </w:rPr>
            </w:pPr>
            <w:r w:rsidRPr="00CF27EE">
              <w:rPr>
                <w:rFonts w:cs="Arial"/>
                <w:szCs w:val="20"/>
              </w:rPr>
              <w:t>SAT-B</w:t>
            </w:r>
          </w:p>
        </w:tc>
      </w:tr>
      <w:tr w:rsidR="00C670B7" w:rsidRPr="004B06F4" w14:paraId="2A5AAA3C" w14:textId="77777777" w:rsidTr="001E55F7">
        <w:trPr>
          <w:trHeight w:val="594"/>
        </w:trPr>
        <w:tc>
          <w:tcPr>
            <w:tcW w:w="3397" w:type="dxa"/>
            <w:shd w:val="clear" w:color="auto" w:fill="auto"/>
            <w:vAlign w:val="center"/>
            <w:hideMark/>
          </w:tcPr>
          <w:p w14:paraId="3437242C" w14:textId="77777777" w:rsidR="00C670B7" w:rsidRPr="00CF27EE" w:rsidRDefault="00C670B7" w:rsidP="001E55F7">
            <w:pPr>
              <w:spacing w:after="120" w:line="240" w:lineRule="auto"/>
              <w:rPr>
                <w:rFonts w:cs="Arial"/>
                <w:color w:val="000000"/>
                <w:szCs w:val="20"/>
              </w:rPr>
            </w:pPr>
            <w:r w:rsidRPr="00CF27EE">
              <w:rPr>
                <w:rFonts w:cs="Arial"/>
                <w:color w:val="000000"/>
                <w:szCs w:val="20"/>
              </w:rPr>
              <w:t>The orbital longitude of the satellite network:</w:t>
            </w:r>
          </w:p>
        </w:tc>
        <w:tc>
          <w:tcPr>
            <w:tcW w:w="284" w:type="dxa"/>
            <w:shd w:val="clear" w:color="auto" w:fill="auto"/>
            <w:noWrap/>
            <w:vAlign w:val="bottom"/>
            <w:hideMark/>
          </w:tcPr>
          <w:p w14:paraId="4273836D" w14:textId="77777777" w:rsidR="00C670B7" w:rsidRPr="00CF27EE" w:rsidRDefault="00C670B7" w:rsidP="001E55F7">
            <w:pPr>
              <w:spacing w:after="120" w:line="240" w:lineRule="auto"/>
              <w:rPr>
                <w:rFonts w:cs="Arial"/>
                <w:color w:val="000000"/>
                <w:szCs w:val="20"/>
              </w:rPr>
            </w:pPr>
            <w:r w:rsidRPr="00CF27EE">
              <w:rPr>
                <w:rFonts w:cs="Arial"/>
                <w:color w:val="000000"/>
                <w:szCs w:val="20"/>
              </w:rPr>
              <w:t> </w:t>
            </w:r>
          </w:p>
        </w:tc>
        <w:tc>
          <w:tcPr>
            <w:tcW w:w="2700" w:type="dxa"/>
            <w:shd w:val="clear" w:color="auto" w:fill="auto"/>
            <w:noWrap/>
            <w:hideMark/>
          </w:tcPr>
          <w:p w14:paraId="6485C576" w14:textId="77777777" w:rsidR="00C670B7" w:rsidRPr="00CF27EE" w:rsidRDefault="00C670B7" w:rsidP="001E55F7">
            <w:pPr>
              <w:spacing w:after="120" w:line="240" w:lineRule="auto"/>
              <w:rPr>
                <w:rFonts w:cs="Arial"/>
                <w:color w:val="000000"/>
                <w:szCs w:val="20"/>
              </w:rPr>
            </w:pPr>
            <w:r w:rsidRPr="00CF27EE">
              <w:rPr>
                <w:rFonts w:cs="Arial"/>
                <w:color w:val="000000"/>
                <w:szCs w:val="20"/>
              </w:rPr>
              <w:t>NGSO</w:t>
            </w:r>
          </w:p>
        </w:tc>
        <w:tc>
          <w:tcPr>
            <w:tcW w:w="2980" w:type="dxa"/>
            <w:shd w:val="clear" w:color="auto" w:fill="auto"/>
            <w:noWrap/>
            <w:hideMark/>
          </w:tcPr>
          <w:p w14:paraId="7AF52A0A" w14:textId="77777777" w:rsidR="00C670B7" w:rsidRPr="00CF27EE" w:rsidRDefault="00C670B7" w:rsidP="001E55F7">
            <w:pPr>
              <w:spacing w:after="120" w:line="240" w:lineRule="auto"/>
              <w:rPr>
                <w:rFonts w:cs="Arial"/>
                <w:szCs w:val="20"/>
              </w:rPr>
            </w:pPr>
            <w:r w:rsidRPr="00CF27EE">
              <w:rPr>
                <w:rFonts w:cs="Arial"/>
                <w:szCs w:val="20"/>
              </w:rPr>
              <w:t>140E</w:t>
            </w:r>
          </w:p>
        </w:tc>
      </w:tr>
      <w:tr w:rsidR="00C670B7" w:rsidRPr="004B06F4" w14:paraId="15E71061" w14:textId="77777777" w:rsidTr="001E55F7">
        <w:trPr>
          <w:trHeight w:val="594"/>
        </w:trPr>
        <w:tc>
          <w:tcPr>
            <w:tcW w:w="3397" w:type="dxa"/>
            <w:shd w:val="clear" w:color="auto" w:fill="auto"/>
            <w:vAlign w:val="center"/>
            <w:hideMark/>
          </w:tcPr>
          <w:p w14:paraId="73418926" w14:textId="77777777" w:rsidR="00C670B7" w:rsidRPr="00CF27EE" w:rsidRDefault="00C670B7" w:rsidP="001E55F7">
            <w:pPr>
              <w:spacing w:after="120" w:line="240" w:lineRule="auto"/>
              <w:rPr>
                <w:rFonts w:cs="Arial"/>
                <w:color w:val="000000"/>
                <w:szCs w:val="20"/>
              </w:rPr>
            </w:pPr>
            <w:r w:rsidRPr="00CF27EE">
              <w:rPr>
                <w:rFonts w:cs="Arial"/>
                <w:color w:val="000000"/>
                <w:szCs w:val="20"/>
              </w:rPr>
              <w:t>The location of the fixed earth station:</w:t>
            </w:r>
          </w:p>
        </w:tc>
        <w:tc>
          <w:tcPr>
            <w:tcW w:w="284" w:type="dxa"/>
            <w:shd w:val="clear" w:color="auto" w:fill="auto"/>
            <w:noWrap/>
            <w:vAlign w:val="bottom"/>
            <w:hideMark/>
          </w:tcPr>
          <w:p w14:paraId="34377057" w14:textId="77777777" w:rsidR="00C670B7" w:rsidRPr="00CF27EE" w:rsidRDefault="00C670B7" w:rsidP="001E55F7">
            <w:pPr>
              <w:spacing w:after="120" w:line="240" w:lineRule="auto"/>
              <w:rPr>
                <w:rFonts w:cs="Arial"/>
                <w:color w:val="000000"/>
                <w:szCs w:val="20"/>
              </w:rPr>
            </w:pPr>
            <w:r w:rsidRPr="00CF27EE">
              <w:rPr>
                <w:rFonts w:cs="Arial"/>
                <w:color w:val="000000"/>
                <w:szCs w:val="20"/>
              </w:rPr>
              <w:t> </w:t>
            </w:r>
          </w:p>
        </w:tc>
        <w:tc>
          <w:tcPr>
            <w:tcW w:w="2700" w:type="dxa"/>
            <w:shd w:val="clear" w:color="auto" w:fill="auto"/>
            <w:noWrap/>
            <w:hideMark/>
          </w:tcPr>
          <w:p w14:paraId="4DDD850F" w14:textId="77777777" w:rsidR="00C670B7" w:rsidRPr="00CF27EE" w:rsidRDefault="00C670B7" w:rsidP="001E55F7">
            <w:pPr>
              <w:spacing w:after="120" w:line="240" w:lineRule="auto"/>
              <w:rPr>
                <w:rFonts w:cs="Arial"/>
                <w:color w:val="000000"/>
                <w:szCs w:val="20"/>
              </w:rPr>
            </w:pPr>
            <w:r w:rsidRPr="00CF27EE">
              <w:rPr>
                <w:rFonts w:cs="Arial"/>
                <w:color w:val="000000"/>
                <w:szCs w:val="20"/>
              </w:rPr>
              <w:t>Landsdale, WA</w:t>
            </w:r>
          </w:p>
        </w:tc>
        <w:tc>
          <w:tcPr>
            <w:tcW w:w="2980" w:type="dxa"/>
            <w:shd w:val="clear" w:color="auto" w:fill="auto"/>
            <w:noWrap/>
            <w:hideMark/>
          </w:tcPr>
          <w:p w14:paraId="464666EB" w14:textId="77777777" w:rsidR="00C670B7" w:rsidRPr="00CF27EE" w:rsidRDefault="00C670B7" w:rsidP="001E55F7">
            <w:pPr>
              <w:spacing w:after="120" w:line="240" w:lineRule="auto"/>
              <w:rPr>
                <w:rFonts w:cs="Arial"/>
                <w:szCs w:val="20"/>
              </w:rPr>
            </w:pPr>
            <w:r w:rsidRPr="00CF27EE">
              <w:rPr>
                <w:rFonts w:cs="Arial"/>
                <w:szCs w:val="20"/>
              </w:rPr>
              <w:t>Sydney, NSW</w:t>
            </w:r>
          </w:p>
        </w:tc>
      </w:tr>
      <w:tr w:rsidR="00C670B7" w:rsidRPr="004B06F4" w14:paraId="4CDBC285" w14:textId="77777777" w:rsidTr="001E55F7">
        <w:trPr>
          <w:trHeight w:val="594"/>
        </w:trPr>
        <w:tc>
          <w:tcPr>
            <w:tcW w:w="3397" w:type="dxa"/>
            <w:shd w:val="clear" w:color="auto" w:fill="auto"/>
            <w:vAlign w:val="center"/>
          </w:tcPr>
          <w:p w14:paraId="5C6C05E5" w14:textId="199F5AE3" w:rsidR="00C670B7" w:rsidRPr="00CF27EE" w:rsidRDefault="00C670B7" w:rsidP="001E55F7">
            <w:pPr>
              <w:spacing w:after="120" w:line="240" w:lineRule="auto"/>
              <w:rPr>
                <w:rFonts w:cs="Arial"/>
                <w:color w:val="000000"/>
                <w:szCs w:val="20"/>
              </w:rPr>
            </w:pPr>
            <w:r w:rsidRPr="00CF27EE">
              <w:rPr>
                <w:rFonts w:cs="Arial"/>
                <w:color w:val="000000"/>
                <w:szCs w:val="20"/>
              </w:rPr>
              <w:t>The maximum e.i.r.p. of the earth station transmitter (for fixed earth licence</w:t>
            </w:r>
            <w:r w:rsidR="009369E7">
              <w:rPr>
                <w:rFonts w:cs="Arial"/>
                <w:color w:val="000000"/>
                <w:szCs w:val="20"/>
              </w:rPr>
              <w:t xml:space="preserve"> and AWL</w:t>
            </w:r>
            <w:r w:rsidRPr="00CF27EE">
              <w:rPr>
                <w:rFonts w:cs="Arial"/>
                <w:color w:val="000000"/>
                <w:szCs w:val="20"/>
              </w:rPr>
              <w:t xml:space="preserve"> only):</w:t>
            </w:r>
          </w:p>
        </w:tc>
        <w:tc>
          <w:tcPr>
            <w:tcW w:w="284" w:type="dxa"/>
            <w:shd w:val="clear" w:color="auto" w:fill="auto"/>
            <w:noWrap/>
            <w:vAlign w:val="bottom"/>
          </w:tcPr>
          <w:p w14:paraId="372B05EC" w14:textId="77777777" w:rsidR="00C670B7" w:rsidRPr="00CF27EE" w:rsidRDefault="00C670B7" w:rsidP="001E55F7">
            <w:pPr>
              <w:spacing w:after="120" w:line="240" w:lineRule="auto"/>
              <w:rPr>
                <w:rFonts w:cs="Arial"/>
                <w:color w:val="000000"/>
                <w:szCs w:val="20"/>
              </w:rPr>
            </w:pPr>
          </w:p>
        </w:tc>
        <w:tc>
          <w:tcPr>
            <w:tcW w:w="2700" w:type="dxa"/>
            <w:shd w:val="clear" w:color="auto" w:fill="auto"/>
            <w:noWrap/>
          </w:tcPr>
          <w:p w14:paraId="088EFF83" w14:textId="77777777" w:rsidR="00C670B7" w:rsidRPr="00CF27EE" w:rsidRDefault="00C670B7" w:rsidP="001E55F7">
            <w:pPr>
              <w:spacing w:after="120" w:line="240" w:lineRule="auto"/>
              <w:rPr>
                <w:rFonts w:cs="Arial"/>
                <w:color w:val="000000"/>
                <w:szCs w:val="20"/>
              </w:rPr>
            </w:pPr>
            <w:r>
              <w:rPr>
                <w:rFonts w:cs="Arial"/>
                <w:color w:val="000000"/>
                <w:szCs w:val="20"/>
              </w:rPr>
              <w:t>–</w:t>
            </w:r>
            <w:r w:rsidRPr="00CF27EE">
              <w:rPr>
                <w:rFonts w:cs="Arial"/>
                <w:color w:val="000000"/>
                <w:szCs w:val="20"/>
              </w:rPr>
              <w:t>3 dBW</w:t>
            </w:r>
          </w:p>
        </w:tc>
        <w:tc>
          <w:tcPr>
            <w:tcW w:w="2980" w:type="dxa"/>
            <w:shd w:val="clear" w:color="auto" w:fill="auto"/>
            <w:noWrap/>
          </w:tcPr>
          <w:p w14:paraId="70ECF0B8" w14:textId="77777777" w:rsidR="00C670B7" w:rsidRPr="00CF27EE" w:rsidRDefault="00C670B7" w:rsidP="001E55F7">
            <w:pPr>
              <w:spacing w:after="120" w:line="240" w:lineRule="auto"/>
              <w:rPr>
                <w:rFonts w:cs="Arial"/>
                <w:szCs w:val="20"/>
              </w:rPr>
            </w:pPr>
            <w:r w:rsidRPr="00CF27EE">
              <w:rPr>
                <w:rFonts w:cs="Arial"/>
                <w:color w:val="000000"/>
                <w:szCs w:val="20"/>
              </w:rPr>
              <w:t>N/A</w:t>
            </w:r>
          </w:p>
        </w:tc>
      </w:tr>
      <w:tr w:rsidR="00C670B7" w:rsidRPr="004B06F4" w14:paraId="0B6882C6" w14:textId="77777777" w:rsidTr="001E55F7">
        <w:trPr>
          <w:trHeight w:val="594"/>
        </w:trPr>
        <w:tc>
          <w:tcPr>
            <w:tcW w:w="3397" w:type="dxa"/>
            <w:shd w:val="clear" w:color="auto" w:fill="auto"/>
            <w:vAlign w:val="center"/>
          </w:tcPr>
          <w:p w14:paraId="25C255F0" w14:textId="1B74B97E" w:rsidR="00C670B7" w:rsidRPr="004B06F4" w:rsidRDefault="00C670B7" w:rsidP="001E55F7">
            <w:pPr>
              <w:spacing w:after="120" w:line="240" w:lineRule="auto"/>
              <w:rPr>
                <w:rFonts w:cs="Arial"/>
                <w:color w:val="000000"/>
                <w:szCs w:val="20"/>
                <w:highlight w:val="yellow"/>
              </w:rPr>
            </w:pPr>
            <w:r w:rsidRPr="00CF27EE">
              <w:rPr>
                <w:rFonts w:cs="Arial"/>
                <w:color w:val="000000"/>
                <w:szCs w:val="20"/>
              </w:rPr>
              <w:t>The antenna 3dB beamwidth (for fixed earth licence</w:t>
            </w:r>
            <w:r w:rsidR="009369E7">
              <w:rPr>
                <w:rFonts w:cs="Arial"/>
                <w:color w:val="000000"/>
                <w:szCs w:val="20"/>
              </w:rPr>
              <w:t xml:space="preserve"> and AWL</w:t>
            </w:r>
            <w:r w:rsidRPr="00CF27EE">
              <w:rPr>
                <w:rFonts w:cs="Arial"/>
                <w:color w:val="000000"/>
                <w:szCs w:val="20"/>
              </w:rPr>
              <w:t xml:space="preserve"> only)</w:t>
            </w:r>
            <w:r>
              <w:rPr>
                <w:rFonts w:cs="Arial"/>
                <w:color w:val="000000"/>
                <w:szCs w:val="20"/>
              </w:rPr>
              <w:t>:</w:t>
            </w:r>
          </w:p>
        </w:tc>
        <w:tc>
          <w:tcPr>
            <w:tcW w:w="284" w:type="dxa"/>
            <w:shd w:val="clear" w:color="auto" w:fill="auto"/>
            <w:noWrap/>
            <w:vAlign w:val="bottom"/>
          </w:tcPr>
          <w:p w14:paraId="2B67A810" w14:textId="77777777" w:rsidR="00C670B7" w:rsidRPr="004B06F4" w:rsidRDefault="00C670B7" w:rsidP="001E55F7">
            <w:pPr>
              <w:spacing w:after="120" w:line="240" w:lineRule="auto"/>
              <w:rPr>
                <w:rFonts w:cs="Arial"/>
                <w:color w:val="000000"/>
                <w:szCs w:val="20"/>
                <w:highlight w:val="yellow"/>
              </w:rPr>
            </w:pPr>
          </w:p>
        </w:tc>
        <w:tc>
          <w:tcPr>
            <w:tcW w:w="2700" w:type="dxa"/>
            <w:shd w:val="clear" w:color="auto" w:fill="auto"/>
            <w:noWrap/>
          </w:tcPr>
          <w:p w14:paraId="42A7396A" w14:textId="77777777" w:rsidR="00C670B7" w:rsidRPr="004B06F4" w:rsidRDefault="00C670B7" w:rsidP="001E55F7">
            <w:pPr>
              <w:spacing w:after="120" w:line="240" w:lineRule="auto"/>
              <w:rPr>
                <w:rFonts w:cs="Arial"/>
                <w:color w:val="000000"/>
                <w:szCs w:val="20"/>
                <w:highlight w:val="yellow"/>
              </w:rPr>
            </w:pPr>
            <w:r w:rsidRPr="00CF27EE">
              <w:rPr>
                <w:rFonts w:cs="Arial"/>
                <w:color w:val="000000"/>
                <w:szCs w:val="20"/>
              </w:rPr>
              <w:t>0.5 degree</w:t>
            </w:r>
          </w:p>
        </w:tc>
        <w:tc>
          <w:tcPr>
            <w:tcW w:w="2980" w:type="dxa"/>
            <w:shd w:val="clear" w:color="auto" w:fill="auto"/>
            <w:noWrap/>
          </w:tcPr>
          <w:p w14:paraId="24527BEA" w14:textId="77777777" w:rsidR="00C670B7" w:rsidRPr="004B06F4" w:rsidRDefault="00C670B7" w:rsidP="001E55F7">
            <w:pPr>
              <w:spacing w:after="120" w:line="240" w:lineRule="auto"/>
              <w:rPr>
                <w:rFonts w:cs="Arial"/>
                <w:color w:val="000000"/>
                <w:szCs w:val="20"/>
                <w:highlight w:val="yellow"/>
              </w:rPr>
            </w:pPr>
            <w:r w:rsidRPr="00CF27EE">
              <w:rPr>
                <w:rFonts w:cs="Arial"/>
                <w:color w:val="000000"/>
                <w:szCs w:val="20"/>
              </w:rPr>
              <w:t>N/A</w:t>
            </w:r>
          </w:p>
        </w:tc>
      </w:tr>
      <w:tr w:rsidR="00C670B7" w:rsidRPr="004B06F4" w14:paraId="4DA33FB7" w14:textId="77777777" w:rsidTr="001E55F7">
        <w:trPr>
          <w:trHeight w:val="594"/>
        </w:trPr>
        <w:tc>
          <w:tcPr>
            <w:tcW w:w="3397" w:type="dxa"/>
            <w:tcBorders>
              <w:bottom w:val="single" w:sz="4" w:space="0" w:color="auto"/>
            </w:tcBorders>
            <w:shd w:val="clear" w:color="auto" w:fill="auto"/>
            <w:vAlign w:val="center"/>
          </w:tcPr>
          <w:p w14:paraId="436D9356" w14:textId="52793FB9" w:rsidR="00C670B7" w:rsidRPr="004B06F4" w:rsidRDefault="00C670B7" w:rsidP="001E55F7">
            <w:pPr>
              <w:spacing w:after="120" w:line="240" w:lineRule="auto"/>
              <w:rPr>
                <w:rFonts w:cs="Arial"/>
                <w:color w:val="000000"/>
                <w:szCs w:val="20"/>
                <w:highlight w:val="yellow"/>
              </w:rPr>
            </w:pPr>
            <w:r w:rsidRPr="00CF27EE">
              <w:rPr>
                <w:rFonts w:cs="Arial"/>
                <w:color w:val="000000"/>
                <w:szCs w:val="20"/>
              </w:rPr>
              <w:t xml:space="preserve">The antenna maximum gain (for fixed earth licence </w:t>
            </w:r>
            <w:r w:rsidR="009369E7">
              <w:rPr>
                <w:rFonts w:cs="Arial"/>
                <w:color w:val="000000"/>
                <w:szCs w:val="20"/>
              </w:rPr>
              <w:t xml:space="preserve">and AWL </w:t>
            </w:r>
            <w:r w:rsidRPr="00CF27EE">
              <w:rPr>
                <w:rFonts w:cs="Arial"/>
                <w:color w:val="000000"/>
                <w:szCs w:val="20"/>
              </w:rPr>
              <w:t>only)</w:t>
            </w:r>
            <w:r>
              <w:rPr>
                <w:rFonts w:cs="Arial"/>
                <w:color w:val="000000"/>
                <w:szCs w:val="20"/>
              </w:rPr>
              <w:t>:</w:t>
            </w:r>
          </w:p>
        </w:tc>
        <w:tc>
          <w:tcPr>
            <w:tcW w:w="284" w:type="dxa"/>
            <w:tcBorders>
              <w:bottom w:val="single" w:sz="4" w:space="0" w:color="auto"/>
            </w:tcBorders>
            <w:shd w:val="clear" w:color="auto" w:fill="auto"/>
            <w:noWrap/>
            <w:vAlign w:val="bottom"/>
          </w:tcPr>
          <w:p w14:paraId="5DBA26ED" w14:textId="77777777" w:rsidR="00C670B7" w:rsidRPr="004B06F4" w:rsidRDefault="00C670B7" w:rsidP="001E55F7">
            <w:pPr>
              <w:spacing w:after="120" w:line="240" w:lineRule="auto"/>
              <w:rPr>
                <w:rFonts w:cs="Arial"/>
                <w:color w:val="000000"/>
                <w:szCs w:val="20"/>
                <w:highlight w:val="yellow"/>
              </w:rPr>
            </w:pPr>
          </w:p>
        </w:tc>
        <w:tc>
          <w:tcPr>
            <w:tcW w:w="2700" w:type="dxa"/>
            <w:tcBorders>
              <w:bottom w:val="single" w:sz="4" w:space="0" w:color="auto"/>
            </w:tcBorders>
            <w:shd w:val="clear" w:color="auto" w:fill="auto"/>
            <w:noWrap/>
          </w:tcPr>
          <w:p w14:paraId="49744663" w14:textId="77777777" w:rsidR="00C670B7" w:rsidRPr="00CF27EE" w:rsidRDefault="00C670B7" w:rsidP="001E55F7">
            <w:pPr>
              <w:spacing w:after="120" w:line="240" w:lineRule="auto"/>
              <w:rPr>
                <w:rFonts w:cs="Arial"/>
                <w:color w:val="000000"/>
                <w:szCs w:val="20"/>
              </w:rPr>
            </w:pPr>
            <w:r w:rsidRPr="00CF27EE">
              <w:rPr>
                <w:rFonts w:cs="Arial"/>
                <w:color w:val="000000"/>
                <w:szCs w:val="20"/>
              </w:rPr>
              <w:t>30 dBi</w:t>
            </w:r>
          </w:p>
        </w:tc>
        <w:tc>
          <w:tcPr>
            <w:tcW w:w="2980" w:type="dxa"/>
            <w:tcBorders>
              <w:bottom w:val="single" w:sz="4" w:space="0" w:color="auto"/>
            </w:tcBorders>
            <w:shd w:val="clear" w:color="auto" w:fill="auto"/>
            <w:noWrap/>
          </w:tcPr>
          <w:p w14:paraId="0CBD1A36" w14:textId="77777777" w:rsidR="00C670B7" w:rsidRPr="00CF27EE" w:rsidRDefault="00C670B7" w:rsidP="001E55F7">
            <w:pPr>
              <w:spacing w:after="120" w:line="240" w:lineRule="auto"/>
              <w:rPr>
                <w:rFonts w:cs="Arial"/>
                <w:color w:val="000000"/>
                <w:szCs w:val="20"/>
              </w:rPr>
            </w:pPr>
            <w:r w:rsidRPr="00CF27EE">
              <w:rPr>
                <w:rFonts w:cs="Arial"/>
                <w:color w:val="000000"/>
                <w:szCs w:val="20"/>
              </w:rPr>
              <w:t>N/A</w:t>
            </w:r>
          </w:p>
        </w:tc>
      </w:tr>
    </w:tbl>
    <w:p w14:paraId="0AD02EDE" w14:textId="3EC0DC9B" w:rsidR="00C670B7" w:rsidRDefault="00C670B7" w:rsidP="00C670B7">
      <w:pPr>
        <w:spacing w:before="240"/>
        <w:rPr>
          <w:rFonts w:cs="Arial"/>
          <w:szCs w:val="20"/>
        </w:rPr>
      </w:pPr>
      <w:r w:rsidRPr="00CF27EE">
        <w:rPr>
          <w:rFonts w:cs="Arial"/>
          <w:szCs w:val="20"/>
        </w:rPr>
        <w:lastRenderedPageBreak/>
        <w:t>Note</w:t>
      </w:r>
      <w:r w:rsidR="00F57646">
        <w:rPr>
          <w:rFonts w:cs="Arial"/>
          <w:szCs w:val="20"/>
        </w:rPr>
        <w:t xml:space="preserve"> 1</w:t>
      </w:r>
      <w:r w:rsidRPr="00CF27EE">
        <w:rPr>
          <w:rFonts w:cs="Arial"/>
          <w:szCs w:val="20"/>
        </w:rPr>
        <w:t xml:space="preserve">: depending </w:t>
      </w:r>
      <w:r>
        <w:rPr>
          <w:rFonts w:cs="Arial"/>
          <w:szCs w:val="20"/>
        </w:rPr>
        <w:t xml:space="preserve">on </w:t>
      </w:r>
      <w:r w:rsidRPr="00CF27EE">
        <w:rPr>
          <w:rFonts w:cs="Arial"/>
          <w:szCs w:val="20"/>
        </w:rPr>
        <w:t>the specifics of certain licence applications, the ACMA may seek further information from the applicant or AP to assist with the assessment.</w:t>
      </w:r>
    </w:p>
    <w:p w14:paraId="0CAE18A6" w14:textId="65DF8B34" w:rsidR="00E44C84" w:rsidRDefault="00F57646" w:rsidP="00E44C84">
      <w:pPr>
        <w:spacing w:before="240"/>
      </w:pPr>
      <w:r>
        <w:rPr>
          <w:rFonts w:cs="Arial"/>
          <w:szCs w:val="20"/>
        </w:rPr>
        <w:t xml:space="preserve">Note </w:t>
      </w:r>
      <w:r w:rsidRPr="007C32E9">
        <w:rPr>
          <w:rFonts w:cs="Arial"/>
          <w:szCs w:val="20"/>
        </w:rPr>
        <w:t>2</w:t>
      </w:r>
      <w:r>
        <w:rPr>
          <w:rFonts w:cs="Arial"/>
          <w:szCs w:val="20"/>
        </w:rPr>
        <w:t>:</w:t>
      </w:r>
      <w:r w:rsidRPr="007C32E9">
        <w:t xml:space="preserve"> </w:t>
      </w:r>
      <w:r>
        <w:t>Where a</w:t>
      </w:r>
      <w:r w:rsidR="00E44C84">
        <w:t xml:space="preserve"> </w:t>
      </w:r>
      <w:r>
        <w:t>n</w:t>
      </w:r>
      <w:r w:rsidR="00E44C84">
        <w:t>ew</w:t>
      </w:r>
      <w:r>
        <w:t xml:space="preserve"> earth station is to be authorised </w:t>
      </w:r>
      <w:r w:rsidRPr="00E44C84">
        <w:t>under an AWL, the relevant licence number should also be provided.</w:t>
      </w:r>
      <w:r w:rsidR="00E44C84" w:rsidRPr="00E44C84">
        <w:t xml:space="preserve"> For variations</w:t>
      </w:r>
      <w:r w:rsidR="00E44C84" w:rsidRPr="00851535">
        <w:t xml:space="preserve"> under an AWL the existing device registration number is required. For variations under earth/earth receive licences the current licence number/station identification number is required.</w:t>
      </w:r>
    </w:p>
    <w:p w14:paraId="42481360" w14:textId="2B56B585" w:rsidR="009579A0" w:rsidRDefault="009579A0" w:rsidP="009579A0">
      <w:pPr>
        <w:spacing w:before="240"/>
      </w:pPr>
      <w:r>
        <w:rPr>
          <w:rFonts w:cs="Arial"/>
          <w:szCs w:val="20"/>
        </w:rPr>
        <w:t xml:space="preserve">Note 3: the above are only examples indicating the type of information required when applying for an </w:t>
      </w:r>
      <w:r>
        <w:rPr>
          <w:rFonts w:cs="Arial"/>
          <w:i/>
          <w:iCs/>
          <w:szCs w:val="20"/>
        </w:rPr>
        <w:t>earth</w:t>
      </w:r>
      <w:r>
        <w:rPr>
          <w:rFonts w:cs="Arial"/>
          <w:szCs w:val="20"/>
        </w:rPr>
        <w:t xml:space="preserve"> or </w:t>
      </w:r>
      <w:r w:rsidRPr="009579A0">
        <w:rPr>
          <w:rFonts w:cs="Arial"/>
          <w:i/>
          <w:iCs/>
          <w:szCs w:val="20"/>
        </w:rPr>
        <w:t>earth</w:t>
      </w:r>
      <w:r w:rsidRPr="009B1DCA">
        <w:rPr>
          <w:rFonts w:cs="Arial"/>
          <w:i/>
          <w:iCs/>
          <w:szCs w:val="20"/>
        </w:rPr>
        <w:t xml:space="preserve"> receive</w:t>
      </w:r>
      <w:r>
        <w:rPr>
          <w:rFonts w:cs="Arial"/>
          <w:szCs w:val="20"/>
        </w:rPr>
        <w:t xml:space="preserve"> licence.</w:t>
      </w:r>
    </w:p>
    <w:p w14:paraId="4BEC460C" w14:textId="77777777" w:rsidR="009579A0" w:rsidRPr="007C32E9" w:rsidRDefault="009579A0" w:rsidP="00E44C84">
      <w:pPr>
        <w:spacing w:before="240"/>
      </w:pPr>
    </w:p>
    <w:p w14:paraId="2C924B1C" w14:textId="0DF44707" w:rsidR="00F57646" w:rsidRPr="007C32E9" w:rsidRDefault="00F57646" w:rsidP="00F57646">
      <w:pPr>
        <w:spacing w:before="240"/>
      </w:pPr>
    </w:p>
    <w:p w14:paraId="07DBF9C8" w14:textId="77777777" w:rsidR="00F57646" w:rsidRPr="004B06F4" w:rsidRDefault="00F57646" w:rsidP="00C670B7">
      <w:pPr>
        <w:spacing w:before="240"/>
        <w:rPr>
          <w:highlight w:val="yellow"/>
        </w:rPr>
      </w:pPr>
    </w:p>
    <w:p w14:paraId="6FA2B6E3" w14:textId="77777777" w:rsidR="00C670B7" w:rsidRPr="00B25268" w:rsidRDefault="00C670B7" w:rsidP="00C670B7">
      <w:pPr>
        <w:pStyle w:val="AppL1"/>
        <w:pageBreakBefore/>
        <w:rPr>
          <w:b/>
        </w:rPr>
      </w:pPr>
      <w:bookmarkStart w:id="453" w:name="_Toc490122675"/>
      <w:bookmarkStart w:id="454" w:name="_Toc24979681"/>
      <w:bookmarkStart w:id="455" w:name="_Toc490747847"/>
      <w:bookmarkStart w:id="456" w:name="_Toc109221802"/>
      <w:r w:rsidRPr="00B25268">
        <w:rPr>
          <w:b/>
        </w:rPr>
        <w:lastRenderedPageBreak/>
        <w:t>Letter of assurance pro forma</w:t>
      </w:r>
      <w:bookmarkEnd w:id="453"/>
      <w:bookmarkEnd w:id="454"/>
      <w:bookmarkEnd w:id="455"/>
      <w:bookmarkEnd w:id="456"/>
    </w:p>
    <w:bookmarkEnd w:id="22"/>
    <w:p w14:paraId="504F242A" w14:textId="2920C0B8" w:rsidR="00C670B7" w:rsidRPr="00CF27EE" w:rsidRDefault="00C670B7" w:rsidP="00C670B7">
      <w:pPr>
        <w:rPr>
          <w:i/>
        </w:rPr>
      </w:pPr>
      <w:r w:rsidRPr="00CF27EE">
        <w:rPr>
          <w:i/>
        </w:rPr>
        <w:t>This pro forma is to be used when a satellite filing has not been successfully recorded in the Master International Frequency Regis</w:t>
      </w:r>
      <w:r>
        <w:rPr>
          <w:i/>
        </w:rPr>
        <w:t>ter (MIFR)</w:t>
      </w:r>
      <w:r w:rsidR="003974BE" w:rsidRPr="003974BE">
        <w:t xml:space="preserve"> </w:t>
      </w:r>
      <w:r w:rsidR="003974BE" w:rsidRPr="003974BE">
        <w:rPr>
          <w:i/>
        </w:rPr>
        <w:t>or a satellite filing has been recorded in the MIFR but with unfavourable findings under 11.41</w:t>
      </w:r>
      <w:r>
        <w:rPr>
          <w:i/>
        </w:rPr>
        <w:t xml:space="preserve">. </w:t>
      </w:r>
    </w:p>
    <w:p w14:paraId="072B4949" w14:textId="4EF79B07" w:rsidR="00C670B7" w:rsidRPr="00CF27EE" w:rsidRDefault="00C670B7" w:rsidP="00C670B7">
      <w:r w:rsidRPr="00CF27EE">
        <w:t xml:space="preserve">The application for </w:t>
      </w:r>
      <w:r w:rsidR="00F57646">
        <w:t>[</w:t>
      </w:r>
      <w:r w:rsidRPr="00CF27EE">
        <w:t xml:space="preserve">a licence </w:t>
      </w:r>
      <w:r w:rsidR="00F57646">
        <w:t>/ device registration a</w:t>
      </w:r>
      <w:r w:rsidR="00772AEE">
        <w:t>ssessment</w:t>
      </w:r>
      <w:r w:rsidR="00F57646">
        <w:t xml:space="preserve">] </w:t>
      </w:r>
      <w:r w:rsidRPr="00CF27EE">
        <w:t>to communicate with [</w:t>
      </w:r>
      <w:r w:rsidRPr="00CF27EE">
        <w:rPr>
          <w:i/>
        </w:rPr>
        <w:t>satellite commercial name</w:t>
      </w:r>
      <w:r w:rsidRPr="00CF27EE">
        <w:t>] in the frequency bands [</w:t>
      </w:r>
      <w:r w:rsidRPr="00CF27EE">
        <w:rPr>
          <w:i/>
        </w:rPr>
        <w:t>insert frequency bands</w:t>
      </w:r>
      <w:r w:rsidRPr="00CF27EE">
        <w:t>] will use the [</w:t>
      </w:r>
      <w:r w:rsidRPr="00CF27EE">
        <w:rPr>
          <w:i/>
        </w:rPr>
        <w:t>ITU satellite filing name</w:t>
      </w:r>
      <w:r w:rsidRPr="00CF27EE">
        <w:t>] satellite filing, for which the International Telecommunication Union (ITU) has published 'special sections' such as [C</w:t>
      </w:r>
      <w:r w:rsidRPr="00CF27EE">
        <w:rPr>
          <w:i/>
        </w:rPr>
        <w:t>R/C xxx in IFIC XXXX (only include one</w:t>
      </w:r>
      <w:r>
        <w:rPr>
          <w:i/>
        </w:rPr>
        <w:t>–</w:t>
      </w:r>
      <w:r w:rsidRPr="00CF27EE">
        <w:rPr>
          <w:i/>
        </w:rPr>
        <w:t>preferably the CR/C publication)</w:t>
      </w:r>
      <w:r w:rsidRPr="00CF27EE">
        <w:t>]. This filing has been made by the Administration of [</w:t>
      </w:r>
      <w:r w:rsidRPr="00CF27EE">
        <w:rPr>
          <w:i/>
        </w:rPr>
        <w:t>country name</w:t>
      </w:r>
      <w:r w:rsidRPr="00CF27EE">
        <w:t>]</w:t>
      </w:r>
      <w:r w:rsidR="005E5711">
        <w:t xml:space="preserve"> </w:t>
      </w:r>
      <w:r w:rsidRPr="00CF27EE">
        <w:t>and has orbital position/characteristics of [</w:t>
      </w:r>
      <w:r w:rsidRPr="00CF27EE">
        <w:rPr>
          <w:i/>
        </w:rPr>
        <w:t xml:space="preserve">XXX E/W </w:t>
      </w:r>
      <w:r w:rsidRPr="00CF27EE">
        <w:t>(GSO) or contains a constellation of</w:t>
      </w:r>
      <w:r w:rsidRPr="00CF27EE">
        <w:rPr>
          <w:i/>
        </w:rPr>
        <w:t xml:space="preserve"> P </w:t>
      </w:r>
      <w:r w:rsidRPr="00CF27EE">
        <w:t>satellites in</w:t>
      </w:r>
      <w:r w:rsidRPr="00CF27EE">
        <w:rPr>
          <w:i/>
        </w:rPr>
        <w:t xml:space="preserve"> Q</w:t>
      </w:r>
      <w:r w:rsidRPr="00CF27EE">
        <w:t xml:space="preserve"> planes at </w:t>
      </w:r>
      <w:r w:rsidRPr="00CF27EE">
        <w:rPr>
          <w:i/>
        </w:rPr>
        <w:t>R</w:t>
      </w:r>
      <w:r w:rsidRPr="00CF27EE">
        <w:t xml:space="preserve"> inclination and </w:t>
      </w:r>
      <w:r w:rsidRPr="00CF27EE">
        <w:rPr>
          <w:i/>
        </w:rPr>
        <w:t>S</w:t>
      </w:r>
      <w:r w:rsidRPr="00CF27EE">
        <w:t xml:space="preserve"> altitude (NGSO)].</w:t>
      </w:r>
    </w:p>
    <w:p w14:paraId="22A729D2" w14:textId="77777777" w:rsidR="00C670B7" w:rsidRPr="00CF27EE" w:rsidRDefault="00C670B7" w:rsidP="00C670B7">
      <w:pPr>
        <w:spacing w:after="80"/>
      </w:pPr>
      <w:r w:rsidRPr="00CF27EE">
        <w:t>[</w:t>
      </w:r>
      <w:r w:rsidRPr="00CF27EE">
        <w:rPr>
          <w:i/>
        </w:rPr>
        <w:t>Satellite operator</w:t>
      </w:r>
      <w:r w:rsidRPr="00CF27EE">
        <w:t>] provides the following assurances</w:t>
      </w:r>
      <w:r>
        <w:rPr>
          <w:rStyle w:val="FootnoteReference"/>
        </w:rPr>
        <w:footnoteReference w:id="10"/>
      </w:r>
      <w:r>
        <w:t xml:space="preserve"> </w:t>
      </w:r>
      <w:r w:rsidRPr="00CF27EE">
        <w:t>to the ACMA to support applications for licences within Australia:</w:t>
      </w:r>
    </w:p>
    <w:p w14:paraId="01FC2EE4" w14:textId="50E5380A" w:rsidR="00C670B7" w:rsidRDefault="00C670B7" w:rsidP="00642946">
      <w:pPr>
        <w:pStyle w:val="ListNumber"/>
        <w:numPr>
          <w:ilvl w:val="0"/>
          <w:numId w:val="0"/>
        </w:numPr>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0"/>
        <w:gridCol w:w="3831"/>
      </w:tblGrid>
      <w:tr w:rsidR="00431E23" w14:paraId="5BB1E660" w14:textId="77777777" w:rsidTr="007D5330">
        <w:tc>
          <w:tcPr>
            <w:tcW w:w="3830" w:type="dxa"/>
          </w:tcPr>
          <w:p w14:paraId="134A9FBA" w14:textId="77777777" w:rsidR="00431E23" w:rsidRDefault="00431E23" w:rsidP="007D5330">
            <w:pPr>
              <w:spacing w:after="80"/>
            </w:pPr>
            <w:r w:rsidRPr="00773F0B">
              <w:rPr>
                <w:i/>
              </w:rPr>
              <w:t>Not recorded in the MIFR</w:t>
            </w:r>
          </w:p>
        </w:tc>
        <w:tc>
          <w:tcPr>
            <w:tcW w:w="3831" w:type="dxa"/>
          </w:tcPr>
          <w:p w14:paraId="30DE500E" w14:textId="77777777" w:rsidR="00431E23" w:rsidRDefault="00431E23" w:rsidP="007D5330">
            <w:pPr>
              <w:spacing w:after="80"/>
            </w:pPr>
            <w:r w:rsidRPr="00773F0B">
              <w:rPr>
                <w:i/>
              </w:rPr>
              <w:t>Recorded in MIFR under 11.41</w:t>
            </w:r>
          </w:p>
        </w:tc>
      </w:tr>
      <w:tr w:rsidR="00431E23" w14:paraId="653602EE" w14:textId="77777777" w:rsidTr="007D5330">
        <w:tc>
          <w:tcPr>
            <w:tcW w:w="3830" w:type="dxa"/>
          </w:tcPr>
          <w:p w14:paraId="52DFE10B" w14:textId="04A3C987" w:rsidR="00431E23" w:rsidRPr="009B0639" w:rsidRDefault="00431E23" w:rsidP="00642946">
            <w:pPr>
              <w:pStyle w:val="ListNumber"/>
              <w:numPr>
                <w:ilvl w:val="0"/>
                <w:numId w:val="30"/>
              </w:numPr>
            </w:pPr>
            <w:r w:rsidRPr="009B0639">
              <w:t>Coordination with other administrations for the [</w:t>
            </w:r>
            <w:r w:rsidRPr="004C13B9">
              <w:rPr>
                <w:i/>
              </w:rPr>
              <w:t>ITU satellite filing name</w:t>
            </w:r>
            <w:r w:rsidRPr="009B0639">
              <w:t>] satellite filing has begun but has not yet resulted in a ‘favourable finding’ (Part II-s) notification published by the ITU in a fortnightly international frequency information circular (IFIC).</w:t>
            </w:r>
          </w:p>
          <w:p w14:paraId="71C9399C" w14:textId="77777777" w:rsidR="00431E23" w:rsidRDefault="00431E23" w:rsidP="007D5330">
            <w:pPr>
              <w:spacing w:after="80"/>
            </w:pPr>
          </w:p>
        </w:tc>
        <w:tc>
          <w:tcPr>
            <w:tcW w:w="3831" w:type="dxa"/>
          </w:tcPr>
          <w:p w14:paraId="4FB414F9" w14:textId="434ACE87" w:rsidR="00431E23" w:rsidRPr="009B0639" w:rsidRDefault="00431E23" w:rsidP="00642946">
            <w:pPr>
              <w:pStyle w:val="ListNumber"/>
              <w:numPr>
                <w:ilvl w:val="6"/>
                <w:numId w:val="15"/>
              </w:numPr>
            </w:pPr>
            <w:r w:rsidRPr="009B0639">
              <w:t>Coordination with other administrations for the [</w:t>
            </w:r>
            <w:r w:rsidRPr="00B43A09">
              <w:rPr>
                <w:i/>
              </w:rPr>
              <w:t>ITU satellite filing name</w:t>
            </w:r>
            <w:r w:rsidRPr="009B0639">
              <w:t>] satellite filing has resulted in (Part II-s) notification published by the ITU in fortnightly international frequency information circular</w:t>
            </w:r>
            <w:r>
              <w:t>(s)</w:t>
            </w:r>
            <w:r w:rsidRPr="009B0639">
              <w:t xml:space="preserve"> (IFIC)</w:t>
            </w:r>
            <w:r>
              <w:t xml:space="preserve"> IFIC-number</w:t>
            </w:r>
            <w:r w:rsidRPr="009B0639">
              <w:t>.</w:t>
            </w:r>
          </w:p>
          <w:p w14:paraId="4A9585AC" w14:textId="77777777" w:rsidR="00431E23" w:rsidRDefault="00431E23" w:rsidP="007D5330">
            <w:pPr>
              <w:pStyle w:val="ListNumber"/>
              <w:numPr>
                <w:ilvl w:val="0"/>
                <w:numId w:val="0"/>
              </w:numPr>
              <w:ind w:left="360"/>
            </w:pPr>
          </w:p>
        </w:tc>
      </w:tr>
    </w:tbl>
    <w:p w14:paraId="1454C65D" w14:textId="77777777" w:rsidR="00431E23" w:rsidRPr="00CF27EE" w:rsidRDefault="00431E23" w:rsidP="00642946">
      <w:pPr>
        <w:pStyle w:val="ListNumber"/>
        <w:numPr>
          <w:ilvl w:val="0"/>
          <w:numId w:val="0"/>
        </w:numPr>
        <w:ind w:left="360"/>
      </w:pPr>
    </w:p>
    <w:p w14:paraId="429F8CE3" w14:textId="77777777" w:rsidR="00C670B7" w:rsidRPr="00CF27EE" w:rsidRDefault="00C670B7" w:rsidP="00C670B7">
      <w:pPr>
        <w:pStyle w:val="ListNumber"/>
      </w:pPr>
      <w:r w:rsidRPr="00CF27EE">
        <w:t>To the best of our knowledge, operation in accordance with the [</w:t>
      </w:r>
      <w:r w:rsidRPr="00CF27EE">
        <w:rPr>
          <w:i/>
        </w:rPr>
        <w:t>ITU satellite filing name</w:t>
      </w:r>
      <w:r w:rsidRPr="00CF27EE">
        <w:t>] satellite filing will not cause harmful interference to other satellite networks operating as per the ITU Radio Regulations.</w:t>
      </w:r>
    </w:p>
    <w:p w14:paraId="7DECB2CF" w14:textId="77777777" w:rsidR="00C670B7" w:rsidRPr="00B845F7" w:rsidRDefault="00C670B7" w:rsidP="00C670B7">
      <w:pPr>
        <w:pStyle w:val="ListNumber"/>
      </w:pPr>
      <w:r w:rsidRPr="00CF27EE">
        <w:t>That in the event of any actual case of harmful interference (to other satellite networks operating as per the ITU Radio Regulations), all efforts will be made to immediately address and resolve such interference.</w:t>
      </w:r>
    </w:p>
    <w:p w14:paraId="304E4391" w14:textId="0351DBA0" w:rsidR="00872DFF" w:rsidRPr="00B845F7" w:rsidRDefault="00872DFF" w:rsidP="00C670B7">
      <w:pPr>
        <w:pStyle w:val="ListNumber"/>
        <w:numPr>
          <w:ilvl w:val="0"/>
          <w:numId w:val="0"/>
        </w:numPr>
        <w:ind w:left="360" w:hanging="360"/>
      </w:pPr>
    </w:p>
    <w:sectPr w:rsidR="00872DFF" w:rsidRPr="00B845F7" w:rsidSect="00C77380">
      <w:headerReference w:type="even" r:id="rId50"/>
      <w:headerReference w:type="default" r:id="rId51"/>
      <w:footerReference w:type="even" r:id="rId52"/>
      <w:footerReference w:type="default" r:id="rId53"/>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FC4DE" w14:textId="77777777" w:rsidR="009047AC" w:rsidRDefault="009047AC">
      <w:r>
        <w:separator/>
      </w:r>
    </w:p>
  </w:endnote>
  <w:endnote w:type="continuationSeparator" w:id="0">
    <w:p w14:paraId="0CECA2C8" w14:textId="77777777" w:rsidR="009047AC" w:rsidRDefault="009047AC">
      <w:r>
        <w:continuationSeparator/>
      </w:r>
    </w:p>
  </w:endnote>
  <w:endnote w:type="continuationNotice" w:id="1">
    <w:p w14:paraId="0734AFE1" w14:textId="77777777" w:rsidR="009047AC" w:rsidRDefault="009047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altName w:val="Malgun Gothic"/>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A402" w14:textId="77777777" w:rsidR="00C85982" w:rsidRDefault="00C85982" w:rsidP="000A0E3E">
    <w:pPr>
      <w:pStyle w:val="Footer"/>
      <w:tabs>
        <w:tab w:val="left" w:pos="6630"/>
        <w:tab w:val="right" w:pos="9780"/>
      </w:tabs>
    </w:pPr>
    <w:bookmarkStart w:id="1" w:name="_Hlk48117198"/>
    <w:bookmarkStart w:id="2" w:name="_Hlk48117199"/>
    <w:r>
      <w:tab/>
    </w:r>
    <w:r>
      <w:tab/>
    </w:r>
    <w:r>
      <w:tab/>
    </w:r>
    <w:r w:rsidRPr="005E250B">
      <w:rPr>
        <w:noProof/>
        <w:vertAlign w:val="subscript"/>
      </w:rPr>
      <w:drawing>
        <wp:inline distT="0" distB="0" distL="0" distR="0" wp14:anchorId="1358DB2A" wp14:editId="52DC863D">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p w14:paraId="45ABD091" w14:textId="5A99739C" w:rsidR="00C85982" w:rsidRPr="000A0E3E" w:rsidRDefault="00C85982" w:rsidP="00C3152C">
    <w:pPr>
      <w:pStyle w:val="Footer"/>
      <w:tabs>
        <w:tab w:val="clear" w:pos="113"/>
        <w:tab w:val="left" w:pos="2590"/>
      </w:tabs>
    </w:pPr>
    <w:r>
      <w:tab/>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4CC8" w14:textId="77777777" w:rsidR="00C85982" w:rsidRDefault="00C859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1C6D" w14:textId="77777777" w:rsidR="00C85982" w:rsidRDefault="00C859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AE46" w14:textId="6D95DA6F" w:rsidR="00C85982" w:rsidRPr="00622A3B" w:rsidRDefault="00C85982"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39EB8986" w14:textId="77777777" w:rsidR="00C85982" w:rsidRPr="00A5474E" w:rsidRDefault="00C85982"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BA84" w14:textId="77777777" w:rsidR="00C85982" w:rsidRPr="00622A3B" w:rsidRDefault="00C85982"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051C3BD0" w14:textId="77777777" w:rsidR="00C85982" w:rsidRPr="00A5474E" w:rsidRDefault="00C85982"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184D" w14:textId="55994694" w:rsidR="00C85982" w:rsidRPr="00622A3B" w:rsidRDefault="00C85982"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69F4300A" w14:textId="77777777" w:rsidR="00C85982" w:rsidRPr="00A5474E" w:rsidRDefault="00C85982"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9666A" w14:textId="211D35E4" w:rsidR="00C85982" w:rsidRPr="00622A3B" w:rsidRDefault="00C85982"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10</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5CAACB3F" w14:textId="77777777" w:rsidR="00C85982" w:rsidRPr="00A5474E" w:rsidRDefault="00C85982"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1872" w14:textId="2C5E8678" w:rsidR="00C85982" w:rsidRPr="00622A3B" w:rsidRDefault="00C85982"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11</w:t>
    </w:r>
    <w:r w:rsidRPr="00575AC5">
      <w:rPr>
        <w:color w:val="505050"/>
      </w:rPr>
      <w:fldChar w:fldCharType="end"/>
    </w:r>
  </w:p>
  <w:p w14:paraId="2E8779C6" w14:textId="77777777" w:rsidR="00C85982" w:rsidRPr="00A5474E" w:rsidRDefault="00C85982"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7EFE1" w14:textId="77777777" w:rsidR="009047AC" w:rsidRDefault="009047AC">
      <w:r>
        <w:separator/>
      </w:r>
    </w:p>
  </w:footnote>
  <w:footnote w:type="continuationSeparator" w:id="0">
    <w:p w14:paraId="46337077" w14:textId="77777777" w:rsidR="009047AC" w:rsidRDefault="009047AC">
      <w:r>
        <w:continuationSeparator/>
      </w:r>
    </w:p>
  </w:footnote>
  <w:footnote w:type="continuationNotice" w:id="1">
    <w:p w14:paraId="287C0728" w14:textId="77777777" w:rsidR="009047AC" w:rsidRDefault="009047AC">
      <w:pPr>
        <w:spacing w:after="0" w:line="240" w:lineRule="auto"/>
      </w:pPr>
    </w:p>
  </w:footnote>
  <w:footnote w:id="2">
    <w:p w14:paraId="41960660" w14:textId="38C9DD70" w:rsidR="00C85982" w:rsidRDefault="00C85982" w:rsidP="00AC2EF8">
      <w:pPr>
        <w:pStyle w:val="FootnoteText"/>
        <w:spacing w:after="0"/>
      </w:pPr>
      <w:r>
        <w:rPr>
          <w:rStyle w:val="FootnoteReference"/>
        </w:rPr>
        <w:footnoteRef/>
      </w:r>
      <w:r>
        <w:t xml:space="preserve"> AWLs are issued prior to any device coordination. However, the procedures in this BOP must be followed before an earth station, to be operated under an AWL, can be operated and its details included in the Register of Radiocommunications Licences. More information on AWLs in the 26 GHz and 28 GHz band is contained in RALI MS 46.</w:t>
      </w:r>
    </w:p>
  </w:footnote>
  <w:footnote w:id="3">
    <w:p w14:paraId="7C94B7F1" w14:textId="77777777" w:rsidR="00C85982" w:rsidRDefault="00C85982" w:rsidP="00AC2EF8">
      <w:pPr>
        <w:pStyle w:val="FootnoteText"/>
        <w:spacing w:after="0"/>
      </w:pPr>
      <w:r>
        <w:rPr>
          <w:rStyle w:val="FootnoteReference"/>
        </w:rPr>
        <w:footnoteRef/>
      </w:r>
      <w:r>
        <w:t xml:space="preserve"> </w:t>
      </w:r>
      <w:r w:rsidRPr="000257C8">
        <w:t xml:space="preserve">The term </w:t>
      </w:r>
      <w:r w:rsidRPr="000257C8">
        <w:rPr>
          <w:i/>
        </w:rPr>
        <w:t>space-related</w:t>
      </w:r>
      <w:r w:rsidRPr="000257C8">
        <w:t xml:space="preserve"> used here is intended to mean space-based network or space system, and not to mean </w:t>
      </w:r>
      <w:r w:rsidRPr="000257C8">
        <w:rPr>
          <w:i/>
        </w:rPr>
        <w:t>space</w:t>
      </w:r>
      <w:r w:rsidRPr="000257C8">
        <w:t xml:space="preserve"> or </w:t>
      </w:r>
      <w:r w:rsidRPr="000257C8">
        <w:rPr>
          <w:i/>
        </w:rPr>
        <w:t>space receive</w:t>
      </w:r>
      <w:r w:rsidRPr="000257C8">
        <w:t xml:space="preserve"> apparatus licence type.</w:t>
      </w:r>
    </w:p>
  </w:footnote>
  <w:footnote w:id="4">
    <w:p w14:paraId="7061856B" w14:textId="77777777" w:rsidR="00C85982" w:rsidRDefault="00C85982" w:rsidP="00C670B7">
      <w:pPr>
        <w:pStyle w:val="FootnoteText"/>
        <w:spacing w:after="0"/>
      </w:pPr>
      <w:r>
        <w:rPr>
          <w:rStyle w:val="FootnoteReference"/>
        </w:rPr>
        <w:footnoteRef/>
      </w:r>
      <w:r>
        <w:t xml:space="preserve"> See lists of space station class of station and earth station class of station in </w:t>
      </w:r>
      <w:hyperlink r:id="rId1" w:history="1">
        <w:r w:rsidRPr="001662AC">
          <w:rPr>
            <w:rStyle w:val="Hyperlink"/>
          </w:rPr>
          <w:t>Preface to the BR IFIC (Space services)</w:t>
        </w:r>
      </w:hyperlink>
      <w:r w:rsidRPr="00B905E8">
        <w:rPr>
          <w:rStyle w:val="Hyperlink"/>
          <w:color w:val="auto"/>
          <w:u w:val="none"/>
        </w:rPr>
        <w:t>.</w:t>
      </w:r>
    </w:p>
  </w:footnote>
  <w:footnote w:id="5">
    <w:p w14:paraId="68485739" w14:textId="77777777" w:rsidR="00C85982" w:rsidRDefault="00C85982" w:rsidP="00C670B7">
      <w:pPr>
        <w:pStyle w:val="FootnoteText"/>
        <w:spacing w:after="0"/>
      </w:pPr>
      <w:r>
        <w:rPr>
          <w:rStyle w:val="FootnoteReference"/>
        </w:rPr>
        <w:footnoteRef/>
      </w:r>
      <w:r>
        <w:t xml:space="preserve"> The application forms can be downloaded via </w:t>
      </w:r>
      <w:hyperlink r:id="rId2" w:history="1">
        <w:r w:rsidRPr="00622B93">
          <w:rPr>
            <w:rStyle w:val="Hyperlink"/>
          </w:rPr>
          <w:t>this link</w:t>
        </w:r>
      </w:hyperlink>
      <w:r>
        <w:t>.</w:t>
      </w:r>
    </w:p>
  </w:footnote>
  <w:footnote w:id="6">
    <w:p w14:paraId="3A472190" w14:textId="77777777" w:rsidR="00C85982" w:rsidRDefault="00C85982" w:rsidP="00AC2EF8">
      <w:pPr>
        <w:pStyle w:val="FootnoteText"/>
        <w:spacing w:after="0"/>
      </w:pPr>
      <w:r>
        <w:rPr>
          <w:rStyle w:val="FootnoteReference"/>
        </w:rPr>
        <w:footnoteRef/>
      </w:r>
      <w:r>
        <w:t xml:space="preserve"> </w:t>
      </w:r>
      <w:r w:rsidRPr="00D558E6">
        <w:t xml:space="preserve">Note </w:t>
      </w:r>
      <w:r>
        <w:t xml:space="preserve">that </w:t>
      </w:r>
      <w:r w:rsidRPr="00D558E6">
        <w:t>in addition</w:t>
      </w:r>
      <w:r>
        <w:t xml:space="preserve"> </w:t>
      </w:r>
      <w:r w:rsidRPr="00D558E6">
        <w:t xml:space="preserve">to the requirement to demonstrate compatibility with notified earth stations, there are GSO to GSO coordination requirements under </w:t>
      </w:r>
      <w:r w:rsidRPr="000927C1">
        <w:t>No.</w:t>
      </w:r>
      <w:r>
        <w:rPr>
          <w:b/>
          <w:bCs/>
        </w:rPr>
        <w:t xml:space="preserve"> </w:t>
      </w:r>
      <w:r w:rsidRPr="000927C1">
        <w:rPr>
          <w:b/>
          <w:bCs/>
        </w:rPr>
        <w:t>9.7</w:t>
      </w:r>
      <w:r w:rsidRPr="00D558E6">
        <w:t xml:space="preserve"> for the affected satellite networks associated with the very large earth stations. While these requirements should be considered (for example, as part of demonstrating that due diligence has been undertaken), they are considered separately to</w:t>
      </w:r>
      <w:r>
        <w:t xml:space="preserve"> the</w:t>
      </w:r>
      <w:r w:rsidRPr="00D558E6">
        <w:t xml:space="preserve"> requirement to demonstrate compatibility with notified earth stations</w:t>
      </w:r>
      <w:r>
        <w:t>.</w:t>
      </w:r>
    </w:p>
  </w:footnote>
  <w:footnote w:id="7">
    <w:p w14:paraId="55DF74D1" w14:textId="77777777" w:rsidR="00C85982" w:rsidRPr="00C31222" w:rsidRDefault="00C85982" w:rsidP="00C670B7">
      <w:pPr>
        <w:pStyle w:val="FootnoteText"/>
        <w:spacing w:after="0"/>
        <w:rPr>
          <w:lang w:val="en-US"/>
        </w:rPr>
      </w:pPr>
      <w:r>
        <w:rPr>
          <w:rStyle w:val="FootnoteReference"/>
        </w:rPr>
        <w:footnoteRef/>
      </w:r>
      <w:r>
        <w:t xml:space="preserve"> </w:t>
      </w:r>
      <w:r>
        <w:rPr>
          <w:lang w:val="en-US"/>
        </w:rPr>
        <w:t>Space support equipment includes equipment that assists in the calibration of early orbit and on-orbit systems.</w:t>
      </w:r>
    </w:p>
  </w:footnote>
  <w:footnote w:id="8">
    <w:p w14:paraId="3506869E" w14:textId="6D4C500F" w:rsidR="00C85982" w:rsidRDefault="00C85982" w:rsidP="00AC2EF8">
      <w:pPr>
        <w:pStyle w:val="FootnoteText"/>
        <w:spacing w:after="0"/>
      </w:pPr>
      <w:r>
        <w:rPr>
          <w:rStyle w:val="FootnoteReference"/>
        </w:rPr>
        <w:footnoteRef/>
      </w:r>
      <w:r>
        <w:t xml:space="preserve"> Currently limited to AWLs in the range 27</w:t>
      </w:r>
      <w:r>
        <w:softHyphen/>
        <w:t>–30 GHz.</w:t>
      </w:r>
    </w:p>
  </w:footnote>
  <w:footnote w:id="9">
    <w:p w14:paraId="78915827" w14:textId="77777777" w:rsidR="00C85982" w:rsidRDefault="00C85982" w:rsidP="00C670B7">
      <w:pPr>
        <w:pStyle w:val="FootnoteText"/>
        <w:spacing w:after="0"/>
      </w:pPr>
      <w:r>
        <w:rPr>
          <w:rStyle w:val="FootnoteReference"/>
        </w:rPr>
        <w:footnoteRef/>
      </w:r>
      <w:r>
        <w:t xml:space="preserve"> Failure to provide accurate ITU satellite network information will delay the process. The ITU SNL database (Part B) is a useful tool for checking the accuracy of the satellite network name. See </w:t>
      </w:r>
      <w:hyperlink r:id="rId3" w:history="1">
        <w:r w:rsidRPr="00A35DB2">
          <w:rPr>
            <w:rStyle w:val="Hyperlink"/>
          </w:rPr>
          <w:t>http://www.itu.int/net/ITU-R/space/snl/bsearchb/spublication.asp</w:t>
        </w:r>
      </w:hyperlink>
      <w:r w:rsidRPr="00B905E8">
        <w:rPr>
          <w:rStyle w:val="Hyperlink"/>
          <w:color w:val="auto"/>
          <w:u w:val="none"/>
        </w:rPr>
        <w:t>.</w:t>
      </w:r>
    </w:p>
  </w:footnote>
  <w:footnote w:id="10">
    <w:p w14:paraId="7AEFD563" w14:textId="77777777" w:rsidR="00C85982" w:rsidRDefault="00C85982" w:rsidP="00C670B7">
      <w:pPr>
        <w:pStyle w:val="FootnoteText"/>
        <w:spacing w:after="0"/>
      </w:pPr>
      <w:r>
        <w:rPr>
          <w:rStyle w:val="FootnoteReference"/>
        </w:rPr>
        <w:footnoteRef/>
      </w:r>
      <w:r>
        <w:t xml:space="preserve"> </w:t>
      </w:r>
      <w:r w:rsidRPr="00A71EA7">
        <w:rPr>
          <w:rFonts w:cs="Arial"/>
        </w:rPr>
        <w:t>If the</w:t>
      </w:r>
      <w:r w:rsidRPr="0045162A">
        <w:rPr>
          <w:rFonts w:cs="Arial"/>
        </w:rPr>
        <w:t xml:space="preserve"> above assurances do not cover all communications to/from the satellite, please indicate the limits of this assurance (for example, if it only applies to a particular frequency band or company)</w:t>
      </w:r>
      <w:r>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CB87" w14:textId="77777777" w:rsidR="00C85982" w:rsidRPr="00A5474E" w:rsidRDefault="00C85982" w:rsidP="000A0E3E">
    <w:pPr>
      <w:pStyle w:val="Header"/>
    </w:pPr>
    <w:r>
      <w:rPr>
        <w:noProof/>
      </w:rPr>
      <w:drawing>
        <wp:inline distT="0" distB="0" distL="0" distR="0" wp14:anchorId="40A8E7BD" wp14:editId="2ACF1481">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p w14:paraId="2960E46B" w14:textId="3C4D3A92" w:rsidR="00C85982" w:rsidRPr="000A0E3E" w:rsidRDefault="00C85982" w:rsidP="000A0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E9B0" w14:textId="77777777" w:rsidR="00C85982" w:rsidRPr="00A5474E" w:rsidRDefault="00C85982"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4CB6" w14:textId="77777777" w:rsidR="00C85982" w:rsidRDefault="00C859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96E6" w14:textId="77777777" w:rsidR="00C85982" w:rsidRDefault="00C859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C85982" w14:paraId="220AC8F9" w14:textId="77777777" w:rsidTr="00505361">
      <w:trPr>
        <w:trHeight w:hRule="exact" w:val="988"/>
      </w:trPr>
      <w:tc>
        <w:tcPr>
          <w:tcW w:w="7678" w:type="dxa"/>
          <w:shd w:val="clear" w:color="auto" w:fill="auto"/>
        </w:tcPr>
        <w:p w14:paraId="513965FF" w14:textId="77777777" w:rsidR="00C85982" w:rsidRDefault="00C85982" w:rsidP="00971914">
          <w:pPr>
            <w:pStyle w:val="Header"/>
          </w:pPr>
        </w:p>
      </w:tc>
    </w:tr>
    <w:tr w:rsidR="00C85982" w14:paraId="50A4E4BA" w14:textId="77777777" w:rsidTr="00505361">
      <w:tc>
        <w:tcPr>
          <w:tcW w:w="7678" w:type="dxa"/>
          <w:shd w:val="clear" w:color="auto" w:fill="auto"/>
        </w:tcPr>
        <w:p w14:paraId="12CCAA10" w14:textId="77777777" w:rsidR="00C85982" w:rsidRDefault="00C85982" w:rsidP="00971914">
          <w:pPr>
            <w:pStyle w:val="GridTable31"/>
          </w:pPr>
          <w:r>
            <w:t xml:space="preserve">Contents </w:t>
          </w:r>
          <w:r w:rsidRPr="00915B1C">
            <w:rPr>
              <w:b w:val="0"/>
              <w:spacing w:val="0"/>
              <w:sz w:val="28"/>
              <w:szCs w:val="28"/>
            </w:rPr>
            <w:t>(Continued)</w:t>
          </w:r>
        </w:p>
      </w:tc>
    </w:tr>
    <w:tr w:rsidR="00C85982" w14:paraId="32087A33" w14:textId="77777777" w:rsidTr="00505361">
      <w:trPr>
        <w:trHeight w:val="1220"/>
      </w:trPr>
      <w:tc>
        <w:tcPr>
          <w:tcW w:w="7678" w:type="dxa"/>
          <w:shd w:val="clear" w:color="auto" w:fill="auto"/>
        </w:tcPr>
        <w:p w14:paraId="60E7A742" w14:textId="77777777" w:rsidR="00C85982" w:rsidRDefault="00C85982" w:rsidP="00971914"/>
      </w:tc>
    </w:tr>
  </w:tbl>
  <w:p w14:paraId="0A44CD99" w14:textId="77777777" w:rsidR="00C85982" w:rsidRDefault="00C85982"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C85982" w14:paraId="77C125EE" w14:textId="77777777" w:rsidTr="00505361">
      <w:trPr>
        <w:trHeight w:hRule="exact" w:val="988"/>
      </w:trPr>
      <w:tc>
        <w:tcPr>
          <w:tcW w:w="7678" w:type="dxa"/>
          <w:shd w:val="clear" w:color="auto" w:fill="auto"/>
        </w:tcPr>
        <w:p w14:paraId="0FA63EBA" w14:textId="77777777" w:rsidR="00C85982" w:rsidRDefault="00C85982" w:rsidP="00971914">
          <w:pPr>
            <w:pStyle w:val="Header"/>
          </w:pPr>
        </w:p>
      </w:tc>
    </w:tr>
    <w:tr w:rsidR="00C85982" w14:paraId="6F3238A3" w14:textId="77777777" w:rsidTr="00505361">
      <w:tc>
        <w:tcPr>
          <w:tcW w:w="7678" w:type="dxa"/>
          <w:shd w:val="clear" w:color="auto" w:fill="auto"/>
        </w:tcPr>
        <w:p w14:paraId="47D91CC9" w14:textId="77777777" w:rsidR="00C85982" w:rsidRDefault="00C85982" w:rsidP="00971914">
          <w:pPr>
            <w:pStyle w:val="GridTable31"/>
          </w:pPr>
          <w:r>
            <w:t xml:space="preserve">Contents </w:t>
          </w:r>
          <w:r w:rsidRPr="00915B1C">
            <w:rPr>
              <w:b w:val="0"/>
              <w:spacing w:val="0"/>
              <w:sz w:val="28"/>
              <w:szCs w:val="28"/>
            </w:rPr>
            <w:t>(Continued)</w:t>
          </w:r>
        </w:p>
      </w:tc>
    </w:tr>
    <w:tr w:rsidR="00C85982" w14:paraId="2E2B1CE5" w14:textId="77777777" w:rsidTr="00505361">
      <w:trPr>
        <w:trHeight w:val="1220"/>
      </w:trPr>
      <w:tc>
        <w:tcPr>
          <w:tcW w:w="7678" w:type="dxa"/>
          <w:shd w:val="clear" w:color="auto" w:fill="auto"/>
        </w:tcPr>
        <w:p w14:paraId="74B3BB73" w14:textId="77777777" w:rsidR="00C85982" w:rsidRDefault="00C85982" w:rsidP="00971914"/>
      </w:tc>
    </w:tr>
  </w:tbl>
  <w:p w14:paraId="4700493E" w14:textId="77777777" w:rsidR="00C85982" w:rsidRPr="00A5474E" w:rsidRDefault="00C85982"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9539" w14:textId="77777777" w:rsidR="00C85982" w:rsidRDefault="00C8598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D3F5" w14:textId="77777777" w:rsidR="00C85982" w:rsidRDefault="00C85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849EB4"/>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2" w15:restartNumberingAfterBreak="0">
    <w:nsid w:val="FFFFFF83"/>
    <w:multiLevelType w:val="singleLevel"/>
    <w:tmpl w:val="8812B4B6"/>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3" w15:restartNumberingAfterBreak="0">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4" w15:restartNumberingAfterBreak="0">
    <w:nsid w:val="FFFFFF89"/>
    <w:multiLevelType w:val="singleLevel"/>
    <w:tmpl w:val="4E4065D2"/>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5" w15:restartNumberingAfterBreak="0">
    <w:nsid w:val="0201160B"/>
    <w:multiLevelType w:val="hybridMultilevel"/>
    <w:tmpl w:val="D6505D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26504F6"/>
    <w:multiLevelType w:val="hybridMultilevel"/>
    <w:tmpl w:val="FC1C44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4A31192"/>
    <w:multiLevelType w:val="hybridMultilevel"/>
    <w:tmpl w:val="8620E88E"/>
    <w:lvl w:ilvl="0" w:tplc="C41E34C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B992811"/>
    <w:multiLevelType w:val="hybridMultilevel"/>
    <w:tmpl w:val="6B668B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4D27300"/>
    <w:multiLevelType w:val="hybridMultilevel"/>
    <w:tmpl w:val="098232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9770F3E"/>
    <w:multiLevelType w:val="hybridMultilevel"/>
    <w:tmpl w:val="EF8694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DDC3B41"/>
    <w:multiLevelType w:val="hybridMultilevel"/>
    <w:tmpl w:val="835257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4DA021C"/>
    <w:multiLevelType w:val="hybridMultilevel"/>
    <w:tmpl w:val="4DA2CEE0"/>
    <w:lvl w:ilvl="0" w:tplc="A6709BA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101549"/>
    <w:multiLevelType w:val="hybridMultilevel"/>
    <w:tmpl w:val="2BDE2F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6670967"/>
    <w:multiLevelType w:val="hybridMultilevel"/>
    <w:tmpl w:val="DA98B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811EF3"/>
    <w:multiLevelType w:val="multilevel"/>
    <w:tmpl w:val="612E9FFC"/>
    <w:lvl w:ilvl="0">
      <w:start w:val="1"/>
      <w:numFmt w:val="upperLetter"/>
      <w:pStyle w:val="AppL1"/>
      <w:lvlText w:val="Appendix %1:"/>
      <w:lvlJc w:val="left"/>
      <w:pPr>
        <w:ind w:left="0" w:firstLine="0"/>
      </w:pPr>
      <w:rPr>
        <w:rFonts w:hint="default"/>
      </w:rPr>
    </w:lvl>
    <w:lvl w:ilvl="1">
      <w:start w:val="1"/>
      <w:numFmt w:val="decimal"/>
      <w:pStyle w:val="AppL2"/>
      <w:lvlText w:val="%1.%2"/>
      <w:lvlJc w:val="left"/>
      <w:pPr>
        <w:ind w:left="0" w:firstLine="0"/>
      </w:pPr>
      <w:rPr>
        <w:rFonts w:hint="default"/>
      </w:rPr>
    </w:lvl>
    <w:lvl w:ilvl="2">
      <w:start w:val="1"/>
      <w:numFmt w:val="decimal"/>
      <w:pStyle w:val="AppL3"/>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2E301DD4"/>
    <w:multiLevelType w:val="multilevel"/>
    <w:tmpl w:val="3ED870C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CE97F8F"/>
    <w:multiLevelType w:val="hybridMultilevel"/>
    <w:tmpl w:val="9B266B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DB0E05"/>
    <w:multiLevelType w:val="hybridMultilevel"/>
    <w:tmpl w:val="FF921A9C"/>
    <w:lvl w:ilvl="0" w:tplc="DAB8419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CA515E"/>
    <w:multiLevelType w:val="hybridMultilevel"/>
    <w:tmpl w:val="6B668B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531257E"/>
    <w:multiLevelType w:val="hybridMultilevel"/>
    <w:tmpl w:val="FE3CCB74"/>
    <w:lvl w:ilvl="0" w:tplc="5622D92C">
      <w:start w:val="1"/>
      <w:numFmt w:val="bullet"/>
      <w:lvlText w:val="&gt;"/>
      <w:lvlJc w:val="left"/>
      <w:pPr>
        <w:ind w:left="360" w:hanging="360"/>
      </w:pPr>
      <w:rPr>
        <w:rFonts w:ascii="HelveticaNeueLT Std Lt" w:hAnsi="HelveticaNeueLT Std Lt"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ED1744D"/>
    <w:multiLevelType w:val="multilevel"/>
    <w:tmpl w:val="904C527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4FEE1B3B"/>
    <w:multiLevelType w:val="hybridMultilevel"/>
    <w:tmpl w:val="34982A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5AA21F0"/>
    <w:multiLevelType w:val="hybridMultilevel"/>
    <w:tmpl w:val="06AC6452"/>
    <w:lvl w:ilvl="0" w:tplc="075A84B2">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1C05F1"/>
    <w:multiLevelType w:val="hybridMultilevel"/>
    <w:tmpl w:val="EF8694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5F5602"/>
    <w:multiLevelType w:val="hybridMultilevel"/>
    <w:tmpl w:val="098232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774FAA"/>
    <w:multiLevelType w:val="hybridMultilevel"/>
    <w:tmpl w:val="6EE82610"/>
    <w:lvl w:ilvl="0" w:tplc="816C951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72B74AE"/>
    <w:multiLevelType w:val="hybridMultilevel"/>
    <w:tmpl w:val="15F6D2A2"/>
    <w:lvl w:ilvl="0" w:tplc="4C5278AC">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FBB7041"/>
    <w:multiLevelType w:val="hybridMultilevel"/>
    <w:tmpl w:val="A27C00C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num>
  <w:num w:numId="2">
    <w:abstractNumId w:val="2"/>
  </w:num>
  <w:num w:numId="3">
    <w:abstractNumId w:val="3"/>
  </w:num>
  <w:num w:numId="4">
    <w:abstractNumId w:val="1"/>
  </w:num>
  <w:num w:numId="5">
    <w:abstractNumId w:val="16"/>
  </w:num>
  <w:num w:numId="6">
    <w:abstractNumId w:val="26"/>
  </w:num>
  <w:num w:numId="7">
    <w:abstractNumId w:val="23"/>
  </w:num>
  <w:num w:numId="8">
    <w:abstractNumId w:val="25"/>
  </w:num>
  <w:num w:numId="9">
    <w:abstractNumId w:val="28"/>
  </w:num>
  <w:num w:numId="10">
    <w:abstractNumId w:val="6"/>
  </w:num>
  <w:num w:numId="11">
    <w:abstractNumId w:val="30"/>
  </w:num>
  <w:num w:numId="12">
    <w:abstractNumId w:val="7"/>
  </w:num>
  <w:num w:numId="13">
    <w:abstractNumId w:val="18"/>
  </w:num>
  <w:num w:numId="14">
    <w:abstractNumId w:val="12"/>
  </w:num>
  <w:num w:numId="15">
    <w:abstractNumId w:val="15"/>
  </w:num>
  <w:num w:numId="16">
    <w:abstractNumId w:val="29"/>
  </w:num>
  <w:num w:numId="17">
    <w:abstractNumId w:val="0"/>
  </w:num>
  <w:num w:numId="18">
    <w:abstractNumId w:val="21"/>
  </w:num>
  <w:num w:numId="19">
    <w:abstractNumId w:val="21"/>
  </w:num>
  <w:num w:numId="20">
    <w:abstractNumId w:val="21"/>
  </w:num>
  <w:num w:numId="21">
    <w:abstractNumId w:val="17"/>
  </w:num>
  <w:num w:numId="22">
    <w:abstractNumId w:val="13"/>
  </w:num>
  <w:num w:numId="23">
    <w:abstractNumId w:val="27"/>
  </w:num>
  <w:num w:numId="24">
    <w:abstractNumId w:val="24"/>
  </w:num>
  <w:num w:numId="25">
    <w:abstractNumId w:val="31"/>
  </w:num>
  <w:num w:numId="26">
    <w:abstractNumId w:val="11"/>
  </w:num>
  <w:num w:numId="27">
    <w:abstractNumId w:val="19"/>
  </w:num>
  <w:num w:numId="28">
    <w:abstractNumId w:val="22"/>
  </w:num>
  <w:num w:numId="29">
    <w:abstractNumId w:val="5"/>
  </w:num>
  <w:num w:numId="30">
    <w:abstractNumId w:val="3"/>
    <w:lvlOverride w:ilvl="0">
      <w:startOverride w:val="1"/>
    </w:lvlOverride>
  </w:num>
  <w:num w:numId="31">
    <w:abstractNumId w:val="21"/>
  </w:num>
  <w:num w:numId="32">
    <w:abstractNumId w:val="21"/>
  </w:num>
  <w:num w:numId="33">
    <w:abstractNumId w:val="21"/>
  </w:num>
  <w:num w:numId="34">
    <w:abstractNumId w:val="21"/>
  </w:num>
  <w:num w:numId="35">
    <w:abstractNumId w:val="14"/>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8"/>
  </w:num>
  <w:num w:numId="39">
    <w:abstractNumId w:val="9"/>
  </w:num>
  <w:num w:numId="40">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AAB"/>
    <w:rsid w:val="00000E55"/>
    <w:rsid w:val="00004F3C"/>
    <w:rsid w:val="00010667"/>
    <w:rsid w:val="000129D5"/>
    <w:rsid w:val="00015AE7"/>
    <w:rsid w:val="00016E21"/>
    <w:rsid w:val="0001719C"/>
    <w:rsid w:val="00017C05"/>
    <w:rsid w:val="0002224E"/>
    <w:rsid w:val="00022AE9"/>
    <w:rsid w:val="000257C8"/>
    <w:rsid w:val="00026F91"/>
    <w:rsid w:val="00027ABD"/>
    <w:rsid w:val="00027E26"/>
    <w:rsid w:val="0004764C"/>
    <w:rsid w:val="0005011A"/>
    <w:rsid w:val="0005045A"/>
    <w:rsid w:val="00051C1E"/>
    <w:rsid w:val="000539F9"/>
    <w:rsid w:val="00054C27"/>
    <w:rsid w:val="00055EC3"/>
    <w:rsid w:val="000563CE"/>
    <w:rsid w:val="000564A7"/>
    <w:rsid w:val="00057BFB"/>
    <w:rsid w:val="00061CCF"/>
    <w:rsid w:val="000659B6"/>
    <w:rsid w:val="0006686F"/>
    <w:rsid w:val="00066945"/>
    <w:rsid w:val="0006722A"/>
    <w:rsid w:val="00067E2E"/>
    <w:rsid w:val="000732CF"/>
    <w:rsid w:val="00075B96"/>
    <w:rsid w:val="000811AA"/>
    <w:rsid w:val="0008196A"/>
    <w:rsid w:val="000865E9"/>
    <w:rsid w:val="000909AD"/>
    <w:rsid w:val="000915ED"/>
    <w:rsid w:val="0009209D"/>
    <w:rsid w:val="00094206"/>
    <w:rsid w:val="000969BD"/>
    <w:rsid w:val="000969BF"/>
    <w:rsid w:val="000A0C22"/>
    <w:rsid w:val="000A0E3E"/>
    <w:rsid w:val="000A1400"/>
    <w:rsid w:val="000A27EB"/>
    <w:rsid w:val="000A39C4"/>
    <w:rsid w:val="000A3C43"/>
    <w:rsid w:val="000A4A51"/>
    <w:rsid w:val="000A5D2B"/>
    <w:rsid w:val="000B5DE3"/>
    <w:rsid w:val="000B7FE0"/>
    <w:rsid w:val="000C0A57"/>
    <w:rsid w:val="000C230C"/>
    <w:rsid w:val="000C6AB4"/>
    <w:rsid w:val="000D12DD"/>
    <w:rsid w:val="000D2974"/>
    <w:rsid w:val="000D4DE1"/>
    <w:rsid w:val="000D71D9"/>
    <w:rsid w:val="000D76E0"/>
    <w:rsid w:val="000D7E8B"/>
    <w:rsid w:val="000E427F"/>
    <w:rsid w:val="000E4449"/>
    <w:rsid w:val="000E6097"/>
    <w:rsid w:val="00102016"/>
    <w:rsid w:val="00103307"/>
    <w:rsid w:val="00103829"/>
    <w:rsid w:val="0010565F"/>
    <w:rsid w:val="00105E3F"/>
    <w:rsid w:val="001069EA"/>
    <w:rsid w:val="00111FCE"/>
    <w:rsid w:val="001124F4"/>
    <w:rsid w:val="0011785E"/>
    <w:rsid w:val="001229A5"/>
    <w:rsid w:val="00122FB0"/>
    <w:rsid w:val="0012489B"/>
    <w:rsid w:val="001269A8"/>
    <w:rsid w:val="00130017"/>
    <w:rsid w:val="00130F91"/>
    <w:rsid w:val="001349ED"/>
    <w:rsid w:val="00137424"/>
    <w:rsid w:val="00140318"/>
    <w:rsid w:val="001416BA"/>
    <w:rsid w:val="00141AD9"/>
    <w:rsid w:val="00143573"/>
    <w:rsid w:val="00146CE6"/>
    <w:rsid w:val="00146E19"/>
    <w:rsid w:val="00152903"/>
    <w:rsid w:val="00153FD5"/>
    <w:rsid w:val="0015614F"/>
    <w:rsid w:val="001571AE"/>
    <w:rsid w:val="001577C2"/>
    <w:rsid w:val="001633C4"/>
    <w:rsid w:val="001654DF"/>
    <w:rsid w:val="001655AB"/>
    <w:rsid w:val="00171591"/>
    <w:rsid w:val="00173981"/>
    <w:rsid w:val="0017719D"/>
    <w:rsid w:val="00182A67"/>
    <w:rsid w:val="001836F2"/>
    <w:rsid w:val="00183FD7"/>
    <w:rsid w:val="00183FFA"/>
    <w:rsid w:val="001856AF"/>
    <w:rsid w:val="00185CAB"/>
    <w:rsid w:val="001875B7"/>
    <w:rsid w:val="00187CB3"/>
    <w:rsid w:val="0019050A"/>
    <w:rsid w:val="001910D4"/>
    <w:rsid w:val="0019116B"/>
    <w:rsid w:val="001976E3"/>
    <w:rsid w:val="001A44EC"/>
    <w:rsid w:val="001B3CF4"/>
    <w:rsid w:val="001B58AA"/>
    <w:rsid w:val="001B7E48"/>
    <w:rsid w:val="001C17CE"/>
    <w:rsid w:val="001C36CA"/>
    <w:rsid w:val="001C44D1"/>
    <w:rsid w:val="001C469C"/>
    <w:rsid w:val="001C6254"/>
    <w:rsid w:val="001C6AEE"/>
    <w:rsid w:val="001C7630"/>
    <w:rsid w:val="001D46AD"/>
    <w:rsid w:val="001D6D15"/>
    <w:rsid w:val="001E4F9B"/>
    <w:rsid w:val="001E55F7"/>
    <w:rsid w:val="001F0ADD"/>
    <w:rsid w:val="001F5664"/>
    <w:rsid w:val="001F7558"/>
    <w:rsid w:val="00204287"/>
    <w:rsid w:val="00205B57"/>
    <w:rsid w:val="002157E0"/>
    <w:rsid w:val="00215D43"/>
    <w:rsid w:val="00216A57"/>
    <w:rsid w:val="0022334F"/>
    <w:rsid w:val="00226819"/>
    <w:rsid w:val="00232AAB"/>
    <w:rsid w:val="00233101"/>
    <w:rsid w:val="00233817"/>
    <w:rsid w:val="002367FF"/>
    <w:rsid w:val="0024019A"/>
    <w:rsid w:val="00240CE9"/>
    <w:rsid w:val="002434BA"/>
    <w:rsid w:val="00246089"/>
    <w:rsid w:val="00246093"/>
    <w:rsid w:val="00246702"/>
    <w:rsid w:val="002469B2"/>
    <w:rsid w:val="00247C59"/>
    <w:rsid w:val="00247F2E"/>
    <w:rsid w:val="00250ADC"/>
    <w:rsid w:val="00250B07"/>
    <w:rsid w:val="00253D34"/>
    <w:rsid w:val="00256699"/>
    <w:rsid w:val="0025688A"/>
    <w:rsid w:val="00257553"/>
    <w:rsid w:val="00260FB2"/>
    <w:rsid w:val="00262128"/>
    <w:rsid w:val="0026312B"/>
    <w:rsid w:val="002673B6"/>
    <w:rsid w:val="0027165D"/>
    <w:rsid w:val="00273CEB"/>
    <w:rsid w:val="0027494F"/>
    <w:rsid w:val="00281C89"/>
    <w:rsid w:val="0028282F"/>
    <w:rsid w:val="0029593B"/>
    <w:rsid w:val="0029788F"/>
    <w:rsid w:val="00297FC5"/>
    <w:rsid w:val="002A035B"/>
    <w:rsid w:val="002A0417"/>
    <w:rsid w:val="002A16D8"/>
    <w:rsid w:val="002A1BC8"/>
    <w:rsid w:val="002A3EF2"/>
    <w:rsid w:val="002A7F2E"/>
    <w:rsid w:val="002B0DED"/>
    <w:rsid w:val="002B1120"/>
    <w:rsid w:val="002B19A2"/>
    <w:rsid w:val="002B381A"/>
    <w:rsid w:val="002B4FCC"/>
    <w:rsid w:val="002B7408"/>
    <w:rsid w:val="002B7CFD"/>
    <w:rsid w:val="002C210F"/>
    <w:rsid w:val="002C4241"/>
    <w:rsid w:val="002C5427"/>
    <w:rsid w:val="002D3600"/>
    <w:rsid w:val="002D5612"/>
    <w:rsid w:val="002D7492"/>
    <w:rsid w:val="002E06BF"/>
    <w:rsid w:val="002E4DDC"/>
    <w:rsid w:val="002F407E"/>
    <w:rsid w:val="002F4C3B"/>
    <w:rsid w:val="0030203B"/>
    <w:rsid w:val="00302480"/>
    <w:rsid w:val="003046C8"/>
    <w:rsid w:val="003165E6"/>
    <w:rsid w:val="003215B5"/>
    <w:rsid w:val="003221CF"/>
    <w:rsid w:val="003233ED"/>
    <w:rsid w:val="00324D9F"/>
    <w:rsid w:val="00327948"/>
    <w:rsid w:val="0033000F"/>
    <w:rsid w:val="00332011"/>
    <w:rsid w:val="00332518"/>
    <w:rsid w:val="00332925"/>
    <w:rsid w:val="00332CF4"/>
    <w:rsid w:val="003332ED"/>
    <w:rsid w:val="003350BA"/>
    <w:rsid w:val="00335640"/>
    <w:rsid w:val="003368DC"/>
    <w:rsid w:val="00345927"/>
    <w:rsid w:val="00350584"/>
    <w:rsid w:val="00351857"/>
    <w:rsid w:val="003545E8"/>
    <w:rsid w:val="00357139"/>
    <w:rsid w:val="00360B43"/>
    <w:rsid w:val="00360BE8"/>
    <w:rsid w:val="003610E1"/>
    <w:rsid w:val="00365F64"/>
    <w:rsid w:val="003671BE"/>
    <w:rsid w:val="00372485"/>
    <w:rsid w:val="00373200"/>
    <w:rsid w:val="00375EF5"/>
    <w:rsid w:val="003767A5"/>
    <w:rsid w:val="00380FD4"/>
    <w:rsid w:val="00381D15"/>
    <w:rsid w:val="00385254"/>
    <w:rsid w:val="00391293"/>
    <w:rsid w:val="003974BE"/>
    <w:rsid w:val="003A04DB"/>
    <w:rsid w:val="003A5F5B"/>
    <w:rsid w:val="003A789A"/>
    <w:rsid w:val="003B12EC"/>
    <w:rsid w:val="003B3365"/>
    <w:rsid w:val="003B4A82"/>
    <w:rsid w:val="003B4F95"/>
    <w:rsid w:val="003B509C"/>
    <w:rsid w:val="003B7053"/>
    <w:rsid w:val="003C40BC"/>
    <w:rsid w:val="003C55B4"/>
    <w:rsid w:val="003C77E0"/>
    <w:rsid w:val="003C7B0A"/>
    <w:rsid w:val="003D17D7"/>
    <w:rsid w:val="003D2678"/>
    <w:rsid w:val="003D3AD8"/>
    <w:rsid w:val="003D71A3"/>
    <w:rsid w:val="003E2B8A"/>
    <w:rsid w:val="003F0113"/>
    <w:rsid w:val="003F10EE"/>
    <w:rsid w:val="003F16F6"/>
    <w:rsid w:val="003F4DC7"/>
    <w:rsid w:val="003F5235"/>
    <w:rsid w:val="0040062B"/>
    <w:rsid w:val="004027E4"/>
    <w:rsid w:val="0041071D"/>
    <w:rsid w:val="004117A4"/>
    <w:rsid w:val="004147A6"/>
    <w:rsid w:val="00414AFC"/>
    <w:rsid w:val="004151A7"/>
    <w:rsid w:val="00415310"/>
    <w:rsid w:val="00421709"/>
    <w:rsid w:val="00423763"/>
    <w:rsid w:val="0042762F"/>
    <w:rsid w:val="00427DC7"/>
    <w:rsid w:val="004311B8"/>
    <w:rsid w:val="00431613"/>
    <w:rsid w:val="00431792"/>
    <w:rsid w:val="00431E23"/>
    <w:rsid w:val="0043297A"/>
    <w:rsid w:val="00432EB2"/>
    <w:rsid w:val="0043714F"/>
    <w:rsid w:val="00437F6D"/>
    <w:rsid w:val="004436B9"/>
    <w:rsid w:val="004438B5"/>
    <w:rsid w:val="00447037"/>
    <w:rsid w:val="004478D4"/>
    <w:rsid w:val="0045124D"/>
    <w:rsid w:val="00454596"/>
    <w:rsid w:val="0045605D"/>
    <w:rsid w:val="0046135B"/>
    <w:rsid w:val="00461D47"/>
    <w:rsid w:val="004718CC"/>
    <w:rsid w:val="004723F7"/>
    <w:rsid w:val="00481695"/>
    <w:rsid w:val="00482DE4"/>
    <w:rsid w:val="004839E6"/>
    <w:rsid w:val="004840D9"/>
    <w:rsid w:val="004844E5"/>
    <w:rsid w:val="00494CB0"/>
    <w:rsid w:val="00495A96"/>
    <w:rsid w:val="00495BB3"/>
    <w:rsid w:val="004A56BB"/>
    <w:rsid w:val="004A6476"/>
    <w:rsid w:val="004B06F4"/>
    <w:rsid w:val="004B1751"/>
    <w:rsid w:val="004B1867"/>
    <w:rsid w:val="004C0253"/>
    <w:rsid w:val="004C13B9"/>
    <w:rsid w:val="004C40BD"/>
    <w:rsid w:val="004D269C"/>
    <w:rsid w:val="004D370C"/>
    <w:rsid w:val="004D56FF"/>
    <w:rsid w:val="004E39D3"/>
    <w:rsid w:val="004E4959"/>
    <w:rsid w:val="004E508A"/>
    <w:rsid w:val="004E533E"/>
    <w:rsid w:val="004E616D"/>
    <w:rsid w:val="004F1BDE"/>
    <w:rsid w:val="004F2CEE"/>
    <w:rsid w:val="004F556E"/>
    <w:rsid w:val="004F591C"/>
    <w:rsid w:val="004F6B40"/>
    <w:rsid w:val="004F7F44"/>
    <w:rsid w:val="005037B4"/>
    <w:rsid w:val="00505361"/>
    <w:rsid w:val="00506B3F"/>
    <w:rsid w:val="005079BF"/>
    <w:rsid w:val="0051269A"/>
    <w:rsid w:val="00513F14"/>
    <w:rsid w:val="00516039"/>
    <w:rsid w:val="005219E7"/>
    <w:rsid w:val="00524C02"/>
    <w:rsid w:val="0052515C"/>
    <w:rsid w:val="005252DC"/>
    <w:rsid w:val="00527360"/>
    <w:rsid w:val="00531B9A"/>
    <w:rsid w:val="00531D15"/>
    <w:rsid w:val="00531E74"/>
    <w:rsid w:val="00537604"/>
    <w:rsid w:val="0054071E"/>
    <w:rsid w:val="00541566"/>
    <w:rsid w:val="00542377"/>
    <w:rsid w:val="005476EB"/>
    <w:rsid w:val="00551782"/>
    <w:rsid w:val="00553E3B"/>
    <w:rsid w:val="00555730"/>
    <w:rsid w:val="005605B8"/>
    <w:rsid w:val="00561AC4"/>
    <w:rsid w:val="00563EF1"/>
    <w:rsid w:val="00566AB4"/>
    <w:rsid w:val="00575AC5"/>
    <w:rsid w:val="0057605D"/>
    <w:rsid w:val="005776AC"/>
    <w:rsid w:val="00581347"/>
    <w:rsid w:val="00581AC9"/>
    <w:rsid w:val="00581FB5"/>
    <w:rsid w:val="005849F8"/>
    <w:rsid w:val="00584E6D"/>
    <w:rsid w:val="00593215"/>
    <w:rsid w:val="005938DF"/>
    <w:rsid w:val="00594E9C"/>
    <w:rsid w:val="005A099B"/>
    <w:rsid w:val="005A2D9C"/>
    <w:rsid w:val="005A55FE"/>
    <w:rsid w:val="005A6A11"/>
    <w:rsid w:val="005B0023"/>
    <w:rsid w:val="005B3B15"/>
    <w:rsid w:val="005B4E6F"/>
    <w:rsid w:val="005D2502"/>
    <w:rsid w:val="005D40BB"/>
    <w:rsid w:val="005D47F3"/>
    <w:rsid w:val="005D49BF"/>
    <w:rsid w:val="005D4AA5"/>
    <w:rsid w:val="005D6F4E"/>
    <w:rsid w:val="005D7C73"/>
    <w:rsid w:val="005E349D"/>
    <w:rsid w:val="005E3ACD"/>
    <w:rsid w:val="005E5711"/>
    <w:rsid w:val="005E7226"/>
    <w:rsid w:val="005E7A57"/>
    <w:rsid w:val="005F24B0"/>
    <w:rsid w:val="005F4D64"/>
    <w:rsid w:val="005F5915"/>
    <w:rsid w:val="00601249"/>
    <w:rsid w:val="0060170D"/>
    <w:rsid w:val="00601F6F"/>
    <w:rsid w:val="00604315"/>
    <w:rsid w:val="00604E26"/>
    <w:rsid w:val="006052CF"/>
    <w:rsid w:val="00607B8D"/>
    <w:rsid w:val="00611F5C"/>
    <w:rsid w:val="00616E09"/>
    <w:rsid w:val="00622A3B"/>
    <w:rsid w:val="00622EEA"/>
    <w:rsid w:val="0062396C"/>
    <w:rsid w:val="00623FF9"/>
    <w:rsid w:val="00627D4E"/>
    <w:rsid w:val="00632B89"/>
    <w:rsid w:val="00634478"/>
    <w:rsid w:val="00642946"/>
    <w:rsid w:val="00644373"/>
    <w:rsid w:val="00644C31"/>
    <w:rsid w:val="00645915"/>
    <w:rsid w:val="006519C3"/>
    <w:rsid w:val="00652B30"/>
    <w:rsid w:val="006533E3"/>
    <w:rsid w:val="00655BBE"/>
    <w:rsid w:val="00656345"/>
    <w:rsid w:val="00656DC6"/>
    <w:rsid w:val="00660EB5"/>
    <w:rsid w:val="00660EC6"/>
    <w:rsid w:val="00664110"/>
    <w:rsid w:val="00664D17"/>
    <w:rsid w:val="00666520"/>
    <w:rsid w:val="0066746D"/>
    <w:rsid w:val="00667C5B"/>
    <w:rsid w:val="006712DB"/>
    <w:rsid w:val="00691EB8"/>
    <w:rsid w:val="00692CDE"/>
    <w:rsid w:val="00693073"/>
    <w:rsid w:val="0069632A"/>
    <w:rsid w:val="006977FF"/>
    <w:rsid w:val="006A01FA"/>
    <w:rsid w:val="006A0BBF"/>
    <w:rsid w:val="006A0E9E"/>
    <w:rsid w:val="006A1853"/>
    <w:rsid w:val="006A25C7"/>
    <w:rsid w:val="006A3A4B"/>
    <w:rsid w:val="006A4AAD"/>
    <w:rsid w:val="006A6114"/>
    <w:rsid w:val="006A6DA2"/>
    <w:rsid w:val="006A7AB2"/>
    <w:rsid w:val="006B044B"/>
    <w:rsid w:val="006B1B60"/>
    <w:rsid w:val="006B5717"/>
    <w:rsid w:val="006B582F"/>
    <w:rsid w:val="006C0CEB"/>
    <w:rsid w:val="006C367F"/>
    <w:rsid w:val="006C3B1E"/>
    <w:rsid w:val="006C47FD"/>
    <w:rsid w:val="006C5C19"/>
    <w:rsid w:val="006C70A0"/>
    <w:rsid w:val="006D1DE9"/>
    <w:rsid w:val="006D27CB"/>
    <w:rsid w:val="006D2F08"/>
    <w:rsid w:val="006D35D8"/>
    <w:rsid w:val="006D49C7"/>
    <w:rsid w:val="006D576C"/>
    <w:rsid w:val="006D5865"/>
    <w:rsid w:val="006E4B1B"/>
    <w:rsid w:val="006E5445"/>
    <w:rsid w:val="006E6AE8"/>
    <w:rsid w:val="006E7D93"/>
    <w:rsid w:val="006E7E9E"/>
    <w:rsid w:val="006F28D5"/>
    <w:rsid w:val="006F56AA"/>
    <w:rsid w:val="007029A3"/>
    <w:rsid w:val="00706E4E"/>
    <w:rsid w:val="0070791C"/>
    <w:rsid w:val="00707D5A"/>
    <w:rsid w:val="00710098"/>
    <w:rsid w:val="0071383C"/>
    <w:rsid w:val="007141A7"/>
    <w:rsid w:val="00715722"/>
    <w:rsid w:val="007159AD"/>
    <w:rsid w:val="00720286"/>
    <w:rsid w:val="00721032"/>
    <w:rsid w:val="00721B55"/>
    <w:rsid w:val="00726CE4"/>
    <w:rsid w:val="00734143"/>
    <w:rsid w:val="00737E47"/>
    <w:rsid w:val="00740EAC"/>
    <w:rsid w:val="0074199D"/>
    <w:rsid w:val="007434E9"/>
    <w:rsid w:val="00744956"/>
    <w:rsid w:val="00745A5C"/>
    <w:rsid w:val="0074605F"/>
    <w:rsid w:val="00747E94"/>
    <w:rsid w:val="00754C83"/>
    <w:rsid w:val="00754FB9"/>
    <w:rsid w:val="00764A5E"/>
    <w:rsid w:val="00765DF8"/>
    <w:rsid w:val="00766749"/>
    <w:rsid w:val="00767C1B"/>
    <w:rsid w:val="007714A9"/>
    <w:rsid w:val="00772AEE"/>
    <w:rsid w:val="00774F88"/>
    <w:rsid w:val="00774FDB"/>
    <w:rsid w:val="00777BA2"/>
    <w:rsid w:val="00780420"/>
    <w:rsid w:val="00781408"/>
    <w:rsid w:val="00784F7F"/>
    <w:rsid w:val="007878BD"/>
    <w:rsid w:val="00795CFC"/>
    <w:rsid w:val="00796F25"/>
    <w:rsid w:val="007A214A"/>
    <w:rsid w:val="007A2E98"/>
    <w:rsid w:val="007A3BA3"/>
    <w:rsid w:val="007A6CC0"/>
    <w:rsid w:val="007A7FEC"/>
    <w:rsid w:val="007B1499"/>
    <w:rsid w:val="007B1BBF"/>
    <w:rsid w:val="007B2486"/>
    <w:rsid w:val="007B2960"/>
    <w:rsid w:val="007B355D"/>
    <w:rsid w:val="007B4C6E"/>
    <w:rsid w:val="007B4E8B"/>
    <w:rsid w:val="007B7726"/>
    <w:rsid w:val="007B7980"/>
    <w:rsid w:val="007C0DEF"/>
    <w:rsid w:val="007C5678"/>
    <w:rsid w:val="007C5D5A"/>
    <w:rsid w:val="007C607F"/>
    <w:rsid w:val="007C79DD"/>
    <w:rsid w:val="007D1A97"/>
    <w:rsid w:val="007D2CD6"/>
    <w:rsid w:val="007D3063"/>
    <w:rsid w:val="007D3CEB"/>
    <w:rsid w:val="007D7CF3"/>
    <w:rsid w:val="007E2EBA"/>
    <w:rsid w:val="007E75E0"/>
    <w:rsid w:val="007E7683"/>
    <w:rsid w:val="007F354F"/>
    <w:rsid w:val="007F49FA"/>
    <w:rsid w:val="007F52E5"/>
    <w:rsid w:val="007F54C4"/>
    <w:rsid w:val="007F6E9A"/>
    <w:rsid w:val="0080433C"/>
    <w:rsid w:val="008044D4"/>
    <w:rsid w:val="0080475B"/>
    <w:rsid w:val="00804ABA"/>
    <w:rsid w:val="00806B3F"/>
    <w:rsid w:val="008109AB"/>
    <w:rsid w:val="00810AB4"/>
    <w:rsid w:val="00817B56"/>
    <w:rsid w:val="00821A88"/>
    <w:rsid w:val="00823985"/>
    <w:rsid w:val="00823FCD"/>
    <w:rsid w:val="0082495D"/>
    <w:rsid w:val="00827D73"/>
    <w:rsid w:val="00830537"/>
    <w:rsid w:val="00831AC3"/>
    <w:rsid w:val="00832481"/>
    <w:rsid w:val="008408FF"/>
    <w:rsid w:val="00845AC3"/>
    <w:rsid w:val="00851535"/>
    <w:rsid w:val="00851F3F"/>
    <w:rsid w:val="00856EDC"/>
    <w:rsid w:val="00860C29"/>
    <w:rsid w:val="008623B5"/>
    <w:rsid w:val="008628BD"/>
    <w:rsid w:val="00863B1F"/>
    <w:rsid w:val="00870ABA"/>
    <w:rsid w:val="008710B6"/>
    <w:rsid w:val="008710E1"/>
    <w:rsid w:val="008716E5"/>
    <w:rsid w:val="0087244F"/>
    <w:rsid w:val="00872DFF"/>
    <w:rsid w:val="00881CA9"/>
    <w:rsid w:val="0088235A"/>
    <w:rsid w:val="00883628"/>
    <w:rsid w:val="008836A9"/>
    <w:rsid w:val="00885544"/>
    <w:rsid w:val="0088634E"/>
    <w:rsid w:val="0089182B"/>
    <w:rsid w:val="00893AB8"/>
    <w:rsid w:val="00894681"/>
    <w:rsid w:val="00896799"/>
    <w:rsid w:val="008A04C8"/>
    <w:rsid w:val="008A340F"/>
    <w:rsid w:val="008A4378"/>
    <w:rsid w:val="008A6913"/>
    <w:rsid w:val="008B46E3"/>
    <w:rsid w:val="008B70F3"/>
    <w:rsid w:val="008B71C4"/>
    <w:rsid w:val="008B76DF"/>
    <w:rsid w:val="008C10F4"/>
    <w:rsid w:val="008C65F7"/>
    <w:rsid w:val="008D0396"/>
    <w:rsid w:val="008D1E26"/>
    <w:rsid w:val="008D7067"/>
    <w:rsid w:val="008E4767"/>
    <w:rsid w:val="008E68EE"/>
    <w:rsid w:val="008E7A8C"/>
    <w:rsid w:val="00903285"/>
    <w:rsid w:val="009047AC"/>
    <w:rsid w:val="00906F40"/>
    <w:rsid w:val="0090731E"/>
    <w:rsid w:val="00910635"/>
    <w:rsid w:val="00915B1C"/>
    <w:rsid w:val="009174F3"/>
    <w:rsid w:val="0091797D"/>
    <w:rsid w:val="0092189B"/>
    <w:rsid w:val="00923CBA"/>
    <w:rsid w:val="00926703"/>
    <w:rsid w:val="00927691"/>
    <w:rsid w:val="00927A5F"/>
    <w:rsid w:val="00927CEC"/>
    <w:rsid w:val="00931D85"/>
    <w:rsid w:val="00931DCE"/>
    <w:rsid w:val="009333BA"/>
    <w:rsid w:val="00935B63"/>
    <w:rsid w:val="009369E7"/>
    <w:rsid w:val="0094078F"/>
    <w:rsid w:val="00940FA3"/>
    <w:rsid w:val="00941FB0"/>
    <w:rsid w:val="009426D4"/>
    <w:rsid w:val="00947F25"/>
    <w:rsid w:val="00950159"/>
    <w:rsid w:val="0095490B"/>
    <w:rsid w:val="009579A0"/>
    <w:rsid w:val="00960A33"/>
    <w:rsid w:val="00962EF4"/>
    <w:rsid w:val="00971914"/>
    <w:rsid w:val="00974363"/>
    <w:rsid w:val="00981898"/>
    <w:rsid w:val="0099577C"/>
    <w:rsid w:val="009A1441"/>
    <w:rsid w:val="009B0AB5"/>
    <w:rsid w:val="009B2601"/>
    <w:rsid w:val="009B4E9E"/>
    <w:rsid w:val="009B7CDB"/>
    <w:rsid w:val="009C1690"/>
    <w:rsid w:val="009C3DE8"/>
    <w:rsid w:val="009C6881"/>
    <w:rsid w:val="009C7759"/>
    <w:rsid w:val="009D043D"/>
    <w:rsid w:val="009D07C8"/>
    <w:rsid w:val="009D5543"/>
    <w:rsid w:val="009D6C71"/>
    <w:rsid w:val="009E0631"/>
    <w:rsid w:val="009E16D0"/>
    <w:rsid w:val="009E38FD"/>
    <w:rsid w:val="009F13D6"/>
    <w:rsid w:val="009F4085"/>
    <w:rsid w:val="009F4C6B"/>
    <w:rsid w:val="009F55FA"/>
    <w:rsid w:val="009F7338"/>
    <w:rsid w:val="009F78A8"/>
    <w:rsid w:val="00A002F6"/>
    <w:rsid w:val="00A01A49"/>
    <w:rsid w:val="00A02AD6"/>
    <w:rsid w:val="00A07096"/>
    <w:rsid w:val="00A07318"/>
    <w:rsid w:val="00A11370"/>
    <w:rsid w:val="00A142FD"/>
    <w:rsid w:val="00A224CE"/>
    <w:rsid w:val="00A22522"/>
    <w:rsid w:val="00A24AFD"/>
    <w:rsid w:val="00A24F5C"/>
    <w:rsid w:val="00A252F2"/>
    <w:rsid w:val="00A32F96"/>
    <w:rsid w:val="00A40871"/>
    <w:rsid w:val="00A412AB"/>
    <w:rsid w:val="00A4193E"/>
    <w:rsid w:val="00A426B4"/>
    <w:rsid w:val="00A440E0"/>
    <w:rsid w:val="00A442EF"/>
    <w:rsid w:val="00A51D1A"/>
    <w:rsid w:val="00A5418D"/>
    <w:rsid w:val="00A5474E"/>
    <w:rsid w:val="00A54E7F"/>
    <w:rsid w:val="00A6173D"/>
    <w:rsid w:val="00A64234"/>
    <w:rsid w:val="00A658D0"/>
    <w:rsid w:val="00A67757"/>
    <w:rsid w:val="00A7063A"/>
    <w:rsid w:val="00A70ADF"/>
    <w:rsid w:val="00A71466"/>
    <w:rsid w:val="00A74B5E"/>
    <w:rsid w:val="00A816D8"/>
    <w:rsid w:val="00A81BED"/>
    <w:rsid w:val="00A81EC4"/>
    <w:rsid w:val="00A873A1"/>
    <w:rsid w:val="00A91F34"/>
    <w:rsid w:val="00A967FD"/>
    <w:rsid w:val="00A96E99"/>
    <w:rsid w:val="00AA0AF7"/>
    <w:rsid w:val="00AA5089"/>
    <w:rsid w:val="00AB156C"/>
    <w:rsid w:val="00AB2447"/>
    <w:rsid w:val="00AB5915"/>
    <w:rsid w:val="00AB6814"/>
    <w:rsid w:val="00AC04BA"/>
    <w:rsid w:val="00AC0E39"/>
    <w:rsid w:val="00AC2EF8"/>
    <w:rsid w:val="00AC681A"/>
    <w:rsid w:val="00AD3082"/>
    <w:rsid w:val="00AD32B4"/>
    <w:rsid w:val="00AD4AD0"/>
    <w:rsid w:val="00AD5354"/>
    <w:rsid w:val="00AD5436"/>
    <w:rsid w:val="00AD60CD"/>
    <w:rsid w:val="00AD6C8C"/>
    <w:rsid w:val="00AE091D"/>
    <w:rsid w:val="00AE1955"/>
    <w:rsid w:val="00AE3B60"/>
    <w:rsid w:val="00AE53A1"/>
    <w:rsid w:val="00AE54F3"/>
    <w:rsid w:val="00AE59F2"/>
    <w:rsid w:val="00AF20EB"/>
    <w:rsid w:val="00AF2484"/>
    <w:rsid w:val="00AF63E7"/>
    <w:rsid w:val="00AF6E17"/>
    <w:rsid w:val="00B0165D"/>
    <w:rsid w:val="00B01B2D"/>
    <w:rsid w:val="00B01B60"/>
    <w:rsid w:val="00B02D05"/>
    <w:rsid w:val="00B031F3"/>
    <w:rsid w:val="00B052A4"/>
    <w:rsid w:val="00B0555D"/>
    <w:rsid w:val="00B125DE"/>
    <w:rsid w:val="00B13FDD"/>
    <w:rsid w:val="00B22EB2"/>
    <w:rsid w:val="00B25268"/>
    <w:rsid w:val="00B27442"/>
    <w:rsid w:val="00B31167"/>
    <w:rsid w:val="00B329D8"/>
    <w:rsid w:val="00B32BB9"/>
    <w:rsid w:val="00B32C03"/>
    <w:rsid w:val="00B33AE1"/>
    <w:rsid w:val="00B37C38"/>
    <w:rsid w:val="00B4288C"/>
    <w:rsid w:val="00B43262"/>
    <w:rsid w:val="00B44100"/>
    <w:rsid w:val="00B46CBA"/>
    <w:rsid w:val="00B46F94"/>
    <w:rsid w:val="00B6003C"/>
    <w:rsid w:val="00B611EF"/>
    <w:rsid w:val="00B61F03"/>
    <w:rsid w:val="00B626E4"/>
    <w:rsid w:val="00B631B3"/>
    <w:rsid w:val="00B72F4A"/>
    <w:rsid w:val="00B76E85"/>
    <w:rsid w:val="00B83C27"/>
    <w:rsid w:val="00B845F7"/>
    <w:rsid w:val="00B84BC3"/>
    <w:rsid w:val="00B84BDD"/>
    <w:rsid w:val="00B905E8"/>
    <w:rsid w:val="00B914AB"/>
    <w:rsid w:val="00B92812"/>
    <w:rsid w:val="00BA34E4"/>
    <w:rsid w:val="00BB45A1"/>
    <w:rsid w:val="00BB746E"/>
    <w:rsid w:val="00BB7686"/>
    <w:rsid w:val="00BC23F9"/>
    <w:rsid w:val="00BC3421"/>
    <w:rsid w:val="00BC4E4C"/>
    <w:rsid w:val="00BC732C"/>
    <w:rsid w:val="00BD60AD"/>
    <w:rsid w:val="00BE2580"/>
    <w:rsid w:val="00BE266D"/>
    <w:rsid w:val="00BE3938"/>
    <w:rsid w:val="00BE3BFF"/>
    <w:rsid w:val="00BE4C11"/>
    <w:rsid w:val="00BE5672"/>
    <w:rsid w:val="00BE71C0"/>
    <w:rsid w:val="00BF06F8"/>
    <w:rsid w:val="00BF572D"/>
    <w:rsid w:val="00BF5D66"/>
    <w:rsid w:val="00BF610C"/>
    <w:rsid w:val="00C0060B"/>
    <w:rsid w:val="00C0277D"/>
    <w:rsid w:val="00C053A1"/>
    <w:rsid w:val="00C07A73"/>
    <w:rsid w:val="00C16198"/>
    <w:rsid w:val="00C2083D"/>
    <w:rsid w:val="00C24A53"/>
    <w:rsid w:val="00C3152C"/>
    <w:rsid w:val="00C34152"/>
    <w:rsid w:val="00C34A05"/>
    <w:rsid w:val="00C4032F"/>
    <w:rsid w:val="00C44047"/>
    <w:rsid w:val="00C45155"/>
    <w:rsid w:val="00C54746"/>
    <w:rsid w:val="00C5498F"/>
    <w:rsid w:val="00C55235"/>
    <w:rsid w:val="00C562AB"/>
    <w:rsid w:val="00C63720"/>
    <w:rsid w:val="00C64CD0"/>
    <w:rsid w:val="00C6684F"/>
    <w:rsid w:val="00C670B7"/>
    <w:rsid w:val="00C70E70"/>
    <w:rsid w:val="00C75F8D"/>
    <w:rsid w:val="00C76AE6"/>
    <w:rsid w:val="00C77380"/>
    <w:rsid w:val="00C85982"/>
    <w:rsid w:val="00C95941"/>
    <w:rsid w:val="00C97736"/>
    <w:rsid w:val="00CA0E49"/>
    <w:rsid w:val="00CA345A"/>
    <w:rsid w:val="00CB1E82"/>
    <w:rsid w:val="00CB4441"/>
    <w:rsid w:val="00CB4BA8"/>
    <w:rsid w:val="00CB52D7"/>
    <w:rsid w:val="00CC6732"/>
    <w:rsid w:val="00CD0816"/>
    <w:rsid w:val="00CE1675"/>
    <w:rsid w:val="00CE29CC"/>
    <w:rsid w:val="00CE3C96"/>
    <w:rsid w:val="00CE51A8"/>
    <w:rsid w:val="00CE5BBF"/>
    <w:rsid w:val="00CF00E3"/>
    <w:rsid w:val="00CF27EE"/>
    <w:rsid w:val="00CF369B"/>
    <w:rsid w:val="00D00E28"/>
    <w:rsid w:val="00D0269E"/>
    <w:rsid w:val="00D05D6C"/>
    <w:rsid w:val="00D15810"/>
    <w:rsid w:val="00D16D4E"/>
    <w:rsid w:val="00D16FE3"/>
    <w:rsid w:val="00D1715F"/>
    <w:rsid w:val="00D2322E"/>
    <w:rsid w:val="00D27F41"/>
    <w:rsid w:val="00D32D8A"/>
    <w:rsid w:val="00D33DE9"/>
    <w:rsid w:val="00D36441"/>
    <w:rsid w:val="00D4064E"/>
    <w:rsid w:val="00D44E9B"/>
    <w:rsid w:val="00D47AEB"/>
    <w:rsid w:val="00D50DB9"/>
    <w:rsid w:val="00D51302"/>
    <w:rsid w:val="00D51C51"/>
    <w:rsid w:val="00D52C43"/>
    <w:rsid w:val="00D52D29"/>
    <w:rsid w:val="00D530FE"/>
    <w:rsid w:val="00D621EC"/>
    <w:rsid w:val="00D6507F"/>
    <w:rsid w:val="00D66666"/>
    <w:rsid w:val="00D730BC"/>
    <w:rsid w:val="00D73912"/>
    <w:rsid w:val="00D74FC8"/>
    <w:rsid w:val="00D85226"/>
    <w:rsid w:val="00D87B94"/>
    <w:rsid w:val="00D92D49"/>
    <w:rsid w:val="00D92EC1"/>
    <w:rsid w:val="00D96DEA"/>
    <w:rsid w:val="00DA4E41"/>
    <w:rsid w:val="00DB117A"/>
    <w:rsid w:val="00DB5173"/>
    <w:rsid w:val="00DB7873"/>
    <w:rsid w:val="00DC187B"/>
    <w:rsid w:val="00DD365C"/>
    <w:rsid w:val="00DD73C2"/>
    <w:rsid w:val="00DE2179"/>
    <w:rsid w:val="00DE2D15"/>
    <w:rsid w:val="00DE319B"/>
    <w:rsid w:val="00DF07D9"/>
    <w:rsid w:val="00DF1C26"/>
    <w:rsid w:val="00DF34FE"/>
    <w:rsid w:val="00DF56AA"/>
    <w:rsid w:val="00DF56AF"/>
    <w:rsid w:val="00DF78E7"/>
    <w:rsid w:val="00E03EF8"/>
    <w:rsid w:val="00E044AE"/>
    <w:rsid w:val="00E07F7F"/>
    <w:rsid w:val="00E110E0"/>
    <w:rsid w:val="00E15301"/>
    <w:rsid w:val="00E15371"/>
    <w:rsid w:val="00E24104"/>
    <w:rsid w:val="00E302D0"/>
    <w:rsid w:val="00E35707"/>
    <w:rsid w:val="00E369D9"/>
    <w:rsid w:val="00E36AA1"/>
    <w:rsid w:val="00E4095A"/>
    <w:rsid w:val="00E41ECB"/>
    <w:rsid w:val="00E43D12"/>
    <w:rsid w:val="00E44C84"/>
    <w:rsid w:val="00E54281"/>
    <w:rsid w:val="00E5484B"/>
    <w:rsid w:val="00E54FDB"/>
    <w:rsid w:val="00E5617D"/>
    <w:rsid w:val="00E563D7"/>
    <w:rsid w:val="00E663F4"/>
    <w:rsid w:val="00E666F2"/>
    <w:rsid w:val="00E66DD4"/>
    <w:rsid w:val="00E722BE"/>
    <w:rsid w:val="00E748CC"/>
    <w:rsid w:val="00E75415"/>
    <w:rsid w:val="00E75802"/>
    <w:rsid w:val="00E775B1"/>
    <w:rsid w:val="00E8152A"/>
    <w:rsid w:val="00E86BBD"/>
    <w:rsid w:val="00E90710"/>
    <w:rsid w:val="00E90A6A"/>
    <w:rsid w:val="00E92FD1"/>
    <w:rsid w:val="00E93629"/>
    <w:rsid w:val="00E93B5C"/>
    <w:rsid w:val="00E94CEC"/>
    <w:rsid w:val="00EA04EF"/>
    <w:rsid w:val="00EA540C"/>
    <w:rsid w:val="00EA6F19"/>
    <w:rsid w:val="00EB7090"/>
    <w:rsid w:val="00EC1BBE"/>
    <w:rsid w:val="00EC5CD7"/>
    <w:rsid w:val="00EC7EA9"/>
    <w:rsid w:val="00ED38CE"/>
    <w:rsid w:val="00ED6AC4"/>
    <w:rsid w:val="00ED75E8"/>
    <w:rsid w:val="00EE0196"/>
    <w:rsid w:val="00EE1F18"/>
    <w:rsid w:val="00EE5FB3"/>
    <w:rsid w:val="00EE788A"/>
    <w:rsid w:val="00EE7F79"/>
    <w:rsid w:val="00EF6E6D"/>
    <w:rsid w:val="00EF715A"/>
    <w:rsid w:val="00F040F8"/>
    <w:rsid w:val="00F06E14"/>
    <w:rsid w:val="00F100A4"/>
    <w:rsid w:val="00F16028"/>
    <w:rsid w:val="00F179D4"/>
    <w:rsid w:val="00F30DF6"/>
    <w:rsid w:val="00F33C56"/>
    <w:rsid w:val="00F347C7"/>
    <w:rsid w:val="00F34848"/>
    <w:rsid w:val="00F360DB"/>
    <w:rsid w:val="00F37BFD"/>
    <w:rsid w:val="00F41298"/>
    <w:rsid w:val="00F42D46"/>
    <w:rsid w:val="00F43FF9"/>
    <w:rsid w:val="00F44455"/>
    <w:rsid w:val="00F4496C"/>
    <w:rsid w:val="00F44E74"/>
    <w:rsid w:val="00F44F3A"/>
    <w:rsid w:val="00F4785B"/>
    <w:rsid w:val="00F50B18"/>
    <w:rsid w:val="00F51F10"/>
    <w:rsid w:val="00F529A5"/>
    <w:rsid w:val="00F57646"/>
    <w:rsid w:val="00F6086A"/>
    <w:rsid w:val="00F60F00"/>
    <w:rsid w:val="00F614C0"/>
    <w:rsid w:val="00F740EE"/>
    <w:rsid w:val="00F82F6A"/>
    <w:rsid w:val="00F83848"/>
    <w:rsid w:val="00F851CC"/>
    <w:rsid w:val="00F9199A"/>
    <w:rsid w:val="00F9421D"/>
    <w:rsid w:val="00F975E9"/>
    <w:rsid w:val="00FA15D0"/>
    <w:rsid w:val="00FA1B7D"/>
    <w:rsid w:val="00FC07B9"/>
    <w:rsid w:val="00FC10CF"/>
    <w:rsid w:val="00FC2BF6"/>
    <w:rsid w:val="00FC3893"/>
    <w:rsid w:val="00FC4E21"/>
    <w:rsid w:val="00FC5F6D"/>
    <w:rsid w:val="00FD0107"/>
    <w:rsid w:val="00FD2C2F"/>
    <w:rsid w:val="00FD3B31"/>
    <w:rsid w:val="00FE1823"/>
    <w:rsid w:val="00FE487A"/>
    <w:rsid w:val="00FF0569"/>
    <w:rsid w:val="00FF206E"/>
    <w:rsid w:val="00FF3C69"/>
    <w:rsid w:val="00FF6154"/>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351F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basedOn w:val="Normal"/>
    <w:next w:val="Normal"/>
    <w:qFormat/>
    <w:rsid w:val="003B509C"/>
    <w:pPr>
      <w:keepNext/>
      <w:widowControl w:val="0"/>
      <w:numPr>
        <w:numId w:val="20"/>
      </w:numPr>
      <w:spacing w:after="120" w:line="240" w:lineRule="auto"/>
      <w:ind w:left="431" w:hanging="431"/>
      <w:outlineLvl w:val="0"/>
    </w:pPr>
    <w:rPr>
      <w:rFonts w:cs="Arial"/>
      <w:b/>
      <w:bCs/>
      <w:color w:val="0D0D0D" w:themeColor="text1" w:themeTint="F2"/>
      <w:kern w:val="32"/>
      <w:sz w:val="36"/>
      <w:szCs w:val="32"/>
    </w:rPr>
  </w:style>
  <w:style w:type="paragraph" w:styleId="Heading2">
    <w:name w:val="heading 2"/>
    <w:basedOn w:val="Normal"/>
    <w:next w:val="Normal"/>
    <w:qFormat/>
    <w:rsid w:val="00A7063A"/>
    <w:pPr>
      <w:keepNext/>
      <w:numPr>
        <w:ilvl w:val="1"/>
        <w:numId w:val="20"/>
      </w:numPr>
      <w:spacing w:before="60" w:after="60"/>
      <w:outlineLvl w:val="1"/>
    </w:pPr>
    <w:rPr>
      <w:rFonts w:cs="Arial"/>
      <w:b/>
      <w:bCs/>
      <w:iCs/>
      <w:sz w:val="28"/>
      <w:szCs w:val="28"/>
    </w:rPr>
  </w:style>
  <w:style w:type="paragraph" w:styleId="Heading3">
    <w:name w:val="heading 3"/>
    <w:basedOn w:val="Normal"/>
    <w:next w:val="Normal"/>
    <w:qFormat/>
    <w:rsid w:val="00A7063A"/>
    <w:pPr>
      <w:keepNext/>
      <w:numPr>
        <w:ilvl w:val="2"/>
        <w:numId w:val="20"/>
      </w:numPr>
      <w:spacing w:before="60" w:after="60"/>
      <w:outlineLvl w:val="2"/>
    </w:pPr>
    <w:rPr>
      <w:rFonts w:cs="Arial"/>
      <w:b/>
      <w:bCs/>
      <w:szCs w:val="26"/>
    </w:rPr>
  </w:style>
  <w:style w:type="paragraph" w:styleId="Heading4">
    <w:name w:val="heading 4"/>
    <w:basedOn w:val="Normal"/>
    <w:next w:val="Normal"/>
    <w:semiHidden/>
    <w:qFormat/>
    <w:rsid w:val="00AD5436"/>
    <w:pPr>
      <w:keepNext/>
      <w:numPr>
        <w:ilvl w:val="3"/>
        <w:numId w:val="20"/>
      </w:numPr>
      <w:tabs>
        <w:tab w:val="num" w:pos="360"/>
      </w:tabs>
      <w:spacing w:before="240" w:after="60"/>
      <w:ind w:left="0" w:firstLine="0"/>
      <w:outlineLvl w:val="3"/>
    </w:pPr>
    <w:rPr>
      <w:rFonts w:ascii="Times New Roman" w:hAnsi="Times New Roman"/>
      <w:b/>
      <w:bCs/>
      <w:sz w:val="28"/>
      <w:szCs w:val="28"/>
    </w:rPr>
  </w:style>
  <w:style w:type="paragraph" w:styleId="Heading5">
    <w:name w:val="heading 5"/>
    <w:basedOn w:val="Normal"/>
    <w:next w:val="Normal"/>
    <w:semiHidden/>
    <w:qFormat/>
    <w:rsid w:val="00AD5436"/>
    <w:pPr>
      <w:numPr>
        <w:ilvl w:val="4"/>
        <w:numId w:val="20"/>
      </w:numPr>
      <w:tabs>
        <w:tab w:val="num" w:pos="360"/>
      </w:tabs>
      <w:spacing w:before="240" w:after="60"/>
      <w:ind w:left="0" w:firstLine="0"/>
      <w:outlineLvl w:val="4"/>
    </w:pPr>
    <w:rPr>
      <w:b/>
      <w:bCs/>
      <w:i/>
      <w:iCs/>
      <w:sz w:val="26"/>
      <w:szCs w:val="26"/>
    </w:rPr>
  </w:style>
  <w:style w:type="paragraph" w:styleId="Heading6">
    <w:name w:val="heading 6"/>
    <w:basedOn w:val="Normal"/>
    <w:next w:val="Normal"/>
    <w:semiHidden/>
    <w:qFormat/>
    <w:rsid w:val="00AD5436"/>
    <w:pPr>
      <w:numPr>
        <w:ilvl w:val="5"/>
        <w:numId w:val="20"/>
      </w:numPr>
      <w:tabs>
        <w:tab w:val="num" w:pos="360"/>
      </w:tabs>
      <w:spacing w:before="240" w:after="60"/>
      <w:ind w:left="0" w:firstLine="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20"/>
      </w:numPr>
      <w:tabs>
        <w:tab w:val="num" w:pos="360"/>
      </w:tabs>
      <w:spacing w:before="240" w:after="60"/>
      <w:ind w:left="0" w:firstLine="0"/>
      <w:outlineLvl w:val="6"/>
    </w:pPr>
    <w:rPr>
      <w:rFonts w:ascii="Times New Roman" w:hAnsi="Times New Roman"/>
      <w:sz w:val="24"/>
    </w:rPr>
  </w:style>
  <w:style w:type="paragraph" w:styleId="Heading8">
    <w:name w:val="heading 8"/>
    <w:basedOn w:val="Normal"/>
    <w:next w:val="Normal"/>
    <w:semiHidden/>
    <w:qFormat/>
    <w:rsid w:val="00AD5436"/>
    <w:pPr>
      <w:numPr>
        <w:ilvl w:val="7"/>
        <w:numId w:val="20"/>
      </w:numPr>
      <w:tabs>
        <w:tab w:val="num" w:pos="360"/>
      </w:tabs>
      <w:spacing w:before="240" w:after="60"/>
      <w:ind w:left="0" w:firstLine="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20"/>
      </w:numPr>
      <w:tabs>
        <w:tab w:val="num" w:pos="360"/>
      </w:tabs>
      <w:spacing w:before="240" w:after="60"/>
      <w:ind w:left="0" w:firstLine="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aliases w:val="List Bullet 1"/>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aliases w:val="CEO_Hyperlink"/>
    <w:basedOn w:val="DefaultParagraphFont"/>
    <w:uiPriority w:val="99"/>
    <w:qFormat/>
    <w:rsid w:val="003A5F5B"/>
    <w:rPr>
      <w:color w:val="0000FF"/>
      <w:u w:val="single"/>
    </w:rPr>
  </w:style>
  <w:style w:type="character" w:styleId="FootnoteReference">
    <w:name w:val="footnote reference"/>
    <w:aliases w:val="Appel note de bas de p,Appel note de bas de p + 11 pt,Italic,Appel note de bas de p1,Appel note de bas de p2,Appel note de bas de p3,Footnote Reference/,Footnote,Style 12,(NECG) Footnote Reference,Style 124,o,fr,Style 3"/>
    <w:basedOn w:val="DefaultParagraphFont"/>
    <w:rsid w:val="00566AB4"/>
    <w:rPr>
      <w:rFonts w:ascii="Arial" w:hAnsi="Arial"/>
      <w:vertAlign w:val="superscript"/>
    </w:rPr>
  </w:style>
  <w:style w:type="paragraph" w:styleId="FootnoteText">
    <w:name w:val="footnote text"/>
    <w:aliases w:val="ACMA Footnote Text"/>
    <w:basedOn w:val="Normal"/>
    <w:link w:val="FootnoteTextChar"/>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paragraph" w:styleId="Revision">
    <w:name w:val="Revision"/>
    <w:hidden/>
    <w:semiHidden/>
    <w:rsid w:val="00232AAB"/>
    <w:rPr>
      <w:rFonts w:ascii="Arial" w:hAnsi="Arial"/>
      <w:sz w:val="20"/>
    </w:rPr>
  </w:style>
  <w:style w:type="paragraph" w:styleId="ListParagraph">
    <w:name w:val="List Paragraph"/>
    <w:basedOn w:val="Normal"/>
    <w:uiPriority w:val="34"/>
    <w:qFormat/>
    <w:rsid w:val="00872DFF"/>
    <w:pPr>
      <w:spacing w:after="0"/>
      <w:ind w:left="720"/>
      <w:contextualSpacing/>
    </w:pPr>
  </w:style>
  <w:style w:type="paragraph" w:customStyle="1" w:styleId="AppL1">
    <w:name w:val="AppL1"/>
    <w:basedOn w:val="Heading1"/>
    <w:next w:val="Normal"/>
    <w:link w:val="AppL1Char"/>
    <w:qFormat/>
    <w:rsid w:val="00122FB0"/>
    <w:pPr>
      <w:numPr>
        <w:numId w:val="15"/>
      </w:numPr>
      <w:spacing w:after="240"/>
    </w:pPr>
    <w:rPr>
      <w:b w:val="0"/>
    </w:rPr>
  </w:style>
  <w:style w:type="character" w:customStyle="1" w:styleId="AppL1Char">
    <w:name w:val="AppL1 Char"/>
    <w:basedOn w:val="DefaultParagraphFont"/>
    <w:link w:val="AppL1"/>
    <w:rsid w:val="00122FB0"/>
    <w:rPr>
      <w:rFonts w:ascii="Arial" w:hAnsi="Arial" w:cs="Arial"/>
      <w:bCs/>
      <w:color w:val="0D0D0D" w:themeColor="text1" w:themeTint="F2"/>
      <w:kern w:val="32"/>
      <w:sz w:val="36"/>
      <w:szCs w:val="32"/>
    </w:rPr>
  </w:style>
  <w:style w:type="paragraph" w:customStyle="1" w:styleId="AppL2">
    <w:name w:val="AppL2"/>
    <w:basedOn w:val="Heading2"/>
    <w:next w:val="Normal"/>
    <w:link w:val="AppL2Char"/>
    <w:qFormat/>
    <w:rsid w:val="00872DFF"/>
    <w:pPr>
      <w:numPr>
        <w:numId w:val="15"/>
      </w:numPr>
    </w:pPr>
  </w:style>
  <w:style w:type="paragraph" w:customStyle="1" w:styleId="AppL3">
    <w:name w:val="AppL3"/>
    <w:basedOn w:val="Heading3"/>
    <w:next w:val="Normal"/>
    <w:link w:val="AppL3Char"/>
    <w:qFormat/>
    <w:rsid w:val="00872DFF"/>
    <w:pPr>
      <w:numPr>
        <w:numId w:val="15"/>
      </w:numPr>
    </w:pPr>
    <w:rPr>
      <w:sz w:val="24"/>
    </w:rPr>
  </w:style>
  <w:style w:type="character" w:customStyle="1" w:styleId="FootnoteTextChar">
    <w:name w:val="Footnote Text Char"/>
    <w:aliases w:val="ACMA Footnote Text Char"/>
    <w:basedOn w:val="DefaultParagraphFont"/>
    <w:link w:val="FootnoteText"/>
    <w:rsid w:val="00872DFF"/>
    <w:rPr>
      <w:rFonts w:ascii="Arial" w:hAnsi="Arial"/>
      <w:sz w:val="16"/>
      <w:szCs w:val="16"/>
    </w:rPr>
  </w:style>
  <w:style w:type="character" w:customStyle="1" w:styleId="AppL2Char">
    <w:name w:val="AppL2 Char"/>
    <w:basedOn w:val="DefaultParagraphFont"/>
    <w:link w:val="AppL2"/>
    <w:rsid w:val="003B509C"/>
    <w:rPr>
      <w:rFonts w:ascii="Arial" w:hAnsi="Arial" w:cs="Arial"/>
      <w:b/>
      <w:bCs/>
      <w:iCs/>
      <w:sz w:val="28"/>
      <w:szCs w:val="28"/>
    </w:rPr>
  </w:style>
  <w:style w:type="character" w:customStyle="1" w:styleId="AppL3Char">
    <w:name w:val="AppL3 Char"/>
    <w:basedOn w:val="DefaultParagraphFont"/>
    <w:link w:val="AppL3"/>
    <w:rsid w:val="003B509C"/>
    <w:rPr>
      <w:rFonts w:ascii="Arial" w:hAnsi="Arial" w:cs="Arial"/>
      <w:b/>
      <w:bCs/>
      <w:szCs w:val="26"/>
    </w:rPr>
  </w:style>
  <w:style w:type="character" w:styleId="UnresolvedMention">
    <w:name w:val="Unresolved Mention"/>
    <w:basedOn w:val="DefaultParagraphFont"/>
    <w:uiPriority w:val="99"/>
    <w:semiHidden/>
    <w:unhideWhenUsed/>
    <w:rsid w:val="00BF5D66"/>
    <w:rPr>
      <w:color w:val="605E5C"/>
      <w:shd w:val="clear" w:color="auto" w:fill="E1DFDD"/>
    </w:rPr>
  </w:style>
  <w:style w:type="paragraph" w:customStyle="1" w:styleId="Paragraph">
    <w:name w:val="Paragraph"/>
    <w:basedOn w:val="Normal"/>
    <w:qFormat/>
    <w:rsid w:val="006E7E9E"/>
    <w:rPr>
      <w:rFonts w:cs="Arial"/>
    </w:rPr>
  </w:style>
  <w:style w:type="character" w:customStyle="1" w:styleId="paragraphChar">
    <w:name w:val="paragraph Char"/>
    <w:aliases w:val="a Char"/>
    <w:basedOn w:val="DefaultParagraphFont"/>
    <w:link w:val="paragraph0"/>
    <w:locked/>
    <w:rsid w:val="006A6114"/>
  </w:style>
  <w:style w:type="paragraph" w:customStyle="1" w:styleId="paragraph0">
    <w:name w:val="paragraph"/>
    <w:aliases w:val="a"/>
    <w:basedOn w:val="Normal"/>
    <w:link w:val="paragraphChar"/>
    <w:rsid w:val="006A6114"/>
    <w:pPr>
      <w:spacing w:before="40" w:after="0" w:line="240" w:lineRule="auto"/>
      <w:ind w:left="1644" w:hanging="1644"/>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69914">
      <w:bodyDiv w:val="1"/>
      <w:marLeft w:val="0"/>
      <w:marRight w:val="0"/>
      <w:marTop w:val="0"/>
      <w:marBottom w:val="0"/>
      <w:divBdr>
        <w:top w:val="none" w:sz="0" w:space="0" w:color="auto"/>
        <w:left w:val="none" w:sz="0" w:space="0" w:color="auto"/>
        <w:bottom w:val="none" w:sz="0" w:space="0" w:color="auto"/>
        <w:right w:val="none" w:sz="0" w:space="0" w:color="auto"/>
      </w:divBdr>
    </w:div>
    <w:div w:id="118451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i.creativecommons.org/l/by/3.0/88x31.png" TargetMode="External"/><Relationship Id="rId26" Type="http://schemas.openxmlformats.org/officeDocument/2006/relationships/header" Target="header6.xml"/><Relationship Id="rId39" Type="http://schemas.openxmlformats.org/officeDocument/2006/relationships/hyperlink" Target="https://www.acma.gov.au/publications/2019-08/publication/rali-ms32-mid-west-radio-quiet-zone" TargetMode="External"/><Relationship Id="rId21" Type="http://schemas.openxmlformats.org/officeDocument/2006/relationships/hyperlink" Target="mailto:info@acma.gov.au" TargetMode="External"/><Relationship Id="rId34" Type="http://schemas.openxmlformats.org/officeDocument/2006/relationships/hyperlink" Target="https://www.acma.gov.au/australian-radiofrequency-spectrum-plan" TargetMode="External"/><Relationship Id="rId42" Type="http://schemas.openxmlformats.org/officeDocument/2006/relationships/hyperlink" Target="https://www.acma.gov.au/restriction-earth-station-licensing-near-alice-springs" TargetMode="External"/><Relationship Id="rId47" Type="http://schemas.openxmlformats.org/officeDocument/2006/relationships/hyperlink" Target="https://www.acma.gov.au/ralis-frequency-coordination" TargetMode="External"/><Relationship Id="rId50" Type="http://schemas.openxmlformats.org/officeDocument/2006/relationships/header" Target="header7.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6.xml"/><Relationship Id="rId11" Type="http://schemas.openxmlformats.org/officeDocument/2006/relationships/header" Target="header1.xml"/><Relationship Id="rId24" Type="http://schemas.openxmlformats.org/officeDocument/2006/relationships/hyperlink" Target="https://webarchive.nla.gov.au/awa/20220603130323/http:/acma.gov.au/consultations/2021-09/updating-regulatory-requirements-earth-stations-motion-consultation-332021" TargetMode="External"/><Relationship Id="rId32" Type="http://schemas.openxmlformats.org/officeDocument/2006/relationships/hyperlink" Target="https://www.acma.gov.au/apparatus-licences" TargetMode="External"/><Relationship Id="rId37" Type="http://schemas.openxmlformats.org/officeDocument/2006/relationships/hyperlink" Target="mailto:satellite.coordination@acma.gov.au" TargetMode="External"/><Relationship Id="rId40" Type="http://schemas.openxmlformats.org/officeDocument/2006/relationships/hyperlink" Target="https://www.acma.gov.au/australian-radiofrequency-spectrum-plan" TargetMode="External"/><Relationship Id="rId45" Type="http://schemas.openxmlformats.org/officeDocument/2006/relationships/hyperlink" Target="https://www.legislation.gov.au/Details/F2018C00058" TargetMode="External"/><Relationship Id="rId53" Type="http://schemas.openxmlformats.org/officeDocument/2006/relationships/footer" Target="footer8.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www.legislation.gov.au/Series/C2004A04465" TargetMode="External"/><Relationship Id="rId44" Type="http://schemas.openxmlformats.org/officeDocument/2006/relationships/hyperlink" Target="https://www.legislation.gov.au/Details/F2014L01586" TargetMode="External"/><Relationship Id="rId52"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acma.gov.au/consultations/2019-07/update-licensing-procedures-space-based-communications-systems-consultation-192017" TargetMode="External"/><Relationship Id="rId27" Type="http://schemas.openxmlformats.org/officeDocument/2006/relationships/footer" Target="footer4.xml"/><Relationship Id="rId30" Type="http://schemas.openxmlformats.org/officeDocument/2006/relationships/hyperlink" Target="https://www.acma.gov.au/disclaimer-business-operating-procedures" TargetMode="External"/><Relationship Id="rId35" Type="http://schemas.openxmlformats.org/officeDocument/2006/relationships/hyperlink" Target="https://www.acma.gov.au/band-plans-allocate-spectrum" TargetMode="External"/><Relationship Id="rId43" Type="http://schemas.openxmlformats.org/officeDocument/2006/relationships/hyperlink" Target="https://www.legislation.gov.au/Details/F2014L01193" TargetMode="External"/><Relationship Id="rId48" Type="http://schemas.openxmlformats.org/officeDocument/2006/relationships/hyperlink" Target="https://www.legislation.gov.au/Details/F2015L00210" TargetMode="External"/><Relationship Id="rId8" Type="http://schemas.openxmlformats.org/officeDocument/2006/relationships/webSettings" Target="webSettings.xml"/><Relationship Id="rId51" Type="http://schemas.openxmlformats.org/officeDocument/2006/relationships/header" Target="header8.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hyperlink" Target="https://www.legislation.gov.au/Details/C2019C00262" TargetMode="External"/><Relationship Id="rId38" Type="http://schemas.openxmlformats.org/officeDocument/2006/relationships/hyperlink" Target="https://www.legislation.gov.au/Details/F2011L01520" TargetMode="External"/><Relationship Id="rId46" Type="http://schemas.openxmlformats.org/officeDocument/2006/relationships/hyperlink" Target="https://www.legislation.gov.au/Details/F2020L00070" TargetMode="External"/><Relationship Id="rId20" Type="http://schemas.openxmlformats.org/officeDocument/2006/relationships/hyperlink" Target="http://creativecommons.org/licenses/by/3.0/au/" TargetMode="External"/><Relationship Id="rId41" Type="http://schemas.openxmlformats.org/officeDocument/2006/relationships/hyperlink" Target="https://www.acma.gov.au/ralis-frequency-coordinatio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4.xml"/><Relationship Id="rId23" Type="http://schemas.openxmlformats.org/officeDocument/2006/relationships/hyperlink" Target="https://www.acma.gov.au/consultations/2019-11/review-space-licensing-procedures-consultation-382019" TargetMode="External"/><Relationship Id="rId28" Type="http://schemas.openxmlformats.org/officeDocument/2006/relationships/footer" Target="footer5.xml"/><Relationship Id="rId36" Type="http://schemas.openxmlformats.org/officeDocument/2006/relationships/hyperlink" Target="https://www.acma.gov.au/spectrum-embargoes" TargetMode="External"/><Relationship Id="rId49" Type="http://schemas.openxmlformats.org/officeDocument/2006/relationships/hyperlink" Target="mailto:info@acma.gov.a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tu.int/net/ITU-R/space/snl/bsearchb/spublication.asp" TargetMode="External"/><Relationship Id="rId2" Type="http://schemas.openxmlformats.org/officeDocument/2006/relationships/hyperlink" Target="https://www.acma.gov.au/spectrum-forms" TargetMode="External"/><Relationship Id="rId1" Type="http://schemas.openxmlformats.org/officeDocument/2006/relationships/hyperlink" Target="http://www.itu.int/ITU-R/go/space-preface/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0ACE45694B3D4892C74020F839F147" ma:contentTypeVersion="13" ma:contentTypeDescription="Create a new document." ma:contentTypeScope="" ma:versionID="e56cda827817a9b84b5fd875bcebb124">
  <xsd:schema xmlns:xsd="http://www.w3.org/2001/XMLSchema" xmlns:xs="http://www.w3.org/2001/XMLSchema" xmlns:p="http://schemas.microsoft.com/office/2006/metadata/properties" xmlns:ns2="85d45f94-32ec-4546-b73b-9a6848394926" xmlns:ns3="fb919850-406e-4d20-9cee-cf3a55172231" targetNamespace="http://schemas.microsoft.com/office/2006/metadata/properties" ma:root="true" ma:fieldsID="ded796f1f0bd6968607fd973d804e61a" ns2:_="" ns3:_="">
    <xsd:import namespace="85d45f94-32ec-4546-b73b-9a6848394926"/>
    <xsd:import namespace="fb919850-406e-4d20-9cee-cf3a551722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45f94-32ec-4546-b73b-9a6848394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919850-406e-4d20-9cee-cf3a551722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1F61E-1EF8-4BF8-B166-576C42815D4D}">
  <ds:schemaRefs>
    <ds:schemaRef ds:uri="http://schemas.microsoft.com/office/2006/metadata/properties"/>
    <ds:schemaRef ds:uri="http://purl.org/dc/terms/"/>
    <ds:schemaRef ds:uri="http://schemas.microsoft.com/office/infopath/2007/PartnerControls"/>
    <ds:schemaRef ds:uri="http://purl.org/dc/dcmitype/"/>
    <ds:schemaRef ds:uri="http://schemas.microsoft.com/office/2006/documentManagement/types"/>
    <ds:schemaRef ds:uri="fb919850-406e-4d20-9cee-cf3a55172231"/>
    <ds:schemaRef ds:uri="85d45f94-32ec-4546-b73b-9a6848394926"/>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9CEDC4AE-370A-450B-880F-49C1A1ADB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45f94-32ec-4546-b73b-9a6848394926"/>
    <ds:schemaRef ds:uri="fb919850-406e-4d20-9cee-cf3a55172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4544C-741D-4E36-85EA-BE7BC6C1D1DC}">
  <ds:schemaRefs>
    <ds:schemaRef ds:uri="http://schemas.microsoft.com/sharepoint/v3/contenttype/forms"/>
  </ds:schemaRefs>
</ds:datastoreItem>
</file>

<file path=customXml/itemProps4.xml><?xml version="1.0" encoding="utf-8"?>
<ds:datastoreItem xmlns:ds="http://schemas.openxmlformats.org/officeDocument/2006/customXml" ds:itemID="{932B0F25-6FA9-4A40-923D-D2F2DC75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6777</Words>
  <Characters>36803</Characters>
  <Application>Microsoft Office Word</Application>
  <DocSecurity>0</DocSecurity>
  <Lines>876</Lines>
  <Paragraphs>478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2022-08-17T18:41:00Z</dcterms:created>
  <dcterms:modified xsi:type="dcterms:W3CDTF">2022-08-17T18:42:00Z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0x010100100ACE45694B3D4892C74020F839F147</vt:lpwstr>
  </property>
</Properties>
</file>