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C87A" w14:textId="309C1965" w:rsidR="00F06E14" w:rsidRPr="00046DA5" w:rsidRDefault="005A6D1B" w:rsidP="00A51D1A">
      <w:pPr>
        <w:pStyle w:val="Reporttitle"/>
      </w:pPr>
      <w:r>
        <w:t>Outcomes</w:t>
      </w:r>
      <w:r w:rsidR="000A62B2">
        <w:t xml:space="preserve"> </w:t>
      </w:r>
      <w:r w:rsidR="00A162FF">
        <w:t>of the</w:t>
      </w:r>
      <w:r w:rsidR="00811339">
        <w:t xml:space="preserve"> </w:t>
      </w:r>
      <w:r w:rsidR="00CC0C43">
        <w:t>i</w:t>
      </w:r>
      <w:r w:rsidR="00811339">
        <w:t>mplementation of the</w:t>
      </w:r>
      <w:r w:rsidR="00A162FF">
        <w:t xml:space="preserve"> </w:t>
      </w:r>
      <w:r>
        <w:t>Spectrum Pricing Review</w:t>
      </w:r>
    </w:p>
    <w:p w14:paraId="25C0C90A" w14:textId="05436EA7" w:rsidR="00F06E14" w:rsidRPr="00046DA5" w:rsidRDefault="00DD1ECE" w:rsidP="00F06E14">
      <w:pPr>
        <w:pStyle w:val="Reportsubtitle"/>
      </w:pPr>
      <w:r>
        <w:t>Response to submissions and final reforms</w:t>
      </w:r>
    </w:p>
    <w:p w14:paraId="133547C3" w14:textId="20F0EDC8" w:rsidR="00C97736" w:rsidRDefault="001F3252" w:rsidP="00EC2B68">
      <w:pPr>
        <w:pStyle w:val="Reportdate"/>
        <w:spacing w:after="720"/>
      </w:pPr>
      <w:r>
        <w:t>JULY 2022</w:t>
      </w:r>
    </w:p>
    <w:p w14:paraId="6FED3A81" w14:textId="6FDD2DDC" w:rsidR="00C97736" w:rsidRPr="00046DA5" w:rsidRDefault="00C97736" w:rsidP="00EC2B68">
      <w:pPr>
        <w:pStyle w:val="Reportdate"/>
        <w:spacing w:after="720"/>
        <w:sectPr w:rsidR="00C97736" w:rsidRPr="00046DA5"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7AEA57B4" w14:textId="77777777" w:rsidR="0005011A" w:rsidRPr="00046DA5" w:rsidRDefault="0005011A" w:rsidP="00FC07B9">
      <w:pPr>
        <w:pStyle w:val="ACMACorporateAddressHeader"/>
      </w:pPr>
      <w:r w:rsidRPr="00046DA5">
        <w:lastRenderedPageBreak/>
        <w:t>Canberra</w:t>
      </w:r>
    </w:p>
    <w:p w14:paraId="0B338383" w14:textId="77777777" w:rsidR="0005011A" w:rsidRPr="00046DA5" w:rsidRDefault="0005011A" w:rsidP="00FC07B9">
      <w:pPr>
        <w:pStyle w:val="ACMACorporateAddresses"/>
      </w:pPr>
      <w:r w:rsidRPr="00046DA5">
        <w:t xml:space="preserve">Red Building </w:t>
      </w:r>
      <w:r w:rsidRPr="00046DA5">
        <w:br/>
        <w:t>Benjamin Offices</w:t>
      </w:r>
      <w:r w:rsidRPr="00046DA5">
        <w:br/>
        <w:t xml:space="preserve">Chan Street </w:t>
      </w:r>
      <w:r w:rsidRPr="00046DA5">
        <w:br/>
        <w:t>Belconnen ACT</w:t>
      </w:r>
    </w:p>
    <w:p w14:paraId="5248FA73" w14:textId="77777777" w:rsidR="0005011A" w:rsidRPr="00046DA5" w:rsidRDefault="0005011A" w:rsidP="00FC07B9">
      <w:pPr>
        <w:pStyle w:val="ACMACorporateAddresses"/>
      </w:pPr>
      <w:r w:rsidRPr="00046DA5">
        <w:t>PO Box 78</w:t>
      </w:r>
      <w:r w:rsidRPr="00046DA5">
        <w:br/>
        <w:t>Belconnen ACT 2616</w:t>
      </w:r>
    </w:p>
    <w:p w14:paraId="54BD0104" w14:textId="77777777" w:rsidR="00FE1823" w:rsidRPr="00046DA5" w:rsidRDefault="0005011A" w:rsidP="00FC07B9">
      <w:pPr>
        <w:pStyle w:val="ACMACorporateAddresses"/>
      </w:pPr>
      <w:r w:rsidRPr="00046DA5">
        <w:t>T</w:t>
      </w:r>
      <w:r w:rsidR="00537604" w:rsidRPr="00046DA5">
        <w:tab/>
      </w:r>
      <w:r w:rsidRPr="00046DA5">
        <w:t>+61 2 6219 5555</w:t>
      </w:r>
      <w:r w:rsidRPr="00046DA5">
        <w:br/>
        <w:t>F</w:t>
      </w:r>
      <w:r w:rsidR="00537604" w:rsidRPr="00046DA5">
        <w:tab/>
      </w:r>
      <w:r w:rsidRPr="00046DA5">
        <w:t>+61 2 6219 5353</w:t>
      </w:r>
    </w:p>
    <w:p w14:paraId="71DCDE3A" w14:textId="77777777" w:rsidR="0005011A" w:rsidRPr="00046DA5" w:rsidRDefault="0005011A" w:rsidP="00FC07B9">
      <w:pPr>
        <w:pStyle w:val="ACMACorporateAddressHeader"/>
      </w:pPr>
      <w:r w:rsidRPr="00046DA5">
        <w:t>Melbourne</w:t>
      </w:r>
    </w:p>
    <w:p w14:paraId="414646DD" w14:textId="77777777" w:rsidR="0005011A" w:rsidRPr="00046DA5" w:rsidRDefault="0005011A" w:rsidP="00FC07B9">
      <w:pPr>
        <w:pStyle w:val="ACMACorporateAddresses"/>
      </w:pPr>
      <w:r w:rsidRPr="00046DA5">
        <w:t xml:space="preserve">Level 32 </w:t>
      </w:r>
      <w:r w:rsidRPr="00046DA5">
        <w:br/>
        <w:t>Melbourne Central Tower</w:t>
      </w:r>
      <w:r w:rsidRPr="00046DA5">
        <w:br/>
        <w:t xml:space="preserve">360 Elizabeth Street </w:t>
      </w:r>
      <w:r w:rsidR="008C10F4" w:rsidRPr="00046DA5">
        <w:br/>
      </w:r>
      <w:r w:rsidRPr="00046DA5">
        <w:t>Melbourne VIC</w:t>
      </w:r>
    </w:p>
    <w:p w14:paraId="4019666D" w14:textId="77777777" w:rsidR="0005011A" w:rsidRPr="00046DA5" w:rsidRDefault="0005011A" w:rsidP="00FC07B9">
      <w:pPr>
        <w:pStyle w:val="ACMACorporateAddresses"/>
      </w:pPr>
      <w:r w:rsidRPr="00046DA5">
        <w:t>PO Box 13112</w:t>
      </w:r>
      <w:r w:rsidRPr="00046DA5">
        <w:br/>
        <w:t xml:space="preserve">Law Courts </w:t>
      </w:r>
      <w:r w:rsidRPr="00046DA5">
        <w:br/>
        <w:t>Melbourne VIC 8010</w:t>
      </w:r>
    </w:p>
    <w:p w14:paraId="297B2AC8" w14:textId="77777777" w:rsidR="0005011A" w:rsidRPr="00046DA5" w:rsidRDefault="0005011A" w:rsidP="00FC07B9">
      <w:pPr>
        <w:pStyle w:val="ACMACorporateAddresses"/>
      </w:pPr>
      <w:r w:rsidRPr="00046DA5">
        <w:t>T</w:t>
      </w:r>
      <w:r w:rsidR="00140318" w:rsidRPr="00046DA5">
        <w:tab/>
      </w:r>
      <w:r w:rsidRPr="00046DA5">
        <w:t>+61 3 9963 6800</w:t>
      </w:r>
      <w:r w:rsidRPr="00046DA5">
        <w:br/>
        <w:t>F</w:t>
      </w:r>
      <w:r w:rsidR="00140318" w:rsidRPr="00046DA5">
        <w:tab/>
      </w:r>
      <w:r w:rsidRPr="00046DA5">
        <w:t>+61 3 9963 6899</w:t>
      </w:r>
    </w:p>
    <w:p w14:paraId="7525038F" w14:textId="77777777" w:rsidR="0005011A" w:rsidRPr="00046DA5" w:rsidRDefault="0005011A" w:rsidP="00FC07B9">
      <w:pPr>
        <w:pStyle w:val="ACMACorporateAddressHeader"/>
      </w:pPr>
      <w:r w:rsidRPr="00046DA5">
        <w:t>Sydney</w:t>
      </w:r>
    </w:p>
    <w:p w14:paraId="28067B0A" w14:textId="77777777" w:rsidR="0005011A" w:rsidRPr="00046DA5" w:rsidRDefault="0005011A" w:rsidP="00FC07B9">
      <w:pPr>
        <w:pStyle w:val="ACMACorporateAddresses"/>
      </w:pPr>
      <w:r w:rsidRPr="00046DA5">
        <w:t xml:space="preserve">Level 5 </w:t>
      </w:r>
      <w:r w:rsidRPr="00046DA5">
        <w:br/>
        <w:t>The Bay Centre</w:t>
      </w:r>
      <w:r w:rsidRPr="00046DA5">
        <w:br/>
        <w:t xml:space="preserve">65 Pirrama Road </w:t>
      </w:r>
      <w:r w:rsidRPr="00046DA5">
        <w:br/>
        <w:t>Pyrmont NSW</w:t>
      </w:r>
    </w:p>
    <w:p w14:paraId="1BAAEC4D" w14:textId="77777777" w:rsidR="0005011A" w:rsidRPr="00046DA5" w:rsidRDefault="0005011A" w:rsidP="00FC07B9">
      <w:pPr>
        <w:pStyle w:val="ACMACorporateAddresses"/>
      </w:pPr>
      <w:r w:rsidRPr="00046DA5">
        <w:t>PO Box Q500</w:t>
      </w:r>
      <w:r w:rsidRPr="00046DA5">
        <w:br/>
        <w:t xml:space="preserve">Queen Victoria Building </w:t>
      </w:r>
      <w:r w:rsidRPr="00046DA5">
        <w:br/>
        <w:t>NSW 1230</w:t>
      </w:r>
    </w:p>
    <w:p w14:paraId="07380C42" w14:textId="77777777" w:rsidR="0005011A" w:rsidRPr="00046DA5" w:rsidRDefault="0005011A" w:rsidP="00FC07B9">
      <w:pPr>
        <w:pStyle w:val="ACMACorporateAddresses"/>
      </w:pPr>
      <w:r w:rsidRPr="00046DA5">
        <w:t>T</w:t>
      </w:r>
      <w:r w:rsidR="00140318" w:rsidRPr="00046DA5">
        <w:tab/>
      </w:r>
      <w:r w:rsidRPr="00046DA5">
        <w:t>+61 2 9334 7700</w:t>
      </w:r>
      <w:r w:rsidR="00140318" w:rsidRPr="00046DA5">
        <w:t xml:space="preserve"> or</w:t>
      </w:r>
      <w:r w:rsidRPr="00046DA5">
        <w:t xml:space="preserve"> 1800 226 667</w:t>
      </w:r>
      <w:r w:rsidRPr="00046DA5">
        <w:br/>
        <w:t>F</w:t>
      </w:r>
      <w:r w:rsidR="00140318" w:rsidRPr="00046DA5">
        <w:tab/>
      </w:r>
      <w:r w:rsidRPr="00046DA5">
        <w:t>+61 2 9334 7799</w:t>
      </w:r>
    </w:p>
    <w:p w14:paraId="0C3B01FE" w14:textId="77777777" w:rsidR="00140318" w:rsidRPr="00046DA5" w:rsidRDefault="00140318" w:rsidP="00FC07B9">
      <w:pPr>
        <w:pStyle w:val="ACMACopyrightHeader"/>
      </w:pPr>
      <w:r w:rsidRPr="00046DA5">
        <w:t>Copyright notice</w:t>
      </w:r>
    </w:p>
    <w:p w14:paraId="4EC821B9" w14:textId="77777777" w:rsidR="00140318" w:rsidRPr="00046DA5" w:rsidRDefault="00999743" w:rsidP="00623FF9">
      <w:pPr>
        <w:pStyle w:val="ACMACClogo"/>
      </w:pPr>
      <w:r>
        <w:rPr>
          <w:noProof/>
        </w:rPr>
        <w:drawing>
          <wp:inline distT="0" distB="0" distL="0" distR="0" wp14:anchorId="3DE70E01" wp14:editId="5F5C961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6EC295BD" w14:textId="78498DD9" w:rsidR="00AA2DE5" w:rsidRPr="00046DA5" w:rsidRDefault="003B31DD" w:rsidP="00AA2DE5">
      <w:pPr>
        <w:pStyle w:val="ACMACorporateAddresses"/>
        <w:rPr>
          <w:rStyle w:val="Hyperlink"/>
        </w:rPr>
      </w:pPr>
      <w:hyperlink r:id="rId13" w:history="1">
        <w:r w:rsidR="00AA2DE5" w:rsidRPr="00046DA5">
          <w:rPr>
            <w:rStyle w:val="Hyperlink"/>
          </w:rPr>
          <w:t>https://creativecommons.org/licenses/by/4.0/</w:t>
        </w:r>
      </w:hyperlink>
    </w:p>
    <w:p w14:paraId="39F76434" w14:textId="77777777" w:rsidR="00AA2DE5" w:rsidRPr="00046DA5" w:rsidRDefault="00AA2DE5" w:rsidP="00AA2DE5">
      <w:pPr>
        <w:pStyle w:val="ACMACorporateAddresses"/>
      </w:pPr>
      <w:r w:rsidRPr="00046DA5">
        <w:t xml:space="preserve">With the exception of coats of arms, logos, emblems, images, other third-party material or devices protected by a trademark, this content is made available under the terms of the Creative Commons Attribution 4.0 International (CC BY 4.0) licence. </w:t>
      </w:r>
    </w:p>
    <w:p w14:paraId="62CBF222" w14:textId="20FB8FA2" w:rsidR="00AA2DE5" w:rsidRPr="00046DA5" w:rsidRDefault="00AA2DE5" w:rsidP="00AA2DE5">
      <w:pPr>
        <w:pStyle w:val="ACMACorporateAddresses"/>
      </w:pPr>
      <w:r w:rsidRPr="00046DA5">
        <w:t>We request attribution as © Commonwealth of Australia (Australian Communications and Media Authority) 20</w:t>
      </w:r>
      <w:r w:rsidR="00826B65" w:rsidRPr="00046DA5">
        <w:t>2</w:t>
      </w:r>
      <w:r w:rsidR="00E25BA1">
        <w:t>2</w:t>
      </w:r>
      <w:r w:rsidRPr="00046DA5">
        <w:t>.</w:t>
      </w:r>
    </w:p>
    <w:p w14:paraId="4514FAFC" w14:textId="77777777" w:rsidR="00AA2DE5" w:rsidRPr="00046DA5" w:rsidRDefault="00AA2DE5" w:rsidP="00AA2DE5">
      <w:pPr>
        <w:pStyle w:val="ACMACorporateAddresses"/>
      </w:pPr>
      <w:r w:rsidRPr="00046DA5">
        <w:t>All other rights are reserved.</w:t>
      </w:r>
    </w:p>
    <w:p w14:paraId="50ED8052" w14:textId="77777777" w:rsidR="00AA2DE5" w:rsidRPr="00046DA5" w:rsidRDefault="00AA2DE5" w:rsidP="00AA2DE5">
      <w:pPr>
        <w:pStyle w:val="ACMACorporateAddresses"/>
      </w:pPr>
      <w:r w:rsidRPr="00046DA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2609D69" w14:textId="77777777" w:rsidR="00AA2DE5" w:rsidRPr="00046DA5" w:rsidRDefault="00AA2DE5" w:rsidP="00AA2DE5">
      <w:pPr>
        <w:pStyle w:val="ACMACorporateAddresses"/>
      </w:pPr>
      <w:r w:rsidRPr="00046DA5">
        <w:t>Written enquiries may be sent to:</w:t>
      </w:r>
    </w:p>
    <w:p w14:paraId="0F8393E6" w14:textId="38D3ACE0" w:rsidR="00AA2DE5" w:rsidRPr="00046DA5" w:rsidRDefault="00AA2DE5" w:rsidP="00AA2DE5">
      <w:pPr>
        <w:pStyle w:val="ACMACorporateAddresses"/>
        <w:rPr>
          <w:rStyle w:val="Hyperlink"/>
        </w:rPr>
      </w:pPr>
      <w:r w:rsidRPr="00046DA5">
        <w:t xml:space="preserve">Manager, Editorial </w:t>
      </w:r>
      <w:r w:rsidR="000245E5" w:rsidRPr="00046DA5">
        <w:t>Services</w:t>
      </w:r>
      <w:r w:rsidRPr="00046DA5">
        <w:br/>
        <w:t>PO Box 13112</w:t>
      </w:r>
      <w:r w:rsidRPr="00046DA5">
        <w:br/>
        <w:t>Law Courts</w:t>
      </w:r>
      <w:r w:rsidRPr="00046DA5">
        <w:br/>
        <w:t>Melbourne VIC 8010</w:t>
      </w:r>
      <w:r w:rsidRPr="00046DA5">
        <w:br/>
        <w:t xml:space="preserve">Email: </w:t>
      </w:r>
      <w:hyperlink r:id="rId14" w:history="1">
        <w:r w:rsidRPr="00046DA5">
          <w:rPr>
            <w:rStyle w:val="Hyperlink"/>
          </w:rPr>
          <w:t>info@acma.gov.au</w:t>
        </w:r>
      </w:hyperlink>
    </w:p>
    <w:p w14:paraId="45CD8E5C" w14:textId="77777777" w:rsidR="00D16FE3" w:rsidRPr="00046DA5" w:rsidRDefault="00D16FE3" w:rsidP="00D16FE3">
      <w:pPr>
        <w:pStyle w:val="ACMACorporateAddresses"/>
        <w:rPr>
          <w:rStyle w:val="Hyperlink"/>
        </w:rPr>
      </w:pPr>
    </w:p>
    <w:p w14:paraId="79DB34E9" w14:textId="77777777" w:rsidR="00D16FE3" w:rsidRPr="00046DA5" w:rsidRDefault="00D16FE3" w:rsidP="00D16FE3">
      <w:pPr>
        <w:pStyle w:val="ACMACorporateAddresses"/>
        <w:sectPr w:rsidR="00D16FE3" w:rsidRPr="00046DA5">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487B559" w14:textId="50036603" w:rsidR="001762EC" w:rsidRDefault="005871A9">
      <w:pPr>
        <w:pStyle w:val="TOC1"/>
        <w:rPr>
          <w:rFonts w:asciiTheme="minorHAnsi" w:eastAsiaTheme="minorEastAsia" w:hAnsiTheme="minorHAnsi" w:cstheme="minorBidi"/>
          <w:b w:val="0"/>
          <w:spacing w:val="0"/>
          <w:sz w:val="22"/>
          <w:szCs w:val="22"/>
        </w:rPr>
      </w:pPr>
      <w:r w:rsidRPr="00046DA5">
        <w:rPr>
          <w:rFonts w:cs="Arial"/>
          <w:b w:val="0"/>
        </w:rPr>
        <w:lastRenderedPageBreak/>
        <w:fldChar w:fldCharType="begin"/>
      </w:r>
      <w:r w:rsidRPr="00046DA5">
        <w:rPr>
          <w:rFonts w:cs="Arial"/>
          <w:b w:val="0"/>
        </w:rPr>
        <w:instrText xml:space="preserve"> TOC \o "1-2" \h \z \t "Exec summary heading,1" </w:instrText>
      </w:r>
      <w:r w:rsidRPr="00046DA5">
        <w:rPr>
          <w:rFonts w:cs="Arial"/>
          <w:b w:val="0"/>
        </w:rPr>
        <w:fldChar w:fldCharType="separate"/>
      </w:r>
      <w:hyperlink w:anchor="_Toc108088296" w:history="1">
        <w:r w:rsidR="001762EC" w:rsidRPr="00434E8F">
          <w:rPr>
            <w:rStyle w:val="Hyperlink"/>
          </w:rPr>
          <w:t>Executive summary</w:t>
        </w:r>
        <w:r w:rsidR="001762EC">
          <w:rPr>
            <w:webHidden/>
          </w:rPr>
          <w:tab/>
        </w:r>
        <w:r w:rsidR="001762EC">
          <w:rPr>
            <w:webHidden/>
          </w:rPr>
          <w:fldChar w:fldCharType="begin"/>
        </w:r>
        <w:r w:rsidR="001762EC">
          <w:rPr>
            <w:webHidden/>
          </w:rPr>
          <w:instrText xml:space="preserve"> PAGEREF _Toc108088296 \h </w:instrText>
        </w:r>
        <w:r w:rsidR="001762EC">
          <w:rPr>
            <w:webHidden/>
          </w:rPr>
        </w:r>
        <w:r w:rsidR="001762EC">
          <w:rPr>
            <w:webHidden/>
          </w:rPr>
          <w:fldChar w:fldCharType="separate"/>
        </w:r>
        <w:r w:rsidR="001762EC">
          <w:rPr>
            <w:webHidden/>
          </w:rPr>
          <w:t>1</w:t>
        </w:r>
        <w:r w:rsidR="001762EC">
          <w:rPr>
            <w:webHidden/>
          </w:rPr>
          <w:fldChar w:fldCharType="end"/>
        </w:r>
      </w:hyperlink>
    </w:p>
    <w:p w14:paraId="2544F179" w14:textId="17EB4188" w:rsidR="001762EC" w:rsidRDefault="001762EC">
      <w:pPr>
        <w:pStyle w:val="TOC1"/>
        <w:rPr>
          <w:rFonts w:asciiTheme="minorHAnsi" w:eastAsiaTheme="minorEastAsia" w:hAnsiTheme="minorHAnsi" w:cstheme="minorBidi"/>
          <w:b w:val="0"/>
          <w:spacing w:val="0"/>
          <w:sz w:val="22"/>
          <w:szCs w:val="22"/>
        </w:rPr>
      </w:pPr>
      <w:hyperlink w:anchor="_Toc108088297" w:history="1">
        <w:r w:rsidRPr="00434E8F">
          <w:rPr>
            <w:rStyle w:val="Hyperlink"/>
          </w:rPr>
          <w:t>Response to latest submissions</w:t>
        </w:r>
        <w:r>
          <w:rPr>
            <w:webHidden/>
          </w:rPr>
          <w:tab/>
        </w:r>
        <w:r>
          <w:rPr>
            <w:webHidden/>
          </w:rPr>
          <w:fldChar w:fldCharType="begin"/>
        </w:r>
        <w:r>
          <w:rPr>
            <w:webHidden/>
          </w:rPr>
          <w:instrText xml:space="preserve"> PAGEREF _Toc108088297 \h </w:instrText>
        </w:r>
        <w:r>
          <w:rPr>
            <w:webHidden/>
          </w:rPr>
        </w:r>
        <w:r>
          <w:rPr>
            <w:webHidden/>
          </w:rPr>
          <w:fldChar w:fldCharType="separate"/>
        </w:r>
        <w:r>
          <w:rPr>
            <w:webHidden/>
          </w:rPr>
          <w:t>4</w:t>
        </w:r>
        <w:r>
          <w:rPr>
            <w:webHidden/>
          </w:rPr>
          <w:fldChar w:fldCharType="end"/>
        </w:r>
      </w:hyperlink>
    </w:p>
    <w:p w14:paraId="60F07623" w14:textId="055A35E4" w:rsidR="001762EC" w:rsidRDefault="001762EC">
      <w:pPr>
        <w:pStyle w:val="TOC2"/>
        <w:rPr>
          <w:rFonts w:asciiTheme="minorHAnsi" w:eastAsiaTheme="minorEastAsia" w:hAnsiTheme="minorHAnsi" w:cstheme="minorBidi"/>
          <w:spacing w:val="0"/>
          <w:sz w:val="22"/>
          <w:szCs w:val="22"/>
        </w:rPr>
      </w:pPr>
      <w:hyperlink w:anchor="_Toc108088298" w:history="1">
        <w:r w:rsidRPr="00434E8F">
          <w:rPr>
            <w:rStyle w:val="Hyperlink"/>
          </w:rPr>
          <w:t>Amalgamate the &gt;30 to 403 MHz range into a single band</w:t>
        </w:r>
        <w:r>
          <w:rPr>
            <w:webHidden/>
          </w:rPr>
          <w:tab/>
        </w:r>
        <w:r>
          <w:rPr>
            <w:webHidden/>
          </w:rPr>
          <w:fldChar w:fldCharType="begin"/>
        </w:r>
        <w:r>
          <w:rPr>
            <w:webHidden/>
          </w:rPr>
          <w:instrText xml:space="preserve"> PAGEREF _Toc108088298 \h </w:instrText>
        </w:r>
        <w:r>
          <w:rPr>
            <w:webHidden/>
          </w:rPr>
        </w:r>
        <w:r>
          <w:rPr>
            <w:webHidden/>
          </w:rPr>
          <w:fldChar w:fldCharType="separate"/>
        </w:r>
        <w:r>
          <w:rPr>
            <w:webHidden/>
          </w:rPr>
          <w:t>4</w:t>
        </w:r>
        <w:r>
          <w:rPr>
            <w:webHidden/>
          </w:rPr>
          <w:fldChar w:fldCharType="end"/>
        </w:r>
      </w:hyperlink>
    </w:p>
    <w:p w14:paraId="03F10BFD" w14:textId="062CF68C" w:rsidR="001762EC" w:rsidRDefault="001762EC">
      <w:pPr>
        <w:pStyle w:val="TOC2"/>
        <w:rPr>
          <w:rFonts w:asciiTheme="minorHAnsi" w:eastAsiaTheme="minorEastAsia" w:hAnsiTheme="minorHAnsi" w:cstheme="minorBidi"/>
          <w:spacing w:val="0"/>
          <w:sz w:val="22"/>
          <w:szCs w:val="22"/>
        </w:rPr>
      </w:pPr>
      <w:hyperlink w:anchor="_Toc108088299" w:history="1">
        <w:r w:rsidRPr="00434E8F">
          <w:rPr>
            <w:rStyle w:val="Hyperlink"/>
          </w:rPr>
          <w:t>Increase weightings for the &gt;2,690 to 5,000 MHz spectrum location</w:t>
        </w:r>
        <w:r>
          <w:rPr>
            <w:webHidden/>
          </w:rPr>
          <w:tab/>
        </w:r>
        <w:r>
          <w:rPr>
            <w:webHidden/>
          </w:rPr>
          <w:fldChar w:fldCharType="begin"/>
        </w:r>
        <w:r>
          <w:rPr>
            <w:webHidden/>
          </w:rPr>
          <w:instrText xml:space="preserve"> PAGEREF _Toc108088299 \h </w:instrText>
        </w:r>
        <w:r>
          <w:rPr>
            <w:webHidden/>
          </w:rPr>
        </w:r>
        <w:r>
          <w:rPr>
            <w:webHidden/>
          </w:rPr>
          <w:fldChar w:fldCharType="separate"/>
        </w:r>
        <w:r>
          <w:rPr>
            <w:webHidden/>
          </w:rPr>
          <w:t>5</w:t>
        </w:r>
        <w:r>
          <w:rPr>
            <w:webHidden/>
          </w:rPr>
          <w:fldChar w:fldCharType="end"/>
        </w:r>
      </w:hyperlink>
    </w:p>
    <w:p w14:paraId="51659245" w14:textId="64D02EC4" w:rsidR="001762EC" w:rsidRDefault="001762EC">
      <w:pPr>
        <w:pStyle w:val="TOC2"/>
        <w:rPr>
          <w:rFonts w:asciiTheme="minorHAnsi" w:eastAsiaTheme="minorEastAsia" w:hAnsiTheme="minorHAnsi" w:cstheme="minorBidi"/>
          <w:spacing w:val="0"/>
          <w:sz w:val="22"/>
          <w:szCs w:val="22"/>
        </w:rPr>
      </w:pPr>
      <w:hyperlink w:anchor="_Toc108088300" w:history="1">
        <w:r w:rsidRPr="00434E8F">
          <w:rPr>
            <w:rStyle w:val="Hyperlink"/>
          </w:rPr>
          <w:t>Introduce new spectrum location band for services above 100 GHz</w:t>
        </w:r>
        <w:r>
          <w:rPr>
            <w:webHidden/>
          </w:rPr>
          <w:tab/>
        </w:r>
        <w:r>
          <w:rPr>
            <w:webHidden/>
          </w:rPr>
          <w:fldChar w:fldCharType="begin"/>
        </w:r>
        <w:r>
          <w:rPr>
            <w:webHidden/>
          </w:rPr>
          <w:instrText xml:space="preserve"> PAGEREF _Toc108088300 \h </w:instrText>
        </w:r>
        <w:r>
          <w:rPr>
            <w:webHidden/>
          </w:rPr>
        </w:r>
        <w:r>
          <w:rPr>
            <w:webHidden/>
          </w:rPr>
          <w:fldChar w:fldCharType="separate"/>
        </w:r>
        <w:r>
          <w:rPr>
            <w:webHidden/>
          </w:rPr>
          <w:t>6</w:t>
        </w:r>
        <w:r>
          <w:rPr>
            <w:webHidden/>
          </w:rPr>
          <w:fldChar w:fldCharType="end"/>
        </w:r>
      </w:hyperlink>
    </w:p>
    <w:p w14:paraId="40A94519" w14:textId="7E29011C" w:rsidR="001762EC" w:rsidRDefault="001762EC">
      <w:pPr>
        <w:pStyle w:val="TOC2"/>
        <w:rPr>
          <w:rFonts w:asciiTheme="minorHAnsi" w:eastAsiaTheme="minorEastAsia" w:hAnsiTheme="minorHAnsi" w:cstheme="minorBidi"/>
          <w:spacing w:val="0"/>
          <w:sz w:val="22"/>
          <w:szCs w:val="22"/>
        </w:rPr>
      </w:pPr>
      <w:hyperlink w:anchor="_Toc108088301" w:history="1">
        <w:r w:rsidRPr="00434E8F">
          <w:rPr>
            <w:rStyle w:val="Hyperlink"/>
          </w:rPr>
          <w:t>Stop annual CPI updates to taxes, and instead regularly update taxes based on annual population data updates</w:t>
        </w:r>
        <w:r>
          <w:rPr>
            <w:webHidden/>
          </w:rPr>
          <w:tab/>
        </w:r>
        <w:r>
          <w:rPr>
            <w:webHidden/>
          </w:rPr>
          <w:fldChar w:fldCharType="begin"/>
        </w:r>
        <w:r>
          <w:rPr>
            <w:webHidden/>
          </w:rPr>
          <w:instrText xml:space="preserve"> PAGEREF _Toc108088301 \h </w:instrText>
        </w:r>
        <w:r>
          <w:rPr>
            <w:webHidden/>
          </w:rPr>
        </w:r>
        <w:r>
          <w:rPr>
            <w:webHidden/>
          </w:rPr>
          <w:fldChar w:fldCharType="separate"/>
        </w:r>
        <w:r>
          <w:rPr>
            <w:webHidden/>
          </w:rPr>
          <w:t>7</w:t>
        </w:r>
        <w:r>
          <w:rPr>
            <w:webHidden/>
          </w:rPr>
          <w:fldChar w:fldCharType="end"/>
        </w:r>
      </w:hyperlink>
    </w:p>
    <w:p w14:paraId="38CC965E" w14:textId="4FB23F91" w:rsidR="001762EC" w:rsidRDefault="001762EC">
      <w:pPr>
        <w:pStyle w:val="TOC2"/>
        <w:rPr>
          <w:rFonts w:asciiTheme="minorHAnsi" w:eastAsiaTheme="minorEastAsia" w:hAnsiTheme="minorHAnsi" w:cstheme="minorBidi"/>
          <w:spacing w:val="0"/>
          <w:sz w:val="22"/>
          <w:szCs w:val="22"/>
        </w:rPr>
      </w:pPr>
      <w:hyperlink w:anchor="_Toc108088302" w:history="1">
        <w:r w:rsidRPr="00434E8F">
          <w:rPr>
            <w:rStyle w:val="Hyperlink"/>
          </w:rPr>
          <w:t>Update area definitions for Perth and Adelaide</w:t>
        </w:r>
        <w:r>
          <w:rPr>
            <w:webHidden/>
          </w:rPr>
          <w:tab/>
        </w:r>
        <w:r>
          <w:rPr>
            <w:webHidden/>
          </w:rPr>
          <w:fldChar w:fldCharType="begin"/>
        </w:r>
        <w:r>
          <w:rPr>
            <w:webHidden/>
          </w:rPr>
          <w:instrText xml:space="preserve"> PAGEREF _Toc108088302 \h </w:instrText>
        </w:r>
        <w:r>
          <w:rPr>
            <w:webHidden/>
          </w:rPr>
        </w:r>
        <w:r>
          <w:rPr>
            <w:webHidden/>
          </w:rPr>
          <w:fldChar w:fldCharType="separate"/>
        </w:r>
        <w:r>
          <w:rPr>
            <w:webHidden/>
          </w:rPr>
          <w:t>10</w:t>
        </w:r>
        <w:r>
          <w:rPr>
            <w:webHidden/>
          </w:rPr>
          <w:fldChar w:fldCharType="end"/>
        </w:r>
      </w:hyperlink>
    </w:p>
    <w:p w14:paraId="1BB1562A" w14:textId="4B58CD98" w:rsidR="001762EC" w:rsidRDefault="001762EC">
      <w:pPr>
        <w:pStyle w:val="TOC2"/>
        <w:rPr>
          <w:rFonts w:asciiTheme="minorHAnsi" w:eastAsiaTheme="minorEastAsia" w:hAnsiTheme="minorHAnsi" w:cstheme="minorBidi"/>
          <w:spacing w:val="0"/>
          <w:sz w:val="22"/>
          <w:szCs w:val="22"/>
        </w:rPr>
      </w:pPr>
      <w:hyperlink w:anchor="_Toc108088303" w:history="1">
        <w:r w:rsidRPr="00434E8F">
          <w:rPr>
            <w:rStyle w:val="Hyperlink"/>
          </w:rPr>
          <w:t>Proposal for reduced tax rates for HPON licences</w:t>
        </w:r>
        <w:r>
          <w:rPr>
            <w:webHidden/>
          </w:rPr>
          <w:tab/>
        </w:r>
        <w:r>
          <w:rPr>
            <w:webHidden/>
          </w:rPr>
          <w:fldChar w:fldCharType="begin"/>
        </w:r>
        <w:r>
          <w:rPr>
            <w:webHidden/>
          </w:rPr>
          <w:instrText xml:space="preserve"> PAGEREF _Toc108088303 \h </w:instrText>
        </w:r>
        <w:r>
          <w:rPr>
            <w:webHidden/>
          </w:rPr>
        </w:r>
        <w:r>
          <w:rPr>
            <w:webHidden/>
          </w:rPr>
          <w:fldChar w:fldCharType="separate"/>
        </w:r>
        <w:r>
          <w:rPr>
            <w:webHidden/>
          </w:rPr>
          <w:t>13</w:t>
        </w:r>
        <w:r>
          <w:rPr>
            <w:webHidden/>
          </w:rPr>
          <w:fldChar w:fldCharType="end"/>
        </w:r>
      </w:hyperlink>
    </w:p>
    <w:p w14:paraId="7D433DB4" w14:textId="10540770" w:rsidR="001762EC" w:rsidRDefault="001762EC">
      <w:pPr>
        <w:pStyle w:val="TOC2"/>
        <w:rPr>
          <w:rFonts w:asciiTheme="minorHAnsi" w:eastAsiaTheme="minorEastAsia" w:hAnsiTheme="minorHAnsi" w:cstheme="minorBidi"/>
          <w:spacing w:val="0"/>
          <w:sz w:val="22"/>
          <w:szCs w:val="22"/>
        </w:rPr>
      </w:pPr>
      <w:hyperlink w:anchor="_Toc108088304" w:history="1">
        <w:r w:rsidRPr="00434E8F">
          <w:rPr>
            <w:rStyle w:val="Hyperlink"/>
          </w:rPr>
          <w:t>Proposal to adjust tranche one reforms</w:t>
        </w:r>
        <w:r>
          <w:rPr>
            <w:webHidden/>
          </w:rPr>
          <w:tab/>
        </w:r>
        <w:r>
          <w:rPr>
            <w:webHidden/>
          </w:rPr>
          <w:fldChar w:fldCharType="begin"/>
        </w:r>
        <w:r>
          <w:rPr>
            <w:webHidden/>
          </w:rPr>
          <w:instrText xml:space="preserve"> PAGEREF _Toc108088304 \h </w:instrText>
        </w:r>
        <w:r>
          <w:rPr>
            <w:webHidden/>
          </w:rPr>
        </w:r>
        <w:r>
          <w:rPr>
            <w:webHidden/>
          </w:rPr>
          <w:fldChar w:fldCharType="separate"/>
        </w:r>
        <w:r>
          <w:rPr>
            <w:webHidden/>
          </w:rPr>
          <w:t>15</w:t>
        </w:r>
        <w:r>
          <w:rPr>
            <w:webHidden/>
          </w:rPr>
          <w:fldChar w:fldCharType="end"/>
        </w:r>
      </w:hyperlink>
    </w:p>
    <w:p w14:paraId="17A3284A" w14:textId="7FD285C9" w:rsidR="001762EC" w:rsidRDefault="001762EC">
      <w:pPr>
        <w:pStyle w:val="TOC2"/>
        <w:rPr>
          <w:rFonts w:asciiTheme="minorHAnsi" w:eastAsiaTheme="minorEastAsia" w:hAnsiTheme="minorHAnsi" w:cstheme="minorBidi"/>
          <w:spacing w:val="0"/>
          <w:sz w:val="22"/>
          <w:szCs w:val="22"/>
        </w:rPr>
      </w:pPr>
      <w:hyperlink w:anchor="_Toc108088305" w:history="1">
        <w:r w:rsidRPr="00434E8F">
          <w:rPr>
            <w:rStyle w:val="Hyperlink"/>
          </w:rPr>
          <w:t>Other pricing issues</w:t>
        </w:r>
        <w:r>
          <w:rPr>
            <w:webHidden/>
          </w:rPr>
          <w:tab/>
        </w:r>
        <w:r>
          <w:rPr>
            <w:webHidden/>
          </w:rPr>
          <w:fldChar w:fldCharType="begin"/>
        </w:r>
        <w:r>
          <w:rPr>
            <w:webHidden/>
          </w:rPr>
          <w:instrText xml:space="preserve"> PAGEREF _Toc108088305 \h </w:instrText>
        </w:r>
        <w:r>
          <w:rPr>
            <w:webHidden/>
          </w:rPr>
        </w:r>
        <w:r>
          <w:rPr>
            <w:webHidden/>
          </w:rPr>
          <w:fldChar w:fldCharType="separate"/>
        </w:r>
        <w:r>
          <w:rPr>
            <w:webHidden/>
          </w:rPr>
          <w:t>16</w:t>
        </w:r>
        <w:r>
          <w:rPr>
            <w:webHidden/>
          </w:rPr>
          <w:fldChar w:fldCharType="end"/>
        </w:r>
      </w:hyperlink>
    </w:p>
    <w:p w14:paraId="694D6922" w14:textId="50A6DFE7" w:rsidR="001762EC" w:rsidRDefault="001762EC">
      <w:pPr>
        <w:pStyle w:val="TOC1"/>
        <w:rPr>
          <w:rFonts w:asciiTheme="minorHAnsi" w:eastAsiaTheme="minorEastAsia" w:hAnsiTheme="minorHAnsi" w:cstheme="minorBidi"/>
          <w:b w:val="0"/>
          <w:spacing w:val="0"/>
          <w:sz w:val="22"/>
          <w:szCs w:val="22"/>
        </w:rPr>
      </w:pPr>
      <w:hyperlink w:anchor="_Toc108088306" w:history="1">
        <w:r w:rsidRPr="00434E8F">
          <w:rPr>
            <w:rStyle w:val="Hyperlink"/>
          </w:rPr>
          <w:t>Further reforms</w:t>
        </w:r>
        <w:r>
          <w:rPr>
            <w:webHidden/>
          </w:rPr>
          <w:tab/>
        </w:r>
        <w:r>
          <w:rPr>
            <w:webHidden/>
          </w:rPr>
          <w:fldChar w:fldCharType="begin"/>
        </w:r>
        <w:r>
          <w:rPr>
            <w:webHidden/>
          </w:rPr>
          <w:instrText xml:space="preserve"> PAGEREF _Toc108088306 \h </w:instrText>
        </w:r>
        <w:r>
          <w:rPr>
            <w:webHidden/>
          </w:rPr>
        </w:r>
        <w:r>
          <w:rPr>
            <w:webHidden/>
          </w:rPr>
          <w:fldChar w:fldCharType="separate"/>
        </w:r>
        <w:r>
          <w:rPr>
            <w:webHidden/>
          </w:rPr>
          <w:t>18</w:t>
        </w:r>
        <w:r>
          <w:rPr>
            <w:webHidden/>
          </w:rPr>
          <w:fldChar w:fldCharType="end"/>
        </w:r>
      </w:hyperlink>
    </w:p>
    <w:p w14:paraId="59C73DC7" w14:textId="698E1FF2" w:rsidR="001762EC" w:rsidRDefault="001762EC">
      <w:pPr>
        <w:pStyle w:val="TOC2"/>
        <w:rPr>
          <w:rFonts w:asciiTheme="minorHAnsi" w:eastAsiaTheme="minorEastAsia" w:hAnsiTheme="minorHAnsi" w:cstheme="minorBidi"/>
          <w:spacing w:val="0"/>
          <w:sz w:val="22"/>
          <w:szCs w:val="22"/>
        </w:rPr>
      </w:pPr>
      <w:hyperlink w:anchor="_Toc108088307" w:history="1">
        <w:r w:rsidRPr="00434E8F">
          <w:rPr>
            <w:rStyle w:val="Hyperlink"/>
          </w:rPr>
          <w:t>Apparatus licence fee calculator</w:t>
        </w:r>
        <w:r>
          <w:rPr>
            <w:webHidden/>
          </w:rPr>
          <w:tab/>
        </w:r>
        <w:r>
          <w:rPr>
            <w:webHidden/>
          </w:rPr>
          <w:fldChar w:fldCharType="begin"/>
        </w:r>
        <w:r>
          <w:rPr>
            <w:webHidden/>
          </w:rPr>
          <w:instrText xml:space="preserve"> PAGEREF _Toc108088307 \h </w:instrText>
        </w:r>
        <w:r>
          <w:rPr>
            <w:webHidden/>
          </w:rPr>
        </w:r>
        <w:r>
          <w:rPr>
            <w:webHidden/>
          </w:rPr>
          <w:fldChar w:fldCharType="separate"/>
        </w:r>
        <w:r>
          <w:rPr>
            <w:webHidden/>
          </w:rPr>
          <w:t>18</w:t>
        </w:r>
        <w:r>
          <w:rPr>
            <w:webHidden/>
          </w:rPr>
          <w:fldChar w:fldCharType="end"/>
        </w:r>
      </w:hyperlink>
    </w:p>
    <w:p w14:paraId="4B99E1DF" w14:textId="6D8F4D7D" w:rsidR="001762EC" w:rsidRDefault="001762EC">
      <w:pPr>
        <w:pStyle w:val="TOC2"/>
        <w:rPr>
          <w:rFonts w:asciiTheme="minorHAnsi" w:eastAsiaTheme="minorEastAsia" w:hAnsiTheme="minorHAnsi" w:cstheme="minorBidi"/>
          <w:spacing w:val="0"/>
          <w:sz w:val="22"/>
          <w:szCs w:val="22"/>
        </w:rPr>
      </w:pPr>
      <w:hyperlink w:anchor="_Toc108088308" w:history="1">
        <w:r w:rsidRPr="00434E8F">
          <w:rPr>
            <w:rStyle w:val="Hyperlink"/>
          </w:rPr>
          <w:t>Pricing for varying levels of interference protection</w:t>
        </w:r>
        <w:r>
          <w:rPr>
            <w:webHidden/>
          </w:rPr>
          <w:tab/>
        </w:r>
        <w:r>
          <w:rPr>
            <w:webHidden/>
          </w:rPr>
          <w:fldChar w:fldCharType="begin"/>
        </w:r>
        <w:r>
          <w:rPr>
            <w:webHidden/>
          </w:rPr>
          <w:instrText xml:space="preserve"> PAGEREF _Toc108088308 \h </w:instrText>
        </w:r>
        <w:r>
          <w:rPr>
            <w:webHidden/>
          </w:rPr>
        </w:r>
        <w:r>
          <w:rPr>
            <w:webHidden/>
          </w:rPr>
          <w:fldChar w:fldCharType="separate"/>
        </w:r>
        <w:r>
          <w:rPr>
            <w:webHidden/>
          </w:rPr>
          <w:t>18</w:t>
        </w:r>
        <w:r>
          <w:rPr>
            <w:webHidden/>
          </w:rPr>
          <w:fldChar w:fldCharType="end"/>
        </w:r>
      </w:hyperlink>
    </w:p>
    <w:p w14:paraId="697AF509" w14:textId="032ADFDA" w:rsidR="001762EC" w:rsidRDefault="001762EC">
      <w:pPr>
        <w:pStyle w:val="TOC2"/>
        <w:rPr>
          <w:rFonts w:asciiTheme="minorHAnsi" w:eastAsiaTheme="minorEastAsia" w:hAnsiTheme="minorHAnsi" w:cstheme="minorBidi"/>
          <w:spacing w:val="0"/>
          <w:sz w:val="22"/>
          <w:szCs w:val="22"/>
        </w:rPr>
      </w:pPr>
      <w:hyperlink w:anchor="_Toc108088309" w:history="1">
        <w:r w:rsidRPr="00434E8F">
          <w:rPr>
            <w:rStyle w:val="Hyperlink"/>
          </w:rPr>
          <w:t>Implementation and next steps</w:t>
        </w:r>
        <w:r>
          <w:rPr>
            <w:webHidden/>
          </w:rPr>
          <w:tab/>
        </w:r>
        <w:r>
          <w:rPr>
            <w:webHidden/>
          </w:rPr>
          <w:fldChar w:fldCharType="begin"/>
        </w:r>
        <w:r>
          <w:rPr>
            <w:webHidden/>
          </w:rPr>
          <w:instrText xml:space="preserve"> PAGEREF _Toc108088309 \h </w:instrText>
        </w:r>
        <w:r>
          <w:rPr>
            <w:webHidden/>
          </w:rPr>
        </w:r>
        <w:r>
          <w:rPr>
            <w:webHidden/>
          </w:rPr>
          <w:fldChar w:fldCharType="separate"/>
        </w:r>
        <w:r>
          <w:rPr>
            <w:webHidden/>
          </w:rPr>
          <w:t>19</w:t>
        </w:r>
        <w:r>
          <w:rPr>
            <w:webHidden/>
          </w:rPr>
          <w:fldChar w:fldCharType="end"/>
        </w:r>
      </w:hyperlink>
    </w:p>
    <w:p w14:paraId="0F976AAB" w14:textId="2D174FFC" w:rsidR="004D56FF" w:rsidRPr="00046DA5" w:rsidRDefault="005871A9">
      <w:pPr>
        <w:rPr>
          <w:rFonts w:cs="Arial"/>
        </w:rPr>
        <w:sectPr w:rsidR="004D56FF" w:rsidRPr="00046DA5"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046DA5">
        <w:rPr>
          <w:rFonts w:cs="Arial"/>
          <w:b/>
        </w:rPr>
        <w:fldChar w:fldCharType="end"/>
      </w:r>
    </w:p>
    <w:p w14:paraId="0FCB91A4" w14:textId="77777777" w:rsidR="009A2BEA" w:rsidRPr="00046DA5" w:rsidRDefault="009A2BEA" w:rsidP="00350F1F">
      <w:pPr>
        <w:pStyle w:val="Heading1"/>
      </w:pPr>
      <w:bookmarkStart w:id="0" w:name="_Toc108088296"/>
      <w:r w:rsidRPr="00046DA5">
        <w:lastRenderedPageBreak/>
        <w:t xml:space="preserve">Executive </w:t>
      </w:r>
      <w:r>
        <w:t>s</w:t>
      </w:r>
      <w:r w:rsidRPr="00046DA5">
        <w:t>ummary</w:t>
      </w:r>
      <w:bookmarkEnd w:id="0"/>
    </w:p>
    <w:p w14:paraId="5B39DC40" w14:textId="08FB64DB" w:rsidR="00A06C72" w:rsidRDefault="00AD5242" w:rsidP="659D300F">
      <w:pPr>
        <w:pStyle w:val="Paragraph"/>
      </w:pPr>
      <w:bookmarkStart w:id="1" w:name="_Toc525132230"/>
      <w:bookmarkStart w:id="2" w:name="_Toc521585768"/>
      <w:bookmarkStart w:id="3" w:name="_Toc519765102"/>
      <w:bookmarkStart w:id="4" w:name="_Ref498436813"/>
      <w:bookmarkStart w:id="5" w:name="_Ref498078173"/>
      <w:bookmarkStart w:id="6" w:name="_Toc468705310"/>
      <w:bookmarkStart w:id="7" w:name="_Toc468438955"/>
      <w:bookmarkStart w:id="8" w:name="_Toc466017060"/>
      <w:bookmarkStart w:id="9" w:name="_Ref461109606"/>
      <w:bookmarkStart w:id="10" w:name="_Toc457809930"/>
      <w:bookmarkStart w:id="11" w:name="_Toc6923095"/>
      <w:r w:rsidRPr="00046DA5">
        <w:t xml:space="preserve">In February 2018, the </w:t>
      </w:r>
      <w:r w:rsidR="2DF16746">
        <w:t xml:space="preserve">then </w:t>
      </w:r>
      <w:r w:rsidRPr="00046DA5">
        <w:t>Australian Government endorsed the recommendations of the</w:t>
      </w:r>
      <w:r>
        <w:t xml:space="preserve"> </w:t>
      </w:r>
      <w:hyperlink r:id="rId24">
        <w:r w:rsidR="2DF16746" w:rsidRPr="659D300F">
          <w:rPr>
            <w:rStyle w:val="Hyperlink"/>
          </w:rPr>
          <w:t>Spectrum Pricing Revie</w:t>
        </w:r>
        <w:r w:rsidR="2DF16746">
          <w:rPr>
            <w:rStyle w:val="Hyperlink"/>
            <w:rFonts w:cs="Times New Roman"/>
          </w:rPr>
          <w:t>w</w:t>
        </w:r>
      </w:hyperlink>
      <w:r w:rsidR="2DF16746">
        <w:t>.</w:t>
      </w:r>
      <w:r w:rsidRPr="00046DA5">
        <w:t xml:space="preserve"> </w:t>
      </w:r>
      <w:r w:rsidR="003300E0">
        <w:t xml:space="preserve">The </w:t>
      </w:r>
      <w:r w:rsidR="000B1E1C">
        <w:t xml:space="preserve">Spectrum Pricing Review </w:t>
      </w:r>
      <w:r w:rsidR="00A06C72">
        <w:t>made</w:t>
      </w:r>
      <w:r w:rsidR="000B1E1C">
        <w:t xml:space="preserve"> 11 recommendations around allocation decisions, market-based allocations, </w:t>
      </w:r>
      <w:r w:rsidR="00732DD7">
        <w:t>administered allocations, and the legislative and cost recovery framework</w:t>
      </w:r>
      <w:r w:rsidR="00BB7417">
        <w:t xml:space="preserve"> for spectrum pricing and ma</w:t>
      </w:r>
      <w:r w:rsidR="00CD6630">
        <w:t>nagement.</w:t>
      </w:r>
      <w:r w:rsidR="1FFAB1A4">
        <w:t xml:space="preserve"> The ACMA has implemented the recommendations of the review in </w:t>
      </w:r>
      <w:r w:rsidR="00FB67EA">
        <w:t xml:space="preserve">2 </w:t>
      </w:r>
      <w:r w:rsidR="1FFAB1A4">
        <w:t xml:space="preserve">tranches, the second of which concludes our implementation process. </w:t>
      </w:r>
    </w:p>
    <w:p w14:paraId="1708AB72" w14:textId="7DC788BB" w:rsidR="659D300F" w:rsidRDefault="1FFAB1A4" w:rsidP="659D300F">
      <w:pPr>
        <w:pStyle w:val="Paragraph"/>
      </w:pPr>
      <w:r>
        <w:t>This outcomes paper summarises the reforms we are implementing as part of the second tranche, following consideration of views expressed in response to our paper</w:t>
      </w:r>
      <w:r w:rsidR="00FB67EA">
        <w:t>,</w:t>
      </w:r>
      <w:r>
        <w:t xml:space="preserve"> </w:t>
      </w:r>
      <w:hyperlink r:id="rId25" w:history="1">
        <w:r w:rsidR="00A95351" w:rsidRPr="00AF6BA6">
          <w:rPr>
            <w:rStyle w:val="Hyperlink"/>
            <w:i/>
            <w:iCs/>
          </w:rPr>
          <w:t>Response to implementation of the Spectrum Pricing Review</w:t>
        </w:r>
        <w:r w:rsidR="00A95351" w:rsidRPr="00A95351">
          <w:rPr>
            <w:rStyle w:val="Hyperlink"/>
          </w:rPr>
          <w:t xml:space="preserve"> </w:t>
        </w:r>
        <w:r w:rsidR="00A95351" w:rsidRPr="00AF6BA6">
          <w:rPr>
            <w:rStyle w:val="Hyperlink"/>
            <w:i/>
            <w:iCs/>
          </w:rPr>
          <w:t>(</w:t>
        </w:r>
        <w:r w:rsidR="00FB67EA" w:rsidRPr="00AF6BA6">
          <w:rPr>
            <w:rStyle w:val="Hyperlink"/>
            <w:i/>
            <w:iCs/>
          </w:rPr>
          <w:t>part </w:t>
        </w:r>
        <w:r w:rsidR="00A95351" w:rsidRPr="00AF6BA6">
          <w:rPr>
            <w:rStyle w:val="Hyperlink"/>
            <w:i/>
            <w:iCs/>
          </w:rPr>
          <w:t>2)</w:t>
        </w:r>
      </w:hyperlink>
      <w:r w:rsidR="7583F972">
        <w:t>.</w:t>
      </w:r>
    </w:p>
    <w:p w14:paraId="678BAD55" w14:textId="299439B7" w:rsidR="005F7992" w:rsidRPr="00DB5502" w:rsidRDefault="004D78BF" w:rsidP="00AF6BA6">
      <w:pPr>
        <w:pStyle w:val="Paragraphbeforelist"/>
      </w:pPr>
      <w:r>
        <w:t xml:space="preserve">The </w:t>
      </w:r>
      <w:r w:rsidR="75104703">
        <w:t>ACMA’s</w:t>
      </w:r>
      <w:r w:rsidR="00C91C4E">
        <w:t xml:space="preserve"> implementation of the Spectrum Pricing Review process has </w:t>
      </w:r>
      <w:r w:rsidR="00D62412">
        <w:t xml:space="preserve">focused </w:t>
      </w:r>
      <w:r w:rsidR="00C91C4E">
        <w:t xml:space="preserve">on the </w:t>
      </w:r>
      <w:r>
        <w:t xml:space="preserve">implementation of 3 of the 11 recommendations relevant to </w:t>
      </w:r>
      <w:r w:rsidR="00FB67EA">
        <w:t xml:space="preserve">our </w:t>
      </w:r>
      <w:r>
        <w:t>spectrum management capabilities</w:t>
      </w:r>
      <w:r w:rsidR="001D4444">
        <w:t>:</w:t>
      </w:r>
    </w:p>
    <w:p w14:paraId="2B906045" w14:textId="77777777" w:rsidR="00AD5242" w:rsidRPr="00046DA5" w:rsidRDefault="00AD5242" w:rsidP="00AD5242">
      <w:pPr>
        <w:pStyle w:val="ListBullet"/>
      </w:pPr>
      <w:r w:rsidRPr="7991D590">
        <w:rPr>
          <w:b/>
          <w:bCs/>
        </w:rPr>
        <w:t>Recommendation 1</w:t>
      </w:r>
      <w:r>
        <w:t>: The ACMA should publish guidelines on how it approaches its spectrum pricing decisions.</w:t>
      </w:r>
    </w:p>
    <w:p w14:paraId="5CC9FBA0" w14:textId="77777777" w:rsidR="00AD5242" w:rsidRPr="00046DA5" w:rsidRDefault="00AD5242" w:rsidP="00AD5242">
      <w:pPr>
        <w:pStyle w:val="ListBullet"/>
      </w:pPr>
      <w:r w:rsidRPr="7991D590">
        <w:rPr>
          <w:b/>
          <w:bCs/>
        </w:rPr>
        <w:t>Recommendation 7</w:t>
      </w:r>
      <w:r>
        <w:t>: 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demography and demand.</w:t>
      </w:r>
    </w:p>
    <w:p w14:paraId="4BC70AAE" w14:textId="77777777" w:rsidR="00AD5242" w:rsidRPr="00046DA5" w:rsidRDefault="00AD5242" w:rsidP="00AD5242">
      <w:pPr>
        <w:pStyle w:val="ListBulletLast"/>
      </w:pPr>
      <w:r w:rsidRPr="7991D590">
        <w:rPr>
          <w:b/>
          <w:bCs/>
        </w:rPr>
        <w:t>Recommendation 8</w:t>
      </w:r>
      <w:r>
        <w:t>: 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14:paraId="57300273" w14:textId="45EC2D60" w:rsidR="00274D24" w:rsidRPr="0084744D" w:rsidRDefault="00274D24" w:rsidP="00AF6BA6">
      <w:pPr>
        <w:pStyle w:val="Heading4"/>
        <w:rPr>
          <w:iCs/>
        </w:rPr>
      </w:pPr>
      <w:r w:rsidRPr="00AF6BA6">
        <w:rPr>
          <w:i w:val="0"/>
          <w:iCs/>
        </w:rPr>
        <w:t>Implementation of the Spectrum Pricing Review</w:t>
      </w:r>
    </w:p>
    <w:p w14:paraId="220C9DD8" w14:textId="2C35CC4B" w:rsidR="00DB3AAE" w:rsidRDefault="00DB3AAE" w:rsidP="00DB3AAE">
      <w:pPr>
        <w:pStyle w:val="Paragraph"/>
      </w:pPr>
      <w:r w:rsidRPr="00F36669">
        <w:t>In March 2020</w:t>
      </w:r>
      <w:r>
        <w:t>,</w:t>
      </w:r>
      <w:r w:rsidR="00CC5CDB">
        <w:t xml:space="preserve"> we began </w:t>
      </w:r>
      <w:r w:rsidRPr="00F36669">
        <w:t xml:space="preserve">the </w:t>
      </w:r>
      <w:r>
        <w:t>i</w:t>
      </w:r>
      <w:r w:rsidRPr="00F36669">
        <w:t>mplementation of the Spectrum Pricing Review</w:t>
      </w:r>
      <w:r>
        <w:t xml:space="preserve"> with the release of </w:t>
      </w:r>
      <w:r w:rsidR="00CC5CDB">
        <w:t xml:space="preserve">our first </w:t>
      </w:r>
      <w:r w:rsidRPr="009F547E">
        <w:rPr>
          <w:u w:color="0000FF"/>
        </w:rPr>
        <w:t>consultation paper</w:t>
      </w:r>
      <w:r>
        <w:t xml:space="preserve">, the </w:t>
      </w:r>
      <w:hyperlink r:id="rId26" w:history="1">
        <w:r w:rsidRPr="00AF6BA6">
          <w:rPr>
            <w:rStyle w:val="Hyperlink"/>
            <w:i/>
            <w:iCs/>
          </w:rPr>
          <w:t>Implementation of the Spectrum Pricing Review</w:t>
        </w:r>
      </w:hyperlink>
      <w:r>
        <w:t>.</w:t>
      </w:r>
    </w:p>
    <w:p w14:paraId="19726FF5" w14:textId="28026571" w:rsidR="00A73148" w:rsidRDefault="00F745ED" w:rsidP="00A73148">
      <w:r>
        <w:t xml:space="preserve">The paper </w:t>
      </w:r>
      <w:r w:rsidR="00374C7C">
        <w:t xml:space="preserve">stated </w:t>
      </w:r>
      <w:r w:rsidR="00CC5CDB">
        <w:t xml:space="preserve">our </w:t>
      </w:r>
      <w:r w:rsidR="00374C7C">
        <w:t xml:space="preserve">intent to implement </w:t>
      </w:r>
      <w:r w:rsidR="00CC5CDB">
        <w:t>r</w:t>
      </w:r>
      <w:r w:rsidR="00555D8F">
        <w:t>ecommendation</w:t>
      </w:r>
      <w:r w:rsidR="00D94BF8">
        <w:t>s</w:t>
      </w:r>
      <w:r w:rsidR="00555D8F">
        <w:t xml:space="preserve"> 1</w:t>
      </w:r>
      <w:r w:rsidR="00D94BF8">
        <w:t>,</w:t>
      </w:r>
      <w:r w:rsidR="00555D8F">
        <w:t xml:space="preserve"> 7, and 8 of the Spectrum Pricing Review and </w:t>
      </w:r>
      <w:r w:rsidR="000D0D1F">
        <w:t xml:space="preserve">outlined </w:t>
      </w:r>
      <w:r w:rsidR="00CC5CDB">
        <w:t>our</w:t>
      </w:r>
      <w:r w:rsidR="00555D8F">
        <w:t xml:space="preserve"> role in </w:t>
      </w:r>
      <w:r w:rsidR="000D0D1F">
        <w:t xml:space="preserve">implementing the other recommendations. </w:t>
      </w:r>
      <w:r w:rsidR="00CC5CDB">
        <w:t>We</w:t>
      </w:r>
      <w:r w:rsidR="00A3336B">
        <w:t xml:space="preserve"> also published </w:t>
      </w:r>
      <w:r w:rsidR="00E36144">
        <w:t xml:space="preserve">our </w:t>
      </w:r>
      <w:r w:rsidR="00C046EF">
        <w:t xml:space="preserve">draft spectrum pricing </w:t>
      </w:r>
      <w:r w:rsidR="00BA4956">
        <w:t>guidelines for consultation.</w:t>
      </w:r>
    </w:p>
    <w:p w14:paraId="13C5F2BC" w14:textId="1ECB3840" w:rsidR="00BA4956" w:rsidRDefault="00674758" w:rsidP="00AF6BA6">
      <w:pPr>
        <w:pStyle w:val="Paragraphbeforelist"/>
      </w:pPr>
      <w:r>
        <w:t xml:space="preserve">To help identify issues and developments relevant to the review of apparatus licence taxes and the tax formula, </w:t>
      </w:r>
      <w:r w:rsidR="00CC5CDB">
        <w:t>we</w:t>
      </w:r>
      <w:r>
        <w:t xml:space="preserve"> proposed </w:t>
      </w:r>
      <w:r w:rsidR="00CC5CDB">
        <w:t xml:space="preserve">6 </w:t>
      </w:r>
      <w:r w:rsidR="00E56431">
        <w:t>focus areas for comment:</w:t>
      </w:r>
    </w:p>
    <w:p w14:paraId="48468FBA" w14:textId="2EA16B01" w:rsidR="00907146" w:rsidRPr="00046DA5" w:rsidRDefault="00CC5CDB" w:rsidP="00AF6BA6">
      <w:pPr>
        <w:pStyle w:val="Numberlistlevel1"/>
      </w:pPr>
      <w:r>
        <w:t>l</w:t>
      </w:r>
      <w:r w:rsidR="00907146" w:rsidRPr="00046DA5">
        <w:t>arge bandwidth and multiple (networked devices) requirements</w:t>
      </w:r>
    </w:p>
    <w:p w14:paraId="56049FF8" w14:textId="01C7639A" w:rsidR="00907146" w:rsidRPr="00046DA5" w:rsidRDefault="00CC5CDB" w:rsidP="00AF6BA6">
      <w:pPr>
        <w:pStyle w:val="Numberlistlevel1"/>
      </w:pPr>
      <w:r>
        <w:t>s</w:t>
      </w:r>
      <w:r w:rsidR="00907146" w:rsidRPr="00046DA5">
        <w:t>haring and low interference potential devices</w:t>
      </w:r>
    </w:p>
    <w:p w14:paraId="0A79DF4A" w14:textId="0525072A" w:rsidR="00907146" w:rsidRPr="00046DA5" w:rsidRDefault="00CC5CDB" w:rsidP="00AF6BA6">
      <w:pPr>
        <w:pStyle w:val="Numberlistlevel1"/>
      </w:pPr>
      <w:r>
        <w:t>d</w:t>
      </w:r>
      <w:r w:rsidR="00907146" w:rsidRPr="00046DA5">
        <w:t>efined approach to considering changes in taxes and opportunity cost pricing</w:t>
      </w:r>
    </w:p>
    <w:p w14:paraId="0077C678" w14:textId="58578350" w:rsidR="00907146" w:rsidRPr="00046DA5" w:rsidRDefault="00CC5CDB" w:rsidP="00AF6BA6">
      <w:pPr>
        <w:pStyle w:val="Numberlistlevel1"/>
      </w:pPr>
      <w:r>
        <w:t>c</w:t>
      </w:r>
      <w:r w:rsidR="00907146" w:rsidRPr="00046DA5">
        <w:t>onsistency of pricing approach across geographic areas and bands</w:t>
      </w:r>
    </w:p>
    <w:p w14:paraId="0E059FFF" w14:textId="17EE0B5D" w:rsidR="00907146" w:rsidRPr="00046DA5" w:rsidRDefault="00CC5CDB" w:rsidP="00AF6BA6">
      <w:pPr>
        <w:pStyle w:val="Numberlistlevel1"/>
      </w:pPr>
      <w:r>
        <w:t>n</w:t>
      </w:r>
      <w:r w:rsidR="00907146" w:rsidRPr="00046DA5">
        <w:t>ew technologies and trials</w:t>
      </w:r>
    </w:p>
    <w:p w14:paraId="08D7A82C" w14:textId="3FC501B5" w:rsidR="00907146" w:rsidRPr="00046DA5" w:rsidRDefault="00CC5CDB" w:rsidP="00AF6BA6">
      <w:pPr>
        <w:pStyle w:val="Numberlistlast"/>
      </w:pPr>
      <w:r>
        <w:t>t</w:t>
      </w:r>
      <w:r w:rsidR="00907146" w:rsidRPr="00046DA5">
        <w:t>ransparency and ease of calculating taxes.</w:t>
      </w:r>
    </w:p>
    <w:p w14:paraId="2538ED50" w14:textId="066BD977" w:rsidR="00225F70" w:rsidRPr="00E671C3" w:rsidRDefault="00CC5CDB" w:rsidP="00225F70">
      <w:pPr>
        <w:pStyle w:val="ListBullet"/>
        <w:numPr>
          <w:ilvl w:val="0"/>
          <w:numId w:val="0"/>
        </w:numPr>
      </w:pPr>
      <w:r>
        <w:t>We</w:t>
      </w:r>
      <w:r w:rsidR="00225F70">
        <w:t xml:space="preserve"> received </w:t>
      </w:r>
      <w:hyperlink r:id="rId27" w:history="1">
        <w:r w:rsidR="00225F70" w:rsidRPr="00DD3CEA">
          <w:rPr>
            <w:rStyle w:val="Hyperlink"/>
          </w:rPr>
          <w:t>27 submissions</w:t>
        </w:r>
      </w:hyperlink>
      <w:r w:rsidR="00225F70">
        <w:t xml:space="preserve"> to the </w:t>
      </w:r>
      <w:r w:rsidR="00225F70" w:rsidRPr="00AF6BA6">
        <w:rPr>
          <w:i/>
          <w:iCs/>
        </w:rPr>
        <w:t>Implementation of the Spectrum Pricing Review</w:t>
      </w:r>
      <w:r>
        <w:t xml:space="preserve"> paper</w:t>
      </w:r>
      <w:r w:rsidR="00DA7701">
        <w:t>.</w:t>
      </w:r>
    </w:p>
    <w:p w14:paraId="0EF708B6" w14:textId="3464FC0B" w:rsidR="00274D24" w:rsidRPr="0084744D" w:rsidRDefault="00274D24" w:rsidP="00AF6BA6">
      <w:pPr>
        <w:pStyle w:val="Heading4"/>
        <w:keepNext/>
        <w:rPr>
          <w:iCs/>
        </w:rPr>
      </w:pPr>
      <w:r w:rsidRPr="00AF6BA6">
        <w:rPr>
          <w:i w:val="0"/>
          <w:iCs/>
        </w:rPr>
        <w:lastRenderedPageBreak/>
        <w:t>Response to implementation of the Spectrum Pricing Review</w:t>
      </w:r>
    </w:p>
    <w:p w14:paraId="40F0ACF4" w14:textId="208EB35D" w:rsidR="000B52DB" w:rsidRDefault="000B52DB" w:rsidP="000B52DB">
      <w:pPr>
        <w:pStyle w:val="Paragraph"/>
      </w:pPr>
      <w:r w:rsidRPr="00F36669">
        <w:t xml:space="preserve">In </w:t>
      </w:r>
      <w:r>
        <w:t>December</w:t>
      </w:r>
      <w:r w:rsidRPr="00F36669">
        <w:t xml:space="preserve"> 2020</w:t>
      </w:r>
      <w:r>
        <w:t>,</w:t>
      </w:r>
      <w:r w:rsidRPr="00F36669">
        <w:t xml:space="preserve"> </w:t>
      </w:r>
      <w:r w:rsidR="00984D69">
        <w:t xml:space="preserve">we </w:t>
      </w:r>
      <w:r w:rsidR="00DB03B3">
        <w:t>release</w:t>
      </w:r>
      <w:r w:rsidR="00984D69">
        <w:t>d</w:t>
      </w:r>
      <w:r w:rsidR="00DB03B3">
        <w:t xml:space="preserve"> </w:t>
      </w:r>
      <w:r w:rsidR="002468F9">
        <w:t xml:space="preserve">the </w:t>
      </w:r>
      <w:hyperlink r:id="rId28" w:history="1">
        <w:r w:rsidR="002468F9" w:rsidRPr="00AF6BA6">
          <w:rPr>
            <w:rStyle w:val="Hyperlink"/>
            <w:i/>
            <w:iCs/>
          </w:rPr>
          <w:t>Response to implementation of the S</w:t>
        </w:r>
        <w:r w:rsidR="006E780D" w:rsidRPr="00AF6BA6">
          <w:rPr>
            <w:rStyle w:val="Hyperlink"/>
            <w:i/>
            <w:iCs/>
          </w:rPr>
          <w:t>pectrum Pricing Review</w:t>
        </w:r>
      </w:hyperlink>
      <w:r w:rsidR="006E780D">
        <w:t>.</w:t>
      </w:r>
    </w:p>
    <w:p w14:paraId="3592FB80" w14:textId="47972802" w:rsidR="006E780D" w:rsidRDefault="006E780D" w:rsidP="009E6890">
      <w:pPr>
        <w:pStyle w:val="Paragraphbeforelist"/>
      </w:pPr>
      <w:r>
        <w:t xml:space="preserve">The paper </w:t>
      </w:r>
      <w:r w:rsidR="00F50D2B">
        <w:t xml:space="preserve">considered </w:t>
      </w:r>
      <w:r>
        <w:t>the submissions received</w:t>
      </w:r>
      <w:r w:rsidR="00E259AC">
        <w:t xml:space="preserve"> to the initial consultation paper</w:t>
      </w:r>
      <w:r w:rsidR="00984D69">
        <w:t xml:space="preserve">. We then </w:t>
      </w:r>
      <w:r w:rsidR="00171F19">
        <w:t>developed an initial set of proposed reforms</w:t>
      </w:r>
      <w:r w:rsidR="00984D69">
        <w:t xml:space="preserve"> – </w:t>
      </w:r>
      <w:r w:rsidR="00134D8F">
        <w:t>the first tranche of reforms</w:t>
      </w:r>
      <w:r w:rsidR="00984D69">
        <w:t xml:space="preserve"> – that</w:t>
      </w:r>
      <w:r w:rsidR="008A6C2E">
        <w:t xml:space="preserve"> included:</w:t>
      </w:r>
    </w:p>
    <w:p w14:paraId="0692534A" w14:textId="50EBA50A" w:rsidR="00153808" w:rsidRPr="000660E4" w:rsidRDefault="00984D69" w:rsidP="00153808">
      <w:pPr>
        <w:pStyle w:val="ListBullet"/>
      </w:pPr>
      <w:r>
        <w:t>a r</w:t>
      </w:r>
      <w:r w:rsidR="00153808" w:rsidRPr="000660E4">
        <w:t xml:space="preserve">eduction in taxes </w:t>
      </w:r>
      <w:r w:rsidR="00153808">
        <w:t xml:space="preserve">based on the tax formula </w:t>
      </w:r>
      <w:r w:rsidR="00153808" w:rsidRPr="000660E4">
        <w:t>for services above 5 GHz</w:t>
      </w:r>
      <w:r w:rsidR="00153808">
        <w:t>, ranging from 25% to 90% depending on the frequency range and the service</w:t>
      </w:r>
    </w:p>
    <w:p w14:paraId="01E65BC7" w14:textId="546EE8E0" w:rsidR="00707F0B" w:rsidRPr="000660E4" w:rsidRDefault="00984D69" w:rsidP="00707F0B">
      <w:pPr>
        <w:pStyle w:val="ListBullet"/>
      </w:pPr>
      <w:r>
        <w:t>the i</w:t>
      </w:r>
      <w:r w:rsidR="00707F0B" w:rsidRPr="000660E4">
        <w:t>ntroduc</w:t>
      </w:r>
      <w:r w:rsidR="006B67E3">
        <w:t>tion of</w:t>
      </w:r>
      <w:r w:rsidR="00707F0B" w:rsidRPr="000660E4">
        <w:t xml:space="preserve"> a ‘systems price’ for earth stations with multiple antennas</w:t>
      </w:r>
      <w:r w:rsidR="00707F0B">
        <w:t>,</w:t>
      </w:r>
      <w:r w:rsidR="00707F0B" w:rsidRPr="000660E4">
        <w:t xml:space="preserve"> with prices </w:t>
      </w:r>
      <w:r w:rsidR="009E6890">
        <w:t xml:space="preserve">more </w:t>
      </w:r>
      <w:r w:rsidR="00707F0B" w:rsidRPr="000660E4">
        <w:t>commensurate with the spectrum denial of those systems</w:t>
      </w:r>
    </w:p>
    <w:p w14:paraId="51350B90" w14:textId="5EEED631" w:rsidR="00E93602" w:rsidRPr="00046DA5" w:rsidRDefault="00984D69" w:rsidP="00E93602">
      <w:pPr>
        <w:pStyle w:val="ListBulletLast"/>
      </w:pPr>
      <w:r>
        <w:t>the i</w:t>
      </w:r>
      <w:r w:rsidR="003D0D26">
        <w:t>ntroduction of an additional price discount to encourage more use of the land-mobile ‘micro’ service model.</w:t>
      </w:r>
    </w:p>
    <w:p w14:paraId="14A695E9" w14:textId="388A3BA0" w:rsidR="00301EA7" w:rsidRDefault="00EB6DB8" w:rsidP="000B52DB">
      <w:pPr>
        <w:pStyle w:val="Paragraph"/>
      </w:pPr>
      <w:r>
        <w:t xml:space="preserve">The paper also detailed the finalised spectrum pricing guidelines after </w:t>
      </w:r>
      <w:r w:rsidR="00AD16B0">
        <w:t>considering</w:t>
      </w:r>
      <w:r>
        <w:t xml:space="preserve"> feedback from submitters. The draft spectrum pricing guidelines were updated to include references to opportunity cost and </w:t>
      </w:r>
      <w:r w:rsidRPr="0012421F">
        <w:t>flexibility to technological changes</w:t>
      </w:r>
      <w:r>
        <w:t>.</w:t>
      </w:r>
    </w:p>
    <w:p w14:paraId="1EF2936B" w14:textId="101D1998" w:rsidR="00532707" w:rsidRDefault="00984D69" w:rsidP="00532707">
      <w:pPr>
        <w:rPr>
          <w:rFonts w:cs="Arial"/>
          <w:bCs/>
        </w:rPr>
      </w:pPr>
      <w:r>
        <w:rPr>
          <w:rFonts w:cs="Arial"/>
          <w:bCs/>
        </w:rPr>
        <w:t xml:space="preserve">We </w:t>
      </w:r>
      <w:r w:rsidR="00532707">
        <w:rPr>
          <w:rFonts w:cs="Arial"/>
          <w:bCs/>
        </w:rPr>
        <w:t xml:space="preserve">received </w:t>
      </w:r>
      <w:hyperlink r:id="rId29" w:history="1">
        <w:r w:rsidR="00532707" w:rsidRPr="00DD3CEA">
          <w:rPr>
            <w:rStyle w:val="Hyperlink"/>
            <w:rFonts w:cs="Arial"/>
            <w:bCs/>
          </w:rPr>
          <w:t>15 submissions</w:t>
        </w:r>
      </w:hyperlink>
      <w:r w:rsidR="00532707">
        <w:rPr>
          <w:rFonts w:cs="Arial"/>
          <w:bCs/>
        </w:rPr>
        <w:t xml:space="preserve"> to the </w:t>
      </w:r>
      <w:r w:rsidRPr="001448AC">
        <w:rPr>
          <w:i/>
          <w:iCs/>
        </w:rPr>
        <w:t>Response to Implementation of the Spectrum Pricing Review</w:t>
      </w:r>
      <w:r>
        <w:rPr>
          <w:rFonts w:cs="Arial"/>
          <w:bCs/>
          <w:i/>
          <w:iCs/>
          <w:u w:color="0000FF"/>
        </w:rPr>
        <w:t xml:space="preserve"> </w:t>
      </w:r>
      <w:r w:rsidRPr="001448AC">
        <w:rPr>
          <w:rFonts w:cs="Arial"/>
          <w:bCs/>
          <w:u w:color="0000FF"/>
        </w:rPr>
        <w:t>paper</w:t>
      </w:r>
      <w:r>
        <w:t>.</w:t>
      </w:r>
    </w:p>
    <w:p w14:paraId="680C421E" w14:textId="693AB5BB" w:rsidR="005641C4" w:rsidRPr="00E671C3" w:rsidRDefault="006602EE" w:rsidP="00532707">
      <w:pPr>
        <w:rPr>
          <w:rFonts w:cs="Arial"/>
          <w:bCs/>
        </w:rPr>
      </w:pPr>
      <w:r>
        <w:rPr>
          <w:rFonts w:cs="Arial"/>
          <w:bCs/>
        </w:rPr>
        <w:t>After considering submissions</w:t>
      </w:r>
      <w:r w:rsidR="00984D69">
        <w:rPr>
          <w:rFonts w:cs="Arial"/>
          <w:bCs/>
        </w:rPr>
        <w:t>,</w:t>
      </w:r>
      <w:r>
        <w:rPr>
          <w:rFonts w:cs="Arial"/>
          <w:bCs/>
        </w:rPr>
        <w:t xml:space="preserve"> </w:t>
      </w:r>
      <w:r w:rsidR="00F87B1E">
        <w:rPr>
          <w:rFonts w:cs="Arial"/>
          <w:bCs/>
        </w:rPr>
        <w:t xml:space="preserve">the initial proposed reduction in taxes based on the tax formula for services above 5 GHz </w:t>
      </w:r>
      <w:r w:rsidR="000C3513">
        <w:rPr>
          <w:rFonts w:cs="Arial"/>
          <w:bCs/>
        </w:rPr>
        <w:t xml:space="preserve">was further refined. </w:t>
      </w:r>
      <w:r w:rsidR="009D21BC">
        <w:rPr>
          <w:rFonts w:cs="Arial"/>
          <w:bCs/>
        </w:rPr>
        <w:t>Frequencies that initi</w:t>
      </w:r>
      <w:r w:rsidR="0066153A">
        <w:rPr>
          <w:rFonts w:cs="Arial"/>
          <w:bCs/>
        </w:rPr>
        <w:t>ally had a proposed discount of 25% were increased to 50%</w:t>
      </w:r>
      <w:r w:rsidR="00984D69">
        <w:rPr>
          <w:rFonts w:cs="Arial"/>
          <w:bCs/>
        </w:rPr>
        <w:t>,</w:t>
      </w:r>
      <w:r w:rsidR="0066153A">
        <w:rPr>
          <w:rFonts w:cs="Arial"/>
          <w:bCs/>
        </w:rPr>
        <w:t xml:space="preserve"> and frequencies that initially had a proposed discount of 50% were increased to 90%.</w:t>
      </w:r>
      <w:r w:rsidR="005641C4">
        <w:rPr>
          <w:rFonts w:cs="Arial"/>
          <w:bCs/>
        </w:rPr>
        <w:t xml:space="preserve"> The first tranche of reforms</w:t>
      </w:r>
      <w:r w:rsidR="003C4545">
        <w:rPr>
          <w:rFonts w:cs="Arial"/>
          <w:bCs/>
        </w:rPr>
        <w:t xml:space="preserve"> came into effect in July 2021.</w:t>
      </w:r>
    </w:p>
    <w:p w14:paraId="1CF529CF" w14:textId="288B025F" w:rsidR="00274D24" w:rsidRDefault="00FD7C5F" w:rsidP="00274D24">
      <w:pPr>
        <w:pStyle w:val="Heading3"/>
      </w:pPr>
      <w:r>
        <w:t>Response to implementation of the Spectrum Pricing Review (part 2)</w:t>
      </w:r>
    </w:p>
    <w:p w14:paraId="19DA73DA" w14:textId="20C90AC6" w:rsidR="00E7108F" w:rsidRDefault="000B52DB" w:rsidP="00D62D26">
      <w:pPr>
        <w:pStyle w:val="Paragraphbeforelist"/>
      </w:pPr>
      <w:r w:rsidRPr="00F36669">
        <w:t xml:space="preserve">In </w:t>
      </w:r>
      <w:r w:rsidR="00D80353">
        <w:t xml:space="preserve">October </w:t>
      </w:r>
      <w:r>
        <w:t>2021,</w:t>
      </w:r>
      <w:r w:rsidRPr="00F36669">
        <w:t xml:space="preserve"> </w:t>
      </w:r>
      <w:r w:rsidR="00984D69">
        <w:t>we</w:t>
      </w:r>
      <w:r w:rsidR="005A14E5">
        <w:t xml:space="preserve"> release</w:t>
      </w:r>
      <w:r w:rsidR="001856DF">
        <w:t>d</w:t>
      </w:r>
      <w:r w:rsidR="00CA10C1">
        <w:t xml:space="preserve"> </w:t>
      </w:r>
      <w:r w:rsidR="005A14E5">
        <w:t>a second response paper</w:t>
      </w:r>
      <w:r w:rsidR="00BA59EF">
        <w:t>,</w:t>
      </w:r>
      <w:r w:rsidR="005A14E5">
        <w:t xml:space="preserve"> </w:t>
      </w:r>
      <w:r w:rsidR="00BA59EF">
        <w:t>t</w:t>
      </w:r>
      <w:r w:rsidR="005A14E5">
        <w:t xml:space="preserve">he </w:t>
      </w:r>
      <w:hyperlink r:id="rId30" w:history="1">
        <w:r w:rsidR="005A14E5" w:rsidRPr="00D62D26">
          <w:rPr>
            <w:rStyle w:val="Hyperlink"/>
            <w:i/>
            <w:iCs/>
          </w:rPr>
          <w:t>Response to implementation of the Spectrum Pricing Review (part 2)</w:t>
        </w:r>
      </w:hyperlink>
      <w:r w:rsidR="005A14E5">
        <w:t>.</w:t>
      </w:r>
      <w:r w:rsidR="001856DF">
        <w:t xml:space="preserve"> </w:t>
      </w:r>
      <w:r w:rsidR="00E7108F">
        <w:t>Th</w:t>
      </w:r>
      <w:r w:rsidR="00963864">
        <w:t>is</w:t>
      </w:r>
      <w:r w:rsidR="00E7108F">
        <w:t xml:space="preserve"> paper </w:t>
      </w:r>
      <w:r w:rsidR="00963864">
        <w:t>outlined</w:t>
      </w:r>
      <w:r w:rsidR="00E7108F">
        <w:t xml:space="preserve"> </w:t>
      </w:r>
      <w:r w:rsidR="006F3B66">
        <w:t>a second tranche of reform proposals</w:t>
      </w:r>
      <w:r w:rsidR="00DD3CEA">
        <w:t>,</w:t>
      </w:r>
      <w:r w:rsidR="006F3B66">
        <w:t xml:space="preserve"> wh</w:t>
      </w:r>
      <w:r w:rsidR="00856438">
        <w:t>ich included:</w:t>
      </w:r>
    </w:p>
    <w:p w14:paraId="04C541D9" w14:textId="13CA28F4" w:rsidR="00E32AA1" w:rsidRDefault="00DD3CEA" w:rsidP="00E32AA1">
      <w:pPr>
        <w:pStyle w:val="Bulletlevel1"/>
        <w:numPr>
          <w:ilvl w:val="0"/>
          <w:numId w:val="41"/>
        </w:numPr>
        <w:ind w:left="295" w:hanging="295"/>
      </w:pPr>
      <w:r>
        <w:t>s</w:t>
      </w:r>
      <w:r w:rsidR="00E32AA1">
        <w:t>implif</w:t>
      </w:r>
      <w:r>
        <w:t>ying</w:t>
      </w:r>
      <w:r w:rsidR="00414867">
        <w:t xml:space="preserve"> </w:t>
      </w:r>
      <w:r w:rsidR="00E32AA1">
        <w:t>the location weightings tables by consolidating the &gt;30</w:t>
      </w:r>
      <w:r w:rsidR="00AF0A14">
        <w:t xml:space="preserve"> to </w:t>
      </w:r>
      <w:r w:rsidR="00E32AA1">
        <w:t>403 MHz frequency range into a single band</w:t>
      </w:r>
    </w:p>
    <w:p w14:paraId="1E7BC8CC" w14:textId="67CE6B71" w:rsidR="00E32AA1" w:rsidRPr="00DD0965" w:rsidRDefault="00DD3CEA" w:rsidP="00E32AA1">
      <w:pPr>
        <w:pStyle w:val="Bulletlevel1"/>
        <w:numPr>
          <w:ilvl w:val="0"/>
          <w:numId w:val="41"/>
        </w:numPr>
        <w:ind w:left="295" w:hanging="295"/>
      </w:pPr>
      <w:r>
        <w:t>i</w:t>
      </w:r>
      <w:r w:rsidRPr="00DD0965">
        <w:t>ncreas</w:t>
      </w:r>
      <w:r>
        <w:t xml:space="preserve">ing </w:t>
      </w:r>
      <w:r w:rsidR="00E32AA1" w:rsidRPr="00DD0965">
        <w:t xml:space="preserve">weightings for the </w:t>
      </w:r>
      <w:r w:rsidR="00F375F6">
        <w:t>&gt;</w:t>
      </w:r>
      <w:r w:rsidR="00E32AA1" w:rsidRPr="00DD0965">
        <w:t xml:space="preserve">2,690 to 5,000 MHz spectrum location </w:t>
      </w:r>
      <w:r w:rsidR="00E32AA1">
        <w:t>band</w:t>
      </w:r>
      <w:r w:rsidR="00E32AA1" w:rsidRPr="00DD0965">
        <w:t xml:space="preserve"> for high</w:t>
      </w:r>
      <w:r>
        <w:t>-</w:t>
      </w:r>
      <w:r w:rsidR="00E32AA1" w:rsidRPr="00DD0965">
        <w:t xml:space="preserve"> and </w:t>
      </w:r>
      <w:r w:rsidR="00E32AA1" w:rsidRPr="00DD0965" w:rsidDel="008835EE">
        <w:t>medium</w:t>
      </w:r>
      <w:r w:rsidR="00E32AA1">
        <w:t>-</w:t>
      </w:r>
      <w:r w:rsidR="00E32AA1" w:rsidRPr="00DD0965">
        <w:t>density geographic areas</w:t>
      </w:r>
      <w:r w:rsidR="009A7413">
        <w:t xml:space="preserve"> to reflect the relatively large increase in demand for this spectrum in these areas and the general increase in prices for similar spectrum</w:t>
      </w:r>
    </w:p>
    <w:p w14:paraId="0DD2FEF9" w14:textId="66B4F0B2" w:rsidR="00E32AA1" w:rsidRDefault="00DD3CEA" w:rsidP="00E32AA1">
      <w:pPr>
        <w:pStyle w:val="Bulletlevel1"/>
        <w:numPr>
          <w:ilvl w:val="0"/>
          <w:numId w:val="41"/>
        </w:numPr>
        <w:ind w:left="295" w:hanging="295"/>
      </w:pPr>
      <w:r>
        <w:t xml:space="preserve">adding </w:t>
      </w:r>
      <w:r w:rsidR="00E33D38">
        <w:t>a</w:t>
      </w:r>
      <w:r w:rsidR="00E32AA1">
        <w:t xml:space="preserve"> new spectrum location band &gt;100 GHz where licences will generally incur the minimum tax (currently $41.37), reflecting the lower potential for interference at these higher frequencies, and facilitating the use of services expected to require very large bandwidths </w:t>
      </w:r>
    </w:p>
    <w:p w14:paraId="728C4728" w14:textId="12D82682" w:rsidR="00E32AA1" w:rsidRDefault="00DD3CEA" w:rsidP="00E32AA1">
      <w:pPr>
        <w:pStyle w:val="Bulletlevel1"/>
        <w:numPr>
          <w:ilvl w:val="0"/>
          <w:numId w:val="41"/>
        </w:numPr>
        <w:ind w:left="295" w:hanging="295"/>
      </w:pPr>
      <w:r>
        <w:t>stopping</w:t>
      </w:r>
      <w:r w:rsidR="00E32AA1" w:rsidRPr="00326A2F">
        <w:t xml:space="preserve"> annual </w:t>
      </w:r>
      <w:r w:rsidR="00E32AA1">
        <w:t>consumer price index (</w:t>
      </w:r>
      <w:r w:rsidR="00E32AA1" w:rsidRPr="00326A2F">
        <w:t>CPI</w:t>
      </w:r>
      <w:r w:rsidR="00E32AA1">
        <w:t>)</w:t>
      </w:r>
      <w:r w:rsidR="00E32AA1" w:rsidRPr="00326A2F">
        <w:t xml:space="preserve"> updates to taxes, and instead</w:t>
      </w:r>
      <w:r w:rsidR="00E32AA1">
        <w:t xml:space="preserve"> regularly</w:t>
      </w:r>
      <w:r w:rsidR="00E32AA1" w:rsidRPr="00326A2F">
        <w:t xml:space="preserve"> updat</w:t>
      </w:r>
      <w:r w:rsidR="00E33D38">
        <w:t>ing</w:t>
      </w:r>
      <w:r w:rsidR="00E32AA1" w:rsidRPr="00326A2F">
        <w:t xml:space="preserve"> taxes based on population growth</w:t>
      </w:r>
      <w:r w:rsidR="00E32AA1">
        <w:t xml:space="preserve"> specific to density areas</w:t>
      </w:r>
    </w:p>
    <w:p w14:paraId="0A92CC49" w14:textId="52F6AFA7" w:rsidR="00E32AA1" w:rsidRDefault="00DD3CEA" w:rsidP="009A7413">
      <w:pPr>
        <w:pStyle w:val="Bulletlevel1last"/>
        <w:spacing w:after="80"/>
      </w:pPr>
      <w:r>
        <w:t>u</w:t>
      </w:r>
      <w:r w:rsidR="00E32AA1" w:rsidRPr="00EE46E6">
        <w:t>pdat</w:t>
      </w:r>
      <w:r>
        <w:t>ing</w:t>
      </w:r>
      <w:r w:rsidR="00E33D38">
        <w:t xml:space="preserve"> the medium-</w:t>
      </w:r>
      <w:r w:rsidR="00E32AA1" w:rsidRPr="00EE46E6">
        <w:t>density area definitions for Perth and Adelaide</w:t>
      </w:r>
    </w:p>
    <w:p w14:paraId="406E1027" w14:textId="19F727DA" w:rsidR="00D106EE" w:rsidRPr="00023A36" w:rsidRDefault="00DD3CEA" w:rsidP="00E32AA1">
      <w:pPr>
        <w:pStyle w:val="Bulletlevel1last"/>
      </w:pPr>
      <w:r>
        <w:t xml:space="preserve">reducing </w:t>
      </w:r>
      <w:r w:rsidR="00D106EE">
        <w:t>tax rates for transmitter licences used to provide high-power open narrowcasting (HPON) services.</w:t>
      </w:r>
    </w:p>
    <w:p w14:paraId="117A7585" w14:textId="3B065397" w:rsidR="00DA7701" w:rsidRDefault="00DD3CEA" w:rsidP="00DA7701">
      <w:pPr>
        <w:rPr>
          <w:rFonts w:cs="Arial"/>
          <w:bCs/>
        </w:rPr>
      </w:pPr>
      <w:r>
        <w:rPr>
          <w:rFonts w:cs="Arial"/>
          <w:bCs/>
        </w:rPr>
        <w:t xml:space="preserve">We </w:t>
      </w:r>
      <w:r w:rsidR="00DA7701">
        <w:rPr>
          <w:rFonts w:cs="Arial"/>
          <w:bCs/>
        </w:rPr>
        <w:t xml:space="preserve">received </w:t>
      </w:r>
      <w:hyperlink r:id="rId31" w:history="1">
        <w:r w:rsidR="00F375F6" w:rsidRPr="00DD3CEA">
          <w:rPr>
            <w:rStyle w:val="Hyperlink"/>
            <w:rFonts w:cs="Arial"/>
            <w:bCs/>
          </w:rPr>
          <w:t>10</w:t>
        </w:r>
        <w:r w:rsidR="00DA7701" w:rsidRPr="00DD3CEA">
          <w:rPr>
            <w:rStyle w:val="Hyperlink"/>
            <w:rFonts w:cs="Arial"/>
            <w:bCs/>
          </w:rPr>
          <w:t xml:space="preserve"> </w:t>
        </w:r>
        <w:r w:rsidR="00DA7701" w:rsidRPr="0012421F">
          <w:rPr>
            <w:rStyle w:val="Hyperlink"/>
            <w:rFonts w:cs="Arial"/>
            <w:bCs/>
          </w:rPr>
          <w:t>submissions</w:t>
        </w:r>
      </w:hyperlink>
      <w:r w:rsidR="00DA7701" w:rsidRPr="00D62D26">
        <w:t xml:space="preserve"> </w:t>
      </w:r>
      <w:r w:rsidR="00DA7701">
        <w:rPr>
          <w:rFonts w:cs="Arial"/>
          <w:bCs/>
        </w:rPr>
        <w:t xml:space="preserve">to the </w:t>
      </w:r>
      <w:r w:rsidR="00DA7701" w:rsidRPr="00D62D26">
        <w:rPr>
          <w:rFonts w:cs="Arial"/>
          <w:bCs/>
          <w:i/>
          <w:iCs/>
        </w:rPr>
        <w:t>Response to Implementation of the Spectrum Pricing Review</w:t>
      </w:r>
      <w:r w:rsidR="002C10EF" w:rsidRPr="00D62D26">
        <w:rPr>
          <w:rFonts w:cs="Arial"/>
          <w:bCs/>
          <w:i/>
          <w:iCs/>
        </w:rPr>
        <w:t xml:space="preserve"> (part 2)</w:t>
      </w:r>
      <w:r>
        <w:rPr>
          <w:rFonts w:cs="Arial"/>
          <w:bCs/>
          <w:i/>
          <w:iCs/>
        </w:rPr>
        <w:t xml:space="preserve"> </w:t>
      </w:r>
      <w:r w:rsidRPr="00D62D26">
        <w:rPr>
          <w:rFonts w:cs="Arial"/>
          <w:bCs/>
        </w:rPr>
        <w:t>paper</w:t>
      </w:r>
      <w:r w:rsidR="00DA7701">
        <w:rPr>
          <w:rFonts w:cs="Arial"/>
          <w:bCs/>
        </w:rPr>
        <w:t>.</w:t>
      </w:r>
    </w:p>
    <w:p w14:paraId="7C7EC7DD" w14:textId="0DE06443" w:rsidR="009C484E" w:rsidRDefault="00E03E81" w:rsidP="00E03E81">
      <w:pPr>
        <w:rPr>
          <w:rFonts w:cs="Arial"/>
          <w:bCs/>
        </w:rPr>
      </w:pPr>
      <w:r>
        <w:rPr>
          <w:rFonts w:cs="Arial"/>
          <w:bCs/>
        </w:rPr>
        <w:t xml:space="preserve">After considering submissions received, </w:t>
      </w:r>
      <w:r w:rsidR="00DD3CEA">
        <w:rPr>
          <w:rFonts w:cs="Arial"/>
          <w:bCs/>
        </w:rPr>
        <w:t>we</w:t>
      </w:r>
      <w:r w:rsidR="00393591">
        <w:rPr>
          <w:rFonts w:cs="Arial"/>
          <w:bCs/>
        </w:rPr>
        <w:t xml:space="preserve"> will not proceed with the </w:t>
      </w:r>
      <w:r w:rsidR="009C484E">
        <w:rPr>
          <w:rFonts w:cs="Arial"/>
          <w:bCs/>
        </w:rPr>
        <w:t>initial proposal to increas</w:t>
      </w:r>
      <w:r w:rsidR="00F030BA">
        <w:rPr>
          <w:rFonts w:cs="Arial"/>
          <w:bCs/>
        </w:rPr>
        <w:t>e</w:t>
      </w:r>
      <w:r w:rsidR="009C484E">
        <w:rPr>
          <w:rFonts w:cs="Arial"/>
          <w:bCs/>
        </w:rPr>
        <w:t xml:space="preserve"> </w:t>
      </w:r>
      <w:r w:rsidR="00D44DBC">
        <w:rPr>
          <w:rFonts w:cs="Arial"/>
          <w:bCs/>
        </w:rPr>
        <w:t xml:space="preserve">location weightings for </w:t>
      </w:r>
      <w:r w:rsidR="00F375F6">
        <w:rPr>
          <w:rFonts w:cs="Arial"/>
          <w:bCs/>
        </w:rPr>
        <w:t>&gt;</w:t>
      </w:r>
      <w:r w:rsidR="00D44DBC">
        <w:rPr>
          <w:rFonts w:cs="Arial"/>
          <w:bCs/>
        </w:rPr>
        <w:t>2,690 to 5,000 MHz spectrum location</w:t>
      </w:r>
      <w:r w:rsidR="00DD3CEA">
        <w:rPr>
          <w:rFonts w:cs="Arial"/>
          <w:bCs/>
        </w:rPr>
        <w:t xml:space="preserve"> band</w:t>
      </w:r>
      <w:r w:rsidR="00D44DBC">
        <w:rPr>
          <w:rFonts w:cs="Arial"/>
          <w:bCs/>
        </w:rPr>
        <w:t xml:space="preserve">. </w:t>
      </w:r>
      <w:r w:rsidR="00DD3CEA">
        <w:rPr>
          <w:rFonts w:cs="Arial"/>
          <w:bCs/>
        </w:rPr>
        <w:t xml:space="preserve">We </w:t>
      </w:r>
      <w:r w:rsidR="00923C48">
        <w:rPr>
          <w:rFonts w:cs="Arial"/>
          <w:bCs/>
        </w:rPr>
        <w:t>will also delay the introduction of the new</w:t>
      </w:r>
      <w:r w:rsidR="00F030BA">
        <w:rPr>
          <w:rFonts w:cs="Arial"/>
          <w:bCs/>
        </w:rPr>
        <w:t xml:space="preserve"> medium-density area definitions for Perth and Adelaide </w:t>
      </w:r>
      <w:r w:rsidR="00923C48">
        <w:rPr>
          <w:rFonts w:cs="Arial"/>
          <w:bCs/>
        </w:rPr>
        <w:t>by</w:t>
      </w:r>
      <w:r w:rsidR="00F030BA">
        <w:rPr>
          <w:rFonts w:cs="Arial"/>
          <w:bCs/>
        </w:rPr>
        <w:t xml:space="preserve"> approximately </w:t>
      </w:r>
      <w:r w:rsidR="00DD3CEA">
        <w:rPr>
          <w:rFonts w:cs="Arial"/>
          <w:bCs/>
        </w:rPr>
        <w:t xml:space="preserve">3 </w:t>
      </w:r>
      <w:r w:rsidR="00F030BA">
        <w:rPr>
          <w:rFonts w:cs="Arial"/>
          <w:bCs/>
        </w:rPr>
        <w:t>years.</w:t>
      </w:r>
    </w:p>
    <w:p w14:paraId="65A71973" w14:textId="7BECE2B3" w:rsidR="000177E1" w:rsidRDefault="00DD3CEA" w:rsidP="00E03E81">
      <w:pPr>
        <w:rPr>
          <w:rFonts w:cs="Arial"/>
          <w:bCs/>
        </w:rPr>
      </w:pPr>
      <w:r>
        <w:rPr>
          <w:rFonts w:cs="Arial"/>
          <w:bCs/>
        </w:rPr>
        <w:lastRenderedPageBreak/>
        <w:t>We</w:t>
      </w:r>
      <w:r w:rsidR="009802EB">
        <w:rPr>
          <w:rFonts w:cs="Arial"/>
          <w:bCs/>
        </w:rPr>
        <w:t xml:space="preserve"> </w:t>
      </w:r>
      <w:r w:rsidR="004E08B8">
        <w:rPr>
          <w:rFonts w:cs="Arial"/>
          <w:bCs/>
        </w:rPr>
        <w:t xml:space="preserve">intend to </w:t>
      </w:r>
      <w:r w:rsidR="00654168">
        <w:rPr>
          <w:rFonts w:cs="Arial"/>
          <w:bCs/>
        </w:rPr>
        <w:t xml:space="preserve">consult on </w:t>
      </w:r>
      <w:r w:rsidR="009802EB" w:rsidRPr="009802EB">
        <w:rPr>
          <w:rFonts w:cs="Arial"/>
          <w:bCs/>
        </w:rPr>
        <w:t xml:space="preserve">updated taxes based on the new </w:t>
      </w:r>
      <w:r w:rsidR="00A406C4">
        <w:rPr>
          <w:rFonts w:cs="Arial"/>
          <w:bCs/>
        </w:rPr>
        <w:t>population</w:t>
      </w:r>
      <w:r w:rsidR="005E294B">
        <w:rPr>
          <w:rFonts w:cs="Arial"/>
          <w:bCs/>
        </w:rPr>
        <w:t xml:space="preserve"> growth </w:t>
      </w:r>
      <w:r w:rsidR="009802EB" w:rsidRPr="009802EB">
        <w:rPr>
          <w:rFonts w:cs="Arial"/>
          <w:bCs/>
        </w:rPr>
        <w:t xml:space="preserve">methodology in </w:t>
      </w:r>
      <w:r w:rsidR="005B33BF">
        <w:rPr>
          <w:rFonts w:cs="Arial"/>
          <w:bCs/>
        </w:rPr>
        <w:t>Q4</w:t>
      </w:r>
      <w:r w:rsidR="009802EB" w:rsidRPr="009802EB">
        <w:rPr>
          <w:rFonts w:cs="Arial"/>
          <w:bCs/>
        </w:rPr>
        <w:t xml:space="preserve"> 202</w:t>
      </w:r>
      <w:r w:rsidR="005B33BF">
        <w:rPr>
          <w:rFonts w:cs="Arial"/>
          <w:bCs/>
        </w:rPr>
        <w:t>2</w:t>
      </w:r>
      <w:r w:rsidR="009802EB" w:rsidRPr="009802EB">
        <w:rPr>
          <w:rFonts w:cs="Arial"/>
          <w:bCs/>
        </w:rPr>
        <w:t xml:space="preserve">, for updated taxes to be implemented in April. </w:t>
      </w:r>
      <w:r w:rsidR="004F6FAE">
        <w:rPr>
          <w:rFonts w:cs="Arial"/>
          <w:bCs/>
        </w:rPr>
        <w:t xml:space="preserve">The </w:t>
      </w:r>
      <w:r w:rsidR="001B4AE9">
        <w:rPr>
          <w:rFonts w:cs="Arial"/>
          <w:bCs/>
        </w:rPr>
        <w:t xml:space="preserve">consultation will </w:t>
      </w:r>
      <w:r w:rsidR="00E1668A">
        <w:rPr>
          <w:rFonts w:cs="Arial"/>
          <w:bCs/>
        </w:rPr>
        <w:t xml:space="preserve">provide </w:t>
      </w:r>
      <w:r w:rsidR="003A6856">
        <w:rPr>
          <w:rFonts w:cs="Arial"/>
          <w:bCs/>
        </w:rPr>
        <w:t>licensee</w:t>
      </w:r>
      <w:r w:rsidR="002E3F4C">
        <w:rPr>
          <w:rFonts w:cs="Arial"/>
          <w:bCs/>
        </w:rPr>
        <w:t>s</w:t>
      </w:r>
      <w:r w:rsidR="00904404">
        <w:rPr>
          <w:rFonts w:cs="Arial"/>
          <w:bCs/>
        </w:rPr>
        <w:t xml:space="preserve"> with</w:t>
      </w:r>
      <w:r w:rsidR="00155EFA">
        <w:rPr>
          <w:rFonts w:cs="Arial"/>
          <w:bCs/>
        </w:rPr>
        <w:t xml:space="preserve"> more details about the intended approach</w:t>
      </w:r>
      <w:r w:rsidR="003F67DA">
        <w:rPr>
          <w:rFonts w:cs="Arial"/>
          <w:bCs/>
        </w:rPr>
        <w:t xml:space="preserve">. </w:t>
      </w:r>
      <w:r w:rsidR="009802EB" w:rsidRPr="009802EB">
        <w:rPr>
          <w:rFonts w:cs="Arial"/>
          <w:bCs/>
        </w:rPr>
        <w:t>Stakeholders are accustomed to this timeframe</w:t>
      </w:r>
      <w:r>
        <w:rPr>
          <w:rFonts w:cs="Arial"/>
          <w:bCs/>
        </w:rPr>
        <w:t>,</w:t>
      </w:r>
      <w:r w:rsidR="009802EB" w:rsidRPr="009802EB">
        <w:rPr>
          <w:rFonts w:cs="Arial"/>
          <w:bCs/>
        </w:rPr>
        <w:t xml:space="preserve"> consistent with </w:t>
      </w:r>
      <w:r w:rsidR="00852F1B">
        <w:rPr>
          <w:rFonts w:cs="Arial"/>
          <w:bCs/>
        </w:rPr>
        <w:t xml:space="preserve">CPI-based </w:t>
      </w:r>
      <w:r w:rsidR="009802EB" w:rsidRPr="009802EB">
        <w:rPr>
          <w:rFonts w:cs="Arial"/>
          <w:bCs/>
        </w:rPr>
        <w:t xml:space="preserve">annual tax updates in previous years. </w:t>
      </w:r>
    </w:p>
    <w:p w14:paraId="261300F3" w14:textId="4B8D95A2" w:rsidR="00812034" w:rsidRDefault="0004751A" w:rsidP="00E03E81">
      <w:pPr>
        <w:rPr>
          <w:rFonts w:cs="Arial"/>
          <w:bCs/>
        </w:rPr>
      </w:pPr>
      <w:r>
        <w:rPr>
          <w:rFonts w:cs="Arial"/>
          <w:bCs/>
        </w:rPr>
        <w:t xml:space="preserve">After these </w:t>
      </w:r>
      <w:r w:rsidR="0083522C">
        <w:rPr>
          <w:rFonts w:cs="Arial"/>
          <w:bCs/>
        </w:rPr>
        <w:t xml:space="preserve">reforms are implemented, </w:t>
      </w:r>
      <w:r w:rsidR="00DD3CEA">
        <w:rPr>
          <w:rFonts w:cs="Arial"/>
          <w:bCs/>
        </w:rPr>
        <w:t xml:space="preserve">we will </w:t>
      </w:r>
      <w:r w:rsidR="00475F25">
        <w:rPr>
          <w:rFonts w:cs="Arial"/>
          <w:bCs/>
        </w:rPr>
        <w:t xml:space="preserve">also </w:t>
      </w:r>
      <w:r w:rsidR="002033F9">
        <w:rPr>
          <w:rFonts w:cs="Arial"/>
          <w:bCs/>
        </w:rPr>
        <w:t xml:space="preserve">conduct periodic </w:t>
      </w:r>
      <w:r w:rsidR="002033F9" w:rsidRPr="001C4287">
        <w:rPr>
          <w:rFonts w:cs="Arial"/>
          <w:bCs/>
        </w:rPr>
        <w:t xml:space="preserve">reviews of bands </w:t>
      </w:r>
      <w:r w:rsidR="00CC0289" w:rsidRPr="001C4287">
        <w:rPr>
          <w:rFonts w:cs="Arial"/>
          <w:bCs/>
        </w:rPr>
        <w:t xml:space="preserve">to ensure that </w:t>
      </w:r>
      <w:r w:rsidR="00D919E4" w:rsidRPr="001C4287">
        <w:rPr>
          <w:rFonts w:cs="Arial"/>
          <w:bCs/>
        </w:rPr>
        <w:t xml:space="preserve">price levels remain appropriate </w:t>
      </w:r>
      <w:r w:rsidR="0083522C" w:rsidRPr="001C4287">
        <w:rPr>
          <w:rFonts w:cs="Arial"/>
          <w:bCs/>
        </w:rPr>
        <w:t>over time. For example</w:t>
      </w:r>
      <w:r w:rsidR="00167881">
        <w:rPr>
          <w:rFonts w:cs="Arial"/>
          <w:bCs/>
        </w:rPr>
        <w:t>,</w:t>
      </w:r>
      <w:r w:rsidR="0083522C" w:rsidRPr="001C4287">
        <w:rPr>
          <w:rFonts w:cs="Arial"/>
          <w:bCs/>
        </w:rPr>
        <w:t xml:space="preserve"> </w:t>
      </w:r>
      <w:r w:rsidR="00DD3CEA">
        <w:rPr>
          <w:rFonts w:cs="Arial"/>
          <w:bCs/>
        </w:rPr>
        <w:t>we have</w:t>
      </w:r>
      <w:r w:rsidR="00BF1CFD" w:rsidRPr="001C4287">
        <w:rPr>
          <w:rFonts w:cs="Arial"/>
          <w:bCs/>
        </w:rPr>
        <w:t xml:space="preserve"> not proceeded with the proposed </w:t>
      </w:r>
      <w:r w:rsidR="00D90116" w:rsidRPr="001C4287">
        <w:rPr>
          <w:rFonts w:cs="Arial"/>
          <w:bCs/>
        </w:rPr>
        <w:t>price rise in &gt;2690</w:t>
      </w:r>
      <w:r w:rsidR="00DD3CEA">
        <w:rPr>
          <w:rFonts w:cs="Arial"/>
          <w:bCs/>
        </w:rPr>
        <w:t xml:space="preserve"> to </w:t>
      </w:r>
      <w:r w:rsidR="00D90116" w:rsidRPr="001C4287">
        <w:rPr>
          <w:rFonts w:cs="Arial"/>
          <w:bCs/>
        </w:rPr>
        <w:t>5000 MHz</w:t>
      </w:r>
      <w:r w:rsidR="003A2028">
        <w:rPr>
          <w:rFonts w:cs="Arial"/>
          <w:bCs/>
        </w:rPr>
        <w:t xml:space="preserve"> fr</w:t>
      </w:r>
      <w:r w:rsidR="00EA07A1">
        <w:rPr>
          <w:rFonts w:cs="Arial"/>
          <w:bCs/>
        </w:rPr>
        <w:t>equency range</w:t>
      </w:r>
      <w:r w:rsidR="00D90116" w:rsidRPr="001C4287">
        <w:rPr>
          <w:rFonts w:cs="Arial"/>
          <w:bCs/>
        </w:rPr>
        <w:t xml:space="preserve">, </w:t>
      </w:r>
      <w:r w:rsidR="00A9295B" w:rsidRPr="001C4287">
        <w:rPr>
          <w:rFonts w:cs="Arial"/>
          <w:bCs/>
        </w:rPr>
        <w:t xml:space="preserve">but it may be prudent </w:t>
      </w:r>
      <w:r w:rsidR="00BB4184" w:rsidRPr="001C4287">
        <w:rPr>
          <w:rFonts w:cs="Arial"/>
          <w:bCs/>
        </w:rPr>
        <w:t xml:space="preserve">to conduct a </w:t>
      </w:r>
      <w:r w:rsidR="00D90116" w:rsidRPr="001C4287">
        <w:rPr>
          <w:rFonts w:cs="Arial"/>
          <w:bCs/>
        </w:rPr>
        <w:t xml:space="preserve">review </w:t>
      </w:r>
      <w:r w:rsidR="00D120CB" w:rsidRPr="001C4287">
        <w:rPr>
          <w:rFonts w:cs="Arial"/>
          <w:bCs/>
        </w:rPr>
        <w:t>of the band</w:t>
      </w:r>
      <w:r w:rsidR="00D90C26">
        <w:rPr>
          <w:rFonts w:cs="Arial"/>
          <w:bCs/>
        </w:rPr>
        <w:t xml:space="preserve"> following the outcomes of </w:t>
      </w:r>
      <w:r w:rsidR="00DC06E0">
        <w:rPr>
          <w:rFonts w:cs="Arial"/>
          <w:bCs/>
        </w:rPr>
        <w:t>the planned 3.4</w:t>
      </w:r>
      <w:r w:rsidR="00DD3CEA">
        <w:rPr>
          <w:rFonts w:cs="Arial"/>
          <w:bCs/>
        </w:rPr>
        <w:t>–</w:t>
      </w:r>
      <w:r w:rsidR="00DC06E0">
        <w:rPr>
          <w:rFonts w:cs="Arial"/>
          <w:bCs/>
        </w:rPr>
        <w:t xml:space="preserve">4.0 GHz allocation. </w:t>
      </w:r>
      <w:r w:rsidR="00DD3CEA">
        <w:rPr>
          <w:rFonts w:cs="Arial"/>
          <w:bCs/>
        </w:rPr>
        <w:t>We will</w:t>
      </w:r>
      <w:r w:rsidR="003823A3">
        <w:rPr>
          <w:rFonts w:cs="Arial"/>
          <w:bCs/>
        </w:rPr>
        <w:t xml:space="preserve"> outline </w:t>
      </w:r>
      <w:r w:rsidR="00DD3CEA">
        <w:rPr>
          <w:rFonts w:cs="Arial"/>
          <w:bCs/>
        </w:rPr>
        <w:t xml:space="preserve">our </w:t>
      </w:r>
      <w:r w:rsidR="003823A3">
        <w:rPr>
          <w:rFonts w:cs="Arial"/>
          <w:bCs/>
        </w:rPr>
        <w:t>proposed</w:t>
      </w:r>
      <w:r w:rsidR="00F30435">
        <w:rPr>
          <w:rFonts w:cs="Arial"/>
          <w:bCs/>
        </w:rPr>
        <w:t xml:space="preserve"> work plan for</w:t>
      </w:r>
      <w:r w:rsidR="004A20EE">
        <w:rPr>
          <w:rFonts w:cs="Arial"/>
          <w:bCs/>
        </w:rPr>
        <w:t xml:space="preserve"> these band reviews in the </w:t>
      </w:r>
      <w:r w:rsidR="00DD3CEA" w:rsidRPr="00D62D26">
        <w:rPr>
          <w:rFonts w:cs="Arial"/>
          <w:bCs/>
          <w:i/>
          <w:iCs/>
        </w:rPr>
        <w:t xml:space="preserve">Five-year spectrum outlook </w:t>
      </w:r>
      <w:r w:rsidR="004A20EE" w:rsidRPr="00D62D26">
        <w:rPr>
          <w:rFonts w:cs="Arial"/>
          <w:bCs/>
          <w:i/>
          <w:iCs/>
        </w:rPr>
        <w:t>2022</w:t>
      </w:r>
      <w:r w:rsidR="00DD3CEA" w:rsidRPr="00D62D26">
        <w:rPr>
          <w:rFonts w:cs="Arial"/>
          <w:bCs/>
          <w:i/>
          <w:iCs/>
        </w:rPr>
        <w:t>–</w:t>
      </w:r>
      <w:r w:rsidR="004A20EE" w:rsidRPr="00D62D26">
        <w:rPr>
          <w:rFonts w:cs="Arial"/>
          <w:bCs/>
          <w:i/>
          <w:iCs/>
        </w:rPr>
        <w:t>27</w:t>
      </w:r>
      <w:r w:rsidR="00090AAF">
        <w:rPr>
          <w:rFonts w:cs="Arial"/>
          <w:bCs/>
          <w:i/>
          <w:iCs/>
        </w:rPr>
        <w:t xml:space="preserve"> </w:t>
      </w:r>
      <w:r w:rsidR="00090AAF" w:rsidRPr="00D62D26">
        <w:rPr>
          <w:rFonts w:cs="Arial"/>
          <w:bCs/>
        </w:rPr>
        <w:t>(FYSO)</w:t>
      </w:r>
      <w:r w:rsidR="009F7ECA">
        <w:rPr>
          <w:rFonts w:cs="Arial"/>
          <w:bCs/>
        </w:rPr>
        <w:t>.</w:t>
      </w:r>
    </w:p>
    <w:p w14:paraId="020DBC8F" w14:textId="277476BA" w:rsidR="00274D24" w:rsidRPr="0084744D" w:rsidRDefault="00FD7C5F" w:rsidP="00D62D26">
      <w:pPr>
        <w:pStyle w:val="Heading4"/>
        <w:rPr>
          <w:iCs/>
        </w:rPr>
      </w:pPr>
      <w:r w:rsidRPr="00D62D26">
        <w:rPr>
          <w:i w:val="0"/>
          <w:iCs/>
        </w:rPr>
        <w:t xml:space="preserve">Outcomes of the </w:t>
      </w:r>
      <w:r w:rsidR="00CC0C43" w:rsidRPr="00D62D26">
        <w:rPr>
          <w:i w:val="0"/>
          <w:iCs/>
        </w:rPr>
        <w:t>i</w:t>
      </w:r>
      <w:r w:rsidR="0089088E" w:rsidRPr="00D62D26">
        <w:rPr>
          <w:i w:val="0"/>
          <w:iCs/>
        </w:rPr>
        <w:t>mplementation of the</w:t>
      </w:r>
      <w:r w:rsidRPr="00D62D26">
        <w:rPr>
          <w:i w:val="0"/>
          <w:iCs/>
        </w:rPr>
        <w:t xml:space="preserve"> Spectrum Pricing Review</w:t>
      </w:r>
    </w:p>
    <w:p w14:paraId="7A3F0453" w14:textId="1F60634F" w:rsidR="005B246A" w:rsidRDefault="00C6523E" w:rsidP="00AD5242">
      <w:r>
        <w:t>T</w:t>
      </w:r>
      <w:r w:rsidR="000501F6">
        <w:t>his outcomes paper</w:t>
      </w:r>
      <w:r>
        <w:t xml:space="preserve"> signals the end of</w:t>
      </w:r>
      <w:r w:rsidR="00442FE7">
        <w:t xml:space="preserve"> the</w:t>
      </w:r>
      <w:r>
        <w:t xml:space="preserve"> ACMA’s</w:t>
      </w:r>
      <w:r w:rsidR="00442FE7">
        <w:t xml:space="preserve"> implementation of the Spectrum Pricing Review process.</w:t>
      </w:r>
      <w:r w:rsidR="006854B5">
        <w:t xml:space="preserve"> We thank all submitters who provided submissions to the ACMA.</w:t>
      </w:r>
    </w:p>
    <w:p w14:paraId="697A03B7" w14:textId="40E80564" w:rsidR="005B3E85" w:rsidRPr="00D6729A" w:rsidRDefault="00CA4D06" w:rsidP="00FA52BA">
      <w:r>
        <w:t xml:space="preserve">This paper </w:t>
      </w:r>
      <w:r w:rsidR="001A5863">
        <w:t>also details the next steps for fu</w:t>
      </w:r>
      <w:r w:rsidR="00666317">
        <w:t>ture</w:t>
      </w:r>
      <w:r w:rsidR="001A5863">
        <w:t xml:space="preserve"> reform work regarding apparatus licences</w:t>
      </w:r>
      <w:r w:rsidR="00666317">
        <w:t xml:space="preserve"> and how stakeholders can </w:t>
      </w:r>
      <w:r w:rsidR="00FA52BA">
        <w:t xml:space="preserve">continue to keep engaged with </w:t>
      </w:r>
      <w:r w:rsidR="00C6523E">
        <w:t xml:space="preserve">us </w:t>
      </w:r>
      <w:r w:rsidR="00FA52BA">
        <w:t>throughout this process.</w:t>
      </w:r>
    </w:p>
    <w:p w14:paraId="25D59C2A" w14:textId="3D718C4D" w:rsidR="00AD2337" w:rsidRPr="00046DA5" w:rsidRDefault="00AD2337" w:rsidP="00350F1F">
      <w:pPr>
        <w:pStyle w:val="Heading1"/>
      </w:pPr>
      <w:bookmarkStart w:id="12" w:name="_Toc108088297"/>
      <w:r>
        <w:lastRenderedPageBreak/>
        <w:t>Response to</w:t>
      </w:r>
      <w:r w:rsidR="00CA616C">
        <w:t xml:space="preserve"> latest</w:t>
      </w:r>
      <w:r>
        <w:t xml:space="preserve"> </w:t>
      </w:r>
      <w:r w:rsidR="00B6210D">
        <w:t>submissions</w:t>
      </w:r>
      <w:bookmarkEnd w:id="12"/>
    </w:p>
    <w:p w14:paraId="49CF869A" w14:textId="61650AD3" w:rsidR="00036CB5" w:rsidRPr="00E671C3" w:rsidRDefault="00C6523E" w:rsidP="00270A53">
      <w:pPr>
        <w:pStyle w:val="Paragraph"/>
      </w:pPr>
      <w:r>
        <w:t xml:space="preserve">We </w:t>
      </w:r>
      <w:r w:rsidR="008D4D6D">
        <w:t xml:space="preserve">received </w:t>
      </w:r>
      <w:r w:rsidR="00F375F6">
        <w:t>10</w:t>
      </w:r>
      <w:r w:rsidR="008D4D6D">
        <w:t xml:space="preserve"> submissions to the </w:t>
      </w:r>
      <w:r w:rsidR="008D4D6D" w:rsidRPr="00270A53">
        <w:rPr>
          <w:i/>
          <w:iCs/>
        </w:rPr>
        <w:t>Response to Implementation of the Spectrum Pricing Review (part 2)</w:t>
      </w:r>
      <w:r>
        <w:t xml:space="preserve"> paper</w:t>
      </w:r>
      <w:r w:rsidR="00FB2581">
        <w:t xml:space="preserve"> from </w:t>
      </w:r>
      <w:r w:rsidR="00887445">
        <w:t xml:space="preserve">various industry sectors </w:t>
      </w:r>
      <w:r w:rsidR="005A6969">
        <w:t xml:space="preserve">such as the satellite industry, mobile network operators, </w:t>
      </w:r>
      <w:r w:rsidR="00386B99">
        <w:t>narrowcasters, and other interested bodies.</w:t>
      </w:r>
      <w:r w:rsidR="008D4D6D">
        <w:t xml:space="preserve"> </w:t>
      </w:r>
      <w:r w:rsidR="00036CB5">
        <w:t>The paper and a list of individual submissions can be viewed</w:t>
      </w:r>
      <w:r>
        <w:t xml:space="preserve"> on the </w:t>
      </w:r>
      <w:hyperlink r:id="rId32" w:history="1">
        <w:r w:rsidRPr="00C6523E">
          <w:rPr>
            <w:rStyle w:val="Hyperlink"/>
          </w:rPr>
          <w:t>ACMA website</w:t>
        </w:r>
      </w:hyperlink>
      <w:r w:rsidR="00036CB5" w:rsidRPr="00E671C3">
        <w:t>.</w:t>
      </w:r>
    </w:p>
    <w:p w14:paraId="1D7A7E8C" w14:textId="7C5D372F" w:rsidR="00D95FDC" w:rsidRDefault="008D4D6D" w:rsidP="00A95351">
      <w:pPr>
        <w:pStyle w:val="Paragraphbeforelist"/>
        <w:rPr>
          <w:bCs/>
        </w:rPr>
      </w:pPr>
      <w:r>
        <w:t xml:space="preserve">The paper </w:t>
      </w:r>
      <w:r w:rsidR="00FB2581">
        <w:rPr>
          <w:bCs/>
        </w:rPr>
        <w:t xml:space="preserve">invited comment on 10 questions </w:t>
      </w:r>
      <w:r w:rsidR="00D95FDC">
        <w:rPr>
          <w:bCs/>
        </w:rPr>
        <w:t xml:space="preserve">relating to the proposed second tranche of reforms, amendments to the first tranche of reforms, and </w:t>
      </w:r>
      <w:r w:rsidR="00271C9C">
        <w:rPr>
          <w:bCs/>
        </w:rPr>
        <w:t xml:space="preserve">any </w:t>
      </w:r>
      <w:r w:rsidR="00AE482D">
        <w:rPr>
          <w:bCs/>
        </w:rPr>
        <w:t xml:space="preserve">other pricing issues that submitters may wish to </w:t>
      </w:r>
      <w:r w:rsidR="00271C9C">
        <w:rPr>
          <w:bCs/>
        </w:rPr>
        <w:t xml:space="preserve">comment on. </w:t>
      </w:r>
      <w:r w:rsidR="00C6523E">
        <w:rPr>
          <w:bCs/>
        </w:rPr>
        <w:t>We</w:t>
      </w:r>
      <w:r w:rsidR="00271C9C">
        <w:rPr>
          <w:bCs/>
        </w:rPr>
        <w:t xml:space="preserve"> considered the submissions received</w:t>
      </w:r>
      <w:r w:rsidR="00F150D8">
        <w:rPr>
          <w:bCs/>
        </w:rPr>
        <w:t xml:space="preserve">, altered some initial proposals accordingly, and </w:t>
      </w:r>
      <w:r w:rsidR="00C6523E">
        <w:rPr>
          <w:bCs/>
        </w:rPr>
        <w:t xml:space="preserve">have </w:t>
      </w:r>
      <w:r w:rsidR="00F150D8">
        <w:rPr>
          <w:bCs/>
        </w:rPr>
        <w:t>provided responses to</w:t>
      </w:r>
      <w:r w:rsidR="00BA6B00">
        <w:rPr>
          <w:bCs/>
        </w:rPr>
        <w:t xml:space="preserve"> submitters’ comments in this section.</w:t>
      </w:r>
    </w:p>
    <w:p w14:paraId="33667EBD" w14:textId="2E3A91E1" w:rsidR="00AD2337" w:rsidRPr="00A54828" w:rsidRDefault="00E03B92" w:rsidP="00A81A81">
      <w:pPr>
        <w:pStyle w:val="Heading2"/>
      </w:pPr>
      <w:bookmarkStart w:id="13" w:name="_Toc108088298"/>
      <w:r>
        <w:t>Amalgamate the &gt;30 to 403 MHz range into a single band</w:t>
      </w:r>
      <w:bookmarkEnd w:id="13"/>
    </w:p>
    <w:p w14:paraId="3824EDFB" w14:textId="1402F069" w:rsidR="007E1723" w:rsidRDefault="00090076" w:rsidP="006A582A">
      <w:pPr>
        <w:pStyle w:val="Paragraph"/>
      </w:pPr>
      <w:r w:rsidRPr="77B20063">
        <w:t>An assessment of current total assignments within each location classification</w:t>
      </w:r>
      <w:r>
        <w:t xml:space="preserve"> showed</w:t>
      </w:r>
      <w:r w:rsidRPr="77B20063">
        <w:t xml:space="preserve"> that the total number of assignments in the &gt;30 to 70 MHz </w:t>
      </w:r>
      <w:r w:rsidRPr="007D6758">
        <w:t>range</w:t>
      </w:r>
      <w:r w:rsidR="00FB1BF4">
        <w:t xml:space="preserve"> </w:t>
      </w:r>
      <w:r w:rsidRPr="007D6758">
        <w:t xml:space="preserve">and the &gt;399.9 to 403 MHz range </w:t>
      </w:r>
      <w:r w:rsidR="00FB1BF4">
        <w:t>were</w:t>
      </w:r>
      <w:r>
        <w:t xml:space="preserve"> much lower than neighbouring bands</w:t>
      </w:r>
      <w:r w:rsidR="00FB1BF4">
        <w:t>. Further</w:t>
      </w:r>
      <w:r w:rsidR="007E4B19">
        <w:t>more, the weightings for these bands differed only marginally from the location weightings for the &gt;70 to 399.9 MHz range.</w:t>
      </w:r>
      <w:r w:rsidR="000F12CB">
        <w:t xml:space="preserve"> A </w:t>
      </w:r>
      <w:r w:rsidR="00871500">
        <w:t xml:space="preserve">summary of the </w:t>
      </w:r>
      <w:r w:rsidR="00F751E1">
        <w:t xml:space="preserve">affected </w:t>
      </w:r>
      <w:r w:rsidR="00B26E89">
        <w:t xml:space="preserve">location weightings </w:t>
      </w:r>
      <w:r w:rsidR="00C6523E">
        <w:t>before</w:t>
      </w:r>
      <w:r w:rsidR="00B26E89">
        <w:t xml:space="preserve"> the </w:t>
      </w:r>
      <w:r w:rsidR="00D707E2">
        <w:t>changes i</w:t>
      </w:r>
      <w:r w:rsidR="00B26E89">
        <w:t xml:space="preserve">s shown </w:t>
      </w:r>
      <w:r w:rsidR="00C6523E">
        <w:t>in Table 1</w:t>
      </w:r>
      <w:r w:rsidR="00B26E89">
        <w:t>.</w:t>
      </w:r>
    </w:p>
    <w:p w14:paraId="52A6751C" w14:textId="53907EC8" w:rsidR="007E1723" w:rsidRPr="002507F5" w:rsidRDefault="002507F5" w:rsidP="00330389">
      <w:pPr>
        <w:pStyle w:val="Tableheading"/>
      </w:pPr>
      <w:r w:rsidRPr="002507F5">
        <w:t>Current location weightings for the &gt;30 to 403 MHz spectrum location</w:t>
      </w:r>
    </w:p>
    <w:tbl>
      <w:tblPr>
        <w:tblW w:w="7500" w:type="dxa"/>
        <w:tblLook w:val="04A0" w:firstRow="1" w:lastRow="0" w:firstColumn="1" w:lastColumn="0" w:noHBand="0" w:noVBand="1"/>
      </w:tblPr>
      <w:tblGrid>
        <w:gridCol w:w="2100"/>
        <w:gridCol w:w="1322"/>
        <w:gridCol w:w="924"/>
        <w:gridCol w:w="1131"/>
        <w:gridCol w:w="924"/>
        <w:gridCol w:w="1099"/>
      </w:tblGrid>
      <w:tr w:rsidR="00B26E89" w:rsidRPr="00B26E89" w14:paraId="598AD3EB" w14:textId="77777777" w:rsidTr="00B26E89">
        <w:trPr>
          <w:trHeight w:val="287"/>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157C5FB0" w14:textId="3867A5C5" w:rsidR="00B26E89" w:rsidRPr="00B26E89" w:rsidRDefault="00B26E89" w:rsidP="00B26E89">
            <w:pPr>
              <w:spacing w:after="0" w:line="240" w:lineRule="auto"/>
              <w:rPr>
                <w:rFonts w:cs="Arial"/>
                <w:b/>
                <w:bCs/>
                <w:color w:val="FFFFFF"/>
                <w:sz w:val="18"/>
                <w:szCs w:val="18"/>
              </w:rPr>
            </w:pPr>
            <w:r w:rsidRPr="00B26E89">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5F6FA7F2" w14:textId="77777777" w:rsidR="00B26E89" w:rsidRPr="00B26E89" w:rsidRDefault="00B26E89" w:rsidP="00B26E89">
            <w:pPr>
              <w:spacing w:after="0" w:line="240" w:lineRule="auto"/>
              <w:jc w:val="center"/>
              <w:rPr>
                <w:rFonts w:cs="Arial"/>
                <w:b/>
                <w:bCs/>
                <w:color w:val="FFFFFF"/>
                <w:sz w:val="18"/>
                <w:szCs w:val="18"/>
              </w:rPr>
            </w:pPr>
            <w:r w:rsidRPr="00B26E89">
              <w:rPr>
                <w:rFonts w:cs="Arial"/>
                <w:b/>
                <w:bCs/>
                <w:color w:val="FFFFFF"/>
                <w:sz w:val="18"/>
                <w:szCs w:val="18"/>
              </w:rPr>
              <w:t>Geographic location</w:t>
            </w:r>
          </w:p>
        </w:tc>
      </w:tr>
      <w:tr w:rsidR="00B26E89" w:rsidRPr="00B26E89" w14:paraId="7FE8B9A6" w14:textId="77777777" w:rsidTr="00B26E89">
        <w:trPr>
          <w:trHeight w:val="287"/>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3DF0B284" w14:textId="77777777" w:rsidR="00B26E89" w:rsidRPr="00B26E89" w:rsidRDefault="00B26E89" w:rsidP="00B26E89">
            <w:pPr>
              <w:spacing w:after="0" w:line="240" w:lineRule="auto"/>
              <w:rPr>
                <w:rFonts w:cs="Arial"/>
                <w:b/>
                <w:bCs/>
                <w:color w:val="FFFFFF"/>
                <w:sz w:val="18"/>
                <w:szCs w:val="18"/>
              </w:rPr>
            </w:pPr>
            <w:r w:rsidRPr="00B26E89">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55FD4B1E" w14:textId="235646A7" w:rsidR="00B26E89" w:rsidRPr="00B26E89" w:rsidRDefault="00B26E89" w:rsidP="00330389">
            <w:pPr>
              <w:spacing w:after="0" w:line="240" w:lineRule="auto"/>
              <w:jc w:val="right"/>
              <w:rPr>
                <w:rFonts w:cs="Arial"/>
                <w:b/>
                <w:bCs/>
                <w:color w:val="FFFFFF"/>
                <w:sz w:val="18"/>
                <w:szCs w:val="18"/>
              </w:rPr>
            </w:pPr>
            <w:r w:rsidRPr="00B26E89">
              <w:rPr>
                <w:rFonts w:cs="Arial"/>
                <w:b/>
                <w:bCs/>
                <w:color w:val="FFFFFF"/>
                <w:sz w:val="18"/>
                <w:szCs w:val="18"/>
              </w:rPr>
              <w:t>Aus</w:t>
            </w:r>
            <w:r w:rsidR="00C6523E">
              <w:rPr>
                <w:rFonts w:cs="Arial"/>
                <w:b/>
                <w:bCs/>
                <w:color w:val="FFFFFF"/>
                <w:sz w:val="18"/>
                <w:szCs w:val="18"/>
              </w:rPr>
              <w:t>tralia</w:t>
            </w:r>
            <w:r w:rsidRPr="00B26E89">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71379D94" w14:textId="77777777" w:rsidR="00B26E89" w:rsidRPr="00B26E89" w:rsidRDefault="00B26E89" w:rsidP="00330389">
            <w:pPr>
              <w:spacing w:after="0" w:line="240" w:lineRule="auto"/>
              <w:jc w:val="right"/>
              <w:rPr>
                <w:rFonts w:cs="Arial"/>
                <w:b/>
                <w:bCs/>
                <w:color w:val="FFFFFF"/>
                <w:sz w:val="18"/>
                <w:szCs w:val="18"/>
              </w:rPr>
            </w:pPr>
            <w:r w:rsidRPr="00B26E89">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7DA5353E" w14:textId="77777777" w:rsidR="00B26E89" w:rsidRPr="00B26E89" w:rsidRDefault="00B26E89" w:rsidP="00330389">
            <w:pPr>
              <w:spacing w:after="0" w:line="240" w:lineRule="auto"/>
              <w:jc w:val="right"/>
              <w:rPr>
                <w:rFonts w:cs="Arial"/>
                <w:b/>
                <w:bCs/>
                <w:color w:val="FFFFFF"/>
                <w:sz w:val="18"/>
                <w:szCs w:val="18"/>
              </w:rPr>
            </w:pPr>
            <w:r w:rsidRPr="00B26E89">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45F87CBD" w14:textId="77777777" w:rsidR="00B26E89" w:rsidRPr="00B26E89" w:rsidRDefault="00B26E89" w:rsidP="00330389">
            <w:pPr>
              <w:spacing w:after="0" w:line="240" w:lineRule="auto"/>
              <w:jc w:val="right"/>
              <w:rPr>
                <w:rFonts w:cs="Arial"/>
                <w:b/>
                <w:bCs/>
                <w:color w:val="FFFFFF"/>
                <w:sz w:val="18"/>
                <w:szCs w:val="18"/>
              </w:rPr>
            </w:pPr>
            <w:r w:rsidRPr="00B26E89">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68D64A2E" w14:textId="77777777" w:rsidR="00B26E89" w:rsidRPr="00B26E89" w:rsidRDefault="00B26E89" w:rsidP="00330389">
            <w:pPr>
              <w:spacing w:after="0" w:line="240" w:lineRule="auto"/>
              <w:jc w:val="right"/>
              <w:rPr>
                <w:rFonts w:cs="Arial"/>
                <w:b/>
                <w:bCs/>
                <w:color w:val="FFFFFF"/>
                <w:sz w:val="18"/>
                <w:szCs w:val="18"/>
              </w:rPr>
            </w:pPr>
            <w:r w:rsidRPr="00B26E89">
              <w:rPr>
                <w:rFonts w:cs="Arial"/>
                <w:b/>
                <w:bCs/>
                <w:color w:val="FFFFFF"/>
                <w:sz w:val="18"/>
                <w:szCs w:val="18"/>
              </w:rPr>
              <w:t>Remote</w:t>
            </w:r>
          </w:p>
        </w:tc>
      </w:tr>
      <w:tr w:rsidR="00B26E89" w:rsidRPr="00B26E89" w14:paraId="7EFA681D" w14:textId="77777777" w:rsidTr="00B26E89">
        <w:trPr>
          <w:trHeight w:val="287"/>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1E270793" w14:textId="77777777" w:rsidR="00B26E89" w:rsidRPr="00B26E89" w:rsidRDefault="00B26E89" w:rsidP="00B26E89">
            <w:pPr>
              <w:spacing w:after="0" w:line="240" w:lineRule="auto"/>
              <w:rPr>
                <w:rFonts w:cs="Arial"/>
                <w:color w:val="000000"/>
                <w:sz w:val="18"/>
                <w:szCs w:val="18"/>
              </w:rPr>
            </w:pPr>
            <w:r w:rsidRPr="00B26E89">
              <w:rPr>
                <w:rFonts w:cs="Arial"/>
                <w:color w:val="000000"/>
                <w:sz w:val="18"/>
                <w:szCs w:val="18"/>
              </w:rPr>
              <w:t>&gt;30 to 70 MHz</w:t>
            </w:r>
          </w:p>
        </w:tc>
        <w:tc>
          <w:tcPr>
            <w:tcW w:w="1322" w:type="dxa"/>
            <w:tcBorders>
              <w:top w:val="nil"/>
              <w:left w:val="nil"/>
              <w:bottom w:val="single" w:sz="8" w:space="0" w:color="auto"/>
              <w:right w:val="single" w:sz="8" w:space="0" w:color="auto"/>
            </w:tcBorders>
            <w:shd w:val="clear" w:color="auto" w:fill="auto"/>
            <w:noWrap/>
            <w:vAlign w:val="center"/>
            <w:hideMark/>
          </w:tcPr>
          <w:p w14:paraId="5A5A4607"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9.7470</w:t>
            </w:r>
          </w:p>
        </w:tc>
        <w:tc>
          <w:tcPr>
            <w:tcW w:w="924" w:type="dxa"/>
            <w:tcBorders>
              <w:top w:val="nil"/>
              <w:left w:val="nil"/>
              <w:bottom w:val="single" w:sz="8" w:space="0" w:color="auto"/>
              <w:right w:val="single" w:sz="8" w:space="0" w:color="auto"/>
            </w:tcBorders>
            <w:shd w:val="clear" w:color="auto" w:fill="auto"/>
            <w:noWrap/>
            <w:vAlign w:val="center"/>
            <w:hideMark/>
          </w:tcPr>
          <w:p w14:paraId="543D5A27"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3.8070</w:t>
            </w:r>
          </w:p>
        </w:tc>
        <w:tc>
          <w:tcPr>
            <w:tcW w:w="1131" w:type="dxa"/>
            <w:tcBorders>
              <w:top w:val="nil"/>
              <w:left w:val="nil"/>
              <w:bottom w:val="single" w:sz="8" w:space="0" w:color="auto"/>
              <w:right w:val="single" w:sz="8" w:space="0" w:color="auto"/>
            </w:tcBorders>
            <w:shd w:val="clear" w:color="auto" w:fill="auto"/>
            <w:noWrap/>
            <w:vAlign w:val="center"/>
            <w:hideMark/>
          </w:tcPr>
          <w:p w14:paraId="50B85B51"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2.0250</w:t>
            </w:r>
          </w:p>
        </w:tc>
        <w:tc>
          <w:tcPr>
            <w:tcW w:w="924" w:type="dxa"/>
            <w:tcBorders>
              <w:top w:val="nil"/>
              <w:left w:val="nil"/>
              <w:bottom w:val="single" w:sz="8" w:space="0" w:color="auto"/>
              <w:right w:val="single" w:sz="8" w:space="0" w:color="auto"/>
            </w:tcBorders>
            <w:shd w:val="clear" w:color="auto" w:fill="auto"/>
            <w:noWrap/>
            <w:vAlign w:val="center"/>
            <w:hideMark/>
          </w:tcPr>
          <w:p w14:paraId="4B940166"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0.4370</w:t>
            </w:r>
          </w:p>
        </w:tc>
        <w:tc>
          <w:tcPr>
            <w:tcW w:w="1099" w:type="dxa"/>
            <w:tcBorders>
              <w:top w:val="nil"/>
              <w:left w:val="nil"/>
              <w:bottom w:val="single" w:sz="8" w:space="0" w:color="auto"/>
              <w:right w:val="single" w:sz="8" w:space="0" w:color="auto"/>
            </w:tcBorders>
            <w:shd w:val="clear" w:color="auto" w:fill="auto"/>
            <w:noWrap/>
            <w:vAlign w:val="center"/>
            <w:hideMark/>
          </w:tcPr>
          <w:p w14:paraId="08069122"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0.2180</w:t>
            </w:r>
          </w:p>
        </w:tc>
      </w:tr>
      <w:tr w:rsidR="00B26E89" w:rsidRPr="00B26E89" w14:paraId="538423DA" w14:textId="77777777" w:rsidTr="00B26E89">
        <w:trPr>
          <w:trHeight w:val="287"/>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67792B86" w14:textId="77777777" w:rsidR="00B26E89" w:rsidRPr="00B26E89" w:rsidRDefault="00B26E89" w:rsidP="00B26E89">
            <w:pPr>
              <w:spacing w:after="0" w:line="240" w:lineRule="auto"/>
              <w:rPr>
                <w:rFonts w:cs="Arial"/>
                <w:color w:val="000000"/>
                <w:sz w:val="18"/>
                <w:szCs w:val="18"/>
              </w:rPr>
            </w:pPr>
            <w:r w:rsidRPr="00B26E89">
              <w:rPr>
                <w:rFonts w:cs="Arial"/>
                <w:color w:val="000000"/>
                <w:sz w:val="18"/>
                <w:szCs w:val="18"/>
              </w:rPr>
              <w:t>&gt;70 to 399.9 MHz</w:t>
            </w:r>
          </w:p>
        </w:tc>
        <w:tc>
          <w:tcPr>
            <w:tcW w:w="1322" w:type="dxa"/>
            <w:tcBorders>
              <w:top w:val="nil"/>
              <w:left w:val="nil"/>
              <w:bottom w:val="single" w:sz="8" w:space="0" w:color="auto"/>
              <w:right w:val="single" w:sz="8" w:space="0" w:color="auto"/>
            </w:tcBorders>
            <w:shd w:val="clear" w:color="auto" w:fill="auto"/>
            <w:noWrap/>
            <w:vAlign w:val="center"/>
            <w:hideMark/>
          </w:tcPr>
          <w:p w14:paraId="2E87B1C9"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10.0000</w:t>
            </w:r>
          </w:p>
        </w:tc>
        <w:tc>
          <w:tcPr>
            <w:tcW w:w="924" w:type="dxa"/>
            <w:tcBorders>
              <w:top w:val="nil"/>
              <w:left w:val="nil"/>
              <w:bottom w:val="single" w:sz="8" w:space="0" w:color="auto"/>
              <w:right w:val="single" w:sz="8" w:space="0" w:color="auto"/>
            </w:tcBorders>
            <w:shd w:val="clear" w:color="auto" w:fill="auto"/>
            <w:noWrap/>
            <w:vAlign w:val="center"/>
            <w:hideMark/>
          </w:tcPr>
          <w:p w14:paraId="26BC3A65"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4.1040</w:t>
            </w:r>
          </w:p>
        </w:tc>
        <w:tc>
          <w:tcPr>
            <w:tcW w:w="1131" w:type="dxa"/>
            <w:tcBorders>
              <w:top w:val="nil"/>
              <w:left w:val="nil"/>
              <w:bottom w:val="single" w:sz="8" w:space="0" w:color="auto"/>
              <w:right w:val="single" w:sz="8" w:space="0" w:color="auto"/>
            </w:tcBorders>
            <w:shd w:val="clear" w:color="auto" w:fill="auto"/>
            <w:noWrap/>
            <w:vAlign w:val="center"/>
            <w:hideMark/>
          </w:tcPr>
          <w:p w14:paraId="1E190E62"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1.8780</w:t>
            </w:r>
          </w:p>
        </w:tc>
        <w:tc>
          <w:tcPr>
            <w:tcW w:w="924" w:type="dxa"/>
            <w:tcBorders>
              <w:top w:val="nil"/>
              <w:left w:val="nil"/>
              <w:bottom w:val="single" w:sz="8" w:space="0" w:color="auto"/>
              <w:right w:val="single" w:sz="8" w:space="0" w:color="auto"/>
            </w:tcBorders>
            <w:shd w:val="clear" w:color="auto" w:fill="auto"/>
            <w:noWrap/>
            <w:vAlign w:val="center"/>
            <w:hideMark/>
          </w:tcPr>
          <w:p w14:paraId="42498956"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0.4210</w:t>
            </w:r>
          </w:p>
        </w:tc>
        <w:tc>
          <w:tcPr>
            <w:tcW w:w="1099" w:type="dxa"/>
            <w:tcBorders>
              <w:top w:val="nil"/>
              <w:left w:val="nil"/>
              <w:bottom w:val="single" w:sz="8" w:space="0" w:color="auto"/>
              <w:right w:val="single" w:sz="8" w:space="0" w:color="auto"/>
            </w:tcBorders>
            <w:shd w:val="clear" w:color="auto" w:fill="auto"/>
            <w:noWrap/>
            <w:vAlign w:val="center"/>
            <w:hideMark/>
          </w:tcPr>
          <w:p w14:paraId="1A2689E0"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0.2100</w:t>
            </w:r>
          </w:p>
        </w:tc>
      </w:tr>
      <w:tr w:rsidR="00B26E89" w:rsidRPr="00B26E89" w14:paraId="79A160B2" w14:textId="77777777" w:rsidTr="00B26E89">
        <w:trPr>
          <w:trHeight w:val="287"/>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0F6034FF" w14:textId="77777777" w:rsidR="00B26E89" w:rsidRPr="00B26E89" w:rsidRDefault="00B26E89" w:rsidP="00B26E89">
            <w:pPr>
              <w:spacing w:after="0" w:line="240" w:lineRule="auto"/>
              <w:rPr>
                <w:rFonts w:cs="Arial"/>
                <w:color w:val="000000"/>
                <w:sz w:val="18"/>
                <w:szCs w:val="18"/>
              </w:rPr>
            </w:pPr>
            <w:r w:rsidRPr="00B26E89">
              <w:rPr>
                <w:rFonts w:cs="Arial"/>
                <w:color w:val="000000"/>
                <w:sz w:val="18"/>
                <w:szCs w:val="18"/>
              </w:rPr>
              <w:t>&gt;399.9 to 403 MHz</w:t>
            </w:r>
          </w:p>
        </w:tc>
        <w:tc>
          <w:tcPr>
            <w:tcW w:w="1322" w:type="dxa"/>
            <w:tcBorders>
              <w:top w:val="nil"/>
              <w:left w:val="nil"/>
              <w:bottom w:val="single" w:sz="8" w:space="0" w:color="auto"/>
              <w:right w:val="single" w:sz="8" w:space="0" w:color="auto"/>
            </w:tcBorders>
            <w:shd w:val="clear" w:color="auto" w:fill="auto"/>
            <w:noWrap/>
            <w:vAlign w:val="center"/>
            <w:hideMark/>
          </w:tcPr>
          <w:p w14:paraId="78DDC318"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10.0000</w:t>
            </w:r>
          </w:p>
        </w:tc>
        <w:tc>
          <w:tcPr>
            <w:tcW w:w="924" w:type="dxa"/>
            <w:tcBorders>
              <w:top w:val="nil"/>
              <w:left w:val="nil"/>
              <w:bottom w:val="single" w:sz="8" w:space="0" w:color="auto"/>
              <w:right w:val="single" w:sz="8" w:space="0" w:color="auto"/>
            </w:tcBorders>
            <w:shd w:val="clear" w:color="auto" w:fill="auto"/>
            <w:noWrap/>
            <w:vAlign w:val="center"/>
            <w:hideMark/>
          </w:tcPr>
          <w:p w14:paraId="6E927337"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5.6000</w:t>
            </w:r>
          </w:p>
        </w:tc>
        <w:tc>
          <w:tcPr>
            <w:tcW w:w="1131" w:type="dxa"/>
            <w:tcBorders>
              <w:top w:val="nil"/>
              <w:left w:val="nil"/>
              <w:bottom w:val="single" w:sz="8" w:space="0" w:color="auto"/>
              <w:right w:val="single" w:sz="8" w:space="0" w:color="auto"/>
            </w:tcBorders>
            <w:shd w:val="clear" w:color="auto" w:fill="auto"/>
            <w:noWrap/>
            <w:vAlign w:val="center"/>
            <w:hideMark/>
          </w:tcPr>
          <w:p w14:paraId="035AFCCB"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2.5620</w:t>
            </w:r>
          </w:p>
        </w:tc>
        <w:tc>
          <w:tcPr>
            <w:tcW w:w="924" w:type="dxa"/>
            <w:tcBorders>
              <w:top w:val="nil"/>
              <w:left w:val="nil"/>
              <w:bottom w:val="single" w:sz="8" w:space="0" w:color="auto"/>
              <w:right w:val="single" w:sz="8" w:space="0" w:color="auto"/>
            </w:tcBorders>
            <w:shd w:val="clear" w:color="auto" w:fill="auto"/>
            <w:noWrap/>
            <w:vAlign w:val="center"/>
            <w:hideMark/>
          </w:tcPr>
          <w:p w14:paraId="54A0BC4E"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0.4370</w:t>
            </w:r>
          </w:p>
        </w:tc>
        <w:tc>
          <w:tcPr>
            <w:tcW w:w="1099" w:type="dxa"/>
            <w:tcBorders>
              <w:top w:val="nil"/>
              <w:left w:val="nil"/>
              <w:bottom w:val="single" w:sz="8" w:space="0" w:color="auto"/>
              <w:right w:val="single" w:sz="8" w:space="0" w:color="auto"/>
            </w:tcBorders>
            <w:shd w:val="clear" w:color="auto" w:fill="auto"/>
            <w:noWrap/>
            <w:vAlign w:val="center"/>
            <w:hideMark/>
          </w:tcPr>
          <w:p w14:paraId="3564DDE5" w14:textId="77777777" w:rsidR="00B26E89" w:rsidRPr="00B26E89" w:rsidRDefault="00B26E89" w:rsidP="00B26E89">
            <w:pPr>
              <w:spacing w:after="0" w:line="240" w:lineRule="auto"/>
              <w:jc w:val="right"/>
              <w:rPr>
                <w:rFonts w:cs="Arial"/>
                <w:color w:val="000000"/>
                <w:sz w:val="18"/>
                <w:szCs w:val="18"/>
              </w:rPr>
            </w:pPr>
            <w:r w:rsidRPr="00B26E89">
              <w:rPr>
                <w:rFonts w:cs="Arial"/>
                <w:color w:val="000000"/>
                <w:sz w:val="18"/>
                <w:szCs w:val="18"/>
              </w:rPr>
              <w:t>0.2180</w:t>
            </w:r>
          </w:p>
        </w:tc>
      </w:tr>
    </w:tbl>
    <w:p w14:paraId="607A1870" w14:textId="77A608C5" w:rsidR="00EA5730" w:rsidRDefault="00D707E2" w:rsidP="006B5DF0">
      <w:pPr>
        <w:pStyle w:val="Paragraph"/>
      </w:pPr>
      <w:r>
        <w:br/>
      </w:r>
      <w:r w:rsidR="006B5DF0">
        <w:t xml:space="preserve">Consequently, </w:t>
      </w:r>
      <w:r w:rsidR="00C6523E">
        <w:t xml:space="preserve">we </w:t>
      </w:r>
      <w:r w:rsidR="006B5DF0">
        <w:t xml:space="preserve">proposed to simplify the table by </w:t>
      </w:r>
      <w:r w:rsidR="00F927D6">
        <w:t xml:space="preserve">amalgamating the </w:t>
      </w:r>
      <w:r w:rsidR="00C6523E">
        <w:t xml:space="preserve">3 </w:t>
      </w:r>
      <w:r w:rsidR="00F927D6">
        <w:t>spectrum locations &gt;30 to 70 MHz, &gt;70 to 399.9 MHz, and &gt;399.9 to 403 MHz into a single</w:t>
      </w:r>
      <w:r w:rsidR="006B5DF0">
        <w:t xml:space="preserve"> spectrum locati</w:t>
      </w:r>
      <w:r w:rsidR="00F927D6">
        <w:t xml:space="preserve">on. </w:t>
      </w:r>
      <w:r w:rsidR="00DC1771">
        <w:t xml:space="preserve">This was proposed to be done by taking the lowest location weighting from the </w:t>
      </w:r>
      <w:r w:rsidR="00C6523E">
        <w:t xml:space="preserve">3 </w:t>
      </w:r>
      <w:r w:rsidR="0012421F">
        <w:t xml:space="preserve">original </w:t>
      </w:r>
      <w:r w:rsidR="00DC1771">
        <w:t>spectrum locations for each geographic location as the location weighting for the new amalgamated spectrum location. A summary of the</w:t>
      </w:r>
      <w:r w:rsidR="00957FD6">
        <w:t xml:space="preserve"> location weightings resulting from the proposed changes i</w:t>
      </w:r>
      <w:r w:rsidR="00D7479F">
        <w:t>s</w:t>
      </w:r>
      <w:r w:rsidR="00957FD6">
        <w:t xml:space="preserve"> shown </w:t>
      </w:r>
      <w:r w:rsidR="0012421F">
        <w:t>in Table 2</w:t>
      </w:r>
      <w:r w:rsidR="00957FD6">
        <w:t>.</w:t>
      </w:r>
    </w:p>
    <w:p w14:paraId="0219D034" w14:textId="391BB29B" w:rsidR="002507F5" w:rsidRPr="002507F5" w:rsidRDefault="002507F5" w:rsidP="00330389">
      <w:pPr>
        <w:pStyle w:val="Tableheading"/>
      </w:pPr>
      <w:r>
        <w:t xml:space="preserve">Proposed </w:t>
      </w:r>
      <w:r w:rsidRPr="002507F5">
        <w:t>location weightings for the &gt;30 to 403 MHz spectrum location</w:t>
      </w:r>
    </w:p>
    <w:tbl>
      <w:tblPr>
        <w:tblW w:w="7500" w:type="dxa"/>
        <w:tblLook w:val="04A0" w:firstRow="1" w:lastRow="0" w:firstColumn="1" w:lastColumn="0" w:noHBand="0" w:noVBand="1"/>
      </w:tblPr>
      <w:tblGrid>
        <w:gridCol w:w="2100"/>
        <w:gridCol w:w="1322"/>
        <w:gridCol w:w="924"/>
        <w:gridCol w:w="1131"/>
        <w:gridCol w:w="924"/>
        <w:gridCol w:w="1099"/>
      </w:tblGrid>
      <w:tr w:rsidR="00957FD6" w:rsidRPr="00957FD6" w14:paraId="32E4B9BF" w14:textId="77777777" w:rsidTr="00957FD6">
        <w:trPr>
          <w:trHeight w:val="293"/>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2DB78EF5" w14:textId="77777777" w:rsidR="00957FD6" w:rsidRPr="00957FD6" w:rsidRDefault="00957FD6" w:rsidP="00957FD6">
            <w:pPr>
              <w:spacing w:after="0" w:line="240" w:lineRule="auto"/>
              <w:rPr>
                <w:rFonts w:cs="Arial"/>
                <w:b/>
                <w:bCs/>
                <w:color w:val="FFFFFF"/>
                <w:sz w:val="18"/>
                <w:szCs w:val="18"/>
              </w:rPr>
            </w:pPr>
            <w:r w:rsidRPr="00957FD6">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75F42963" w14:textId="77777777" w:rsidR="00957FD6" w:rsidRPr="00957FD6" w:rsidRDefault="00957FD6" w:rsidP="00957FD6">
            <w:pPr>
              <w:spacing w:after="0" w:line="240" w:lineRule="auto"/>
              <w:jc w:val="center"/>
              <w:rPr>
                <w:rFonts w:cs="Arial"/>
                <w:b/>
                <w:bCs/>
                <w:color w:val="FFFFFF"/>
                <w:sz w:val="18"/>
                <w:szCs w:val="18"/>
              </w:rPr>
            </w:pPr>
            <w:r w:rsidRPr="00957FD6">
              <w:rPr>
                <w:rFonts w:cs="Arial"/>
                <w:b/>
                <w:bCs/>
                <w:color w:val="FFFFFF"/>
                <w:sz w:val="18"/>
                <w:szCs w:val="18"/>
              </w:rPr>
              <w:t>Geographic location</w:t>
            </w:r>
          </w:p>
        </w:tc>
      </w:tr>
      <w:tr w:rsidR="00957FD6" w:rsidRPr="00957FD6" w14:paraId="0618479A" w14:textId="77777777" w:rsidTr="00957FD6">
        <w:trPr>
          <w:trHeight w:val="293"/>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0BB694C1" w14:textId="77777777" w:rsidR="00957FD6" w:rsidRPr="00957FD6" w:rsidRDefault="00957FD6" w:rsidP="00957FD6">
            <w:pPr>
              <w:spacing w:after="0" w:line="240" w:lineRule="auto"/>
              <w:rPr>
                <w:rFonts w:cs="Arial"/>
                <w:b/>
                <w:bCs/>
                <w:color w:val="FFFFFF"/>
                <w:sz w:val="18"/>
                <w:szCs w:val="18"/>
              </w:rPr>
            </w:pPr>
            <w:r w:rsidRPr="00957FD6">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767564B6" w14:textId="3F041F15" w:rsidR="00957FD6" w:rsidRPr="00957FD6" w:rsidRDefault="00957FD6" w:rsidP="00330389">
            <w:pPr>
              <w:spacing w:after="0" w:line="240" w:lineRule="auto"/>
              <w:jc w:val="right"/>
              <w:rPr>
                <w:rFonts w:cs="Arial"/>
                <w:b/>
                <w:bCs/>
                <w:color w:val="FFFFFF"/>
                <w:sz w:val="18"/>
                <w:szCs w:val="18"/>
              </w:rPr>
            </w:pPr>
            <w:r w:rsidRPr="00957FD6">
              <w:rPr>
                <w:rFonts w:cs="Arial"/>
                <w:b/>
                <w:bCs/>
                <w:color w:val="FFFFFF"/>
                <w:sz w:val="18"/>
                <w:szCs w:val="18"/>
              </w:rPr>
              <w:t>Aus</w:t>
            </w:r>
            <w:r w:rsidR="0012421F">
              <w:rPr>
                <w:rFonts w:cs="Arial"/>
                <w:b/>
                <w:bCs/>
                <w:color w:val="FFFFFF"/>
                <w:sz w:val="18"/>
                <w:szCs w:val="18"/>
              </w:rPr>
              <w:t>tralia</w:t>
            </w:r>
            <w:r w:rsidRPr="00957FD6">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10A58797" w14:textId="77777777" w:rsidR="00957FD6" w:rsidRPr="00957FD6" w:rsidRDefault="00957FD6" w:rsidP="00330389">
            <w:pPr>
              <w:spacing w:after="0" w:line="240" w:lineRule="auto"/>
              <w:jc w:val="right"/>
              <w:rPr>
                <w:rFonts w:cs="Arial"/>
                <w:b/>
                <w:bCs/>
                <w:color w:val="FFFFFF"/>
                <w:sz w:val="18"/>
                <w:szCs w:val="18"/>
              </w:rPr>
            </w:pPr>
            <w:r w:rsidRPr="00957FD6">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394F6DDE" w14:textId="77777777" w:rsidR="00957FD6" w:rsidRPr="00957FD6" w:rsidRDefault="00957FD6" w:rsidP="00330389">
            <w:pPr>
              <w:spacing w:after="0" w:line="240" w:lineRule="auto"/>
              <w:jc w:val="right"/>
              <w:rPr>
                <w:rFonts w:cs="Arial"/>
                <w:b/>
                <w:bCs/>
                <w:color w:val="FFFFFF"/>
                <w:sz w:val="18"/>
                <w:szCs w:val="18"/>
              </w:rPr>
            </w:pPr>
            <w:r w:rsidRPr="00957FD6">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3736B876" w14:textId="77777777" w:rsidR="00957FD6" w:rsidRPr="00957FD6" w:rsidRDefault="00957FD6" w:rsidP="00330389">
            <w:pPr>
              <w:spacing w:after="0" w:line="240" w:lineRule="auto"/>
              <w:jc w:val="right"/>
              <w:rPr>
                <w:rFonts w:cs="Arial"/>
                <w:b/>
                <w:bCs/>
                <w:color w:val="FFFFFF"/>
                <w:sz w:val="18"/>
                <w:szCs w:val="18"/>
              </w:rPr>
            </w:pPr>
            <w:r w:rsidRPr="00957FD6">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494F6667" w14:textId="77777777" w:rsidR="00957FD6" w:rsidRPr="00957FD6" w:rsidRDefault="00957FD6" w:rsidP="00330389">
            <w:pPr>
              <w:spacing w:after="0" w:line="240" w:lineRule="auto"/>
              <w:jc w:val="right"/>
              <w:rPr>
                <w:rFonts w:cs="Arial"/>
                <w:b/>
                <w:bCs/>
                <w:color w:val="FFFFFF"/>
                <w:sz w:val="18"/>
                <w:szCs w:val="18"/>
              </w:rPr>
            </w:pPr>
            <w:r w:rsidRPr="00957FD6">
              <w:rPr>
                <w:rFonts w:cs="Arial"/>
                <w:b/>
                <w:bCs/>
                <w:color w:val="FFFFFF"/>
                <w:sz w:val="18"/>
                <w:szCs w:val="18"/>
              </w:rPr>
              <w:t>Remote</w:t>
            </w:r>
          </w:p>
        </w:tc>
      </w:tr>
      <w:tr w:rsidR="00957FD6" w:rsidRPr="00957FD6" w14:paraId="4B5CD718" w14:textId="77777777" w:rsidTr="00957FD6">
        <w:trPr>
          <w:trHeight w:val="293"/>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6C7F8BAD" w14:textId="77777777" w:rsidR="00957FD6" w:rsidRPr="00957FD6" w:rsidRDefault="00957FD6" w:rsidP="00957FD6">
            <w:pPr>
              <w:spacing w:after="0" w:line="240" w:lineRule="auto"/>
              <w:rPr>
                <w:rFonts w:cs="Arial"/>
                <w:color w:val="000000"/>
                <w:sz w:val="18"/>
                <w:szCs w:val="18"/>
              </w:rPr>
            </w:pPr>
            <w:r w:rsidRPr="00957FD6">
              <w:rPr>
                <w:rFonts w:cs="Arial"/>
                <w:color w:val="000000"/>
                <w:sz w:val="18"/>
                <w:szCs w:val="18"/>
              </w:rPr>
              <w:t>&gt;30 to 403 MHz</w:t>
            </w:r>
          </w:p>
        </w:tc>
        <w:tc>
          <w:tcPr>
            <w:tcW w:w="1322" w:type="dxa"/>
            <w:tcBorders>
              <w:top w:val="nil"/>
              <w:left w:val="nil"/>
              <w:bottom w:val="single" w:sz="8" w:space="0" w:color="auto"/>
              <w:right w:val="single" w:sz="8" w:space="0" w:color="auto"/>
            </w:tcBorders>
            <w:shd w:val="clear" w:color="000000" w:fill="BDD7EE"/>
            <w:noWrap/>
            <w:vAlign w:val="center"/>
            <w:hideMark/>
          </w:tcPr>
          <w:p w14:paraId="741E568B" w14:textId="77777777" w:rsidR="00957FD6" w:rsidRPr="00957FD6" w:rsidRDefault="00957FD6" w:rsidP="00957FD6">
            <w:pPr>
              <w:spacing w:after="0" w:line="240" w:lineRule="auto"/>
              <w:jc w:val="right"/>
              <w:rPr>
                <w:rFonts w:cs="Arial"/>
                <w:color w:val="000000"/>
                <w:sz w:val="18"/>
                <w:szCs w:val="18"/>
              </w:rPr>
            </w:pPr>
            <w:r w:rsidRPr="00957FD6">
              <w:rPr>
                <w:rFonts w:cs="Arial"/>
                <w:color w:val="000000"/>
                <w:sz w:val="18"/>
                <w:szCs w:val="18"/>
              </w:rPr>
              <w:t>9.7470</w:t>
            </w:r>
          </w:p>
        </w:tc>
        <w:tc>
          <w:tcPr>
            <w:tcW w:w="924" w:type="dxa"/>
            <w:tcBorders>
              <w:top w:val="nil"/>
              <w:left w:val="nil"/>
              <w:bottom w:val="single" w:sz="8" w:space="0" w:color="auto"/>
              <w:right w:val="single" w:sz="8" w:space="0" w:color="auto"/>
            </w:tcBorders>
            <w:shd w:val="clear" w:color="000000" w:fill="BDD7EE"/>
            <w:noWrap/>
            <w:vAlign w:val="center"/>
            <w:hideMark/>
          </w:tcPr>
          <w:p w14:paraId="4AEB0583" w14:textId="77777777" w:rsidR="00957FD6" w:rsidRPr="00957FD6" w:rsidRDefault="00957FD6" w:rsidP="00957FD6">
            <w:pPr>
              <w:spacing w:after="0" w:line="240" w:lineRule="auto"/>
              <w:jc w:val="right"/>
              <w:rPr>
                <w:rFonts w:cs="Arial"/>
                <w:color w:val="000000"/>
                <w:sz w:val="18"/>
                <w:szCs w:val="18"/>
              </w:rPr>
            </w:pPr>
            <w:r w:rsidRPr="00957FD6">
              <w:rPr>
                <w:rFonts w:cs="Arial"/>
                <w:color w:val="000000"/>
                <w:sz w:val="18"/>
                <w:szCs w:val="18"/>
              </w:rPr>
              <w:t>3.8070</w:t>
            </w:r>
          </w:p>
        </w:tc>
        <w:tc>
          <w:tcPr>
            <w:tcW w:w="1131" w:type="dxa"/>
            <w:tcBorders>
              <w:top w:val="nil"/>
              <w:left w:val="nil"/>
              <w:bottom w:val="single" w:sz="8" w:space="0" w:color="auto"/>
              <w:right w:val="single" w:sz="8" w:space="0" w:color="auto"/>
            </w:tcBorders>
            <w:shd w:val="clear" w:color="000000" w:fill="BDD7EE"/>
            <w:noWrap/>
            <w:vAlign w:val="center"/>
            <w:hideMark/>
          </w:tcPr>
          <w:p w14:paraId="353F4589" w14:textId="77777777" w:rsidR="00957FD6" w:rsidRPr="00957FD6" w:rsidRDefault="00957FD6" w:rsidP="00957FD6">
            <w:pPr>
              <w:spacing w:after="0" w:line="240" w:lineRule="auto"/>
              <w:jc w:val="right"/>
              <w:rPr>
                <w:rFonts w:cs="Arial"/>
                <w:color w:val="000000"/>
                <w:sz w:val="18"/>
                <w:szCs w:val="18"/>
              </w:rPr>
            </w:pPr>
            <w:r w:rsidRPr="00957FD6">
              <w:rPr>
                <w:rFonts w:cs="Arial"/>
                <w:color w:val="000000"/>
                <w:sz w:val="18"/>
                <w:szCs w:val="18"/>
              </w:rPr>
              <w:t>1.8780</w:t>
            </w:r>
          </w:p>
        </w:tc>
        <w:tc>
          <w:tcPr>
            <w:tcW w:w="924" w:type="dxa"/>
            <w:tcBorders>
              <w:top w:val="nil"/>
              <w:left w:val="nil"/>
              <w:bottom w:val="single" w:sz="8" w:space="0" w:color="auto"/>
              <w:right w:val="single" w:sz="8" w:space="0" w:color="auto"/>
            </w:tcBorders>
            <w:shd w:val="clear" w:color="000000" w:fill="BDD7EE"/>
            <w:noWrap/>
            <w:vAlign w:val="center"/>
            <w:hideMark/>
          </w:tcPr>
          <w:p w14:paraId="575B7588" w14:textId="77777777" w:rsidR="00957FD6" w:rsidRPr="00957FD6" w:rsidRDefault="00957FD6" w:rsidP="00957FD6">
            <w:pPr>
              <w:spacing w:after="0" w:line="240" w:lineRule="auto"/>
              <w:jc w:val="right"/>
              <w:rPr>
                <w:rFonts w:cs="Arial"/>
                <w:color w:val="000000"/>
                <w:sz w:val="18"/>
                <w:szCs w:val="18"/>
              </w:rPr>
            </w:pPr>
            <w:r w:rsidRPr="00957FD6">
              <w:rPr>
                <w:rFonts w:cs="Arial"/>
                <w:color w:val="000000"/>
                <w:sz w:val="18"/>
                <w:szCs w:val="18"/>
              </w:rPr>
              <w:t>0.4210</w:t>
            </w:r>
          </w:p>
        </w:tc>
        <w:tc>
          <w:tcPr>
            <w:tcW w:w="1099" w:type="dxa"/>
            <w:tcBorders>
              <w:top w:val="nil"/>
              <w:left w:val="nil"/>
              <w:bottom w:val="single" w:sz="8" w:space="0" w:color="auto"/>
              <w:right w:val="single" w:sz="8" w:space="0" w:color="auto"/>
            </w:tcBorders>
            <w:shd w:val="clear" w:color="000000" w:fill="BDD7EE"/>
            <w:noWrap/>
            <w:vAlign w:val="center"/>
            <w:hideMark/>
          </w:tcPr>
          <w:p w14:paraId="6AB8B74C" w14:textId="77777777" w:rsidR="00957FD6" w:rsidRPr="00957FD6" w:rsidRDefault="00957FD6" w:rsidP="00957FD6">
            <w:pPr>
              <w:spacing w:after="0" w:line="240" w:lineRule="auto"/>
              <w:jc w:val="right"/>
              <w:rPr>
                <w:rFonts w:cs="Arial"/>
                <w:color w:val="000000"/>
                <w:sz w:val="18"/>
                <w:szCs w:val="18"/>
              </w:rPr>
            </w:pPr>
            <w:r w:rsidRPr="00957FD6">
              <w:rPr>
                <w:rFonts w:cs="Arial"/>
                <w:color w:val="000000"/>
                <w:sz w:val="18"/>
                <w:szCs w:val="18"/>
              </w:rPr>
              <w:t>0.2100</w:t>
            </w:r>
          </w:p>
        </w:tc>
      </w:tr>
    </w:tbl>
    <w:p w14:paraId="2275F02E" w14:textId="769FB634" w:rsidR="00957FD6" w:rsidRDefault="00957FD6" w:rsidP="00330389">
      <w:pPr>
        <w:pStyle w:val="Paragraph"/>
        <w:spacing w:after="120"/>
        <w:rPr>
          <w:bCs/>
        </w:rPr>
      </w:pPr>
      <w:r>
        <w:rPr>
          <w:bCs/>
        </w:rPr>
        <w:br/>
      </w:r>
      <w:r w:rsidR="00E9061F">
        <w:rPr>
          <w:bCs/>
        </w:rPr>
        <w:t xml:space="preserve">Submitters were asked the following question </w:t>
      </w:r>
      <w:r w:rsidR="00E50A41">
        <w:rPr>
          <w:bCs/>
        </w:rPr>
        <w:t xml:space="preserve">about </w:t>
      </w:r>
      <w:r w:rsidR="00E9061F">
        <w:rPr>
          <w:bCs/>
        </w:rPr>
        <w:t>the proposed reform:</w:t>
      </w:r>
    </w:p>
    <w:p w14:paraId="38357D79" w14:textId="77777777" w:rsidR="00C309A1" w:rsidRPr="00330389" w:rsidRDefault="00C309A1" w:rsidP="00330389">
      <w:pPr>
        <w:pStyle w:val="Heading3"/>
        <w:spacing w:after="0"/>
        <w:ind w:left="567" w:right="1150"/>
        <w:rPr>
          <w:sz w:val="18"/>
          <w:szCs w:val="18"/>
        </w:rPr>
      </w:pPr>
      <w:r w:rsidRPr="00330389">
        <w:rPr>
          <w:sz w:val="18"/>
          <w:szCs w:val="18"/>
        </w:rPr>
        <w:t>Question 1</w:t>
      </w:r>
    </w:p>
    <w:p w14:paraId="771B653E" w14:textId="77777777" w:rsidR="00C309A1" w:rsidRPr="00330389" w:rsidRDefault="00C309A1" w:rsidP="00330389">
      <w:pPr>
        <w:pStyle w:val="Paragraph"/>
        <w:ind w:left="567" w:right="1150"/>
        <w:rPr>
          <w:sz w:val="18"/>
          <w:szCs w:val="18"/>
        </w:rPr>
      </w:pPr>
      <w:r w:rsidRPr="00330389">
        <w:rPr>
          <w:sz w:val="18"/>
          <w:szCs w:val="18"/>
        </w:rPr>
        <w:t xml:space="preserve">Do you have any comments on the proposal to amalgamate the &gt;30 to 403 MHz range for the tax formula? </w:t>
      </w:r>
    </w:p>
    <w:p w14:paraId="74B56F24" w14:textId="7AF65FB7" w:rsidR="00BA6B00" w:rsidRPr="005A53B3" w:rsidRDefault="0012421F" w:rsidP="006B5DF0">
      <w:pPr>
        <w:pStyle w:val="Paragraph"/>
        <w:rPr>
          <w:bCs/>
        </w:rPr>
      </w:pPr>
      <w:r>
        <w:rPr>
          <w:bCs/>
        </w:rPr>
        <w:t xml:space="preserve">We </w:t>
      </w:r>
      <w:r w:rsidR="00A83524">
        <w:rPr>
          <w:bCs/>
        </w:rPr>
        <w:t xml:space="preserve">received </w:t>
      </w:r>
      <w:r>
        <w:rPr>
          <w:bCs/>
        </w:rPr>
        <w:t xml:space="preserve">2 </w:t>
      </w:r>
      <w:r w:rsidR="00A83524">
        <w:rPr>
          <w:bCs/>
        </w:rPr>
        <w:t>submission</w:t>
      </w:r>
      <w:r w:rsidR="00E25BA1">
        <w:rPr>
          <w:bCs/>
        </w:rPr>
        <w:t>s</w:t>
      </w:r>
      <w:r w:rsidR="00A83524">
        <w:rPr>
          <w:bCs/>
        </w:rPr>
        <w:t xml:space="preserve"> </w:t>
      </w:r>
      <w:r>
        <w:rPr>
          <w:bCs/>
        </w:rPr>
        <w:t>to this question</w:t>
      </w:r>
      <w:r w:rsidR="00A83524">
        <w:rPr>
          <w:bCs/>
        </w:rPr>
        <w:t xml:space="preserve">, both of which were supportive. </w:t>
      </w:r>
    </w:p>
    <w:p w14:paraId="3CC10CB4" w14:textId="77777777" w:rsidR="00794B2D" w:rsidRPr="00EA5730" w:rsidRDefault="00794B2D" w:rsidP="00330389">
      <w:pPr>
        <w:pStyle w:val="Heading4"/>
        <w:keepNext/>
        <w:spacing w:after="60"/>
        <w:rPr>
          <w:i w:val="0"/>
          <w:iCs/>
        </w:rPr>
      </w:pPr>
      <w:r w:rsidRPr="00EA5730">
        <w:rPr>
          <w:i w:val="0"/>
          <w:iCs/>
        </w:rPr>
        <w:lastRenderedPageBreak/>
        <w:t>Response to submitters</w:t>
      </w:r>
    </w:p>
    <w:p w14:paraId="3B72B50F" w14:textId="1FE157E2" w:rsidR="0004341E" w:rsidRDefault="0012421F">
      <w:pPr>
        <w:pStyle w:val="Paragraph"/>
      </w:pPr>
      <w:r>
        <w:t xml:space="preserve">As </w:t>
      </w:r>
      <w:r w:rsidR="005F3C77">
        <w:t>there were no objections or issues raised by submitters</w:t>
      </w:r>
      <w:r>
        <w:t xml:space="preserve">, we </w:t>
      </w:r>
      <w:r w:rsidR="00F5451D">
        <w:t xml:space="preserve">have implemented </w:t>
      </w:r>
      <w:r w:rsidR="00C10F95">
        <w:t>these reforms as proposed.</w:t>
      </w:r>
    </w:p>
    <w:p w14:paraId="0AB81E5A" w14:textId="21C1E130" w:rsidR="00AD2337" w:rsidRDefault="00F20572" w:rsidP="00AD2337">
      <w:pPr>
        <w:pStyle w:val="Heading2"/>
      </w:pPr>
      <w:bookmarkStart w:id="14" w:name="_Toc108088299"/>
      <w:r>
        <w:t>In</w:t>
      </w:r>
      <w:r w:rsidR="00E03B92">
        <w:t>crease weightings for the &gt;2,690 to 5,000 MH</w:t>
      </w:r>
      <w:r w:rsidR="00FF6B61">
        <w:t>z spectrum location</w:t>
      </w:r>
      <w:bookmarkEnd w:id="14"/>
    </w:p>
    <w:p w14:paraId="0FA04534" w14:textId="4CF6A12A" w:rsidR="00EA5730" w:rsidRDefault="00F31158" w:rsidP="00A95351">
      <w:pPr>
        <w:pStyle w:val="Paragraph"/>
        <w:rPr>
          <w:bCs/>
        </w:rPr>
      </w:pPr>
      <w:r>
        <w:t xml:space="preserve">Looking at trends in assignments for each location weighting over time, the period </w:t>
      </w:r>
      <w:r w:rsidR="00D07F25">
        <w:rPr>
          <w:bCs/>
        </w:rPr>
        <w:t>from 2005</w:t>
      </w:r>
      <w:r w:rsidR="0012421F">
        <w:rPr>
          <w:bCs/>
        </w:rPr>
        <w:t xml:space="preserve"> to </w:t>
      </w:r>
      <w:r w:rsidR="00D07F25">
        <w:rPr>
          <w:bCs/>
        </w:rPr>
        <w:t xml:space="preserve">2020 saw a marked relative increase of new assignments in the &gt;2,690 to 5,000 MHz spectrum location for high- and medium-density geographic areas. </w:t>
      </w:r>
      <w:r w:rsidR="00F751E1">
        <w:rPr>
          <w:bCs/>
        </w:rPr>
        <w:t xml:space="preserve">A summary of the affected location weightings </w:t>
      </w:r>
      <w:r w:rsidR="0012421F">
        <w:rPr>
          <w:bCs/>
        </w:rPr>
        <w:t>before</w:t>
      </w:r>
      <w:r w:rsidR="00B01D7F">
        <w:rPr>
          <w:bCs/>
        </w:rPr>
        <w:t xml:space="preserve"> the proposed changes is shown </w:t>
      </w:r>
      <w:r w:rsidR="0012421F">
        <w:rPr>
          <w:bCs/>
        </w:rPr>
        <w:t>in Table 3</w:t>
      </w:r>
      <w:r w:rsidR="00B01D7F">
        <w:rPr>
          <w:bCs/>
        </w:rPr>
        <w:t>.</w:t>
      </w:r>
    </w:p>
    <w:p w14:paraId="19A87F7A" w14:textId="155A3081" w:rsidR="006F3A9F" w:rsidRPr="002507F5" w:rsidRDefault="003E4986" w:rsidP="005338D2">
      <w:pPr>
        <w:pStyle w:val="Tableheading"/>
      </w:pPr>
      <w:r>
        <w:t>Current</w:t>
      </w:r>
      <w:r w:rsidR="006F3A9F">
        <w:t xml:space="preserve"> </w:t>
      </w:r>
      <w:r w:rsidR="006F3A9F" w:rsidRPr="002507F5">
        <w:t>location weightings for the &gt;</w:t>
      </w:r>
      <w:r>
        <w:t>2,690</w:t>
      </w:r>
      <w:r w:rsidR="006F3A9F" w:rsidRPr="002507F5">
        <w:t xml:space="preserve"> to </w:t>
      </w:r>
      <w:r>
        <w:t>5,000</w:t>
      </w:r>
      <w:r w:rsidR="006F3A9F" w:rsidRPr="002507F5">
        <w:t xml:space="preserve"> MHz spectrum location</w:t>
      </w:r>
    </w:p>
    <w:tbl>
      <w:tblPr>
        <w:tblW w:w="7500" w:type="dxa"/>
        <w:tblLook w:val="04A0" w:firstRow="1" w:lastRow="0" w:firstColumn="1" w:lastColumn="0" w:noHBand="0" w:noVBand="1"/>
      </w:tblPr>
      <w:tblGrid>
        <w:gridCol w:w="2100"/>
        <w:gridCol w:w="1322"/>
        <w:gridCol w:w="924"/>
        <w:gridCol w:w="1131"/>
        <w:gridCol w:w="924"/>
        <w:gridCol w:w="1099"/>
      </w:tblGrid>
      <w:tr w:rsidR="00AE187C" w:rsidRPr="00AE187C" w14:paraId="483A408D" w14:textId="77777777" w:rsidTr="00AE187C">
        <w:trPr>
          <w:trHeight w:val="293"/>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2171BF0A" w14:textId="77777777" w:rsidR="00AE187C" w:rsidRPr="00AE187C" w:rsidRDefault="00AE187C" w:rsidP="00AE187C">
            <w:pPr>
              <w:spacing w:after="0" w:line="240" w:lineRule="auto"/>
              <w:rPr>
                <w:rFonts w:cs="Arial"/>
                <w:b/>
                <w:bCs/>
                <w:color w:val="FFFFFF"/>
                <w:sz w:val="18"/>
                <w:szCs w:val="18"/>
              </w:rPr>
            </w:pPr>
            <w:r w:rsidRPr="00AE187C">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23BA96DC" w14:textId="77777777" w:rsidR="00AE187C" w:rsidRPr="00AE187C" w:rsidRDefault="00AE187C" w:rsidP="00AE187C">
            <w:pPr>
              <w:spacing w:after="0" w:line="240" w:lineRule="auto"/>
              <w:jc w:val="center"/>
              <w:rPr>
                <w:rFonts w:cs="Arial"/>
                <w:b/>
                <w:bCs/>
                <w:color w:val="FFFFFF"/>
                <w:sz w:val="18"/>
                <w:szCs w:val="18"/>
              </w:rPr>
            </w:pPr>
            <w:r w:rsidRPr="00AE187C">
              <w:rPr>
                <w:rFonts w:cs="Arial"/>
                <w:b/>
                <w:bCs/>
                <w:color w:val="FFFFFF"/>
                <w:sz w:val="18"/>
                <w:szCs w:val="18"/>
              </w:rPr>
              <w:t>Geographic location</w:t>
            </w:r>
          </w:p>
        </w:tc>
      </w:tr>
      <w:tr w:rsidR="00AE187C" w:rsidRPr="00AE187C" w14:paraId="6CFB84B1" w14:textId="77777777" w:rsidTr="00AE187C">
        <w:trPr>
          <w:trHeight w:val="293"/>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7DCB37C3" w14:textId="77777777" w:rsidR="00AE187C" w:rsidRPr="00AE187C" w:rsidRDefault="00AE187C" w:rsidP="00AE187C">
            <w:pPr>
              <w:spacing w:after="0" w:line="240" w:lineRule="auto"/>
              <w:rPr>
                <w:rFonts w:cs="Arial"/>
                <w:b/>
                <w:bCs/>
                <w:color w:val="FFFFFF"/>
                <w:sz w:val="18"/>
                <w:szCs w:val="18"/>
              </w:rPr>
            </w:pPr>
            <w:r w:rsidRPr="00AE187C">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78272C2C" w14:textId="43C0089A" w:rsidR="00AE187C" w:rsidRPr="00AE187C" w:rsidRDefault="00AE187C" w:rsidP="005338D2">
            <w:pPr>
              <w:spacing w:after="0" w:line="240" w:lineRule="auto"/>
              <w:jc w:val="right"/>
              <w:rPr>
                <w:rFonts w:cs="Arial"/>
                <w:b/>
                <w:bCs/>
                <w:color w:val="FFFFFF"/>
                <w:sz w:val="18"/>
                <w:szCs w:val="18"/>
              </w:rPr>
            </w:pPr>
            <w:r w:rsidRPr="00AE187C">
              <w:rPr>
                <w:rFonts w:cs="Arial"/>
                <w:b/>
                <w:bCs/>
                <w:color w:val="FFFFFF"/>
                <w:sz w:val="18"/>
                <w:szCs w:val="18"/>
              </w:rPr>
              <w:t>Aus</w:t>
            </w:r>
            <w:r w:rsidR="0012421F">
              <w:rPr>
                <w:rFonts w:cs="Arial"/>
                <w:b/>
                <w:bCs/>
                <w:color w:val="FFFFFF"/>
                <w:sz w:val="18"/>
                <w:szCs w:val="18"/>
              </w:rPr>
              <w:t>tralia</w:t>
            </w:r>
            <w:r w:rsidRPr="00AE187C">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11D68966" w14:textId="77777777" w:rsidR="00AE187C" w:rsidRPr="00AE187C" w:rsidRDefault="00AE187C" w:rsidP="005338D2">
            <w:pPr>
              <w:spacing w:after="0" w:line="240" w:lineRule="auto"/>
              <w:jc w:val="right"/>
              <w:rPr>
                <w:rFonts w:cs="Arial"/>
                <w:b/>
                <w:bCs/>
                <w:color w:val="FFFFFF"/>
                <w:sz w:val="18"/>
                <w:szCs w:val="18"/>
              </w:rPr>
            </w:pPr>
            <w:r w:rsidRPr="00AE187C">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6E61D9CE" w14:textId="77777777" w:rsidR="00AE187C" w:rsidRPr="00AE187C" w:rsidRDefault="00AE187C" w:rsidP="005338D2">
            <w:pPr>
              <w:spacing w:after="0" w:line="240" w:lineRule="auto"/>
              <w:jc w:val="right"/>
              <w:rPr>
                <w:rFonts w:cs="Arial"/>
                <w:b/>
                <w:bCs/>
                <w:color w:val="FFFFFF"/>
                <w:sz w:val="18"/>
                <w:szCs w:val="18"/>
              </w:rPr>
            </w:pPr>
            <w:r w:rsidRPr="00AE187C">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3AEDA62D" w14:textId="77777777" w:rsidR="00AE187C" w:rsidRPr="00AE187C" w:rsidRDefault="00AE187C" w:rsidP="005338D2">
            <w:pPr>
              <w:spacing w:after="0" w:line="240" w:lineRule="auto"/>
              <w:jc w:val="right"/>
              <w:rPr>
                <w:rFonts w:cs="Arial"/>
                <w:b/>
                <w:bCs/>
                <w:color w:val="FFFFFF"/>
                <w:sz w:val="18"/>
                <w:szCs w:val="18"/>
              </w:rPr>
            </w:pPr>
            <w:r w:rsidRPr="00AE187C">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4A0CED61" w14:textId="77777777" w:rsidR="00AE187C" w:rsidRPr="00AE187C" w:rsidRDefault="00AE187C" w:rsidP="005338D2">
            <w:pPr>
              <w:spacing w:after="0" w:line="240" w:lineRule="auto"/>
              <w:jc w:val="right"/>
              <w:rPr>
                <w:rFonts w:cs="Arial"/>
                <w:b/>
                <w:bCs/>
                <w:color w:val="FFFFFF"/>
                <w:sz w:val="18"/>
                <w:szCs w:val="18"/>
              </w:rPr>
            </w:pPr>
            <w:r w:rsidRPr="00AE187C">
              <w:rPr>
                <w:rFonts w:cs="Arial"/>
                <w:b/>
                <w:bCs/>
                <w:color w:val="FFFFFF"/>
                <w:sz w:val="18"/>
                <w:szCs w:val="18"/>
              </w:rPr>
              <w:t>Remote</w:t>
            </w:r>
          </w:p>
        </w:tc>
      </w:tr>
      <w:tr w:rsidR="00AE187C" w:rsidRPr="00AE187C" w14:paraId="244C781D" w14:textId="77777777" w:rsidTr="00AE187C">
        <w:trPr>
          <w:trHeight w:val="293"/>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081E6E12" w14:textId="77777777" w:rsidR="00AE187C" w:rsidRPr="00AE187C" w:rsidRDefault="00AE187C" w:rsidP="00AE187C">
            <w:pPr>
              <w:spacing w:after="0" w:line="240" w:lineRule="auto"/>
              <w:rPr>
                <w:rFonts w:cs="Arial"/>
                <w:color w:val="000000"/>
                <w:sz w:val="18"/>
                <w:szCs w:val="18"/>
              </w:rPr>
            </w:pPr>
            <w:r w:rsidRPr="00AE187C">
              <w:rPr>
                <w:rFonts w:cs="Arial"/>
                <w:color w:val="000000"/>
                <w:sz w:val="18"/>
                <w:szCs w:val="18"/>
              </w:rPr>
              <w:t>&gt;2,690 to 5,000 MHz</w:t>
            </w:r>
          </w:p>
        </w:tc>
        <w:tc>
          <w:tcPr>
            <w:tcW w:w="1322" w:type="dxa"/>
            <w:tcBorders>
              <w:top w:val="nil"/>
              <w:left w:val="nil"/>
              <w:bottom w:val="single" w:sz="8" w:space="0" w:color="auto"/>
              <w:right w:val="single" w:sz="8" w:space="0" w:color="auto"/>
            </w:tcBorders>
            <w:shd w:val="clear" w:color="auto" w:fill="auto"/>
            <w:noWrap/>
            <w:vAlign w:val="center"/>
            <w:hideMark/>
          </w:tcPr>
          <w:p w14:paraId="12714E15" w14:textId="77777777" w:rsidR="00AE187C" w:rsidRPr="00AE187C" w:rsidRDefault="00AE187C" w:rsidP="00AE187C">
            <w:pPr>
              <w:spacing w:after="0" w:line="240" w:lineRule="auto"/>
              <w:jc w:val="right"/>
              <w:rPr>
                <w:rFonts w:cs="Arial"/>
                <w:color w:val="000000"/>
                <w:sz w:val="18"/>
                <w:szCs w:val="18"/>
              </w:rPr>
            </w:pPr>
            <w:r w:rsidRPr="00AE187C">
              <w:rPr>
                <w:rFonts w:cs="Arial"/>
                <w:color w:val="000000"/>
                <w:sz w:val="18"/>
                <w:szCs w:val="18"/>
              </w:rPr>
              <w:t>9.9740</w:t>
            </w:r>
          </w:p>
        </w:tc>
        <w:tc>
          <w:tcPr>
            <w:tcW w:w="924" w:type="dxa"/>
            <w:tcBorders>
              <w:top w:val="nil"/>
              <w:left w:val="nil"/>
              <w:bottom w:val="single" w:sz="8" w:space="0" w:color="auto"/>
              <w:right w:val="single" w:sz="8" w:space="0" w:color="auto"/>
            </w:tcBorders>
            <w:shd w:val="clear" w:color="auto" w:fill="auto"/>
            <w:noWrap/>
            <w:vAlign w:val="center"/>
            <w:hideMark/>
          </w:tcPr>
          <w:p w14:paraId="1FCD2F2F" w14:textId="77777777" w:rsidR="00AE187C" w:rsidRPr="00AE187C" w:rsidRDefault="00AE187C" w:rsidP="00AE187C">
            <w:pPr>
              <w:spacing w:after="0" w:line="240" w:lineRule="auto"/>
              <w:jc w:val="right"/>
              <w:rPr>
                <w:rFonts w:cs="Arial"/>
                <w:color w:val="000000"/>
                <w:sz w:val="18"/>
                <w:szCs w:val="18"/>
              </w:rPr>
            </w:pPr>
            <w:r w:rsidRPr="00AE187C">
              <w:rPr>
                <w:rFonts w:cs="Arial"/>
                <w:color w:val="000000"/>
                <w:sz w:val="18"/>
                <w:szCs w:val="18"/>
              </w:rPr>
              <w:t>1.8530</w:t>
            </w:r>
          </w:p>
        </w:tc>
        <w:tc>
          <w:tcPr>
            <w:tcW w:w="1131" w:type="dxa"/>
            <w:tcBorders>
              <w:top w:val="nil"/>
              <w:left w:val="nil"/>
              <w:bottom w:val="single" w:sz="8" w:space="0" w:color="auto"/>
              <w:right w:val="single" w:sz="8" w:space="0" w:color="auto"/>
            </w:tcBorders>
            <w:shd w:val="clear" w:color="auto" w:fill="auto"/>
            <w:noWrap/>
            <w:vAlign w:val="center"/>
            <w:hideMark/>
          </w:tcPr>
          <w:p w14:paraId="1D97D05B" w14:textId="77777777" w:rsidR="00AE187C" w:rsidRPr="00AE187C" w:rsidRDefault="00AE187C" w:rsidP="00AE187C">
            <w:pPr>
              <w:spacing w:after="0" w:line="240" w:lineRule="auto"/>
              <w:jc w:val="right"/>
              <w:rPr>
                <w:rFonts w:cs="Arial"/>
                <w:color w:val="000000"/>
                <w:sz w:val="18"/>
                <w:szCs w:val="18"/>
              </w:rPr>
            </w:pPr>
            <w:r w:rsidRPr="00AE187C">
              <w:rPr>
                <w:rFonts w:cs="Arial"/>
                <w:color w:val="000000"/>
                <w:sz w:val="18"/>
                <w:szCs w:val="18"/>
              </w:rPr>
              <w:t>0.7510</w:t>
            </w:r>
          </w:p>
        </w:tc>
        <w:tc>
          <w:tcPr>
            <w:tcW w:w="924" w:type="dxa"/>
            <w:tcBorders>
              <w:top w:val="nil"/>
              <w:left w:val="nil"/>
              <w:bottom w:val="single" w:sz="8" w:space="0" w:color="auto"/>
              <w:right w:val="single" w:sz="8" w:space="0" w:color="auto"/>
            </w:tcBorders>
            <w:shd w:val="clear" w:color="auto" w:fill="auto"/>
            <w:noWrap/>
            <w:vAlign w:val="center"/>
            <w:hideMark/>
          </w:tcPr>
          <w:p w14:paraId="6420E1F6" w14:textId="77777777" w:rsidR="00AE187C" w:rsidRPr="00AE187C" w:rsidRDefault="00AE187C" w:rsidP="00AE187C">
            <w:pPr>
              <w:spacing w:after="0" w:line="240" w:lineRule="auto"/>
              <w:jc w:val="right"/>
              <w:rPr>
                <w:rFonts w:cs="Arial"/>
                <w:color w:val="000000"/>
                <w:sz w:val="18"/>
                <w:szCs w:val="18"/>
              </w:rPr>
            </w:pPr>
            <w:r w:rsidRPr="00AE187C">
              <w:rPr>
                <w:rFonts w:cs="Arial"/>
                <w:color w:val="000000"/>
                <w:sz w:val="18"/>
                <w:szCs w:val="18"/>
              </w:rPr>
              <w:t>0.6220</w:t>
            </w:r>
          </w:p>
        </w:tc>
        <w:tc>
          <w:tcPr>
            <w:tcW w:w="1099" w:type="dxa"/>
            <w:tcBorders>
              <w:top w:val="nil"/>
              <w:left w:val="nil"/>
              <w:bottom w:val="single" w:sz="8" w:space="0" w:color="auto"/>
              <w:right w:val="single" w:sz="8" w:space="0" w:color="auto"/>
            </w:tcBorders>
            <w:shd w:val="clear" w:color="auto" w:fill="auto"/>
            <w:noWrap/>
            <w:vAlign w:val="center"/>
            <w:hideMark/>
          </w:tcPr>
          <w:p w14:paraId="5C898F54" w14:textId="77777777" w:rsidR="00AE187C" w:rsidRPr="00AE187C" w:rsidRDefault="00AE187C" w:rsidP="00AE187C">
            <w:pPr>
              <w:spacing w:after="0" w:line="240" w:lineRule="auto"/>
              <w:jc w:val="right"/>
              <w:rPr>
                <w:rFonts w:cs="Arial"/>
                <w:color w:val="000000"/>
                <w:sz w:val="18"/>
                <w:szCs w:val="18"/>
              </w:rPr>
            </w:pPr>
            <w:r w:rsidRPr="00AE187C">
              <w:rPr>
                <w:rFonts w:cs="Arial"/>
                <w:color w:val="000000"/>
                <w:sz w:val="18"/>
                <w:szCs w:val="18"/>
              </w:rPr>
              <w:t>0.3110</w:t>
            </w:r>
          </w:p>
        </w:tc>
      </w:tr>
    </w:tbl>
    <w:p w14:paraId="58B31DF1" w14:textId="60F2CA5A" w:rsidR="005B2F84" w:rsidRDefault="00AE187C" w:rsidP="005B2F84">
      <w:pPr>
        <w:pStyle w:val="Paragraph"/>
      </w:pPr>
      <w:r>
        <w:rPr>
          <w:bCs/>
        </w:rPr>
        <w:br/>
      </w:r>
      <w:r w:rsidR="00B63DFF">
        <w:rPr>
          <w:bCs/>
        </w:rPr>
        <w:t xml:space="preserve">Consequently, </w:t>
      </w:r>
      <w:r w:rsidR="003D7729">
        <w:rPr>
          <w:bCs/>
        </w:rPr>
        <w:t xml:space="preserve">we </w:t>
      </w:r>
      <w:r w:rsidR="00B63DFF">
        <w:rPr>
          <w:bCs/>
        </w:rPr>
        <w:t xml:space="preserve">proposed to increase the location weightings for high- and medium-density areas </w:t>
      </w:r>
      <w:r w:rsidR="00D7479F">
        <w:rPr>
          <w:bCs/>
        </w:rPr>
        <w:t xml:space="preserve">in the &gt;2,690 to 5,000 MHz spectrum location </w:t>
      </w:r>
      <w:r w:rsidR="006D7044">
        <w:rPr>
          <w:bCs/>
        </w:rPr>
        <w:t xml:space="preserve">to better reflect contemporary spectrum uses and values. </w:t>
      </w:r>
      <w:r w:rsidR="00D7479F">
        <w:t xml:space="preserve">A summary of the location weightings resulting from the proposed changes is shown </w:t>
      </w:r>
      <w:r w:rsidR="003D7729">
        <w:t>in Table 4</w:t>
      </w:r>
      <w:r w:rsidR="00D7479F">
        <w:t>.</w:t>
      </w:r>
    </w:p>
    <w:p w14:paraId="1CCDCDD3" w14:textId="12A44A18" w:rsidR="003E4986" w:rsidRPr="002507F5" w:rsidRDefault="003E4986" w:rsidP="005338D2">
      <w:pPr>
        <w:pStyle w:val="Tableheading"/>
      </w:pPr>
      <w:r>
        <w:t xml:space="preserve">Proposed </w:t>
      </w:r>
      <w:r w:rsidRPr="002507F5">
        <w:t>location weightings for the &gt;</w:t>
      </w:r>
      <w:r>
        <w:t>2,690</w:t>
      </w:r>
      <w:r w:rsidRPr="002507F5">
        <w:t xml:space="preserve"> to </w:t>
      </w:r>
      <w:r>
        <w:t>5,000</w:t>
      </w:r>
      <w:r w:rsidRPr="002507F5">
        <w:t xml:space="preserve"> MHz spectrum location</w:t>
      </w:r>
    </w:p>
    <w:tbl>
      <w:tblPr>
        <w:tblW w:w="7500" w:type="dxa"/>
        <w:tblLook w:val="04A0" w:firstRow="1" w:lastRow="0" w:firstColumn="1" w:lastColumn="0" w:noHBand="0" w:noVBand="1"/>
      </w:tblPr>
      <w:tblGrid>
        <w:gridCol w:w="2100"/>
        <w:gridCol w:w="1322"/>
        <w:gridCol w:w="924"/>
        <w:gridCol w:w="1131"/>
        <w:gridCol w:w="924"/>
        <w:gridCol w:w="1099"/>
      </w:tblGrid>
      <w:tr w:rsidR="000B3C3F" w:rsidRPr="000B3C3F" w14:paraId="5EBD2A14" w14:textId="77777777" w:rsidTr="000B3C3F">
        <w:trPr>
          <w:trHeight w:val="293"/>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176CF1DB" w14:textId="77777777" w:rsidR="000B3C3F" w:rsidRPr="000B3C3F" w:rsidRDefault="000B3C3F" w:rsidP="000B3C3F">
            <w:pPr>
              <w:spacing w:after="0" w:line="240" w:lineRule="auto"/>
              <w:rPr>
                <w:rFonts w:cs="Arial"/>
                <w:b/>
                <w:bCs/>
                <w:color w:val="FFFFFF"/>
                <w:sz w:val="18"/>
                <w:szCs w:val="18"/>
              </w:rPr>
            </w:pPr>
            <w:r w:rsidRPr="000B3C3F">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49871854" w14:textId="77777777" w:rsidR="000B3C3F" w:rsidRPr="000B3C3F" w:rsidRDefault="000B3C3F" w:rsidP="000B3C3F">
            <w:pPr>
              <w:spacing w:after="0" w:line="240" w:lineRule="auto"/>
              <w:jc w:val="center"/>
              <w:rPr>
                <w:rFonts w:cs="Arial"/>
                <w:b/>
                <w:bCs/>
                <w:color w:val="FFFFFF"/>
                <w:sz w:val="18"/>
                <w:szCs w:val="18"/>
              </w:rPr>
            </w:pPr>
            <w:r w:rsidRPr="000B3C3F">
              <w:rPr>
                <w:rFonts w:cs="Arial"/>
                <w:b/>
                <w:bCs/>
                <w:color w:val="FFFFFF"/>
                <w:sz w:val="18"/>
                <w:szCs w:val="18"/>
              </w:rPr>
              <w:t>Geographic location</w:t>
            </w:r>
          </w:p>
        </w:tc>
      </w:tr>
      <w:tr w:rsidR="000B3C3F" w:rsidRPr="000B3C3F" w14:paraId="7DD3FAF8" w14:textId="77777777" w:rsidTr="000B3C3F">
        <w:trPr>
          <w:trHeight w:val="293"/>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1A0419C2" w14:textId="77777777" w:rsidR="000B3C3F" w:rsidRPr="000B3C3F" w:rsidRDefault="000B3C3F" w:rsidP="000B3C3F">
            <w:pPr>
              <w:spacing w:after="0" w:line="240" w:lineRule="auto"/>
              <w:rPr>
                <w:rFonts w:cs="Arial"/>
                <w:b/>
                <w:bCs/>
                <w:color w:val="FFFFFF"/>
                <w:sz w:val="18"/>
                <w:szCs w:val="18"/>
              </w:rPr>
            </w:pPr>
            <w:r w:rsidRPr="000B3C3F">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2A5CEECF" w14:textId="19FB0C25" w:rsidR="000B3C3F" w:rsidRPr="000B3C3F" w:rsidRDefault="000B3C3F" w:rsidP="005338D2">
            <w:pPr>
              <w:spacing w:after="0" w:line="240" w:lineRule="auto"/>
              <w:jc w:val="right"/>
              <w:rPr>
                <w:rFonts w:cs="Arial"/>
                <w:b/>
                <w:bCs/>
                <w:color w:val="FFFFFF"/>
                <w:sz w:val="18"/>
                <w:szCs w:val="18"/>
              </w:rPr>
            </w:pPr>
            <w:r w:rsidRPr="000B3C3F">
              <w:rPr>
                <w:rFonts w:cs="Arial"/>
                <w:b/>
                <w:bCs/>
                <w:color w:val="FFFFFF"/>
                <w:sz w:val="18"/>
                <w:szCs w:val="18"/>
              </w:rPr>
              <w:t>Aus</w:t>
            </w:r>
            <w:r w:rsidR="003D7729">
              <w:rPr>
                <w:rFonts w:cs="Arial"/>
                <w:b/>
                <w:bCs/>
                <w:color w:val="FFFFFF"/>
                <w:sz w:val="18"/>
                <w:szCs w:val="18"/>
              </w:rPr>
              <w:t>tralia</w:t>
            </w:r>
            <w:r w:rsidRPr="000B3C3F">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4A42520A" w14:textId="77777777" w:rsidR="000B3C3F" w:rsidRPr="000B3C3F" w:rsidRDefault="000B3C3F" w:rsidP="005338D2">
            <w:pPr>
              <w:spacing w:after="0" w:line="240" w:lineRule="auto"/>
              <w:jc w:val="right"/>
              <w:rPr>
                <w:rFonts w:cs="Arial"/>
                <w:b/>
                <w:bCs/>
                <w:color w:val="FFFFFF"/>
                <w:sz w:val="18"/>
                <w:szCs w:val="18"/>
              </w:rPr>
            </w:pPr>
            <w:r w:rsidRPr="000B3C3F">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6D52377A" w14:textId="77777777" w:rsidR="000B3C3F" w:rsidRPr="000B3C3F" w:rsidRDefault="000B3C3F" w:rsidP="005338D2">
            <w:pPr>
              <w:spacing w:after="0" w:line="240" w:lineRule="auto"/>
              <w:jc w:val="right"/>
              <w:rPr>
                <w:rFonts w:cs="Arial"/>
                <w:b/>
                <w:bCs/>
                <w:color w:val="FFFFFF"/>
                <w:sz w:val="18"/>
                <w:szCs w:val="18"/>
              </w:rPr>
            </w:pPr>
            <w:r w:rsidRPr="000B3C3F">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0627281A" w14:textId="77777777" w:rsidR="000B3C3F" w:rsidRPr="000B3C3F" w:rsidRDefault="000B3C3F" w:rsidP="005338D2">
            <w:pPr>
              <w:spacing w:after="0" w:line="240" w:lineRule="auto"/>
              <w:jc w:val="right"/>
              <w:rPr>
                <w:rFonts w:cs="Arial"/>
                <w:b/>
                <w:bCs/>
                <w:color w:val="FFFFFF"/>
                <w:sz w:val="18"/>
                <w:szCs w:val="18"/>
              </w:rPr>
            </w:pPr>
            <w:r w:rsidRPr="000B3C3F">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273A2CC3" w14:textId="77777777" w:rsidR="000B3C3F" w:rsidRPr="000B3C3F" w:rsidRDefault="000B3C3F" w:rsidP="005338D2">
            <w:pPr>
              <w:spacing w:after="0" w:line="240" w:lineRule="auto"/>
              <w:jc w:val="right"/>
              <w:rPr>
                <w:rFonts w:cs="Arial"/>
                <w:b/>
                <w:bCs/>
                <w:color w:val="FFFFFF"/>
                <w:sz w:val="18"/>
                <w:szCs w:val="18"/>
              </w:rPr>
            </w:pPr>
            <w:r w:rsidRPr="000B3C3F">
              <w:rPr>
                <w:rFonts w:cs="Arial"/>
                <w:b/>
                <w:bCs/>
                <w:color w:val="FFFFFF"/>
                <w:sz w:val="18"/>
                <w:szCs w:val="18"/>
              </w:rPr>
              <w:t>Remote</w:t>
            </w:r>
          </w:p>
        </w:tc>
      </w:tr>
      <w:tr w:rsidR="000B3C3F" w:rsidRPr="000B3C3F" w14:paraId="7D28AFCE" w14:textId="77777777" w:rsidTr="000B3C3F">
        <w:trPr>
          <w:trHeight w:val="293"/>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484FFCE5" w14:textId="77777777" w:rsidR="000B3C3F" w:rsidRPr="000B3C3F" w:rsidRDefault="000B3C3F" w:rsidP="000B3C3F">
            <w:pPr>
              <w:spacing w:after="0" w:line="240" w:lineRule="auto"/>
              <w:rPr>
                <w:rFonts w:cs="Arial"/>
                <w:color w:val="000000"/>
                <w:sz w:val="18"/>
                <w:szCs w:val="18"/>
              </w:rPr>
            </w:pPr>
            <w:r w:rsidRPr="000B3C3F">
              <w:rPr>
                <w:rFonts w:cs="Arial"/>
                <w:color w:val="000000"/>
                <w:sz w:val="18"/>
                <w:szCs w:val="18"/>
              </w:rPr>
              <w:t>&gt;2,690 to 5,000 MHz</w:t>
            </w:r>
          </w:p>
        </w:tc>
        <w:tc>
          <w:tcPr>
            <w:tcW w:w="1322" w:type="dxa"/>
            <w:tcBorders>
              <w:top w:val="nil"/>
              <w:left w:val="nil"/>
              <w:bottom w:val="single" w:sz="8" w:space="0" w:color="auto"/>
              <w:right w:val="single" w:sz="8" w:space="0" w:color="auto"/>
            </w:tcBorders>
            <w:shd w:val="clear" w:color="auto" w:fill="auto"/>
            <w:noWrap/>
            <w:vAlign w:val="center"/>
            <w:hideMark/>
          </w:tcPr>
          <w:p w14:paraId="3FA5C052" w14:textId="77777777" w:rsidR="000B3C3F" w:rsidRPr="000B3C3F" w:rsidRDefault="000B3C3F" w:rsidP="000B3C3F">
            <w:pPr>
              <w:spacing w:after="0" w:line="240" w:lineRule="auto"/>
              <w:jc w:val="right"/>
              <w:rPr>
                <w:rFonts w:cs="Arial"/>
                <w:color w:val="000000"/>
                <w:sz w:val="18"/>
                <w:szCs w:val="18"/>
              </w:rPr>
            </w:pPr>
            <w:r w:rsidRPr="000B3C3F">
              <w:rPr>
                <w:rFonts w:cs="Arial"/>
                <w:color w:val="000000"/>
                <w:sz w:val="18"/>
                <w:szCs w:val="18"/>
              </w:rPr>
              <w:t>9.9740</w:t>
            </w:r>
          </w:p>
        </w:tc>
        <w:tc>
          <w:tcPr>
            <w:tcW w:w="924" w:type="dxa"/>
            <w:tcBorders>
              <w:top w:val="nil"/>
              <w:left w:val="nil"/>
              <w:bottom w:val="single" w:sz="8" w:space="0" w:color="auto"/>
              <w:right w:val="single" w:sz="8" w:space="0" w:color="auto"/>
            </w:tcBorders>
            <w:shd w:val="clear" w:color="000000" w:fill="BDD7EE"/>
            <w:noWrap/>
            <w:vAlign w:val="center"/>
            <w:hideMark/>
          </w:tcPr>
          <w:p w14:paraId="54CFEF8A" w14:textId="77777777" w:rsidR="000B3C3F" w:rsidRPr="000B3C3F" w:rsidRDefault="000B3C3F" w:rsidP="000B3C3F">
            <w:pPr>
              <w:spacing w:after="0" w:line="240" w:lineRule="auto"/>
              <w:jc w:val="right"/>
              <w:rPr>
                <w:rFonts w:cs="Arial"/>
                <w:color w:val="000000"/>
                <w:sz w:val="18"/>
                <w:szCs w:val="18"/>
              </w:rPr>
            </w:pPr>
            <w:r w:rsidRPr="000B3C3F">
              <w:rPr>
                <w:rFonts w:cs="Arial"/>
                <w:color w:val="000000"/>
                <w:sz w:val="18"/>
                <w:szCs w:val="18"/>
              </w:rPr>
              <w:t>2.6892</w:t>
            </w:r>
          </w:p>
        </w:tc>
        <w:tc>
          <w:tcPr>
            <w:tcW w:w="1131" w:type="dxa"/>
            <w:tcBorders>
              <w:top w:val="nil"/>
              <w:left w:val="nil"/>
              <w:bottom w:val="single" w:sz="8" w:space="0" w:color="auto"/>
              <w:right w:val="single" w:sz="8" w:space="0" w:color="auto"/>
            </w:tcBorders>
            <w:shd w:val="clear" w:color="000000" w:fill="BDD7EE"/>
            <w:noWrap/>
            <w:vAlign w:val="center"/>
            <w:hideMark/>
          </w:tcPr>
          <w:p w14:paraId="48257499" w14:textId="77777777" w:rsidR="000B3C3F" w:rsidRPr="000B3C3F" w:rsidRDefault="000B3C3F" w:rsidP="000B3C3F">
            <w:pPr>
              <w:spacing w:after="0" w:line="240" w:lineRule="auto"/>
              <w:jc w:val="right"/>
              <w:rPr>
                <w:rFonts w:cs="Arial"/>
                <w:color w:val="000000"/>
                <w:sz w:val="18"/>
                <w:szCs w:val="18"/>
              </w:rPr>
            </w:pPr>
            <w:r w:rsidRPr="000B3C3F">
              <w:rPr>
                <w:rFonts w:cs="Arial"/>
                <w:color w:val="000000"/>
                <w:sz w:val="18"/>
                <w:szCs w:val="18"/>
              </w:rPr>
              <w:t>1.2432</w:t>
            </w:r>
          </w:p>
        </w:tc>
        <w:tc>
          <w:tcPr>
            <w:tcW w:w="924" w:type="dxa"/>
            <w:tcBorders>
              <w:top w:val="nil"/>
              <w:left w:val="nil"/>
              <w:bottom w:val="single" w:sz="8" w:space="0" w:color="auto"/>
              <w:right w:val="single" w:sz="8" w:space="0" w:color="auto"/>
            </w:tcBorders>
            <w:shd w:val="clear" w:color="auto" w:fill="auto"/>
            <w:noWrap/>
            <w:vAlign w:val="center"/>
            <w:hideMark/>
          </w:tcPr>
          <w:p w14:paraId="5FF6E7E6" w14:textId="77777777" w:rsidR="000B3C3F" w:rsidRPr="000B3C3F" w:rsidRDefault="000B3C3F" w:rsidP="000B3C3F">
            <w:pPr>
              <w:spacing w:after="0" w:line="240" w:lineRule="auto"/>
              <w:jc w:val="right"/>
              <w:rPr>
                <w:rFonts w:cs="Arial"/>
                <w:color w:val="000000"/>
                <w:sz w:val="18"/>
                <w:szCs w:val="18"/>
              </w:rPr>
            </w:pPr>
            <w:r w:rsidRPr="000B3C3F">
              <w:rPr>
                <w:rFonts w:cs="Arial"/>
                <w:color w:val="000000"/>
                <w:sz w:val="18"/>
                <w:szCs w:val="18"/>
              </w:rPr>
              <w:t>0.6220</w:t>
            </w:r>
          </w:p>
        </w:tc>
        <w:tc>
          <w:tcPr>
            <w:tcW w:w="1099" w:type="dxa"/>
            <w:tcBorders>
              <w:top w:val="nil"/>
              <w:left w:val="nil"/>
              <w:bottom w:val="single" w:sz="8" w:space="0" w:color="auto"/>
              <w:right w:val="single" w:sz="8" w:space="0" w:color="auto"/>
            </w:tcBorders>
            <w:shd w:val="clear" w:color="auto" w:fill="auto"/>
            <w:noWrap/>
            <w:vAlign w:val="center"/>
            <w:hideMark/>
          </w:tcPr>
          <w:p w14:paraId="1E2B45FD" w14:textId="77777777" w:rsidR="000B3C3F" w:rsidRPr="000B3C3F" w:rsidRDefault="000B3C3F" w:rsidP="000B3C3F">
            <w:pPr>
              <w:spacing w:after="0" w:line="240" w:lineRule="auto"/>
              <w:jc w:val="right"/>
              <w:rPr>
                <w:rFonts w:cs="Arial"/>
                <w:color w:val="000000"/>
                <w:sz w:val="18"/>
                <w:szCs w:val="18"/>
              </w:rPr>
            </w:pPr>
            <w:r w:rsidRPr="000B3C3F">
              <w:rPr>
                <w:rFonts w:cs="Arial"/>
                <w:color w:val="000000"/>
                <w:sz w:val="18"/>
                <w:szCs w:val="18"/>
              </w:rPr>
              <w:t>0.3110</w:t>
            </w:r>
          </w:p>
        </w:tc>
      </w:tr>
    </w:tbl>
    <w:p w14:paraId="4AF9FC93" w14:textId="43BB4379" w:rsidR="00BE589F" w:rsidRDefault="000B3C3F" w:rsidP="005338D2">
      <w:pPr>
        <w:pStyle w:val="Paragraph"/>
        <w:spacing w:after="120"/>
        <w:rPr>
          <w:bCs/>
        </w:rPr>
      </w:pPr>
      <w:r>
        <w:rPr>
          <w:bCs/>
        </w:rPr>
        <w:br/>
      </w:r>
      <w:r w:rsidR="00BE589F">
        <w:rPr>
          <w:bCs/>
        </w:rPr>
        <w:t xml:space="preserve">Submitters were asked the following question </w:t>
      </w:r>
      <w:r w:rsidR="00E50A41">
        <w:rPr>
          <w:bCs/>
        </w:rPr>
        <w:t>about</w:t>
      </w:r>
      <w:r w:rsidR="00BE589F">
        <w:rPr>
          <w:bCs/>
        </w:rPr>
        <w:t xml:space="preserve"> the proposed reform:</w:t>
      </w:r>
    </w:p>
    <w:p w14:paraId="330143FE" w14:textId="77777777" w:rsidR="00830E54" w:rsidRPr="005338D2" w:rsidRDefault="00830E54" w:rsidP="005338D2">
      <w:pPr>
        <w:pStyle w:val="Heading3"/>
        <w:spacing w:after="0"/>
        <w:ind w:left="851" w:right="1008"/>
        <w:rPr>
          <w:sz w:val="18"/>
          <w:szCs w:val="18"/>
        </w:rPr>
      </w:pPr>
      <w:r w:rsidRPr="005338D2">
        <w:rPr>
          <w:sz w:val="18"/>
          <w:szCs w:val="18"/>
        </w:rPr>
        <w:t>Question 2</w:t>
      </w:r>
    </w:p>
    <w:p w14:paraId="529A301A" w14:textId="0218611D" w:rsidR="00830E54" w:rsidRPr="005338D2" w:rsidRDefault="00830E54" w:rsidP="005338D2">
      <w:pPr>
        <w:pStyle w:val="Paragraph"/>
        <w:ind w:left="851" w:right="1008"/>
        <w:rPr>
          <w:sz w:val="18"/>
          <w:szCs w:val="18"/>
        </w:rPr>
      </w:pPr>
      <w:r w:rsidRPr="005338D2">
        <w:rPr>
          <w:sz w:val="18"/>
          <w:szCs w:val="18"/>
        </w:rPr>
        <w:t>Do you have any comments on the proposal to increase location weightings for the high and medium-density areas in the &gt;2,</w:t>
      </w:r>
      <w:r w:rsidR="003D7729" w:rsidRPr="005338D2">
        <w:rPr>
          <w:sz w:val="18"/>
          <w:szCs w:val="18"/>
        </w:rPr>
        <w:t>690 </w:t>
      </w:r>
      <w:r w:rsidRPr="005338D2">
        <w:rPr>
          <w:sz w:val="18"/>
          <w:szCs w:val="18"/>
        </w:rPr>
        <w:t xml:space="preserve">to 5,000 MHz range? </w:t>
      </w:r>
    </w:p>
    <w:p w14:paraId="767D5D52" w14:textId="6DC826BA" w:rsidR="00BE589F" w:rsidRPr="00A95351" w:rsidRDefault="003D7729" w:rsidP="00BE589F">
      <w:pPr>
        <w:pStyle w:val="Paragraph"/>
      </w:pPr>
      <w:r>
        <w:t xml:space="preserve">We </w:t>
      </w:r>
      <w:r w:rsidR="7B919382">
        <w:t xml:space="preserve">received </w:t>
      </w:r>
      <w:r>
        <w:t xml:space="preserve">2 </w:t>
      </w:r>
      <w:r w:rsidR="7B919382">
        <w:t>submission</w:t>
      </w:r>
      <w:r w:rsidR="00090AAF">
        <w:t>s</w:t>
      </w:r>
      <w:r w:rsidR="7B919382">
        <w:t xml:space="preserve"> </w:t>
      </w:r>
      <w:r w:rsidR="00090AAF">
        <w:t>to this question</w:t>
      </w:r>
      <w:r w:rsidR="7B919382">
        <w:t xml:space="preserve">, </w:t>
      </w:r>
      <w:r w:rsidR="4CCFD2AF">
        <w:t xml:space="preserve">one of which was supportive and another </w:t>
      </w:r>
      <w:r w:rsidR="2E6F020C">
        <w:t>un</w:t>
      </w:r>
      <w:r w:rsidR="4CCFD2AF">
        <w:t xml:space="preserve">supportive. </w:t>
      </w:r>
      <w:r w:rsidR="6CD4659F">
        <w:t xml:space="preserve">One </w:t>
      </w:r>
      <w:r w:rsidR="4CCFD2AF">
        <w:t>submitter argued that the proposed increase would cause an unb</w:t>
      </w:r>
      <w:r w:rsidR="0891185B">
        <w:t xml:space="preserve">alanced additional cost for satellite services provided to remote areas. They further argued that </w:t>
      </w:r>
      <w:r w:rsidR="445AA0BC">
        <w:t xml:space="preserve">the ACMA should instead consider applying the same fees established for low-density areas to high- and medium-density areas for satellite services in the </w:t>
      </w:r>
      <w:r w:rsidR="4BB83810">
        <w:t xml:space="preserve">&gt;2,690 </w:t>
      </w:r>
      <w:r w:rsidR="445AA0BC">
        <w:t>to 5,000 MHz range</w:t>
      </w:r>
      <w:r w:rsidR="1DE77FED">
        <w:t xml:space="preserve"> or at least the same fees as est</w:t>
      </w:r>
      <w:r w:rsidR="6F612AC1">
        <w:t>ablished</w:t>
      </w:r>
      <w:r w:rsidR="1DE77FED">
        <w:t xml:space="preserve"> for above 5,</w:t>
      </w:r>
      <w:r w:rsidR="00090AAF">
        <w:t>000 </w:t>
      </w:r>
      <w:r w:rsidR="6F612AC1">
        <w:t>MHz.</w:t>
      </w:r>
    </w:p>
    <w:p w14:paraId="3F335427" w14:textId="08A4748F" w:rsidR="0086713A" w:rsidRPr="00A95351" w:rsidRDefault="6CD4659F" w:rsidP="00BE589F">
      <w:pPr>
        <w:pStyle w:val="Paragraph"/>
      </w:pPr>
      <w:r>
        <w:t xml:space="preserve">Another </w:t>
      </w:r>
      <w:r w:rsidR="6F612AC1">
        <w:t xml:space="preserve">submitter noted their support </w:t>
      </w:r>
      <w:r>
        <w:t>for</w:t>
      </w:r>
      <w:r w:rsidR="6F612AC1">
        <w:t xml:space="preserve"> changes that seek to optimise the use of spectrum in high-demand frequency ranges. </w:t>
      </w:r>
      <w:r w:rsidR="43970212">
        <w:t>They consider</w:t>
      </w:r>
      <w:r>
        <w:t xml:space="preserve">ed </w:t>
      </w:r>
      <w:r w:rsidR="43970212">
        <w:t xml:space="preserve">that the proposed changes should assist in reducing the potential for congestion in the &gt;2,690 to 5,000 </w:t>
      </w:r>
      <w:r w:rsidR="54C43948">
        <w:t xml:space="preserve">MHz range and </w:t>
      </w:r>
      <w:r w:rsidR="53646639">
        <w:t>ultimately support any reallocation of key spectrum to maximise use for 5G services.</w:t>
      </w:r>
    </w:p>
    <w:p w14:paraId="31AFDC3B" w14:textId="77777777" w:rsidR="00356AB0" w:rsidRPr="00EA5730" w:rsidRDefault="00356AB0" w:rsidP="0043159F">
      <w:pPr>
        <w:pStyle w:val="Heading4"/>
        <w:keepNext/>
        <w:spacing w:after="60"/>
        <w:rPr>
          <w:i w:val="0"/>
          <w:iCs/>
        </w:rPr>
      </w:pPr>
      <w:r w:rsidRPr="00EA5730">
        <w:rPr>
          <w:i w:val="0"/>
          <w:iCs/>
        </w:rPr>
        <w:lastRenderedPageBreak/>
        <w:t>Response to submitters</w:t>
      </w:r>
    </w:p>
    <w:p w14:paraId="0F4CD7B8" w14:textId="6D614970" w:rsidR="00EA5730" w:rsidRDefault="6B45474D" w:rsidP="00EA5730">
      <w:pPr>
        <w:pStyle w:val="Paragraph"/>
      </w:pPr>
      <w:r>
        <w:t xml:space="preserve">Noting issues raised by submitters, </w:t>
      </w:r>
      <w:r w:rsidR="00090AAF">
        <w:t>we have</w:t>
      </w:r>
      <w:r w:rsidR="59AFB2A5">
        <w:t xml:space="preserve"> decided to not proceed with the proposed increases and instead keep the location weightings at their current value. </w:t>
      </w:r>
      <w:r w:rsidR="00090AAF">
        <w:t xml:space="preserve">We </w:t>
      </w:r>
      <w:r w:rsidR="68B6AF77">
        <w:t xml:space="preserve">will instead commit to </w:t>
      </w:r>
      <w:r w:rsidR="027B96D8">
        <w:t>periodic band reviews</w:t>
      </w:r>
      <w:r w:rsidR="00090AAF">
        <w:t>,</w:t>
      </w:r>
      <w:r w:rsidR="027B96D8">
        <w:t xml:space="preserve"> including of these frequency ranges.</w:t>
      </w:r>
      <w:r w:rsidR="00117CE4">
        <w:t xml:space="preserve"> Further information of th</w:t>
      </w:r>
      <w:r w:rsidR="006E32E9">
        <w:t>is</w:t>
      </w:r>
      <w:r w:rsidR="00117CE4">
        <w:t xml:space="preserve"> ban</w:t>
      </w:r>
      <w:r w:rsidR="00853616">
        <w:t xml:space="preserve">d </w:t>
      </w:r>
      <w:r w:rsidR="00117CE4">
        <w:t>review</w:t>
      </w:r>
      <w:r w:rsidR="001009E1">
        <w:t xml:space="preserve"> and other band</w:t>
      </w:r>
      <w:r w:rsidR="00117CE4">
        <w:t>s will be included in the FYSO.</w:t>
      </w:r>
    </w:p>
    <w:p w14:paraId="7F1D2194" w14:textId="71FE6AFA" w:rsidR="003F28C4" w:rsidRDefault="00FF6B61" w:rsidP="007B242A">
      <w:pPr>
        <w:pStyle w:val="Heading2"/>
        <w:keepLines/>
      </w:pPr>
      <w:bookmarkStart w:id="15" w:name="_Toc108088300"/>
      <w:r>
        <w:t>Introduce new spectrum location band for services above 100 GHz</w:t>
      </w:r>
      <w:bookmarkEnd w:id="15"/>
    </w:p>
    <w:p w14:paraId="23C2B53A" w14:textId="47A84EFE" w:rsidR="008B301D" w:rsidRDefault="00F80FE9" w:rsidP="00A95351">
      <w:pPr>
        <w:pStyle w:val="Paragraph"/>
        <w:rPr>
          <w:bCs/>
        </w:rPr>
      </w:pPr>
      <w:r>
        <w:t xml:space="preserve">Submissions </w:t>
      </w:r>
      <w:r w:rsidR="005B329C">
        <w:rPr>
          <w:bCs/>
        </w:rPr>
        <w:t>to the Spectrum Pricing Review process have demonstrated that there are innovative services emerging in high frequency ran</w:t>
      </w:r>
      <w:r w:rsidR="006055FE">
        <w:rPr>
          <w:bCs/>
        </w:rPr>
        <w:t xml:space="preserve">ges with very large bandwidths </w:t>
      </w:r>
      <w:r w:rsidR="00090AAF">
        <w:rPr>
          <w:bCs/>
        </w:rPr>
        <w:t xml:space="preserve">but </w:t>
      </w:r>
      <w:r w:rsidR="006055FE">
        <w:rPr>
          <w:bCs/>
        </w:rPr>
        <w:t xml:space="preserve">a limited </w:t>
      </w:r>
      <w:r w:rsidR="002950C6">
        <w:rPr>
          <w:bCs/>
        </w:rPr>
        <w:t xml:space="preserve">geographic </w:t>
      </w:r>
      <w:r w:rsidR="006055FE">
        <w:rPr>
          <w:bCs/>
        </w:rPr>
        <w:t xml:space="preserve">spectrum denial footprint. An example of this is optical communications for satellite services. </w:t>
      </w:r>
      <w:r w:rsidR="00BE0B79">
        <w:rPr>
          <w:bCs/>
        </w:rPr>
        <w:t>Even with the tax reductions of 90% implemented as a part of the first tranche of reforms, services with bandwidths in the tens or hundreds of GHz have the potential for licence taxes to be prohibitive and stifle innovation.</w:t>
      </w:r>
      <w:r w:rsidR="008B301D">
        <w:rPr>
          <w:bCs/>
        </w:rPr>
        <w:t xml:space="preserve"> A summary of the affected location weightings </w:t>
      </w:r>
      <w:r w:rsidR="00090AAF">
        <w:rPr>
          <w:bCs/>
        </w:rPr>
        <w:t>before</w:t>
      </w:r>
      <w:r w:rsidR="008B301D">
        <w:rPr>
          <w:bCs/>
        </w:rPr>
        <w:t xml:space="preserve"> the proposed changes is shown </w:t>
      </w:r>
      <w:r w:rsidR="00090AAF">
        <w:rPr>
          <w:bCs/>
        </w:rPr>
        <w:t>in Table 5</w:t>
      </w:r>
      <w:r w:rsidR="008B301D">
        <w:rPr>
          <w:bCs/>
        </w:rPr>
        <w:t>.</w:t>
      </w:r>
    </w:p>
    <w:p w14:paraId="45E3CE0F" w14:textId="58ED6290" w:rsidR="00D00424" w:rsidRPr="002507F5" w:rsidRDefault="00D00424" w:rsidP="00D87FFD">
      <w:pPr>
        <w:pStyle w:val="Tableheading"/>
      </w:pPr>
      <w:r>
        <w:t xml:space="preserve">Current </w:t>
      </w:r>
      <w:r w:rsidRPr="002507F5">
        <w:t xml:space="preserve">location weightings for the </w:t>
      </w:r>
      <w:r>
        <w:t>above 51.4 GHz</w:t>
      </w:r>
      <w:r w:rsidRPr="002507F5">
        <w:t xml:space="preserve"> spectrum location</w:t>
      </w:r>
    </w:p>
    <w:tbl>
      <w:tblPr>
        <w:tblW w:w="7500" w:type="dxa"/>
        <w:tblLook w:val="04A0" w:firstRow="1" w:lastRow="0" w:firstColumn="1" w:lastColumn="0" w:noHBand="0" w:noVBand="1"/>
      </w:tblPr>
      <w:tblGrid>
        <w:gridCol w:w="2100"/>
        <w:gridCol w:w="1322"/>
        <w:gridCol w:w="924"/>
        <w:gridCol w:w="1131"/>
        <w:gridCol w:w="924"/>
        <w:gridCol w:w="1099"/>
      </w:tblGrid>
      <w:tr w:rsidR="0068636A" w:rsidRPr="0068636A" w14:paraId="5EEBB676" w14:textId="77777777" w:rsidTr="0068636A">
        <w:trPr>
          <w:trHeight w:val="293"/>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1AA0653D" w14:textId="77777777" w:rsidR="0068636A" w:rsidRPr="0068636A" w:rsidRDefault="0068636A" w:rsidP="0068636A">
            <w:pPr>
              <w:spacing w:after="0" w:line="240" w:lineRule="auto"/>
              <w:rPr>
                <w:rFonts w:cs="Arial"/>
                <w:b/>
                <w:bCs/>
                <w:color w:val="FFFFFF"/>
                <w:sz w:val="18"/>
                <w:szCs w:val="18"/>
              </w:rPr>
            </w:pPr>
            <w:r w:rsidRPr="0068636A">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16589228" w14:textId="77777777" w:rsidR="0068636A" w:rsidRPr="0068636A" w:rsidRDefault="0068636A" w:rsidP="0068636A">
            <w:pPr>
              <w:spacing w:after="0" w:line="240" w:lineRule="auto"/>
              <w:jc w:val="center"/>
              <w:rPr>
                <w:rFonts w:cs="Arial"/>
                <w:b/>
                <w:bCs/>
                <w:color w:val="FFFFFF"/>
                <w:sz w:val="18"/>
                <w:szCs w:val="18"/>
              </w:rPr>
            </w:pPr>
            <w:r w:rsidRPr="0068636A">
              <w:rPr>
                <w:rFonts w:cs="Arial"/>
                <w:b/>
                <w:bCs/>
                <w:color w:val="FFFFFF"/>
                <w:sz w:val="18"/>
                <w:szCs w:val="18"/>
              </w:rPr>
              <w:t>Geographic location</w:t>
            </w:r>
          </w:p>
        </w:tc>
      </w:tr>
      <w:tr w:rsidR="0068636A" w:rsidRPr="0068636A" w14:paraId="7109A526" w14:textId="77777777" w:rsidTr="0068636A">
        <w:trPr>
          <w:trHeight w:val="293"/>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13C3B3F9" w14:textId="77777777" w:rsidR="0068636A" w:rsidRPr="0068636A" w:rsidRDefault="0068636A" w:rsidP="0068636A">
            <w:pPr>
              <w:spacing w:after="0" w:line="240" w:lineRule="auto"/>
              <w:rPr>
                <w:rFonts w:cs="Arial"/>
                <w:b/>
                <w:bCs/>
                <w:color w:val="FFFFFF"/>
                <w:sz w:val="18"/>
                <w:szCs w:val="18"/>
              </w:rPr>
            </w:pPr>
            <w:r w:rsidRPr="0068636A">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55DC0889" w14:textId="04E66F9E" w:rsidR="0068636A" w:rsidRPr="0068636A" w:rsidRDefault="0068636A" w:rsidP="00D87FFD">
            <w:pPr>
              <w:spacing w:after="0" w:line="240" w:lineRule="auto"/>
              <w:jc w:val="right"/>
              <w:rPr>
                <w:rFonts w:cs="Arial"/>
                <w:b/>
                <w:bCs/>
                <w:color w:val="FFFFFF"/>
                <w:sz w:val="18"/>
                <w:szCs w:val="18"/>
              </w:rPr>
            </w:pPr>
            <w:r w:rsidRPr="0068636A">
              <w:rPr>
                <w:rFonts w:cs="Arial"/>
                <w:b/>
                <w:bCs/>
                <w:color w:val="FFFFFF"/>
                <w:sz w:val="18"/>
                <w:szCs w:val="18"/>
              </w:rPr>
              <w:t>Aus</w:t>
            </w:r>
            <w:r w:rsidR="00090AAF">
              <w:rPr>
                <w:rFonts w:cs="Arial"/>
                <w:b/>
                <w:bCs/>
                <w:color w:val="FFFFFF"/>
                <w:sz w:val="18"/>
                <w:szCs w:val="18"/>
              </w:rPr>
              <w:t>tralia</w:t>
            </w:r>
            <w:r w:rsidRPr="0068636A">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754048A2" w14:textId="77777777" w:rsidR="0068636A" w:rsidRPr="0068636A" w:rsidRDefault="0068636A" w:rsidP="00D87FFD">
            <w:pPr>
              <w:spacing w:after="0" w:line="240" w:lineRule="auto"/>
              <w:jc w:val="right"/>
              <w:rPr>
                <w:rFonts w:cs="Arial"/>
                <w:b/>
                <w:bCs/>
                <w:color w:val="FFFFFF"/>
                <w:sz w:val="18"/>
                <w:szCs w:val="18"/>
              </w:rPr>
            </w:pPr>
            <w:r w:rsidRPr="0068636A">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3E2F5907" w14:textId="77777777" w:rsidR="0068636A" w:rsidRPr="0068636A" w:rsidRDefault="0068636A" w:rsidP="00D87FFD">
            <w:pPr>
              <w:spacing w:after="0" w:line="240" w:lineRule="auto"/>
              <w:jc w:val="right"/>
              <w:rPr>
                <w:rFonts w:cs="Arial"/>
                <w:b/>
                <w:bCs/>
                <w:color w:val="FFFFFF"/>
                <w:sz w:val="18"/>
                <w:szCs w:val="18"/>
              </w:rPr>
            </w:pPr>
            <w:r w:rsidRPr="0068636A">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397723DB" w14:textId="77777777" w:rsidR="0068636A" w:rsidRPr="0068636A" w:rsidRDefault="0068636A" w:rsidP="00D87FFD">
            <w:pPr>
              <w:spacing w:after="0" w:line="240" w:lineRule="auto"/>
              <w:jc w:val="right"/>
              <w:rPr>
                <w:rFonts w:cs="Arial"/>
                <w:b/>
                <w:bCs/>
                <w:color w:val="FFFFFF"/>
                <w:sz w:val="18"/>
                <w:szCs w:val="18"/>
              </w:rPr>
            </w:pPr>
            <w:r w:rsidRPr="0068636A">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2AA758E2" w14:textId="77777777" w:rsidR="0068636A" w:rsidRPr="0068636A" w:rsidRDefault="0068636A" w:rsidP="00D87FFD">
            <w:pPr>
              <w:spacing w:after="0" w:line="240" w:lineRule="auto"/>
              <w:jc w:val="right"/>
              <w:rPr>
                <w:rFonts w:cs="Arial"/>
                <w:b/>
                <w:bCs/>
                <w:color w:val="FFFFFF"/>
                <w:sz w:val="18"/>
                <w:szCs w:val="18"/>
              </w:rPr>
            </w:pPr>
            <w:r w:rsidRPr="0068636A">
              <w:rPr>
                <w:rFonts w:cs="Arial"/>
                <w:b/>
                <w:bCs/>
                <w:color w:val="FFFFFF"/>
                <w:sz w:val="18"/>
                <w:szCs w:val="18"/>
              </w:rPr>
              <w:t>Remote</w:t>
            </w:r>
          </w:p>
        </w:tc>
      </w:tr>
      <w:tr w:rsidR="0068636A" w:rsidRPr="0068636A" w14:paraId="06823C11" w14:textId="77777777" w:rsidTr="0068636A">
        <w:trPr>
          <w:trHeight w:val="293"/>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1A1194D9" w14:textId="77777777" w:rsidR="0068636A" w:rsidRPr="0068636A" w:rsidRDefault="0068636A" w:rsidP="0068636A">
            <w:pPr>
              <w:spacing w:after="0" w:line="240" w:lineRule="auto"/>
              <w:rPr>
                <w:rFonts w:cs="Arial"/>
                <w:color w:val="000000"/>
                <w:sz w:val="18"/>
                <w:szCs w:val="18"/>
              </w:rPr>
            </w:pPr>
            <w:r w:rsidRPr="0068636A">
              <w:rPr>
                <w:rFonts w:cs="Arial"/>
                <w:color w:val="000000"/>
                <w:sz w:val="18"/>
                <w:szCs w:val="18"/>
              </w:rPr>
              <w:t>Above 51.4 GHz</w:t>
            </w:r>
          </w:p>
        </w:tc>
        <w:tc>
          <w:tcPr>
            <w:tcW w:w="1322" w:type="dxa"/>
            <w:tcBorders>
              <w:top w:val="nil"/>
              <w:left w:val="nil"/>
              <w:bottom w:val="single" w:sz="8" w:space="0" w:color="auto"/>
              <w:right w:val="single" w:sz="8" w:space="0" w:color="auto"/>
            </w:tcBorders>
            <w:shd w:val="clear" w:color="auto" w:fill="auto"/>
            <w:noWrap/>
            <w:vAlign w:val="center"/>
            <w:hideMark/>
          </w:tcPr>
          <w:p w14:paraId="2F880DFE" w14:textId="77777777" w:rsidR="0068636A" w:rsidRPr="0068636A" w:rsidRDefault="0068636A" w:rsidP="0068636A">
            <w:pPr>
              <w:spacing w:after="0" w:line="240" w:lineRule="auto"/>
              <w:jc w:val="right"/>
              <w:rPr>
                <w:rFonts w:cs="Arial"/>
                <w:color w:val="000000"/>
                <w:sz w:val="18"/>
                <w:szCs w:val="18"/>
              </w:rPr>
            </w:pPr>
            <w:r w:rsidRPr="0068636A">
              <w:rPr>
                <w:rFonts w:cs="Arial"/>
                <w:color w:val="000000"/>
                <w:sz w:val="18"/>
                <w:szCs w:val="18"/>
              </w:rPr>
              <w:t>0.1000</w:t>
            </w:r>
          </w:p>
        </w:tc>
        <w:tc>
          <w:tcPr>
            <w:tcW w:w="924" w:type="dxa"/>
            <w:tcBorders>
              <w:top w:val="nil"/>
              <w:left w:val="nil"/>
              <w:bottom w:val="single" w:sz="8" w:space="0" w:color="auto"/>
              <w:right w:val="single" w:sz="8" w:space="0" w:color="auto"/>
            </w:tcBorders>
            <w:shd w:val="clear" w:color="auto" w:fill="auto"/>
            <w:noWrap/>
            <w:vAlign w:val="center"/>
            <w:hideMark/>
          </w:tcPr>
          <w:p w14:paraId="118D95DA" w14:textId="77777777" w:rsidR="0068636A" w:rsidRPr="0068636A" w:rsidRDefault="0068636A" w:rsidP="0068636A">
            <w:pPr>
              <w:spacing w:after="0" w:line="240" w:lineRule="auto"/>
              <w:jc w:val="right"/>
              <w:rPr>
                <w:rFonts w:cs="Arial"/>
                <w:color w:val="000000"/>
                <w:sz w:val="18"/>
                <w:szCs w:val="18"/>
              </w:rPr>
            </w:pPr>
            <w:r w:rsidRPr="0068636A">
              <w:rPr>
                <w:rFonts w:cs="Arial"/>
                <w:color w:val="000000"/>
                <w:sz w:val="18"/>
                <w:szCs w:val="18"/>
              </w:rPr>
              <w:t>0.0100</w:t>
            </w:r>
          </w:p>
        </w:tc>
        <w:tc>
          <w:tcPr>
            <w:tcW w:w="1131" w:type="dxa"/>
            <w:tcBorders>
              <w:top w:val="nil"/>
              <w:left w:val="nil"/>
              <w:bottom w:val="single" w:sz="8" w:space="0" w:color="auto"/>
              <w:right w:val="single" w:sz="8" w:space="0" w:color="auto"/>
            </w:tcBorders>
            <w:shd w:val="clear" w:color="auto" w:fill="auto"/>
            <w:noWrap/>
            <w:vAlign w:val="center"/>
            <w:hideMark/>
          </w:tcPr>
          <w:p w14:paraId="7FBA9818" w14:textId="77777777" w:rsidR="0068636A" w:rsidRPr="0068636A" w:rsidRDefault="0068636A" w:rsidP="0068636A">
            <w:pPr>
              <w:spacing w:after="0" w:line="240" w:lineRule="auto"/>
              <w:jc w:val="right"/>
              <w:rPr>
                <w:rFonts w:cs="Arial"/>
                <w:color w:val="000000"/>
                <w:sz w:val="18"/>
                <w:szCs w:val="18"/>
              </w:rPr>
            </w:pPr>
            <w:r w:rsidRPr="0068636A">
              <w:rPr>
                <w:rFonts w:cs="Arial"/>
                <w:color w:val="000000"/>
                <w:sz w:val="18"/>
                <w:szCs w:val="18"/>
              </w:rPr>
              <w:t>0.0100</w:t>
            </w:r>
          </w:p>
        </w:tc>
        <w:tc>
          <w:tcPr>
            <w:tcW w:w="924" w:type="dxa"/>
            <w:tcBorders>
              <w:top w:val="nil"/>
              <w:left w:val="nil"/>
              <w:bottom w:val="single" w:sz="8" w:space="0" w:color="auto"/>
              <w:right w:val="single" w:sz="8" w:space="0" w:color="auto"/>
            </w:tcBorders>
            <w:shd w:val="clear" w:color="auto" w:fill="auto"/>
            <w:noWrap/>
            <w:vAlign w:val="center"/>
            <w:hideMark/>
          </w:tcPr>
          <w:p w14:paraId="3469D0FF" w14:textId="77777777" w:rsidR="0068636A" w:rsidRPr="0068636A" w:rsidRDefault="0068636A" w:rsidP="0068636A">
            <w:pPr>
              <w:spacing w:after="0" w:line="240" w:lineRule="auto"/>
              <w:jc w:val="right"/>
              <w:rPr>
                <w:rFonts w:cs="Arial"/>
                <w:color w:val="000000"/>
                <w:sz w:val="18"/>
                <w:szCs w:val="18"/>
              </w:rPr>
            </w:pPr>
            <w:r w:rsidRPr="0068636A">
              <w:rPr>
                <w:rFonts w:cs="Arial"/>
                <w:color w:val="000000"/>
                <w:sz w:val="18"/>
                <w:szCs w:val="18"/>
              </w:rPr>
              <w:t>0.0010</w:t>
            </w:r>
          </w:p>
        </w:tc>
        <w:tc>
          <w:tcPr>
            <w:tcW w:w="1099" w:type="dxa"/>
            <w:tcBorders>
              <w:top w:val="nil"/>
              <w:left w:val="nil"/>
              <w:bottom w:val="single" w:sz="8" w:space="0" w:color="auto"/>
              <w:right w:val="single" w:sz="8" w:space="0" w:color="auto"/>
            </w:tcBorders>
            <w:shd w:val="clear" w:color="auto" w:fill="auto"/>
            <w:noWrap/>
            <w:vAlign w:val="center"/>
            <w:hideMark/>
          </w:tcPr>
          <w:p w14:paraId="5A839F47" w14:textId="77777777" w:rsidR="0068636A" w:rsidRPr="0068636A" w:rsidRDefault="0068636A" w:rsidP="0068636A">
            <w:pPr>
              <w:spacing w:after="0" w:line="240" w:lineRule="auto"/>
              <w:jc w:val="right"/>
              <w:rPr>
                <w:rFonts w:cs="Arial"/>
                <w:color w:val="000000"/>
                <w:sz w:val="18"/>
                <w:szCs w:val="18"/>
              </w:rPr>
            </w:pPr>
            <w:r w:rsidRPr="0068636A">
              <w:rPr>
                <w:rFonts w:cs="Arial"/>
                <w:color w:val="000000"/>
                <w:sz w:val="18"/>
                <w:szCs w:val="18"/>
              </w:rPr>
              <w:t>0.0010</w:t>
            </w:r>
          </w:p>
        </w:tc>
      </w:tr>
    </w:tbl>
    <w:p w14:paraId="0F7C83CD" w14:textId="454E2A36" w:rsidR="000E0909" w:rsidRDefault="0068636A" w:rsidP="000E0909">
      <w:pPr>
        <w:pStyle w:val="Paragraph"/>
      </w:pPr>
      <w:r>
        <w:rPr>
          <w:bCs/>
        </w:rPr>
        <w:br/>
      </w:r>
      <w:r w:rsidR="00090AAF">
        <w:rPr>
          <w:bCs/>
        </w:rPr>
        <w:t>We</w:t>
      </w:r>
      <w:r w:rsidR="008B301D">
        <w:rPr>
          <w:bCs/>
        </w:rPr>
        <w:t xml:space="preserve"> proposed to create a new band above 100 GHz and set tax rates for these services at the minimum tax</w:t>
      </w:r>
      <w:r w:rsidR="00912413">
        <w:rPr>
          <w:bCs/>
        </w:rPr>
        <w:t xml:space="preserve"> (currently $41.37)</w:t>
      </w:r>
      <w:r w:rsidR="00EC125A" w:rsidRPr="00A95351">
        <w:t xml:space="preserve">. A breakpoint of 100 GHz was identified as a relevant consideration, noting recent activity in other jurisdictions including the </w:t>
      </w:r>
      <w:r w:rsidR="00EC125A" w:rsidRPr="00E74B29">
        <w:t>United Kingdom and United States</w:t>
      </w:r>
      <w:r w:rsidR="00EC125A" w:rsidRPr="00A95351">
        <w:t xml:space="preserve"> to facilitate greater access to frequencies above this range. </w:t>
      </w:r>
      <w:r w:rsidR="00A72D59" w:rsidRPr="00A95351">
        <w:t xml:space="preserve">Charging the minimum tax in this band also acknowledges the lower potential for interference in this range. </w:t>
      </w:r>
      <w:r w:rsidR="00A72D59">
        <w:t xml:space="preserve">A summary of the location weightings resulting from the proposed changes is shown </w:t>
      </w:r>
      <w:r w:rsidR="00090AAF">
        <w:t>in Table 6</w:t>
      </w:r>
      <w:r w:rsidR="00A72D59">
        <w:t>.</w:t>
      </w:r>
    </w:p>
    <w:p w14:paraId="34CF13F3" w14:textId="33029098" w:rsidR="00D00424" w:rsidRPr="002507F5" w:rsidRDefault="00D00424" w:rsidP="00D87FFD">
      <w:pPr>
        <w:pStyle w:val="Tableheading"/>
      </w:pPr>
      <w:r>
        <w:t xml:space="preserve">Proposed </w:t>
      </w:r>
      <w:r w:rsidRPr="002507F5">
        <w:t xml:space="preserve">location weightings for the </w:t>
      </w:r>
      <w:r w:rsidR="00743DE1">
        <w:t>&gt;</w:t>
      </w:r>
      <w:r w:rsidR="001313E8">
        <w:t>51.4 GHz to 100 GHz and above 100 GHz</w:t>
      </w:r>
      <w:r w:rsidRPr="002507F5">
        <w:t xml:space="preserve"> spectrum location</w:t>
      </w:r>
      <w:r w:rsidR="001313E8">
        <w:t>s</w:t>
      </w:r>
    </w:p>
    <w:tbl>
      <w:tblPr>
        <w:tblW w:w="7500" w:type="dxa"/>
        <w:tblLook w:val="04A0" w:firstRow="1" w:lastRow="0" w:firstColumn="1" w:lastColumn="0" w:noHBand="0" w:noVBand="1"/>
      </w:tblPr>
      <w:tblGrid>
        <w:gridCol w:w="2100"/>
        <w:gridCol w:w="1322"/>
        <w:gridCol w:w="924"/>
        <w:gridCol w:w="1131"/>
        <w:gridCol w:w="924"/>
        <w:gridCol w:w="1099"/>
      </w:tblGrid>
      <w:tr w:rsidR="000E0909" w:rsidRPr="000E0909" w14:paraId="20C5AAB4" w14:textId="77777777" w:rsidTr="000E0909">
        <w:trPr>
          <w:trHeight w:val="287"/>
        </w:trPr>
        <w:tc>
          <w:tcPr>
            <w:tcW w:w="2100" w:type="dxa"/>
            <w:tcBorders>
              <w:top w:val="single" w:sz="8" w:space="0" w:color="auto"/>
              <w:left w:val="single" w:sz="8" w:space="0" w:color="auto"/>
              <w:bottom w:val="single" w:sz="8" w:space="0" w:color="auto"/>
              <w:right w:val="single" w:sz="8" w:space="0" w:color="auto"/>
            </w:tcBorders>
            <w:shd w:val="clear" w:color="000000" w:fill="404040"/>
            <w:noWrap/>
            <w:vAlign w:val="center"/>
            <w:hideMark/>
          </w:tcPr>
          <w:p w14:paraId="7A37A505" w14:textId="77777777" w:rsidR="000E0909" w:rsidRPr="000E0909" w:rsidRDefault="000E0909" w:rsidP="000E0909">
            <w:pPr>
              <w:spacing w:after="0" w:line="240" w:lineRule="auto"/>
              <w:rPr>
                <w:rFonts w:cs="Arial"/>
                <w:b/>
                <w:bCs/>
                <w:color w:val="FFFFFF"/>
                <w:sz w:val="18"/>
                <w:szCs w:val="18"/>
              </w:rPr>
            </w:pPr>
            <w:r w:rsidRPr="000E0909">
              <w:rPr>
                <w:rFonts w:cs="Arial"/>
                <w:b/>
                <w:bCs/>
                <w:color w:val="FFFFFF"/>
                <w:sz w:val="18"/>
                <w:szCs w:val="18"/>
              </w:rPr>
              <w:t> </w:t>
            </w:r>
          </w:p>
        </w:tc>
        <w:tc>
          <w:tcPr>
            <w:tcW w:w="5400" w:type="dxa"/>
            <w:gridSpan w:val="5"/>
            <w:tcBorders>
              <w:top w:val="single" w:sz="8" w:space="0" w:color="auto"/>
              <w:left w:val="nil"/>
              <w:bottom w:val="single" w:sz="8" w:space="0" w:color="auto"/>
              <w:right w:val="single" w:sz="8" w:space="0" w:color="000000"/>
            </w:tcBorders>
            <w:shd w:val="clear" w:color="000000" w:fill="404040"/>
            <w:noWrap/>
            <w:vAlign w:val="center"/>
            <w:hideMark/>
          </w:tcPr>
          <w:p w14:paraId="43C2BC7C" w14:textId="77777777" w:rsidR="000E0909" w:rsidRPr="000E0909" w:rsidRDefault="000E0909" w:rsidP="000E0909">
            <w:pPr>
              <w:spacing w:after="0" w:line="240" w:lineRule="auto"/>
              <w:jc w:val="center"/>
              <w:rPr>
                <w:rFonts w:cs="Arial"/>
                <w:b/>
                <w:bCs/>
                <w:color w:val="FFFFFF"/>
                <w:sz w:val="18"/>
                <w:szCs w:val="18"/>
              </w:rPr>
            </w:pPr>
            <w:r w:rsidRPr="000E0909">
              <w:rPr>
                <w:rFonts w:cs="Arial"/>
                <w:b/>
                <w:bCs/>
                <w:color w:val="FFFFFF"/>
                <w:sz w:val="18"/>
                <w:szCs w:val="18"/>
              </w:rPr>
              <w:t>Geographic location</w:t>
            </w:r>
          </w:p>
        </w:tc>
      </w:tr>
      <w:tr w:rsidR="000E0909" w:rsidRPr="000E0909" w14:paraId="06206775" w14:textId="77777777" w:rsidTr="000E0909">
        <w:trPr>
          <w:trHeight w:val="287"/>
        </w:trPr>
        <w:tc>
          <w:tcPr>
            <w:tcW w:w="2100" w:type="dxa"/>
            <w:tcBorders>
              <w:top w:val="nil"/>
              <w:left w:val="single" w:sz="8" w:space="0" w:color="auto"/>
              <w:bottom w:val="single" w:sz="8" w:space="0" w:color="auto"/>
              <w:right w:val="single" w:sz="8" w:space="0" w:color="auto"/>
            </w:tcBorders>
            <w:shd w:val="clear" w:color="000000" w:fill="404040"/>
            <w:noWrap/>
            <w:vAlign w:val="center"/>
            <w:hideMark/>
          </w:tcPr>
          <w:p w14:paraId="5A328412" w14:textId="77777777" w:rsidR="000E0909" w:rsidRPr="000E0909" w:rsidRDefault="000E0909" w:rsidP="000E0909">
            <w:pPr>
              <w:spacing w:after="0" w:line="240" w:lineRule="auto"/>
              <w:rPr>
                <w:rFonts w:cs="Arial"/>
                <w:b/>
                <w:bCs/>
                <w:color w:val="FFFFFF"/>
                <w:sz w:val="18"/>
                <w:szCs w:val="18"/>
              </w:rPr>
            </w:pPr>
            <w:r w:rsidRPr="000E0909">
              <w:rPr>
                <w:rFonts w:cs="Arial"/>
                <w:b/>
                <w:bCs/>
                <w:color w:val="FFFFFF"/>
                <w:sz w:val="18"/>
                <w:szCs w:val="18"/>
              </w:rPr>
              <w:t>Spectrum location</w:t>
            </w:r>
          </w:p>
        </w:tc>
        <w:tc>
          <w:tcPr>
            <w:tcW w:w="1322" w:type="dxa"/>
            <w:tcBorders>
              <w:top w:val="nil"/>
              <w:left w:val="nil"/>
              <w:bottom w:val="single" w:sz="8" w:space="0" w:color="auto"/>
              <w:right w:val="single" w:sz="8" w:space="0" w:color="auto"/>
            </w:tcBorders>
            <w:shd w:val="clear" w:color="000000" w:fill="404040"/>
            <w:noWrap/>
            <w:vAlign w:val="center"/>
            <w:hideMark/>
          </w:tcPr>
          <w:p w14:paraId="5F0187B8" w14:textId="78B56919" w:rsidR="000E0909" w:rsidRPr="000E0909" w:rsidRDefault="000E0909" w:rsidP="00D87FFD">
            <w:pPr>
              <w:spacing w:after="0" w:line="240" w:lineRule="auto"/>
              <w:jc w:val="right"/>
              <w:rPr>
                <w:rFonts w:cs="Arial"/>
                <w:b/>
                <w:bCs/>
                <w:color w:val="FFFFFF"/>
                <w:sz w:val="18"/>
                <w:szCs w:val="18"/>
              </w:rPr>
            </w:pPr>
            <w:r w:rsidRPr="000E0909">
              <w:rPr>
                <w:rFonts w:cs="Arial"/>
                <w:b/>
                <w:bCs/>
                <w:color w:val="FFFFFF"/>
                <w:sz w:val="18"/>
                <w:szCs w:val="18"/>
              </w:rPr>
              <w:t>Aus</w:t>
            </w:r>
            <w:r w:rsidR="00090AAF">
              <w:rPr>
                <w:rFonts w:cs="Arial"/>
                <w:b/>
                <w:bCs/>
                <w:color w:val="FFFFFF"/>
                <w:sz w:val="18"/>
                <w:szCs w:val="18"/>
              </w:rPr>
              <w:t>tralia</w:t>
            </w:r>
            <w:r w:rsidRPr="000E0909">
              <w:rPr>
                <w:rFonts w:cs="Arial"/>
                <w:b/>
                <w:bCs/>
                <w:color w:val="FFFFFF"/>
                <w:sz w:val="18"/>
                <w:szCs w:val="18"/>
              </w:rPr>
              <w:t>-wide</w:t>
            </w:r>
          </w:p>
        </w:tc>
        <w:tc>
          <w:tcPr>
            <w:tcW w:w="924" w:type="dxa"/>
            <w:tcBorders>
              <w:top w:val="nil"/>
              <w:left w:val="nil"/>
              <w:bottom w:val="single" w:sz="8" w:space="0" w:color="auto"/>
              <w:right w:val="single" w:sz="8" w:space="0" w:color="auto"/>
            </w:tcBorders>
            <w:shd w:val="clear" w:color="000000" w:fill="404040"/>
            <w:noWrap/>
            <w:vAlign w:val="center"/>
            <w:hideMark/>
          </w:tcPr>
          <w:p w14:paraId="58C08E3C" w14:textId="77777777" w:rsidR="000E0909" w:rsidRPr="000E0909" w:rsidRDefault="000E0909" w:rsidP="00D87FFD">
            <w:pPr>
              <w:spacing w:after="0" w:line="240" w:lineRule="auto"/>
              <w:jc w:val="right"/>
              <w:rPr>
                <w:rFonts w:cs="Arial"/>
                <w:b/>
                <w:bCs/>
                <w:color w:val="FFFFFF"/>
                <w:sz w:val="18"/>
                <w:szCs w:val="18"/>
              </w:rPr>
            </w:pPr>
            <w:r w:rsidRPr="000E0909">
              <w:rPr>
                <w:rFonts w:cs="Arial"/>
                <w:b/>
                <w:bCs/>
                <w:color w:val="FFFFFF"/>
                <w:sz w:val="18"/>
                <w:szCs w:val="18"/>
              </w:rPr>
              <w:t>High</w:t>
            </w:r>
          </w:p>
        </w:tc>
        <w:tc>
          <w:tcPr>
            <w:tcW w:w="1131" w:type="dxa"/>
            <w:tcBorders>
              <w:top w:val="nil"/>
              <w:left w:val="nil"/>
              <w:bottom w:val="single" w:sz="8" w:space="0" w:color="auto"/>
              <w:right w:val="single" w:sz="8" w:space="0" w:color="auto"/>
            </w:tcBorders>
            <w:shd w:val="clear" w:color="000000" w:fill="404040"/>
            <w:noWrap/>
            <w:vAlign w:val="center"/>
            <w:hideMark/>
          </w:tcPr>
          <w:p w14:paraId="6E1D7F51" w14:textId="77777777" w:rsidR="000E0909" w:rsidRPr="000E0909" w:rsidRDefault="000E0909" w:rsidP="00D87FFD">
            <w:pPr>
              <w:spacing w:after="0" w:line="240" w:lineRule="auto"/>
              <w:jc w:val="right"/>
              <w:rPr>
                <w:rFonts w:cs="Arial"/>
                <w:b/>
                <w:bCs/>
                <w:color w:val="FFFFFF"/>
                <w:sz w:val="18"/>
                <w:szCs w:val="18"/>
              </w:rPr>
            </w:pPr>
            <w:r w:rsidRPr="000E0909">
              <w:rPr>
                <w:rFonts w:cs="Arial"/>
                <w:b/>
                <w:bCs/>
                <w:color w:val="FFFFFF"/>
                <w:sz w:val="18"/>
                <w:szCs w:val="18"/>
              </w:rPr>
              <w:t>Medium</w:t>
            </w:r>
          </w:p>
        </w:tc>
        <w:tc>
          <w:tcPr>
            <w:tcW w:w="924" w:type="dxa"/>
            <w:tcBorders>
              <w:top w:val="nil"/>
              <w:left w:val="nil"/>
              <w:bottom w:val="single" w:sz="8" w:space="0" w:color="auto"/>
              <w:right w:val="single" w:sz="8" w:space="0" w:color="auto"/>
            </w:tcBorders>
            <w:shd w:val="clear" w:color="000000" w:fill="404040"/>
            <w:noWrap/>
            <w:vAlign w:val="center"/>
            <w:hideMark/>
          </w:tcPr>
          <w:p w14:paraId="7CAA395D" w14:textId="77777777" w:rsidR="000E0909" w:rsidRPr="000E0909" w:rsidRDefault="000E0909" w:rsidP="00D87FFD">
            <w:pPr>
              <w:spacing w:after="0" w:line="240" w:lineRule="auto"/>
              <w:jc w:val="right"/>
              <w:rPr>
                <w:rFonts w:cs="Arial"/>
                <w:b/>
                <w:bCs/>
                <w:color w:val="FFFFFF"/>
                <w:sz w:val="18"/>
                <w:szCs w:val="18"/>
              </w:rPr>
            </w:pPr>
            <w:r w:rsidRPr="000E0909">
              <w:rPr>
                <w:rFonts w:cs="Arial"/>
                <w:b/>
                <w:bCs/>
                <w:color w:val="FFFFFF"/>
                <w:sz w:val="18"/>
                <w:szCs w:val="18"/>
              </w:rPr>
              <w:t>Low</w:t>
            </w:r>
          </w:p>
        </w:tc>
        <w:tc>
          <w:tcPr>
            <w:tcW w:w="1099" w:type="dxa"/>
            <w:tcBorders>
              <w:top w:val="nil"/>
              <w:left w:val="nil"/>
              <w:bottom w:val="single" w:sz="8" w:space="0" w:color="auto"/>
              <w:right w:val="single" w:sz="8" w:space="0" w:color="auto"/>
            </w:tcBorders>
            <w:shd w:val="clear" w:color="000000" w:fill="404040"/>
            <w:noWrap/>
            <w:vAlign w:val="center"/>
            <w:hideMark/>
          </w:tcPr>
          <w:p w14:paraId="29679734" w14:textId="77777777" w:rsidR="000E0909" w:rsidRPr="000E0909" w:rsidRDefault="000E0909" w:rsidP="00D87FFD">
            <w:pPr>
              <w:spacing w:after="0" w:line="240" w:lineRule="auto"/>
              <w:jc w:val="right"/>
              <w:rPr>
                <w:rFonts w:cs="Arial"/>
                <w:b/>
                <w:bCs/>
                <w:color w:val="FFFFFF"/>
                <w:sz w:val="18"/>
                <w:szCs w:val="18"/>
              </w:rPr>
            </w:pPr>
            <w:r w:rsidRPr="000E0909">
              <w:rPr>
                <w:rFonts w:cs="Arial"/>
                <w:b/>
                <w:bCs/>
                <w:color w:val="FFFFFF"/>
                <w:sz w:val="18"/>
                <w:szCs w:val="18"/>
              </w:rPr>
              <w:t>Remote</w:t>
            </w:r>
          </w:p>
        </w:tc>
      </w:tr>
      <w:tr w:rsidR="000E0909" w:rsidRPr="000E0909" w14:paraId="32AE81A9" w14:textId="77777777" w:rsidTr="000E0909">
        <w:trPr>
          <w:trHeight w:val="287"/>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242DA482" w14:textId="6E4E46B3" w:rsidR="000E0909" w:rsidRPr="000E0909" w:rsidRDefault="00743DE1" w:rsidP="000E0909">
            <w:pPr>
              <w:spacing w:after="0" w:line="240" w:lineRule="auto"/>
              <w:rPr>
                <w:rFonts w:cs="Arial"/>
                <w:color w:val="000000"/>
                <w:sz w:val="18"/>
                <w:szCs w:val="18"/>
              </w:rPr>
            </w:pPr>
            <w:r>
              <w:rPr>
                <w:rFonts w:cs="Arial"/>
                <w:color w:val="000000"/>
                <w:sz w:val="18"/>
                <w:szCs w:val="18"/>
              </w:rPr>
              <w:t>&gt;</w:t>
            </w:r>
            <w:r w:rsidR="000E0909" w:rsidRPr="000E0909">
              <w:rPr>
                <w:rFonts w:cs="Arial"/>
                <w:color w:val="000000"/>
                <w:sz w:val="18"/>
                <w:szCs w:val="18"/>
              </w:rPr>
              <w:t>51.4 to 100 GHz</w:t>
            </w:r>
          </w:p>
        </w:tc>
        <w:tc>
          <w:tcPr>
            <w:tcW w:w="1322" w:type="dxa"/>
            <w:tcBorders>
              <w:top w:val="nil"/>
              <w:left w:val="nil"/>
              <w:bottom w:val="single" w:sz="8" w:space="0" w:color="auto"/>
              <w:right w:val="single" w:sz="8" w:space="0" w:color="auto"/>
            </w:tcBorders>
            <w:shd w:val="clear" w:color="auto" w:fill="auto"/>
            <w:noWrap/>
            <w:vAlign w:val="center"/>
            <w:hideMark/>
          </w:tcPr>
          <w:p w14:paraId="060CE121"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0.0100</w:t>
            </w:r>
          </w:p>
        </w:tc>
        <w:tc>
          <w:tcPr>
            <w:tcW w:w="924" w:type="dxa"/>
            <w:tcBorders>
              <w:top w:val="nil"/>
              <w:left w:val="nil"/>
              <w:bottom w:val="single" w:sz="8" w:space="0" w:color="auto"/>
              <w:right w:val="single" w:sz="8" w:space="0" w:color="auto"/>
            </w:tcBorders>
            <w:shd w:val="clear" w:color="auto" w:fill="auto"/>
            <w:noWrap/>
            <w:vAlign w:val="center"/>
            <w:hideMark/>
          </w:tcPr>
          <w:p w14:paraId="3725508F"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0.0010</w:t>
            </w:r>
          </w:p>
        </w:tc>
        <w:tc>
          <w:tcPr>
            <w:tcW w:w="1131" w:type="dxa"/>
            <w:tcBorders>
              <w:top w:val="nil"/>
              <w:left w:val="nil"/>
              <w:bottom w:val="single" w:sz="8" w:space="0" w:color="auto"/>
              <w:right w:val="single" w:sz="8" w:space="0" w:color="auto"/>
            </w:tcBorders>
            <w:shd w:val="clear" w:color="auto" w:fill="auto"/>
            <w:noWrap/>
            <w:vAlign w:val="center"/>
            <w:hideMark/>
          </w:tcPr>
          <w:p w14:paraId="2D903FD0"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0.0010</w:t>
            </w:r>
          </w:p>
        </w:tc>
        <w:tc>
          <w:tcPr>
            <w:tcW w:w="924" w:type="dxa"/>
            <w:tcBorders>
              <w:top w:val="nil"/>
              <w:left w:val="nil"/>
              <w:bottom w:val="single" w:sz="8" w:space="0" w:color="auto"/>
              <w:right w:val="single" w:sz="8" w:space="0" w:color="auto"/>
            </w:tcBorders>
            <w:shd w:val="clear" w:color="auto" w:fill="auto"/>
            <w:noWrap/>
            <w:vAlign w:val="center"/>
            <w:hideMark/>
          </w:tcPr>
          <w:p w14:paraId="11ECDB71"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0.0001</w:t>
            </w:r>
          </w:p>
        </w:tc>
        <w:tc>
          <w:tcPr>
            <w:tcW w:w="1099" w:type="dxa"/>
            <w:tcBorders>
              <w:top w:val="nil"/>
              <w:left w:val="nil"/>
              <w:bottom w:val="single" w:sz="8" w:space="0" w:color="auto"/>
              <w:right w:val="single" w:sz="8" w:space="0" w:color="auto"/>
            </w:tcBorders>
            <w:shd w:val="clear" w:color="auto" w:fill="auto"/>
            <w:noWrap/>
            <w:vAlign w:val="center"/>
            <w:hideMark/>
          </w:tcPr>
          <w:p w14:paraId="46AB3F77"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0.0001</w:t>
            </w:r>
          </w:p>
        </w:tc>
      </w:tr>
      <w:tr w:rsidR="000E0909" w:rsidRPr="000E0909" w14:paraId="619F73E5" w14:textId="77777777" w:rsidTr="000E0909">
        <w:trPr>
          <w:trHeight w:val="287"/>
        </w:trPr>
        <w:tc>
          <w:tcPr>
            <w:tcW w:w="2100" w:type="dxa"/>
            <w:tcBorders>
              <w:top w:val="nil"/>
              <w:left w:val="single" w:sz="8" w:space="0" w:color="auto"/>
              <w:bottom w:val="single" w:sz="8" w:space="0" w:color="auto"/>
              <w:right w:val="single" w:sz="8" w:space="0" w:color="auto"/>
            </w:tcBorders>
            <w:shd w:val="clear" w:color="auto" w:fill="auto"/>
            <w:noWrap/>
            <w:vAlign w:val="center"/>
            <w:hideMark/>
          </w:tcPr>
          <w:p w14:paraId="6BB10A88" w14:textId="77777777" w:rsidR="000E0909" w:rsidRPr="000E0909" w:rsidRDefault="000E0909" w:rsidP="000E0909">
            <w:pPr>
              <w:spacing w:after="0" w:line="240" w:lineRule="auto"/>
              <w:rPr>
                <w:rFonts w:cs="Arial"/>
                <w:color w:val="000000"/>
                <w:sz w:val="18"/>
                <w:szCs w:val="18"/>
              </w:rPr>
            </w:pPr>
            <w:r w:rsidRPr="000E0909">
              <w:rPr>
                <w:rFonts w:cs="Arial"/>
                <w:color w:val="000000"/>
                <w:sz w:val="18"/>
                <w:szCs w:val="18"/>
              </w:rPr>
              <w:t>Above 100 GHz</w:t>
            </w:r>
          </w:p>
        </w:tc>
        <w:tc>
          <w:tcPr>
            <w:tcW w:w="1322" w:type="dxa"/>
            <w:tcBorders>
              <w:top w:val="nil"/>
              <w:left w:val="nil"/>
              <w:bottom w:val="single" w:sz="8" w:space="0" w:color="auto"/>
              <w:right w:val="single" w:sz="8" w:space="0" w:color="auto"/>
            </w:tcBorders>
            <w:shd w:val="clear" w:color="000000" w:fill="BDD7EE"/>
            <w:noWrap/>
            <w:vAlign w:val="center"/>
            <w:hideMark/>
          </w:tcPr>
          <w:p w14:paraId="01EDF0F5"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0.0000</w:t>
            </w:r>
          </w:p>
        </w:tc>
        <w:tc>
          <w:tcPr>
            <w:tcW w:w="924" w:type="dxa"/>
            <w:tcBorders>
              <w:top w:val="nil"/>
              <w:left w:val="nil"/>
              <w:bottom w:val="single" w:sz="8" w:space="0" w:color="auto"/>
              <w:right w:val="single" w:sz="8" w:space="0" w:color="auto"/>
            </w:tcBorders>
            <w:shd w:val="clear" w:color="000000" w:fill="BDD7EE"/>
            <w:noWrap/>
            <w:vAlign w:val="center"/>
            <w:hideMark/>
          </w:tcPr>
          <w:p w14:paraId="204189B3"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0.0000</w:t>
            </w:r>
          </w:p>
        </w:tc>
        <w:tc>
          <w:tcPr>
            <w:tcW w:w="1131" w:type="dxa"/>
            <w:tcBorders>
              <w:top w:val="nil"/>
              <w:left w:val="nil"/>
              <w:bottom w:val="single" w:sz="8" w:space="0" w:color="auto"/>
              <w:right w:val="single" w:sz="8" w:space="0" w:color="auto"/>
            </w:tcBorders>
            <w:shd w:val="clear" w:color="000000" w:fill="BDD7EE"/>
            <w:noWrap/>
            <w:vAlign w:val="center"/>
            <w:hideMark/>
          </w:tcPr>
          <w:p w14:paraId="0D4C4F55"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0.0000</w:t>
            </w:r>
          </w:p>
        </w:tc>
        <w:tc>
          <w:tcPr>
            <w:tcW w:w="924" w:type="dxa"/>
            <w:tcBorders>
              <w:top w:val="nil"/>
              <w:left w:val="nil"/>
              <w:bottom w:val="single" w:sz="8" w:space="0" w:color="auto"/>
              <w:right w:val="single" w:sz="8" w:space="0" w:color="auto"/>
            </w:tcBorders>
            <w:shd w:val="clear" w:color="000000" w:fill="BDD7EE"/>
            <w:noWrap/>
            <w:vAlign w:val="center"/>
            <w:hideMark/>
          </w:tcPr>
          <w:p w14:paraId="438C15F1"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0.0000</w:t>
            </w:r>
          </w:p>
        </w:tc>
        <w:tc>
          <w:tcPr>
            <w:tcW w:w="1099" w:type="dxa"/>
            <w:tcBorders>
              <w:top w:val="nil"/>
              <w:left w:val="nil"/>
              <w:bottom w:val="single" w:sz="8" w:space="0" w:color="auto"/>
              <w:right w:val="single" w:sz="8" w:space="0" w:color="auto"/>
            </w:tcBorders>
            <w:shd w:val="clear" w:color="000000" w:fill="BDD7EE"/>
            <w:noWrap/>
            <w:vAlign w:val="center"/>
            <w:hideMark/>
          </w:tcPr>
          <w:p w14:paraId="7032A2E1" w14:textId="77777777" w:rsidR="000E0909" w:rsidRPr="000E0909" w:rsidRDefault="000E0909" w:rsidP="000E0909">
            <w:pPr>
              <w:spacing w:after="0" w:line="240" w:lineRule="auto"/>
              <w:jc w:val="right"/>
              <w:rPr>
                <w:rFonts w:cs="Arial"/>
                <w:color w:val="000000"/>
                <w:sz w:val="18"/>
                <w:szCs w:val="18"/>
              </w:rPr>
            </w:pPr>
            <w:r w:rsidRPr="000E0909">
              <w:rPr>
                <w:rFonts w:cs="Arial"/>
                <w:color w:val="000000"/>
                <w:sz w:val="18"/>
                <w:szCs w:val="18"/>
              </w:rPr>
              <w:t>0.0000</w:t>
            </w:r>
          </w:p>
        </w:tc>
      </w:tr>
    </w:tbl>
    <w:p w14:paraId="6CF4B110" w14:textId="1E964806" w:rsidR="006B76E8" w:rsidRDefault="0068636A" w:rsidP="00D87FFD">
      <w:pPr>
        <w:pStyle w:val="Paragraph"/>
        <w:spacing w:after="120"/>
        <w:rPr>
          <w:bCs/>
        </w:rPr>
      </w:pPr>
      <w:r>
        <w:rPr>
          <w:bCs/>
        </w:rPr>
        <w:br/>
      </w:r>
      <w:r w:rsidR="006B76E8">
        <w:rPr>
          <w:bCs/>
        </w:rPr>
        <w:t xml:space="preserve">Submitters were asked the following </w:t>
      </w:r>
      <w:r w:rsidR="00090AAF">
        <w:rPr>
          <w:bCs/>
        </w:rPr>
        <w:t xml:space="preserve">2 </w:t>
      </w:r>
      <w:r w:rsidR="006B76E8">
        <w:rPr>
          <w:bCs/>
        </w:rPr>
        <w:t>question</w:t>
      </w:r>
      <w:r w:rsidR="005465A0">
        <w:rPr>
          <w:bCs/>
        </w:rPr>
        <w:t>s</w:t>
      </w:r>
      <w:r w:rsidR="006B76E8">
        <w:rPr>
          <w:bCs/>
        </w:rPr>
        <w:t xml:space="preserve"> </w:t>
      </w:r>
      <w:r w:rsidR="00E50A41">
        <w:rPr>
          <w:bCs/>
        </w:rPr>
        <w:t>about</w:t>
      </w:r>
      <w:r w:rsidR="006B76E8">
        <w:rPr>
          <w:bCs/>
        </w:rPr>
        <w:t xml:space="preserve"> the proposed reform:</w:t>
      </w:r>
    </w:p>
    <w:p w14:paraId="5A35EAAE" w14:textId="77777777" w:rsidR="00E07D92" w:rsidRPr="00D87FFD" w:rsidRDefault="00E07D92" w:rsidP="00D87FFD">
      <w:pPr>
        <w:pStyle w:val="Heading3"/>
        <w:ind w:left="851" w:right="867"/>
        <w:rPr>
          <w:sz w:val="18"/>
          <w:szCs w:val="18"/>
        </w:rPr>
      </w:pPr>
      <w:r w:rsidRPr="00D87FFD">
        <w:rPr>
          <w:sz w:val="18"/>
          <w:szCs w:val="18"/>
        </w:rPr>
        <w:t>Question 3</w:t>
      </w:r>
    </w:p>
    <w:p w14:paraId="6178F27F" w14:textId="0655E015" w:rsidR="00E07D92" w:rsidRPr="00D87FFD" w:rsidRDefault="00E07D92" w:rsidP="00D87FFD">
      <w:pPr>
        <w:pStyle w:val="Paragraph"/>
        <w:spacing w:after="120"/>
        <w:ind w:left="851" w:right="867"/>
        <w:rPr>
          <w:sz w:val="18"/>
          <w:szCs w:val="18"/>
        </w:rPr>
      </w:pPr>
      <w:r w:rsidRPr="00D87FFD">
        <w:rPr>
          <w:sz w:val="18"/>
          <w:szCs w:val="18"/>
        </w:rPr>
        <w:t xml:space="preserve">Do you have any comments on the appropriateness of the proposed spectrum location weighting for frequencies above </w:t>
      </w:r>
      <w:r w:rsidR="00090AAF" w:rsidRPr="00D87FFD">
        <w:rPr>
          <w:sz w:val="18"/>
          <w:szCs w:val="18"/>
        </w:rPr>
        <w:t>100 </w:t>
      </w:r>
      <w:r w:rsidRPr="00D87FFD">
        <w:rPr>
          <w:sz w:val="18"/>
          <w:szCs w:val="18"/>
        </w:rPr>
        <w:t>GHz?</w:t>
      </w:r>
    </w:p>
    <w:p w14:paraId="042F4F53" w14:textId="77777777" w:rsidR="005465A0" w:rsidRPr="00D87FFD" w:rsidRDefault="005465A0" w:rsidP="00D87FFD">
      <w:pPr>
        <w:pStyle w:val="Heading3"/>
        <w:ind w:left="851" w:right="867"/>
        <w:rPr>
          <w:sz w:val="18"/>
          <w:szCs w:val="18"/>
        </w:rPr>
      </w:pPr>
      <w:r w:rsidRPr="00D87FFD">
        <w:rPr>
          <w:sz w:val="18"/>
          <w:szCs w:val="18"/>
        </w:rPr>
        <w:t>Question 4</w:t>
      </w:r>
    </w:p>
    <w:p w14:paraId="2602DCD9" w14:textId="77777777" w:rsidR="005465A0" w:rsidRPr="00D87FFD" w:rsidRDefault="005465A0" w:rsidP="00E63FDA">
      <w:pPr>
        <w:pStyle w:val="Paragraph"/>
        <w:ind w:left="851" w:right="867"/>
        <w:rPr>
          <w:sz w:val="18"/>
          <w:szCs w:val="18"/>
        </w:rPr>
      </w:pPr>
      <w:r w:rsidRPr="00D87FFD">
        <w:rPr>
          <w:sz w:val="18"/>
          <w:szCs w:val="18"/>
        </w:rPr>
        <w:t>The minimum tax in this band is intended for services exhibiting limited interference potential to other services. Should the ACMA restrict the minimum tax above 100 GHz to services, such as optical communications, with known limited interference potential?</w:t>
      </w:r>
    </w:p>
    <w:p w14:paraId="739B1AC2" w14:textId="6EA58667" w:rsidR="00033D3B" w:rsidRDefault="00090AAF" w:rsidP="00A95351">
      <w:pPr>
        <w:pStyle w:val="Paragraph"/>
      </w:pPr>
      <w:r>
        <w:t>We</w:t>
      </w:r>
      <w:r w:rsidR="003B2211">
        <w:rPr>
          <w:bCs/>
        </w:rPr>
        <w:t xml:space="preserve"> received </w:t>
      </w:r>
      <w:r>
        <w:rPr>
          <w:bCs/>
        </w:rPr>
        <w:t xml:space="preserve">4 </w:t>
      </w:r>
      <w:r w:rsidR="003B2211">
        <w:rPr>
          <w:bCs/>
        </w:rPr>
        <w:t>submissions that commented on the proposal to set services above 100</w:t>
      </w:r>
      <w:r w:rsidR="007471D6">
        <w:rPr>
          <w:bCs/>
        </w:rPr>
        <w:t xml:space="preserve"> </w:t>
      </w:r>
      <w:r w:rsidR="003B2211">
        <w:rPr>
          <w:bCs/>
        </w:rPr>
        <w:t xml:space="preserve">GHz at minimum tax, all of which were supportive. </w:t>
      </w:r>
      <w:r w:rsidR="00EC50A8">
        <w:rPr>
          <w:bCs/>
        </w:rPr>
        <w:t xml:space="preserve">One submitter noted that given </w:t>
      </w:r>
      <w:r w:rsidR="00EC50A8">
        <w:rPr>
          <w:bCs/>
        </w:rPr>
        <w:lastRenderedPageBreak/>
        <w:t>the limited communications distances that would apply to services above 100 GHz and the greater scope for frequency re-use, it would be appropriate to set the licence tax at the minimum level for these services.</w:t>
      </w:r>
      <w:r w:rsidR="00E9192E">
        <w:rPr>
          <w:bCs/>
        </w:rPr>
        <w:t xml:space="preserve"> Another submitter noted that </w:t>
      </w:r>
      <w:r w:rsidR="00805F7A">
        <w:rPr>
          <w:bCs/>
        </w:rPr>
        <w:t>100 GHz</w:t>
      </w:r>
      <w:r w:rsidR="00596FD9">
        <w:rPr>
          <w:bCs/>
        </w:rPr>
        <w:t xml:space="preserve"> is at such a high frequency that antenna performance would be excellent and propagation losses high.</w:t>
      </w:r>
    </w:p>
    <w:p w14:paraId="065022D2" w14:textId="39617F52" w:rsidR="006E0533" w:rsidRDefault="00090AAF" w:rsidP="00A95351">
      <w:pPr>
        <w:pStyle w:val="Paragraph"/>
      </w:pPr>
      <w:r>
        <w:t xml:space="preserve">For </w:t>
      </w:r>
      <w:r w:rsidR="00033D3B">
        <w:t xml:space="preserve">the question of whether the ACMA should restrict the </w:t>
      </w:r>
      <w:r w:rsidR="00B47529">
        <w:t>minimum tax above 100 GHz to services with known limited interference potential,</w:t>
      </w:r>
      <w:r w:rsidR="00A60461">
        <w:t xml:space="preserve"> no submi</w:t>
      </w:r>
      <w:r w:rsidR="00844C77">
        <w:t xml:space="preserve">tters </w:t>
      </w:r>
      <w:r w:rsidR="007C0F87">
        <w:t>considered</w:t>
      </w:r>
      <w:r w:rsidR="00844C77">
        <w:t xml:space="preserve"> that limiting the minimum tax to be applicable to certain services or technologies was required. </w:t>
      </w:r>
      <w:r w:rsidR="006E0533">
        <w:rPr>
          <w:bCs/>
        </w:rPr>
        <w:t xml:space="preserve">For example, one submitter commented that </w:t>
      </w:r>
      <w:r>
        <w:rPr>
          <w:bCs/>
        </w:rPr>
        <w:t xml:space="preserve">providing </w:t>
      </w:r>
      <w:r w:rsidR="006E0533">
        <w:rPr>
          <w:bCs/>
        </w:rPr>
        <w:t>some power limits are adopted that would allow economic use of the band, there is no reason to limit the minimum tax to optical devices.</w:t>
      </w:r>
    </w:p>
    <w:p w14:paraId="068AEBA2" w14:textId="6C5E4BCC" w:rsidR="006E0533" w:rsidRPr="00376996" w:rsidRDefault="00090AAF" w:rsidP="00A95351">
      <w:pPr>
        <w:pStyle w:val="Paragraph"/>
        <w:rPr>
          <w:bCs/>
        </w:rPr>
      </w:pPr>
      <w:r>
        <w:t xml:space="preserve">In terms of </w:t>
      </w:r>
      <w:r w:rsidR="008479C3">
        <w:t xml:space="preserve">higher frequency ranges in general, one submitter wanted to note the disparity between the ACMA’s treatment of </w:t>
      </w:r>
      <w:r w:rsidR="006F452D">
        <w:rPr>
          <w:bCs/>
        </w:rPr>
        <w:t xml:space="preserve">optical communications spectrum compared to that of other countries and the International Telecommunication Union (ITU). </w:t>
      </w:r>
      <w:r w:rsidR="00F96D4F">
        <w:rPr>
          <w:bCs/>
        </w:rPr>
        <w:t xml:space="preserve">They noted that the </w:t>
      </w:r>
      <w:r w:rsidR="00F96D4F" w:rsidRPr="00A07B6D">
        <w:t>ACMA regulates and taxes spectrum up to 420 THz, whereas the ITU only regulates for frequencies up to 3 THz.</w:t>
      </w:r>
      <w:r w:rsidR="00F96D4F">
        <w:t xml:space="preserve"> An argument was made that the requirement </w:t>
      </w:r>
      <w:r w:rsidR="009F5D95" w:rsidRPr="009F5D95">
        <w:t>to apply for a licence still places a burden on companies and universities wanting to establish optical ground stations in Australia that is not present in other countries.</w:t>
      </w:r>
    </w:p>
    <w:p w14:paraId="57A476DA" w14:textId="77777777" w:rsidR="0068636A" w:rsidRPr="00EA5730" w:rsidRDefault="0068636A" w:rsidP="0068636A">
      <w:pPr>
        <w:pStyle w:val="Heading4"/>
        <w:spacing w:after="60"/>
        <w:rPr>
          <w:i w:val="0"/>
          <w:iCs/>
        </w:rPr>
      </w:pPr>
      <w:r w:rsidRPr="00EA5730">
        <w:rPr>
          <w:i w:val="0"/>
          <w:iCs/>
        </w:rPr>
        <w:t>Response to submitters</w:t>
      </w:r>
    </w:p>
    <w:p w14:paraId="30D3A3D9" w14:textId="341AABA9" w:rsidR="009F5D95" w:rsidRDefault="00090AAF" w:rsidP="009F5D95">
      <w:pPr>
        <w:pStyle w:val="Paragraph"/>
      </w:pPr>
      <w:r>
        <w:t xml:space="preserve">As </w:t>
      </w:r>
      <w:r w:rsidR="009F5D95">
        <w:t xml:space="preserve">there was consensus support from submitters for the </w:t>
      </w:r>
      <w:r w:rsidR="00826232">
        <w:t>introduction of a minimum tax for services above 100 GHz with no further restrictions on services or technologies</w:t>
      </w:r>
      <w:r>
        <w:t>, we</w:t>
      </w:r>
      <w:r w:rsidR="00826232">
        <w:t xml:space="preserve"> </w:t>
      </w:r>
      <w:r w:rsidR="005A49A1">
        <w:t xml:space="preserve">have </w:t>
      </w:r>
      <w:r w:rsidR="00AE6046">
        <w:t xml:space="preserve">implemented this </w:t>
      </w:r>
      <w:r w:rsidR="000F5C43">
        <w:t>reform as proposed.</w:t>
      </w:r>
    </w:p>
    <w:p w14:paraId="797C1331" w14:textId="0EC2EBA1" w:rsidR="00A80104" w:rsidRPr="000D7E38" w:rsidRDefault="00555DEF" w:rsidP="00A80104">
      <w:pPr>
        <w:pStyle w:val="Heading2"/>
      </w:pPr>
      <w:bookmarkStart w:id="16" w:name="_Toc108088301"/>
      <w:r>
        <w:t xml:space="preserve">Stop </w:t>
      </w:r>
      <w:r w:rsidR="00450B2F">
        <w:t>annual CPI updates to taxes, and instead regularly update taxes based on annual population data updates</w:t>
      </w:r>
      <w:bookmarkEnd w:id="16"/>
    </w:p>
    <w:p w14:paraId="7DF94A84" w14:textId="199CCF0F" w:rsidR="0093065A" w:rsidRDefault="00DF37B1" w:rsidP="00A95351">
      <w:pPr>
        <w:pStyle w:val="Paragraph"/>
        <w:rPr>
          <w:bCs/>
        </w:rPr>
      </w:pPr>
      <w:r>
        <w:t>We</w:t>
      </w:r>
      <w:r w:rsidR="00DD4B38">
        <w:t xml:space="preserve"> </w:t>
      </w:r>
      <w:r w:rsidR="003B606A">
        <w:rPr>
          <w:bCs/>
        </w:rPr>
        <w:t xml:space="preserve">currently update all apparatus licence taxes uniformly each year in line with changes in the Consumer Price Index (CPI). </w:t>
      </w:r>
      <w:r w:rsidR="00E50A41">
        <w:rPr>
          <w:bCs/>
        </w:rPr>
        <w:t>T</w:t>
      </w:r>
      <w:r w:rsidR="00900090">
        <w:rPr>
          <w:bCs/>
        </w:rPr>
        <w:t xml:space="preserve">his policy setting </w:t>
      </w:r>
      <w:r w:rsidR="00E50A41">
        <w:rPr>
          <w:bCs/>
        </w:rPr>
        <w:t>aims</w:t>
      </w:r>
      <w:r w:rsidR="00900090">
        <w:rPr>
          <w:bCs/>
        </w:rPr>
        <w:t xml:space="preserve"> to keep licence taxes constant in real terms.</w:t>
      </w:r>
      <w:r w:rsidR="005D450F">
        <w:rPr>
          <w:bCs/>
        </w:rPr>
        <w:t xml:space="preserve"> The total percentage change in licence tax levels for each geographic area </w:t>
      </w:r>
      <w:r w:rsidR="00E50A41">
        <w:rPr>
          <w:bCs/>
        </w:rPr>
        <w:t xml:space="preserve">from </w:t>
      </w:r>
      <w:r w:rsidR="005D450F">
        <w:rPr>
          <w:bCs/>
        </w:rPr>
        <w:t>2010</w:t>
      </w:r>
      <w:r w:rsidR="00E50A41">
        <w:rPr>
          <w:bCs/>
        </w:rPr>
        <w:t xml:space="preserve"> to 20</w:t>
      </w:r>
      <w:r w:rsidR="005D450F">
        <w:rPr>
          <w:bCs/>
        </w:rPr>
        <w:t xml:space="preserve">20 is shown </w:t>
      </w:r>
      <w:r w:rsidR="00E50A41">
        <w:rPr>
          <w:bCs/>
        </w:rPr>
        <w:t>in Table 7</w:t>
      </w:r>
      <w:r w:rsidR="005D450F">
        <w:rPr>
          <w:bCs/>
        </w:rPr>
        <w:t>.</w:t>
      </w:r>
    </w:p>
    <w:p w14:paraId="712BE15D" w14:textId="07D49C99" w:rsidR="00743DE1" w:rsidRPr="002507F5" w:rsidRDefault="00743DE1" w:rsidP="00E55797">
      <w:pPr>
        <w:pStyle w:val="Tableheading"/>
      </w:pPr>
      <w:r>
        <w:t xml:space="preserve">Total percentage change in licence tax levels by geographic area </w:t>
      </w:r>
      <w:r w:rsidR="00361CB9">
        <w:t xml:space="preserve">given annual updates using changes to CPI (2010 </w:t>
      </w:r>
      <w:r w:rsidR="006854B5">
        <w:t xml:space="preserve">to </w:t>
      </w:r>
      <w:r w:rsidR="00361CB9">
        <w:t>2020)</w:t>
      </w:r>
    </w:p>
    <w:tbl>
      <w:tblPr>
        <w:tblW w:w="7400" w:type="dxa"/>
        <w:tblLayout w:type="fixed"/>
        <w:tblLook w:val="04A0" w:firstRow="1" w:lastRow="0" w:firstColumn="1" w:lastColumn="0" w:noHBand="0" w:noVBand="1"/>
      </w:tblPr>
      <w:tblGrid>
        <w:gridCol w:w="1480"/>
        <w:gridCol w:w="1480"/>
        <w:gridCol w:w="1480"/>
        <w:gridCol w:w="1480"/>
        <w:gridCol w:w="1480"/>
      </w:tblGrid>
      <w:tr w:rsidR="00EE7909" w:rsidRPr="00EE7909" w14:paraId="02D70B7B" w14:textId="77777777" w:rsidTr="00743DE1">
        <w:trPr>
          <w:trHeight w:val="293"/>
        </w:trPr>
        <w:tc>
          <w:tcPr>
            <w:tcW w:w="7400" w:type="dxa"/>
            <w:gridSpan w:val="5"/>
            <w:tcBorders>
              <w:top w:val="single" w:sz="8" w:space="0" w:color="auto"/>
              <w:left w:val="single" w:sz="8" w:space="0" w:color="auto"/>
              <w:bottom w:val="single" w:sz="8" w:space="0" w:color="auto"/>
              <w:right w:val="single" w:sz="8" w:space="0" w:color="000000"/>
            </w:tcBorders>
            <w:shd w:val="clear" w:color="000000" w:fill="404040"/>
            <w:noWrap/>
            <w:vAlign w:val="center"/>
            <w:hideMark/>
          </w:tcPr>
          <w:p w14:paraId="65D3A112" w14:textId="77777777" w:rsidR="00EE7909" w:rsidRPr="00EE7909" w:rsidRDefault="00EE7909" w:rsidP="00D25366">
            <w:pPr>
              <w:spacing w:after="0" w:line="240" w:lineRule="auto"/>
              <w:jc w:val="center"/>
              <w:rPr>
                <w:rFonts w:cs="Arial"/>
                <w:b/>
                <w:bCs/>
                <w:color w:val="FFFFFF"/>
                <w:sz w:val="18"/>
                <w:szCs w:val="18"/>
              </w:rPr>
            </w:pPr>
            <w:r w:rsidRPr="00EE7909">
              <w:rPr>
                <w:rFonts w:cs="Arial"/>
                <w:b/>
                <w:bCs/>
                <w:color w:val="FFFFFF"/>
                <w:sz w:val="18"/>
                <w:szCs w:val="22"/>
              </w:rPr>
              <w:t>Geographic location</w:t>
            </w:r>
          </w:p>
        </w:tc>
      </w:tr>
      <w:tr w:rsidR="00EE7909" w:rsidRPr="00EE7909" w14:paraId="409FF54B" w14:textId="77777777" w:rsidTr="00743DE1">
        <w:trPr>
          <w:trHeight w:val="293"/>
        </w:trPr>
        <w:tc>
          <w:tcPr>
            <w:tcW w:w="1480" w:type="dxa"/>
            <w:tcBorders>
              <w:top w:val="nil"/>
              <w:left w:val="single" w:sz="8" w:space="0" w:color="auto"/>
              <w:bottom w:val="single" w:sz="8" w:space="0" w:color="auto"/>
              <w:right w:val="single" w:sz="8" w:space="0" w:color="auto"/>
            </w:tcBorders>
            <w:shd w:val="clear" w:color="000000" w:fill="404040"/>
            <w:noWrap/>
            <w:vAlign w:val="center"/>
            <w:hideMark/>
          </w:tcPr>
          <w:p w14:paraId="0EE01C4B" w14:textId="77777777" w:rsidR="00EE7909" w:rsidRPr="00EE7909" w:rsidRDefault="00EE7909" w:rsidP="00E55797">
            <w:pPr>
              <w:spacing w:after="0" w:line="240" w:lineRule="auto"/>
              <w:jc w:val="right"/>
              <w:rPr>
                <w:rFonts w:cs="Arial"/>
                <w:b/>
                <w:bCs/>
                <w:color w:val="FFFFFF"/>
                <w:sz w:val="18"/>
                <w:szCs w:val="18"/>
              </w:rPr>
            </w:pPr>
            <w:r w:rsidRPr="00EE7909">
              <w:rPr>
                <w:rFonts w:cs="Arial"/>
                <w:b/>
                <w:bCs/>
                <w:color w:val="FFFFFF"/>
                <w:sz w:val="18"/>
                <w:szCs w:val="22"/>
              </w:rPr>
              <w:t>Australia-wide</w:t>
            </w:r>
          </w:p>
        </w:tc>
        <w:tc>
          <w:tcPr>
            <w:tcW w:w="1480" w:type="dxa"/>
            <w:tcBorders>
              <w:top w:val="nil"/>
              <w:left w:val="nil"/>
              <w:bottom w:val="single" w:sz="8" w:space="0" w:color="auto"/>
              <w:right w:val="single" w:sz="8" w:space="0" w:color="auto"/>
            </w:tcBorders>
            <w:shd w:val="clear" w:color="000000" w:fill="404040"/>
            <w:noWrap/>
            <w:vAlign w:val="center"/>
            <w:hideMark/>
          </w:tcPr>
          <w:p w14:paraId="46AA1BFA" w14:textId="77777777" w:rsidR="00EE7909" w:rsidRPr="00EE7909" w:rsidRDefault="00EE7909" w:rsidP="00E55797">
            <w:pPr>
              <w:spacing w:after="0" w:line="240" w:lineRule="auto"/>
              <w:jc w:val="right"/>
              <w:rPr>
                <w:rFonts w:cs="Arial"/>
                <w:b/>
                <w:bCs/>
                <w:color w:val="FFFFFF"/>
                <w:sz w:val="18"/>
                <w:szCs w:val="18"/>
              </w:rPr>
            </w:pPr>
            <w:r w:rsidRPr="00EE7909">
              <w:rPr>
                <w:rFonts w:cs="Arial"/>
                <w:b/>
                <w:bCs/>
                <w:color w:val="FFFFFF"/>
                <w:sz w:val="18"/>
                <w:szCs w:val="22"/>
              </w:rPr>
              <w:t>High</w:t>
            </w:r>
          </w:p>
        </w:tc>
        <w:tc>
          <w:tcPr>
            <w:tcW w:w="1480" w:type="dxa"/>
            <w:tcBorders>
              <w:top w:val="nil"/>
              <w:left w:val="nil"/>
              <w:bottom w:val="single" w:sz="8" w:space="0" w:color="auto"/>
              <w:right w:val="single" w:sz="8" w:space="0" w:color="auto"/>
            </w:tcBorders>
            <w:shd w:val="clear" w:color="000000" w:fill="404040"/>
            <w:noWrap/>
            <w:vAlign w:val="center"/>
            <w:hideMark/>
          </w:tcPr>
          <w:p w14:paraId="07000F2E" w14:textId="77777777" w:rsidR="00EE7909" w:rsidRPr="00EE7909" w:rsidRDefault="00EE7909" w:rsidP="00E55797">
            <w:pPr>
              <w:spacing w:after="0" w:line="240" w:lineRule="auto"/>
              <w:jc w:val="right"/>
              <w:rPr>
                <w:rFonts w:cs="Arial"/>
                <w:b/>
                <w:bCs/>
                <w:color w:val="FFFFFF"/>
                <w:sz w:val="18"/>
                <w:szCs w:val="18"/>
              </w:rPr>
            </w:pPr>
            <w:r w:rsidRPr="00EE7909">
              <w:rPr>
                <w:rFonts w:cs="Arial"/>
                <w:b/>
                <w:bCs/>
                <w:color w:val="FFFFFF"/>
                <w:sz w:val="18"/>
                <w:szCs w:val="22"/>
              </w:rPr>
              <w:t>Medium</w:t>
            </w:r>
          </w:p>
        </w:tc>
        <w:tc>
          <w:tcPr>
            <w:tcW w:w="1480" w:type="dxa"/>
            <w:tcBorders>
              <w:top w:val="nil"/>
              <w:left w:val="nil"/>
              <w:bottom w:val="single" w:sz="8" w:space="0" w:color="auto"/>
              <w:right w:val="single" w:sz="8" w:space="0" w:color="auto"/>
            </w:tcBorders>
            <w:shd w:val="clear" w:color="000000" w:fill="404040"/>
            <w:noWrap/>
            <w:vAlign w:val="center"/>
            <w:hideMark/>
          </w:tcPr>
          <w:p w14:paraId="28530485" w14:textId="77777777" w:rsidR="00EE7909" w:rsidRPr="00EE7909" w:rsidRDefault="00EE7909" w:rsidP="00E55797">
            <w:pPr>
              <w:spacing w:after="0" w:line="240" w:lineRule="auto"/>
              <w:jc w:val="right"/>
              <w:rPr>
                <w:rFonts w:cs="Arial"/>
                <w:b/>
                <w:bCs/>
                <w:color w:val="FFFFFF"/>
                <w:sz w:val="18"/>
                <w:szCs w:val="18"/>
              </w:rPr>
            </w:pPr>
            <w:r w:rsidRPr="00EE7909">
              <w:rPr>
                <w:rFonts w:cs="Arial"/>
                <w:b/>
                <w:bCs/>
                <w:color w:val="FFFFFF"/>
                <w:sz w:val="18"/>
                <w:szCs w:val="22"/>
              </w:rPr>
              <w:t>Low</w:t>
            </w:r>
          </w:p>
        </w:tc>
        <w:tc>
          <w:tcPr>
            <w:tcW w:w="1480" w:type="dxa"/>
            <w:tcBorders>
              <w:top w:val="nil"/>
              <w:left w:val="nil"/>
              <w:bottom w:val="single" w:sz="8" w:space="0" w:color="auto"/>
              <w:right w:val="single" w:sz="8" w:space="0" w:color="auto"/>
            </w:tcBorders>
            <w:shd w:val="clear" w:color="000000" w:fill="404040"/>
            <w:noWrap/>
            <w:vAlign w:val="center"/>
            <w:hideMark/>
          </w:tcPr>
          <w:p w14:paraId="13E12D9F" w14:textId="77777777" w:rsidR="00EE7909" w:rsidRPr="00EE7909" w:rsidRDefault="00EE7909" w:rsidP="00E55797">
            <w:pPr>
              <w:spacing w:after="0" w:line="240" w:lineRule="auto"/>
              <w:jc w:val="right"/>
              <w:rPr>
                <w:rFonts w:cs="Arial"/>
                <w:b/>
                <w:bCs/>
                <w:color w:val="FFFFFF"/>
                <w:sz w:val="18"/>
                <w:szCs w:val="18"/>
              </w:rPr>
            </w:pPr>
            <w:r w:rsidRPr="00EE7909">
              <w:rPr>
                <w:rFonts w:cs="Arial"/>
                <w:b/>
                <w:bCs/>
                <w:color w:val="FFFFFF"/>
                <w:sz w:val="18"/>
                <w:szCs w:val="22"/>
              </w:rPr>
              <w:t>Remote</w:t>
            </w:r>
          </w:p>
        </w:tc>
      </w:tr>
      <w:tr w:rsidR="00EE7909" w:rsidRPr="00EE7909" w14:paraId="1719699C" w14:textId="77777777" w:rsidTr="00743DE1">
        <w:trPr>
          <w:trHeight w:val="293"/>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5392117E" w14:textId="55E1C995" w:rsidR="00EE7909" w:rsidRPr="00EE7909" w:rsidRDefault="006D6875" w:rsidP="00E55797">
            <w:pPr>
              <w:spacing w:after="0" w:line="240" w:lineRule="auto"/>
              <w:jc w:val="right"/>
              <w:rPr>
                <w:rFonts w:cs="Arial"/>
                <w:color w:val="000000"/>
                <w:sz w:val="18"/>
                <w:szCs w:val="18"/>
              </w:rPr>
            </w:pPr>
            <w:r>
              <w:rPr>
                <w:rFonts w:cs="Arial"/>
                <w:color w:val="000000"/>
                <w:sz w:val="18"/>
                <w:szCs w:val="22"/>
              </w:rPr>
              <w:t>19.35</w:t>
            </w:r>
            <w:r w:rsidR="00EE7909" w:rsidRPr="00EE7909">
              <w:rPr>
                <w:rFonts w:cs="Arial"/>
                <w:color w:val="000000"/>
                <w:sz w:val="18"/>
                <w:szCs w:val="22"/>
              </w:rPr>
              <w:t>%</w:t>
            </w:r>
          </w:p>
        </w:tc>
        <w:tc>
          <w:tcPr>
            <w:tcW w:w="1480" w:type="dxa"/>
            <w:tcBorders>
              <w:top w:val="nil"/>
              <w:left w:val="nil"/>
              <w:bottom w:val="single" w:sz="8" w:space="0" w:color="auto"/>
              <w:right w:val="single" w:sz="8" w:space="0" w:color="auto"/>
            </w:tcBorders>
            <w:shd w:val="clear" w:color="auto" w:fill="auto"/>
            <w:noWrap/>
            <w:vAlign w:val="center"/>
            <w:hideMark/>
          </w:tcPr>
          <w:p w14:paraId="25B5E10C" w14:textId="662CFE9C" w:rsidR="00EE7909" w:rsidRPr="00EE7909" w:rsidRDefault="006D6875" w:rsidP="00E55797">
            <w:pPr>
              <w:spacing w:after="0" w:line="240" w:lineRule="auto"/>
              <w:jc w:val="right"/>
              <w:rPr>
                <w:rFonts w:cs="Arial"/>
                <w:color w:val="000000"/>
                <w:sz w:val="18"/>
                <w:szCs w:val="18"/>
              </w:rPr>
            </w:pPr>
            <w:r>
              <w:rPr>
                <w:rFonts w:cs="Arial"/>
                <w:color w:val="000000"/>
                <w:sz w:val="18"/>
                <w:szCs w:val="22"/>
              </w:rPr>
              <w:t>19.35</w:t>
            </w:r>
            <w:r w:rsidR="00EE7909" w:rsidRPr="00EE7909">
              <w:rPr>
                <w:rFonts w:cs="Arial"/>
                <w:color w:val="000000"/>
                <w:sz w:val="18"/>
                <w:szCs w:val="22"/>
              </w:rPr>
              <w:t>%</w:t>
            </w:r>
          </w:p>
        </w:tc>
        <w:tc>
          <w:tcPr>
            <w:tcW w:w="1480" w:type="dxa"/>
            <w:tcBorders>
              <w:top w:val="nil"/>
              <w:left w:val="nil"/>
              <w:bottom w:val="single" w:sz="8" w:space="0" w:color="auto"/>
              <w:right w:val="single" w:sz="8" w:space="0" w:color="auto"/>
            </w:tcBorders>
            <w:shd w:val="clear" w:color="auto" w:fill="auto"/>
            <w:noWrap/>
            <w:vAlign w:val="center"/>
            <w:hideMark/>
          </w:tcPr>
          <w:p w14:paraId="4D874DC5" w14:textId="72A24E6B" w:rsidR="00EE7909" w:rsidRPr="00EE7909" w:rsidRDefault="006D6875" w:rsidP="00E55797">
            <w:pPr>
              <w:spacing w:after="0" w:line="240" w:lineRule="auto"/>
              <w:jc w:val="right"/>
              <w:rPr>
                <w:rFonts w:cs="Arial"/>
                <w:color w:val="000000"/>
                <w:sz w:val="18"/>
                <w:szCs w:val="18"/>
              </w:rPr>
            </w:pPr>
            <w:r>
              <w:rPr>
                <w:rFonts w:cs="Arial"/>
                <w:color w:val="000000"/>
                <w:sz w:val="18"/>
                <w:szCs w:val="22"/>
              </w:rPr>
              <w:t>19.35</w:t>
            </w:r>
            <w:r w:rsidR="00EE7909" w:rsidRPr="00EE7909">
              <w:rPr>
                <w:rFonts w:cs="Arial"/>
                <w:color w:val="000000"/>
                <w:sz w:val="18"/>
                <w:szCs w:val="22"/>
              </w:rPr>
              <w:t>%</w:t>
            </w:r>
          </w:p>
        </w:tc>
        <w:tc>
          <w:tcPr>
            <w:tcW w:w="1480" w:type="dxa"/>
            <w:tcBorders>
              <w:top w:val="nil"/>
              <w:left w:val="nil"/>
              <w:bottom w:val="single" w:sz="8" w:space="0" w:color="auto"/>
              <w:right w:val="single" w:sz="8" w:space="0" w:color="auto"/>
            </w:tcBorders>
            <w:shd w:val="clear" w:color="auto" w:fill="auto"/>
            <w:noWrap/>
            <w:vAlign w:val="center"/>
            <w:hideMark/>
          </w:tcPr>
          <w:p w14:paraId="5ABF522F" w14:textId="02BC3C99" w:rsidR="00EE7909" w:rsidRPr="00EE7909" w:rsidRDefault="006D6875" w:rsidP="00E55797">
            <w:pPr>
              <w:spacing w:after="0" w:line="240" w:lineRule="auto"/>
              <w:jc w:val="right"/>
              <w:rPr>
                <w:rFonts w:cs="Arial"/>
                <w:color w:val="000000"/>
                <w:sz w:val="18"/>
                <w:szCs w:val="18"/>
              </w:rPr>
            </w:pPr>
            <w:r>
              <w:rPr>
                <w:rFonts w:cs="Arial"/>
                <w:color w:val="000000"/>
                <w:sz w:val="18"/>
                <w:szCs w:val="22"/>
              </w:rPr>
              <w:t>19.35</w:t>
            </w:r>
            <w:r w:rsidR="00EE7909" w:rsidRPr="00EE7909">
              <w:rPr>
                <w:rFonts w:cs="Arial"/>
                <w:color w:val="000000"/>
                <w:sz w:val="18"/>
                <w:szCs w:val="22"/>
              </w:rPr>
              <w:t>%</w:t>
            </w:r>
          </w:p>
        </w:tc>
        <w:tc>
          <w:tcPr>
            <w:tcW w:w="1480" w:type="dxa"/>
            <w:tcBorders>
              <w:top w:val="nil"/>
              <w:left w:val="nil"/>
              <w:bottom w:val="single" w:sz="8" w:space="0" w:color="auto"/>
              <w:right w:val="single" w:sz="8" w:space="0" w:color="auto"/>
            </w:tcBorders>
            <w:shd w:val="clear" w:color="auto" w:fill="auto"/>
            <w:noWrap/>
            <w:vAlign w:val="center"/>
            <w:hideMark/>
          </w:tcPr>
          <w:p w14:paraId="78C0CA2F" w14:textId="77E39A3D" w:rsidR="00EE7909" w:rsidRPr="00EE7909" w:rsidRDefault="006D6875" w:rsidP="00E55797">
            <w:pPr>
              <w:spacing w:after="0" w:line="240" w:lineRule="auto"/>
              <w:jc w:val="right"/>
              <w:rPr>
                <w:rFonts w:cs="Arial"/>
                <w:color w:val="000000"/>
                <w:sz w:val="18"/>
                <w:szCs w:val="18"/>
              </w:rPr>
            </w:pPr>
            <w:r>
              <w:rPr>
                <w:rFonts w:cs="Arial"/>
                <w:color w:val="000000"/>
                <w:sz w:val="18"/>
                <w:szCs w:val="22"/>
              </w:rPr>
              <w:t>19.35</w:t>
            </w:r>
            <w:r w:rsidR="00EE7909" w:rsidRPr="00EE7909">
              <w:rPr>
                <w:rFonts w:cs="Arial"/>
                <w:color w:val="000000"/>
                <w:sz w:val="18"/>
                <w:szCs w:val="22"/>
              </w:rPr>
              <w:t>%</w:t>
            </w:r>
          </w:p>
        </w:tc>
      </w:tr>
    </w:tbl>
    <w:p w14:paraId="37878A5B" w14:textId="77777777" w:rsidR="00EE7909" w:rsidRDefault="00EE7909" w:rsidP="00E55797">
      <w:pPr>
        <w:spacing w:after="120"/>
        <w:contextualSpacing/>
        <w:rPr>
          <w:rFonts w:cs="Arial"/>
          <w:bCs/>
        </w:rPr>
      </w:pPr>
    </w:p>
    <w:p w14:paraId="2DD13ABD" w14:textId="02884438" w:rsidR="00C77785" w:rsidRDefault="00E05993" w:rsidP="00A95351">
      <w:pPr>
        <w:pStyle w:val="Paragraph"/>
        <w:rPr>
          <w:bCs/>
        </w:rPr>
      </w:pPr>
      <w:r>
        <w:t>One of the issues with this approach to updating taxes is that it treats all licences equally</w:t>
      </w:r>
      <w:r w:rsidR="00E50A41">
        <w:t>,</w:t>
      </w:r>
      <w:r>
        <w:t xml:space="preserve"> regardless of the different demand for spectrum in different areas. This was highlighted by stakeholders in low- and remote-density areas </w:t>
      </w:r>
      <w:r w:rsidR="00D04995">
        <w:rPr>
          <w:bCs/>
        </w:rPr>
        <w:t xml:space="preserve">continuing to face increases </w:t>
      </w:r>
      <w:r w:rsidR="00E50A41">
        <w:rPr>
          <w:bCs/>
        </w:rPr>
        <w:t>i</w:t>
      </w:r>
      <w:r w:rsidR="00D04995">
        <w:rPr>
          <w:bCs/>
        </w:rPr>
        <w:t>n their licence taxes despite spectrum availability remaining high and limited or no chan</w:t>
      </w:r>
      <w:r w:rsidR="00C064E7">
        <w:rPr>
          <w:bCs/>
        </w:rPr>
        <w:t>g</w:t>
      </w:r>
      <w:r w:rsidR="00D04995">
        <w:rPr>
          <w:bCs/>
        </w:rPr>
        <w:t>e to the spectrum denial characteristics of their spectrum use.</w:t>
      </w:r>
    </w:p>
    <w:p w14:paraId="6A62891A" w14:textId="5F7D5ABB" w:rsidR="00E4701C" w:rsidRDefault="00E4701C" w:rsidP="00A95351">
      <w:pPr>
        <w:pStyle w:val="Paragraph"/>
        <w:rPr>
          <w:bCs/>
        </w:rPr>
      </w:pPr>
      <w:r>
        <w:t>In address</w:t>
      </w:r>
      <w:r w:rsidR="006C2CE4">
        <w:rPr>
          <w:bCs/>
        </w:rPr>
        <w:t>ing</w:t>
      </w:r>
      <w:r>
        <w:rPr>
          <w:bCs/>
        </w:rPr>
        <w:t xml:space="preserve"> these concerns, </w:t>
      </w:r>
      <w:r w:rsidR="00E50A41">
        <w:rPr>
          <w:bCs/>
        </w:rPr>
        <w:t xml:space="preserve">we </w:t>
      </w:r>
      <w:r>
        <w:rPr>
          <w:bCs/>
        </w:rPr>
        <w:t>pr</w:t>
      </w:r>
      <w:r w:rsidR="007314B6">
        <w:rPr>
          <w:bCs/>
        </w:rPr>
        <w:t xml:space="preserve">oposed to </w:t>
      </w:r>
      <w:r w:rsidR="00E50A41">
        <w:rPr>
          <w:bCs/>
        </w:rPr>
        <w:t xml:space="preserve">stop </w:t>
      </w:r>
      <w:r w:rsidR="007314B6">
        <w:rPr>
          <w:bCs/>
        </w:rPr>
        <w:t xml:space="preserve">updating apparatus licence taxes uniformly each year based on changes in CPI, and instead update </w:t>
      </w:r>
      <w:r w:rsidR="007D4930">
        <w:rPr>
          <w:bCs/>
        </w:rPr>
        <w:t xml:space="preserve">taxes </w:t>
      </w:r>
      <w:r w:rsidR="008826E8">
        <w:rPr>
          <w:bCs/>
        </w:rPr>
        <w:t>each year based on geography-specific population changes.</w:t>
      </w:r>
      <w:r w:rsidR="007D4930">
        <w:rPr>
          <w:bCs/>
        </w:rPr>
        <w:t xml:space="preserve"> The hypothetical </w:t>
      </w:r>
      <w:r w:rsidR="002D4929">
        <w:rPr>
          <w:bCs/>
        </w:rPr>
        <w:t xml:space="preserve">total percentage change in licence tax levels for each geographic area </w:t>
      </w:r>
      <w:r w:rsidR="00E50A41">
        <w:rPr>
          <w:bCs/>
        </w:rPr>
        <w:t xml:space="preserve">from </w:t>
      </w:r>
      <w:r w:rsidR="002D4929">
        <w:rPr>
          <w:bCs/>
        </w:rPr>
        <w:t xml:space="preserve">2010 </w:t>
      </w:r>
      <w:r w:rsidR="00E50A41">
        <w:rPr>
          <w:bCs/>
        </w:rPr>
        <w:t>to</w:t>
      </w:r>
      <w:r w:rsidR="002D4929">
        <w:rPr>
          <w:bCs/>
        </w:rPr>
        <w:t xml:space="preserve"> 2020, if the proposed mechanism had been used, is shown </w:t>
      </w:r>
      <w:r w:rsidR="00E50A41">
        <w:rPr>
          <w:bCs/>
        </w:rPr>
        <w:t>in Table 8</w:t>
      </w:r>
      <w:r w:rsidR="002D4929">
        <w:rPr>
          <w:bCs/>
        </w:rPr>
        <w:t>.</w:t>
      </w:r>
      <w:r w:rsidR="008826E8">
        <w:rPr>
          <w:bCs/>
        </w:rPr>
        <w:t xml:space="preserve"> </w:t>
      </w:r>
    </w:p>
    <w:p w14:paraId="5065D70A" w14:textId="37DB36CD" w:rsidR="00361CB9" w:rsidRPr="002507F5" w:rsidRDefault="00361CB9" w:rsidP="00C274E4">
      <w:pPr>
        <w:pStyle w:val="Tableheading"/>
      </w:pPr>
      <w:r>
        <w:lastRenderedPageBreak/>
        <w:t xml:space="preserve">Hypothetical total percentage change in licence tax levels by geographic area given annual updates using population changes (2010 </w:t>
      </w:r>
      <w:r w:rsidR="006854B5">
        <w:t xml:space="preserve">to </w:t>
      </w:r>
      <w:r>
        <w:t>2020)</w:t>
      </w:r>
    </w:p>
    <w:tbl>
      <w:tblPr>
        <w:tblW w:w="7400" w:type="dxa"/>
        <w:tblLayout w:type="fixed"/>
        <w:tblLook w:val="04A0" w:firstRow="1" w:lastRow="0" w:firstColumn="1" w:lastColumn="0" w:noHBand="0" w:noVBand="1"/>
      </w:tblPr>
      <w:tblGrid>
        <w:gridCol w:w="1480"/>
        <w:gridCol w:w="1480"/>
        <w:gridCol w:w="1480"/>
        <w:gridCol w:w="1480"/>
        <w:gridCol w:w="1480"/>
      </w:tblGrid>
      <w:tr w:rsidR="00EE7909" w:rsidRPr="00EE7909" w14:paraId="53B096D2" w14:textId="77777777" w:rsidTr="00361CB9">
        <w:trPr>
          <w:trHeight w:val="293"/>
        </w:trPr>
        <w:tc>
          <w:tcPr>
            <w:tcW w:w="7400" w:type="dxa"/>
            <w:gridSpan w:val="5"/>
            <w:tcBorders>
              <w:top w:val="single" w:sz="8" w:space="0" w:color="auto"/>
              <w:left w:val="single" w:sz="8" w:space="0" w:color="auto"/>
              <w:bottom w:val="single" w:sz="8" w:space="0" w:color="auto"/>
              <w:right w:val="single" w:sz="8" w:space="0" w:color="000000"/>
            </w:tcBorders>
            <w:shd w:val="clear" w:color="000000" w:fill="404040"/>
            <w:noWrap/>
            <w:vAlign w:val="center"/>
            <w:hideMark/>
          </w:tcPr>
          <w:p w14:paraId="6264E4F6" w14:textId="77777777" w:rsidR="00EE7909" w:rsidRPr="00EE7909" w:rsidRDefault="00EE7909" w:rsidP="00EE7909">
            <w:pPr>
              <w:spacing w:after="0" w:line="240" w:lineRule="auto"/>
              <w:jc w:val="center"/>
              <w:rPr>
                <w:rFonts w:cs="Arial"/>
                <w:b/>
                <w:bCs/>
                <w:color w:val="FFFFFF"/>
                <w:sz w:val="18"/>
                <w:szCs w:val="18"/>
              </w:rPr>
            </w:pPr>
            <w:r w:rsidRPr="00EE7909">
              <w:rPr>
                <w:rFonts w:cs="Arial"/>
                <w:b/>
                <w:bCs/>
                <w:color w:val="FFFFFF"/>
                <w:sz w:val="18"/>
                <w:szCs w:val="22"/>
              </w:rPr>
              <w:t>Geographic location</w:t>
            </w:r>
          </w:p>
        </w:tc>
      </w:tr>
      <w:tr w:rsidR="00EE7909" w:rsidRPr="00EE7909" w14:paraId="5D450870" w14:textId="77777777" w:rsidTr="00361CB9">
        <w:trPr>
          <w:trHeight w:val="293"/>
        </w:trPr>
        <w:tc>
          <w:tcPr>
            <w:tcW w:w="1480" w:type="dxa"/>
            <w:tcBorders>
              <w:top w:val="nil"/>
              <w:left w:val="single" w:sz="8" w:space="0" w:color="auto"/>
              <w:bottom w:val="single" w:sz="8" w:space="0" w:color="auto"/>
              <w:right w:val="single" w:sz="8" w:space="0" w:color="auto"/>
            </w:tcBorders>
            <w:shd w:val="clear" w:color="000000" w:fill="404040"/>
            <w:noWrap/>
            <w:vAlign w:val="center"/>
            <w:hideMark/>
          </w:tcPr>
          <w:p w14:paraId="3896CDE2" w14:textId="77777777" w:rsidR="00EE7909" w:rsidRPr="00EE7909" w:rsidRDefault="00EE7909" w:rsidP="00C274E4">
            <w:pPr>
              <w:spacing w:after="0" w:line="240" w:lineRule="auto"/>
              <w:jc w:val="right"/>
              <w:rPr>
                <w:rFonts w:cs="Arial"/>
                <w:b/>
                <w:bCs/>
                <w:color w:val="FFFFFF"/>
                <w:sz w:val="18"/>
                <w:szCs w:val="18"/>
              </w:rPr>
            </w:pPr>
            <w:r w:rsidRPr="00EE7909">
              <w:rPr>
                <w:rFonts w:cs="Arial"/>
                <w:b/>
                <w:bCs/>
                <w:color w:val="FFFFFF"/>
                <w:sz w:val="18"/>
                <w:szCs w:val="22"/>
              </w:rPr>
              <w:t>Australia-wide</w:t>
            </w:r>
          </w:p>
        </w:tc>
        <w:tc>
          <w:tcPr>
            <w:tcW w:w="1480" w:type="dxa"/>
            <w:tcBorders>
              <w:top w:val="nil"/>
              <w:left w:val="nil"/>
              <w:bottom w:val="single" w:sz="8" w:space="0" w:color="auto"/>
              <w:right w:val="single" w:sz="8" w:space="0" w:color="auto"/>
            </w:tcBorders>
            <w:shd w:val="clear" w:color="000000" w:fill="404040"/>
            <w:noWrap/>
            <w:vAlign w:val="center"/>
            <w:hideMark/>
          </w:tcPr>
          <w:p w14:paraId="0C65178B" w14:textId="77777777" w:rsidR="00EE7909" w:rsidRPr="00EE7909" w:rsidRDefault="00EE7909" w:rsidP="00C274E4">
            <w:pPr>
              <w:spacing w:after="0" w:line="240" w:lineRule="auto"/>
              <w:jc w:val="right"/>
              <w:rPr>
                <w:rFonts w:cs="Arial"/>
                <w:b/>
                <w:bCs/>
                <w:color w:val="FFFFFF"/>
                <w:sz w:val="18"/>
                <w:szCs w:val="18"/>
              </w:rPr>
            </w:pPr>
            <w:r w:rsidRPr="00EE7909">
              <w:rPr>
                <w:rFonts w:cs="Arial"/>
                <w:b/>
                <w:bCs/>
                <w:color w:val="FFFFFF"/>
                <w:sz w:val="18"/>
                <w:szCs w:val="22"/>
              </w:rPr>
              <w:t>High</w:t>
            </w:r>
          </w:p>
        </w:tc>
        <w:tc>
          <w:tcPr>
            <w:tcW w:w="1480" w:type="dxa"/>
            <w:tcBorders>
              <w:top w:val="nil"/>
              <w:left w:val="nil"/>
              <w:bottom w:val="single" w:sz="8" w:space="0" w:color="auto"/>
              <w:right w:val="single" w:sz="8" w:space="0" w:color="auto"/>
            </w:tcBorders>
            <w:shd w:val="clear" w:color="000000" w:fill="404040"/>
            <w:noWrap/>
            <w:vAlign w:val="center"/>
            <w:hideMark/>
          </w:tcPr>
          <w:p w14:paraId="1D44EB11" w14:textId="77777777" w:rsidR="00EE7909" w:rsidRPr="00EE7909" w:rsidRDefault="00EE7909" w:rsidP="00C274E4">
            <w:pPr>
              <w:spacing w:after="0" w:line="240" w:lineRule="auto"/>
              <w:jc w:val="right"/>
              <w:rPr>
                <w:rFonts w:cs="Arial"/>
                <w:b/>
                <w:bCs/>
                <w:color w:val="FFFFFF"/>
                <w:sz w:val="18"/>
                <w:szCs w:val="18"/>
              </w:rPr>
            </w:pPr>
            <w:r w:rsidRPr="00EE7909">
              <w:rPr>
                <w:rFonts w:cs="Arial"/>
                <w:b/>
                <w:bCs/>
                <w:color w:val="FFFFFF"/>
                <w:sz w:val="18"/>
                <w:szCs w:val="22"/>
              </w:rPr>
              <w:t>Medium</w:t>
            </w:r>
          </w:p>
        </w:tc>
        <w:tc>
          <w:tcPr>
            <w:tcW w:w="1480" w:type="dxa"/>
            <w:tcBorders>
              <w:top w:val="nil"/>
              <w:left w:val="nil"/>
              <w:bottom w:val="single" w:sz="8" w:space="0" w:color="auto"/>
              <w:right w:val="single" w:sz="8" w:space="0" w:color="auto"/>
            </w:tcBorders>
            <w:shd w:val="clear" w:color="000000" w:fill="404040"/>
            <w:noWrap/>
            <w:vAlign w:val="center"/>
            <w:hideMark/>
          </w:tcPr>
          <w:p w14:paraId="77FAAE29" w14:textId="77777777" w:rsidR="00EE7909" w:rsidRPr="00EE7909" w:rsidRDefault="00EE7909" w:rsidP="00C274E4">
            <w:pPr>
              <w:spacing w:after="0" w:line="240" w:lineRule="auto"/>
              <w:jc w:val="right"/>
              <w:rPr>
                <w:rFonts w:cs="Arial"/>
                <w:b/>
                <w:bCs/>
                <w:color w:val="FFFFFF"/>
                <w:sz w:val="18"/>
                <w:szCs w:val="18"/>
              </w:rPr>
            </w:pPr>
            <w:r w:rsidRPr="00EE7909">
              <w:rPr>
                <w:rFonts w:cs="Arial"/>
                <w:b/>
                <w:bCs/>
                <w:color w:val="FFFFFF"/>
                <w:sz w:val="18"/>
                <w:szCs w:val="22"/>
              </w:rPr>
              <w:t>Low</w:t>
            </w:r>
          </w:p>
        </w:tc>
        <w:tc>
          <w:tcPr>
            <w:tcW w:w="1480" w:type="dxa"/>
            <w:tcBorders>
              <w:top w:val="nil"/>
              <w:left w:val="nil"/>
              <w:bottom w:val="single" w:sz="8" w:space="0" w:color="auto"/>
              <w:right w:val="single" w:sz="8" w:space="0" w:color="auto"/>
            </w:tcBorders>
            <w:shd w:val="clear" w:color="000000" w:fill="404040"/>
            <w:noWrap/>
            <w:vAlign w:val="center"/>
            <w:hideMark/>
          </w:tcPr>
          <w:p w14:paraId="66F84391" w14:textId="77777777" w:rsidR="00EE7909" w:rsidRPr="00EE7909" w:rsidRDefault="00EE7909" w:rsidP="00C274E4">
            <w:pPr>
              <w:spacing w:after="0" w:line="240" w:lineRule="auto"/>
              <w:jc w:val="right"/>
              <w:rPr>
                <w:rFonts w:cs="Arial"/>
                <w:b/>
                <w:bCs/>
                <w:color w:val="FFFFFF"/>
                <w:sz w:val="18"/>
                <w:szCs w:val="18"/>
              </w:rPr>
            </w:pPr>
            <w:r w:rsidRPr="00EE7909">
              <w:rPr>
                <w:rFonts w:cs="Arial"/>
                <w:b/>
                <w:bCs/>
                <w:color w:val="FFFFFF"/>
                <w:sz w:val="18"/>
                <w:szCs w:val="22"/>
              </w:rPr>
              <w:t>Remote</w:t>
            </w:r>
          </w:p>
        </w:tc>
      </w:tr>
      <w:tr w:rsidR="00EE7909" w:rsidRPr="00EE7909" w14:paraId="67C703C1" w14:textId="77777777" w:rsidTr="00361CB9">
        <w:trPr>
          <w:trHeight w:val="293"/>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3C6186B5" w14:textId="77777777" w:rsidR="00EE7909" w:rsidRPr="00EE7909" w:rsidRDefault="00EE7909" w:rsidP="00C274E4">
            <w:pPr>
              <w:spacing w:after="0" w:line="240" w:lineRule="auto"/>
              <w:jc w:val="right"/>
              <w:rPr>
                <w:rFonts w:cs="Arial"/>
                <w:color w:val="000000"/>
                <w:sz w:val="18"/>
                <w:szCs w:val="18"/>
              </w:rPr>
            </w:pPr>
            <w:r w:rsidRPr="00EE7909">
              <w:rPr>
                <w:rFonts w:cs="Arial"/>
                <w:color w:val="000000"/>
                <w:sz w:val="18"/>
                <w:szCs w:val="22"/>
              </w:rPr>
              <w:t>16.64%</w:t>
            </w:r>
          </w:p>
        </w:tc>
        <w:tc>
          <w:tcPr>
            <w:tcW w:w="1480" w:type="dxa"/>
            <w:tcBorders>
              <w:top w:val="nil"/>
              <w:left w:val="nil"/>
              <w:bottom w:val="single" w:sz="8" w:space="0" w:color="auto"/>
              <w:right w:val="single" w:sz="8" w:space="0" w:color="auto"/>
            </w:tcBorders>
            <w:shd w:val="clear" w:color="auto" w:fill="auto"/>
            <w:noWrap/>
            <w:vAlign w:val="center"/>
            <w:hideMark/>
          </w:tcPr>
          <w:p w14:paraId="04799550" w14:textId="77777777" w:rsidR="00EE7909" w:rsidRPr="00EE7909" w:rsidRDefault="00EE7909" w:rsidP="00C274E4">
            <w:pPr>
              <w:spacing w:after="0" w:line="240" w:lineRule="auto"/>
              <w:jc w:val="right"/>
              <w:rPr>
                <w:rFonts w:cs="Arial"/>
                <w:color w:val="000000"/>
                <w:sz w:val="18"/>
                <w:szCs w:val="18"/>
              </w:rPr>
            </w:pPr>
            <w:r w:rsidRPr="00EE7909">
              <w:rPr>
                <w:rFonts w:cs="Arial"/>
                <w:color w:val="000000"/>
                <w:sz w:val="18"/>
                <w:szCs w:val="22"/>
              </w:rPr>
              <w:t>21.69%</w:t>
            </w:r>
          </w:p>
        </w:tc>
        <w:tc>
          <w:tcPr>
            <w:tcW w:w="1480" w:type="dxa"/>
            <w:tcBorders>
              <w:top w:val="nil"/>
              <w:left w:val="nil"/>
              <w:bottom w:val="single" w:sz="8" w:space="0" w:color="auto"/>
              <w:right w:val="single" w:sz="8" w:space="0" w:color="auto"/>
            </w:tcBorders>
            <w:shd w:val="clear" w:color="auto" w:fill="auto"/>
            <w:noWrap/>
            <w:vAlign w:val="center"/>
            <w:hideMark/>
          </w:tcPr>
          <w:p w14:paraId="4761E372" w14:textId="77777777" w:rsidR="00EE7909" w:rsidRPr="00EE7909" w:rsidRDefault="00EE7909" w:rsidP="00C274E4">
            <w:pPr>
              <w:spacing w:after="0" w:line="240" w:lineRule="auto"/>
              <w:jc w:val="right"/>
              <w:rPr>
                <w:rFonts w:cs="Arial"/>
                <w:color w:val="000000"/>
                <w:sz w:val="18"/>
                <w:szCs w:val="18"/>
              </w:rPr>
            </w:pPr>
            <w:r w:rsidRPr="00EE7909">
              <w:rPr>
                <w:rFonts w:cs="Arial"/>
                <w:color w:val="000000"/>
                <w:sz w:val="18"/>
                <w:szCs w:val="22"/>
              </w:rPr>
              <w:t>14.68%</w:t>
            </w:r>
          </w:p>
        </w:tc>
        <w:tc>
          <w:tcPr>
            <w:tcW w:w="1480" w:type="dxa"/>
            <w:tcBorders>
              <w:top w:val="nil"/>
              <w:left w:val="nil"/>
              <w:bottom w:val="single" w:sz="8" w:space="0" w:color="auto"/>
              <w:right w:val="single" w:sz="8" w:space="0" w:color="auto"/>
            </w:tcBorders>
            <w:shd w:val="clear" w:color="auto" w:fill="auto"/>
            <w:noWrap/>
            <w:vAlign w:val="center"/>
            <w:hideMark/>
          </w:tcPr>
          <w:p w14:paraId="115F6DE6" w14:textId="77777777" w:rsidR="00EE7909" w:rsidRPr="00EE7909" w:rsidRDefault="00EE7909" w:rsidP="00C274E4">
            <w:pPr>
              <w:spacing w:after="0" w:line="240" w:lineRule="auto"/>
              <w:jc w:val="right"/>
              <w:rPr>
                <w:rFonts w:cs="Arial"/>
                <w:color w:val="000000"/>
                <w:sz w:val="18"/>
                <w:szCs w:val="18"/>
              </w:rPr>
            </w:pPr>
            <w:r w:rsidRPr="00EE7909">
              <w:rPr>
                <w:rFonts w:cs="Arial"/>
                <w:color w:val="000000"/>
                <w:sz w:val="18"/>
                <w:szCs w:val="22"/>
              </w:rPr>
              <w:t>12.20%</w:t>
            </w:r>
          </w:p>
        </w:tc>
        <w:tc>
          <w:tcPr>
            <w:tcW w:w="1480" w:type="dxa"/>
            <w:tcBorders>
              <w:top w:val="nil"/>
              <w:left w:val="nil"/>
              <w:bottom w:val="single" w:sz="8" w:space="0" w:color="auto"/>
              <w:right w:val="single" w:sz="8" w:space="0" w:color="auto"/>
            </w:tcBorders>
            <w:shd w:val="clear" w:color="auto" w:fill="auto"/>
            <w:noWrap/>
            <w:vAlign w:val="center"/>
            <w:hideMark/>
          </w:tcPr>
          <w:p w14:paraId="1507D019" w14:textId="77777777" w:rsidR="00EE7909" w:rsidRPr="00EE7909" w:rsidRDefault="00EE7909" w:rsidP="00C274E4">
            <w:pPr>
              <w:spacing w:after="0" w:line="240" w:lineRule="auto"/>
              <w:jc w:val="right"/>
              <w:rPr>
                <w:rFonts w:cs="Arial"/>
                <w:color w:val="000000"/>
                <w:sz w:val="18"/>
                <w:szCs w:val="18"/>
              </w:rPr>
            </w:pPr>
            <w:r w:rsidRPr="00EE7909">
              <w:rPr>
                <w:rFonts w:cs="Arial"/>
                <w:color w:val="000000"/>
                <w:sz w:val="18"/>
                <w:szCs w:val="22"/>
              </w:rPr>
              <w:t>6.58%</w:t>
            </w:r>
          </w:p>
        </w:tc>
      </w:tr>
    </w:tbl>
    <w:p w14:paraId="7E1F913D" w14:textId="6FD23481" w:rsidR="0093065A" w:rsidRDefault="00906CB8" w:rsidP="00C274E4">
      <w:pPr>
        <w:pStyle w:val="Paragraph"/>
        <w:spacing w:after="120"/>
        <w:rPr>
          <w:bCs/>
        </w:rPr>
      </w:pPr>
      <w:r>
        <w:rPr>
          <w:bCs/>
        </w:rPr>
        <w:br/>
      </w:r>
      <w:r w:rsidR="00AC0FA6">
        <w:rPr>
          <w:bCs/>
        </w:rPr>
        <w:t xml:space="preserve">Submitters were asked the following question </w:t>
      </w:r>
      <w:r w:rsidR="00E50A41">
        <w:rPr>
          <w:bCs/>
        </w:rPr>
        <w:t>about</w:t>
      </w:r>
      <w:r w:rsidR="00AC0FA6">
        <w:rPr>
          <w:bCs/>
        </w:rPr>
        <w:t xml:space="preserve"> the proposed reform:</w:t>
      </w:r>
    </w:p>
    <w:p w14:paraId="66E24C0E" w14:textId="77777777" w:rsidR="00240000" w:rsidRPr="00C274E4" w:rsidRDefault="00240000" w:rsidP="00C274E4">
      <w:pPr>
        <w:pStyle w:val="Heading3"/>
        <w:spacing w:after="0"/>
        <w:ind w:left="851" w:right="867"/>
        <w:rPr>
          <w:sz w:val="18"/>
          <w:szCs w:val="18"/>
        </w:rPr>
      </w:pPr>
      <w:r w:rsidRPr="00C274E4">
        <w:rPr>
          <w:sz w:val="18"/>
          <w:szCs w:val="18"/>
        </w:rPr>
        <w:t>Question 5</w:t>
      </w:r>
    </w:p>
    <w:p w14:paraId="128CA927" w14:textId="77777777" w:rsidR="00240000" w:rsidRPr="00C274E4" w:rsidRDefault="00240000" w:rsidP="00C274E4">
      <w:pPr>
        <w:pStyle w:val="Paragraph"/>
        <w:ind w:left="851" w:right="867"/>
        <w:rPr>
          <w:sz w:val="18"/>
          <w:szCs w:val="18"/>
        </w:rPr>
      </w:pPr>
      <w:r w:rsidRPr="00C274E4">
        <w:rPr>
          <w:sz w:val="18"/>
          <w:szCs w:val="18"/>
        </w:rPr>
        <w:t>Do you have any comments on the proposed method to update taxes by reference to population change, rather than annual adjustments based on the CPI?</w:t>
      </w:r>
    </w:p>
    <w:p w14:paraId="6ADD1031" w14:textId="5DF4E4B7" w:rsidR="00790A77" w:rsidRDefault="00DF37B1" w:rsidP="00A95351">
      <w:pPr>
        <w:pStyle w:val="Paragraph"/>
      </w:pPr>
      <w:r>
        <w:t xml:space="preserve">We </w:t>
      </w:r>
      <w:r w:rsidR="00362EB1" w:rsidRPr="00E85D68">
        <w:t xml:space="preserve">received </w:t>
      </w:r>
      <w:r>
        <w:t>7</w:t>
      </w:r>
      <w:r w:rsidRPr="00E85D68">
        <w:t xml:space="preserve"> </w:t>
      </w:r>
      <w:r w:rsidR="00362EB1" w:rsidRPr="00E85D68">
        <w:t xml:space="preserve">submissions that commented on </w:t>
      </w:r>
      <w:r>
        <w:t>this question;</w:t>
      </w:r>
      <w:r w:rsidR="00362EB1" w:rsidRPr="00E85D68">
        <w:t xml:space="preserve"> </w:t>
      </w:r>
      <w:r>
        <w:t>5</w:t>
      </w:r>
      <w:r w:rsidRPr="00E85D68">
        <w:t xml:space="preserve"> </w:t>
      </w:r>
      <w:r w:rsidR="00362EB1" w:rsidRPr="00E85D68">
        <w:t xml:space="preserve">were supportive and </w:t>
      </w:r>
      <w:r>
        <w:t>2</w:t>
      </w:r>
      <w:r w:rsidRPr="00E85D68">
        <w:t xml:space="preserve"> </w:t>
      </w:r>
      <w:r w:rsidR="00362EB1" w:rsidRPr="00E85D68">
        <w:rPr>
          <w:bCs/>
        </w:rPr>
        <w:t>were unsupportive.</w:t>
      </w:r>
    </w:p>
    <w:p w14:paraId="080BA225" w14:textId="78D296B4" w:rsidR="00075C86" w:rsidRPr="00A95351" w:rsidRDefault="00E25BA1" w:rsidP="00A95351">
      <w:pPr>
        <w:pStyle w:val="Paragraph"/>
      </w:pPr>
      <w:r>
        <w:t xml:space="preserve">In </w:t>
      </w:r>
      <w:r w:rsidR="00A94B8D">
        <w:t>the five submissions that expressed support for the proposal</w:t>
      </w:r>
      <w:r w:rsidR="006854B5">
        <w:t>,</w:t>
      </w:r>
      <w:r w:rsidR="00A94B8D">
        <w:t xml:space="preserve"> </w:t>
      </w:r>
      <w:r w:rsidR="004C6F27">
        <w:t>there was general agree</w:t>
      </w:r>
      <w:r w:rsidR="004D1787">
        <w:t>ment</w:t>
      </w:r>
      <w:r w:rsidR="004C6F27">
        <w:t xml:space="preserve"> that </w:t>
      </w:r>
      <w:r w:rsidR="007E357B">
        <w:rPr>
          <w:bCs/>
        </w:rPr>
        <w:t>the proposal was appropriate and should assis</w:t>
      </w:r>
      <w:r w:rsidR="00101E64">
        <w:rPr>
          <w:bCs/>
        </w:rPr>
        <w:t xml:space="preserve">t </w:t>
      </w:r>
      <w:r w:rsidR="007E357B">
        <w:rPr>
          <w:bCs/>
        </w:rPr>
        <w:t xml:space="preserve">in promoting the efficient use of spectrum. </w:t>
      </w:r>
      <w:r w:rsidR="00101E64">
        <w:rPr>
          <w:bCs/>
        </w:rPr>
        <w:t xml:space="preserve">One submission noted their support </w:t>
      </w:r>
      <w:r>
        <w:rPr>
          <w:bCs/>
        </w:rPr>
        <w:t xml:space="preserve">was based on the </w:t>
      </w:r>
      <w:r w:rsidR="00101E64">
        <w:rPr>
          <w:bCs/>
        </w:rPr>
        <w:t xml:space="preserve">broad alignment with a $/MHz/pop fee structure. Another submission noted that its support was conditional on the ACMA providing greater transparency over </w:t>
      </w:r>
      <w:r w:rsidR="00A0532A">
        <w:rPr>
          <w:bCs/>
        </w:rPr>
        <w:t>what the new normalisation factors would be and how the a</w:t>
      </w:r>
      <w:r w:rsidR="00A0532A" w:rsidRPr="00A95351">
        <w:t>nnual adjustments may be made and communicated.</w:t>
      </w:r>
      <w:r w:rsidR="00906CB8">
        <w:t xml:space="preserve"> </w:t>
      </w:r>
      <w:r w:rsidR="004D1787" w:rsidRPr="00A95351">
        <w:t>T</w:t>
      </w:r>
      <w:r w:rsidR="00A0532A" w:rsidRPr="00A95351">
        <w:t xml:space="preserve">wo submissions </w:t>
      </w:r>
      <w:r w:rsidR="001C7D55" w:rsidRPr="00A95351">
        <w:t xml:space="preserve">expressed strong reservations </w:t>
      </w:r>
      <w:r w:rsidR="00DC258C" w:rsidRPr="00A95351">
        <w:t xml:space="preserve">about </w:t>
      </w:r>
      <w:r w:rsidR="001C7D55" w:rsidRPr="00A95351">
        <w:t xml:space="preserve">the proposed changes. </w:t>
      </w:r>
      <w:r w:rsidR="006A2E61" w:rsidRPr="00A95351">
        <w:t xml:space="preserve">One argued that </w:t>
      </w:r>
      <w:r w:rsidR="00251B63" w:rsidRPr="00A95351">
        <w:t xml:space="preserve">the demand for spectrum for land-mobile services and the like could not be easily correlated to changes in population density. </w:t>
      </w:r>
      <w:r w:rsidR="004B346F" w:rsidRPr="00A95351">
        <w:t>They submitted that linking licence tax increases to population changes had the potential to significantly increase licence fee costs in high-density areas</w:t>
      </w:r>
      <w:r w:rsidR="00075C86" w:rsidRPr="00A95351">
        <w:t>, which could begin to significantly impact the economic viability of these businesses.</w:t>
      </w:r>
      <w:r w:rsidR="00634E2E" w:rsidRPr="00A95351">
        <w:t xml:space="preserve"> </w:t>
      </w:r>
      <w:r w:rsidR="00DC258C" w:rsidRPr="00A95351">
        <w:t>Another</w:t>
      </w:r>
      <w:r w:rsidR="00634E2E" w:rsidRPr="00A95351">
        <w:t xml:space="preserve"> submission posited that the proposed </w:t>
      </w:r>
      <w:r w:rsidR="008570E9" w:rsidRPr="00A95351">
        <w:t xml:space="preserve">change had been designed by the ACMA to generate greater income from spectrum. They noted that population density </w:t>
      </w:r>
      <w:r w:rsidR="00D40FC1" w:rsidRPr="00A95351">
        <w:t xml:space="preserve">is not a factor in many, if any, other relevant calculations. They also </w:t>
      </w:r>
      <w:r w:rsidR="00EC6AF1" w:rsidRPr="00A95351">
        <w:t>argued that references to CPI is utilised in almost every commercial contract and is a reference that is easily available.</w:t>
      </w:r>
    </w:p>
    <w:p w14:paraId="76F37640" w14:textId="77777777" w:rsidR="00356AB0" w:rsidRPr="0048612B" w:rsidRDefault="00356AB0" w:rsidP="00356AB0">
      <w:pPr>
        <w:pStyle w:val="Heading4"/>
        <w:spacing w:after="60"/>
        <w:rPr>
          <w:i w:val="0"/>
          <w:iCs/>
        </w:rPr>
      </w:pPr>
      <w:r w:rsidRPr="0048612B">
        <w:rPr>
          <w:i w:val="0"/>
          <w:iCs/>
        </w:rPr>
        <w:t>Response to submitters</w:t>
      </w:r>
    </w:p>
    <w:p w14:paraId="58082453" w14:textId="563963BF" w:rsidR="00264DDF" w:rsidRPr="00BB403E" w:rsidRDefault="006854B5" w:rsidP="00BB403E">
      <w:pPr>
        <w:pStyle w:val="Paragraph"/>
      </w:pPr>
      <w:r>
        <w:t>While</w:t>
      </w:r>
      <w:r w:rsidR="00EC6AF1" w:rsidRPr="0048612B">
        <w:t xml:space="preserve"> there was </w:t>
      </w:r>
      <w:r w:rsidR="00C621CE" w:rsidRPr="0048612B">
        <w:t>majority support for the introduction of the proposed changes</w:t>
      </w:r>
      <w:r>
        <w:t>,</w:t>
      </w:r>
      <w:r w:rsidR="00C621CE" w:rsidRPr="0048612B">
        <w:t xml:space="preserve"> </w:t>
      </w:r>
      <w:r>
        <w:t>we</w:t>
      </w:r>
      <w:r w:rsidRPr="0048612B">
        <w:t xml:space="preserve"> </w:t>
      </w:r>
      <w:r w:rsidR="00264DDF" w:rsidRPr="00787787">
        <w:t>note the concerns e</w:t>
      </w:r>
      <w:r w:rsidR="00264DDF" w:rsidRPr="00BB403E">
        <w:t>xpressed by some submitters.</w:t>
      </w:r>
    </w:p>
    <w:p w14:paraId="29C18055" w14:textId="6449E104" w:rsidR="00E210A6" w:rsidRPr="0048612B" w:rsidRDefault="00E210A6" w:rsidP="00EC6AF1">
      <w:pPr>
        <w:pStyle w:val="Paragraph"/>
      </w:pPr>
      <w:r>
        <w:t xml:space="preserve">In response to the </w:t>
      </w:r>
      <w:r w:rsidR="00720AB1">
        <w:t xml:space="preserve">comment </w:t>
      </w:r>
      <w:r w:rsidR="00B040B0">
        <w:t xml:space="preserve">made that </w:t>
      </w:r>
      <w:r w:rsidR="006369E3">
        <w:t xml:space="preserve">demand for spectrum for </w:t>
      </w:r>
      <w:r w:rsidR="00B040B0">
        <w:t xml:space="preserve">land-mobile services could not be easily correlated to changes in population density, </w:t>
      </w:r>
      <w:r w:rsidR="006854B5">
        <w:t xml:space="preserve">we </w:t>
      </w:r>
      <w:r w:rsidR="00B040B0">
        <w:t xml:space="preserve">acknowledge that </w:t>
      </w:r>
      <w:r w:rsidR="006369E3">
        <w:t xml:space="preserve">demand for </w:t>
      </w:r>
      <w:r w:rsidR="00B040B0">
        <w:t xml:space="preserve">various technologies will each have their </w:t>
      </w:r>
      <w:r w:rsidR="006369E3">
        <w:t xml:space="preserve">own degree of correlation with population density. However, </w:t>
      </w:r>
      <w:r w:rsidR="00F469E5">
        <w:t>general</w:t>
      </w:r>
      <w:r w:rsidR="007D0685">
        <w:t xml:space="preserve"> demand for spectrum correlates strongly with population as </w:t>
      </w:r>
      <w:r w:rsidR="00153068">
        <w:t>assignments are generally deployed to service areas</w:t>
      </w:r>
      <w:r w:rsidR="00322385">
        <w:t xml:space="preserve"> of activity </w:t>
      </w:r>
      <w:r w:rsidR="006854B5">
        <w:t>i</w:t>
      </w:r>
      <w:r w:rsidR="00153068">
        <w:t xml:space="preserve">n populated areas. Furthermore, one of the key recommendations of the Spectrum Pricing Review was that spectrum pricing </w:t>
      </w:r>
      <w:r w:rsidR="00F469E5">
        <w:t xml:space="preserve">should principally not be technology specific and that users of similar spectrum should be charged similar taxes. </w:t>
      </w:r>
      <w:r w:rsidR="006854B5">
        <w:t>For this reason, we</w:t>
      </w:r>
      <w:r w:rsidR="00F469E5">
        <w:t xml:space="preserve"> </w:t>
      </w:r>
      <w:r w:rsidR="006854B5">
        <w:t>do</w:t>
      </w:r>
      <w:r w:rsidR="001A52C8">
        <w:t xml:space="preserve"> not </w:t>
      </w:r>
      <w:r w:rsidR="00322385">
        <w:t>consider</w:t>
      </w:r>
      <w:r w:rsidR="001A52C8">
        <w:t xml:space="preserve"> it </w:t>
      </w:r>
      <w:r w:rsidR="001A73F5">
        <w:t>necessary t</w:t>
      </w:r>
      <w:r w:rsidR="0082232E">
        <w:t xml:space="preserve">o adjust </w:t>
      </w:r>
      <w:r w:rsidR="006854B5">
        <w:t xml:space="preserve">our </w:t>
      </w:r>
      <w:r w:rsidR="00164757">
        <w:t>initial proposal based on this line of argument.</w:t>
      </w:r>
      <w:r w:rsidR="00317481">
        <w:t xml:space="preserve"> </w:t>
      </w:r>
    </w:p>
    <w:p w14:paraId="3187A52F" w14:textId="3E6A0908" w:rsidR="00794822" w:rsidRDefault="00A965E1" w:rsidP="00EC6AF1">
      <w:pPr>
        <w:pStyle w:val="Paragraph"/>
      </w:pPr>
      <w:r w:rsidRPr="0048612B">
        <w:t xml:space="preserve">Regarding the argument that the proposal has the potential to significantly increase licence fee costs in high-density areas, </w:t>
      </w:r>
      <w:r w:rsidR="006854B5">
        <w:t xml:space="preserve">we </w:t>
      </w:r>
      <w:r w:rsidR="004D6830" w:rsidRPr="0048612B">
        <w:t xml:space="preserve">acknowledge that </w:t>
      </w:r>
      <w:r w:rsidR="006854B5">
        <w:t>we</w:t>
      </w:r>
      <w:r w:rsidR="006854B5" w:rsidRPr="0048612B">
        <w:t xml:space="preserve"> </w:t>
      </w:r>
      <w:r w:rsidR="004D6830" w:rsidRPr="0048612B">
        <w:t xml:space="preserve">cannot guarantee </w:t>
      </w:r>
      <w:r w:rsidR="00226AC2" w:rsidRPr="0048612B">
        <w:t>future population or CPI figures</w:t>
      </w:r>
      <w:r w:rsidR="006854B5">
        <w:t>,</w:t>
      </w:r>
      <w:r w:rsidR="00226AC2" w:rsidRPr="0048612B">
        <w:t xml:space="preserve"> but assess the risk of this scenario as highly unlikely. </w:t>
      </w:r>
    </w:p>
    <w:p w14:paraId="56256BFF" w14:textId="2C2C6706" w:rsidR="0072447B" w:rsidRPr="0048612B" w:rsidRDefault="000D6070" w:rsidP="00EC6AF1">
      <w:pPr>
        <w:pStyle w:val="Paragraph"/>
      </w:pPr>
      <w:r>
        <w:t xml:space="preserve">As per Figure </w:t>
      </w:r>
      <w:r w:rsidR="00286E1B">
        <w:t>1</w:t>
      </w:r>
      <w:r>
        <w:t xml:space="preserve"> and Figure </w:t>
      </w:r>
      <w:r w:rsidR="00286E1B">
        <w:t>2</w:t>
      </w:r>
      <w:r>
        <w:t xml:space="preserve"> below, the historical rate of </w:t>
      </w:r>
      <w:r w:rsidR="001922F4">
        <w:t xml:space="preserve">change in CPI has been consistently higher than that of population changes, even in the fastest growing cities </w:t>
      </w:r>
      <w:r w:rsidR="001922F4">
        <w:lastRenderedPageBreak/>
        <w:t xml:space="preserve">of Sydney, Melbourne, and Brisbane. Furthermore, </w:t>
      </w:r>
      <w:r w:rsidR="00C64EDF">
        <w:t>giv</w:t>
      </w:r>
      <w:r w:rsidR="006E6C04">
        <w:t xml:space="preserve">en </w:t>
      </w:r>
      <w:r w:rsidR="00C64EDF">
        <w:t>some of the physical</w:t>
      </w:r>
      <w:r w:rsidR="00C64EDF" w:rsidRPr="00BB403E">
        <w:t xml:space="preserve"> </w:t>
      </w:r>
      <w:r w:rsidR="00F763BD" w:rsidRPr="00BB403E">
        <w:t>constraints limiting</w:t>
      </w:r>
      <w:r w:rsidR="00C64EDF">
        <w:t xml:space="preserve"> </w:t>
      </w:r>
      <w:r w:rsidR="006E6C04">
        <w:t>population growth</w:t>
      </w:r>
      <w:r w:rsidR="006854B5">
        <w:t>,</w:t>
      </w:r>
      <w:r w:rsidR="006E6C04">
        <w:t xml:space="preserve"> such as housing stock and other infrastructure, </w:t>
      </w:r>
      <w:r w:rsidR="00E67E02">
        <w:t xml:space="preserve">annual changes in CPI have also been demonstrably more volatile than </w:t>
      </w:r>
      <w:r w:rsidR="00794822">
        <w:t>annual changes in population.</w:t>
      </w:r>
      <w:r w:rsidR="00B8148A">
        <w:t xml:space="preserve"> </w:t>
      </w:r>
      <w:r w:rsidR="006854B5">
        <w:t>We</w:t>
      </w:r>
      <w:r w:rsidR="00B8148A">
        <w:t xml:space="preserve"> </w:t>
      </w:r>
      <w:r w:rsidR="004448CF">
        <w:t xml:space="preserve">expect that the proposed reform will not only </w:t>
      </w:r>
      <w:r w:rsidR="002A1311">
        <w:t xml:space="preserve">lead to </w:t>
      </w:r>
      <w:r w:rsidR="000C179A">
        <w:t xml:space="preserve">lower taxes for licensees in the long term, but less volatile changes to tax rates year-on-year. For example, </w:t>
      </w:r>
      <w:r w:rsidR="00D70F9D">
        <w:t xml:space="preserve">CPI rose by 5.1% in the </w:t>
      </w:r>
      <w:r w:rsidR="006854B5">
        <w:t xml:space="preserve">12 </w:t>
      </w:r>
      <w:r w:rsidR="00D70F9D">
        <w:t>months to March 2022</w:t>
      </w:r>
      <w:r w:rsidR="006854B5">
        <w:t>,</w:t>
      </w:r>
      <w:r w:rsidR="00D70F9D">
        <w:t xml:space="preserve"> but only 1.1% in the </w:t>
      </w:r>
      <w:r w:rsidR="006854B5">
        <w:t xml:space="preserve">12 </w:t>
      </w:r>
      <w:r w:rsidR="00D70F9D">
        <w:t>months to March 2021. During the same period, population figures remained largely stable</w:t>
      </w:r>
      <w:r w:rsidR="002E4914">
        <w:t>.</w:t>
      </w:r>
    </w:p>
    <w:p w14:paraId="263633A6" w14:textId="300EAF77" w:rsidR="00DC63DC" w:rsidRPr="002507F5" w:rsidRDefault="00DC63DC" w:rsidP="00F01E81">
      <w:pPr>
        <w:pStyle w:val="Figureheading"/>
      </w:pPr>
      <w:r>
        <w:t xml:space="preserve">Annual </w:t>
      </w:r>
      <w:r w:rsidR="00C61569">
        <w:t>percentage change</w:t>
      </w:r>
      <w:r w:rsidR="009E46D4">
        <w:t>s</w:t>
      </w:r>
      <w:r w:rsidR="00C61569">
        <w:t xml:space="preserve"> in population for Sydney, Melbourne, and Brisbane mapped aga</w:t>
      </w:r>
      <w:r w:rsidR="009E46D4">
        <w:t xml:space="preserve">inst annual percentage changes in CPI (1976 </w:t>
      </w:r>
      <w:r w:rsidR="006854B5">
        <w:t xml:space="preserve">to </w:t>
      </w:r>
      <w:r w:rsidR="009E46D4">
        <w:t>2016)</w:t>
      </w:r>
    </w:p>
    <w:p w14:paraId="0851BE01" w14:textId="53F1A14B" w:rsidR="0009192F" w:rsidRDefault="00220AE3" w:rsidP="00F01E81">
      <w:pPr>
        <w:pStyle w:val="Paragraph"/>
        <w:spacing w:after="360"/>
        <w:rPr>
          <w:color w:val="FF0000"/>
        </w:rPr>
      </w:pPr>
      <w:r>
        <w:rPr>
          <w:noProof/>
        </w:rPr>
        <w:drawing>
          <wp:inline distT="0" distB="0" distL="0" distR="0" wp14:anchorId="26DA78C3" wp14:editId="3A6137DD">
            <wp:extent cx="4572000" cy="2743200"/>
            <wp:effectExtent l="0" t="0" r="0" b="0"/>
            <wp:docPr id="2" name="Chart 2" descr="If you need help accessing or reading this diagram, please contact the ACMA's Customer Service Centre by phone on 1300 850 115 or by email at info@acma.gov.au">
              <a:extLst xmlns:a="http://schemas.openxmlformats.org/drawingml/2006/main">
                <a:ext uri="{FF2B5EF4-FFF2-40B4-BE49-F238E27FC236}">
                  <a16:creationId xmlns:a16="http://schemas.microsoft.com/office/drawing/2014/main" id="{E23CE8FE-C302-439C-9ADB-0E39C44B51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239DEB" w14:textId="67971E78" w:rsidR="009E46D4" w:rsidRPr="002507F5" w:rsidRDefault="009E46D4" w:rsidP="00F01E81">
      <w:pPr>
        <w:pStyle w:val="Figureheading"/>
      </w:pPr>
      <w:r>
        <w:t xml:space="preserve">Cumulative percentage changes in population for Sydney, Melbourne, and Brisbane mapped against cumulative percentage changes in CPI </w:t>
      </w:r>
      <w:r w:rsidR="00BE7400">
        <w:t>normalised to 1975</w:t>
      </w:r>
      <w:r>
        <w:t xml:space="preserve"> (1976 </w:t>
      </w:r>
      <w:r w:rsidR="006854B5">
        <w:t>to</w:t>
      </w:r>
      <w:r>
        <w:t xml:space="preserve"> 2016)</w:t>
      </w:r>
    </w:p>
    <w:p w14:paraId="0B33CA7D" w14:textId="10C4B7A3" w:rsidR="00220AE3" w:rsidRDefault="00220AE3" w:rsidP="00EC6AF1">
      <w:pPr>
        <w:pStyle w:val="Paragraph"/>
        <w:rPr>
          <w:color w:val="FF0000"/>
        </w:rPr>
      </w:pPr>
      <w:r>
        <w:rPr>
          <w:noProof/>
        </w:rPr>
        <w:drawing>
          <wp:inline distT="0" distB="0" distL="0" distR="0" wp14:anchorId="10FED410" wp14:editId="44DD8AA9">
            <wp:extent cx="4572000" cy="2743200"/>
            <wp:effectExtent l="0" t="0" r="0" b="0"/>
            <wp:docPr id="3" name="Chart 3" descr="If you need help accessing or reading this diagram, please contact the ACMA's Customer Service Centre by phone on 1300 850 115 or by email at info@acma.gov.au">
              <a:extLst xmlns:a="http://schemas.openxmlformats.org/drawingml/2006/main">
                <a:ext uri="{FF2B5EF4-FFF2-40B4-BE49-F238E27FC236}">
                  <a16:creationId xmlns:a16="http://schemas.microsoft.com/office/drawing/2014/main" id="{48472F0A-FF12-44FA-B54B-9C889B77E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C2CAEA6" w14:textId="66DD0579" w:rsidR="006178AE" w:rsidRPr="00A95351" w:rsidRDefault="00B46BA9" w:rsidP="00EE6EB7">
      <w:pPr>
        <w:pStyle w:val="Paragraph"/>
      </w:pPr>
      <w:r>
        <w:t xml:space="preserve">In response to the comment that </w:t>
      </w:r>
      <w:r w:rsidR="005A7768">
        <w:t xml:space="preserve">population density is not a factor in many, if any, other relevant calculations while references to CPI are utilised in almost every </w:t>
      </w:r>
      <w:r w:rsidR="005A7768">
        <w:lastRenderedPageBreak/>
        <w:t xml:space="preserve">commercial contract, </w:t>
      </w:r>
      <w:r w:rsidR="006854B5">
        <w:t>we</w:t>
      </w:r>
      <w:r w:rsidR="005A7768">
        <w:t xml:space="preserve"> </w:t>
      </w:r>
      <w:r w:rsidR="006E0CE7" w:rsidRPr="001206B7">
        <w:t xml:space="preserve">note that </w:t>
      </w:r>
      <w:r w:rsidR="006E0CE7" w:rsidRPr="003F4ABB">
        <w:t>p</w:t>
      </w:r>
      <w:r w:rsidR="009150A9">
        <w:t>opulation</w:t>
      </w:r>
      <w:r w:rsidR="00E9182B">
        <w:t xml:space="preserve"> and</w:t>
      </w:r>
      <w:r w:rsidR="006854B5">
        <w:t>,</w:t>
      </w:r>
      <w:r w:rsidR="00E9182B">
        <w:t xml:space="preserve"> by extension</w:t>
      </w:r>
      <w:r w:rsidR="006854B5">
        <w:t>,</w:t>
      </w:r>
      <w:r w:rsidR="00E9182B">
        <w:t xml:space="preserve"> population density </w:t>
      </w:r>
      <w:r w:rsidR="00984255">
        <w:t xml:space="preserve">has </w:t>
      </w:r>
      <w:r w:rsidR="009E1112">
        <w:t>long been used as a basis for informing spectrum pricing.</w:t>
      </w:r>
      <w:r w:rsidR="00E72894">
        <w:t xml:space="preserve"> For example</w:t>
      </w:r>
      <w:r w:rsidR="00594AB6">
        <w:t>, the starting price of spectrum auctions has generally used the $/MHz/pop framework as guidance</w:t>
      </w:r>
      <w:r w:rsidR="000F7F9F">
        <w:t xml:space="preserve">, as too do area-wide licences. Regarding the comment </w:t>
      </w:r>
      <w:r w:rsidR="009F38A3">
        <w:t xml:space="preserve">that references to CPI are prolific in commercial contracts, </w:t>
      </w:r>
      <w:r w:rsidR="006854B5">
        <w:t>we</w:t>
      </w:r>
      <w:r w:rsidR="009F38A3">
        <w:t xml:space="preserve"> do not consider this to be a material point in informing </w:t>
      </w:r>
      <w:r w:rsidR="00CB45F7">
        <w:t xml:space="preserve">the mechanism by which pricing can be used to </w:t>
      </w:r>
      <w:r w:rsidR="001262B5">
        <w:t xml:space="preserve">enable efficient use of spectrum. </w:t>
      </w:r>
      <w:r w:rsidR="00385707">
        <w:t>T</w:t>
      </w:r>
      <w:r w:rsidR="001262B5">
        <w:t>he current use of CPI</w:t>
      </w:r>
      <w:r w:rsidR="00EE6EB7">
        <w:t xml:space="preserve"> in spectrum pricing matters stands as an anomaly</w:t>
      </w:r>
      <w:r w:rsidR="00385707">
        <w:t xml:space="preserve"> </w:t>
      </w:r>
      <w:r w:rsidR="00EE6EB7">
        <w:t>compared to the use of population</w:t>
      </w:r>
      <w:r w:rsidR="000954CA">
        <w:t>,</w:t>
      </w:r>
      <w:r w:rsidR="00EE6EB7">
        <w:t xml:space="preserve"> which is far more </w:t>
      </w:r>
      <w:r w:rsidR="006A08F6">
        <w:t>common.</w:t>
      </w:r>
    </w:p>
    <w:p w14:paraId="0F6E55A9" w14:textId="328EB2DB" w:rsidR="00E46E7C" w:rsidRDefault="000954CA" w:rsidP="00485550">
      <w:pPr>
        <w:pStyle w:val="Paragraph"/>
        <w:rPr>
          <w:bCs/>
        </w:rPr>
      </w:pPr>
      <w:r>
        <w:t>For these reasons</w:t>
      </w:r>
      <w:r w:rsidR="00EE6EB7" w:rsidRPr="00A95351">
        <w:t xml:space="preserve">, </w:t>
      </w:r>
      <w:r>
        <w:t>we</w:t>
      </w:r>
      <w:r w:rsidR="00EE6EB7" w:rsidRPr="00A95351">
        <w:t xml:space="preserve"> intend to proceed with the </w:t>
      </w:r>
      <w:r w:rsidR="006178AE" w:rsidRPr="00A95351">
        <w:t xml:space="preserve">reforms as proposed. However, </w:t>
      </w:r>
      <w:r>
        <w:t xml:space="preserve">we </w:t>
      </w:r>
      <w:r w:rsidR="006178AE" w:rsidRPr="00A95351">
        <w:t xml:space="preserve">acknowledge that submitters have provided support conditional on greater transparency over the new normalisation factors and the exact </w:t>
      </w:r>
      <w:r w:rsidR="00B95487" w:rsidRPr="00A95351">
        <w:t xml:space="preserve">mechanism by which annual adjustments are made and communicated. As such, </w:t>
      </w:r>
      <w:r>
        <w:t>we</w:t>
      </w:r>
      <w:r w:rsidR="00B95487" w:rsidRPr="00A95351">
        <w:t xml:space="preserve"> intend to consult further on the implementation of the reform</w:t>
      </w:r>
      <w:r w:rsidR="00DD30AC" w:rsidRPr="00A95351">
        <w:t xml:space="preserve"> </w:t>
      </w:r>
      <w:r w:rsidR="00A5237D" w:rsidRPr="00A95351">
        <w:t>before proceeding with the proposal.</w:t>
      </w:r>
      <w:r w:rsidR="00485550">
        <w:t xml:space="preserve"> </w:t>
      </w:r>
      <w:r>
        <w:rPr>
          <w:bCs/>
        </w:rPr>
        <w:t>We</w:t>
      </w:r>
      <w:r w:rsidR="00E46E7C">
        <w:rPr>
          <w:bCs/>
        </w:rPr>
        <w:t xml:space="preserve"> intends to consult on </w:t>
      </w:r>
      <w:r w:rsidR="00E46E7C" w:rsidRPr="009802EB">
        <w:rPr>
          <w:bCs/>
        </w:rPr>
        <w:t xml:space="preserve">updated taxes based on the new </w:t>
      </w:r>
      <w:r w:rsidR="00E46E7C">
        <w:rPr>
          <w:bCs/>
        </w:rPr>
        <w:t xml:space="preserve">population growth </w:t>
      </w:r>
      <w:r w:rsidR="00E46E7C" w:rsidRPr="009802EB">
        <w:rPr>
          <w:bCs/>
        </w:rPr>
        <w:t xml:space="preserve">methodology in </w:t>
      </w:r>
      <w:r w:rsidR="00E46E7C">
        <w:rPr>
          <w:bCs/>
        </w:rPr>
        <w:t>Q4</w:t>
      </w:r>
      <w:r w:rsidR="00E46E7C" w:rsidRPr="009802EB">
        <w:rPr>
          <w:bCs/>
        </w:rPr>
        <w:t xml:space="preserve"> 202</w:t>
      </w:r>
      <w:r w:rsidR="00E46E7C">
        <w:rPr>
          <w:bCs/>
        </w:rPr>
        <w:t>2</w:t>
      </w:r>
      <w:r w:rsidR="00E46E7C" w:rsidRPr="009802EB">
        <w:rPr>
          <w:bCs/>
        </w:rPr>
        <w:t xml:space="preserve">, for updated taxes to be implemented in April. </w:t>
      </w:r>
      <w:r w:rsidR="003A6FDC">
        <w:rPr>
          <w:bCs/>
        </w:rPr>
        <w:t xml:space="preserve">The consultation will provide licensees with more details about the intended approach. </w:t>
      </w:r>
      <w:r w:rsidR="00E46E7C" w:rsidRPr="009802EB">
        <w:rPr>
          <w:bCs/>
        </w:rPr>
        <w:t>Stakeholders are accustomed to this timeframe</w:t>
      </w:r>
      <w:r>
        <w:rPr>
          <w:bCs/>
        </w:rPr>
        <w:t xml:space="preserve"> as it is</w:t>
      </w:r>
      <w:r w:rsidR="00E46E7C" w:rsidRPr="009802EB">
        <w:rPr>
          <w:bCs/>
        </w:rPr>
        <w:t xml:space="preserve"> consistent with </w:t>
      </w:r>
      <w:r w:rsidR="00E46E7C">
        <w:rPr>
          <w:bCs/>
        </w:rPr>
        <w:t xml:space="preserve">CPI-based </w:t>
      </w:r>
      <w:r w:rsidR="00E46E7C" w:rsidRPr="009802EB">
        <w:rPr>
          <w:bCs/>
        </w:rPr>
        <w:t xml:space="preserve">annual tax updates in previous years. </w:t>
      </w:r>
    </w:p>
    <w:p w14:paraId="4D0F3122" w14:textId="696BB120" w:rsidR="00AD2337" w:rsidRDefault="00450B2F" w:rsidP="00AD2337">
      <w:pPr>
        <w:pStyle w:val="Heading2"/>
      </w:pPr>
      <w:bookmarkStart w:id="17" w:name="_Toc108088302"/>
      <w:r>
        <w:t>Update area definitions for Perth and Adelaide</w:t>
      </w:r>
      <w:bookmarkEnd w:id="17"/>
    </w:p>
    <w:p w14:paraId="6885FF93" w14:textId="5D8CC0E5" w:rsidR="00C84321" w:rsidRDefault="00C84321" w:rsidP="00A95351">
      <w:pPr>
        <w:pStyle w:val="Paragraph"/>
      </w:pPr>
      <w:r w:rsidRPr="77B20063">
        <w:t xml:space="preserve">Geographic density area classifications are used in tandem with location weightings to determine the tax </w:t>
      </w:r>
      <w:r>
        <w:t xml:space="preserve">for </w:t>
      </w:r>
      <w:r w:rsidRPr="77B20063">
        <w:t xml:space="preserve">apparatus licences. Each geographic location in Australia is assigned a density of either high, medium, low, or remote, reflecting their spectrum </w:t>
      </w:r>
      <w:r>
        <w:t>and population densities</w:t>
      </w:r>
      <w:r w:rsidRPr="77B20063">
        <w:t>, which then informs which location weighting is applicable when calculating taxes due.</w:t>
      </w:r>
    </w:p>
    <w:p w14:paraId="63FC0C0E" w14:textId="5276C5C4" w:rsidR="00C84321" w:rsidRDefault="00AA468D" w:rsidP="00A95351">
      <w:pPr>
        <w:pStyle w:val="Paragraph"/>
      </w:pPr>
      <w:r>
        <w:t xml:space="preserve">The current Perth and Adelaide medium-density areas are drawn relatively close to their suburban boundaries and do not capture the urban growth and increased density that has occurred in </w:t>
      </w:r>
      <w:r w:rsidR="001206B7">
        <w:rPr>
          <w:bCs/>
        </w:rPr>
        <w:t>these cities in</w:t>
      </w:r>
      <w:r>
        <w:rPr>
          <w:bCs/>
        </w:rPr>
        <w:t xml:space="preserve"> </w:t>
      </w:r>
      <w:r>
        <w:t xml:space="preserve">recent years. </w:t>
      </w:r>
      <w:r w:rsidR="00C30FD1">
        <w:t xml:space="preserve">This is in stark contrast to </w:t>
      </w:r>
      <w:r w:rsidR="00C30FD1" w:rsidRPr="00990BFC">
        <w:t xml:space="preserve">the Melbourne, Sydney, and Brisbane </w:t>
      </w:r>
      <w:r w:rsidR="00C30FD1" w:rsidRPr="00990BFC" w:rsidDel="00DD0833">
        <w:t>high</w:t>
      </w:r>
      <w:r w:rsidR="00C30FD1">
        <w:t>-</w:t>
      </w:r>
      <w:r w:rsidR="00C30FD1" w:rsidRPr="00990BFC">
        <w:t>density areas</w:t>
      </w:r>
      <w:r w:rsidR="00C30FD1">
        <w:t xml:space="preserve">. </w:t>
      </w:r>
      <w:r w:rsidR="000973E5">
        <w:t>As such, currently both the Perth and Adelaide medium-density areas have a higher population density and assignment density when compared against the Melbourne, Sydney, and Brisbane high-density areas.</w:t>
      </w:r>
      <w:r w:rsidR="00CF33AE">
        <w:t xml:space="preserve"> The current boundaries </w:t>
      </w:r>
      <w:r w:rsidR="00A64A47">
        <w:t xml:space="preserve">for Perth and Adelaide medium-density areas, outlined in blue, </w:t>
      </w:r>
      <w:r w:rsidR="00632730">
        <w:t>are</w:t>
      </w:r>
      <w:r w:rsidR="00A64A47">
        <w:t xml:space="preserve"> shown </w:t>
      </w:r>
      <w:r w:rsidR="000954CA">
        <w:t>in Figure 3</w:t>
      </w:r>
      <w:r w:rsidR="00A64A47">
        <w:t xml:space="preserve">. The </w:t>
      </w:r>
      <w:r w:rsidR="000A10C5">
        <w:t xml:space="preserve">shaded graduation from purple to yellow highlights </w:t>
      </w:r>
      <w:r w:rsidR="00AF552E">
        <w:t>assignment density for each geographic area, with purple being more dense and yellow less dense.</w:t>
      </w:r>
    </w:p>
    <w:p w14:paraId="45A75F75" w14:textId="44B3FA28" w:rsidR="006F3B4B" w:rsidRPr="002507F5" w:rsidRDefault="002A2B1F" w:rsidP="008B3FEE">
      <w:pPr>
        <w:pStyle w:val="Figureheading"/>
      </w:pPr>
      <w:r>
        <w:lastRenderedPageBreak/>
        <w:t>Current boundaries for Adelaide and Perth medium-density areas</w:t>
      </w:r>
    </w:p>
    <w:p w14:paraId="5C8A4751" w14:textId="3FDEE244" w:rsidR="00FF2449" w:rsidRDefault="00FF2449" w:rsidP="0093065A">
      <w:pPr>
        <w:contextualSpacing/>
        <w:rPr>
          <w:rFonts w:cs="Arial"/>
          <w:bCs/>
        </w:rPr>
      </w:pPr>
      <w:r>
        <w:rPr>
          <w:noProof/>
        </w:rPr>
        <w:drawing>
          <wp:inline distT="0" distB="0" distL="0" distR="0" wp14:anchorId="649B1D7F" wp14:editId="2DC78653">
            <wp:extent cx="4266000" cy="2782800"/>
            <wp:effectExtent l="0" t="0" r="1270" b="0"/>
            <wp:docPr id="6" name="Picture 6" descr="Figure 1: Current boundaries for Adelaide and Perth (classified as medium-density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1: Current boundaries for Adelaide and Perth (classified as medium-density area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66000" cy="2782800"/>
                    </a:xfrm>
                    <a:prstGeom prst="rect">
                      <a:avLst/>
                    </a:prstGeom>
                    <a:noFill/>
                    <a:ln>
                      <a:noFill/>
                    </a:ln>
                  </pic:spPr>
                </pic:pic>
              </a:graphicData>
            </a:graphic>
          </wp:inline>
        </w:drawing>
      </w:r>
    </w:p>
    <w:p w14:paraId="468ED061" w14:textId="33EB18E0" w:rsidR="0093065A" w:rsidRDefault="0093065A" w:rsidP="008B3FEE">
      <w:pPr>
        <w:spacing w:after="120"/>
        <w:contextualSpacing/>
        <w:rPr>
          <w:rFonts w:cs="Arial"/>
          <w:bCs/>
        </w:rPr>
      </w:pPr>
    </w:p>
    <w:p w14:paraId="5D262469" w14:textId="1312F9A1" w:rsidR="000973E5" w:rsidRDefault="000973E5" w:rsidP="00A95351">
      <w:pPr>
        <w:pStyle w:val="Paragraph"/>
        <w:rPr>
          <w:bCs/>
        </w:rPr>
      </w:pPr>
      <w:r>
        <w:t xml:space="preserve">In order to </w:t>
      </w:r>
      <w:r w:rsidR="00FE50FF">
        <w:rPr>
          <w:bCs/>
        </w:rPr>
        <w:t xml:space="preserve">better align the densities of each of the areas and provide more coherent tax relativities, </w:t>
      </w:r>
      <w:r w:rsidR="000954CA">
        <w:rPr>
          <w:bCs/>
        </w:rPr>
        <w:t xml:space="preserve">we </w:t>
      </w:r>
      <w:r w:rsidR="00FE50FF">
        <w:rPr>
          <w:bCs/>
        </w:rPr>
        <w:t xml:space="preserve">proposed </w:t>
      </w:r>
      <w:r w:rsidR="00AF3E09">
        <w:rPr>
          <w:bCs/>
        </w:rPr>
        <w:t xml:space="preserve">to increase the </w:t>
      </w:r>
      <w:r w:rsidR="0087720B">
        <w:rPr>
          <w:bCs/>
        </w:rPr>
        <w:t>geographic area for Perth and Adelaide medium-density areas. The proposed boundaries would cover an area more comparable to Melbourne, Sydney, and Brisbane</w:t>
      </w:r>
      <w:r w:rsidR="007D3A9D">
        <w:rPr>
          <w:bCs/>
        </w:rPr>
        <w:t>, and remove their current status as anomalies when mapped against population density and assignment density.</w:t>
      </w:r>
      <w:r w:rsidR="00AF552E">
        <w:rPr>
          <w:bCs/>
        </w:rPr>
        <w:t xml:space="preserve"> </w:t>
      </w:r>
      <w:r w:rsidR="00AF552E">
        <w:t xml:space="preserve">The proposed boundaries for Perth and Adelaide medium-density areas, outlined in red, are shown </w:t>
      </w:r>
      <w:r w:rsidR="000954CA">
        <w:t>in Figure 4</w:t>
      </w:r>
      <w:r w:rsidR="00AF552E">
        <w:t>. The shaded graduation from purple to yellow highlights assignment density for each geographic area, with purple being more dense and yellow less dense.</w:t>
      </w:r>
    </w:p>
    <w:p w14:paraId="771C2A05" w14:textId="51D1103F" w:rsidR="002A2B1F" w:rsidRPr="002507F5" w:rsidRDefault="002A2B1F" w:rsidP="008B3FEE">
      <w:pPr>
        <w:pStyle w:val="Figureheading"/>
      </w:pPr>
      <w:r>
        <w:t>Proposed boundaries for Adelaide and Perth medium-density areas</w:t>
      </w:r>
    </w:p>
    <w:p w14:paraId="7BC04C8E" w14:textId="0AAC050B" w:rsidR="00FF2449" w:rsidRDefault="00221432" w:rsidP="0093065A">
      <w:pPr>
        <w:contextualSpacing/>
        <w:rPr>
          <w:rFonts w:cs="Arial"/>
          <w:bCs/>
        </w:rPr>
      </w:pPr>
      <w:r>
        <w:rPr>
          <w:noProof/>
        </w:rPr>
        <w:drawing>
          <wp:inline distT="0" distB="0" distL="0" distR="0" wp14:anchorId="044A3C02" wp14:editId="5EC93676">
            <wp:extent cx="4265930" cy="2750185"/>
            <wp:effectExtent l="0" t="0" r="1270" b="0"/>
            <wp:docPr id="7" name="Picture 7" descr="If you need help accessing or reading this diagram, please contact the ACMA's Customer Service Centre by phone on 1300 850 115 or by email at info@acma.gov.au&#10;"/>
            <wp:cNvGraphicFramePr/>
            <a:graphic xmlns:a="http://schemas.openxmlformats.org/drawingml/2006/main">
              <a:graphicData uri="http://schemas.openxmlformats.org/drawingml/2006/picture">
                <pic:pic xmlns:pic="http://schemas.openxmlformats.org/drawingml/2006/picture">
                  <pic:nvPicPr>
                    <pic:cNvPr id="7" name="Picture 7" descr="If you need help accessing or reading this diagram, please contact the ACMA's Customer Service Centre by phone on 1300 850 115 or by email at info@acma.gov.au&#10;"/>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65930" cy="2750185"/>
                    </a:xfrm>
                    <a:prstGeom prst="rect">
                      <a:avLst/>
                    </a:prstGeom>
                    <a:noFill/>
                    <a:ln>
                      <a:noFill/>
                    </a:ln>
                  </pic:spPr>
                </pic:pic>
              </a:graphicData>
            </a:graphic>
          </wp:inline>
        </w:drawing>
      </w:r>
    </w:p>
    <w:p w14:paraId="1DC1C56A" w14:textId="77777777" w:rsidR="00B34653" w:rsidRDefault="00B34653" w:rsidP="008B3FEE">
      <w:pPr>
        <w:spacing w:after="120"/>
        <w:contextualSpacing/>
        <w:rPr>
          <w:rFonts w:cs="Arial"/>
          <w:bCs/>
        </w:rPr>
      </w:pPr>
    </w:p>
    <w:p w14:paraId="0B26E1BE" w14:textId="494F8AEE" w:rsidR="00EA0B7A" w:rsidRPr="00DD1A5B" w:rsidRDefault="000954CA" w:rsidP="008B3FEE">
      <w:pPr>
        <w:pStyle w:val="Paragraphbeforelist"/>
      </w:pPr>
      <w:r>
        <w:t xml:space="preserve">We </w:t>
      </w:r>
      <w:r w:rsidR="005F2AE4">
        <w:t xml:space="preserve">also published </w:t>
      </w:r>
      <w:r w:rsidR="008F621F">
        <w:t xml:space="preserve">proposed </w:t>
      </w:r>
      <w:r w:rsidR="00D95BA5">
        <w:t xml:space="preserve">guidelines </w:t>
      </w:r>
      <w:r w:rsidR="00074E5E">
        <w:t xml:space="preserve">for each of the </w:t>
      </w:r>
      <w:r w:rsidR="00EA0B7A">
        <w:t>geographic areas using the population density and assignment density</w:t>
      </w:r>
      <w:r>
        <w:t xml:space="preserve"> metrics</w:t>
      </w:r>
      <w:r w:rsidR="00EA0B7A">
        <w:t xml:space="preserve"> as a proxy to </w:t>
      </w:r>
      <w:r w:rsidR="00617508">
        <w:t xml:space="preserve">underlying spectrum demand and potential spectrum denial. These guidelines, together with </w:t>
      </w:r>
      <w:r w:rsidR="00D665A2">
        <w:t xml:space="preserve">the </w:t>
      </w:r>
      <w:r w:rsidR="00D665A2">
        <w:lastRenderedPageBreak/>
        <w:t xml:space="preserve">assignment density map, helped to guide the </w:t>
      </w:r>
      <w:r w:rsidR="00D665A2" w:rsidRPr="00DD1A5B">
        <w:t xml:space="preserve">updated </w:t>
      </w:r>
      <w:r w:rsidR="008F621F" w:rsidRPr="00DD1A5B">
        <w:t xml:space="preserve">boundaries for Perth and Adelaide medium-density areas. The proposed guidelines were: </w:t>
      </w:r>
    </w:p>
    <w:p w14:paraId="412879E2" w14:textId="12982C1A" w:rsidR="009D551E" w:rsidRDefault="000954CA" w:rsidP="00A95351">
      <w:pPr>
        <w:pStyle w:val="ListBullet"/>
      </w:pPr>
      <w:r>
        <w:t>h</w:t>
      </w:r>
      <w:r w:rsidR="009D551E" w:rsidRPr="00DD1A5B">
        <w:t xml:space="preserve">igh-density areas </w:t>
      </w:r>
      <w:r>
        <w:t>were</w:t>
      </w:r>
      <w:r w:rsidRPr="00DD1A5B">
        <w:t xml:space="preserve"> </w:t>
      </w:r>
      <w:r w:rsidR="009D551E" w:rsidRPr="00DD1A5B">
        <w:t>defined as an area with a population density of greater than 220 people per km</w:t>
      </w:r>
      <w:r w:rsidRPr="008B3FEE">
        <w:rPr>
          <w:vertAlign w:val="superscript"/>
        </w:rPr>
        <w:t>2</w:t>
      </w:r>
      <w:r w:rsidR="009D551E" w:rsidRPr="00DD1A5B">
        <w:t xml:space="preserve"> and an assignment density </w:t>
      </w:r>
      <w:r w:rsidR="009D551E">
        <w:t>of greater than 70 per km</w:t>
      </w:r>
      <w:r w:rsidRPr="008B3FEE">
        <w:rPr>
          <w:vertAlign w:val="superscript"/>
        </w:rPr>
        <w:t>2</w:t>
      </w:r>
      <w:r w:rsidR="009D551E">
        <w:t xml:space="preserve"> (red area in Figure 4)</w:t>
      </w:r>
    </w:p>
    <w:p w14:paraId="48D8AE10" w14:textId="2306D3BC" w:rsidR="009D551E" w:rsidRDefault="000954CA" w:rsidP="00A95351">
      <w:pPr>
        <w:pStyle w:val="ListBullet"/>
      </w:pPr>
      <w:r>
        <w:t>m</w:t>
      </w:r>
      <w:r w:rsidR="009D551E">
        <w:t xml:space="preserve">edium-density areas </w:t>
      </w:r>
      <w:r>
        <w:t xml:space="preserve">were </w:t>
      </w:r>
      <w:r w:rsidR="009D551E">
        <w:t>defined as an area with a population density greater than 70 people per km</w:t>
      </w:r>
      <w:r w:rsidRPr="004B408E">
        <w:rPr>
          <w:vertAlign w:val="superscript"/>
        </w:rPr>
        <w:t>2</w:t>
      </w:r>
      <w:r w:rsidR="009D551E">
        <w:t xml:space="preserve"> and an assignment density of greater than 30 per km</w:t>
      </w:r>
      <w:r w:rsidRPr="004B408E">
        <w:rPr>
          <w:vertAlign w:val="superscript"/>
        </w:rPr>
        <w:t>2</w:t>
      </w:r>
      <w:r w:rsidR="009D551E">
        <w:t>, that does not meet the definition of a high-density area (blue area in Figure 4)</w:t>
      </w:r>
    </w:p>
    <w:p w14:paraId="3B9A8949" w14:textId="0717DBF8" w:rsidR="009D551E" w:rsidRDefault="000954CA" w:rsidP="00A95351">
      <w:pPr>
        <w:pStyle w:val="ListBullet"/>
      </w:pPr>
      <w:r>
        <w:t>l</w:t>
      </w:r>
      <w:r w:rsidR="009D551E">
        <w:t xml:space="preserve">ow-density areas </w:t>
      </w:r>
      <w:r>
        <w:t xml:space="preserve">were </w:t>
      </w:r>
      <w:r w:rsidR="009D551E">
        <w:t>defined as an area with a population density greater than 2 people per km</w:t>
      </w:r>
      <w:r w:rsidRPr="004B408E">
        <w:rPr>
          <w:vertAlign w:val="superscript"/>
        </w:rPr>
        <w:t>2</w:t>
      </w:r>
      <w:r w:rsidR="009D551E">
        <w:t xml:space="preserve"> and an assignment density of greater than 2 per km</w:t>
      </w:r>
      <w:r w:rsidRPr="004B408E">
        <w:rPr>
          <w:vertAlign w:val="superscript"/>
        </w:rPr>
        <w:t>2</w:t>
      </w:r>
      <w:r w:rsidR="009D551E">
        <w:t>, that does not meet the definition of either medium</w:t>
      </w:r>
      <w:r>
        <w:t>-</w:t>
      </w:r>
      <w:r w:rsidR="009D551E">
        <w:t xml:space="preserve"> or high-density area (green area in </w:t>
      </w:r>
      <w:r w:rsidR="00651A89">
        <w:t>Figure </w:t>
      </w:r>
      <w:r w:rsidR="009D551E">
        <w:t>4).</w:t>
      </w:r>
    </w:p>
    <w:p w14:paraId="32917775" w14:textId="78DF1308" w:rsidR="009D551E" w:rsidRDefault="000954CA" w:rsidP="00A95351">
      <w:pPr>
        <w:pStyle w:val="ListBulletLast"/>
      </w:pPr>
      <w:r>
        <w:t>r</w:t>
      </w:r>
      <w:r w:rsidR="009D551E">
        <w:t xml:space="preserve">emote-density areas </w:t>
      </w:r>
      <w:r>
        <w:t xml:space="preserve">were </w:t>
      </w:r>
      <w:r w:rsidR="009D551E">
        <w:t>defined as areas that do not meet the definition of low</w:t>
      </w:r>
      <w:r>
        <w:t>-</w:t>
      </w:r>
      <w:r w:rsidR="009D551E">
        <w:t>, medium</w:t>
      </w:r>
      <w:r>
        <w:t>-</w:t>
      </w:r>
      <w:r w:rsidR="009D551E">
        <w:t xml:space="preserve">, or high-density areas </w:t>
      </w:r>
      <w:r w:rsidR="004E1EC8">
        <w:t xml:space="preserve">(orange area </w:t>
      </w:r>
      <w:r w:rsidR="009D551E">
        <w:t>of Figure 4).</w:t>
      </w:r>
    </w:p>
    <w:p w14:paraId="26ABF6E1" w14:textId="40D897E3" w:rsidR="00215B32" w:rsidRDefault="00191A1E" w:rsidP="008B3FEE">
      <w:pPr>
        <w:pStyle w:val="Paragraph"/>
      </w:pPr>
      <w:r>
        <w:t>A graph of the proposed density area guidelines</w:t>
      </w:r>
      <w:r w:rsidR="002469C1">
        <w:t xml:space="preserve">, </w:t>
      </w:r>
      <w:r>
        <w:t xml:space="preserve">and how each </w:t>
      </w:r>
      <w:r w:rsidR="002469C1">
        <w:t xml:space="preserve">proposed geographic area would fall within these guidelines, is shown </w:t>
      </w:r>
      <w:r w:rsidR="000954CA">
        <w:t>in Figure 5</w:t>
      </w:r>
      <w:r w:rsidR="002469C1">
        <w:t>.</w:t>
      </w:r>
    </w:p>
    <w:p w14:paraId="2CAB9BBB" w14:textId="764A4667" w:rsidR="00215B32" w:rsidRPr="002507F5" w:rsidRDefault="00215B32" w:rsidP="008B3FEE">
      <w:pPr>
        <w:pStyle w:val="Figureheading"/>
      </w:pPr>
      <w:r>
        <w:t>Proposed den</w:t>
      </w:r>
      <w:r w:rsidR="00722764">
        <w:t>sity area definitions mapped against geographic areas</w:t>
      </w:r>
    </w:p>
    <w:p w14:paraId="3677FBD4" w14:textId="25CB50AB" w:rsidR="005F2AE4" w:rsidRDefault="00B95A1A" w:rsidP="0093065A">
      <w:pPr>
        <w:contextualSpacing/>
        <w:rPr>
          <w:rFonts w:cs="Arial"/>
          <w:bCs/>
        </w:rPr>
      </w:pPr>
      <w:r>
        <w:rPr>
          <w:noProof/>
        </w:rPr>
        <w:drawing>
          <wp:inline distT="0" distB="0" distL="0" distR="0" wp14:anchorId="03E276B5" wp14:editId="41AA66DC">
            <wp:extent cx="3349792" cy="3142047"/>
            <wp:effectExtent l="19050" t="19050" r="22225" b="20320"/>
            <wp:docPr id="5" name="Picture 5" descr="If you need help accessing or reading this diagram, please contact the ACMA's Customer Service Centre by phone on 1300 850 115 or by email at info@acma.gov.au"/>
            <wp:cNvGraphicFramePr/>
            <a:graphic xmlns:a="http://schemas.openxmlformats.org/drawingml/2006/main">
              <a:graphicData uri="http://schemas.openxmlformats.org/drawingml/2006/picture">
                <pic:pic xmlns:pic="http://schemas.openxmlformats.org/drawingml/2006/picture">
                  <pic:nvPicPr>
                    <pic:cNvPr id="5" name="Picture 5" descr="If you need help accessing or reading this diagram, please contact the ACMA's Customer Service Centre by phone on 1300 850 115 or by email at info@acma.gov.au"/>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57095" cy="3148897"/>
                    </a:xfrm>
                    <a:prstGeom prst="rect">
                      <a:avLst/>
                    </a:prstGeom>
                    <a:noFill/>
                    <a:ln>
                      <a:solidFill>
                        <a:schemeClr val="tx1"/>
                      </a:solidFill>
                    </a:ln>
                  </pic:spPr>
                </pic:pic>
              </a:graphicData>
            </a:graphic>
          </wp:inline>
        </w:drawing>
      </w:r>
    </w:p>
    <w:p w14:paraId="0E1E6B4B" w14:textId="77777777" w:rsidR="005F2AE4" w:rsidRDefault="005F2AE4" w:rsidP="008B3FEE">
      <w:pPr>
        <w:spacing w:after="120"/>
        <w:contextualSpacing/>
        <w:rPr>
          <w:rFonts w:cs="Arial"/>
          <w:bCs/>
        </w:rPr>
      </w:pPr>
    </w:p>
    <w:p w14:paraId="125720A2" w14:textId="1A7BC486" w:rsidR="0051534E" w:rsidRDefault="0051534E" w:rsidP="008B3FEE">
      <w:pPr>
        <w:pStyle w:val="Paragraph"/>
        <w:spacing w:after="120"/>
        <w:rPr>
          <w:bCs/>
        </w:rPr>
      </w:pPr>
      <w:r>
        <w:rPr>
          <w:bCs/>
        </w:rPr>
        <w:t>Submitters were asked the following question</w:t>
      </w:r>
      <w:r w:rsidR="000954CA">
        <w:rPr>
          <w:bCs/>
        </w:rPr>
        <w:t xml:space="preserve"> about</w:t>
      </w:r>
      <w:r>
        <w:rPr>
          <w:bCs/>
        </w:rPr>
        <w:t xml:space="preserve"> the proposed reform:</w:t>
      </w:r>
    </w:p>
    <w:p w14:paraId="5A4201AE" w14:textId="77777777" w:rsidR="00D57527" w:rsidRPr="008B3FEE" w:rsidRDefault="00D57527" w:rsidP="008B3FEE">
      <w:pPr>
        <w:pStyle w:val="Heading3"/>
        <w:spacing w:after="0"/>
        <w:ind w:left="851" w:right="867"/>
        <w:rPr>
          <w:sz w:val="18"/>
          <w:szCs w:val="18"/>
        </w:rPr>
      </w:pPr>
      <w:r w:rsidRPr="008B3FEE">
        <w:rPr>
          <w:sz w:val="18"/>
          <w:szCs w:val="18"/>
        </w:rPr>
        <w:t>Question 6</w:t>
      </w:r>
    </w:p>
    <w:p w14:paraId="31476194" w14:textId="77777777" w:rsidR="00D57527" w:rsidRPr="008B3FEE" w:rsidRDefault="00D57527" w:rsidP="008B3FEE">
      <w:pPr>
        <w:pStyle w:val="Paragraph"/>
        <w:ind w:left="851" w:right="867"/>
        <w:rPr>
          <w:sz w:val="18"/>
          <w:szCs w:val="18"/>
        </w:rPr>
      </w:pPr>
      <w:r w:rsidRPr="008B3FEE">
        <w:rPr>
          <w:sz w:val="18"/>
          <w:szCs w:val="18"/>
        </w:rPr>
        <w:t xml:space="preserve">Do you have any comments on the density area framework, proposed density area definitions, or proposed changes to the Perth and Adelaide </w:t>
      </w:r>
      <w:r w:rsidRPr="008B3FEE" w:rsidDel="008835EE">
        <w:rPr>
          <w:sz w:val="18"/>
          <w:szCs w:val="18"/>
        </w:rPr>
        <w:t>medium</w:t>
      </w:r>
      <w:r w:rsidRPr="008B3FEE">
        <w:rPr>
          <w:sz w:val="18"/>
          <w:szCs w:val="18"/>
        </w:rPr>
        <w:t>-density areas?</w:t>
      </w:r>
    </w:p>
    <w:p w14:paraId="783E31FC" w14:textId="22A2068E" w:rsidR="00422ED8" w:rsidRDefault="00651A89" w:rsidP="00A95351">
      <w:pPr>
        <w:pStyle w:val="Paragraph"/>
      </w:pPr>
      <w:r>
        <w:t xml:space="preserve">We </w:t>
      </w:r>
      <w:r w:rsidR="00C0567C" w:rsidRPr="00286B8C">
        <w:t xml:space="preserve">received </w:t>
      </w:r>
      <w:r>
        <w:t xml:space="preserve">5 </w:t>
      </w:r>
      <w:r w:rsidR="00C0567C">
        <w:t xml:space="preserve">submissions that commented on </w:t>
      </w:r>
      <w:r>
        <w:t>this question</w:t>
      </w:r>
      <w:r w:rsidR="00C0567C">
        <w:t xml:space="preserve">, one of which was supportive and </w:t>
      </w:r>
      <w:r>
        <w:t xml:space="preserve">4 </w:t>
      </w:r>
      <w:r w:rsidR="00C0567C">
        <w:t xml:space="preserve">of which were neutral. </w:t>
      </w:r>
      <w:r w:rsidR="00E3372B">
        <w:t>On</w:t>
      </w:r>
      <w:r w:rsidR="000F5D54">
        <w:t>e</w:t>
      </w:r>
      <w:r w:rsidR="00A05570">
        <w:t xml:space="preserve"> s</w:t>
      </w:r>
      <w:r w:rsidR="00A05570">
        <w:rPr>
          <w:bCs/>
        </w:rPr>
        <w:t xml:space="preserve">ubmission </w:t>
      </w:r>
      <w:r w:rsidR="00422ED8">
        <w:rPr>
          <w:bCs/>
        </w:rPr>
        <w:t>noted its support of the proposed density area framework, density area definitions, and changes to the Perth and Adelaide medium-density areas.</w:t>
      </w:r>
    </w:p>
    <w:p w14:paraId="400CF4E0" w14:textId="4F7BEF5C" w:rsidR="00F77625" w:rsidRDefault="00E3372B" w:rsidP="00A95351">
      <w:pPr>
        <w:pStyle w:val="Paragraph"/>
      </w:pPr>
      <w:r>
        <w:t>Four</w:t>
      </w:r>
      <w:r w:rsidR="00422ED8">
        <w:t xml:space="preserve"> submissions </w:t>
      </w:r>
      <w:r w:rsidR="00125157">
        <w:t>noted that the reasoning and framework for the proposal was understood</w:t>
      </w:r>
      <w:r w:rsidR="00A229BA">
        <w:t xml:space="preserve"> </w:t>
      </w:r>
      <w:r w:rsidR="00125157">
        <w:t xml:space="preserve">but </w:t>
      </w:r>
      <w:r>
        <w:t xml:space="preserve">argued </w:t>
      </w:r>
      <w:r w:rsidR="00125157">
        <w:t xml:space="preserve">that the ACMA should </w:t>
      </w:r>
      <w:r w:rsidR="006A47EA">
        <w:rPr>
          <w:bCs/>
        </w:rPr>
        <w:t xml:space="preserve">give </w:t>
      </w:r>
      <w:r w:rsidR="00E25BA1">
        <w:rPr>
          <w:bCs/>
        </w:rPr>
        <w:t xml:space="preserve">further </w:t>
      </w:r>
      <w:r w:rsidR="006A47EA">
        <w:rPr>
          <w:bCs/>
        </w:rPr>
        <w:t xml:space="preserve">consideration to its </w:t>
      </w:r>
      <w:r w:rsidR="006A47EA">
        <w:rPr>
          <w:bCs/>
        </w:rPr>
        <w:lastRenderedPageBreak/>
        <w:t>implementation to minimise</w:t>
      </w:r>
      <w:r w:rsidR="005D0FEE">
        <w:rPr>
          <w:bCs/>
        </w:rPr>
        <w:t xml:space="preserve"> the impact of price rises for affected licensees. </w:t>
      </w:r>
      <w:r w:rsidR="009C0825">
        <w:rPr>
          <w:bCs/>
        </w:rPr>
        <w:t xml:space="preserve">One submission also noted that further information </w:t>
      </w:r>
      <w:r w:rsidR="00651A89">
        <w:rPr>
          <w:bCs/>
        </w:rPr>
        <w:t xml:space="preserve">about </w:t>
      </w:r>
      <w:r w:rsidR="009C0825">
        <w:rPr>
          <w:bCs/>
        </w:rPr>
        <w:t>the density area classifications would be welcome.</w:t>
      </w:r>
      <w:r w:rsidR="005025E7">
        <w:rPr>
          <w:bCs/>
        </w:rPr>
        <w:t xml:space="preserve"> </w:t>
      </w:r>
      <w:r w:rsidR="00AE2504">
        <w:rPr>
          <w:bCs/>
        </w:rPr>
        <w:t xml:space="preserve">Another noted that density areas as a concept </w:t>
      </w:r>
      <w:r w:rsidR="002717AC">
        <w:rPr>
          <w:bCs/>
        </w:rPr>
        <w:t>are a very co</w:t>
      </w:r>
      <w:r w:rsidR="00651A89">
        <w:rPr>
          <w:bCs/>
        </w:rPr>
        <w:t>a</w:t>
      </w:r>
      <w:r w:rsidR="002717AC">
        <w:rPr>
          <w:bCs/>
        </w:rPr>
        <w:t xml:space="preserve">rse measurement of spectrum denial and that a more </w:t>
      </w:r>
      <w:r w:rsidR="00722A89">
        <w:rPr>
          <w:bCs/>
        </w:rPr>
        <w:t>granular approach should be investigated and utilised.</w:t>
      </w:r>
    </w:p>
    <w:p w14:paraId="429CBFC0" w14:textId="442AEC9D" w:rsidR="00F77625" w:rsidRPr="000C26E7" w:rsidRDefault="00A5210D" w:rsidP="00A95351">
      <w:pPr>
        <w:pStyle w:val="Paragraph"/>
        <w:rPr>
          <w:bCs/>
        </w:rPr>
      </w:pPr>
      <w:r>
        <w:t xml:space="preserve">There were </w:t>
      </w:r>
      <w:r w:rsidR="00651A89">
        <w:t xml:space="preserve">2 </w:t>
      </w:r>
      <w:r>
        <w:t xml:space="preserve">submissions that provided explicit recommendations </w:t>
      </w:r>
      <w:r w:rsidR="00651A89">
        <w:t xml:space="preserve">about </w:t>
      </w:r>
      <w:r>
        <w:t xml:space="preserve">when the proposals should be introduced. </w:t>
      </w:r>
      <w:r w:rsidR="00694E1C">
        <w:rPr>
          <w:bCs/>
        </w:rPr>
        <w:t xml:space="preserve">One recommended that the changes be phased in over a </w:t>
      </w:r>
      <w:r w:rsidR="00651A89">
        <w:rPr>
          <w:bCs/>
        </w:rPr>
        <w:t>2</w:t>
      </w:r>
      <w:r w:rsidR="00D83109">
        <w:rPr>
          <w:bCs/>
        </w:rPr>
        <w:t>-</w:t>
      </w:r>
      <w:r w:rsidR="00694E1C">
        <w:rPr>
          <w:bCs/>
        </w:rPr>
        <w:t>to</w:t>
      </w:r>
      <w:r w:rsidR="00EA2492">
        <w:rPr>
          <w:bCs/>
        </w:rPr>
        <w:t>-</w:t>
      </w:r>
      <w:r w:rsidR="00651A89">
        <w:rPr>
          <w:bCs/>
        </w:rPr>
        <w:t>3</w:t>
      </w:r>
      <w:r w:rsidR="00B70F92">
        <w:rPr>
          <w:bCs/>
        </w:rPr>
        <w:t>-</w:t>
      </w:r>
      <w:r w:rsidR="00694E1C">
        <w:rPr>
          <w:bCs/>
        </w:rPr>
        <w:t xml:space="preserve">year period to minimise the </w:t>
      </w:r>
      <w:r w:rsidR="00E25BA1">
        <w:rPr>
          <w:bCs/>
        </w:rPr>
        <w:t xml:space="preserve">impact </w:t>
      </w:r>
      <w:r w:rsidR="00694E1C">
        <w:rPr>
          <w:bCs/>
        </w:rPr>
        <w:t>of the changes on affected licensees.</w:t>
      </w:r>
      <w:r w:rsidR="00D83109">
        <w:rPr>
          <w:bCs/>
        </w:rPr>
        <w:t xml:space="preserve"> </w:t>
      </w:r>
      <w:r w:rsidR="0010419A">
        <w:rPr>
          <w:bCs/>
        </w:rPr>
        <w:t xml:space="preserve">Another </w:t>
      </w:r>
      <w:r w:rsidR="003F6D2B">
        <w:rPr>
          <w:bCs/>
        </w:rPr>
        <w:t xml:space="preserve">submission emphasised the importance of looking </w:t>
      </w:r>
      <w:r w:rsidR="00651A89">
        <w:rPr>
          <w:bCs/>
        </w:rPr>
        <w:t xml:space="preserve">at </w:t>
      </w:r>
      <w:r w:rsidR="003F6D2B">
        <w:rPr>
          <w:bCs/>
        </w:rPr>
        <w:t xml:space="preserve">longer-term impacts on existing licensees that have services in the affected area. They </w:t>
      </w:r>
      <w:r w:rsidR="00B70F92">
        <w:rPr>
          <w:bCs/>
        </w:rPr>
        <w:t xml:space="preserve">suggested that the fee increase for existing licensees should be phased in over a </w:t>
      </w:r>
      <w:r w:rsidR="00651A89">
        <w:rPr>
          <w:bCs/>
        </w:rPr>
        <w:t>5</w:t>
      </w:r>
      <w:r w:rsidR="00B70F92">
        <w:rPr>
          <w:bCs/>
        </w:rPr>
        <w:t>-year period</w:t>
      </w:r>
      <w:r w:rsidR="00651A89">
        <w:rPr>
          <w:bCs/>
        </w:rPr>
        <w:t>,</w:t>
      </w:r>
      <w:r w:rsidR="00B70F92">
        <w:rPr>
          <w:bCs/>
        </w:rPr>
        <w:t xml:space="preserve"> with equal </w:t>
      </w:r>
      <w:r w:rsidR="00B70F92" w:rsidRPr="000C26E7">
        <w:rPr>
          <w:bCs/>
        </w:rPr>
        <w:t xml:space="preserve">increases </w:t>
      </w:r>
      <w:r w:rsidR="00180C4A">
        <w:rPr>
          <w:bCs/>
        </w:rPr>
        <w:t>in</w:t>
      </w:r>
      <w:r w:rsidR="00651A89">
        <w:rPr>
          <w:bCs/>
        </w:rPr>
        <w:t xml:space="preserve"> </w:t>
      </w:r>
      <w:r w:rsidR="00B70F92" w:rsidRPr="000C26E7">
        <w:rPr>
          <w:bCs/>
        </w:rPr>
        <w:t>each renewal over that time.</w:t>
      </w:r>
      <w:r w:rsidR="00694E1C" w:rsidRPr="000C26E7">
        <w:rPr>
          <w:bCs/>
        </w:rPr>
        <w:t xml:space="preserve"> </w:t>
      </w:r>
    </w:p>
    <w:p w14:paraId="7871B259" w14:textId="1DC52F7E" w:rsidR="00356AB0" w:rsidRPr="000C26E7" w:rsidRDefault="00356AB0" w:rsidP="00356AB0">
      <w:pPr>
        <w:pStyle w:val="Heading4"/>
        <w:spacing w:after="60"/>
        <w:rPr>
          <w:i w:val="0"/>
          <w:iCs/>
        </w:rPr>
      </w:pPr>
      <w:r w:rsidRPr="000C26E7">
        <w:rPr>
          <w:i w:val="0"/>
          <w:iCs/>
        </w:rPr>
        <w:t>Response to submitters</w:t>
      </w:r>
    </w:p>
    <w:p w14:paraId="75AA0DC0" w14:textId="4A65C1FF" w:rsidR="00EA2492" w:rsidRPr="000C26E7" w:rsidRDefault="00651A89" w:rsidP="00EA2492">
      <w:pPr>
        <w:pStyle w:val="Paragraph"/>
      </w:pPr>
      <w:r>
        <w:t xml:space="preserve">We </w:t>
      </w:r>
      <w:r w:rsidR="00EA2492" w:rsidRPr="000C26E7">
        <w:t>note that</w:t>
      </w:r>
      <w:r>
        <w:t xml:space="preserve"> while </w:t>
      </w:r>
      <w:r w:rsidR="00EA2492" w:rsidRPr="000C26E7">
        <w:t xml:space="preserve">there is </w:t>
      </w:r>
      <w:r w:rsidR="0091318E" w:rsidRPr="000C26E7">
        <w:t xml:space="preserve">a general understanding and acknowledgement of the reasons for this proposal, </w:t>
      </w:r>
      <w:r w:rsidR="00C339C8" w:rsidRPr="000C26E7">
        <w:t xml:space="preserve">submitters would like further information </w:t>
      </w:r>
      <w:r w:rsidR="00180C4A">
        <w:t>about</w:t>
      </w:r>
      <w:r w:rsidR="00180C4A" w:rsidRPr="000C26E7">
        <w:t xml:space="preserve"> </w:t>
      </w:r>
      <w:r w:rsidR="00C339C8" w:rsidRPr="000C26E7">
        <w:t xml:space="preserve">some definitions and changes </w:t>
      </w:r>
      <w:r w:rsidR="00180C4A">
        <w:t xml:space="preserve">to </w:t>
      </w:r>
      <w:r w:rsidR="00C339C8" w:rsidRPr="000C26E7">
        <w:t>be phased in over a period of time.</w:t>
      </w:r>
    </w:p>
    <w:p w14:paraId="51AA70B3" w14:textId="035CB84C" w:rsidR="00C339C8" w:rsidRDefault="00180C4A" w:rsidP="00EA2492">
      <w:pPr>
        <w:pStyle w:val="Paragraph"/>
      </w:pPr>
      <w:r>
        <w:t>We</w:t>
      </w:r>
      <w:r w:rsidR="00C339C8">
        <w:t xml:space="preserve"> intend to </w:t>
      </w:r>
      <w:r w:rsidR="000D7676">
        <w:t xml:space="preserve">proceed with the proposed changes to </w:t>
      </w:r>
      <w:r w:rsidR="002376E2">
        <w:t xml:space="preserve">update the Perth and Adelaide medium-density areas. However, </w:t>
      </w:r>
      <w:r>
        <w:t xml:space="preserve">we have </w:t>
      </w:r>
      <w:r w:rsidR="00E74777">
        <w:t xml:space="preserve">decided to delay the introduction of the boundary changes by approximately </w:t>
      </w:r>
      <w:r>
        <w:t xml:space="preserve">3 </w:t>
      </w:r>
      <w:r w:rsidR="00E74777">
        <w:t>years to mid-2025.</w:t>
      </w:r>
      <w:r w:rsidR="00D021BF">
        <w:t xml:space="preserve"> We note that this is in line with the recommendation of one submission to </w:t>
      </w:r>
      <w:r w:rsidR="00D40976">
        <w:t xml:space="preserve">phase in the change over a </w:t>
      </w:r>
      <w:r>
        <w:t>2</w:t>
      </w:r>
      <w:r w:rsidR="00D40976">
        <w:t>-to-</w:t>
      </w:r>
      <w:r>
        <w:t>3</w:t>
      </w:r>
      <w:r w:rsidR="00D40976">
        <w:t xml:space="preserve">-year period, and also has a similar effect to another submission’s recommendation </w:t>
      </w:r>
      <w:r w:rsidR="00846375">
        <w:t xml:space="preserve">for a gradual increase over a </w:t>
      </w:r>
      <w:r>
        <w:t>5</w:t>
      </w:r>
      <w:r w:rsidR="00846375">
        <w:t>-year period.</w:t>
      </w:r>
    </w:p>
    <w:p w14:paraId="2BCC3B6D" w14:textId="13D1D105" w:rsidR="00EA2492" w:rsidRDefault="00180C4A" w:rsidP="00EA2492">
      <w:pPr>
        <w:pStyle w:val="Paragraph"/>
      </w:pPr>
      <w:r>
        <w:t xml:space="preserve">For </w:t>
      </w:r>
      <w:r w:rsidR="00377B83">
        <w:t>the comment received that further information regarding density area classifications would be welcome,</w:t>
      </w:r>
      <w:r w:rsidR="007F3572">
        <w:t xml:space="preserve"> </w:t>
      </w:r>
      <w:r>
        <w:t>we</w:t>
      </w:r>
      <w:r w:rsidR="007F3572">
        <w:t xml:space="preserve"> </w:t>
      </w:r>
      <w:r w:rsidR="00057FFC">
        <w:t xml:space="preserve">would like to clarify that </w:t>
      </w:r>
      <w:r>
        <w:t xml:space="preserve">we have </w:t>
      </w:r>
      <w:r w:rsidR="00057FFC">
        <w:t xml:space="preserve">no intention </w:t>
      </w:r>
      <w:r w:rsidR="00C22414">
        <w:t xml:space="preserve">for the </w:t>
      </w:r>
      <w:r w:rsidR="00057FFC">
        <w:t xml:space="preserve">framework </w:t>
      </w:r>
      <w:r w:rsidR="00761AE7">
        <w:t xml:space="preserve">to be used to reclassify </w:t>
      </w:r>
      <w:r w:rsidR="0030306E">
        <w:t>geographic area</w:t>
      </w:r>
      <w:r w:rsidR="008B357D">
        <w:t>s</w:t>
      </w:r>
      <w:r w:rsidR="0030306E">
        <w:t xml:space="preserve">. The intention in publishing definitions was to provide greater transparency </w:t>
      </w:r>
      <w:r>
        <w:t xml:space="preserve">about </w:t>
      </w:r>
      <w:r w:rsidR="00CD4EE6">
        <w:t xml:space="preserve">why certain areas received a certain classification. However, </w:t>
      </w:r>
      <w:r>
        <w:t xml:space="preserve">we </w:t>
      </w:r>
      <w:r w:rsidR="000975E6">
        <w:t>acknowledge that there may be ambiguity and concern around the publication of definitions for each geographic area</w:t>
      </w:r>
      <w:r w:rsidR="000D43C9">
        <w:t xml:space="preserve">. </w:t>
      </w:r>
      <w:r w:rsidR="00EC6B17">
        <w:t xml:space="preserve">Therefore, </w:t>
      </w:r>
      <w:r>
        <w:t xml:space="preserve">we have </w:t>
      </w:r>
      <w:r w:rsidR="000D43C9">
        <w:t xml:space="preserve">decided not to proceed with the publication of the strict definitions </w:t>
      </w:r>
      <w:r w:rsidR="00EC6B17">
        <w:t>for each density area</w:t>
      </w:r>
      <w:r>
        <w:t xml:space="preserve"> and </w:t>
      </w:r>
      <w:r w:rsidR="00EF4551">
        <w:t>will instead update the fee schedule to</w:t>
      </w:r>
      <w:r w:rsidR="00CE37E2">
        <w:t xml:space="preserve"> explain that geographic areas have been classified and grouped according to comparable assignment density and population</w:t>
      </w:r>
      <w:r w:rsidR="00EF4551">
        <w:t xml:space="preserve"> density.</w:t>
      </w:r>
    </w:p>
    <w:p w14:paraId="50950539" w14:textId="375EF55F" w:rsidR="00AD2337" w:rsidRDefault="00450B2F" w:rsidP="00582F0F">
      <w:pPr>
        <w:pStyle w:val="Heading2"/>
      </w:pPr>
      <w:bookmarkStart w:id="18" w:name="_Toc108088303"/>
      <w:r>
        <w:t>Proposal for reduced tax rates for HPON licences</w:t>
      </w:r>
      <w:bookmarkEnd w:id="18"/>
    </w:p>
    <w:p w14:paraId="5005DB9F" w14:textId="36B4C3FF" w:rsidR="00255503" w:rsidRDefault="00255503" w:rsidP="00A95351">
      <w:pPr>
        <w:pStyle w:val="Paragraph"/>
      </w:pPr>
      <w:r>
        <w:t>Most HPON</w:t>
      </w:r>
      <w:r w:rsidDel="002E2DEF">
        <w:t xml:space="preserve"> </w:t>
      </w:r>
      <w:r>
        <w:t xml:space="preserve">licences are currently subject to fixed tax rates depending on where the HPON is located. </w:t>
      </w:r>
      <w:r w:rsidR="00D13BF6">
        <w:t>We</w:t>
      </w:r>
      <w:r>
        <w:t xml:space="preserve"> adjust tax rates annually in line with </w:t>
      </w:r>
      <w:r w:rsidR="00CA5566">
        <w:t xml:space="preserve">changes to </w:t>
      </w:r>
      <w:r>
        <w:t xml:space="preserve">the CPI and </w:t>
      </w:r>
      <w:r w:rsidR="00D13BF6">
        <w:t xml:space="preserve">apply </w:t>
      </w:r>
      <w:r>
        <w:t>the same tax rate</w:t>
      </w:r>
      <w:r w:rsidR="00D13BF6">
        <w:t>,</w:t>
      </w:r>
      <w:r>
        <w:t xml:space="preserve"> regardless </w:t>
      </w:r>
      <w:r w:rsidR="00D13BF6">
        <w:t xml:space="preserve">if </w:t>
      </w:r>
      <w:r>
        <w:t>services are FM or AM.</w:t>
      </w:r>
    </w:p>
    <w:p w14:paraId="604D3C1D" w14:textId="76FCB927" w:rsidR="00CA5566" w:rsidRDefault="00CA5566" w:rsidP="00A95351">
      <w:pPr>
        <w:pStyle w:val="Paragraph"/>
      </w:pPr>
      <w:r>
        <w:t>Several submissions commented on the discrepancy in ta</w:t>
      </w:r>
      <w:r w:rsidR="00550862">
        <w:t>x</w:t>
      </w:r>
      <w:r>
        <w:t xml:space="preserve"> rates between HPON licences and comparable </w:t>
      </w:r>
      <w:r w:rsidR="00EA6832">
        <w:t xml:space="preserve">commercial broadcasting services using similar spectrum. One of the key recommendations of the Spectrum Pricing Review was that services using similar spectrum should be charged a similar tax rate. Currently, some HPON licence tax rates are </w:t>
      </w:r>
      <w:r w:rsidR="00D13BF6">
        <w:t>significantly</w:t>
      </w:r>
      <w:r w:rsidR="00EA6832">
        <w:t xml:space="preserve"> higher than those charged </w:t>
      </w:r>
      <w:r w:rsidR="00D13BF6">
        <w:t>for</w:t>
      </w:r>
      <w:r w:rsidR="00EA6832">
        <w:t xml:space="preserve"> commercial broadcasting services.</w:t>
      </w:r>
      <w:r w:rsidR="004636B2">
        <w:t xml:space="preserve"> The current HPON licence tax</w:t>
      </w:r>
      <w:r w:rsidR="00D13BF6">
        <w:t>es are shown in Table 9</w:t>
      </w:r>
      <w:r w:rsidR="004636B2">
        <w:t>.</w:t>
      </w:r>
    </w:p>
    <w:p w14:paraId="2EB992F7" w14:textId="4DA0447A" w:rsidR="000D7B0C" w:rsidRPr="002507F5" w:rsidRDefault="000D7B0C" w:rsidP="006A025D">
      <w:pPr>
        <w:pStyle w:val="Tableheading"/>
        <w:keepLines/>
      </w:pPr>
      <w:r>
        <w:lastRenderedPageBreak/>
        <w:t xml:space="preserve">Current </w:t>
      </w:r>
      <w:r w:rsidR="00C56662">
        <w:t>HPON licence taxes</w:t>
      </w:r>
    </w:p>
    <w:tbl>
      <w:tblPr>
        <w:tblW w:w="3620" w:type="dxa"/>
        <w:tblLook w:val="04A0" w:firstRow="1" w:lastRow="0" w:firstColumn="1" w:lastColumn="0" w:noHBand="0" w:noVBand="1"/>
      </w:tblPr>
      <w:tblGrid>
        <w:gridCol w:w="2540"/>
        <w:gridCol w:w="1080"/>
      </w:tblGrid>
      <w:tr w:rsidR="00C87224" w:rsidRPr="00C87224" w14:paraId="23E23351" w14:textId="77777777" w:rsidTr="006A025D">
        <w:trPr>
          <w:trHeight w:val="293"/>
          <w:tblHeader/>
        </w:trPr>
        <w:tc>
          <w:tcPr>
            <w:tcW w:w="2540" w:type="dxa"/>
            <w:tcBorders>
              <w:top w:val="single" w:sz="8" w:space="0" w:color="auto"/>
              <w:left w:val="single" w:sz="8" w:space="0" w:color="auto"/>
              <w:bottom w:val="single" w:sz="8" w:space="0" w:color="auto"/>
              <w:right w:val="nil"/>
            </w:tcBorders>
            <w:shd w:val="clear" w:color="000000" w:fill="404040"/>
            <w:noWrap/>
            <w:vAlign w:val="center"/>
            <w:hideMark/>
          </w:tcPr>
          <w:p w14:paraId="14DD70C3" w14:textId="77777777" w:rsidR="00C87224" w:rsidRPr="00C87224" w:rsidRDefault="00C87224" w:rsidP="006A025D">
            <w:pPr>
              <w:keepNext/>
              <w:keepLines/>
              <w:spacing w:after="0" w:line="240" w:lineRule="auto"/>
              <w:rPr>
                <w:rFonts w:cs="Arial"/>
                <w:b/>
                <w:bCs/>
                <w:color w:val="FFFFFF"/>
                <w:sz w:val="18"/>
                <w:szCs w:val="18"/>
              </w:rPr>
            </w:pPr>
            <w:r w:rsidRPr="00C87224">
              <w:rPr>
                <w:rFonts w:cs="Arial"/>
                <w:b/>
                <w:bCs/>
                <w:color w:val="FFFFFF"/>
                <w:sz w:val="18"/>
                <w:szCs w:val="18"/>
              </w:rPr>
              <w:t>Location</w:t>
            </w:r>
          </w:p>
        </w:tc>
        <w:tc>
          <w:tcPr>
            <w:tcW w:w="1080" w:type="dxa"/>
            <w:tcBorders>
              <w:top w:val="single" w:sz="8" w:space="0" w:color="auto"/>
              <w:left w:val="nil"/>
              <w:bottom w:val="single" w:sz="8" w:space="0" w:color="auto"/>
              <w:right w:val="single" w:sz="8" w:space="0" w:color="auto"/>
            </w:tcBorders>
            <w:shd w:val="clear" w:color="000000" w:fill="404040"/>
            <w:noWrap/>
            <w:vAlign w:val="center"/>
            <w:hideMark/>
          </w:tcPr>
          <w:p w14:paraId="0E3BB6D8" w14:textId="77777777" w:rsidR="00C87224" w:rsidRPr="00C87224" w:rsidRDefault="00C87224" w:rsidP="006A025D">
            <w:pPr>
              <w:keepNext/>
              <w:keepLines/>
              <w:spacing w:after="0" w:line="240" w:lineRule="auto"/>
              <w:jc w:val="right"/>
              <w:rPr>
                <w:rFonts w:cs="Arial"/>
                <w:b/>
                <w:bCs/>
                <w:color w:val="FFFFFF"/>
                <w:sz w:val="18"/>
                <w:szCs w:val="18"/>
              </w:rPr>
            </w:pPr>
            <w:r w:rsidRPr="00C87224">
              <w:rPr>
                <w:rFonts w:cs="Arial"/>
                <w:b/>
                <w:bCs/>
                <w:color w:val="FFFFFF"/>
                <w:sz w:val="18"/>
                <w:szCs w:val="18"/>
              </w:rPr>
              <w:t>HPON tax</w:t>
            </w:r>
          </w:p>
        </w:tc>
      </w:tr>
      <w:tr w:rsidR="00C87224" w:rsidRPr="00C87224" w14:paraId="2FED5474"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37D782C4" w14:textId="77777777" w:rsidR="00C87224" w:rsidRPr="00C87224" w:rsidRDefault="00C87224" w:rsidP="006A025D">
            <w:pPr>
              <w:keepNext/>
              <w:keepLines/>
              <w:spacing w:after="0" w:line="240" w:lineRule="auto"/>
              <w:rPr>
                <w:rFonts w:cs="Arial"/>
                <w:sz w:val="18"/>
                <w:szCs w:val="18"/>
              </w:rPr>
            </w:pPr>
            <w:r w:rsidRPr="00C87224">
              <w:rPr>
                <w:rFonts w:cs="Arial"/>
                <w:sz w:val="18"/>
                <w:szCs w:val="18"/>
              </w:rPr>
              <w:t>Sydney</w:t>
            </w:r>
          </w:p>
        </w:tc>
        <w:tc>
          <w:tcPr>
            <w:tcW w:w="1080" w:type="dxa"/>
            <w:tcBorders>
              <w:top w:val="nil"/>
              <w:left w:val="nil"/>
              <w:bottom w:val="single" w:sz="8" w:space="0" w:color="auto"/>
              <w:right w:val="single" w:sz="8" w:space="0" w:color="auto"/>
            </w:tcBorders>
            <w:shd w:val="clear" w:color="000000" w:fill="F2F2F2"/>
            <w:noWrap/>
            <w:vAlign w:val="center"/>
            <w:hideMark/>
          </w:tcPr>
          <w:p w14:paraId="61C078F6" w14:textId="77777777" w:rsidR="00C87224" w:rsidRPr="00C87224" w:rsidRDefault="00C87224" w:rsidP="006A025D">
            <w:pPr>
              <w:keepNext/>
              <w:keepLines/>
              <w:spacing w:after="0" w:line="240" w:lineRule="auto"/>
              <w:jc w:val="right"/>
              <w:rPr>
                <w:rFonts w:cs="Arial"/>
                <w:sz w:val="18"/>
                <w:szCs w:val="18"/>
              </w:rPr>
            </w:pPr>
            <w:r w:rsidRPr="00C87224">
              <w:rPr>
                <w:rFonts w:cs="Arial"/>
                <w:sz w:val="18"/>
                <w:szCs w:val="18"/>
              </w:rPr>
              <w:t>$41,134</w:t>
            </w:r>
          </w:p>
        </w:tc>
      </w:tr>
      <w:tr w:rsidR="00C87224" w:rsidRPr="00C87224" w14:paraId="573E1DD4"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ECDACE0" w14:textId="77777777" w:rsidR="00C87224" w:rsidRPr="00C87224" w:rsidRDefault="00C87224" w:rsidP="006A025D">
            <w:pPr>
              <w:keepNext/>
              <w:keepLines/>
              <w:spacing w:after="0" w:line="240" w:lineRule="auto"/>
              <w:rPr>
                <w:rFonts w:cs="Arial"/>
                <w:color w:val="000000"/>
                <w:sz w:val="18"/>
                <w:szCs w:val="18"/>
              </w:rPr>
            </w:pPr>
            <w:r w:rsidRPr="00C87224">
              <w:rPr>
                <w:rFonts w:cs="Arial"/>
                <w:sz w:val="18"/>
                <w:szCs w:val="18"/>
              </w:rPr>
              <w:t>Melbourne</w:t>
            </w:r>
          </w:p>
        </w:tc>
        <w:tc>
          <w:tcPr>
            <w:tcW w:w="1080" w:type="dxa"/>
            <w:tcBorders>
              <w:top w:val="nil"/>
              <w:left w:val="nil"/>
              <w:bottom w:val="single" w:sz="8" w:space="0" w:color="auto"/>
              <w:right w:val="single" w:sz="8" w:space="0" w:color="auto"/>
            </w:tcBorders>
            <w:shd w:val="clear" w:color="auto" w:fill="auto"/>
            <w:noWrap/>
            <w:vAlign w:val="center"/>
            <w:hideMark/>
          </w:tcPr>
          <w:p w14:paraId="736DD2D5"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sz w:val="18"/>
                <w:szCs w:val="18"/>
              </w:rPr>
              <w:t>$41,134</w:t>
            </w:r>
          </w:p>
        </w:tc>
      </w:tr>
      <w:tr w:rsidR="00C87224" w:rsidRPr="00C87224" w14:paraId="111D3305"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050B2FF3"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Brisbane</w:t>
            </w:r>
          </w:p>
        </w:tc>
        <w:tc>
          <w:tcPr>
            <w:tcW w:w="1080" w:type="dxa"/>
            <w:tcBorders>
              <w:top w:val="nil"/>
              <w:left w:val="nil"/>
              <w:bottom w:val="single" w:sz="8" w:space="0" w:color="auto"/>
              <w:right w:val="single" w:sz="8" w:space="0" w:color="auto"/>
            </w:tcBorders>
            <w:shd w:val="clear" w:color="000000" w:fill="F2F2F2"/>
            <w:noWrap/>
            <w:vAlign w:val="center"/>
            <w:hideMark/>
          </w:tcPr>
          <w:p w14:paraId="193B4044"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$14,930</w:t>
            </w:r>
          </w:p>
        </w:tc>
      </w:tr>
      <w:tr w:rsidR="00C87224" w:rsidRPr="00C87224" w14:paraId="76F2E8A5"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283AF0C7" w14:textId="77777777" w:rsidR="00C87224" w:rsidRPr="00C87224" w:rsidRDefault="00C87224" w:rsidP="006A025D">
            <w:pPr>
              <w:keepNext/>
              <w:keepLines/>
              <w:spacing w:after="0" w:line="240" w:lineRule="auto"/>
              <w:rPr>
                <w:rFonts w:cs="Arial"/>
                <w:color w:val="000000"/>
                <w:sz w:val="18"/>
                <w:szCs w:val="18"/>
              </w:rPr>
            </w:pPr>
            <w:r w:rsidRPr="00C87224">
              <w:rPr>
                <w:rFonts w:cs="Arial"/>
                <w:sz w:val="18"/>
                <w:szCs w:val="18"/>
              </w:rPr>
              <w:t>Adelaide</w:t>
            </w:r>
          </w:p>
        </w:tc>
        <w:tc>
          <w:tcPr>
            <w:tcW w:w="1080" w:type="dxa"/>
            <w:tcBorders>
              <w:top w:val="nil"/>
              <w:left w:val="nil"/>
              <w:bottom w:val="single" w:sz="8" w:space="0" w:color="auto"/>
              <w:right w:val="single" w:sz="8" w:space="0" w:color="auto"/>
            </w:tcBorders>
            <w:shd w:val="clear" w:color="auto" w:fill="auto"/>
            <w:noWrap/>
            <w:vAlign w:val="center"/>
            <w:hideMark/>
          </w:tcPr>
          <w:p w14:paraId="7833D157"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sz w:val="18"/>
                <w:szCs w:val="18"/>
              </w:rPr>
              <w:t>$14,930</w:t>
            </w:r>
          </w:p>
        </w:tc>
      </w:tr>
      <w:tr w:rsidR="00C87224" w:rsidRPr="00C87224" w14:paraId="079342FA"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5FD3ED76"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Perth</w:t>
            </w:r>
          </w:p>
        </w:tc>
        <w:tc>
          <w:tcPr>
            <w:tcW w:w="1080" w:type="dxa"/>
            <w:tcBorders>
              <w:top w:val="nil"/>
              <w:left w:val="nil"/>
              <w:bottom w:val="single" w:sz="8" w:space="0" w:color="auto"/>
              <w:right w:val="single" w:sz="8" w:space="0" w:color="auto"/>
            </w:tcBorders>
            <w:shd w:val="clear" w:color="000000" w:fill="F2F2F2"/>
            <w:noWrap/>
            <w:vAlign w:val="center"/>
            <w:hideMark/>
          </w:tcPr>
          <w:p w14:paraId="6049BAE1"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$14,930</w:t>
            </w:r>
          </w:p>
        </w:tc>
      </w:tr>
      <w:tr w:rsidR="00C87224" w:rsidRPr="00C87224" w14:paraId="18BBD274"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77D2040" w14:textId="77777777" w:rsidR="00C87224" w:rsidRPr="00C87224" w:rsidRDefault="00C87224" w:rsidP="006A025D">
            <w:pPr>
              <w:keepNext/>
              <w:keepLines/>
              <w:spacing w:after="0" w:line="240" w:lineRule="auto"/>
              <w:rPr>
                <w:rFonts w:cs="Arial"/>
                <w:color w:val="000000"/>
                <w:sz w:val="18"/>
                <w:szCs w:val="18"/>
              </w:rPr>
            </w:pPr>
            <w:r w:rsidRPr="00C87224">
              <w:rPr>
                <w:rFonts w:cs="Arial"/>
                <w:sz w:val="18"/>
                <w:szCs w:val="18"/>
              </w:rPr>
              <w:t>Perth city</w:t>
            </w:r>
          </w:p>
        </w:tc>
        <w:tc>
          <w:tcPr>
            <w:tcW w:w="1080" w:type="dxa"/>
            <w:tcBorders>
              <w:top w:val="nil"/>
              <w:left w:val="nil"/>
              <w:bottom w:val="single" w:sz="8" w:space="0" w:color="auto"/>
              <w:right w:val="single" w:sz="8" w:space="0" w:color="auto"/>
            </w:tcBorders>
            <w:shd w:val="clear" w:color="auto" w:fill="auto"/>
            <w:noWrap/>
            <w:vAlign w:val="center"/>
            <w:hideMark/>
          </w:tcPr>
          <w:p w14:paraId="564B1044"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sz w:val="18"/>
                <w:szCs w:val="18"/>
              </w:rPr>
              <w:t>$14,930</w:t>
            </w:r>
          </w:p>
        </w:tc>
      </w:tr>
      <w:tr w:rsidR="00C87224" w:rsidRPr="00C87224" w14:paraId="54F4427D"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78856622"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Newcastle</w:t>
            </w:r>
          </w:p>
        </w:tc>
        <w:tc>
          <w:tcPr>
            <w:tcW w:w="1080" w:type="dxa"/>
            <w:tcBorders>
              <w:top w:val="nil"/>
              <w:left w:val="nil"/>
              <w:bottom w:val="single" w:sz="8" w:space="0" w:color="auto"/>
              <w:right w:val="single" w:sz="8" w:space="0" w:color="auto"/>
            </w:tcBorders>
            <w:shd w:val="clear" w:color="000000" w:fill="F2F2F2"/>
            <w:noWrap/>
            <w:vAlign w:val="center"/>
            <w:hideMark/>
          </w:tcPr>
          <w:p w14:paraId="30AC16D2"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$3,809</w:t>
            </w:r>
          </w:p>
        </w:tc>
      </w:tr>
      <w:tr w:rsidR="00C87224" w:rsidRPr="00C87224" w14:paraId="1C7E8F58"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9A7AB33" w14:textId="77777777" w:rsidR="00C87224" w:rsidRPr="00C87224" w:rsidRDefault="00C87224" w:rsidP="006A025D">
            <w:pPr>
              <w:keepNext/>
              <w:keepLines/>
              <w:spacing w:after="0" w:line="240" w:lineRule="auto"/>
              <w:rPr>
                <w:rFonts w:cs="Arial"/>
                <w:color w:val="000000"/>
                <w:sz w:val="18"/>
                <w:szCs w:val="18"/>
              </w:rPr>
            </w:pPr>
            <w:r w:rsidRPr="00C87224">
              <w:rPr>
                <w:rFonts w:cs="Arial"/>
                <w:sz w:val="18"/>
                <w:szCs w:val="18"/>
              </w:rPr>
              <w:t>Canberra</w:t>
            </w:r>
          </w:p>
        </w:tc>
        <w:tc>
          <w:tcPr>
            <w:tcW w:w="1080" w:type="dxa"/>
            <w:tcBorders>
              <w:top w:val="nil"/>
              <w:left w:val="nil"/>
              <w:bottom w:val="single" w:sz="8" w:space="0" w:color="auto"/>
              <w:right w:val="single" w:sz="8" w:space="0" w:color="auto"/>
            </w:tcBorders>
            <w:shd w:val="clear" w:color="auto" w:fill="auto"/>
            <w:noWrap/>
            <w:vAlign w:val="center"/>
            <w:hideMark/>
          </w:tcPr>
          <w:p w14:paraId="705F8BAE"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sz w:val="18"/>
                <w:szCs w:val="18"/>
              </w:rPr>
              <w:t>$3,809</w:t>
            </w:r>
          </w:p>
        </w:tc>
      </w:tr>
      <w:tr w:rsidR="00C87224" w:rsidRPr="00C87224" w14:paraId="41BAE323"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3E4DE3A2"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Wollongong</w:t>
            </w:r>
          </w:p>
        </w:tc>
        <w:tc>
          <w:tcPr>
            <w:tcW w:w="1080" w:type="dxa"/>
            <w:tcBorders>
              <w:top w:val="nil"/>
              <w:left w:val="nil"/>
              <w:bottom w:val="single" w:sz="8" w:space="0" w:color="auto"/>
              <w:right w:val="single" w:sz="8" w:space="0" w:color="auto"/>
            </w:tcBorders>
            <w:shd w:val="clear" w:color="000000" w:fill="F2F2F2"/>
            <w:noWrap/>
            <w:vAlign w:val="center"/>
            <w:hideMark/>
          </w:tcPr>
          <w:p w14:paraId="4D228E53"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$3,809</w:t>
            </w:r>
          </w:p>
        </w:tc>
      </w:tr>
      <w:tr w:rsidR="00C87224" w:rsidRPr="00C87224" w14:paraId="2EB13414"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9A89F84" w14:textId="77777777" w:rsidR="00C87224" w:rsidRPr="00C87224" w:rsidRDefault="00C87224" w:rsidP="006A025D">
            <w:pPr>
              <w:keepNext/>
              <w:keepLines/>
              <w:spacing w:after="0" w:line="240" w:lineRule="auto"/>
              <w:rPr>
                <w:rFonts w:cs="Arial"/>
                <w:color w:val="000000"/>
                <w:sz w:val="18"/>
                <w:szCs w:val="18"/>
              </w:rPr>
            </w:pPr>
            <w:r w:rsidRPr="00C87224">
              <w:rPr>
                <w:rFonts w:cs="Arial"/>
                <w:sz w:val="18"/>
                <w:szCs w:val="18"/>
              </w:rPr>
              <w:t>Gold Coast</w:t>
            </w:r>
          </w:p>
        </w:tc>
        <w:tc>
          <w:tcPr>
            <w:tcW w:w="1080" w:type="dxa"/>
            <w:tcBorders>
              <w:top w:val="nil"/>
              <w:left w:val="nil"/>
              <w:bottom w:val="single" w:sz="8" w:space="0" w:color="auto"/>
              <w:right w:val="single" w:sz="8" w:space="0" w:color="auto"/>
            </w:tcBorders>
            <w:shd w:val="clear" w:color="auto" w:fill="auto"/>
            <w:noWrap/>
            <w:vAlign w:val="center"/>
            <w:hideMark/>
          </w:tcPr>
          <w:p w14:paraId="14FC50B7"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sz w:val="18"/>
                <w:szCs w:val="18"/>
              </w:rPr>
              <w:t>$3,809</w:t>
            </w:r>
          </w:p>
        </w:tc>
      </w:tr>
      <w:tr w:rsidR="00C87224" w:rsidRPr="00C87224" w14:paraId="656ECE89"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5F27B490"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Gosford</w:t>
            </w:r>
          </w:p>
        </w:tc>
        <w:tc>
          <w:tcPr>
            <w:tcW w:w="1080" w:type="dxa"/>
            <w:tcBorders>
              <w:top w:val="nil"/>
              <w:left w:val="nil"/>
              <w:bottom w:val="single" w:sz="8" w:space="0" w:color="auto"/>
              <w:right w:val="single" w:sz="8" w:space="0" w:color="auto"/>
            </w:tcBorders>
            <w:shd w:val="clear" w:color="000000" w:fill="F2F2F2"/>
            <w:noWrap/>
            <w:vAlign w:val="center"/>
            <w:hideMark/>
          </w:tcPr>
          <w:p w14:paraId="1146D53A"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$3,809</w:t>
            </w:r>
          </w:p>
        </w:tc>
      </w:tr>
      <w:tr w:rsidR="00C87224" w:rsidRPr="00C87224" w14:paraId="49D60FAB"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66F64E03"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Penrith</w:t>
            </w:r>
          </w:p>
        </w:tc>
        <w:tc>
          <w:tcPr>
            <w:tcW w:w="1080" w:type="dxa"/>
            <w:tcBorders>
              <w:top w:val="nil"/>
              <w:left w:val="nil"/>
              <w:bottom w:val="single" w:sz="8" w:space="0" w:color="auto"/>
              <w:right w:val="single" w:sz="8" w:space="0" w:color="auto"/>
            </w:tcBorders>
            <w:shd w:val="clear" w:color="auto" w:fill="auto"/>
            <w:noWrap/>
            <w:vAlign w:val="center"/>
            <w:hideMark/>
          </w:tcPr>
          <w:p w14:paraId="121BA6AE"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$3,809</w:t>
            </w:r>
          </w:p>
        </w:tc>
      </w:tr>
      <w:tr w:rsidR="00C87224" w:rsidRPr="00C87224" w14:paraId="779C2573"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3423DE46"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Hobart</w:t>
            </w:r>
          </w:p>
        </w:tc>
        <w:tc>
          <w:tcPr>
            <w:tcW w:w="1080" w:type="dxa"/>
            <w:tcBorders>
              <w:top w:val="nil"/>
              <w:left w:val="nil"/>
              <w:bottom w:val="single" w:sz="8" w:space="0" w:color="auto"/>
              <w:right w:val="single" w:sz="8" w:space="0" w:color="auto"/>
            </w:tcBorders>
            <w:shd w:val="clear" w:color="000000" w:fill="F2F2F2"/>
            <w:noWrap/>
            <w:vAlign w:val="center"/>
            <w:hideMark/>
          </w:tcPr>
          <w:p w14:paraId="5F130463"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$1,677</w:t>
            </w:r>
          </w:p>
        </w:tc>
      </w:tr>
      <w:tr w:rsidR="00C87224" w:rsidRPr="00C87224" w14:paraId="1B8BC316"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C55A4AA"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Geelong</w:t>
            </w:r>
          </w:p>
        </w:tc>
        <w:tc>
          <w:tcPr>
            <w:tcW w:w="1080" w:type="dxa"/>
            <w:tcBorders>
              <w:top w:val="nil"/>
              <w:left w:val="nil"/>
              <w:bottom w:val="single" w:sz="8" w:space="0" w:color="auto"/>
              <w:right w:val="single" w:sz="8" w:space="0" w:color="auto"/>
            </w:tcBorders>
            <w:shd w:val="clear" w:color="auto" w:fill="auto"/>
            <w:noWrap/>
            <w:vAlign w:val="center"/>
            <w:hideMark/>
          </w:tcPr>
          <w:p w14:paraId="3C9AD936"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$1,677</w:t>
            </w:r>
          </w:p>
        </w:tc>
      </w:tr>
      <w:tr w:rsidR="00C87224" w:rsidRPr="00C87224" w14:paraId="0CF86AC4"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5BC7EDFE"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Nambour</w:t>
            </w:r>
          </w:p>
        </w:tc>
        <w:tc>
          <w:tcPr>
            <w:tcW w:w="1080" w:type="dxa"/>
            <w:tcBorders>
              <w:top w:val="nil"/>
              <w:left w:val="nil"/>
              <w:bottom w:val="single" w:sz="8" w:space="0" w:color="auto"/>
              <w:right w:val="single" w:sz="8" w:space="0" w:color="auto"/>
            </w:tcBorders>
            <w:shd w:val="clear" w:color="000000" w:fill="F2F2F2"/>
            <w:noWrap/>
            <w:vAlign w:val="center"/>
            <w:hideMark/>
          </w:tcPr>
          <w:p w14:paraId="200222A9"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$1,677</w:t>
            </w:r>
          </w:p>
        </w:tc>
      </w:tr>
      <w:tr w:rsidR="00C87224" w:rsidRPr="00C87224" w14:paraId="21DBB2B9"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1248B9D"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Townsville</w:t>
            </w:r>
          </w:p>
        </w:tc>
        <w:tc>
          <w:tcPr>
            <w:tcW w:w="1080" w:type="dxa"/>
            <w:tcBorders>
              <w:top w:val="nil"/>
              <w:left w:val="nil"/>
              <w:bottom w:val="single" w:sz="8" w:space="0" w:color="auto"/>
              <w:right w:val="single" w:sz="8" w:space="0" w:color="auto"/>
            </w:tcBorders>
            <w:shd w:val="clear" w:color="auto" w:fill="auto"/>
            <w:noWrap/>
            <w:vAlign w:val="center"/>
            <w:hideMark/>
          </w:tcPr>
          <w:p w14:paraId="620CD888"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$1,677</w:t>
            </w:r>
          </w:p>
        </w:tc>
      </w:tr>
      <w:tr w:rsidR="00C87224" w:rsidRPr="00C87224" w14:paraId="3D57C269" w14:textId="77777777" w:rsidTr="00C87224">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04642A78"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Cairns</w:t>
            </w:r>
          </w:p>
        </w:tc>
        <w:tc>
          <w:tcPr>
            <w:tcW w:w="1080" w:type="dxa"/>
            <w:tcBorders>
              <w:top w:val="nil"/>
              <w:left w:val="nil"/>
              <w:bottom w:val="single" w:sz="8" w:space="0" w:color="auto"/>
              <w:right w:val="single" w:sz="8" w:space="0" w:color="auto"/>
            </w:tcBorders>
            <w:shd w:val="clear" w:color="000000" w:fill="F2F2F2"/>
            <w:noWrap/>
            <w:vAlign w:val="center"/>
            <w:hideMark/>
          </w:tcPr>
          <w:p w14:paraId="11BDE71B"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$1,677</w:t>
            </w:r>
          </w:p>
        </w:tc>
      </w:tr>
      <w:tr w:rsidR="00C87224" w:rsidRPr="00C87224" w14:paraId="72147864" w14:textId="77777777" w:rsidTr="00C87224">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6ACA1A8C" w14:textId="77777777" w:rsidR="00C87224" w:rsidRPr="00C87224" w:rsidRDefault="00C87224" w:rsidP="006A025D">
            <w:pPr>
              <w:keepNext/>
              <w:keepLines/>
              <w:spacing w:after="0" w:line="240" w:lineRule="auto"/>
              <w:rPr>
                <w:rFonts w:cs="Arial"/>
                <w:color w:val="000000"/>
                <w:sz w:val="18"/>
                <w:szCs w:val="18"/>
              </w:rPr>
            </w:pPr>
            <w:r w:rsidRPr="00C87224">
              <w:rPr>
                <w:rFonts w:cs="Arial"/>
                <w:color w:val="000000"/>
                <w:sz w:val="18"/>
                <w:szCs w:val="18"/>
              </w:rPr>
              <w:t>Elsewhere</w:t>
            </w:r>
          </w:p>
        </w:tc>
        <w:tc>
          <w:tcPr>
            <w:tcW w:w="1080" w:type="dxa"/>
            <w:tcBorders>
              <w:top w:val="nil"/>
              <w:left w:val="nil"/>
              <w:bottom w:val="single" w:sz="8" w:space="0" w:color="auto"/>
              <w:right w:val="single" w:sz="8" w:space="0" w:color="auto"/>
            </w:tcBorders>
            <w:shd w:val="clear" w:color="auto" w:fill="auto"/>
            <w:noWrap/>
            <w:vAlign w:val="center"/>
            <w:hideMark/>
          </w:tcPr>
          <w:p w14:paraId="666955FB" w14:textId="77777777" w:rsidR="00C87224" w:rsidRPr="00C87224" w:rsidRDefault="00C87224" w:rsidP="006A025D">
            <w:pPr>
              <w:keepNext/>
              <w:keepLines/>
              <w:spacing w:after="0" w:line="240" w:lineRule="auto"/>
              <w:jc w:val="right"/>
              <w:rPr>
                <w:rFonts w:cs="Arial"/>
                <w:color w:val="000000"/>
                <w:sz w:val="18"/>
                <w:szCs w:val="18"/>
              </w:rPr>
            </w:pPr>
            <w:r w:rsidRPr="00C87224">
              <w:rPr>
                <w:rFonts w:cs="Arial"/>
                <w:color w:val="000000"/>
                <w:sz w:val="18"/>
                <w:szCs w:val="18"/>
              </w:rPr>
              <w:t>$989</w:t>
            </w:r>
          </w:p>
        </w:tc>
      </w:tr>
    </w:tbl>
    <w:p w14:paraId="11ED4B22" w14:textId="77777777" w:rsidR="00221432" w:rsidRDefault="00221432" w:rsidP="006A025D">
      <w:pPr>
        <w:spacing w:after="120"/>
        <w:contextualSpacing/>
        <w:rPr>
          <w:rFonts w:cs="Arial"/>
          <w:bCs/>
        </w:rPr>
      </w:pPr>
    </w:p>
    <w:p w14:paraId="464AEF5E" w14:textId="2A0C4686" w:rsidR="0093065A" w:rsidRDefault="00D13BF6" w:rsidP="00A95351">
      <w:pPr>
        <w:pStyle w:val="Paragraph"/>
        <w:rPr>
          <w:bCs/>
        </w:rPr>
      </w:pPr>
      <w:r>
        <w:t>T</w:t>
      </w:r>
      <w:r w:rsidR="004D19D9">
        <w:t>o</w:t>
      </w:r>
      <w:r w:rsidR="000F0D9F">
        <w:rPr>
          <w:bCs/>
        </w:rPr>
        <w:t xml:space="preserve"> address the discrepancy between </w:t>
      </w:r>
      <w:r w:rsidR="00A6078E">
        <w:rPr>
          <w:bCs/>
        </w:rPr>
        <w:t xml:space="preserve">HPON licence tax rates and comparable commercial broadcasting services, </w:t>
      </w:r>
      <w:r>
        <w:rPr>
          <w:bCs/>
        </w:rPr>
        <w:t xml:space="preserve">we </w:t>
      </w:r>
      <w:r w:rsidR="00A6078E">
        <w:rPr>
          <w:bCs/>
        </w:rPr>
        <w:t>proposed a new set of taxes for HPON licences. The proposed tax</w:t>
      </w:r>
      <w:r>
        <w:rPr>
          <w:bCs/>
        </w:rPr>
        <w:t>es</w:t>
      </w:r>
      <w:r w:rsidR="00A6078E">
        <w:rPr>
          <w:bCs/>
        </w:rPr>
        <w:t xml:space="preserve"> </w:t>
      </w:r>
      <w:r w:rsidR="00E01252">
        <w:rPr>
          <w:bCs/>
        </w:rPr>
        <w:t>ma</w:t>
      </w:r>
      <w:r w:rsidR="00410419">
        <w:rPr>
          <w:bCs/>
        </w:rPr>
        <w:t>k</w:t>
      </w:r>
      <w:r w:rsidR="00E01252">
        <w:rPr>
          <w:bCs/>
        </w:rPr>
        <w:t>e an additional distinction between FM/TV services and AM services</w:t>
      </w:r>
      <w:r>
        <w:rPr>
          <w:bCs/>
        </w:rPr>
        <w:t>,</w:t>
      </w:r>
      <w:r w:rsidR="00E01252">
        <w:rPr>
          <w:bCs/>
        </w:rPr>
        <w:t xml:space="preserve"> given that </w:t>
      </w:r>
      <w:r w:rsidR="00731491">
        <w:rPr>
          <w:bCs/>
        </w:rPr>
        <w:t xml:space="preserve">the largest discrepancies were between commercial broadcasting services and AM HPON services. </w:t>
      </w:r>
      <w:r w:rsidR="004D19D9">
        <w:rPr>
          <w:bCs/>
        </w:rPr>
        <w:t xml:space="preserve">Furthermore, the </w:t>
      </w:r>
      <w:r w:rsidR="00D341B7">
        <w:rPr>
          <w:bCs/>
        </w:rPr>
        <w:t xml:space="preserve">locations </w:t>
      </w:r>
      <w:r w:rsidR="00F35E68">
        <w:rPr>
          <w:bCs/>
        </w:rPr>
        <w:t xml:space="preserve">defined for HPON taxes </w:t>
      </w:r>
      <w:r w:rsidR="00D341B7">
        <w:rPr>
          <w:bCs/>
        </w:rPr>
        <w:t xml:space="preserve">were reconfigured to feature the </w:t>
      </w:r>
      <w:r w:rsidR="003B09CD">
        <w:rPr>
          <w:bCs/>
        </w:rPr>
        <w:t>top urban areas by population</w:t>
      </w:r>
      <w:r w:rsidR="009A2A10">
        <w:rPr>
          <w:bCs/>
        </w:rPr>
        <w:t xml:space="preserve">. Tax rates were set using a $0.077/MHz/pop price as guidance, an approximation of current commercial broadcast tax price levels. The proposed </w:t>
      </w:r>
      <w:r w:rsidR="00FA6C76">
        <w:rPr>
          <w:bCs/>
        </w:rPr>
        <w:t>HPON licence tax</w:t>
      </w:r>
      <w:r>
        <w:rPr>
          <w:bCs/>
        </w:rPr>
        <w:t>es</w:t>
      </w:r>
      <w:r w:rsidR="00FA6C76">
        <w:rPr>
          <w:bCs/>
        </w:rPr>
        <w:t xml:space="preserve"> is shown </w:t>
      </w:r>
      <w:r>
        <w:rPr>
          <w:bCs/>
        </w:rPr>
        <w:t>in Table 10</w:t>
      </w:r>
      <w:r w:rsidR="00FA6C76">
        <w:rPr>
          <w:bCs/>
        </w:rPr>
        <w:t>.</w:t>
      </w:r>
    </w:p>
    <w:p w14:paraId="09BB91AC" w14:textId="64CC0C70" w:rsidR="00C56662" w:rsidRPr="002507F5" w:rsidRDefault="00C56662" w:rsidP="00C56662">
      <w:pPr>
        <w:pStyle w:val="Paragraph"/>
        <w:spacing w:after="60"/>
        <w:rPr>
          <w:b/>
          <w:bCs/>
        </w:rPr>
      </w:pPr>
      <w:r>
        <w:rPr>
          <w:b/>
          <w:bCs/>
        </w:rPr>
        <w:t>Table</w:t>
      </w:r>
      <w:r w:rsidRPr="002507F5">
        <w:rPr>
          <w:b/>
          <w:bCs/>
        </w:rPr>
        <w:t xml:space="preserve"> </w:t>
      </w:r>
      <w:r w:rsidR="00C26B35">
        <w:rPr>
          <w:b/>
          <w:bCs/>
        </w:rPr>
        <w:t>10</w:t>
      </w:r>
      <w:r w:rsidRPr="002507F5">
        <w:rPr>
          <w:b/>
          <w:bCs/>
        </w:rPr>
        <w:t xml:space="preserve">: </w:t>
      </w:r>
      <w:r>
        <w:rPr>
          <w:b/>
          <w:bCs/>
        </w:rPr>
        <w:t>Proposed HPON licence taxes</w:t>
      </w:r>
    </w:p>
    <w:tbl>
      <w:tblPr>
        <w:tblW w:w="4700" w:type="dxa"/>
        <w:tblLook w:val="04A0" w:firstRow="1" w:lastRow="0" w:firstColumn="1" w:lastColumn="0" w:noHBand="0" w:noVBand="1"/>
      </w:tblPr>
      <w:tblGrid>
        <w:gridCol w:w="2540"/>
        <w:gridCol w:w="1080"/>
        <w:gridCol w:w="1080"/>
      </w:tblGrid>
      <w:tr w:rsidR="00185499" w:rsidRPr="00185499" w14:paraId="557C9770" w14:textId="77777777" w:rsidTr="00F35E68">
        <w:trPr>
          <w:trHeight w:val="293"/>
          <w:tblHeader/>
        </w:trPr>
        <w:tc>
          <w:tcPr>
            <w:tcW w:w="2540" w:type="dxa"/>
            <w:tcBorders>
              <w:top w:val="single" w:sz="8" w:space="0" w:color="auto"/>
              <w:left w:val="single" w:sz="8" w:space="0" w:color="auto"/>
              <w:bottom w:val="single" w:sz="8" w:space="0" w:color="auto"/>
              <w:right w:val="nil"/>
            </w:tcBorders>
            <w:shd w:val="clear" w:color="000000" w:fill="404040"/>
            <w:noWrap/>
            <w:vAlign w:val="center"/>
            <w:hideMark/>
          </w:tcPr>
          <w:p w14:paraId="582F8689" w14:textId="77777777" w:rsidR="00185499" w:rsidRPr="00185499" w:rsidRDefault="00185499" w:rsidP="00F35E68">
            <w:pPr>
              <w:spacing w:after="0" w:line="240" w:lineRule="auto"/>
              <w:rPr>
                <w:rFonts w:cs="Arial"/>
                <w:b/>
                <w:bCs/>
                <w:color w:val="FFFFFF"/>
                <w:sz w:val="18"/>
                <w:szCs w:val="18"/>
              </w:rPr>
            </w:pPr>
            <w:r w:rsidRPr="00185499">
              <w:rPr>
                <w:rFonts w:cs="Arial"/>
                <w:b/>
                <w:bCs/>
                <w:color w:val="FFFFFF"/>
                <w:sz w:val="18"/>
                <w:szCs w:val="18"/>
              </w:rPr>
              <w:t>Location</w:t>
            </w:r>
          </w:p>
        </w:tc>
        <w:tc>
          <w:tcPr>
            <w:tcW w:w="1080" w:type="dxa"/>
            <w:tcBorders>
              <w:top w:val="single" w:sz="8" w:space="0" w:color="auto"/>
              <w:left w:val="nil"/>
              <w:bottom w:val="single" w:sz="8" w:space="0" w:color="auto"/>
              <w:right w:val="single" w:sz="8" w:space="0" w:color="auto"/>
            </w:tcBorders>
            <w:shd w:val="clear" w:color="000000" w:fill="404040"/>
            <w:noWrap/>
            <w:vAlign w:val="center"/>
            <w:hideMark/>
          </w:tcPr>
          <w:p w14:paraId="324912FB" w14:textId="77777777" w:rsidR="00185499" w:rsidRPr="00185499" w:rsidRDefault="00185499" w:rsidP="00F35E68">
            <w:pPr>
              <w:spacing w:after="0" w:line="240" w:lineRule="auto"/>
              <w:jc w:val="right"/>
              <w:rPr>
                <w:rFonts w:cs="Arial"/>
                <w:b/>
                <w:bCs/>
                <w:color w:val="FFFFFF"/>
                <w:sz w:val="18"/>
                <w:szCs w:val="18"/>
              </w:rPr>
            </w:pPr>
            <w:r w:rsidRPr="00185499">
              <w:rPr>
                <w:rFonts w:cs="Arial"/>
                <w:b/>
                <w:bCs/>
                <w:color w:val="FFFFFF"/>
                <w:sz w:val="18"/>
                <w:szCs w:val="18"/>
              </w:rPr>
              <w:t>FM/TV</w:t>
            </w:r>
          </w:p>
        </w:tc>
        <w:tc>
          <w:tcPr>
            <w:tcW w:w="1080" w:type="dxa"/>
            <w:tcBorders>
              <w:top w:val="single" w:sz="8" w:space="0" w:color="auto"/>
              <w:left w:val="nil"/>
              <w:bottom w:val="single" w:sz="8" w:space="0" w:color="auto"/>
              <w:right w:val="single" w:sz="8" w:space="0" w:color="auto"/>
            </w:tcBorders>
            <w:shd w:val="clear" w:color="000000" w:fill="404040"/>
            <w:noWrap/>
            <w:vAlign w:val="center"/>
            <w:hideMark/>
          </w:tcPr>
          <w:p w14:paraId="3869FF86" w14:textId="77777777" w:rsidR="00185499" w:rsidRPr="00185499" w:rsidRDefault="00185499" w:rsidP="00F35E68">
            <w:pPr>
              <w:spacing w:after="0" w:line="240" w:lineRule="auto"/>
              <w:jc w:val="right"/>
              <w:rPr>
                <w:rFonts w:cs="Arial"/>
                <w:b/>
                <w:bCs/>
                <w:color w:val="FFFFFF"/>
                <w:sz w:val="18"/>
                <w:szCs w:val="18"/>
              </w:rPr>
            </w:pPr>
            <w:r w:rsidRPr="00185499">
              <w:rPr>
                <w:rFonts w:cs="Arial"/>
                <w:b/>
                <w:bCs/>
                <w:color w:val="FFFFFF"/>
                <w:sz w:val="18"/>
                <w:szCs w:val="18"/>
              </w:rPr>
              <w:t>AM</w:t>
            </w:r>
          </w:p>
        </w:tc>
      </w:tr>
      <w:tr w:rsidR="00185499" w:rsidRPr="00185499" w14:paraId="0056156F"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27CA82C6" w14:textId="77777777" w:rsidR="00185499" w:rsidRPr="00185499" w:rsidRDefault="00185499" w:rsidP="00185499">
            <w:pPr>
              <w:spacing w:after="0" w:line="240" w:lineRule="auto"/>
              <w:rPr>
                <w:rFonts w:cs="Arial"/>
                <w:sz w:val="18"/>
                <w:szCs w:val="18"/>
              </w:rPr>
            </w:pPr>
            <w:r w:rsidRPr="00185499">
              <w:rPr>
                <w:rFonts w:cs="Arial"/>
                <w:sz w:val="18"/>
                <w:szCs w:val="18"/>
              </w:rPr>
              <w:t>Melbourne</w:t>
            </w:r>
          </w:p>
        </w:tc>
        <w:tc>
          <w:tcPr>
            <w:tcW w:w="1080" w:type="dxa"/>
            <w:tcBorders>
              <w:top w:val="nil"/>
              <w:left w:val="nil"/>
              <w:bottom w:val="single" w:sz="8" w:space="0" w:color="auto"/>
              <w:right w:val="single" w:sz="8" w:space="0" w:color="auto"/>
            </w:tcBorders>
            <w:shd w:val="clear" w:color="000000" w:fill="F2F2F2"/>
            <w:noWrap/>
            <w:vAlign w:val="center"/>
            <w:hideMark/>
          </w:tcPr>
          <w:p w14:paraId="1F07ACAA" w14:textId="77777777" w:rsidR="00185499" w:rsidRPr="00185499" w:rsidRDefault="00185499" w:rsidP="00F35E68">
            <w:pPr>
              <w:spacing w:after="0" w:line="240" w:lineRule="auto"/>
              <w:jc w:val="right"/>
              <w:rPr>
                <w:rFonts w:cs="Arial"/>
                <w:sz w:val="18"/>
                <w:szCs w:val="18"/>
              </w:rPr>
            </w:pPr>
            <w:r w:rsidRPr="00185499">
              <w:rPr>
                <w:rFonts w:cs="Arial"/>
                <w:sz w:val="18"/>
                <w:szCs w:val="18"/>
              </w:rPr>
              <w:t>$7,653</w:t>
            </w:r>
          </w:p>
        </w:tc>
        <w:tc>
          <w:tcPr>
            <w:tcW w:w="1080" w:type="dxa"/>
            <w:tcBorders>
              <w:top w:val="nil"/>
              <w:left w:val="nil"/>
              <w:bottom w:val="single" w:sz="8" w:space="0" w:color="auto"/>
              <w:right w:val="single" w:sz="8" w:space="0" w:color="auto"/>
            </w:tcBorders>
            <w:shd w:val="clear" w:color="000000" w:fill="F2F2F2"/>
            <w:noWrap/>
            <w:vAlign w:val="center"/>
            <w:hideMark/>
          </w:tcPr>
          <w:p w14:paraId="0477BB38" w14:textId="77777777" w:rsidR="00185499" w:rsidRPr="00185499" w:rsidRDefault="00185499" w:rsidP="00F35E68">
            <w:pPr>
              <w:spacing w:after="0" w:line="240" w:lineRule="auto"/>
              <w:jc w:val="right"/>
              <w:rPr>
                <w:rFonts w:cs="Arial"/>
                <w:sz w:val="18"/>
                <w:szCs w:val="18"/>
              </w:rPr>
            </w:pPr>
            <w:r w:rsidRPr="00185499">
              <w:rPr>
                <w:rFonts w:cs="Arial"/>
                <w:sz w:val="18"/>
                <w:szCs w:val="18"/>
              </w:rPr>
              <w:t>$689</w:t>
            </w:r>
          </w:p>
        </w:tc>
      </w:tr>
      <w:tr w:rsidR="00185499" w:rsidRPr="00185499" w14:paraId="0539D3CB"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0180FEBF" w14:textId="77777777" w:rsidR="00185499" w:rsidRPr="00185499" w:rsidRDefault="00185499" w:rsidP="00185499">
            <w:pPr>
              <w:spacing w:after="0" w:line="240" w:lineRule="auto"/>
              <w:rPr>
                <w:rFonts w:cs="Arial"/>
                <w:sz w:val="18"/>
                <w:szCs w:val="18"/>
              </w:rPr>
            </w:pPr>
            <w:r w:rsidRPr="00185499">
              <w:rPr>
                <w:rFonts w:cs="Arial"/>
                <w:sz w:val="18"/>
                <w:szCs w:val="18"/>
              </w:rPr>
              <w:t>Sydney</w:t>
            </w:r>
          </w:p>
        </w:tc>
        <w:tc>
          <w:tcPr>
            <w:tcW w:w="1080" w:type="dxa"/>
            <w:tcBorders>
              <w:top w:val="nil"/>
              <w:left w:val="nil"/>
              <w:bottom w:val="single" w:sz="8" w:space="0" w:color="auto"/>
              <w:right w:val="single" w:sz="8" w:space="0" w:color="auto"/>
            </w:tcBorders>
            <w:shd w:val="clear" w:color="auto" w:fill="auto"/>
            <w:noWrap/>
            <w:vAlign w:val="center"/>
            <w:hideMark/>
          </w:tcPr>
          <w:p w14:paraId="4CB99A70" w14:textId="77777777" w:rsidR="00185499" w:rsidRPr="00185499" w:rsidRDefault="00185499" w:rsidP="00F35E68">
            <w:pPr>
              <w:spacing w:after="0" w:line="240" w:lineRule="auto"/>
              <w:jc w:val="right"/>
              <w:rPr>
                <w:rFonts w:cs="Arial"/>
                <w:sz w:val="18"/>
                <w:szCs w:val="18"/>
              </w:rPr>
            </w:pPr>
            <w:r w:rsidRPr="00185499">
              <w:rPr>
                <w:rFonts w:cs="Arial"/>
                <w:sz w:val="18"/>
                <w:szCs w:val="18"/>
              </w:rPr>
              <w:t>$7,649</w:t>
            </w:r>
          </w:p>
        </w:tc>
        <w:tc>
          <w:tcPr>
            <w:tcW w:w="1080" w:type="dxa"/>
            <w:tcBorders>
              <w:top w:val="nil"/>
              <w:left w:val="nil"/>
              <w:bottom w:val="single" w:sz="8" w:space="0" w:color="auto"/>
              <w:right w:val="single" w:sz="8" w:space="0" w:color="auto"/>
            </w:tcBorders>
            <w:shd w:val="clear" w:color="auto" w:fill="auto"/>
            <w:noWrap/>
            <w:vAlign w:val="center"/>
            <w:hideMark/>
          </w:tcPr>
          <w:p w14:paraId="0766939E" w14:textId="77777777" w:rsidR="00185499" w:rsidRPr="00185499" w:rsidRDefault="00185499" w:rsidP="00F35E68">
            <w:pPr>
              <w:spacing w:after="0" w:line="240" w:lineRule="auto"/>
              <w:jc w:val="right"/>
              <w:rPr>
                <w:rFonts w:cs="Arial"/>
                <w:sz w:val="18"/>
                <w:szCs w:val="18"/>
              </w:rPr>
            </w:pPr>
            <w:r w:rsidRPr="00185499">
              <w:rPr>
                <w:rFonts w:cs="Arial"/>
                <w:sz w:val="18"/>
                <w:szCs w:val="18"/>
              </w:rPr>
              <w:t>$688</w:t>
            </w:r>
          </w:p>
        </w:tc>
      </w:tr>
      <w:tr w:rsidR="00185499" w:rsidRPr="00185499" w14:paraId="2DD1603F"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167EB97D" w14:textId="77777777" w:rsidR="00185499" w:rsidRPr="00185499" w:rsidRDefault="00185499" w:rsidP="00185499">
            <w:pPr>
              <w:spacing w:after="0" w:line="240" w:lineRule="auto"/>
              <w:rPr>
                <w:rFonts w:cs="Arial"/>
                <w:sz w:val="18"/>
                <w:szCs w:val="18"/>
              </w:rPr>
            </w:pPr>
            <w:r w:rsidRPr="00185499">
              <w:rPr>
                <w:rFonts w:cs="Arial"/>
                <w:sz w:val="18"/>
                <w:szCs w:val="18"/>
              </w:rPr>
              <w:t>Brisbane</w:t>
            </w:r>
          </w:p>
        </w:tc>
        <w:tc>
          <w:tcPr>
            <w:tcW w:w="1080" w:type="dxa"/>
            <w:tcBorders>
              <w:top w:val="nil"/>
              <w:left w:val="nil"/>
              <w:bottom w:val="single" w:sz="8" w:space="0" w:color="auto"/>
              <w:right w:val="single" w:sz="8" w:space="0" w:color="auto"/>
            </w:tcBorders>
            <w:shd w:val="clear" w:color="000000" w:fill="F2F2F2"/>
            <w:noWrap/>
            <w:vAlign w:val="center"/>
            <w:hideMark/>
          </w:tcPr>
          <w:p w14:paraId="169EA05E" w14:textId="77777777" w:rsidR="00185499" w:rsidRPr="00185499" w:rsidRDefault="00185499" w:rsidP="00F35E68">
            <w:pPr>
              <w:spacing w:after="0" w:line="240" w:lineRule="auto"/>
              <w:jc w:val="right"/>
              <w:rPr>
                <w:rFonts w:cs="Arial"/>
                <w:sz w:val="18"/>
                <w:szCs w:val="18"/>
              </w:rPr>
            </w:pPr>
            <w:r w:rsidRPr="00185499">
              <w:rPr>
                <w:rFonts w:cs="Arial"/>
                <w:sz w:val="18"/>
                <w:szCs w:val="18"/>
              </w:rPr>
              <w:t>$3,813</w:t>
            </w:r>
          </w:p>
        </w:tc>
        <w:tc>
          <w:tcPr>
            <w:tcW w:w="1080" w:type="dxa"/>
            <w:tcBorders>
              <w:top w:val="nil"/>
              <w:left w:val="nil"/>
              <w:bottom w:val="single" w:sz="8" w:space="0" w:color="auto"/>
              <w:right w:val="single" w:sz="8" w:space="0" w:color="auto"/>
            </w:tcBorders>
            <w:shd w:val="clear" w:color="000000" w:fill="F2F2F2"/>
            <w:noWrap/>
            <w:vAlign w:val="center"/>
            <w:hideMark/>
          </w:tcPr>
          <w:p w14:paraId="5E7AF337" w14:textId="77777777" w:rsidR="00185499" w:rsidRPr="00185499" w:rsidRDefault="00185499" w:rsidP="00F35E68">
            <w:pPr>
              <w:spacing w:after="0" w:line="240" w:lineRule="auto"/>
              <w:jc w:val="right"/>
              <w:rPr>
                <w:rFonts w:cs="Arial"/>
                <w:sz w:val="18"/>
                <w:szCs w:val="18"/>
              </w:rPr>
            </w:pPr>
            <w:r w:rsidRPr="00185499">
              <w:rPr>
                <w:rFonts w:cs="Arial"/>
                <w:sz w:val="18"/>
                <w:szCs w:val="18"/>
              </w:rPr>
              <w:t>$343</w:t>
            </w:r>
          </w:p>
        </w:tc>
      </w:tr>
      <w:tr w:rsidR="00185499" w:rsidRPr="00185499" w14:paraId="36993228"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54660D81" w14:textId="77777777" w:rsidR="00185499" w:rsidRPr="00185499" w:rsidRDefault="00185499" w:rsidP="00185499">
            <w:pPr>
              <w:spacing w:after="0" w:line="240" w:lineRule="auto"/>
              <w:rPr>
                <w:rFonts w:cs="Arial"/>
                <w:sz w:val="18"/>
                <w:szCs w:val="18"/>
              </w:rPr>
            </w:pPr>
            <w:r w:rsidRPr="00185499">
              <w:rPr>
                <w:rFonts w:cs="Arial"/>
                <w:sz w:val="18"/>
                <w:szCs w:val="18"/>
              </w:rPr>
              <w:t>Perth</w:t>
            </w:r>
          </w:p>
        </w:tc>
        <w:tc>
          <w:tcPr>
            <w:tcW w:w="1080" w:type="dxa"/>
            <w:tcBorders>
              <w:top w:val="nil"/>
              <w:left w:val="nil"/>
              <w:bottom w:val="single" w:sz="8" w:space="0" w:color="auto"/>
              <w:right w:val="single" w:sz="8" w:space="0" w:color="auto"/>
            </w:tcBorders>
            <w:shd w:val="clear" w:color="auto" w:fill="auto"/>
            <w:noWrap/>
            <w:vAlign w:val="center"/>
            <w:hideMark/>
          </w:tcPr>
          <w:p w14:paraId="6A20E5AD" w14:textId="77777777" w:rsidR="00185499" w:rsidRPr="00185499" w:rsidRDefault="00185499" w:rsidP="00F35E68">
            <w:pPr>
              <w:spacing w:after="0" w:line="240" w:lineRule="auto"/>
              <w:jc w:val="right"/>
              <w:rPr>
                <w:rFonts w:cs="Arial"/>
                <w:sz w:val="18"/>
                <w:szCs w:val="18"/>
              </w:rPr>
            </w:pPr>
            <w:r w:rsidRPr="00185499">
              <w:rPr>
                <w:rFonts w:cs="Arial"/>
                <w:sz w:val="18"/>
                <w:szCs w:val="18"/>
              </w:rPr>
              <w:t>$3,209</w:t>
            </w:r>
          </w:p>
        </w:tc>
        <w:tc>
          <w:tcPr>
            <w:tcW w:w="1080" w:type="dxa"/>
            <w:tcBorders>
              <w:top w:val="nil"/>
              <w:left w:val="nil"/>
              <w:bottom w:val="single" w:sz="8" w:space="0" w:color="auto"/>
              <w:right w:val="single" w:sz="8" w:space="0" w:color="auto"/>
            </w:tcBorders>
            <w:shd w:val="clear" w:color="auto" w:fill="auto"/>
            <w:noWrap/>
            <w:vAlign w:val="center"/>
            <w:hideMark/>
          </w:tcPr>
          <w:p w14:paraId="0B18198F" w14:textId="77777777" w:rsidR="00185499" w:rsidRPr="00185499" w:rsidRDefault="00185499" w:rsidP="00F35E68">
            <w:pPr>
              <w:spacing w:after="0" w:line="240" w:lineRule="auto"/>
              <w:jc w:val="right"/>
              <w:rPr>
                <w:rFonts w:cs="Arial"/>
                <w:sz w:val="18"/>
                <w:szCs w:val="18"/>
              </w:rPr>
            </w:pPr>
            <w:r w:rsidRPr="00185499">
              <w:rPr>
                <w:rFonts w:cs="Arial"/>
                <w:sz w:val="18"/>
                <w:szCs w:val="18"/>
              </w:rPr>
              <w:t>$289</w:t>
            </w:r>
          </w:p>
        </w:tc>
      </w:tr>
      <w:tr w:rsidR="00185499" w:rsidRPr="00185499" w14:paraId="1A9FA4BB"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2E25ECA4" w14:textId="77777777" w:rsidR="00185499" w:rsidRPr="00185499" w:rsidRDefault="00185499" w:rsidP="00185499">
            <w:pPr>
              <w:spacing w:after="0" w:line="240" w:lineRule="auto"/>
              <w:rPr>
                <w:rFonts w:cs="Arial"/>
                <w:sz w:val="18"/>
                <w:szCs w:val="18"/>
              </w:rPr>
            </w:pPr>
            <w:r w:rsidRPr="00185499">
              <w:rPr>
                <w:rFonts w:cs="Arial"/>
                <w:sz w:val="18"/>
                <w:szCs w:val="18"/>
              </w:rPr>
              <w:t>Adelaide</w:t>
            </w:r>
          </w:p>
        </w:tc>
        <w:tc>
          <w:tcPr>
            <w:tcW w:w="1080" w:type="dxa"/>
            <w:tcBorders>
              <w:top w:val="nil"/>
              <w:left w:val="nil"/>
              <w:bottom w:val="single" w:sz="8" w:space="0" w:color="auto"/>
              <w:right w:val="single" w:sz="8" w:space="0" w:color="auto"/>
            </w:tcBorders>
            <w:shd w:val="clear" w:color="000000" w:fill="F2F2F2"/>
            <w:noWrap/>
            <w:vAlign w:val="center"/>
            <w:hideMark/>
          </w:tcPr>
          <w:p w14:paraId="7FF42DAF" w14:textId="77777777" w:rsidR="00185499" w:rsidRPr="00185499" w:rsidRDefault="00185499" w:rsidP="00F35E68">
            <w:pPr>
              <w:spacing w:after="0" w:line="240" w:lineRule="auto"/>
              <w:jc w:val="right"/>
              <w:rPr>
                <w:rFonts w:cs="Arial"/>
                <w:sz w:val="18"/>
                <w:szCs w:val="18"/>
              </w:rPr>
            </w:pPr>
            <w:r w:rsidRPr="00185499">
              <w:rPr>
                <w:rFonts w:cs="Arial"/>
                <w:sz w:val="18"/>
                <w:szCs w:val="18"/>
              </w:rPr>
              <w:t>$2,091</w:t>
            </w:r>
          </w:p>
        </w:tc>
        <w:tc>
          <w:tcPr>
            <w:tcW w:w="1080" w:type="dxa"/>
            <w:tcBorders>
              <w:top w:val="nil"/>
              <w:left w:val="nil"/>
              <w:bottom w:val="single" w:sz="8" w:space="0" w:color="auto"/>
              <w:right w:val="single" w:sz="8" w:space="0" w:color="auto"/>
            </w:tcBorders>
            <w:shd w:val="clear" w:color="000000" w:fill="F2F2F2"/>
            <w:noWrap/>
            <w:vAlign w:val="center"/>
            <w:hideMark/>
          </w:tcPr>
          <w:p w14:paraId="5589982C" w14:textId="77777777" w:rsidR="00185499" w:rsidRPr="00185499" w:rsidRDefault="00185499" w:rsidP="00F35E68">
            <w:pPr>
              <w:spacing w:after="0" w:line="240" w:lineRule="auto"/>
              <w:jc w:val="right"/>
              <w:rPr>
                <w:rFonts w:cs="Arial"/>
                <w:sz w:val="18"/>
                <w:szCs w:val="18"/>
              </w:rPr>
            </w:pPr>
            <w:r w:rsidRPr="00185499">
              <w:rPr>
                <w:rFonts w:cs="Arial"/>
                <w:sz w:val="18"/>
                <w:szCs w:val="18"/>
              </w:rPr>
              <w:t>$188</w:t>
            </w:r>
          </w:p>
        </w:tc>
      </w:tr>
      <w:tr w:rsidR="00185499" w:rsidRPr="00185499" w14:paraId="432B83BD"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797F5E1D" w14:textId="77777777" w:rsidR="00185499" w:rsidRPr="00185499" w:rsidRDefault="00185499" w:rsidP="00185499">
            <w:pPr>
              <w:spacing w:after="0" w:line="240" w:lineRule="auto"/>
              <w:rPr>
                <w:rFonts w:cs="Arial"/>
                <w:sz w:val="18"/>
                <w:szCs w:val="18"/>
              </w:rPr>
            </w:pPr>
            <w:r w:rsidRPr="00185499">
              <w:rPr>
                <w:rFonts w:cs="Arial"/>
                <w:sz w:val="18"/>
                <w:szCs w:val="18"/>
              </w:rPr>
              <w:t>Gold Coast - Tweed Heads</w:t>
            </w:r>
          </w:p>
        </w:tc>
        <w:tc>
          <w:tcPr>
            <w:tcW w:w="1080" w:type="dxa"/>
            <w:tcBorders>
              <w:top w:val="nil"/>
              <w:left w:val="nil"/>
              <w:bottom w:val="single" w:sz="8" w:space="0" w:color="auto"/>
              <w:right w:val="single" w:sz="8" w:space="0" w:color="auto"/>
            </w:tcBorders>
            <w:shd w:val="clear" w:color="auto" w:fill="auto"/>
            <w:noWrap/>
            <w:vAlign w:val="center"/>
            <w:hideMark/>
          </w:tcPr>
          <w:p w14:paraId="264A89FB" w14:textId="77777777" w:rsidR="00185499" w:rsidRPr="00185499" w:rsidRDefault="00185499" w:rsidP="00F35E68">
            <w:pPr>
              <w:spacing w:after="0" w:line="240" w:lineRule="auto"/>
              <w:jc w:val="right"/>
              <w:rPr>
                <w:rFonts w:cs="Arial"/>
                <w:sz w:val="18"/>
                <w:szCs w:val="18"/>
              </w:rPr>
            </w:pPr>
            <w:r w:rsidRPr="00185499">
              <w:rPr>
                <w:rFonts w:cs="Arial"/>
                <w:sz w:val="18"/>
                <w:szCs w:val="18"/>
              </w:rPr>
              <w:t>$1,093</w:t>
            </w:r>
          </w:p>
        </w:tc>
        <w:tc>
          <w:tcPr>
            <w:tcW w:w="1080" w:type="dxa"/>
            <w:tcBorders>
              <w:top w:val="nil"/>
              <w:left w:val="nil"/>
              <w:bottom w:val="single" w:sz="8" w:space="0" w:color="auto"/>
              <w:right w:val="single" w:sz="8" w:space="0" w:color="auto"/>
            </w:tcBorders>
            <w:shd w:val="clear" w:color="auto" w:fill="auto"/>
            <w:noWrap/>
            <w:vAlign w:val="center"/>
            <w:hideMark/>
          </w:tcPr>
          <w:p w14:paraId="149C1703" w14:textId="77777777" w:rsidR="00185499" w:rsidRPr="00185499" w:rsidRDefault="00185499" w:rsidP="00F35E68">
            <w:pPr>
              <w:spacing w:after="0" w:line="240" w:lineRule="auto"/>
              <w:jc w:val="right"/>
              <w:rPr>
                <w:rFonts w:cs="Arial"/>
                <w:sz w:val="18"/>
                <w:szCs w:val="18"/>
              </w:rPr>
            </w:pPr>
            <w:r w:rsidRPr="00185499">
              <w:rPr>
                <w:rFonts w:cs="Arial"/>
                <w:sz w:val="18"/>
                <w:szCs w:val="18"/>
              </w:rPr>
              <w:t>$98</w:t>
            </w:r>
          </w:p>
        </w:tc>
      </w:tr>
      <w:tr w:rsidR="00185499" w:rsidRPr="00185499" w14:paraId="4AD89285"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7769C598" w14:textId="77777777" w:rsidR="00185499" w:rsidRPr="00185499" w:rsidRDefault="00185499" w:rsidP="00185499">
            <w:pPr>
              <w:spacing w:after="0" w:line="240" w:lineRule="auto"/>
              <w:rPr>
                <w:rFonts w:cs="Arial"/>
                <w:sz w:val="18"/>
                <w:szCs w:val="18"/>
              </w:rPr>
            </w:pPr>
            <w:r w:rsidRPr="00185499">
              <w:rPr>
                <w:rFonts w:cs="Arial"/>
                <w:sz w:val="18"/>
                <w:szCs w:val="18"/>
              </w:rPr>
              <w:t>Newcastle - Maitland</w:t>
            </w:r>
          </w:p>
        </w:tc>
        <w:tc>
          <w:tcPr>
            <w:tcW w:w="1080" w:type="dxa"/>
            <w:tcBorders>
              <w:top w:val="nil"/>
              <w:left w:val="nil"/>
              <w:bottom w:val="single" w:sz="8" w:space="0" w:color="auto"/>
              <w:right w:val="single" w:sz="8" w:space="0" w:color="auto"/>
            </w:tcBorders>
            <w:shd w:val="clear" w:color="000000" w:fill="F2F2F2"/>
            <w:noWrap/>
            <w:vAlign w:val="center"/>
            <w:hideMark/>
          </w:tcPr>
          <w:p w14:paraId="2FCE538D" w14:textId="77777777" w:rsidR="00185499" w:rsidRPr="00185499" w:rsidRDefault="00185499" w:rsidP="00F35E68">
            <w:pPr>
              <w:spacing w:after="0" w:line="240" w:lineRule="auto"/>
              <w:jc w:val="right"/>
              <w:rPr>
                <w:rFonts w:cs="Arial"/>
                <w:sz w:val="18"/>
                <w:szCs w:val="18"/>
              </w:rPr>
            </w:pPr>
            <w:r w:rsidRPr="00185499">
              <w:rPr>
                <w:rFonts w:cs="Arial"/>
                <w:sz w:val="18"/>
                <w:szCs w:val="18"/>
              </w:rPr>
              <w:t>$767</w:t>
            </w:r>
          </w:p>
        </w:tc>
        <w:tc>
          <w:tcPr>
            <w:tcW w:w="1080" w:type="dxa"/>
            <w:tcBorders>
              <w:top w:val="nil"/>
              <w:left w:val="nil"/>
              <w:bottom w:val="single" w:sz="8" w:space="0" w:color="auto"/>
              <w:right w:val="single" w:sz="8" w:space="0" w:color="auto"/>
            </w:tcBorders>
            <w:shd w:val="clear" w:color="000000" w:fill="F2F2F2"/>
            <w:noWrap/>
            <w:vAlign w:val="center"/>
            <w:hideMark/>
          </w:tcPr>
          <w:p w14:paraId="19682177" w14:textId="77777777" w:rsidR="00185499" w:rsidRPr="00185499" w:rsidRDefault="00185499" w:rsidP="00F35E68">
            <w:pPr>
              <w:spacing w:after="0" w:line="240" w:lineRule="auto"/>
              <w:jc w:val="right"/>
              <w:rPr>
                <w:rFonts w:cs="Arial"/>
                <w:sz w:val="18"/>
                <w:szCs w:val="18"/>
              </w:rPr>
            </w:pPr>
            <w:r w:rsidRPr="00185499">
              <w:rPr>
                <w:rFonts w:cs="Arial"/>
                <w:sz w:val="18"/>
                <w:szCs w:val="18"/>
              </w:rPr>
              <w:t>$69</w:t>
            </w:r>
          </w:p>
        </w:tc>
      </w:tr>
      <w:tr w:rsidR="00185499" w:rsidRPr="00185499" w14:paraId="4F752691"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7179CC4F" w14:textId="77777777" w:rsidR="00185499" w:rsidRPr="00185499" w:rsidRDefault="00185499" w:rsidP="00185499">
            <w:pPr>
              <w:spacing w:after="0" w:line="240" w:lineRule="auto"/>
              <w:rPr>
                <w:rFonts w:cs="Arial"/>
                <w:sz w:val="18"/>
                <w:szCs w:val="18"/>
              </w:rPr>
            </w:pPr>
            <w:r w:rsidRPr="00185499">
              <w:rPr>
                <w:rFonts w:cs="Arial"/>
                <w:sz w:val="18"/>
                <w:szCs w:val="18"/>
              </w:rPr>
              <w:t>Canberra - Queanbeyan</w:t>
            </w:r>
          </w:p>
        </w:tc>
        <w:tc>
          <w:tcPr>
            <w:tcW w:w="1080" w:type="dxa"/>
            <w:tcBorders>
              <w:top w:val="nil"/>
              <w:left w:val="nil"/>
              <w:bottom w:val="single" w:sz="8" w:space="0" w:color="auto"/>
              <w:right w:val="single" w:sz="8" w:space="0" w:color="auto"/>
            </w:tcBorders>
            <w:shd w:val="clear" w:color="auto" w:fill="auto"/>
            <w:noWrap/>
            <w:vAlign w:val="center"/>
            <w:hideMark/>
          </w:tcPr>
          <w:p w14:paraId="689FE44A" w14:textId="77777777" w:rsidR="00185499" w:rsidRPr="00185499" w:rsidRDefault="00185499" w:rsidP="00F35E68">
            <w:pPr>
              <w:spacing w:after="0" w:line="240" w:lineRule="auto"/>
              <w:jc w:val="right"/>
              <w:rPr>
                <w:rFonts w:cs="Arial"/>
                <w:sz w:val="18"/>
                <w:szCs w:val="18"/>
              </w:rPr>
            </w:pPr>
            <w:r w:rsidRPr="00185499">
              <w:rPr>
                <w:rFonts w:cs="Arial"/>
                <w:sz w:val="18"/>
                <w:szCs w:val="18"/>
              </w:rPr>
              <w:t>$716</w:t>
            </w:r>
          </w:p>
        </w:tc>
        <w:tc>
          <w:tcPr>
            <w:tcW w:w="1080" w:type="dxa"/>
            <w:tcBorders>
              <w:top w:val="nil"/>
              <w:left w:val="nil"/>
              <w:bottom w:val="single" w:sz="8" w:space="0" w:color="auto"/>
              <w:right w:val="single" w:sz="8" w:space="0" w:color="auto"/>
            </w:tcBorders>
            <w:shd w:val="clear" w:color="auto" w:fill="auto"/>
            <w:noWrap/>
            <w:vAlign w:val="center"/>
            <w:hideMark/>
          </w:tcPr>
          <w:p w14:paraId="5905D2CF" w14:textId="77777777" w:rsidR="00185499" w:rsidRPr="00185499" w:rsidRDefault="00185499" w:rsidP="00F35E68">
            <w:pPr>
              <w:spacing w:after="0" w:line="240" w:lineRule="auto"/>
              <w:jc w:val="right"/>
              <w:rPr>
                <w:rFonts w:cs="Arial"/>
                <w:sz w:val="18"/>
                <w:szCs w:val="18"/>
              </w:rPr>
            </w:pPr>
            <w:r w:rsidRPr="00185499">
              <w:rPr>
                <w:rFonts w:cs="Arial"/>
                <w:sz w:val="18"/>
                <w:szCs w:val="18"/>
              </w:rPr>
              <w:t>$64</w:t>
            </w:r>
          </w:p>
        </w:tc>
      </w:tr>
      <w:tr w:rsidR="00185499" w:rsidRPr="00185499" w14:paraId="5E0212AF"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5C555A92" w14:textId="77777777" w:rsidR="00185499" w:rsidRPr="00185499" w:rsidRDefault="00185499" w:rsidP="00185499">
            <w:pPr>
              <w:spacing w:after="0" w:line="240" w:lineRule="auto"/>
              <w:rPr>
                <w:rFonts w:cs="Arial"/>
                <w:sz w:val="18"/>
                <w:szCs w:val="18"/>
              </w:rPr>
            </w:pPr>
            <w:r w:rsidRPr="00185499">
              <w:rPr>
                <w:rFonts w:cs="Arial"/>
                <w:sz w:val="18"/>
                <w:szCs w:val="18"/>
              </w:rPr>
              <w:t>Sunshine Coast</w:t>
            </w:r>
          </w:p>
        </w:tc>
        <w:tc>
          <w:tcPr>
            <w:tcW w:w="1080" w:type="dxa"/>
            <w:tcBorders>
              <w:top w:val="nil"/>
              <w:left w:val="nil"/>
              <w:bottom w:val="single" w:sz="8" w:space="0" w:color="auto"/>
              <w:right w:val="single" w:sz="8" w:space="0" w:color="auto"/>
            </w:tcBorders>
            <w:shd w:val="clear" w:color="000000" w:fill="F2F2F2"/>
            <w:noWrap/>
            <w:vAlign w:val="center"/>
            <w:hideMark/>
          </w:tcPr>
          <w:p w14:paraId="51808155" w14:textId="77777777" w:rsidR="00185499" w:rsidRPr="00185499" w:rsidRDefault="00185499" w:rsidP="00F35E68">
            <w:pPr>
              <w:spacing w:after="0" w:line="240" w:lineRule="auto"/>
              <w:jc w:val="right"/>
              <w:rPr>
                <w:rFonts w:cs="Arial"/>
                <w:sz w:val="18"/>
                <w:szCs w:val="18"/>
              </w:rPr>
            </w:pPr>
            <w:r w:rsidRPr="00185499">
              <w:rPr>
                <w:rFonts w:cs="Arial"/>
                <w:sz w:val="18"/>
                <w:szCs w:val="18"/>
              </w:rPr>
              <w:t>$536</w:t>
            </w:r>
          </w:p>
        </w:tc>
        <w:tc>
          <w:tcPr>
            <w:tcW w:w="1080" w:type="dxa"/>
            <w:tcBorders>
              <w:top w:val="nil"/>
              <w:left w:val="nil"/>
              <w:bottom w:val="single" w:sz="8" w:space="0" w:color="auto"/>
              <w:right w:val="single" w:sz="8" w:space="0" w:color="auto"/>
            </w:tcBorders>
            <w:shd w:val="clear" w:color="000000" w:fill="F2F2F2"/>
            <w:noWrap/>
            <w:vAlign w:val="center"/>
            <w:hideMark/>
          </w:tcPr>
          <w:p w14:paraId="49EE821B" w14:textId="77777777" w:rsidR="00185499" w:rsidRPr="00185499" w:rsidRDefault="00185499" w:rsidP="00F35E68">
            <w:pPr>
              <w:spacing w:after="0" w:line="240" w:lineRule="auto"/>
              <w:jc w:val="right"/>
              <w:rPr>
                <w:rFonts w:cs="Arial"/>
                <w:sz w:val="18"/>
                <w:szCs w:val="18"/>
              </w:rPr>
            </w:pPr>
            <w:r w:rsidRPr="00185499">
              <w:rPr>
                <w:rFonts w:cs="Arial"/>
                <w:sz w:val="18"/>
                <w:szCs w:val="18"/>
              </w:rPr>
              <w:t>$48</w:t>
            </w:r>
          </w:p>
        </w:tc>
      </w:tr>
      <w:tr w:rsidR="00185499" w:rsidRPr="00185499" w14:paraId="17DA6463"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1093AB5A" w14:textId="77777777" w:rsidR="00185499" w:rsidRPr="00185499" w:rsidRDefault="00185499" w:rsidP="00185499">
            <w:pPr>
              <w:spacing w:after="0" w:line="240" w:lineRule="auto"/>
              <w:rPr>
                <w:rFonts w:cs="Arial"/>
                <w:sz w:val="18"/>
                <w:szCs w:val="18"/>
              </w:rPr>
            </w:pPr>
            <w:r w:rsidRPr="00185499">
              <w:rPr>
                <w:rFonts w:cs="Arial"/>
                <w:sz w:val="18"/>
                <w:szCs w:val="18"/>
              </w:rPr>
              <w:t>Central Coast</w:t>
            </w:r>
          </w:p>
        </w:tc>
        <w:tc>
          <w:tcPr>
            <w:tcW w:w="1080" w:type="dxa"/>
            <w:tcBorders>
              <w:top w:val="nil"/>
              <w:left w:val="nil"/>
              <w:bottom w:val="single" w:sz="8" w:space="0" w:color="auto"/>
              <w:right w:val="single" w:sz="8" w:space="0" w:color="auto"/>
            </w:tcBorders>
            <w:shd w:val="clear" w:color="auto" w:fill="auto"/>
            <w:noWrap/>
            <w:vAlign w:val="center"/>
            <w:hideMark/>
          </w:tcPr>
          <w:p w14:paraId="0C216521" w14:textId="77777777" w:rsidR="00185499" w:rsidRPr="00185499" w:rsidRDefault="00185499" w:rsidP="00F35E68">
            <w:pPr>
              <w:spacing w:after="0" w:line="240" w:lineRule="auto"/>
              <w:jc w:val="right"/>
              <w:rPr>
                <w:rFonts w:cs="Arial"/>
                <w:sz w:val="18"/>
                <w:szCs w:val="18"/>
              </w:rPr>
            </w:pPr>
            <w:r w:rsidRPr="00185499">
              <w:rPr>
                <w:rFonts w:cs="Arial"/>
                <w:sz w:val="18"/>
                <w:szCs w:val="18"/>
              </w:rPr>
              <w:t>$519</w:t>
            </w:r>
          </w:p>
        </w:tc>
        <w:tc>
          <w:tcPr>
            <w:tcW w:w="1080" w:type="dxa"/>
            <w:tcBorders>
              <w:top w:val="nil"/>
              <w:left w:val="nil"/>
              <w:bottom w:val="single" w:sz="8" w:space="0" w:color="auto"/>
              <w:right w:val="single" w:sz="8" w:space="0" w:color="auto"/>
            </w:tcBorders>
            <w:shd w:val="clear" w:color="auto" w:fill="auto"/>
            <w:noWrap/>
            <w:vAlign w:val="center"/>
            <w:hideMark/>
          </w:tcPr>
          <w:p w14:paraId="783156C3" w14:textId="77777777" w:rsidR="00185499" w:rsidRPr="00185499" w:rsidRDefault="00185499" w:rsidP="00F35E68">
            <w:pPr>
              <w:spacing w:after="0" w:line="240" w:lineRule="auto"/>
              <w:jc w:val="right"/>
              <w:rPr>
                <w:rFonts w:cs="Arial"/>
                <w:sz w:val="18"/>
                <w:szCs w:val="18"/>
              </w:rPr>
            </w:pPr>
            <w:r w:rsidRPr="00185499">
              <w:rPr>
                <w:rFonts w:cs="Arial"/>
                <w:sz w:val="18"/>
                <w:szCs w:val="18"/>
              </w:rPr>
              <w:t>$47</w:t>
            </w:r>
          </w:p>
        </w:tc>
      </w:tr>
      <w:tr w:rsidR="00185499" w:rsidRPr="00185499" w14:paraId="029C1135"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3049F305" w14:textId="77777777" w:rsidR="00185499" w:rsidRPr="00185499" w:rsidRDefault="00185499" w:rsidP="00185499">
            <w:pPr>
              <w:spacing w:after="0" w:line="240" w:lineRule="auto"/>
              <w:rPr>
                <w:rFonts w:cs="Arial"/>
                <w:sz w:val="18"/>
                <w:szCs w:val="18"/>
              </w:rPr>
            </w:pPr>
            <w:r w:rsidRPr="00185499">
              <w:rPr>
                <w:rFonts w:cs="Arial"/>
                <w:sz w:val="18"/>
                <w:szCs w:val="18"/>
              </w:rPr>
              <w:t>Wollongong</w:t>
            </w:r>
          </w:p>
        </w:tc>
        <w:tc>
          <w:tcPr>
            <w:tcW w:w="1080" w:type="dxa"/>
            <w:tcBorders>
              <w:top w:val="nil"/>
              <w:left w:val="nil"/>
              <w:bottom w:val="single" w:sz="8" w:space="0" w:color="auto"/>
              <w:right w:val="single" w:sz="8" w:space="0" w:color="auto"/>
            </w:tcBorders>
            <w:shd w:val="clear" w:color="000000" w:fill="F2F2F2"/>
            <w:noWrap/>
            <w:vAlign w:val="center"/>
            <w:hideMark/>
          </w:tcPr>
          <w:p w14:paraId="1FFCE47B" w14:textId="77777777" w:rsidR="00185499" w:rsidRPr="00185499" w:rsidRDefault="00185499" w:rsidP="00F35E68">
            <w:pPr>
              <w:spacing w:after="0" w:line="240" w:lineRule="auto"/>
              <w:jc w:val="right"/>
              <w:rPr>
                <w:rFonts w:cs="Arial"/>
                <w:sz w:val="18"/>
                <w:szCs w:val="18"/>
              </w:rPr>
            </w:pPr>
            <w:r w:rsidRPr="00185499">
              <w:rPr>
                <w:rFonts w:cs="Arial"/>
                <w:sz w:val="18"/>
                <w:szCs w:val="18"/>
              </w:rPr>
              <w:t>$476</w:t>
            </w:r>
          </w:p>
        </w:tc>
        <w:tc>
          <w:tcPr>
            <w:tcW w:w="1080" w:type="dxa"/>
            <w:tcBorders>
              <w:top w:val="nil"/>
              <w:left w:val="nil"/>
              <w:bottom w:val="single" w:sz="8" w:space="0" w:color="auto"/>
              <w:right w:val="single" w:sz="8" w:space="0" w:color="auto"/>
            </w:tcBorders>
            <w:shd w:val="clear" w:color="000000" w:fill="F2F2F2"/>
            <w:noWrap/>
            <w:vAlign w:val="center"/>
            <w:hideMark/>
          </w:tcPr>
          <w:p w14:paraId="43D5F81C" w14:textId="77777777" w:rsidR="00185499" w:rsidRPr="00185499" w:rsidRDefault="00185499" w:rsidP="00F35E68">
            <w:pPr>
              <w:spacing w:after="0" w:line="240" w:lineRule="auto"/>
              <w:jc w:val="right"/>
              <w:rPr>
                <w:rFonts w:cs="Arial"/>
                <w:sz w:val="18"/>
                <w:szCs w:val="18"/>
              </w:rPr>
            </w:pPr>
            <w:r w:rsidRPr="00185499">
              <w:rPr>
                <w:rFonts w:cs="Arial"/>
                <w:sz w:val="18"/>
                <w:szCs w:val="18"/>
              </w:rPr>
              <w:t>$43</w:t>
            </w:r>
          </w:p>
        </w:tc>
      </w:tr>
      <w:tr w:rsidR="00185499" w:rsidRPr="00185499" w14:paraId="61EA38D3"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84CD939" w14:textId="77777777" w:rsidR="00185499" w:rsidRPr="00185499" w:rsidRDefault="00185499" w:rsidP="00185499">
            <w:pPr>
              <w:spacing w:after="0" w:line="240" w:lineRule="auto"/>
              <w:rPr>
                <w:rFonts w:cs="Arial"/>
                <w:sz w:val="18"/>
                <w:szCs w:val="18"/>
              </w:rPr>
            </w:pPr>
            <w:r w:rsidRPr="00185499">
              <w:rPr>
                <w:rFonts w:cs="Arial"/>
                <w:sz w:val="18"/>
                <w:szCs w:val="18"/>
              </w:rPr>
              <w:t>Geelong</w:t>
            </w:r>
          </w:p>
        </w:tc>
        <w:tc>
          <w:tcPr>
            <w:tcW w:w="1080" w:type="dxa"/>
            <w:tcBorders>
              <w:top w:val="nil"/>
              <w:left w:val="nil"/>
              <w:bottom w:val="single" w:sz="8" w:space="0" w:color="auto"/>
              <w:right w:val="single" w:sz="8" w:space="0" w:color="auto"/>
            </w:tcBorders>
            <w:shd w:val="clear" w:color="auto" w:fill="auto"/>
            <w:noWrap/>
            <w:vAlign w:val="center"/>
            <w:hideMark/>
          </w:tcPr>
          <w:p w14:paraId="773637AC" w14:textId="77777777" w:rsidR="00185499" w:rsidRPr="00185499" w:rsidRDefault="00185499" w:rsidP="00F35E68">
            <w:pPr>
              <w:spacing w:after="0" w:line="240" w:lineRule="auto"/>
              <w:jc w:val="right"/>
              <w:rPr>
                <w:rFonts w:cs="Arial"/>
                <w:sz w:val="18"/>
                <w:szCs w:val="18"/>
              </w:rPr>
            </w:pPr>
            <w:r w:rsidRPr="00185499">
              <w:rPr>
                <w:rFonts w:cs="Arial"/>
                <w:sz w:val="18"/>
                <w:szCs w:val="18"/>
              </w:rPr>
              <w:t>$435</w:t>
            </w:r>
          </w:p>
        </w:tc>
        <w:tc>
          <w:tcPr>
            <w:tcW w:w="1080" w:type="dxa"/>
            <w:tcBorders>
              <w:top w:val="nil"/>
              <w:left w:val="nil"/>
              <w:bottom w:val="single" w:sz="8" w:space="0" w:color="auto"/>
              <w:right w:val="single" w:sz="8" w:space="0" w:color="auto"/>
            </w:tcBorders>
            <w:shd w:val="clear" w:color="auto" w:fill="auto"/>
            <w:noWrap/>
            <w:vAlign w:val="center"/>
            <w:hideMark/>
          </w:tcPr>
          <w:p w14:paraId="7602BBC4"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r>
      <w:tr w:rsidR="00185499" w:rsidRPr="00185499" w14:paraId="2589EF48"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7192E2C5" w14:textId="77777777" w:rsidR="00185499" w:rsidRPr="00185499" w:rsidRDefault="00185499" w:rsidP="00185499">
            <w:pPr>
              <w:spacing w:after="0" w:line="240" w:lineRule="auto"/>
              <w:rPr>
                <w:rFonts w:cs="Arial"/>
                <w:sz w:val="18"/>
                <w:szCs w:val="18"/>
              </w:rPr>
            </w:pPr>
            <w:r w:rsidRPr="00185499">
              <w:rPr>
                <w:rFonts w:cs="Arial"/>
                <w:sz w:val="18"/>
                <w:szCs w:val="18"/>
              </w:rPr>
              <w:lastRenderedPageBreak/>
              <w:t>Hobart</w:t>
            </w:r>
          </w:p>
        </w:tc>
        <w:tc>
          <w:tcPr>
            <w:tcW w:w="1080" w:type="dxa"/>
            <w:tcBorders>
              <w:top w:val="nil"/>
              <w:left w:val="nil"/>
              <w:bottom w:val="single" w:sz="8" w:space="0" w:color="auto"/>
              <w:right w:val="single" w:sz="8" w:space="0" w:color="auto"/>
            </w:tcBorders>
            <w:shd w:val="clear" w:color="000000" w:fill="F2F2F2"/>
            <w:noWrap/>
            <w:vAlign w:val="center"/>
            <w:hideMark/>
          </w:tcPr>
          <w:p w14:paraId="2B12A3E4" w14:textId="77777777" w:rsidR="00185499" w:rsidRPr="00185499" w:rsidRDefault="00185499" w:rsidP="00F35E68">
            <w:pPr>
              <w:spacing w:after="0" w:line="240" w:lineRule="auto"/>
              <w:jc w:val="right"/>
              <w:rPr>
                <w:rFonts w:cs="Arial"/>
                <w:sz w:val="18"/>
                <w:szCs w:val="18"/>
              </w:rPr>
            </w:pPr>
            <w:r w:rsidRPr="00185499">
              <w:rPr>
                <w:rFonts w:cs="Arial"/>
                <w:sz w:val="18"/>
                <w:szCs w:val="18"/>
              </w:rPr>
              <w:t>$337</w:t>
            </w:r>
          </w:p>
        </w:tc>
        <w:tc>
          <w:tcPr>
            <w:tcW w:w="1080" w:type="dxa"/>
            <w:tcBorders>
              <w:top w:val="nil"/>
              <w:left w:val="nil"/>
              <w:bottom w:val="single" w:sz="8" w:space="0" w:color="auto"/>
              <w:right w:val="single" w:sz="8" w:space="0" w:color="auto"/>
            </w:tcBorders>
            <w:shd w:val="clear" w:color="000000" w:fill="F2F2F2"/>
            <w:noWrap/>
            <w:vAlign w:val="center"/>
            <w:hideMark/>
          </w:tcPr>
          <w:p w14:paraId="05263347"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r>
      <w:tr w:rsidR="00185499" w:rsidRPr="00185499" w14:paraId="020F80CC"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7AD5162" w14:textId="77777777" w:rsidR="00185499" w:rsidRPr="00185499" w:rsidRDefault="00185499" w:rsidP="00185499">
            <w:pPr>
              <w:spacing w:after="0" w:line="240" w:lineRule="auto"/>
              <w:rPr>
                <w:rFonts w:cs="Arial"/>
                <w:sz w:val="18"/>
                <w:szCs w:val="18"/>
              </w:rPr>
            </w:pPr>
            <w:r w:rsidRPr="00185499">
              <w:rPr>
                <w:rFonts w:cs="Arial"/>
                <w:sz w:val="18"/>
                <w:szCs w:val="18"/>
              </w:rPr>
              <w:t>Townsville</w:t>
            </w:r>
          </w:p>
        </w:tc>
        <w:tc>
          <w:tcPr>
            <w:tcW w:w="1080" w:type="dxa"/>
            <w:tcBorders>
              <w:top w:val="nil"/>
              <w:left w:val="nil"/>
              <w:bottom w:val="single" w:sz="8" w:space="0" w:color="auto"/>
              <w:right w:val="single" w:sz="8" w:space="0" w:color="auto"/>
            </w:tcBorders>
            <w:shd w:val="clear" w:color="auto" w:fill="auto"/>
            <w:noWrap/>
            <w:vAlign w:val="center"/>
            <w:hideMark/>
          </w:tcPr>
          <w:p w14:paraId="0F17E73C" w14:textId="77777777" w:rsidR="00185499" w:rsidRPr="00185499" w:rsidRDefault="00185499" w:rsidP="00F35E68">
            <w:pPr>
              <w:spacing w:after="0" w:line="240" w:lineRule="auto"/>
              <w:jc w:val="right"/>
              <w:rPr>
                <w:rFonts w:cs="Arial"/>
                <w:sz w:val="18"/>
                <w:szCs w:val="18"/>
              </w:rPr>
            </w:pPr>
            <w:r w:rsidRPr="00185499">
              <w:rPr>
                <w:rFonts w:cs="Arial"/>
                <w:sz w:val="18"/>
                <w:szCs w:val="18"/>
              </w:rPr>
              <w:t>$282</w:t>
            </w:r>
          </w:p>
        </w:tc>
        <w:tc>
          <w:tcPr>
            <w:tcW w:w="1080" w:type="dxa"/>
            <w:tcBorders>
              <w:top w:val="nil"/>
              <w:left w:val="nil"/>
              <w:bottom w:val="single" w:sz="8" w:space="0" w:color="auto"/>
              <w:right w:val="single" w:sz="8" w:space="0" w:color="auto"/>
            </w:tcBorders>
            <w:shd w:val="clear" w:color="auto" w:fill="auto"/>
            <w:noWrap/>
            <w:vAlign w:val="center"/>
            <w:hideMark/>
          </w:tcPr>
          <w:p w14:paraId="230E98FA"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r>
      <w:tr w:rsidR="00185499" w:rsidRPr="00185499" w14:paraId="1C190260" w14:textId="77777777" w:rsidTr="00185499">
        <w:trPr>
          <w:trHeight w:val="293"/>
        </w:trPr>
        <w:tc>
          <w:tcPr>
            <w:tcW w:w="2540" w:type="dxa"/>
            <w:tcBorders>
              <w:top w:val="nil"/>
              <w:left w:val="single" w:sz="8" w:space="0" w:color="auto"/>
              <w:bottom w:val="single" w:sz="8" w:space="0" w:color="auto"/>
              <w:right w:val="single" w:sz="8" w:space="0" w:color="auto"/>
            </w:tcBorders>
            <w:shd w:val="clear" w:color="000000" w:fill="F2F2F2"/>
            <w:noWrap/>
            <w:vAlign w:val="center"/>
            <w:hideMark/>
          </w:tcPr>
          <w:p w14:paraId="27CCBAA6" w14:textId="77777777" w:rsidR="00185499" w:rsidRPr="00185499" w:rsidRDefault="00185499" w:rsidP="00185499">
            <w:pPr>
              <w:spacing w:after="0" w:line="240" w:lineRule="auto"/>
              <w:rPr>
                <w:rFonts w:cs="Arial"/>
                <w:sz w:val="18"/>
                <w:szCs w:val="18"/>
              </w:rPr>
            </w:pPr>
            <w:r w:rsidRPr="00185499">
              <w:rPr>
                <w:rFonts w:cs="Arial"/>
                <w:sz w:val="18"/>
                <w:szCs w:val="18"/>
              </w:rPr>
              <w:t>Cairns</w:t>
            </w:r>
          </w:p>
        </w:tc>
        <w:tc>
          <w:tcPr>
            <w:tcW w:w="1080" w:type="dxa"/>
            <w:tcBorders>
              <w:top w:val="nil"/>
              <w:left w:val="nil"/>
              <w:bottom w:val="single" w:sz="8" w:space="0" w:color="auto"/>
              <w:right w:val="single" w:sz="8" w:space="0" w:color="auto"/>
            </w:tcBorders>
            <w:shd w:val="clear" w:color="000000" w:fill="F2F2F2"/>
            <w:noWrap/>
            <w:vAlign w:val="center"/>
            <w:hideMark/>
          </w:tcPr>
          <w:p w14:paraId="7421300C" w14:textId="77777777" w:rsidR="00185499" w:rsidRPr="00185499" w:rsidRDefault="00185499" w:rsidP="00F35E68">
            <w:pPr>
              <w:spacing w:after="0" w:line="240" w:lineRule="auto"/>
              <w:jc w:val="right"/>
              <w:rPr>
                <w:rFonts w:cs="Arial"/>
                <w:sz w:val="18"/>
                <w:szCs w:val="18"/>
              </w:rPr>
            </w:pPr>
            <w:r w:rsidRPr="00185499">
              <w:rPr>
                <w:rFonts w:cs="Arial"/>
                <w:sz w:val="18"/>
                <w:szCs w:val="18"/>
              </w:rPr>
              <w:t>$239</w:t>
            </w:r>
          </w:p>
        </w:tc>
        <w:tc>
          <w:tcPr>
            <w:tcW w:w="1080" w:type="dxa"/>
            <w:tcBorders>
              <w:top w:val="nil"/>
              <w:left w:val="nil"/>
              <w:bottom w:val="single" w:sz="8" w:space="0" w:color="auto"/>
              <w:right w:val="single" w:sz="8" w:space="0" w:color="auto"/>
            </w:tcBorders>
            <w:shd w:val="clear" w:color="000000" w:fill="F2F2F2"/>
            <w:noWrap/>
            <w:vAlign w:val="center"/>
            <w:hideMark/>
          </w:tcPr>
          <w:p w14:paraId="383D209D"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r>
      <w:tr w:rsidR="00185499" w:rsidRPr="00185499" w14:paraId="30A8F8F4" w14:textId="77777777" w:rsidTr="00185499">
        <w:trPr>
          <w:trHeight w:val="293"/>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067CE077" w14:textId="77777777" w:rsidR="00185499" w:rsidRPr="00185499" w:rsidRDefault="00185499" w:rsidP="00185499">
            <w:pPr>
              <w:spacing w:after="0" w:line="240" w:lineRule="auto"/>
              <w:rPr>
                <w:rFonts w:cs="Arial"/>
                <w:sz w:val="18"/>
                <w:szCs w:val="18"/>
              </w:rPr>
            </w:pPr>
            <w:r w:rsidRPr="00185499">
              <w:rPr>
                <w:rFonts w:cs="Arial"/>
                <w:sz w:val="18"/>
                <w:szCs w:val="18"/>
              </w:rPr>
              <w:t>Elsewhere</w:t>
            </w:r>
          </w:p>
        </w:tc>
        <w:tc>
          <w:tcPr>
            <w:tcW w:w="1080" w:type="dxa"/>
            <w:tcBorders>
              <w:top w:val="nil"/>
              <w:left w:val="nil"/>
              <w:bottom w:val="single" w:sz="8" w:space="0" w:color="auto"/>
              <w:right w:val="single" w:sz="8" w:space="0" w:color="auto"/>
            </w:tcBorders>
            <w:shd w:val="clear" w:color="auto" w:fill="auto"/>
            <w:noWrap/>
            <w:vAlign w:val="center"/>
            <w:hideMark/>
          </w:tcPr>
          <w:p w14:paraId="7FBBE28F"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c>
          <w:tcPr>
            <w:tcW w:w="1080" w:type="dxa"/>
            <w:tcBorders>
              <w:top w:val="nil"/>
              <w:left w:val="nil"/>
              <w:bottom w:val="single" w:sz="8" w:space="0" w:color="auto"/>
              <w:right w:val="single" w:sz="8" w:space="0" w:color="auto"/>
            </w:tcBorders>
            <w:shd w:val="clear" w:color="auto" w:fill="auto"/>
            <w:noWrap/>
            <w:vAlign w:val="center"/>
            <w:hideMark/>
          </w:tcPr>
          <w:p w14:paraId="65EF8407" w14:textId="77777777" w:rsidR="00185499" w:rsidRPr="00185499" w:rsidRDefault="00185499" w:rsidP="00F35E68">
            <w:pPr>
              <w:spacing w:after="0" w:line="240" w:lineRule="auto"/>
              <w:jc w:val="right"/>
              <w:rPr>
                <w:rFonts w:cs="Arial"/>
                <w:sz w:val="18"/>
                <w:szCs w:val="18"/>
              </w:rPr>
            </w:pPr>
            <w:r w:rsidRPr="00185499">
              <w:rPr>
                <w:rFonts w:cs="Arial"/>
                <w:sz w:val="18"/>
                <w:szCs w:val="18"/>
              </w:rPr>
              <w:t>$41</w:t>
            </w:r>
          </w:p>
        </w:tc>
      </w:tr>
    </w:tbl>
    <w:p w14:paraId="2510920C" w14:textId="77777777" w:rsidR="00C87224" w:rsidRDefault="00C87224" w:rsidP="00F35E68">
      <w:pPr>
        <w:spacing w:after="120"/>
        <w:contextualSpacing/>
        <w:rPr>
          <w:rFonts w:cs="Arial"/>
          <w:bCs/>
        </w:rPr>
      </w:pPr>
    </w:p>
    <w:p w14:paraId="582B4B7C" w14:textId="03062412" w:rsidR="002B58B2" w:rsidRDefault="002B58B2" w:rsidP="00F35E68">
      <w:pPr>
        <w:pStyle w:val="Paragraph"/>
        <w:keepNext/>
        <w:keepLines/>
        <w:spacing w:after="120"/>
        <w:rPr>
          <w:bCs/>
        </w:rPr>
      </w:pPr>
      <w:r>
        <w:rPr>
          <w:bCs/>
        </w:rPr>
        <w:t xml:space="preserve">Submitters were asked the following question </w:t>
      </w:r>
      <w:r w:rsidR="00D13BF6">
        <w:rPr>
          <w:bCs/>
        </w:rPr>
        <w:t>about</w:t>
      </w:r>
      <w:r>
        <w:rPr>
          <w:bCs/>
        </w:rPr>
        <w:t xml:space="preserve"> the proposed reform:</w:t>
      </w:r>
    </w:p>
    <w:p w14:paraId="39BD92EC" w14:textId="77777777" w:rsidR="005B0896" w:rsidRPr="00F35E68" w:rsidRDefault="005B0896" w:rsidP="00F35E68">
      <w:pPr>
        <w:pStyle w:val="Heading3"/>
        <w:keepLines/>
        <w:spacing w:after="0"/>
        <w:ind w:left="851" w:right="867"/>
        <w:rPr>
          <w:sz w:val="18"/>
          <w:szCs w:val="18"/>
        </w:rPr>
      </w:pPr>
      <w:r w:rsidRPr="00F35E68">
        <w:rPr>
          <w:sz w:val="18"/>
          <w:szCs w:val="18"/>
        </w:rPr>
        <w:t>Question 7</w:t>
      </w:r>
    </w:p>
    <w:p w14:paraId="38BA3224" w14:textId="77777777" w:rsidR="005B0896" w:rsidRPr="00F35E68" w:rsidRDefault="005B0896" w:rsidP="00F35E68">
      <w:pPr>
        <w:pStyle w:val="Paragraph"/>
        <w:keepNext/>
        <w:keepLines/>
        <w:ind w:left="851" w:right="867"/>
        <w:rPr>
          <w:sz w:val="18"/>
          <w:szCs w:val="18"/>
        </w:rPr>
      </w:pPr>
      <w:r w:rsidRPr="00F35E68">
        <w:rPr>
          <w:sz w:val="18"/>
          <w:szCs w:val="18"/>
        </w:rPr>
        <w:t xml:space="preserve">Do you have any comments on these tax reform proposals for HPON licences? </w:t>
      </w:r>
    </w:p>
    <w:p w14:paraId="48D0CEE8" w14:textId="188B4570" w:rsidR="001A683F" w:rsidRDefault="00D13BF6" w:rsidP="00A95351">
      <w:pPr>
        <w:pStyle w:val="Paragraph"/>
        <w:rPr>
          <w:bCs/>
        </w:rPr>
      </w:pPr>
      <w:r>
        <w:t xml:space="preserve">We </w:t>
      </w:r>
      <w:r w:rsidR="001A683F" w:rsidRPr="00E53E30">
        <w:t xml:space="preserve">received </w:t>
      </w:r>
      <w:r>
        <w:t>2</w:t>
      </w:r>
      <w:r w:rsidRPr="00E53E30">
        <w:t xml:space="preserve"> </w:t>
      </w:r>
      <w:r w:rsidR="001A683F" w:rsidRPr="00E53E30">
        <w:t xml:space="preserve">submissions that commented on </w:t>
      </w:r>
      <w:r>
        <w:t>this question</w:t>
      </w:r>
      <w:r w:rsidR="001A683F" w:rsidRPr="00E53E30">
        <w:t>, both of which were supportive</w:t>
      </w:r>
      <w:r w:rsidR="00427CF5">
        <w:rPr>
          <w:bCs/>
        </w:rPr>
        <w:t xml:space="preserve"> of reduced tax rates for HPON licences </w:t>
      </w:r>
      <w:r w:rsidR="001F4132">
        <w:rPr>
          <w:bCs/>
        </w:rPr>
        <w:t xml:space="preserve">to bring them closer in line with </w:t>
      </w:r>
      <w:r w:rsidR="001F4132" w:rsidRPr="00CD324A">
        <w:rPr>
          <w:bCs/>
        </w:rPr>
        <w:t>commercial broadcasting taxes.</w:t>
      </w:r>
    </w:p>
    <w:p w14:paraId="2B9B800F" w14:textId="77777777" w:rsidR="00356AB0" w:rsidRPr="00CD324A" w:rsidRDefault="00356AB0" w:rsidP="00356AB0">
      <w:pPr>
        <w:pStyle w:val="Heading4"/>
        <w:spacing w:after="60"/>
        <w:rPr>
          <w:i w:val="0"/>
          <w:iCs/>
        </w:rPr>
      </w:pPr>
      <w:r w:rsidRPr="00CD324A">
        <w:rPr>
          <w:i w:val="0"/>
          <w:iCs/>
        </w:rPr>
        <w:t>Response to submitters</w:t>
      </w:r>
    </w:p>
    <w:p w14:paraId="5B194D26" w14:textId="3B76A949" w:rsidR="001F4132" w:rsidRPr="00CD324A" w:rsidRDefault="00D13BF6" w:rsidP="001F4132">
      <w:pPr>
        <w:pStyle w:val="Paragraph"/>
      </w:pPr>
      <w:r>
        <w:t xml:space="preserve">As </w:t>
      </w:r>
      <w:r w:rsidR="001F4132" w:rsidRPr="00CD324A">
        <w:t xml:space="preserve">there was consensus support </w:t>
      </w:r>
      <w:r w:rsidR="00CD324A" w:rsidRPr="00CD324A">
        <w:t>from submitters</w:t>
      </w:r>
      <w:r>
        <w:t>, we</w:t>
      </w:r>
      <w:r w:rsidR="001F4132" w:rsidRPr="00CD324A">
        <w:t xml:space="preserve"> </w:t>
      </w:r>
      <w:r w:rsidR="00767170">
        <w:t xml:space="preserve">have implemented </w:t>
      </w:r>
      <w:r w:rsidR="001F4132" w:rsidRPr="00CD324A">
        <w:t>these reforms as proposed.</w:t>
      </w:r>
    </w:p>
    <w:p w14:paraId="3ABBC3E7" w14:textId="3AD46549" w:rsidR="00AD2337" w:rsidRDefault="00450B2F" w:rsidP="00AD2337">
      <w:pPr>
        <w:pStyle w:val="Heading2"/>
      </w:pPr>
      <w:bookmarkStart w:id="19" w:name="_Toc108088304"/>
      <w:r>
        <w:t>Proposal to adjust tranche one reforms</w:t>
      </w:r>
      <w:bookmarkEnd w:id="19"/>
    </w:p>
    <w:p w14:paraId="09CD8543" w14:textId="25A6FB20" w:rsidR="00BB6FEC" w:rsidRDefault="001123B1" w:rsidP="00493298">
      <w:pPr>
        <w:pStyle w:val="Paragraphbeforelist"/>
      </w:pPr>
      <w:r>
        <w:t xml:space="preserve">The first tranche of reforms, with minor amendments </w:t>
      </w:r>
      <w:r w:rsidR="00886F59">
        <w:t>from their initial proposals, came into effect in July 2021. These reforms included:</w:t>
      </w:r>
    </w:p>
    <w:p w14:paraId="2C7E1C28" w14:textId="0A3C5A8A" w:rsidR="00BB6FEC" w:rsidRPr="000660E4" w:rsidRDefault="00D13BF6" w:rsidP="00BB6FEC">
      <w:pPr>
        <w:pStyle w:val="ListBullet"/>
      </w:pPr>
      <w:r>
        <w:t>a</w:t>
      </w:r>
      <w:r w:rsidR="00BB6FEC" w:rsidRPr="000660E4">
        <w:t xml:space="preserve"> reduction in taxes </w:t>
      </w:r>
      <w:r w:rsidR="00BB6FEC">
        <w:t xml:space="preserve">based on the tax formula </w:t>
      </w:r>
      <w:r w:rsidR="00BB6FEC" w:rsidRPr="000660E4">
        <w:t>for services above 5 GHz</w:t>
      </w:r>
      <w:r w:rsidR="00BB6FEC">
        <w:t xml:space="preserve">, ranging from </w:t>
      </w:r>
      <w:r w:rsidR="00DB7B28">
        <w:t>50</w:t>
      </w:r>
      <w:r w:rsidR="00BB6FEC">
        <w:t>% to 90% and depending on the frequency range and the service</w:t>
      </w:r>
    </w:p>
    <w:p w14:paraId="7D0AE293" w14:textId="05F3630F" w:rsidR="00BB6FEC" w:rsidRPr="000660E4" w:rsidRDefault="00FA150E" w:rsidP="00BB6FEC">
      <w:pPr>
        <w:pStyle w:val="ListBullet"/>
      </w:pPr>
      <w:r>
        <w:t>the i</w:t>
      </w:r>
      <w:r w:rsidR="00BB6FEC" w:rsidRPr="000660E4">
        <w:t>ntroduc</w:t>
      </w:r>
      <w:r w:rsidR="00886F59">
        <w:t xml:space="preserve">tion of </w:t>
      </w:r>
      <w:r w:rsidR="00BB6FEC" w:rsidRPr="000660E4">
        <w:t>a ‘systems price’ for earth stations with multiple antennas</w:t>
      </w:r>
      <w:r w:rsidR="00BB6FEC">
        <w:t>,</w:t>
      </w:r>
      <w:r w:rsidR="00BB6FEC" w:rsidRPr="000660E4">
        <w:t xml:space="preserve"> with prices commensurate with the spectrum denial of those systems</w:t>
      </w:r>
    </w:p>
    <w:p w14:paraId="25A31C83" w14:textId="652BEAF9" w:rsidR="00BB6FEC" w:rsidRDefault="00FA150E" w:rsidP="00BB6FEC">
      <w:pPr>
        <w:pStyle w:val="ListBulletLast"/>
      </w:pPr>
      <w:r>
        <w:t>the i</w:t>
      </w:r>
      <w:r w:rsidR="00BB6FEC">
        <w:t>ntroduction of an additional price discount to encourage more use of the land-mobile ‘micro’ service model</w:t>
      </w:r>
      <w:r w:rsidR="00886F59">
        <w:t>.</w:t>
      </w:r>
    </w:p>
    <w:p w14:paraId="33B5EBB8" w14:textId="73E2EDF9" w:rsidR="0087643C" w:rsidRDefault="00A643E0" w:rsidP="00A95351">
      <w:pPr>
        <w:pStyle w:val="Paragraph"/>
      </w:pPr>
      <w:r>
        <w:t>Following stakeholder feedback w</w:t>
      </w:r>
      <w:r w:rsidR="00FA150E">
        <w:t xml:space="preserve">e </w:t>
      </w:r>
      <w:r>
        <w:t xml:space="preserve">subsequently </w:t>
      </w:r>
      <w:r w:rsidR="007055AC">
        <w:t xml:space="preserve">proposed some revised definitions </w:t>
      </w:r>
      <w:r w:rsidR="00046BAB">
        <w:t xml:space="preserve">for both the earth stations proposal and the land-mobile proposal. </w:t>
      </w:r>
      <w:r w:rsidR="002B706B">
        <w:t xml:space="preserve">For the earth stations proposal, </w:t>
      </w:r>
      <w:r w:rsidR="00FA150E">
        <w:t>we</w:t>
      </w:r>
      <w:r w:rsidR="00C90CC4">
        <w:t xml:space="preserve"> proposed to remove a clause that required</w:t>
      </w:r>
      <w:r w:rsidR="00AE6F5F">
        <w:t xml:space="preserve"> co-located</w:t>
      </w:r>
      <w:r w:rsidR="00C90CC4">
        <w:t xml:space="preserve"> earth stations to have the same centre frequency in order to be eligible for the discount.</w:t>
      </w:r>
      <w:r w:rsidR="002B706B">
        <w:t xml:space="preserve"> </w:t>
      </w:r>
      <w:r w:rsidR="00FA150E">
        <w:t xml:space="preserve">We </w:t>
      </w:r>
      <w:r w:rsidR="00AE6F5F">
        <w:t xml:space="preserve">expect this change to accommodate a greater range of earth station system configurations. </w:t>
      </w:r>
      <w:r w:rsidR="001B4252">
        <w:t xml:space="preserve">For the land-mobile proposal, </w:t>
      </w:r>
      <w:r w:rsidR="00FA150E">
        <w:t>we</w:t>
      </w:r>
      <w:r w:rsidR="001B4252">
        <w:t xml:space="preserve"> </w:t>
      </w:r>
      <w:r w:rsidR="00F05EE2">
        <w:t xml:space="preserve">proposed some revised definitions </w:t>
      </w:r>
      <w:r w:rsidR="001B4252">
        <w:t>to provide greater clarity around eligible spectrum accesses.</w:t>
      </w:r>
      <w:r w:rsidR="002B706B">
        <w:t xml:space="preserve"> </w:t>
      </w:r>
    </w:p>
    <w:p w14:paraId="3B5FDC30" w14:textId="62554712" w:rsidR="0087643C" w:rsidRDefault="0087643C" w:rsidP="000A46B8">
      <w:pPr>
        <w:pStyle w:val="Paragraph"/>
        <w:spacing w:after="120"/>
        <w:rPr>
          <w:bCs/>
        </w:rPr>
      </w:pPr>
      <w:r>
        <w:rPr>
          <w:bCs/>
        </w:rPr>
        <w:t>Submitters were asked the following question</w:t>
      </w:r>
      <w:r w:rsidR="00FA150E">
        <w:rPr>
          <w:bCs/>
        </w:rPr>
        <w:t xml:space="preserve"> about</w:t>
      </w:r>
      <w:r>
        <w:rPr>
          <w:bCs/>
        </w:rPr>
        <w:t xml:space="preserve"> the first tranche of reforms:</w:t>
      </w:r>
    </w:p>
    <w:p w14:paraId="7496D4E3" w14:textId="77777777" w:rsidR="008B0DA8" w:rsidRPr="000A46B8" w:rsidRDefault="008B0DA8" w:rsidP="000A46B8">
      <w:pPr>
        <w:pStyle w:val="Heading3"/>
        <w:spacing w:after="0"/>
        <w:ind w:left="851" w:right="867"/>
        <w:rPr>
          <w:sz w:val="18"/>
          <w:szCs w:val="18"/>
        </w:rPr>
      </w:pPr>
      <w:r w:rsidRPr="000A46B8">
        <w:rPr>
          <w:sz w:val="18"/>
          <w:szCs w:val="18"/>
        </w:rPr>
        <w:t>Question 8</w:t>
      </w:r>
    </w:p>
    <w:p w14:paraId="5972055E" w14:textId="77777777" w:rsidR="008B0DA8" w:rsidRDefault="008B0DA8" w:rsidP="000A46B8">
      <w:pPr>
        <w:pStyle w:val="Paragraph"/>
        <w:ind w:left="851" w:right="867"/>
      </w:pPr>
      <w:r w:rsidRPr="000A46B8">
        <w:rPr>
          <w:sz w:val="18"/>
          <w:szCs w:val="18"/>
        </w:rPr>
        <w:t>Do you have any comments on these proposed adjustments to the tranche one reforms?</w:t>
      </w:r>
      <w:r>
        <w:t xml:space="preserve"> </w:t>
      </w:r>
    </w:p>
    <w:p w14:paraId="26A01D9D" w14:textId="7C946D1B" w:rsidR="00D6480F" w:rsidRDefault="00FA150E" w:rsidP="00A95351">
      <w:pPr>
        <w:pStyle w:val="Paragraph"/>
      </w:pPr>
      <w:r>
        <w:t xml:space="preserve">We </w:t>
      </w:r>
      <w:r w:rsidR="006C7688" w:rsidRPr="00760447">
        <w:t xml:space="preserve">received several submissions commenting on adjustments to the first tranche of Spectrum Pricing Review reforms that have been implemented. </w:t>
      </w:r>
    </w:p>
    <w:p w14:paraId="48A15D7D" w14:textId="1DD65AF7" w:rsidR="00F611AD" w:rsidRPr="00760447" w:rsidRDefault="009906A9" w:rsidP="00A95351">
      <w:pPr>
        <w:pStyle w:val="Paragraph"/>
      </w:pPr>
      <w:r w:rsidRPr="00760447">
        <w:t xml:space="preserve">Several submissions reiterated support for the introduction of </w:t>
      </w:r>
      <w:r w:rsidR="00144CC8" w:rsidRPr="00760447">
        <w:t xml:space="preserve">a ‘systems price’ for earth stations but </w:t>
      </w:r>
      <w:r w:rsidR="00D25AC0" w:rsidRPr="00760447">
        <w:t>requested additional changes to definitions and eligibility.</w:t>
      </w:r>
      <w:r w:rsidR="00BE1F29">
        <w:t xml:space="preserve"> One submission questioned whether the pricing rule was consistent with licensing practice and the Spectra licence management system.</w:t>
      </w:r>
      <w:r w:rsidR="00625C8F" w:rsidRPr="00760447">
        <w:t xml:space="preserve"> Two submissions </w:t>
      </w:r>
      <w:r w:rsidR="008066B8" w:rsidRPr="00760447">
        <w:t xml:space="preserve">commented </w:t>
      </w:r>
      <w:r w:rsidR="00EC4AC3">
        <w:t xml:space="preserve">that, in addition to the ‘micro’ power discount, </w:t>
      </w:r>
      <w:r w:rsidR="00BA1FC1">
        <w:t>the minimum tax should apply to HPON services with an output power of 10 Watts or less</w:t>
      </w:r>
      <w:r w:rsidR="00062055">
        <w:t xml:space="preserve"> regardless of location. </w:t>
      </w:r>
      <w:r w:rsidR="003C6776">
        <w:t xml:space="preserve">One submission </w:t>
      </w:r>
      <w:r w:rsidR="00FB1392">
        <w:t>requested that the definition of the ‘micro’ power discount be revisited.</w:t>
      </w:r>
      <w:r w:rsidR="003C6776">
        <w:t xml:space="preserve"> </w:t>
      </w:r>
    </w:p>
    <w:p w14:paraId="0431C979" w14:textId="77777777" w:rsidR="00356AB0" w:rsidRPr="00984AEB" w:rsidRDefault="00356AB0" w:rsidP="00356AB0">
      <w:pPr>
        <w:pStyle w:val="Heading4"/>
        <w:spacing w:after="60"/>
        <w:rPr>
          <w:i w:val="0"/>
          <w:iCs/>
        </w:rPr>
      </w:pPr>
      <w:r w:rsidRPr="00984AEB">
        <w:rPr>
          <w:i w:val="0"/>
          <w:iCs/>
        </w:rPr>
        <w:lastRenderedPageBreak/>
        <w:t>Response to submitters</w:t>
      </w:r>
    </w:p>
    <w:p w14:paraId="3F34DF3F" w14:textId="700E9F4F" w:rsidR="005909D3" w:rsidRDefault="00FA150E" w:rsidP="000C77CD">
      <w:pPr>
        <w:pStyle w:val="Paragraph"/>
      </w:pPr>
      <w:r>
        <w:t xml:space="preserve">We </w:t>
      </w:r>
      <w:r w:rsidR="000C77CD" w:rsidRPr="00CD324A">
        <w:t>note that there w</w:t>
      </w:r>
      <w:r w:rsidR="000C77CD">
        <w:t xml:space="preserve">ere no </w:t>
      </w:r>
      <w:r w:rsidR="006A09DB">
        <w:t xml:space="preserve">issues raised with the intent of the first tranche of reforms implemented. </w:t>
      </w:r>
      <w:r>
        <w:t>We</w:t>
      </w:r>
      <w:r w:rsidR="008B5804" w:rsidRPr="008B5804">
        <w:t xml:space="preserve"> agree that the current pricing rule for the earth station system discount is not currently consistent with licensing practice and the Spectra licence management system and </w:t>
      </w:r>
      <w:r>
        <w:t>have</w:t>
      </w:r>
      <w:r w:rsidRPr="008B5804">
        <w:t xml:space="preserve"> </w:t>
      </w:r>
      <w:r w:rsidR="008B5804" w:rsidRPr="008B5804">
        <w:t>amended the rule to conf</w:t>
      </w:r>
      <w:r>
        <w:t>o</w:t>
      </w:r>
      <w:r w:rsidR="008B5804" w:rsidRPr="008B5804">
        <w:t xml:space="preserve">rm to our licence management system and licensing practice. </w:t>
      </w:r>
      <w:r w:rsidR="006A09DB">
        <w:t xml:space="preserve">In response to the argument for a minimum tax to some HPON services, </w:t>
      </w:r>
      <w:r>
        <w:t>we do</w:t>
      </w:r>
      <w:r w:rsidR="006A09DB">
        <w:t xml:space="preserve"> not </w:t>
      </w:r>
      <w:r w:rsidR="0701CFA8">
        <w:t>believe</w:t>
      </w:r>
      <w:r w:rsidR="006A09DB">
        <w:t xml:space="preserve"> </w:t>
      </w:r>
      <w:r w:rsidR="006000BE">
        <w:t xml:space="preserve">that such a proposal is congruent with the new tax table for HPON services </w:t>
      </w:r>
      <w:r w:rsidR="00CC0D42">
        <w:t xml:space="preserve">introduced as a part of the second tranche of reforms. </w:t>
      </w:r>
    </w:p>
    <w:p w14:paraId="35F8B2CA" w14:textId="07DD4704" w:rsidR="006A09DB" w:rsidRDefault="00CC0D42" w:rsidP="000C77CD">
      <w:pPr>
        <w:pStyle w:val="Paragraph"/>
      </w:pPr>
      <w:r>
        <w:t xml:space="preserve">In response to the request to revisit the definition of the ‘micro’ power discount, </w:t>
      </w:r>
      <w:r w:rsidR="00FA150E">
        <w:t xml:space="preserve">we </w:t>
      </w:r>
      <w:r>
        <w:t xml:space="preserve">believe that the </w:t>
      </w:r>
      <w:r w:rsidR="00226164">
        <w:t xml:space="preserve">definition is fit-for-purpose and that the submission </w:t>
      </w:r>
      <w:r w:rsidR="005909D3">
        <w:t xml:space="preserve">had slightly misinterpreted </w:t>
      </w:r>
      <w:r w:rsidR="00191F66">
        <w:t xml:space="preserve">how the micro power factor </w:t>
      </w:r>
      <w:r w:rsidR="00984AEB">
        <w:t>is applied</w:t>
      </w:r>
      <w:r w:rsidR="00191F66">
        <w:t xml:space="preserve">. To reiterate, the micro power factor is </w:t>
      </w:r>
      <w:r w:rsidR="003C1C30">
        <w:t>only eligible for enclosed and short-range land mobile services that permit the operation of one or more devices.</w:t>
      </w:r>
    </w:p>
    <w:p w14:paraId="295CE686" w14:textId="6DBF386E" w:rsidR="00AD2337" w:rsidRDefault="00450B2F" w:rsidP="00C8771E">
      <w:pPr>
        <w:pStyle w:val="Heading2"/>
      </w:pPr>
      <w:bookmarkStart w:id="20" w:name="_Toc108088305"/>
      <w:r>
        <w:t>Other pricing issues</w:t>
      </w:r>
      <w:bookmarkEnd w:id="20"/>
    </w:p>
    <w:p w14:paraId="63D74910" w14:textId="0F0BA932" w:rsidR="00860D64" w:rsidRDefault="00860D64" w:rsidP="00606343">
      <w:pPr>
        <w:pStyle w:val="Paragraphbeforelist"/>
        <w:rPr>
          <w:bCs/>
        </w:rPr>
      </w:pPr>
      <w:r>
        <w:t xml:space="preserve">There were several issues that were initially identified in the Spectrum Pricing Review work program that the ACMA later considered to be more appropriated addressed in other ACMA processes outlined </w:t>
      </w:r>
      <w:r w:rsidR="001715C2">
        <w:rPr>
          <w:bCs/>
        </w:rPr>
        <w:t>in the FYSO. These included:</w:t>
      </w:r>
    </w:p>
    <w:p w14:paraId="5CC22A0F" w14:textId="5294B0F5" w:rsidR="002578CE" w:rsidRPr="00A4589E" w:rsidRDefault="00403515" w:rsidP="002578CE">
      <w:pPr>
        <w:pStyle w:val="Bulletlevel1"/>
      </w:pPr>
      <w:r>
        <w:t>a</w:t>
      </w:r>
      <w:r w:rsidR="002578CE">
        <w:t xml:space="preserve"> review of pricing arrangements for scientific licences that can be aligned with the ACMA’s consideration of scientific licensing arrangements.</w:t>
      </w:r>
    </w:p>
    <w:p w14:paraId="1FD46A93" w14:textId="2D5589B0" w:rsidR="002578CE" w:rsidRDefault="00403515" w:rsidP="00A95351">
      <w:pPr>
        <w:pStyle w:val="Bulletlevel1last"/>
      </w:pPr>
      <w:r>
        <w:t>d</w:t>
      </w:r>
      <w:r w:rsidR="002578CE">
        <w:t xml:space="preserve">ifferences in pricing arrangements for mobile satellite services, television outside broadcasting services, and point-to-multipoint services in the 2 GHz band </w:t>
      </w:r>
      <w:r w:rsidR="00314EAE">
        <w:t xml:space="preserve">that </w:t>
      </w:r>
      <w:r w:rsidR="002578CE">
        <w:t>can be considered as a part of th</w:t>
      </w:r>
      <w:r w:rsidR="009B1B0C">
        <w:t>at</w:t>
      </w:r>
      <w:r w:rsidR="002578CE">
        <w:t xml:space="preserve"> replanning process.</w:t>
      </w:r>
    </w:p>
    <w:p w14:paraId="6CB3466B" w14:textId="5738EAD6" w:rsidR="00301BF4" w:rsidRDefault="00403515" w:rsidP="00A95351">
      <w:pPr>
        <w:pStyle w:val="Paragraph"/>
        <w:rPr>
          <w:bCs/>
        </w:rPr>
      </w:pPr>
      <w:r>
        <w:rPr>
          <w:bCs/>
        </w:rPr>
        <w:t xml:space="preserve">We </w:t>
      </w:r>
      <w:r w:rsidR="00B87BA9">
        <w:rPr>
          <w:bCs/>
        </w:rPr>
        <w:t xml:space="preserve">also noted </w:t>
      </w:r>
      <w:r>
        <w:rPr>
          <w:bCs/>
        </w:rPr>
        <w:t xml:space="preserve">our </w:t>
      </w:r>
      <w:r w:rsidR="00B87BA9">
        <w:rPr>
          <w:bCs/>
        </w:rPr>
        <w:t xml:space="preserve">consideration of </w:t>
      </w:r>
      <w:r w:rsidR="00B05EF6">
        <w:rPr>
          <w:bCs/>
        </w:rPr>
        <w:t>ways to promote varying levels of interference protection through pricing. The assigned licence tax formula cur</w:t>
      </w:r>
      <w:r w:rsidR="00B21CA2">
        <w:rPr>
          <w:bCs/>
        </w:rPr>
        <w:t xml:space="preserve">rently accommodates this idea to some </w:t>
      </w:r>
      <w:r w:rsidR="008B357D">
        <w:rPr>
          <w:bCs/>
        </w:rPr>
        <w:t>degree;</w:t>
      </w:r>
      <w:r w:rsidR="00B21CA2">
        <w:rPr>
          <w:bCs/>
        </w:rPr>
        <w:t xml:space="preserve"> however, </w:t>
      </w:r>
      <w:r>
        <w:rPr>
          <w:bCs/>
        </w:rPr>
        <w:t>we</w:t>
      </w:r>
      <w:r w:rsidR="00B21CA2">
        <w:rPr>
          <w:bCs/>
        </w:rPr>
        <w:t xml:space="preserve"> </w:t>
      </w:r>
      <w:r w:rsidR="00F61BC1">
        <w:rPr>
          <w:bCs/>
        </w:rPr>
        <w:t>are interested</w:t>
      </w:r>
      <w:r w:rsidR="00B21CA2">
        <w:rPr>
          <w:bCs/>
        </w:rPr>
        <w:t xml:space="preserve"> in exploring this idea at a more granular level and for more services.</w:t>
      </w:r>
    </w:p>
    <w:p w14:paraId="53EE9511" w14:textId="6A15B3EE" w:rsidR="00301BF4" w:rsidRDefault="00301BF4" w:rsidP="00606343">
      <w:pPr>
        <w:pStyle w:val="Paragraph"/>
        <w:spacing w:after="120"/>
        <w:rPr>
          <w:bCs/>
        </w:rPr>
      </w:pPr>
      <w:r>
        <w:rPr>
          <w:bCs/>
        </w:rPr>
        <w:t>Submitters were asked the following question</w:t>
      </w:r>
      <w:r w:rsidR="00403515">
        <w:rPr>
          <w:bCs/>
        </w:rPr>
        <w:t>s</w:t>
      </w:r>
      <w:r>
        <w:rPr>
          <w:bCs/>
        </w:rPr>
        <w:t xml:space="preserve"> </w:t>
      </w:r>
      <w:r w:rsidR="00403515">
        <w:rPr>
          <w:bCs/>
        </w:rPr>
        <w:t xml:space="preserve">about </w:t>
      </w:r>
      <w:r>
        <w:rPr>
          <w:bCs/>
        </w:rPr>
        <w:t>other pricing issues:</w:t>
      </w:r>
    </w:p>
    <w:p w14:paraId="4BD579E8" w14:textId="77777777" w:rsidR="00EC3436" w:rsidRPr="00606343" w:rsidRDefault="00EC3436" w:rsidP="00606343">
      <w:pPr>
        <w:pStyle w:val="Heading3"/>
        <w:spacing w:after="0"/>
        <w:ind w:left="851" w:right="867"/>
        <w:rPr>
          <w:sz w:val="18"/>
          <w:szCs w:val="18"/>
        </w:rPr>
      </w:pPr>
      <w:r w:rsidRPr="00606343">
        <w:rPr>
          <w:sz w:val="18"/>
          <w:szCs w:val="18"/>
        </w:rPr>
        <w:t>Question 9</w:t>
      </w:r>
    </w:p>
    <w:p w14:paraId="57B29EA8" w14:textId="77777777" w:rsidR="00EC3436" w:rsidRPr="00606343" w:rsidRDefault="00EC3436" w:rsidP="00606343">
      <w:pPr>
        <w:pStyle w:val="Paragraph"/>
        <w:spacing w:after="120"/>
        <w:ind w:left="851" w:right="867"/>
        <w:rPr>
          <w:sz w:val="18"/>
          <w:szCs w:val="18"/>
        </w:rPr>
      </w:pPr>
      <w:r w:rsidRPr="00606343">
        <w:rPr>
          <w:sz w:val="18"/>
          <w:szCs w:val="18"/>
        </w:rPr>
        <w:t>Do you have suggestions for any additional pricing measures the ACMA could consider to encourage spectrally efficient technology deployments?</w:t>
      </w:r>
    </w:p>
    <w:p w14:paraId="7A7D8A04" w14:textId="77777777" w:rsidR="00EC3436" w:rsidRPr="00606343" w:rsidRDefault="00EC3436" w:rsidP="00606343">
      <w:pPr>
        <w:pStyle w:val="Heading3"/>
        <w:spacing w:after="0"/>
        <w:ind w:left="851" w:right="867"/>
        <w:rPr>
          <w:sz w:val="18"/>
          <w:szCs w:val="18"/>
        </w:rPr>
      </w:pPr>
      <w:r w:rsidRPr="00606343">
        <w:rPr>
          <w:sz w:val="18"/>
          <w:szCs w:val="18"/>
        </w:rPr>
        <w:t>Question 10</w:t>
      </w:r>
    </w:p>
    <w:p w14:paraId="3D24A660" w14:textId="77777777" w:rsidR="00EC3436" w:rsidRPr="00606343" w:rsidRDefault="00EC3436" w:rsidP="00606343">
      <w:pPr>
        <w:pStyle w:val="Paragraph"/>
        <w:ind w:left="851" w:right="867"/>
        <w:rPr>
          <w:sz w:val="18"/>
          <w:szCs w:val="18"/>
        </w:rPr>
      </w:pPr>
      <w:r w:rsidRPr="00606343">
        <w:rPr>
          <w:sz w:val="18"/>
          <w:szCs w:val="18"/>
        </w:rPr>
        <w:t xml:space="preserve">Are there any other comments that you would like to give relating to the proposals in this paper or other aspects of the apparatus licence tax regime? </w:t>
      </w:r>
    </w:p>
    <w:p w14:paraId="17B19A6D" w14:textId="5DA4AF90" w:rsidR="001C0C26" w:rsidRDefault="00F61BC1" w:rsidP="00A95351">
      <w:pPr>
        <w:pStyle w:val="Paragraph"/>
      </w:pPr>
      <w:r>
        <w:t>We</w:t>
      </w:r>
      <w:r w:rsidR="00C5170A" w:rsidRPr="00366F48">
        <w:t xml:space="preserve"> received several submissions commenting on other aspects of spectrum management and pricing</w:t>
      </w:r>
      <w:r w:rsidR="00E35FF7" w:rsidRPr="00366F48">
        <w:rPr>
          <w:bCs/>
        </w:rPr>
        <w:t xml:space="preserve">, not all of which </w:t>
      </w:r>
      <w:r w:rsidR="003C6FAE" w:rsidRPr="00366F48">
        <w:rPr>
          <w:bCs/>
        </w:rPr>
        <w:t xml:space="preserve">were directly related to pricing or the apparatus licence tax regime. </w:t>
      </w:r>
    </w:p>
    <w:p w14:paraId="6612772C" w14:textId="02845376" w:rsidR="001C0C26" w:rsidRDefault="001C0C26" w:rsidP="00A95351">
      <w:pPr>
        <w:pStyle w:val="Paragraph"/>
        <w:rPr>
          <w:bCs/>
        </w:rPr>
      </w:pPr>
      <w:r>
        <w:t xml:space="preserve">One </w:t>
      </w:r>
      <w:r w:rsidR="003B5478">
        <w:t xml:space="preserve">submission raised the issue of </w:t>
      </w:r>
      <w:r w:rsidR="00F61BC1">
        <w:t>f</w:t>
      </w:r>
      <w:r w:rsidR="003B5478">
        <w:t xml:space="preserve">ixed point-to-point 900 MHz </w:t>
      </w:r>
      <w:r w:rsidR="00F61BC1">
        <w:t>s</w:t>
      </w:r>
      <w:r w:rsidR="003B5478">
        <w:t xml:space="preserve">tudio-to-transmitter link licences, </w:t>
      </w:r>
      <w:r w:rsidR="001944C9">
        <w:t>noting that the current pricing is disproportionate to the pricing of the actual licence under which the service operates</w:t>
      </w:r>
      <w:r w:rsidR="00067218">
        <w:t xml:space="preserve">. Another </w:t>
      </w:r>
      <w:r w:rsidR="00767D07">
        <w:t>argued that licence tax changes are not the most effective way of encouraging the uptake of more spectrally</w:t>
      </w:r>
      <w:r w:rsidR="00F61BC1">
        <w:t>-</w:t>
      </w:r>
      <w:r w:rsidR="00767D07">
        <w:t xml:space="preserve">efficient technologies. </w:t>
      </w:r>
      <w:r w:rsidR="00BF1B58">
        <w:t xml:space="preserve">One submission </w:t>
      </w:r>
      <w:r w:rsidR="00353B76">
        <w:t xml:space="preserve">encouraged the ACMA to investigate area-wide licensing for </w:t>
      </w:r>
      <w:r w:rsidR="00F61BC1">
        <w:t>f</w:t>
      </w:r>
      <w:r w:rsidR="00355856">
        <w:t xml:space="preserve">ixed </w:t>
      </w:r>
      <w:r w:rsidR="00F61BC1">
        <w:t>s</w:t>
      </w:r>
      <w:r w:rsidR="00355856">
        <w:t xml:space="preserve">atellite </w:t>
      </w:r>
      <w:r w:rsidR="00F61BC1">
        <w:t>s</w:t>
      </w:r>
      <w:r w:rsidR="00355856">
        <w:t>ervice</w:t>
      </w:r>
      <w:r w:rsidR="00353B76">
        <w:t xml:space="preserve"> gateways in the 18 GHz band and MSS fee</w:t>
      </w:r>
      <w:r w:rsidR="005A0A8A">
        <w:rPr>
          <w:bCs/>
        </w:rPr>
        <w:t xml:space="preserve">ders in </w:t>
      </w:r>
      <w:r w:rsidR="00F61BC1">
        <w:rPr>
          <w:bCs/>
        </w:rPr>
        <w:t>7 </w:t>
      </w:r>
      <w:r w:rsidR="005A0A8A">
        <w:rPr>
          <w:bCs/>
        </w:rPr>
        <w:t xml:space="preserve">GHz. Another reiterated </w:t>
      </w:r>
      <w:r w:rsidR="00CB3396">
        <w:rPr>
          <w:bCs/>
        </w:rPr>
        <w:t>their position that spectrum pricing should have no role other than to ensure the efficient allocation and use of spectrum, and to recover the cost of spectrum management.</w:t>
      </w:r>
      <w:r w:rsidR="00403C36">
        <w:rPr>
          <w:bCs/>
        </w:rPr>
        <w:t xml:space="preserve"> A submission also </w:t>
      </w:r>
      <w:r w:rsidR="003C4C33">
        <w:rPr>
          <w:bCs/>
        </w:rPr>
        <w:t xml:space="preserve">suggested </w:t>
      </w:r>
      <w:r w:rsidR="00F61BC1">
        <w:rPr>
          <w:bCs/>
        </w:rPr>
        <w:t xml:space="preserve">that </w:t>
      </w:r>
      <w:r w:rsidR="003C4C33">
        <w:rPr>
          <w:bCs/>
        </w:rPr>
        <w:t xml:space="preserve">spectrum pricing </w:t>
      </w:r>
      <w:r w:rsidR="003C4C33">
        <w:rPr>
          <w:bCs/>
        </w:rPr>
        <w:lastRenderedPageBreak/>
        <w:t>considerations for private LTE/5G services should not be gauged in direct comparison with the spectrum prices paid at auction by public carriers.</w:t>
      </w:r>
    </w:p>
    <w:p w14:paraId="0853B696" w14:textId="77777777" w:rsidR="00356AB0" w:rsidRPr="00F80CBC" w:rsidRDefault="00356AB0" w:rsidP="00356AB0">
      <w:pPr>
        <w:pStyle w:val="Heading4"/>
        <w:spacing w:after="60"/>
        <w:rPr>
          <w:i w:val="0"/>
          <w:iCs/>
          <w:color w:val="FF0000"/>
        </w:rPr>
      </w:pPr>
      <w:r w:rsidRPr="00193CFD">
        <w:rPr>
          <w:i w:val="0"/>
          <w:iCs/>
        </w:rPr>
        <w:t>Response to submitters</w:t>
      </w:r>
    </w:p>
    <w:p w14:paraId="78640370" w14:textId="136F4FA7" w:rsidR="001375E2" w:rsidRDefault="00F61BC1" w:rsidP="001375E2">
      <w:r>
        <w:t xml:space="preserve">We </w:t>
      </w:r>
      <w:r w:rsidR="00821A81">
        <w:t xml:space="preserve">acknowledge the </w:t>
      </w:r>
      <w:r w:rsidR="00473F7A">
        <w:t xml:space="preserve">general comments relating to licence taxes, efficient allocation and use of spectrum, and </w:t>
      </w:r>
      <w:r w:rsidR="007D7C4A">
        <w:t>cost recovery of spectrum management.</w:t>
      </w:r>
      <w:r>
        <w:t xml:space="preserve"> For</w:t>
      </w:r>
      <w:r w:rsidR="000A0078">
        <w:t xml:space="preserve"> the comment </w:t>
      </w:r>
      <w:r w:rsidR="00EC5A46">
        <w:t xml:space="preserve">on </w:t>
      </w:r>
      <w:r>
        <w:t>f</w:t>
      </w:r>
      <w:r w:rsidR="00EC5A46">
        <w:t xml:space="preserve">ixed point-to-point 900 MHz </w:t>
      </w:r>
      <w:r>
        <w:t>s</w:t>
      </w:r>
      <w:r w:rsidR="00EC5A46">
        <w:t>tudio-to-transmitter link licences, th</w:t>
      </w:r>
      <w:r w:rsidR="00C719F2">
        <w:t>e underlying technology and spectrum use differ substantially from narrowcast licences</w:t>
      </w:r>
      <w:r>
        <w:t>, so we</w:t>
      </w:r>
      <w:r w:rsidR="00C719F2">
        <w:t xml:space="preserve"> </w:t>
      </w:r>
      <w:r>
        <w:t>do</w:t>
      </w:r>
      <w:r w:rsidR="00C719F2">
        <w:t xml:space="preserve"> not </w:t>
      </w:r>
      <w:r w:rsidR="0004480F">
        <w:t xml:space="preserve">deem it necessary to benchmark these licence fees against each other. </w:t>
      </w:r>
      <w:r w:rsidR="007D7C4A">
        <w:t>Unfortunately, the other issues raised</w:t>
      </w:r>
      <w:r w:rsidR="007910EA">
        <w:t xml:space="preserve"> are beyond the scope of the implementation of the Spectrum Pricing Review. However, </w:t>
      </w:r>
      <w:r w:rsidR="00014EAE">
        <w:t xml:space="preserve">they are </w:t>
      </w:r>
      <w:r w:rsidR="009F18AB">
        <w:t xml:space="preserve">useful </w:t>
      </w:r>
      <w:r w:rsidR="00014EAE">
        <w:t xml:space="preserve">in helping to inform </w:t>
      </w:r>
      <w:r>
        <w:t xml:space="preserve">our </w:t>
      </w:r>
      <w:r w:rsidR="00014EAE">
        <w:t>broader agenda for reform and future considerations.</w:t>
      </w:r>
      <w:r w:rsidR="007D7C4A">
        <w:t xml:space="preserve"> </w:t>
      </w:r>
      <w:r w:rsidR="00CB40AB">
        <w:t>For example, a</w:t>
      </w:r>
      <w:r w:rsidR="001375E2">
        <w:t xml:space="preserve">s noted in the </w:t>
      </w:r>
      <w:r w:rsidR="00C858EF">
        <w:t>FYSO</w:t>
      </w:r>
      <w:r>
        <w:t>,</w:t>
      </w:r>
      <w:r w:rsidR="00C858EF">
        <w:t xml:space="preserve"> </w:t>
      </w:r>
      <w:r>
        <w:t>we</w:t>
      </w:r>
      <w:r w:rsidR="00530D97">
        <w:t xml:space="preserve"> </w:t>
      </w:r>
      <w:r w:rsidR="001375E2">
        <w:t xml:space="preserve">will </w:t>
      </w:r>
      <w:r w:rsidR="00DF636A">
        <w:t>consider</w:t>
      </w:r>
      <w:r w:rsidR="001375E2">
        <w:t xml:space="preserve"> the pricing implications for the band and licensing reviews. </w:t>
      </w:r>
    </w:p>
    <w:p w14:paraId="0A0C8F24" w14:textId="2FE4E6A2" w:rsidR="0093065A" w:rsidRPr="00F80CBC" w:rsidRDefault="0093065A" w:rsidP="0093065A">
      <w:pPr>
        <w:pStyle w:val="Paragraph"/>
        <w:rPr>
          <w:color w:val="FF0000"/>
        </w:rPr>
      </w:pPr>
    </w:p>
    <w:p w14:paraId="472D0EED" w14:textId="71E67679" w:rsidR="00A70851" w:rsidRDefault="004A4409" w:rsidP="00A70851">
      <w:pPr>
        <w:pStyle w:val="Heading1"/>
      </w:pPr>
      <w:bookmarkStart w:id="21" w:name="_Toc108088306"/>
      <w:bookmarkEnd w:id="1"/>
      <w:bookmarkEnd w:id="2"/>
      <w:bookmarkEnd w:id="3"/>
      <w:bookmarkEnd w:id="4"/>
      <w:bookmarkEnd w:id="5"/>
      <w:bookmarkEnd w:id="6"/>
      <w:bookmarkEnd w:id="7"/>
      <w:bookmarkEnd w:id="8"/>
      <w:bookmarkEnd w:id="9"/>
      <w:bookmarkEnd w:id="10"/>
      <w:bookmarkEnd w:id="11"/>
      <w:r>
        <w:lastRenderedPageBreak/>
        <w:t>Further reforms</w:t>
      </w:r>
      <w:bookmarkEnd w:id="21"/>
    </w:p>
    <w:p w14:paraId="677A7B2D" w14:textId="41CD39A8" w:rsidR="00DE38C6" w:rsidRDefault="00F61BC1" w:rsidP="00AF748A">
      <w:pPr>
        <w:pStyle w:val="Paragraph"/>
      </w:pPr>
      <w:r>
        <w:t xml:space="preserve">We </w:t>
      </w:r>
      <w:r w:rsidR="0071423D" w:rsidRPr="005A2E46">
        <w:t xml:space="preserve">would like to thank all the submitters who have </w:t>
      </w:r>
      <w:r w:rsidR="00FD29C0" w:rsidRPr="005A2E46">
        <w:t>taken the time and effort to engage with the implementation of the Spectrum Pricing Review process.</w:t>
      </w:r>
      <w:r w:rsidR="005A2E46">
        <w:t xml:space="preserve"> The submissions received have played a pivotal role in informing the </w:t>
      </w:r>
      <w:r w:rsidR="00A15C39">
        <w:t>policy proposals put forward and eventual outcomes of the review.</w:t>
      </w:r>
    </w:p>
    <w:p w14:paraId="35A26A87" w14:textId="25011052" w:rsidR="0031385D" w:rsidRDefault="00842053" w:rsidP="00AF748A">
      <w:pPr>
        <w:pStyle w:val="Paragraph"/>
      </w:pPr>
      <w:r>
        <w:t xml:space="preserve">We would like to explicitly note that, </w:t>
      </w:r>
      <w:r w:rsidR="00F61BC1">
        <w:t>al</w:t>
      </w:r>
      <w:r>
        <w:t xml:space="preserve">though the publication of this outcomes paper marks the formal end of the Spectrum Pricing Review process, </w:t>
      </w:r>
      <w:r w:rsidR="00F61BC1">
        <w:t>our</w:t>
      </w:r>
      <w:r>
        <w:t xml:space="preserve"> </w:t>
      </w:r>
      <w:r w:rsidR="00F61BC1">
        <w:t xml:space="preserve">pricing </w:t>
      </w:r>
      <w:r w:rsidR="0031385D">
        <w:t>reform agenda is ongoing. As such,</w:t>
      </w:r>
      <w:r w:rsidR="008313E3">
        <w:t xml:space="preserve"> we always welcome comments on </w:t>
      </w:r>
      <w:r w:rsidR="00F61BC1">
        <w:t xml:space="preserve">pricing </w:t>
      </w:r>
      <w:r w:rsidR="00835842">
        <w:t xml:space="preserve">issues </w:t>
      </w:r>
      <w:r w:rsidR="008313E3">
        <w:t>for consideration</w:t>
      </w:r>
      <w:r w:rsidR="571098C2">
        <w:t>, and we will continue to engage with stakeholders to seek views on proposed changes as appropriate</w:t>
      </w:r>
      <w:r w:rsidR="008313E3">
        <w:t>.</w:t>
      </w:r>
    </w:p>
    <w:p w14:paraId="2EDBD28E" w14:textId="77777777" w:rsidR="006A795A" w:rsidRDefault="006A795A" w:rsidP="006A795A">
      <w:pPr>
        <w:pStyle w:val="Heading2"/>
      </w:pPr>
      <w:bookmarkStart w:id="22" w:name="_Toc105601804"/>
      <w:bookmarkStart w:id="23" w:name="_Toc108088307"/>
      <w:r>
        <w:t>Apparatus licence fee calculator</w:t>
      </w:r>
      <w:bookmarkEnd w:id="22"/>
      <w:bookmarkEnd w:id="23"/>
    </w:p>
    <w:p w14:paraId="42294B0E" w14:textId="45E17E0A" w:rsidR="006A795A" w:rsidRDefault="00F61BC1" w:rsidP="006A795A">
      <w:pPr>
        <w:pStyle w:val="Paragraph"/>
      </w:pPr>
      <w:r>
        <w:t xml:space="preserve">We </w:t>
      </w:r>
      <w:r w:rsidR="006A795A">
        <w:t xml:space="preserve">proposed to develop a new </w:t>
      </w:r>
      <w:r>
        <w:t>a</w:t>
      </w:r>
      <w:r w:rsidR="006A795A">
        <w:t xml:space="preserve">pparatus licence fee calculator in March 2020 in </w:t>
      </w:r>
      <w:r>
        <w:t xml:space="preserve">our </w:t>
      </w:r>
      <w:r w:rsidR="006A795A">
        <w:t xml:space="preserve">initial consultation paper to assist existing and prospective licensees </w:t>
      </w:r>
      <w:r>
        <w:t xml:space="preserve">to </w:t>
      </w:r>
      <w:r w:rsidR="006A795A">
        <w:t xml:space="preserve">calculate the taxes and charges due on apparatus licences. All submissions received to the proposal were supportive of the initiative and agreed that it would assist in both calculating taxes and charges due on apparatus licences and providing transparency </w:t>
      </w:r>
      <w:r>
        <w:t xml:space="preserve">in </w:t>
      </w:r>
      <w:r w:rsidR="006A795A">
        <w:t xml:space="preserve">how these fees are calculated. </w:t>
      </w:r>
    </w:p>
    <w:p w14:paraId="0D29ADB1" w14:textId="16926A33" w:rsidR="006A795A" w:rsidRDefault="00F61BC1" w:rsidP="004D427E">
      <w:pPr>
        <w:pStyle w:val="Paragraph"/>
      </w:pPr>
      <w:r>
        <w:t>While we</w:t>
      </w:r>
      <w:r w:rsidR="006A795A">
        <w:t xml:space="preserve"> initially developed an Excel-based calculator</w:t>
      </w:r>
      <w:r>
        <w:t>,</w:t>
      </w:r>
      <w:r w:rsidR="006A795A">
        <w:t xml:space="preserve"> feedback from internal and external stakeholders</w:t>
      </w:r>
      <w:r>
        <w:t xml:space="preserve"> resulted in </w:t>
      </w:r>
      <w:r w:rsidR="006A795A">
        <w:t xml:space="preserve">the development of a web-based calculator. </w:t>
      </w:r>
      <w:r w:rsidR="006C5830">
        <w:t>This calendar</w:t>
      </w:r>
      <w:r w:rsidR="006A795A">
        <w:t xml:space="preserve"> launched in May 2022 and is available on the </w:t>
      </w:r>
      <w:hyperlink r:id="rId38" w:history="1">
        <w:r w:rsidR="006A795A" w:rsidRPr="006C5830">
          <w:rPr>
            <w:rStyle w:val="Hyperlink"/>
          </w:rPr>
          <w:t>ACMA website</w:t>
        </w:r>
      </w:hyperlink>
      <w:r w:rsidR="006A795A">
        <w:t>.</w:t>
      </w:r>
    </w:p>
    <w:p w14:paraId="12F92523" w14:textId="77777777" w:rsidR="006A795A" w:rsidRPr="00046DA5" w:rsidRDefault="006A795A" w:rsidP="006A795A">
      <w:pPr>
        <w:pStyle w:val="Heading3"/>
        <w:keepLines/>
      </w:pPr>
      <w:r>
        <w:t>Using the calculator</w:t>
      </w:r>
    </w:p>
    <w:p w14:paraId="7B126E47" w14:textId="35E42A15" w:rsidR="006A795A" w:rsidRDefault="006A795A" w:rsidP="006A795A">
      <w:pPr>
        <w:pStyle w:val="Paragraph"/>
      </w:pPr>
      <w:r>
        <w:t xml:space="preserve">The calculator has been developed to help users estimate the annual cost of apparatus licence fees. The calculator should be used in conjunction with the </w:t>
      </w:r>
      <w:r w:rsidR="006C5830">
        <w:t>a</w:t>
      </w:r>
      <w:r>
        <w:t>pparatus licence fee schedule</w:t>
      </w:r>
      <w:r w:rsidR="006C5830">
        <w:t xml:space="preserve">, which </w:t>
      </w:r>
      <w:r>
        <w:t>contains information about how fees are set, examples of how fees are calculated, and additional help in determining which licence is most appropriate for each setting.</w:t>
      </w:r>
    </w:p>
    <w:p w14:paraId="0D1D8D56" w14:textId="5D8E5735" w:rsidR="006A795A" w:rsidRDefault="006A795A" w:rsidP="006A795A">
      <w:pPr>
        <w:pStyle w:val="Paragraph"/>
      </w:pPr>
      <w:r>
        <w:t xml:space="preserve">Users will first be asked to select the licence type and sub-type that they wish to estimate the taxes and charges for. Depending on the licence type and sub-type chosen, the calculator will work out which division the licence belongs to. This determines the cost structure that applies to each licence and further information such as frequency, geographic area, bandwidth, and power factor </w:t>
      </w:r>
      <w:r w:rsidR="006C5830">
        <w:t xml:space="preserve">that </w:t>
      </w:r>
      <w:r>
        <w:t>may be required.</w:t>
      </w:r>
    </w:p>
    <w:p w14:paraId="2C5E599A" w14:textId="12B9DB34" w:rsidR="006A795A" w:rsidRPr="005A2E46" w:rsidRDefault="006A795A" w:rsidP="00AF748A">
      <w:pPr>
        <w:pStyle w:val="Paragraph"/>
      </w:pPr>
      <w:r>
        <w:t>Once all applicable factors have been entered into the calculator</w:t>
      </w:r>
      <w:r w:rsidR="006C5830">
        <w:t>,</w:t>
      </w:r>
      <w:r>
        <w:t xml:space="preserve"> it will display the annual tax, issue charge, renewal charge, and instalment charge </w:t>
      </w:r>
      <w:r w:rsidR="006C5830">
        <w:t>for</w:t>
      </w:r>
      <w:r>
        <w:t xml:space="preserve"> the selected licence. If applicable, further information on the interim factors used in the calculation will also be displayed</w:t>
      </w:r>
      <w:r w:rsidR="006C5830">
        <w:t>,</w:t>
      </w:r>
      <w:r>
        <w:t xml:space="preserve"> such as the location weighting, normalisation factor, and the adjustment factor. These are displayed to help provide transparency around how fees are calculated.</w:t>
      </w:r>
    </w:p>
    <w:p w14:paraId="26A2749D" w14:textId="370B2009" w:rsidR="00A70851" w:rsidRPr="007436B5" w:rsidRDefault="00C73F45" w:rsidP="00A70851">
      <w:pPr>
        <w:pStyle w:val="Heading2"/>
        <w:rPr>
          <w:color w:val="FF0000"/>
        </w:rPr>
      </w:pPr>
      <w:bookmarkStart w:id="24" w:name="_Toc108088308"/>
      <w:bookmarkStart w:id="25" w:name="_Toc348105638"/>
      <w:bookmarkStart w:id="26" w:name="_Toc300909557"/>
      <w:bookmarkStart w:id="27" w:name="_Toc298924674"/>
      <w:bookmarkStart w:id="28" w:name="_Toc274296357"/>
      <w:r w:rsidRPr="00E82691">
        <w:t>Pricing for varying levels of interference protection</w:t>
      </w:r>
      <w:bookmarkEnd w:id="24"/>
    </w:p>
    <w:bookmarkEnd w:id="25"/>
    <w:bookmarkEnd w:id="26"/>
    <w:bookmarkEnd w:id="27"/>
    <w:bookmarkEnd w:id="28"/>
    <w:p w14:paraId="64FCF2F6" w14:textId="52F2E96B" w:rsidR="00B770C9" w:rsidRDefault="002110C9" w:rsidP="00C73F45">
      <w:pPr>
        <w:pStyle w:val="Paragraph"/>
      </w:pPr>
      <w:r>
        <w:t xml:space="preserve">As part of </w:t>
      </w:r>
      <w:r w:rsidR="006C5830">
        <w:t>our</w:t>
      </w:r>
      <w:r>
        <w:t xml:space="preserve"> general spectrum management practices, we have been </w:t>
      </w:r>
      <w:r w:rsidR="006C5830">
        <w:t xml:space="preserve">considering </w:t>
      </w:r>
      <w:r>
        <w:t xml:space="preserve">ways to promote varying levels of interference protection through pricing. The </w:t>
      </w:r>
      <w:r w:rsidRPr="00F342C3">
        <w:t>assigned licence tax formula</w:t>
      </w:r>
      <w:r w:rsidRPr="00F342C3" w:rsidDel="00F342C3">
        <w:t xml:space="preserve"> </w:t>
      </w:r>
      <w:r>
        <w:t xml:space="preserve">accommodates this idea to some degree. For example, the ‘low-power’ and ‘micro-power’ discounts relate to specific service models that involve specific notional service areas beyond which licensees acknowledge that the ACMA will generally not protect the service against interference. </w:t>
      </w:r>
    </w:p>
    <w:p w14:paraId="31A8ADDD" w14:textId="10E2814C" w:rsidR="00B770C9" w:rsidRDefault="006C5830" w:rsidP="00C73F45">
      <w:pPr>
        <w:pStyle w:val="Paragraph"/>
      </w:pPr>
      <w:r>
        <w:lastRenderedPageBreak/>
        <w:t>We are</w:t>
      </w:r>
      <w:r w:rsidR="002110C9">
        <w:t xml:space="preserve"> interested in exploring this idea at a more granular level and for more services</w:t>
      </w:r>
      <w:r>
        <w:t xml:space="preserve">, and will </w:t>
      </w:r>
      <w:r w:rsidR="00B167B5">
        <w:t xml:space="preserve">publish a consultation paper in </w:t>
      </w:r>
      <w:r w:rsidR="00A60A2F">
        <w:t>Q4 2022</w:t>
      </w:r>
      <w:r w:rsidR="00B167B5">
        <w:t xml:space="preserve"> wi</w:t>
      </w:r>
      <w:r w:rsidR="00E82691">
        <w:t>th some broad ideas</w:t>
      </w:r>
      <w:r w:rsidR="006D717C">
        <w:t>.</w:t>
      </w:r>
    </w:p>
    <w:p w14:paraId="6F8C02DA" w14:textId="63D05FD8" w:rsidR="00C73F45" w:rsidRPr="00C9536F" w:rsidRDefault="00445499" w:rsidP="00C73F45">
      <w:pPr>
        <w:pStyle w:val="Heading2"/>
        <w:keepLines/>
      </w:pPr>
      <w:bookmarkStart w:id="29" w:name="_Toc108088309"/>
      <w:r>
        <w:t>Implementation and n</w:t>
      </w:r>
      <w:r w:rsidR="00C73F45" w:rsidRPr="00C9536F">
        <w:t>ext steps</w:t>
      </w:r>
      <w:bookmarkEnd w:id="29"/>
    </w:p>
    <w:p w14:paraId="16278E21" w14:textId="1C72051D" w:rsidR="00C73F45" w:rsidRPr="00C9536F" w:rsidRDefault="006C5830" w:rsidP="00277818">
      <w:pPr>
        <w:pStyle w:val="Paragraphbeforelist"/>
      </w:pPr>
      <w:r>
        <w:t xml:space="preserve">We </w:t>
      </w:r>
      <w:r w:rsidR="0008650E">
        <w:t xml:space="preserve">have </w:t>
      </w:r>
      <w:r w:rsidR="006D717C" w:rsidRPr="00C9536F">
        <w:t>implement</w:t>
      </w:r>
      <w:r w:rsidR="0008650E">
        <w:t>ed</w:t>
      </w:r>
      <w:r w:rsidR="006D717C" w:rsidRPr="00C9536F">
        <w:t xml:space="preserve"> the following changes from the second tranche of reforms</w:t>
      </w:r>
      <w:r>
        <w:t>:</w:t>
      </w:r>
    </w:p>
    <w:p w14:paraId="44524EC3" w14:textId="1C2A9F38" w:rsidR="00B00C30" w:rsidRDefault="00B00C30" w:rsidP="00A95351">
      <w:pPr>
        <w:pStyle w:val="Bulletlevel1"/>
      </w:pPr>
      <w:r>
        <w:t>Simplif</w:t>
      </w:r>
      <w:r w:rsidR="006C5830">
        <w:t>ying</w:t>
      </w:r>
      <w:r>
        <w:t xml:space="preserve"> the location weighting tables by consolidating the &gt;30–403 MHz frequency range into a single band.</w:t>
      </w:r>
    </w:p>
    <w:p w14:paraId="24A472F2" w14:textId="2A2AE0AA" w:rsidR="00B00C30" w:rsidRDefault="00B00C30" w:rsidP="00A95351">
      <w:pPr>
        <w:pStyle w:val="Bulletlevel1"/>
      </w:pPr>
      <w:r>
        <w:t>Add</w:t>
      </w:r>
      <w:r w:rsidR="006C5830">
        <w:t xml:space="preserve">ing </w:t>
      </w:r>
      <w:r>
        <w:t xml:space="preserve">a new spectrum location band &gt;100 GHz where licences will generally incur the minimum tax (currently $41.37), reflecting the lower potential for interference at these higher frequencies, and facilitating the use of services expected to require very large bandwidths. </w:t>
      </w:r>
    </w:p>
    <w:p w14:paraId="326C22C7" w14:textId="584E0184" w:rsidR="00B00C30" w:rsidRPr="001F09ED" w:rsidRDefault="00B00C30" w:rsidP="00B00C30">
      <w:pPr>
        <w:pStyle w:val="Bulletlevel1last"/>
      </w:pPr>
      <w:r>
        <w:t>Reduc</w:t>
      </w:r>
      <w:r w:rsidR="006C5830">
        <w:t>ing</w:t>
      </w:r>
      <w:r>
        <w:t xml:space="preserve"> tax rates for transmitter licences used to provide HPO</w:t>
      </w:r>
      <w:r w:rsidRPr="001F09ED">
        <w:t>N services.</w:t>
      </w:r>
    </w:p>
    <w:p w14:paraId="7F02C521" w14:textId="6D45B24A" w:rsidR="005510EC" w:rsidRDefault="005510EC" w:rsidP="00277818">
      <w:pPr>
        <w:pStyle w:val="Paragraphbeforelist"/>
      </w:pPr>
      <w:r w:rsidRPr="00277818">
        <w:t>The changes are made in the amendment determinations and explanatory statements below:</w:t>
      </w:r>
    </w:p>
    <w:p w14:paraId="28517255" w14:textId="59CF6E12" w:rsidR="005510EC" w:rsidRPr="00F746D3" w:rsidRDefault="00F746D3" w:rsidP="00277818">
      <w:pPr>
        <w:pStyle w:val="Bulletlevel1last"/>
        <w:spacing w:after="80"/>
        <w:rPr>
          <w:rStyle w:val="Hyperlink"/>
        </w:rPr>
      </w:pPr>
      <w:r>
        <w:fldChar w:fldCharType="begin"/>
      </w:r>
      <w:r>
        <w:instrText xml:space="preserve"> HYPERLINK "https://www.legislation.gov.au/Details/F2022L00934" </w:instrText>
      </w:r>
      <w:r>
        <w:fldChar w:fldCharType="separate"/>
      </w:r>
      <w:r w:rsidR="005510EC" w:rsidRPr="00277818">
        <w:rPr>
          <w:rStyle w:val="Hyperlink"/>
        </w:rPr>
        <w:t>Radiocommunications (Transmitter Licence Tax) Amendment Determination 2022 (No. 2)</w:t>
      </w:r>
    </w:p>
    <w:p w14:paraId="579BFDB8" w14:textId="092AD8A4" w:rsidR="005510EC" w:rsidRPr="00471AF3" w:rsidRDefault="00F746D3" w:rsidP="00277818">
      <w:pPr>
        <w:pStyle w:val="Bulletlevel1last"/>
        <w:spacing w:after="80"/>
        <w:rPr>
          <w:rStyle w:val="Hyperlink"/>
        </w:rPr>
      </w:pPr>
      <w:r>
        <w:fldChar w:fldCharType="end"/>
      </w:r>
      <w:r w:rsidR="00471AF3">
        <w:fldChar w:fldCharType="begin"/>
      </w:r>
      <w:r w:rsidR="00471AF3">
        <w:instrText xml:space="preserve"> HYPERLINK "https://www.legislation.gov.au/Details/F2022L00934/Explanatory%20Statement/Text" </w:instrText>
      </w:r>
      <w:r w:rsidR="00471AF3">
        <w:fldChar w:fldCharType="separate"/>
      </w:r>
      <w:r w:rsidR="005510EC" w:rsidRPr="00277818">
        <w:rPr>
          <w:rStyle w:val="Hyperlink"/>
        </w:rPr>
        <w:t>Explanatory statement to the Radiocommunications (Transmitter Licence Tax) Amendment Determination 2022 (No. 2)</w:t>
      </w:r>
    </w:p>
    <w:p w14:paraId="166169B1" w14:textId="16D35080" w:rsidR="005510EC" w:rsidRPr="006117ED" w:rsidRDefault="00471AF3" w:rsidP="00277818">
      <w:pPr>
        <w:pStyle w:val="Bulletlevel1last"/>
        <w:spacing w:after="80"/>
        <w:rPr>
          <w:rStyle w:val="Hyperlink"/>
        </w:rPr>
      </w:pPr>
      <w:r>
        <w:fldChar w:fldCharType="end"/>
      </w:r>
      <w:r w:rsidR="006117ED">
        <w:fldChar w:fldCharType="begin"/>
      </w:r>
      <w:r w:rsidR="006117ED">
        <w:instrText xml:space="preserve"> HYPERLINK "https://www.legislation.gov.au/Details/F2022L00935" </w:instrText>
      </w:r>
      <w:r w:rsidR="006117ED">
        <w:fldChar w:fldCharType="separate"/>
      </w:r>
      <w:r w:rsidR="005510EC" w:rsidRPr="00277818">
        <w:rPr>
          <w:rStyle w:val="Hyperlink"/>
        </w:rPr>
        <w:t>Radiocommunications (Receiver Licence Tax) Amendment Determination 2022 (No. 2)</w:t>
      </w:r>
    </w:p>
    <w:p w14:paraId="322069B8" w14:textId="1CDAB7A3" w:rsidR="005510EC" w:rsidRPr="00761986" w:rsidRDefault="006117ED" w:rsidP="00277818">
      <w:pPr>
        <w:pStyle w:val="Bulletlevel1last"/>
        <w:rPr>
          <w:rStyle w:val="Hyperlink"/>
        </w:rPr>
      </w:pPr>
      <w:r>
        <w:fldChar w:fldCharType="end"/>
      </w:r>
      <w:r w:rsidR="00761986">
        <w:fldChar w:fldCharType="begin"/>
      </w:r>
      <w:r w:rsidR="00761986">
        <w:instrText xml:space="preserve"> HYPERLINK "https://www.legislation.gov.au/Details/F2022L00935/Explanatory%20Statement/Text" </w:instrText>
      </w:r>
      <w:r w:rsidR="00761986">
        <w:fldChar w:fldCharType="separate"/>
      </w:r>
      <w:r w:rsidR="005510EC" w:rsidRPr="00277818">
        <w:rPr>
          <w:rStyle w:val="Hyperlink"/>
        </w:rPr>
        <w:t>Explanatory statement to the Radiocommunications (Receiver Licence Tax) Amendment Determination 2022 (No. 2</w:t>
      </w:r>
      <w:r w:rsidR="005510EC" w:rsidRPr="00277818">
        <w:rPr>
          <w:rStyle w:val="Hyperlink"/>
          <w:color w:val="auto"/>
          <w:u w:val="none"/>
        </w:rPr>
        <w:t>)</w:t>
      </w:r>
      <w:r w:rsidR="00277818" w:rsidRPr="00277818">
        <w:rPr>
          <w:rStyle w:val="Hyperlink"/>
          <w:color w:val="auto"/>
          <w:u w:val="none"/>
        </w:rPr>
        <w:t>.</w:t>
      </w:r>
    </w:p>
    <w:p w14:paraId="07222782" w14:textId="0DC3B2FF" w:rsidR="00B00C30" w:rsidRDefault="00761986" w:rsidP="00C73F45">
      <w:pPr>
        <w:pStyle w:val="Paragraph"/>
      </w:pPr>
      <w:r>
        <w:fldChar w:fldCharType="end"/>
      </w:r>
      <w:r w:rsidR="00C9536F" w:rsidRPr="001F09ED">
        <w:t xml:space="preserve">The expansion of the Perth and Adelaide medium-density areas will be implemented in </w:t>
      </w:r>
      <w:r w:rsidR="001F09ED" w:rsidRPr="001F09ED">
        <w:t>mid-2025</w:t>
      </w:r>
      <w:r w:rsidR="006C5830">
        <w:t>. We</w:t>
      </w:r>
      <w:r w:rsidR="001F09ED" w:rsidRPr="001F09ED">
        <w:t xml:space="preserve"> will </w:t>
      </w:r>
      <w:r w:rsidR="007C1906">
        <w:t>inform</w:t>
      </w:r>
      <w:r w:rsidR="007C1906" w:rsidRPr="001F09ED">
        <w:t xml:space="preserve"> </w:t>
      </w:r>
      <w:r w:rsidR="001F09ED" w:rsidRPr="001F09ED">
        <w:t>stakeholders again closer to when the changes are due to come into effect.</w:t>
      </w:r>
    </w:p>
    <w:p w14:paraId="29450487" w14:textId="6EC67AD6" w:rsidR="009767B6" w:rsidRDefault="00D50C7C" w:rsidP="008863D7">
      <w:pPr>
        <w:pStyle w:val="Paragraph"/>
      </w:pPr>
      <w:r>
        <w:t xml:space="preserve">We also </w:t>
      </w:r>
      <w:r w:rsidR="00817412">
        <w:t xml:space="preserve">intend to consult further on </w:t>
      </w:r>
      <w:r>
        <w:t>stopping</w:t>
      </w:r>
      <w:r w:rsidR="002F4CD3">
        <w:t xml:space="preserve"> annual updates to taxes in line with changes to CPI</w:t>
      </w:r>
      <w:r w:rsidR="00817412">
        <w:t xml:space="preserve"> and instead updating taxes based on changes in geography-specific population. </w:t>
      </w:r>
      <w:r>
        <w:t xml:space="preserve">We will </w:t>
      </w:r>
      <w:r w:rsidR="005B1C73">
        <w:t xml:space="preserve">publish a consultation paper in the near-term providing further details </w:t>
      </w:r>
      <w:r>
        <w:t>about</w:t>
      </w:r>
      <w:r w:rsidR="008863D7">
        <w:t xml:space="preserve"> the proposal and inviting comments from stakeholders.</w:t>
      </w:r>
    </w:p>
    <w:p w14:paraId="4A347B62" w14:textId="77777777" w:rsidR="002110C9" w:rsidRPr="007436B5" w:rsidRDefault="002110C9" w:rsidP="00C73F45">
      <w:pPr>
        <w:pStyle w:val="Paragraph"/>
        <w:rPr>
          <w:color w:val="FF0000"/>
        </w:rPr>
      </w:pPr>
    </w:p>
    <w:sectPr w:rsidR="002110C9" w:rsidRPr="007436B5" w:rsidSect="00FB67EA">
      <w:headerReference w:type="even" r:id="rId39"/>
      <w:headerReference w:type="default" r:id="rId40"/>
      <w:footerReference w:type="even" r:id="rId41"/>
      <w:footerReference w:type="default" r:id="rId42"/>
      <w:type w:val="oddPage"/>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5B0A" w14:textId="77777777" w:rsidR="00FD66DE" w:rsidRDefault="00FD66DE">
      <w:r>
        <w:separator/>
      </w:r>
    </w:p>
  </w:endnote>
  <w:endnote w:type="continuationSeparator" w:id="0">
    <w:p w14:paraId="6B3DFABD" w14:textId="77777777" w:rsidR="00FD66DE" w:rsidRDefault="00FD66DE">
      <w:r>
        <w:continuationSeparator/>
      </w:r>
    </w:p>
  </w:endnote>
  <w:endnote w:type="continuationNotice" w:id="1">
    <w:p w14:paraId="1339AAD5" w14:textId="77777777" w:rsidR="00FD66DE" w:rsidRDefault="00FD6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0C1E" w14:textId="77777777" w:rsidR="00E935FE" w:rsidRDefault="00E935FE" w:rsidP="005E250B">
    <w:pPr>
      <w:pStyle w:val="Footer"/>
      <w:jc w:val="right"/>
    </w:pPr>
    <w:r>
      <w:rPr>
        <w:noProof/>
      </w:rPr>
      <w:drawing>
        <wp:inline distT="0" distB="0" distL="0" distR="0" wp14:anchorId="3BFF70C6" wp14:editId="4568D50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6A14" w14:textId="77777777" w:rsidR="00E935FE" w:rsidRDefault="00E93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56C" w14:textId="77777777" w:rsidR="00E935FE" w:rsidRDefault="00E93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64B6" w14:textId="77777777" w:rsidR="00E935FE" w:rsidRPr="00622A3B" w:rsidRDefault="00E935F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FBF830D" w14:textId="77777777" w:rsidR="00E935FE" w:rsidRPr="00A5474E" w:rsidRDefault="00E935FE"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217" w14:textId="77777777" w:rsidR="00E935FE" w:rsidRPr="00622A3B" w:rsidRDefault="00E935F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46E86F4" w14:textId="77777777" w:rsidR="00E935FE" w:rsidRPr="00A5474E" w:rsidRDefault="00E935FE"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77B9" w14:textId="77777777" w:rsidR="00E935FE" w:rsidRPr="00622A3B" w:rsidRDefault="00E935FE"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214E605" w14:textId="77777777" w:rsidR="00E935FE" w:rsidRPr="00A5474E" w:rsidRDefault="00E935FE"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331E" w14:textId="77777777" w:rsidR="00E935FE" w:rsidRPr="00622A3B" w:rsidRDefault="00E935F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A4DF2D9" w14:textId="77777777" w:rsidR="00E935FE" w:rsidRPr="00A5474E" w:rsidRDefault="00E935FE"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3BE" w14:textId="77777777" w:rsidR="00FB67EA" w:rsidRPr="00622A3B" w:rsidRDefault="00FB67EA" w:rsidP="00FB67EA">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6AD5F9C7" w14:textId="77777777" w:rsidR="00E935FE" w:rsidRPr="00A5474E" w:rsidRDefault="00E935FE"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E25C" w14:textId="77777777" w:rsidR="00FD66DE" w:rsidRDefault="00FD66DE">
      <w:r>
        <w:separator/>
      </w:r>
    </w:p>
  </w:footnote>
  <w:footnote w:type="continuationSeparator" w:id="0">
    <w:p w14:paraId="50106D1A" w14:textId="77777777" w:rsidR="00FD66DE" w:rsidRDefault="00FD66DE">
      <w:r>
        <w:continuationSeparator/>
      </w:r>
    </w:p>
  </w:footnote>
  <w:footnote w:type="continuationNotice" w:id="1">
    <w:p w14:paraId="3E8F270D" w14:textId="77777777" w:rsidR="00FD66DE" w:rsidRDefault="00FD6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3F2B" w14:textId="77777777" w:rsidR="00E935FE" w:rsidRPr="00A5474E" w:rsidRDefault="00E935FE" w:rsidP="00A5474E">
    <w:pPr>
      <w:pStyle w:val="Header"/>
    </w:pPr>
    <w:r>
      <w:rPr>
        <w:noProof/>
      </w:rPr>
      <w:drawing>
        <wp:inline distT="0" distB="0" distL="0" distR="0" wp14:anchorId="1A55B713" wp14:editId="25209491">
          <wp:extent cx="6210298"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10298"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D627" w14:textId="77777777" w:rsidR="00E935FE" w:rsidRPr="00A5474E" w:rsidRDefault="00E935FE"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F9F8" w14:textId="77777777" w:rsidR="00E935FE" w:rsidRDefault="00E93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7BAE" w14:textId="77777777" w:rsidR="00E935FE" w:rsidRDefault="00E93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E935FE" w14:paraId="05C110A2" w14:textId="77777777" w:rsidTr="00C962B7">
      <w:trPr>
        <w:trHeight w:hRule="exact" w:val="988"/>
      </w:trPr>
      <w:tc>
        <w:tcPr>
          <w:tcW w:w="7678" w:type="dxa"/>
          <w:shd w:val="clear" w:color="auto" w:fill="auto"/>
        </w:tcPr>
        <w:p w14:paraId="74F568C4" w14:textId="77777777" w:rsidR="00E935FE" w:rsidRDefault="00E935FE" w:rsidP="00971914">
          <w:pPr>
            <w:pStyle w:val="Header"/>
          </w:pPr>
        </w:p>
      </w:tc>
    </w:tr>
    <w:tr w:rsidR="00E935FE" w14:paraId="6F9166A3" w14:textId="77777777" w:rsidTr="00C962B7">
      <w:tc>
        <w:tcPr>
          <w:tcW w:w="7678" w:type="dxa"/>
          <w:shd w:val="clear" w:color="auto" w:fill="auto"/>
        </w:tcPr>
        <w:p w14:paraId="5AA7B9D7" w14:textId="77777777" w:rsidR="00E935FE" w:rsidRDefault="00E935FE" w:rsidP="00971914">
          <w:pPr>
            <w:pStyle w:val="GridTable31"/>
          </w:pPr>
          <w:r>
            <w:t xml:space="preserve">Contents </w:t>
          </w:r>
          <w:r w:rsidRPr="00915B1C">
            <w:rPr>
              <w:b w:val="0"/>
              <w:spacing w:val="0"/>
              <w:sz w:val="28"/>
              <w:szCs w:val="28"/>
            </w:rPr>
            <w:t>(Continued)</w:t>
          </w:r>
        </w:p>
      </w:tc>
    </w:tr>
    <w:tr w:rsidR="00E935FE" w14:paraId="0F2CE2B6" w14:textId="77777777" w:rsidTr="00C962B7">
      <w:trPr>
        <w:trHeight w:val="1220"/>
      </w:trPr>
      <w:tc>
        <w:tcPr>
          <w:tcW w:w="7678" w:type="dxa"/>
          <w:shd w:val="clear" w:color="auto" w:fill="auto"/>
        </w:tcPr>
        <w:p w14:paraId="381B6CE2" w14:textId="77777777" w:rsidR="00E935FE" w:rsidRDefault="00E935FE" w:rsidP="00971914"/>
      </w:tc>
    </w:tr>
  </w:tbl>
  <w:p w14:paraId="480213F8" w14:textId="77777777" w:rsidR="00E935FE" w:rsidRDefault="00E935FE"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E935FE" w14:paraId="344BEE95" w14:textId="77777777" w:rsidTr="00C962B7">
      <w:trPr>
        <w:trHeight w:hRule="exact" w:val="988"/>
      </w:trPr>
      <w:tc>
        <w:tcPr>
          <w:tcW w:w="7678" w:type="dxa"/>
          <w:shd w:val="clear" w:color="auto" w:fill="auto"/>
        </w:tcPr>
        <w:p w14:paraId="25B538AC" w14:textId="77777777" w:rsidR="00E935FE" w:rsidRDefault="00E935FE" w:rsidP="00971914">
          <w:pPr>
            <w:pStyle w:val="Header"/>
          </w:pPr>
        </w:p>
      </w:tc>
    </w:tr>
    <w:tr w:rsidR="00E935FE" w14:paraId="60FB0741" w14:textId="77777777" w:rsidTr="00C962B7">
      <w:tc>
        <w:tcPr>
          <w:tcW w:w="7678" w:type="dxa"/>
          <w:shd w:val="clear" w:color="auto" w:fill="auto"/>
        </w:tcPr>
        <w:p w14:paraId="600CAAA3" w14:textId="77777777" w:rsidR="00E935FE" w:rsidRDefault="00E935FE" w:rsidP="00971914">
          <w:pPr>
            <w:pStyle w:val="GridTable31"/>
          </w:pPr>
          <w:r>
            <w:t xml:space="preserve">Contents </w:t>
          </w:r>
          <w:r w:rsidRPr="00915B1C">
            <w:rPr>
              <w:b w:val="0"/>
              <w:spacing w:val="0"/>
              <w:sz w:val="28"/>
              <w:szCs w:val="28"/>
            </w:rPr>
            <w:t>(Continued)</w:t>
          </w:r>
        </w:p>
      </w:tc>
    </w:tr>
    <w:tr w:rsidR="00E935FE" w14:paraId="0176117F" w14:textId="77777777" w:rsidTr="00C962B7">
      <w:trPr>
        <w:trHeight w:val="1220"/>
      </w:trPr>
      <w:tc>
        <w:tcPr>
          <w:tcW w:w="7678" w:type="dxa"/>
          <w:shd w:val="clear" w:color="auto" w:fill="auto"/>
        </w:tcPr>
        <w:p w14:paraId="195232DD" w14:textId="77777777" w:rsidR="00E935FE" w:rsidRDefault="00E935FE" w:rsidP="00971914"/>
      </w:tc>
    </w:tr>
  </w:tbl>
  <w:p w14:paraId="2989D402" w14:textId="77777777" w:rsidR="00E935FE" w:rsidRPr="00A5474E" w:rsidRDefault="00E935FE"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D42" w14:textId="77777777" w:rsidR="00E935FE" w:rsidRDefault="00E93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4AAB" w14:textId="77777777" w:rsidR="00E935FE" w:rsidRDefault="00E9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hybridMultilevel"/>
    <w:tmpl w:val="909E78BC"/>
    <w:lvl w:ilvl="0" w:tplc="0B6ED224">
      <w:start w:val="1"/>
      <w:numFmt w:val="bullet"/>
      <w:pStyle w:val="ListBullet2"/>
      <w:lvlText w:val="&gt;"/>
      <w:lvlJc w:val="left"/>
      <w:pPr>
        <w:tabs>
          <w:tab w:val="num" w:pos="845"/>
        </w:tabs>
        <w:ind w:left="845" w:hanging="544"/>
      </w:pPr>
      <w:rPr>
        <w:rFonts w:ascii="HelveticaNeueLT Std Lt" w:hAnsi="HelveticaNeueLT Std Lt" w:hint="default"/>
        <w:sz w:val="20"/>
      </w:rPr>
    </w:lvl>
    <w:lvl w:ilvl="1" w:tplc="520AC6AC">
      <w:numFmt w:val="decimal"/>
      <w:lvlText w:val=""/>
      <w:lvlJc w:val="left"/>
    </w:lvl>
    <w:lvl w:ilvl="2" w:tplc="70B42718">
      <w:numFmt w:val="decimal"/>
      <w:lvlText w:val=""/>
      <w:lvlJc w:val="left"/>
    </w:lvl>
    <w:lvl w:ilvl="3" w:tplc="13F27FEE">
      <w:numFmt w:val="decimal"/>
      <w:lvlText w:val=""/>
      <w:lvlJc w:val="left"/>
    </w:lvl>
    <w:lvl w:ilvl="4" w:tplc="71F432F2">
      <w:numFmt w:val="decimal"/>
      <w:lvlText w:val=""/>
      <w:lvlJc w:val="left"/>
    </w:lvl>
    <w:lvl w:ilvl="5" w:tplc="FCCCB500">
      <w:numFmt w:val="decimal"/>
      <w:lvlText w:val=""/>
      <w:lvlJc w:val="left"/>
    </w:lvl>
    <w:lvl w:ilvl="6" w:tplc="41E0AD56">
      <w:numFmt w:val="decimal"/>
      <w:lvlText w:val=""/>
      <w:lvlJc w:val="left"/>
    </w:lvl>
    <w:lvl w:ilvl="7" w:tplc="3CF6003A">
      <w:numFmt w:val="decimal"/>
      <w:lvlText w:val=""/>
      <w:lvlJc w:val="left"/>
    </w:lvl>
    <w:lvl w:ilvl="8" w:tplc="F244A840">
      <w:numFmt w:val="decimal"/>
      <w:lvlText w:val=""/>
      <w:lvlJc w:val="left"/>
    </w:lvl>
  </w:abstractNum>
  <w:abstractNum w:abstractNumId="2" w15:restartNumberingAfterBreak="0">
    <w:nsid w:val="FFFFFF89"/>
    <w:multiLevelType w:val="hybridMultilevel"/>
    <w:tmpl w:val="72906A2E"/>
    <w:lvl w:ilvl="0" w:tplc="FBAA2FBE">
      <w:start w:val="1"/>
      <w:numFmt w:val="bullet"/>
      <w:pStyle w:val="ListBullet"/>
      <w:lvlText w:val="&gt;"/>
      <w:lvlJc w:val="left"/>
      <w:pPr>
        <w:tabs>
          <w:tab w:val="num" w:pos="295"/>
        </w:tabs>
        <w:ind w:left="295" w:hanging="295"/>
      </w:pPr>
      <w:rPr>
        <w:rFonts w:ascii="HelveticaNeueLT Std Lt" w:hAnsi="HelveticaNeueLT Std Lt" w:hint="default"/>
        <w:color w:val="auto"/>
        <w:sz w:val="20"/>
      </w:rPr>
    </w:lvl>
    <w:lvl w:ilvl="1" w:tplc="E5AEE2F4">
      <w:numFmt w:val="decimal"/>
      <w:lvlText w:val=""/>
      <w:lvlJc w:val="left"/>
    </w:lvl>
    <w:lvl w:ilvl="2" w:tplc="3F0066B2">
      <w:numFmt w:val="decimal"/>
      <w:lvlText w:val=""/>
      <w:lvlJc w:val="left"/>
    </w:lvl>
    <w:lvl w:ilvl="3" w:tplc="29167B12">
      <w:numFmt w:val="decimal"/>
      <w:lvlText w:val=""/>
      <w:lvlJc w:val="left"/>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BE7E88C0">
      <w:numFmt w:val="decimal"/>
      <w:lvlText w:val=""/>
      <w:lvlJc w:val="left"/>
    </w:lvl>
  </w:abstractNum>
  <w:abstractNum w:abstractNumId="3" w15:restartNumberingAfterBreak="0">
    <w:nsid w:val="01F379B2"/>
    <w:multiLevelType w:val="hybridMultilevel"/>
    <w:tmpl w:val="EC84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65840"/>
    <w:multiLevelType w:val="hybridMultilevel"/>
    <w:tmpl w:val="C314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E2993"/>
    <w:multiLevelType w:val="hybridMultilevel"/>
    <w:tmpl w:val="2EB683C4"/>
    <w:lvl w:ilvl="0" w:tplc="82B83AEE">
      <w:start w:val="1"/>
      <w:numFmt w:val="bullet"/>
      <w:lvlText w:val="&gt;"/>
      <w:lvlJc w:val="left"/>
      <w:pPr>
        <w:ind w:left="720" w:hanging="360"/>
      </w:pPr>
      <w:rPr>
        <w:rFonts w:ascii="HelveticaNeueLT Std Lt" w:hAnsi="HelveticaNeueLT Std Lt" w:hint="default"/>
      </w:rPr>
    </w:lvl>
    <w:lvl w:ilvl="1" w:tplc="2BA82FDC">
      <w:start w:val="1"/>
      <w:numFmt w:val="bullet"/>
      <w:lvlText w:val="o"/>
      <w:lvlJc w:val="left"/>
      <w:pPr>
        <w:ind w:left="1440" w:hanging="360"/>
      </w:pPr>
      <w:rPr>
        <w:rFonts w:ascii="Courier New" w:hAnsi="Courier New" w:hint="default"/>
      </w:rPr>
    </w:lvl>
    <w:lvl w:ilvl="2" w:tplc="5E963270">
      <w:start w:val="1"/>
      <w:numFmt w:val="bullet"/>
      <w:lvlText w:val=""/>
      <w:lvlJc w:val="left"/>
      <w:pPr>
        <w:ind w:left="2160" w:hanging="360"/>
      </w:pPr>
      <w:rPr>
        <w:rFonts w:ascii="Wingdings" w:hAnsi="Wingdings" w:hint="default"/>
      </w:rPr>
    </w:lvl>
    <w:lvl w:ilvl="3" w:tplc="4F90D8AC">
      <w:start w:val="1"/>
      <w:numFmt w:val="bullet"/>
      <w:lvlText w:val=""/>
      <w:lvlJc w:val="left"/>
      <w:pPr>
        <w:ind w:left="2880" w:hanging="360"/>
      </w:pPr>
      <w:rPr>
        <w:rFonts w:ascii="Symbol" w:hAnsi="Symbol" w:hint="default"/>
      </w:rPr>
    </w:lvl>
    <w:lvl w:ilvl="4" w:tplc="D9DC4E76">
      <w:start w:val="1"/>
      <w:numFmt w:val="bullet"/>
      <w:lvlText w:val="o"/>
      <w:lvlJc w:val="left"/>
      <w:pPr>
        <w:ind w:left="3600" w:hanging="360"/>
      </w:pPr>
      <w:rPr>
        <w:rFonts w:ascii="Courier New" w:hAnsi="Courier New" w:hint="default"/>
      </w:rPr>
    </w:lvl>
    <w:lvl w:ilvl="5" w:tplc="5E9291A2">
      <w:start w:val="1"/>
      <w:numFmt w:val="bullet"/>
      <w:lvlText w:val=""/>
      <w:lvlJc w:val="left"/>
      <w:pPr>
        <w:ind w:left="4320" w:hanging="360"/>
      </w:pPr>
      <w:rPr>
        <w:rFonts w:ascii="Wingdings" w:hAnsi="Wingdings" w:hint="default"/>
      </w:rPr>
    </w:lvl>
    <w:lvl w:ilvl="6" w:tplc="91A03E5E">
      <w:start w:val="1"/>
      <w:numFmt w:val="bullet"/>
      <w:lvlText w:val=""/>
      <w:lvlJc w:val="left"/>
      <w:pPr>
        <w:ind w:left="5040" w:hanging="360"/>
      </w:pPr>
      <w:rPr>
        <w:rFonts w:ascii="Symbol" w:hAnsi="Symbol" w:hint="default"/>
      </w:rPr>
    </w:lvl>
    <w:lvl w:ilvl="7" w:tplc="2FD20326">
      <w:start w:val="1"/>
      <w:numFmt w:val="bullet"/>
      <w:lvlText w:val="o"/>
      <w:lvlJc w:val="left"/>
      <w:pPr>
        <w:ind w:left="5760" w:hanging="360"/>
      </w:pPr>
      <w:rPr>
        <w:rFonts w:ascii="Courier New" w:hAnsi="Courier New" w:hint="default"/>
      </w:rPr>
    </w:lvl>
    <w:lvl w:ilvl="8" w:tplc="1CA65E7E">
      <w:start w:val="1"/>
      <w:numFmt w:val="bullet"/>
      <w:lvlText w:val=""/>
      <w:lvlJc w:val="left"/>
      <w:pPr>
        <w:ind w:left="6480" w:hanging="360"/>
      </w:pPr>
      <w:rPr>
        <w:rFonts w:ascii="Wingdings" w:hAnsi="Wingdings" w:hint="default"/>
      </w:rPr>
    </w:lvl>
  </w:abstractNum>
  <w:abstractNum w:abstractNumId="6" w15:restartNumberingAfterBreak="0">
    <w:nsid w:val="05AB2FC5"/>
    <w:multiLevelType w:val="hybridMultilevel"/>
    <w:tmpl w:val="ADEA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A70DF8"/>
    <w:multiLevelType w:val="hybridMultilevel"/>
    <w:tmpl w:val="278C75F2"/>
    <w:lvl w:ilvl="0" w:tplc="6010C334">
      <w:start w:val="1"/>
      <w:numFmt w:val="bullet"/>
      <w:lvlText w:val="&gt;"/>
      <w:lvlJc w:val="left"/>
      <w:pPr>
        <w:ind w:left="720" w:hanging="360"/>
      </w:pPr>
      <w:rPr>
        <w:rFonts w:ascii="HelveticaNeueLT Std Lt" w:hAnsi="HelveticaNeueLT Std Lt" w:hint="default"/>
      </w:rPr>
    </w:lvl>
    <w:lvl w:ilvl="1" w:tplc="1A06AE82">
      <w:start w:val="1"/>
      <w:numFmt w:val="bullet"/>
      <w:lvlText w:val="o"/>
      <w:lvlJc w:val="left"/>
      <w:pPr>
        <w:ind w:left="1440" w:hanging="360"/>
      </w:pPr>
      <w:rPr>
        <w:rFonts w:ascii="Courier New" w:hAnsi="Courier New" w:hint="default"/>
      </w:rPr>
    </w:lvl>
    <w:lvl w:ilvl="2" w:tplc="52C26FD2">
      <w:start w:val="1"/>
      <w:numFmt w:val="bullet"/>
      <w:lvlText w:val=""/>
      <w:lvlJc w:val="left"/>
      <w:pPr>
        <w:ind w:left="2160" w:hanging="360"/>
      </w:pPr>
      <w:rPr>
        <w:rFonts w:ascii="Wingdings" w:hAnsi="Wingdings" w:hint="default"/>
      </w:rPr>
    </w:lvl>
    <w:lvl w:ilvl="3" w:tplc="394A5678">
      <w:start w:val="1"/>
      <w:numFmt w:val="bullet"/>
      <w:lvlText w:val=""/>
      <w:lvlJc w:val="left"/>
      <w:pPr>
        <w:ind w:left="2880" w:hanging="360"/>
      </w:pPr>
      <w:rPr>
        <w:rFonts w:ascii="Symbol" w:hAnsi="Symbol" w:hint="default"/>
      </w:rPr>
    </w:lvl>
    <w:lvl w:ilvl="4" w:tplc="89D67548">
      <w:start w:val="1"/>
      <w:numFmt w:val="bullet"/>
      <w:lvlText w:val="o"/>
      <w:lvlJc w:val="left"/>
      <w:pPr>
        <w:ind w:left="3600" w:hanging="360"/>
      </w:pPr>
      <w:rPr>
        <w:rFonts w:ascii="Courier New" w:hAnsi="Courier New" w:hint="default"/>
      </w:rPr>
    </w:lvl>
    <w:lvl w:ilvl="5" w:tplc="CAC2EC16">
      <w:start w:val="1"/>
      <w:numFmt w:val="bullet"/>
      <w:lvlText w:val=""/>
      <w:lvlJc w:val="left"/>
      <w:pPr>
        <w:ind w:left="4320" w:hanging="360"/>
      </w:pPr>
      <w:rPr>
        <w:rFonts w:ascii="Wingdings" w:hAnsi="Wingdings" w:hint="default"/>
      </w:rPr>
    </w:lvl>
    <w:lvl w:ilvl="6" w:tplc="B8DA1008">
      <w:start w:val="1"/>
      <w:numFmt w:val="bullet"/>
      <w:lvlText w:val=""/>
      <w:lvlJc w:val="left"/>
      <w:pPr>
        <w:ind w:left="5040" w:hanging="360"/>
      </w:pPr>
      <w:rPr>
        <w:rFonts w:ascii="Symbol" w:hAnsi="Symbol" w:hint="default"/>
      </w:rPr>
    </w:lvl>
    <w:lvl w:ilvl="7" w:tplc="5D3C6076">
      <w:start w:val="1"/>
      <w:numFmt w:val="bullet"/>
      <w:lvlText w:val="o"/>
      <w:lvlJc w:val="left"/>
      <w:pPr>
        <w:ind w:left="5760" w:hanging="360"/>
      </w:pPr>
      <w:rPr>
        <w:rFonts w:ascii="Courier New" w:hAnsi="Courier New" w:hint="default"/>
      </w:rPr>
    </w:lvl>
    <w:lvl w:ilvl="8" w:tplc="161EFC1A">
      <w:start w:val="1"/>
      <w:numFmt w:val="bullet"/>
      <w:lvlText w:val=""/>
      <w:lvlJc w:val="left"/>
      <w:pPr>
        <w:ind w:left="6480" w:hanging="360"/>
      </w:pPr>
      <w:rPr>
        <w:rFonts w:ascii="Wingdings" w:hAnsi="Wingdings" w:hint="default"/>
      </w:rPr>
    </w:lvl>
  </w:abstractNum>
  <w:abstractNum w:abstractNumId="8" w15:restartNumberingAfterBreak="0">
    <w:nsid w:val="0D8C601F"/>
    <w:multiLevelType w:val="hybridMultilevel"/>
    <w:tmpl w:val="BBA0746A"/>
    <w:lvl w:ilvl="0" w:tplc="7B804E66">
      <w:start w:val="1"/>
      <w:numFmt w:val="decimal"/>
      <w:lvlText w:val="%1."/>
      <w:lvlJc w:val="left"/>
      <w:pPr>
        <w:ind w:left="427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990E28"/>
    <w:multiLevelType w:val="hybridMultilevel"/>
    <w:tmpl w:val="8046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008A0"/>
    <w:multiLevelType w:val="hybridMultilevel"/>
    <w:tmpl w:val="06EA8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0868"/>
    <w:multiLevelType w:val="hybridMultilevel"/>
    <w:tmpl w:val="78C4619E"/>
    <w:lvl w:ilvl="0" w:tplc="8282563A">
      <w:start w:val="1"/>
      <w:numFmt w:val="bullet"/>
      <w:lvlText w:val="&gt;"/>
      <w:lvlJc w:val="left"/>
      <w:pPr>
        <w:ind w:left="720" w:hanging="360"/>
      </w:pPr>
      <w:rPr>
        <w:rFonts w:ascii="HelveticaNeueLT Std Lt" w:hAnsi="HelveticaNeueLT Std Lt" w:hint="default"/>
      </w:rPr>
    </w:lvl>
    <w:lvl w:ilvl="1" w:tplc="495E1E52">
      <w:start w:val="1"/>
      <w:numFmt w:val="bullet"/>
      <w:lvlText w:val="o"/>
      <w:lvlJc w:val="left"/>
      <w:pPr>
        <w:ind w:left="1440" w:hanging="360"/>
      </w:pPr>
      <w:rPr>
        <w:rFonts w:ascii="Courier New" w:hAnsi="Courier New" w:hint="default"/>
      </w:rPr>
    </w:lvl>
    <w:lvl w:ilvl="2" w:tplc="B02277E8">
      <w:start w:val="1"/>
      <w:numFmt w:val="bullet"/>
      <w:lvlText w:val=""/>
      <w:lvlJc w:val="left"/>
      <w:pPr>
        <w:ind w:left="2160" w:hanging="360"/>
      </w:pPr>
      <w:rPr>
        <w:rFonts w:ascii="Wingdings" w:hAnsi="Wingdings" w:hint="default"/>
      </w:rPr>
    </w:lvl>
    <w:lvl w:ilvl="3" w:tplc="607C0530">
      <w:start w:val="1"/>
      <w:numFmt w:val="bullet"/>
      <w:lvlText w:val=""/>
      <w:lvlJc w:val="left"/>
      <w:pPr>
        <w:ind w:left="2880" w:hanging="360"/>
      </w:pPr>
      <w:rPr>
        <w:rFonts w:ascii="Symbol" w:hAnsi="Symbol" w:hint="default"/>
      </w:rPr>
    </w:lvl>
    <w:lvl w:ilvl="4" w:tplc="56EE71A8">
      <w:start w:val="1"/>
      <w:numFmt w:val="bullet"/>
      <w:lvlText w:val="o"/>
      <w:lvlJc w:val="left"/>
      <w:pPr>
        <w:ind w:left="3600" w:hanging="360"/>
      </w:pPr>
      <w:rPr>
        <w:rFonts w:ascii="Courier New" w:hAnsi="Courier New" w:hint="default"/>
      </w:rPr>
    </w:lvl>
    <w:lvl w:ilvl="5" w:tplc="963E578E">
      <w:start w:val="1"/>
      <w:numFmt w:val="bullet"/>
      <w:lvlText w:val=""/>
      <w:lvlJc w:val="left"/>
      <w:pPr>
        <w:ind w:left="4320" w:hanging="360"/>
      </w:pPr>
      <w:rPr>
        <w:rFonts w:ascii="Wingdings" w:hAnsi="Wingdings" w:hint="default"/>
      </w:rPr>
    </w:lvl>
    <w:lvl w:ilvl="6" w:tplc="3BC2ECD4">
      <w:start w:val="1"/>
      <w:numFmt w:val="bullet"/>
      <w:lvlText w:val=""/>
      <w:lvlJc w:val="left"/>
      <w:pPr>
        <w:ind w:left="5040" w:hanging="360"/>
      </w:pPr>
      <w:rPr>
        <w:rFonts w:ascii="Symbol" w:hAnsi="Symbol" w:hint="default"/>
      </w:rPr>
    </w:lvl>
    <w:lvl w:ilvl="7" w:tplc="243433AA">
      <w:start w:val="1"/>
      <w:numFmt w:val="bullet"/>
      <w:lvlText w:val="o"/>
      <w:lvlJc w:val="left"/>
      <w:pPr>
        <w:ind w:left="5760" w:hanging="360"/>
      </w:pPr>
      <w:rPr>
        <w:rFonts w:ascii="Courier New" w:hAnsi="Courier New" w:hint="default"/>
      </w:rPr>
    </w:lvl>
    <w:lvl w:ilvl="8" w:tplc="64EE6032">
      <w:start w:val="1"/>
      <w:numFmt w:val="bullet"/>
      <w:lvlText w:val=""/>
      <w:lvlJc w:val="left"/>
      <w:pPr>
        <w:ind w:left="6480" w:hanging="360"/>
      </w:pPr>
      <w:rPr>
        <w:rFonts w:ascii="Wingdings" w:hAnsi="Wingdings" w:hint="default"/>
      </w:rPr>
    </w:lvl>
  </w:abstractNum>
  <w:abstractNum w:abstractNumId="12" w15:restartNumberingAfterBreak="0">
    <w:nsid w:val="24FD4434"/>
    <w:multiLevelType w:val="hybridMultilevel"/>
    <w:tmpl w:val="85E2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6C0856"/>
    <w:multiLevelType w:val="hybridMultilevel"/>
    <w:tmpl w:val="FFFFFFFF"/>
    <w:lvl w:ilvl="0" w:tplc="F0580A70">
      <w:start w:val="1"/>
      <w:numFmt w:val="bullet"/>
      <w:lvlText w:val="&gt;"/>
      <w:lvlJc w:val="left"/>
      <w:pPr>
        <w:ind w:left="720" w:hanging="360"/>
      </w:pPr>
      <w:rPr>
        <w:rFonts w:ascii="HelveticaNeueLT Std Lt" w:hAnsi="HelveticaNeueLT Std Lt" w:hint="default"/>
      </w:rPr>
    </w:lvl>
    <w:lvl w:ilvl="1" w:tplc="B32AC1DA">
      <w:start w:val="1"/>
      <w:numFmt w:val="bullet"/>
      <w:lvlText w:val="o"/>
      <w:lvlJc w:val="left"/>
      <w:pPr>
        <w:ind w:left="1440" w:hanging="360"/>
      </w:pPr>
      <w:rPr>
        <w:rFonts w:ascii="Courier New" w:hAnsi="Courier New" w:hint="default"/>
      </w:rPr>
    </w:lvl>
    <w:lvl w:ilvl="2" w:tplc="738E7E42">
      <w:start w:val="1"/>
      <w:numFmt w:val="bullet"/>
      <w:lvlText w:val=""/>
      <w:lvlJc w:val="left"/>
      <w:pPr>
        <w:ind w:left="2160" w:hanging="360"/>
      </w:pPr>
      <w:rPr>
        <w:rFonts w:ascii="Wingdings" w:hAnsi="Wingdings" w:hint="default"/>
      </w:rPr>
    </w:lvl>
    <w:lvl w:ilvl="3" w:tplc="47F4BB4A">
      <w:start w:val="1"/>
      <w:numFmt w:val="bullet"/>
      <w:lvlText w:val=""/>
      <w:lvlJc w:val="left"/>
      <w:pPr>
        <w:ind w:left="2880" w:hanging="360"/>
      </w:pPr>
      <w:rPr>
        <w:rFonts w:ascii="Symbol" w:hAnsi="Symbol" w:hint="default"/>
      </w:rPr>
    </w:lvl>
    <w:lvl w:ilvl="4" w:tplc="8FF2A702">
      <w:start w:val="1"/>
      <w:numFmt w:val="bullet"/>
      <w:lvlText w:val="o"/>
      <w:lvlJc w:val="left"/>
      <w:pPr>
        <w:ind w:left="3600" w:hanging="360"/>
      </w:pPr>
      <w:rPr>
        <w:rFonts w:ascii="Courier New" w:hAnsi="Courier New" w:hint="default"/>
      </w:rPr>
    </w:lvl>
    <w:lvl w:ilvl="5" w:tplc="7D583962">
      <w:start w:val="1"/>
      <w:numFmt w:val="bullet"/>
      <w:lvlText w:val=""/>
      <w:lvlJc w:val="left"/>
      <w:pPr>
        <w:ind w:left="4320" w:hanging="360"/>
      </w:pPr>
      <w:rPr>
        <w:rFonts w:ascii="Wingdings" w:hAnsi="Wingdings" w:hint="default"/>
      </w:rPr>
    </w:lvl>
    <w:lvl w:ilvl="6" w:tplc="D7601612">
      <w:start w:val="1"/>
      <w:numFmt w:val="bullet"/>
      <w:lvlText w:val=""/>
      <w:lvlJc w:val="left"/>
      <w:pPr>
        <w:ind w:left="5040" w:hanging="360"/>
      </w:pPr>
      <w:rPr>
        <w:rFonts w:ascii="Symbol" w:hAnsi="Symbol" w:hint="default"/>
      </w:rPr>
    </w:lvl>
    <w:lvl w:ilvl="7" w:tplc="260C074E">
      <w:start w:val="1"/>
      <w:numFmt w:val="bullet"/>
      <w:lvlText w:val="o"/>
      <w:lvlJc w:val="left"/>
      <w:pPr>
        <w:ind w:left="5760" w:hanging="360"/>
      </w:pPr>
      <w:rPr>
        <w:rFonts w:ascii="Courier New" w:hAnsi="Courier New" w:hint="default"/>
      </w:rPr>
    </w:lvl>
    <w:lvl w:ilvl="8" w:tplc="80DC19B6">
      <w:start w:val="1"/>
      <w:numFmt w:val="bullet"/>
      <w:lvlText w:val=""/>
      <w:lvlJc w:val="left"/>
      <w:pPr>
        <w:ind w:left="6480" w:hanging="360"/>
      </w:pPr>
      <w:rPr>
        <w:rFonts w:ascii="Wingdings" w:hAnsi="Wingdings" w:hint="default"/>
      </w:rPr>
    </w:lvl>
  </w:abstractNum>
  <w:abstractNum w:abstractNumId="15" w15:restartNumberingAfterBreak="0">
    <w:nsid w:val="416B6CF4"/>
    <w:multiLevelType w:val="hybridMultilevel"/>
    <w:tmpl w:val="620CE204"/>
    <w:lvl w:ilvl="0" w:tplc="2EAAB440">
      <w:start w:val="1"/>
      <w:numFmt w:val="decimal"/>
      <w:pStyle w:val="ListNumber"/>
      <w:lvlText w:val="%1."/>
      <w:lvlJc w:val="left"/>
      <w:pPr>
        <w:ind w:left="360" w:hanging="360"/>
      </w:pPr>
      <w:rPr>
        <w:rFonts w:hint="default"/>
        <w:b w:val="0"/>
        <w:bCs/>
        <w:cap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66F6B"/>
    <w:multiLevelType w:val="hybridMultilevel"/>
    <w:tmpl w:val="FFFFFFFF"/>
    <w:lvl w:ilvl="0" w:tplc="7A6E4F1E">
      <w:start w:val="1"/>
      <w:numFmt w:val="bullet"/>
      <w:lvlText w:val="&gt;"/>
      <w:lvlJc w:val="left"/>
      <w:pPr>
        <w:ind w:left="720" w:hanging="360"/>
      </w:pPr>
      <w:rPr>
        <w:rFonts w:ascii="HelveticaNeueLT Std Lt" w:hAnsi="HelveticaNeueLT Std Lt" w:hint="default"/>
      </w:rPr>
    </w:lvl>
    <w:lvl w:ilvl="1" w:tplc="A2A28956">
      <w:start w:val="1"/>
      <w:numFmt w:val="bullet"/>
      <w:lvlText w:val="o"/>
      <w:lvlJc w:val="left"/>
      <w:pPr>
        <w:ind w:left="1440" w:hanging="360"/>
      </w:pPr>
      <w:rPr>
        <w:rFonts w:ascii="Courier New" w:hAnsi="Courier New" w:hint="default"/>
      </w:rPr>
    </w:lvl>
    <w:lvl w:ilvl="2" w:tplc="5226F058">
      <w:start w:val="1"/>
      <w:numFmt w:val="bullet"/>
      <w:lvlText w:val=""/>
      <w:lvlJc w:val="left"/>
      <w:pPr>
        <w:ind w:left="2160" w:hanging="360"/>
      </w:pPr>
      <w:rPr>
        <w:rFonts w:ascii="Wingdings" w:hAnsi="Wingdings" w:hint="default"/>
      </w:rPr>
    </w:lvl>
    <w:lvl w:ilvl="3" w:tplc="EEA6D67A">
      <w:start w:val="1"/>
      <w:numFmt w:val="bullet"/>
      <w:lvlText w:val=""/>
      <w:lvlJc w:val="left"/>
      <w:pPr>
        <w:ind w:left="2880" w:hanging="360"/>
      </w:pPr>
      <w:rPr>
        <w:rFonts w:ascii="Symbol" w:hAnsi="Symbol" w:hint="default"/>
      </w:rPr>
    </w:lvl>
    <w:lvl w:ilvl="4" w:tplc="C1B0228E">
      <w:start w:val="1"/>
      <w:numFmt w:val="bullet"/>
      <w:lvlText w:val="o"/>
      <w:lvlJc w:val="left"/>
      <w:pPr>
        <w:ind w:left="3600" w:hanging="360"/>
      </w:pPr>
      <w:rPr>
        <w:rFonts w:ascii="Courier New" w:hAnsi="Courier New" w:hint="default"/>
      </w:rPr>
    </w:lvl>
    <w:lvl w:ilvl="5" w:tplc="03E84BC2">
      <w:start w:val="1"/>
      <w:numFmt w:val="bullet"/>
      <w:lvlText w:val=""/>
      <w:lvlJc w:val="left"/>
      <w:pPr>
        <w:ind w:left="4320" w:hanging="360"/>
      </w:pPr>
      <w:rPr>
        <w:rFonts w:ascii="Wingdings" w:hAnsi="Wingdings" w:hint="default"/>
      </w:rPr>
    </w:lvl>
    <w:lvl w:ilvl="6" w:tplc="C4440330">
      <w:start w:val="1"/>
      <w:numFmt w:val="bullet"/>
      <w:lvlText w:val=""/>
      <w:lvlJc w:val="left"/>
      <w:pPr>
        <w:ind w:left="5040" w:hanging="360"/>
      </w:pPr>
      <w:rPr>
        <w:rFonts w:ascii="Symbol" w:hAnsi="Symbol" w:hint="default"/>
      </w:rPr>
    </w:lvl>
    <w:lvl w:ilvl="7" w:tplc="8DB86B44">
      <w:start w:val="1"/>
      <w:numFmt w:val="bullet"/>
      <w:lvlText w:val="o"/>
      <w:lvlJc w:val="left"/>
      <w:pPr>
        <w:ind w:left="5760" w:hanging="360"/>
      </w:pPr>
      <w:rPr>
        <w:rFonts w:ascii="Courier New" w:hAnsi="Courier New" w:hint="default"/>
      </w:rPr>
    </w:lvl>
    <w:lvl w:ilvl="8" w:tplc="89AC03CC">
      <w:start w:val="1"/>
      <w:numFmt w:val="bullet"/>
      <w:lvlText w:val=""/>
      <w:lvlJc w:val="left"/>
      <w:pPr>
        <w:ind w:left="6480" w:hanging="360"/>
      </w:pPr>
      <w:rPr>
        <w:rFonts w:ascii="Wingdings" w:hAnsi="Wingdings" w:hint="default"/>
      </w:rPr>
    </w:lvl>
  </w:abstractNum>
  <w:abstractNum w:abstractNumId="17" w15:restartNumberingAfterBreak="0">
    <w:nsid w:val="466A05E9"/>
    <w:multiLevelType w:val="hybridMultilevel"/>
    <w:tmpl w:val="CFB61122"/>
    <w:lvl w:ilvl="0" w:tplc="F516F7C4">
      <w:start w:val="1"/>
      <w:numFmt w:val="bullet"/>
      <w:lvlText w:val="&gt;"/>
      <w:lvlJc w:val="left"/>
      <w:pPr>
        <w:tabs>
          <w:tab w:val="num" w:pos="295"/>
        </w:tabs>
        <w:ind w:left="295" w:hanging="295"/>
      </w:pPr>
      <w:rPr>
        <w:rFonts w:ascii="HelveticaNeueLT Std Lt" w:hAnsi="HelveticaNeueLT Std Lt" w:hint="default"/>
        <w:sz w:val="20"/>
      </w:rPr>
    </w:lvl>
    <w:lvl w:ilvl="1" w:tplc="E5AEE2F4">
      <w:numFmt w:val="decimal"/>
      <w:lvlText w:val=""/>
      <w:lvlJc w:val="left"/>
    </w:lvl>
    <w:lvl w:ilvl="2" w:tplc="3F0066B2">
      <w:numFmt w:val="decimal"/>
      <w:lvlText w:val=""/>
      <w:lvlJc w:val="left"/>
    </w:lvl>
    <w:lvl w:ilvl="3" w:tplc="29167B12">
      <w:numFmt w:val="decimal"/>
      <w:lvlText w:val=""/>
      <w:lvlJc w:val="left"/>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0C090001">
      <w:start w:val="1"/>
      <w:numFmt w:val="bullet"/>
      <w:lvlText w:val=""/>
      <w:lvlJc w:val="left"/>
      <w:rPr>
        <w:rFonts w:ascii="Symbol" w:hAnsi="Symbol" w:hint="default"/>
      </w:rPr>
    </w:lvl>
  </w:abstractNum>
  <w:abstractNum w:abstractNumId="18" w15:restartNumberingAfterBreak="0">
    <w:nsid w:val="49C7177E"/>
    <w:multiLevelType w:val="hybridMultilevel"/>
    <w:tmpl w:val="BE2A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04330"/>
    <w:multiLevelType w:val="hybridMultilevel"/>
    <w:tmpl w:val="8ACE8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D60AA"/>
    <w:multiLevelType w:val="hybridMultilevel"/>
    <w:tmpl w:val="4862558C"/>
    <w:lvl w:ilvl="0" w:tplc="4F365F3C">
      <w:start w:val="1"/>
      <w:numFmt w:val="bullet"/>
      <w:lvlText w:val="&gt;"/>
      <w:lvlJc w:val="left"/>
      <w:pPr>
        <w:ind w:left="720" w:hanging="360"/>
      </w:pPr>
      <w:rPr>
        <w:rFonts w:ascii="HelveticaNeueLT Std Lt" w:hAnsi="HelveticaNeueLT Std Lt" w:hint="default"/>
      </w:rPr>
    </w:lvl>
    <w:lvl w:ilvl="1" w:tplc="E1BA4A32">
      <w:start w:val="1"/>
      <w:numFmt w:val="bullet"/>
      <w:lvlText w:val="o"/>
      <w:lvlJc w:val="left"/>
      <w:pPr>
        <w:ind w:left="1440" w:hanging="360"/>
      </w:pPr>
      <w:rPr>
        <w:rFonts w:ascii="Courier New" w:hAnsi="Courier New" w:hint="default"/>
      </w:rPr>
    </w:lvl>
    <w:lvl w:ilvl="2" w:tplc="C792C228">
      <w:start w:val="1"/>
      <w:numFmt w:val="bullet"/>
      <w:lvlText w:val=""/>
      <w:lvlJc w:val="left"/>
      <w:pPr>
        <w:ind w:left="2160" w:hanging="360"/>
      </w:pPr>
      <w:rPr>
        <w:rFonts w:ascii="Wingdings" w:hAnsi="Wingdings" w:hint="default"/>
      </w:rPr>
    </w:lvl>
    <w:lvl w:ilvl="3" w:tplc="F73C582A">
      <w:start w:val="1"/>
      <w:numFmt w:val="bullet"/>
      <w:lvlText w:val=""/>
      <w:lvlJc w:val="left"/>
      <w:pPr>
        <w:ind w:left="2880" w:hanging="360"/>
      </w:pPr>
      <w:rPr>
        <w:rFonts w:ascii="Symbol" w:hAnsi="Symbol" w:hint="default"/>
      </w:rPr>
    </w:lvl>
    <w:lvl w:ilvl="4" w:tplc="A51CB4D0">
      <w:start w:val="1"/>
      <w:numFmt w:val="bullet"/>
      <w:lvlText w:val="o"/>
      <w:lvlJc w:val="left"/>
      <w:pPr>
        <w:ind w:left="3600" w:hanging="360"/>
      </w:pPr>
      <w:rPr>
        <w:rFonts w:ascii="Courier New" w:hAnsi="Courier New" w:hint="default"/>
      </w:rPr>
    </w:lvl>
    <w:lvl w:ilvl="5" w:tplc="37309800">
      <w:start w:val="1"/>
      <w:numFmt w:val="bullet"/>
      <w:lvlText w:val=""/>
      <w:lvlJc w:val="left"/>
      <w:pPr>
        <w:ind w:left="4320" w:hanging="360"/>
      </w:pPr>
      <w:rPr>
        <w:rFonts w:ascii="Wingdings" w:hAnsi="Wingdings" w:hint="default"/>
      </w:rPr>
    </w:lvl>
    <w:lvl w:ilvl="6" w:tplc="CBDC57DE">
      <w:start w:val="1"/>
      <w:numFmt w:val="bullet"/>
      <w:lvlText w:val=""/>
      <w:lvlJc w:val="left"/>
      <w:pPr>
        <w:ind w:left="5040" w:hanging="360"/>
      </w:pPr>
      <w:rPr>
        <w:rFonts w:ascii="Symbol" w:hAnsi="Symbol" w:hint="default"/>
      </w:rPr>
    </w:lvl>
    <w:lvl w:ilvl="7" w:tplc="3F24ABCE">
      <w:start w:val="1"/>
      <w:numFmt w:val="bullet"/>
      <w:lvlText w:val="o"/>
      <w:lvlJc w:val="left"/>
      <w:pPr>
        <w:ind w:left="5760" w:hanging="360"/>
      </w:pPr>
      <w:rPr>
        <w:rFonts w:ascii="Courier New" w:hAnsi="Courier New" w:hint="default"/>
      </w:rPr>
    </w:lvl>
    <w:lvl w:ilvl="8" w:tplc="81AAFA4C">
      <w:start w:val="1"/>
      <w:numFmt w:val="bullet"/>
      <w:lvlText w:val=""/>
      <w:lvlJc w:val="left"/>
      <w:pPr>
        <w:ind w:left="6480" w:hanging="360"/>
      </w:pPr>
      <w:rPr>
        <w:rFonts w:ascii="Wingdings" w:hAnsi="Wingdings" w:hint="default"/>
      </w:rPr>
    </w:lvl>
  </w:abstractNum>
  <w:abstractNum w:abstractNumId="2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73E5B"/>
    <w:multiLevelType w:val="hybridMultilevel"/>
    <w:tmpl w:val="F1BE9E00"/>
    <w:lvl w:ilvl="0" w:tplc="F516F7C4">
      <w:start w:val="1"/>
      <w:numFmt w:val="bullet"/>
      <w:lvlText w:val="&gt;"/>
      <w:lvlJc w:val="left"/>
      <w:pPr>
        <w:tabs>
          <w:tab w:val="num" w:pos="295"/>
        </w:tabs>
        <w:ind w:left="295" w:hanging="295"/>
      </w:pPr>
      <w:rPr>
        <w:rFonts w:ascii="HelveticaNeueLT Std Lt" w:hAnsi="HelveticaNeueLT Std Lt" w:hint="default"/>
        <w:sz w:val="20"/>
      </w:rPr>
    </w:lvl>
    <w:lvl w:ilvl="1" w:tplc="E5AEE2F4">
      <w:numFmt w:val="decimal"/>
      <w:lvlText w:val=""/>
      <w:lvlJc w:val="left"/>
    </w:lvl>
    <w:lvl w:ilvl="2" w:tplc="3F0066B2">
      <w:numFmt w:val="decimal"/>
      <w:lvlText w:val=""/>
      <w:lvlJc w:val="left"/>
    </w:lvl>
    <w:lvl w:ilvl="3" w:tplc="0C090001">
      <w:start w:val="1"/>
      <w:numFmt w:val="bullet"/>
      <w:lvlText w:val=""/>
      <w:lvlJc w:val="left"/>
      <w:rPr>
        <w:rFonts w:ascii="Symbol" w:hAnsi="Symbol" w:hint="default"/>
      </w:rPr>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BE7E88C0">
      <w:numFmt w:val="decimal"/>
      <w:lvlText w:val=""/>
      <w:lvlJc w:val="left"/>
    </w:lvl>
  </w:abstractNum>
  <w:abstractNum w:abstractNumId="2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617DC"/>
    <w:multiLevelType w:val="hybridMultilevel"/>
    <w:tmpl w:val="FFFFFFFF"/>
    <w:lvl w:ilvl="0" w:tplc="11E6E172">
      <w:start w:val="1"/>
      <w:numFmt w:val="bullet"/>
      <w:lvlText w:val="&gt;"/>
      <w:lvlJc w:val="left"/>
      <w:pPr>
        <w:ind w:left="720" w:hanging="360"/>
      </w:pPr>
      <w:rPr>
        <w:rFonts w:ascii="HelveticaNeueLT Std Lt" w:hAnsi="HelveticaNeueLT Std Lt" w:hint="default"/>
      </w:rPr>
    </w:lvl>
    <w:lvl w:ilvl="1" w:tplc="5430303E">
      <w:start w:val="1"/>
      <w:numFmt w:val="bullet"/>
      <w:lvlText w:val="o"/>
      <w:lvlJc w:val="left"/>
      <w:pPr>
        <w:ind w:left="1440" w:hanging="360"/>
      </w:pPr>
      <w:rPr>
        <w:rFonts w:ascii="Courier New" w:hAnsi="Courier New" w:hint="default"/>
      </w:rPr>
    </w:lvl>
    <w:lvl w:ilvl="2" w:tplc="433E18F2">
      <w:start w:val="1"/>
      <w:numFmt w:val="bullet"/>
      <w:lvlText w:val=""/>
      <w:lvlJc w:val="left"/>
      <w:pPr>
        <w:ind w:left="2160" w:hanging="360"/>
      </w:pPr>
      <w:rPr>
        <w:rFonts w:ascii="Wingdings" w:hAnsi="Wingdings" w:hint="default"/>
      </w:rPr>
    </w:lvl>
    <w:lvl w:ilvl="3" w:tplc="74988672">
      <w:start w:val="1"/>
      <w:numFmt w:val="bullet"/>
      <w:lvlText w:val=""/>
      <w:lvlJc w:val="left"/>
      <w:pPr>
        <w:ind w:left="2880" w:hanging="360"/>
      </w:pPr>
      <w:rPr>
        <w:rFonts w:ascii="Symbol" w:hAnsi="Symbol" w:hint="default"/>
      </w:rPr>
    </w:lvl>
    <w:lvl w:ilvl="4" w:tplc="5BC646E2">
      <w:start w:val="1"/>
      <w:numFmt w:val="bullet"/>
      <w:lvlText w:val="o"/>
      <w:lvlJc w:val="left"/>
      <w:pPr>
        <w:ind w:left="3600" w:hanging="360"/>
      </w:pPr>
      <w:rPr>
        <w:rFonts w:ascii="Courier New" w:hAnsi="Courier New" w:hint="default"/>
      </w:rPr>
    </w:lvl>
    <w:lvl w:ilvl="5" w:tplc="A5C067A4">
      <w:start w:val="1"/>
      <w:numFmt w:val="bullet"/>
      <w:lvlText w:val=""/>
      <w:lvlJc w:val="left"/>
      <w:pPr>
        <w:ind w:left="4320" w:hanging="360"/>
      </w:pPr>
      <w:rPr>
        <w:rFonts w:ascii="Wingdings" w:hAnsi="Wingdings" w:hint="default"/>
      </w:rPr>
    </w:lvl>
    <w:lvl w:ilvl="6" w:tplc="7D523666">
      <w:start w:val="1"/>
      <w:numFmt w:val="bullet"/>
      <w:lvlText w:val=""/>
      <w:lvlJc w:val="left"/>
      <w:pPr>
        <w:ind w:left="5040" w:hanging="360"/>
      </w:pPr>
      <w:rPr>
        <w:rFonts w:ascii="Symbol" w:hAnsi="Symbol" w:hint="default"/>
      </w:rPr>
    </w:lvl>
    <w:lvl w:ilvl="7" w:tplc="521204F4">
      <w:start w:val="1"/>
      <w:numFmt w:val="bullet"/>
      <w:lvlText w:val="o"/>
      <w:lvlJc w:val="left"/>
      <w:pPr>
        <w:ind w:left="5760" w:hanging="360"/>
      </w:pPr>
      <w:rPr>
        <w:rFonts w:ascii="Courier New" w:hAnsi="Courier New" w:hint="default"/>
      </w:rPr>
    </w:lvl>
    <w:lvl w:ilvl="8" w:tplc="5ECAD85A">
      <w:start w:val="1"/>
      <w:numFmt w:val="bullet"/>
      <w:lvlText w:val=""/>
      <w:lvlJc w:val="left"/>
      <w:pPr>
        <w:ind w:left="6480" w:hanging="360"/>
      </w:pPr>
      <w:rPr>
        <w:rFonts w:ascii="Wingdings" w:hAnsi="Wingdings" w:hint="default"/>
      </w:rPr>
    </w:lvl>
  </w:abstractNum>
  <w:abstractNum w:abstractNumId="26" w15:restartNumberingAfterBreak="0">
    <w:nsid w:val="6BE459F2"/>
    <w:multiLevelType w:val="hybridMultilevel"/>
    <w:tmpl w:val="CD723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115B1"/>
    <w:multiLevelType w:val="hybridMultilevel"/>
    <w:tmpl w:val="BFE2E2F6"/>
    <w:lvl w:ilvl="0" w:tplc="B5924CF4">
      <w:start w:val="1"/>
      <w:numFmt w:val="bullet"/>
      <w:lvlText w:val="&gt;"/>
      <w:lvlJc w:val="left"/>
      <w:pPr>
        <w:ind w:left="720" w:hanging="360"/>
      </w:pPr>
      <w:rPr>
        <w:rFonts w:ascii="HelveticaNeueLT Std Lt" w:hAnsi="HelveticaNeueLT Std Lt" w:hint="default"/>
      </w:rPr>
    </w:lvl>
    <w:lvl w:ilvl="1" w:tplc="BC929D74">
      <w:start w:val="1"/>
      <w:numFmt w:val="bullet"/>
      <w:lvlText w:val="o"/>
      <w:lvlJc w:val="left"/>
      <w:pPr>
        <w:ind w:left="1440" w:hanging="360"/>
      </w:pPr>
      <w:rPr>
        <w:rFonts w:ascii="Courier New" w:hAnsi="Courier New" w:hint="default"/>
      </w:rPr>
    </w:lvl>
    <w:lvl w:ilvl="2" w:tplc="D58C0D40">
      <w:start w:val="1"/>
      <w:numFmt w:val="bullet"/>
      <w:lvlText w:val=""/>
      <w:lvlJc w:val="left"/>
      <w:pPr>
        <w:ind w:left="2160" w:hanging="360"/>
      </w:pPr>
      <w:rPr>
        <w:rFonts w:ascii="Wingdings" w:hAnsi="Wingdings" w:hint="default"/>
      </w:rPr>
    </w:lvl>
    <w:lvl w:ilvl="3" w:tplc="CD5E0532">
      <w:start w:val="1"/>
      <w:numFmt w:val="bullet"/>
      <w:lvlText w:val=""/>
      <w:lvlJc w:val="left"/>
      <w:pPr>
        <w:ind w:left="2880" w:hanging="360"/>
      </w:pPr>
      <w:rPr>
        <w:rFonts w:ascii="Symbol" w:hAnsi="Symbol" w:hint="default"/>
      </w:rPr>
    </w:lvl>
    <w:lvl w:ilvl="4" w:tplc="8F007598">
      <w:start w:val="1"/>
      <w:numFmt w:val="bullet"/>
      <w:lvlText w:val="o"/>
      <w:lvlJc w:val="left"/>
      <w:pPr>
        <w:ind w:left="3600" w:hanging="360"/>
      </w:pPr>
      <w:rPr>
        <w:rFonts w:ascii="Courier New" w:hAnsi="Courier New" w:hint="default"/>
      </w:rPr>
    </w:lvl>
    <w:lvl w:ilvl="5" w:tplc="E230104E">
      <w:start w:val="1"/>
      <w:numFmt w:val="bullet"/>
      <w:lvlText w:val=""/>
      <w:lvlJc w:val="left"/>
      <w:pPr>
        <w:ind w:left="4320" w:hanging="360"/>
      </w:pPr>
      <w:rPr>
        <w:rFonts w:ascii="Wingdings" w:hAnsi="Wingdings" w:hint="default"/>
      </w:rPr>
    </w:lvl>
    <w:lvl w:ilvl="6" w:tplc="D370223E">
      <w:start w:val="1"/>
      <w:numFmt w:val="bullet"/>
      <w:lvlText w:val=""/>
      <w:lvlJc w:val="left"/>
      <w:pPr>
        <w:ind w:left="5040" w:hanging="360"/>
      </w:pPr>
      <w:rPr>
        <w:rFonts w:ascii="Symbol" w:hAnsi="Symbol" w:hint="default"/>
      </w:rPr>
    </w:lvl>
    <w:lvl w:ilvl="7" w:tplc="2118F5CA">
      <w:start w:val="1"/>
      <w:numFmt w:val="bullet"/>
      <w:lvlText w:val="o"/>
      <w:lvlJc w:val="left"/>
      <w:pPr>
        <w:ind w:left="5760" w:hanging="360"/>
      </w:pPr>
      <w:rPr>
        <w:rFonts w:ascii="Courier New" w:hAnsi="Courier New" w:hint="default"/>
      </w:rPr>
    </w:lvl>
    <w:lvl w:ilvl="8" w:tplc="11624014">
      <w:start w:val="1"/>
      <w:numFmt w:val="bullet"/>
      <w:lvlText w:val=""/>
      <w:lvlJc w:val="left"/>
      <w:pPr>
        <w:ind w:left="6480" w:hanging="360"/>
      </w:pPr>
      <w:rPr>
        <w:rFonts w:ascii="Wingdings" w:hAnsi="Wingdings" w:hint="default"/>
      </w:rPr>
    </w:lvl>
  </w:abstractNum>
  <w:abstractNum w:abstractNumId="29" w15:restartNumberingAfterBreak="0">
    <w:nsid w:val="710A5E88"/>
    <w:multiLevelType w:val="hybridMultilevel"/>
    <w:tmpl w:val="8066519A"/>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61F56"/>
    <w:multiLevelType w:val="hybridMultilevel"/>
    <w:tmpl w:val="C1F69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F700F3"/>
    <w:multiLevelType w:val="hybridMultilevel"/>
    <w:tmpl w:val="25FC797A"/>
    <w:lvl w:ilvl="0" w:tplc="BFF46CA4">
      <w:start w:val="1"/>
      <w:numFmt w:val="bullet"/>
      <w:lvlText w:val="&gt;"/>
      <w:lvlJc w:val="left"/>
      <w:pPr>
        <w:ind w:left="720" w:hanging="360"/>
      </w:pPr>
      <w:rPr>
        <w:rFonts w:ascii="HelveticaNeueLT Std Lt" w:hAnsi="HelveticaNeueLT Std Lt" w:hint="default"/>
      </w:rPr>
    </w:lvl>
    <w:lvl w:ilvl="1" w:tplc="31701CC4">
      <w:start w:val="1"/>
      <w:numFmt w:val="bullet"/>
      <w:lvlText w:val="o"/>
      <w:lvlJc w:val="left"/>
      <w:pPr>
        <w:ind w:left="1440" w:hanging="360"/>
      </w:pPr>
      <w:rPr>
        <w:rFonts w:ascii="Courier New" w:hAnsi="Courier New" w:hint="default"/>
      </w:rPr>
    </w:lvl>
    <w:lvl w:ilvl="2" w:tplc="FA2E4E00">
      <w:start w:val="1"/>
      <w:numFmt w:val="bullet"/>
      <w:lvlText w:val=""/>
      <w:lvlJc w:val="left"/>
      <w:pPr>
        <w:ind w:left="2160" w:hanging="360"/>
      </w:pPr>
      <w:rPr>
        <w:rFonts w:ascii="Wingdings" w:hAnsi="Wingdings" w:hint="default"/>
      </w:rPr>
    </w:lvl>
    <w:lvl w:ilvl="3" w:tplc="E6AAC96E">
      <w:start w:val="1"/>
      <w:numFmt w:val="bullet"/>
      <w:lvlText w:val=""/>
      <w:lvlJc w:val="left"/>
      <w:pPr>
        <w:ind w:left="2880" w:hanging="360"/>
      </w:pPr>
      <w:rPr>
        <w:rFonts w:ascii="Symbol" w:hAnsi="Symbol" w:hint="default"/>
      </w:rPr>
    </w:lvl>
    <w:lvl w:ilvl="4" w:tplc="15D61E8E">
      <w:start w:val="1"/>
      <w:numFmt w:val="bullet"/>
      <w:lvlText w:val="o"/>
      <w:lvlJc w:val="left"/>
      <w:pPr>
        <w:ind w:left="3600" w:hanging="360"/>
      </w:pPr>
      <w:rPr>
        <w:rFonts w:ascii="Courier New" w:hAnsi="Courier New" w:hint="default"/>
      </w:rPr>
    </w:lvl>
    <w:lvl w:ilvl="5" w:tplc="7EF2ABF0">
      <w:start w:val="1"/>
      <w:numFmt w:val="bullet"/>
      <w:lvlText w:val=""/>
      <w:lvlJc w:val="left"/>
      <w:pPr>
        <w:ind w:left="4320" w:hanging="360"/>
      </w:pPr>
      <w:rPr>
        <w:rFonts w:ascii="Wingdings" w:hAnsi="Wingdings" w:hint="default"/>
      </w:rPr>
    </w:lvl>
    <w:lvl w:ilvl="6" w:tplc="9432E91A">
      <w:start w:val="1"/>
      <w:numFmt w:val="bullet"/>
      <w:lvlText w:val=""/>
      <w:lvlJc w:val="left"/>
      <w:pPr>
        <w:ind w:left="5040" w:hanging="360"/>
      </w:pPr>
      <w:rPr>
        <w:rFonts w:ascii="Symbol" w:hAnsi="Symbol" w:hint="default"/>
      </w:rPr>
    </w:lvl>
    <w:lvl w:ilvl="7" w:tplc="34AABFFE">
      <w:start w:val="1"/>
      <w:numFmt w:val="bullet"/>
      <w:lvlText w:val="o"/>
      <w:lvlJc w:val="left"/>
      <w:pPr>
        <w:ind w:left="5760" w:hanging="360"/>
      </w:pPr>
      <w:rPr>
        <w:rFonts w:ascii="Courier New" w:hAnsi="Courier New" w:hint="default"/>
      </w:rPr>
    </w:lvl>
    <w:lvl w:ilvl="8" w:tplc="14EC14E6">
      <w:start w:val="1"/>
      <w:numFmt w:val="bullet"/>
      <w:lvlText w:val=""/>
      <w:lvlJc w:val="left"/>
      <w:pPr>
        <w:ind w:left="6480" w:hanging="360"/>
      </w:pPr>
      <w:rPr>
        <w:rFonts w:ascii="Wingdings" w:hAnsi="Wingdings" w:hint="default"/>
      </w:rPr>
    </w:lvl>
  </w:abstractNum>
  <w:abstractNum w:abstractNumId="32" w15:restartNumberingAfterBreak="0">
    <w:nsid w:val="795F7CA3"/>
    <w:multiLevelType w:val="hybridMultilevel"/>
    <w:tmpl w:val="93FCAD1E"/>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322B3"/>
    <w:multiLevelType w:val="hybridMultilevel"/>
    <w:tmpl w:val="CEF2AC2A"/>
    <w:lvl w:ilvl="0" w:tplc="476EB348">
      <w:start w:val="1"/>
      <w:numFmt w:val="bullet"/>
      <w:lvlText w:val="&gt;"/>
      <w:lvlJc w:val="left"/>
      <w:pPr>
        <w:ind w:left="720" w:hanging="360"/>
      </w:pPr>
      <w:rPr>
        <w:rFonts w:ascii="HelveticaNeueLT Std Lt" w:hAnsi="HelveticaNeueLT Std Lt" w:hint="default"/>
      </w:rPr>
    </w:lvl>
    <w:lvl w:ilvl="1" w:tplc="65BC497C">
      <w:start w:val="1"/>
      <w:numFmt w:val="bullet"/>
      <w:lvlText w:val="o"/>
      <w:lvlJc w:val="left"/>
      <w:pPr>
        <w:ind w:left="1440" w:hanging="360"/>
      </w:pPr>
      <w:rPr>
        <w:rFonts w:ascii="Courier New" w:hAnsi="Courier New" w:hint="default"/>
      </w:rPr>
    </w:lvl>
    <w:lvl w:ilvl="2" w:tplc="84AE761E">
      <w:start w:val="1"/>
      <w:numFmt w:val="bullet"/>
      <w:lvlText w:val=""/>
      <w:lvlJc w:val="left"/>
      <w:pPr>
        <w:ind w:left="2160" w:hanging="360"/>
      </w:pPr>
      <w:rPr>
        <w:rFonts w:ascii="Wingdings" w:hAnsi="Wingdings" w:hint="default"/>
      </w:rPr>
    </w:lvl>
    <w:lvl w:ilvl="3" w:tplc="F24E60CE">
      <w:start w:val="1"/>
      <w:numFmt w:val="bullet"/>
      <w:lvlText w:val=""/>
      <w:lvlJc w:val="left"/>
      <w:pPr>
        <w:ind w:left="2880" w:hanging="360"/>
      </w:pPr>
      <w:rPr>
        <w:rFonts w:ascii="Symbol" w:hAnsi="Symbol" w:hint="default"/>
      </w:rPr>
    </w:lvl>
    <w:lvl w:ilvl="4" w:tplc="50DEC476">
      <w:start w:val="1"/>
      <w:numFmt w:val="bullet"/>
      <w:lvlText w:val="o"/>
      <w:lvlJc w:val="left"/>
      <w:pPr>
        <w:ind w:left="3600" w:hanging="360"/>
      </w:pPr>
      <w:rPr>
        <w:rFonts w:ascii="Courier New" w:hAnsi="Courier New" w:hint="default"/>
      </w:rPr>
    </w:lvl>
    <w:lvl w:ilvl="5" w:tplc="8E2A4B12">
      <w:start w:val="1"/>
      <w:numFmt w:val="bullet"/>
      <w:lvlText w:val=""/>
      <w:lvlJc w:val="left"/>
      <w:pPr>
        <w:ind w:left="4320" w:hanging="360"/>
      </w:pPr>
      <w:rPr>
        <w:rFonts w:ascii="Wingdings" w:hAnsi="Wingdings" w:hint="default"/>
      </w:rPr>
    </w:lvl>
    <w:lvl w:ilvl="6" w:tplc="515CA12C">
      <w:start w:val="1"/>
      <w:numFmt w:val="bullet"/>
      <w:lvlText w:val=""/>
      <w:lvlJc w:val="left"/>
      <w:pPr>
        <w:ind w:left="5040" w:hanging="360"/>
      </w:pPr>
      <w:rPr>
        <w:rFonts w:ascii="Symbol" w:hAnsi="Symbol" w:hint="default"/>
      </w:rPr>
    </w:lvl>
    <w:lvl w:ilvl="7" w:tplc="A080EAEE">
      <w:start w:val="1"/>
      <w:numFmt w:val="bullet"/>
      <w:lvlText w:val="o"/>
      <w:lvlJc w:val="left"/>
      <w:pPr>
        <w:ind w:left="5760" w:hanging="360"/>
      </w:pPr>
      <w:rPr>
        <w:rFonts w:ascii="Courier New" w:hAnsi="Courier New" w:hint="default"/>
      </w:rPr>
    </w:lvl>
    <w:lvl w:ilvl="8" w:tplc="42C4EE32">
      <w:start w:val="1"/>
      <w:numFmt w:val="bullet"/>
      <w:lvlText w:val=""/>
      <w:lvlJc w:val="left"/>
      <w:pPr>
        <w:ind w:left="6480" w:hanging="360"/>
      </w:pPr>
      <w:rPr>
        <w:rFonts w:ascii="Wingdings" w:hAnsi="Wingdings" w:hint="default"/>
      </w:rPr>
    </w:lvl>
  </w:abstractNum>
  <w:abstractNum w:abstractNumId="34" w15:restartNumberingAfterBreak="0">
    <w:nsid w:val="7F2330B7"/>
    <w:multiLevelType w:val="hybridMultilevel"/>
    <w:tmpl w:val="53BA6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31"/>
  </w:num>
  <w:num w:numId="4">
    <w:abstractNumId w:val="2"/>
  </w:num>
  <w:num w:numId="5">
    <w:abstractNumId w:val="1"/>
  </w:num>
  <w:num w:numId="6">
    <w:abstractNumId w:val="0"/>
  </w:num>
  <w:num w:numId="7">
    <w:abstractNumId w:val="13"/>
  </w:num>
  <w:num w:numId="8">
    <w:abstractNumId w:val="24"/>
  </w:num>
  <w:num w:numId="9">
    <w:abstractNumId w:val="21"/>
  </w:num>
  <w:num w:numId="10">
    <w:abstractNumId w:val="23"/>
  </w:num>
  <w:num w:numId="11">
    <w:abstractNumId w:val="27"/>
  </w:num>
  <w:num w:numId="12">
    <w:abstractNumId w:val="8"/>
  </w:num>
  <w:num w:numId="13">
    <w:abstractNumId w:val="15"/>
  </w:num>
  <w:num w:numId="14">
    <w:abstractNumId w:val="19"/>
  </w:num>
  <w:num w:numId="15">
    <w:abstractNumId w:val="10"/>
  </w:num>
  <w:num w:numId="16">
    <w:abstractNumId w:val="14"/>
  </w:num>
  <w:num w:numId="17">
    <w:abstractNumId w:val="25"/>
  </w:num>
  <w:num w:numId="18">
    <w:abstractNumId w:val="16"/>
  </w:num>
  <w:num w:numId="19">
    <w:abstractNumId w:val="7"/>
  </w:num>
  <w:num w:numId="20">
    <w:abstractNumId w:val="11"/>
  </w:num>
  <w:num w:numId="21">
    <w:abstractNumId w:val="33"/>
  </w:num>
  <w:num w:numId="22">
    <w:abstractNumId w:val="12"/>
  </w:num>
  <w:num w:numId="23">
    <w:abstractNumId w:val="26"/>
  </w:num>
  <w:num w:numId="24">
    <w:abstractNumId w:val="18"/>
  </w:num>
  <w:num w:numId="25">
    <w:abstractNumId w:val="34"/>
  </w:num>
  <w:num w:numId="26">
    <w:abstractNumId w:val="4"/>
  </w:num>
  <w:num w:numId="27">
    <w:abstractNumId w:val="9"/>
  </w:num>
  <w:num w:numId="28">
    <w:abstractNumId w:val="32"/>
  </w:num>
  <w:num w:numId="29">
    <w:abstractNumId w:val="2"/>
  </w:num>
  <w:num w:numId="30">
    <w:abstractNumId w:val="2"/>
  </w:num>
  <w:num w:numId="31">
    <w:abstractNumId w:val="2"/>
  </w:num>
  <w:num w:numId="32">
    <w:abstractNumId w:val="2"/>
  </w:num>
  <w:num w:numId="33">
    <w:abstractNumId w:val="2"/>
  </w:num>
  <w:num w:numId="34">
    <w:abstractNumId w:val="3"/>
  </w:num>
  <w:num w:numId="35">
    <w:abstractNumId w:val="6"/>
  </w:num>
  <w:num w:numId="36">
    <w:abstractNumId w:val="27"/>
  </w:num>
  <w:num w:numId="37">
    <w:abstractNumId w:val="22"/>
  </w:num>
  <w:num w:numId="38">
    <w:abstractNumId w:val="17"/>
  </w:num>
  <w:num w:numId="39">
    <w:abstractNumId w:val="2"/>
  </w:num>
  <w:num w:numId="40">
    <w:abstractNumId w:val="29"/>
  </w:num>
  <w:num w:numId="41">
    <w:abstractNumId w:val="28"/>
  </w:num>
  <w:num w:numId="42">
    <w:abstractNumId w:val="30"/>
  </w:num>
  <w:num w:numId="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DB"/>
    <w:rsid w:val="0000061C"/>
    <w:rsid w:val="00000ADD"/>
    <w:rsid w:val="00000C62"/>
    <w:rsid w:val="00000DBD"/>
    <w:rsid w:val="00001650"/>
    <w:rsid w:val="00002180"/>
    <w:rsid w:val="00002262"/>
    <w:rsid w:val="00002D71"/>
    <w:rsid w:val="000030B8"/>
    <w:rsid w:val="0000421A"/>
    <w:rsid w:val="000049DA"/>
    <w:rsid w:val="0000550D"/>
    <w:rsid w:val="000055BF"/>
    <w:rsid w:val="000057E8"/>
    <w:rsid w:val="0000592E"/>
    <w:rsid w:val="000062E2"/>
    <w:rsid w:val="00006985"/>
    <w:rsid w:val="00006C65"/>
    <w:rsid w:val="00006F9B"/>
    <w:rsid w:val="00007FB2"/>
    <w:rsid w:val="000101B2"/>
    <w:rsid w:val="00010667"/>
    <w:rsid w:val="00011022"/>
    <w:rsid w:val="000110A4"/>
    <w:rsid w:val="00011148"/>
    <w:rsid w:val="000115DA"/>
    <w:rsid w:val="00011C29"/>
    <w:rsid w:val="00011CDA"/>
    <w:rsid w:val="00012070"/>
    <w:rsid w:val="00012375"/>
    <w:rsid w:val="000123C2"/>
    <w:rsid w:val="00012455"/>
    <w:rsid w:val="000126C5"/>
    <w:rsid w:val="000127BC"/>
    <w:rsid w:val="00012841"/>
    <w:rsid w:val="000129D5"/>
    <w:rsid w:val="00013385"/>
    <w:rsid w:val="000145C1"/>
    <w:rsid w:val="000147C7"/>
    <w:rsid w:val="00014EAE"/>
    <w:rsid w:val="0001536D"/>
    <w:rsid w:val="00015AE7"/>
    <w:rsid w:val="00015F61"/>
    <w:rsid w:val="000161DF"/>
    <w:rsid w:val="00016286"/>
    <w:rsid w:val="000169B1"/>
    <w:rsid w:val="00016E21"/>
    <w:rsid w:val="00016EC8"/>
    <w:rsid w:val="0001719C"/>
    <w:rsid w:val="00017219"/>
    <w:rsid w:val="000177E1"/>
    <w:rsid w:val="00017970"/>
    <w:rsid w:val="00017F2C"/>
    <w:rsid w:val="0002093C"/>
    <w:rsid w:val="00020C84"/>
    <w:rsid w:val="00021C4E"/>
    <w:rsid w:val="0002224E"/>
    <w:rsid w:val="00022533"/>
    <w:rsid w:val="00022812"/>
    <w:rsid w:val="00022857"/>
    <w:rsid w:val="00022935"/>
    <w:rsid w:val="00022A0D"/>
    <w:rsid w:val="00022D27"/>
    <w:rsid w:val="00023932"/>
    <w:rsid w:val="00023E7E"/>
    <w:rsid w:val="00024552"/>
    <w:rsid w:val="000245E5"/>
    <w:rsid w:val="000256B5"/>
    <w:rsid w:val="00026F91"/>
    <w:rsid w:val="00026FAE"/>
    <w:rsid w:val="00027919"/>
    <w:rsid w:val="00027A1D"/>
    <w:rsid w:val="00027BAD"/>
    <w:rsid w:val="00030B07"/>
    <w:rsid w:val="00030BC3"/>
    <w:rsid w:val="00030BD4"/>
    <w:rsid w:val="00030EF4"/>
    <w:rsid w:val="00031143"/>
    <w:rsid w:val="000312DA"/>
    <w:rsid w:val="00031BD0"/>
    <w:rsid w:val="0003203A"/>
    <w:rsid w:val="00032621"/>
    <w:rsid w:val="000326CD"/>
    <w:rsid w:val="00032E08"/>
    <w:rsid w:val="00032FE0"/>
    <w:rsid w:val="00033080"/>
    <w:rsid w:val="000338AF"/>
    <w:rsid w:val="00033B87"/>
    <w:rsid w:val="00033D3B"/>
    <w:rsid w:val="000343BE"/>
    <w:rsid w:val="000343C6"/>
    <w:rsid w:val="000344CC"/>
    <w:rsid w:val="0003484D"/>
    <w:rsid w:val="00034910"/>
    <w:rsid w:val="000355DB"/>
    <w:rsid w:val="00035644"/>
    <w:rsid w:val="000356EC"/>
    <w:rsid w:val="000362EC"/>
    <w:rsid w:val="00036752"/>
    <w:rsid w:val="00036CB5"/>
    <w:rsid w:val="00037D58"/>
    <w:rsid w:val="0004080A"/>
    <w:rsid w:val="00041DF8"/>
    <w:rsid w:val="00041F7A"/>
    <w:rsid w:val="00042CCA"/>
    <w:rsid w:val="00042ECD"/>
    <w:rsid w:val="00042FF3"/>
    <w:rsid w:val="0004341E"/>
    <w:rsid w:val="0004421D"/>
    <w:rsid w:val="0004480F"/>
    <w:rsid w:val="00044837"/>
    <w:rsid w:val="000449EF"/>
    <w:rsid w:val="00044D3B"/>
    <w:rsid w:val="00045060"/>
    <w:rsid w:val="00045163"/>
    <w:rsid w:val="00045AAE"/>
    <w:rsid w:val="00045AB9"/>
    <w:rsid w:val="00045D39"/>
    <w:rsid w:val="000461FE"/>
    <w:rsid w:val="00046BAB"/>
    <w:rsid w:val="00046DA5"/>
    <w:rsid w:val="00047187"/>
    <w:rsid w:val="000473FD"/>
    <w:rsid w:val="0004751A"/>
    <w:rsid w:val="0004764C"/>
    <w:rsid w:val="00047977"/>
    <w:rsid w:val="00047D82"/>
    <w:rsid w:val="0005011A"/>
    <w:rsid w:val="000501F6"/>
    <w:rsid w:val="0005045A"/>
    <w:rsid w:val="000505FB"/>
    <w:rsid w:val="000506E3"/>
    <w:rsid w:val="000509B5"/>
    <w:rsid w:val="00050E11"/>
    <w:rsid w:val="00051C1E"/>
    <w:rsid w:val="00051DA5"/>
    <w:rsid w:val="00051F88"/>
    <w:rsid w:val="0005206F"/>
    <w:rsid w:val="00053247"/>
    <w:rsid w:val="0005355E"/>
    <w:rsid w:val="00053741"/>
    <w:rsid w:val="00053979"/>
    <w:rsid w:val="000539F9"/>
    <w:rsid w:val="00053C7A"/>
    <w:rsid w:val="00054818"/>
    <w:rsid w:val="00054A43"/>
    <w:rsid w:val="00054C27"/>
    <w:rsid w:val="00054C50"/>
    <w:rsid w:val="000553E5"/>
    <w:rsid w:val="000555A6"/>
    <w:rsid w:val="0005586E"/>
    <w:rsid w:val="00055EC3"/>
    <w:rsid w:val="000561D2"/>
    <w:rsid w:val="000563CE"/>
    <w:rsid w:val="00056A8D"/>
    <w:rsid w:val="00056C08"/>
    <w:rsid w:val="000571DD"/>
    <w:rsid w:val="00057362"/>
    <w:rsid w:val="0005741A"/>
    <w:rsid w:val="0005765D"/>
    <w:rsid w:val="000577C6"/>
    <w:rsid w:val="000577CE"/>
    <w:rsid w:val="00057BFF"/>
    <w:rsid w:val="00057FFC"/>
    <w:rsid w:val="000602EC"/>
    <w:rsid w:val="00060D29"/>
    <w:rsid w:val="00061013"/>
    <w:rsid w:val="000612F2"/>
    <w:rsid w:val="00061CF1"/>
    <w:rsid w:val="00061E79"/>
    <w:rsid w:val="00062055"/>
    <w:rsid w:val="000624B1"/>
    <w:rsid w:val="0006291B"/>
    <w:rsid w:val="00062BCD"/>
    <w:rsid w:val="000638A2"/>
    <w:rsid w:val="00063A76"/>
    <w:rsid w:val="000649F8"/>
    <w:rsid w:val="00065028"/>
    <w:rsid w:val="00065314"/>
    <w:rsid w:val="00065415"/>
    <w:rsid w:val="0006548A"/>
    <w:rsid w:val="0006558E"/>
    <w:rsid w:val="000656C7"/>
    <w:rsid w:val="000656DF"/>
    <w:rsid w:val="0006597E"/>
    <w:rsid w:val="000659B6"/>
    <w:rsid w:val="00065B08"/>
    <w:rsid w:val="00065F50"/>
    <w:rsid w:val="000660E4"/>
    <w:rsid w:val="0006686F"/>
    <w:rsid w:val="00067218"/>
    <w:rsid w:val="0006722A"/>
    <w:rsid w:val="000675D1"/>
    <w:rsid w:val="000678F3"/>
    <w:rsid w:val="00067EE6"/>
    <w:rsid w:val="0007065E"/>
    <w:rsid w:val="00070A2A"/>
    <w:rsid w:val="00070A7D"/>
    <w:rsid w:val="00070A7E"/>
    <w:rsid w:val="00070BD1"/>
    <w:rsid w:val="00070F2C"/>
    <w:rsid w:val="0007151A"/>
    <w:rsid w:val="00071938"/>
    <w:rsid w:val="00071DCD"/>
    <w:rsid w:val="00071EB2"/>
    <w:rsid w:val="00072733"/>
    <w:rsid w:val="000732CF"/>
    <w:rsid w:val="000738F7"/>
    <w:rsid w:val="00074E52"/>
    <w:rsid w:val="00074E5E"/>
    <w:rsid w:val="00074F50"/>
    <w:rsid w:val="000754BC"/>
    <w:rsid w:val="00075914"/>
    <w:rsid w:val="00075B96"/>
    <w:rsid w:val="00075C86"/>
    <w:rsid w:val="00075F59"/>
    <w:rsid w:val="000766D5"/>
    <w:rsid w:val="00076C38"/>
    <w:rsid w:val="00077175"/>
    <w:rsid w:val="00077210"/>
    <w:rsid w:val="0007738B"/>
    <w:rsid w:val="00077D08"/>
    <w:rsid w:val="00077DC6"/>
    <w:rsid w:val="000806B6"/>
    <w:rsid w:val="00080729"/>
    <w:rsid w:val="00080929"/>
    <w:rsid w:val="00080981"/>
    <w:rsid w:val="00080CAC"/>
    <w:rsid w:val="00081128"/>
    <w:rsid w:val="00081553"/>
    <w:rsid w:val="000817B7"/>
    <w:rsid w:val="00081888"/>
    <w:rsid w:val="0008196A"/>
    <w:rsid w:val="00081D72"/>
    <w:rsid w:val="00082CF0"/>
    <w:rsid w:val="00082EFB"/>
    <w:rsid w:val="00083B68"/>
    <w:rsid w:val="00083DB0"/>
    <w:rsid w:val="000844DF"/>
    <w:rsid w:val="00085228"/>
    <w:rsid w:val="000854F4"/>
    <w:rsid w:val="00085B4A"/>
    <w:rsid w:val="00085ED1"/>
    <w:rsid w:val="0008650E"/>
    <w:rsid w:val="00087366"/>
    <w:rsid w:val="000877A8"/>
    <w:rsid w:val="00087ACA"/>
    <w:rsid w:val="00090076"/>
    <w:rsid w:val="00090470"/>
    <w:rsid w:val="00090AAF"/>
    <w:rsid w:val="000915ED"/>
    <w:rsid w:val="0009180B"/>
    <w:rsid w:val="00091880"/>
    <w:rsid w:val="0009192F"/>
    <w:rsid w:val="0009209D"/>
    <w:rsid w:val="00092458"/>
    <w:rsid w:val="0009257D"/>
    <w:rsid w:val="0009292A"/>
    <w:rsid w:val="00092C0F"/>
    <w:rsid w:val="00092C96"/>
    <w:rsid w:val="00092D67"/>
    <w:rsid w:val="00092EF7"/>
    <w:rsid w:val="0009324D"/>
    <w:rsid w:val="00093B08"/>
    <w:rsid w:val="00093EE0"/>
    <w:rsid w:val="00093F9D"/>
    <w:rsid w:val="00094332"/>
    <w:rsid w:val="0009463C"/>
    <w:rsid w:val="00094882"/>
    <w:rsid w:val="00094D26"/>
    <w:rsid w:val="000954CA"/>
    <w:rsid w:val="00095743"/>
    <w:rsid w:val="00095819"/>
    <w:rsid w:val="00095E59"/>
    <w:rsid w:val="00096925"/>
    <w:rsid w:val="000969B2"/>
    <w:rsid w:val="000969BD"/>
    <w:rsid w:val="000969BF"/>
    <w:rsid w:val="000973E5"/>
    <w:rsid w:val="000975E6"/>
    <w:rsid w:val="00097DD7"/>
    <w:rsid w:val="00097F88"/>
    <w:rsid w:val="000A0078"/>
    <w:rsid w:val="000A0182"/>
    <w:rsid w:val="000A0956"/>
    <w:rsid w:val="000A0C22"/>
    <w:rsid w:val="000A10C5"/>
    <w:rsid w:val="000A11F5"/>
    <w:rsid w:val="000A12DD"/>
    <w:rsid w:val="000A1400"/>
    <w:rsid w:val="000A1982"/>
    <w:rsid w:val="000A1C15"/>
    <w:rsid w:val="000A2EED"/>
    <w:rsid w:val="000A37C6"/>
    <w:rsid w:val="000A3C43"/>
    <w:rsid w:val="000A4363"/>
    <w:rsid w:val="000A4433"/>
    <w:rsid w:val="000A46B8"/>
    <w:rsid w:val="000A4A51"/>
    <w:rsid w:val="000A5D2B"/>
    <w:rsid w:val="000A62B2"/>
    <w:rsid w:val="000A649F"/>
    <w:rsid w:val="000A6B38"/>
    <w:rsid w:val="000A6B83"/>
    <w:rsid w:val="000A7726"/>
    <w:rsid w:val="000A7825"/>
    <w:rsid w:val="000B0CDB"/>
    <w:rsid w:val="000B1E1C"/>
    <w:rsid w:val="000B1EDF"/>
    <w:rsid w:val="000B1FA6"/>
    <w:rsid w:val="000B1FDB"/>
    <w:rsid w:val="000B307B"/>
    <w:rsid w:val="000B3A20"/>
    <w:rsid w:val="000B3AF7"/>
    <w:rsid w:val="000B3C28"/>
    <w:rsid w:val="000B3C3F"/>
    <w:rsid w:val="000B3EFA"/>
    <w:rsid w:val="000B3F11"/>
    <w:rsid w:val="000B44E1"/>
    <w:rsid w:val="000B4664"/>
    <w:rsid w:val="000B52DB"/>
    <w:rsid w:val="000B564E"/>
    <w:rsid w:val="000B5DE3"/>
    <w:rsid w:val="000B6014"/>
    <w:rsid w:val="000B640E"/>
    <w:rsid w:val="000B679E"/>
    <w:rsid w:val="000B6C9B"/>
    <w:rsid w:val="000B7417"/>
    <w:rsid w:val="000B7474"/>
    <w:rsid w:val="000B74D5"/>
    <w:rsid w:val="000B7798"/>
    <w:rsid w:val="000B7DA4"/>
    <w:rsid w:val="000C01AA"/>
    <w:rsid w:val="000C0797"/>
    <w:rsid w:val="000C0A2E"/>
    <w:rsid w:val="000C0A57"/>
    <w:rsid w:val="000C0BAE"/>
    <w:rsid w:val="000C1687"/>
    <w:rsid w:val="000C179A"/>
    <w:rsid w:val="000C2150"/>
    <w:rsid w:val="000C230C"/>
    <w:rsid w:val="000C26E7"/>
    <w:rsid w:val="000C3381"/>
    <w:rsid w:val="000C3513"/>
    <w:rsid w:val="000C4EDF"/>
    <w:rsid w:val="000C50EF"/>
    <w:rsid w:val="000C55BB"/>
    <w:rsid w:val="000C5828"/>
    <w:rsid w:val="000C5B4F"/>
    <w:rsid w:val="000C5B51"/>
    <w:rsid w:val="000C6363"/>
    <w:rsid w:val="000C69B9"/>
    <w:rsid w:val="000C6AB4"/>
    <w:rsid w:val="000C6D91"/>
    <w:rsid w:val="000C77CD"/>
    <w:rsid w:val="000C7F7A"/>
    <w:rsid w:val="000D02F8"/>
    <w:rsid w:val="000D080F"/>
    <w:rsid w:val="000D0984"/>
    <w:rsid w:val="000D0D1F"/>
    <w:rsid w:val="000D1437"/>
    <w:rsid w:val="000D2ABF"/>
    <w:rsid w:val="000D2F38"/>
    <w:rsid w:val="000D316D"/>
    <w:rsid w:val="000D3341"/>
    <w:rsid w:val="000D43C9"/>
    <w:rsid w:val="000D4539"/>
    <w:rsid w:val="000D47C6"/>
    <w:rsid w:val="000D4ADD"/>
    <w:rsid w:val="000D4C29"/>
    <w:rsid w:val="000D4D8C"/>
    <w:rsid w:val="000D5B79"/>
    <w:rsid w:val="000D6070"/>
    <w:rsid w:val="000D609A"/>
    <w:rsid w:val="000D6750"/>
    <w:rsid w:val="000D6BF8"/>
    <w:rsid w:val="000D70DB"/>
    <w:rsid w:val="000D71D9"/>
    <w:rsid w:val="000D72C8"/>
    <w:rsid w:val="000D7676"/>
    <w:rsid w:val="000D76E0"/>
    <w:rsid w:val="000D7B0C"/>
    <w:rsid w:val="000D7BE7"/>
    <w:rsid w:val="000D7E38"/>
    <w:rsid w:val="000D7E8B"/>
    <w:rsid w:val="000D7F8A"/>
    <w:rsid w:val="000D7F97"/>
    <w:rsid w:val="000E058E"/>
    <w:rsid w:val="000E0728"/>
    <w:rsid w:val="000E0909"/>
    <w:rsid w:val="000E0B28"/>
    <w:rsid w:val="000E146E"/>
    <w:rsid w:val="000E158A"/>
    <w:rsid w:val="000E1F7D"/>
    <w:rsid w:val="000E214C"/>
    <w:rsid w:val="000E2D44"/>
    <w:rsid w:val="000E4309"/>
    <w:rsid w:val="000E4449"/>
    <w:rsid w:val="000E47B8"/>
    <w:rsid w:val="000E4F82"/>
    <w:rsid w:val="000E5531"/>
    <w:rsid w:val="000E6097"/>
    <w:rsid w:val="000E70B9"/>
    <w:rsid w:val="000F0BDC"/>
    <w:rsid w:val="000F0CB4"/>
    <w:rsid w:val="000F0D9F"/>
    <w:rsid w:val="000F12CB"/>
    <w:rsid w:val="000F138B"/>
    <w:rsid w:val="000F14FC"/>
    <w:rsid w:val="000F1BC7"/>
    <w:rsid w:val="000F1F65"/>
    <w:rsid w:val="000F2A21"/>
    <w:rsid w:val="000F2CB6"/>
    <w:rsid w:val="000F2DF0"/>
    <w:rsid w:val="000F36C4"/>
    <w:rsid w:val="000F3998"/>
    <w:rsid w:val="000F39DC"/>
    <w:rsid w:val="000F4F27"/>
    <w:rsid w:val="000F5206"/>
    <w:rsid w:val="000F5266"/>
    <w:rsid w:val="000F52D8"/>
    <w:rsid w:val="000F5529"/>
    <w:rsid w:val="000F5867"/>
    <w:rsid w:val="000F5C43"/>
    <w:rsid w:val="000F5D54"/>
    <w:rsid w:val="000F735E"/>
    <w:rsid w:val="000F7D43"/>
    <w:rsid w:val="000F7F9F"/>
    <w:rsid w:val="001009C3"/>
    <w:rsid w:val="001009E1"/>
    <w:rsid w:val="00100E02"/>
    <w:rsid w:val="001016C9"/>
    <w:rsid w:val="00101E64"/>
    <w:rsid w:val="00103829"/>
    <w:rsid w:val="0010392D"/>
    <w:rsid w:val="0010407D"/>
    <w:rsid w:val="0010419A"/>
    <w:rsid w:val="0010503D"/>
    <w:rsid w:val="0010562A"/>
    <w:rsid w:val="00105A07"/>
    <w:rsid w:val="00105A33"/>
    <w:rsid w:val="0010611A"/>
    <w:rsid w:val="0010625F"/>
    <w:rsid w:val="00106CD1"/>
    <w:rsid w:val="00107087"/>
    <w:rsid w:val="0010713B"/>
    <w:rsid w:val="0011040A"/>
    <w:rsid w:val="00110AEF"/>
    <w:rsid w:val="0011152B"/>
    <w:rsid w:val="00111664"/>
    <w:rsid w:val="0011175F"/>
    <w:rsid w:val="001118BC"/>
    <w:rsid w:val="001119AF"/>
    <w:rsid w:val="00111FCE"/>
    <w:rsid w:val="001123B1"/>
    <w:rsid w:val="00112D50"/>
    <w:rsid w:val="00113485"/>
    <w:rsid w:val="00113644"/>
    <w:rsid w:val="00113E55"/>
    <w:rsid w:val="001143EE"/>
    <w:rsid w:val="0011483C"/>
    <w:rsid w:val="00114952"/>
    <w:rsid w:val="00115926"/>
    <w:rsid w:val="0011605E"/>
    <w:rsid w:val="0011668A"/>
    <w:rsid w:val="00116DB9"/>
    <w:rsid w:val="00116F79"/>
    <w:rsid w:val="001171E7"/>
    <w:rsid w:val="0011747A"/>
    <w:rsid w:val="00117CE4"/>
    <w:rsid w:val="00117E0A"/>
    <w:rsid w:val="001206B7"/>
    <w:rsid w:val="00120C04"/>
    <w:rsid w:val="00120C93"/>
    <w:rsid w:val="00121889"/>
    <w:rsid w:val="00121B92"/>
    <w:rsid w:val="00121C96"/>
    <w:rsid w:val="0012283D"/>
    <w:rsid w:val="001229A5"/>
    <w:rsid w:val="00123EE1"/>
    <w:rsid w:val="0012421F"/>
    <w:rsid w:val="0012489B"/>
    <w:rsid w:val="00125157"/>
    <w:rsid w:val="001251E8"/>
    <w:rsid w:val="00125281"/>
    <w:rsid w:val="001256D6"/>
    <w:rsid w:val="001257FD"/>
    <w:rsid w:val="00125F70"/>
    <w:rsid w:val="001262B5"/>
    <w:rsid w:val="00126B3A"/>
    <w:rsid w:val="00126F03"/>
    <w:rsid w:val="00127034"/>
    <w:rsid w:val="001271BA"/>
    <w:rsid w:val="0012785A"/>
    <w:rsid w:val="00127933"/>
    <w:rsid w:val="00130017"/>
    <w:rsid w:val="00130080"/>
    <w:rsid w:val="00130938"/>
    <w:rsid w:val="00130A7B"/>
    <w:rsid w:val="00130F91"/>
    <w:rsid w:val="001312E8"/>
    <w:rsid w:val="001313E8"/>
    <w:rsid w:val="001323E8"/>
    <w:rsid w:val="0013498D"/>
    <w:rsid w:val="001349ED"/>
    <w:rsid w:val="00134D8F"/>
    <w:rsid w:val="00134F27"/>
    <w:rsid w:val="00134F5B"/>
    <w:rsid w:val="0013506E"/>
    <w:rsid w:val="001351FA"/>
    <w:rsid w:val="001351FB"/>
    <w:rsid w:val="00135A0A"/>
    <w:rsid w:val="00136937"/>
    <w:rsid w:val="00136A80"/>
    <w:rsid w:val="00136AA4"/>
    <w:rsid w:val="00136CBA"/>
    <w:rsid w:val="00136E0B"/>
    <w:rsid w:val="00137424"/>
    <w:rsid w:val="001375E2"/>
    <w:rsid w:val="001378E9"/>
    <w:rsid w:val="00140318"/>
    <w:rsid w:val="00140324"/>
    <w:rsid w:val="001403D6"/>
    <w:rsid w:val="0014064E"/>
    <w:rsid w:val="001408AE"/>
    <w:rsid w:val="00140CC9"/>
    <w:rsid w:val="001414AA"/>
    <w:rsid w:val="001419EA"/>
    <w:rsid w:val="00141AD9"/>
    <w:rsid w:val="00141D78"/>
    <w:rsid w:val="001422A7"/>
    <w:rsid w:val="0014275B"/>
    <w:rsid w:val="0014288D"/>
    <w:rsid w:val="00142908"/>
    <w:rsid w:val="001430DC"/>
    <w:rsid w:val="00144266"/>
    <w:rsid w:val="001442F7"/>
    <w:rsid w:val="0014455D"/>
    <w:rsid w:val="001448AC"/>
    <w:rsid w:val="00144CC8"/>
    <w:rsid w:val="001450A2"/>
    <w:rsid w:val="00145176"/>
    <w:rsid w:val="00145A39"/>
    <w:rsid w:val="001460F4"/>
    <w:rsid w:val="00146806"/>
    <w:rsid w:val="00146A20"/>
    <w:rsid w:val="00146CE6"/>
    <w:rsid w:val="0015008F"/>
    <w:rsid w:val="001507F9"/>
    <w:rsid w:val="00150858"/>
    <w:rsid w:val="001509E8"/>
    <w:rsid w:val="00150E77"/>
    <w:rsid w:val="001520D4"/>
    <w:rsid w:val="00152728"/>
    <w:rsid w:val="00152903"/>
    <w:rsid w:val="00152B3A"/>
    <w:rsid w:val="00152E87"/>
    <w:rsid w:val="00153068"/>
    <w:rsid w:val="001530F3"/>
    <w:rsid w:val="0015313A"/>
    <w:rsid w:val="001533B3"/>
    <w:rsid w:val="00153808"/>
    <w:rsid w:val="00153F17"/>
    <w:rsid w:val="00153FD5"/>
    <w:rsid w:val="00154472"/>
    <w:rsid w:val="00154E8A"/>
    <w:rsid w:val="00155ED9"/>
    <w:rsid w:val="00155EFA"/>
    <w:rsid w:val="0015614F"/>
    <w:rsid w:val="001577C2"/>
    <w:rsid w:val="00157E2E"/>
    <w:rsid w:val="00157FF1"/>
    <w:rsid w:val="00160389"/>
    <w:rsid w:val="001609B6"/>
    <w:rsid w:val="00160D39"/>
    <w:rsid w:val="00160D74"/>
    <w:rsid w:val="00161412"/>
    <w:rsid w:val="00161A55"/>
    <w:rsid w:val="00161C0E"/>
    <w:rsid w:val="00161FB6"/>
    <w:rsid w:val="00162567"/>
    <w:rsid w:val="00162B17"/>
    <w:rsid w:val="00162ED0"/>
    <w:rsid w:val="00162FBA"/>
    <w:rsid w:val="00163014"/>
    <w:rsid w:val="00163315"/>
    <w:rsid w:val="001633C4"/>
    <w:rsid w:val="001636F9"/>
    <w:rsid w:val="00163AE0"/>
    <w:rsid w:val="00164414"/>
    <w:rsid w:val="00164757"/>
    <w:rsid w:val="0016487D"/>
    <w:rsid w:val="00165455"/>
    <w:rsid w:val="00165C30"/>
    <w:rsid w:val="00166011"/>
    <w:rsid w:val="00166F19"/>
    <w:rsid w:val="0016703F"/>
    <w:rsid w:val="00167881"/>
    <w:rsid w:val="00167B1B"/>
    <w:rsid w:val="00167BEA"/>
    <w:rsid w:val="001704D5"/>
    <w:rsid w:val="00170AEA"/>
    <w:rsid w:val="00170B40"/>
    <w:rsid w:val="0017116F"/>
    <w:rsid w:val="00171591"/>
    <w:rsid w:val="001715C2"/>
    <w:rsid w:val="001717AF"/>
    <w:rsid w:val="001717F9"/>
    <w:rsid w:val="00171E6F"/>
    <w:rsid w:val="00171F19"/>
    <w:rsid w:val="00173164"/>
    <w:rsid w:val="001738CD"/>
    <w:rsid w:val="00173981"/>
    <w:rsid w:val="00174A78"/>
    <w:rsid w:val="001753A6"/>
    <w:rsid w:val="0017582E"/>
    <w:rsid w:val="00175C29"/>
    <w:rsid w:val="001762EC"/>
    <w:rsid w:val="00176672"/>
    <w:rsid w:val="001767B9"/>
    <w:rsid w:val="0017719D"/>
    <w:rsid w:val="00177383"/>
    <w:rsid w:val="00177720"/>
    <w:rsid w:val="001778C4"/>
    <w:rsid w:val="0018047B"/>
    <w:rsid w:val="00180C11"/>
    <w:rsid w:val="00180C4A"/>
    <w:rsid w:val="00180D8C"/>
    <w:rsid w:val="00180E76"/>
    <w:rsid w:val="00181073"/>
    <w:rsid w:val="00181176"/>
    <w:rsid w:val="00181213"/>
    <w:rsid w:val="001814C3"/>
    <w:rsid w:val="00181D78"/>
    <w:rsid w:val="001825F6"/>
    <w:rsid w:val="00183A9F"/>
    <w:rsid w:val="00183FD7"/>
    <w:rsid w:val="00184734"/>
    <w:rsid w:val="001852F4"/>
    <w:rsid w:val="001853CE"/>
    <w:rsid w:val="0018548B"/>
    <w:rsid w:val="00185499"/>
    <w:rsid w:val="001856DF"/>
    <w:rsid w:val="00185B93"/>
    <w:rsid w:val="00185CAB"/>
    <w:rsid w:val="00185E2E"/>
    <w:rsid w:val="001875B7"/>
    <w:rsid w:val="00187747"/>
    <w:rsid w:val="00187AAB"/>
    <w:rsid w:val="00187C85"/>
    <w:rsid w:val="00187CB3"/>
    <w:rsid w:val="0019023D"/>
    <w:rsid w:val="0019050A"/>
    <w:rsid w:val="00190BB0"/>
    <w:rsid w:val="00190E08"/>
    <w:rsid w:val="001910D4"/>
    <w:rsid w:val="00191520"/>
    <w:rsid w:val="00191A1E"/>
    <w:rsid w:val="00191F66"/>
    <w:rsid w:val="001922F4"/>
    <w:rsid w:val="001929CF"/>
    <w:rsid w:val="00192FF2"/>
    <w:rsid w:val="00193B89"/>
    <w:rsid w:val="00193CFD"/>
    <w:rsid w:val="00193D1D"/>
    <w:rsid w:val="00193EDF"/>
    <w:rsid w:val="001943B8"/>
    <w:rsid w:val="001944C9"/>
    <w:rsid w:val="001947E7"/>
    <w:rsid w:val="00194999"/>
    <w:rsid w:val="00194BBC"/>
    <w:rsid w:val="0019529F"/>
    <w:rsid w:val="00195956"/>
    <w:rsid w:val="00196328"/>
    <w:rsid w:val="0019640C"/>
    <w:rsid w:val="001966E5"/>
    <w:rsid w:val="00196800"/>
    <w:rsid w:val="001976E3"/>
    <w:rsid w:val="00197A95"/>
    <w:rsid w:val="001A01D0"/>
    <w:rsid w:val="001A0E2D"/>
    <w:rsid w:val="001A0F15"/>
    <w:rsid w:val="001A124F"/>
    <w:rsid w:val="001A1687"/>
    <w:rsid w:val="001A16F4"/>
    <w:rsid w:val="001A2CA7"/>
    <w:rsid w:val="001A39F4"/>
    <w:rsid w:val="001A3E26"/>
    <w:rsid w:val="001A44EC"/>
    <w:rsid w:val="001A45BB"/>
    <w:rsid w:val="001A473D"/>
    <w:rsid w:val="001A49CF"/>
    <w:rsid w:val="001A4D12"/>
    <w:rsid w:val="001A5119"/>
    <w:rsid w:val="001A526D"/>
    <w:rsid w:val="001A52C8"/>
    <w:rsid w:val="001A54D7"/>
    <w:rsid w:val="001A5712"/>
    <w:rsid w:val="001A5863"/>
    <w:rsid w:val="001A5996"/>
    <w:rsid w:val="001A5D79"/>
    <w:rsid w:val="001A683F"/>
    <w:rsid w:val="001A6A62"/>
    <w:rsid w:val="001A73F5"/>
    <w:rsid w:val="001A7D63"/>
    <w:rsid w:val="001A7E6D"/>
    <w:rsid w:val="001A7FF7"/>
    <w:rsid w:val="001B106E"/>
    <w:rsid w:val="001B15AB"/>
    <w:rsid w:val="001B1B2D"/>
    <w:rsid w:val="001B1FCD"/>
    <w:rsid w:val="001B2AF2"/>
    <w:rsid w:val="001B3A0A"/>
    <w:rsid w:val="001B41CE"/>
    <w:rsid w:val="001B41F4"/>
    <w:rsid w:val="001B4252"/>
    <w:rsid w:val="001B4AE9"/>
    <w:rsid w:val="001B4D8E"/>
    <w:rsid w:val="001B58AA"/>
    <w:rsid w:val="001B5B11"/>
    <w:rsid w:val="001B5F4D"/>
    <w:rsid w:val="001B6033"/>
    <w:rsid w:val="001B6085"/>
    <w:rsid w:val="001B60AF"/>
    <w:rsid w:val="001B62B1"/>
    <w:rsid w:val="001B67EA"/>
    <w:rsid w:val="001B7062"/>
    <w:rsid w:val="001B719F"/>
    <w:rsid w:val="001B7231"/>
    <w:rsid w:val="001B7D7D"/>
    <w:rsid w:val="001B7E48"/>
    <w:rsid w:val="001B7EB1"/>
    <w:rsid w:val="001C09F1"/>
    <w:rsid w:val="001C0C26"/>
    <w:rsid w:val="001C1245"/>
    <w:rsid w:val="001C12E4"/>
    <w:rsid w:val="001C140F"/>
    <w:rsid w:val="001C17CE"/>
    <w:rsid w:val="001C186F"/>
    <w:rsid w:val="001C1C3F"/>
    <w:rsid w:val="001C1E39"/>
    <w:rsid w:val="001C20BA"/>
    <w:rsid w:val="001C2250"/>
    <w:rsid w:val="001C2865"/>
    <w:rsid w:val="001C2B3F"/>
    <w:rsid w:val="001C3519"/>
    <w:rsid w:val="001C36CA"/>
    <w:rsid w:val="001C3C86"/>
    <w:rsid w:val="001C3F7D"/>
    <w:rsid w:val="001C4287"/>
    <w:rsid w:val="001C44D1"/>
    <w:rsid w:val="001C4C83"/>
    <w:rsid w:val="001C4DBE"/>
    <w:rsid w:val="001C4E3B"/>
    <w:rsid w:val="001C52B9"/>
    <w:rsid w:val="001C58A0"/>
    <w:rsid w:val="001C59D9"/>
    <w:rsid w:val="001C5DC8"/>
    <w:rsid w:val="001C5FF8"/>
    <w:rsid w:val="001C65A4"/>
    <w:rsid w:val="001C6AEE"/>
    <w:rsid w:val="001C6BF5"/>
    <w:rsid w:val="001C71AB"/>
    <w:rsid w:val="001C72DB"/>
    <w:rsid w:val="001C7371"/>
    <w:rsid w:val="001C743A"/>
    <w:rsid w:val="001C761E"/>
    <w:rsid w:val="001C7630"/>
    <w:rsid w:val="001C7CE8"/>
    <w:rsid w:val="001C7D55"/>
    <w:rsid w:val="001D0640"/>
    <w:rsid w:val="001D15B8"/>
    <w:rsid w:val="001D2371"/>
    <w:rsid w:val="001D2969"/>
    <w:rsid w:val="001D2E9B"/>
    <w:rsid w:val="001D322F"/>
    <w:rsid w:val="001D3882"/>
    <w:rsid w:val="001D4260"/>
    <w:rsid w:val="001D4444"/>
    <w:rsid w:val="001D56AF"/>
    <w:rsid w:val="001D5B1A"/>
    <w:rsid w:val="001D5DF1"/>
    <w:rsid w:val="001D6D15"/>
    <w:rsid w:val="001D7800"/>
    <w:rsid w:val="001D7D59"/>
    <w:rsid w:val="001E10B4"/>
    <w:rsid w:val="001E116E"/>
    <w:rsid w:val="001E125D"/>
    <w:rsid w:val="001E1423"/>
    <w:rsid w:val="001E18A4"/>
    <w:rsid w:val="001E20E0"/>
    <w:rsid w:val="001E23BD"/>
    <w:rsid w:val="001E3021"/>
    <w:rsid w:val="001E30A0"/>
    <w:rsid w:val="001E35A2"/>
    <w:rsid w:val="001E3A4F"/>
    <w:rsid w:val="001E3EEA"/>
    <w:rsid w:val="001E41DC"/>
    <w:rsid w:val="001E4605"/>
    <w:rsid w:val="001E4DBD"/>
    <w:rsid w:val="001E5375"/>
    <w:rsid w:val="001E5792"/>
    <w:rsid w:val="001E624E"/>
    <w:rsid w:val="001E69FB"/>
    <w:rsid w:val="001E6CC7"/>
    <w:rsid w:val="001E6D20"/>
    <w:rsid w:val="001E71F3"/>
    <w:rsid w:val="001E7D76"/>
    <w:rsid w:val="001E7FDB"/>
    <w:rsid w:val="001F07EC"/>
    <w:rsid w:val="001F09ED"/>
    <w:rsid w:val="001F22FF"/>
    <w:rsid w:val="001F2B7F"/>
    <w:rsid w:val="001F3233"/>
    <w:rsid w:val="001F3252"/>
    <w:rsid w:val="001F347D"/>
    <w:rsid w:val="001F40DC"/>
    <w:rsid w:val="001F4132"/>
    <w:rsid w:val="001F4394"/>
    <w:rsid w:val="001F47A2"/>
    <w:rsid w:val="001F4DEF"/>
    <w:rsid w:val="001F54FE"/>
    <w:rsid w:val="001F6286"/>
    <w:rsid w:val="001F6492"/>
    <w:rsid w:val="001F64D9"/>
    <w:rsid w:val="001F687D"/>
    <w:rsid w:val="001F74B9"/>
    <w:rsid w:val="001F7558"/>
    <w:rsid w:val="001F794D"/>
    <w:rsid w:val="001F7D24"/>
    <w:rsid w:val="00200B97"/>
    <w:rsid w:val="00201AE6"/>
    <w:rsid w:val="00201BD8"/>
    <w:rsid w:val="00201EE2"/>
    <w:rsid w:val="002023FD"/>
    <w:rsid w:val="00202B0C"/>
    <w:rsid w:val="00202CB1"/>
    <w:rsid w:val="002033F9"/>
    <w:rsid w:val="00203638"/>
    <w:rsid w:val="00203E9A"/>
    <w:rsid w:val="00203FAE"/>
    <w:rsid w:val="0020411D"/>
    <w:rsid w:val="00205B57"/>
    <w:rsid w:val="00205F33"/>
    <w:rsid w:val="00206099"/>
    <w:rsid w:val="002068BE"/>
    <w:rsid w:val="00206E44"/>
    <w:rsid w:val="0020730A"/>
    <w:rsid w:val="00207626"/>
    <w:rsid w:val="002079FF"/>
    <w:rsid w:val="00207EC8"/>
    <w:rsid w:val="00207FE9"/>
    <w:rsid w:val="002107BA"/>
    <w:rsid w:val="00210876"/>
    <w:rsid w:val="002108B7"/>
    <w:rsid w:val="00210B28"/>
    <w:rsid w:val="002110C9"/>
    <w:rsid w:val="002118A4"/>
    <w:rsid w:val="00212176"/>
    <w:rsid w:val="002124BD"/>
    <w:rsid w:val="00212683"/>
    <w:rsid w:val="002126C1"/>
    <w:rsid w:val="00214173"/>
    <w:rsid w:val="0021426C"/>
    <w:rsid w:val="00214442"/>
    <w:rsid w:val="00214CB0"/>
    <w:rsid w:val="00214D6E"/>
    <w:rsid w:val="00214F75"/>
    <w:rsid w:val="00215270"/>
    <w:rsid w:val="002153C2"/>
    <w:rsid w:val="002157E0"/>
    <w:rsid w:val="00215B32"/>
    <w:rsid w:val="00215B81"/>
    <w:rsid w:val="00215D40"/>
    <w:rsid w:val="002162DE"/>
    <w:rsid w:val="00216450"/>
    <w:rsid w:val="00216606"/>
    <w:rsid w:val="00216A57"/>
    <w:rsid w:val="00216C36"/>
    <w:rsid w:val="00216F6E"/>
    <w:rsid w:val="00217260"/>
    <w:rsid w:val="00217448"/>
    <w:rsid w:val="00217DFE"/>
    <w:rsid w:val="00217E9D"/>
    <w:rsid w:val="002204A8"/>
    <w:rsid w:val="00220605"/>
    <w:rsid w:val="002208EE"/>
    <w:rsid w:val="002209DD"/>
    <w:rsid w:val="00220AE3"/>
    <w:rsid w:val="00220FE5"/>
    <w:rsid w:val="002212BD"/>
    <w:rsid w:val="00221432"/>
    <w:rsid w:val="00221AC4"/>
    <w:rsid w:val="00221DFF"/>
    <w:rsid w:val="002224AB"/>
    <w:rsid w:val="0022252A"/>
    <w:rsid w:val="00222AB2"/>
    <w:rsid w:val="0022334F"/>
    <w:rsid w:val="002234EC"/>
    <w:rsid w:val="002234F5"/>
    <w:rsid w:val="002243A9"/>
    <w:rsid w:val="0022448E"/>
    <w:rsid w:val="00224561"/>
    <w:rsid w:val="00224745"/>
    <w:rsid w:val="00224965"/>
    <w:rsid w:val="00224EB7"/>
    <w:rsid w:val="00224F9A"/>
    <w:rsid w:val="00225E00"/>
    <w:rsid w:val="00225F70"/>
    <w:rsid w:val="00226164"/>
    <w:rsid w:val="00226351"/>
    <w:rsid w:val="00226819"/>
    <w:rsid w:val="002268D8"/>
    <w:rsid w:val="00226AC2"/>
    <w:rsid w:val="00227974"/>
    <w:rsid w:val="00230008"/>
    <w:rsid w:val="002305A4"/>
    <w:rsid w:val="002316A5"/>
    <w:rsid w:val="00231E16"/>
    <w:rsid w:val="0023299B"/>
    <w:rsid w:val="00232A67"/>
    <w:rsid w:val="00232A8C"/>
    <w:rsid w:val="00232D8C"/>
    <w:rsid w:val="00232E5C"/>
    <w:rsid w:val="00232F7E"/>
    <w:rsid w:val="00233101"/>
    <w:rsid w:val="00233409"/>
    <w:rsid w:val="002335D2"/>
    <w:rsid w:val="00233817"/>
    <w:rsid w:val="002339AB"/>
    <w:rsid w:val="00233AE7"/>
    <w:rsid w:val="00233D44"/>
    <w:rsid w:val="002340DB"/>
    <w:rsid w:val="00234177"/>
    <w:rsid w:val="00234242"/>
    <w:rsid w:val="00234D58"/>
    <w:rsid w:val="00234E94"/>
    <w:rsid w:val="00235060"/>
    <w:rsid w:val="002351FF"/>
    <w:rsid w:val="00235933"/>
    <w:rsid w:val="00235938"/>
    <w:rsid w:val="0023640A"/>
    <w:rsid w:val="002367FF"/>
    <w:rsid w:val="00236E28"/>
    <w:rsid w:val="00236FD4"/>
    <w:rsid w:val="002376E2"/>
    <w:rsid w:val="00237765"/>
    <w:rsid w:val="00237B58"/>
    <w:rsid w:val="00240000"/>
    <w:rsid w:val="0024064E"/>
    <w:rsid w:val="00240CE9"/>
    <w:rsid w:val="00241092"/>
    <w:rsid w:val="00241215"/>
    <w:rsid w:val="00241415"/>
    <w:rsid w:val="00241A91"/>
    <w:rsid w:val="00241AB6"/>
    <w:rsid w:val="00241F37"/>
    <w:rsid w:val="002434BA"/>
    <w:rsid w:val="00243ACA"/>
    <w:rsid w:val="00245061"/>
    <w:rsid w:val="002454DD"/>
    <w:rsid w:val="00245538"/>
    <w:rsid w:val="00246089"/>
    <w:rsid w:val="00246093"/>
    <w:rsid w:val="00246702"/>
    <w:rsid w:val="002468F9"/>
    <w:rsid w:val="002469C1"/>
    <w:rsid w:val="002469D2"/>
    <w:rsid w:val="00246AD6"/>
    <w:rsid w:val="00246CFF"/>
    <w:rsid w:val="00246DB9"/>
    <w:rsid w:val="00247074"/>
    <w:rsid w:val="002473D0"/>
    <w:rsid w:val="00247C59"/>
    <w:rsid w:val="00247CC0"/>
    <w:rsid w:val="00247F2E"/>
    <w:rsid w:val="00247F92"/>
    <w:rsid w:val="002501D5"/>
    <w:rsid w:val="002507F5"/>
    <w:rsid w:val="00250ADC"/>
    <w:rsid w:val="00250B07"/>
    <w:rsid w:val="002511A2"/>
    <w:rsid w:val="00251B63"/>
    <w:rsid w:val="00252D9E"/>
    <w:rsid w:val="0025391C"/>
    <w:rsid w:val="0025421E"/>
    <w:rsid w:val="002542C0"/>
    <w:rsid w:val="002545CC"/>
    <w:rsid w:val="00254D57"/>
    <w:rsid w:val="00254E3F"/>
    <w:rsid w:val="002553C8"/>
    <w:rsid w:val="0025547A"/>
    <w:rsid w:val="00255503"/>
    <w:rsid w:val="00255A88"/>
    <w:rsid w:val="00255F98"/>
    <w:rsid w:val="00256540"/>
    <w:rsid w:val="00256EB1"/>
    <w:rsid w:val="00257202"/>
    <w:rsid w:val="00257553"/>
    <w:rsid w:val="002578CE"/>
    <w:rsid w:val="0025794F"/>
    <w:rsid w:val="002606DA"/>
    <w:rsid w:val="0026078B"/>
    <w:rsid w:val="00260E58"/>
    <w:rsid w:val="00260FB2"/>
    <w:rsid w:val="00261318"/>
    <w:rsid w:val="00261520"/>
    <w:rsid w:val="00261569"/>
    <w:rsid w:val="00261D6B"/>
    <w:rsid w:val="00261F00"/>
    <w:rsid w:val="00262128"/>
    <w:rsid w:val="002622F4"/>
    <w:rsid w:val="002627CC"/>
    <w:rsid w:val="0026369A"/>
    <w:rsid w:val="0026374E"/>
    <w:rsid w:val="00263971"/>
    <w:rsid w:val="00263B32"/>
    <w:rsid w:val="002644D5"/>
    <w:rsid w:val="00264641"/>
    <w:rsid w:val="00264896"/>
    <w:rsid w:val="00264C50"/>
    <w:rsid w:val="00264DDF"/>
    <w:rsid w:val="0026585F"/>
    <w:rsid w:val="00265D81"/>
    <w:rsid w:val="00265D9C"/>
    <w:rsid w:val="0026668F"/>
    <w:rsid w:val="00266B68"/>
    <w:rsid w:val="002673E3"/>
    <w:rsid w:val="0026743A"/>
    <w:rsid w:val="0026762F"/>
    <w:rsid w:val="00267868"/>
    <w:rsid w:val="00267C75"/>
    <w:rsid w:val="00267EFF"/>
    <w:rsid w:val="00270263"/>
    <w:rsid w:val="00270731"/>
    <w:rsid w:val="00270A53"/>
    <w:rsid w:val="00270BB0"/>
    <w:rsid w:val="0027165D"/>
    <w:rsid w:val="002717AC"/>
    <w:rsid w:val="00271914"/>
    <w:rsid w:val="00271A23"/>
    <w:rsid w:val="00271C9C"/>
    <w:rsid w:val="00271D03"/>
    <w:rsid w:val="00273CEB"/>
    <w:rsid w:val="002742A3"/>
    <w:rsid w:val="00274371"/>
    <w:rsid w:val="00274C68"/>
    <w:rsid w:val="00274C7A"/>
    <w:rsid w:val="00274CD7"/>
    <w:rsid w:val="00274D24"/>
    <w:rsid w:val="00274D50"/>
    <w:rsid w:val="002752C1"/>
    <w:rsid w:val="00275485"/>
    <w:rsid w:val="00275743"/>
    <w:rsid w:val="00275DE6"/>
    <w:rsid w:val="00277818"/>
    <w:rsid w:val="00277E00"/>
    <w:rsid w:val="0028049B"/>
    <w:rsid w:val="002807D1"/>
    <w:rsid w:val="00280E6B"/>
    <w:rsid w:val="0028133F"/>
    <w:rsid w:val="002813E1"/>
    <w:rsid w:val="00281941"/>
    <w:rsid w:val="00281C80"/>
    <w:rsid w:val="00281C89"/>
    <w:rsid w:val="00281EE4"/>
    <w:rsid w:val="0028282F"/>
    <w:rsid w:val="00282D8A"/>
    <w:rsid w:val="002836B6"/>
    <w:rsid w:val="00283A1B"/>
    <w:rsid w:val="00283CC8"/>
    <w:rsid w:val="00284112"/>
    <w:rsid w:val="00284128"/>
    <w:rsid w:val="00284490"/>
    <w:rsid w:val="00285503"/>
    <w:rsid w:val="002858B5"/>
    <w:rsid w:val="00286295"/>
    <w:rsid w:val="002862BD"/>
    <w:rsid w:val="002863A8"/>
    <w:rsid w:val="0028658F"/>
    <w:rsid w:val="00286B50"/>
    <w:rsid w:val="00286D45"/>
    <w:rsid w:val="00286E1B"/>
    <w:rsid w:val="002874DD"/>
    <w:rsid w:val="00287733"/>
    <w:rsid w:val="00290896"/>
    <w:rsid w:val="00290AFC"/>
    <w:rsid w:val="00290B7C"/>
    <w:rsid w:val="00290BFE"/>
    <w:rsid w:val="00290EB6"/>
    <w:rsid w:val="0029110B"/>
    <w:rsid w:val="002915B2"/>
    <w:rsid w:val="002919F9"/>
    <w:rsid w:val="002925F6"/>
    <w:rsid w:val="0029280C"/>
    <w:rsid w:val="00292A01"/>
    <w:rsid w:val="00293291"/>
    <w:rsid w:val="00293457"/>
    <w:rsid w:val="002936EE"/>
    <w:rsid w:val="00294461"/>
    <w:rsid w:val="00294B6D"/>
    <w:rsid w:val="00294D46"/>
    <w:rsid w:val="002950C6"/>
    <w:rsid w:val="00295395"/>
    <w:rsid w:val="0029593B"/>
    <w:rsid w:val="00295E60"/>
    <w:rsid w:val="00297102"/>
    <w:rsid w:val="002976B8"/>
    <w:rsid w:val="00297FC5"/>
    <w:rsid w:val="002A0417"/>
    <w:rsid w:val="002A1311"/>
    <w:rsid w:val="002A16D8"/>
    <w:rsid w:val="002A17D4"/>
    <w:rsid w:val="002A1BC8"/>
    <w:rsid w:val="002A1DD2"/>
    <w:rsid w:val="002A213C"/>
    <w:rsid w:val="002A23B7"/>
    <w:rsid w:val="002A27A6"/>
    <w:rsid w:val="002A2A53"/>
    <w:rsid w:val="002A2B1F"/>
    <w:rsid w:val="002A313F"/>
    <w:rsid w:val="002A31F2"/>
    <w:rsid w:val="002A360E"/>
    <w:rsid w:val="002A3829"/>
    <w:rsid w:val="002A3EF2"/>
    <w:rsid w:val="002A4B85"/>
    <w:rsid w:val="002A4EF5"/>
    <w:rsid w:val="002A6215"/>
    <w:rsid w:val="002A64AA"/>
    <w:rsid w:val="002A6CC8"/>
    <w:rsid w:val="002A6F32"/>
    <w:rsid w:val="002A77A0"/>
    <w:rsid w:val="002A799A"/>
    <w:rsid w:val="002B0631"/>
    <w:rsid w:val="002B0931"/>
    <w:rsid w:val="002B0DED"/>
    <w:rsid w:val="002B12C8"/>
    <w:rsid w:val="002B19A2"/>
    <w:rsid w:val="002B2CD7"/>
    <w:rsid w:val="002B381A"/>
    <w:rsid w:val="002B3B10"/>
    <w:rsid w:val="002B3D9C"/>
    <w:rsid w:val="002B469F"/>
    <w:rsid w:val="002B498A"/>
    <w:rsid w:val="002B4D91"/>
    <w:rsid w:val="002B4FCC"/>
    <w:rsid w:val="002B5285"/>
    <w:rsid w:val="002B531C"/>
    <w:rsid w:val="002B565C"/>
    <w:rsid w:val="002B58B2"/>
    <w:rsid w:val="002B58E0"/>
    <w:rsid w:val="002B5E3A"/>
    <w:rsid w:val="002B706B"/>
    <w:rsid w:val="002B7408"/>
    <w:rsid w:val="002B7CFD"/>
    <w:rsid w:val="002C00F2"/>
    <w:rsid w:val="002C0BF9"/>
    <w:rsid w:val="002C10EF"/>
    <w:rsid w:val="002C1390"/>
    <w:rsid w:val="002C13DD"/>
    <w:rsid w:val="002C15DD"/>
    <w:rsid w:val="002C1A80"/>
    <w:rsid w:val="002C1C11"/>
    <w:rsid w:val="002C1D80"/>
    <w:rsid w:val="002C210F"/>
    <w:rsid w:val="002C2345"/>
    <w:rsid w:val="002C25B0"/>
    <w:rsid w:val="002C2704"/>
    <w:rsid w:val="002C33F3"/>
    <w:rsid w:val="002C414D"/>
    <w:rsid w:val="002C4A56"/>
    <w:rsid w:val="002C60CF"/>
    <w:rsid w:val="002C61FA"/>
    <w:rsid w:val="002C63BB"/>
    <w:rsid w:val="002C64A2"/>
    <w:rsid w:val="002C64A8"/>
    <w:rsid w:val="002C6825"/>
    <w:rsid w:val="002C687E"/>
    <w:rsid w:val="002C7C05"/>
    <w:rsid w:val="002D0029"/>
    <w:rsid w:val="002D0353"/>
    <w:rsid w:val="002D0A51"/>
    <w:rsid w:val="002D0B77"/>
    <w:rsid w:val="002D1318"/>
    <w:rsid w:val="002D1361"/>
    <w:rsid w:val="002D1D7F"/>
    <w:rsid w:val="002D21DC"/>
    <w:rsid w:val="002D22AA"/>
    <w:rsid w:val="002D28B7"/>
    <w:rsid w:val="002D2A55"/>
    <w:rsid w:val="002D2EBB"/>
    <w:rsid w:val="002D30F5"/>
    <w:rsid w:val="002D3600"/>
    <w:rsid w:val="002D3930"/>
    <w:rsid w:val="002D3AE6"/>
    <w:rsid w:val="002D4929"/>
    <w:rsid w:val="002D4E40"/>
    <w:rsid w:val="002D4EA8"/>
    <w:rsid w:val="002D5685"/>
    <w:rsid w:val="002D5A28"/>
    <w:rsid w:val="002D6108"/>
    <w:rsid w:val="002D65C7"/>
    <w:rsid w:val="002D69F8"/>
    <w:rsid w:val="002D6F2A"/>
    <w:rsid w:val="002D700D"/>
    <w:rsid w:val="002D71E0"/>
    <w:rsid w:val="002D725A"/>
    <w:rsid w:val="002D7EE0"/>
    <w:rsid w:val="002D7F5C"/>
    <w:rsid w:val="002D7FB1"/>
    <w:rsid w:val="002E00B2"/>
    <w:rsid w:val="002E0625"/>
    <w:rsid w:val="002E0CBF"/>
    <w:rsid w:val="002E1C20"/>
    <w:rsid w:val="002E258C"/>
    <w:rsid w:val="002E2CB4"/>
    <w:rsid w:val="002E2EE8"/>
    <w:rsid w:val="002E3227"/>
    <w:rsid w:val="002E341E"/>
    <w:rsid w:val="002E3F4C"/>
    <w:rsid w:val="002E40F0"/>
    <w:rsid w:val="002E45B6"/>
    <w:rsid w:val="002E469B"/>
    <w:rsid w:val="002E4914"/>
    <w:rsid w:val="002E4C86"/>
    <w:rsid w:val="002E4DDC"/>
    <w:rsid w:val="002E4E57"/>
    <w:rsid w:val="002E5A4B"/>
    <w:rsid w:val="002E6426"/>
    <w:rsid w:val="002E6C58"/>
    <w:rsid w:val="002F008A"/>
    <w:rsid w:val="002F0E80"/>
    <w:rsid w:val="002F113E"/>
    <w:rsid w:val="002F1DB2"/>
    <w:rsid w:val="002F1E1E"/>
    <w:rsid w:val="002F256B"/>
    <w:rsid w:val="002F2B1D"/>
    <w:rsid w:val="002F3947"/>
    <w:rsid w:val="002F3D73"/>
    <w:rsid w:val="002F3ED3"/>
    <w:rsid w:val="002F43BF"/>
    <w:rsid w:val="002F4CD3"/>
    <w:rsid w:val="002F5D36"/>
    <w:rsid w:val="002F5FA5"/>
    <w:rsid w:val="002F68A8"/>
    <w:rsid w:val="002F6E0E"/>
    <w:rsid w:val="002F6EED"/>
    <w:rsid w:val="002F705C"/>
    <w:rsid w:val="002F70F3"/>
    <w:rsid w:val="002F76E0"/>
    <w:rsid w:val="003004B0"/>
    <w:rsid w:val="00300B97"/>
    <w:rsid w:val="00300EC1"/>
    <w:rsid w:val="00301BA5"/>
    <w:rsid w:val="00301BF4"/>
    <w:rsid w:val="00301EA7"/>
    <w:rsid w:val="003020D0"/>
    <w:rsid w:val="00302480"/>
    <w:rsid w:val="0030250D"/>
    <w:rsid w:val="00302758"/>
    <w:rsid w:val="00302D57"/>
    <w:rsid w:val="0030306E"/>
    <w:rsid w:val="00303437"/>
    <w:rsid w:val="0030383B"/>
    <w:rsid w:val="00303FF3"/>
    <w:rsid w:val="0030409F"/>
    <w:rsid w:val="003047DD"/>
    <w:rsid w:val="0030565F"/>
    <w:rsid w:val="003058C9"/>
    <w:rsid w:val="00307659"/>
    <w:rsid w:val="00307EB9"/>
    <w:rsid w:val="0031020E"/>
    <w:rsid w:val="00310394"/>
    <w:rsid w:val="00310543"/>
    <w:rsid w:val="00310974"/>
    <w:rsid w:val="00311DC1"/>
    <w:rsid w:val="00311FC3"/>
    <w:rsid w:val="003129C3"/>
    <w:rsid w:val="00312FE5"/>
    <w:rsid w:val="003134A7"/>
    <w:rsid w:val="003136CC"/>
    <w:rsid w:val="0031385D"/>
    <w:rsid w:val="00313EE7"/>
    <w:rsid w:val="00313F0B"/>
    <w:rsid w:val="00314EAE"/>
    <w:rsid w:val="003152DA"/>
    <w:rsid w:val="003158E8"/>
    <w:rsid w:val="00315965"/>
    <w:rsid w:val="00315BC3"/>
    <w:rsid w:val="00316183"/>
    <w:rsid w:val="003165E6"/>
    <w:rsid w:val="00316A48"/>
    <w:rsid w:val="003172C7"/>
    <w:rsid w:val="00317481"/>
    <w:rsid w:val="00317930"/>
    <w:rsid w:val="0031793A"/>
    <w:rsid w:val="00317D5C"/>
    <w:rsid w:val="00317F13"/>
    <w:rsid w:val="0032052F"/>
    <w:rsid w:val="0032071B"/>
    <w:rsid w:val="003209E8"/>
    <w:rsid w:val="003215B5"/>
    <w:rsid w:val="00321A51"/>
    <w:rsid w:val="00321AB3"/>
    <w:rsid w:val="00321B51"/>
    <w:rsid w:val="00321C3C"/>
    <w:rsid w:val="003221CF"/>
    <w:rsid w:val="00322385"/>
    <w:rsid w:val="003230A6"/>
    <w:rsid w:val="003233ED"/>
    <w:rsid w:val="0032353C"/>
    <w:rsid w:val="00324301"/>
    <w:rsid w:val="0032491B"/>
    <w:rsid w:val="00324946"/>
    <w:rsid w:val="00324968"/>
    <w:rsid w:val="003249EC"/>
    <w:rsid w:val="00324D9F"/>
    <w:rsid w:val="0032574D"/>
    <w:rsid w:val="00325ACF"/>
    <w:rsid w:val="00325C86"/>
    <w:rsid w:val="00326245"/>
    <w:rsid w:val="003264F9"/>
    <w:rsid w:val="00326551"/>
    <w:rsid w:val="00326603"/>
    <w:rsid w:val="0032671A"/>
    <w:rsid w:val="00326AB5"/>
    <w:rsid w:val="00326B27"/>
    <w:rsid w:val="00326EC7"/>
    <w:rsid w:val="00327948"/>
    <w:rsid w:val="00327984"/>
    <w:rsid w:val="00327E36"/>
    <w:rsid w:val="0033000F"/>
    <w:rsid w:val="003300C6"/>
    <w:rsid w:val="003300E0"/>
    <w:rsid w:val="00330389"/>
    <w:rsid w:val="0033055A"/>
    <w:rsid w:val="003308DB"/>
    <w:rsid w:val="00330EC8"/>
    <w:rsid w:val="00331352"/>
    <w:rsid w:val="0033145E"/>
    <w:rsid w:val="003316B1"/>
    <w:rsid w:val="00331EB1"/>
    <w:rsid w:val="00332011"/>
    <w:rsid w:val="00332256"/>
    <w:rsid w:val="0033247E"/>
    <w:rsid w:val="00332518"/>
    <w:rsid w:val="00332925"/>
    <w:rsid w:val="003329ED"/>
    <w:rsid w:val="00332BA2"/>
    <w:rsid w:val="00332ED7"/>
    <w:rsid w:val="00332FD6"/>
    <w:rsid w:val="003332ED"/>
    <w:rsid w:val="0033429B"/>
    <w:rsid w:val="0033469A"/>
    <w:rsid w:val="00334D08"/>
    <w:rsid w:val="0033538C"/>
    <w:rsid w:val="003354F0"/>
    <w:rsid w:val="00335B9D"/>
    <w:rsid w:val="003360C7"/>
    <w:rsid w:val="00336340"/>
    <w:rsid w:val="00336357"/>
    <w:rsid w:val="003368DC"/>
    <w:rsid w:val="00336989"/>
    <w:rsid w:val="00337045"/>
    <w:rsid w:val="0033733E"/>
    <w:rsid w:val="00337AD4"/>
    <w:rsid w:val="00337AFD"/>
    <w:rsid w:val="00337B3D"/>
    <w:rsid w:val="00337C7C"/>
    <w:rsid w:val="003400FB"/>
    <w:rsid w:val="003403B6"/>
    <w:rsid w:val="00340E88"/>
    <w:rsid w:val="003414F0"/>
    <w:rsid w:val="00341523"/>
    <w:rsid w:val="0034226C"/>
    <w:rsid w:val="00343180"/>
    <w:rsid w:val="0034355A"/>
    <w:rsid w:val="00343B94"/>
    <w:rsid w:val="0034424B"/>
    <w:rsid w:val="0034425E"/>
    <w:rsid w:val="003442EC"/>
    <w:rsid w:val="00344386"/>
    <w:rsid w:val="00344A25"/>
    <w:rsid w:val="003452F9"/>
    <w:rsid w:val="00345927"/>
    <w:rsid w:val="003465FF"/>
    <w:rsid w:val="003466E0"/>
    <w:rsid w:val="0034689E"/>
    <w:rsid w:val="00346E21"/>
    <w:rsid w:val="00350584"/>
    <w:rsid w:val="00350C32"/>
    <w:rsid w:val="00350F1F"/>
    <w:rsid w:val="00351398"/>
    <w:rsid w:val="00351857"/>
    <w:rsid w:val="00351A44"/>
    <w:rsid w:val="00351B27"/>
    <w:rsid w:val="00351BF8"/>
    <w:rsid w:val="00351EBD"/>
    <w:rsid w:val="00352533"/>
    <w:rsid w:val="00352DD4"/>
    <w:rsid w:val="003531E5"/>
    <w:rsid w:val="00353420"/>
    <w:rsid w:val="00353B76"/>
    <w:rsid w:val="00353E36"/>
    <w:rsid w:val="003545E8"/>
    <w:rsid w:val="003546DF"/>
    <w:rsid w:val="00354952"/>
    <w:rsid w:val="00354FE6"/>
    <w:rsid w:val="00355856"/>
    <w:rsid w:val="00355DFF"/>
    <w:rsid w:val="0035608B"/>
    <w:rsid w:val="00356AB0"/>
    <w:rsid w:val="00356D6C"/>
    <w:rsid w:val="00357414"/>
    <w:rsid w:val="00357AF5"/>
    <w:rsid w:val="00357CEB"/>
    <w:rsid w:val="003604A7"/>
    <w:rsid w:val="003610E1"/>
    <w:rsid w:val="0036111F"/>
    <w:rsid w:val="00361CB9"/>
    <w:rsid w:val="00361FFF"/>
    <w:rsid w:val="00362549"/>
    <w:rsid w:val="00362550"/>
    <w:rsid w:val="00362B1E"/>
    <w:rsid w:val="00362EB1"/>
    <w:rsid w:val="003643E8"/>
    <w:rsid w:val="0036445D"/>
    <w:rsid w:val="00364961"/>
    <w:rsid w:val="00365483"/>
    <w:rsid w:val="00366094"/>
    <w:rsid w:val="00366B63"/>
    <w:rsid w:val="00366B82"/>
    <w:rsid w:val="00366F48"/>
    <w:rsid w:val="003671BE"/>
    <w:rsid w:val="003674EF"/>
    <w:rsid w:val="003675B6"/>
    <w:rsid w:val="00370464"/>
    <w:rsid w:val="0037046E"/>
    <w:rsid w:val="00370FA8"/>
    <w:rsid w:val="003712AA"/>
    <w:rsid w:val="00371584"/>
    <w:rsid w:val="0037179F"/>
    <w:rsid w:val="00372485"/>
    <w:rsid w:val="0037317F"/>
    <w:rsid w:val="00373200"/>
    <w:rsid w:val="003734C5"/>
    <w:rsid w:val="00373752"/>
    <w:rsid w:val="00373778"/>
    <w:rsid w:val="00373B5E"/>
    <w:rsid w:val="00373EF9"/>
    <w:rsid w:val="00374417"/>
    <w:rsid w:val="003748E6"/>
    <w:rsid w:val="003749F5"/>
    <w:rsid w:val="00374C7C"/>
    <w:rsid w:val="00374CCD"/>
    <w:rsid w:val="00375EF5"/>
    <w:rsid w:val="003767A5"/>
    <w:rsid w:val="00376A5A"/>
    <w:rsid w:val="00376A81"/>
    <w:rsid w:val="00376F31"/>
    <w:rsid w:val="00376F6E"/>
    <w:rsid w:val="00376FB4"/>
    <w:rsid w:val="00377963"/>
    <w:rsid w:val="00377B83"/>
    <w:rsid w:val="00377CD2"/>
    <w:rsid w:val="00380037"/>
    <w:rsid w:val="003806CB"/>
    <w:rsid w:val="0038084F"/>
    <w:rsid w:val="00380BF7"/>
    <w:rsid w:val="003816D8"/>
    <w:rsid w:val="003818A6"/>
    <w:rsid w:val="00381934"/>
    <w:rsid w:val="00381B31"/>
    <w:rsid w:val="00381B6C"/>
    <w:rsid w:val="00381D15"/>
    <w:rsid w:val="003820F2"/>
    <w:rsid w:val="003823A3"/>
    <w:rsid w:val="00382D36"/>
    <w:rsid w:val="00382E48"/>
    <w:rsid w:val="00382ECA"/>
    <w:rsid w:val="0038307E"/>
    <w:rsid w:val="003838C3"/>
    <w:rsid w:val="00384D2E"/>
    <w:rsid w:val="00385068"/>
    <w:rsid w:val="00385254"/>
    <w:rsid w:val="00385707"/>
    <w:rsid w:val="003865F3"/>
    <w:rsid w:val="00386B99"/>
    <w:rsid w:val="003872FE"/>
    <w:rsid w:val="0038778F"/>
    <w:rsid w:val="003878C0"/>
    <w:rsid w:val="00387CB0"/>
    <w:rsid w:val="003905C0"/>
    <w:rsid w:val="00390705"/>
    <w:rsid w:val="00390943"/>
    <w:rsid w:val="00390C4F"/>
    <w:rsid w:val="003913FF"/>
    <w:rsid w:val="003916A5"/>
    <w:rsid w:val="00391744"/>
    <w:rsid w:val="003917D3"/>
    <w:rsid w:val="00391E12"/>
    <w:rsid w:val="00391EA1"/>
    <w:rsid w:val="003921FF"/>
    <w:rsid w:val="00392A9F"/>
    <w:rsid w:val="003933E8"/>
    <w:rsid w:val="00393591"/>
    <w:rsid w:val="00393EB8"/>
    <w:rsid w:val="0039402C"/>
    <w:rsid w:val="00394031"/>
    <w:rsid w:val="00394F74"/>
    <w:rsid w:val="003951D6"/>
    <w:rsid w:val="00395744"/>
    <w:rsid w:val="00395BE6"/>
    <w:rsid w:val="003961A5"/>
    <w:rsid w:val="00396202"/>
    <w:rsid w:val="0039694C"/>
    <w:rsid w:val="003974AC"/>
    <w:rsid w:val="00397A89"/>
    <w:rsid w:val="003A00FD"/>
    <w:rsid w:val="003A02B3"/>
    <w:rsid w:val="003A031D"/>
    <w:rsid w:val="003A04DB"/>
    <w:rsid w:val="003A0712"/>
    <w:rsid w:val="003A07E8"/>
    <w:rsid w:val="003A08FA"/>
    <w:rsid w:val="003A11DD"/>
    <w:rsid w:val="003A189C"/>
    <w:rsid w:val="003A2028"/>
    <w:rsid w:val="003A2250"/>
    <w:rsid w:val="003A287D"/>
    <w:rsid w:val="003A291C"/>
    <w:rsid w:val="003A2EFF"/>
    <w:rsid w:val="003A4197"/>
    <w:rsid w:val="003A4242"/>
    <w:rsid w:val="003A4890"/>
    <w:rsid w:val="003A49DA"/>
    <w:rsid w:val="003A4C78"/>
    <w:rsid w:val="003A4C7A"/>
    <w:rsid w:val="003A5F5B"/>
    <w:rsid w:val="003A5FA9"/>
    <w:rsid w:val="003A6856"/>
    <w:rsid w:val="003A688B"/>
    <w:rsid w:val="003A6F1D"/>
    <w:rsid w:val="003A6FDC"/>
    <w:rsid w:val="003A75CE"/>
    <w:rsid w:val="003A77F1"/>
    <w:rsid w:val="003A789A"/>
    <w:rsid w:val="003B010F"/>
    <w:rsid w:val="003B0526"/>
    <w:rsid w:val="003B07DC"/>
    <w:rsid w:val="003B09CD"/>
    <w:rsid w:val="003B0BA0"/>
    <w:rsid w:val="003B0EED"/>
    <w:rsid w:val="003B12EC"/>
    <w:rsid w:val="003B1449"/>
    <w:rsid w:val="003B1495"/>
    <w:rsid w:val="003B150F"/>
    <w:rsid w:val="003B1578"/>
    <w:rsid w:val="003B1DF0"/>
    <w:rsid w:val="003B2211"/>
    <w:rsid w:val="003B2571"/>
    <w:rsid w:val="003B2859"/>
    <w:rsid w:val="003B31DD"/>
    <w:rsid w:val="003B373E"/>
    <w:rsid w:val="003B38A5"/>
    <w:rsid w:val="003B3A78"/>
    <w:rsid w:val="003B3DDF"/>
    <w:rsid w:val="003B4844"/>
    <w:rsid w:val="003B4908"/>
    <w:rsid w:val="003B49CB"/>
    <w:rsid w:val="003B4B07"/>
    <w:rsid w:val="003B5179"/>
    <w:rsid w:val="003B5478"/>
    <w:rsid w:val="003B606A"/>
    <w:rsid w:val="003B68CF"/>
    <w:rsid w:val="003B6C03"/>
    <w:rsid w:val="003B6E68"/>
    <w:rsid w:val="003B77B6"/>
    <w:rsid w:val="003C1C30"/>
    <w:rsid w:val="003C24E5"/>
    <w:rsid w:val="003C2E9D"/>
    <w:rsid w:val="003C325C"/>
    <w:rsid w:val="003C3664"/>
    <w:rsid w:val="003C3B7A"/>
    <w:rsid w:val="003C4438"/>
    <w:rsid w:val="003C44AB"/>
    <w:rsid w:val="003C4545"/>
    <w:rsid w:val="003C459A"/>
    <w:rsid w:val="003C4C33"/>
    <w:rsid w:val="003C4DCE"/>
    <w:rsid w:val="003C5409"/>
    <w:rsid w:val="003C5AD0"/>
    <w:rsid w:val="003C6776"/>
    <w:rsid w:val="003C6D81"/>
    <w:rsid w:val="003C6FAE"/>
    <w:rsid w:val="003C6FC1"/>
    <w:rsid w:val="003C76A6"/>
    <w:rsid w:val="003C77E0"/>
    <w:rsid w:val="003C7BB5"/>
    <w:rsid w:val="003C7BDA"/>
    <w:rsid w:val="003D0BE4"/>
    <w:rsid w:val="003D0D26"/>
    <w:rsid w:val="003D17D7"/>
    <w:rsid w:val="003D1893"/>
    <w:rsid w:val="003D1CA8"/>
    <w:rsid w:val="003D1D04"/>
    <w:rsid w:val="003D2678"/>
    <w:rsid w:val="003D2C26"/>
    <w:rsid w:val="003D2DD2"/>
    <w:rsid w:val="003D2F1D"/>
    <w:rsid w:val="003D34BA"/>
    <w:rsid w:val="003D3632"/>
    <w:rsid w:val="003D3897"/>
    <w:rsid w:val="003D539B"/>
    <w:rsid w:val="003D60F3"/>
    <w:rsid w:val="003D616E"/>
    <w:rsid w:val="003D6FB2"/>
    <w:rsid w:val="003D71A3"/>
    <w:rsid w:val="003D7729"/>
    <w:rsid w:val="003D7BD5"/>
    <w:rsid w:val="003D7D49"/>
    <w:rsid w:val="003E0122"/>
    <w:rsid w:val="003E04A9"/>
    <w:rsid w:val="003E09CB"/>
    <w:rsid w:val="003E0C4D"/>
    <w:rsid w:val="003E0F14"/>
    <w:rsid w:val="003E15B9"/>
    <w:rsid w:val="003E15EC"/>
    <w:rsid w:val="003E1D53"/>
    <w:rsid w:val="003E2B8A"/>
    <w:rsid w:val="003E3034"/>
    <w:rsid w:val="003E3698"/>
    <w:rsid w:val="003E393B"/>
    <w:rsid w:val="003E4435"/>
    <w:rsid w:val="003E4986"/>
    <w:rsid w:val="003E4A36"/>
    <w:rsid w:val="003E4C0A"/>
    <w:rsid w:val="003E6844"/>
    <w:rsid w:val="003E684C"/>
    <w:rsid w:val="003E697A"/>
    <w:rsid w:val="003E6CCE"/>
    <w:rsid w:val="003F0F79"/>
    <w:rsid w:val="003F10EE"/>
    <w:rsid w:val="003F16F6"/>
    <w:rsid w:val="003F1EFD"/>
    <w:rsid w:val="003F20CD"/>
    <w:rsid w:val="003F24F9"/>
    <w:rsid w:val="003F2850"/>
    <w:rsid w:val="003F28C4"/>
    <w:rsid w:val="003F2A44"/>
    <w:rsid w:val="003F324A"/>
    <w:rsid w:val="003F43BA"/>
    <w:rsid w:val="003F452B"/>
    <w:rsid w:val="003F4659"/>
    <w:rsid w:val="003F49D5"/>
    <w:rsid w:val="003F4ABB"/>
    <w:rsid w:val="003F4DC7"/>
    <w:rsid w:val="003F5233"/>
    <w:rsid w:val="003F5235"/>
    <w:rsid w:val="003F5512"/>
    <w:rsid w:val="003F5694"/>
    <w:rsid w:val="003F56A6"/>
    <w:rsid w:val="003F5967"/>
    <w:rsid w:val="003F67DA"/>
    <w:rsid w:val="003F6D2B"/>
    <w:rsid w:val="003F6F05"/>
    <w:rsid w:val="003F6F4A"/>
    <w:rsid w:val="003F7284"/>
    <w:rsid w:val="003F7CC1"/>
    <w:rsid w:val="003F7E94"/>
    <w:rsid w:val="00400504"/>
    <w:rsid w:val="00402655"/>
    <w:rsid w:val="004027E4"/>
    <w:rsid w:val="00402B3E"/>
    <w:rsid w:val="00403515"/>
    <w:rsid w:val="00403C36"/>
    <w:rsid w:val="00404A09"/>
    <w:rsid w:val="00405AC5"/>
    <w:rsid w:val="00405B0E"/>
    <w:rsid w:val="00406853"/>
    <w:rsid w:val="004068CB"/>
    <w:rsid w:val="00406ED2"/>
    <w:rsid w:val="00406F07"/>
    <w:rsid w:val="00407749"/>
    <w:rsid w:val="00410419"/>
    <w:rsid w:val="004105E1"/>
    <w:rsid w:val="0041071D"/>
    <w:rsid w:val="00410B55"/>
    <w:rsid w:val="004116F4"/>
    <w:rsid w:val="004118D4"/>
    <w:rsid w:val="0041198E"/>
    <w:rsid w:val="00411DF3"/>
    <w:rsid w:val="00411FD8"/>
    <w:rsid w:val="004120A2"/>
    <w:rsid w:val="00412516"/>
    <w:rsid w:val="00413320"/>
    <w:rsid w:val="0041351F"/>
    <w:rsid w:val="00413AA9"/>
    <w:rsid w:val="00414867"/>
    <w:rsid w:val="00414AFC"/>
    <w:rsid w:val="00414BAE"/>
    <w:rsid w:val="004151A7"/>
    <w:rsid w:val="004152AB"/>
    <w:rsid w:val="00415310"/>
    <w:rsid w:val="00415915"/>
    <w:rsid w:val="00415BCB"/>
    <w:rsid w:val="00415E8B"/>
    <w:rsid w:val="0041601E"/>
    <w:rsid w:val="00416228"/>
    <w:rsid w:val="00416F27"/>
    <w:rsid w:val="004175A7"/>
    <w:rsid w:val="0041765C"/>
    <w:rsid w:val="00417875"/>
    <w:rsid w:val="0041791C"/>
    <w:rsid w:val="00417B1E"/>
    <w:rsid w:val="00420900"/>
    <w:rsid w:val="00420CB6"/>
    <w:rsid w:val="00420F6C"/>
    <w:rsid w:val="00421709"/>
    <w:rsid w:val="004225E8"/>
    <w:rsid w:val="00422A28"/>
    <w:rsid w:val="00422E93"/>
    <w:rsid w:val="00422ED8"/>
    <w:rsid w:val="0042304A"/>
    <w:rsid w:val="00423052"/>
    <w:rsid w:val="0042314A"/>
    <w:rsid w:val="00423493"/>
    <w:rsid w:val="00423763"/>
    <w:rsid w:val="004237F9"/>
    <w:rsid w:val="00423899"/>
    <w:rsid w:val="00423BA2"/>
    <w:rsid w:val="00423E39"/>
    <w:rsid w:val="00424796"/>
    <w:rsid w:val="00425696"/>
    <w:rsid w:val="0042659C"/>
    <w:rsid w:val="00426645"/>
    <w:rsid w:val="004267BF"/>
    <w:rsid w:val="00426F6E"/>
    <w:rsid w:val="0042762F"/>
    <w:rsid w:val="00427CF5"/>
    <w:rsid w:val="00427DC7"/>
    <w:rsid w:val="00427E1A"/>
    <w:rsid w:val="004304F7"/>
    <w:rsid w:val="00430AEA"/>
    <w:rsid w:val="00431460"/>
    <w:rsid w:val="0043159F"/>
    <w:rsid w:val="00431613"/>
    <w:rsid w:val="00431792"/>
    <w:rsid w:val="00431D98"/>
    <w:rsid w:val="00431F8C"/>
    <w:rsid w:val="00431FC5"/>
    <w:rsid w:val="0043297A"/>
    <w:rsid w:val="00432EB2"/>
    <w:rsid w:val="004332E0"/>
    <w:rsid w:val="00434E15"/>
    <w:rsid w:val="00434E92"/>
    <w:rsid w:val="004355CC"/>
    <w:rsid w:val="00435DA7"/>
    <w:rsid w:val="00435F7E"/>
    <w:rsid w:val="0043632D"/>
    <w:rsid w:val="00436399"/>
    <w:rsid w:val="00436956"/>
    <w:rsid w:val="00436EEE"/>
    <w:rsid w:val="00437051"/>
    <w:rsid w:val="0043714F"/>
    <w:rsid w:val="004379FF"/>
    <w:rsid w:val="00437A63"/>
    <w:rsid w:val="00437E15"/>
    <w:rsid w:val="00440916"/>
    <w:rsid w:val="00440A8D"/>
    <w:rsid w:val="004411A5"/>
    <w:rsid w:val="00442D40"/>
    <w:rsid w:val="00442FE7"/>
    <w:rsid w:val="00443016"/>
    <w:rsid w:val="004438B5"/>
    <w:rsid w:val="00443C2A"/>
    <w:rsid w:val="004440D8"/>
    <w:rsid w:val="004448CF"/>
    <w:rsid w:val="00445499"/>
    <w:rsid w:val="004455DA"/>
    <w:rsid w:val="00445D31"/>
    <w:rsid w:val="00447037"/>
    <w:rsid w:val="00447EAA"/>
    <w:rsid w:val="00447EDE"/>
    <w:rsid w:val="00447FF0"/>
    <w:rsid w:val="00450B2F"/>
    <w:rsid w:val="0045124D"/>
    <w:rsid w:val="004513E4"/>
    <w:rsid w:val="00451C98"/>
    <w:rsid w:val="00452841"/>
    <w:rsid w:val="00452ADF"/>
    <w:rsid w:val="00452CAE"/>
    <w:rsid w:val="00452CDF"/>
    <w:rsid w:val="00452FF1"/>
    <w:rsid w:val="004539D4"/>
    <w:rsid w:val="00454596"/>
    <w:rsid w:val="0045498D"/>
    <w:rsid w:val="00454DC4"/>
    <w:rsid w:val="004552B2"/>
    <w:rsid w:val="004555C5"/>
    <w:rsid w:val="004556F5"/>
    <w:rsid w:val="004557D6"/>
    <w:rsid w:val="0045605D"/>
    <w:rsid w:val="00456203"/>
    <w:rsid w:val="00456688"/>
    <w:rsid w:val="00456A01"/>
    <w:rsid w:val="004576B9"/>
    <w:rsid w:val="0045796B"/>
    <w:rsid w:val="00457C4D"/>
    <w:rsid w:val="00457DF7"/>
    <w:rsid w:val="00457F1E"/>
    <w:rsid w:val="004605BA"/>
    <w:rsid w:val="0046099F"/>
    <w:rsid w:val="0046135B"/>
    <w:rsid w:val="004616BC"/>
    <w:rsid w:val="00461D47"/>
    <w:rsid w:val="004624E6"/>
    <w:rsid w:val="0046277E"/>
    <w:rsid w:val="0046278E"/>
    <w:rsid w:val="00462883"/>
    <w:rsid w:val="0046299F"/>
    <w:rsid w:val="0046347F"/>
    <w:rsid w:val="00463553"/>
    <w:rsid w:val="00463563"/>
    <w:rsid w:val="004635D4"/>
    <w:rsid w:val="00463632"/>
    <w:rsid w:val="004636B2"/>
    <w:rsid w:val="00463744"/>
    <w:rsid w:val="0046445B"/>
    <w:rsid w:val="00464B47"/>
    <w:rsid w:val="00464D57"/>
    <w:rsid w:val="004650F6"/>
    <w:rsid w:val="004651DD"/>
    <w:rsid w:val="0046556C"/>
    <w:rsid w:val="004658A2"/>
    <w:rsid w:val="00470816"/>
    <w:rsid w:val="004714A8"/>
    <w:rsid w:val="004716AD"/>
    <w:rsid w:val="004718CC"/>
    <w:rsid w:val="00471A88"/>
    <w:rsid w:val="00471AF3"/>
    <w:rsid w:val="0047202C"/>
    <w:rsid w:val="00472705"/>
    <w:rsid w:val="00472A69"/>
    <w:rsid w:val="00472B76"/>
    <w:rsid w:val="00473502"/>
    <w:rsid w:val="0047385D"/>
    <w:rsid w:val="00473F7A"/>
    <w:rsid w:val="00474044"/>
    <w:rsid w:val="0047430A"/>
    <w:rsid w:val="0047434B"/>
    <w:rsid w:val="004744BB"/>
    <w:rsid w:val="004750C2"/>
    <w:rsid w:val="00475CC8"/>
    <w:rsid w:val="00475F25"/>
    <w:rsid w:val="00476019"/>
    <w:rsid w:val="0047633A"/>
    <w:rsid w:val="00477E4E"/>
    <w:rsid w:val="00477E8C"/>
    <w:rsid w:val="00480702"/>
    <w:rsid w:val="00481093"/>
    <w:rsid w:val="00481695"/>
    <w:rsid w:val="004836FE"/>
    <w:rsid w:val="0048372D"/>
    <w:rsid w:val="00483A38"/>
    <w:rsid w:val="00483DFB"/>
    <w:rsid w:val="00483F1F"/>
    <w:rsid w:val="0048465D"/>
    <w:rsid w:val="00484A20"/>
    <w:rsid w:val="004850EC"/>
    <w:rsid w:val="00485236"/>
    <w:rsid w:val="0048552D"/>
    <w:rsid w:val="00485550"/>
    <w:rsid w:val="00485621"/>
    <w:rsid w:val="00485947"/>
    <w:rsid w:val="0048612B"/>
    <w:rsid w:val="0048676B"/>
    <w:rsid w:val="00486FB0"/>
    <w:rsid w:val="00490B0C"/>
    <w:rsid w:val="00490EAF"/>
    <w:rsid w:val="00491277"/>
    <w:rsid w:val="00491387"/>
    <w:rsid w:val="00491E4D"/>
    <w:rsid w:val="00492221"/>
    <w:rsid w:val="00492469"/>
    <w:rsid w:val="004925F3"/>
    <w:rsid w:val="004926E3"/>
    <w:rsid w:val="00492816"/>
    <w:rsid w:val="00492AFB"/>
    <w:rsid w:val="00492AFC"/>
    <w:rsid w:val="00492BEE"/>
    <w:rsid w:val="00493298"/>
    <w:rsid w:val="00493321"/>
    <w:rsid w:val="00493794"/>
    <w:rsid w:val="00493F0C"/>
    <w:rsid w:val="004941F7"/>
    <w:rsid w:val="004948A0"/>
    <w:rsid w:val="00494F11"/>
    <w:rsid w:val="004952C2"/>
    <w:rsid w:val="00495A96"/>
    <w:rsid w:val="00495BB3"/>
    <w:rsid w:val="00495C4A"/>
    <w:rsid w:val="00496E91"/>
    <w:rsid w:val="00497F90"/>
    <w:rsid w:val="004A0261"/>
    <w:rsid w:val="004A0655"/>
    <w:rsid w:val="004A0BBF"/>
    <w:rsid w:val="004A0E26"/>
    <w:rsid w:val="004A126A"/>
    <w:rsid w:val="004A1808"/>
    <w:rsid w:val="004A201A"/>
    <w:rsid w:val="004A20EE"/>
    <w:rsid w:val="004A2ADD"/>
    <w:rsid w:val="004A2EA3"/>
    <w:rsid w:val="004A4409"/>
    <w:rsid w:val="004A4C39"/>
    <w:rsid w:val="004A56BB"/>
    <w:rsid w:val="004A5CBD"/>
    <w:rsid w:val="004A5F55"/>
    <w:rsid w:val="004A631F"/>
    <w:rsid w:val="004A64C7"/>
    <w:rsid w:val="004A672E"/>
    <w:rsid w:val="004A685A"/>
    <w:rsid w:val="004A70D6"/>
    <w:rsid w:val="004A713A"/>
    <w:rsid w:val="004A7676"/>
    <w:rsid w:val="004A7A67"/>
    <w:rsid w:val="004A7ECA"/>
    <w:rsid w:val="004B0049"/>
    <w:rsid w:val="004B01AD"/>
    <w:rsid w:val="004B0F13"/>
    <w:rsid w:val="004B1447"/>
    <w:rsid w:val="004B1722"/>
    <w:rsid w:val="004B1751"/>
    <w:rsid w:val="004B2597"/>
    <w:rsid w:val="004B293D"/>
    <w:rsid w:val="004B2C90"/>
    <w:rsid w:val="004B2FB2"/>
    <w:rsid w:val="004B346F"/>
    <w:rsid w:val="004B574A"/>
    <w:rsid w:val="004B5B4A"/>
    <w:rsid w:val="004B5ECE"/>
    <w:rsid w:val="004B5FBC"/>
    <w:rsid w:val="004B610D"/>
    <w:rsid w:val="004B6333"/>
    <w:rsid w:val="004B6A49"/>
    <w:rsid w:val="004B6EB7"/>
    <w:rsid w:val="004B726A"/>
    <w:rsid w:val="004C004F"/>
    <w:rsid w:val="004C00FE"/>
    <w:rsid w:val="004C0253"/>
    <w:rsid w:val="004C03BA"/>
    <w:rsid w:val="004C14B8"/>
    <w:rsid w:val="004C171D"/>
    <w:rsid w:val="004C1722"/>
    <w:rsid w:val="004C1947"/>
    <w:rsid w:val="004C1F29"/>
    <w:rsid w:val="004C2408"/>
    <w:rsid w:val="004C24EC"/>
    <w:rsid w:val="004C2E17"/>
    <w:rsid w:val="004C3223"/>
    <w:rsid w:val="004C3632"/>
    <w:rsid w:val="004C3B79"/>
    <w:rsid w:val="004C4350"/>
    <w:rsid w:val="004C4E4B"/>
    <w:rsid w:val="004C50A0"/>
    <w:rsid w:val="004C59D4"/>
    <w:rsid w:val="004C5B20"/>
    <w:rsid w:val="004C6412"/>
    <w:rsid w:val="004C6430"/>
    <w:rsid w:val="004C6CE4"/>
    <w:rsid w:val="004C6F27"/>
    <w:rsid w:val="004C7A8D"/>
    <w:rsid w:val="004D07C7"/>
    <w:rsid w:val="004D0E14"/>
    <w:rsid w:val="004D12F2"/>
    <w:rsid w:val="004D1530"/>
    <w:rsid w:val="004D1787"/>
    <w:rsid w:val="004D1900"/>
    <w:rsid w:val="004D19D9"/>
    <w:rsid w:val="004D1A91"/>
    <w:rsid w:val="004D225C"/>
    <w:rsid w:val="004D2A3B"/>
    <w:rsid w:val="004D2DE2"/>
    <w:rsid w:val="004D2F27"/>
    <w:rsid w:val="004D3283"/>
    <w:rsid w:val="004D33F9"/>
    <w:rsid w:val="004D3EDD"/>
    <w:rsid w:val="004D4081"/>
    <w:rsid w:val="004D427E"/>
    <w:rsid w:val="004D4809"/>
    <w:rsid w:val="004D56FF"/>
    <w:rsid w:val="004D5ADC"/>
    <w:rsid w:val="004D6137"/>
    <w:rsid w:val="004D639F"/>
    <w:rsid w:val="004D64B5"/>
    <w:rsid w:val="004D6517"/>
    <w:rsid w:val="004D6830"/>
    <w:rsid w:val="004D6BE2"/>
    <w:rsid w:val="004D6EC0"/>
    <w:rsid w:val="004D7031"/>
    <w:rsid w:val="004D73BD"/>
    <w:rsid w:val="004D78BF"/>
    <w:rsid w:val="004D79E4"/>
    <w:rsid w:val="004D7F57"/>
    <w:rsid w:val="004D7FE7"/>
    <w:rsid w:val="004E003E"/>
    <w:rsid w:val="004E03A5"/>
    <w:rsid w:val="004E0513"/>
    <w:rsid w:val="004E05DC"/>
    <w:rsid w:val="004E08B8"/>
    <w:rsid w:val="004E0AD1"/>
    <w:rsid w:val="004E0E14"/>
    <w:rsid w:val="004E19A2"/>
    <w:rsid w:val="004E1EC8"/>
    <w:rsid w:val="004E1F60"/>
    <w:rsid w:val="004E2053"/>
    <w:rsid w:val="004E2310"/>
    <w:rsid w:val="004E3021"/>
    <w:rsid w:val="004E33EB"/>
    <w:rsid w:val="004E37DA"/>
    <w:rsid w:val="004E39D3"/>
    <w:rsid w:val="004E4045"/>
    <w:rsid w:val="004E4FBD"/>
    <w:rsid w:val="004E508A"/>
    <w:rsid w:val="004E5B12"/>
    <w:rsid w:val="004E5C71"/>
    <w:rsid w:val="004E616D"/>
    <w:rsid w:val="004E65F0"/>
    <w:rsid w:val="004E6995"/>
    <w:rsid w:val="004E69C9"/>
    <w:rsid w:val="004E706C"/>
    <w:rsid w:val="004E7432"/>
    <w:rsid w:val="004E75B6"/>
    <w:rsid w:val="004E75C7"/>
    <w:rsid w:val="004E7975"/>
    <w:rsid w:val="004F064E"/>
    <w:rsid w:val="004F09BD"/>
    <w:rsid w:val="004F1847"/>
    <w:rsid w:val="004F1BDE"/>
    <w:rsid w:val="004F235B"/>
    <w:rsid w:val="004F2576"/>
    <w:rsid w:val="004F2CEE"/>
    <w:rsid w:val="004F3649"/>
    <w:rsid w:val="004F3741"/>
    <w:rsid w:val="004F3CB0"/>
    <w:rsid w:val="004F4894"/>
    <w:rsid w:val="004F556E"/>
    <w:rsid w:val="004F591C"/>
    <w:rsid w:val="004F602C"/>
    <w:rsid w:val="004F672D"/>
    <w:rsid w:val="004F6CCE"/>
    <w:rsid w:val="004F6CF2"/>
    <w:rsid w:val="004F6FAE"/>
    <w:rsid w:val="004F7094"/>
    <w:rsid w:val="004F7171"/>
    <w:rsid w:val="004F7F44"/>
    <w:rsid w:val="00500109"/>
    <w:rsid w:val="005009D4"/>
    <w:rsid w:val="00500B49"/>
    <w:rsid w:val="005010B7"/>
    <w:rsid w:val="005012BB"/>
    <w:rsid w:val="00501621"/>
    <w:rsid w:val="00501865"/>
    <w:rsid w:val="00502590"/>
    <w:rsid w:val="005025E7"/>
    <w:rsid w:val="00502649"/>
    <w:rsid w:val="00502983"/>
    <w:rsid w:val="00502D40"/>
    <w:rsid w:val="00502DDC"/>
    <w:rsid w:val="00502F1F"/>
    <w:rsid w:val="005037B4"/>
    <w:rsid w:val="00504010"/>
    <w:rsid w:val="0050410F"/>
    <w:rsid w:val="00504E06"/>
    <w:rsid w:val="00505047"/>
    <w:rsid w:val="005056E9"/>
    <w:rsid w:val="00505E9A"/>
    <w:rsid w:val="00505EFC"/>
    <w:rsid w:val="00506F02"/>
    <w:rsid w:val="005074F3"/>
    <w:rsid w:val="005076C7"/>
    <w:rsid w:val="00507995"/>
    <w:rsid w:val="005079BF"/>
    <w:rsid w:val="00507DF5"/>
    <w:rsid w:val="00510090"/>
    <w:rsid w:val="00510160"/>
    <w:rsid w:val="005103A2"/>
    <w:rsid w:val="00510845"/>
    <w:rsid w:val="005116EB"/>
    <w:rsid w:val="00512173"/>
    <w:rsid w:val="00512356"/>
    <w:rsid w:val="0051269A"/>
    <w:rsid w:val="00512C5F"/>
    <w:rsid w:val="00513024"/>
    <w:rsid w:val="00513956"/>
    <w:rsid w:val="0051410E"/>
    <w:rsid w:val="0051480A"/>
    <w:rsid w:val="0051534E"/>
    <w:rsid w:val="00515402"/>
    <w:rsid w:val="00515FF2"/>
    <w:rsid w:val="005161C3"/>
    <w:rsid w:val="005168D6"/>
    <w:rsid w:val="00516EA3"/>
    <w:rsid w:val="00517034"/>
    <w:rsid w:val="005179DB"/>
    <w:rsid w:val="005208AD"/>
    <w:rsid w:val="00521667"/>
    <w:rsid w:val="005219E7"/>
    <w:rsid w:val="00521B1F"/>
    <w:rsid w:val="00521B57"/>
    <w:rsid w:val="00521BD8"/>
    <w:rsid w:val="00521FA0"/>
    <w:rsid w:val="0052253E"/>
    <w:rsid w:val="005233D2"/>
    <w:rsid w:val="0052392A"/>
    <w:rsid w:val="00523A0D"/>
    <w:rsid w:val="00523AA0"/>
    <w:rsid w:val="00523C13"/>
    <w:rsid w:val="00523ECB"/>
    <w:rsid w:val="00524B24"/>
    <w:rsid w:val="00524BD0"/>
    <w:rsid w:val="00524F34"/>
    <w:rsid w:val="00524FC6"/>
    <w:rsid w:val="00525F9A"/>
    <w:rsid w:val="0052635F"/>
    <w:rsid w:val="00526982"/>
    <w:rsid w:val="00526F3C"/>
    <w:rsid w:val="00530D97"/>
    <w:rsid w:val="00531B9A"/>
    <w:rsid w:val="00531D15"/>
    <w:rsid w:val="00532673"/>
    <w:rsid w:val="00532707"/>
    <w:rsid w:val="00532D45"/>
    <w:rsid w:val="00533021"/>
    <w:rsid w:val="00533048"/>
    <w:rsid w:val="00533175"/>
    <w:rsid w:val="005338D2"/>
    <w:rsid w:val="00533F3C"/>
    <w:rsid w:val="00535588"/>
    <w:rsid w:val="0053562C"/>
    <w:rsid w:val="005357B3"/>
    <w:rsid w:val="00535F31"/>
    <w:rsid w:val="00536491"/>
    <w:rsid w:val="00536E1F"/>
    <w:rsid w:val="00537604"/>
    <w:rsid w:val="005377C1"/>
    <w:rsid w:val="0053797E"/>
    <w:rsid w:val="00537D96"/>
    <w:rsid w:val="005408C0"/>
    <w:rsid w:val="005412FD"/>
    <w:rsid w:val="005415A3"/>
    <w:rsid w:val="0054160B"/>
    <w:rsid w:val="00541986"/>
    <w:rsid w:val="00542377"/>
    <w:rsid w:val="00542FA6"/>
    <w:rsid w:val="00544632"/>
    <w:rsid w:val="00544B43"/>
    <w:rsid w:val="00544FAA"/>
    <w:rsid w:val="00545AA5"/>
    <w:rsid w:val="005464E7"/>
    <w:rsid w:val="005465A0"/>
    <w:rsid w:val="00546798"/>
    <w:rsid w:val="005468CD"/>
    <w:rsid w:val="00546C93"/>
    <w:rsid w:val="00547314"/>
    <w:rsid w:val="005474E2"/>
    <w:rsid w:val="005476EB"/>
    <w:rsid w:val="00547B75"/>
    <w:rsid w:val="00550373"/>
    <w:rsid w:val="00550862"/>
    <w:rsid w:val="00550C99"/>
    <w:rsid w:val="00550FB9"/>
    <w:rsid w:val="005510EC"/>
    <w:rsid w:val="005514FA"/>
    <w:rsid w:val="00551782"/>
    <w:rsid w:val="00551B61"/>
    <w:rsid w:val="00551C9C"/>
    <w:rsid w:val="00551F45"/>
    <w:rsid w:val="005523C2"/>
    <w:rsid w:val="005523F0"/>
    <w:rsid w:val="00552E58"/>
    <w:rsid w:val="00553558"/>
    <w:rsid w:val="00553740"/>
    <w:rsid w:val="00553913"/>
    <w:rsid w:val="00553E23"/>
    <w:rsid w:val="005543BD"/>
    <w:rsid w:val="00554426"/>
    <w:rsid w:val="00554438"/>
    <w:rsid w:val="00554708"/>
    <w:rsid w:val="00555D8F"/>
    <w:rsid w:val="00555DEF"/>
    <w:rsid w:val="005568FB"/>
    <w:rsid w:val="005569CB"/>
    <w:rsid w:val="00556E3D"/>
    <w:rsid w:val="00556F55"/>
    <w:rsid w:val="005575A1"/>
    <w:rsid w:val="00557A65"/>
    <w:rsid w:val="00557B9F"/>
    <w:rsid w:val="00561609"/>
    <w:rsid w:val="0056180A"/>
    <w:rsid w:val="00562208"/>
    <w:rsid w:val="00562377"/>
    <w:rsid w:val="005623FA"/>
    <w:rsid w:val="005628F2"/>
    <w:rsid w:val="00562B6B"/>
    <w:rsid w:val="00562D55"/>
    <w:rsid w:val="0056395A"/>
    <w:rsid w:val="00563B04"/>
    <w:rsid w:val="00563C04"/>
    <w:rsid w:val="00563EF1"/>
    <w:rsid w:val="005641C4"/>
    <w:rsid w:val="005647B4"/>
    <w:rsid w:val="00565138"/>
    <w:rsid w:val="00565255"/>
    <w:rsid w:val="00565530"/>
    <w:rsid w:val="005658FF"/>
    <w:rsid w:val="005664AD"/>
    <w:rsid w:val="00566AB4"/>
    <w:rsid w:val="00566F09"/>
    <w:rsid w:val="0056758C"/>
    <w:rsid w:val="00567906"/>
    <w:rsid w:val="00567C75"/>
    <w:rsid w:val="005700CB"/>
    <w:rsid w:val="0057045F"/>
    <w:rsid w:val="00571842"/>
    <w:rsid w:val="005718D2"/>
    <w:rsid w:val="00571BA4"/>
    <w:rsid w:val="005727F0"/>
    <w:rsid w:val="00572A2E"/>
    <w:rsid w:val="0057330A"/>
    <w:rsid w:val="0057359B"/>
    <w:rsid w:val="00573812"/>
    <w:rsid w:val="00574AD6"/>
    <w:rsid w:val="0057513E"/>
    <w:rsid w:val="00575273"/>
    <w:rsid w:val="005755FD"/>
    <w:rsid w:val="005756A0"/>
    <w:rsid w:val="005758B3"/>
    <w:rsid w:val="00575AC5"/>
    <w:rsid w:val="00575C28"/>
    <w:rsid w:val="00575FC5"/>
    <w:rsid w:val="0057605D"/>
    <w:rsid w:val="00576C74"/>
    <w:rsid w:val="0057794B"/>
    <w:rsid w:val="00577F3D"/>
    <w:rsid w:val="00580405"/>
    <w:rsid w:val="00580600"/>
    <w:rsid w:val="00580755"/>
    <w:rsid w:val="00580A18"/>
    <w:rsid w:val="00580F9C"/>
    <w:rsid w:val="005812C6"/>
    <w:rsid w:val="00581347"/>
    <w:rsid w:val="00581843"/>
    <w:rsid w:val="005818FC"/>
    <w:rsid w:val="00581AC9"/>
    <w:rsid w:val="00581CF5"/>
    <w:rsid w:val="0058219D"/>
    <w:rsid w:val="00582396"/>
    <w:rsid w:val="005827A2"/>
    <w:rsid w:val="00582AB8"/>
    <w:rsid w:val="00582C38"/>
    <w:rsid w:val="00582F0F"/>
    <w:rsid w:val="0058337D"/>
    <w:rsid w:val="0058339C"/>
    <w:rsid w:val="00583411"/>
    <w:rsid w:val="00583AE0"/>
    <w:rsid w:val="005844B7"/>
    <w:rsid w:val="005847AA"/>
    <w:rsid w:val="005849F8"/>
    <w:rsid w:val="00584CE2"/>
    <w:rsid w:val="00586DEE"/>
    <w:rsid w:val="005871A9"/>
    <w:rsid w:val="005874A7"/>
    <w:rsid w:val="0058755F"/>
    <w:rsid w:val="005876D7"/>
    <w:rsid w:val="00587B60"/>
    <w:rsid w:val="00587C71"/>
    <w:rsid w:val="00587D6D"/>
    <w:rsid w:val="00590299"/>
    <w:rsid w:val="0059058A"/>
    <w:rsid w:val="005908CB"/>
    <w:rsid w:val="005909D3"/>
    <w:rsid w:val="00590A58"/>
    <w:rsid w:val="00590F83"/>
    <w:rsid w:val="00591CC4"/>
    <w:rsid w:val="00591D2F"/>
    <w:rsid w:val="00592528"/>
    <w:rsid w:val="005926A0"/>
    <w:rsid w:val="005938DF"/>
    <w:rsid w:val="0059390B"/>
    <w:rsid w:val="00593BED"/>
    <w:rsid w:val="005946C8"/>
    <w:rsid w:val="005946E8"/>
    <w:rsid w:val="00594A01"/>
    <w:rsid w:val="00594AB6"/>
    <w:rsid w:val="00594BFF"/>
    <w:rsid w:val="00594E9C"/>
    <w:rsid w:val="00595C7B"/>
    <w:rsid w:val="005965F1"/>
    <w:rsid w:val="00596FD9"/>
    <w:rsid w:val="0059733B"/>
    <w:rsid w:val="00597817"/>
    <w:rsid w:val="005A099B"/>
    <w:rsid w:val="005A0A8A"/>
    <w:rsid w:val="005A10AD"/>
    <w:rsid w:val="005A14E5"/>
    <w:rsid w:val="005A15B7"/>
    <w:rsid w:val="005A245E"/>
    <w:rsid w:val="005A279D"/>
    <w:rsid w:val="005A2D9C"/>
    <w:rsid w:val="005A2E46"/>
    <w:rsid w:val="005A3472"/>
    <w:rsid w:val="005A3498"/>
    <w:rsid w:val="005A34C4"/>
    <w:rsid w:val="005A3549"/>
    <w:rsid w:val="005A3588"/>
    <w:rsid w:val="005A479A"/>
    <w:rsid w:val="005A49A1"/>
    <w:rsid w:val="005A4A6E"/>
    <w:rsid w:val="005A4C37"/>
    <w:rsid w:val="005A4F6B"/>
    <w:rsid w:val="005A55FE"/>
    <w:rsid w:val="005A585E"/>
    <w:rsid w:val="005A586C"/>
    <w:rsid w:val="005A5B65"/>
    <w:rsid w:val="005A5D85"/>
    <w:rsid w:val="005A5FB2"/>
    <w:rsid w:val="005A60E9"/>
    <w:rsid w:val="005A621E"/>
    <w:rsid w:val="005A63E2"/>
    <w:rsid w:val="005A6969"/>
    <w:rsid w:val="005A6A11"/>
    <w:rsid w:val="005A6AFF"/>
    <w:rsid w:val="005A6B3E"/>
    <w:rsid w:val="005A6D1B"/>
    <w:rsid w:val="005A6FAF"/>
    <w:rsid w:val="005A71AE"/>
    <w:rsid w:val="005A720D"/>
    <w:rsid w:val="005A7768"/>
    <w:rsid w:val="005A7A71"/>
    <w:rsid w:val="005A7A95"/>
    <w:rsid w:val="005B0265"/>
    <w:rsid w:val="005B0896"/>
    <w:rsid w:val="005B0F5D"/>
    <w:rsid w:val="005B10A4"/>
    <w:rsid w:val="005B1885"/>
    <w:rsid w:val="005B19EB"/>
    <w:rsid w:val="005B1C73"/>
    <w:rsid w:val="005B1D15"/>
    <w:rsid w:val="005B1F06"/>
    <w:rsid w:val="005B2093"/>
    <w:rsid w:val="005B2183"/>
    <w:rsid w:val="005B246A"/>
    <w:rsid w:val="005B250C"/>
    <w:rsid w:val="005B2F0D"/>
    <w:rsid w:val="005B2F84"/>
    <w:rsid w:val="005B329C"/>
    <w:rsid w:val="005B33BF"/>
    <w:rsid w:val="005B3E85"/>
    <w:rsid w:val="005B3EF9"/>
    <w:rsid w:val="005B3F5A"/>
    <w:rsid w:val="005B408B"/>
    <w:rsid w:val="005B4966"/>
    <w:rsid w:val="005B4AFD"/>
    <w:rsid w:val="005B4B0B"/>
    <w:rsid w:val="005B516C"/>
    <w:rsid w:val="005B58BF"/>
    <w:rsid w:val="005B5A18"/>
    <w:rsid w:val="005B6069"/>
    <w:rsid w:val="005B6308"/>
    <w:rsid w:val="005B6899"/>
    <w:rsid w:val="005B6DBA"/>
    <w:rsid w:val="005B707D"/>
    <w:rsid w:val="005B733B"/>
    <w:rsid w:val="005B736A"/>
    <w:rsid w:val="005B7757"/>
    <w:rsid w:val="005B77C2"/>
    <w:rsid w:val="005B7CFD"/>
    <w:rsid w:val="005C0036"/>
    <w:rsid w:val="005C1620"/>
    <w:rsid w:val="005C1BCB"/>
    <w:rsid w:val="005C353F"/>
    <w:rsid w:val="005C36D1"/>
    <w:rsid w:val="005C3915"/>
    <w:rsid w:val="005C3EB4"/>
    <w:rsid w:val="005C42D5"/>
    <w:rsid w:val="005C4A5E"/>
    <w:rsid w:val="005C4B7D"/>
    <w:rsid w:val="005C4FE5"/>
    <w:rsid w:val="005C59AD"/>
    <w:rsid w:val="005C5E03"/>
    <w:rsid w:val="005C6071"/>
    <w:rsid w:val="005C670E"/>
    <w:rsid w:val="005C6A43"/>
    <w:rsid w:val="005C6DFE"/>
    <w:rsid w:val="005C6F0F"/>
    <w:rsid w:val="005C6F8E"/>
    <w:rsid w:val="005C71D0"/>
    <w:rsid w:val="005C723C"/>
    <w:rsid w:val="005D0FEE"/>
    <w:rsid w:val="005D1B78"/>
    <w:rsid w:val="005D2502"/>
    <w:rsid w:val="005D289A"/>
    <w:rsid w:val="005D3A42"/>
    <w:rsid w:val="005D40BB"/>
    <w:rsid w:val="005D450F"/>
    <w:rsid w:val="005D47F3"/>
    <w:rsid w:val="005D49BF"/>
    <w:rsid w:val="005D4AA5"/>
    <w:rsid w:val="005D4C1C"/>
    <w:rsid w:val="005D50B4"/>
    <w:rsid w:val="005D5205"/>
    <w:rsid w:val="005D5415"/>
    <w:rsid w:val="005D551C"/>
    <w:rsid w:val="005D55D2"/>
    <w:rsid w:val="005D5FFA"/>
    <w:rsid w:val="005D61AB"/>
    <w:rsid w:val="005D6380"/>
    <w:rsid w:val="005D6723"/>
    <w:rsid w:val="005D689C"/>
    <w:rsid w:val="005D6F4E"/>
    <w:rsid w:val="005D7C73"/>
    <w:rsid w:val="005D7F1B"/>
    <w:rsid w:val="005E0E38"/>
    <w:rsid w:val="005E1071"/>
    <w:rsid w:val="005E1664"/>
    <w:rsid w:val="005E21C8"/>
    <w:rsid w:val="005E250B"/>
    <w:rsid w:val="005E294B"/>
    <w:rsid w:val="005E2AAA"/>
    <w:rsid w:val="005E2D73"/>
    <w:rsid w:val="005E2EA0"/>
    <w:rsid w:val="005E3026"/>
    <w:rsid w:val="005E3ACD"/>
    <w:rsid w:val="005E4016"/>
    <w:rsid w:val="005E4A99"/>
    <w:rsid w:val="005E4DE2"/>
    <w:rsid w:val="005E4FDA"/>
    <w:rsid w:val="005E5C21"/>
    <w:rsid w:val="005E63FF"/>
    <w:rsid w:val="005E6AB7"/>
    <w:rsid w:val="005E6CAA"/>
    <w:rsid w:val="005E708F"/>
    <w:rsid w:val="005E70B1"/>
    <w:rsid w:val="005E7226"/>
    <w:rsid w:val="005E72C5"/>
    <w:rsid w:val="005E74AF"/>
    <w:rsid w:val="005E78B9"/>
    <w:rsid w:val="005E7A57"/>
    <w:rsid w:val="005E7DC3"/>
    <w:rsid w:val="005E7E96"/>
    <w:rsid w:val="005F05B7"/>
    <w:rsid w:val="005F0725"/>
    <w:rsid w:val="005F13F5"/>
    <w:rsid w:val="005F1437"/>
    <w:rsid w:val="005F169D"/>
    <w:rsid w:val="005F1B5F"/>
    <w:rsid w:val="005F2281"/>
    <w:rsid w:val="005F242A"/>
    <w:rsid w:val="005F24B0"/>
    <w:rsid w:val="005F2AE4"/>
    <w:rsid w:val="005F2AE8"/>
    <w:rsid w:val="005F2F0B"/>
    <w:rsid w:val="005F3C77"/>
    <w:rsid w:val="005F4473"/>
    <w:rsid w:val="005F4477"/>
    <w:rsid w:val="005F4668"/>
    <w:rsid w:val="005F46E2"/>
    <w:rsid w:val="005F47A2"/>
    <w:rsid w:val="005F47CA"/>
    <w:rsid w:val="005F4EE4"/>
    <w:rsid w:val="005F4F90"/>
    <w:rsid w:val="005F5079"/>
    <w:rsid w:val="005F51A4"/>
    <w:rsid w:val="005F66E2"/>
    <w:rsid w:val="005F6894"/>
    <w:rsid w:val="005F6B8D"/>
    <w:rsid w:val="005F6C70"/>
    <w:rsid w:val="005F6F7C"/>
    <w:rsid w:val="005F6FC1"/>
    <w:rsid w:val="005F7059"/>
    <w:rsid w:val="005F76C7"/>
    <w:rsid w:val="005F7992"/>
    <w:rsid w:val="005F7C97"/>
    <w:rsid w:val="006000BE"/>
    <w:rsid w:val="00600590"/>
    <w:rsid w:val="0060091C"/>
    <w:rsid w:val="00600B63"/>
    <w:rsid w:val="0060119B"/>
    <w:rsid w:val="00602515"/>
    <w:rsid w:val="00602A0A"/>
    <w:rsid w:val="00602B5B"/>
    <w:rsid w:val="00602D51"/>
    <w:rsid w:val="006034E1"/>
    <w:rsid w:val="00603D46"/>
    <w:rsid w:val="00603F4D"/>
    <w:rsid w:val="0060421B"/>
    <w:rsid w:val="00604315"/>
    <w:rsid w:val="00604E26"/>
    <w:rsid w:val="0060514E"/>
    <w:rsid w:val="0060523F"/>
    <w:rsid w:val="006052CF"/>
    <w:rsid w:val="006055FE"/>
    <w:rsid w:val="0060627D"/>
    <w:rsid w:val="00606343"/>
    <w:rsid w:val="00606726"/>
    <w:rsid w:val="00606CE4"/>
    <w:rsid w:val="006073D7"/>
    <w:rsid w:val="00607816"/>
    <w:rsid w:val="0060792C"/>
    <w:rsid w:val="00607A7E"/>
    <w:rsid w:val="00607B8D"/>
    <w:rsid w:val="006103D5"/>
    <w:rsid w:val="0061057D"/>
    <w:rsid w:val="0061089D"/>
    <w:rsid w:val="00610A20"/>
    <w:rsid w:val="00610CE2"/>
    <w:rsid w:val="00611585"/>
    <w:rsid w:val="006117ED"/>
    <w:rsid w:val="00611C71"/>
    <w:rsid w:val="00611F5C"/>
    <w:rsid w:val="00612355"/>
    <w:rsid w:val="006128D3"/>
    <w:rsid w:val="00613690"/>
    <w:rsid w:val="00614124"/>
    <w:rsid w:val="006141DB"/>
    <w:rsid w:val="0061467C"/>
    <w:rsid w:val="00614B60"/>
    <w:rsid w:val="00615307"/>
    <w:rsid w:val="00615674"/>
    <w:rsid w:val="00615A62"/>
    <w:rsid w:val="0061659C"/>
    <w:rsid w:val="006168F8"/>
    <w:rsid w:val="00616E09"/>
    <w:rsid w:val="00616E36"/>
    <w:rsid w:val="00617508"/>
    <w:rsid w:val="006175C1"/>
    <w:rsid w:val="006178A5"/>
    <w:rsid w:val="006178AE"/>
    <w:rsid w:val="00617B32"/>
    <w:rsid w:val="006202B0"/>
    <w:rsid w:val="006206E9"/>
    <w:rsid w:val="00620A4B"/>
    <w:rsid w:val="00620AFF"/>
    <w:rsid w:val="00620BEE"/>
    <w:rsid w:val="00621266"/>
    <w:rsid w:val="00621361"/>
    <w:rsid w:val="00621947"/>
    <w:rsid w:val="00621A7B"/>
    <w:rsid w:val="00622240"/>
    <w:rsid w:val="00622A3B"/>
    <w:rsid w:val="00622EEA"/>
    <w:rsid w:val="006237D3"/>
    <w:rsid w:val="0062396C"/>
    <w:rsid w:val="00623FF9"/>
    <w:rsid w:val="00624F99"/>
    <w:rsid w:val="00624FF7"/>
    <w:rsid w:val="006258BA"/>
    <w:rsid w:val="00625972"/>
    <w:rsid w:val="00625C8F"/>
    <w:rsid w:val="00625D83"/>
    <w:rsid w:val="00625EBE"/>
    <w:rsid w:val="0062609F"/>
    <w:rsid w:val="006260FF"/>
    <w:rsid w:val="00626B4D"/>
    <w:rsid w:val="00626F45"/>
    <w:rsid w:val="00627634"/>
    <w:rsid w:val="00627B85"/>
    <w:rsid w:val="00627D4E"/>
    <w:rsid w:val="00630028"/>
    <w:rsid w:val="00630467"/>
    <w:rsid w:val="006306B6"/>
    <w:rsid w:val="006317D7"/>
    <w:rsid w:val="00631B28"/>
    <w:rsid w:val="00632730"/>
    <w:rsid w:val="00632B89"/>
    <w:rsid w:val="00633101"/>
    <w:rsid w:val="0063346D"/>
    <w:rsid w:val="00633728"/>
    <w:rsid w:val="0063390D"/>
    <w:rsid w:val="00633FD4"/>
    <w:rsid w:val="006342C4"/>
    <w:rsid w:val="00634478"/>
    <w:rsid w:val="0063452A"/>
    <w:rsid w:val="00634B23"/>
    <w:rsid w:val="00634E2E"/>
    <w:rsid w:val="00634E78"/>
    <w:rsid w:val="00634F8D"/>
    <w:rsid w:val="00635330"/>
    <w:rsid w:val="0063651B"/>
    <w:rsid w:val="0063692A"/>
    <w:rsid w:val="0063697E"/>
    <w:rsid w:val="006369E3"/>
    <w:rsid w:val="00636EF5"/>
    <w:rsid w:val="00636F93"/>
    <w:rsid w:val="00637031"/>
    <w:rsid w:val="006371F8"/>
    <w:rsid w:val="0063742A"/>
    <w:rsid w:val="00637A13"/>
    <w:rsid w:val="00640159"/>
    <w:rsid w:val="00640253"/>
    <w:rsid w:val="0064072A"/>
    <w:rsid w:val="0064094B"/>
    <w:rsid w:val="0064097F"/>
    <w:rsid w:val="00641351"/>
    <w:rsid w:val="00641AA7"/>
    <w:rsid w:val="00641C54"/>
    <w:rsid w:val="00642851"/>
    <w:rsid w:val="0064288C"/>
    <w:rsid w:val="00643343"/>
    <w:rsid w:val="00644373"/>
    <w:rsid w:val="006445D9"/>
    <w:rsid w:val="006446C1"/>
    <w:rsid w:val="006448EB"/>
    <w:rsid w:val="00644FCA"/>
    <w:rsid w:val="006450FD"/>
    <w:rsid w:val="006454F8"/>
    <w:rsid w:val="00645915"/>
    <w:rsid w:val="00646B7F"/>
    <w:rsid w:val="00646CC4"/>
    <w:rsid w:val="00646DB1"/>
    <w:rsid w:val="00647785"/>
    <w:rsid w:val="00647D8C"/>
    <w:rsid w:val="00647F36"/>
    <w:rsid w:val="006501CD"/>
    <w:rsid w:val="00650907"/>
    <w:rsid w:val="00650DD8"/>
    <w:rsid w:val="00650E33"/>
    <w:rsid w:val="0065120D"/>
    <w:rsid w:val="006513DB"/>
    <w:rsid w:val="006519C3"/>
    <w:rsid w:val="00651A89"/>
    <w:rsid w:val="0065294A"/>
    <w:rsid w:val="00652B30"/>
    <w:rsid w:val="00653361"/>
    <w:rsid w:val="006538B7"/>
    <w:rsid w:val="00653F32"/>
    <w:rsid w:val="00653F45"/>
    <w:rsid w:val="00654168"/>
    <w:rsid w:val="006542F3"/>
    <w:rsid w:val="006544FC"/>
    <w:rsid w:val="006553ED"/>
    <w:rsid w:val="006555E2"/>
    <w:rsid w:val="006557E0"/>
    <w:rsid w:val="00655AE2"/>
    <w:rsid w:val="00655F65"/>
    <w:rsid w:val="006560FE"/>
    <w:rsid w:val="00656264"/>
    <w:rsid w:val="0065632C"/>
    <w:rsid w:val="00656345"/>
    <w:rsid w:val="00656918"/>
    <w:rsid w:val="00656DC6"/>
    <w:rsid w:val="00656E04"/>
    <w:rsid w:val="00657065"/>
    <w:rsid w:val="00657372"/>
    <w:rsid w:val="006602EE"/>
    <w:rsid w:val="00660B2E"/>
    <w:rsid w:val="00660D81"/>
    <w:rsid w:val="00660EC6"/>
    <w:rsid w:val="00660F4A"/>
    <w:rsid w:val="00661044"/>
    <w:rsid w:val="00661276"/>
    <w:rsid w:val="0066153A"/>
    <w:rsid w:val="006615BA"/>
    <w:rsid w:val="006624C7"/>
    <w:rsid w:val="00662512"/>
    <w:rsid w:val="00662604"/>
    <w:rsid w:val="006627AD"/>
    <w:rsid w:val="00664110"/>
    <w:rsid w:val="00664D17"/>
    <w:rsid w:val="006651BE"/>
    <w:rsid w:val="006654EB"/>
    <w:rsid w:val="00665BA3"/>
    <w:rsid w:val="00666317"/>
    <w:rsid w:val="00666520"/>
    <w:rsid w:val="0066656A"/>
    <w:rsid w:val="00666D7E"/>
    <w:rsid w:val="00667408"/>
    <w:rsid w:val="00667ACF"/>
    <w:rsid w:val="00667C5B"/>
    <w:rsid w:val="00667E45"/>
    <w:rsid w:val="00667F4E"/>
    <w:rsid w:val="00670100"/>
    <w:rsid w:val="00670149"/>
    <w:rsid w:val="006704DF"/>
    <w:rsid w:val="0067112E"/>
    <w:rsid w:val="006713ED"/>
    <w:rsid w:val="00671434"/>
    <w:rsid w:val="00671513"/>
    <w:rsid w:val="00673067"/>
    <w:rsid w:val="00673185"/>
    <w:rsid w:val="00673695"/>
    <w:rsid w:val="006738E7"/>
    <w:rsid w:val="00674758"/>
    <w:rsid w:val="00675663"/>
    <w:rsid w:val="00677247"/>
    <w:rsid w:val="00677471"/>
    <w:rsid w:val="00677CD2"/>
    <w:rsid w:val="00677EF6"/>
    <w:rsid w:val="00677F68"/>
    <w:rsid w:val="006801AA"/>
    <w:rsid w:val="00680639"/>
    <w:rsid w:val="006807DD"/>
    <w:rsid w:val="006815F5"/>
    <w:rsid w:val="00681E41"/>
    <w:rsid w:val="00681FF2"/>
    <w:rsid w:val="00682654"/>
    <w:rsid w:val="00682A4D"/>
    <w:rsid w:val="006832FE"/>
    <w:rsid w:val="006849AC"/>
    <w:rsid w:val="006849CD"/>
    <w:rsid w:val="00684A2F"/>
    <w:rsid w:val="006854B5"/>
    <w:rsid w:val="00685A9C"/>
    <w:rsid w:val="00686119"/>
    <w:rsid w:val="00686166"/>
    <w:rsid w:val="00686255"/>
    <w:rsid w:val="0068636A"/>
    <w:rsid w:val="006863C8"/>
    <w:rsid w:val="0068679C"/>
    <w:rsid w:val="00686918"/>
    <w:rsid w:val="00687315"/>
    <w:rsid w:val="0068745E"/>
    <w:rsid w:val="00687967"/>
    <w:rsid w:val="00690794"/>
    <w:rsid w:val="006908B0"/>
    <w:rsid w:val="006909A2"/>
    <w:rsid w:val="00690C59"/>
    <w:rsid w:val="00690F55"/>
    <w:rsid w:val="006912CF"/>
    <w:rsid w:val="00691D0F"/>
    <w:rsid w:val="00691EB8"/>
    <w:rsid w:val="006927E7"/>
    <w:rsid w:val="00692CDE"/>
    <w:rsid w:val="00693073"/>
    <w:rsid w:val="0069394A"/>
    <w:rsid w:val="00694057"/>
    <w:rsid w:val="00694520"/>
    <w:rsid w:val="00694E1C"/>
    <w:rsid w:val="00695070"/>
    <w:rsid w:val="00695358"/>
    <w:rsid w:val="006953F5"/>
    <w:rsid w:val="00695ECC"/>
    <w:rsid w:val="00696AA1"/>
    <w:rsid w:val="0069731F"/>
    <w:rsid w:val="006977FF"/>
    <w:rsid w:val="00697F8D"/>
    <w:rsid w:val="006A00C9"/>
    <w:rsid w:val="006A015D"/>
    <w:rsid w:val="006A01FA"/>
    <w:rsid w:val="006A025D"/>
    <w:rsid w:val="006A06BF"/>
    <w:rsid w:val="006A08F6"/>
    <w:rsid w:val="006A09DB"/>
    <w:rsid w:val="006A0E9E"/>
    <w:rsid w:val="006A1669"/>
    <w:rsid w:val="006A20EB"/>
    <w:rsid w:val="006A25C7"/>
    <w:rsid w:val="006A263E"/>
    <w:rsid w:val="006A2C2B"/>
    <w:rsid w:val="006A2D17"/>
    <w:rsid w:val="006A2D8D"/>
    <w:rsid w:val="006A2E61"/>
    <w:rsid w:val="006A2F66"/>
    <w:rsid w:val="006A3682"/>
    <w:rsid w:val="006A3BB8"/>
    <w:rsid w:val="006A43B6"/>
    <w:rsid w:val="006A45D1"/>
    <w:rsid w:val="006A47EA"/>
    <w:rsid w:val="006A48E7"/>
    <w:rsid w:val="006A4AAD"/>
    <w:rsid w:val="006A4F42"/>
    <w:rsid w:val="006A5377"/>
    <w:rsid w:val="006A5469"/>
    <w:rsid w:val="006A550D"/>
    <w:rsid w:val="006A582A"/>
    <w:rsid w:val="006A598F"/>
    <w:rsid w:val="006A5A5A"/>
    <w:rsid w:val="006A5EF4"/>
    <w:rsid w:val="006A5F48"/>
    <w:rsid w:val="006A6212"/>
    <w:rsid w:val="006A623F"/>
    <w:rsid w:val="006A673B"/>
    <w:rsid w:val="006A6D4A"/>
    <w:rsid w:val="006A6DA2"/>
    <w:rsid w:val="006A7423"/>
    <w:rsid w:val="006A764E"/>
    <w:rsid w:val="006A78AB"/>
    <w:rsid w:val="006A795A"/>
    <w:rsid w:val="006A7AB2"/>
    <w:rsid w:val="006A7DE8"/>
    <w:rsid w:val="006B085A"/>
    <w:rsid w:val="006B0D4B"/>
    <w:rsid w:val="006B1033"/>
    <w:rsid w:val="006B13E8"/>
    <w:rsid w:val="006B25BB"/>
    <w:rsid w:val="006B2758"/>
    <w:rsid w:val="006B2FFE"/>
    <w:rsid w:val="006B39F2"/>
    <w:rsid w:val="006B435A"/>
    <w:rsid w:val="006B4B21"/>
    <w:rsid w:val="006B523A"/>
    <w:rsid w:val="006B52DE"/>
    <w:rsid w:val="006B5717"/>
    <w:rsid w:val="006B582F"/>
    <w:rsid w:val="006B5BE8"/>
    <w:rsid w:val="006B5DF0"/>
    <w:rsid w:val="006B5EB2"/>
    <w:rsid w:val="006B64E5"/>
    <w:rsid w:val="006B67E3"/>
    <w:rsid w:val="006B6AE2"/>
    <w:rsid w:val="006B7183"/>
    <w:rsid w:val="006B76E8"/>
    <w:rsid w:val="006B7C70"/>
    <w:rsid w:val="006C0169"/>
    <w:rsid w:val="006C0B48"/>
    <w:rsid w:val="006C0BE0"/>
    <w:rsid w:val="006C0CEB"/>
    <w:rsid w:val="006C13ED"/>
    <w:rsid w:val="006C1631"/>
    <w:rsid w:val="006C178B"/>
    <w:rsid w:val="006C1DE5"/>
    <w:rsid w:val="006C243A"/>
    <w:rsid w:val="006C2CE4"/>
    <w:rsid w:val="006C2ECF"/>
    <w:rsid w:val="006C2F00"/>
    <w:rsid w:val="006C2FA7"/>
    <w:rsid w:val="006C398D"/>
    <w:rsid w:val="006C3B1E"/>
    <w:rsid w:val="006C3E33"/>
    <w:rsid w:val="006C402F"/>
    <w:rsid w:val="006C4175"/>
    <w:rsid w:val="006C47FD"/>
    <w:rsid w:val="006C4A6B"/>
    <w:rsid w:val="006C546C"/>
    <w:rsid w:val="006C5830"/>
    <w:rsid w:val="006C5C19"/>
    <w:rsid w:val="006C6690"/>
    <w:rsid w:val="006C70A0"/>
    <w:rsid w:val="006C714F"/>
    <w:rsid w:val="006C757F"/>
    <w:rsid w:val="006C7688"/>
    <w:rsid w:val="006C7FBE"/>
    <w:rsid w:val="006C7FBF"/>
    <w:rsid w:val="006D0BA0"/>
    <w:rsid w:val="006D13B1"/>
    <w:rsid w:val="006D1768"/>
    <w:rsid w:val="006D202F"/>
    <w:rsid w:val="006D21A5"/>
    <w:rsid w:val="006D27CB"/>
    <w:rsid w:val="006D2EFB"/>
    <w:rsid w:val="006D2F08"/>
    <w:rsid w:val="006D2F98"/>
    <w:rsid w:val="006D34EF"/>
    <w:rsid w:val="006D3F64"/>
    <w:rsid w:val="006D4156"/>
    <w:rsid w:val="006D448F"/>
    <w:rsid w:val="006D552C"/>
    <w:rsid w:val="006D558D"/>
    <w:rsid w:val="006D55D6"/>
    <w:rsid w:val="006D576C"/>
    <w:rsid w:val="006D5865"/>
    <w:rsid w:val="006D6875"/>
    <w:rsid w:val="006D7044"/>
    <w:rsid w:val="006D717C"/>
    <w:rsid w:val="006D71A6"/>
    <w:rsid w:val="006D737C"/>
    <w:rsid w:val="006D7980"/>
    <w:rsid w:val="006E0533"/>
    <w:rsid w:val="006E0CE7"/>
    <w:rsid w:val="006E0EE0"/>
    <w:rsid w:val="006E18D1"/>
    <w:rsid w:val="006E22B1"/>
    <w:rsid w:val="006E264E"/>
    <w:rsid w:val="006E32E9"/>
    <w:rsid w:val="006E34D0"/>
    <w:rsid w:val="006E3701"/>
    <w:rsid w:val="006E3AB3"/>
    <w:rsid w:val="006E406B"/>
    <w:rsid w:val="006E46A4"/>
    <w:rsid w:val="006E498F"/>
    <w:rsid w:val="006E4B1B"/>
    <w:rsid w:val="006E51F6"/>
    <w:rsid w:val="006E535F"/>
    <w:rsid w:val="006E5445"/>
    <w:rsid w:val="006E55F8"/>
    <w:rsid w:val="006E5603"/>
    <w:rsid w:val="006E5E30"/>
    <w:rsid w:val="006E5E4A"/>
    <w:rsid w:val="006E6354"/>
    <w:rsid w:val="006E6604"/>
    <w:rsid w:val="006E6AB9"/>
    <w:rsid w:val="006E6C04"/>
    <w:rsid w:val="006E6D18"/>
    <w:rsid w:val="006E73FE"/>
    <w:rsid w:val="006E780D"/>
    <w:rsid w:val="006E7D70"/>
    <w:rsid w:val="006E7D93"/>
    <w:rsid w:val="006F0AEA"/>
    <w:rsid w:val="006F1917"/>
    <w:rsid w:val="006F200D"/>
    <w:rsid w:val="006F27D4"/>
    <w:rsid w:val="006F2A1B"/>
    <w:rsid w:val="006F3794"/>
    <w:rsid w:val="006F3A9F"/>
    <w:rsid w:val="006F3B4B"/>
    <w:rsid w:val="006F3B66"/>
    <w:rsid w:val="006F3CA6"/>
    <w:rsid w:val="006F436B"/>
    <w:rsid w:val="006F452D"/>
    <w:rsid w:val="006F4ACD"/>
    <w:rsid w:val="006F51F1"/>
    <w:rsid w:val="006F5F26"/>
    <w:rsid w:val="006F670F"/>
    <w:rsid w:val="006F6D13"/>
    <w:rsid w:val="006F702F"/>
    <w:rsid w:val="006F7069"/>
    <w:rsid w:val="006F7798"/>
    <w:rsid w:val="006F7D33"/>
    <w:rsid w:val="0070010D"/>
    <w:rsid w:val="00700234"/>
    <w:rsid w:val="0070133D"/>
    <w:rsid w:val="00701516"/>
    <w:rsid w:val="00701B64"/>
    <w:rsid w:val="00701F6C"/>
    <w:rsid w:val="00702106"/>
    <w:rsid w:val="0070227C"/>
    <w:rsid w:val="0070236E"/>
    <w:rsid w:val="007029A3"/>
    <w:rsid w:val="00702CE8"/>
    <w:rsid w:val="00702D7E"/>
    <w:rsid w:val="00702F29"/>
    <w:rsid w:val="007033D4"/>
    <w:rsid w:val="00704450"/>
    <w:rsid w:val="0070522E"/>
    <w:rsid w:val="007055AC"/>
    <w:rsid w:val="00706048"/>
    <w:rsid w:val="0070643B"/>
    <w:rsid w:val="007064F0"/>
    <w:rsid w:val="007065AA"/>
    <w:rsid w:val="00706E4E"/>
    <w:rsid w:val="0070791C"/>
    <w:rsid w:val="00707DF2"/>
    <w:rsid w:val="00707F0B"/>
    <w:rsid w:val="00710268"/>
    <w:rsid w:val="007107C5"/>
    <w:rsid w:val="007108BD"/>
    <w:rsid w:val="00711259"/>
    <w:rsid w:val="0071135A"/>
    <w:rsid w:val="00711554"/>
    <w:rsid w:val="00711860"/>
    <w:rsid w:val="0071206D"/>
    <w:rsid w:val="007123E8"/>
    <w:rsid w:val="007127FD"/>
    <w:rsid w:val="007128F4"/>
    <w:rsid w:val="00712A89"/>
    <w:rsid w:val="00712DAF"/>
    <w:rsid w:val="00712DDE"/>
    <w:rsid w:val="0071326A"/>
    <w:rsid w:val="0071383C"/>
    <w:rsid w:val="00713B50"/>
    <w:rsid w:val="0071400A"/>
    <w:rsid w:val="007141A7"/>
    <w:rsid w:val="0071423D"/>
    <w:rsid w:val="0071470C"/>
    <w:rsid w:val="00714830"/>
    <w:rsid w:val="007151E5"/>
    <w:rsid w:val="00715722"/>
    <w:rsid w:val="00715BAF"/>
    <w:rsid w:val="00715C09"/>
    <w:rsid w:val="00715F7A"/>
    <w:rsid w:val="00716082"/>
    <w:rsid w:val="00716345"/>
    <w:rsid w:val="00716530"/>
    <w:rsid w:val="007170A5"/>
    <w:rsid w:val="00717346"/>
    <w:rsid w:val="007173A7"/>
    <w:rsid w:val="00717772"/>
    <w:rsid w:val="00720A11"/>
    <w:rsid w:val="00720AB1"/>
    <w:rsid w:val="00721032"/>
    <w:rsid w:val="00721597"/>
    <w:rsid w:val="007215D8"/>
    <w:rsid w:val="007217D5"/>
    <w:rsid w:val="00721B55"/>
    <w:rsid w:val="00722764"/>
    <w:rsid w:val="00722A89"/>
    <w:rsid w:val="0072390A"/>
    <w:rsid w:val="00723CAC"/>
    <w:rsid w:val="0072447B"/>
    <w:rsid w:val="00724493"/>
    <w:rsid w:val="00724E2E"/>
    <w:rsid w:val="0072525C"/>
    <w:rsid w:val="007254EE"/>
    <w:rsid w:val="00726006"/>
    <w:rsid w:val="007262FD"/>
    <w:rsid w:val="00726CE4"/>
    <w:rsid w:val="00727176"/>
    <w:rsid w:val="0072777D"/>
    <w:rsid w:val="007304E5"/>
    <w:rsid w:val="00730EA0"/>
    <w:rsid w:val="0073127B"/>
    <w:rsid w:val="00731491"/>
    <w:rsid w:val="007314B6"/>
    <w:rsid w:val="0073169C"/>
    <w:rsid w:val="00731D56"/>
    <w:rsid w:val="00731D84"/>
    <w:rsid w:val="00732B77"/>
    <w:rsid w:val="00732DD7"/>
    <w:rsid w:val="00734143"/>
    <w:rsid w:val="00734231"/>
    <w:rsid w:val="00734572"/>
    <w:rsid w:val="00734632"/>
    <w:rsid w:val="007357D5"/>
    <w:rsid w:val="00735E47"/>
    <w:rsid w:val="0073638A"/>
    <w:rsid w:val="0073658D"/>
    <w:rsid w:val="007372FD"/>
    <w:rsid w:val="00737E47"/>
    <w:rsid w:val="00740346"/>
    <w:rsid w:val="00740EAC"/>
    <w:rsid w:val="007413AB"/>
    <w:rsid w:val="007414F2"/>
    <w:rsid w:val="00741EFA"/>
    <w:rsid w:val="0074273A"/>
    <w:rsid w:val="00742742"/>
    <w:rsid w:val="00742DF1"/>
    <w:rsid w:val="007434A4"/>
    <w:rsid w:val="007436B5"/>
    <w:rsid w:val="0074399A"/>
    <w:rsid w:val="00743A0E"/>
    <w:rsid w:val="00743DE1"/>
    <w:rsid w:val="00744057"/>
    <w:rsid w:val="007444DC"/>
    <w:rsid w:val="00744956"/>
    <w:rsid w:val="00745A5C"/>
    <w:rsid w:val="0074605F"/>
    <w:rsid w:val="007471D6"/>
    <w:rsid w:val="00747CAA"/>
    <w:rsid w:val="00747E94"/>
    <w:rsid w:val="00750189"/>
    <w:rsid w:val="007504ED"/>
    <w:rsid w:val="00750A23"/>
    <w:rsid w:val="0075148A"/>
    <w:rsid w:val="007517B5"/>
    <w:rsid w:val="00751B0B"/>
    <w:rsid w:val="00751B23"/>
    <w:rsid w:val="00753B87"/>
    <w:rsid w:val="00754353"/>
    <w:rsid w:val="00754AD3"/>
    <w:rsid w:val="00754C83"/>
    <w:rsid w:val="00754DCC"/>
    <w:rsid w:val="00755138"/>
    <w:rsid w:val="00756C3F"/>
    <w:rsid w:val="00756E33"/>
    <w:rsid w:val="007573DB"/>
    <w:rsid w:val="007576CF"/>
    <w:rsid w:val="00757EE3"/>
    <w:rsid w:val="00760447"/>
    <w:rsid w:val="0076055B"/>
    <w:rsid w:val="00760996"/>
    <w:rsid w:val="0076112F"/>
    <w:rsid w:val="00761986"/>
    <w:rsid w:val="00761AE7"/>
    <w:rsid w:val="00761B5E"/>
    <w:rsid w:val="00761B7F"/>
    <w:rsid w:val="00761E5C"/>
    <w:rsid w:val="007621B4"/>
    <w:rsid w:val="007628D0"/>
    <w:rsid w:val="00763ABC"/>
    <w:rsid w:val="00764424"/>
    <w:rsid w:val="007644FE"/>
    <w:rsid w:val="00764634"/>
    <w:rsid w:val="00764B87"/>
    <w:rsid w:val="00764C61"/>
    <w:rsid w:val="00765732"/>
    <w:rsid w:val="007658B7"/>
    <w:rsid w:val="00765B4B"/>
    <w:rsid w:val="00765DF8"/>
    <w:rsid w:val="00766749"/>
    <w:rsid w:val="00767170"/>
    <w:rsid w:val="007671FD"/>
    <w:rsid w:val="007672F6"/>
    <w:rsid w:val="00767C1B"/>
    <w:rsid w:val="00767D07"/>
    <w:rsid w:val="00767F98"/>
    <w:rsid w:val="00770A67"/>
    <w:rsid w:val="00770B3F"/>
    <w:rsid w:val="00770F8A"/>
    <w:rsid w:val="007714A9"/>
    <w:rsid w:val="00771FE2"/>
    <w:rsid w:val="007720F1"/>
    <w:rsid w:val="007727DB"/>
    <w:rsid w:val="0077305A"/>
    <w:rsid w:val="007733B8"/>
    <w:rsid w:val="007736D0"/>
    <w:rsid w:val="00773A77"/>
    <w:rsid w:val="00774B2B"/>
    <w:rsid w:val="00774B50"/>
    <w:rsid w:val="00774F88"/>
    <w:rsid w:val="00774FDB"/>
    <w:rsid w:val="007750A8"/>
    <w:rsid w:val="0077531D"/>
    <w:rsid w:val="007755F4"/>
    <w:rsid w:val="0077607E"/>
    <w:rsid w:val="007767C3"/>
    <w:rsid w:val="00776FF1"/>
    <w:rsid w:val="007777CE"/>
    <w:rsid w:val="00777BA2"/>
    <w:rsid w:val="00781408"/>
    <w:rsid w:val="007820CC"/>
    <w:rsid w:val="00782152"/>
    <w:rsid w:val="007828E2"/>
    <w:rsid w:val="00783303"/>
    <w:rsid w:val="007835C7"/>
    <w:rsid w:val="007837EB"/>
    <w:rsid w:val="00784F7F"/>
    <w:rsid w:val="00784FDE"/>
    <w:rsid w:val="0078545B"/>
    <w:rsid w:val="00785B27"/>
    <w:rsid w:val="007863CE"/>
    <w:rsid w:val="0078697B"/>
    <w:rsid w:val="007869FC"/>
    <w:rsid w:val="00787401"/>
    <w:rsid w:val="00787787"/>
    <w:rsid w:val="0078783D"/>
    <w:rsid w:val="007878BD"/>
    <w:rsid w:val="007879A6"/>
    <w:rsid w:val="00787D50"/>
    <w:rsid w:val="00790051"/>
    <w:rsid w:val="00790091"/>
    <w:rsid w:val="0079021D"/>
    <w:rsid w:val="00790A77"/>
    <w:rsid w:val="00790CF3"/>
    <w:rsid w:val="00790DC6"/>
    <w:rsid w:val="00790FC1"/>
    <w:rsid w:val="007910EA"/>
    <w:rsid w:val="0079111B"/>
    <w:rsid w:val="0079156A"/>
    <w:rsid w:val="00791C3A"/>
    <w:rsid w:val="00791C43"/>
    <w:rsid w:val="00791E53"/>
    <w:rsid w:val="007921A7"/>
    <w:rsid w:val="00792240"/>
    <w:rsid w:val="0079260D"/>
    <w:rsid w:val="00792688"/>
    <w:rsid w:val="007938CF"/>
    <w:rsid w:val="00793A49"/>
    <w:rsid w:val="00793DD9"/>
    <w:rsid w:val="00794338"/>
    <w:rsid w:val="00794358"/>
    <w:rsid w:val="00794822"/>
    <w:rsid w:val="00794A00"/>
    <w:rsid w:val="00794B2D"/>
    <w:rsid w:val="00794CC7"/>
    <w:rsid w:val="00795050"/>
    <w:rsid w:val="007951A2"/>
    <w:rsid w:val="00795B3B"/>
    <w:rsid w:val="00795CFE"/>
    <w:rsid w:val="00796919"/>
    <w:rsid w:val="00796F25"/>
    <w:rsid w:val="007A0B8B"/>
    <w:rsid w:val="007A0CAD"/>
    <w:rsid w:val="007A0D47"/>
    <w:rsid w:val="007A0E8B"/>
    <w:rsid w:val="007A1768"/>
    <w:rsid w:val="007A189A"/>
    <w:rsid w:val="007A21E9"/>
    <w:rsid w:val="007A2E98"/>
    <w:rsid w:val="007A314F"/>
    <w:rsid w:val="007A368B"/>
    <w:rsid w:val="007A37E4"/>
    <w:rsid w:val="007A3BA3"/>
    <w:rsid w:val="007A3E0C"/>
    <w:rsid w:val="007A4007"/>
    <w:rsid w:val="007A4080"/>
    <w:rsid w:val="007A4215"/>
    <w:rsid w:val="007A45DA"/>
    <w:rsid w:val="007A4920"/>
    <w:rsid w:val="007A4C39"/>
    <w:rsid w:val="007A5474"/>
    <w:rsid w:val="007A6351"/>
    <w:rsid w:val="007A6460"/>
    <w:rsid w:val="007A6CC0"/>
    <w:rsid w:val="007A753E"/>
    <w:rsid w:val="007A7775"/>
    <w:rsid w:val="007A7D71"/>
    <w:rsid w:val="007A7FEC"/>
    <w:rsid w:val="007B0D6D"/>
    <w:rsid w:val="007B1499"/>
    <w:rsid w:val="007B14A4"/>
    <w:rsid w:val="007B1B25"/>
    <w:rsid w:val="007B1BBF"/>
    <w:rsid w:val="007B1C71"/>
    <w:rsid w:val="007B242A"/>
    <w:rsid w:val="007B2959"/>
    <w:rsid w:val="007B2960"/>
    <w:rsid w:val="007B3179"/>
    <w:rsid w:val="007B355D"/>
    <w:rsid w:val="007B39F1"/>
    <w:rsid w:val="007B3B44"/>
    <w:rsid w:val="007B3D18"/>
    <w:rsid w:val="007B42C4"/>
    <w:rsid w:val="007B48D2"/>
    <w:rsid w:val="007B49EA"/>
    <w:rsid w:val="007B5C18"/>
    <w:rsid w:val="007B5E5B"/>
    <w:rsid w:val="007B5ED2"/>
    <w:rsid w:val="007B657C"/>
    <w:rsid w:val="007B6827"/>
    <w:rsid w:val="007B6ACA"/>
    <w:rsid w:val="007B75C5"/>
    <w:rsid w:val="007B7681"/>
    <w:rsid w:val="007B76F8"/>
    <w:rsid w:val="007B7980"/>
    <w:rsid w:val="007C060F"/>
    <w:rsid w:val="007C0C14"/>
    <w:rsid w:val="007C0DEF"/>
    <w:rsid w:val="007C0F87"/>
    <w:rsid w:val="007C13B5"/>
    <w:rsid w:val="007C1906"/>
    <w:rsid w:val="007C23F5"/>
    <w:rsid w:val="007C2A32"/>
    <w:rsid w:val="007C3083"/>
    <w:rsid w:val="007C31A6"/>
    <w:rsid w:val="007C356D"/>
    <w:rsid w:val="007C35E4"/>
    <w:rsid w:val="007C446C"/>
    <w:rsid w:val="007C451A"/>
    <w:rsid w:val="007C4A99"/>
    <w:rsid w:val="007C51D4"/>
    <w:rsid w:val="007C58B3"/>
    <w:rsid w:val="007C5BB9"/>
    <w:rsid w:val="007C5D5A"/>
    <w:rsid w:val="007C607F"/>
    <w:rsid w:val="007C6AE3"/>
    <w:rsid w:val="007C6D7F"/>
    <w:rsid w:val="007C721D"/>
    <w:rsid w:val="007C747F"/>
    <w:rsid w:val="007C79DD"/>
    <w:rsid w:val="007C7CB1"/>
    <w:rsid w:val="007C7D88"/>
    <w:rsid w:val="007CE847"/>
    <w:rsid w:val="007D0685"/>
    <w:rsid w:val="007D0940"/>
    <w:rsid w:val="007D0A98"/>
    <w:rsid w:val="007D0EBD"/>
    <w:rsid w:val="007D1A97"/>
    <w:rsid w:val="007D1ED7"/>
    <w:rsid w:val="007D1F01"/>
    <w:rsid w:val="007D2192"/>
    <w:rsid w:val="007D263D"/>
    <w:rsid w:val="007D28C3"/>
    <w:rsid w:val="007D2CD6"/>
    <w:rsid w:val="007D3063"/>
    <w:rsid w:val="007D38A7"/>
    <w:rsid w:val="007D39C9"/>
    <w:rsid w:val="007D3A9D"/>
    <w:rsid w:val="007D3CEB"/>
    <w:rsid w:val="007D4319"/>
    <w:rsid w:val="007D46F6"/>
    <w:rsid w:val="007D4930"/>
    <w:rsid w:val="007D4990"/>
    <w:rsid w:val="007D54FA"/>
    <w:rsid w:val="007D58FE"/>
    <w:rsid w:val="007D7C4A"/>
    <w:rsid w:val="007D7E8C"/>
    <w:rsid w:val="007E0C56"/>
    <w:rsid w:val="007E1184"/>
    <w:rsid w:val="007E1723"/>
    <w:rsid w:val="007E1882"/>
    <w:rsid w:val="007E188D"/>
    <w:rsid w:val="007E1933"/>
    <w:rsid w:val="007E357B"/>
    <w:rsid w:val="007E4B19"/>
    <w:rsid w:val="007E58B7"/>
    <w:rsid w:val="007E5A1A"/>
    <w:rsid w:val="007E5D71"/>
    <w:rsid w:val="007E6547"/>
    <w:rsid w:val="007E6617"/>
    <w:rsid w:val="007E664D"/>
    <w:rsid w:val="007E7683"/>
    <w:rsid w:val="007F02CB"/>
    <w:rsid w:val="007F045B"/>
    <w:rsid w:val="007F0724"/>
    <w:rsid w:val="007F07C0"/>
    <w:rsid w:val="007F0A6B"/>
    <w:rsid w:val="007F2361"/>
    <w:rsid w:val="007F2865"/>
    <w:rsid w:val="007F2C55"/>
    <w:rsid w:val="007F326C"/>
    <w:rsid w:val="007F334E"/>
    <w:rsid w:val="007F3572"/>
    <w:rsid w:val="007F3A3C"/>
    <w:rsid w:val="007F49FA"/>
    <w:rsid w:val="007F54C4"/>
    <w:rsid w:val="007F5901"/>
    <w:rsid w:val="007F5BCE"/>
    <w:rsid w:val="007F5ED3"/>
    <w:rsid w:val="007F605F"/>
    <w:rsid w:val="007F6740"/>
    <w:rsid w:val="007F6775"/>
    <w:rsid w:val="007F6E75"/>
    <w:rsid w:val="007F6E9A"/>
    <w:rsid w:val="007F75C2"/>
    <w:rsid w:val="007F7E61"/>
    <w:rsid w:val="00800CCD"/>
    <w:rsid w:val="0080105B"/>
    <w:rsid w:val="008011C6"/>
    <w:rsid w:val="0080145C"/>
    <w:rsid w:val="00801697"/>
    <w:rsid w:val="00801AC3"/>
    <w:rsid w:val="00801E1A"/>
    <w:rsid w:val="00801EB1"/>
    <w:rsid w:val="00802471"/>
    <w:rsid w:val="00802623"/>
    <w:rsid w:val="00802E49"/>
    <w:rsid w:val="00802E60"/>
    <w:rsid w:val="008034C8"/>
    <w:rsid w:val="0080425C"/>
    <w:rsid w:val="008044D4"/>
    <w:rsid w:val="008049E7"/>
    <w:rsid w:val="00804CEB"/>
    <w:rsid w:val="00805294"/>
    <w:rsid w:val="0080550A"/>
    <w:rsid w:val="00805516"/>
    <w:rsid w:val="00805AA1"/>
    <w:rsid w:val="00805B3B"/>
    <w:rsid w:val="00805BB5"/>
    <w:rsid w:val="00805CA3"/>
    <w:rsid w:val="00805F71"/>
    <w:rsid w:val="00805F7A"/>
    <w:rsid w:val="008061C7"/>
    <w:rsid w:val="0080628C"/>
    <w:rsid w:val="008066B8"/>
    <w:rsid w:val="00806829"/>
    <w:rsid w:val="00806988"/>
    <w:rsid w:val="00807145"/>
    <w:rsid w:val="008072EB"/>
    <w:rsid w:val="0080750B"/>
    <w:rsid w:val="00810433"/>
    <w:rsid w:val="00810785"/>
    <w:rsid w:val="00810A08"/>
    <w:rsid w:val="00810AB4"/>
    <w:rsid w:val="00810ED1"/>
    <w:rsid w:val="00810F96"/>
    <w:rsid w:val="00811339"/>
    <w:rsid w:val="008116E6"/>
    <w:rsid w:val="00812034"/>
    <w:rsid w:val="0081223F"/>
    <w:rsid w:val="00812EEE"/>
    <w:rsid w:val="0081429E"/>
    <w:rsid w:val="00814615"/>
    <w:rsid w:val="00816D43"/>
    <w:rsid w:val="00816E9F"/>
    <w:rsid w:val="008171E8"/>
    <w:rsid w:val="00817412"/>
    <w:rsid w:val="00817B56"/>
    <w:rsid w:val="008203B3"/>
    <w:rsid w:val="008205C6"/>
    <w:rsid w:val="0082076D"/>
    <w:rsid w:val="00820C79"/>
    <w:rsid w:val="00821A81"/>
    <w:rsid w:val="00821A88"/>
    <w:rsid w:val="00822262"/>
    <w:rsid w:val="00822288"/>
    <w:rsid w:val="008222F5"/>
    <w:rsid w:val="0082232E"/>
    <w:rsid w:val="008225F6"/>
    <w:rsid w:val="00822A31"/>
    <w:rsid w:val="0082322E"/>
    <w:rsid w:val="00823892"/>
    <w:rsid w:val="00823A55"/>
    <w:rsid w:val="0082495D"/>
    <w:rsid w:val="008249BE"/>
    <w:rsid w:val="00825FD2"/>
    <w:rsid w:val="00826232"/>
    <w:rsid w:val="0082627D"/>
    <w:rsid w:val="00826294"/>
    <w:rsid w:val="008262D4"/>
    <w:rsid w:val="008269EB"/>
    <w:rsid w:val="00826A6F"/>
    <w:rsid w:val="00826B65"/>
    <w:rsid w:val="00826D11"/>
    <w:rsid w:val="008272BA"/>
    <w:rsid w:val="00827B76"/>
    <w:rsid w:val="00827DD4"/>
    <w:rsid w:val="00830439"/>
    <w:rsid w:val="008309D2"/>
    <w:rsid w:val="00830E54"/>
    <w:rsid w:val="008313E3"/>
    <w:rsid w:val="008319BE"/>
    <w:rsid w:val="00831AC3"/>
    <w:rsid w:val="00831B1A"/>
    <w:rsid w:val="00832695"/>
    <w:rsid w:val="00832872"/>
    <w:rsid w:val="00832CD1"/>
    <w:rsid w:val="00833441"/>
    <w:rsid w:val="00833712"/>
    <w:rsid w:val="00833AFC"/>
    <w:rsid w:val="00833CE4"/>
    <w:rsid w:val="0083400B"/>
    <w:rsid w:val="0083462F"/>
    <w:rsid w:val="0083522C"/>
    <w:rsid w:val="00835298"/>
    <w:rsid w:val="00835842"/>
    <w:rsid w:val="00835C38"/>
    <w:rsid w:val="00836B09"/>
    <w:rsid w:val="00836FCE"/>
    <w:rsid w:val="0083A473"/>
    <w:rsid w:val="008408FF"/>
    <w:rsid w:val="00840C2E"/>
    <w:rsid w:val="00840E68"/>
    <w:rsid w:val="0084112B"/>
    <w:rsid w:val="00841BAB"/>
    <w:rsid w:val="00841E68"/>
    <w:rsid w:val="00842053"/>
    <w:rsid w:val="00842061"/>
    <w:rsid w:val="00842724"/>
    <w:rsid w:val="008436D9"/>
    <w:rsid w:val="008437C3"/>
    <w:rsid w:val="00843FC1"/>
    <w:rsid w:val="0084470D"/>
    <w:rsid w:val="00844730"/>
    <w:rsid w:val="00844C5F"/>
    <w:rsid w:val="00844C77"/>
    <w:rsid w:val="00845243"/>
    <w:rsid w:val="00845CCB"/>
    <w:rsid w:val="00846171"/>
    <w:rsid w:val="00846375"/>
    <w:rsid w:val="0084744D"/>
    <w:rsid w:val="008479C3"/>
    <w:rsid w:val="008506BA"/>
    <w:rsid w:val="00851189"/>
    <w:rsid w:val="0085193A"/>
    <w:rsid w:val="00851E28"/>
    <w:rsid w:val="00851F3F"/>
    <w:rsid w:val="0085209C"/>
    <w:rsid w:val="00852F1B"/>
    <w:rsid w:val="00853475"/>
    <w:rsid w:val="00853616"/>
    <w:rsid w:val="0085460B"/>
    <w:rsid w:val="00854923"/>
    <w:rsid w:val="008552F3"/>
    <w:rsid w:val="00856415"/>
    <w:rsid w:val="00856438"/>
    <w:rsid w:val="00856EDC"/>
    <w:rsid w:val="00856F81"/>
    <w:rsid w:val="008570E9"/>
    <w:rsid w:val="0085727B"/>
    <w:rsid w:val="008572AB"/>
    <w:rsid w:val="008573AB"/>
    <w:rsid w:val="00857664"/>
    <w:rsid w:val="00857704"/>
    <w:rsid w:val="00857873"/>
    <w:rsid w:val="00857F60"/>
    <w:rsid w:val="00860678"/>
    <w:rsid w:val="00860733"/>
    <w:rsid w:val="00860749"/>
    <w:rsid w:val="00860D64"/>
    <w:rsid w:val="00861671"/>
    <w:rsid w:val="008617C5"/>
    <w:rsid w:val="0086198B"/>
    <w:rsid w:val="0086234D"/>
    <w:rsid w:val="008623B5"/>
    <w:rsid w:val="0086266C"/>
    <w:rsid w:val="00862D1B"/>
    <w:rsid w:val="008635E9"/>
    <w:rsid w:val="00863940"/>
    <w:rsid w:val="00863DB1"/>
    <w:rsid w:val="00863E34"/>
    <w:rsid w:val="00864172"/>
    <w:rsid w:val="008642AE"/>
    <w:rsid w:val="00865D57"/>
    <w:rsid w:val="008663A0"/>
    <w:rsid w:val="008663DF"/>
    <w:rsid w:val="008668F5"/>
    <w:rsid w:val="00866ED5"/>
    <w:rsid w:val="00866F9E"/>
    <w:rsid w:val="00867042"/>
    <w:rsid w:val="0086713A"/>
    <w:rsid w:val="00867F4B"/>
    <w:rsid w:val="0087059F"/>
    <w:rsid w:val="008706F8"/>
    <w:rsid w:val="00870ABA"/>
    <w:rsid w:val="008710E1"/>
    <w:rsid w:val="00871422"/>
    <w:rsid w:val="00871500"/>
    <w:rsid w:val="008716E5"/>
    <w:rsid w:val="00871B82"/>
    <w:rsid w:val="00872031"/>
    <w:rsid w:val="0087230A"/>
    <w:rsid w:val="008732C8"/>
    <w:rsid w:val="00873584"/>
    <w:rsid w:val="00874B78"/>
    <w:rsid w:val="00874DE7"/>
    <w:rsid w:val="00874E69"/>
    <w:rsid w:val="008756D2"/>
    <w:rsid w:val="0087643C"/>
    <w:rsid w:val="0087646D"/>
    <w:rsid w:val="00876564"/>
    <w:rsid w:val="00876B6D"/>
    <w:rsid w:val="00876B82"/>
    <w:rsid w:val="00877116"/>
    <w:rsid w:val="0087720B"/>
    <w:rsid w:val="0088024F"/>
    <w:rsid w:val="008807E7"/>
    <w:rsid w:val="008807F5"/>
    <w:rsid w:val="00880A15"/>
    <w:rsid w:val="008814F3"/>
    <w:rsid w:val="008816D9"/>
    <w:rsid w:val="00881CA9"/>
    <w:rsid w:val="0088208C"/>
    <w:rsid w:val="008826E8"/>
    <w:rsid w:val="0088278D"/>
    <w:rsid w:val="008828D6"/>
    <w:rsid w:val="00883628"/>
    <w:rsid w:val="00883669"/>
    <w:rsid w:val="008837E1"/>
    <w:rsid w:val="0088382C"/>
    <w:rsid w:val="008839E7"/>
    <w:rsid w:val="00883AD8"/>
    <w:rsid w:val="00884A72"/>
    <w:rsid w:val="008853CE"/>
    <w:rsid w:val="00885544"/>
    <w:rsid w:val="00885814"/>
    <w:rsid w:val="0088634E"/>
    <w:rsid w:val="008863D7"/>
    <w:rsid w:val="00886633"/>
    <w:rsid w:val="0088695B"/>
    <w:rsid w:val="00886A76"/>
    <w:rsid w:val="00886F59"/>
    <w:rsid w:val="00887445"/>
    <w:rsid w:val="00887EF3"/>
    <w:rsid w:val="0089024D"/>
    <w:rsid w:val="00890593"/>
    <w:rsid w:val="0089088E"/>
    <w:rsid w:val="008916A6"/>
    <w:rsid w:val="008917A5"/>
    <w:rsid w:val="00891B17"/>
    <w:rsid w:val="00892559"/>
    <w:rsid w:val="00892EC7"/>
    <w:rsid w:val="008931C9"/>
    <w:rsid w:val="00893AB8"/>
    <w:rsid w:val="00894510"/>
    <w:rsid w:val="00894714"/>
    <w:rsid w:val="0089476E"/>
    <w:rsid w:val="0089530E"/>
    <w:rsid w:val="00896747"/>
    <w:rsid w:val="00896994"/>
    <w:rsid w:val="00897AFA"/>
    <w:rsid w:val="00897CF3"/>
    <w:rsid w:val="008A04C8"/>
    <w:rsid w:val="008A080E"/>
    <w:rsid w:val="008A08A1"/>
    <w:rsid w:val="008A1198"/>
    <w:rsid w:val="008A11B9"/>
    <w:rsid w:val="008A2190"/>
    <w:rsid w:val="008A30BF"/>
    <w:rsid w:val="008A3711"/>
    <w:rsid w:val="008A38B3"/>
    <w:rsid w:val="008A3923"/>
    <w:rsid w:val="008A3A23"/>
    <w:rsid w:val="008A3F2C"/>
    <w:rsid w:val="008A49EF"/>
    <w:rsid w:val="008A51D5"/>
    <w:rsid w:val="008A55B0"/>
    <w:rsid w:val="008A5ACD"/>
    <w:rsid w:val="008A5B7C"/>
    <w:rsid w:val="008A61AA"/>
    <w:rsid w:val="008A6913"/>
    <w:rsid w:val="008A69AB"/>
    <w:rsid w:val="008A6C2E"/>
    <w:rsid w:val="008A773D"/>
    <w:rsid w:val="008A78F5"/>
    <w:rsid w:val="008A7C7C"/>
    <w:rsid w:val="008B0119"/>
    <w:rsid w:val="008B07DC"/>
    <w:rsid w:val="008B0C73"/>
    <w:rsid w:val="008B0DA8"/>
    <w:rsid w:val="008B18F6"/>
    <w:rsid w:val="008B1E68"/>
    <w:rsid w:val="008B301D"/>
    <w:rsid w:val="008B3181"/>
    <w:rsid w:val="008B32AF"/>
    <w:rsid w:val="008B357D"/>
    <w:rsid w:val="008B37D6"/>
    <w:rsid w:val="008B3BE1"/>
    <w:rsid w:val="008B3FEE"/>
    <w:rsid w:val="008B453B"/>
    <w:rsid w:val="008B4587"/>
    <w:rsid w:val="008B4B35"/>
    <w:rsid w:val="008B4FC0"/>
    <w:rsid w:val="008B5044"/>
    <w:rsid w:val="008B54A1"/>
    <w:rsid w:val="008B5804"/>
    <w:rsid w:val="008B5B85"/>
    <w:rsid w:val="008B60B5"/>
    <w:rsid w:val="008B62DA"/>
    <w:rsid w:val="008B666C"/>
    <w:rsid w:val="008B6F01"/>
    <w:rsid w:val="008B70F3"/>
    <w:rsid w:val="008B71B7"/>
    <w:rsid w:val="008B71C4"/>
    <w:rsid w:val="008B732C"/>
    <w:rsid w:val="008B76DF"/>
    <w:rsid w:val="008C043D"/>
    <w:rsid w:val="008C069D"/>
    <w:rsid w:val="008C0D65"/>
    <w:rsid w:val="008C10F4"/>
    <w:rsid w:val="008C1709"/>
    <w:rsid w:val="008C20C5"/>
    <w:rsid w:val="008C234A"/>
    <w:rsid w:val="008C2910"/>
    <w:rsid w:val="008C2A34"/>
    <w:rsid w:val="008C2BF4"/>
    <w:rsid w:val="008C30BA"/>
    <w:rsid w:val="008C33D2"/>
    <w:rsid w:val="008C383F"/>
    <w:rsid w:val="008C3A9C"/>
    <w:rsid w:val="008C3BC9"/>
    <w:rsid w:val="008C3C64"/>
    <w:rsid w:val="008C5366"/>
    <w:rsid w:val="008C5436"/>
    <w:rsid w:val="008C57B5"/>
    <w:rsid w:val="008C5CD2"/>
    <w:rsid w:val="008C5FFF"/>
    <w:rsid w:val="008C64D1"/>
    <w:rsid w:val="008C65F7"/>
    <w:rsid w:val="008C6855"/>
    <w:rsid w:val="008C688B"/>
    <w:rsid w:val="008C7FD9"/>
    <w:rsid w:val="008D0350"/>
    <w:rsid w:val="008D0B6F"/>
    <w:rsid w:val="008D0EB1"/>
    <w:rsid w:val="008D1107"/>
    <w:rsid w:val="008D1129"/>
    <w:rsid w:val="008D135E"/>
    <w:rsid w:val="008D18D1"/>
    <w:rsid w:val="008D1C62"/>
    <w:rsid w:val="008D1DB4"/>
    <w:rsid w:val="008D200F"/>
    <w:rsid w:val="008D21A8"/>
    <w:rsid w:val="008D236E"/>
    <w:rsid w:val="008D293F"/>
    <w:rsid w:val="008D2D23"/>
    <w:rsid w:val="008D321D"/>
    <w:rsid w:val="008D32C7"/>
    <w:rsid w:val="008D34BE"/>
    <w:rsid w:val="008D3505"/>
    <w:rsid w:val="008D39B6"/>
    <w:rsid w:val="008D4669"/>
    <w:rsid w:val="008D486C"/>
    <w:rsid w:val="008D4D6D"/>
    <w:rsid w:val="008D53C3"/>
    <w:rsid w:val="008D5432"/>
    <w:rsid w:val="008D5CDB"/>
    <w:rsid w:val="008D6453"/>
    <w:rsid w:val="008D6ADB"/>
    <w:rsid w:val="008D6FA3"/>
    <w:rsid w:val="008D7A6E"/>
    <w:rsid w:val="008E0B8A"/>
    <w:rsid w:val="008E1128"/>
    <w:rsid w:val="008E1852"/>
    <w:rsid w:val="008E18D2"/>
    <w:rsid w:val="008E2085"/>
    <w:rsid w:val="008E2A11"/>
    <w:rsid w:val="008E2FA1"/>
    <w:rsid w:val="008E30BC"/>
    <w:rsid w:val="008E3474"/>
    <w:rsid w:val="008E405F"/>
    <w:rsid w:val="008E44C1"/>
    <w:rsid w:val="008E4767"/>
    <w:rsid w:val="008E4CBE"/>
    <w:rsid w:val="008E5BE3"/>
    <w:rsid w:val="008E7049"/>
    <w:rsid w:val="008E7A8C"/>
    <w:rsid w:val="008F0125"/>
    <w:rsid w:val="008F052B"/>
    <w:rsid w:val="008F0992"/>
    <w:rsid w:val="008F0BB4"/>
    <w:rsid w:val="008F101A"/>
    <w:rsid w:val="008F10D6"/>
    <w:rsid w:val="008F1A17"/>
    <w:rsid w:val="008F1D8C"/>
    <w:rsid w:val="008F31B8"/>
    <w:rsid w:val="008F393C"/>
    <w:rsid w:val="008F3AC5"/>
    <w:rsid w:val="008F3BE2"/>
    <w:rsid w:val="008F3C6F"/>
    <w:rsid w:val="008F403D"/>
    <w:rsid w:val="008F408C"/>
    <w:rsid w:val="008F435F"/>
    <w:rsid w:val="008F4A5E"/>
    <w:rsid w:val="008F57A8"/>
    <w:rsid w:val="008F5A8A"/>
    <w:rsid w:val="008F5CD6"/>
    <w:rsid w:val="008F5FD6"/>
    <w:rsid w:val="008F621F"/>
    <w:rsid w:val="008F6BD9"/>
    <w:rsid w:val="008F76E6"/>
    <w:rsid w:val="008F7D18"/>
    <w:rsid w:val="00900090"/>
    <w:rsid w:val="00900A21"/>
    <w:rsid w:val="009013CB"/>
    <w:rsid w:val="0090203B"/>
    <w:rsid w:val="0090227C"/>
    <w:rsid w:val="009024D7"/>
    <w:rsid w:val="0090290B"/>
    <w:rsid w:val="0090298A"/>
    <w:rsid w:val="0090300E"/>
    <w:rsid w:val="0090311D"/>
    <w:rsid w:val="00903190"/>
    <w:rsid w:val="00903285"/>
    <w:rsid w:val="00903796"/>
    <w:rsid w:val="00903B4E"/>
    <w:rsid w:val="00904404"/>
    <w:rsid w:val="00904AD9"/>
    <w:rsid w:val="00904CDF"/>
    <w:rsid w:val="00905115"/>
    <w:rsid w:val="009053C1"/>
    <w:rsid w:val="00905401"/>
    <w:rsid w:val="0090568C"/>
    <w:rsid w:val="00906432"/>
    <w:rsid w:val="0090651B"/>
    <w:rsid w:val="009069FE"/>
    <w:rsid w:val="00906CB8"/>
    <w:rsid w:val="00906EB6"/>
    <w:rsid w:val="00906F40"/>
    <w:rsid w:val="00907146"/>
    <w:rsid w:val="009071AB"/>
    <w:rsid w:val="0090731E"/>
    <w:rsid w:val="009074D6"/>
    <w:rsid w:val="009075E5"/>
    <w:rsid w:val="00907805"/>
    <w:rsid w:val="00907BD1"/>
    <w:rsid w:val="009105F4"/>
    <w:rsid w:val="00910964"/>
    <w:rsid w:val="00910A0F"/>
    <w:rsid w:val="00910A83"/>
    <w:rsid w:val="00911149"/>
    <w:rsid w:val="00911ABC"/>
    <w:rsid w:val="00911C2F"/>
    <w:rsid w:val="00911D57"/>
    <w:rsid w:val="0091206E"/>
    <w:rsid w:val="00912413"/>
    <w:rsid w:val="0091272F"/>
    <w:rsid w:val="0091318E"/>
    <w:rsid w:val="009135C3"/>
    <w:rsid w:val="00913979"/>
    <w:rsid w:val="00914190"/>
    <w:rsid w:val="009142E3"/>
    <w:rsid w:val="009150A9"/>
    <w:rsid w:val="009158A7"/>
    <w:rsid w:val="00915B1C"/>
    <w:rsid w:val="0091614E"/>
    <w:rsid w:val="009165AD"/>
    <w:rsid w:val="009173BB"/>
    <w:rsid w:val="009174F3"/>
    <w:rsid w:val="0091788F"/>
    <w:rsid w:val="0091790C"/>
    <w:rsid w:val="0091797D"/>
    <w:rsid w:val="00917BC6"/>
    <w:rsid w:val="00917C30"/>
    <w:rsid w:val="00920513"/>
    <w:rsid w:val="009207B7"/>
    <w:rsid w:val="00921FC8"/>
    <w:rsid w:val="00922B23"/>
    <w:rsid w:val="00922F42"/>
    <w:rsid w:val="0092306E"/>
    <w:rsid w:val="009236C0"/>
    <w:rsid w:val="00923C48"/>
    <w:rsid w:val="00923CBA"/>
    <w:rsid w:val="00924C83"/>
    <w:rsid w:val="00925018"/>
    <w:rsid w:val="0092506F"/>
    <w:rsid w:val="00925EB0"/>
    <w:rsid w:val="0092621C"/>
    <w:rsid w:val="00926353"/>
    <w:rsid w:val="00926703"/>
    <w:rsid w:val="00926A86"/>
    <w:rsid w:val="009275C5"/>
    <w:rsid w:val="00927691"/>
    <w:rsid w:val="00927A5F"/>
    <w:rsid w:val="00927D8F"/>
    <w:rsid w:val="00927FF2"/>
    <w:rsid w:val="00930510"/>
    <w:rsid w:val="0093065A"/>
    <w:rsid w:val="009308FD"/>
    <w:rsid w:val="009311E8"/>
    <w:rsid w:val="00931654"/>
    <w:rsid w:val="00931774"/>
    <w:rsid w:val="00932D9F"/>
    <w:rsid w:val="009335CC"/>
    <w:rsid w:val="00933650"/>
    <w:rsid w:val="00933BC7"/>
    <w:rsid w:val="00934097"/>
    <w:rsid w:val="009340FE"/>
    <w:rsid w:val="009342AC"/>
    <w:rsid w:val="0093455B"/>
    <w:rsid w:val="00934859"/>
    <w:rsid w:val="009349AE"/>
    <w:rsid w:val="00935220"/>
    <w:rsid w:val="009352B2"/>
    <w:rsid w:val="009356F2"/>
    <w:rsid w:val="009357EE"/>
    <w:rsid w:val="00935A01"/>
    <w:rsid w:val="00935B63"/>
    <w:rsid w:val="00935FC4"/>
    <w:rsid w:val="00936E95"/>
    <w:rsid w:val="00936F14"/>
    <w:rsid w:val="0093751F"/>
    <w:rsid w:val="00937805"/>
    <w:rsid w:val="0093789D"/>
    <w:rsid w:val="00940167"/>
    <w:rsid w:val="009402B2"/>
    <w:rsid w:val="0094078F"/>
    <w:rsid w:val="00940E75"/>
    <w:rsid w:val="00940F93"/>
    <w:rsid w:val="00940FA3"/>
    <w:rsid w:val="00940FF0"/>
    <w:rsid w:val="009413B4"/>
    <w:rsid w:val="00941FB0"/>
    <w:rsid w:val="009426D4"/>
    <w:rsid w:val="00942A29"/>
    <w:rsid w:val="00942DD0"/>
    <w:rsid w:val="00943A30"/>
    <w:rsid w:val="00943FE4"/>
    <w:rsid w:val="00944CC8"/>
    <w:rsid w:val="00945146"/>
    <w:rsid w:val="00945363"/>
    <w:rsid w:val="009459E6"/>
    <w:rsid w:val="00945F7E"/>
    <w:rsid w:val="00947F25"/>
    <w:rsid w:val="009500C6"/>
    <w:rsid w:val="00950159"/>
    <w:rsid w:val="00950684"/>
    <w:rsid w:val="009519AD"/>
    <w:rsid w:val="00951DD7"/>
    <w:rsid w:val="00953B83"/>
    <w:rsid w:val="00953C2E"/>
    <w:rsid w:val="00954141"/>
    <w:rsid w:val="009548EC"/>
    <w:rsid w:val="0095490B"/>
    <w:rsid w:val="00955164"/>
    <w:rsid w:val="009556F4"/>
    <w:rsid w:val="00955D34"/>
    <w:rsid w:val="00956785"/>
    <w:rsid w:val="00956F4C"/>
    <w:rsid w:val="009572B2"/>
    <w:rsid w:val="00957353"/>
    <w:rsid w:val="009573DE"/>
    <w:rsid w:val="00957FD6"/>
    <w:rsid w:val="00960A33"/>
    <w:rsid w:val="00960E43"/>
    <w:rsid w:val="00961F52"/>
    <w:rsid w:val="00962FC1"/>
    <w:rsid w:val="009630CA"/>
    <w:rsid w:val="00963334"/>
    <w:rsid w:val="00963603"/>
    <w:rsid w:val="00963864"/>
    <w:rsid w:val="00963D0A"/>
    <w:rsid w:val="00963F95"/>
    <w:rsid w:val="00964086"/>
    <w:rsid w:val="009647F9"/>
    <w:rsid w:val="00964A28"/>
    <w:rsid w:val="00964F23"/>
    <w:rsid w:val="009656E7"/>
    <w:rsid w:val="0096575F"/>
    <w:rsid w:val="00965D38"/>
    <w:rsid w:val="00966077"/>
    <w:rsid w:val="009660BF"/>
    <w:rsid w:val="00966B1E"/>
    <w:rsid w:val="00967CF2"/>
    <w:rsid w:val="009701EB"/>
    <w:rsid w:val="00970481"/>
    <w:rsid w:val="0097079B"/>
    <w:rsid w:val="0097094A"/>
    <w:rsid w:val="0097130A"/>
    <w:rsid w:val="00971914"/>
    <w:rsid w:val="00971A00"/>
    <w:rsid w:val="00971BD6"/>
    <w:rsid w:val="00971ED4"/>
    <w:rsid w:val="00972EC2"/>
    <w:rsid w:val="00973133"/>
    <w:rsid w:val="009735C5"/>
    <w:rsid w:val="0097416D"/>
    <w:rsid w:val="009742A9"/>
    <w:rsid w:val="00974363"/>
    <w:rsid w:val="00974368"/>
    <w:rsid w:val="00975E60"/>
    <w:rsid w:val="00976114"/>
    <w:rsid w:val="00976206"/>
    <w:rsid w:val="009767B6"/>
    <w:rsid w:val="009771BE"/>
    <w:rsid w:val="00977972"/>
    <w:rsid w:val="00977EC9"/>
    <w:rsid w:val="009802BB"/>
    <w:rsid w:val="009802EB"/>
    <w:rsid w:val="00980327"/>
    <w:rsid w:val="009809D5"/>
    <w:rsid w:val="00981898"/>
    <w:rsid w:val="00981DBC"/>
    <w:rsid w:val="00981FBA"/>
    <w:rsid w:val="0098232C"/>
    <w:rsid w:val="00982B5E"/>
    <w:rsid w:val="00982BCD"/>
    <w:rsid w:val="00984255"/>
    <w:rsid w:val="00984711"/>
    <w:rsid w:val="00984AEB"/>
    <w:rsid w:val="00984B80"/>
    <w:rsid w:val="00984D69"/>
    <w:rsid w:val="00984ED1"/>
    <w:rsid w:val="009852C0"/>
    <w:rsid w:val="0098534E"/>
    <w:rsid w:val="00986078"/>
    <w:rsid w:val="0098650E"/>
    <w:rsid w:val="00986543"/>
    <w:rsid w:val="0098656F"/>
    <w:rsid w:val="00987494"/>
    <w:rsid w:val="00987B36"/>
    <w:rsid w:val="00987F64"/>
    <w:rsid w:val="00990028"/>
    <w:rsid w:val="009905A6"/>
    <w:rsid w:val="009906A9"/>
    <w:rsid w:val="00990C87"/>
    <w:rsid w:val="00990FF9"/>
    <w:rsid w:val="009918D2"/>
    <w:rsid w:val="0099190D"/>
    <w:rsid w:val="00991B0B"/>
    <w:rsid w:val="0099298D"/>
    <w:rsid w:val="00993B9D"/>
    <w:rsid w:val="00994718"/>
    <w:rsid w:val="009947BB"/>
    <w:rsid w:val="00994CDB"/>
    <w:rsid w:val="00994D3C"/>
    <w:rsid w:val="00995452"/>
    <w:rsid w:val="0099577C"/>
    <w:rsid w:val="00995B20"/>
    <w:rsid w:val="00996225"/>
    <w:rsid w:val="00996B15"/>
    <w:rsid w:val="00996B68"/>
    <w:rsid w:val="00996FE5"/>
    <w:rsid w:val="009970E8"/>
    <w:rsid w:val="0099769F"/>
    <w:rsid w:val="00997F7E"/>
    <w:rsid w:val="00999743"/>
    <w:rsid w:val="009A006F"/>
    <w:rsid w:val="009A021C"/>
    <w:rsid w:val="009A05C4"/>
    <w:rsid w:val="009A06F0"/>
    <w:rsid w:val="009A1222"/>
    <w:rsid w:val="009A1FFC"/>
    <w:rsid w:val="009A2026"/>
    <w:rsid w:val="009A211A"/>
    <w:rsid w:val="009A250F"/>
    <w:rsid w:val="009A25CC"/>
    <w:rsid w:val="009A2A10"/>
    <w:rsid w:val="009A2AEA"/>
    <w:rsid w:val="009A2BEA"/>
    <w:rsid w:val="009A2D21"/>
    <w:rsid w:val="009A2EED"/>
    <w:rsid w:val="009A3551"/>
    <w:rsid w:val="009A38BA"/>
    <w:rsid w:val="009A3947"/>
    <w:rsid w:val="009A3AE8"/>
    <w:rsid w:val="009A3F7F"/>
    <w:rsid w:val="009A4444"/>
    <w:rsid w:val="009A466D"/>
    <w:rsid w:val="009A48C6"/>
    <w:rsid w:val="009A4C2C"/>
    <w:rsid w:val="009A52A8"/>
    <w:rsid w:val="009A5D6B"/>
    <w:rsid w:val="009A5DEC"/>
    <w:rsid w:val="009A6FB4"/>
    <w:rsid w:val="009A7332"/>
    <w:rsid w:val="009A7413"/>
    <w:rsid w:val="009A7749"/>
    <w:rsid w:val="009A79AF"/>
    <w:rsid w:val="009B0141"/>
    <w:rsid w:val="009B0ACB"/>
    <w:rsid w:val="009B172B"/>
    <w:rsid w:val="009B1B0C"/>
    <w:rsid w:val="009B1EB3"/>
    <w:rsid w:val="009B24A5"/>
    <w:rsid w:val="009B2601"/>
    <w:rsid w:val="009B27C9"/>
    <w:rsid w:val="009B332F"/>
    <w:rsid w:val="009B342D"/>
    <w:rsid w:val="009B388C"/>
    <w:rsid w:val="009B49A0"/>
    <w:rsid w:val="009B4E9E"/>
    <w:rsid w:val="009B4EA5"/>
    <w:rsid w:val="009B52FA"/>
    <w:rsid w:val="009B724F"/>
    <w:rsid w:val="009B7DF4"/>
    <w:rsid w:val="009B83EB"/>
    <w:rsid w:val="009C0825"/>
    <w:rsid w:val="009C0BAA"/>
    <w:rsid w:val="009C10BE"/>
    <w:rsid w:val="009C1345"/>
    <w:rsid w:val="009C1690"/>
    <w:rsid w:val="009C1705"/>
    <w:rsid w:val="009C19E1"/>
    <w:rsid w:val="009C20D5"/>
    <w:rsid w:val="009C2229"/>
    <w:rsid w:val="009C25B9"/>
    <w:rsid w:val="009C2A3B"/>
    <w:rsid w:val="009C2A69"/>
    <w:rsid w:val="009C2B3B"/>
    <w:rsid w:val="009C2D57"/>
    <w:rsid w:val="009C3255"/>
    <w:rsid w:val="009C3714"/>
    <w:rsid w:val="009C3CBA"/>
    <w:rsid w:val="009C4090"/>
    <w:rsid w:val="009C468C"/>
    <w:rsid w:val="009C484E"/>
    <w:rsid w:val="009C4A48"/>
    <w:rsid w:val="009C4DA9"/>
    <w:rsid w:val="009C5004"/>
    <w:rsid w:val="009C5A0E"/>
    <w:rsid w:val="009C60F8"/>
    <w:rsid w:val="009C6563"/>
    <w:rsid w:val="009C659C"/>
    <w:rsid w:val="009C6638"/>
    <w:rsid w:val="009C668F"/>
    <w:rsid w:val="009C6881"/>
    <w:rsid w:val="009C6BBC"/>
    <w:rsid w:val="009C6DB3"/>
    <w:rsid w:val="009C75D2"/>
    <w:rsid w:val="009C75DD"/>
    <w:rsid w:val="009C7759"/>
    <w:rsid w:val="009D0413"/>
    <w:rsid w:val="009D043D"/>
    <w:rsid w:val="009D0440"/>
    <w:rsid w:val="009D07C8"/>
    <w:rsid w:val="009D08F6"/>
    <w:rsid w:val="009D0D3E"/>
    <w:rsid w:val="009D10A5"/>
    <w:rsid w:val="009D11E8"/>
    <w:rsid w:val="009D1FD3"/>
    <w:rsid w:val="009D2137"/>
    <w:rsid w:val="009D21BC"/>
    <w:rsid w:val="009D223E"/>
    <w:rsid w:val="009D2301"/>
    <w:rsid w:val="009D47C5"/>
    <w:rsid w:val="009D4BC9"/>
    <w:rsid w:val="009D4C85"/>
    <w:rsid w:val="009D551E"/>
    <w:rsid w:val="009D5A31"/>
    <w:rsid w:val="009D5BEC"/>
    <w:rsid w:val="009D5EFB"/>
    <w:rsid w:val="009D6733"/>
    <w:rsid w:val="009D6A88"/>
    <w:rsid w:val="009D6C71"/>
    <w:rsid w:val="009D6F2E"/>
    <w:rsid w:val="009D7050"/>
    <w:rsid w:val="009D70A9"/>
    <w:rsid w:val="009D7417"/>
    <w:rsid w:val="009D7C68"/>
    <w:rsid w:val="009D7D6B"/>
    <w:rsid w:val="009E0631"/>
    <w:rsid w:val="009E1112"/>
    <w:rsid w:val="009E123D"/>
    <w:rsid w:val="009E1417"/>
    <w:rsid w:val="009E15F8"/>
    <w:rsid w:val="009E16D0"/>
    <w:rsid w:val="009E171F"/>
    <w:rsid w:val="009E2051"/>
    <w:rsid w:val="009E21C4"/>
    <w:rsid w:val="009E2A13"/>
    <w:rsid w:val="009E2B88"/>
    <w:rsid w:val="009E2FBB"/>
    <w:rsid w:val="009E2FD2"/>
    <w:rsid w:val="009E31C0"/>
    <w:rsid w:val="009E3433"/>
    <w:rsid w:val="009E3710"/>
    <w:rsid w:val="009E3796"/>
    <w:rsid w:val="009E38FD"/>
    <w:rsid w:val="009E3E70"/>
    <w:rsid w:val="009E461F"/>
    <w:rsid w:val="009E46D4"/>
    <w:rsid w:val="009E5313"/>
    <w:rsid w:val="009E6057"/>
    <w:rsid w:val="009E60B9"/>
    <w:rsid w:val="009E6890"/>
    <w:rsid w:val="009E70CC"/>
    <w:rsid w:val="009E7732"/>
    <w:rsid w:val="009F0B51"/>
    <w:rsid w:val="009F0ECE"/>
    <w:rsid w:val="009F13D6"/>
    <w:rsid w:val="009F1653"/>
    <w:rsid w:val="009F16CB"/>
    <w:rsid w:val="009F18AB"/>
    <w:rsid w:val="009F285E"/>
    <w:rsid w:val="009F3589"/>
    <w:rsid w:val="009F37E5"/>
    <w:rsid w:val="009F38A3"/>
    <w:rsid w:val="009F392B"/>
    <w:rsid w:val="009F3F7F"/>
    <w:rsid w:val="009F4C6B"/>
    <w:rsid w:val="009F4FBB"/>
    <w:rsid w:val="009F547E"/>
    <w:rsid w:val="009F552B"/>
    <w:rsid w:val="009F5775"/>
    <w:rsid w:val="009F5791"/>
    <w:rsid w:val="009F5857"/>
    <w:rsid w:val="009F5930"/>
    <w:rsid w:val="009F5D95"/>
    <w:rsid w:val="009F610F"/>
    <w:rsid w:val="009F6194"/>
    <w:rsid w:val="009F61A6"/>
    <w:rsid w:val="009F6359"/>
    <w:rsid w:val="009F6E63"/>
    <w:rsid w:val="009F7800"/>
    <w:rsid w:val="009F78A8"/>
    <w:rsid w:val="009F7ECA"/>
    <w:rsid w:val="00A00662"/>
    <w:rsid w:val="00A00A5A"/>
    <w:rsid w:val="00A0182C"/>
    <w:rsid w:val="00A022C7"/>
    <w:rsid w:val="00A02882"/>
    <w:rsid w:val="00A02AD6"/>
    <w:rsid w:val="00A02DC8"/>
    <w:rsid w:val="00A03D0A"/>
    <w:rsid w:val="00A03E40"/>
    <w:rsid w:val="00A043D1"/>
    <w:rsid w:val="00A04A7E"/>
    <w:rsid w:val="00A052F3"/>
    <w:rsid w:val="00A0532A"/>
    <w:rsid w:val="00A05570"/>
    <w:rsid w:val="00A05693"/>
    <w:rsid w:val="00A05B08"/>
    <w:rsid w:val="00A05D28"/>
    <w:rsid w:val="00A05DBB"/>
    <w:rsid w:val="00A060DA"/>
    <w:rsid w:val="00A0640D"/>
    <w:rsid w:val="00A06C72"/>
    <w:rsid w:val="00A06CD5"/>
    <w:rsid w:val="00A07096"/>
    <w:rsid w:val="00A070B1"/>
    <w:rsid w:val="00A07318"/>
    <w:rsid w:val="00A07412"/>
    <w:rsid w:val="00A106A1"/>
    <w:rsid w:val="00A10A65"/>
    <w:rsid w:val="00A11370"/>
    <w:rsid w:val="00A11895"/>
    <w:rsid w:val="00A118E6"/>
    <w:rsid w:val="00A11A2A"/>
    <w:rsid w:val="00A127DC"/>
    <w:rsid w:val="00A1485D"/>
    <w:rsid w:val="00A1495F"/>
    <w:rsid w:val="00A14A3A"/>
    <w:rsid w:val="00A14C82"/>
    <w:rsid w:val="00A1511E"/>
    <w:rsid w:val="00A158B5"/>
    <w:rsid w:val="00A15C39"/>
    <w:rsid w:val="00A15C44"/>
    <w:rsid w:val="00A15D78"/>
    <w:rsid w:val="00A162FF"/>
    <w:rsid w:val="00A1663A"/>
    <w:rsid w:val="00A16946"/>
    <w:rsid w:val="00A17737"/>
    <w:rsid w:val="00A203D6"/>
    <w:rsid w:val="00A20D1D"/>
    <w:rsid w:val="00A21463"/>
    <w:rsid w:val="00A22014"/>
    <w:rsid w:val="00A224CE"/>
    <w:rsid w:val="00A22522"/>
    <w:rsid w:val="00A229BA"/>
    <w:rsid w:val="00A22E6A"/>
    <w:rsid w:val="00A23486"/>
    <w:rsid w:val="00A23E3F"/>
    <w:rsid w:val="00A2417D"/>
    <w:rsid w:val="00A242CF"/>
    <w:rsid w:val="00A24300"/>
    <w:rsid w:val="00A24609"/>
    <w:rsid w:val="00A2479A"/>
    <w:rsid w:val="00A249B5"/>
    <w:rsid w:val="00A24AFD"/>
    <w:rsid w:val="00A24C64"/>
    <w:rsid w:val="00A24D87"/>
    <w:rsid w:val="00A24DF8"/>
    <w:rsid w:val="00A24F5C"/>
    <w:rsid w:val="00A25656"/>
    <w:rsid w:val="00A2579F"/>
    <w:rsid w:val="00A25CF4"/>
    <w:rsid w:val="00A260EF"/>
    <w:rsid w:val="00A26911"/>
    <w:rsid w:val="00A26DD9"/>
    <w:rsid w:val="00A2711B"/>
    <w:rsid w:val="00A27651"/>
    <w:rsid w:val="00A27AA4"/>
    <w:rsid w:val="00A27DBD"/>
    <w:rsid w:val="00A3004C"/>
    <w:rsid w:val="00A30474"/>
    <w:rsid w:val="00A30604"/>
    <w:rsid w:val="00A30B61"/>
    <w:rsid w:val="00A30B79"/>
    <w:rsid w:val="00A31024"/>
    <w:rsid w:val="00A3155E"/>
    <w:rsid w:val="00A31CD9"/>
    <w:rsid w:val="00A32F96"/>
    <w:rsid w:val="00A3336B"/>
    <w:rsid w:val="00A347DE"/>
    <w:rsid w:val="00A350B0"/>
    <w:rsid w:val="00A355AA"/>
    <w:rsid w:val="00A361C3"/>
    <w:rsid w:val="00A36447"/>
    <w:rsid w:val="00A36727"/>
    <w:rsid w:val="00A37D3B"/>
    <w:rsid w:val="00A40218"/>
    <w:rsid w:val="00A40683"/>
    <w:rsid w:val="00A406C4"/>
    <w:rsid w:val="00A406DD"/>
    <w:rsid w:val="00A40871"/>
    <w:rsid w:val="00A412AB"/>
    <w:rsid w:val="00A418DA"/>
    <w:rsid w:val="00A4193E"/>
    <w:rsid w:val="00A41ADF"/>
    <w:rsid w:val="00A41B37"/>
    <w:rsid w:val="00A42A53"/>
    <w:rsid w:val="00A42C37"/>
    <w:rsid w:val="00A4346D"/>
    <w:rsid w:val="00A43906"/>
    <w:rsid w:val="00A439C3"/>
    <w:rsid w:val="00A43F29"/>
    <w:rsid w:val="00A440E0"/>
    <w:rsid w:val="00A4414E"/>
    <w:rsid w:val="00A441B7"/>
    <w:rsid w:val="00A442EF"/>
    <w:rsid w:val="00A4479F"/>
    <w:rsid w:val="00A44C1A"/>
    <w:rsid w:val="00A45033"/>
    <w:rsid w:val="00A45932"/>
    <w:rsid w:val="00A45E75"/>
    <w:rsid w:val="00A46F57"/>
    <w:rsid w:val="00A47C6A"/>
    <w:rsid w:val="00A506FE"/>
    <w:rsid w:val="00A50A9D"/>
    <w:rsid w:val="00A51788"/>
    <w:rsid w:val="00A5179F"/>
    <w:rsid w:val="00A51D1A"/>
    <w:rsid w:val="00A5208D"/>
    <w:rsid w:val="00A5210D"/>
    <w:rsid w:val="00A5237B"/>
    <w:rsid w:val="00A5237D"/>
    <w:rsid w:val="00A5239E"/>
    <w:rsid w:val="00A52FC2"/>
    <w:rsid w:val="00A53182"/>
    <w:rsid w:val="00A53619"/>
    <w:rsid w:val="00A53D9B"/>
    <w:rsid w:val="00A5418D"/>
    <w:rsid w:val="00A541E9"/>
    <w:rsid w:val="00A5474E"/>
    <w:rsid w:val="00A54828"/>
    <w:rsid w:val="00A5547F"/>
    <w:rsid w:val="00A5594E"/>
    <w:rsid w:val="00A55FED"/>
    <w:rsid w:val="00A56191"/>
    <w:rsid w:val="00A572E4"/>
    <w:rsid w:val="00A57736"/>
    <w:rsid w:val="00A57B61"/>
    <w:rsid w:val="00A60461"/>
    <w:rsid w:val="00A6078E"/>
    <w:rsid w:val="00A60A2F"/>
    <w:rsid w:val="00A60BE7"/>
    <w:rsid w:val="00A60F36"/>
    <w:rsid w:val="00A61F42"/>
    <w:rsid w:val="00A62438"/>
    <w:rsid w:val="00A62870"/>
    <w:rsid w:val="00A62A46"/>
    <w:rsid w:val="00A63223"/>
    <w:rsid w:val="00A636B5"/>
    <w:rsid w:val="00A63829"/>
    <w:rsid w:val="00A63BF7"/>
    <w:rsid w:val="00A63D26"/>
    <w:rsid w:val="00A64234"/>
    <w:rsid w:val="00A642B9"/>
    <w:rsid w:val="00A643E0"/>
    <w:rsid w:val="00A64A47"/>
    <w:rsid w:val="00A64FC3"/>
    <w:rsid w:val="00A65128"/>
    <w:rsid w:val="00A6517A"/>
    <w:rsid w:val="00A651EE"/>
    <w:rsid w:val="00A6538C"/>
    <w:rsid w:val="00A65717"/>
    <w:rsid w:val="00A659F6"/>
    <w:rsid w:val="00A66161"/>
    <w:rsid w:val="00A6642D"/>
    <w:rsid w:val="00A66641"/>
    <w:rsid w:val="00A66F42"/>
    <w:rsid w:val="00A67372"/>
    <w:rsid w:val="00A70040"/>
    <w:rsid w:val="00A70226"/>
    <w:rsid w:val="00A7059B"/>
    <w:rsid w:val="00A7071C"/>
    <w:rsid w:val="00A70851"/>
    <w:rsid w:val="00A70ADF"/>
    <w:rsid w:val="00A71311"/>
    <w:rsid w:val="00A71466"/>
    <w:rsid w:val="00A71949"/>
    <w:rsid w:val="00A71B05"/>
    <w:rsid w:val="00A72419"/>
    <w:rsid w:val="00A724E4"/>
    <w:rsid w:val="00A72954"/>
    <w:rsid w:val="00A72C95"/>
    <w:rsid w:val="00A72D59"/>
    <w:rsid w:val="00A72EC2"/>
    <w:rsid w:val="00A73148"/>
    <w:rsid w:val="00A73538"/>
    <w:rsid w:val="00A73788"/>
    <w:rsid w:val="00A7391B"/>
    <w:rsid w:val="00A73B0E"/>
    <w:rsid w:val="00A741F5"/>
    <w:rsid w:val="00A7436C"/>
    <w:rsid w:val="00A7444D"/>
    <w:rsid w:val="00A7486D"/>
    <w:rsid w:val="00A74B5E"/>
    <w:rsid w:val="00A750CB"/>
    <w:rsid w:val="00A7517A"/>
    <w:rsid w:val="00A752BF"/>
    <w:rsid w:val="00A755A9"/>
    <w:rsid w:val="00A75D40"/>
    <w:rsid w:val="00A76136"/>
    <w:rsid w:val="00A77172"/>
    <w:rsid w:val="00A77189"/>
    <w:rsid w:val="00A7753A"/>
    <w:rsid w:val="00A777C4"/>
    <w:rsid w:val="00A77C4E"/>
    <w:rsid w:val="00A80104"/>
    <w:rsid w:val="00A80685"/>
    <w:rsid w:val="00A80F5E"/>
    <w:rsid w:val="00A80FA2"/>
    <w:rsid w:val="00A81725"/>
    <w:rsid w:val="00A81A81"/>
    <w:rsid w:val="00A81BED"/>
    <w:rsid w:val="00A81EC4"/>
    <w:rsid w:val="00A81EFF"/>
    <w:rsid w:val="00A824C0"/>
    <w:rsid w:val="00A824E8"/>
    <w:rsid w:val="00A825F4"/>
    <w:rsid w:val="00A8303D"/>
    <w:rsid w:val="00A83524"/>
    <w:rsid w:val="00A8386D"/>
    <w:rsid w:val="00A839EF"/>
    <w:rsid w:val="00A83CA7"/>
    <w:rsid w:val="00A84EC3"/>
    <w:rsid w:val="00A86219"/>
    <w:rsid w:val="00A86559"/>
    <w:rsid w:val="00A8691B"/>
    <w:rsid w:val="00A86E54"/>
    <w:rsid w:val="00A87230"/>
    <w:rsid w:val="00A8745C"/>
    <w:rsid w:val="00A878F5"/>
    <w:rsid w:val="00A87927"/>
    <w:rsid w:val="00A90027"/>
    <w:rsid w:val="00A9010F"/>
    <w:rsid w:val="00A9040C"/>
    <w:rsid w:val="00A9058B"/>
    <w:rsid w:val="00A911A6"/>
    <w:rsid w:val="00A917F5"/>
    <w:rsid w:val="00A9295B"/>
    <w:rsid w:val="00A93641"/>
    <w:rsid w:val="00A93B05"/>
    <w:rsid w:val="00A940CC"/>
    <w:rsid w:val="00A94B8D"/>
    <w:rsid w:val="00A95351"/>
    <w:rsid w:val="00A95816"/>
    <w:rsid w:val="00A95FAB"/>
    <w:rsid w:val="00A96122"/>
    <w:rsid w:val="00A96545"/>
    <w:rsid w:val="00A965E1"/>
    <w:rsid w:val="00A967FD"/>
    <w:rsid w:val="00A96CCF"/>
    <w:rsid w:val="00A96F95"/>
    <w:rsid w:val="00A97099"/>
    <w:rsid w:val="00A9739F"/>
    <w:rsid w:val="00A97649"/>
    <w:rsid w:val="00A97951"/>
    <w:rsid w:val="00AA0197"/>
    <w:rsid w:val="00AA06F3"/>
    <w:rsid w:val="00AA0C26"/>
    <w:rsid w:val="00AA10CF"/>
    <w:rsid w:val="00AA1A8F"/>
    <w:rsid w:val="00AA1CB4"/>
    <w:rsid w:val="00AA2A1A"/>
    <w:rsid w:val="00AA2DE5"/>
    <w:rsid w:val="00AA2F71"/>
    <w:rsid w:val="00AA3A9A"/>
    <w:rsid w:val="00AA468D"/>
    <w:rsid w:val="00AA57BF"/>
    <w:rsid w:val="00AA5D9C"/>
    <w:rsid w:val="00AA6981"/>
    <w:rsid w:val="00AA73F9"/>
    <w:rsid w:val="00AA743A"/>
    <w:rsid w:val="00AA79DE"/>
    <w:rsid w:val="00AA7F32"/>
    <w:rsid w:val="00AB0AC8"/>
    <w:rsid w:val="00AB0D45"/>
    <w:rsid w:val="00AB156C"/>
    <w:rsid w:val="00AB1AE1"/>
    <w:rsid w:val="00AB208D"/>
    <w:rsid w:val="00AB213F"/>
    <w:rsid w:val="00AB236A"/>
    <w:rsid w:val="00AB264F"/>
    <w:rsid w:val="00AB2FA6"/>
    <w:rsid w:val="00AB31E0"/>
    <w:rsid w:val="00AB3372"/>
    <w:rsid w:val="00AB3FF2"/>
    <w:rsid w:val="00AB4173"/>
    <w:rsid w:val="00AB4634"/>
    <w:rsid w:val="00AB4858"/>
    <w:rsid w:val="00AB4A15"/>
    <w:rsid w:val="00AB636B"/>
    <w:rsid w:val="00AB6814"/>
    <w:rsid w:val="00AB69E6"/>
    <w:rsid w:val="00AB6BD6"/>
    <w:rsid w:val="00AC0359"/>
    <w:rsid w:val="00AC04BA"/>
    <w:rsid w:val="00AC04ED"/>
    <w:rsid w:val="00AC050B"/>
    <w:rsid w:val="00AC084D"/>
    <w:rsid w:val="00AC0D92"/>
    <w:rsid w:val="00AC0E39"/>
    <w:rsid w:val="00AC0F67"/>
    <w:rsid w:val="00AC0FA6"/>
    <w:rsid w:val="00AC0FFD"/>
    <w:rsid w:val="00AC10D3"/>
    <w:rsid w:val="00AC13D9"/>
    <w:rsid w:val="00AC14C8"/>
    <w:rsid w:val="00AC177A"/>
    <w:rsid w:val="00AC1C67"/>
    <w:rsid w:val="00AC1F3C"/>
    <w:rsid w:val="00AC29BF"/>
    <w:rsid w:val="00AC2E11"/>
    <w:rsid w:val="00AC3622"/>
    <w:rsid w:val="00AC3D82"/>
    <w:rsid w:val="00AC4323"/>
    <w:rsid w:val="00AC49A9"/>
    <w:rsid w:val="00AC4D81"/>
    <w:rsid w:val="00AC5238"/>
    <w:rsid w:val="00AC5CB8"/>
    <w:rsid w:val="00AC5EB6"/>
    <w:rsid w:val="00AC76D8"/>
    <w:rsid w:val="00AC794D"/>
    <w:rsid w:val="00AC7FD3"/>
    <w:rsid w:val="00AD00AD"/>
    <w:rsid w:val="00AD0D62"/>
    <w:rsid w:val="00AD138A"/>
    <w:rsid w:val="00AD145E"/>
    <w:rsid w:val="00AD16B0"/>
    <w:rsid w:val="00AD1CAD"/>
    <w:rsid w:val="00AD206D"/>
    <w:rsid w:val="00AD2337"/>
    <w:rsid w:val="00AD3082"/>
    <w:rsid w:val="00AD32B4"/>
    <w:rsid w:val="00AD37B9"/>
    <w:rsid w:val="00AD39F4"/>
    <w:rsid w:val="00AD3B8D"/>
    <w:rsid w:val="00AD3E73"/>
    <w:rsid w:val="00AD3F6A"/>
    <w:rsid w:val="00AD43FB"/>
    <w:rsid w:val="00AD46CE"/>
    <w:rsid w:val="00AD4AD0"/>
    <w:rsid w:val="00AD4BBE"/>
    <w:rsid w:val="00AD5242"/>
    <w:rsid w:val="00AD5436"/>
    <w:rsid w:val="00AD5619"/>
    <w:rsid w:val="00AD60CD"/>
    <w:rsid w:val="00AD60DA"/>
    <w:rsid w:val="00AD6583"/>
    <w:rsid w:val="00AD67EE"/>
    <w:rsid w:val="00AD6BB2"/>
    <w:rsid w:val="00AD6C8C"/>
    <w:rsid w:val="00AD6C92"/>
    <w:rsid w:val="00AD74B4"/>
    <w:rsid w:val="00AD79FE"/>
    <w:rsid w:val="00AE044F"/>
    <w:rsid w:val="00AE05B9"/>
    <w:rsid w:val="00AE091D"/>
    <w:rsid w:val="00AE0F28"/>
    <w:rsid w:val="00AE15C4"/>
    <w:rsid w:val="00AE187C"/>
    <w:rsid w:val="00AE18E7"/>
    <w:rsid w:val="00AE1C6F"/>
    <w:rsid w:val="00AE1C90"/>
    <w:rsid w:val="00AE1F7F"/>
    <w:rsid w:val="00AE2504"/>
    <w:rsid w:val="00AE3066"/>
    <w:rsid w:val="00AE30E8"/>
    <w:rsid w:val="00AE346A"/>
    <w:rsid w:val="00AE3B60"/>
    <w:rsid w:val="00AE3C33"/>
    <w:rsid w:val="00AE3DC9"/>
    <w:rsid w:val="00AE482D"/>
    <w:rsid w:val="00AE4E43"/>
    <w:rsid w:val="00AE5229"/>
    <w:rsid w:val="00AE53A1"/>
    <w:rsid w:val="00AE53EB"/>
    <w:rsid w:val="00AE55B2"/>
    <w:rsid w:val="00AE55E8"/>
    <w:rsid w:val="00AE57FA"/>
    <w:rsid w:val="00AE58AA"/>
    <w:rsid w:val="00AE5E71"/>
    <w:rsid w:val="00AE6046"/>
    <w:rsid w:val="00AE6072"/>
    <w:rsid w:val="00AE6B74"/>
    <w:rsid w:val="00AE6F5F"/>
    <w:rsid w:val="00AE72F0"/>
    <w:rsid w:val="00AE7A01"/>
    <w:rsid w:val="00AE7D1F"/>
    <w:rsid w:val="00AF0596"/>
    <w:rsid w:val="00AF0A14"/>
    <w:rsid w:val="00AF0EF8"/>
    <w:rsid w:val="00AF1352"/>
    <w:rsid w:val="00AF2484"/>
    <w:rsid w:val="00AF2488"/>
    <w:rsid w:val="00AF2557"/>
    <w:rsid w:val="00AF38C3"/>
    <w:rsid w:val="00AF3E09"/>
    <w:rsid w:val="00AF3FC2"/>
    <w:rsid w:val="00AF4577"/>
    <w:rsid w:val="00AF4B4C"/>
    <w:rsid w:val="00AF4C90"/>
    <w:rsid w:val="00AF4F24"/>
    <w:rsid w:val="00AF552E"/>
    <w:rsid w:val="00AF572F"/>
    <w:rsid w:val="00AF63E7"/>
    <w:rsid w:val="00AF66D8"/>
    <w:rsid w:val="00AF6717"/>
    <w:rsid w:val="00AF6BA6"/>
    <w:rsid w:val="00AF6E17"/>
    <w:rsid w:val="00AF748A"/>
    <w:rsid w:val="00AF7830"/>
    <w:rsid w:val="00B00924"/>
    <w:rsid w:val="00B00C30"/>
    <w:rsid w:val="00B013D5"/>
    <w:rsid w:val="00B0165D"/>
    <w:rsid w:val="00B01786"/>
    <w:rsid w:val="00B01796"/>
    <w:rsid w:val="00B019E9"/>
    <w:rsid w:val="00B01B60"/>
    <w:rsid w:val="00B01BC5"/>
    <w:rsid w:val="00B01D7F"/>
    <w:rsid w:val="00B0239A"/>
    <w:rsid w:val="00B02A01"/>
    <w:rsid w:val="00B030A0"/>
    <w:rsid w:val="00B030DB"/>
    <w:rsid w:val="00B031F3"/>
    <w:rsid w:val="00B038F4"/>
    <w:rsid w:val="00B040B0"/>
    <w:rsid w:val="00B04452"/>
    <w:rsid w:val="00B04D95"/>
    <w:rsid w:val="00B04E79"/>
    <w:rsid w:val="00B052A4"/>
    <w:rsid w:val="00B05A32"/>
    <w:rsid w:val="00B05EF6"/>
    <w:rsid w:val="00B05FF2"/>
    <w:rsid w:val="00B06415"/>
    <w:rsid w:val="00B06A41"/>
    <w:rsid w:val="00B07E38"/>
    <w:rsid w:val="00B10723"/>
    <w:rsid w:val="00B110A4"/>
    <w:rsid w:val="00B115D9"/>
    <w:rsid w:val="00B1176E"/>
    <w:rsid w:val="00B1252C"/>
    <w:rsid w:val="00B125DE"/>
    <w:rsid w:val="00B12909"/>
    <w:rsid w:val="00B1340A"/>
    <w:rsid w:val="00B1344F"/>
    <w:rsid w:val="00B13858"/>
    <w:rsid w:val="00B13B1B"/>
    <w:rsid w:val="00B13FDD"/>
    <w:rsid w:val="00B14045"/>
    <w:rsid w:val="00B1490E"/>
    <w:rsid w:val="00B15EC9"/>
    <w:rsid w:val="00B162DD"/>
    <w:rsid w:val="00B167B5"/>
    <w:rsid w:val="00B16CA7"/>
    <w:rsid w:val="00B16D1F"/>
    <w:rsid w:val="00B2015E"/>
    <w:rsid w:val="00B213FF"/>
    <w:rsid w:val="00B21CA2"/>
    <w:rsid w:val="00B22EB2"/>
    <w:rsid w:val="00B23063"/>
    <w:rsid w:val="00B235E8"/>
    <w:rsid w:val="00B23929"/>
    <w:rsid w:val="00B23BBF"/>
    <w:rsid w:val="00B23D84"/>
    <w:rsid w:val="00B23E8C"/>
    <w:rsid w:val="00B2420A"/>
    <w:rsid w:val="00B260CA"/>
    <w:rsid w:val="00B26696"/>
    <w:rsid w:val="00B26E89"/>
    <w:rsid w:val="00B26F80"/>
    <w:rsid w:val="00B271D1"/>
    <w:rsid w:val="00B27442"/>
    <w:rsid w:val="00B27698"/>
    <w:rsid w:val="00B30B69"/>
    <w:rsid w:val="00B30E03"/>
    <w:rsid w:val="00B30F5E"/>
    <w:rsid w:val="00B31035"/>
    <w:rsid w:val="00B31167"/>
    <w:rsid w:val="00B3129A"/>
    <w:rsid w:val="00B31817"/>
    <w:rsid w:val="00B31902"/>
    <w:rsid w:val="00B31A9C"/>
    <w:rsid w:val="00B31B26"/>
    <w:rsid w:val="00B31C22"/>
    <w:rsid w:val="00B31D77"/>
    <w:rsid w:val="00B3268F"/>
    <w:rsid w:val="00B32766"/>
    <w:rsid w:val="00B329D8"/>
    <w:rsid w:val="00B32BB9"/>
    <w:rsid w:val="00B32F2C"/>
    <w:rsid w:val="00B33AE1"/>
    <w:rsid w:val="00B34653"/>
    <w:rsid w:val="00B3480F"/>
    <w:rsid w:val="00B34A93"/>
    <w:rsid w:val="00B34CC9"/>
    <w:rsid w:val="00B3558C"/>
    <w:rsid w:val="00B3564E"/>
    <w:rsid w:val="00B359F0"/>
    <w:rsid w:val="00B36047"/>
    <w:rsid w:val="00B37156"/>
    <w:rsid w:val="00B37194"/>
    <w:rsid w:val="00B3744A"/>
    <w:rsid w:val="00B37482"/>
    <w:rsid w:val="00B376F5"/>
    <w:rsid w:val="00B37A76"/>
    <w:rsid w:val="00B37C0E"/>
    <w:rsid w:val="00B37C38"/>
    <w:rsid w:val="00B402F8"/>
    <w:rsid w:val="00B417E4"/>
    <w:rsid w:val="00B41C04"/>
    <w:rsid w:val="00B41C98"/>
    <w:rsid w:val="00B41E49"/>
    <w:rsid w:val="00B4214B"/>
    <w:rsid w:val="00B421D0"/>
    <w:rsid w:val="00B424A2"/>
    <w:rsid w:val="00B4288C"/>
    <w:rsid w:val="00B42B4E"/>
    <w:rsid w:val="00B42D0E"/>
    <w:rsid w:val="00B43262"/>
    <w:rsid w:val="00B437CD"/>
    <w:rsid w:val="00B43CCE"/>
    <w:rsid w:val="00B44100"/>
    <w:rsid w:val="00B44266"/>
    <w:rsid w:val="00B44277"/>
    <w:rsid w:val="00B443C5"/>
    <w:rsid w:val="00B4452D"/>
    <w:rsid w:val="00B45056"/>
    <w:rsid w:val="00B46631"/>
    <w:rsid w:val="00B4664D"/>
    <w:rsid w:val="00B46770"/>
    <w:rsid w:val="00B46BA9"/>
    <w:rsid w:val="00B46CBA"/>
    <w:rsid w:val="00B46E08"/>
    <w:rsid w:val="00B46EC1"/>
    <w:rsid w:val="00B46F94"/>
    <w:rsid w:val="00B472D2"/>
    <w:rsid w:val="00B47529"/>
    <w:rsid w:val="00B476A3"/>
    <w:rsid w:val="00B47930"/>
    <w:rsid w:val="00B47D19"/>
    <w:rsid w:val="00B50AFF"/>
    <w:rsid w:val="00B5109E"/>
    <w:rsid w:val="00B5141D"/>
    <w:rsid w:val="00B51662"/>
    <w:rsid w:val="00B518C2"/>
    <w:rsid w:val="00B51A84"/>
    <w:rsid w:val="00B5254F"/>
    <w:rsid w:val="00B52FAD"/>
    <w:rsid w:val="00B5396E"/>
    <w:rsid w:val="00B53BC3"/>
    <w:rsid w:val="00B548E3"/>
    <w:rsid w:val="00B55681"/>
    <w:rsid w:val="00B5583F"/>
    <w:rsid w:val="00B559C2"/>
    <w:rsid w:val="00B55A07"/>
    <w:rsid w:val="00B55D4C"/>
    <w:rsid w:val="00B55EDD"/>
    <w:rsid w:val="00B56AA4"/>
    <w:rsid w:val="00B5779C"/>
    <w:rsid w:val="00B57ABD"/>
    <w:rsid w:val="00B57C3B"/>
    <w:rsid w:val="00B6003C"/>
    <w:rsid w:val="00B6089A"/>
    <w:rsid w:val="00B60D66"/>
    <w:rsid w:val="00B60D75"/>
    <w:rsid w:val="00B619CF"/>
    <w:rsid w:val="00B61E43"/>
    <w:rsid w:val="00B61F03"/>
    <w:rsid w:val="00B6210D"/>
    <w:rsid w:val="00B62325"/>
    <w:rsid w:val="00B62626"/>
    <w:rsid w:val="00B626E4"/>
    <w:rsid w:val="00B62BD1"/>
    <w:rsid w:val="00B62C7A"/>
    <w:rsid w:val="00B63156"/>
    <w:rsid w:val="00B6325C"/>
    <w:rsid w:val="00B63616"/>
    <w:rsid w:val="00B6372E"/>
    <w:rsid w:val="00B6373E"/>
    <w:rsid w:val="00B638A2"/>
    <w:rsid w:val="00B63DFF"/>
    <w:rsid w:val="00B63E06"/>
    <w:rsid w:val="00B64189"/>
    <w:rsid w:val="00B64445"/>
    <w:rsid w:val="00B64BF5"/>
    <w:rsid w:val="00B64DAB"/>
    <w:rsid w:val="00B655A6"/>
    <w:rsid w:val="00B65741"/>
    <w:rsid w:val="00B65B4A"/>
    <w:rsid w:val="00B661D3"/>
    <w:rsid w:val="00B6650C"/>
    <w:rsid w:val="00B66C82"/>
    <w:rsid w:val="00B66E59"/>
    <w:rsid w:val="00B66F41"/>
    <w:rsid w:val="00B672B9"/>
    <w:rsid w:val="00B67BAC"/>
    <w:rsid w:val="00B67D23"/>
    <w:rsid w:val="00B70028"/>
    <w:rsid w:val="00B70597"/>
    <w:rsid w:val="00B70955"/>
    <w:rsid w:val="00B70B01"/>
    <w:rsid w:val="00B70F50"/>
    <w:rsid w:val="00B70F92"/>
    <w:rsid w:val="00B7133C"/>
    <w:rsid w:val="00B719D6"/>
    <w:rsid w:val="00B71A85"/>
    <w:rsid w:val="00B71D6A"/>
    <w:rsid w:val="00B725A3"/>
    <w:rsid w:val="00B725FE"/>
    <w:rsid w:val="00B7285A"/>
    <w:rsid w:val="00B72CD0"/>
    <w:rsid w:val="00B72F4A"/>
    <w:rsid w:val="00B73A3E"/>
    <w:rsid w:val="00B7459E"/>
    <w:rsid w:val="00B748F7"/>
    <w:rsid w:val="00B74962"/>
    <w:rsid w:val="00B74FC0"/>
    <w:rsid w:val="00B75185"/>
    <w:rsid w:val="00B75AEC"/>
    <w:rsid w:val="00B75B11"/>
    <w:rsid w:val="00B764ED"/>
    <w:rsid w:val="00B7681C"/>
    <w:rsid w:val="00B76AC4"/>
    <w:rsid w:val="00B76EEB"/>
    <w:rsid w:val="00B770C9"/>
    <w:rsid w:val="00B77A1A"/>
    <w:rsid w:val="00B77B86"/>
    <w:rsid w:val="00B80120"/>
    <w:rsid w:val="00B801BB"/>
    <w:rsid w:val="00B80D48"/>
    <w:rsid w:val="00B80E08"/>
    <w:rsid w:val="00B81371"/>
    <w:rsid w:val="00B8148A"/>
    <w:rsid w:val="00B81824"/>
    <w:rsid w:val="00B81948"/>
    <w:rsid w:val="00B8198D"/>
    <w:rsid w:val="00B81C37"/>
    <w:rsid w:val="00B826E7"/>
    <w:rsid w:val="00B82920"/>
    <w:rsid w:val="00B82E0A"/>
    <w:rsid w:val="00B82ECB"/>
    <w:rsid w:val="00B83419"/>
    <w:rsid w:val="00B837F2"/>
    <w:rsid w:val="00B8385A"/>
    <w:rsid w:val="00B83C27"/>
    <w:rsid w:val="00B84101"/>
    <w:rsid w:val="00B8419E"/>
    <w:rsid w:val="00B841F7"/>
    <w:rsid w:val="00B8459A"/>
    <w:rsid w:val="00B84BC3"/>
    <w:rsid w:val="00B84BDD"/>
    <w:rsid w:val="00B86544"/>
    <w:rsid w:val="00B86824"/>
    <w:rsid w:val="00B8686D"/>
    <w:rsid w:val="00B871B1"/>
    <w:rsid w:val="00B875A1"/>
    <w:rsid w:val="00B87846"/>
    <w:rsid w:val="00B87A3A"/>
    <w:rsid w:val="00B87B70"/>
    <w:rsid w:val="00B87BA9"/>
    <w:rsid w:val="00B900DB"/>
    <w:rsid w:val="00B90607"/>
    <w:rsid w:val="00B90EC3"/>
    <w:rsid w:val="00B92812"/>
    <w:rsid w:val="00B92C54"/>
    <w:rsid w:val="00B92CA2"/>
    <w:rsid w:val="00B93098"/>
    <w:rsid w:val="00B9312F"/>
    <w:rsid w:val="00B935B4"/>
    <w:rsid w:val="00B93867"/>
    <w:rsid w:val="00B939FB"/>
    <w:rsid w:val="00B9402F"/>
    <w:rsid w:val="00B94169"/>
    <w:rsid w:val="00B943D4"/>
    <w:rsid w:val="00B94ABF"/>
    <w:rsid w:val="00B94CC5"/>
    <w:rsid w:val="00B9529F"/>
    <w:rsid w:val="00B95487"/>
    <w:rsid w:val="00B95A1A"/>
    <w:rsid w:val="00B97406"/>
    <w:rsid w:val="00B97FA5"/>
    <w:rsid w:val="00BA049E"/>
    <w:rsid w:val="00BA0995"/>
    <w:rsid w:val="00BA10EC"/>
    <w:rsid w:val="00BA14E6"/>
    <w:rsid w:val="00BA15AC"/>
    <w:rsid w:val="00BA1FC1"/>
    <w:rsid w:val="00BA20A3"/>
    <w:rsid w:val="00BA2D9A"/>
    <w:rsid w:val="00BA3396"/>
    <w:rsid w:val="00BA3550"/>
    <w:rsid w:val="00BA4956"/>
    <w:rsid w:val="00BA4A1C"/>
    <w:rsid w:val="00BA4C61"/>
    <w:rsid w:val="00BA5062"/>
    <w:rsid w:val="00BA52A8"/>
    <w:rsid w:val="00BA59EF"/>
    <w:rsid w:val="00BA6B00"/>
    <w:rsid w:val="00BA7A13"/>
    <w:rsid w:val="00BA7E15"/>
    <w:rsid w:val="00BB0108"/>
    <w:rsid w:val="00BB017E"/>
    <w:rsid w:val="00BB0632"/>
    <w:rsid w:val="00BB0710"/>
    <w:rsid w:val="00BB0B54"/>
    <w:rsid w:val="00BB0F7E"/>
    <w:rsid w:val="00BB1674"/>
    <w:rsid w:val="00BB19CB"/>
    <w:rsid w:val="00BB2097"/>
    <w:rsid w:val="00BB27DF"/>
    <w:rsid w:val="00BB3212"/>
    <w:rsid w:val="00BB3BC6"/>
    <w:rsid w:val="00BB403E"/>
    <w:rsid w:val="00BB4184"/>
    <w:rsid w:val="00BB45A1"/>
    <w:rsid w:val="00BB4BDC"/>
    <w:rsid w:val="00BB4ECB"/>
    <w:rsid w:val="00BB4FE4"/>
    <w:rsid w:val="00BB543A"/>
    <w:rsid w:val="00BB6B47"/>
    <w:rsid w:val="00BB6C40"/>
    <w:rsid w:val="00BB6F5E"/>
    <w:rsid w:val="00BB6FEC"/>
    <w:rsid w:val="00BB7417"/>
    <w:rsid w:val="00BB7636"/>
    <w:rsid w:val="00BB7686"/>
    <w:rsid w:val="00BB7802"/>
    <w:rsid w:val="00BB7BD4"/>
    <w:rsid w:val="00BC04E3"/>
    <w:rsid w:val="00BC0D4A"/>
    <w:rsid w:val="00BC15F9"/>
    <w:rsid w:val="00BC23F9"/>
    <w:rsid w:val="00BC2738"/>
    <w:rsid w:val="00BC2CA4"/>
    <w:rsid w:val="00BC2DC3"/>
    <w:rsid w:val="00BC32A9"/>
    <w:rsid w:val="00BC3318"/>
    <w:rsid w:val="00BC3421"/>
    <w:rsid w:val="00BC3456"/>
    <w:rsid w:val="00BC34F5"/>
    <w:rsid w:val="00BC434F"/>
    <w:rsid w:val="00BC4A2F"/>
    <w:rsid w:val="00BC4D11"/>
    <w:rsid w:val="00BC5A0C"/>
    <w:rsid w:val="00BC621F"/>
    <w:rsid w:val="00BC732C"/>
    <w:rsid w:val="00BC795C"/>
    <w:rsid w:val="00BC7A25"/>
    <w:rsid w:val="00BC7D12"/>
    <w:rsid w:val="00BC7E83"/>
    <w:rsid w:val="00BD09B3"/>
    <w:rsid w:val="00BD09EA"/>
    <w:rsid w:val="00BD09F6"/>
    <w:rsid w:val="00BD0C2E"/>
    <w:rsid w:val="00BD1562"/>
    <w:rsid w:val="00BD1A10"/>
    <w:rsid w:val="00BD279C"/>
    <w:rsid w:val="00BD2FCF"/>
    <w:rsid w:val="00BD34E5"/>
    <w:rsid w:val="00BD3732"/>
    <w:rsid w:val="00BD3B0D"/>
    <w:rsid w:val="00BD3BC8"/>
    <w:rsid w:val="00BD3C30"/>
    <w:rsid w:val="00BD4421"/>
    <w:rsid w:val="00BD46AD"/>
    <w:rsid w:val="00BD5436"/>
    <w:rsid w:val="00BD55EE"/>
    <w:rsid w:val="00BD5FE4"/>
    <w:rsid w:val="00BD66B9"/>
    <w:rsid w:val="00BD69F7"/>
    <w:rsid w:val="00BD6D4B"/>
    <w:rsid w:val="00BD7265"/>
    <w:rsid w:val="00BD760A"/>
    <w:rsid w:val="00BD78EB"/>
    <w:rsid w:val="00BE060E"/>
    <w:rsid w:val="00BE0B79"/>
    <w:rsid w:val="00BE0C31"/>
    <w:rsid w:val="00BE1809"/>
    <w:rsid w:val="00BE1F29"/>
    <w:rsid w:val="00BE2235"/>
    <w:rsid w:val="00BE2580"/>
    <w:rsid w:val="00BE266D"/>
    <w:rsid w:val="00BE312D"/>
    <w:rsid w:val="00BE36C4"/>
    <w:rsid w:val="00BE379D"/>
    <w:rsid w:val="00BE3938"/>
    <w:rsid w:val="00BE4910"/>
    <w:rsid w:val="00BE4C11"/>
    <w:rsid w:val="00BE5177"/>
    <w:rsid w:val="00BE589F"/>
    <w:rsid w:val="00BE5921"/>
    <w:rsid w:val="00BE59CD"/>
    <w:rsid w:val="00BE71C0"/>
    <w:rsid w:val="00BE7400"/>
    <w:rsid w:val="00BE750F"/>
    <w:rsid w:val="00BE77E3"/>
    <w:rsid w:val="00BE794A"/>
    <w:rsid w:val="00BE7999"/>
    <w:rsid w:val="00BE7AB4"/>
    <w:rsid w:val="00BE7D4B"/>
    <w:rsid w:val="00BE7DDF"/>
    <w:rsid w:val="00BF16A7"/>
    <w:rsid w:val="00BF1B58"/>
    <w:rsid w:val="00BF1CFD"/>
    <w:rsid w:val="00BF1E7A"/>
    <w:rsid w:val="00BF28C1"/>
    <w:rsid w:val="00BF2F54"/>
    <w:rsid w:val="00BF316A"/>
    <w:rsid w:val="00BF402E"/>
    <w:rsid w:val="00BF52B2"/>
    <w:rsid w:val="00BF5DC6"/>
    <w:rsid w:val="00BF610C"/>
    <w:rsid w:val="00BF6C83"/>
    <w:rsid w:val="00BF7AF9"/>
    <w:rsid w:val="00BF7F56"/>
    <w:rsid w:val="00C0060B"/>
    <w:rsid w:val="00C00825"/>
    <w:rsid w:val="00C00DB8"/>
    <w:rsid w:val="00C00EB1"/>
    <w:rsid w:val="00C01134"/>
    <w:rsid w:val="00C01A6C"/>
    <w:rsid w:val="00C0218A"/>
    <w:rsid w:val="00C022F2"/>
    <w:rsid w:val="00C0259D"/>
    <w:rsid w:val="00C025EE"/>
    <w:rsid w:val="00C0277D"/>
    <w:rsid w:val="00C029C9"/>
    <w:rsid w:val="00C02C3F"/>
    <w:rsid w:val="00C02F26"/>
    <w:rsid w:val="00C02F3E"/>
    <w:rsid w:val="00C031AB"/>
    <w:rsid w:val="00C03856"/>
    <w:rsid w:val="00C03C6A"/>
    <w:rsid w:val="00C04156"/>
    <w:rsid w:val="00C04433"/>
    <w:rsid w:val="00C046EF"/>
    <w:rsid w:val="00C04C8B"/>
    <w:rsid w:val="00C05346"/>
    <w:rsid w:val="00C053A1"/>
    <w:rsid w:val="00C0563B"/>
    <w:rsid w:val="00C0566F"/>
    <w:rsid w:val="00C0567C"/>
    <w:rsid w:val="00C05A57"/>
    <w:rsid w:val="00C061F8"/>
    <w:rsid w:val="00C06431"/>
    <w:rsid w:val="00C064E7"/>
    <w:rsid w:val="00C0691C"/>
    <w:rsid w:val="00C06B76"/>
    <w:rsid w:val="00C07102"/>
    <w:rsid w:val="00C078BE"/>
    <w:rsid w:val="00C07989"/>
    <w:rsid w:val="00C07B0E"/>
    <w:rsid w:val="00C07DD8"/>
    <w:rsid w:val="00C10492"/>
    <w:rsid w:val="00C108EA"/>
    <w:rsid w:val="00C10CE7"/>
    <w:rsid w:val="00C10DC2"/>
    <w:rsid w:val="00C10F95"/>
    <w:rsid w:val="00C11A5C"/>
    <w:rsid w:val="00C11B1F"/>
    <w:rsid w:val="00C11C58"/>
    <w:rsid w:val="00C11CA7"/>
    <w:rsid w:val="00C11D46"/>
    <w:rsid w:val="00C12715"/>
    <w:rsid w:val="00C131C3"/>
    <w:rsid w:val="00C13557"/>
    <w:rsid w:val="00C1390F"/>
    <w:rsid w:val="00C13A05"/>
    <w:rsid w:val="00C13B1D"/>
    <w:rsid w:val="00C13CB2"/>
    <w:rsid w:val="00C14319"/>
    <w:rsid w:val="00C152F5"/>
    <w:rsid w:val="00C156D2"/>
    <w:rsid w:val="00C1596B"/>
    <w:rsid w:val="00C15F55"/>
    <w:rsid w:val="00C16035"/>
    <w:rsid w:val="00C16198"/>
    <w:rsid w:val="00C16C43"/>
    <w:rsid w:val="00C16FE8"/>
    <w:rsid w:val="00C172B5"/>
    <w:rsid w:val="00C1755B"/>
    <w:rsid w:val="00C17623"/>
    <w:rsid w:val="00C17A4A"/>
    <w:rsid w:val="00C17B0B"/>
    <w:rsid w:val="00C17CFB"/>
    <w:rsid w:val="00C20037"/>
    <w:rsid w:val="00C20834"/>
    <w:rsid w:val="00C2083D"/>
    <w:rsid w:val="00C21578"/>
    <w:rsid w:val="00C2176E"/>
    <w:rsid w:val="00C21C2F"/>
    <w:rsid w:val="00C22414"/>
    <w:rsid w:val="00C2255A"/>
    <w:rsid w:val="00C22AB7"/>
    <w:rsid w:val="00C22B15"/>
    <w:rsid w:val="00C22F8E"/>
    <w:rsid w:val="00C235A3"/>
    <w:rsid w:val="00C23819"/>
    <w:rsid w:val="00C23903"/>
    <w:rsid w:val="00C23E5E"/>
    <w:rsid w:val="00C24A53"/>
    <w:rsid w:val="00C25874"/>
    <w:rsid w:val="00C2619C"/>
    <w:rsid w:val="00C262AC"/>
    <w:rsid w:val="00C26B35"/>
    <w:rsid w:val="00C274E4"/>
    <w:rsid w:val="00C309A1"/>
    <w:rsid w:val="00C30FD1"/>
    <w:rsid w:val="00C313DF"/>
    <w:rsid w:val="00C31BB9"/>
    <w:rsid w:val="00C321BB"/>
    <w:rsid w:val="00C323A5"/>
    <w:rsid w:val="00C3302A"/>
    <w:rsid w:val="00C330D7"/>
    <w:rsid w:val="00C338A2"/>
    <w:rsid w:val="00C339C8"/>
    <w:rsid w:val="00C33E6F"/>
    <w:rsid w:val="00C33F56"/>
    <w:rsid w:val="00C34281"/>
    <w:rsid w:val="00C342D6"/>
    <w:rsid w:val="00C34A05"/>
    <w:rsid w:val="00C35860"/>
    <w:rsid w:val="00C35B16"/>
    <w:rsid w:val="00C35CCE"/>
    <w:rsid w:val="00C36216"/>
    <w:rsid w:val="00C36BB1"/>
    <w:rsid w:val="00C37F02"/>
    <w:rsid w:val="00C401AF"/>
    <w:rsid w:val="00C4032F"/>
    <w:rsid w:val="00C404CA"/>
    <w:rsid w:val="00C40EC7"/>
    <w:rsid w:val="00C4109B"/>
    <w:rsid w:val="00C41496"/>
    <w:rsid w:val="00C41A46"/>
    <w:rsid w:val="00C41D93"/>
    <w:rsid w:val="00C42EEE"/>
    <w:rsid w:val="00C43303"/>
    <w:rsid w:val="00C4356E"/>
    <w:rsid w:val="00C43AAB"/>
    <w:rsid w:val="00C43EF2"/>
    <w:rsid w:val="00C44047"/>
    <w:rsid w:val="00C44DE3"/>
    <w:rsid w:val="00C44E45"/>
    <w:rsid w:val="00C44F65"/>
    <w:rsid w:val="00C45155"/>
    <w:rsid w:val="00C45937"/>
    <w:rsid w:val="00C45ADC"/>
    <w:rsid w:val="00C45CCE"/>
    <w:rsid w:val="00C45E74"/>
    <w:rsid w:val="00C464BD"/>
    <w:rsid w:val="00C46894"/>
    <w:rsid w:val="00C46975"/>
    <w:rsid w:val="00C4704E"/>
    <w:rsid w:val="00C470F5"/>
    <w:rsid w:val="00C470FF"/>
    <w:rsid w:val="00C47969"/>
    <w:rsid w:val="00C47DEC"/>
    <w:rsid w:val="00C47FF2"/>
    <w:rsid w:val="00C50034"/>
    <w:rsid w:val="00C50D1E"/>
    <w:rsid w:val="00C50E5C"/>
    <w:rsid w:val="00C51256"/>
    <w:rsid w:val="00C513BA"/>
    <w:rsid w:val="00C5170A"/>
    <w:rsid w:val="00C51AD0"/>
    <w:rsid w:val="00C51DA0"/>
    <w:rsid w:val="00C5224E"/>
    <w:rsid w:val="00C52469"/>
    <w:rsid w:val="00C52B50"/>
    <w:rsid w:val="00C53369"/>
    <w:rsid w:val="00C53575"/>
    <w:rsid w:val="00C535DC"/>
    <w:rsid w:val="00C535F5"/>
    <w:rsid w:val="00C537F7"/>
    <w:rsid w:val="00C53844"/>
    <w:rsid w:val="00C54243"/>
    <w:rsid w:val="00C5498F"/>
    <w:rsid w:val="00C551C8"/>
    <w:rsid w:val="00C55235"/>
    <w:rsid w:val="00C55487"/>
    <w:rsid w:val="00C56662"/>
    <w:rsid w:val="00C5692C"/>
    <w:rsid w:val="00C57068"/>
    <w:rsid w:val="00C57345"/>
    <w:rsid w:val="00C57381"/>
    <w:rsid w:val="00C57B31"/>
    <w:rsid w:val="00C57C10"/>
    <w:rsid w:val="00C60B7B"/>
    <w:rsid w:val="00C611C6"/>
    <w:rsid w:val="00C61569"/>
    <w:rsid w:val="00C616F8"/>
    <w:rsid w:val="00C61C2A"/>
    <w:rsid w:val="00C61C2C"/>
    <w:rsid w:val="00C61E64"/>
    <w:rsid w:val="00C621CE"/>
    <w:rsid w:val="00C62D68"/>
    <w:rsid w:val="00C63DD2"/>
    <w:rsid w:val="00C648CE"/>
    <w:rsid w:val="00C64CD0"/>
    <w:rsid w:val="00C64E18"/>
    <w:rsid w:val="00C64E37"/>
    <w:rsid w:val="00C64EDF"/>
    <w:rsid w:val="00C6523E"/>
    <w:rsid w:val="00C65BEF"/>
    <w:rsid w:val="00C65C37"/>
    <w:rsid w:val="00C65F61"/>
    <w:rsid w:val="00C6684F"/>
    <w:rsid w:val="00C668CD"/>
    <w:rsid w:val="00C669E9"/>
    <w:rsid w:val="00C66C75"/>
    <w:rsid w:val="00C67365"/>
    <w:rsid w:val="00C701DA"/>
    <w:rsid w:val="00C70CEC"/>
    <w:rsid w:val="00C70E70"/>
    <w:rsid w:val="00C719F2"/>
    <w:rsid w:val="00C728FA"/>
    <w:rsid w:val="00C72983"/>
    <w:rsid w:val="00C73A8A"/>
    <w:rsid w:val="00C73D19"/>
    <w:rsid w:val="00C73F45"/>
    <w:rsid w:val="00C745B0"/>
    <w:rsid w:val="00C74847"/>
    <w:rsid w:val="00C74F28"/>
    <w:rsid w:val="00C751FD"/>
    <w:rsid w:val="00C75369"/>
    <w:rsid w:val="00C75F8D"/>
    <w:rsid w:val="00C76058"/>
    <w:rsid w:val="00C76820"/>
    <w:rsid w:val="00C76F0C"/>
    <w:rsid w:val="00C772D9"/>
    <w:rsid w:val="00C77380"/>
    <w:rsid w:val="00C77449"/>
    <w:rsid w:val="00C77571"/>
    <w:rsid w:val="00C776CC"/>
    <w:rsid w:val="00C77785"/>
    <w:rsid w:val="00C7778C"/>
    <w:rsid w:val="00C8093C"/>
    <w:rsid w:val="00C811F4"/>
    <w:rsid w:val="00C820DE"/>
    <w:rsid w:val="00C8219B"/>
    <w:rsid w:val="00C83186"/>
    <w:rsid w:val="00C83273"/>
    <w:rsid w:val="00C83D30"/>
    <w:rsid w:val="00C84321"/>
    <w:rsid w:val="00C845F6"/>
    <w:rsid w:val="00C8469A"/>
    <w:rsid w:val="00C8478B"/>
    <w:rsid w:val="00C84D94"/>
    <w:rsid w:val="00C852E9"/>
    <w:rsid w:val="00C858EF"/>
    <w:rsid w:val="00C866DB"/>
    <w:rsid w:val="00C866FA"/>
    <w:rsid w:val="00C86B8F"/>
    <w:rsid w:val="00C87224"/>
    <w:rsid w:val="00C8771E"/>
    <w:rsid w:val="00C87E8A"/>
    <w:rsid w:val="00C907FA"/>
    <w:rsid w:val="00C9094B"/>
    <w:rsid w:val="00C9096B"/>
    <w:rsid w:val="00C90A0A"/>
    <w:rsid w:val="00C90CC4"/>
    <w:rsid w:val="00C90ED2"/>
    <w:rsid w:val="00C910DB"/>
    <w:rsid w:val="00C913D6"/>
    <w:rsid w:val="00C91C4E"/>
    <w:rsid w:val="00C91D9D"/>
    <w:rsid w:val="00C92B01"/>
    <w:rsid w:val="00C92C29"/>
    <w:rsid w:val="00C9395B"/>
    <w:rsid w:val="00C944BF"/>
    <w:rsid w:val="00C945F4"/>
    <w:rsid w:val="00C947A3"/>
    <w:rsid w:val="00C94FA5"/>
    <w:rsid w:val="00C952B9"/>
    <w:rsid w:val="00C9536F"/>
    <w:rsid w:val="00C95665"/>
    <w:rsid w:val="00C95CFC"/>
    <w:rsid w:val="00C962B7"/>
    <w:rsid w:val="00C96AA5"/>
    <w:rsid w:val="00C96CDB"/>
    <w:rsid w:val="00C97736"/>
    <w:rsid w:val="00CA0560"/>
    <w:rsid w:val="00CA0610"/>
    <w:rsid w:val="00CA0F7D"/>
    <w:rsid w:val="00CA10C1"/>
    <w:rsid w:val="00CA1A27"/>
    <w:rsid w:val="00CA1F51"/>
    <w:rsid w:val="00CA2047"/>
    <w:rsid w:val="00CA222F"/>
    <w:rsid w:val="00CA2787"/>
    <w:rsid w:val="00CA27D8"/>
    <w:rsid w:val="00CA2829"/>
    <w:rsid w:val="00CA28DB"/>
    <w:rsid w:val="00CA29DE"/>
    <w:rsid w:val="00CA3257"/>
    <w:rsid w:val="00CA345A"/>
    <w:rsid w:val="00CA3617"/>
    <w:rsid w:val="00CA40D7"/>
    <w:rsid w:val="00CA4838"/>
    <w:rsid w:val="00CA4D06"/>
    <w:rsid w:val="00CA518D"/>
    <w:rsid w:val="00CA5566"/>
    <w:rsid w:val="00CA5B22"/>
    <w:rsid w:val="00CA5CAD"/>
    <w:rsid w:val="00CA616C"/>
    <w:rsid w:val="00CA62F3"/>
    <w:rsid w:val="00CA6440"/>
    <w:rsid w:val="00CA6460"/>
    <w:rsid w:val="00CA6560"/>
    <w:rsid w:val="00CA65AE"/>
    <w:rsid w:val="00CA6638"/>
    <w:rsid w:val="00CA66E7"/>
    <w:rsid w:val="00CA6E46"/>
    <w:rsid w:val="00CB01F4"/>
    <w:rsid w:val="00CB095B"/>
    <w:rsid w:val="00CB16DC"/>
    <w:rsid w:val="00CB1707"/>
    <w:rsid w:val="00CB1770"/>
    <w:rsid w:val="00CB180E"/>
    <w:rsid w:val="00CB18FB"/>
    <w:rsid w:val="00CB1E82"/>
    <w:rsid w:val="00CB20A7"/>
    <w:rsid w:val="00CB2112"/>
    <w:rsid w:val="00CB2127"/>
    <w:rsid w:val="00CB219B"/>
    <w:rsid w:val="00CB2922"/>
    <w:rsid w:val="00CB2C35"/>
    <w:rsid w:val="00CB3222"/>
    <w:rsid w:val="00CB3396"/>
    <w:rsid w:val="00CB33EB"/>
    <w:rsid w:val="00CB3C69"/>
    <w:rsid w:val="00CB40AB"/>
    <w:rsid w:val="00CB40E9"/>
    <w:rsid w:val="00CB4505"/>
    <w:rsid w:val="00CB4540"/>
    <w:rsid w:val="00CB45F7"/>
    <w:rsid w:val="00CB4BA8"/>
    <w:rsid w:val="00CB52D7"/>
    <w:rsid w:val="00CB59CA"/>
    <w:rsid w:val="00CB5B4D"/>
    <w:rsid w:val="00CB6B1C"/>
    <w:rsid w:val="00CB7554"/>
    <w:rsid w:val="00CB774F"/>
    <w:rsid w:val="00CC0289"/>
    <w:rsid w:val="00CC0661"/>
    <w:rsid w:val="00CC0BE9"/>
    <w:rsid w:val="00CC0C16"/>
    <w:rsid w:val="00CC0C43"/>
    <w:rsid w:val="00CC0D42"/>
    <w:rsid w:val="00CC0D7D"/>
    <w:rsid w:val="00CC1143"/>
    <w:rsid w:val="00CC23B5"/>
    <w:rsid w:val="00CC2808"/>
    <w:rsid w:val="00CC42BE"/>
    <w:rsid w:val="00CC4317"/>
    <w:rsid w:val="00CC4646"/>
    <w:rsid w:val="00CC48D6"/>
    <w:rsid w:val="00CC4B0F"/>
    <w:rsid w:val="00CC4D77"/>
    <w:rsid w:val="00CC4FF1"/>
    <w:rsid w:val="00CC5CDB"/>
    <w:rsid w:val="00CC6732"/>
    <w:rsid w:val="00CC6872"/>
    <w:rsid w:val="00CC6E26"/>
    <w:rsid w:val="00CC7A0B"/>
    <w:rsid w:val="00CC7D1D"/>
    <w:rsid w:val="00CD0340"/>
    <w:rsid w:val="00CD0EC4"/>
    <w:rsid w:val="00CD14EE"/>
    <w:rsid w:val="00CD2207"/>
    <w:rsid w:val="00CD2215"/>
    <w:rsid w:val="00CD224B"/>
    <w:rsid w:val="00CD24A1"/>
    <w:rsid w:val="00CD253D"/>
    <w:rsid w:val="00CD306D"/>
    <w:rsid w:val="00CD324A"/>
    <w:rsid w:val="00CD3D41"/>
    <w:rsid w:val="00CD3E8F"/>
    <w:rsid w:val="00CD40DF"/>
    <w:rsid w:val="00CD45CC"/>
    <w:rsid w:val="00CD4EE6"/>
    <w:rsid w:val="00CD5806"/>
    <w:rsid w:val="00CD5AEC"/>
    <w:rsid w:val="00CD6630"/>
    <w:rsid w:val="00CD666D"/>
    <w:rsid w:val="00CD6ACF"/>
    <w:rsid w:val="00CD6BE1"/>
    <w:rsid w:val="00CD6DB3"/>
    <w:rsid w:val="00CD75B4"/>
    <w:rsid w:val="00CD78E1"/>
    <w:rsid w:val="00CD78E6"/>
    <w:rsid w:val="00CD7B84"/>
    <w:rsid w:val="00CE0B1F"/>
    <w:rsid w:val="00CE119B"/>
    <w:rsid w:val="00CE143C"/>
    <w:rsid w:val="00CE14A6"/>
    <w:rsid w:val="00CE1541"/>
    <w:rsid w:val="00CE1BE4"/>
    <w:rsid w:val="00CE1E34"/>
    <w:rsid w:val="00CE23DA"/>
    <w:rsid w:val="00CE253E"/>
    <w:rsid w:val="00CE28EF"/>
    <w:rsid w:val="00CE29F9"/>
    <w:rsid w:val="00CE3708"/>
    <w:rsid w:val="00CE37E2"/>
    <w:rsid w:val="00CE3820"/>
    <w:rsid w:val="00CE3942"/>
    <w:rsid w:val="00CE3C96"/>
    <w:rsid w:val="00CE4179"/>
    <w:rsid w:val="00CE4A31"/>
    <w:rsid w:val="00CE4B82"/>
    <w:rsid w:val="00CE51A8"/>
    <w:rsid w:val="00CE56F2"/>
    <w:rsid w:val="00CE5D63"/>
    <w:rsid w:val="00CE620E"/>
    <w:rsid w:val="00CE6322"/>
    <w:rsid w:val="00CE6AC3"/>
    <w:rsid w:val="00CE707C"/>
    <w:rsid w:val="00CE72BD"/>
    <w:rsid w:val="00CE786A"/>
    <w:rsid w:val="00CE7FBE"/>
    <w:rsid w:val="00CF0BDB"/>
    <w:rsid w:val="00CF0D06"/>
    <w:rsid w:val="00CF0FFC"/>
    <w:rsid w:val="00CF175D"/>
    <w:rsid w:val="00CF1DA2"/>
    <w:rsid w:val="00CF303C"/>
    <w:rsid w:val="00CF329A"/>
    <w:rsid w:val="00CF33AE"/>
    <w:rsid w:val="00CF369B"/>
    <w:rsid w:val="00CF5B51"/>
    <w:rsid w:val="00CF6692"/>
    <w:rsid w:val="00CF69ED"/>
    <w:rsid w:val="00CF6BBA"/>
    <w:rsid w:val="00CF6EAB"/>
    <w:rsid w:val="00CF6FFA"/>
    <w:rsid w:val="00CF7371"/>
    <w:rsid w:val="00CF79EE"/>
    <w:rsid w:val="00D00424"/>
    <w:rsid w:val="00D00E28"/>
    <w:rsid w:val="00D00F51"/>
    <w:rsid w:val="00D015A5"/>
    <w:rsid w:val="00D018AA"/>
    <w:rsid w:val="00D01E69"/>
    <w:rsid w:val="00D0200F"/>
    <w:rsid w:val="00D021BF"/>
    <w:rsid w:val="00D0223E"/>
    <w:rsid w:val="00D0269E"/>
    <w:rsid w:val="00D02787"/>
    <w:rsid w:val="00D028CB"/>
    <w:rsid w:val="00D029CD"/>
    <w:rsid w:val="00D02CAE"/>
    <w:rsid w:val="00D030AC"/>
    <w:rsid w:val="00D031D6"/>
    <w:rsid w:val="00D035F0"/>
    <w:rsid w:val="00D04995"/>
    <w:rsid w:val="00D049C4"/>
    <w:rsid w:val="00D04CC7"/>
    <w:rsid w:val="00D054AE"/>
    <w:rsid w:val="00D05CE8"/>
    <w:rsid w:val="00D05D6C"/>
    <w:rsid w:val="00D05F1E"/>
    <w:rsid w:val="00D06F5D"/>
    <w:rsid w:val="00D0713F"/>
    <w:rsid w:val="00D0719A"/>
    <w:rsid w:val="00D07385"/>
    <w:rsid w:val="00D07832"/>
    <w:rsid w:val="00D0783E"/>
    <w:rsid w:val="00D07F25"/>
    <w:rsid w:val="00D10081"/>
    <w:rsid w:val="00D1055B"/>
    <w:rsid w:val="00D106EE"/>
    <w:rsid w:val="00D10BEC"/>
    <w:rsid w:val="00D11066"/>
    <w:rsid w:val="00D11098"/>
    <w:rsid w:val="00D11606"/>
    <w:rsid w:val="00D120CB"/>
    <w:rsid w:val="00D122B0"/>
    <w:rsid w:val="00D12904"/>
    <w:rsid w:val="00D12AFA"/>
    <w:rsid w:val="00D13971"/>
    <w:rsid w:val="00D13BF6"/>
    <w:rsid w:val="00D13C3A"/>
    <w:rsid w:val="00D141A6"/>
    <w:rsid w:val="00D14353"/>
    <w:rsid w:val="00D15810"/>
    <w:rsid w:val="00D15957"/>
    <w:rsid w:val="00D15CC3"/>
    <w:rsid w:val="00D16401"/>
    <w:rsid w:val="00D16452"/>
    <w:rsid w:val="00D167FE"/>
    <w:rsid w:val="00D16D4E"/>
    <w:rsid w:val="00D16FE3"/>
    <w:rsid w:val="00D17A57"/>
    <w:rsid w:val="00D17EF8"/>
    <w:rsid w:val="00D216DD"/>
    <w:rsid w:val="00D21CA5"/>
    <w:rsid w:val="00D2233E"/>
    <w:rsid w:val="00D23117"/>
    <w:rsid w:val="00D23880"/>
    <w:rsid w:val="00D23F88"/>
    <w:rsid w:val="00D242A9"/>
    <w:rsid w:val="00D24654"/>
    <w:rsid w:val="00D24B49"/>
    <w:rsid w:val="00D25366"/>
    <w:rsid w:val="00D25570"/>
    <w:rsid w:val="00D25AC0"/>
    <w:rsid w:val="00D25D04"/>
    <w:rsid w:val="00D26FBA"/>
    <w:rsid w:val="00D27362"/>
    <w:rsid w:val="00D2743E"/>
    <w:rsid w:val="00D27D1D"/>
    <w:rsid w:val="00D27F41"/>
    <w:rsid w:val="00D300B1"/>
    <w:rsid w:val="00D30C43"/>
    <w:rsid w:val="00D30CEA"/>
    <w:rsid w:val="00D30D76"/>
    <w:rsid w:val="00D328DC"/>
    <w:rsid w:val="00D33353"/>
    <w:rsid w:val="00D33508"/>
    <w:rsid w:val="00D3406C"/>
    <w:rsid w:val="00D341B7"/>
    <w:rsid w:val="00D34C3C"/>
    <w:rsid w:val="00D34E67"/>
    <w:rsid w:val="00D3508D"/>
    <w:rsid w:val="00D3543D"/>
    <w:rsid w:val="00D35BB5"/>
    <w:rsid w:val="00D36441"/>
    <w:rsid w:val="00D366B2"/>
    <w:rsid w:val="00D36F87"/>
    <w:rsid w:val="00D37D47"/>
    <w:rsid w:val="00D4019B"/>
    <w:rsid w:val="00D401C9"/>
    <w:rsid w:val="00D4064E"/>
    <w:rsid w:val="00D40976"/>
    <w:rsid w:val="00D40FC1"/>
    <w:rsid w:val="00D41EF3"/>
    <w:rsid w:val="00D4331C"/>
    <w:rsid w:val="00D435AE"/>
    <w:rsid w:val="00D436A2"/>
    <w:rsid w:val="00D44DBC"/>
    <w:rsid w:val="00D44E9B"/>
    <w:rsid w:val="00D44F40"/>
    <w:rsid w:val="00D45876"/>
    <w:rsid w:val="00D45C99"/>
    <w:rsid w:val="00D465D9"/>
    <w:rsid w:val="00D47116"/>
    <w:rsid w:val="00D47164"/>
    <w:rsid w:val="00D4731A"/>
    <w:rsid w:val="00D475A4"/>
    <w:rsid w:val="00D47643"/>
    <w:rsid w:val="00D47AEB"/>
    <w:rsid w:val="00D502B8"/>
    <w:rsid w:val="00D5053C"/>
    <w:rsid w:val="00D50C7C"/>
    <w:rsid w:val="00D50DB9"/>
    <w:rsid w:val="00D50E72"/>
    <w:rsid w:val="00D5126C"/>
    <w:rsid w:val="00D51302"/>
    <w:rsid w:val="00D525FA"/>
    <w:rsid w:val="00D52C43"/>
    <w:rsid w:val="00D52D3D"/>
    <w:rsid w:val="00D5310A"/>
    <w:rsid w:val="00D53421"/>
    <w:rsid w:val="00D53C79"/>
    <w:rsid w:val="00D53D2D"/>
    <w:rsid w:val="00D545F6"/>
    <w:rsid w:val="00D54AB1"/>
    <w:rsid w:val="00D54C72"/>
    <w:rsid w:val="00D552CF"/>
    <w:rsid w:val="00D55322"/>
    <w:rsid w:val="00D5599B"/>
    <w:rsid w:val="00D5625D"/>
    <w:rsid w:val="00D5647A"/>
    <w:rsid w:val="00D56A47"/>
    <w:rsid w:val="00D56F0E"/>
    <w:rsid w:val="00D5702D"/>
    <w:rsid w:val="00D57527"/>
    <w:rsid w:val="00D57A1E"/>
    <w:rsid w:val="00D57A2E"/>
    <w:rsid w:val="00D6008B"/>
    <w:rsid w:val="00D60143"/>
    <w:rsid w:val="00D60906"/>
    <w:rsid w:val="00D60A77"/>
    <w:rsid w:val="00D61243"/>
    <w:rsid w:val="00D6130A"/>
    <w:rsid w:val="00D61CC1"/>
    <w:rsid w:val="00D62412"/>
    <w:rsid w:val="00D624F6"/>
    <w:rsid w:val="00D6268D"/>
    <w:rsid w:val="00D628A1"/>
    <w:rsid w:val="00D62D26"/>
    <w:rsid w:val="00D644E8"/>
    <w:rsid w:val="00D645DD"/>
    <w:rsid w:val="00D646E7"/>
    <w:rsid w:val="00D6480F"/>
    <w:rsid w:val="00D64A61"/>
    <w:rsid w:val="00D64A85"/>
    <w:rsid w:val="00D64C13"/>
    <w:rsid w:val="00D6507F"/>
    <w:rsid w:val="00D650EF"/>
    <w:rsid w:val="00D6535C"/>
    <w:rsid w:val="00D660D6"/>
    <w:rsid w:val="00D665A2"/>
    <w:rsid w:val="00D66C5A"/>
    <w:rsid w:val="00D6729A"/>
    <w:rsid w:val="00D672E2"/>
    <w:rsid w:val="00D67530"/>
    <w:rsid w:val="00D6792C"/>
    <w:rsid w:val="00D707E2"/>
    <w:rsid w:val="00D70F9D"/>
    <w:rsid w:val="00D711B5"/>
    <w:rsid w:val="00D71A5C"/>
    <w:rsid w:val="00D7291C"/>
    <w:rsid w:val="00D72D78"/>
    <w:rsid w:val="00D730BC"/>
    <w:rsid w:val="00D73174"/>
    <w:rsid w:val="00D73830"/>
    <w:rsid w:val="00D73912"/>
    <w:rsid w:val="00D74720"/>
    <w:rsid w:val="00D7479F"/>
    <w:rsid w:val="00D74D7E"/>
    <w:rsid w:val="00D74DB5"/>
    <w:rsid w:val="00D74E39"/>
    <w:rsid w:val="00D75D09"/>
    <w:rsid w:val="00D76327"/>
    <w:rsid w:val="00D76B02"/>
    <w:rsid w:val="00D774F6"/>
    <w:rsid w:val="00D777C3"/>
    <w:rsid w:val="00D77B50"/>
    <w:rsid w:val="00D80353"/>
    <w:rsid w:val="00D80898"/>
    <w:rsid w:val="00D80DB2"/>
    <w:rsid w:val="00D81137"/>
    <w:rsid w:val="00D81168"/>
    <w:rsid w:val="00D81627"/>
    <w:rsid w:val="00D818B5"/>
    <w:rsid w:val="00D81961"/>
    <w:rsid w:val="00D82855"/>
    <w:rsid w:val="00D82C63"/>
    <w:rsid w:val="00D83109"/>
    <w:rsid w:val="00D83C9A"/>
    <w:rsid w:val="00D845E6"/>
    <w:rsid w:val="00D84725"/>
    <w:rsid w:val="00D84884"/>
    <w:rsid w:val="00D848D0"/>
    <w:rsid w:val="00D84A94"/>
    <w:rsid w:val="00D84B2C"/>
    <w:rsid w:val="00D85226"/>
    <w:rsid w:val="00D8540E"/>
    <w:rsid w:val="00D8547D"/>
    <w:rsid w:val="00D85630"/>
    <w:rsid w:val="00D85635"/>
    <w:rsid w:val="00D8566E"/>
    <w:rsid w:val="00D85739"/>
    <w:rsid w:val="00D8597F"/>
    <w:rsid w:val="00D85A31"/>
    <w:rsid w:val="00D86C23"/>
    <w:rsid w:val="00D87325"/>
    <w:rsid w:val="00D87730"/>
    <w:rsid w:val="00D87782"/>
    <w:rsid w:val="00D87816"/>
    <w:rsid w:val="00D87B94"/>
    <w:rsid w:val="00D87FFD"/>
    <w:rsid w:val="00D9007E"/>
    <w:rsid w:val="00D90116"/>
    <w:rsid w:val="00D90AB2"/>
    <w:rsid w:val="00D90AE7"/>
    <w:rsid w:val="00D90C26"/>
    <w:rsid w:val="00D9168E"/>
    <w:rsid w:val="00D9197A"/>
    <w:rsid w:val="00D919E4"/>
    <w:rsid w:val="00D91A9D"/>
    <w:rsid w:val="00D91CF8"/>
    <w:rsid w:val="00D92373"/>
    <w:rsid w:val="00D92D49"/>
    <w:rsid w:val="00D92EC1"/>
    <w:rsid w:val="00D93024"/>
    <w:rsid w:val="00D93080"/>
    <w:rsid w:val="00D933A4"/>
    <w:rsid w:val="00D93794"/>
    <w:rsid w:val="00D9444F"/>
    <w:rsid w:val="00D94BF8"/>
    <w:rsid w:val="00D95196"/>
    <w:rsid w:val="00D95B5F"/>
    <w:rsid w:val="00D95BA5"/>
    <w:rsid w:val="00D95FDC"/>
    <w:rsid w:val="00D9642B"/>
    <w:rsid w:val="00D967BB"/>
    <w:rsid w:val="00D96BA7"/>
    <w:rsid w:val="00D96BD6"/>
    <w:rsid w:val="00D96D67"/>
    <w:rsid w:val="00D96DEA"/>
    <w:rsid w:val="00D96E43"/>
    <w:rsid w:val="00D970A3"/>
    <w:rsid w:val="00D97725"/>
    <w:rsid w:val="00D97A05"/>
    <w:rsid w:val="00D97B46"/>
    <w:rsid w:val="00D97BCA"/>
    <w:rsid w:val="00D97C04"/>
    <w:rsid w:val="00D97CE3"/>
    <w:rsid w:val="00DA018E"/>
    <w:rsid w:val="00DA0226"/>
    <w:rsid w:val="00DA0349"/>
    <w:rsid w:val="00DA04A3"/>
    <w:rsid w:val="00DA0641"/>
    <w:rsid w:val="00DA0AB9"/>
    <w:rsid w:val="00DA0BD2"/>
    <w:rsid w:val="00DA0FF9"/>
    <w:rsid w:val="00DA1438"/>
    <w:rsid w:val="00DA14E2"/>
    <w:rsid w:val="00DA1B74"/>
    <w:rsid w:val="00DA1C23"/>
    <w:rsid w:val="00DA236D"/>
    <w:rsid w:val="00DA2994"/>
    <w:rsid w:val="00DA3132"/>
    <w:rsid w:val="00DA3510"/>
    <w:rsid w:val="00DA38D6"/>
    <w:rsid w:val="00DA3FA8"/>
    <w:rsid w:val="00DA49A4"/>
    <w:rsid w:val="00DA4E41"/>
    <w:rsid w:val="00DA4E8D"/>
    <w:rsid w:val="00DA4F1F"/>
    <w:rsid w:val="00DA547E"/>
    <w:rsid w:val="00DA67B7"/>
    <w:rsid w:val="00DA6D3F"/>
    <w:rsid w:val="00DA6F09"/>
    <w:rsid w:val="00DA6FCD"/>
    <w:rsid w:val="00DA733C"/>
    <w:rsid w:val="00DA7701"/>
    <w:rsid w:val="00DA7975"/>
    <w:rsid w:val="00DB003A"/>
    <w:rsid w:val="00DB030B"/>
    <w:rsid w:val="00DB03B3"/>
    <w:rsid w:val="00DB03EE"/>
    <w:rsid w:val="00DB0EB3"/>
    <w:rsid w:val="00DB117A"/>
    <w:rsid w:val="00DB11AA"/>
    <w:rsid w:val="00DB136E"/>
    <w:rsid w:val="00DB16B4"/>
    <w:rsid w:val="00DB1988"/>
    <w:rsid w:val="00DB223F"/>
    <w:rsid w:val="00DB339B"/>
    <w:rsid w:val="00DB381C"/>
    <w:rsid w:val="00DB389A"/>
    <w:rsid w:val="00DB38CF"/>
    <w:rsid w:val="00DB3AAE"/>
    <w:rsid w:val="00DB3FDF"/>
    <w:rsid w:val="00DB4773"/>
    <w:rsid w:val="00DB489B"/>
    <w:rsid w:val="00DB4FE5"/>
    <w:rsid w:val="00DB5034"/>
    <w:rsid w:val="00DB5173"/>
    <w:rsid w:val="00DB5720"/>
    <w:rsid w:val="00DB5D95"/>
    <w:rsid w:val="00DB5DBE"/>
    <w:rsid w:val="00DB6133"/>
    <w:rsid w:val="00DB6682"/>
    <w:rsid w:val="00DB7271"/>
    <w:rsid w:val="00DB7873"/>
    <w:rsid w:val="00DB7B28"/>
    <w:rsid w:val="00DB7C59"/>
    <w:rsid w:val="00DB7C63"/>
    <w:rsid w:val="00DC00FC"/>
    <w:rsid w:val="00DC06E0"/>
    <w:rsid w:val="00DC1771"/>
    <w:rsid w:val="00DC187B"/>
    <w:rsid w:val="00DC1A8C"/>
    <w:rsid w:val="00DC1BD2"/>
    <w:rsid w:val="00DC20F4"/>
    <w:rsid w:val="00DC258C"/>
    <w:rsid w:val="00DC2676"/>
    <w:rsid w:val="00DC2AFB"/>
    <w:rsid w:val="00DC314B"/>
    <w:rsid w:val="00DC36EA"/>
    <w:rsid w:val="00DC383D"/>
    <w:rsid w:val="00DC415E"/>
    <w:rsid w:val="00DC45E4"/>
    <w:rsid w:val="00DC4AB0"/>
    <w:rsid w:val="00DC537F"/>
    <w:rsid w:val="00DC5861"/>
    <w:rsid w:val="00DC5A2E"/>
    <w:rsid w:val="00DC600B"/>
    <w:rsid w:val="00DC63DC"/>
    <w:rsid w:val="00DC64F6"/>
    <w:rsid w:val="00DC6BA0"/>
    <w:rsid w:val="00DC77ED"/>
    <w:rsid w:val="00DC7BCD"/>
    <w:rsid w:val="00DD0457"/>
    <w:rsid w:val="00DD08ED"/>
    <w:rsid w:val="00DD09C1"/>
    <w:rsid w:val="00DD1346"/>
    <w:rsid w:val="00DD1375"/>
    <w:rsid w:val="00DD145D"/>
    <w:rsid w:val="00DD1A43"/>
    <w:rsid w:val="00DD1A5B"/>
    <w:rsid w:val="00DD1DD2"/>
    <w:rsid w:val="00DD1ECE"/>
    <w:rsid w:val="00DD2742"/>
    <w:rsid w:val="00DD2950"/>
    <w:rsid w:val="00DD30AC"/>
    <w:rsid w:val="00DD30EB"/>
    <w:rsid w:val="00DD3CEA"/>
    <w:rsid w:val="00DD421E"/>
    <w:rsid w:val="00DD4A4B"/>
    <w:rsid w:val="00DD4B38"/>
    <w:rsid w:val="00DD4C35"/>
    <w:rsid w:val="00DD58E1"/>
    <w:rsid w:val="00DD5C25"/>
    <w:rsid w:val="00DD73C2"/>
    <w:rsid w:val="00DD7653"/>
    <w:rsid w:val="00DD7B62"/>
    <w:rsid w:val="00DD7EAB"/>
    <w:rsid w:val="00DE0196"/>
    <w:rsid w:val="00DE03E8"/>
    <w:rsid w:val="00DE0613"/>
    <w:rsid w:val="00DE09A8"/>
    <w:rsid w:val="00DE0A32"/>
    <w:rsid w:val="00DE0AB3"/>
    <w:rsid w:val="00DE105D"/>
    <w:rsid w:val="00DE2D1F"/>
    <w:rsid w:val="00DE2F91"/>
    <w:rsid w:val="00DE306C"/>
    <w:rsid w:val="00DE30E3"/>
    <w:rsid w:val="00DE319B"/>
    <w:rsid w:val="00DE38C6"/>
    <w:rsid w:val="00DE3EAF"/>
    <w:rsid w:val="00DE3F44"/>
    <w:rsid w:val="00DE4027"/>
    <w:rsid w:val="00DE4E2C"/>
    <w:rsid w:val="00DE5389"/>
    <w:rsid w:val="00DE5865"/>
    <w:rsid w:val="00DE682A"/>
    <w:rsid w:val="00DE72D3"/>
    <w:rsid w:val="00DE7BDE"/>
    <w:rsid w:val="00DE7F11"/>
    <w:rsid w:val="00DF02FA"/>
    <w:rsid w:val="00DF04CF"/>
    <w:rsid w:val="00DF0687"/>
    <w:rsid w:val="00DF1582"/>
    <w:rsid w:val="00DF1EF7"/>
    <w:rsid w:val="00DF22D3"/>
    <w:rsid w:val="00DF23EC"/>
    <w:rsid w:val="00DF2FDB"/>
    <w:rsid w:val="00DF3331"/>
    <w:rsid w:val="00DF34FE"/>
    <w:rsid w:val="00DF37B1"/>
    <w:rsid w:val="00DF3931"/>
    <w:rsid w:val="00DF40F6"/>
    <w:rsid w:val="00DF4914"/>
    <w:rsid w:val="00DF5079"/>
    <w:rsid w:val="00DF552C"/>
    <w:rsid w:val="00DF56AA"/>
    <w:rsid w:val="00DF56AF"/>
    <w:rsid w:val="00DF5BEA"/>
    <w:rsid w:val="00DF5C72"/>
    <w:rsid w:val="00DF636A"/>
    <w:rsid w:val="00DF653D"/>
    <w:rsid w:val="00DF6586"/>
    <w:rsid w:val="00DF6CEE"/>
    <w:rsid w:val="00DF78E7"/>
    <w:rsid w:val="00DF7AB7"/>
    <w:rsid w:val="00E00D9C"/>
    <w:rsid w:val="00E01165"/>
    <w:rsid w:val="00E01252"/>
    <w:rsid w:val="00E012A2"/>
    <w:rsid w:val="00E016F5"/>
    <w:rsid w:val="00E01AAD"/>
    <w:rsid w:val="00E02FF2"/>
    <w:rsid w:val="00E03420"/>
    <w:rsid w:val="00E03B92"/>
    <w:rsid w:val="00E03E12"/>
    <w:rsid w:val="00E03E81"/>
    <w:rsid w:val="00E0507B"/>
    <w:rsid w:val="00E056DE"/>
    <w:rsid w:val="00E05993"/>
    <w:rsid w:val="00E05D38"/>
    <w:rsid w:val="00E05D6F"/>
    <w:rsid w:val="00E05EC9"/>
    <w:rsid w:val="00E06C71"/>
    <w:rsid w:val="00E07821"/>
    <w:rsid w:val="00E07900"/>
    <w:rsid w:val="00E079A3"/>
    <w:rsid w:val="00E07AFC"/>
    <w:rsid w:val="00E07CB7"/>
    <w:rsid w:val="00E07D92"/>
    <w:rsid w:val="00E07DEE"/>
    <w:rsid w:val="00E10185"/>
    <w:rsid w:val="00E10808"/>
    <w:rsid w:val="00E110E0"/>
    <w:rsid w:val="00E11A58"/>
    <w:rsid w:val="00E11AEB"/>
    <w:rsid w:val="00E11B0E"/>
    <w:rsid w:val="00E1298A"/>
    <w:rsid w:val="00E12A98"/>
    <w:rsid w:val="00E12E31"/>
    <w:rsid w:val="00E12E4A"/>
    <w:rsid w:val="00E131DB"/>
    <w:rsid w:val="00E13416"/>
    <w:rsid w:val="00E13C75"/>
    <w:rsid w:val="00E14DC5"/>
    <w:rsid w:val="00E152E3"/>
    <w:rsid w:val="00E15371"/>
    <w:rsid w:val="00E15A36"/>
    <w:rsid w:val="00E15F13"/>
    <w:rsid w:val="00E15FDF"/>
    <w:rsid w:val="00E1668A"/>
    <w:rsid w:val="00E16A0E"/>
    <w:rsid w:val="00E16ABE"/>
    <w:rsid w:val="00E171FE"/>
    <w:rsid w:val="00E17BEA"/>
    <w:rsid w:val="00E2005E"/>
    <w:rsid w:val="00E20780"/>
    <w:rsid w:val="00E20D35"/>
    <w:rsid w:val="00E210A6"/>
    <w:rsid w:val="00E21267"/>
    <w:rsid w:val="00E21A90"/>
    <w:rsid w:val="00E2271F"/>
    <w:rsid w:val="00E2279E"/>
    <w:rsid w:val="00E22890"/>
    <w:rsid w:val="00E22C8D"/>
    <w:rsid w:val="00E22DFD"/>
    <w:rsid w:val="00E231AA"/>
    <w:rsid w:val="00E23ED9"/>
    <w:rsid w:val="00E24104"/>
    <w:rsid w:val="00E24DE9"/>
    <w:rsid w:val="00E25552"/>
    <w:rsid w:val="00E25877"/>
    <w:rsid w:val="00E259AC"/>
    <w:rsid w:val="00E25BA1"/>
    <w:rsid w:val="00E26DB8"/>
    <w:rsid w:val="00E27956"/>
    <w:rsid w:val="00E30054"/>
    <w:rsid w:val="00E302D0"/>
    <w:rsid w:val="00E30EBB"/>
    <w:rsid w:val="00E31245"/>
    <w:rsid w:val="00E32131"/>
    <w:rsid w:val="00E32275"/>
    <w:rsid w:val="00E3229F"/>
    <w:rsid w:val="00E32AA1"/>
    <w:rsid w:val="00E331EE"/>
    <w:rsid w:val="00E33210"/>
    <w:rsid w:val="00E33480"/>
    <w:rsid w:val="00E3372B"/>
    <w:rsid w:val="00E33C6E"/>
    <w:rsid w:val="00E33CFD"/>
    <w:rsid w:val="00E33D38"/>
    <w:rsid w:val="00E341F7"/>
    <w:rsid w:val="00E3436C"/>
    <w:rsid w:val="00E347CE"/>
    <w:rsid w:val="00E347E3"/>
    <w:rsid w:val="00E34D24"/>
    <w:rsid w:val="00E34F2B"/>
    <w:rsid w:val="00E35205"/>
    <w:rsid w:val="00E35707"/>
    <w:rsid w:val="00E357C8"/>
    <w:rsid w:val="00E35CB1"/>
    <w:rsid w:val="00E35D30"/>
    <w:rsid w:val="00E35FF7"/>
    <w:rsid w:val="00E36144"/>
    <w:rsid w:val="00E36230"/>
    <w:rsid w:val="00E36293"/>
    <w:rsid w:val="00E36637"/>
    <w:rsid w:val="00E36AA1"/>
    <w:rsid w:val="00E37130"/>
    <w:rsid w:val="00E3757B"/>
    <w:rsid w:val="00E40CE4"/>
    <w:rsid w:val="00E414A1"/>
    <w:rsid w:val="00E4191A"/>
    <w:rsid w:val="00E41ECB"/>
    <w:rsid w:val="00E42676"/>
    <w:rsid w:val="00E4292B"/>
    <w:rsid w:val="00E436F6"/>
    <w:rsid w:val="00E43709"/>
    <w:rsid w:val="00E43F29"/>
    <w:rsid w:val="00E44361"/>
    <w:rsid w:val="00E44B31"/>
    <w:rsid w:val="00E44D78"/>
    <w:rsid w:val="00E456AE"/>
    <w:rsid w:val="00E459BA"/>
    <w:rsid w:val="00E461EF"/>
    <w:rsid w:val="00E468CD"/>
    <w:rsid w:val="00E46E7C"/>
    <w:rsid w:val="00E4701C"/>
    <w:rsid w:val="00E472FC"/>
    <w:rsid w:val="00E47684"/>
    <w:rsid w:val="00E47697"/>
    <w:rsid w:val="00E47D67"/>
    <w:rsid w:val="00E47F67"/>
    <w:rsid w:val="00E48D30"/>
    <w:rsid w:val="00E500AC"/>
    <w:rsid w:val="00E50533"/>
    <w:rsid w:val="00E50A41"/>
    <w:rsid w:val="00E50D69"/>
    <w:rsid w:val="00E50DA7"/>
    <w:rsid w:val="00E5109D"/>
    <w:rsid w:val="00E514C4"/>
    <w:rsid w:val="00E515F0"/>
    <w:rsid w:val="00E52453"/>
    <w:rsid w:val="00E52EEC"/>
    <w:rsid w:val="00E530F9"/>
    <w:rsid w:val="00E53174"/>
    <w:rsid w:val="00E536FD"/>
    <w:rsid w:val="00E538CE"/>
    <w:rsid w:val="00E538FB"/>
    <w:rsid w:val="00E54191"/>
    <w:rsid w:val="00E54385"/>
    <w:rsid w:val="00E548D6"/>
    <w:rsid w:val="00E54CC7"/>
    <w:rsid w:val="00E54FDB"/>
    <w:rsid w:val="00E55797"/>
    <w:rsid w:val="00E557CE"/>
    <w:rsid w:val="00E55A7C"/>
    <w:rsid w:val="00E55ADF"/>
    <w:rsid w:val="00E5617D"/>
    <w:rsid w:val="00E56286"/>
    <w:rsid w:val="00E563D7"/>
    <w:rsid w:val="00E56431"/>
    <w:rsid w:val="00E56968"/>
    <w:rsid w:val="00E56ED9"/>
    <w:rsid w:val="00E579F9"/>
    <w:rsid w:val="00E57B91"/>
    <w:rsid w:val="00E60219"/>
    <w:rsid w:val="00E61116"/>
    <w:rsid w:val="00E613DD"/>
    <w:rsid w:val="00E61528"/>
    <w:rsid w:val="00E620A9"/>
    <w:rsid w:val="00E628F2"/>
    <w:rsid w:val="00E62F56"/>
    <w:rsid w:val="00E63FDA"/>
    <w:rsid w:val="00E645A0"/>
    <w:rsid w:val="00E64AD4"/>
    <w:rsid w:val="00E64B72"/>
    <w:rsid w:val="00E64BC4"/>
    <w:rsid w:val="00E64EFC"/>
    <w:rsid w:val="00E64EFF"/>
    <w:rsid w:val="00E6523C"/>
    <w:rsid w:val="00E65601"/>
    <w:rsid w:val="00E65B9E"/>
    <w:rsid w:val="00E6611B"/>
    <w:rsid w:val="00E663F4"/>
    <w:rsid w:val="00E665A8"/>
    <w:rsid w:val="00E666F2"/>
    <w:rsid w:val="00E668DE"/>
    <w:rsid w:val="00E66903"/>
    <w:rsid w:val="00E66DD4"/>
    <w:rsid w:val="00E67A06"/>
    <w:rsid w:val="00E67E02"/>
    <w:rsid w:val="00E70063"/>
    <w:rsid w:val="00E706D7"/>
    <w:rsid w:val="00E70C26"/>
    <w:rsid w:val="00E7108F"/>
    <w:rsid w:val="00E71322"/>
    <w:rsid w:val="00E713DF"/>
    <w:rsid w:val="00E71489"/>
    <w:rsid w:val="00E71872"/>
    <w:rsid w:val="00E71C93"/>
    <w:rsid w:val="00E71D87"/>
    <w:rsid w:val="00E71F30"/>
    <w:rsid w:val="00E72894"/>
    <w:rsid w:val="00E729A9"/>
    <w:rsid w:val="00E72B0B"/>
    <w:rsid w:val="00E72B47"/>
    <w:rsid w:val="00E72C2C"/>
    <w:rsid w:val="00E73409"/>
    <w:rsid w:val="00E73632"/>
    <w:rsid w:val="00E73C6E"/>
    <w:rsid w:val="00E74777"/>
    <w:rsid w:val="00E748CC"/>
    <w:rsid w:val="00E74B29"/>
    <w:rsid w:val="00E75415"/>
    <w:rsid w:val="00E75AFF"/>
    <w:rsid w:val="00E76B26"/>
    <w:rsid w:val="00E76EC3"/>
    <w:rsid w:val="00E770BE"/>
    <w:rsid w:val="00E77175"/>
    <w:rsid w:val="00E775B1"/>
    <w:rsid w:val="00E7760E"/>
    <w:rsid w:val="00E77ED1"/>
    <w:rsid w:val="00E80E04"/>
    <w:rsid w:val="00E810A7"/>
    <w:rsid w:val="00E8152A"/>
    <w:rsid w:val="00E81B45"/>
    <w:rsid w:val="00E8200F"/>
    <w:rsid w:val="00E82691"/>
    <w:rsid w:val="00E82738"/>
    <w:rsid w:val="00E82784"/>
    <w:rsid w:val="00E82F15"/>
    <w:rsid w:val="00E83610"/>
    <w:rsid w:val="00E837BA"/>
    <w:rsid w:val="00E83DA5"/>
    <w:rsid w:val="00E83E5E"/>
    <w:rsid w:val="00E84B25"/>
    <w:rsid w:val="00E84D77"/>
    <w:rsid w:val="00E84EAA"/>
    <w:rsid w:val="00E85210"/>
    <w:rsid w:val="00E85D68"/>
    <w:rsid w:val="00E860CA"/>
    <w:rsid w:val="00E866D7"/>
    <w:rsid w:val="00E8702E"/>
    <w:rsid w:val="00E8718E"/>
    <w:rsid w:val="00E87E78"/>
    <w:rsid w:val="00E87EB6"/>
    <w:rsid w:val="00E87F0D"/>
    <w:rsid w:val="00E9001A"/>
    <w:rsid w:val="00E9061F"/>
    <w:rsid w:val="00E90C7D"/>
    <w:rsid w:val="00E9182B"/>
    <w:rsid w:val="00E9192E"/>
    <w:rsid w:val="00E91941"/>
    <w:rsid w:val="00E926F6"/>
    <w:rsid w:val="00E9273C"/>
    <w:rsid w:val="00E92755"/>
    <w:rsid w:val="00E92B56"/>
    <w:rsid w:val="00E93297"/>
    <w:rsid w:val="00E935FE"/>
    <w:rsid w:val="00E93602"/>
    <w:rsid w:val="00E93629"/>
    <w:rsid w:val="00E93790"/>
    <w:rsid w:val="00E93B5C"/>
    <w:rsid w:val="00E9430F"/>
    <w:rsid w:val="00E947A1"/>
    <w:rsid w:val="00E94CEC"/>
    <w:rsid w:val="00E94EA9"/>
    <w:rsid w:val="00E952F9"/>
    <w:rsid w:val="00E96D4E"/>
    <w:rsid w:val="00E96F1E"/>
    <w:rsid w:val="00E9772B"/>
    <w:rsid w:val="00E97A32"/>
    <w:rsid w:val="00EA042F"/>
    <w:rsid w:val="00EA04DE"/>
    <w:rsid w:val="00EA04EF"/>
    <w:rsid w:val="00EA07A1"/>
    <w:rsid w:val="00EA0B7A"/>
    <w:rsid w:val="00EA1466"/>
    <w:rsid w:val="00EA2390"/>
    <w:rsid w:val="00EA2492"/>
    <w:rsid w:val="00EA293D"/>
    <w:rsid w:val="00EA4A9A"/>
    <w:rsid w:val="00EA5016"/>
    <w:rsid w:val="00EA55E3"/>
    <w:rsid w:val="00EA5730"/>
    <w:rsid w:val="00EA5B90"/>
    <w:rsid w:val="00EA621C"/>
    <w:rsid w:val="00EA63FE"/>
    <w:rsid w:val="00EA6770"/>
    <w:rsid w:val="00EA6832"/>
    <w:rsid w:val="00EA6C79"/>
    <w:rsid w:val="00EA6F19"/>
    <w:rsid w:val="00EA7AE1"/>
    <w:rsid w:val="00EB01EE"/>
    <w:rsid w:val="00EB03E3"/>
    <w:rsid w:val="00EB0444"/>
    <w:rsid w:val="00EB04C9"/>
    <w:rsid w:val="00EB1734"/>
    <w:rsid w:val="00EB1C72"/>
    <w:rsid w:val="00EB2298"/>
    <w:rsid w:val="00EB22F3"/>
    <w:rsid w:val="00EB3186"/>
    <w:rsid w:val="00EB420B"/>
    <w:rsid w:val="00EB485A"/>
    <w:rsid w:val="00EB4EFF"/>
    <w:rsid w:val="00EB6677"/>
    <w:rsid w:val="00EB6C4C"/>
    <w:rsid w:val="00EB6DB8"/>
    <w:rsid w:val="00EB7090"/>
    <w:rsid w:val="00EB78C5"/>
    <w:rsid w:val="00EB7C96"/>
    <w:rsid w:val="00EC00BD"/>
    <w:rsid w:val="00EC0299"/>
    <w:rsid w:val="00EC0FD1"/>
    <w:rsid w:val="00EC0FE9"/>
    <w:rsid w:val="00EC1067"/>
    <w:rsid w:val="00EC106B"/>
    <w:rsid w:val="00EC125A"/>
    <w:rsid w:val="00EC156D"/>
    <w:rsid w:val="00EC1BBE"/>
    <w:rsid w:val="00EC1CD0"/>
    <w:rsid w:val="00EC248C"/>
    <w:rsid w:val="00EC2B68"/>
    <w:rsid w:val="00EC3436"/>
    <w:rsid w:val="00EC34BA"/>
    <w:rsid w:val="00EC3A4D"/>
    <w:rsid w:val="00EC3AA5"/>
    <w:rsid w:val="00EC3AEF"/>
    <w:rsid w:val="00EC3E73"/>
    <w:rsid w:val="00EC3E8D"/>
    <w:rsid w:val="00EC414D"/>
    <w:rsid w:val="00EC460B"/>
    <w:rsid w:val="00EC4AC3"/>
    <w:rsid w:val="00EC50A8"/>
    <w:rsid w:val="00EC50DC"/>
    <w:rsid w:val="00EC5973"/>
    <w:rsid w:val="00EC5A46"/>
    <w:rsid w:val="00EC5CD7"/>
    <w:rsid w:val="00EC69A4"/>
    <w:rsid w:val="00EC6AF1"/>
    <w:rsid w:val="00EC6B17"/>
    <w:rsid w:val="00EC7CED"/>
    <w:rsid w:val="00EC7D8D"/>
    <w:rsid w:val="00ED04D3"/>
    <w:rsid w:val="00ED0B46"/>
    <w:rsid w:val="00ED1309"/>
    <w:rsid w:val="00ED1550"/>
    <w:rsid w:val="00ED1792"/>
    <w:rsid w:val="00ED22B2"/>
    <w:rsid w:val="00ED22BD"/>
    <w:rsid w:val="00ED23AF"/>
    <w:rsid w:val="00ED23D4"/>
    <w:rsid w:val="00ED4192"/>
    <w:rsid w:val="00ED461B"/>
    <w:rsid w:val="00ED4AF5"/>
    <w:rsid w:val="00ED55F4"/>
    <w:rsid w:val="00ED7EA9"/>
    <w:rsid w:val="00EE06CD"/>
    <w:rsid w:val="00EE0937"/>
    <w:rsid w:val="00EE09F6"/>
    <w:rsid w:val="00EE137B"/>
    <w:rsid w:val="00EE1AA6"/>
    <w:rsid w:val="00EE1B3E"/>
    <w:rsid w:val="00EE279B"/>
    <w:rsid w:val="00EE35EB"/>
    <w:rsid w:val="00EE3ED8"/>
    <w:rsid w:val="00EE3FDD"/>
    <w:rsid w:val="00EE435E"/>
    <w:rsid w:val="00EE4A13"/>
    <w:rsid w:val="00EE4E8E"/>
    <w:rsid w:val="00EE52D3"/>
    <w:rsid w:val="00EE573A"/>
    <w:rsid w:val="00EE5976"/>
    <w:rsid w:val="00EE5A0B"/>
    <w:rsid w:val="00EE5FB3"/>
    <w:rsid w:val="00EE62C0"/>
    <w:rsid w:val="00EE6684"/>
    <w:rsid w:val="00EE6EB7"/>
    <w:rsid w:val="00EE7154"/>
    <w:rsid w:val="00EE7864"/>
    <w:rsid w:val="00EE7909"/>
    <w:rsid w:val="00EE7B1D"/>
    <w:rsid w:val="00EE7F79"/>
    <w:rsid w:val="00EF0151"/>
    <w:rsid w:val="00EF050C"/>
    <w:rsid w:val="00EF066E"/>
    <w:rsid w:val="00EF0708"/>
    <w:rsid w:val="00EF08C7"/>
    <w:rsid w:val="00EF0AA6"/>
    <w:rsid w:val="00EF0CC6"/>
    <w:rsid w:val="00EF12CD"/>
    <w:rsid w:val="00EF13BE"/>
    <w:rsid w:val="00EF1B4B"/>
    <w:rsid w:val="00EF23B6"/>
    <w:rsid w:val="00EF2602"/>
    <w:rsid w:val="00EF27BE"/>
    <w:rsid w:val="00EF2D8B"/>
    <w:rsid w:val="00EF30D2"/>
    <w:rsid w:val="00EF3628"/>
    <w:rsid w:val="00EF399A"/>
    <w:rsid w:val="00EF3AC5"/>
    <w:rsid w:val="00EF413C"/>
    <w:rsid w:val="00EF4359"/>
    <w:rsid w:val="00EF4551"/>
    <w:rsid w:val="00EF4622"/>
    <w:rsid w:val="00EF47A7"/>
    <w:rsid w:val="00EF4C3E"/>
    <w:rsid w:val="00EF50F2"/>
    <w:rsid w:val="00EF54E3"/>
    <w:rsid w:val="00EF55FC"/>
    <w:rsid w:val="00EF5609"/>
    <w:rsid w:val="00EF5EE7"/>
    <w:rsid w:val="00EF60C8"/>
    <w:rsid w:val="00EF69D8"/>
    <w:rsid w:val="00EF6D94"/>
    <w:rsid w:val="00EF6DBD"/>
    <w:rsid w:val="00EF6E3A"/>
    <w:rsid w:val="00EF6ED8"/>
    <w:rsid w:val="00EF715A"/>
    <w:rsid w:val="00EF737C"/>
    <w:rsid w:val="00EF750E"/>
    <w:rsid w:val="00EF7A5B"/>
    <w:rsid w:val="00EF7DBF"/>
    <w:rsid w:val="00F00D48"/>
    <w:rsid w:val="00F00DEB"/>
    <w:rsid w:val="00F01A01"/>
    <w:rsid w:val="00F01B65"/>
    <w:rsid w:val="00F01CDE"/>
    <w:rsid w:val="00F01E81"/>
    <w:rsid w:val="00F030BA"/>
    <w:rsid w:val="00F032F5"/>
    <w:rsid w:val="00F03A4B"/>
    <w:rsid w:val="00F0470A"/>
    <w:rsid w:val="00F047ED"/>
    <w:rsid w:val="00F047F4"/>
    <w:rsid w:val="00F04E7D"/>
    <w:rsid w:val="00F05336"/>
    <w:rsid w:val="00F0560A"/>
    <w:rsid w:val="00F0565B"/>
    <w:rsid w:val="00F05B33"/>
    <w:rsid w:val="00F05E71"/>
    <w:rsid w:val="00F05EE2"/>
    <w:rsid w:val="00F062F3"/>
    <w:rsid w:val="00F06E14"/>
    <w:rsid w:val="00F078D2"/>
    <w:rsid w:val="00F07FDF"/>
    <w:rsid w:val="00F10AFF"/>
    <w:rsid w:val="00F10BFC"/>
    <w:rsid w:val="00F10FD4"/>
    <w:rsid w:val="00F119F8"/>
    <w:rsid w:val="00F11AA4"/>
    <w:rsid w:val="00F122EF"/>
    <w:rsid w:val="00F1237B"/>
    <w:rsid w:val="00F12673"/>
    <w:rsid w:val="00F12BEF"/>
    <w:rsid w:val="00F1339E"/>
    <w:rsid w:val="00F13425"/>
    <w:rsid w:val="00F136BD"/>
    <w:rsid w:val="00F13720"/>
    <w:rsid w:val="00F1395A"/>
    <w:rsid w:val="00F13D57"/>
    <w:rsid w:val="00F1428E"/>
    <w:rsid w:val="00F14F39"/>
    <w:rsid w:val="00F14F80"/>
    <w:rsid w:val="00F150D8"/>
    <w:rsid w:val="00F157DC"/>
    <w:rsid w:val="00F15D71"/>
    <w:rsid w:val="00F1643B"/>
    <w:rsid w:val="00F16AB6"/>
    <w:rsid w:val="00F17529"/>
    <w:rsid w:val="00F1756D"/>
    <w:rsid w:val="00F17584"/>
    <w:rsid w:val="00F1758E"/>
    <w:rsid w:val="00F179D4"/>
    <w:rsid w:val="00F17D4A"/>
    <w:rsid w:val="00F20572"/>
    <w:rsid w:val="00F20691"/>
    <w:rsid w:val="00F2111A"/>
    <w:rsid w:val="00F21121"/>
    <w:rsid w:val="00F21155"/>
    <w:rsid w:val="00F222A4"/>
    <w:rsid w:val="00F22A23"/>
    <w:rsid w:val="00F22A52"/>
    <w:rsid w:val="00F22BD5"/>
    <w:rsid w:val="00F23716"/>
    <w:rsid w:val="00F2387A"/>
    <w:rsid w:val="00F238B7"/>
    <w:rsid w:val="00F23966"/>
    <w:rsid w:val="00F23BD3"/>
    <w:rsid w:val="00F24085"/>
    <w:rsid w:val="00F2467A"/>
    <w:rsid w:val="00F24E55"/>
    <w:rsid w:val="00F25A77"/>
    <w:rsid w:val="00F26414"/>
    <w:rsid w:val="00F26671"/>
    <w:rsid w:val="00F26A30"/>
    <w:rsid w:val="00F26F58"/>
    <w:rsid w:val="00F27B1D"/>
    <w:rsid w:val="00F30435"/>
    <w:rsid w:val="00F306B0"/>
    <w:rsid w:val="00F30BD7"/>
    <w:rsid w:val="00F3108C"/>
    <w:rsid w:val="00F31158"/>
    <w:rsid w:val="00F32ECF"/>
    <w:rsid w:val="00F32F16"/>
    <w:rsid w:val="00F32F1B"/>
    <w:rsid w:val="00F336EC"/>
    <w:rsid w:val="00F33C56"/>
    <w:rsid w:val="00F34212"/>
    <w:rsid w:val="00F347C7"/>
    <w:rsid w:val="00F34848"/>
    <w:rsid w:val="00F35596"/>
    <w:rsid w:val="00F3570D"/>
    <w:rsid w:val="00F35E68"/>
    <w:rsid w:val="00F3622A"/>
    <w:rsid w:val="00F36669"/>
    <w:rsid w:val="00F36C24"/>
    <w:rsid w:val="00F371AB"/>
    <w:rsid w:val="00F37452"/>
    <w:rsid w:val="00F375F6"/>
    <w:rsid w:val="00F3782E"/>
    <w:rsid w:val="00F37F8D"/>
    <w:rsid w:val="00F41221"/>
    <w:rsid w:val="00F41534"/>
    <w:rsid w:val="00F424D9"/>
    <w:rsid w:val="00F424E1"/>
    <w:rsid w:val="00F42605"/>
    <w:rsid w:val="00F42730"/>
    <w:rsid w:val="00F42B10"/>
    <w:rsid w:val="00F42D46"/>
    <w:rsid w:val="00F42EA9"/>
    <w:rsid w:val="00F43482"/>
    <w:rsid w:val="00F4496C"/>
    <w:rsid w:val="00F44A30"/>
    <w:rsid w:val="00F44CC5"/>
    <w:rsid w:val="00F44F3A"/>
    <w:rsid w:val="00F45064"/>
    <w:rsid w:val="00F45342"/>
    <w:rsid w:val="00F45A27"/>
    <w:rsid w:val="00F45D94"/>
    <w:rsid w:val="00F45F74"/>
    <w:rsid w:val="00F466B5"/>
    <w:rsid w:val="00F4683F"/>
    <w:rsid w:val="00F469E5"/>
    <w:rsid w:val="00F502E7"/>
    <w:rsid w:val="00F5045C"/>
    <w:rsid w:val="00F50D2B"/>
    <w:rsid w:val="00F50FB9"/>
    <w:rsid w:val="00F513C1"/>
    <w:rsid w:val="00F51F10"/>
    <w:rsid w:val="00F52389"/>
    <w:rsid w:val="00F5292A"/>
    <w:rsid w:val="00F529A5"/>
    <w:rsid w:val="00F52A6F"/>
    <w:rsid w:val="00F5310D"/>
    <w:rsid w:val="00F5329A"/>
    <w:rsid w:val="00F535EB"/>
    <w:rsid w:val="00F543FE"/>
    <w:rsid w:val="00F5451D"/>
    <w:rsid w:val="00F54ABE"/>
    <w:rsid w:val="00F54FA3"/>
    <w:rsid w:val="00F5534A"/>
    <w:rsid w:val="00F562F7"/>
    <w:rsid w:val="00F569CE"/>
    <w:rsid w:val="00F57118"/>
    <w:rsid w:val="00F57BD3"/>
    <w:rsid w:val="00F602FD"/>
    <w:rsid w:val="00F60950"/>
    <w:rsid w:val="00F60B6F"/>
    <w:rsid w:val="00F60E3C"/>
    <w:rsid w:val="00F60F00"/>
    <w:rsid w:val="00F60FFB"/>
    <w:rsid w:val="00F61106"/>
    <w:rsid w:val="00F611AD"/>
    <w:rsid w:val="00F614C0"/>
    <w:rsid w:val="00F61BC1"/>
    <w:rsid w:val="00F626C3"/>
    <w:rsid w:val="00F6393A"/>
    <w:rsid w:val="00F63B08"/>
    <w:rsid w:val="00F63B12"/>
    <w:rsid w:val="00F63C38"/>
    <w:rsid w:val="00F64FE3"/>
    <w:rsid w:val="00F65300"/>
    <w:rsid w:val="00F6550E"/>
    <w:rsid w:val="00F65767"/>
    <w:rsid w:val="00F65AA6"/>
    <w:rsid w:val="00F65BEA"/>
    <w:rsid w:val="00F65E3B"/>
    <w:rsid w:val="00F66490"/>
    <w:rsid w:val="00F664BA"/>
    <w:rsid w:val="00F67CC6"/>
    <w:rsid w:val="00F67D5B"/>
    <w:rsid w:val="00F706FB"/>
    <w:rsid w:val="00F7102D"/>
    <w:rsid w:val="00F7154A"/>
    <w:rsid w:val="00F7165C"/>
    <w:rsid w:val="00F71C03"/>
    <w:rsid w:val="00F7230C"/>
    <w:rsid w:val="00F72DD9"/>
    <w:rsid w:val="00F73B48"/>
    <w:rsid w:val="00F7434A"/>
    <w:rsid w:val="00F745ED"/>
    <w:rsid w:val="00F746D3"/>
    <w:rsid w:val="00F74E6F"/>
    <w:rsid w:val="00F74FF1"/>
    <w:rsid w:val="00F7508C"/>
    <w:rsid w:val="00F751E1"/>
    <w:rsid w:val="00F75B3D"/>
    <w:rsid w:val="00F75DE0"/>
    <w:rsid w:val="00F763BD"/>
    <w:rsid w:val="00F76B70"/>
    <w:rsid w:val="00F76F45"/>
    <w:rsid w:val="00F774B6"/>
    <w:rsid w:val="00F77625"/>
    <w:rsid w:val="00F7778E"/>
    <w:rsid w:val="00F80111"/>
    <w:rsid w:val="00F802B5"/>
    <w:rsid w:val="00F80CBC"/>
    <w:rsid w:val="00F80D6C"/>
    <w:rsid w:val="00F80FE9"/>
    <w:rsid w:val="00F812C1"/>
    <w:rsid w:val="00F81AD1"/>
    <w:rsid w:val="00F81F28"/>
    <w:rsid w:val="00F83848"/>
    <w:rsid w:val="00F83FE5"/>
    <w:rsid w:val="00F84279"/>
    <w:rsid w:val="00F848A3"/>
    <w:rsid w:val="00F85DCF"/>
    <w:rsid w:val="00F85F85"/>
    <w:rsid w:val="00F86B75"/>
    <w:rsid w:val="00F86BDA"/>
    <w:rsid w:val="00F87214"/>
    <w:rsid w:val="00F878FC"/>
    <w:rsid w:val="00F87980"/>
    <w:rsid w:val="00F87B1E"/>
    <w:rsid w:val="00F87B21"/>
    <w:rsid w:val="00F90A0A"/>
    <w:rsid w:val="00F90F4A"/>
    <w:rsid w:val="00F915DA"/>
    <w:rsid w:val="00F919A8"/>
    <w:rsid w:val="00F91D64"/>
    <w:rsid w:val="00F91F32"/>
    <w:rsid w:val="00F923AC"/>
    <w:rsid w:val="00F92403"/>
    <w:rsid w:val="00F925E9"/>
    <w:rsid w:val="00F927D6"/>
    <w:rsid w:val="00F933CB"/>
    <w:rsid w:val="00F9347C"/>
    <w:rsid w:val="00F93ACA"/>
    <w:rsid w:val="00F94334"/>
    <w:rsid w:val="00F95E3F"/>
    <w:rsid w:val="00F95E63"/>
    <w:rsid w:val="00F96495"/>
    <w:rsid w:val="00F965CB"/>
    <w:rsid w:val="00F966A5"/>
    <w:rsid w:val="00F96A88"/>
    <w:rsid w:val="00F96D4F"/>
    <w:rsid w:val="00F96D62"/>
    <w:rsid w:val="00F97246"/>
    <w:rsid w:val="00F975E9"/>
    <w:rsid w:val="00F97831"/>
    <w:rsid w:val="00FA017C"/>
    <w:rsid w:val="00FA06A0"/>
    <w:rsid w:val="00FA0D01"/>
    <w:rsid w:val="00FA1166"/>
    <w:rsid w:val="00FA150E"/>
    <w:rsid w:val="00FA1A3A"/>
    <w:rsid w:val="00FA1B7D"/>
    <w:rsid w:val="00FA201F"/>
    <w:rsid w:val="00FA23B9"/>
    <w:rsid w:val="00FA3749"/>
    <w:rsid w:val="00FA3818"/>
    <w:rsid w:val="00FA3E7E"/>
    <w:rsid w:val="00FA4E4D"/>
    <w:rsid w:val="00FA4F51"/>
    <w:rsid w:val="00FA52BA"/>
    <w:rsid w:val="00FA55C9"/>
    <w:rsid w:val="00FA5B70"/>
    <w:rsid w:val="00FA6195"/>
    <w:rsid w:val="00FA6C76"/>
    <w:rsid w:val="00FA72AB"/>
    <w:rsid w:val="00FA7449"/>
    <w:rsid w:val="00FA7760"/>
    <w:rsid w:val="00FA7D7F"/>
    <w:rsid w:val="00FB0940"/>
    <w:rsid w:val="00FB0F63"/>
    <w:rsid w:val="00FB1392"/>
    <w:rsid w:val="00FB1BF4"/>
    <w:rsid w:val="00FB253D"/>
    <w:rsid w:val="00FB2581"/>
    <w:rsid w:val="00FB2660"/>
    <w:rsid w:val="00FB26C8"/>
    <w:rsid w:val="00FB2958"/>
    <w:rsid w:val="00FB3745"/>
    <w:rsid w:val="00FB38F1"/>
    <w:rsid w:val="00FB3B23"/>
    <w:rsid w:val="00FB3E74"/>
    <w:rsid w:val="00FB48ED"/>
    <w:rsid w:val="00FB49DF"/>
    <w:rsid w:val="00FB59F3"/>
    <w:rsid w:val="00FB5FE8"/>
    <w:rsid w:val="00FB67EA"/>
    <w:rsid w:val="00FB70D8"/>
    <w:rsid w:val="00FB76ED"/>
    <w:rsid w:val="00FC07B9"/>
    <w:rsid w:val="00FC192A"/>
    <w:rsid w:val="00FC23B6"/>
    <w:rsid w:val="00FC2620"/>
    <w:rsid w:val="00FC286D"/>
    <w:rsid w:val="00FC2E41"/>
    <w:rsid w:val="00FC2FB9"/>
    <w:rsid w:val="00FC3BCF"/>
    <w:rsid w:val="00FC483F"/>
    <w:rsid w:val="00FC490E"/>
    <w:rsid w:val="00FC49E7"/>
    <w:rsid w:val="00FC4A54"/>
    <w:rsid w:val="00FC4B7F"/>
    <w:rsid w:val="00FC4BEA"/>
    <w:rsid w:val="00FC4E21"/>
    <w:rsid w:val="00FC4FA9"/>
    <w:rsid w:val="00FC54ED"/>
    <w:rsid w:val="00FC56BE"/>
    <w:rsid w:val="00FC574C"/>
    <w:rsid w:val="00FC5A48"/>
    <w:rsid w:val="00FC5F6D"/>
    <w:rsid w:val="00FC6990"/>
    <w:rsid w:val="00FC6F50"/>
    <w:rsid w:val="00FC71FE"/>
    <w:rsid w:val="00FC781A"/>
    <w:rsid w:val="00FC7AA2"/>
    <w:rsid w:val="00FC7F24"/>
    <w:rsid w:val="00FD0051"/>
    <w:rsid w:val="00FD0107"/>
    <w:rsid w:val="00FD0397"/>
    <w:rsid w:val="00FD07BC"/>
    <w:rsid w:val="00FD1040"/>
    <w:rsid w:val="00FD277A"/>
    <w:rsid w:val="00FD29C0"/>
    <w:rsid w:val="00FD2C2F"/>
    <w:rsid w:val="00FD2FB2"/>
    <w:rsid w:val="00FD3B31"/>
    <w:rsid w:val="00FD4F9C"/>
    <w:rsid w:val="00FD5FA2"/>
    <w:rsid w:val="00FD5FCD"/>
    <w:rsid w:val="00FD60BA"/>
    <w:rsid w:val="00FD66DE"/>
    <w:rsid w:val="00FD6A20"/>
    <w:rsid w:val="00FD6FE2"/>
    <w:rsid w:val="00FD7002"/>
    <w:rsid w:val="00FD70D1"/>
    <w:rsid w:val="00FD7C5F"/>
    <w:rsid w:val="00FE03C3"/>
    <w:rsid w:val="00FE04FD"/>
    <w:rsid w:val="00FE07C9"/>
    <w:rsid w:val="00FE09DD"/>
    <w:rsid w:val="00FE0B26"/>
    <w:rsid w:val="00FE0E23"/>
    <w:rsid w:val="00FE0E74"/>
    <w:rsid w:val="00FE11B4"/>
    <w:rsid w:val="00FE15BB"/>
    <w:rsid w:val="00FE1823"/>
    <w:rsid w:val="00FE3755"/>
    <w:rsid w:val="00FE4046"/>
    <w:rsid w:val="00FE431E"/>
    <w:rsid w:val="00FE45AB"/>
    <w:rsid w:val="00FE487A"/>
    <w:rsid w:val="00FE50FF"/>
    <w:rsid w:val="00FE5CF6"/>
    <w:rsid w:val="00FE60A9"/>
    <w:rsid w:val="00FE6DC5"/>
    <w:rsid w:val="00FE720E"/>
    <w:rsid w:val="00FE7225"/>
    <w:rsid w:val="00FE7CF0"/>
    <w:rsid w:val="00FE7F1C"/>
    <w:rsid w:val="00FF0569"/>
    <w:rsid w:val="00FF0843"/>
    <w:rsid w:val="00FF0A0F"/>
    <w:rsid w:val="00FF1322"/>
    <w:rsid w:val="00FF1A0F"/>
    <w:rsid w:val="00FF206E"/>
    <w:rsid w:val="00FF2449"/>
    <w:rsid w:val="00FF25BC"/>
    <w:rsid w:val="00FF28E4"/>
    <w:rsid w:val="00FF2C81"/>
    <w:rsid w:val="00FF37B7"/>
    <w:rsid w:val="00FF3A29"/>
    <w:rsid w:val="00FF3B89"/>
    <w:rsid w:val="00FF3C69"/>
    <w:rsid w:val="00FF40DF"/>
    <w:rsid w:val="00FF4469"/>
    <w:rsid w:val="00FF48EF"/>
    <w:rsid w:val="00FF578D"/>
    <w:rsid w:val="00FF6261"/>
    <w:rsid w:val="00FF6B61"/>
    <w:rsid w:val="00FF6E0A"/>
    <w:rsid w:val="00FF713A"/>
    <w:rsid w:val="012336D1"/>
    <w:rsid w:val="018A8B8A"/>
    <w:rsid w:val="01AEBF51"/>
    <w:rsid w:val="01C3DBE8"/>
    <w:rsid w:val="01CC35C6"/>
    <w:rsid w:val="020A05DD"/>
    <w:rsid w:val="022F2750"/>
    <w:rsid w:val="02458330"/>
    <w:rsid w:val="02519DD1"/>
    <w:rsid w:val="0275A904"/>
    <w:rsid w:val="027B96D8"/>
    <w:rsid w:val="027F0871"/>
    <w:rsid w:val="0297988D"/>
    <w:rsid w:val="02BFBE37"/>
    <w:rsid w:val="0302CF31"/>
    <w:rsid w:val="03622446"/>
    <w:rsid w:val="036EE7A3"/>
    <w:rsid w:val="0382EC40"/>
    <w:rsid w:val="038F195A"/>
    <w:rsid w:val="03BCAB16"/>
    <w:rsid w:val="03FEFF17"/>
    <w:rsid w:val="040793A1"/>
    <w:rsid w:val="040D4AF9"/>
    <w:rsid w:val="041A742E"/>
    <w:rsid w:val="041FBFDF"/>
    <w:rsid w:val="043955E1"/>
    <w:rsid w:val="04581895"/>
    <w:rsid w:val="045B00F5"/>
    <w:rsid w:val="04613A37"/>
    <w:rsid w:val="04906DE8"/>
    <w:rsid w:val="049D0163"/>
    <w:rsid w:val="049E9F92"/>
    <w:rsid w:val="04D5B9F1"/>
    <w:rsid w:val="056AF4AC"/>
    <w:rsid w:val="05C0FEFC"/>
    <w:rsid w:val="05FCE5E0"/>
    <w:rsid w:val="065038FB"/>
    <w:rsid w:val="06CB50D5"/>
    <w:rsid w:val="06EA22E6"/>
    <w:rsid w:val="06FFC153"/>
    <w:rsid w:val="0701CFA8"/>
    <w:rsid w:val="0709F809"/>
    <w:rsid w:val="07591B6E"/>
    <w:rsid w:val="076CAEA6"/>
    <w:rsid w:val="07856B66"/>
    <w:rsid w:val="07BE2172"/>
    <w:rsid w:val="07D9345A"/>
    <w:rsid w:val="07FD867B"/>
    <w:rsid w:val="08022C87"/>
    <w:rsid w:val="0809DDC4"/>
    <w:rsid w:val="082FEEDB"/>
    <w:rsid w:val="0834B7EC"/>
    <w:rsid w:val="083B16B2"/>
    <w:rsid w:val="083D210F"/>
    <w:rsid w:val="08622462"/>
    <w:rsid w:val="0891185B"/>
    <w:rsid w:val="089989B4"/>
    <w:rsid w:val="090C7CDE"/>
    <w:rsid w:val="09211751"/>
    <w:rsid w:val="093129FE"/>
    <w:rsid w:val="09410C8C"/>
    <w:rsid w:val="095767B5"/>
    <w:rsid w:val="0961E729"/>
    <w:rsid w:val="0965A0CF"/>
    <w:rsid w:val="096D0477"/>
    <w:rsid w:val="099222F5"/>
    <w:rsid w:val="09C07A9D"/>
    <w:rsid w:val="09E16359"/>
    <w:rsid w:val="09E8CA16"/>
    <w:rsid w:val="0A01C6DB"/>
    <w:rsid w:val="0A3AD8FF"/>
    <w:rsid w:val="0A5938CD"/>
    <w:rsid w:val="0A65D3A8"/>
    <w:rsid w:val="0A70A9F8"/>
    <w:rsid w:val="0ACBCC3B"/>
    <w:rsid w:val="0ACDE255"/>
    <w:rsid w:val="0AD4494B"/>
    <w:rsid w:val="0AF3C62B"/>
    <w:rsid w:val="0AFA0BF1"/>
    <w:rsid w:val="0B08D05D"/>
    <w:rsid w:val="0B1DD8BD"/>
    <w:rsid w:val="0B417E86"/>
    <w:rsid w:val="0B541173"/>
    <w:rsid w:val="0B577709"/>
    <w:rsid w:val="0BC5C20C"/>
    <w:rsid w:val="0BC88493"/>
    <w:rsid w:val="0BF823EA"/>
    <w:rsid w:val="0C146BEE"/>
    <w:rsid w:val="0C282E9C"/>
    <w:rsid w:val="0C484D50"/>
    <w:rsid w:val="0C8F968C"/>
    <w:rsid w:val="0C9436BF"/>
    <w:rsid w:val="0CB7AFF0"/>
    <w:rsid w:val="0D3A7956"/>
    <w:rsid w:val="0D4098E9"/>
    <w:rsid w:val="0D4C2806"/>
    <w:rsid w:val="0D5D4938"/>
    <w:rsid w:val="0D6DC520"/>
    <w:rsid w:val="0D9AF8AE"/>
    <w:rsid w:val="0DE01F52"/>
    <w:rsid w:val="0DE0923D"/>
    <w:rsid w:val="0DEB1AA9"/>
    <w:rsid w:val="0DF7B29E"/>
    <w:rsid w:val="0E5FF6EB"/>
    <w:rsid w:val="0E801876"/>
    <w:rsid w:val="0EE8AB38"/>
    <w:rsid w:val="0EF1F0FA"/>
    <w:rsid w:val="0F29D742"/>
    <w:rsid w:val="0F37A69C"/>
    <w:rsid w:val="0F3ACDCA"/>
    <w:rsid w:val="0F666DF1"/>
    <w:rsid w:val="0FA06B82"/>
    <w:rsid w:val="0FCF4CC5"/>
    <w:rsid w:val="0FE46018"/>
    <w:rsid w:val="1014A9AD"/>
    <w:rsid w:val="1020B356"/>
    <w:rsid w:val="105DD348"/>
    <w:rsid w:val="107D4FD2"/>
    <w:rsid w:val="109BA233"/>
    <w:rsid w:val="10AC430B"/>
    <w:rsid w:val="112E5793"/>
    <w:rsid w:val="12125D99"/>
    <w:rsid w:val="12304F57"/>
    <w:rsid w:val="123A99C2"/>
    <w:rsid w:val="12925D98"/>
    <w:rsid w:val="12A9CBA9"/>
    <w:rsid w:val="12C8E856"/>
    <w:rsid w:val="136CA1BE"/>
    <w:rsid w:val="13742862"/>
    <w:rsid w:val="1375A9FD"/>
    <w:rsid w:val="1380A3BB"/>
    <w:rsid w:val="13BE1F3E"/>
    <w:rsid w:val="13BFAAE6"/>
    <w:rsid w:val="13C069E4"/>
    <w:rsid w:val="13C5ADA3"/>
    <w:rsid w:val="13CC5289"/>
    <w:rsid w:val="14175E77"/>
    <w:rsid w:val="146E9E7B"/>
    <w:rsid w:val="1482E0C9"/>
    <w:rsid w:val="14B94C87"/>
    <w:rsid w:val="14D296EA"/>
    <w:rsid w:val="14E28123"/>
    <w:rsid w:val="15069FFF"/>
    <w:rsid w:val="150ED0F9"/>
    <w:rsid w:val="1513A3E0"/>
    <w:rsid w:val="1530787F"/>
    <w:rsid w:val="153199B1"/>
    <w:rsid w:val="15BA13AF"/>
    <w:rsid w:val="15E8F3AA"/>
    <w:rsid w:val="1615182E"/>
    <w:rsid w:val="16393AA9"/>
    <w:rsid w:val="163E039D"/>
    <w:rsid w:val="164465F0"/>
    <w:rsid w:val="167B4A6F"/>
    <w:rsid w:val="1696C751"/>
    <w:rsid w:val="1696F920"/>
    <w:rsid w:val="169728DE"/>
    <w:rsid w:val="16F942E7"/>
    <w:rsid w:val="16FC4C89"/>
    <w:rsid w:val="17005557"/>
    <w:rsid w:val="17562276"/>
    <w:rsid w:val="175D45B3"/>
    <w:rsid w:val="17792AC8"/>
    <w:rsid w:val="17A42963"/>
    <w:rsid w:val="17D0D1DD"/>
    <w:rsid w:val="17D93109"/>
    <w:rsid w:val="17E40B68"/>
    <w:rsid w:val="17F8CF00"/>
    <w:rsid w:val="17FFA2C9"/>
    <w:rsid w:val="183A1E94"/>
    <w:rsid w:val="183CDF48"/>
    <w:rsid w:val="18819886"/>
    <w:rsid w:val="1897312D"/>
    <w:rsid w:val="18AAB3F4"/>
    <w:rsid w:val="18E6160D"/>
    <w:rsid w:val="1940CE6D"/>
    <w:rsid w:val="194C00E2"/>
    <w:rsid w:val="194C5A06"/>
    <w:rsid w:val="1954A0A0"/>
    <w:rsid w:val="19560145"/>
    <w:rsid w:val="19653B53"/>
    <w:rsid w:val="19C23605"/>
    <w:rsid w:val="19D76362"/>
    <w:rsid w:val="19DCCC25"/>
    <w:rsid w:val="19EFC6C6"/>
    <w:rsid w:val="19F3FE56"/>
    <w:rsid w:val="19FC99B2"/>
    <w:rsid w:val="1A088C40"/>
    <w:rsid w:val="1A0DA4EB"/>
    <w:rsid w:val="1A87077A"/>
    <w:rsid w:val="1A97134B"/>
    <w:rsid w:val="1AD9FEF7"/>
    <w:rsid w:val="1B1BAC2A"/>
    <w:rsid w:val="1B3084F5"/>
    <w:rsid w:val="1B3F286F"/>
    <w:rsid w:val="1B400870"/>
    <w:rsid w:val="1B46F573"/>
    <w:rsid w:val="1B549164"/>
    <w:rsid w:val="1BB31AEA"/>
    <w:rsid w:val="1BB7CCEF"/>
    <w:rsid w:val="1BC5DD29"/>
    <w:rsid w:val="1BCA5740"/>
    <w:rsid w:val="1BCBA71E"/>
    <w:rsid w:val="1C14BD4B"/>
    <w:rsid w:val="1C488063"/>
    <w:rsid w:val="1C5666EE"/>
    <w:rsid w:val="1C5B77F0"/>
    <w:rsid w:val="1C6F3324"/>
    <w:rsid w:val="1C7AC21E"/>
    <w:rsid w:val="1CA61878"/>
    <w:rsid w:val="1CA98E2C"/>
    <w:rsid w:val="1CB3CB7C"/>
    <w:rsid w:val="1CB649DE"/>
    <w:rsid w:val="1CD15D7A"/>
    <w:rsid w:val="1CD1BAAD"/>
    <w:rsid w:val="1D0DB5D5"/>
    <w:rsid w:val="1D414B33"/>
    <w:rsid w:val="1D46D758"/>
    <w:rsid w:val="1D4DD047"/>
    <w:rsid w:val="1D6D5180"/>
    <w:rsid w:val="1D6FDCE8"/>
    <w:rsid w:val="1D739973"/>
    <w:rsid w:val="1DAC61B3"/>
    <w:rsid w:val="1DCC6F33"/>
    <w:rsid w:val="1DE77FED"/>
    <w:rsid w:val="1DECE3F5"/>
    <w:rsid w:val="1DF74CEF"/>
    <w:rsid w:val="1DFC7507"/>
    <w:rsid w:val="1E10754C"/>
    <w:rsid w:val="1E1509E6"/>
    <w:rsid w:val="1E1A7B07"/>
    <w:rsid w:val="1E5DD483"/>
    <w:rsid w:val="1EB898BB"/>
    <w:rsid w:val="1EBD0562"/>
    <w:rsid w:val="1EE2A7B9"/>
    <w:rsid w:val="1EF50166"/>
    <w:rsid w:val="1F0D2DA4"/>
    <w:rsid w:val="1F480BFE"/>
    <w:rsid w:val="1F5914FF"/>
    <w:rsid w:val="1F9E2AA7"/>
    <w:rsid w:val="1FF39A00"/>
    <w:rsid w:val="1FFA380A"/>
    <w:rsid w:val="1FFAB1A4"/>
    <w:rsid w:val="200003EC"/>
    <w:rsid w:val="203880FD"/>
    <w:rsid w:val="203A52E5"/>
    <w:rsid w:val="2043DF12"/>
    <w:rsid w:val="2048F59B"/>
    <w:rsid w:val="207C09D3"/>
    <w:rsid w:val="207C422C"/>
    <w:rsid w:val="20891E96"/>
    <w:rsid w:val="20DB871E"/>
    <w:rsid w:val="20F4E560"/>
    <w:rsid w:val="2128A0C4"/>
    <w:rsid w:val="2133A079"/>
    <w:rsid w:val="2138F36C"/>
    <w:rsid w:val="21646679"/>
    <w:rsid w:val="218AE1EE"/>
    <w:rsid w:val="21B5A8FD"/>
    <w:rsid w:val="21F830F9"/>
    <w:rsid w:val="2217EB39"/>
    <w:rsid w:val="224A6D2B"/>
    <w:rsid w:val="224F9AC5"/>
    <w:rsid w:val="226FFD41"/>
    <w:rsid w:val="2297D8FE"/>
    <w:rsid w:val="22C86616"/>
    <w:rsid w:val="22FF2B38"/>
    <w:rsid w:val="2328951C"/>
    <w:rsid w:val="234332E4"/>
    <w:rsid w:val="2378A13E"/>
    <w:rsid w:val="23FB9E3C"/>
    <w:rsid w:val="240A632D"/>
    <w:rsid w:val="2449253E"/>
    <w:rsid w:val="2488952D"/>
    <w:rsid w:val="2494EAC8"/>
    <w:rsid w:val="24B13540"/>
    <w:rsid w:val="24B4A011"/>
    <w:rsid w:val="24C7FB5F"/>
    <w:rsid w:val="24D24809"/>
    <w:rsid w:val="24D2E15F"/>
    <w:rsid w:val="24EE45DE"/>
    <w:rsid w:val="2505273D"/>
    <w:rsid w:val="25228586"/>
    <w:rsid w:val="257399BA"/>
    <w:rsid w:val="25A81F20"/>
    <w:rsid w:val="25E926CF"/>
    <w:rsid w:val="26040886"/>
    <w:rsid w:val="260AB8B2"/>
    <w:rsid w:val="26264354"/>
    <w:rsid w:val="26563F75"/>
    <w:rsid w:val="2663CBC0"/>
    <w:rsid w:val="267562CB"/>
    <w:rsid w:val="2682C1A1"/>
    <w:rsid w:val="2682FD9A"/>
    <w:rsid w:val="26AA3A6C"/>
    <w:rsid w:val="26AAC3FF"/>
    <w:rsid w:val="26AAC605"/>
    <w:rsid w:val="26CA8FAC"/>
    <w:rsid w:val="26CBAA70"/>
    <w:rsid w:val="26CFC351"/>
    <w:rsid w:val="26D430D6"/>
    <w:rsid w:val="26ED6276"/>
    <w:rsid w:val="2743EF81"/>
    <w:rsid w:val="276EEAE5"/>
    <w:rsid w:val="27879168"/>
    <w:rsid w:val="27C0137F"/>
    <w:rsid w:val="27C2C64C"/>
    <w:rsid w:val="27CA2D4A"/>
    <w:rsid w:val="2805BAAC"/>
    <w:rsid w:val="2816A407"/>
    <w:rsid w:val="2886C1C1"/>
    <w:rsid w:val="2893C450"/>
    <w:rsid w:val="28E9CF2C"/>
    <w:rsid w:val="29284A3B"/>
    <w:rsid w:val="29459354"/>
    <w:rsid w:val="294E3BA4"/>
    <w:rsid w:val="29568C8A"/>
    <w:rsid w:val="297AEB11"/>
    <w:rsid w:val="2984B615"/>
    <w:rsid w:val="29A6A12F"/>
    <w:rsid w:val="29D20C02"/>
    <w:rsid w:val="29EA0F22"/>
    <w:rsid w:val="2A039993"/>
    <w:rsid w:val="2A3DDB2B"/>
    <w:rsid w:val="2A62DFAA"/>
    <w:rsid w:val="2A9ACB87"/>
    <w:rsid w:val="2AB31F2A"/>
    <w:rsid w:val="2B04E9C8"/>
    <w:rsid w:val="2B124EA3"/>
    <w:rsid w:val="2B1D5F2D"/>
    <w:rsid w:val="2B920CC8"/>
    <w:rsid w:val="2BA50A9D"/>
    <w:rsid w:val="2BA9085D"/>
    <w:rsid w:val="2BB5A8D0"/>
    <w:rsid w:val="2BFA46DA"/>
    <w:rsid w:val="2C6570F6"/>
    <w:rsid w:val="2C7382DE"/>
    <w:rsid w:val="2C76BC3D"/>
    <w:rsid w:val="2CCE6A9E"/>
    <w:rsid w:val="2CF23F1E"/>
    <w:rsid w:val="2D0E70C4"/>
    <w:rsid w:val="2D16D9BA"/>
    <w:rsid w:val="2D1EA408"/>
    <w:rsid w:val="2D4B2040"/>
    <w:rsid w:val="2D5D19CA"/>
    <w:rsid w:val="2D6A6B0C"/>
    <w:rsid w:val="2D74B928"/>
    <w:rsid w:val="2D8D5F74"/>
    <w:rsid w:val="2D8F5705"/>
    <w:rsid w:val="2DEE2650"/>
    <w:rsid w:val="2DF16746"/>
    <w:rsid w:val="2E165A5E"/>
    <w:rsid w:val="2E299E74"/>
    <w:rsid w:val="2E40DB71"/>
    <w:rsid w:val="2E446DAF"/>
    <w:rsid w:val="2E6F020C"/>
    <w:rsid w:val="2E917AF0"/>
    <w:rsid w:val="2E9C23F4"/>
    <w:rsid w:val="2EABFD39"/>
    <w:rsid w:val="2EB341FC"/>
    <w:rsid w:val="2EF2110A"/>
    <w:rsid w:val="2F0B4B46"/>
    <w:rsid w:val="2F0B7D4B"/>
    <w:rsid w:val="2F2B3359"/>
    <w:rsid w:val="2F70DD84"/>
    <w:rsid w:val="2F9B9FE0"/>
    <w:rsid w:val="2F9C19F8"/>
    <w:rsid w:val="2FE2440B"/>
    <w:rsid w:val="2FF734F2"/>
    <w:rsid w:val="304A196C"/>
    <w:rsid w:val="306D3232"/>
    <w:rsid w:val="309A07CA"/>
    <w:rsid w:val="30B385BD"/>
    <w:rsid w:val="30B996E2"/>
    <w:rsid w:val="30E8644A"/>
    <w:rsid w:val="310213C5"/>
    <w:rsid w:val="31110887"/>
    <w:rsid w:val="3117A87B"/>
    <w:rsid w:val="31316E2C"/>
    <w:rsid w:val="31409CCE"/>
    <w:rsid w:val="3188D97A"/>
    <w:rsid w:val="318D0573"/>
    <w:rsid w:val="31C1AF9C"/>
    <w:rsid w:val="31C9990C"/>
    <w:rsid w:val="31DE94BA"/>
    <w:rsid w:val="31FF122A"/>
    <w:rsid w:val="3239AA77"/>
    <w:rsid w:val="323CB26F"/>
    <w:rsid w:val="32407B51"/>
    <w:rsid w:val="3259209A"/>
    <w:rsid w:val="326D0D6A"/>
    <w:rsid w:val="329ED3E6"/>
    <w:rsid w:val="32D8C61A"/>
    <w:rsid w:val="3300810C"/>
    <w:rsid w:val="331C605A"/>
    <w:rsid w:val="3320CCA3"/>
    <w:rsid w:val="3332AA61"/>
    <w:rsid w:val="336951F9"/>
    <w:rsid w:val="3374BD2F"/>
    <w:rsid w:val="33778E5D"/>
    <w:rsid w:val="3388BD74"/>
    <w:rsid w:val="338E3DF1"/>
    <w:rsid w:val="339784DD"/>
    <w:rsid w:val="3397D9F7"/>
    <w:rsid w:val="33ADF3C9"/>
    <w:rsid w:val="33B13F24"/>
    <w:rsid w:val="33B30F46"/>
    <w:rsid w:val="33BF1A27"/>
    <w:rsid w:val="33DC9E15"/>
    <w:rsid w:val="346B7766"/>
    <w:rsid w:val="349453A1"/>
    <w:rsid w:val="34B94520"/>
    <w:rsid w:val="34C35222"/>
    <w:rsid w:val="34C424EB"/>
    <w:rsid w:val="34D5AF36"/>
    <w:rsid w:val="34FBF8BA"/>
    <w:rsid w:val="3503C798"/>
    <w:rsid w:val="35527235"/>
    <w:rsid w:val="35619672"/>
    <w:rsid w:val="35637EB2"/>
    <w:rsid w:val="356E88B2"/>
    <w:rsid w:val="35816C7E"/>
    <w:rsid w:val="358BCF89"/>
    <w:rsid w:val="35A64FF8"/>
    <w:rsid w:val="35C1F4DD"/>
    <w:rsid w:val="3606EE70"/>
    <w:rsid w:val="3648A74E"/>
    <w:rsid w:val="36685348"/>
    <w:rsid w:val="36780B5C"/>
    <w:rsid w:val="367CF976"/>
    <w:rsid w:val="368C8D94"/>
    <w:rsid w:val="36A38A7A"/>
    <w:rsid w:val="36CA37FA"/>
    <w:rsid w:val="36CB57D7"/>
    <w:rsid w:val="36DB3809"/>
    <w:rsid w:val="371C59DF"/>
    <w:rsid w:val="372C6D67"/>
    <w:rsid w:val="37517DC3"/>
    <w:rsid w:val="3779D880"/>
    <w:rsid w:val="37D0AC56"/>
    <w:rsid w:val="37E02E8B"/>
    <w:rsid w:val="38386C50"/>
    <w:rsid w:val="3840C816"/>
    <w:rsid w:val="3865ADED"/>
    <w:rsid w:val="386CF868"/>
    <w:rsid w:val="38BE97A2"/>
    <w:rsid w:val="38D4088A"/>
    <w:rsid w:val="38E20B71"/>
    <w:rsid w:val="38F3FD4D"/>
    <w:rsid w:val="391BF622"/>
    <w:rsid w:val="391DEAB4"/>
    <w:rsid w:val="3921B8B9"/>
    <w:rsid w:val="393C8011"/>
    <w:rsid w:val="394431D1"/>
    <w:rsid w:val="3946E3FF"/>
    <w:rsid w:val="394CB6AE"/>
    <w:rsid w:val="39938F64"/>
    <w:rsid w:val="399867EF"/>
    <w:rsid w:val="399AE886"/>
    <w:rsid w:val="39A4CE4A"/>
    <w:rsid w:val="39C060F2"/>
    <w:rsid w:val="39DFACA4"/>
    <w:rsid w:val="3A016B20"/>
    <w:rsid w:val="3A06AAF0"/>
    <w:rsid w:val="3A15D5BB"/>
    <w:rsid w:val="3A1825EF"/>
    <w:rsid w:val="3A32AF7A"/>
    <w:rsid w:val="3A3E9032"/>
    <w:rsid w:val="3A57056E"/>
    <w:rsid w:val="3A712047"/>
    <w:rsid w:val="3A8FCDAE"/>
    <w:rsid w:val="3AA24D8A"/>
    <w:rsid w:val="3B137757"/>
    <w:rsid w:val="3B5A13DD"/>
    <w:rsid w:val="3B66192F"/>
    <w:rsid w:val="3B6B3A3E"/>
    <w:rsid w:val="3B81255E"/>
    <w:rsid w:val="3BD22591"/>
    <w:rsid w:val="3BD9E046"/>
    <w:rsid w:val="3BF14ACE"/>
    <w:rsid w:val="3C180C40"/>
    <w:rsid w:val="3C196432"/>
    <w:rsid w:val="3C3D4DE4"/>
    <w:rsid w:val="3C601196"/>
    <w:rsid w:val="3C834F75"/>
    <w:rsid w:val="3CC0964C"/>
    <w:rsid w:val="3CE698C5"/>
    <w:rsid w:val="3CF48FAF"/>
    <w:rsid w:val="3D1BEDF7"/>
    <w:rsid w:val="3D213A78"/>
    <w:rsid w:val="3D338AAD"/>
    <w:rsid w:val="3D3A02F6"/>
    <w:rsid w:val="3D510552"/>
    <w:rsid w:val="3D510779"/>
    <w:rsid w:val="3D6CA857"/>
    <w:rsid w:val="3DAEC87E"/>
    <w:rsid w:val="3DE4914D"/>
    <w:rsid w:val="3DEC8868"/>
    <w:rsid w:val="3E1C64D6"/>
    <w:rsid w:val="3E578697"/>
    <w:rsid w:val="3E776964"/>
    <w:rsid w:val="3EA86AA6"/>
    <w:rsid w:val="3EBD2134"/>
    <w:rsid w:val="3EC350BF"/>
    <w:rsid w:val="3F10A59B"/>
    <w:rsid w:val="3F3DEAD9"/>
    <w:rsid w:val="3F417C75"/>
    <w:rsid w:val="3F4FF7AC"/>
    <w:rsid w:val="3F9A582F"/>
    <w:rsid w:val="3FA99F32"/>
    <w:rsid w:val="3FB58C0E"/>
    <w:rsid w:val="3FBA58BF"/>
    <w:rsid w:val="4002D0E8"/>
    <w:rsid w:val="401696DA"/>
    <w:rsid w:val="404BD9FB"/>
    <w:rsid w:val="4086B9DB"/>
    <w:rsid w:val="40BA482F"/>
    <w:rsid w:val="40CF78CF"/>
    <w:rsid w:val="40F54685"/>
    <w:rsid w:val="410A5A57"/>
    <w:rsid w:val="41376295"/>
    <w:rsid w:val="414AD077"/>
    <w:rsid w:val="4152D07D"/>
    <w:rsid w:val="4156F26E"/>
    <w:rsid w:val="415B87B9"/>
    <w:rsid w:val="415BD978"/>
    <w:rsid w:val="41773E08"/>
    <w:rsid w:val="417C41E4"/>
    <w:rsid w:val="41C1AB68"/>
    <w:rsid w:val="41EC316E"/>
    <w:rsid w:val="41F1D606"/>
    <w:rsid w:val="41FE279D"/>
    <w:rsid w:val="4227EC76"/>
    <w:rsid w:val="42346733"/>
    <w:rsid w:val="425D8E9C"/>
    <w:rsid w:val="42973CC7"/>
    <w:rsid w:val="42A07D2B"/>
    <w:rsid w:val="42ACCD93"/>
    <w:rsid w:val="42BC8B27"/>
    <w:rsid w:val="42EC71D2"/>
    <w:rsid w:val="4320E60C"/>
    <w:rsid w:val="4331ECAC"/>
    <w:rsid w:val="43351A5B"/>
    <w:rsid w:val="438C02B6"/>
    <w:rsid w:val="43970212"/>
    <w:rsid w:val="43BF665F"/>
    <w:rsid w:val="43FCB4F2"/>
    <w:rsid w:val="4409D051"/>
    <w:rsid w:val="4432BC91"/>
    <w:rsid w:val="445AA0BC"/>
    <w:rsid w:val="446A0F16"/>
    <w:rsid w:val="44A6D084"/>
    <w:rsid w:val="44D816E3"/>
    <w:rsid w:val="44D9B211"/>
    <w:rsid w:val="450F4F65"/>
    <w:rsid w:val="4518810B"/>
    <w:rsid w:val="4523E226"/>
    <w:rsid w:val="453F259C"/>
    <w:rsid w:val="454FBAC2"/>
    <w:rsid w:val="4572C4D5"/>
    <w:rsid w:val="457308EF"/>
    <w:rsid w:val="457E799E"/>
    <w:rsid w:val="45811C9C"/>
    <w:rsid w:val="45871885"/>
    <w:rsid w:val="458C90B3"/>
    <w:rsid w:val="45BE517A"/>
    <w:rsid w:val="45C4A3DD"/>
    <w:rsid w:val="45D00FC8"/>
    <w:rsid w:val="45D8FC38"/>
    <w:rsid w:val="46534659"/>
    <w:rsid w:val="4656E1A2"/>
    <w:rsid w:val="467325CC"/>
    <w:rsid w:val="468FDC7E"/>
    <w:rsid w:val="4697A7C1"/>
    <w:rsid w:val="469E3659"/>
    <w:rsid w:val="46CB16A4"/>
    <w:rsid w:val="46D6ABC0"/>
    <w:rsid w:val="46D86647"/>
    <w:rsid w:val="46ECBE99"/>
    <w:rsid w:val="471A23E9"/>
    <w:rsid w:val="4740E4D9"/>
    <w:rsid w:val="475F4022"/>
    <w:rsid w:val="47625C1C"/>
    <w:rsid w:val="4781BE3D"/>
    <w:rsid w:val="4783445A"/>
    <w:rsid w:val="4787292F"/>
    <w:rsid w:val="4789E767"/>
    <w:rsid w:val="47C4D3F1"/>
    <w:rsid w:val="47F4BA70"/>
    <w:rsid w:val="47FBC454"/>
    <w:rsid w:val="48258EDE"/>
    <w:rsid w:val="4848373E"/>
    <w:rsid w:val="48563847"/>
    <w:rsid w:val="485E03A3"/>
    <w:rsid w:val="486BE47B"/>
    <w:rsid w:val="4874F027"/>
    <w:rsid w:val="48785369"/>
    <w:rsid w:val="48BB930F"/>
    <w:rsid w:val="48CEB16E"/>
    <w:rsid w:val="493A7462"/>
    <w:rsid w:val="4943BB8E"/>
    <w:rsid w:val="49456DBF"/>
    <w:rsid w:val="49741682"/>
    <w:rsid w:val="49B1FCAF"/>
    <w:rsid w:val="49C0BC8D"/>
    <w:rsid w:val="49DAB5D5"/>
    <w:rsid w:val="49E4ECB7"/>
    <w:rsid w:val="49F06257"/>
    <w:rsid w:val="49F2BC41"/>
    <w:rsid w:val="4A0C465E"/>
    <w:rsid w:val="4A34E52C"/>
    <w:rsid w:val="4A38C264"/>
    <w:rsid w:val="4A6FC456"/>
    <w:rsid w:val="4AA4CF43"/>
    <w:rsid w:val="4AB2F3A1"/>
    <w:rsid w:val="4ABF3F67"/>
    <w:rsid w:val="4AC7D8F5"/>
    <w:rsid w:val="4AF51F91"/>
    <w:rsid w:val="4AF661C2"/>
    <w:rsid w:val="4B01BF9F"/>
    <w:rsid w:val="4B321F04"/>
    <w:rsid w:val="4B3CFE91"/>
    <w:rsid w:val="4B4F1A33"/>
    <w:rsid w:val="4B5EA460"/>
    <w:rsid w:val="4B688369"/>
    <w:rsid w:val="4B9BFD59"/>
    <w:rsid w:val="4B9D347A"/>
    <w:rsid w:val="4BB83810"/>
    <w:rsid w:val="4BC0D270"/>
    <w:rsid w:val="4BD11A37"/>
    <w:rsid w:val="4BD492C5"/>
    <w:rsid w:val="4C07DF9E"/>
    <w:rsid w:val="4C30C184"/>
    <w:rsid w:val="4C41339E"/>
    <w:rsid w:val="4C597709"/>
    <w:rsid w:val="4C77CED6"/>
    <w:rsid w:val="4C8D1ECE"/>
    <w:rsid w:val="4C923223"/>
    <w:rsid w:val="4C93653F"/>
    <w:rsid w:val="4CCFD2AF"/>
    <w:rsid w:val="4CD0B4FE"/>
    <w:rsid w:val="4CE6F6C4"/>
    <w:rsid w:val="4CEF4110"/>
    <w:rsid w:val="4D21033D"/>
    <w:rsid w:val="4D251BEF"/>
    <w:rsid w:val="4D3CD036"/>
    <w:rsid w:val="4D4A77B2"/>
    <w:rsid w:val="4D6BF493"/>
    <w:rsid w:val="4D7CBAF1"/>
    <w:rsid w:val="4DA2A781"/>
    <w:rsid w:val="4DCE3DC2"/>
    <w:rsid w:val="4E5E210A"/>
    <w:rsid w:val="4E97423B"/>
    <w:rsid w:val="4EC74953"/>
    <w:rsid w:val="4ED85254"/>
    <w:rsid w:val="4ED88C55"/>
    <w:rsid w:val="4EECDEEE"/>
    <w:rsid w:val="4F001ADC"/>
    <w:rsid w:val="4F03180C"/>
    <w:rsid w:val="4F219F46"/>
    <w:rsid w:val="4F386172"/>
    <w:rsid w:val="4F4D19BF"/>
    <w:rsid w:val="4F6C6A9A"/>
    <w:rsid w:val="4F6C7C7A"/>
    <w:rsid w:val="4F7B0AF5"/>
    <w:rsid w:val="4FC33A69"/>
    <w:rsid w:val="4FC6C442"/>
    <w:rsid w:val="4FC725BD"/>
    <w:rsid w:val="4FCB17D9"/>
    <w:rsid w:val="4FDB5AE6"/>
    <w:rsid w:val="4FFD505C"/>
    <w:rsid w:val="5014C0D6"/>
    <w:rsid w:val="5044EC9D"/>
    <w:rsid w:val="50514897"/>
    <w:rsid w:val="506D109C"/>
    <w:rsid w:val="507038E4"/>
    <w:rsid w:val="50A9BA37"/>
    <w:rsid w:val="50C0EAA2"/>
    <w:rsid w:val="50F8C1D6"/>
    <w:rsid w:val="5105A54F"/>
    <w:rsid w:val="510A6CF3"/>
    <w:rsid w:val="5123B18D"/>
    <w:rsid w:val="5156CE00"/>
    <w:rsid w:val="51599355"/>
    <w:rsid w:val="51713A6D"/>
    <w:rsid w:val="51857ACA"/>
    <w:rsid w:val="51909F12"/>
    <w:rsid w:val="51945012"/>
    <w:rsid w:val="51BE71C5"/>
    <w:rsid w:val="51C7E25C"/>
    <w:rsid w:val="52034F5C"/>
    <w:rsid w:val="520CF3BF"/>
    <w:rsid w:val="5245026D"/>
    <w:rsid w:val="525DF8C5"/>
    <w:rsid w:val="527CD23D"/>
    <w:rsid w:val="530E1198"/>
    <w:rsid w:val="5328E668"/>
    <w:rsid w:val="534FC37A"/>
    <w:rsid w:val="53646639"/>
    <w:rsid w:val="536D9E5A"/>
    <w:rsid w:val="537C8D5F"/>
    <w:rsid w:val="538E7E59"/>
    <w:rsid w:val="53C39B37"/>
    <w:rsid w:val="53D1FE54"/>
    <w:rsid w:val="53E88E4F"/>
    <w:rsid w:val="53F85379"/>
    <w:rsid w:val="5420BE64"/>
    <w:rsid w:val="544AB56A"/>
    <w:rsid w:val="544E535E"/>
    <w:rsid w:val="5462FE73"/>
    <w:rsid w:val="54C43948"/>
    <w:rsid w:val="54E51CBB"/>
    <w:rsid w:val="54FEB2F9"/>
    <w:rsid w:val="551489EA"/>
    <w:rsid w:val="553307DA"/>
    <w:rsid w:val="553A110F"/>
    <w:rsid w:val="553B8991"/>
    <w:rsid w:val="554168AB"/>
    <w:rsid w:val="5580113E"/>
    <w:rsid w:val="5589786A"/>
    <w:rsid w:val="559587A8"/>
    <w:rsid w:val="55EE25F9"/>
    <w:rsid w:val="561BC0D5"/>
    <w:rsid w:val="56883A45"/>
    <w:rsid w:val="56985EA3"/>
    <w:rsid w:val="569D293C"/>
    <w:rsid w:val="56D421A0"/>
    <w:rsid w:val="56E4EA49"/>
    <w:rsid w:val="56ED465E"/>
    <w:rsid w:val="570F2610"/>
    <w:rsid w:val="571098C2"/>
    <w:rsid w:val="572B9FB6"/>
    <w:rsid w:val="57587F47"/>
    <w:rsid w:val="5762630C"/>
    <w:rsid w:val="5793A53A"/>
    <w:rsid w:val="579A79A9"/>
    <w:rsid w:val="586BD6A3"/>
    <w:rsid w:val="58B6CDC8"/>
    <w:rsid w:val="58BBD95C"/>
    <w:rsid w:val="58D270FE"/>
    <w:rsid w:val="58DEF8A1"/>
    <w:rsid w:val="58E0A824"/>
    <w:rsid w:val="58E85803"/>
    <w:rsid w:val="58FB29BF"/>
    <w:rsid w:val="5901958A"/>
    <w:rsid w:val="59063881"/>
    <w:rsid w:val="590839A1"/>
    <w:rsid w:val="591877B1"/>
    <w:rsid w:val="59199076"/>
    <w:rsid w:val="59599E42"/>
    <w:rsid w:val="595FA4C1"/>
    <w:rsid w:val="59AFB2A5"/>
    <w:rsid w:val="59CA7487"/>
    <w:rsid w:val="59F3BC69"/>
    <w:rsid w:val="59F73CAB"/>
    <w:rsid w:val="5A1A08DC"/>
    <w:rsid w:val="5A98E88F"/>
    <w:rsid w:val="5AAE5249"/>
    <w:rsid w:val="5AFAEDBF"/>
    <w:rsid w:val="5B183F4F"/>
    <w:rsid w:val="5B9997EB"/>
    <w:rsid w:val="5BFA9D5B"/>
    <w:rsid w:val="5C6817CF"/>
    <w:rsid w:val="5C7F8D7E"/>
    <w:rsid w:val="5C92F733"/>
    <w:rsid w:val="5C997D99"/>
    <w:rsid w:val="5CC5DEDD"/>
    <w:rsid w:val="5CFAECDD"/>
    <w:rsid w:val="5D07E0F9"/>
    <w:rsid w:val="5D08C7C4"/>
    <w:rsid w:val="5D2C57DB"/>
    <w:rsid w:val="5D315E04"/>
    <w:rsid w:val="5D4B161C"/>
    <w:rsid w:val="5DAABBBF"/>
    <w:rsid w:val="5DB30AD4"/>
    <w:rsid w:val="5DBDCC88"/>
    <w:rsid w:val="5DE58E64"/>
    <w:rsid w:val="5E03494D"/>
    <w:rsid w:val="5E4E3AE5"/>
    <w:rsid w:val="5E53900C"/>
    <w:rsid w:val="5E8BD56A"/>
    <w:rsid w:val="5E92B0A3"/>
    <w:rsid w:val="5EA905CD"/>
    <w:rsid w:val="5F038B86"/>
    <w:rsid w:val="5F0DD56B"/>
    <w:rsid w:val="5F180AFA"/>
    <w:rsid w:val="5F23FBFB"/>
    <w:rsid w:val="5F286108"/>
    <w:rsid w:val="5F3141FE"/>
    <w:rsid w:val="5F4B2909"/>
    <w:rsid w:val="5F581AEA"/>
    <w:rsid w:val="5F5B6533"/>
    <w:rsid w:val="5F62421B"/>
    <w:rsid w:val="5F82DC2E"/>
    <w:rsid w:val="5F867396"/>
    <w:rsid w:val="5F91B0A8"/>
    <w:rsid w:val="5FA98080"/>
    <w:rsid w:val="5FB13919"/>
    <w:rsid w:val="5FCA0CD3"/>
    <w:rsid w:val="5FDB9E48"/>
    <w:rsid w:val="604BB5B4"/>
    <w:rsid w:val="60520DD6"/>
    <w:rsid w:val="605FAAC4"/>
    <w:rsid w:val="608E9F1C"/>
    <w:rsid w:val="6097E0AE"/>
    <w:rsid w:val="60CA6C1A"/>
    <w:rsid w:val="610D9E11"/>
    <w:rsid w:val="6114E272"/>
    <w:rsid w:val="61287E43"/>
    <w:rsid w:val="61355734"/>
    <w:rsid w:val="614C0922"/>
    <w:rsid w:val="61808BA1"/>
    <w:rsid w:val="6183E737"/>
    <w:rsid w:val="61B8E7CC"/>
    <w:rsid w:val="61C772F8"/>
    <w:rsid w:val="61E270C1"/>
    <w:rsid w:val="61F639B0"/>
    <w:rsid w:val="62807F61"/>
    <w:rsid w:val="628933E8"/>
    <w:rsid w:val="6290D8DA"/>
    <w:rsid w:val="62994B65"/>
    <w:rsid w:val="62A2A52B"/>
    <w:rsid w:val="62C44EA4"/>
    <w:rsid w:val="62F64BC5"/>
    <w:rsid w:val="630BAAA1"/>
    <w:rsid w:val="63327AD9"/>
    <w:rsid w:val="636ABC17"/>
    <w:rsid w:val="639A9EAF"/>
    <w:rsid w:val="63B1B9AD"/>
    <w:rsid w:val="63C4C666"/>
    <w:rsid w:val="640402EE"/>
    <w:rsid w:val="64173B28"/>
    <w:rsid w:val="6418E54A"/>
    <w:rsid w:val="64446C7B"/>
    <w:rsid w:val="64499D55"/>
    <w:rsid w:val="6451726B"/>
    <w:rsid w:val="64DD8372"/>
    <w:rsid w:val="64E8C9CA"/>
    <w:rsid w:val="650A6F99"/>
    <w:rsid w:val="652D2D50"/>
    <w:rsid w:val="655CC758"/>
    <w:rsid w:val="659D1C89"/>
    <w:rsid w:val="659D300F"/>
    <w:rsid w:val="65A08382"/>
    <w:rsid w:val="6664BFC6"/>
    <w:rsid w:val="668F5F6B"/>
    <w:rsid w:val="67160770"/>
    <w:rsid w:val="67367987"/>
    <w:rsid w:val="67700F00"/>
    <w:rsid w:val="67873F1F"/>
    <w:rsid w:val="6797BFC7"/>
    <w:rsid w:val="679BBCFC"/>
    <w:rsid w:val="67C4BDFC"/>
    <w:rsid w:val="67D5A8A9"/>
    <w:rsid w:val="67DBDF6C"/>
    <w:rsid w:val="67EAC239"/>
    <w:rsid w:val="67F61B81"/>
    <w:rsid w:val="680DF62D"/>
    <w:rsid w:val="68206A8C"/>
    <w:rsid w:val="6825937E"/>
    <w:rsid w:val="6840C744"/>
    <w:rsid w:val="68744042"/>
    <w:rsid w:val="68858C04"/>
    <w:rsid w:val="688C2160"/>
    <w:rsid w:val="68A5C4E3"/>
    <w:rsid w:val="68B6AF77"/>
    <w:rsid w:val="68E3AE7A"/>
    <w:rsid w:val="69081214"/>
    <w:rsid w:val="6933F818"/>
    <w:rsid w:val="695EE9F9"/>
    <w:rsid w:val="696D45C6"/>
    <w:rsid w:val="698D945C"/>
    <w:rsid w:val="69A20643"/>
    <w:rsid w:val="69A4BE6D"/>
    <w:rsid w:val="69B1D4C1"/>
    <w:rsid w:val="69BDF8A9"/>
    <w:rsid w:val="69EC8145"/>
    <w:rsid w:val="6A2A6A12"/>
    <w:rsid w:val="6A3B987A"/>
    <w:rsid w:val="6A475088"/>
    <w:rsid w:val="6A5F5128"/>
    <w:rsid w:val="6A9AAD0D"/>
    <w:rsid w:val="6AAD73CA"/>
    <w:rsid w:val="6B012368"/>
    <w:rsid w:val="6B0B5D27"/>
    <w:rsid w:val="6B12E698"/>
    <w:rsid w:val="6B2C5D69"/>
    <w:rsid w:val="6B45474D"/>
    <w:rsid w:val="6B68B3B7"/>
    <w:rsid w:val="6B7F7D8F"/>
    <w:rsid w:val="6B8ADCDB"/>
    <w:rsid w:val="6B8F8F49"/>
    <w:rsid w:val="6BE3B97A"/>
    <w:rsid w:val="6C2C1AF7"/>
    <w:rsid w:val="6C3451C1"/>
    <w:rsid w:val="6CBB6516"/>
    <w:rsid w:val="6CBC0D2B"/>
    <w:rsid w:val="6CC34D84"/>
    <w:rsid w:val="6CD4659F"/>
    <w:rsid w:val="6CE6D34B"/>
    <w:rsid w:val="6D2EF0EC"/>
    <w:rsid w:val="6D47760E"/>
    <w:rsid w:val="6D5023D3"/>
    <w:rsid w:val="6D5085EB"/>
    <w:rsid w:val="6D549B86"/>
    <w:rsid w:val="6D926D0A"/>
    <w:rsid w:val="6DA2B2CB"/>
    <w:rsid w:val="6DA58280"/>
    <w:rsid w:val="6DB0CC9E"/>
    <w:rsid w:val="6DD28B0E"/>
    <w:rsid w:val="6DF05D7B"/>
    <w:rsid w:val="6DF0ABD6"/>
    <w:rsid w:val="6DFD9335"/>
    <w:rsid w:val="6E346791"/>
    <w:rsid w:val="6E870C31"/>
    <w:rsid w:val="6EA80E79"/>
    <w:rsid w:val="6EE14B4A"/>
    <w:rsid w:val="6F18E7EB"/>
    <w:rsid w:val="6F612AC1"/>
    <w:rsid w:val="6F6660C5"/>
    <w:rsid w:val="6F6A0C24"/>
    <w:rsid w:val="6F9E551C"/>
    <w:rsid w:val="6FAB6355"/>
    <w:rsid w:val="6FE5EED9"/>
    <w:rsid w:val="6FFF5168"/>
    <w:rsid w:val="70056F5B"/>
    <w:rsid w:val="704EDF35"/>
    <w:rsid w:val="7076406F"/>
    <w:rsid w:val="707F16D0"/>
    <w:rsid w:val="70A4083D"/>
    <w:rsid w:val="70C07A1D"/>
    <w:rsid w:val="70DB16CD"/>
    <w:rsid w:val="70F40066"/>
    <w:rsid w:val="7105DC85"/>
    <w:rsid w:val="7106FF95"/>
    <w:rsid w:val="710E9C05"/>
    <w:rsid w:val="7133A370"/>
    <w:rsid w:val="713BD6DD"/>
    <w:rsid w:val="71C210AD"/>
    <w:rsid w:val="71C6A64E"/>
    <w:rsid w:val="71D7FEFD"/>
    <w:rsid w:val="71F74A44"/>
    <w:rsid w:val="71F780E1"/>
    <w:rsid w:val="720AB439"/>
    <w:rsid w:val="720CC0AE"/>
    <w:rsid w:val="722C85E3"/>
    <w:rsid w:val="723CFC40"/>
    <w:rsid w:val="724487CD"/>
    <w:rsid w:val="724D468E"/>
    <w:rsid w:val="72557ED4"/>
    <w:rsid w:val="72677F0F"/>
    <w:rsid w:val="72C2CE89"/>
    <w:rsid w:val="72DC7485"/>
    <w:rsid w:val="7322F737"/>
    <w:rsid w:val="733CA3CD"/>
    <w:rsid w:val="73464E48"/>
    <w:rsid w:val="73635665"/>
    <w:rsid w:val="73AEB77A"/>
    <w:rsid w:val="73D00CB2"/>
    <w:rsid w:val="73D42B45"/>
    <w:rsid w:val="742FED9B"/>
    <w:rsid w:val="74385277"/>
    <w:rsid w:val="743BA0ED"/>
    <w:rsid w:val="7453A173"/>
    <w:rsid w:val="7477E134"/>
    <w:rsid w:val="7478CEFB"/>
    <w:rsid w:val="7487A6E6"/>
    <w:rsid w:val="7499917B"/>
    <w:rsid w:val="74B41026"/>
    <w:rsid w:val="74B55A55"/>
    <w:rsid w:val="74E51478"/>
    <w:rsid w:val="74EE0D60"/>
    <w:rsid w:val="7509B2D1"/>
    <w:rsid w:val="75104703"/>
    <w:rsid w:val="75486D72"/>
    <w:rsid w:val="75525509"/>
    <w:rsid w:val="7583F972"/>
    <w:rsid w:val="758476EB"/>
    <w:rsid w:val="758E626C"/>
    <w:rsid w:val="75AEE888"/>
    <w:rsid w:val="75B8E9FD"/>
    <w:rsid w:val="75D70F84"/>
    <w:rsid w:val="75E359F6"/>
    <w:rsid w:val="7607C032"/>
    <w:rsid w:val="761CD26F"/>
    <w:rsid w:val="7621AF88"/>
    <w:rsid w:val="76237747"/>
    <w:rsid w:val="7623E19A"/>
    <w:rsid w:val="7625D527"/>
    <w:rsid w:val="76272D70"/>
    <w:rsid w:val="7630830E"/>
    <w:rsid w:val="763A7B16"/>
    <w:rsid w:val="7688583D"/>
    <w:rsid w:val="76A07284"/>
    <w:rsid w:val="770A4C68"/>
    <w:rsid w:val="770F2F07"/>
    <w:rsid w:val="7711AA94"/>
    <w:rsid w:val="772084F0"/>
    <w:rsid w:val="77598A39"/>
    <w:rsid w:val="7762CA6A"/>
    <w:rsid w:val="77717A33"/>
    <w:rsid w:val="7784535B"/>
    <w:rsid w:val="7791CFDF"/>
    <w:rsid w:val="7795ADA1"/>
    <w:rsid w:val="77D01EFF"/>
    <w:rsid w:val="784B2DEC"/>
    <w:rsid w:val="788118FA"/>
    <w:rsid w:val="78D8F076"/>
    <w:rsid w:val="78E607B5"/>
    <w:rsid w:val="790E0D51"/>
    <w:rsid w:val="792BA80E"/>
    <w:rsid w:val="79312ACA"/>
    <w:rsid w:val="7938791B"/>
    <w:rsid w:val="7991D590"/>
    <w:rsid w:val="799E83F0"/>
    <w:rsid w:val="79F5C056"/>
    <w:rsid w:val="7A094C0B"/>
    <w:rsid w:val="7A5C4C95"/>
    <w:rsid w:val="7A7B8E68"/>
    <w:rsid w:val="7ABB5D88"/>
    <w:rsid w:val="7AC77016"/>
    <w:rsid w:val="7ADFFF45"/>
    <w:rsid w:val="7B469FFE"/>
    <w:rsid w:val="7B56E981"/>
    <w:rsid w:val="7B838A14"/>
    <w:rsid w:val="7B8471A5"/>
    <w:rsid w:val="7B919382"/>
    <w:rsid w:val="7BB61B1F"/>
    <w:rsid w:val="7BB9E49D"/>
    <w:rsid w:val="7BBF6FAA"/>
    <w:rsid w:val="7C0BC454"/>
    <w:rsid w:val="7C2CA728"/>
    <w:rsid w:val="7C36A81A"/>
    <w:rsid w:val="7C5F7B31"/>
    <w:rsid w:val="7C68B4B0"/>
    <w:rsid w:val="7C857D63"/>
    <w:rsid w:val="7CA57F88"/>
    <w:rsid w:val="7CA973B4"/>
    <w:rsid w:val="7CB300A2"/>
    <w:rsid w:val="7CCD16BD"/>
    <w:rsid w:val="7CDABCF3"/>
    <w:rsid w:val="7D8B6ED2"/>
    <w:rsid w:val="7D9C6317"/>
    <w:rsid w:val="7DBEA9AD"/>
    <w:rsid w:val="7E0BEA3E"/>
    <w:rsid w:val="7E0DF2BB"/>
    <w:rsid w:val="7E49492F"/>
    <w:rsid w:val="7E8E0D4D"/>
    <w:rsid w:val="7E937E59"/>
    <w:rsid w:val="7E9684C4"/>
    <w:rsid w:val="7E9E0878"/>
    <w:rsid w:val="7EA6398B"/>
    <w:rsid w:val="7EE13DFB"/>
    <w:rsid w:val="7EE5BA8B"/>
    <w:rsid w:val="7F09738F"/>
    <w:rsid w:val="7F6398F3"/>
    <w:rsid w:val="7F825A31"/>
    <w:rsid w:val="7FCDA8C9"/>
    <w:rsid w:val="7FFD371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red,#4d4d4f"/>
    </o:shapedefaults>
    <o:shapelayout v:ext="edit">
      <o:idmap v:ext="edit" data="1"/>
    </o:shapelayout>
  </w:shapeDefaults>
  <w:decimalSymbol w:val="."/>
  <w:listSeparator w:val=","/>
  <w14:docId w14:val="667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D74D7E"/>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7"/>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7"/>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7"/>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7"/>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11"/>
      </w:numPr>
      <w:spacing w:after="0"/>
    </w:pPr>
    <w:rPr>
      <w:b/>
      <w:bCs/>
      <w:color w:val="323232"/>
      <w:szCs w:val="20"/>
    </w:rPr>
  </w:style>
  <w:style w:type="paragraph" w:customStyle="1" w:styleId="BodySubHeader">
    <w:name w:val="BodySubHeader"/>
    <w:basedOn w:val="Normal"/>
    <w:next w:val="Normal"/>
    <w:semiHidden/>
    <w:rsid w:val="00477E8C"/>
    <w:pPr>
      <w:spacing w:before="240" w:after="0"/>
    </w:pPr>
    <w:rPr>
      <w:b/>
      <w:i/>
    </w:rPr>
  </w:style>
  <w:style w:type="paragraph" w:styleId="ListBullet">
    <w:name w:val="List Bullet"/>
    <w:aliases w:val="List Bullet 1"/>
    <w:basedOn w:val="Normal"/>
    <w:link w:val="ListBulletChar"/>
    <w:qFormat/>
    <w:rsid w:val="001C6AEE"/>
    <w:pPr>
      <w:numPr>
        <w:numId w:val="4"/>
      </w:numPr>
      <w:spacing w:after="80"/>
    </w:pPr>
  </w:style>
  <w:style w:type="paragraph" w:styleId="ListBullet2">
    <w:name w:val="List Bullet 2"/>
    <w:basedOn w:val="Normal"/>
    <w:qFormat/>
    <w:rsid w:val="001C6AEE"/>
    <w:pPr>
      <w:numPr>
        <w:numId w:val="5"/>
      </w:numPr>
      <w:spacing w:after="80"/>
    </w:pPr>
  </w:style>
  <w:style w:type="paragraph" w:styleId="ListNumber">
    <w:name w:val="List Number"/>
    <w:basedOn w:val="Normal"/>
    <w:qFormat/>
    <w:rsid w:val="00C24A53"/>
    <w:pPr>
      <w:numPr>
        <w:numId w:val="13"/>
      </w:numPr>
      <w:spacing w:after="80"/>
    </w:pPr>
  </w:style>
  <w:style w:type="paragraph" w:styleId="ListNumber2">
    <w:name w:val="List Number 2"/>
    <w:basedOn w:val="Normal"/>
    <w:semiHidden/>
    <w:qFormat/>
    <w:rsid w:val="004A70D6"/>
    <w:pPr>
      <w:numPr>
        <w:numId w:val="6"/>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f,fn,ALTS FOOTNOTE"/>
    <w:basedOn w:val="Normal"/>
    <w:link w:val="FootnoteTextChar"/>
    <w:qFormat/>
    <w:rsid w:val="00D61243"/>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9"/>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8"/>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10"/>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D74D7E"/>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styleId="ListParagraph">
    <w:name w:val="List Paragraph"/>
    <w:basedOn w:val="Normal"/>
    <w:uiPriority w:val="34"/>
    <w:qFormat/>
    <w:rsid w:val="002C1390"/>
    <w:pPr>
      <w:spacing w:after="160" w:line="259" w:lineRule="auto"/>
      <w:ind w:left="720"/>
      <w:contextualSpacing/>
    </w:pPr>
    <w:rPr>
      <w:rFonts w:eastAsiaTheme="minorHAnsi" w:cstheme="minorBidi"/>
      <w:szCs w:val="22"/>
      <w:lang w:eastAsia="en-US"/>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f Char,fn Char"/>
    <w:basedOn w:val="DefaultParagraphFont"/>
    <w:link w:val="FootnoteText"/>
    <w:qFormat/>
    <w:locked/>
    <w:rsid w:val="00241092"/>
    <w:rPr>
      <w:rFonts w:ascii="Arial" w:hAnsi="Arial"/>
      <w:sz w:val="16"/>
      <w:szCs w:val="16"/>
    </w:rPr>
  </w:style>
  <w:style w:type="character" w:customStyle="1" w:styleId="ListBulletChar">
    <w:name w:val="List Bullet Char"/>
    <w:aliases w:val="List Bullet 1 Char"/>
    <w:basedOn w:val="DefaultParagraphFont"/>
    <w:link w:val="ListBullet"/>
    <w:rsid w:val="00241092"/>
    <w:rPr>
      <w:rFonts w:ascii="Arial" w:hAnsi="Arial"/>
      <w:sz w:val="20"/>
    </w:rPr>
  </w:style>
  <w:style w:type="paragraph" w:customStyle="1" w:styleId="TableHeading0">
    <w:name w:val="Table Heading"/>
    <w:basedOn w:val="Normal"/>
    <w:qFormat/>
    <w:rsid w:val="00B83419"/>
    <w:pPr>
      <w:spacing w:after="0"/>
    </w:pPr>
    <w:rPr>
      <w:b/>
    </w:rPr>
  </w:style>
  <w:style w:type="paragraph" w:customStyle="1" w:styleId="ACMASpaceaftertable">
    <w:name w:val="ACMA_Space after table"/>
    <w:basedOn w:val="Normal"/>
    <w:qFormat/>
    <w:rsid w:val="00B83419"/>
    <w:rPr>
      <w:rFonts w:cs="Arial"/>
    </w:rPr>
  </w:style>
  <w:style w:type="paragraph" w:customStyle="1" w:styleId="ACMAHeading1">
    <w:name w:val="ACMA Heading 1"/>
    <w:next w:val="Normal"/>
    <w:link w:val="ACMAHeading1Char"/>
    <w:rsid w:val="00B83419"/>
    <w:pPr>
      <w:keepNext/>
      <w:suppressAutoHyphens/>
      <w:spacing w:before="320"/>
      <w:outlineLvl w:val="1"/>
    </w:pPr>
    <w:rPr>
      <w:rFonts w:ascii="Arial" w:hAnsi="Arial"/>
      <w:b/>
      <w:sz w:val="32"/>
      <w:szCs w:val="32"/>
      <w:lang w:val="en-US" w:eastAsia="en-US"/>
    </w:rPr>
  </w:style>
  <w:style w:type="character" w:customStyle="1" w:styleId="ACMAHeading1Char">
    <w:name w:val="ACMA Heading 1 Char"/>
    <w:basedOn w:val="DefaultParagraphFont"/>
    <w:link w:val="ACMAHeading1"/>
    <w:rsid w:val="00B83419"/>
    <w:rPr>
      <w:rFonts w:ascii="Arial" w:hAnsi="Arial"/>
      <w:b/>
      <w:sz w:val="32"/>
      <w:szCs w:val="32"/>
      <w:lang w:val="en-US" w:eastAsia="en-US"/>
    </w:rPr>
  </w:style>
  <w:style w:type="paragraph" w:customStyle="1" w:styleId="Default">
    <w:name w:val="Default"/>
    <w:rsid w:val="004C6412"/>
    <w:pPr>
      <w:autoSpaceDE w:val="0"/>
      <w:autoSpaceDN w:val="0"/>
      <w:adjustRightInd w:val="0"/>
    </w:pPr>
    <w:rPr>
      <w:rFonts w:ascii="Calibri" w:hAnsi="Calibri" w:cs="Calibri"/>
      <w:color w:val="000000"/>
    </w:rPr>
  </w:style>
  <w:style w:type="paragraph" w:styleId="Revision">
    <w:name w:val="Revision"/>
    <w:hidden/>
    <w:semiHidden/>
    <w:rsid w:val="00EF6E3A"/>
    <w:rPr>
      <w:rFonts w:ascii="Arial" w:hAnsi="Arial"/>
      <w:sz w:val="20"/>
    </w:rPr>
  </w:style>
  <w:style w:type="character" w:customStyle="1" w:styleId="normaltextrun">
    <w:name w:val="normaltextrun"/>
    <w:basedOn w:val="DefaultParagraphFont"/>
    <w:rsid w:val="00655F65"/>
  </w:style>
  <w:style w:type="character" w:customStyle="1" w:styleId="eop">
    <w:name w:val="eop"/>
    <w:basedOn w:val="DefaultParagraphFont"/>
    <w:rsid w:val="00655F65"/>
  </w:style>
  <w:style w:type="character" w:styleId="Strong">
    <w:name w:val="Strong"/>
    <w:basedOn w:val="DefaultParagraphFont"/>
    <w:qFormat/>
    <w:rsid w:val="00A70851"/>
    <w:rPr>
      <w:b/>
      <w:bCs/>
    </w:rPr>
  </w:style>
  <w:style w:type="paragraph" w:styleId="NormalWeb">
    <w:name w:val="Normal (Web)"/>
    <w:basedOn w:val="Normal"/>
    <w:uiPriority w:val="99"/>
    <w:semiHidden/>
    <w:unhideWhenUsed/>
    <w:rsid w:val="003B4908"/>
    <w:pPr>
      <w:spacing w:before="100" w:beforeAutospacing="1" w:after="100" w:afterAutospacing="1" w:line="240" w:lineRule="auto"/>
    </w:pPr>
    <w:rPr>
      <w:rFonts w:ascii="Times New Roman" w:hAnsi="Times New Roman"/>
      <w:sz w:val="24"/>
    </w:rPr>
  </w:style>
  <w:style w:type="character" w:styleId="Mention">
    <w:name w:val="Mention"/>
    <w:basedOn w:val="DefaultParagraphFont"/>
    <w:uiPriority w:val="99"/>
    <w:unhideWhenUsed/>
    <w:rsid w:val="00E437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60">
      <w:bodyDiv w:val="1"/>
      <w:marLeft w:val="0"/>
      <w:marRight w:val="0"/>
      <w:marTop w:val="0"/>
      <w:marBottom w:val="0"/>
      <w:divBdr>
        <w:top w:val="none" w:sz="0" w:space="0" w:color="auto"/>
        <w:left w:val="none" w:sz="0" w:space="0" w:color="auto"/>
        <w:bottom w:val="none" w:sz="0" w:space="0" w:color="auto"/>
        <w:right w:val="none" w:sz="0" w:space="0" w:color="auto"/>
      </w:divBdr>
    </w:div>
    <w:div w:id="13725488">
      <w:bodyDiv w:val="1"/>
      <w:marLeft w:val="0"/>
      <w:marRight w:val="0"/>
      <w:marTop w:val="0"/>
      <w:marBottom w:val="0"/>
      <w:divBdr>
        <w:top w:val="none" w:sz="0" w:space="0" w:color="auto"/>
        <w:left w:val="none" w:sz="0" w:space="0" w:color="auto"/>
        <w:bottom w:val="none" w:sz="0" w:space="0" w:color="auto"/>
        <w:right w:val="none" w:sz="0" w:space="0" w:color="auto"/>
      </w:divBdr>
    </w:div>
    <w:div w:id="58142011">
      <w:bodyDiv w:val="1"/>
      <w:marLeft w:val="0"/>
      <w:marRight w:val="0"/>
      <w:marTop w:val="0"/>
      <w:marBottom w:val="0"/>
      <w:divBdr>
        <w:top w:val="none" w:sz="0" w:space="0" w:color="auto"/>
        <w:left w:val="none" w:sz="0" w:space="0" w:color="auto"/>
        <w:bottom w:val="none" w:sz="0" w:space="0" w:color="auto"/>
        <w:right w:val="none" w:sz="0" w:space="0" w:color="auto"/>
      </w:divBdr>
    </w:div>
    <w:div w:id="84112008">
      <w:bodyDiv w:val="1"/>
      <w:marLeft w:val="0"/>
      <w:marRight w:val="0"/>
      <w:marTop w:val="0"/>
      <w:marBottom w:val="0"/>
      <w:divBdr>
        <w:top w:val="none" w:sz="0" w:space="0" w:color="auto"/>
        <w:left w:val="none" w:sz="0" w:space="0" w:color="auto"/>
        <w:bottom w:val="none" w:sz="0" w:space="0" w:color="auto"/>
        <w:right w:val="none" w:sz="0" w:space="0" w:color="auto"/>
      </w:divBdr>
    </w:div>
    <w:div w:id="122814500">
      <w:bodyDiv w:val="1"/>
      <w:marLeft w:val="0"/>
      <w:marRight w:val="0"/>
      <w:marTop w:val="0"/>
      <w:marBottom w:val="0"/>
      <w:divBdr>
        <w:top w:val="none" w:sz="0" w:space="0" w:color="auto"/>
        <w:left w:val="none" w:sz="0" w:space="0" w:color="auto"/>
        <w:bottom w:val="none" w:sz="0" w:space="0" w:color="auto"/>
        <w:right w:val="none" w:sz="0" w:space="0" w:color="auto"/>
      </w:divBdr>
    </w:div>
    <w:div w:id="133910170">
      <w:bodyDiv w:val="1"/>
      <w:marLeft w:val="0"/>
      <w:marRight w:val="0"/>
      <w:marTop w:val="0"/>
      <w:marBottom w:val="0"/>
      <w:divBdr>
        <w:top w:val="none" w:sz="0" w:space="0" w:color="auto"/>
        <w:left w:val="none" w:sz="0" w:space="0" w:color="auto"/>
        <w:bottom w:val="none" w:sz="0" w:space="0" w:color="auto"/>
        <w:right w:val="none" w:sz="0" w:space="0" w:color="auto"/>
      </w:divBdr>
    </w:div>
    <w:div w:id="134564579">
      <w:bodyDiv w:val="1"/>
      <w:marLeft w:val="0"/>
      <w:marRight w:val="0"/>
      <w:marTop w:val="0"/>
      <w:marBottom w:val="0"/>
      <w:divBdr>
        <w:top w:val="none" w:sz="0" w:space="0" w:color="auto"/>
        <w:left w:val="none" w:sz="0" w:space="0" w:color="auto"/>
        <w:bottom w:val="none" w:sz="0" w:space="0" w:color="auto"/>
        <w:right w:val="none" w:sz="0" w:space="0" w:color="auto"/>
      </w:divBdr>
    </w:div>
    <w:div w:id="138961607">
      <w:bodyDiv w:val="1"/>
      <w:marLeft w:val="0"/>
      <w:marRight w:val="0"/>
      <w:marTop w:val="0"/>
      <w:marBottom w:val="0"/>
      <w:divBdr>
        <w:top w:val="none" w:sz="0" w:space="0" w:color="auto"/>
        <w:left w:val="none" w:sz="0" w:space="0" w:color="auto"/>
        <w:bottom w:val="none" w:sz="0" w:space="0" w:color="auto"/>
        <w:right w:val="none" w:sz="0" w:space="0" w:color="auto"/>
      </w:divBdr>
    </w:div>
    <w:div w:id="165630052">
      <w:bodyDiv w:val="1"/>
      <w:marLeft w:val="0"/>
      <w:marRight w:val="0"/>
      <w:marTop w:val="0"/>
      <w:marBottom w:val="0"/>
      <w:divBdr>
        <w:top w:val="none" w:sz="0" w:space="0" w:color="auto"/>
        <w:left w:val="none" w:sz="0" w:space="0" w:color="auto"/>
        <w:bottom w:val="none" w:sz="0" w:space="0" w:color="auto"/>
        <w:right w:val="none" w:sz="0" w:space="0" w:color="auto"/>
      </w:divBdr>
    </w:div>
    <w:div w:id="177895819">
      <w:bodyDiv w:val="1"/>
      <w:marLeft w:val="0"/>
      <w:marRight w:val="0"/>
      <w:marTop w:val="0"/>
      <w:marBottom w:val="0"/>
      <w:divBdr>
        <w:top w:val="none" w:sz="0" w:space="0" w:color="auto"/>
        <w:left w:val="none" w:sz="0" w:space="0" w:color="auto"/>
        <w:bottom w:val="none" w:sz="0" w:space="0" w:color="auto"/>
        <w:right w:val="none" w:sz="0" w:space="0" w:color="auto"/>
      </w:divBdr>
    </w:div>
    <w:div w:id="208150951">
      <w:bodyDiv w:val="1"/>
      <w:marLeft w:val="0"/>
      <w:marRight w:val="0"/>
      <w:marTop w:val="0"/>
      <w:marBottom w:val="0"/>
      <w:divBdr>
        <w:top w:val="none" w:sz="0" w:space="0" w:color="auto"/>
        <w:left w:val="none" w:sz="0" w:space="0" w:color="auto"/>
        <w:bottom w:val="none" w:sz="0" w:space="0" w:color="auto"/>
        <w:right w:val="none" w:sz="0" w:space="0" w:color="auto"/>
      </w:divBdr>
    </w:div>
    <w:div w:id="271980005">
      <w:bodyDiv w:val="1"/>
      <w:marLeft w:val="0"/>
      <w:marRight w:val="0"/>
      <w:marTop w:val="0"/>
      <w:marBottom w:val="0"/>
      <w:divBdr>
        <w:top w:val="none" w:sz="0" w:space="0" w:color="auto"/>
        <w:left w:val="none" w:sz="0" w:space="0" w:color="auto"/>
        <w:bottom w:val="none" w:sz="0" w:space="0" w:color="auto"/>
        <w:right w:val="none" w:sz="0" w:space="0" w:color="auto"/>
      </w:divBdr>
    </w:div>
    <w:div w:id="277295901">
      <w:bodyDiv w:val="1"/>
      <w:marLeft w:val="0"/>
      <w:marRight w:val="0"/>
      <w:marTop w:val="0"/>
      <w:marBottom w:val="0"/>
      <w:divBdr>
        <w:top w:val="none" w:sz="0" w:space="0" w:color="auto"/>
        <w:left w:val="none" w:sz="0" w:space="0" w:color="auto"/>
        <w:bottom w:val="none" w:sz="0" w:space="0" w:color="auto"/>
        <w:right w:val="none" w:sz="0" w:space="0" w:color="auto"/>
      </w:divBdr>
    </w:div>
    <w:div w:id="279267908">
      <w:bodyDiv w:val="1"/>
      <w:marLeft w:val="0"/>
      <w:marRight w:val="0"/>
      <w:marTop w:val="0"/>
      <w:marBottom w:val="0"/>
      <w:divBdr>
        <w:top w:val="none" w:sz="0" w:space="0" w:color="auto"/>
        <w:left w:val="none" w:sz="0" w:space="0" w:color="auto"/>
        <w:bottom w:val="none" w:sz="0" w:space="0" w:color="auto"/>
        <w:right w:val="none" w:sz="0" w:space="0" w:color="auto"/>
      </w:divBdr>
    </w:div>
    <w:div w:id="311447700">
      <w:bodyDiv w:val="1"/>
      <w:marLeft w:val="0"/>
      <w:marRight w:val="0"/>
      <w:marTop w:val="0"/>
      <w:marBottom w:val="0"/>
      <w:divBdr>
        <w:top w:val="none" w:sz="0" w:space="0" w:color="auto"/>
        <w:left w:val="none" w:sz="0" w:space="0" w:color="auto"/>
        <w:bottom w:val="none" w:sz="0" w:space="0" w:color="auto"/>
        <w:right w:val="none" w:sz="0" w:space="0" w:color="auto"/>
      </w:divBdr>
    </w:div>
    <w:div w:id="319891951">
      <w:bodyDiv w:val="1"/>
      <w:marLeft w:val="0"/>
      <w:marRight w:val="0"/>
      <w:marTop w:val="0"/>
      <w:marBottom w:val="0"/>
      <w:divBdr>
        <w:top w:val="none" w:sz="0" w:space="0" w:color="auto"/>
        <w:left w:val="none" w:sz="0" w:space="0" w:color="auto"/>
        <w:bottom w:val="none" w:sz="0" w:space="0" w:color="auto"/>
        <w:right w:val="none" w:sz="0" w:space="0" w:color="auto"/>
      </w:divBdr>
    </w:div>
    <w:div w:id="328606073">
      <w:bodyDiv w:val="1"/>
      <w:marLeft w:val="0"/>
      <w:marRight w:val="0"/>
      <w:marTop w:val="0"/>
      <w:marBottom w:val="0"/>
      <w:divBdr>
        <w:top w:val="none" w:sz="0" w:space="0" w:color="auto"/>
        <w:left w:val="none" w:sz="0" w:space="0" w:color="auto"/>
        <w:bottom w:val="none" w:sz="0" w:space="0" w:color="auto"/>
        <w:right w:val="none" w:sz="0" w:space="0" w:color="auto"/>
      </w:divBdr>
    </w:div>
    <w:div w:id="359431988">
      <w:bodyDiv w:val="1"/>
      <w:marLeft w:val="0"/>
      <w:marRight w:val="0"/>
      <w:marTop w:val="0"/>
      <w:marBottom w:val="0"/>
      <w:divBdr>
        <w:top w:val="none" w:sz="0" w:space="0" w:color="auto"/>
        <w:left w:val="none" w:sz="0" w:space="0" w:color="auto"/>
        <w:bottom w:val="none" w:sz="0" w:space="0" w:color="auto"/>
        <w:right w:val="none" w:sz="0" w:space="0" w:color="auto"/>
      </w:divBdr>
    </w:div>
    <w:div w:id="363557771">
      <w:bodyDiv w:val="1"/>
      <w:marLeft w:val="0"/>
      <w:marRight w:val="0"/>
      <w:marTop w:val="0"/>
      <w:marBottom w:val="0"/>
      <w:divBdr>
        <w:top w:val="none" w:sz="0" w:space="0" w:color="auto"/>
        <w:left w:val="none" w:sz="0" w:space="0" w:color="auto"/>
        <w:bottom w:val="none" w:sz="0" w:space="0" w:color="auto"/>
        <w:right w:val="none" w:sz="0" w:space="0" w:color="auto"/>
      </w:divBdr>
    </w:div>
    <w:div w:id="367074753">
      <w:bodyDiv w:val="1"/>
      <w:marLeft w:val="0"/>
      <w:marRight w:val="0"/>
      <w:marTop w:val="0"/>
      <w:marBottom w:val="0"/>
      <w:divBdr>
        <w:top w:val="none" w:sz="0" w:space="0" w:color="auto"/>
        <w:left w:val="none" w:sz="0" w:space="0" w:color="auto"/>
        <w:bottom w:val="none" w:sz="0" w:space="0" w:color="auto"/>
        <w:right w:val="none" w:sz="0" w:space="0" w:color="auto"/>
      </w:divBdr>
    </w:div>
    <w:div w:id="378893988">
      <w:bodyDiv w:val="1"/>
      <w:marLeft w:val="0"/>
      <w:marRight w:val="0"/>
      <w:marTop w:val="0"/>
      <w:marBottom w:val="0"/>
      <w:divBdr>
        <w:top w:val="none" w:sz="0" w:space="0" w:color="auto"/>
        <w:left w:val="none" w:sz="0" w:space="0" w:color="auto"/>
        <w:bottom w:val="none" w:sz="0" w:space="0" w:color="auto"/>
        <w:right w:val="none" w:sz="0" w:space="0" w:color="auto"/>
      </w:divBdr>
    </w:div>
    <w:div w:id="423113591">
      <w:bodyDiv w:val="1"/>
      <w:marLeft w:val="0"/>
      <w:marRight w:val="0"/>
      <w:marTop w:val="0"/>
      <w:marBottom w:val="0"/>
      <w:divBdr>
        <w:top w:val="none" w:sz="0" w:space="0" w:color="auto"/>
        <w:left w:val="none" w:sz="0" w:space="0" w:color="auto"/>
        <w:bottom w:val="none" w:sz="0" w:space="0" w:color="auto"/>
        <w:right w:val="none" w:sz="0" w:space="0" w:color="auto"/>
      </w:divBdr>
    </w:div>
    <w:div w:id="431710713">
      <w:bodyDiv w:val="1"/>
      <w:marLeft w:val="0"/>
      <w:marRight w:val="0"/>
      <w:marTop w:val="0"/>
      <w:marBottom w:val="0"/>
      <w:divBdr>
        <w:top w:val="none" w:sz="0" w:space="0" w:color="auto"/>
        <w:left w:val="none" w:sz="0" w:space="0" w:color="auto"/>
        <w:bottom w:val="none" w:sz="0" w:space="0" w:color="auto"/>
        <w:right w:val="none" w:sz="0" w:space="0" w:color="auto"/>
      </w:divBdr>
    </w:div>
    <w:div w:id="438136612">
      <w:bodyDiv w:val="1"/>
      <w:marLeft w:val="0"/>
      <w:marRight w:val="0"/>
      <w:marTop w:val="0"/>
      <w:marBottom w:val="0"/>
      <w:divBdr>
        <w:top w:val="none" w:sz="0" w:space="0" w:color="auto"/>
        <w:left w:val="none" w:sz="0" w:space="0" w:color="auto"/>
        <w:bottom w:val="none" w:sz="0" w:space="0" w:color="auto"/>
        <w:right w:val="none" w:sz="0" w:space="0" w:color="auto"/>
      </w:divBdr>
    </w:div>
    <w:div w:id="440227393">
      <w:bodyDiv w:val="1"/>
      <w:marLeft w:val="0"/>
      <w:marRight w:val="0"/>
      <w:marTop w:val="0"/>
      <w:marBottom w:val="0"/>
      <w:divBdr>
        <w:top w:val="none" w:sz="0" w:space="0" w:color="auto"/>
        <w:left w:val="none" w:sz="0" w:space="0" w:color="auto"/>
        <w:bottom w:val="none" w:sz="0" w:space="0" w:color="auto"/>
        <w:right w:val="none" w:sz="0" w:space="0" w:color="auto"/>
      </w:divBdr>
    </w:div>
    <w:div w:id="502478289">
      <w:bodyDiv w:val="1"/>
      <w:marLeft w:val="0"/>
      <w:marRight w:val="0"/>
      <w:marTop w:val="0"/>
      <w:marBottom w:val="0"/>
      <w:divBdr>
        <w:top w:val="none" w:sz="0" w:space="0" w:color="auto"/>
        <w:left w:val="none" w:sz="0" w:space="0" w:color="auto"/>
        <w:bottom w:val="none" w:sz="0" w:space="0" w:color="auto"/>
        <w:right w:val="none" w:sz="0" w:space="0" w:color="auto"/>
      </w:divBdr>
    </w:div>
    <w:div w:id="510804090">
      <w:bodyDiv w:val="1"/>
      <w:marLeft w:val="0"/>
      <w:marRight w:val="0"/>
      <w:marTop w:val="0"/>
      <w:marBottom w:val="0"/>
      <w:divBdr>
        <w:top w:val="none" w:sz="0" w:space="0" w:color="auto"/>
        <w:left w:val="none" w:sz="0" w:space="0" w:color="auto"/>
        <w:bottom w:val="none" w:sz="0" w:space="0" w:color="auto"/>
        <w:right w:val="none" w:sz="0" w:space="0" w:color="auto"/>
      </w:divBdr>
    </w:div>
    <w:div w:id="535581908">
      <w:bodyDiv w:val="1"/>
      <w:marLeft w:val="0"/>
      <w:marRight w:val="0"/>
      <w:marTop w:val="0"/>
      <w:marBottom w:val="0"/>
      <w:divBdr>
        <w:top w:val="none" w:sz="0" w:space="0" w:color="auto"/>
        <w:left w:val="none" w:sz="0" w:space="0" w:color="auto"/>
        <w:bottom w:val="none" w:sz="0" w:space="0" w:color="auto"/>
        <w:right w:val="none" w:sz="0" w:space="0" w:color="auto"/>
      </w:divBdr>
    </w:div>
    <w:div w:id="536822881">
      <w:bodyDiv w:val="1"/>
      <w:marLeft w:val="0"/>
      <w:marRight w:val="0"/>
      <w:marTop w:val="0"/>
      <w:marBottom w:val="0"/>
      <w:divBdr>
        <w:top w:val="none" w:sz="0" w:space="0" w:color="auto"/>
        <w:left w:val="none" w:sz="0" w:space="0" w:color="auto"/>
        <w:bottom w:val="none" w:sz="0" w:space="0" w:color="auto"/>
        <w:right w:val="none" w:sz="0" w:space="0" w:color="auto"/>
      </w:divBdr>
    </w:div>
    <w:div w:id="549269851">
      <w:bodyDiv w:val="1"/>
      <w:marLeft w:val="0"/>
      <w:marRight w:val="0"/>
      <w:marTop w:val="0"/>
      <w:marBottom w:val="0"/>
      <w:divBdr>
        <w:top w:val="none" w:sz="0" w:space="0" w:color="auto"/>
        <w:left w:val="none" w:sz="0" w:space="0" w:color="auto"/>
        <w:bottom w:val="none" w:sz="0" w:space="0" w:color="auto"/>
        <w:right w:val="none" w:sz="0" w:space="0" w:color="auto"/>
      </w:divBdr>
    </w:div>
    <w:div w:id="560677617">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94902517">
      <w:bodyDiv w:val="1"/>
      <w:marLeft w:val="0"/>
      <w:marRight w:val="0"/>
      <w:marTop w:val="0"/>
      <w:marBottom w:val="0"/>
      <w:divBdr>
        <w:top w:val="none" w:sz="0" w:space="0" w:color="auto"/>
        <w:left w:val="none" w:sz="0" w:space="0" w:color="auto"/>
        <w:bottom w:val="none" w:sz="0" w:space="0" w:color="auto"/>
        <w:right w:val="none" w:sz="0" w:space="0" w:color="auto"/>
      </w:divBdr>
    </w:div>
    <w:div w:id="611208375">
      <w:bodyDiv w:val="1"/>
      <w:marLeft w:val="0"/>
      <w:marRight w:val="0"/>
      <w:marTop w:val="0"/>
      <w:marBottom w:val="0"/>
      <w:divBdr>
        <w:top w:val="none" w:sz="0" w:space="0" w:color="auto"/>
        <w:left w:val="none" w:sz="0" w:space="0" w:color="auto"/>
        <w:bottom w:val="none" w:sz="0" w:space="0" w:color="auto"/>
        <w:right w:val="none" w:sz="0" w:space="0" w:color="auto"/>
      </w:divBdr>
    </w:div>
    <w:div w:id="614018364">
      <w:bodyDiv w:val="1"/>
      <w:marLeft w:val="0"/>
      <w:marRight w:val="0"/>
      <w:marTop w:val="0"/>
      <w:marBottom w:val="0"/>
      <w:divBdr>
        <w:top w:val="none" w:sz="0" w:space="0" w:color="auto"/>
        <w:left w:val="none" w:sz="0" w:space="0" w:color="auto"/>
        <w:bottom w:val="none" w:sz="0" w:space="0" w:color="auto"/>
        <w:right w:val="none" w:sz="0" w:space="0" w:color="auto"/>
      </w:divBdr>
    </w:div>
    <w:div w:id="614219622">
      <w:bodyDiv w:val="1"/>
      <w:marLeft w:val="0"/>
      <w:marRight w:val="0"/>
      <w:marTop w:val="0"/>
      <w:marBottom w:val="0"/>
      <w:divBdr>
        <w:top w:val="none" w:sz="0" w:space="0" w:color="auto"/>
        <w:left w:val="none" w:sz="0" w:space="0" w:color="auto"/>
        <w:bottom w:val="none" w:sz="0" w:space="0" w:color="auto"/>
        <w:right w:val="none" w:sz="0" w:space="0" w:color="auto"/>
      </w:divBdr>
    </w:div>
    <w:div w:id="622004321">
      <w:bodyDiv w:val="1"/>
      <w:marLeft w:val="0"/>
      <w:marRight w:val="0"/>
      <w:marTop w:val="0"/>
      <w:marBottom w:val="0"/>
      <w:divBdr>
        <w:top w:val="none" w:sz="0" w:space="0" w:color="auto"/>
        <w:left w:val="none" w:sz="0" w:space="0" w:color="auto"/>
        <w:bottom w:val="none" w:sz="0" w:space="0" w:color="auto"/>
        <w:right w:val="none" w:sz="0" w:space="0" w:color="auto"/>
      </w:divBdr>
    </w:div>
    <w:div w:id="624846001">
      <w:bodyDiv w:val="1"/>
      <w:marLeft w:val="0"/>
      <w:marRight w:val="0"/>
      <w:marTop w:val="0"/>
      <w:marBottom w:val="0"/>
      <w:divBdr>
        <w:top w:val="none" w:sz="0" w:space="0" w:color="auto"/>
        <w:left w:val="none" w:sz="0" w:space="0" w:color="auto"/>
        <w:bottom w:val="none" w:sz="0" w:space="0" w:color="auto"/>
        <w:right w:val="none" w:sz="0" w:space="0" w:color="auto"/>
      </w:divBdr>
    </w:div>
    <w:div w:id="638538556">
      <w:bodyDiv w:val="1"/>
      <w:marLeft w:val="0"/>
      <w:marRight w:val="0"/>
      <w:marTop w:val="0"/>
      <w:marBottom w:val="0"/>
      <w:divBdr>
        <w:top w:val="none" w:sz="0" w:space="0" w:color="auto"/>
        <w:left w:val="none" w:sz="0" w:space="0" w:color="auto"/>
        <w:bottom w:val="none" w:sz="0" w:space="0" w:color="auto"/>
        <w:right w:val="none" w:sz="0" w:space="0" w:color="auto"/>
      </w:divBdr>
    </w:div>
    <w:div w:id="646280093">
      <w:bodyDiv w:val="1"/>
      <w:marLeft w:val="0"/>
      <w:marRight w:val="0"/>
      <w:marTop w:val="0"/>
      <w:marBottom w:val="0"/>
      <w:divBdr>
        <w:top w:val="none" w:sz="0" w:space="0" w:color="auto"/>
        <w:left w:val="none" w:sz="0" w:space="0" w:color="auto"/>
        <w:bottom w:val="none" w:sz="0" w:space="0" w:color="auto"/>
        <w:right w:val="none" w:sz="0" w:space="0" w:color="auto"/>
      </w:divBdr>
    </w:div>
    <w:div w:id="648634406">
      <w:bodyDiv w:val="1"/>
      <w:marLeft w:val="0"/>
      <w:marRight w:val="0"/>
      <w:marTop w:val="0"/>
      <w:marBottom w:val="0"/>
      <w:divBdr>
        <w:top w:val="none" w:sz="0" w:space="0" w:color="auto"/>
        <w:left w:val="none" w:sz="0" w:space="0" w:color="auto"/>
        <w:bottom w:val="none" w:sz="0" w:space="0" w:color="auto"/>
        <w:right w:val="none" w:sz="0" w:space="0" w:color="auto"/>
      </w:divBdr>
    </w:div>
    <w:div w:id="686440966">
      <w:bodyDiv w:val="1"/>
      <w:marLeft w:val="0"/>
      <w:marRight w:val="0"/>
      <w:marTop w:val="0"/>
      <w:marBottom w:val="0"/>
      <w:divBdr>
        <w:top w:val="none" w:sz="0" w:space="0" w:color="auto"/>
        <w:left w:val="none" w:sz="0" w:space="0" w:color="auto"/>
        <w:bottom w:val="none" w:sz="0" w:space="0" w:color="auto"/>
        <w:right w:val="none" w:sz="0" w:space="0" w:color="auto"/>
      </w:divBdr>
    </w:div>
    <w:div w:id="688750457">
      <w:bodyDiv w:val="1"/>
      <w:marLeft w:val="0"/>
      <w:marRight w:val="0"/>
      <w:marTop w:val="0"/>
      <w:marBottom w:val="0"/>
      <w:divBdr>
        <w:top w:val="none" w:sz="0" w:space="0" w:color="auto"/>
        <w:left w:val="none" w:sz="0" w:space="0" w:color="auto"/>
        <w:bottom w:val="none" w:sz="0" w:space="0" w:color="auto"/>
        <w:right w:val="none" w:sz="0" w:space="0" w:color="auto"/>
      </w:divBdr>
    </w:div>
    <w:div w:id="704410702">
      <w:bodyDiv w:val="1"/>
      <w:marLeft w:val="0"/>
      <w:marRight w:val="0"/>
      <w:marTop w:val="0"/>
      <w:marBottom w:val="0"/>
      <w:divBdr>
        <w:top w:val="none" w:sz="0" w:space="0" w:color="auto"/>
        <w:left w:val="none" w:sz="0" w:space="0" w:color="auto"/>
        <w:bottom w:val="none" w:sz="0" w:space="0" w:color="auto"/>
        <w:right w:val="none" w:sz="0" w:space="0" w:color="auto"/>
      </w:divBdr>
    </w:div>
    <w:div w:id="706024918">
      <w:bodyDiv w:val="1"/>
      <w:marLeft w:val="0"/>
      <w:marRight w:val="0"/>
      <w:marTop w:val="0"/>
      <w:marBottom w:val="0"/>
      <w:divBdr>
        <w:top w:val="none" w:sz="0" w:space="0" w:color="auto"/>
        <w:left w:val="none" w:sz="0" w:space="0" w:color="auto"/>
        <w:bottom w:val="none" w:sz="0" w:space="0" w:color="auto"/>
        <w:right w:val="none" w:sz="0" w:space="0" w:color="auto"/>
      </w:divBdr>
    </w:div>
    <w:div w:id="707724378">
      <w:bodyDiv w:val="1"/>
      <w:marLeft w:val="0"/>
      <w:marRight w:val="0"/>
      <w:marTop w:val="0"/>
      <w:marBottom w:val="0"/>
      <w:divBdr>
        <w:top w:val="none" w:sz="0" w:space="0" w:color="auto"/>
        <w:left w:val="none" w:sz="0" w:space="0" w:color="auto"/>
        <w:bottom w:val="none" w:sz="0" w:space="0" w:color="auto"/>
        <w:right w:val="none" w:sz="0" w:space="0" w:color="auto"/>
      </w:divBdr>
    </w:div>
    <w:div w:id="726343411">
      <w:bodyDiv w:val="1"/>
      <w:marLeft w:val="0"/>
      <w:marRight w:val="0"/>
      <w:marTop w:val="0"/>
      <w:marBottom w:val="0"/>
      <w:divBdr>
        <w:top w:val="none" w:sz="0" w:space="0" w:color="auto"/>
        <w:left w:val="none" w:sz="0" w:space="0" w:color="auto"/>
        <w:bottom w:val="none" w:sz="0" w:space="0" w:color="auto"/>
        <w:right w:val="none" w:sz="0" w:space="0" w:color="auto"/>
      </w:divBdr>
    </w:div>
    <w:div w:id="733622858">
      <w:bodyDiv w:val="1"/>
      <w:marLeft w:val="0"/>
      <w:marRight w:val="0"/>
      <w:marTop w:val="0"/>
      <w:marBottom w:val="0"/>
      <w:divBdr>
        <w:top w:val="none" w:sz="0" w:space="0" w:color="auto"/>
        <w:left w:val="none" w:sz="0" w:space="0" w:color="auto"/>
        <w:bottom w:val="none" w:sz="0" w:space="0" w:color="auto"/>
        <w:right w:val="none" w:sz="0" w:space="0" w:color="auto"/>
      </w:divBdr>
    </w:div>
    <w:div w:id="753935527">
      <w:bodyDiv w:val="1"/>
      <w:marLeft w:val="0"/>
      <w:marRight w:val="0"/>
      <w:marTop w:val="0"/>
      <w:marBottom w:val="0"/>
      <w:divBdr>
        <w:top w:val="none" w:sz="0" w:space="0" w:color="auto"/>
        <w:left w:val="none" w:sz="0" w:space="0" w:color="auto"/>
        <w:bottom w:val="none" w:sz="0" w:space="0" w:color="auto"/>
        <w:right w:val="none" w:sz="0" w:space="0" w:color="auto"/>
      </w:divBdr>
    </w:div>
    <w:div w:id="766191085">
      <w:bodyDiv w:val="1"/>
      <w:marLeft w:val="0"/>
      <w:marRight w:val="0"/>
      <w:marTop w:val="0"/>
      <w:marBottom w:val="0"/>
      <w:divBdr>
        <w:top w:val="none" w:sz="0" w:space="0" w:color="auto"/>
        <w:left w:val="none" w:sz="0" w:space="0" w:color="auto"/>
        <w:bottom w:val="none" w:sz="0" w:space="0" w:color="auto"/>
        <w:right w:val="none" w:sz="0" w:space="0" w:color="auto"/>
      </w:divBdr>
    </w:div>
    <w:div w:id="810708314">
      <w:bodyDiv w:val="1"/>
      <w:marLeft w:val="0"/>
      <w:marRight w:val="0"/>
      <w:marTop w:val="0"/>
      <w:marBottom w:val="0"/>
      <w:divBdr>
        <w:top w:val="none" w:sz="0" w:space="0" w:color="auto"/>
        <w:left w:val="none" w:sz="0" w:space="0" w:color="auto"/>
        <w:bottom w:val="none" w:sz="0" w:space="0" w:color="auto"/>
        <w:right w:val="none" w:sz="0" w:space="0" w:color="auto"/>
      </w:divBdr>
    </w:div>
    <w:div w:id="818111971">
      <w:bodyDiv w:val="1"/>
      <w:marLeft w:val="0"/>
      <w:marRight w:val="0"/>
      <w:marTop w:val="0"/>
      <w:marBottom w:val="0"/>
      <w:divBdr>
        <w:top w:val="none" w:sz="0" w:space="0" w:color="auto"/>
        <w:left w:val="none" w:sz="0" w:space="0" w:color="auto"/>
        <w:bottom w:val="none" w:sz="0" w:space="0" w:color="auto"/>
        <w:right w:val="none" w:sz="0" w:space="0" w:color="auto"/>
      </w:divBdr>
    </w:div>
    <w:div w:id="841898977">
      <w:bodyDiv w:val="1"/>
      <w:marLeft w:val="0"/>
      <w:marRight w:val="0"/>
      <w:marTop w:val="0"/>
      <w:marBottom w:val="0"/>
      <w:divBdr>
        <w:top w:val="none" w:sz="0" w:space="0" w:color="auto"/>
        <w:left w:val="none" w:sz="0" w:space="0" w:color="auto"/>
        <w:bottom w:val="none" w:sz="0" w:space="0" w:color="auto"/>
        <w:right w:val="none" w:sz="0" w:space="0" w:color="auto"/>
      </w:divBdr>
    </w:div>
    <w:div w:id="885526479">
      <w:bodyDiv w:val="1"/>
      <w:marLeft w:val="0"/>
      <w:marRight w:val="0"/>
      <w:marTop w:val="0"/>
      <w:marBottom w:val="0"/>
      <w:divBdr>
        <w:top w:val="none" w:sz="0" w:space="0" w:color="auto"/>
        <w:left w:val="none" w:sz="0" w:space="0" w:color="auto"/>
        <w:bottom w:val="none" w:sz="0" w:space="0" w:color="auto"/>
        <w:right w:val="none" w:sz="0" w:space="0" w:color="auto"/>
      </w:divBdr>
    </w:div>
    <w:div w:id="894195553">
      <w:bodyDiv w:val="1"/>
      <w:marLeft w:val="0"/>
      <w:marRight w:val="0"/>
      <w:marTop w:val="0"/>
      <w:marBottom w:val="0"/>
      <w:divBdr>
        <w:top w:val="none" w:sz="0" w:space="0" w:color="auto"/>
        <w:left w:val="none" w:sz="0" w:space="0" w:color="auto"/>
        <w:bottom w:val="none" w:sz="0" w:space="0" w:color="auto"/>
        <w:right w:val="none" w:sz="0" w:space="0" w:color="auto"/>
      </w:divBdr>
    </w:div>
    <w:div w:id="904874286">
      <w:bodyDiv w:val="1"/>
      <w:marLeft w:val="0"/>
      <w:marRight w:val="0"/>
      <w:marTop w:val="0"/>
      <w:marBottom w:val="0"/>
      <w:divBdr>
        <w:top w:val="none" w:sz="0" w:space="0" w:color="auto"/>
        <w:left w:val="none" w:sz="0" w:space="0" w:color="auto"/>
        <w:bottom w:val="none" w:sz="0" w:space="0" w:color="auto"/>
        <w:right w:val="none" w:sz="0" w:space="0" w:color="auto"/>
      </w:divBdr>
    </w:div>
    <w:div w:id="909968885">
      <w:bodyDiv w:val="1"/>
      <w:marLeft w:val="0"/>
      <w:marRight w:val="0"/>
      <w:marTop w:val="0"/>
      <w:marBottom w:val="0"/>
      <w:divBdr>
        <w:top w:val="none" w:sz="0" w:space="0" w:color="auto"/>
        <w:left w:val="none" w:sz="0" w:space="0" w:color="auto"/>
        <w:bottom w:val="none" w:sz="0" w:space="0" w:color="auto"/>
        <w:right w:val="none" w:sz="0" w:space="0" w:color="auto"/>
      </w:divBdr>
    </w:div>
    <w:div w:id="931355481">
      <w:bodyDiv w:val="1"/>
      <w:marLeft w:val="0"/>
      <w:marRight w:val="0"/>
      <w:marTop w:val="0"/>
      <w:marBottom w:val="0"/>
      <w:divBdr>
        <w:top w:val="none" w:sz="0" w:space="0" w:color="auto"/>
        <w:left w:val="none" w:sz="0" w:space="0" w:color="auto"/>
        <w:bottom w:val="none" w:sz="0" w:space="0" w:color="auto"/>
        <w:right w:val="none" w:sz="0" w:space="0" w:color="auto"/>
      </w:divBdr>
    </w:div>
    <w:div w:id="932395197">
      <w:bodyDiv w:val="1"/>
      <w:marLeft w:val="0"/>
      <w:marRight w:val="0"/>
      <w:marTop w:val="0"/>
      <w:marBottom w:val="0"/>
      <w:divBdr>
        <w:top w:val="none" w:sz="0" w:space="0" w:color="auto"/>
        <w:left w:val="none" w:sz="0" w:space="0" w:color="auto"/>
        <w:bottom w:val="none" w:sz="0" w:space="0" w:color="auto"/>
        <w:right w:val="none" w:sz="0" w:space="0" w:color="auto"/>
      </w:divBdr>
    </w:div>
    <w:div w:id="963773670">
      <w:bodyDiv w:val="1"/>
      <w:marLeft w:val="0"/>
      <w:marRight w:val="0"/>
      <w:marTop w:val="0"/>
      <w:marBottom w:val="0"/>
      <w:divBdr>
        <w:top w:val="none" w:sz="0" w:space="0" w:color="auto"/>
        <w:left w:val="none" w:sz="0" w:space="0" w:color="auto"/>
        <w:bottom w:val="none" w:sz="0" w:space="0" w:color="auto"/>
        <w:right w:val="none" w:sz="0" w:space="0" w:color="auto"/>
      </w:divBdr>
    </w:div>
    <w:div w:id="973144406">
      <w:bodyDiv w:val="1"/>
      <w:marLeft w:val="0"/>
      <w:marRight w:val="0"/>
      <w:marTop w:val="0"/>
      <w:marBottom w:val="0"/>
      <w:divBdr>
        <w:top w:val="none" w:sz="0" w:space="0" w:color="auto"/>
        <w:left w:val="none" w:sz="0" w:space="0" w:color="auto"/>
        <w:bottom w:val="none" w:sz="0" w:space="0" w:color="auto"/>
        <w:right w:val="none" w:sz="0" w:space="0" w:color="auto"/>
      </w:divBdr>
    </w:div>
    <w:div w:id="1033381917">
      <w:bodyDiv w:val="1"/>
      <w:marLeft w:val="0"/>
      <w:marRight w:val="0"/>
      <w:marTop w:val="0"/>
      <w:marBottom w:val="0"/>
      <w:divBdr>
        <w:top w:val="none" w:sz="0" w:space="0" w:color="auto"/>
        <w:left w:val="none" w:sz="0" w:space="0" w:color="auto"/>
        <w:bottom w:val="none" w:sz="0" w:space="0" w:color="auto"/>
        <w:right w:val="none" w:sz="0" w:space="0" w:color="auto"/>
      </w:divBdr>
    </w:div>
    <w:div w:id="1034159128">
      <w:bodyDiv w:val="1"/>
      <w:marLeft w:val="0"/>
      <w:marRight w:val="0"/>
      <w:marTop w:val="0"/>
      <w:marBottom w:val="0"/>
      <w:divBdr>
        <w:top w:val="none" w:sz="0" w:space="0" w:color="auto"/>
        <w:left w:val="none" w:sz="0" w:space="0" w:color="auto"/>
        <w:bottom w:val="none" w:sz="0" w:space="0" w:color="auto"/>
        <w:right w:val="none" w:sz="0" w:space="0" w:color="auto"/>
      </w:divBdr>
    </w:div>
    <w:div w:id="1035931408">
      <w:bodyDiv w:val="1"/>
      <w:marLeft w:val="0"/>
      <w:marRight w:val="0"/>
      <w:marTop w:val="0"/>
      <w:marBottom w:val="0"/>
      <w:divBdr>
        <w:top w:val="none" w:sz="0" w:space="0" w:color="auto"/>
        <w:left w:val="none" w:sz="0" w:space="0" w:color="auto"/>
        <w:bottom w:val="none" w:sz="0" w:space="0" w:color="auto"/>
        <w:right w:val="none" w:sz="0" w:space="0" w:color="auto"/>
      </w:divBdr>
    </w:div>
    <w:div w:id="1061444248">
      <w:bodyDiv w:val="1"/>
      <w:marLeft w:val="0"/>
      <w:marRight w:val="0"/>
      <w:marTop w:val="0"/>
      <w:marBottom w:val="0"/>
      <w:divBdr>
        <w:top w:val="none" w:sz="0" w:space="0" w:color="auto"/>
        <w:left w:val="none" w:sz="0" w:space="0" w:color="auto"/>
        <w:bottom w:val="none" w:sz="0" w:space="0" w:color="auto"/>
        <w:right w:val="none" w:sz="0" w:space="0" w:color="auto"/>
      </w:divBdr>
    </w:div>
    <w:div w:id="1071849322">
      <w:bodyDiv w:val="1"/>
      <w:marLeft w:val="0"/>
      <w:marRight w:val="0"/>
      <w:marTop w:val="0"/>
      <w:marBottom w:val="0"/>
      <w:divBdr>
        <w:top w:val="none" w:sz="0" w:space="0" w:color="auto"/>
        <w:left w:val="none" w:sz="0" w:space="0" w:color="auto"/>
        <w:bottom w:val="none" w:sz="0" w:space="0" w:color="auto"/>
        <w:right w:val="none" w:sz="0" w:space="0" w:color="auto"/>
      </w:divBdr>
    </w:div>
    <w:div w:id="1094715471">
      <w:bodyDiv w:val="1"/>
      <w:marLeft w:val="0"/>
      <w:marRight w:val="0"/>
      <w:marTop w:val="0"/>
      <w:marBottom w:val="0"/>
      <w:divBdr>
        <w:top w:val="none" w:sz="0" w:space="0" w:color="auto"/>
        <w:left w:val="none" w:sz="0" w:space="0" w:color="auto"/>
        <w:bottom w:val="none" w:sz="0" w:space="0" w:color="auto"/>
        <w:right w:val="none" w:sz="0" w:space="0" w:color="auto"/>
      </w:divBdr>
    </w:div>
    <w:div w:id="1100415492">
      <w:bodyDiv w:val="1"/>
      <w:marLeft w:val="0"/>
      <w:marRight w:val="0"/>
      <w:marTop w:val="0"/>
      <w:marBottom w:val="0"/>
      <w:divBdr>
        <w:top w:val="none" w:sz="0" w:space="0" w:color="auto"/>
        <w:left w:val="none" w:sz="0" w:space="0" w:color="auto"/>
        <w:bottom w:val="none" w:sz="0" w:space="0" w:color="auto"/>
        <w:right w:val="none" w:sz="0" w:space="0" w:color="auto"/>
      </w:divBdr>
    </w:div>
    <w:div w:id="1144200149">
      <w:bodyDiv w:val="1"/>
      <w:marLeft w:val="0"/>
      <w:marRight w:val="0"/>
      <w:marTop w:val="0"/>
      <w:marBottom w:val="0"/>
      <w:divBdr>
        <w:top w:val="none" w:sz="0" w:space="0" w:color="auto"/>
        <w:left w:val="none" w:sz="0" w:space="0" w:color="auto"/>
        <w:bottom w:val="none" w:sz="0" w:space="0" w:color="auto"/>
        <w:right w:val="none" w:sz="0" w:space="0" w:color="auto"/>
      </w:divBdr>
    </w:div>
    <w:div w:id="1162626910">
      <w:bodyDiv w:val="1"/>
      <w:marLeft w:val="0"/>
      <w:marRight w:val="0"/>
      <w:marTop w:val="0"/>
      <w:marBottom w:val="0"/>
      <w:divBdr>
        <w:top w:val="none" w:sz="0" w:space="0" w:color="auto"/>
        <w:left w:val="none" w:sz="0" w:space="0" w:color="auto"/>
        <w:bottom w:val="none" w:sz="0" w:space="0" w:color="auto"/>
        <w:right w:val="none" w:sz="0" w:space="0" w:color="auto"/>
      </w:divBdr>
    </w:div>
    <w:div w:id="1168060078">
      <w:bodyDiv w:val="1"/>
      <w:marLeft w:val="0"/>
      <w:marRight w:val="0"/>
      <w:marTop w:val="0"/>
      <w:marBottom w:val="0"/>
      <w:divBdr>
        <w:top w:val="none" w:sz="0" w:space="0" w:color="auto"/>
        <w:left w:val="none" w:sz="0" w:space="0" w:color="auto"/>
        <w:bottom w:val="none" w:sz="0" w:space="0" w:color="auto"/>
        <w:right w:val="none" w:sz="0" w:space="0" w:color="auto"/>
      </w:divBdr>
    </w:div>
    <w:div w:id="1185172381">
      <w:bodyDiv w:val="1"/>
      <w:marLeft w:val="0"/>
      <w:marRight w:val="0"/>
      <w:marTop w:val="0"/>
      <w:marBottom w:val="0"/>
      <w:divBdr>
        <w:top w:val="none" w:sz="0" w:space="0" w:color="auto"/>
        <w:left w:val="none" w:sz="0" w:space="0" w:color="auto"/>
        <w:bottom w:val="none" w:sz="0" w:space="0" w:color="auto"/>
        <w:right w:val="none" w:sz="0" w:space="0" w:color="auto"/>
      </w:divBdr>
    </w:div>
    <w:div w:id="1200627616">
      <w:bodyDiv w:val="1"/>
      <w:marLeft w:val="0"/>
      <w:marRight w:val="0"/>
      <w:marTop w:val="0"/>
      <w:marBottom w:val="0"/>
      <w:divBdr>
        <w:top w:val="none" w:sz="0" w:space="0" w:color="auto"/>
        <w:left w:val="none" w:sz="0" w:space="0" w:color="auto"/>
        <w:bottom w:val="none" w:sz="0" w:space="0" w:color="auto"/>
        <w:right w:val="none" w:sz="0" w:space="0" w:color="auto"/>
      </w:divBdr>
    </w:div>
    <w:div w:id="1234467868">
      <w:bodyDiv w:val="1"/>
      <w:marLeft w:val="0"/>
      <w:marRight w:val="0"/>
      <w:marTop w:val="0"/>
      <w:marBottom w:val="0"/>
      <w:divBdr>
        <w:top w:val="none" w:sz="0" w:space="0" w:color="auto"/>
        <w:left w:val="none" w:sz="0" w:space="0" w:color="auto"/>
        <w:bottom w:val="none" w:sz="0" w:space="0" w:color="auto"/>
        <w:right w:val="none" w:sz="0" w:space="0" w:color="auto"/>
      </w:divBdr>
    </w:div>
    <w:div w:id="1257790804">
      <w:bodyDiv w:val="1"/>
      <w:marLeft w:val="0"/>
      <w:marRight w:val="0"/>
      <w:marTop w:val="0"/>
      <w:marBottom w:val="0"/>
      <w:divBdr>
        <w:top w:val="none" w:sz="0" w:space="0" w:color="auto"/>
        <w:left w:val="none" w:sz="0" w:space="0" w:color="auto"/>
        <w:bottom w:val="none" w:sz="0" w:space="0" w:color="auto"/>
        <w:right w:val="none" w:sz="0" w:space="0" w:color="auto"/>
      </w:divBdr>
    </w:div>
    <w:div w:id="1265455288">
      <w:bodyDiv w:val="1"/>
      <w:marLeft w:val="0"/>
      <w:marRight w:val="0"/>
      <w:marTop w:val="0"/>
      <w:marBottom w:val="0"/>
      <w:divBdr>
        <w:top w:val="none" w:sz="0" w:space="0" w:color="auto"/>
        <w:left w:val="none" w:sz="0" w:space="0" w:color="auto"/>
        <w:bottom w:val="none" w:sz="0" w:space="0" w:color="auto"/>
        <w:right w:val="none" w:sz="0" w:space="0" w:color="auto"/>
      </w:divBdr>
    </w:div>
    <w:div w:id="1271472360">
      <w:bodyDiv w:val="1"/>
      <w:marLeft w:val="0"/>
      <w:marRight w:val="0"/>
      <w:marTop w:val="0"/>
      <w:marBottom w:val="0"/>
      <w:divBdr>
        <w:top w:val="none" w:sz="0" w:space="0" w:color="auto"/>
        <w:left w:val="none" w:sz="0" w:space="0" w:color="auto"/>
        <w:bottom w:val="none" w:sz="0" w:space="0" w:color="auto"/>
        <w:right w:val="none" w:sz="0" w:space="0" w:color="auto"/>
      </w:divBdr>
    </w:div>
    <w:div w:id="1303390599">
      <w:bodyDiv w:val="1"/>
      <w:marLeft w:val="0"/>
      <w:marRight w:val="0"/>
      <w:marTop w:val="0"/>
      <w:marBottom w:val="0"/>
      <w:divBdr>
        <w:top w:val="none" w:sz="0" w:space="0" w:color="auto"/>
        <w:left w:val="none" w:sz="0" w:space="0" w:color="auto"/>
        <w:bottom w:val="none" w:sz="0" w:space="0" w:color="auto"/>
        <w:right w:val="none" w:sz="0" w:space="0" w:color="auto"/>
      </w:divBdr>
    </w:div>
    <w:div w:id="1309633721">
      <w:bodyDiv w:val="1"/>
      <w:marLeft w:val="0"/>
      <w:marRight w:val="0"/>
      <w:marTop w:val="0"/>
      <w:marBottom w:val="0"/>
      <w:divBdr>
        <w:top w:val="none" w:sz="0" w:space="0" w:color="auto"/>
        <w:left w:val="none" w:sz="0" w:space="0" w:color="auto"/>
        <w:bottom w:val="none" w:sz="0" w:space="0" w:color="auto"/>
        <w:right w:val="none" w:sz="0" w:space="0" w:color="auto"/>
      </w:divBdr>
    </w:div>
    <w:div w:id="1320112943">
      <w:bodyDiv w:val="1"/>
      <w:marLeft w:val="0"/>
      <w:marRight w:val="0"/>
      <w:marTop w:val="0"/>
      <w:marBottom w:val="0"/>
      <w:divBdr>
        <w:top w:val="none" w:sz="0" w:space="0" w:color="auto"/>
        <w:left w:val="none" w:sz="0" w:space="0" w:color="auto"/>
        <w:bottom w:val="none" w:sz="0" w:space="0" w:color="auto"/>
        <w:right w:val="none" w:sz="0" w:space="0" w:color="auto"/>
      </w:divBdr>
    </w:div>
    <w:div w:id="1338773097">
      <w:bodyDiv w:val="1"/>
      <w:marLeft w:val="0"/>
      <w:marRight w:val="0"/>
      <w:marTop w:val="0"/>
      <w:marBottom w:val="0"/>
      <w:divBdr>
        <w:top w:val="none" w:sz="0" w:space="0" w:color="auto"/>
        <w:left w:val="none" w:sz="0" w:space="0" w:color="auto"/>
        <w:bottom w:val="none" w:sz="0" w:space="0" w:color="auto"/>
        <w:right w:val="none" w:sz="0" w:space="0" w:color="auto"/>
      </w:divBdr>
    </w:div>
    <w:div w:id="1377510062">
      <w:bodyDiv w:val="1"/>
      <w:marLeft w:val="0"/>
      <w:marRight w:val="0"/>
      <w:marTop w:val="0"/>
      <w:marBottom w:val="0"/>
      <w:divBdr>
        <w:top w:val="none" w:sz="0" w:space="0" w:color="auto"/>
        <w:left w:val="none" w:sz="0" w:space="0" w:color="auto"/>
        <w:bottom w:val="none" w:sz="0" w:space="0" w:color="auto"/>
        <w:right w:val="none" w:sz="0" w:space="0" w:color="auto"/>
      </w:divBdr>
    </w:div>
    <w:div w:id="1388608673">
      <w:bodyDiv w:val="1"/>
      <w:marLeft w:val="0"/>
      <w:marRight w:val="0"/>
      <w:marTop w:val="0"/>
      <w:marBottom w:val="0"/>
      <w:divBdr>
        <w:top w:val="none" w:sz="0" w:space="0" w:color="auto"/>
        <w:left w:val="none" w:sz="0" w:space="0" w:color="auto"/>
        <w:bottom w:val="none" w:sz="0" w:space="0" w:color="auto"/>
        <w:right w:val="none" w:sz="0" w:space="0" w:color="auto"/>
      </w:divBdr>
    </w:div>
    <w:div w:id="1390226202">
      <w:bodyDiv w:val="1"/>
      <w:marLeft w:val="0"/>
      <w:marRight w:val="0"/>
      <w:marTop w:val="0"/>
      <w:marBottom w:val="0"/>
      <w:divBdr>
        <w:top w:val="none" w:sz="0" w:space="0" w:color="auto"/>
        <w:left w:val="none" w:sz="0" w:space="0" w:color="auto"/>
        <w:bottom w:val="none" w:sz="0" w:space="0" w:color="auto"/>
        <w:right w:val="none" w:sz="0" w:space="0" w:color="auto"/>
      </w:divBdr>
    </w:div>
    <w:div w:id="140957627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57411187">
      <w:bodyDiv w:val="1"/>
      <w:marLeft w:val="0"/>
      <w:marRight w:val="0"/>
      <w:marTop w:val="0"/>
      <w:marBottom w:val="0"/>
      <w:divBdr>
        <w:top w:val="none" w:sz="0" w:space="0" w:color="auto"/>
        <w:left w:val="none" w:sz="0" w:space="0" w:color="auto"/>
        <w:bottom w:val="none" w:sz="0" w:space="0" w:color="auto"/>
        <w:right w:val="none" w:sz="0" w:space="0" w:color="auto"/>
      </w:divBdr>
    </w:div>
    <w:div w:id="1476875406">
      <w:bodyDiv w:val="1"/>
      <w:marLeft w:val="0"/>
      <w:marRight w:val="0"/>
      <w:marTop w:val="0"/>
      <w:marBottom w:val="0"/>
      <w:divBdr>
        <w:top w:val="none" w:sz="0" w:space="0" w:color="auto"/>
        <w:left w:val="none" w:sz="0" w:space="0" w:color="auto"/>
        <w:bottom w:val="none" w:sz="0" w:space="0" w:color="auto"/>
        <w:right w:val="none" w:sz="0" w:space="0" w:color="auto"/>
      </w:divBdr>
    </w:div>
    <w:div w:id="1515269990">
      <w:bodyDiv w:val="1"/>
      <w:marLeft w:val="0"/>
      <w:marRight w:val="0"/>
      <w:marTop w:val="0"/>
      <w:marBottom w:val="0"/>
      <w:divBdr>
        <w:top w:val="none" w:sz="0" w:space="0" w:color="auto"/>
        <w:left w:val="none" w:sz="0" w:space="0" w:color="auto"/>
        <w:bottom w:val="none" w:sz="0" w:space="0" w:color="auto"/>
        <w:right w:val="none" w:sz="0" w:space="0" w:color="auto"/>
      </w:divBdr>
    </w:div>
    <w:div w:id="1525630180">
      <w:bodyDiv w:val="1"/>
      <w:marLeft w:val="0"/>
      <w:marRight w:val="0"/>
      <w:marTop w:val="0"/>
      <w:marBottom w:val="0"/>
      <w:divBdr>
        <w:top w:val="none" w:sz="0" w:space="0" w:color="auto"/>
        <w:left w:val="none" w:sz="0" w:space="0" w:color="auto"/>
        <w:bottom w:val="none" w:sz="0" w:space="0" w:color="auto"/>
        <w:right w:val="none" w:sz="0" w:space="0" w:color="auto"/>
      </w:divBdr>
    </w:div>
    <w:div w:id="1536887602">
      <w:bodyDiv w:val="1"/>
      <w:marLeft w:val="0"/>
      <w:marRight w:val="0"/>
      <w:marTop w:val="0"/>
      <w:marBottom w:val="0"/>
      <w:divBdr>
        <w:top w:val="none" w:sz="0" w:space="0" w:color="auto"/>
        <w:left w:val="none" w:sz="0" w:space="0" w:color="auto"/>
        <w:bottom w:val="none" w:sz="0" w:space="0" w:color="auto"/>
        <w:right w:val="none" w:sz="0" w:space="0" w:color="auto"/>
      </w:divBdr>
    </w:div>
    <w:div w:id="1542942493">
      <w:bodyDiv w:val="1"/>
      <w:marLeft w:val="0"/>
      <w:marRight w:val="0"/>
      <w:marTop w:val="0"/>
      <w:marBottom w:val="0"/>
      <w:divBdr>
        <w:top w:val="none" w:sz="0" w:space="0" w:color="auto"/>
        <w:left w:val="none" w:sz="0" w:space="0" w:color="auto"/>
        <w:bottom w:val="none" w:sz="0" w:space="0" w:color="auto"/>
        <w:right w:val="none" w:sz="0" w:space="0" w:color="auto"/>
      </w:divBdr>
    </w:div>
    <w:div w:id="155689148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0769742">
      <w:bodyDiv w:val="1"/>
      <w:marLeft w:val="0"/>
      <w:marRight w:val="0"/>
      <w:marTop w:val="0"/>
      <w:marBottom w:val="0"/>
      <w:divBdr>
        <w:top w:val="none" w:sz="0" w:space="0" w:color="auto"/>
        <w:left w:val="none" w:sz="0" w:space="0" w:color="auto"/>
        <w:bottom w:val="none" w:sz="0" w:space="0" w:color="auto"/>
        <w:right w:val="none" w:sz="0" w:space="0" w:color="auto"/>
      </w:divBdr>
    </w:div>
    <w:div w:id="1607469662">
      <w:bodyDiv w:val="1"/>
      <w:marLeft w:val="0"/>
      <w:marRight w:val="0"/>
      <w:marTop w:val="0"/>
      <w:marBottom w:val="0"/>
      <w:divBdr>
        <w:top w:val="none" w:sz="0" w:space="0" w:color="auto"/>
        <w:left w:val="none" w:sz="0" w:space="0" w:color="auto"/>
        <w:bottom w:val="none" w:sz="0" w:space="0" w:color="auto"/>
        <w:right w:val="none" w:sz="0" w:space="0" w:color="auto"/>
      </w:divBdr>
    </w:div>
    <w:div w:id="1631858944">
      <w:bodyDiv w:val="1"/>
      <w:marLeft w:val="0"/>
      <w:marRight w:val="0"/>
      <w:marTop w:val="0"/>
      <w:marBottom w:val="0"/>
      <w:divBdr>
        <w:top w:val="none" w:sz="0" w:space="0" w:color="auto"/>
        <w:left w:val="none" w:sz="0" w:space="0" w:color="auto"/>
        <w:bottom w:val="none" w:sz="0" w:space="0" w:color="auto"/>
        <w:right w:val="none" w:sz="0" w:space="0" w:color="auto"/>
      </w:divBdr>
    </w:div>
    <w:div w:id="1649743551">
      <w:bodyDiv w:val="1"/>
      <w:marLeft w:val="0"/>
      <w:marRight w:val="0"/>
      <w:marTop w:val="0"/>
      <w:marBottom w:val="0"/>
      <w:divBdr>
        <w:top w:val="none" w:sz="0" w:space="0" w:color="auto"/>
        <w:left w:val="none" w:sz="0" w:space="0" w:color="auto"/>
        <w:bottom w:val="none" w:sz="0" w:space="0" w:color="auto"/>
        <w:right w:val="none" w:sz="0" w:space="0" w:color="auto"/>
      </w:divBdr>
    </w:div>
    <w:div w:id="1661151740">
      <w:bodyDiv w:val="1"/>
      <w:marLeft w:val="0"/>
      <w:marRight w:val="0"/>
      <w:marTop w:val="0"/>
      <w:marBottom w:val="0"/>
      <w:divBdr>
        <w:top w:val="none" w:sz="0" w:space="0" w:color="auto"/>
        <w:left w:val="none" w:sz="0" w:space="0" w:color="auto"/>
        <w:bottom w:val="none" w:sz="0" w:space="0" w:color="auto"/>
        <w:right w:val="none" w:sz="0" w:space="0" w:color="auto"/>
      </w:divBdr>
    </w:div>
    <w:div w:id="1700738893">
      <w:bodyDiv w:val="1"/>
      <w:marLeft w:val="0"/>
      <w:marRight w:val="0"/>
      <w:marTop w:val="0"/>
      <w:marBottom w:val="0"/>
      <w:divBdr>
        <w:top w:val="none" w:sz="0" w:space="0" w:color="auto"/>
        <w:left w:val="none" w:sz="0" w:space="0" w:color="auto"/>
        <w:bottom w:val="none" w:sz="0" w:space="0" w:color="auto"/>
        <w:right w:val="none" w:sz="0" w:space="0" w:color="auto"/>
      </w:divBdr>
    </w:div>
    <w:div w:id="1747528531">
      <w:bodyDiv w:val="1"/>
      <w:marLeft w:val="0"/>
      <w:marRight w:val="0"/>
      <w:marTop w:val="0"/>
      <w:marBottom w:val="0"/>
      <w:divBdr>
        <w:top w:val="none" w:sz="0" w:space="0" w:color="auto"/>
        <w:left w:val="none" w:sz="0" w:space="0" w:color="auto"/>
        <w:bottom w:val="none" w:sz="0" w:space="0" w:color="auto"/>
        <w:right w:val="none" w:sz="0" w:space="0" w:color="auto"/>
      </w:divBdr>
    </w:div>
    <w:div w:id="1831090690">
      <w:bodyDiv w:val="1"/>
      <w:marLeft w:val="0"/>
      <w:marRight w:val="0"/>
      <w:marTop w:val="0"/>
      <w:marBottom w:val="0"/>
      <w:divBdr>
        <w:top w:val="none" w:sz="0" w:space="0" w:color="auto"/>
        <w:left w:val="none" w:sz="0" w:space="0" w:color="auto"/>
        <w:bottom w:val="none" w:sz="0" w:space="0" w:color="auto"/>
        <w:right w:val="none" w:sz="0" w:space="0" w:color="auto"/>
      </w:divBdr>
    </w:div>
    <w:div w:id="1836527424">
      <w:bodyDiv w:val="1"/>
      <w:marLeft w:val="0"/>
      <w:marRight w:val="0"/>
      <w:marTop w:val="0"/>
      <w:marBottom w:val="0"/>
      <w:divBdr>
        <w:top w:val="none" w:sz="0" w:space="0" w:color="auto"/>
        <w:left w:val="none" w:sz="0" w:space="0" w:color="auto"/>
        <w:bottom w:val="none" w:sz="0" w:space="0" w:color="auto"/>
        <w:right w:val="none" w:sz="0" w:space="0" w:color="auto"/>
      </w:divBdr>
    </w:div>
    <w:div w:id="1860855547">
      <w:bodyDiv w:val="1"/>
      <w:marLeft w:val="0"/>
      <w:marRight w:val="0"/>
      <w:marTop w:val="0"/>
      <w:marBottom w:val="0"/>
      <w:divBdr>
        <w:top w:val="none" w:sz="0" w:space="0" w:color="auto"/>
        <w:left w:val="none" w:sz="0" w:space="0" w:color="auto"/>
        <w:bottom w:val="none" w:sz="0" w:space="0" w:color="auto"/>
        <w:right w:val="none" w:sz="0" w:space="0" w:color="auto"/>
      </w:divBdr>
    </w:div>
    <w:div w:id="1913078882">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59683393">
      <w:bodyDiv w:val="1"/>
      <w:marLeft w:val="0"/>
      <w:marRight w:val="0"/>
      <w:marTop w:val="0"/>
      <w:marBottom w:val="0"/>
      <w:divBdr>
        <w:top w:val="none" w:sz="0" w:space="0" w:color="auto"/>
        <w:left w:val="none" w:sz="0" w:space="0" w:color="auto"/>
        <w:bottom w:val="none" w:sz="0" w:space="0" w:color="auto"/>
        <w:right w:val="none" w:sz="0" w:space="0" w:color="auto"/>
      </w:divBdr>
    </w:div>
    <w:div w:id="1972510845">
      <w:bodyDiv w:val="1"/>
      <w:marLeft w:val="0"/>
      <w:marRight w:val="0"/>
      <w:marTop w:val="0"/>
      <w:marBottom w:val="0"/>
      <w:divBdr>
        <w:top w:val="none" w:sz="0" w:space="0" w:color="auto"/>
        <w:left w:val="none" w:sz="0" w:space="0" w:color="auto"/>
        <w:bottom w:val="none" w:sz="0" w:space="0" w:color="auto"/>
        <w:right w:val="none" w:sz="0" w:space="0" w:color="auto"/>
      </w:divBdr>
    </w:div>
    <w:div w:id="1974751777">
      <w:bodyDiv w:val="1"/>
      <w:marLeft w:val="0"/>
      <w:marRight w:val="0"/>
      <w:marTop w:val="0"/>
      <w:marBottom w:val="0"/>
      <w:divBdr>
        <w:top w:val="none" w:sz="0" w:space="0" w:color="auto"/>
        <w:left w:val="none" w:sz="0" w:space="0" w:color="auto"/>
        <w:bottom w:val="none" w:sz="0" w:space="0" w:color="auto"/>
        <w:right w:val="none" w:sz="0" w:space="0" w:color="auto"/>
      </w:divBdr>
    </w:div>
    <w:div w:id="1977224066">
      <w:bodyDiv w:val="1"/>
      <w:marLeft w:val="0"/>
      <w:marRight w:val="0"/>
      <w:marTop w:val="0"/>
      <w:marBottom w:val="0"/>
      <w:divBdr>
        <w:top w:val="none" w:sz="0" w:space="0" w:color="auto"/>
        <w:left w:val="none" w:sz="0" w:space="0" w:color="auto"/>
        <w:bottom w:val="none" w:sz="0" w:space="0" w:color="auto"/>
        <w:right w:val="none" w:sz="0" w:space="0" w:color="auto"/>
      </w:divBdr>
    </w:div>
    <w:div w:id="1977563494">
      <w:bodyDiv w:val="1"/>
      <w:marLeft w:val="0"/>
      <w:marRight w:val="0"/>
      <w:marTop w:val="0"/>
      <w:marBottom w:val="0"/>
      <w:divBdr>
        <w:top w:val="none" w:sz="0" w:space="0" w:color="auto"/>
        <w:left w:val="none" w:sz="0" w:space="0" w:color="auto"/>
        <w:bottom w:val="none" w:sz="0" w:space="0" w:color="auto"/>
        <w:right w:val="none" w:sz="0" w:space="0" w:color="auto"/>
      </w:divBdr>
    </w:div>
    <w:div w:id="2003392575">
      <w:bodyDiv w:val="1"/>
      <w:marLeft w:val="0"/>
      <w:marRight w:val="0"/>
      <w:marTop w:val="0"/>
      <w:marBottom w:val="0"/>
      <w:divBdr>
        <w:top w:val="none" w:sz="0" w:space="0" w:color="auto"/>
        <w:left w:val="none" w:sz="0" w:space="0" w:color="auto"/>
        <w:bottom w:val="none" w:sz="0" w:space="0" w:color="auto"/>
        <w:right w:val="none" w:sz="0" w:space="0" w:color="auto"/>
      </w:divBdr>
    </w:div>
    <w:div w:id="2004893499">
      <w:bodyDiv w:val="1"/>
      <w:marLeft w:val="0"/>
      <w:marRight w:val="0"/>
      <w:marTop w:val="0"/>
      <w:marBottom w:val="0"/>
      <w:divBdr>
        <w:top w:val="none" w:sz="0" w:space="0" w:color="auto"/>
        <w:left w:val="none" w:sz="0" w:space="0" w:color="auto"/>
        <w:bottom w:val="none" w:sz="0" w:space="0" w:color="auto"/>
        <w:right w:val="none" w:sz="0" w:space="0" w:color="auto"/>
      </w:divBdr>
    </w:div>
    <w:div w:id="2020501132">
      <w:bodyDiv w:val="1"/>
      <w:marLeft w:val="0"/>
      <w:marRight w:val="0"/>
      <w:marTop w:val="0"/>
      <w:marBottom w:val="0"/>
      <w:divBdr>
        <w:top w:val="none" w:sz="0" w:space="0" w:color="auto"/>
        <w:left w:val="none" w:sz="0" w:space="0" w:color="auto"/>
        <w:bottom w:val="none" w:sz="0" w:space="0" w:color="auto"/>
        <w:right w:val="none" w:sz="0" w:space="0" w:color="auto"/>
      </w:divBdr>
    </w:div>
    <w:div w:id="2023697173">
      <w:bodyDiv w:val="1"/>
      <w:marLeft w:val="0"/>
      <w:marRight w:val="0"/>
      <w:marTop w:val="0"/>
      <w:marBottom w:val="0"/>
      <w:divBdr>
        <w:top w:val="none" w:sz="0" w:space="0" w:color="auto"/>
        <w:left w:val="none" w:sz="0" w:space="0" w:color="auto"/>
        <w:bottom w:val="none" w:sz="0" w:space="0" w:color="auto"/>
        <w:right w:val="none" w:sz="0" w:space="0" w:color="auto"/>
      </w:divBdr>
    </w:div>
    <w:div w:id="2045405275">
      <w:bodyDiv w:val="1"/>
      <w:marLeft w:val="0"/>
      <w:marRight w:val="0"/>
      <w:marTop w:val="0"/>
      <w:marBottom w:val="0"/>
      <w:divBdr>
        <w:top w:val="none" w:sz="0" w:space="0" w:color="auto"/>
        <w:left w:val="none" w:sz="0" w:space="0" w:color="auto"/>
        <w:bottom w:val="none" w:sz="0" w:space="0" w:color="auto"/>
        <w:right w:val="none" w:sz="0" w:space="0" w:color="auto"/>
      </w:divBdr>
    </w:div>
    <w:div w:id="2050104938">
      <w:bodyDiv w:val="1"/>
      <w:marLeft w:val="0"/>
      <w:marRight w:val="0"/>
      <w:marTop w:val="0"/>
      <w:marBottom w:val="0"/>
      <w:divBdr>
        <w:top w:val="none" w:sz="0" w:space="0" w:color="auto"/>
        <w:left w:val="none" w:sz="0" w:space="0" w:color="auto"/>
        <w:bottom w:val="none" w:sz="0" w:space="0" w:color="auto"/>
        <w:right w:val="none" w:sz="0" w:space="0" w:color="auto"/>
      </w:divBdr>
    </w:div>
    <w:div w:id="2051491933">
      <w:bodyDiv w:val="1"/>
      <w:marLeft w:val="0"/>
      <w:marRight w:val="0"/>
      <w:marTop w:val="0"/>
      <w:marBottom w:val="0"/>
      <w:divBdr>
        <w:top w:val="none" w:sz="0" w:space="0" w:color="auto"/>
        <w:left w:val="none" w:sz="0" w:space="0" w:color="auto"/>
        <w:bottom w:val="none" w:sz="0" w:space="0" w:color="auto"/>
        <w:right w:val="none" w:sz="0" w:space="0" w:color="auto"/>
      </w:divBdr>
    </w:div>
    <w:div w:id="2084910604">
      <w:bodyDiv w:val="1"/>
      <w:marLeft w:val="0"/>
      <w:marRight w:val="0"/>
      <w:marTop w:val="0"/>
      <w:marBottom w:val="0"/>
      <w:divBdr>
        <w:top w:val="none" w:sz="0" w:space="0" w:color="auto"/>
        <w:left w:val="none" w:sz="0" w:space="0" w:color="auto"/>
        <w:bottom w:val="none" w:sz="0" w:space="0" w:color="auto"/>
        <w:right w:val="none" w:sz="0" w:space="0" w:color="auto"/>
      </w:divBdr>
    </w:div>
    <w:div w:id="2084913756">
      <w:bodyDiv w:val="1"/>
      <w:marLeft w:val="0"/>
      <w:marRight w:val="0"/>
      <w:marTop w:val="0"/>
      <w:marBottom w:val="0"/>
      <w:divBdr>
        <w:top w:val="none" w:sz="0" w:space="0" w:color="auto"/>
        <w:left w:val="none" w:sz="0" w:space="0" w:color="auto"/>
        <w:bottom w:val="none" w:sz="0" w:space="0" w:color="auto"/>
        <w:right w:val="none" w:sz="0" w:space="0" w:color="auto"/>
      </w:divBdr>
    </w:div>
    <w:div w:id="2090685502">
      <w:bodyDiv w:val="1"/>
      <w:marLeft w:val="0"/>
      <w:marRight w:val="0"/>
      <w:marTop w:val="0"/>
      <w:marBottom w:val="0"/>
      <w:divBdr>
        <w:top w:val="none" w:sz="0" w:space="0" w:color="auto"/>
        <w:left w:val="none" w:sz="0" w:space="0" w:color="auto"/>
        <w:bottom w:val="none" w:sz="0" w:space="0" w:color="auto"/>
        <w:right w:val="none" w:sz="0" w:space="0" w:color="auto"/>
      </w:divBdr>
    </w:div>
    <w:div w:id="2092003278">
      <w:bodyDiv w:val="1"/>
      <w:marLeft w:val="0"/>
      <w:marRight w:val="0"/>
      <w:marTop w:val="0"/>
      <w:marBottom w:val="0"/>
      <w:divBdr>
        <w:top w:val="none" w:sz="0" w:space="0" w:color="auto"/>
        <w:left w:val="none" w:sz="0" w:space="0" w:color="auto"/>
        <w:bottom w:val="none" w:sz="0" w:space="0" w:color="auto"/>
        <w:right w:val="none" w:sz="0" w:space="0" w:color="auto"/>
      </w:divBdr>
    </w:div>
    <w:div w:id="20965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0-02/implementation-spectrum-pricing-review-consultation-072020" TargetMode="External"/><Relationship Id="rId39" Type="http://schemas.openxmlformats.org/officeDocument/2006/relationships/header" Target="header7.xml"/><Relationship Id="rId21" Type="http://schemas.openxmlformats.org/officeDocument/2006/relationships/footer" Target="footer4.xml"/><Relationship Id="rId34" Type="http://schemas.openxmlformats.org/officeDocument/2006/relationships/chart" Target="charts/chart2.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nsultations/2020-12/response-implementation-spectrum-pricing-review-consultation-392020"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communications.gov.au/documents/spectrum-pricing-review" TargetMode="External"/><Relationship Id="rId32" Type="http://schemas.openxmlformats.org/officeDocument/2006/relationships/hyperlink" Target="https://www.acma.gov.au/consultations/2021-10/response-implementation-spectrum-pricing-review-part-2-consultation-382021" TargetMode="External"/><Relationship Id="rId37" Type="http://schemas.openxmlformats.org/officeDocument/2006/relationships/image" Target="media/image6.png"/><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consultations/2020-12/response-implementation-spectrum-pricing-review-consultation-392020" TargetMode="Externa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consultations/2021-10/response-implementation-spectrum-pricing-review-part-2-consultation-38202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0-02/implementation-spectrum-pricing-review-consultation-072020" TargetMode="External"/><Relationship Id="rId30" Type="http://schemas.openxmlformats.org/officeDocument/2006/relationships/hyperlink" Target="https://www.acma.gov.au/consultations/2021-10/response-implementation-spectrum-pricing-review-part-2-consultation-382021" TargetMode="External"/><Relationship Id="rId35" Type="http://schemas.openxmlformats.org/officeDocument/2006/relationships/image" Target="media/image4.jpeg"/><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1-10/response-implementation-spectrum-pricing-review-part-2-consultation-382021" TargetMode="External"/><Relationship Id="rId33" Type="http://schemas.openxmlformats.org/officeDocument/2006/relationships/chart" Target="charts/chart1.xml"/><Relationship Id="rId38" Type="http://schemas.openxmlformats.org/officeDocument/2006/relationships/hyperlink" Target="https://www.acma.gov.au/apparatus-licence-fee-calculato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acmagovau-my.sharepoint.com/personal/han_zhou_acma_gov_au/Documents/Downloads/population%20vs%20CP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magovau-my.sharepoint.com/personal/han_zhou_acma_gov_au/Documents/Downloads/population%20vs%20CPI.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Sheet1!$B$9</c:f>
              <c:strCache>
                <c:ptCount val="1"/>
                <c:pt idx="0">
                  <c:v>Sydney</c:v>
                </c:pt>
              </c:strCache>
            </c:strRef>
          </c:tx>
          <c:spPr>
            <a:ln w="28575" cap="rnd">
              <a:solidFill>
                <a:schemeClr val="accent1"/>
              </a:solidFill>
              <a:round/>
            </a:ln>
            <a:effectLst/>
          </c:spPr>
          <c:marker>
            <c:symbol val="none"/>
          </c:marker>
          <c:cat>
            <c:numRef>
              <c:f>Sheet1!$C$8:$AQ$8</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Sheet1!$C$9:$AQ$9</c:f>
              <c:numCache>
                <c:formatCode>0.00%</c:formatCode>
                <c:ptCount val="41"/>
                <c:pt idx="0">
                  <c:v>4.7299456695428788E-3</c:v>
                </c:pt>
                <c:pt idx="1">
                  <c:v>7.7294993320184968E-3</c:v>
                </c:pt>
                <c:pt idx="2">
                  <c:v>9.3431394211040963E-3</c:v>
                </c:pt>
                <c:pt idx="3">
                  <c:v>9.1002908340369615E-3</c:v>
                </c:pt>
                <c:pt idx="4">
                  <c:v>9.5140696665427793E-3</c:v>
                </c:pt>
                <c:pt idx="5">
                  <c:v>6.7656178050652382E-3</c:v>
                </c:pt>
                <c:pt idx="6">
                  <c:v>1.2124569947178587E-2</c:v>
                </c:pt>
                <c:pt idx="7">
                  <c:v>9.581231234759624E-3</c:v>
                </c:pt>
                <c:pt idx="8">
                  <c:v>1.0119647101478391E-2</c:v>
                </c:pt>
                <c:pt idx="9">
                  <c:v>1.1691817205053967E-2</c:v>
                </c:pt>
                <c:pt idx="10">
                  <c:v>1.3693594043556745E-2</c:v>
                </c:pt>
                <c:pt idx="11">
                  <c:v>1.5750301959764235E-2</c:v>
                </c:pt>
                <c:pt idx="12">
                  <c:v>1.7535476208437206E-2</c:v>
                </c:pt>
                <c:pt idx="13">
                  <c:v>9.2736926626790783E-3</c:v>
                </c:pt>
                <c:pt idx="14">
                  <c:v>5.9343772203863665E-3</c:v>
                </c:pt>
                <c:pt idx="15">
                  <c:v>8.276959000626638E-3</c:v>
                </c:pt>
                <c:pt idx="16">
                  <c:v>9.6370347903598219E-3</c:v>
                </c:pt>
                <c:pt idx="17">
                  <c:v>5.4245734579903004E-3</c:v>
                </c:pt>
                <c:pt idx="18">
                  <c:v>8.1584025001435467E-3</c:v>
                </c:pt>
                <c:pt idx="19">
                  <c:v>1.169029627193896E-2</c:v>
                </c:pt>
                <c:pt idx="20">
                  <c:v>1.4163300275114032E-2</c:v>
                </c:pt>
                <c:pt idx="21">
                  <c:v>1.2569730278589208E-2</c:v>
                </c:pt>
                <c:pt idx="22">
                  <c:v>1.023655336848539E-2</c:v>
                </c:pt>
                <c:pt idx="23">
                  <c:v>1.1882087593261259E-2</c:v>
                </c:pt>
                <c:pt idx="24">
                  <c:v>1.2464009034127033E-2</c:v>
                </c:pt>
                <c:pt idx="25">
                  <c:v>1.5055434182887018E-2</c:v>
                </c:pt>
                <c:pt idx="26">
                  <c:v>8.0576125267515231E-3</c:v>
                </c:pt>
                <c:pt idx="27">
                  <c:v>6.5179801805623772E-3</c:v>
                </c:pt>
                <c:pt idx="28">
                  <c:v>5.3260071306515666E-3</c:v>
                </c:pt>
                <c:pt idx="29">
                  <c:v>7.8379588043575588E-3</c:v>
                </c:pt>
                <c:pt idx="30">
                  <c:v>9.1517305135691007E-3</c:v>
                </c:pt>
                <c:pt idx="31">
                  <c:v>1.6297315820524627E-2</c:v>
                </c:pt>
                <c:pt idx="32">
                  <c:v>1.9428161899422536E-2</c:v>
                </c:pt>
                <c:pt idx="33">
                  <c:v>1.87814572059537E-2</c:v>
                </c:pt>
                <c:pt idx="34">
                  <c:v>1.4054020363370778E-2</c:v>
                </c:pt>
                <c:pt idx="35">
                  <c:v>1.172929696657854E-2</c:v>
                </c:pt>
                <c:pt idx="36">
                  <c:v>1.4807497327481878E-2</c:v>
                </c:pt>
                <c:pt idx="37">
                  <c:v>1.7140183990578928E-2</c:v>
                </c:pt>
                <c:pt idx="38">
                  <c:v>1.7653683846768908E-2</c:v>
                </c:pt>
                <c:pt idx="39">
                  <c:v>1.8350257335300491E-2</c:v>
                </c:pt>
                <c:pt idx="40">
                  <c:v>1.9215084857801656E-2</c:v>
                </c:pt>
              </c:numCache>
            </c:numRef>
          </c:val>
          <c:smooth val="0"/>
          <c:extLst>
            <c:ext xmlns:c16="http://schemas.microsoft.com/office/drawing/2014/chart" uri="{C3380CC4-5D6E-409C-BE32-E72D297353CC}">
              <c16:uniqueId val="{00000000-2C69-4ABE-831D-A1671B395E0B}"/>
            </c:ext>
          </c:extLst>
        </c:ser>
        <c:ser>
          <c:idx val="1"/>
          <c:order val="1"/>
          <c:tx>
            <c:strRef>
              <c:f>Sheet1!$B$10</c:f>
              <c:strCache>
                <c:ptCount val="1"/>
                <c:pt idx="0">
                  <c:v>Melbourne</c:v>
                </c:pt>
              </c:strCache>
            </c:strRef>
          </c:tx>
          <c:spPr>
            <a:ln w="28575" cap="rnd">
              <a:solidFill>
                <a:schemeClr val="accent2"/>
              </a:solidFill>
              <a:round/>
            </a:ln>
            <a:effectLst/>
          </c:spPr>
          <c:marker>
            <c:symbol val="none"/>
          </c:marker>
          <c:cat>
            <c:numRef>
              <c:f>Sheet1!$C$8:$AQ$8</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Sheet1!$C$10:$AQ$10</c:f>
              <c:numCache>
                <c:formatCode>0.00%</c:formatCode>
                <c:ptCount val="41"/>
                <c:pt idx="0">
                  <c:v>6.5180977350520752E-3</c:v>
                </c:pt>
                <c:pt idx="1">
                  <c:v>6.6929561159148054E-3</c:v>
                </c:pt>
                <c:pt idx="2">
                  <c:v>6.5047078272120196E-3</c:v>
                </c:pt>
                <c:pt idx="3">
                  <c:v>5.5700360624129086E-3</c:v>
                </c:pt>
                <c:pt idx="4">
                  <c:v>6.8174555267550563E-3</c:v>
                </c:pt>
                <c:pt idx="5">
                  <c:v>7.9023099982367118E-3</c:v>
                </c:pt>
                <c:pt idx="6">
                  <c:v>1.0440157779801895E-2</c:v>
                </c:pt>
                <c:pt idx="7">
                  <c:v>9.9662573967775892E-3</c:v>
                </c:pt>
                <c:pt idx="8">
                  <c:v>9.0048976109917689E-3</c:v>
                </c:pt>
                <c:pt idx="9">
                  <c:v>9.4604196634007209E-3</c:v>
                </c:pt>
                <c:pt idx="10">
                  <c:v>8.7880437362213293E-3</c:v>
                </c:pt>
                <c:pt idx="11">
                  <c:v>1.2845989282328496E-2</c:v>
                </c:pt>
                <c:pt idx="12">
                  <c:v>1.3405248829659877E-2</c:v>
                </c:pt>
                <c:pt idx="13">
                  <c:v>1.4665220160361869E-2</c:v>
                </c:pt>
                <c:pt idx="14">
                  <c:v>1.3637822946684919E-2</c:v>
                </c:pt>
                <c:pt idx="15">
                  <c:v>9.8359774812792899E-3</c:v>
                </c:pt>
                <c:pt idx="16">
                  <c:v>7.2210064960573916E-3</c:v>
                </c:pt>
                <c:pt idx="17">
                  <c:v>4.2970672911974983E-3</c:v>
                </c:pt>
                <c:pt idx="18">
                  <c:v>3.6864057868495337E-3</c:v>
                </c:pt>
                <c:pt idx="19">
                  <c:v>7.8202173197234881E-3</c:v>
                </c:pt>
                <c:pt idx="20">
                  <c:v>1.1022426328765045E-2</c:v>
                </c:pt>
                <c:pt idx="21">
                  <c:v>9.4332315051051108E-3</c:v>
                </c:pt>
                <c:pt idx="22">
                  <c:v>9.8552556167583738E-3</c:v>
                </c:pt>
                <c:pt idx="23">
                  <c:v>1.1374409833759147E-2</c:v>
                </c:pt>
                <c:pt idx="24">
                  <c:v>1.2558675731946245E-2</c:v>
                </c:pt>
                <c:pt idx="25">
                  <c:v>1.4542284128731042E-2</c:v>
                </c:pt>
                <c:pt idx="26">
                  <c:v>1.2950507235342412E-2</c:v>
                </c:pt>
                <c:pt idx="27">
                  <c:v>1.3665469024946253E-2</c:v>
                </c:pt>
                <c:pt idx="28">
                  <c:v>1.3333218327832963E-2</c:v>
                </c:pt>
                <c:pt idx="29">
                  <c:v>1.5217393095074527E-2</c:v>
                </c:pt>
                <c:pt idx="30">
                  <c:v>1.7144068814282099E-2</c:v>
                </c:pt>
                <c:pt idx="31">
                  <c:v>2.1538199725587459E-2</c:v>
                </c:pt>
                <c:pt idx="32">
                  <c:v>2.3342946982632951E-2</c:v>
                </c:pt>
                <c:pt idx="33">
                  <c:v>2.5524757099056439E-2</c:v>
                </c:pt>
                <c:pt idx="34">
                  <c:v>1.8371506232844226E-2</c:v>
                </c:pt>
                <c:pt idx="35">
                  <c:v>1.5467903533902927E-2</c:v>
                </c:pt>
                <c:pt idx="36">
                  <c:v>2.3139489313243278E-2</c:v>
                </c:pt>
                <c:pt idx="37">
                  <c:v>2.443221656305683E-2</c:v>
                </c:pt>
                <c:pt idx="38">
                  <c:v>2.4247454329647589E-2</c:v>
                </c:pt>
                <c:pt idx="39">
                  <c:v>2.457132771674897E-2</c:v>
                </c:pt>
                <c:pt idx="40">
                  <c:v>2.7992730939212507E-2</c:v>
                </c:pt>
              </c:numCache>
            </c:numRef>
          </c:val>
          <c:smooth val="0"/>
          <c:extLst>
            <c:ext xmlns:c16="http://schemas.microsoft.com/office/drawing/2014/chart" uri="{C3380CC4-5D6E-409C-BE32-E72D297353CC}">
              <c16:uniqueId val="{00000001-2C69-4ABE-831D-A1671B395E0B}"/>
            </c:ext>
          </c:extLst>
        </c:ser>
        <c:ser>
          <c:idx val="2"/>
          <c:order val="2"/>
          <c:tx>
            <c:strRef>
              <c:f>Sheet1!$B$11</c:f>
              <c:strCache>
                <c:ptCount val="1"/>
                <c:pt idx="0">
                  <c:v>Brisbane</c:v>
                </c:pt>
              </c:strCache>
            </c:strRef>
          </c:tx>
          <c:spPr>
            <a:ln w="28575" cap="rnd">
              <a:solidFill>
                <a:schemeClr val="accent3"/>
              </a:solidFill>
              <a:round/>
            </a:ln>
            <a:effectLst/>
          </c:spPr>
          <c:marker>
            <c:symbol val="none"/>
          </c:marker>
          <c:cat>
            <c:numRef>
              <c:f>Sheet1!$C$8:$AQ$8</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Sheet1!$C$11:$AQ$11</c:f>
              <c:numCache>
                <c:formatCode>0.00%</c:formatCode>
                <c:ptCount val="41"/>
                <c:pt idx="0">
                  <c:v>1.5353612897034852E-2</c:v>
                </c:pt>
                <c:pt idx="1">
                  <c:v>1.4743407995463587E-2</c:v>
                </c:pt>
                <c:pt idx="2">
                  <c:v>1.5274285182080627E-2</c:v>
                </c:pt>
                <c:pt idx="3">
                  <c:v>1.4494083111641132E-2</c:v>
                </c:pt>
                <c:pt idx="4">
                  <c:v>1.8265665973415279E-2</c:v>
                </c:pt>
                <c:pt idx="5">
                  <c:v>2.5401829322440284E-2</c:v>
                </c:pt>
                <c:pt idx="6">
                  <c:v>3.128504683014266E-2</c:v>
                </c:pt>
                <c:pt idx="7">
                  <c:v>1.912699545695018E-2</c:v>
                </c:pt>
                <c:pt idx="8">
                  <c:v>1.1409789165685469E-2</c:v>
                </c:pt>
                <c:pt idx="9">
                  <c:v>1.4358175540590601E-2</c:v>
                </c:pt>
                <c:pt idx="10">
                  <c:v>1.6092164506962714E-2</c:v>
                </c:pt>
                <c:pt idx="11">
                  <c:v>1.6932070943804334E-2</c:v>
                </c:pt>
                <c:pt idx="12">
                  <c:v>2.0607290124248445E-2</c:v>
                </c:pt>
                <c:pt idx="13">
                  <c:v>2.7947209810463836E-2</c:v>
                </c:pt>
                <c:pt idx="14">
                  <c:v>2.423424311146638E-2</c:v>
                </c:pt>
                <c:pt idx="15">
                  <c:v>2.1208677618696603E-2</c:v>
                </c:pt>
                <c:pt idx="16">
                  <c:v>1.6887275787254685E-2</c:v>
                </c:pt>
                <c:pt idx="17">
                  <c:v>2.0126579985985105E-2</c:v>
                </c:pt>
                <c:pt idx="18">
                  <c:v>2.064242735444255E-2</c:v>
                </c:pt>
                <c:pt idx="19">
                  <c:v>2.2177115871065078E-2</c:v>
                </c:pt>
                <c:pt idx="20">
                  <c:v>2.1210978815201065E-2</c:v>
                </c:pt>
                <c:pt idx="21">
                  <c:v>1.5247106959192402E-2</c:v>
                </c:pt>
                <c:pt idx="22">
                  <c:v>1.470879737590014E-2</c:v>
                </c:pt>
                <c:pt idx="23">
                  <c:v>1.5443085854922156E-2</c:v>
                </c:pt>
                <c:pt idx="24">
                  <c:v>1.7432816508180071E-2</c:v>
                </c:pt>
                <c:pt idx="25">
                  <c:v>1.9807149313256112E-2</c:v>
                </c:pt>
                <c:pt idx="26">
                  <c:v>2.490263091388778E-2</c:v>
                </c:pt>
                <c:pt idx="27">
                  <c:v>2.587960109003129E-2</c:v>
                </c:pt>
                <c:pt idx="28">
                  <c:v>2.406199983152213E-2</c:v>
                </c:pt>
                <c:pt idx="29">
                  <c:v>2.3424235644059488E-2</c:v>
                </c:pt>
                <c:pt idx="30">
                  <c:v>2.2534977306948312E-2</c:v>
                </c:pt>
                <c:pt idx="31">
                  <c:v>2.6538242854110994E-2</c:v>
                </c:pt>
                <c:pt idx="32">
                  <c:v>2.7207519295198823E-2</c:v>
                </c:pt>
                <c:pt idx="33">
                  <c:v>2.7966846303853821E-2</c:v>
                </c:pt>
                <c:pt idx="34">
                  <c:v>1.9274549076882197E-2</c:v>
                </c:pt>
                <c:pt idx="35">
                  <c:v>1.8539633874483652E-2</c:v>
                </c:pt>
                <c:pt idx="36">
                  <c:v>2.2748989958257138E-2</c:v>
                </c:pt>
                <c:pt idx="37">
                  <c:v>2.0787801964041064E-2</c:v>
                </c:pt>
                <c:pt idx="38">
                  <c:v>1.7750666385957903E-2</c:v>
                </c:pt>
                <c:pt idx="39">
                  <c:v>1.6177566243305463E-2</c:v>
                </c:pt>
                <c:pt idx="40">
                  <c:v>1.898472949596175E-2</c:v>
                </c:pt>
              </c:numCache>
            </c:numRef>
          </c:val>
          <c:smooth val="0"/>
          <c:extLst>
            <c:ext xmlns:c16="http://schemas.microsoft.com/office/drawing/2014/chart" uri="{C3380CC4-5D6E-409C-BE32-E72D297353CC}">
              <c16:uniqueId val="{00000002-2C69-4ABE-831D-A1671B395E0B}"/>
            </c:ext>
          </c:extLst>
        </c:ser>
        <c:ser>
          <c:idx val="3"/>
          <c:order val="3"/>
          <c:tx>
            <c:strRef>
              <c:f>Sheet1!$B$12</c:f>
              <c:strCache>
                <c:ptCount val="1"/>
                <c:pt idx="0">
                  <c:v>CPI</c:v>
                </c:pt>
              </c:strCache>
            </c:strRef>
          </c:tx>
          <c:spPr>
            <a:ln w="28575" cap="rnd">
              <a:solidFill>
                <a:schemeClr val="accent4"/>
              </a:solidFill>
              <a:round/>
            </a:ln>
            <a:effectLst/>
          </c:spPr>
          <c:marker>
            <c:symbol val="none"/>
          </c:marker>
          <c:cat>
            <c:numRef>
              <c:f>Sheet1!$C$8:$AQ$8</c:f>
              <c:numCache>
                <c:formatCode>General</c:formatCode>
                <c:ptCount val="41"/>
                <c:pt idx="0">
                  <c:v>1976</c:v>
                </c:pt>
                <c:pt idx="1">
                  <c:v>1977</c:v>
                </c:pt>
                <c:pt idx="2">
                  <c:v>1978</c:v>
                </c:pt>
                <c:pt idx="3">
                  <c:v>1979</c:v>
                </c:pt>
                <c:pt idx="4">
                  <c:v>1980</c:v>
                </c:pt>
                <c:pt idx="5">
                  <c:v>1981</c:v>
                </c:pt>
                <c:pt idx="6">
                  <c:v>1982</c:v>
                </c:pt>
                <c:pt idx="7">
                  <c:v>1983</c:v>
                </c:pt>
                <c:pt idx="8">
                  <c:v>1984</c:v>
                </c:pt>
                <c:pt idx="9">
                  <c:v>1985</c:v>
                </c:pt>
                <c:pt idx="10">
                  <c:v>1986</c:v>
                </c:pt>
                <c:pt idx="11">
                  <c:v>1987</c:v>
                </c:pt>
                <c:pt idx="12">
                  <c:v>1988</c:v>
                </c:pt>
                <c:pt idx="13">
                  <c:v>1989</c:v>
                </c:pt>
                <c:pt idx="14">
                  <c:v>1990</c:v>
                </c:pt>
                <c:pt idx="15">
                  <c:v>1991</c:v>
                </c:pt>
                <c:pt idx="16">
                  <c:v>1992</c:v>
                </c:pt>
                <c:pt idx="17">
                  <c:v>1993</c:v>
                </c:pt>
                <c:pt idx="18">
                  <c:v>1994</c:v>
                </c:pt>
                <c:pt idx="19">
                  <c:v>1995</c:v>
                </c:pt>
                <c:pt idx="20">
                  <c:v>1996</c:v>
                </c:pt>
                <c:pt idx="21">
                  <c:v>1997</c:v>
                </c:pt>
                <c:pt idx="22">
                  <c:v>1998</c:v>
                </c:pt>
                <c:pt idx="23">
                  <c:v>1999</c:v>
                </c:pt>
                <c:pt idx="24">
                  <c:v>2000</c:v>
                </c:pt>
                <c:pt idx="25">
                  <c:v>2001</c:v>
                </c:pt>
                <c:pt idx="26">
                  <c:v>2002</c:v>
                </c:pt>
                <c:pt idx="27">
                  <c:v>2003</c:v>
                </c:pt>
                <c:pt idx="28">
                  <c:v>2004</c:v>
                </c:pt>
                <c:pt idx="29">
                  <c:v>2005</c:v>
                </c:pt>
                <c:pt idx="30">
                  <c:v>2006</c:v>
                </c:pt>
                <c:pt idx="31">
                  <c:v>2007</c:v>
                </c:pt>
                <c:pt idx="32">
                  <c:v>2008</c:v>
                </c:pt>
                <c:pt idx="33">
                  <c:v>2009</c:v>
                </c:pt>
                <c:pt idx="34">
                  <c:v>2010</c:v>
                </c:pt>
                <c:pt idx="35">
                  <c:v>2011</c:v>
                </c:pt>
                <c:pt idx="36">
                  <c:v>2012</c:v>
                </c:pt>
                <c:pt idx="37">
                  <c:v>2013</c:v>
                </c:pt>
                <c:pt idx="38">
                  <c:v>2014</c:v>
                </c:pt>
                <c:pt idx="39">
                  <c:v>2015</c:v>
                </c:pt>
                <c:pt idx="40">
                  <c:v>2016</c:v>
                </c:pt>
              </c:numCache>
            </c:numRef>
          </c:cat>
          <c:val>
            <c:numRef>
              <c:f>Sheet1!$C$12:$AQ$12</c:f>
              <c:numCache>
                <c:formatCode>0.00%</c:formatCode>
                <c:ptCount val="41"/>
                <c:pt idx="0">
                  <c:v>0.120253164556962</c:v>
                </c:pt>
                <c:pt idx="1">
                  <c:v>0.13559322033898313</c:v>
                </c:pt>
                <c:pt idx="2">
                  <c:v>7.9601990049751103E-2</c:v>
                </c:pt>
                <c:pt idx="3">
                  <c:v>8.7557603686636121E-2</c:v>
                </c:pt>
                <c:pt idx="4">
                  <c:v>0.11016949152542366</c:v>
                </c:pt>
                <c:pt idx="5">
                  <c:v>8.3969465648854991E-2</c:v>
                </c:pt>
                <c:pt idx="6">
                  <c:v>0.10915492957746475</c:v>
                </c:pt>
                <c:pt idx="7">
                  <c:v>0.11111111111111116</c:v>
                </c:pt>
                <c:pt idx="8">
                  <c:v>4.0000000000000036E-2</c:v>
                </c:pt>
                <c:pt idx="9">
                  <c:v>6.5934065934065922E-2</c:v>
                </c:pt>
                <c:pt idx="10">
                  <c:v>8.5051546391752719E-2</c:v>
                </c:pt>
                <c:pt idx="11">
                  <c:v>9.263657957244642E-2</c:v>
                </c:pt>
                <c:pt idx="12">
                  <c:v>7.1739130434782528E-2</c:v>
                </c:pt>
                <c:pt idx="13">
                  <c:v>7.5050709939148197E-2</c:v>
                </c:pt>
                <c:pt idx="14">
                  <c:v>7.735849056603783E-2</c:v>
                </c:pt>
                <c:pt idx="15">
                  <c:v>3.327495621716281E-2</c:v>
                </c:pt>
                <c:pt idx="16">
                  <c:v>1.1864406779661163E-2</c:v>
                </c:pt>
                <c:pt idx="17">
                  <c:v>1.8425460636515734E-2</c:v>
                </c:pt>
                <c:pt idx="18">
                  <c:v>1.8092105263157965E-2</c:v>
                </c:pt>
                <c:pt idx="19">
                  <c:v>4.5234248788368348E-2</c:v>
                </c:pt>
                <c:pt idx="20">
                  <c:v>3.0911901081916549E-2</c:v>
                </c:pt>
                <c:pt idx="21">
                  <c:v>2.9985007496251548E-3</c:v>
                </c:pt>
                <c:pt idx="22">
                  <c:v>7.4738415545589909E-3</c:v>
                </c:pt>
                <c:pt idx="23">
                  <c:v>1.0385756676557722E-2</c:v>
                </c:pt>
                <c:pt idx="24">
                  <c:v>3.0837004405286361E-2</c:v>
                </c:pt>
                <c:pt idx="25">
                  <c:v>6.1253561253561184E-2</c:v>
                </c:pt>
                <c:pt idx="26">
                  <c:v>2.8187919463087185E-2</c:v>
                </c:pt>
                <c:pt idx="27">
                  <c:v>2.6109660574412441E-2</c:v>
                </c:pt>
                <c:pt idx="28">
                  <c:v>2.5445292620865034E-2</c:v>
                </c:pt>
                <c:pt idx="29">
                  <c:v>2.4813895781637729E-2</c:v>
                </c:pt>
                <c:pt idx="30">
                  <c:v>3.9951573849879018E-2</c:v>
                </c:pt>
                <c:pt idx="31">
                  <c:v>2.0954598370197974E-2</c:v>
                </c:pt>
                <c:pt idx="32">
                  <c:v>4.4469783352337311E-2</c:v>
                </c:pt>
                <c:pt idx="33">
                  <c:v>1.4192139737991383E-2</c:v>
                </c:pt>
                <c:pt idx="34">
                  <c:v>3.1216361679224924E-2</c:v>
                </c:pt>
                <c:pt idx="35">
                  <c:v>3.5490605427975108E-2</c:v>
                </c:pt>
                <c:pt idx="36">
                  <c:v>1.2096774193548487E-2</c:v>
                </c:pt>
                <c:pt idx="37">
                  <c:v>2.3904382470119501E-2</c:v>
                </c:pt>
                <c:pt idx="38">
                  <c:v>3.0155642023346418E-2</c:v>
                </c:pt>
                <c:pt idx="39">
                  <c:v>1.5108593012275628E-2</c:v>
                </c:pt>
                <c:pt idx="40">
                  <c:v>1.0232558139534831E-2</c:v>
                </c:pt>
              </c:numCache>
            </c:numRef>
          </c:val>
          <c:smooth val="0"/>
          <c:extLst>
            <c:ext xmlns:c16="http://schemas.microsoft.com/office/drawing/2014/chart" uri="{C3380CC4-5D6E-409C-BE32-E72D297353CC}">
              <c16:uniqueId val="{00000003-2C69-4ABE-831D-A1671B395E0B}"/>
            </c:ext>
          </c:extLst>
        </c:ser>
        <c:dLbls>
          <c:showLegendKey val="0"/>
          <c:showVal val="0"/>
          <c:showCatName val="0"/>
          <c:showSerName val="0"/>
          <c:showPercent val="0"/>
          <c:showBubbleSize val="0"/>
        </c:dLbls>
        <c:smooth val="0"/>
        <c:axId val="933516640"/>
        <c:axId val="933515328"/>
      </c:lineChart>
      <c:catAx>
        <c:axId val="9335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515328"/>
        <c:crosses val="autoZero"/>
        <c:auto val="1"/>
        <c:lblAlgn val="ctr"/>
        <c:lblOffset val="100"/>
        <c:noMultiLvlLbl val="0"/>
      </c:catAx>
      <c:valAx>
        <c:axId val="93351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51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Sheet1!$A$15</c:f>
              <c:strCache>
                <c:ptCount val="1"/>
                <c:pt idx="0">
                  <c:v>Sydney</c:v>
                </c:pt>
              </c:strCache>
            </c:strRef>
          </c:tx>
          <c:spPr>
            <a:ln w="28575" cap="rnd">
              <a:solidFill>
                <a:schemeClr val="accent1"/>
              </a:solidFill>
              <a:round/>
            </a:ln>
            <a:effectLst/>
          </c:spPr>
          <c:marker>
            <c:symbol val="none"/>
          </c:marker>
          <c:cat>
            <c:numRef>
              <c:f>Sheet1!$B$14:$AQ$14</c:f>
              <c:numCache>
                <c:formatCode>General</c:formatCode>
                <c:ptCount val="4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numCache>
            </c:numRef>
          </c:cat>
          <c:val>
            <c:numRef>
              <c:f>Sheet1!$B$15:$AQ$15</c:f>
              <c:numCache>
                <c:formatCode>General</c:formatCode>
                <c:ptCount val="42"/>
                <c:pt idx="0">
                  <c:v>1</c:v>
                </c:pt>
                <c:pt idx="1">
                  <c:v>1.0047299456695429</c:v>
                </c:pt>
                <c:pt idx="2">
                  <c:v>1.0124960051134546</c:v>
                </c:pt>
                <c:pt idx="3">
                  <c:v>1.0219558964525406</c:v>
                </c:pt>
                <c:pt idx="4">
                  <c:v>1.0312559923298177</c:v>
                </c:pt>
                <c:pt idx="5">
                  <c:v>1.0410674336848833</c:v>
                </c:pt>
                <c:pt idx="6">
                  <c:v>1.0481108980504954</c:v>
                </c:pt>
                <c:pt idx="7">
                  <c:v>1.0608187919463088</c:v>
                </c:pt>
                <c:pt idx="8">
                  <c:v>1.0709827420901248</c:v>
                </c:pt>
                <c:pt idx="9">
                  <c:v>1.0818207094918504</c:v>
                </c:pt>
                <c:pt idx="10">
                  <c:v>1.0944691594758709</c:v>
                </c:pt>
                <c:pt idx="11">
                  <c:v>1.1094563758389262</c:v>
                </c:pt>
                <c:pt idx="12">
                  <c:v>1.1269306487695749</c:v>
                </c:pt>
                <c:pt idx="13">
                  <c:v>1.1466919143496326</c:v>
                </c:pt>
                <c:pt idx="14">
                  <c:v>1.1573259827420901</c:v>
                </c:pt>
                <c:pt idx="15">
                  <c:v>1.1641939916906361</c:v>
                </c:pt>
                <c:pt idx="16">
                  <c:v>1.1738299776286354</c:v>
                </c:pt>
                <c:pt idx="17">
                  <c:v>1.1851422179610098</c:v>
                </c:pt>
                <c:pt idx="18">
                  <c:v>1.1915711089805048</c:v>
                </c:pt>
                <c:pt idx="19">
                  <c:v>1.2012924256951101</c:v>
                </c:pt>
                <c:pt idx="20">
                  <c:v>1.2153358900607221</c:v>
                </c:pt>
                <c:pt idx="21">
                  <c:v>1.232549057206775</c:v>
                </c:pt>
                <c:pt idx="22">
                  <c:v>1.2480418664109936</c:v>
                </c:pt>
                <c:pt idx="23">
                  <c:v>1.2608175135826138</c:v>
                </c:pt>
                <c:pt idx="24">
                  <c:v>1.2757986577181204</c:v>
                </c:pt>
                <c:pt idx="25">
                  <c:v>1.2917002237136461</c:v>
                </c:pt>
                <c:pt idx="26">
                  <c:v>1.3111473314157873</c:v>
                </c:pt>
                <c:pt idx="27">
                  <c:v>1.32171204857782</c:v>
                </c:pt>
                <c:pt idx="28">
                  <c:v>1.3303269415148606</c:v>
                </c:pt>
                <c:pt idx="29">
                  <c:v>1.3374122722914668</c:v>
                </c:pt>
                <c:pt idx="30">
                  <c:v>1.3478948545861296</c:v>
                </c:pt>
                <c:pt idx="31">
                  <c:v>1.3602304250559283</c:v>
                </c:pt>
                <c:pt idx="32">
                  <c:v>1.3823985298817512</c:v>
                </c:pt>
                <c:pt idx="33">
                  <c:v>1.4092559923298176</c:v>
                </c:pt>
                <c:pt idx="34">
                  <c:v>1.4357238734419939</c:v>
                </c:pt>
                <c:pt idx="35">
                  <c:v>1.4559015659955252</c:v>
                </c:pt>
                <c:pt idx="36">
                  <c:v>1.4729782678171934</c:v>
                </c:pt>
                <c:pt idx="37">
                  <c:v>1.4947893895813353</c:v>
                </c:pt>
                <c:pt idx="38">
                  <c:v>1.5204103547459247</c:v>
                </c:pt>
                <c:pt idx="39">
                  <c:v>1.5472511984659629</c:v>
                </c:pt>
                <c:pt idx="40">
                  <c:v>1.5756436561201654</c:v>
                </c:pt>
                <c:pt idx="41">
                  <c:v>1.6059197826781713</c:v>
                </c:pt>
              </c:numCache>
            </c:numRef>
          </c:val>
          <c:smooth val="0"/>
          <c:extLst>
            <c:ext xmlns:c16="http://schemas.microsoft.com/office/drawing/2014/chart" uri="{C3380CC4-5D6E-409C-BE32-E72D297353CC}">
              <c16:uniqueId val="{00000000-63E0-4384-A01D-6A31087BB863}"/>
            </c:ext>
          </c:extLst>
        </c:ser>
        <c:ser>
          <c:idx val="1"/>
          <c:order val="1"/>
          <c:tx>
            <c:strRef>
              <c:f>Sheet1!$A$16</c:f>
              <c:strCache>
                <c:ptCount val="1"/>
                <c:pt idx="0">
                  <c:v>Melbourne</c:v>
                </c:pt>
              </c:strCache>
            </c:strRef>
          </c:tx>
          <c:spPr>
            <a:ln w="28575" cap="rnd">
              <a:solidFill>
                <a:schemeClr val="accent2"/>
              </a:solidFill>
              <a:round/>
            </a:ln>
            <a:effectLst/>
          </c:spPr>
          <c:marker>
            <c:symbol val="none"/>
          </c:marker>
          <c:cat>
            <c:numRef>
              <c:f>Sheet1!$B$14:$AQ$14</c:f>
              <c:numCache>
                <c:formatCode>General</c:formatCode>
                <c:ptCount val="4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numCache>
            </c:numRef>
          </c:cat>
          <c:val>
            <c:numRef>
              <c:f>Sheet1!$B$16:$AQ$16</c:f>
              <c:numCache>
                <c:formatCode>General</c:formatCode>
                <c:ptCount val="42"/>
                <c:pt idx="0">
                  <c:v>1</c:v>
                </c:pt>
                <c:pt idx="1">
                  <c:v>1.0065180977350521</c:v>
                </c:pt>
                <c:pt idx="2">
                  <c:v>1.0132546791930668</c:v>
                </c:pt>
                <c:pt idx="3">
                  <c:v>1.0198456048357731</c:v>
                </c:pt>
                <c:pt idx="4">
                  <c:v>1.0255261816328016</c:v>
                </c:pt>
                <c:pt idx="5">
                  <c:v>1.0325176607676061</c:v>
                </c:pt>
                <c:pt idx="6">
                  <c:v>1.0406769354016459</c:v>
                </c:pt>
                <c:pt idx="7">
                  <c:v>1.0515417668050397</c:v>
                </c:pt>
                <c:pt idx="8">
                  <c:v>1.0620217027164811</c:v>
                </c:pt>
                <c:pt idx="9">
                  <c:v>1.0715850994100942</c:v>
                </c:pt>
                <c:pt idx="10">
                  <c:v>1.0817227441555606</c:v>
                </c:pt>
                <c:pt idx="11">
                  <c:v>1.0912289709416649</c:v>
                </c:pt>
                <c:pt idx="12">
                  <c:v>1.1052468866069478</c:v>
                </c:pt>
                <c:pt idx="13">
                  <c:v>1.1200629961401207</c:v>
                </c:pt>
                <c:pt idx="14">
                  <c:v>1.1364889665719902</c:v>
                </c:pt>
                <c:pt idx="15">
                  <c:v>1.1519882018789598</c:v>
                </c:pt>
                <c:pt idx="16">
                  <c:v>1.1633191318913407</c:v>
                </c:pt>
                <c:pt idx="17">
                  <c:v>1.171719466899716</c:v>
                </c:pt>
                <c:pt idx="18">
                  <c:v>1.17675442429539</c:v>
                </c:pt>
                <c:pt idx="19">
                  <c:v>1.1810924186148133</c:v>
                </c:pt>
                <c:pt idx="20">
                  <c:v>1.1903288180030589</c:v>
                </c:pt>
                <c:pt idx="21">
                  <c:v>1.2034491297065035</c:v>
                </c:pt>
                <c:pt idx="22">
                  <c:v>1.2148015439516422</c:v>
                </c:pt>
                <c:pt idx="23">
                  <c:v>1.2267737236909184</c:v>
                </c:pt>
                <c:pt idx="24">
                  <c:v>1.2407275507974658</c:v>
                </c:pt>
                <c:pt idx="25">
                  <c:v>1.2563094457796231</c:v>
                </c:pt>
                <c:pt idx="26">
                  <c:v>1.274579054693759</c:v>
                </c:pt>
                <c:pt idx="27">
                  <c:v>1.2910854999635863</c:v>
                </c:pt>
                <c:pt idx="28">
                  <c:v>1.3087287888718959</c:v>
                </c:pt>
                <c:pt idx="29">
                  <c:v>1.3261783555458453</c:v>
                </c:pt>
                <c:pt idx="30">
                  <c:v>1.3463593328963659</c:v>
                </c:pt>
                <c:pt idx="31">
                  <c:v>1.3694414099482921</c:v>
                </c:pt>
                <c:pt idx="32">
                  <c:v>1.3989367125482486</c:v>
                </c:pt>
                <c:pt idx="33">
                  <c:v>1.4315920180613211</c:v>
                </c:pt>
                <c:pt idx="34">
                  <c:v>1.4681330565872843</c:v>
                </c:pt>
                <c:pt idx="35">
                  <c:v>1.4951048721870224</c:v>
                </c:pt>
                <c:pt idx="36">
                  <c:v>1.5182310101230796</c:v>
                </c:pt>
                <c:pt idx="37">
                  <c:v>1.5533621003568572</c:v>
                </c:pt>
                <c:pt idx="38">
                  <c:v>1.5913141795936208</c:v>
                </c:pt>
                <c:pt idx="39">
                  <c:v>1.6298994974874377</c:v>
                </c:pt>
                <c:pt idx="40">
                  <c:v>1.669948292185566</c:v>
                </c:pt>
                <c:pt idx="41">
                  <c:v>1.7166947054111139</c:v>
                </c:pt>
              </c:numCache>
            </c:numRef>
          </c:val>
          <c:smooth val="0"/>
          <c:extLst>
            <c:ext xmlns:c16="http://schemas.microsoft.com/office/drawing/2014/chart" uri="{C3380CC4-5D6E-409C-BE32-E72D297353CC}">
              <c16:uniqueId val="{00000001-63E0-4384-A01D-6A31087BB863}"/>
            </c:ext>
          </c:extLst>
        </c:ser>
        <c:ser>
          <c:idx val="2"/>
          <c:order val="2"/>
          <c:tx>
            <c:strRef>
              <c:f>Sheet1!$A$17</c:f>
              <c:strCache>
                <c:ptCount val="1"/>
                <c:pt idx="0">
                  <c:v>Brisbane</c:v>
                </c:pt>
              </c:strCache>
            </c:strRef>
          </c:tx>
          <c:spPr>
            <a:ln w="28575" cap="rnd">
              <a:solidFill>
                <a:schemeClr val="accent3"/>
              </a:solidFill>
              <a:round/>
            </a:ln>
            <a:effectLst/>
          </c:spPr>
          <c:marker>
            <c:symbol val="none"/>
          </c:marker>
          <c:cat>
            <c:numRef>
              <c:f>Sheet1!$B$14:$AQ$14</c:f>
              <c:numCache>
                <c:formatCode>General</c:formatCode>
                <c:ptCount val="4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numCache>
            </c:numRef>
          </c:cat>
          <c:val>
            <c:numRef>
              <c:f>Sheet1!$B$17:$AQ$17</c:f>
              <c:numCache>
                <c:formatCode>General</c:formatCode>
                <c:ptCount val="42"/>
                <c:pt idx="0">
                  <c:v>1</c:v>
                </c:pt>
                <c:pt idx="1">
                  <c:v>1.0153536128970349</c:v>
                </c:pt>
                <c:pt idx="2">
                  <c:v>1.0303233854716438</c:v>
                </c:pt>
                <c:pt idx="3">
                  <c:v>1.0460608386911046</c:v>
                </c:pt>
                <c:pt idx="4">
                  <c:v>1.0612225314269264</c:v>
                </c:pt>
                <c:pt idx="5">
                  <c:v>1.0806064677094327</c:v>
                </c:pt>
                <c:pt idx="6">
                  <c:v>1.1080558487669128</c:v>
                </c:pt>
                <c:pt idx="7">
                  <c:v>1.1427214278859992</c:v>
                </c:pt>
                <c:pt idx="8">
                  <c:v>1.1645782554457342</c:v>
                </c:pt>
                <c:pt idx="9">
                  <c:v>1.1778658478073118</c:v>
                </c:pt>
                <c:pt idx="10">
                  <c:v>1.1947778524133958</c:v>
                </c:pt>
                <c:pt idx="11">
                  <c:v>1.2140044141637079</c:v>
                </c:pt>
                <c:pt idx="12">
                  <c:v>1.2345600230304195</c:v>
                </c:pt>
                <c:pt idx="13">
                  <c:v>1.2600009596008062</c:v>
                </c:pt>
                <c:pt idx="14">
                  <c:v>1.2952144707801556</c:v>
                </c:pt>
                <c:pt idx="15">
                  <c:v>1.3266030131465312</c:v>
                </c:pt>
                <c:pt idx="16">
                  <c:v>1.3547385087803474</c:v>
                </c:pt>
                <c:pt idx="17">
                  <c:v>1.3776163515977353</c:v>
                </c:pt>
                <c:pt idx="18">
                  <c:v>1.4053430572881682</c:v>
                </c:pt>
                <c:pt idx="19">
                  <c:v>1.4343527492563095</c:v>
                </c:pt>
                <c:pt idx="20">
                  <c:v>1.4661625563765475</c:v>
                </c:pt>
                <c:pt idx="21">
                  <c:v>1.4972612992994914</c:v>
                </c:pt>
                <c:pt idx="22">
                  <c:v>1.5200902024757701</c:v>
                </c:pt>
                <c:pt idx="23">
                  <c:v>1.5424489012570772</c:v>
                </c:pt>
                <c:pt idx="24">
                  <c:v>1.5662690720660206</c:v>
                </c:pt>
                <c:pt idx="25">
                  <c:v>1.593573553401785</c:v>
                </c:pt>
                <c:pt idx="26">
                  <c:v>1.6251377027156702</c:v>
                </c:pt>
                <c:pt idx="27">
                  <c:v>1.665607907110642</c:v>
                </c:pt>
                <c:pt idx="28">
                  <c:v>1.7087131753190672</c:v>
                </c:pt>
                <c:pt idx="29">
                  <c:v>1.7498282314557143</c:v>
                </c:pt>
                <c:pt idx="30">
                  <c:v>1.7908166202859608</c:v>
                </c:pt>
                <c:pt idx="31">
                  <c:v>1.8311726321850108</c:v>
                </c:pt>
                <c:pt idx="32">
                  <c:v>1.8797687362057383</c:v>
                </c:pt>
                <c:pt idx="33">
                  <c:v>1.9309125803665674</c:v>
                </c:pt>
                <c:pt idx="34">
                  <c:v>1.9849141157278569</c:v>
                </c:pt>
                <c:pt idx="35">
                  <c:v>2.0231724402648497</c:v>
                </c:pt>
                <c:pt idx="36">
                  <c:v>2.0606813165723055</c:v>
                </c:pt>
                <c:pt idx="37">
                  <c:v>2.1075597351501769</c:v>
                </c:pt>
                <c:pt idx="38">
                  <c:v>2.1513712695518654</c:v>
                </c:pt>
                <c:pt idx="39">
                  <c:v>2.1895595432300152</c:v>
                </c:pt>
                <c:pt idx="40">
                  <c:v>2.2249812877842805</c:v>
                </c:pt>
                <c:pt idx="41">
                  <c:v>2.2672219556664417</c:v>
                </c:pt>
              </c:numCache>
            </c:numRef>
          </c:val>
          <c:smooth val="0"/>
          <c:extLst>
            <c:ext xmlns:c16="http://schemas.microsoft.com/office/drawing/2014/chart" uri="{C3380CC4-5D6E-409C-BE32-E72D297353CC}">
              <c16:uniqueId val="{00000002-63E0-4384-A01D-6A31087BB863}"/>
            </c:ext>
          </c:extLst>
        </c:ser>
        <c:ser>
          <c:idx val="3"/>
          <c:order val="3"/>
          <c:tx>
            <c:strRef>
              <c:f>Sheet1!$A$18</c:f>
              <c:strCache>
                <c:ptCount val="1"/>
                <c:pt idx="0">
                  <c:v>CPI</c:v>
                </c:pt>
              </c:strCache>
            </c:strRef>
          </c:tx>
          <c:spPr>
            <a:ln w="28575" cap="rnd">
              <a:solidFill>
                <a:schemeClr val="accent4"/>
              </a:solidFill>
              <a:round/>
            </a:ln>
            <a:effectLst/>
          </c:spPr>
          <c:marker>
            <c:symbol val="none"/>
          </c:marker>
          <c:cat>
            <c:numRef>
              <c:f>Sheet1!$B$14:$AQ$14</c:f>
              <c:numCache>
                <c:formatCode>General</c:formatCode>
                <c:ptCount val="42"/>
                <c:pt idx="0">
                  <c:v>1975</c:v>
                </c:pt>
                <c:pt idx="1">
                  <c:v>1976</c:v>
                </c:pt>
                <c:pt idx="2">
                  <c:v>1977</c:v>
                </c:pt>
                <c:pt idx="3">
                  <c:v>1978</c:v>
                </c:pt>
                <c:pt idx="4">
                  <c:v>1979</c:v>
                </c:pt>
                <c:pt idx="5">
                  <c:v>1980</c:v>
                </c:pt>
                <c:pt idx="6">
                  <c:v>1981</c:v>
                </c:pt>
                <c:pt idx="7">
                  <c:v>1982</c:v>
                </c:pt>
                <c:pt idx="8">
                  <c:v>1983</c:v>
                </c:pt>
                <c:pt idx="9">
                  <c:v>1984</c:v>
                </c:pt>
                <c:pt idx="10">
                  <c:v>1985</c:v>
                </c:pt>
                <c:pt idx="11">
                  <c:v>1986</c:v>
                </c:pt>
                <c:pt idx="12">
                  <c:v>1987</c:v>
                </c:pt>
                <c:pt idx="13">
                  <c:v>1988</c:v>
                </c:pt>
                <c:pt idx="14">
                  <c:v>1989</c:v>
                </c:pt>
                <c:pt idx="15">
                  <c:v>1990</c:v>
                </c:pt>
                <c:pt idx="16">
                  <c:v>1991</c:v>
                </c:pt>
                <c:pt idx="17">
                  <c:v>1992</c:v>
                </c:pt>
                <c:pt idx="18">
                  <c:v>1993</c:v>
                </c:pt>
                <c:pt idx="19">
                  <c:v>1994</c:v>
                </c:pt>
                <c:pt idx="20">
                  <c:v>1995</c:v>
                </c:pt>
                <c:pt idx="21">
                  <c:v>1996</c:v>
                </c:pt>
                <c:pt idx="22">
                  <c:v>1997</c:v>
                </c:pt>
                <c:pt idx="23">
                  <c:v>1998</c:v>
                </c:pt>
                <c:pt idx="24">
                  <c:v>1999</c:v>
                </c:pt>
                <c:pt idx="25">
                  <c:v>2000</c:v>
                </c:pt>
                <c:pt idx="26">
                  <c:v>2001</c:v>
                </c:pt>
                <c:pt idx="27">
                  <c:v>2002</c:v>
                </c:pt>
                <c:pt idx="28">
                  <c:v>2003</c:v>
                </c:pt>
                <c:pt idx="29">
                  <c:v>2004</c:v>
                </c:pt>
                <c:pt idx="30">
                  <c:v>2005</c:v>
                </c:pt>
                <c:pt idx="31">
                  <c:v>2006</c:v>
                </c:pt>
                <c:pt idx="32">
                  <c:v>2007</c:v>
                </c:pt>
                <c:pt idx="33">
                  <c:v>2008</c:v>
                </c:pt>
                <c:pt idx="34">
                  <c:v>2009</c:v>
                </c:pt>
                <c:pt idx="35">
                  <c:v>2010</c:v>
                </c:pt>
                <c:pt idx="36">
                  <c:v>2011</c:v>
                </c:pt>
                <c:pt idx="37">
                  <c:v>2012</c:v>
                </c:pt>
                <c:pt idx="38">
                  <c:v>2013</c:v>
                </c:pt>
                <c:pt idx="39">
                  <c:v>2014</c:v>
                </c:pt>
                <c:pt idx="40">
                  <c:v>2015</c:v>
                </c:pt>
                <c:pt idx="41">
                  <c:v>2016</c:v>
                </c:pt>
              </c:numCache>
            </c:numRef>
          </c:cat>
          <c:val>
            <c:numRef>
              <c:f>Sheet1!$B$18:$AQ$18</c:f>
              <c:numCache>
                <c:formatCode>General</c:formatCode>
                <c:ptCount val="42"/>
                <c:pt idx="0">
                  <c:v>1</c:v>
                </c:pt>
                <c:pt idx="1">
                  <c:v>1.120253164556962</c:v>
                </c:pt>
                <c:pt idx="2">
                  <c:v>1.2721518987341773</c:v>
                </c:pt>
                <c:pt idx="3">
                  <c:v>1.3734177215189873</c:v>
                </c:pt>
                <c:pt idx="4">
                  <c:v>1.4936708860759496</c:v>
                </c:pt>
                <c:pt idx="5">
                  <c:v>1.658227848101266</c:v>
                </c:pt>
                <c:pt idx="6">
                  <c:v>1.79746835443038</c:v>
                </c:pt>
                <c:pt idx="7">
                  <c:v>1.9936708860759496</c:v>
                </c:pt>
                <c:pt idx="8">
                  <c:v>2.2151898734177218</c:v>
                </c:pt>
                <c:pt idx="9">
                  <c:v>2.3037974683544307</c:v>
                </c:pt>
                <c:pt idx="10">
                  <c:v>2.4556962025316458</c:v>
                </c:pt>
                <c:pt idx="11">
                  <c:v>2.6645569620253169</c:v>
                </c:pt>
                <c:pt idx="12">
                  <c:v>2.9113924050632911</c:v>
                </c:pt>
                <c:pt idx="13">
                  <c:v>3.1202531645569618</c:v>
                </c:pt>
                <c:pt idx="14">
                  <c:v>3.3544303797468356</c:v>
                </c:pt>
                <c:pt idx="15">
                  <c:v>3.613924050632912</c:v>
                </c:pt>
                <c:pt idx="16">
                  <c:v>3.7341772151898738</c:v>
                </c:pt>
                <c:pt idx="17">
                  <c:v>3.7784810126582289</c:v>
                </c:pt>
                <c:pt idx="18">
                  <c:v>3.8481012658227853</c:v>
                </c:pt>
                <c:pt idx="19">
                  <c:v>3.9177215189873427</c:v>
                </c:pt>
                <c:pt idx="20">
                  <c:v>4.0949367088607609</c:v>
                </c:pt>
                <c:pt idx="21">
                  <c:v>4.2215189873417733</c:v>
                </c:pt>
                <c:pt idx="22">
                  <c:v>4.2341772151898747</c:v>
                </c:pt>
                <c:pt idx="23">
                  <c:v>4.265822784810128</c:v>
                </c:pt>
                <c:pt idx="24">
                  <c:v>4.3101265822784818</c:v>
                </c:pt>
                <c:pt idx="25">
                  <c:v>4.4430379746835449</c:v>
                </c:pt>
                <c:pt idx="26">
                  <c:v>4.7151898734177218</c:v>
                </c:pt>
                <c:pt idx="27">
                  <c:v>4.8481012658227849</c:v>
                </c:pt>
                <c:pt idx="28">
                  <c:v>4.9746835443037973</c:v>
                </c:pt>
                <c:pt idx="29">
                  <c:v>5.1012658227848098</c:v>
                </c:pt>
                <c:pt idx="30">
                  <c:v>5.2278481012658222</c:v>
                </c:pt>
                <c:pt idx="31">
                  <c:v>5.4367088607594933</c:v>
                </c:pt>
                <c:pt idx="32">
                  <c:v>5.5506329113924053</c:v>
                </c:pt>
                <c:pt idx="33">
                  <c:v>5.7974683544303787</c:v>
                </c:pt>
                <c:pt idx="34">
                  <c:v>5.8797468354430373</c:v>
                </c:pt>
                <c:pt idx="35">
                  <c:v>6.0632911392405058</c:v>
                </c:pt>
                <c:pt idx="36">
                  <c:v>6.2784810126582284</c:v>
                </c:pt>
                <c:pt idx="37">
                  <c:v>6.3544303797468364</c:v>
                </c:pt>
                <c:pt idx="38">
                  <c:v>6.5063291139240516</c:v>
                </c:pt>
                <c:pt idx="39">
                  <c:v>6.7025316455696222</c:v>
                </c:pt>
                <c:pt idx="40">
                  <c:v>6.803797468354432</c:v>
                </c:pt>
                <c:pt idx="41">
                  <c:v>6.8734177215189884</c:v>
                </c:pt>
              </c:numCache>
            </c:numRef>
          </c:val>
          <c:smooth val="0"/>
          <c:extLst>
            <c:ext xmlns:c16="http://schemas.microsoft.com/office/drawing/2014/chart" uri="{C3380CC4-5D6E-409C-BE32-E72D297353CC}">
              <c16:uniqueId val="{00000003-63E0-4384-A01D-6A31087BB863}"/>
            </c:ext>
          </c:extLst>
        </c:ser>
        <c:dLbls>
          <c:showLegendKey val="0"/>
          <c:showVal val="0"/>
          <c:showCatName val="0"/>
          <c:showSerName val="0"/>
          <c:showPercent val="0"/>
          <c:showBubbleSize val="0"/>
        </c:dLbls>
        <c:smooth val="0"/>
        <c:axId val="766203920"/>
        <c:axId val="766205888"/>
      </c:lineChart>
      <c:catAx>
        <c:axId val="76620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205888"/>
        <c:crosses val="autoZero"/>
        <c:auto val="1"/>
        <c:lblAlgn val="ctr"/>
        <c:lblOffset val="100"/>
        <c:noMultiLvlLbl val="0"/>
      </c:catAx>
      <c:valAx>
        <c:axId val="766205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20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A56F-516C-48FA-A4E1-674D5576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7155</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2022-07-07T02:51:00Z</dcterms:created>
  <dcterms:modified xsi:type="dcterms:W3CDTF">2022-07-07T02:51:00Z</dcterms:modified>
  <cp:category/>
</cp:coreProperties>
</file>