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9F11" w14:textId="7A4FD3C8" w:rsidR="009C682F" w:rsidRDefault="00F857B2" w:rsidP="00F06E14">
      <w:pPr>
        <w:pStyle w:val="Reportsubtitle"/>
        <w:rPr>
          <w:b/>
          <w:color w:val="auto"/>
        </w:rPr>
      </w:pPr>
      <w:r>
        <w:rPr>
          <w:b/>
          <w:color w:val="auto"/>
        </w:rPr>
        <w:t xml:space="preserve">Replanning the 2 GHz band: </w:t>
      </w:r>
      <w:r w:rsidR="00B65495" w:rsidRPr="00B65495">
        <w:rPr>
          <w:b/>
          <w:color w:val="auto"/>
        </w:rPr>
        <w:t>Review of the 2 GHz Television Outside Broadcast Frequency Band Plan</w:t>
      </w:r>
    </w:p>
    <w:p w14:paraId="794DB86E" w14:textId="2631A834" w:rsidR="00F06E14" w:rsidRPr="00E162C4" w:rsidRDefault="002115A1" w:rsidP="00F06E14">
      <w:pPr>
        <w:pStyle w:val="Reportsubtitle"/>
      </w:pPr>
      <w:r>
        <w:t>R</w:t>
      </w:r>
      <w:r w:rsidR="009C682F">
        <w:t>esponse to submissions</w:t>
      </w:r>
    </w:p>
    <w:p w14:paraId="35A95331" w14:textId="7C6667AC" w:rsidR="00C97736" w:rsidRPr="00E162C4" w:rsidRDefault="00B65495" w:rsidP="00EC2B68">
      <w:pPr>
        <w:pStyle w:val="Reportdate"/>
        <w:spacing w:after="720"/>
        <w:rPr>
          <w:rFonts w:cs="Arial"/>
        </w:rPr>
        <w:sectPr w:rsidR="00C97736"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JUNE</w:t>
      </w:r>
      <w:r w:rsidR="00BD4421" w:rsidRPr="00E162C4">
        <w:t xml:space="preserve"> 20</w:t>
      </w:r>
      <w:r w:rsidR="008E0428" w:rsidRPr="00E162C4">
        <w:t>2</w:t>
      </w:r>
      <w:r w:rsidR="00E162C4">
        <w:t>2</w:t>
      </w:r>
    </w:p>
    <w:p w14:paraId="3BE942C3" w14:textId="77777777" w:rsidR="0005011A" w:rsidRPr="00E162C4" w:rsidRDefault="0005011A" w:rsidP="00FC07B9">
      <w:pPr>
        <w:pStyle w:val="ACMACorporateAddressHeader"/>
      </w:pPr>
      <w:r w:rsidRPr="00E162C4">
        <w:lastRenderedPageBreak/>
        <w:t>Canberra</w:t>
      </w:r>
    </w:p>
    <w:p w14:paraId="7EB30302" w14:textId="77777777" w:rsidR="0005011A" w:rsidRPr="00E162C4" w:rsidRDefault="0005011A" w:rsidP="00FC07B9">
      <w:pPr>
        <w:pStyle w:val="ACMACorporateAddresses"/>
      </w:pPr>
      <w:r w:rsidRPr="00E162C4">
        <w:t xml:space="preserve">Red Building </w:t>
      </w:r>
      <w:r w:rsidRPr="00E162C4">
        <w:br/>
        <w:t>Benjamin Offices</w:t>
      </w:r>
      <w:r w:rsidRPr="00E162C4">
        <w:br/>
        <w:t xml:space="preserve">Chan Street </w:t>
      </w:r>
      <w:r w:rsidRPr="00E162C4">
        <w:br/>
        <w:t>Belconnen ACT</w:t>
      </w:r>
    </w:p>
    <w:p w14:paraId="34877191" w14:textId="77777777" w:rsidR="0005011A" w:rsidRPr="00E162C4" w:rsidRDefault="0005011A" w:rsidP="00FC07B9">
      <w:pPr>
        <w:pStyle w:val="ACMACorporateAddresses"/>
      </w:pPr>
      <w:r w:rsidRPr="00E162C4">
        <w:t>PO Box 78</w:t>
      </w:r>
      <w:r w:rsidRPr="00E162C4">
        <w:br/>
        <w:t>Belconnen ACT 2616</w:t>
      </w:r>
    </w:p>
    <w:p w14:paraId="4B1C9BAC"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238CE0B7" w14:textId="77777777" w:rsidR="0005011A" w:rsidRPr="00E162C4" w:rsidRDefault="0005011A" w:rsidP="00FC07B9">
      <w:pPr>
        <w:pStyle w:val="ACMACorporateAddressHeader"/>
      </w:pPr>
      <w:r w:rsidRPr="00E162C4">
        <w:t>Melbourne</w:t>
      </w:r>
    </w:p>
    <w:p w14:paraId="6E958E0A"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7A77135C"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452EA8D5"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2A0FC953" w14:textId="77777777" w:rsidR="0005011A" w:rsidRPr="00E162C4" w:rsidRDefault="0005011A" w:rsidP="00FC07B9">
      <w:pPr>
        <w:pStyle w:val="ACMACorporateAddressHeader"/>
      </w:pPr>
      <w:r w:rsidRPr="00E162C4">
        <w:t>Sydney</w:t>
      </w:r>
    </w:p>
    <w:p w14:paraId="3AAB35BE"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55398387"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1A77B327"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7D20A23A" w14:textId="77777777" w:rsidR="00140318" w:rsidRPr="00E162C4" w:rsidRDefault="00140318" w:rsidP="00FC07B9">
      <w:pPr>
        <w:pStyle w:val="ACMACopyrightHeader"/>
      </w:pPr>
      <w:r w:rsidRPr="00E162C4">
        <w:t>Copyright notice</w:t>
      </w:r>
    </w:p>
    <w:p w14:paraId="67FC7AB6" w14:textId="77777777" w:rsidR="00140318" w:rsidRPr="00E162C4" w:rsidRDefault="00623FF9" w:rsidP="00623FF9">
      <w:pPr>
        <w:pStyle w:val="ACMACClogo"/>
      </w:pPr>
      <w:r w:rsidRPr="00E162C4">
        <w:rPr>
          <w:noProof/>
        </w:rPr>
        <w:drawing>
          <wp:inline distT="0" distB="0" distL="0" distR="0" wp14:anchorId="6C4110E8" wp14:editId="173292FD">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5BFC8AD5" w14:textId="77777777" w:rsidR="00AA2DE5" w:rsidRPr="00E162C4" w:rsidRDefault="0066609A" w:rsidP="00AA2DE5">
      <w:pPr>
        <w:pStyle w:val="ACMACorporateAddresses"/>
        <w:rPr>
          <w:rStyle w:val="Hyperlink"/>
        </w:rPr>
      </w:pPr>
      <w:hyperlink r:id="rId13" w:history="1">
        <w:r w:rsidR="00AA2DE5" w:rsidRPr="00E162C4">
          <w:rPr>
            <w:rStyle w:val="Hyperlink"/>
          </w:rPr>
          <w:t>https://creativecommons.org/licenses/by/4.0/</w:t>
        </w:r>
      </w:hyperlink>
    </w:p>
    <w:p w14:paraId="0266EABE" w14:textId="77777777" w:rsidR="00AA2DE5" w:rsidRPr="00E162C4" w:rsidRDefault="00AA2DE5" w:rsidP="00AA2DE5">
      <w:pPr>
        <w:pStyle w:val="ACMACorporateAddresses"/>
      </w:pPr>
      <w:r w:rsidRPr="00E162C4">
        <w:t xml:space="preserve">With the exception of coats of arms, logos, emblems, images, other third-party material or devices protected by a trademark, this content is made available under the terms of the Creative Commons Attribution 4.0 International (CC BY 4.0) licence. </w:t>
      </w:r>
    </w:p>
    <w:p w14:paraId="41483AF0" w14:textId="77777777"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E162C4">
        <w:t>2</w:t>
      </w:r>
      <w:r w:rsidRPr="00E162C4">
        <w:t>.</w:t>
      </w:r>
    </w:p>
    <w:p w14:paraId="0B09E0B6" w14:textId="77777777" w:rsidR="00AA2DE5" w:rsidRPr="00E162C4" w:rsidRDefault="00AA2DE5" w:rsidP="00AA2DE5">
      <w:pPr>
        <w:pStyle w:val="ACMACorporateAddresses"/>
      </w:pPr>
      <w:r w:rsidRPr="00E162C4">
        <w:t>All other rights are reserved.</w:t>
      </w:r>
    </w:p>
    <w:p w14:paraId="14FE503B"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7B589E0E" w14:textId="77777777" w:rsidR="00AA2DE5" w:rsidRPr="00E162C4" w:rsidRDefault="00AA2DE5" w:rsidP="00AA2DE5">
      <w:pPr>
        <w:pStyle w:val="ACMACorporateAddresses"/>
      </w:pPr>
      <w:r w:rsidRPr="00E162C4">
        <w:t>Written enquiries may be sent to:</w:t>
      </w:r>
    </w:p>
    <w:p w14:paraId="11B468E3" w14:textId="77777777"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51289239" w14:textId="77777777" w:rsidR="00D16FE3" w:rsidRPr="00E162C4" w:rsidRDefault="00D16FE3" w:rsidP="00D16FE3">
      <w:pPr>
        <w:pStyle w:val="ACMACorporateAddresses"/>
        <w:rPr>
          <w:rStyle w:val="Hyperlink"/>
        </w:rPr>
      </w:pPr>
    </w:p>
    <w:p w14:paraId="1C7E72AB" w14:textId="77777777" w:rsidR="00D16FE3" w:rsidRPr="00E162C4" w:rsidRDefault="00D16FE3" w:rsidP="00D16FE3">
      <w:pPr>
        <w:pStyle w:val="ACMACorporateAddresses"/>
        <w:sectPr w:rsidR="00D16FE3"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48363E6F" w14:textId="49966B97" w:rsidR="007E1B94" w:rsidRDefault="006A3ECF">
      <w:pPr>
        <w:pStyle w:val="TOC1"/>
        <w:rPr>
          <w:rFonts w:asciiTheme="minorHAnsi" w:eastAsiaTheme="minorEastAsia" w:hAnsiTheme="minorHAnsi" w:cstheme="minorBidi"/>
          <w:b w:val="0"/>
          <w:spacing w:val="0"/>
          <w:sz w:val="22"/>
          <w:szCs w:val="22"/>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05666597" w:history="1">
        <w:r w:rsidR="007E1B94" w:rsidRPr="00DD50FE">
          <w:rPr>
            <w:rStyle w:val="Hyperlink"/>
          </w:rPr>
          <w:t>Executive summary</w:t>
        </w:r>
        <w:r w:rsidR="007E1B94">
          <w:rPr>
            <w:webHidden/>
          </w:rPr>
          <w:tab/>
        </w:r>
        <w:r w:rsidR="007E1B94">
          <w:rPr>
            <w:webHidden/>
          </w:rPr>
          <w:fldChar w:fldCharType="begin"/>
        </w:r>
        <w:r w:rsidR="007E1B94">
          <w:rPr>
            <w:webHidden/>
          </w:rPr>
          <w:instrText xml:space="preserve"> PAGEREF _Toc105666597 \h </w:instrText>
        </w:r>
        <w:r w:rsidR="007E1B94">
          <w:rPr>
            <w:webHidden/>
          </w:rPr>
        </w:r>
        <w:r w:rsidR="007E1B94">
          <w:rPr>
            <w:webHidden/>
          </w:rPr>
          <w:fldChar w:fldCharType="separate"/>
        </w:r>
        <w:r w:rsidR="007E1B94">
          <w:rPr>
            <w:webHidden/>
          </w:rPr>
          <w:t>1</w:t>
        </w:r>
        <w:r w:rsidR="007E1B94">
          <w:rPr>
            <w:webHidden/>
          </w:rPr>
          <w:fldChar w:fldCharType="end"/>
        </w:r>
      </w:hyperlink>
    </w:p>
    <w:p w14:paraId="64060F0D" w14:textId="396FB1DB" w:rsidR="007E1B94" w:rsidRDefault="0066609A">
      <w:pPr>
        <w:pStyle w:val="TOC1"/>
        <w:rPr>
          <w:rFonts w:asciiTheme="minorHAnsi" w:eastAsiaTheme="minorEastAsia" w:hAnsiTheme="minorHAnsi" w:cstheme="minorBidi"/>
          <w:b w:val="0"/>
          <w:spacing w:val="0"/>
          <w:sz w:val="22"/>
          <w:szCs w:val="22"/>
        </w:rPr>
      </w:pPr>
      <w:hyperlink w:anchor="_Toc105666598" w:history="1">
        <w:r w:rsidR="007E1B94" w:rsidRPr="00DD50FE">
          <w:rPr>
            <w:rStyle w:val="Hyperlink"/>
          </w:rPr>
          <w:t>Introduction</w:t>
        </w:r>
        <w:r w:rsidR="007E1B94">
          <w:rPr>
            <w:webHidden/>
          </w:rPr>
          <w:tab/>
        </w:r>
        <w:r w:rsidR="007E1B94">
          <w:rPr>
            <w:webHidden/>
          </w:rPr>
          <w:fldChar w:fldCharType="begin"/>
        </w:r>
        <w:r w:rsidR="007E1B94">
          <w:rPr>
            <w:webHidden/>
          </w:rPr>
          <w:instrText xml:space="preserve"> PAGEREF _Toc105666598 \h </w:instrText>
        </w:r>
        <w:r w:rsidR="007E1B94">
          <w:rPr>
            <w:webHidden/>
          </w:rPr>
        </w:r>
        <w:r w:rsidR="007E1B94">
          <w:rPr>
            <w:webHidden/>
          </w:rPr>
          <w:fldChar w:fldCharType="separate"/>
        </w:r>
        <w:r w:rsidR="007E1B94">
          <w:rPr>
            <w:webHidden/>
          </w:rPr>
          <w:t>2</w:t>
        </w:r>
        <w:r w:rsidR="007E1B94">
          <w:rPr>
            <w:webHidden/>
          </w:rPr>
          <w:fldChar w:fldCharType="end"/>
        </w:r>
      </w:hyperlink>
    </w:p>
    <w:p w14:paraId="577C40AF" w14:textId="263CFED7" w:rsidR="007E1B94" w:rsidRDefault="0066609A">
      <w:pPr>
        <w:pStyle w:val="TOC2"/>
        <w:rPr>
          <w:rFonts w:asciiTheme="minorHAnsi" w:eastAsiaTheme="minorEastAsia" w:hAnsiTheme="minorHAnsi" w:cstheme="minorBidi"/>
          <w:spacing w:val="0"/>
          <w:sz w:val="22"/>
          <w:szCs w:val="22"/>
        </w:rPr>
      </w:pPr>
      <w:hyperlink w:anchor="_Toc105666599" w:history="1">
        <w:r w:rsidR="007E1B94" w:rsidRPr="00DD50FE">
          <w:rPr>
            <w:rStyle w:val="Hyperlink"/>
          </w:rPr>
          <w:t>Background</w:t>
        </w:r>
        <w:r w:rsidR="007E1B94">
          <w:rPr>
            <w:webHidden/>
          </w:rPr>
          <w:tab/>
        </w:r>
        <w:r w:rsidR="007E1B94">
          <w:rPr>
            <w:webHidden/>
          </w:rPr>
          <w:fldChar w:fldCharType="begin"/>
        </w:r>
        <w:r w:rsidR="007E1B94">
          <w:rPr>
            <w:webHidden/>
          </w:rPr>
          <w:instrText xml:space="preserve"> PAGEREF _Toc105666599 \h </w:instrText>
        </w:r>
        <w:r w:rsidR="007E1B94">
          <w:rPr>
            <w:webHidden/>
          </w:rPr>
        </w:r>
        <w:r w:rsidR="007E1B94">
          <w:rPr>
            <w:webHidden/>
          </w:rPr>
          <w:fldChar w:fldCharType="separate"/>
        </w:r>
        <w:r w:rsidR="007E1B94">
          <w:rPr>
            <w:webHidden/>
          </w:rPr>
          <w:t>2</w:t>
        </w:r>
        <w:r w:rsidR="007E1B94">
          <w:rPr>
            <w:webHidden/>
          </w:rPr>
          <w:fldChar w:fldCharType="end"/>
        </w:r>
      </w:hyperlink>
    </w:p>
    <w:p w14:paraId="54CA670B" w14:textId="29E2B0DF" w:rsidR="007E1B94" w:rsidRDefault="0066609A">
      <w:pPr>
        <w:pStyle w:val="TOC2"/>
        <w:rPr>
          <w:rFonts w:asciiTheme="minorHAnsi" w:eastAsiaTheme="minorEastAsia" w:hAnsiTheme="minorHAnsi" w:cstheme="minorBidi"/>
          <w:spacing w:val="0"/>
          <w:sz w:val="22"/>
          <w:szCs w:val="22"/>
        </w:rPr>
      </w:pPr>
      <w:hyperlink w:anchor="_Toc105666600" w:history="1">
        <w:r w:rsidR="007E1B94" w:rsidRPr="00DD50FE">
          <w:rPr>
            <w:rStyle w:val="Hyperlink"/>
          </w:rPr>
          <w:t>Submissions</w:t>
        </w:r>
        <w:r w:rsidR="007E1B94">
          <w:rPr>
            <w:webHidden/>
          </w:rPr>
          <w:tab/>
        </w:r>
        <w:r w:rsidR="007E1B94">
          <w:rPr>
            <w:webHidden/>
          </w:rPr>
          <w:fldChar w:fldCharType="begin"/>
        </w:r>
        <w:r w:rsidR="007E1B94">
          <w:rPr>
            <w:webHidden/>
          </w:rPr>
          <w:instrText xml:space="preserve"> PAGEREF _Toc105666600 \h </w:instrText>
        </w:r>
        <w:r w:rsidR="007E1B94">
          <w:rPr>
            <w:webHidden/>
          </w:rPr>
        </w:r>
        <w:r w:rsidR="007E1B94">
          <w:rPr>
            <w:webHidden/>
          </w:rPr>
          <w:fldChar w:fldCharType="separate"/>
        </w:r>
        <w:r w:rsidR="007E1B94">
          <w:rPr>
            <w:webHidden/>
          </w:rPr>
          <w:t>2</w:t>
        </w:r>
        <w:r w:rsidR="007E1B94">
          <w:rPr>
            <w:webHidden/>
          </w:rPr>
          <w:fldChar w:fldCharType="end"/>
        </w:r>
      </w:hyperlink>
    </w:p>
    <w:p w14:paraId="73DFF94B" w14:textId="0B20B01A" w:rsidR="007E1B94" w:rsidRDefault="0066609A">
      <w:pPr>
        <w:pStyle w:val="TOC1"/>
        <w:rPr>
          <w:rFonts w:asciiTheme="minorHAnsi" w:eastAsiaTheme="minorEastAsia" w:hAnsiTheme="minorHAnsi" w:cstheme="minorBidi"/>
          <w:b w:val="0"/>
          <w:spacing w:val="0"/>
          <w:sz w:val="22"/>
          <w:szCs w:val="22"/>
        </w:rPr>
      </w:pPr>
      <w:hyperlink w:anchor="_Toc105666601" w:history="1">
        <w:r w:rsidR="007E1B94" w:rsidRPr="00DD50FE">
          <w:rPr>
            <w:rStyle w:val="Hyperlink"/>
          </w:rPr>
          <w:t>Consultation responses</w:t>
        </w:r>
        <w:r w:rsidR="007E1B94">
          <w:rPr>
            <w:webHidden/>
          </w:rPr>
          <w:tab/>
        </w:r>
        <w:r w:rsidR="007E1B94">
          <w:rPr>
            <w:webHidden/>
          </w:rPr>
          <w:fldChar w:fldCharType="begin"/>
        </w:r>
        <w:r w:rsidR="007E1B94">
          <w:rPr>
            <w:webHidden/>
          </w:rPr>
          <w:instrText xml:space="preserve"> PAGEREF _Toc105666601 \h </w:instrText>
        </w:r>
        <w:r w:rsidR="007E1B94">
          <w:rPr>
            <w:webHidden/>
          </w:rPr>
        </w:r>
        <w:r w:rsidR="007E1B94">
          <w:rPr>
            <w:webHidden/>
          </w:rPr>
          <w:fldChar w:fldCharType="separate"/>
        </w:r>
        <w:r w:rsidR="007E1B94">
          <w:rPr>
            <w:webHidden/>
          </w:rPr>
          <w:t>3</w:t>
        </w:r>
        <w:r w:rsidR="007E1B94">
          <w:rPr>
            <w:webHidden/>
          </w:rPr>
          <w:fldChar w:fldCharType="end"/>
        </w:r>
      </w:hyperlink>
    </w:p>
    <w:p w14:paraId="726BAC74" w14:textId="126A255C" w:rsidR="007E1B94" w:rsidRDefault="0066609A">
      <w:pPr>
        <w:pStyle w:val="TOC2"/>
        <w:rPr>
          <w:rFonts w:asciiTheme="minorHAnsi" w:eastAsiaTheme="minorEastAsia" w:hAnsiTheme="minorHAnsi" w:cstheme="minorBidi"/>
          <w:spacing w:val="0"/>
          <w:sz w:val="22"/>
          <w:szCs w:val="22"/>
        </w:rPr>
      </w:pPr>
      <w:hyperlink w:anchor="_Toc105666602" w:history="1">
        <w:r w:rsidR="007E1B94" w:rsidRPr="00DD50FE">
          <w:rPr>
            <w:rStyle w:val="Hyperlink"/>
          </w:rPr>
          <w:t>Overview</w:t>
        </w:r>
        <w:r w:rsidR="007E1B94">
          <w:rPr>
            <w:webHidden/>
          </w:rPr>
          <w:tab/>
        </w:r>
        <w:r w:rsidR="007E1B94">
          <w:rPr>
            <w:webHidden/>
          </w:rPr>
          <w:fldChar w:fldCharType="begin"/>
        </w:r>
        <w:r w:rsidR="007E1B94">
          <w:rPr>
            <w:webHidden/>
          </w:rPr>
          <w:instrText xml:space="preserve"> PAGEREF _Toc105666602 \h </w:instrText>
        </w:r>
        <w:r w:rsidR="007E1B94">
          <w:rPr>
            <w:webHidden/>
          </w:rPr>
        </w:r>
        <w:r w:rsidR="007E1B94">
          <w:rPr>
            <w:webHidden/>
          </w:rPr>
          <w:fldChar w:fldCharType="separate"/>
        </w:r>
        <w:r w:rsidR="007E1B94">
          <w:rPr>
            <w:webHidden/>
          </w:rPr>
          <w:t>3</w:t>
        </w:r>
        <w:r w:rsidR="007E1B94">
          <w:rPr>
            <w:webHidden/>
          </w:rPr>
          <w:fldChar w:fldCharType="end"/>
        </w:r>
      </w:hyperlink>
    </w:p>
    <w:p w14:paraId="27C3C1DF" w14:textId="67E57DE5" w:rsidR="007E1B94" w:rsidRDefault="0066609A">
      <w:pPr>
        <w:pStyle w:val="TOC2"/>
        <w:rPr>
          <w:rFonts w:asciiTheme="minorHAnsi" w:eastAsiaTheme="minorEastAsia" w:hAnsiTheme="minorHAnsi" w:cstheme="minorBidi"/>
          <w:spacing w:val="0"/>
          <w:sz w:val="22"/>
          <w:szCs w:val="22"/>
        </w:rPr>
      </w:pPr>
      <w:hyperlink w:anchor="_Toc105666603" w:history="1">
        <w:r w:rsidR="007E1B94" w:rsidRPr="00DD50FE">
          <w:rPr>
            <w:rStyle w:val="Hyperlink"/>
          </w:rPr>
          <w:t>Issues</w:t>
        </w:r>
        <w:r w:rsidR="007E1B94">
          <w:rPr>
            <w:webHidden/>
          </w:rPr>
          <w:tab/>
        </w:r>
        <w:r w:rsidR="007E1B94">
          <w:rPr>
            <w:webHidden/>
          </w:rPr>
          <w:tab/>
        </w:r>
        <w:r w:rsidR="007E1B94">
          <w:rPr>
            <w:webHidden/>
          </w:rPr>
          <w:fldChar w:fldCharType="begin"/>
        </w:r>
        <w:r w:rsidR="007E1B94">
          <w:rPr>
            <w:webHidden/>
          </w:rPr>
          <w:instrText xml:space="preserve"> PAGEREF _Toc105666603 \h </w:instrText>
        </w:r>
        <w:r w:rsidR="007E1B94">
          <w:rPr>
            <w:webHidden/>
          </w:rPr>
        </w:r>
        <w:r w:rsidR="007E1B94">
          <w:rPr>
            <w:webHidden/>
          </w:rPr>
          <w:fldChar w:fldCharType="separate"/>
        </w:r>
        <w:r w:rsidR="007E1B94">
          <w:rPr>
            <w:webHidden/>
          </w:rPr>
          <w:t>3</w:t>
        </w:r>
        <w:r w:rsidR="007E1B94">
          <w:rPr>
            <w:webHidden/>
          </w:rPr>
          <w:fldChar w:fldCharType="end"/>
        </w:r>
      </w:hyperlink>
    </w:p>
    <w:p w14:paraId="1BF158DD" w14:textId="60264417" w:rsidR="007E1B94" w:rsidRDefault="0066609A">
      <w:pPr>
        <w:pStyle w:val="TOC1"/>
        <w:rPr>
          <w:rFonts w:asciiTheme="minorHAnsi" w:eastAsiaTheme="minorEastAsia" w:hAnsiTheme="minorHAnsi" w:cstheme="minorBidi"/>
          <w:b w:val="0"/>
          <w:spacing w:val="0"/>
          <w:sz w:val="22"/>
          <w:szCs w:val="22"/>
        </w:rPr>
      </w:pPr>
      <w:hyperlink w:anchor="_Toc105666604" w:history="1">
        <w:r w:rsidR="007E1B94" w:rsidRPr="00DD50FE">
          <w:rPr>
            <w:rStyle w:val="Hyperlink"/>
          </w:rPr>
          <w:t>Consultation outcome</w:t>
        </w:r>
        <w:r w:rsidR="007E1B94">
          <w:rPr>
            <w:webHidden/>
          </w:rPr>
          <w:tab/>
        </w:r>
        <w:r w:rsidR="007E1B94">
          <w:rPr>
            <w:webHidden/>
          </w:rPr>
          <w:fldChar w:fldCharType="begin"/>
        </w:r>
        <w:r w:rsidR="007E1B94">
          <w:rPr>
            <w:webHidden/>
          </w:rPr>
          <w:instrText xml:space="preserve"> PAGEREF _Toc105666604 \h </w:instrText>
        </w:r>
        <w:r w:rsidR="007E1B94">
          <w:rPr>
            <w:webHidden/>
          </w:rPr>
        </w:r>
        <w:r w:rsidR="007E1B94">
          <w:rPr>
            <w:webHidden/>
          </w:rPr>
          <w:fldChar w:fldCharType="separate"/>
        </w:r>
        <w:r w:rsidR="007E1B94">
          <w:rPr>
            <w:webHidden/>
          </w:rPr>
          <w:t>6</w:t>
        </w:r>
        <w:r w:rsidR="007E1B94">
          <w:rPr>
            <w:webHidden/>
          </w:rPr>
          <w:fldChar w:fldCharType="end"/>
        </w:r>
      </w:hyperlink>
    </w:p>
    <w:p w14:paraId="14EAC964" w14:textId="2660BAA8" w:rsidR="007E1B94" w:rsidRDefault="0066609A">
      <w:pPr>
        <w:pStyle w:val="TOC2"/>
        <w:rPr>
          <w:rFonts w:asciiTheme="minorHAnsi" w:eastAsiaTheme="minorEastAsia" w:hAnsiTheme="minorHAnsi" w:cstheme="minorBidi"/>
          <w:spacing w:val="0"/>
          <w:sz w:val="22"/>
          <w:szCs w:val="22"/>
        </w:rPr>
      </w:pPr>
      <w:hyperlink w:anchor="_Toc105666605" w:history="1">
        <w:r w:rsidR="007E1B94" w:rsidRPr="00DD50FE">
          <w:rPr>
            <w:rStyle w:val="Hyperlink"/>
          </w:rPr>
          <w:t>Next steps</w:t>
        </w:r>
        <w:r w:rsidR="007E1B94">
          <w:rPr>
            <w:webHidden/>
          </w:rPr>
          <w:tab/>
        </w:r>
        <w:r w:rsidR="007E1B94">
          <w:rPr>
            <w:webHidden/>
          </w:rPr>
          <w:fldChar w:fldCharType="begin"/>
        </w:r>
        <w:r w:rsidR="007E1B94">
          <w:rPr>
            <w:webHidden/>
          </w:rPr>
          <w:instrText xml:space="preserve"> PAGEREF _Toc105666605 \h </w:instrText>
        </w:r>
        <w:r w:rsidR="007E1B94">
          <w:rPr>
            <w:webHidden/>
          </w:rPr>
        </w:r>
        <w:r w:rsidR="007E1B94">
          <w:rPr>
            <w:webHidden/>
          </w:rPr>
          <w:fldChar w:fldCharType="separate"/>
        </w:r>
        <w:r w:rsidR="007E1B94">
          <w:rPr>
            <w:webHidden/>
          </w:rPr>
          <w:t>6</w:t>
        </w:r>
        <w:r w:rsidR="007E1B94">
          <w:rPr>
            <w:webHidden/>
          </w:rPr>
          <w:fldChar w:fldCharType="end"/>
        </w:r>
      </w:hyperlink>
    </w:p>
    <w:p w14:paraId="21A6F0B9" w14:textId="0E3CB029" w:rsidR="004D56FF" w:rsidRPr="00E162C4" w:rsidRDefault="006A3ECF">
      <w:pPr>
        <w:rPr>
          <w:rFonts w:cs="Arial"/>
        </w:rPr>
        <w:sectPr w:rsidR="004D56FF" w:rsidRPr="00E162C4"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1C6DB0C4" w14:textId="77777777" w:rsidR="009D6C71" w:rsidRPr="00E162C4" w:rsidRDefault="009D6C71" w:rsidP="009174F3">
      <w:pPr>
        <w:pStyle w:val="Execsummaryheading"/>
      </w:pPr>
      <w:bookmarkStart w:id="0" w:name="_Toc105666597"/>
      <w:r w:rsidRPr="001E3DD3">
        <w:lastRenderedPageBreak/>
        <w:t>Executive summary</w:t>
      </w:r>
      <w:bookmarkEnd w:id="0"/>
    </w:p>
    <w:p w14:paraId="347ABF77" w14:textId="35ED06ED" w:rsidR="009A731C" w:rsidRDefault="009A731C" w:rsidP="009A731C">
      <w:pPr>
        <w:pStyle w:val="Paragraphbeforelist"/>
        <w:spacing w:after="120"/>
      </w:pPr>
      <w:bookmarkStart w:id="1" w:name="_Toc433122125"/>
      <w:r>
        <w:t xml:space="preserve">On 17 December 2021, the Australian Communications and Media Authority (ACMA) commenced a </w:t>
      </w:r>
      <w:hyperlink r:id="rId24" w:history="1">
        <w:r w:rsidR="00826E23">
          <w:rPr>
            <w:rStyle w:val="Hyperlink"/>
          </w:rPr>
          <w:t>public c</w:t>
        </w:r>
        <w:r w:rsidRPr="00074CF0">
          <w:rPr>
            <w:rStyle w:val="Hyperlink"/>
          </w:rPr>
          <w:t>onsultation</w:t>
        </w:r>
      </w:hyperlink>
      <w:r>
        <w:t xml:space="preserve"> on a review of the </w:t>
      </w:r>
      <w:hyperlink r:id="rId25" w:history="1">
        <w:r w:rsidRPr="00F0059B">
          <w:rPr>
            <w:rStyle w:val="Hyperlink"/>
          </w:rPr>
          <w:t>Television Outside Broadcast (1980–2110 MHz and 2170–2300 MHz) Frequency Band Plan 2012</w:t>
        </w:r>
      </w:hyperlink>
      <w:r w:rsidRPr="00976046">
        <w:t xml:space="preserve"> (the </w:t>
      </w:r>
      <w:r w:rsidR="00A05790">
        <w:t xml:space="preserve">2012 </w:t>
      </w:r>
      <w:r w:rsidRPr="00976046">
        <w:t>TOB band plan)</w:t>
      </w:r>
      <w:r w:rsidR="00BA5403">
        <w:t xml:space="preserve">. This band plan </w:t>
      </w:r>
      <w:r w:rsidR="00FC4BC7">
        <w:t>specified</w:t>
      </w:r>
      <w:r w:rsidRPr="00976046">
        <w:t xml:space="preserve"> the purposes for which the</w:t>
      </w:r>
      <w:r w:rsidR="0099117F">
        <w:t xml:space="preserve">se frequency bands </w:t>
      </w:r>
      <w:r w:rsidRPr="00976046">
        <w:t>may be used.</w:t>
      </w:r>
    </w:p>
    <w:p w14:paraId="1B19D57A" w14:textId="58453902" w:rsidR="0006072A" w:rsidRDefault="00162E52" w:rsidP="0006072A">
      <w:pPr>
        <w:pStyle w:val="Paragraphbeforelist"/>
      </w:pPr>
      <w:r>
        <w:t xml:space="preserve">The consultation included </w:t>
      </w:r>
      <w:r w:rsidR="009539BD">
        <w:t xml:space="preserve">a </w:t>
      </w:r>
      <w:r>
        <w:t xml:space="preserve">proposal for 2 new band plans to replace the </w:t>
      </w:r>
      <w:r w:rsidR="00342AA4">
        <w:t xml:space="preserve">2012 </w:t>
      </w:r>
      <w:r>
        <w:t>TOB band plan</w:t>
      </w:r>
      <w:r w:rsidR="0006072A">
        <w:t xml:space="preserve">: </w:t>
      </w:r>
    </w:p>
    <w:p w14:paraId="71922E2C" w14:textId="12F76A50" w:rsidR="0006072A" w:rsidRDefault="00826E23" w:rsidP="0006072A">
      <w:pPr>
        <w:pStyle w:val="ListBullet"/>
      </w:pPr>
      <w:r>
        <w:t>A</w:t>
      </w:r>
      <w:r w:rsidR="003E40C4">
        <w:t xml:space="preserve"> draft</w:t>
      </w:r>
      <w:r w:rsidR="004E7609">
        <w:t xml:space="preserve"> 2 GHz</w:t>
      </w:r>
      <w:r w:rsidR="003E40C4">
        <w:t xml:space="preserve"> </w:t>
      </w:r>
      <w:r>
        <w:t>mobile-satellite services (</w:t>
      </w:r>
      <w:r w:rsidR="003E40C4">
        <w:t>MSS</w:t>
      </w:r>
      <w:r>
        <w:t>)</w:t>
      </w:r>
      <w:r w:rsidR="003E40C4">
        <w:t xml:space="preserve"> band plan</w:t>
      </w:r>
      <w:r w:rsidR="0006072A">
        <w:t xml:space="preserve"> </w:t>
      </w:r>
      <w:r w:rsidR="00F64544">
        <w:t xml:space="preserve">to create arrangements </w:t>
      </w:r>
      <w:r>
        <w:br/>
      </w:r>
      <w:r w:rsidR="00F64544">
        <w:t xml:space="preserve">for </w:t>
      </w:r>
      <w:r w:rsidR="00C56517">
        <w:t xml:space="preserve">the </w:t>
      </w:r>
      <w:r w:rsidR="00F64544">
        <w:t xml:space="preserve">introduction of </w:t>
      </w:r>
      <w:r w:rsidR="00753760">
        <w:t>MSS in the 2 GHz band</w:t>
      </w:r>
      <w:r w:rsidR="001B28B4">
        <w:t xml:space="preserve"> </w:t>
      </w:r>
      <w:r w:rsidR="001B28B4" w:rsidRPr="00B816C7">
        <w:t>(1980</w:t>
      </w:r>
      <w:r w:rsidR="001B28B4">
        <w:t>–</w:t>
      </w:r>
      <w:r w:rsidR="001B28B4" w:rsidRPr="00B816C7">
        <w:t>2010</w:t>
      </w:r>
      <w:r w:rsidR="001B28B4">
        <w:t xml:space="preserve"> MHz paired with </w:t>
      </w:r>
      <w:r>
        <w:br/>
      </w:r>
      <w:r w:rsidR="001B28B4" w:rsidRPr="00B816C7">
        <w:t>2170</w:t>
      </w:r>
      <w:r w:rsidR="001B28B4">
        <w:t>–</w:t>
      </w:r>
      <w:r w:rsidR="001B28B4" w:rsidRPr="00B816C7">
        <w:t>2</w:t>
      </w:r>
      <w:r w:rsidR="008C7370">
        <w:t>2</w:t>
      </w:r>
      <w:r w:rsidR="001B28B4" w:rsidRPr="00B816C7">
        <w:t>00 MHz)</w:t>
      </w:r>
      <w:r w:rsidR="002D434C">
        <w:t>,</w:t>
      </w:r>
      <w:r w:rsidR="00753760">
        <w:t xml:space="preserve"> </w:t>
      </w:r>
      <w:r w:rsidR="002D434C">
        <w:t xml:space="preserve">including a transition period for </w:t>
      </w:r>
      <w:r w:rsidR="000238E8">
        <w:t>television outside broadcast (</w:t>
      </w:r>
      <w:r w:rsidR="002D434C">
        <w:t>TOB</w:t>
      </w:r>
      <w:r w:rsidR="000238E8">
        <w:t>)</w:t>
      </w:r>
      <w:r w:rsidR="002D434C">
        <w:t xml:space="preserve"> services to </w:t>
      </w:r>
      <w:r w:rsidR="00E30C26">
        <w:t>cease operating in the band</w:t>
      </w:r>
      <w:r>
        <w:t>.</w:t>
      </w:r>
    </w:p>
    <w:p w14:paraId="37231496" w14:textId="286F657E" w:rsidR="003253EE" w:rsidRDefault="00CD4855" w:rsidP="004306EA">
      <w:pPr>
        <w:pStyle w:val="Bulletlevel1last"/>
      </w:pPr>
      <w:r>
        <w:t>a</w:t>
      </w:r>
      <w:r w:rsidR="0006072A">
        <w:t xml:space="preserve"> draft TOB band plan </w:t>
      </w:r>
      <w:r w:rsidR="00753760">
        <w:t xml:space="preserve">to deal with the remaining frequencies </w:t>
      </w:r>
      <w:r w:rsidR="004306EA">
        <w:t>(</w:t>
      </w:r>
      <w:r w:rsidR="004306EA" w:rsidRPr="004306EA">
        <w:t>2010–2110 MHz and 2200–2300 MHz</w:t>
      </w:r>
      <w:r w:rsidR="004306EA">
        <w:t>)</w:t>
      </w:r>
      <w:r w:rsidR="004306EA" w:rsidRPr="004306EA">
        <w:t xml:space="preserve"> </w:t>
      </w:r>
      <w:r w:rsidR="00753760">
        <w:t xml:space="preserve">which remain planned </w:t>
      </w:r>
      <w:r w:rsidR="001E3DD3">
        <w:t xml:space="preserve">for ongoing TOB services with no change to existing arrangements. </w:t>
      </w:r>
    </w:p>
    <w:p w14:paraId="06EDE179" w14:textId="0C943544" w:rsidR="001E3DD3" w:rsidRDefault="00E0260C" w:rsidP="003253EE">
      <w:pPr>
        <w:pStyle w:val="Paragraph"/>
      </w:pPr>
      <w:r>
        <w:t>We received 14 submissions to the consultation</w:t>
      </w:r>
      <w:r w:rsidR="00DF7C9B">
        <w:t>,</w:t>
      </w:r>
      <w:r>
        <w:t xml:space="preserve"> which closed on 28 February 2022.</w:t>
      </w:r>
    </w:p>
    <w:p w14:paraId="3BB4949F" w14:textId="60CD8B02" w:rsidR="00DC05F3" w:rsidRDefault="00DC05F3" w:rsidP="0051772B">
      <w:pPr>
        <w:pStyle w:val="Paragraphbeforelist"/>
      </w:pPr>
      <w:r>
        <w:t>Respondent</w:t>
      </w:r>
      <w:r w:rsidR="009422C7">
        <w:t>s</w:t>
      </w:r>
      <w:r>
        <w:t xml:space="preserve"> raised </w:t>
      </w:r>
      <w:r w:rsidR="0051772B">
        <w:t>3 key issues in their submissions:</w:t>
      </w:r>
    </w:p>
    <w:p w14:paraId="24A64A97" w14:textId="3B0C92CA" w:rsidR="0051772B" w:rsidRPr="00D95F92" w:rsidRDefault="0051772B" w:rsidP="0051772B">
      <w:pPr>
        <w:pStyle w:val="ListBullet"/>
      </w:pPr>
      <w:r w:rsidRPr="00D95F92">
        <w:t xml:space="preserve">Concerns </w:t>
      </w:r>
      <w:r>
        <w:t>that</w:t>
      </w:r>
      <w:r w:rsidRPr="00D95F92">
        <w:t xml:space="preserve"> the draft TOB band </w:t>
      </w:r>
      <w:r>
        <w:t>plan change</w:t>
      </w:r>
      <w:r w:rsidR="008C7370">
        <w:t>d</w:t>
      </w:r>
      <w:r>
        <w:t xml:space="preserve"> </w:t>
      </w:r>
      <w:r w:rsidRPr="00D95F92">
        <w:t>arrangements for services in the bands 2010</w:t>
      </w:r>
      <w:r>
        <w:t>–</w:t>
      </w:r>
      <w:r w:rsidRPr="00D95F92">
        <w:t>2110 MHz</w:t>
      </w:r>
      <w:r>
        <w:t xml:space="preserve"> and</w:t>
      </w:r>
      <w:r w:rsidRPr="00D95F92">
        <w:t xml:space="preserve"> 2200</w:t>
      </w:r>
      <w:r>
        <w:t>–</w:t>
      </w:r>
      <w:r w:rsidRPr="00D95F92">
        <w:t>2300 MHz (for example</w:t>
      </w:r>
      <w:r>
        <w:t>,</w:t>
      </w:r>
      <w:r w:rsidRPr="00D95F92">
        <w:t xml:space="preserve"> earth stations), </w:t>
      </w:r>
      <w:r w:rsidR="00DC2948">
        <w:t>contrary</w:t>
      </w:r>
      <w:r w:rsidR="00DC2948" w:rsidRPr="00D95F92">
        <w:t xml:space="preserve"> </w:t>
      </w:r>
      <w:r w:rsidRPr="00D95F92">
        <w:t xml:space="preserve">to </w:t>
      </w:r>
      <w:r>
        <w:t xml:space="preserve">our objective of no </w:t>
      </w:r>
      <w:r w:rsidRPr="00D95F92">
        <w:t>change to arrangements in these bands</w:t>
      </w:r>
      <w:r w:rsidR="00DC2948">
        <w:t>.</w:t>
      </w:r>
    </w:p>
    <w:p w14:paraId="1A8855F4" w14:textId="386CC549" w:rsidR="0051772B" w:rsidRPr="00D95F92" w:rsidRDefault="00DC5612" w:rsidP="0051772B">
      <w:pPr>
        <w:pStyle w:val="ListBullet"/>
      </w:pPr>
      <w:r>
        <w:t>Shortening</w:t>
      </w:r>
      <w:r w:rsidR="00D17F43">
        <w:t xml:space="preserve"> </w:t>
      </w:r>
      <w:r w:rsidR="009539BD">
        <w:t>or extend</w:t>
      </w:r>
      <w:r>
        <w:t>ing</w:t>
      </w:r>
      <w:r w:rsidR="009539BD">
        <w:t xml:space="preserve"> the </w:t>
      </w:r>
      <w:r w:rsidR="0051772B">
        <w:t>T</w:t>
      </w:r>
      <w:r w:rsidR="0051772B" w:rsidRPr="00D95F92">
        <w:t>OB transition period</w:t>
      </w:r>
      <w:r w:rsidR="00DC2948">
        <w:t>.</w:t>
      </w:r>
    </w:p>
    <w:p w14:paraId="3B362451" w14:textId="42F0F744" w:rsidR="0006072A" w:rsidRPr="00971F06" w:rsidRDefault="0051772B" w:rsidP="00971F06">
      <w:pPr>
        <w:pStyle w:val="Bulletlevel1last"/>
      </w:pPr>
      <w:r w:rsidRPr="00971F06">
        <w:t>Revisit</w:t>
      </w:r>
      <w:r w:rsidR="00F86D5C">
        <w:t>ing</w:t>
      </w:r>
      <w:r w:rsidRPr="00971F06">
        <w:t xml:space="preserve"> </w:t>
      </w:r>
      <w:r w:rsidR="009539BD" w:rsidRPr="00971F06">
        <w:t>the</w:t>
      </w:r>
      <w:r w:rsidRPr="00971F06">
        <w:t xml:space="preserve"> planning decision</w:t>
      </w:r>
      <w:r w:rsidR="009539BD" w:rsidRPr="00971F06">
        <w:t xml:space="preserve"> </w:t>
      </w:r>
      <w:r w:rsidR="0058577F" w:rsidRPr="00971F06">
        <w:t xml:space="preserve">to introduce MSS in </w:t>
      </w:r>
      <w:r w:rsidRPr="00971F06">
        <w:t xml:space="preserve">the 2 GHz band </w:t>
      </w:r>
      <w:r w:rsidR="0058577F" w:rsidRPr="00971F06">
        <w:t xml:space="preserve">and instead </w:t>
      </w:r>
      <w:r w:rsidRPr="00971F06">
        <w:t xml:space="preserve">dedicate half of the available spectrum </w:t>
      </w:r>
      <w:r w:rsidR="0058577F" w:rsidRPr="00971F06">
        <w:t>to</w:t>
      </w:r>
      <w:r w:rsidRPr="00971F06">
        <w:t xml:space="preserve"> direct air-to-ground communications</w:t>
      </w:r>
      <w:r w:rsidR="001962EB" w:rsidRPr="00971F06">
        <w:t>.</w:t>
      </w:r>
    </w:p>
    <w:p w14:paraId="47BD53F6" w14:textId="6820EE91" w:rsidR="00C1273A" w:rsidRPr="0076630E" w:rsidRDefault="002B3159" w:rsidP="00C1273A">
      <w:r>
        <w:t>After considering the issues raised in the consultation,</w:t>
      </w:r>
      <w:r w:rsidR="00C1273A" w:rsidRPr="00C1273A">
        <w:t xml:space="preserve"> </w:t>
      </w:r>
      <w:r w:rsidR="007F65BA">
        <w:t xml:space="preserve">we </w:t>
      </w:r>
      <w:r w:rsidR="00786240">
        <w:t xml:space="preserve">intend to implement planning outcomes to support </w:t>
      </w:r>
      <w:r w:rsidR="00AF6DCD">
        <w:t xml:space="preserve">the introduction of </w:t>
      </w:r>
      <w:r w:rsidR="00C1273A">
        <w:t xml:space="preserve">MSS </w:t>
      </w:r>
      <w:r w:rsidR="00786240">
        <w:t>in 2 GHz.</w:t>
      </w:r>
      <w:r w:rsidR="00205E98">
        <w:t xml:space="preserve"> </w:t>
      </w:r>
    </w:p>
    <w:p w14:paraId="264EB110" w14:textId="5E679682" w:rsidR="002B3159" w:rsidRDefault="00AF6DCD" w:rsidP="002B3159">
      <w:pPr>
        <w:pStyle w:val="Paragraphbeforelist"/>
      </w:pPr>
      <w:r>
        <w:t>To implement these arrangements, o</w:t>
      </w:r>
      <w:r w:rsidR="002B3159">
        <w:t xml:space="preserve">n </w:t>
      </w:r>
      <w:r w:rsidR="00A06CFC">
        <w:t>23 June 2022</w:t>
      </w:r>
      <w:r w:rsidR="00FB4552">
        <w:t xml:space="preserve"> </w:t>
      </w:r>
      <w:r w:rsidR="00DC2948">
        <w:t>we</w:t>
      </w:r>
      <w:r w:rsidR="002B3159">
        <w:t xml:space="preserve"> revoked the</w:t>
      </w:r>
      <w:r w:rsidR="00A20BD1">
        <w:t xml:space="preserve"> 2012 band plan</w:t>
      </w:r>
      <w:r w:rsidR="002B3159">
        <w:t xml:space="preserve"> and made the following new frequency band plans:</w:t>
      </w:r>
    </w:p>
    <w:p w14:paraId="33EB81CA" w14:textId="472D5DF5" w:rsidR="002B3159" w:rsidRDefault="002B3159" w:rsidP="002B3159">
      <w:pPr>
        <w:pStyle w:val="Bulletlevel1"/>
      </w:pPr>
      <w:r>
        <w:t xml:space="preserve">the </w:t>
      </w:r>
      <w:r w:rsidRPr="00DB6E35">
        <w:t>Radiocommunications (</w:t>
      </w:r>
      <w:hyperlink r:id="rId26" w:history="1">
        <w:r w:rsidRPr="00917CF6">
          <w:rPr>
            <w:rStyle w:val="Hyperlink"/>
          </w:rPr>
          <w:t>Mobile-Satellite Service</w:t>
        </w:r>
      </w:hyperlink>
      <w:r w:rsidRPr="00DB6E35">
        <w:t>) (1980–2010 MHz and 2170–2200 MHz) Frequency Band Plan 2022</w:t>
      </w:r>
      <w:r>
        <w:t xml:space="preserve"> (the 2 GHz MSS band plan)</w:t>
      </w:r>
    </w:p>
    <w:p w14:paraId="6CDEE717" w14:textId="6CD1BDCC" w:rsidR="002B3159" w:rsidRDefault="00DC2948" w:rsidP="002B3159">
      <w:pPr>
        <w:pStyle w:val="Bulletlevel1last"/>
      </w:pPr>
      <w:r w:rsidRPr="00DB6E35">
        <w:t xml:space="preserve">the </w:t>
      </w:r>
      <w:r w:rsidR="002B3159" w:rsidRPr="00DB6E35">
        <w:t>Radiocommunications (</w:t>
      </w:r>
      <w:hyperlink r:id="rId27" w:history="1">
        <w:r w:rsidR="002B3159" w:rsidRPr="009A467D">
          <w:rPr>
            <w:rStyle w:val="Hyperlink"/>
          </w:rPr>
          <w:t>Television Outside Broadcasting</w:t>
        </w:r>
      </w:hyperlink>
      <w:r w:rsidR="002B3159" w:rsidRPr="00DB6E35">
        <w:t>) (2010–2110 MHz and 2200–2300 MHz) Frequency Band Plan 2022</w:t>
      </w:r>
      <w:r w:rsidR="002B3159">
        <w:t xml:space="preserve"> (the new TOB band</w:t>
      </w:r>
      <w:r w:rsidR="001A438B">
        <w:t xml:space="preserve"> plan</w:t>
      </w:r>
      <w:r w:rsidR="002B3159">
        <w:t>).</w:t>
      </w:r>
    </w:p>
    <w:p w14:paraId="5B421F6B" w14:textId="77777777" w:rsidR="00711FCD" w:rsidRDefault="00711FCD" w:rsidP="00F41AEA">
      <w:pPr>
        <w:pStyle w:val="Paragraph"/>
      </w:pPr>
      <w:r>
        <w:t xml:space="preserve">The new TOB band plan includes revisions to ensure there are no changes to previous arrangements in the band, including for ongoing TOB services. </w:t>
      </w:r>
    </w:p>
    <w:p w14:paraId="325DAF8A" w14:textId="18F7B9CA" w:rsidR="00F41AEA" w:rsidRDefault="002376FE" w:rsidP="00F41AEA">
      <w:pPr>
        <w:pStyle w:val="Paragraph"/>
      </w:pPr>
      <w:r>
        <w:t xml:space="preserve">We are </w:t>
      </w:r>
      <w:hyperlink r:id="rId28" w:history="1">
        <w:r w:rsidR="00DC2948">
          <w:rPr>
            <w:rStyle w:val="Hyperlink"/>
          </w:rPr>
          <w:t>now c</w:t>
        </w:r>
        <w:r w:rsidRPr="00E97F81">
          <w:rPr>
            <w:rStyle w:val="Hyperlink"/>
          </w:rPr>
          <w:t>onsultin</w:t>
        </w:r>
        <w:r w:rsidR="00DC2948">
          <w:rPr>
            <w:rStyle w:val="Hyperlink"/>
          </w:rPr>
          <w:t>g on</w:t>
        </w:r>
      </w:hyperlink>
      <w:r>
        <w:t xml:space="preserve"> </w:t>
      </w:r>
      <w:r w:rsidR="002C4F0C">
        <w:t>planning</w:t>
      </w:r>
      <w:r>
        <w:t xml:space="preserve"> arrangements </w:t>
      </w:r>
      <w:r w:rsidR="002C4F0C">
        <w:t xml:space="preserve">in the 7.2 GHz band </w:t>
      </w:r>
      <w:r w:rsidR="003411B8">
        <w:t>to prepare for migration of TOB services.</w:t>
      </w:r>
    </w:p>
    <w:p w14:paraId="4310D6D2" w14:textId="77777777" w:rsidR="00F41AEA" w:rsidRPr="00971F06" w:rsidRDefault="00F41AEA" w:rsidP="00971F06">
      <w:pPr>
        <w:pStyle w:val="Paragraph"/>
      </w:pPr>
    </w:p>
    <w:p w14:paraId="5F78892C" w14:textId="77777777" w:rsidR="005C09B6" w:rsidRPr="00E162C4" w:rsidRDefault="005C09B6" w:rsidP="005C09B6">
      <w:pPr>
        <w:pStyle w:val="Bulletlevel1last"/>
        <w:numPr>
          <w:ilvl w:val="0"/>
          <w:numId w:val="0"/>
        </w:numPr>
      </w:pPr>
    </w:p>
    <w:p w14:paraId="6461AA4E" w14:textId="25910A03" w:rsidR="005E250B" w:rsidRPr="00E162C4" w:rsidRDefault="00DE7716" w:rsidP="002C0530">
      <w:pPr>
        <w:pStyle w:val="Heading1"/>
      </w:pPr>
      <w:bookmarkStart w:id="2" w:name="_Toc105666598"/>
      <w:bookmarkEnd w:id="1"/>
      <w:r>
        <w:lastRenderedPageBreak/>
        <w:t>Introduction</w:t>
      </w:r>
      <w:bookmarkEnd w:id="2"/>
    </w:p>
    <w:p w14:paraId="4BE60F26" w14:textId="0EC4E810" w:rsidR="00720E3F" w:rsidRDefault="00720E3F" w:rsidP="005B7E45">
      <w:pPr>
        <w:pStyle w:val="Heading2"/>
      </w:pPr>
      <w:bookmarkStart w:id="3" w:name="_Toc105666599"/>
      <w:bookmarkStart w:id="4" w:name="_Hlk26868779"/>
      <w:r>
        <w:t>Background</w:t>
      </w:r>
      <w:bookmarkEnd w:id="3"/>
    </w:p>
    <w:p w14:paraId="0E3CD6BC" w14:textId="155EA3F8" w:rsidR="00EE61A4" w:rsidRDefault="00920C43" w:rsidP="00BB2C92">
      <w:pPr>
        <w:pStyle w:val="Paragraphbeforelist"/>
        <w:spacing w:after="120"/>
      </w:pPr>
      <w:r>
        <w:t xml:space="preserve">On 17 December 2021, </w:t>
      </w:r>
      <w:r w:rsidR="00DC2948">
        <w:t>we</w:t>
      </w:r>
      <w:r w:rsidR="00EE61A4">
        <w:t xml:space="preserve"> </w:t>
      </w:r>
      <w:r w:rsidR="00EF60F6">
        <w:t xml:space="preserve">commenced a </w:t>
      </w:r>
      <w:hyperlink r:id="rId29" w:history="1">
        <w:r w:rsidR="00DC2948">
          <w:rPr>
            <w:rStyle w:val="Hyperlink"/>
          </w:rPr>
          <w:t>public c</w:t>
        </w:r>
        <w:r w:rsidR="00EF60F6" w:rsidRPr="00074CF0">
          <w:rPr>
            <w:rStyle w:val="Hyperlink"/>
          </w:rPr>
          <w:t>onsultation</w:t>
        </w:r>
      </w:hyperlink>
      <w:r w:rsidR="00EF60F6">
        <w:t xml:space="preserve"> on </w:t>
      </w:r>
      <w:r w:rsidR="000E60EA">
        <w:t xml:space="preserve">a review of the </w:t>
      </w:r>
      <w:r w:rsidR="001B48CB">
        <w:t xml:space="preserve">2012 </w:t>
      </w:r>
      <w:r w:rsidR="00C6003B" w:rsidRPr="00976046">
        <w:t>TOB band plan</w:t>
      </w:r>
      <w:r w:rsidR="00BC6043">
        <w:t>. This band plan</w:t>
      </w:r>
      <w:r w:rsidR="00C6003B" w:rsidRPr="00976046">
        <w:t xml:space="preserve"> </w:t>
      </w:r>
      <w:r w:rsidR="007B7016">
        <w:t>specified</w:t>
      </w:r>
      <w:r w:rsidR="00C6003B" w:rsidRPr="00976046">
        <w:t xml:space="preserve"> the purposes for which the</w:t>
      </w:r>
      <w:r w:rsidR="00C6003B">
        <w:t xml:space="preserve"> </w:t>
      </w:r>
      <w:r w:rsidR="00756C54">
        <w:t>frequency bands</w:t>
      </w:r>
      <w:r w:rsidR="006C0C9C">
        <w:t xml:space="preserve"> 1</w:t>
      </w:r>
      <w:r w:rsidR="006C0C9C" w:rsidRPr="006C0C9C">
        <w:t>980–2110 MHz and 2170–2300 MHz</w:t>
      </w:r>
      <w:r w:rsidR="00C6003B" w:rsidRPr="00976046">
        <w:t xml:space="preserve"> may be used.</w:t>
      </w:r>
    </w:p>
    <w:p w14:paraId="713F1BAE" w14:textId="3A2B4A45" w:rsidR="00BB2C92" w:rsidRDefault="00BC1258" w:rsidP="00695203">
      <w:pPr>
        <w:pStyle w:val="Paragraphbeforelist"/>
        <w:spacing w:after="120"/>
      </w:pPr>
      <w:r>
        <w:t xml:space="preserve">The review </w:t>
      </w:r>
      <w:r w:rsidR="00884158">
        <w:t xml:space="preserve">is part of our work </w:t>
      </w:r>
      <w:r w:rsidR="009A3D2D">
        <w:t>to</w:t>
      </w:r>
      <w:r w:rsidR="00C1055B">
        <w:t xml:space="preserve"> </w:t>
      </w:r>
      <w:hyperlink r:id="rId30" w:history="1">
        <w:r w:rsidR="00DC2948">
          <w:rPr>
            <w:rStyle w:val="Hyperlink"/>
          </w:rPr>
          <w:t>implement our d</w:t>
        </w:r>
        <w:r w:rsidR="00C1055B" w:rsidRPr="0009062E">
          <w:rPr>
            <w:rStyle w:val="Hyperlink"/>
          </w:rPr>
          <w:t>ecision</w:t>
        </w:r>
      </w:hyperlink>
      <w:r w:rsidR="00C1055B">
        <w:t xml:space="preserve"> to replan </w:t>
      </w:r>
      <w:r w:rsidR="00B816C7" w:rsidRPr="00B816C7">
        <w:t>the 2 GHz band</w:t>
      </w:r>
      <w:r w:rsidR="00CC0DC4">
        <w:t xml:space="preserve"> </w:t>
      </w:r>
      <w:r w:rsidR="00B84C1B">
        <w:t>(</w:t>
      </w:r>
      <w:r w:rsidR="00CC0DC4" w:rsidRPr="00B816C7">
        <w:t>1980</w:t>
      </w:r>
      <w:r w:rsidR="00CC0DC4">
        <w:t>–</w:t>
      </w:r>
      <w:r w:rsidR="00CC0DC4" w:rsidRPr="00B816C7">
        <w:t>2010</w:t>
      </w:r>
      <w:r w:rsidR="00CC0DC4">
        <w:t xml:space="preserve"> MHz and </w:t>
      </w:r>
      <w:r w:rsidR="00CC0DC4" w:rsidRPr="00B816C7">
        <w:t>2170</w:t>
      </w:r>
      <w:r w:rsidR="00CC0DC4">
        <w:t>–</w:t>
      </w:r>
      <w:r w:rsidR="00CC0DC4" w:rsidRPr="00B816C7">
        <w:t>2</w:t>
      </w:r>
      <w:r w:rsidR="00B87D39">
        <w:t>2</w:t>
      </w:r>
      <w:r w:rsidR="00CC0DC4" w:rsidRPr="00B816C7">
        <w:t>00 MHz</w:t>
      </w:r>
      <w:r w:rsidR="00B84C1B">
        <w:t>)</w:t>
      </w:r>
      <w:r w:rsidR="00B816C7" w:rsidRPr="00B816C7">
        <w:t xml:space="preserve"> for MSS</w:t>
      </w:r>
      <w:r w:rsidR="00B816C7">
        <w:t xml:space="preserve">. </w:t>
      </w:r>
      <w:r w:rsidR="003B2F43">
        <w:t>The review detailed</w:t>
      </w:r>
      <w:r w:rsidR="0009454B">
        <w:t xml:space="preserve"> our proposal</w:t>
      </w:r>
      <w:r w:rsidR="00695203">
        <w:t xml:space="preserve"> </w:t>
      </w:r>
      <w:r w:rsidR="00BB2C92">
        <w:t xml:space="preserve">to </w:t>
      </w:r>
      <w:r w:rsidR="00752ABE">
        <w:t>revoke</w:t>
      </w:r>
      <w:r w:rsidR="00BB2C92">
        <w:t xml:space="preserve"> the </w:t>
      </w:r>
      <w:r w:rsidR="00342AA4">
        <w:t>201</w:t>
      </w:r>
      <w:r w:rsidR="0011095A">
        <w:t>2</w:t>
      </w:r>
      <w:r w:rsidR="00342AA4">
        <w:t xml:space="preserve"> </w:t>
      </w:r>
      <w:r w:rsidR="00BB2C92">
        <w:t>TOB band plan and replace it with 2 new frequency band plans, namely:</w:t>
      </w:r>
    </w:p>
    <w:p w14:paraId="1D15CDA9" w14:textId="58A20343" w:rsidR="00BB2C92" w:rsidRDefault="00752ABE" w:rsidP="00BB2C92">
      <w:pPr>
        <w:pStyle w:val="ListBullet"/>
      </w:pPr>
      <w:r>
        <w:t xml:space="preserve">the </w:t>
      </w:r>
      <w:r w:rsidR="00BB2C92" w:rsidRPr="008F1494">
        <w:t>2 GHz MSS band plan</w:t>
      </w:r>
      <w:r w:rsidR="00BB2C92">
        <w:t>, which deals with the 2 GHz band as replanned for MSS</w:t>
      </w:r>
    </w:p>
    <w:p w14:paraId="39FA0E17" w14:textId="79368231" w:rsidR="00601A56" w:rsidRDefault="00752ABE" w:rsidP="00601A56">
      <w:pPr>
        <w:pStyle w:val="Bulletlevel1last"/>
      </w:pPr>
      <w:r>
        <w:t xml:space="preserve">the </w:t>
      </w:r>
      <w:r w:rsidR="002E1B30">
        <w:t>new</w:t>
      </w:r>
      <w:r w:rsidR="00BB2C92" w:rsidRPr="008F1494">
        <w:t xml:space="preserve"> TOB band plan</w:t>
      </w:r>
      <w:r w:rsidR="00BB2C92">
        <w:t xml:space="preserve">, dealing with the remaining frequencies that are not affected by the 2 GHz band review and remain planned and licensed </w:t>
      </w:r>
      <w:r w:rsidR="005E35CB">
        <w:t xml:space="preserve">principally </w:t>
      </w:r>
      <w:r w:rsidR="00BB2C92">
        <w:t>for TOB use.</w:t>
      </w:r>
      <w:r w:rsidR="00EE61A4">
        <w:t xml:space="preserve"> </w:t>
      </w:r>
    </w:p>
    <w:p w14:paraId="688771AE" w14:textId="76608FE3" w:rsidR="00601A56" w:rsidRDefault="00601A56" w:rsidP="000422DD">
      <w:pPr>
        <w:pStyle w:val="Paragraphbeforelist"/>
      </w:pPr>
      <w:r>
        <w:t>The key issues addressed in this consultation were</w:t>
      </w:r>
      <w:r w:rsidR="00876680">
        <w:t>:</w:t>
      </w:r>
      <w:r>
        <w:t xml:space="preserve"> </w:t>
      </w:r>
    </w:p>
    <w:p w14:paraId="147FFF25" w14:textId="71B091DB" w:rsidR="00601A56" w:rsidRDefault="00601A56" w:rsidP="00601A56">
      <w:pPr>
        <w:pStyle w:val="ListBullet"/>
      </w:pPr>
      <w:r>
        <w:t xml:space="preserve">transition timelines for </w:t>
      </w:r>
      <w:r w:rsidR="00104ECF">
        <w:t>TOB</w:t>
      </w:r>
      <w:r>
        <w:t xml:space="preserve"> services to vacate the band for introduction of MSS by:</w:t>
      </w:r>
    </w:p>
    <w:p w14:paraId="7AB20644" w14:textId="77777777" w:rsidR="00601A56" w:rsidRDefault="00601A56" w:rsidP="00601A56">
      <w:pPr>
        <w:pStyle w:val="ListBullet"/>
        <w:tabs>
          <w:tab w:val="clear" w:pos="295"/>
          <w:tab w:val="num" w:pos="579"/>
        </w:tabs>
        <w:ind w:left="579"/>
      </w:pPr>
      <w:r>
        <w:t xml:space="preserve">29 February 2024 in regional areas </w:t>
      </w:r>
    </w:p>
    <w:p w14:paraId="51BB791A" w14:textId="77777777" w:rsidR="00601A56" w:rsidRDefault="00601A56" w:rsidP="00601A56">
      <w:pPr>
        <w:pStyle w:val="ListBullet"/>
        <w:tabs>
          <w:tab w:val="clear" w:pos="295"/>
          <w:tab w:val="num" w:pos="579"/>
        </w:tabs>
        <w:ind w:left="579"/>
      </w:pPr>
      <w:r>
        <w:t>28 February 2026 in metropolitan areas</w:t>
      </w:r>
    </w:p>
    <w:p w14:paraId="08355DF3" w14:textId="12A2AAE2" w:rsidR="00601A56" w:rsidRDefault="00601A56" w:rsidP="00601A56">
      <w:pPr>
        <w:pStyle w:val="ListBullet"/>
      </w:pPr>
      <w:r>
        <w:t>geographical boundaries of metropolitan area</w:t>
      </w:r>
      <w:r w:rsidR="00104ECF">
        <w:t>s</w:t>
      </w:r>
    </w:p>
    <w:p w14:paraId="6161D841" w14:textId="382504F1" w:rsidR="00601A56" w:rsidRDefault="00601A56" w:rsidP="000422DD">
      <w:pPr>
        <w:pStyle w:val="Bulletlevel1last"/>
      </w:pPr>
      <w:r>
        <w:t>allowing some sporting and event venues in regional areas where TOB services</w:t>
      </w:r>
      <w:r w:rsidR="00D25986">
        <w:t> </w:t>
      </w:r>
      <w:r>
        <w:t xml:space="preserve">are used regularly (‘designated areas’) to continue operation </w:t>
      </w:r>
      <w:r w:rsidR="00401DCD">
        <w:t>until 28</w:t>
      </w:r>
      <w:r w:rsidR="00D25986">
        <w:t> </w:t>
      </w:r>
      <w:r w:rsidR="00401DCD">
        <w:t>February 2026</w:t>
      </w:r>
      <w:r>
        <w:t>.</w:t>
      </w:r>
    </w:p>
    <w:p w14:paraId="6DE7AAB4" w14:textId="130E4442" w:rsidR="000F42C6" w:rsidRDefault="000F42C6" w:rsidP="000F42C6">
      <w:pPr>
        <w:pStyle w:val="Heading2"/>
      </w:pPr>
      <w:bookmarkStart w:id="5" w:name="_Toc105666600"/>
      <w:r>
        <w:t>Submissions</w:t>
      </w:r>
      <w:bookmarkEnd w:id="5"/>
    </w:p>
    <w:p w14:paraId="6770D5C4" w14:textId="5CC552D5" w:rsidR="00642A8A" w:rsidRDefault="000F3912" w:rsidP="00331C82">
      <w:pPr>
        <w:pStyle w:val="Paragraphbeforelist"/>
      </w:pPr>
      <w:r>
        <w:t xml:space="preserve">The consultation closed on 28 February 2022. </w:t>
      </w:r>
      <w:r w:rsidR="000F42C6">
        <w:t>We received 1</w:t>
      </w:r>
      <w:r w:rsidR="003903E5">
        <w:t>4</w:t>
      </w:r>
      <w:r w:rsidR="000F42C6">
        <w:t xml:space="preserve"> submissions </w:t>
      </w:r>
      <w:r w:rsidR="00A82E9A">
        <w:t xml:space="preserve">from the </w:t>
      </w:r>
      <w:r w:rsidR="00642A8A">
        <w:t>follow</w:t>
      </w:r>
      <w:r w:rsidR="00A82E9A">
        <w:t>ing organisations</w:t>
      </w:r>
      <w:r w:rsidR="00331C82">
        <w:t xml:space="preserve">, which are available on the </w:t>
      </w:r>
      <w:hyperlink r:id="rId31" w:history="1">
        <w:r w:rsidR="00331C82" w:rsidRPr="003E4D9E">
          <w:rPr>
            <w:rStyle w:val="Hyperlink"/>
          </w:rPr>
          <w:t>ACMA website</w:t>
        </w:r>
      </w:hyperlink>
      <w:r w:rsidR="00331C82">
        <w:t>:</w:t>
      </w:r>
    </w:p>
    <w:p w14:paraId="4912E9BC" w14:textId="77777777" w:rsidR="00DD3D1E" w:rsidRPr="00D04242" w:rsidRDefault="00DD3D1E" w:rsidP="00DD3D1E">
      <w:pPr>
        <w:pStyle w:val="Bulletlevel1"/>
      </w:pPr>
      <w:r w:rsidRPr="00D04242">
        <w:t>Australian Broadcasting Corporation (ABC)</w:t>
      </w:r>
    </w:p>
    <w:p w14:paraId="4C07DA18" w14:textId="77777777" w:rsidR="00C36536" w:rsidRPr="00C36536" w:rsidRDefault="00C36536" w:rsidP="00C36536">
      <w:pPr>
        <w:pStyle w:val="ListBullet"/>
      </w:pPr>
      <w:r w:rsidRPr="00C36536">
        <w:t>Australian Subscription Television and Radio Association (ASTRA)</w:t>
      </w:r>
    </w:p>
    <w:p w14:paraId="6FFF1AE4" w14:textId="77777777" w:rsidR="00DE0CA5" w:rsidRPr="00DE0CA5" w:rsidRDefault="00DE0CA5" w:rsidP="00DE0CA5">
      <w:pPr>
        <w:pStyle w:val="ListBullet"/>
      </w:pPr>
      <w:r w:rsidRPr="00DE0CA5">
        <w:t>Capricorn Space</w:t>
      </w:r>
    </w:p>
    <w:p w14:paraId="627FE50C" w14:textId="3B6348DF" w:rsidR="00C36536" w:rsidRDefault="009D743D" w:rsidP="009D743D">
      <w:pPr>
        <w:pStyle w:val="ListBullet"/>
      </w:pPr>
      <w:r w:rsidRPr="009D743D">
        <w:t>Centre for Appropriate Technology Satellite Enterprises (CFATSE)</w:t>
      </w:r>
    </w:p>
    <w:p w14:paraId="3A5F8A8C" w14:textId="65A7694F" w:rsidR="00DD3D1E" w:rsidRPr="00D04242" w:rsidRDefault="00DD3D1E" w:rsidP="00DD3D1E">
      <w:pPr>
        <w:pStyle w:val="Bulletlevel1"/>
      </w:pPr>
      <w:r w:rsidRPr="00D04242">
        <w:t>Communications Alliance Satellite Services Working Group (SSWG)</w:t>
      </w:r>
    </w:p>
    <w:p w14:paraId="3AECC001" w14:textId="77777777" w:rsidR="00C03B5C" w:rsidRDefault="00C03B5C" w:rsidP="00C03B5C">
      <w:pPr>
        <w:pStyle w:val="Bulletlevel1"/>
      </w:pPr>
      <w:r w:rsidRPr="00C03B5C">
        <w:t xml:space="preserve">CSIRO </w:t>
      </w:r>
    </w:p>
    <w:p w14:paraId="0DB8F1D4" w14:textId="77777777" w:rsidR="002C0E6C" w:rsidRPr="002C0E6C" w:rsidRDefault="002C0E6C" w:rsidP="002C0E6C">
      <w:pPr>
        <w:pStyle w:val="Bulletlevel1"/>
      </w:pPr>
      <w:r w:rsidRPr="002C0E6C">
        <w:t>Department of Defence</w:t>
      </w:r>
    </w:p>
    <w:p w14:paraId="4D3420B4" w14:textId="33B4D218" w:rsidR="00DD3D1E" w:rsidRDefault="00DD3D1E" w:rsidP="00C03B5C">
      <w:pPr>
        <w:pStyle w:val="Bulletlevel1"/>
      </w:pPr>
      <w:r w:rsidRPr="00D04242">
        <w:t>Fleet Space Technologies</w:t>
      </w:r>
    </w:p>
    <w:p w14:paraId="63D76FEE" w14:textId="77777777" w:rsidR="00DD3D1E" w:rsidRPr="00D04242" w:rsidRDefault="00DD3D1E" w:rsidP="00DD3D1E">
      <w:pPr>
        <w:pStyle w:val="Bulletlevel1"/>
      </w:pPr>
      <w:r w:rsidRPr="00D04242">
        <w:t>Free TV Australia</w:t>
      </w:r>
    </w:p>
    <w:p w14:paraId="749E04DC" w14:textId="77777777" w:rsidR="00187B7F" w:rsidRDefault="00187B7F" w:rsidP="00187B7F">
      <w:pPr>
        <w:pStyle w:val="Bulletlevel1"/>
      </w:pPr>
      <w:r w:rsidRPr="00187B7F">
        <w:t>Kepler Communications</w:t>
      </w:r>
    </w:p>
    <w:p w14:paraId="545E4E60" w14:textId="5AE3D3B4" w:rsidR="000178AD" w:rsidRPr="00187B7F" w:rsidRDefault="000178AD" w:rsidP="00187B7F">
      <w:pPr>
        <w:pStyle w:val="Bulletlevel1"/>
      </w:pPr>
      <w:proofErr w:type="spellStart"/>
      <w:r>
        <w:t>Om</w:t>
      </w:r>
      <w:r w:rsidR="007F240B">
        <w:t>nispace</w:t>
      </w:r>
      <w:proofErr w:type="spellEnd"/>
      <w:r w:rsidR="007F240B">
        <w:t xml:space="preserve"> Australia </w:t>
      </w:r>
    </w:p>
    <w:p w14:paraId="47EBCAD5" w14:textId="3CFCE1BE" w:rsidR="00DD3D1E" w:rsidRPr="00D04242" w:rsidRDefault="004A71F3" w:rsidP="004A71F3">
      <w:pPr>
        <w:pStyle w:val="Bulletlevel1"/>
      </w:pPr>
      <w:r w:rsidRPr="004A71F3">
        <w:t xml:space="preserve">Optus </w:t>
      </w:r>
    </w:p>
    <w:p w14:paraId="61CC36D4" w14:textId="77777777" w:rsidR="00146E1F" w:rsidRPr="00146E1F" w:rsidRDefault="00146E1F" w:rsidP="00146E1F">
      <w:pPr>
        <w:pStyle w:val="Bulletlevel1"/>
      </w:pPr>
      <w:r w:rsidRPr="00146E1F">
        <w:t>SkyFive–Pivotel (joint submission)</w:t>
      </w:r>
    </w:p>
    <w:p w14:paraId="11CF6A73" w14:textId="2346B6E6" w:rsidR="003253EE" w:rsidRPr="00E162C4" w:rsidRDefault="00DD3D1E" w:rsidP="003253EE">
      <w:pPr>
        <w:pStyle w:val="Bulletlevel1last"/>
      </w:pPr>
      <w:r w:rsidRPr="00D04242">
        <w:t>Viasat Australia</w:t>
      </w:r>
      <w:r w:rsidR="00D25986">
        <w:t>.</w:t>
      </w:r>
    </w:p>
    <w:p w14:paraId="2459B2E3" w14:textId="3A19BDDF" w:rsidR="0044335B" w:rsidRDefault="00C6003B" w:rsidP="00CD2B0D">
      <w:pPr>
        <w:pStyle w:val="Heading1"/>
      </w:pPr>
      <w:bookmarkStart w:id="6" w:name="_Toc105666601"/>
      <w:bookmarkEnd w:id="4"/>
      <w:r>
        <w:lastRenderedPageBreak/>
        <w:t xml:space="preserve">Consultation </w:t>
      </w:r>
      <w:r w:rsidR="00DA5FC6">
        <w:t>responses</w:t>
      </w:r>
      <w:bookmarkEnd w:id="6"/>
    </w:p>
    <w:p w14:paraId="7CA2E77E" w14:textId="252B228E" w:rsidR="00CD2B0D" w:rsidRDefault="00A83883" w:rsidP="00A83883">
      <w:pPr>
        <w:pStyle w:val="Heading2"/>
      </w:pPr>
      <w:bookmarkStart w:id="7" w:name="_Toc105666602"/>
      <w:r>
        <w:t>Overview</w:t>
      </w:r>
      <w:bookmarkEnd w:id="7"/>
    </w:p>
    <w:p w14:paraId="7C9DEC0F" w14:textId="7A717228" w:rsidR="00433F4C" w:rsidRDefault="00B87D39" w:rsidP="000B41D9">
      <w:pPr>
        <w:pStyle w:val="Paragraph"/>
      </w:pPr>
      <w:r>
        <w:t xml:space="preserve">Several </w:t>
      </w:r>
      <w:r w:rsidR="00B57EF6">
        <w:t xml:space="preserve">respondents </w:t>
      </w:r>
      <w:r w:rsidR="00E44954">
        <w:t xml:space="preserve">raised concerns </w:t>
      </w:r>
      <w:r w:rsidR="001F1B3A" w:rsidRPr="001F1B3A">
        <w:t xml:space="preserve">that the </w:t>
      </w:r>
      <w:r w:rsidR="00912915">
        <w:t>new</w:t>
      </w:r>
      <w:r w:rsidR="001F1B3A" w:rsidRPr="001F1B3A">
        <w:t xml:space="preserve"> TOB band plan </w:t>
      </w:r>
      <w:r w:rsidR="0023210C">
        <w:t xml:space="preserve">proposed </w:t>
      </w:r>
      <w:r w:rsidR="001F1B3A" w:rsidRPr="001F1B3A">
        <w:t xml:space="preserve">changes </w:t>
      </w:r>
      <w:r w:rsidR="0023210C">
        <w:t xml:space="preserve">to </w:t>
      </w:r>
      <w:r w:rsidR="001F1B3A" w:rsidRPr="001F1B3A">
        <w:t>arrangements for services in the bands 2010–2110 MHz and 2200–2300</w:t>
      </w:r>
      <w:r w:rsidR="00024376">
        <w:t> </w:t>
      </w:r>
      <w:r w:rsidR="001F1B3A" w:rsidRPr="001F1B3A">
        <w:t>MHz (for example, earth stations)</w:t>
      </w:r>
      <w:r w:rsidR="00BA700F">
        <w:t xml:space="preserve">, </w:t>
      </w:r>
      <w:r w:rsidR="00AC469E">
        <w:t>contrary</w:t>
      </w:r>
      <w:r w:rsidR="00A4440E">
        <w:t xml:space="preserve"> </w:t>
      </w:r>
      <w:r w:rsidR="001F1B3A" w:rsidRPr="001F1B3A">
        <w:t>to our objective of no change to arrangements in these bands</w:t>
      </w:r>
      <w:bookmarkStart w:id="8" w:name="_Toc348105641"/>
      <w:r w:rsidR="00A4440E">
        <w:t>.</w:t>
      </w:r>
      <w:r w:rsidR="000E46A2">
        <w:t xml:space="preserve"> </w:t>
      </w:r>
      <w:r w:rsidR="00865773">
        <w:t xml:space="preserve">As these changes were unintentional, </w:t>
      </w:r>
      <w:r w:rsidR="00E56631">
        <w:t>we have</w:t>
      </w:r>
      <w:r w:rsidR="00495AD2">
        <w:t xml:space="preserve"> </w:t>
      </w:r>
      <w:r w:rsidR="00131033">
        <w:t xml:space="preserve">revised section 7 of the </w:t>
      </w:r>
      <w:r w:rsidR="00B52915">
        <w:t xml:space="preserve">new TOB </w:t>
      </w:r>
      <w:r w:rsidR="00131033">
        <w:t xml:space="preserve">band </w:t>
      </w:r>
      <w:r w:rsidR="0062367D">
        <w:t xml:space="preserve">plan </w:t>
      </w:r>
      <w:r w:rsidR="003342A6">
        <w:t xml:space="preserve">to clarify </w:t>
      </w:r>
      <w:r w:rsidR="00724B75">
        <w:t>t</w:t>
      </w:r>
      <w:r w:rsidR="00AA0877">
        <w:t xml:space="preserve">hat </w:t>
      </w:r>
      <w:r w:rsidR="00FF1837">
        <w:t>it</w:t>
      </w:r>
      <w:r w:rsidR="00A7515D">
        <w:t xml:space="preserve"> </w:t>
      </w:r>
      <w:r w:rsidR="00F77ECE">
        <w:t>support</w:t>
      </w:r>
      <w:r w:rsidR="0062367D">
        <w:t>s</w:t>
      </w:r>
      <w:r w:rsidR="00277490">
        <w:t xml:space="preserve"> </w:t>
      </w:r>
      <w:r w:rsidR="00F77ECE">
        <w:t>the</w:t>
      </w:r>
      <w:r w:rsidR="00F77ECE" w:rsidRPr="0036610C">
        <w:t xml:space="preserve"> </w:t>
      </w:r>
      <w:r w:rsidR="0036610C" w:rsidRPr="0036610C">
        <w:t xml:space="preserve">same </w:t>
      </w:r>
      <w:r w:rsidR="00F77ECE">
        <w:t>services</w:t>
      </w:r>
      <w:r w:rsidR="00F77ECE" w:rsidRPr="0036610C">
        <w:t xml:space="preserve"> </w:t>
      </w:r>
      <w:r w:rsidR="0036610C" w:rsidRPr="0036610C">
        <w:t xml:space="preserve">in </w:t>
      </w:r>
      <w:r w:rsidR="002A6ACC">
        <w:t>these bands</w:t>
      </w:r>
      <w:r w:rsidR="00A9284B">
        <w:t>,</w:t>
      </w:r>
      <w:r w:rsidR="0036610C" w:rsidRPr="0036610C">
        <w:t xml:space="preserve"> as specified in the </w:t>
      </w:r>
      <w:r w:rsidR="00A7515D">
        <w:t xml:space="preserve">2012 </w:t>
      </w:r>
      <w:r w:rsidR="0036610C" w:rsidRPr="0036610C">
        <w:t>TOB band plan.</w:t>
      </w:r>
    </w:p>
    <w:p w14:paraId="6F9E5215" w14:textId="233891E5" w:rsidR="00266618" w:rsidRDefault="00037E58" w:rsidP="000B41D9">
      <w:pPr>
        <w:pStyle w:val="Paragraph"/>
      </w:pPr>
      <w:r>
        <w:t xml:space="preserve">Two respondents commented on the proposed </w:t>
      </w:r>
      <w:r w:rsidR="00266618">
        <w:t xml:space="preserve">transition timeframes </w:t>
      </w:r>
      <w:r w:rsidR="0000136A">
        <w:t>for TOB services to vacate the 2 GHz band</w:t>
      </w:r>
      <w:r w:rsidR="00974DDC">
        <w:t>. O</w:t>
      </w:r>
      <w:r>
        <w:t xml:space="preserve">ne </w:t>
      </w:r>
      <w:r w:rsidR="00974DDC">
        <w:t>sought</w:t>
      </w:r>
      <w:r>
        <w:t xml:space="preserve"> a</w:t>
      </w:r>
      <w:r w:rsidR="00CF7FE6">
        <w:t xml:space="preserve"> delay</w:t>
      </w:r>
      <w:r w:rsidR="00E01091">
        <w:t xml:space="preserve"> to transition</w:t>
      </w:r>
      <w:r w:rsidR="00131759">
        <w:t>,</w:t>
      </w:r>
      <w:r w:rsidR="00CF7FE6">
        <w:t xml:space="preserve"> </w:t>
      </w:r>
      <w:r w:rsidR="0000136A">
        <w:t xml:space="preserve">while another </w:t>
      </w:r>
      <w:r w:rsidR="00692BB5">
        <w:t>recommended</w:t>
      </w:r>
      <w:r w:rsidR="0000136A">
        <w:t xml:space="preserve"> the timeframe</w:t>
      </w:r>
      <w:r w:rsidR="00B532DA">
        <w:t>s be reduced.</w:t>
      </w:r>
    </w:p>
    <w:p w14:paraId="0C4F314E" w14:textId="67963A53" w:rsidR="00B532DA" w:rsidRDefault="00B532DA" w:rsidP="000B41D9">
      <w:pPr>
        <w:pStyle w:val="Paragraph"/>
      </w:pPr>
      <w:r>
        <w:t xml:space="preserve">We also received a </w:t>
      </w:r>
      <w:r w:rsidR="00692BB5">
        <w:t>request to r</w:t>
      </w:r>
      <w:r w:rsidR="00037E58" w:rsidRPr="00037E58">
        <w:t xml:space="preserve">evisit our </w:t>
      </w:r>
      <w:r w:rsidR="00635657">
        <w:t xml:space="preserve">decision </w:t>
      </w:r>
      <w:r w:rsidR="005705D8">
        <w:t xml:space="preserve">to replan the </w:t>
      </w:r>
      <w:r w:rsidR="002B100F">
        <w:t>2 GHz band for MSS</w:t>
      </w:r>
      <w:r w:rsidR="00635657">
        <w:t xml:space="preserve">, </w:t>
      </w:r>
      <w:r w:rsidR="002B100F">
        <w:t xml:space="preserve">and </w:t>
      </w:r>
      <w:r w:rsidR="00635657">
        <w:t>instead</w:t>
      </w:r>
      <w:r w:rsidR="00037E58" w:rsidRPr="00037E58">
        <w:t xml:space="preserve"> dedicate half of the available spectrum for direct air-to-ground communications</w:t>
      </w:r>
      <w:r w:rsidR="00692BB5">
        <w:t xml:space="preserve">. </w:t>
      </w:r>
    </w:p>
    <w:p w14:paraId="27A7E716" w14:textId="2105197F" w:rsidR="000D123F" w:rsidRDefault="00770038" w:rsidP="000D123F">
      <w:pPr>
        <w:pStyle w:val="Paragraph"/>
      </w:pPr>
      <w:r>
        <w:t xml:space="preserve">Each of these </w:t>
      </w:r>
      <w:r w:rsidR="000D123F">
        <w:t xml:space="preserve">issues </w:t>
      </w:r>
      <w:r w:rsidR="00A645F8">
        <w:t xml:space="preserve">is </w:t>
      </w:r>
      <w:r>
        <w:t xml:space="preserve">addressed </w:t>
      </w:r>
      <w:r w:rsidR="000D123F">
        <w:t>below.</w:t>
      </w:r>
    </w:p>
    <w:p w14:paraId="6840C8A0" w14:textId="4D05A9F8" w:rsidR="008C6132" w:rsidRDefault="008C6132" w:rsidP="008C6132">
      <w:pPr>
        <w:pStyle w:val="Heading2"/>
      </w:pPr>
      <w:bookmarkStart w:id="9" w:name="_Toc105666603"/>
      <w:r>
        <w:t>Issues</w:t>
      </w:r>
      <w:bookmarkEnd w:id="9"/>
    </w:p>
    <w:p w14:paraId="661A36C6" w14:textId="79D35F29" w:rsidR="00C95693" w:rsidRDefault="00912915" w:rsidP="00C95693">
      <w:pPr>
        <w:pStyle w:val="Heading3"/>
      </w:pPr>
      <w:r>
        <w:t>New TOB band plan</w:t>
      </w:r>
    </w:p>
    <w:p w14:paraId="53F64C2F" w14:textId="44C956A3" w:rsidR="003D3636" w:rsidRDefault="003D3636" w:rsidP="003D3636">
      <w:pPr>
        <w:pStyle w:val="Paragraph"/>
      </w:pPr>
      <w:r w:rsidRPr="003D3636">
        <w:t xml:space="preserve">One of </w:t>
      </w:r>
      <w:r>
        <w:t>our</w:t>
      </w:r>
      <w:r w:rsidRPr="003D3636">
        <w:t xml:space="preserve"> aims in developing the </w:t>
      </w:r>
      <w:r w:rsidR="00912915">
        <w:t>new TOB band plan</w:t>
      </w:r>
      <w:r w:rsidRPr="003D3636">
        <w:t xml:space="preserve"> was to simplify and streamline it to align with contemporary legal drafting practices. </w:t>
      </w:r>
      <w:proofErr w:type="gramStart"/>
      <w:r w:rsidRPr="003D3636">
        <w:t>In doing so, there</w:t>
      </w:r>
      <w:proofErr w:type="gramEnd"/>
      <w:r w:rsidRPr="003D3636">
        <w:t xml:space="preserve"> </w:t>
      </w:r>
      <w:r w:rsidR="000630AC">
        <w:t>were</w:t>
      </w:r>
      <w:r w:rsidRPr="003D3636">
        <w:t xml:space="preserve"> some inadvertent changes to arrangements for earth stations and other services supported by the </w:t>
      </w:r>
      <w:r w:rsidR="0011095A">
        <w:t>2012</w:t>
      </w:r>
      <w:r w:rsidR="0011095A" w:rsidRPr="003D3636">
        <w:t xml:space="preserve"> </w:t>
      </w:r>
      <w:r w:rsidRPr="003D3636">
        <w:t>TOB band plan. This mainly relate</w:t>
      </w:r>
      <w:r w:rsidR="00A77FC0">
        <w:t>d</w:t>
      </w:r>
      <w:r w:rsidRPr="003D3636">
        <w:t xml:space="preserve"> to the provision in the </w:t>
      </w:r>
      <w:r w:rsidR="0011095A">
        <w:t>2012</w:t>
      </w:r>
      <w:r w:rsidR="0011095A" w:rsidRPr="003D3636">
        <w:t xml:space="preserve"> </w:t>
      </w:r>
      <w:r w:rsidRPr="003D3636">
        <w:t xml:space="preserve">plan </w:t>
      </w:r>
      <w:r w:rsidR="00A77FC0">
        <w:t>that</w:t>
      </w:r>
      <w:r w:rsidR="00A77FC0" w:rsidRPr="003D3636">
        <w:t xml:space="preserve"> </w:t>
      </w:r>
      <w:r w:rsidRPr="003D3636">
        <w:t xml:space="preserve">states in addition to the services specified in the band plan, any other service listed in the </w:t>
      </w:r>
      <w:r w:rsidRPr="004D0373">
        <w:t>Australian Radiofrequency Spectrum Plan</w:t>
      </w:r>
      <w:r w:rsidR="00933552" w:rsidRPr="004D0373">
        <w:t xml:space="preserve"> 2021</w:t>
      </w:r>
      <w:r w:rsidRPr="003D3636">
        <w:t xml:space="preserve"> (ARSP) for this band may also </w:t>
      </w:r>
      <w:r w:rsidR="00A77FC0">
        <w:br/>
      </w:r>
      <w:r w:rsidRPr="003D3636">
        <w:t xml:space="preserve">be operated. </w:t>
      </w:r>
    </w:p>
    <w:p w14:paraId="48FBD1A4" w14:textId="098FD64A" w:rsidR="004475A1" w:rsidRPr="00A27CA5" w:rsidRDefault="004475A1" w:rsidP="004475A1">
      <w:pPr>
        <w:pStyle w:val="Paragraph"/>
        <w:rPr>
          <w:b/>
          <w:i/>
        </w:rPr>
      </w:pPr>
      <w:r>
        <w:t xml:space="preserve">The intention of the </w:t>
      </w:r>
      <w:r w:rsidR="00912915">
        <w:t>new TOB band plan</w:t>
      </w:r>
      <w:r>
        <w:t xml:space="preserve"> </w:t>
      </w:r>
      <w:r w:rsidR="00C467CD">
        <w:t>is</w:t>
      </w:r>
      <w:r>
        <w:t xml:space="preserve"> to give effect to the same arrangements in 2010–2110</w:t>
      </w:r>
      <w:r w:rsidR="00894637">
        <w:t xml:space="preserve"> and </w:t>
      </w:r>
      <w:r>
        <w:t xml:space="preserve">2200–2300 MHz as specified in the </w:t>
      </w:r>
      <w:r w:rsidR="00A05790">
        <w:t xml:space="preserve">2012 </w:t>
      </w:r>
      <w:r>
        <w:t xml:space="preserve">TOB band plan. </w:t>
      </w:r>
      <w:r w:rsidR="00AF7A1B">
        <w:t>Accordingly</w:t>
      </w:r>
      <w:r w:rsidR="00A27CA5">
        <w:t>,</w:t>
      </w:r>
      <w:r>
        <w:t xml:space="preserve"> we</w:t>
      </w:r>
      <w:r w:rsidR="00894637">
        <w:t xml:space="preserve"> have revised</w:t>
      </w:r>
      <w:r w:rsidR="0062367D">
        <w:t xml:space="preserve"> section 7 in </w:t>
      </w:r>
      <w:r>
        <w:t xml:space="preserve">the </w:t>
      </w:r>
      <w:r w:rsidR="00B52915">
        <w:t xml:space="preserve">new TOB </w:t>
      </w:r>
      <w:r>
        <w:t xml:space="preserve">band plan to </w:t>
      </w:r>
      <w:r w:rsidR="002A22FB">
        <w:t xml:space="preserve">clarify </w:t>
      </w:r>
      <w:r w:rsidR="00AF6086">
        <w:t xml:space="preserve">that </w:t>
      </w:r>
      <w:r w:rsidR="00D93239" w:rsidRPr="003D3636">
        <w:t xml:space="preserve">there is no change to existing arrangements. </w:t>
      </w:r>
      <w:r w:rsidR="00A27CA5">
        <w:t>T</w:t>
      </w:r>
      <w:r>
        <w:t>his includes ensuring there is support for earth stations operating outside of Perth on a primary basis (as is the case in locations such as Tidbinbilla, Mingenew and New Norcia) and ensuring other services specified in the ARSP are still supporte</w:t>
      </w:r>
      <w:r w:rsidR="00C74860">
        <w:t>d under the new band plan</w:t>
      </w:r>
      <w:r>
        <w:t>.</w:t>
      </w:r>
      <w:r w:rsidR="006A1F51">
        <w:t xml:space="preserve"> </w:t>
      </w:r>
      <w:r w:rsidR="00C804EF">
        <w:t>We</w:t>
      </w:r>
      <w:r w:rsidR="006A1F51">
        <w:t xml:space="preserve"> note there continues to be administrative policy guidance </w:t>
      </w:r>
      <w:r w:rsidR="00914383">
        <w:t>(</w:t>
      </w:r>
      <w:hyperlink r:id="rId32" w:history="1">
        <w:r w:rsidR="00914383" w:rsidRPr="004E08EB">
          <w:rPr>
            <w:rStyle w:val="Hyperlink"/>
          </w:rPr>
          <w:t>RAL</w:t>
        </w:r>
        <w:r w:rsidR="00875B22" w:rsidRPr="004E08EB">
          <w:rPr>
            <w:rStyle w:val="Hyperlink"/>
          </w:rPr>
          <w:t>I</w:t>
        </w:r>
        <w:r w:rsidR="00914383" w:rsidRPr="004E08EB">
          <w:rPr>
            <w:rStyle w:val="Hyperlink"/>
          </w:rPr>
          <w:t xml:space="preserve"> FX 21</w:t>
        </w:r>
      </w:hyperlink>
      <w:r w:rsidR="00914383">
        <w:t xml:space="preserve"> and </w:t>
      </w:r>
      <w:hyperlink r:id="rId33" w:history="1">
        <w:r w:rsidR="00875B22" w:rsidRPr="00CF155D">
          <w:rPr>
            <w:rStyle w:val="Hyperlink"/>
          </w:rPr>
          <w:t>Embargo</w:t>
        </w:r>
        <w:r w:rsidR="00914383" w:rsidRPr="00CF155D">
          <w:rPr>
            <w:rStyle w:val="Hyperlink"/>
          </w:rPr>
          <w:t xml:space="preserve"> </w:t>
        </w:r>
        <w:r w:rsidR="00875B22" w:rsidRPr="00CF155D">
          <w:rPr>
            <w:rStyle w:val="Hyperlink"/>
          </w:rPr>
          <w:t>23</w:t>
        </w:r>
      </w:hyperlink>
      <w:r w:rsidR="00875B22">
        <w:t xml:space="preserve">) </w:t>
      </w:r>
      <w:r w:rsidR="006A1F51">
        <w:t xml:space="preserve">on use of these bands </w:t>
      </w:r>
      <w:r w:rsidR="00914383">
        <w:t>for TOB purposes.</w:t>
      </w:r>
    </w:p>
    <w:p w14:paraId="2F8F34F9" w14:textId="666EDCFF" w:rsidR="0028686C" w:rsidRDefault="00835E68" w:rsidP="0028686C">
      <w:pPr>
        <w:pStyle w:val="Heading3"/>
      </w:pPr>
      <w:r>
        <w:t>Transition tim</w:t>
      </w:r>
      <w:r w:rsidR="00F628EB">
        <w:t>ing</w:t>
      </w:r>
    </w:p>
    <w:p w14:paraId="23EFF98B" w14:textId="32CA50BC" w:rsidR="0028686C" w:rsidRDefault="000C0818" w:rsidP="0028686C">
      <w:r>
        <w:t xml:space="preserve">One respondent requested </w:t>
      </w:r>
      <w:r w:rsidR="00816C7F">
        <w:t xml:space="preserve">a delay in </w:t>
      </w:r>
      <w:r w:rsidR="00A22389">
        <w:t xml:space="preserve">commencement of </w:t>
      </w:r>
      <w:r w:rsidR="00315841">
        <w:t xml:space="preserve">the transition period </w:t>
      </w:r>
      <w:r w:rsidR="00816C7F">
        <w:t>for TOB services to vacate the band</w:t>
      </w:r>
      <w:r w:rsidR="00D04903">
        <w:t xml:space="preserve"> un</w:t>
      </w:r>
      <w:r w:rsidR="00320AE4">
        <w:t xml:space="preserve">til alternative arrangements in the 7.2 GHz band are settled. </w:t>
      </w:r>
      <w:r w:rsidR="009D5195">
        <w:t>T</w:t>
      </w:r>
      <w:r w:rsidR="00F9799D">
        <w:t>he</w:t>
      </w:r>
      <w:r w:rsidR="00C804EF">
        <w:t>y</w:t>
      </w:r>
      <w:r w:rsidR="00F9799D">
        <w:t xml:space="preserve"> </w:t>
      </w:r>
      <w:r w:rsidR="009D5195">
        <w:t xml:space="preserve">also </w:t>
      </w:r>
      <w:r w:rsidR="00F9799D">
        <w:t>noted the transition will</w:t>
      </w:r>
      <w:r w:rsidR="00FD2413">
        <w:t xml:space="preserve"> result in considerable costs for affected operators</w:t>
      </w:r>
      <w:r w:rsidR="009D5195">
        <w:t xml:space="preserve">, </w:t>
      </w:r>
      <w:r w:rsidR="00C804EF">
        <w:t xml:space="preserve">and that </w:t>
      </w:r>
      <w:r w:rsidR="009D5195">
        <w:t>certain</w:t>
      </w:r>
      <w:r w:rsidR="001B33E3">
        <w:t>t</w:t>
      </w:r>
      <w:r w:rsidR="009D5195">
        <w:t>y of a</w:t>
      </w:r>
      <w:r w:rsidR="008F36B7">
        <w:t xml:space="preserve">ccess </w:t>
      </w:r>
      <w:r w:rsidR="009A4341">
        <w:t xml:space="preserve">to alternative spectrum should be </w:t>
      </w:r>
      <w:r w:rsidR="009D5195">
        <w:t xml:space="preserve">assured prior to </w:t>
      </w:r>
      <w:r w:rsidR="00E35D43">
        <w:t>the start of the t</w:t>
      </w:r>
      <w:r w:rsidR="009D5195">
        <w:t>ran</w:t>
      </w:r>
      <w:r w:rsidR="00E35D43">
        <w:t>sition period.</w:t>
      </w:r>
    </w:p>
    <w:p w14:paraId="1A1273E6" w14:textId="16881DA2" w:rsidR="005C7CF5" w:rsidRDefault="0024376F" w:rsidP="0028686C">
      <w:r>
        <w:t>An</w:t>
      </w:r>
      <w:r w:rsidR="005C7CF5">
        <w:t xml:space="preserve">other respondent </w:t>
      </w:r>
      <w:r w:rsidR="00FB3807">
        <w:t xml:space="preserve">proposed </w:t>
      </w:r>
      <w:r w:rsidR="00E85ADD">
        <w:t xml:space="preserve">the </w:t>
      </w:r>
      <w:r w:rsidR="00FB3807">
        <w:t xml:space="preserve">timeframes be </w:t>
      </w:r>
      <w:r w:rsidR="00E85ADD">
        <w:t>expedited</w:t>
      </w:r>
      <w:r w:rsidR="00FB3807">
        <w:t xml:space="preserve"> for introduc</w:t>
      </w:r>
      <w:r w:rsidR="00E85ADD">
        <w:t xml:space="preserve">ing MSS in the 2 GHz band. </w:t>
      </w:r>
    </w:p>
    <w:p w14:paraId="48450F1B" w14:textId="77777777" w:rsidR="0028686C" w:rsidRDefault="0028686C" w:rsidP="000B41D9">
      <w:pPr>
        <w:pStyle w:val="Heading4"/>
        <w:keepNext/>
      </w:pPr>
      <w:r w:rsidRPr="00586A62">
        <w:t>ACMA response</w:t>
      </w:r>
    </w:p>
    <w:p w14:paraId="7BE63E2D" w14:textId="6CB00162" w:rsidR="00C348D7" w:rsidRDefault="00C804EF" w:rsidP="00E35D43">
      <w:r>
        <w:t>We</w:t>
      </w:r>
      <w:r w:rsidR="00E35D43">
        <w:t xml:space="preserve"> retain the view that the transition timeframes announced with our replanning decision in January 2021</w:t>
      </w:r>
      <w:r w:rsidR="0017161C" w:rsidRPr="0017161C">
        <w:t xml:space="preserve"> </w:t>
      </w:r>
      <w:r w:rsidR="007C3409">
        <w:t xml:space="preserve">(5 years in metropolitan areas and 3 years </w:t>
      </w:r>
      <w:r w:rsidR="00E9032D">
        <w:t>elsewhere</w:t>
      </w:r>
      <w:r w:rsidR="007C3409">
        <w:t xml:space="preserve">) </w:t>
      </w:r>
      <w:r w:rsidR="00940D7C">
        <w:t xml:space="preserve">strike </w:t>
      </w:r>
      <w:r w:rsidR="00940D7C">
        <w:lastRenderedPageBreak/>
        <w:t xml:space="preserve">the right balance </w:t>
      </w:r>
      <w:r w:rsidR="000F33ED">
        <w:t xml:space="preserve">between the interests of incumbents and allocating the spectrum for new MSS. </w:t>
      </w:r>
      <w:r w:rsidR="00E8505D">
        <w:t xml:space="preserve">The specified periods </w:t>
      </w:r>
      <w:r w:rsidR="007C3409">
        <w:t xml:space="preserve">will </w:t>
      </w:r>
      <w:r w:rsidR="0017161C" w:rsidRPr="0017161C">
        <w:t>allow incumbent TOB operators to relocate to alternative spectrum at a time that aligns to the extent possible with their equipment replacement lifecycles.</w:t>
      </w:r>
      <w:r w:rsidR="00E9032D">
        <w:t xml:space="preserve"> </w:t>
      </w:r>
    </w:p>
    <w:p w14:paraId="662EE45A" w14:textId="384A6E51" w:rsidR="00E35D43" w:rsidRDefault="00E9032D" w:rsidP="00E35D43">
      <w:r>
        <w:t>P</w:t>
      </w:r>
      <w:r w:rsidRPr="00E9032D">
        <w:t xml:space="preserve">roviding earlier access in regional and remote areas will support initial </w:t>
      </w:r>
      <w:r w:rsidR="00C348D7">
        <w:t xml:space="preserve">MSS </w:t>
      </w:r>
      <w:r w:rsidRPr="00E9032D">
        <w:t>deployment in areas that are likely to benefit the most from new services with minimal impact on TOB.</w:t>
      </w:r>
    </w:p>
    <w:p w14:paraId="0D96B841" w14:textId="592B5DCF" w:rsidR="00E37A25" w:rsidRDefault="00E37A25" w:rsidP="00E35D43">
      <w:r>
        <w:t xml:space="preserve">As noted in </w:t>
      </w:r>
      <w:r w:rsidR="001B33E3">
        <w:t xml:space="preserve">the </w:t>
      </w:r>
      <w:r>
        <w:t>consultation paper, we c</w:t>
      </w:r>
      <w:r w:rsidRPr="00E37A25">
        <w:t>onsider the majority of services in the 2 GHz band can be accommodated in the 7.2 GHz TOB band (7100–7425 MHz), which has similar arrangements to the 2 GHz band. The 7.2 GHz band has a number of channels that are specifically identified for shared non-exclusive usage, similar to the arrangements for the 2 GHz band. With current arrangements in the 7.2 GHz band intended to support analog technologies, we are reviewing channel arrangements to reflect current digital technologies in use. Our intention is to develop a single channel plan that replaces current interleaved channelling arrangements.</w:t>
      </w:r>
    </w:p>
    <w:p w14:paraId="0B013B56" w14:textId="77777777" w:rsidR="00AE5706" w:rsidRDefault="00AE5706" w:rsidP="00AE5706">
      <w:pPr>
        <w:pStyle w:val="Paragraph"/>
      </w:pPr>
      <w:r>
        <w:t xml:space="preserve">Accordingly, we are developing changes to planning arrangements in the 7.2 GHz band to prepare for migration of TOB services during the 2 GHz transition period. This involves amendments to </w:t>
      </w:r>
      <w:hyperlink r:id="rId34" w:history="1">
        <w:r w:rsidRPr="005C1C42">
          <w:rPr>
            <w:rStyle w:val="Hyperlink"/>
          </w:rPr>
          <w:t>RALI FX3</w:t>
        </w:r>
      </w:hyperlink>
      <w:r>
        <w:t xml:space="preserve"> by modernising channel arrangements in the 7.2 GHz band to accommodate additional TOB use. </w:t>
      </w:r>
    </w:p>
    <w:p w14:paraId="115F6D66" w14:textId="65465B12" w:rsidR="0028686C" w:rsidRDefault="00AE5706" w:rsidP="00AE5706">
      <w:pPr>
        <w:pStyle w:val="Paragraph"/>
        <w:rPr>
          <w:b/>
          <w:i/>
        </w:rPr>
      </w:pPr>
      <w:r>
        <w:t xml:space="preserve">We </w:t>
      </w:r>
      <w:r w:rsidR="00692F3A">
        <w:t xml:space="preserve">are </w:t>
      </w:r>
      <w:r w:rsidR="002376FE">
        <w:t>now</w:t>
      </w:r>
      <w:r w:rsidR="00692F3A">
        <w:t xml:space="preserve"> consulting</w:t>
      </w:r>
      <w:r>
        <w:t xml:space="preserve"> on </w:t>
      </w:r>
      <w:hyperlink r:id="rId35" w:history="1">
        <w:r w:rsidRPr="00E97F81">
          <w:rPr>
            <w:rStyle w:val="Hyperlink"/>
          </w:rPr>
          <w:t>proposed amendments to RALI FX3</w:t>
        </w:r>
      </w:hyperlink>
      <w:r w:rsidR="000D091F">
        <w:t>.</w:t>
      </w:r>
    </w:p>
    <w:p w14:paraId="08FEBD89" w14:textId="79313B80" w:rsidR="001E3B22" w:rsidRDefault="00EF7562" w:rsidP="00EF7562">
      <w:pPr>
        <w:pStyle w:val="Heading3"/>
      </w:pPr>
      <w:r>
        <w:t>Reconsider</w:t>
      </w:r>
      <w:r w:rsidR="002A50FF">
        <w:t xml:space="preserve"> planning decision</w:t>
      </w:r>
    </w:p>
    <w:p w14:paraId="331D4EF0" w14:textId="5C5535A9" w:rsidR="00795A86" w:rsidRDefault="000D091F" w:rsidP="00BA721E">
      <w:pPr>
        <w:pStyle w:val="Paragraph"/>
      </w:pPr>
      <w:r>
        <w:t xml:space="preserve">A respondent </w:t>
      </w:r>
      <w:r w:rsidR="007D6613">
        <w:t>requested reconsideration of our pl</w:t>
      </w:r>
      <w:r w:rsidR="002B069E">
        <w:t>anning decisions for the 2 GHz</w:t>
      </w:r>
      <w:r w:rsidR="000B60CE">
        <w:t xml:space="preserve"> band</w:t>
      </w:r>
      <w:r w:rsidR="00A07FA8">
        <w:t xml:space="preserve">, </w:t>
      </w:r>
      <w:r w:rsidR="00EF57AA">
        <w:t xml:space="preserve">arguing that </w:t>
      </w:r>
      <w:r w:rsidR="00EF57AA" w:rsidRPr="002D36D6">
        <w:t xml:space="preserve">direct air-to-ground communications </w:t>
      </w:r>
      <w:r w:rsidR="00EF57AA">
        <w:t>(</w:t>
      </w:r>
      <w:r w:rsidR="00EF57AA" w:rsidRPr="000C4175">
        <w:t>DA2GC</w:t>
      </w:r>
      <w:r w:rsidR="00EF57AA">
        <w:t>)</w:t>
      </w:r>
      <w:r w:rsidR="00EF57AA" w:rsidRPr="000C4175">
        <w:t xml:space="preserve"> services should have access to 2 x 15 MHz of dedicated, exclusive spectrum</w:t>
      </w:r>
      <w:r w:rsidR="00EF57AA">
        <w:t xml:space="preserve"> in the lower half of the band</w:t>
      </w:r>
      <w:r w:rsidR="00307A5A">
        <w:t>.</w:t>
      </w:r>
      <w:r w:rsidR="00EF57AA">
        <w:t xml:space="preserve"> </w:t>
      </w:r>
      <w:r w:rsidR="00312B70">
        <w:t>U</w:t>
      </w:r>
      <w:r w:rsidR="006F2420">
        <w:t xml:space="preserve">se of </w:t>
      </w:r>
      <w:r w:rsidR="006F2420" w:rsidRPr="00A85D75">
        <w:t>complementary ground component</w:t>
      </w:r>
      <w:r w:rsidR="00712427">
        <w:t xml:space="preserve"> (CGC)</w:t>
      </w:r>
      <w:r w:rsidR="006F2420" w:rsidRPr="00A85D75">
        <w:t xml:space="preserve"> infrastructure</w:t>
      </w:r>
      <w:r w:rsidR="00307A5A">
        <w:t xml:space="preserve"> by the </w:t>
      </w:r>
      <w:r w:rsidR="00B12DBD" w:rsidRPr="00320970">
        <w:t>European Aviation Network</w:t>
      </w:r>
      <w:r w:rsidR="00B12DBD">
        <w:t xml:space="preserve"> was </w:t>
      </w:r>
      <w:r w:rsidR="00312B70">
        <w:t>provided as an example</w:t>
      </w:r>
      <w:r w:rsidR="006F2420">
        <w:t xml:space="preserve">. </w:t>
      </w:r>
      <w:r w:rsidR="00553628">
        <w:t>It was r</w:t>
      </w:r>
      <w:r w:rsidR="006F2420">
        <w:t>equest</w:t>
      </w:r>
      <w:r w:rsidR="00553628">
        <w:t>ed</w:t>
      </w:r>
      <w:r w:rsidR="006F2420">
        <w:t xml:space="preserve"> that g</w:t>
      </w:r>
      <w:r w:rsidR="002D36D6" w:rsidRPr="002D36D6">
        <w:t xml:space="preserve">reater emphasis </w:t>
      </w:r>
      <w:r w:rsidR="002D36D6">
        <w:t>should</w:t>
      </w:r>
      <w:r w:rsidR="002D36D6" w:rsidRPr="002D36D6">
        <w:t xml:space="preserve"> be given to complementary ground component and DA2GC services before finalising the 2 GHz</w:t>
      </w:r>
      <w:r w:rsidR="00575E31">
        <w:t xml:space="preserve"> </w:t>
      </w:r>
      <w:r w:rsidR="002D36D6" w:rsidRPr="002D36D6">
        <w:t>band plan and establishing it as an MSS band</w:t>
      </w:r>
      <w:r w:rsidR="002D36D6">
        <w:t>.</w:t>
      </w:r>
      <w:r w:rsidR="000C4175">
        <w:t xml:space="preserve"> </w:t>
      </w:r>
    </w:p>
    <w:p w14:paraId="2605BF17" w14:textId="6FD47C20" w:rsidR="004604EB" w:rsidRDefault="00586A62" w:rsidP="004604EB">
      <w:pPr>
        <w:pStyle w:val="Heading4"/>
      </w:pPr>
      <w:r w:rsidRPr="00586A62">
        <w:t>ACMA response</w:t>
      </w:r>
    </w:p>
    <w:p w14:paraId="0A3CF19D" w14:textId="465FCC7D" w:rsidR="0024376F" w:rsidRDefault="0096442F" w:rsidP="009026C1">
      <w:pPr>
        <w:pStyle w:val="Paragraph"/>
      </w:pPr>
      <w:r>
        <w:t xml:space="preserve">Our decision to </w:t>
      </w:r>
      <w:r w:rsidR="00782A45">
        <w:t xml:space="preserve">replan </w:t>
      </w:r>
      <w:r>
        <w:t xml:space="preserve">the 2 GHz band for MSS was </w:t>
      </w:r>
      <w:r w:rsidR="00654861">
        <w:t xml:space="preserve">announced in the </w:t>
      </w:r>
      <w:r w:rsidR="002D4226">
        <w:br/>
      </w:r>
      <w:hyperlink r:id="rId36" w:history="1">
        <w:r w:rsidR="002D4226">
          <w:rPr>
            <w:rStyle w:val="Hyperlink"/>
          </w:rPr>
          <w:t>2 GHz o</w:t>
        </w:r>
        <w:r w:rsidR="00654861" w:rsidRPr="00654861">
          <w:rPr>
            <w:rStyle w:val="Hyperlink"/>
          </w:rPr>
          <w:t>utcomes paper</w:t>
        </w:r>
      </w:hyperlink>
      <w:r w:rsidR="00654861">
        <w:t xml:space="preserve"> </w:t>
      </w:r>
      <w:r w:rsidR="005374CC">
        <w:t xml:space="preserve">of </w:t>
      </w:r>
      <w:r w:rsidR="00654861">
        <w:t xml:space="preserve">January 2021. </w:t>
      </w:r>
      <w:bookmarkEnd w:id="8"/>
    </w:p>
    <w:p w14:paraId="439B3C6C" w14:textId="6B1D27A4" w:rsidR="0024376F" w:rsidRDefault="0024376F" w:rsidP="0024376F">
      <w:pPr>
        <w:pStyle w:val="Paragraph"/>
      </w:pPr>
      <w:r>
        <w:t>The decision includes development of</w:t>
      </w:r>
      <w:r w:rsidR="001B33E3">
        <w:t xml:space="preserve"> a</w:t>
      </w:r>
      <w:r>
        <w:t xml:space="preserve"> </w:t>
      </w:r>
      <w:r w:rsidRPr="00A85D75">
        <w:t xml:space="preserve">framework that supports </w:t>
      </w:r>
      <w:r w:rsidR="00DA02F6">
        <w:t>CGC</w:t>
      </w:r>
      <w:r w:rsidRPr="00A85D75">
        <w:t xml:space="preserve"> infrastructure</w:t>
      </w:r>
      <w:r w:rsidR="00782A45">
        <w:t>, i</w:t>
      </w:r>
      <w:r>
        <w:t xml:space="preserve">ncluding </w:t>
      </w:r>
      <w:r w:rsidRPr="00A85D75">
        <w:t xml:space="preserve">support </w:t>
      </w:r>
      <w:r>
        <w:t xml:space="preserve">for </w:t>
      </w:r>
      <w:r w:rsidR="00DA02F6">
        <w:t>DA2GC</w:t>
      </w:r>
      <w:r w:rsidRPr="00A85D75">
        <w:t>.</w:t>
      </w:r>
      <w:r>
        <w:t xml:space="preserve"> </w:t>
      </w:r>
      <w:r w:rsidR="005A22A8">
        <w:t xml:space="preserve">This </w:t>
      </w:r>
      <w:r w:rsidR="00DD0876">
        <w:t xml:space="preserve">provides the </w:t>
      </w:r>
      <w:r>
        <w:t xml:space="preserve">opportunity </w:t>
      </w:r>
      <w:r w:rsidR="00F91D78">
        <w:t xml:space="preserve">for a </w:t>
      </w:r>
      <w:r w:rsidR="00DA02F6">
        <w:t>DA2GC</w:t>
      </w:r>
      <w:r w:rsidRPr="00A85D75">
        <w:t xml:space="preserve"> </w:t>
      </w:r>
      <w:r w:rsidR="00F91D78">
        <w:t xml:space="preserve">service to be provided if desired </w:t>
      </w:r>
      <w:r w:rsidRPr="00A85D75">
        <w:t xml:space="preserve">by </w:t>
      </w:r>
      <w:r>
        <w:t>a</w:t>
      </w:r>
      <w:r w:rsidRPr="00A85D75">
        <w:t xml:space="preserve"> licensee.</w:t>
      </w:r>
    </w:p>
    <w:p w14:paraId="3C0E651D" w14:textId="37E48AC2" w:rsidR="00345BA3" w:rsidRDefault="003E7C12" w:rsidP="00345BA3">
      <w:pPr>
        <w:pStyle w:val="Paragraph"/>
      </w:pPr>
      <w:r>
        <w:t>We are</w:t>
      </w:r>
      <w:r w:rsidR="00320970">
        <w:t xml:space="preserve"> aware of use of </w:t>
      </w:r>
      <w:r w:rsidR="00782A45">
        <w:t xml:space="preserve">CGC </w:t>
      </w:r>
      <w:r w:rsidR="00320970" w:rsidRPr="00A85D75">
        <w:t>infrastructure</w:t>
      </w:r>
      <w:r w:rsidR="005243AE">
        <w:t xml:space="preserve"> by the </w:t>
      </w:r>
      <w:r w:rsidR="005243AE" w:rsidRPr="00320970">
        <w:t>European Aviation Network</w:t>
      </w:r>
      <w:r w:rsidR="00320970">
        <w:t xml:space="preserve">. </w:t>
      </w:r>
      <w:r w:rsidR="008B6C4F">
        <w:t>This</w:t>
      </w:r>
      <w:r w:rsidR="00B72F2A">
        <w:t xml:space="preserve"> is a combined MSS/CGC network with the licensee being a</w:t>
      </w:r>
      <w:r w:rsidR="00DD0876">
        <w:t>n</w:t>
      </w:r>
      <w:r w:rsidR="00B72F2A">
        <w:t xml:space="preserve"> MSS satellite operator – </w:t>
      </w:r>
      <w:r w:rsidR="008B6C4F">
        <w:t xml:space="preserve">similar to </w:t>
      </w:r>
      <w:r w:rsidR="00B72F2A">
        <w:t>the approach being introduced by the ACMA.</w:t>
      </w:r>
    </w:p>
    <w:p w14:paraId="0602A7D1" w14:textId="3C68DA23" w:rsidR="003E7C12" w:rsidRDefault="00BD5238" w:rsidP="009026C1">
      <w:pPr>
        <w:pStyle w:val="Paragraph"/>
      </w:pPr>
      <w:r>
        <w:t>Our</w:t>
      </w:r>
      <w:r w:rsidR="007D1255">
        <w:t xml:space="preserve"> </w:t>
      </w:r>
      <w:r w:rsidR="00F91D78">
        <w:t>intention</w:t>
      </w:r>
      <w:r w:rsidR="007D1255">
        <w:t xml:space="preserve"> is </w:t>
      </w:r>
      <w:r w:rsidR="00F91D78">
        <w:t>to provide flexibility to</w:t>
      </w:r>
      <w:r w:rsidR="007D1255">
        <w:t xml:space="preserve"> </w:t>
      </w:r>
      <w:r w:rsidR="002339EA">
        <w:t xml:space="preserve">allowing the licensee to decide on the viability of such systems, including </w:t>
      </w:r>
      <w:r w:rsidR="007D1255">
        <w:t>deploy</w:t>
      </w:r>
      <w:r w:rsidR="002339EA">
        <w:t>ment of</w:t>
      </w:r>
      <w:r w:rsidR="00F91D78">
        <w:t xml:space="preserve"> </w:t>
      </w:r>
      <w:r w:rsidR="00493E90">
        <w:t>CGC</w:t>
      </w:r>
      <w:r w:rsidR="002339EA">
        <w:t xml:space="preserve"> equipment.</w:t>
      </w:r>
      <w:r w:rsidR="00F91D78">
        <w:t xml:space="preserve"> </w:t>
      </w:r>
      <w:r w:rsidR="003E7C12">
        <w:t>We</w:t>
      </w:r>
      <w:r w:rsidR="009026C1">
        <w:t xml:space="preserve"> maintain the view expressed in the </w:t>
      </w:r>
      <w:r w:rsidR="00F91D78">
        <w:t xml:space="preserve">2 GHz outcomes paper that </w:t>
      </w:r>
      <w:r w:rsidR="00B72F2A">
        <w:t>MSS is the appropriate primary use of the band</w:t>
      </w:r>
      <w:r w:rsidR="00C43778">
        <w:t>.</w:t>
      </w:r>
      <w:r w:rsidR="00345BA3">
        <w:t xml:space="preserve"> </w:t>
      </w:r>
      <w:r w:rsidR="00AA3536">
        <w:t xml:space="preserve">This view was based on </w:t>
      </w:r>
      <w:r w:rsidR="008C64BC">
        <w:t>our</w:t>
      </w:r>
      <w:r w:rsidR="003B220C" w:rsidRPr="003B220C">
        <w:t xml:space="preserve"> assess</w:t>
      </w:r>
      <w:r w:rsidR="008C64BC">
        <w:t>ment of</w:t>
      </w:r>
      <w:r w:rsidR="003B220C" w:rsidRPr="003B220C">
        <w:t xml:space="preserve"> proposed replanning options against a set of desirable planning outcomes identified for the band</w:t>
      </w:r>
      <w:r w:rsidR="003E389B">
        <w:t xml:space="preserve"> in </w:t>
      </w:r>
      <w:r w:rsidR="0043033F">
        <w:t xml:space="preserve">our </w:t>
      </w:r>
      <w:r w:rsidR="003E7C12">
        <w:br/>
      </w:r>
      <w:hyperlink r:id="rId37" w:history="1">
        <w:r w:rsidR="0043033F" w:rsidRPr="00642D20">
          <w:rPr>
            <w:rStyle w:val="Hyperlink"/>
          </w:rPr>
          <w:t>2</w:t>
        </w:r>
        <w:r w:rsidR="009C2C0E">
          <w:rPr>
            <w:rStyle w:val="Hyperlink"/>
          </w:rPr>
          <w:t> </w:t>
        </w:r>
        <w:r w:rsidR="0043033F" w:rsidRPr="00642D20">
          <w:rPr>
            <w:rStyle w:val="Hyperlink"/>
          </w:rPr>
          <w:t>GHz options paper</w:t>
        </w:r>
      </w:hyperlink>
      <w:r w:rsidR="0043033F">
        <w:t xml:space="preserve"> </w:t>
      </w:r>
      <w:r w:rsidR="00FD04B8">
        <w:t>(</w:t>
      </w:r>
      <w:r w:rsidR="0043033F">
        <w:t>July 2021</w:t>
      </w:r>
      <w:r w:rsidR="00FD04B8">
        <w:t>)</w:t>
      </w:r>
      <w:r w:rsidR="003B220C" w:rsidRPr="003B220C">
        <w:t xml:space="preserve">. When assessing options, both qualitative and quantitative factors (through a cost-benefit analysis) were considered in an integrated manner. </w:t>
      </w:r>
    </w:p>
    <w:p w14:paraId="0F9D9983" w14:textId="0B98E79A" w:rsidR="00F91D78" w:rsidRDefault="003B220C" w:rsidP="009026C1">
      <w:pPr>
        <w:pStyle w:val="Paragraph"/>
      </w:pPr>
      <w:r w:rsidRPr="003B220C">
        <w:t>As a result of this analysis,</w:t>
      </w:r>
      <w:r w:rsidR="000C40CD">
        <w:t xml:space="preserve"> </w:t>
      </w:r>
      <w:r w:rsidRPr="003B220C">
        <w:t xml:space="preserve">MSS with </w:t>
      </w:r>
      <w:r w:rsidR="000C40CD">
        <w:t>CGC</w:t>
      </w:r>
      <w:r w:rsidRPr="003B220C">
        <w:t xml:space="preserve"> was identified as most likely to maximise the public benefit from use of the 2 GHz band, and was </w:t>
      </w:r>
      <w:r w:rsidR="003E7C12">
        <w:t>our</w:t>
      </w:r>
      <w:r w:rsidRPr="003B220C">
        <w:t xml:space="preserve"> preferred option.</w:t>
      </w:r>
      <w:r w:rsidR="0043033F">
        <w:t xml:space="preserve"> </w:t>
      </w:r>
      <w:r w:rsidR="001B33E3">
        <w:t>W</w:t>
      </w:r>
      <w:r w:rsidR="009572EC">
        <w:t xml:space="preserve">e </w:t>
      </w:r>
      <w:r w:rsidR="00345BA3">
        <w:t xml:space="preserve">see </w:t>
      </w:r>
      <w:r w:rsidR="00345BA3">
        <w:lastRenderedPageBreak/>
        <w:t xml:space="preserve">no justification </w:t>
      </w:r>
      <w:r w:rsidR="005243AE">
        <w:t xml:space="preserve">to </w:t>
      </w:r>
      <w:r w:rsidR="00E54060">
        <w:t xml:space="preserve">divert from this course of action </w:t>
      </w:r>
      <w:r w:rsidR="00071AB5">
        <w:t xml:space="preserve">and </w:t>
      </w:r>
      <w:r w:rsidR="005243AE">
        <w:t>provide</w:t>
      </w:r>
      <w:r w:rsidR="00345BA3">
        <w:t xml:space="preserve"> dedicated</w:t>
      </w:r>
      <w:r w:rsidR="00F91D78">
        <w:t xml:space="preserve"> spectrum </w:t>
      </w:r>
      <w:r w:rsidR="006E1A13">
        <w:br/>
      </w:r>
      <w:r w:rsidR="00345BA3">
        <w:t xml:space="preserve">for </w:t>
      </w:r>
      <w:r w:rsidR="00057A24">
        <w:t>DA2GC</w:t>
      </w:r>
      <w:r w:rsidR="007D1255">
        <w:t>.</w:t>
      </w:r>
    </w:p>
    <w:p w14:paraId="295826C7" w14:textId="7E75F7FD" w:rsidR="009460C8" w:rsidRDefault="009460C8" w:rsidP="009460C8">
      <w:pPr>
        <w:pStyle w:val="Paragraph"/>
      </w:pPr>
      <w:r>
        <w:t>The 2 GHz outcomes paper noted that we would include arrangements in planning the 2 x 25 MHz MSS segment to</w:t>
      </w:r>
      <w:r w:rsidRPr="00C20AC9">
        <w:t xml:space="preserve"> support deployment of a CGC</w:t>
      </w:r>
      <w:r>
        <w:t>, i</w:t>
      </w:r>
      <w:r w:rsidRPr="00C20AC9">
        <w:t>ncluding DA2GC</w:t>
      </w:r>
      <w:r w:rsidRPr="008232BA">
        <w:t xml:space="preserve"> </w:t>
      </w:r>
      <w:r w:rsidRPr="00C20AC9">
        <w:t xml:space="preserve">services, where a licensee wishes to supplement its </w:t>
      </w:r>
      <w:r w:rsidR="007C0E19">
        <w:t>MSS</w:t>
      </w:r>
      <w:r>
        <w:t>.</w:t>
      </w:r>
    </w:p>
    <w:p w14:paraId="51D3B1DA" w14:textId="77777777" w:rsidR="003E7C12" w:rsidRDefault="009460C8" w:rsidP="009460C8">
      <w:pPr>
        <w:pStyle w:val="Paragraph"/>
      </w:pPr>
      <w:r w:rsidRPr="00F33E3A">
        <w:t xml:space="preserve">At this stage, we have not made provision in the </w:t>
      </w:r>
      <w:r w:rsidR="007C0E19">
        <w:t>2</w:t>
      </w:r>
      <w:r w:rsidRPr="00F33E3A">
        <w:t xml:space="preserve"> GHz MSS band plan to allow for operation of CGC and DA2GC services. </w:t>
      </w:r>
      <w:r>
        <w:t>Arrangements for these services</w:t>
      </w:r>
      <w:r w:rsidRPr="00F33E3A">
        <w:t xml:space="preserve"> need not be finalised until closer to licence allocation (anticipated around mid-2023)</w:t>
      </w:r>
      <w:r>
        <w:t xml:space="preserve">. </w:t>
      </w:r>
      <w:r w:rsidR="00053F5A">
        <w:t xml:space="preserve">As advised in the </w:t>
      </w:r>
      <w:r w:rsidR="00215891">
        <w:t>consultation paper, w</w:t>
      </w:r>
      <w:r w:rsidRPr="00F33E3A">
        <w:t xml:space="preserve">e propose to address this in a later update to the </w:t>
      </w:r>
      <w:r w:rsidR="00C36A82">
        <w:t xml:space="preserve">2 GHz MSS </w:t>
      </w:r>
      <w:r w:rsidRPr="00F33E3A">
        <w:t xml:space="preserve">band plan to allow time for further consideration of the best approach. </w:t>
      </w:r>
    </w:p>
    <w:p w14:paraId="78B05B75" w14:textId="03F9BF50" w:rsidR="003E7C12" w:rsidRDefault="009460C8" w:rsidP="00C94F1A">
      <w:pPr>
        <w:pStyle w:val="Paragraphbeforelist"/>
      </w:pPr>
      <w:r w:rsidRPr="00F33E3A">
        <w:t>Since we have not previously implemented planning arrangements for these services, we need to consider</w:t>
      </w:r>
      <w:r w:rsidR="003E7C12">
        <w:t xml:space="preserve"> whether:</w:t>
      </w:r>
    </w:p>
    <w:p w14:paraId="076D7BDC" w14:textId="1F7E84DE" w:rsidR="003E7C12" w:rsidRDefault="009460C8" w:rsidP="003E7C12">
      <w:pPr>
        <w:pStyle w:val="Bulletlevel1"/>
      </w:pPr>
      <w:r w:rsidRPr="00AA2E5C">
        <w:t xml:space="preserve">there </w:t>
      </w:r>
      <w:r>
        <w:t>should be</w:t>
      </w:r>
      <w:r w:rsidRPr="00F33E3A">
        <w:t xml:space="preserve"> </w:t>
      </w:r>
      <w:r w:rsidRPr="00AA2E5C">
        <w:t>any restrictions</w:t>
      </w:r>
      <w:r w:rsidR="003E7C12">
        <w:t>,</w:t>
      </w:r>
      <w:r w:rsidRPr="00AA2E5C">
        <w:t xml:space="preserve"> </w:t>
      </w:r>
      <w:r w:rsidR="006C50C9">
        <w:t>such as</w:t>
      </w:r>
      <w:r w:rsidRPr="00AA2E5C">
        <w:t xml:space="preserve"> allow</w:t>
      </w:r>
      <w:r w:rsidR="006C50C9">
        <w:t xml:space="preserve">ing </w:t>
      </w:r>
      <w:r w:rsidRPr="00AA2E5C">
        <w:t xml:space="preserve">access </w:t>
      </w:r>
      <w:r w:rsidRPr="00F33E3A">
        <w:t xml:space="preserve">only </w:t>
      </w:r>
      <w:r w:rsidRPr="00AA2E5C">
        <w:t>for</w:t>
      </w:r>
      <w:r w:rsidRPr="00F33E3A">
        <w:t xml:space="preserve"> MSS licensees who have deployed an active satellite service</w:t>
      </w:r>
    </w:p>
    <w:p w14:paraId="6F95CDE6" w14:textId="6D892056" w:rsidR="003E7C12" w:rsidRDefault="009460C8" w:rsidP="00C94F1A">
      <w:pPr>
        <w:pStyle w:val="Bulletlevel1last"/>
      </w:pPr>
      <w:r w:rsidRPr="00F33E3A">
        <w:t>this is best achieved under a frequency band plan</w:t>
      </w:r>
      <w:r w:rsidR="003E7C12">
        <w:t>,</w:t>
      </w:r>
      <w:r w:rsidRPr="00F33E3A">
        <w:t xml:space="preserve"> or through the licence allocation process.</w:t>
      </w:r>
      <w:r w:rsidR="001C6A0B">
        <w:t xml:space="preserve"> </w:t>
      </w:r>
    </w:p>
    <w:p w14:paraId="35D46275" w14:textId="40AA66E6" w:rsidR="009460C8" w:rsidRDefault="001C6A0B" w:rsidP="003E7C12">
      <w:pPr>
        <w:pStyle w:val="Paragraph"/>
      </w:pPr>
      <w:r>
        <w:t>We will seek further views</w:t>
      </w:r>
      <w:r w:rsidR="002B3F0F">
        <w:t xml:space="preserve"> from stakeholders</w:t>
      </w:r>
      <w:r>
        <w:t xml:space="preserve"> on these matters.</w:t>
      </w:r>
    </w:p>
    <w:p w14:paraId="2F820074" w14:textId="77777777" w:rsidR="009460C8" w:rsidRDefault="009460C8" w:rsidP="009026C1">
      <w:pPr>
        <w:pStyle w:val="Paragraph"/>
      </w:pPr>
    </w:p>
    <w:p w14:paraId="0E6B5577" w14:textId="1DCDBC9E" w:rsidR="00B72F2A" w:rsidRDefault="0076630E" w:rsidP="0076630E">
      <w:pPr>
        <w:pStyle w:val="Heading1"/>
      </w:pPr>
      <w:bookmarkStart w:id="10" w:name="_Toc105666604"/>
      <w:r>
        <w:lastRenderedPageBreak/>
        <w:t>Consultation outcome</w:t>
      </w:r>
      <w:bookmarkEnd w:id="10"/>
    </w:p>
    <w:p w14:paraId="33D97A16" w14:textId="38E47FE0" w:rsidR="00AF6DCD" w:rsidRPr="0076630E" w:rsidRDefault="002B3159" w:rsidP="00AF6DCD">
      <w:r>
        <w:t xml:space="preserve">After considering the issues raised in the consultation, </w:t>
      </w:r>
      <w:r w:rsidR="00AF6DCD">
        <w:t xml:space="preserve">we intend to implement planning outcomes to support the introduction of MSS in 2 GHz. </w:t>
      </w:r>
    </w:p>
    <w:p w14:paraId="6915E1A5" w14:textId="7D3A9A4B" w:rsidR="00A93CF3" w:rsidRDefault="00AF6DCD" w:rsidP="00F522F8">
      <w:pPr>
        <w:pStyle w:val="Paragraphbeforelist"/>
      </w:pPr>
      <w:r>
        <w:t xml:space="preserve">To implement these arrangements, </w:t>
      </w:r>
      <w:r w:rsidR="002B3159">
        <w:t>o</w:t>
      </w:r>
      <w:r w:rsidR="0076630E">
        <w:t xml:space="preserve">n </w:t>
      </w:r>
      <w:r w:rsidR="00A06CFC">
        <w:t>23 June 2022</w:t>
      </w:r>
      <w:r w:rsidR="0076630E">
        <w:t xml:space="preserve"> </w:t>
      </w:r>
      <w:r w:rsidR="003E7C12">
        <w:t xml:space="preserve">we </w:t>
      </w:r>
      <w:r w:rsidR="00A93CF3">
        <w:t xml:space="preserve">revoked the </w:t>
      </w:r>
      <w:r w:rsidR="00031A69">
        <w:t xml:space="preserve">2012 </w:t>
      </w:r>
      <w:r w:rsidR="001A32BA">
        <w:t xml:space="preserve">TOB </w:t>
      </w:r>
      <w:r w:rsidR="00031A69">
        <w:t>band plan</w:t>
      </w:r>
      <w:r w:rsidR="00820414">
        <w:t xml:space="preserve"> and made the following new frequency band plans:</w:t>
      </w:r>
    </w:p>
    <w:p w14:paraId="7E1AA2AE" w14:textId="42170B0E" w:rsidR="0076630E" w:rsidRDefault="00A93CF3" w:rsidP="003B1C84">
      <w:pPr>
        <w:pStyle w:val="Bulletlevel1"/>
      </w:pPr>
      <w:r>
        <w:t xml:space="preserve">the </w:t>
      </w:r>
      <w:r w:rsidR="009A3E71">
        <w:t xml:space="preserve">2 GHz </w:t>
      </w:r>
      <w:r w:rsidR="007959B8">
        <w:t>MSS band plan</w:t>
      </w:r>
    </w:p>
    <w:p w14:paraId="55934F25" w14:textId="5B0F72E7" w:rsidR="0076630E" w:rsidRDefault="0062128A" w:rsidP="006F7FB7">
      <w:pPr>
        <w:pStyle w:val="Bulletlevel1last"/>
      </w:pPr>
      <w:r>
        <w:t xml:space="preserve">the </w:t>
      </w:r>
      <w:r w:rsidR="009A3E71">
        <w:t>new TOB band</w:t>
      </w:r>
      <w:r w:rsidR="009C22EC">
        <w:t xml:space="preserve"> plan</w:t>
      </w:r>
      <w:r w:rsidR="009A3E71">
        <w:t>.</w:t>
      </w:r>
    </w:p>
    <w:p w14:paraId="2083FA46" w14:textId="77777777" w:rsidR="00DF69F6" w:rsidRDefault="00ED4EB7" w:rsidP="0076630E">
      <w:r>
        <w:t>The new TOB band plan includes revisions to ensure there are no changes to previous arrangements in the band, including for ongoing TOB services.</w:t>
      </w:r>
      <w:r w:rsidR="00923DD9">
        <w:t xml:space="preserve"> </w:t>
      </w:r>
    </w:p>
    <w:p w14:paraId="21B7A332" w14:textId="0C6B0959" w:rsidR="006957F1" w:rsidRDefault="006957F1" w:rsidP="0076630E">
      <w:r>
        <w:t xml:space="preserve">We are </w:t>
      </w:r>
      <w:hyperlink r:id="rId38" w:history="1">
        <w:r w:rsidR="006E1A13">
          <w:rPr>
            <w:rStyle w:val="Hyperlink"/>
          </w:rPr>
          <w:t>now c</w:t>
        </w:r>
        <w:r w:rsidRPr="00FA7BFA">
          <w:rPr>
            <w:rStyle w:val="Hyperlink"/>
          </w:rPr>
          <w:t>onsultin</w:t>
        </w:r>
        <w:r w:rsidR="006E1A13">
          <w:rPr>
            <w:rStyle w:val="Hyperlink"/>
          </w:rPr>
          <w:t>g on</w:t>
        </w:r>
      </w:hyperlink>
      <w:r>
        <w:t xml:space="preserve"> </w:t>
      </w:r>
      <w:r w:rsidR="003411B8" w:rsidRPr="003411B8">
        <w:t>planning arrangements in the 7.2 GHz band to prepare for migration of TOB services.</w:t>
      </w:r>
    </w:p>
    <w:p w14:paraId="00AED6C4" w14:textId="5028F318" w:rsidR="00656D94" w:rsidRPr="00BC65E5" w:rsidRDefault="00656D94" w:rsidP="0086073F">
      <w:pPr>
        <w:pStyle w:val="Heading2"/>
      </w:pPr>
      <w:bookmarkStart w:id="11" w:name="_Toc105666605"/>
      <w:r w:rsidRPr="00BC65E5">
        <w:t xml:space="preserve">Next </w:t>
      </w:r>
      <w:r w:rsidR="008418C0">
        <w:t>s</w:t>
      </w:r>
      <w:r w:rsidRPr="00BC65E5">
        <w:t>teps</w:t>
      </w:r>
      <w:bookmarkEnd w:id="11"/>
    </w:p>
    <w:p w14:paraId="2B1CDC76" w14:textId="6FBDDC54" w:rsidR="00E630E0" w:rsidRDefault="00E630E0" w:rsidP="008418C0">
      <w:pPr>
        <w:pStyle w:val="Paragraphbeforelist"/>
      </w:pPr>
      <w:r>
        <w:t>Under the 2 GHz MSS band</w:t>
      </w:r>
      <w:r w:rsidR="00EF3DCA">
        <w:t xml:space="preserve"> plan, TOB </w:t>
      </w:r>
      <w:r>
        <w:t xml:space="preserve">services </w:t>
      </w:r>
      <w:r w:rsidR="00EF3DCA">
        <w:t xml:space="preserve">are required </w:t>
      </w:r>
      <w:r>
        <w:t>to vacate the band for introduction of MSS by:</w:t>
      </w:r>
    </w:p>
    <w:p w14:paraId="0D4266B3" w14:textId="77777777" w:rsidR="00E630E0" w:rsidRPr="008418C0" w:rsidRDefault="00E630E0" w:rsidP="008418C0">
      <w:pPr>
        <w:pStyle w:val="ListBullet"/>
      </w:pPr>
      <w:r w:rsidRPr="008418C0">
        <w:t xml:space="preserve">29 February 2024 in regional areas </w:t>
      </w:r>
    </w:p>
    <w:p w14:paraId="476A8D9C" w14:textId="32D6211B" w:rsidR="00E630E0" w:rsidRPr="008418C0" w:rsidRDefault="00E630E0" w:rsidP="008418C0">
      <w:pPr>
        <w:pStyle w:val="Bulletlevel1last"/>
      </w:pPr>
      <w:r w:rsidRPr="008418C0">
        <w:t>28 February 2026 in metropolitan areas and designated areas</w:t>
      </w:r>
      <w:r w:rsidR="00CC1CED">
        <w:t>.</w:t>
      </w:r>
    </w:p>
    <w:p w14:paraId="5C5E0BC9" w14:textId="02760F35" w:rsidR="00884869" w:rsidRDefault="008418C0" w:rsidP="0076630E">
      <w:r>
        <w:t xml:space="preserve">As a consequence, we will </w:t>
      </w:r>
      <w:r w:rsidR="00213DC4">
        <w:t>update</w:t>
      </w:r>
      <w:r>
        <w:t xml:space="preserve"> </w:t>
      </w:r>
      <w:r w:rsidR="00AE472C">
        <w:t xml:space="preserve">the ACMA </w:t>
      </w:r>
      <w:r w:rsidR="00884869">
        <w:t xml:space="preserve">planning instruments </w:t>
      </w:r>
      <w:hyperlink r:id="rId39" w:history="1">
        <w:r w:rsidR="00884869">
          <w:rPr>
            <w:rStyle w:val="Hyperlink"/>
          </w:rPr>
          <w:t>Embargo 23</w:t>
        </w:r>
      </w:hyperlink>
      <w:r w:rsidR="00884869">
        <w:t xml:space="preserve"> and </w:t>
      </w:r>
      <w:hyperlink r:id="rId40" w:history="1">
        <w:r w:rsidR="00884869">
          <w:rPr>
            <w:rStyle w:val="Hyperlink"/>
          </w:rPr>
          <w:t>RALI FX21</w:t>
        </w:r>
      </w:hyperlink>
      <w:r w:rsidR="00884869">
        <w:t xml:space="preserve"> to reflect the</w:t>
      </w:r>
      <w:r w:rsidR="00256E02">
        <w:t>se tim</w:t>
      </w:r>
      <w:r w:rsidR="00AE472C">
        <w:t>e</w:t>
      </w:r>
      <w:r w:rsidR="00256E02">
        <w:t>lines</w:t>
      </w:r>
      <w:r w:rsidR="00AE472C">
        <w:t>.</w:t>
      </w:r>
    </w:p>
    <w:p w14:paraId="4ADDEB52" w14:textId="5E84B66C" w:rsidR="00E630E0" w:rsidRPr="0076630E" w:rsidRDefault="00E630E0" w:rsidP="0076630E"/>
    <w:sectPr w:rsidR="00E630E0" w:rsidRPr="0076630E" w:rsidSect="00C77380">
      <w:headerReference w:type="even" r:id="rId41"/>
      <w:headerReference w:type="default" r:id="rId42"/>
      <w:footerReference w:type="even" r:id="rId43"/>
      <w:footerReference w:type="default" r:id="rId44"/>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5AD1" w14:textId="77777777" w:rsidR="002D28C5" w:rsidRDefault="002D28C5">
      <w:r>
        <w:separator/>
      </w:r>
    </w:p>
  </w:endnote>
  <w:endnote w:type="continuationSeparator" w:id="0">
    <w:p w14:paraId="7490E49B" w14:textId="77777777" w:rsidR="002D28C5" w:rsidRDefault="002D28C5">
      <w:r>
        <w:continuationSeparator/>
      </w:r>
    </w:p>
  </w:endnote>
  <w:endnote w:type="continuationNotice" w:id="1">
    <w:p w14:paraId="716FAFBF" w14:textId="77777777" w:rsidR="002D28C5" w:rsidRDefault="002D28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7B52" w14:textId="77777777" w:rsidR="005E250B" w:rsidRDefault="005E250B" w:rsidP="005E250B">
    <w:pPr>
      <w:pStyle w:val="Footer"/>
      <w:jc w:val="right"/>
    </w:pPr>
    <w:r w:rsidRPr="005E250B">
      <w:rPr>
        <w:noProof/>
        <w:vertAlign w:val="subscript"/>
      </w:rPr>
      <w:drawing>
        <wp:inline distT="0" distB="0" distL="0" distR="0" wp14:anchorId="5A370D6A" wp14:editId="0D0A79EC">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1A42"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4956"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4D9A"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60FAD480"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385F"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3E4F540D"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73EA"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427CBC30"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1F8A"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73989313"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4405"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550A5B5E"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FE22" w14:textId="77777777" w:rsidR="002D28C5" w:rsidRDefault="002D28C5" w:rsidP="00EA0969">
      <w:pPr>
        <w:spacing w:after="0"/>
      </w:pPr>
      <w:r>
        <w:separator/>
      </w:r>
    </w:p>
  </w:footnote>
  <w:footnote w:type="continuationSeparator" w:id="0">
    <w:p w14:paraId="1EEA5809" w14:textId="77777777" w:rsidR="002D28C5" w:rsidRDefault="002D28C5">
      <w:r>
        <w:continuationSeparator/>
      </w:r>
    </w:p>
  </w:footnote>
  <w:footnote w:type="continuationNotice" w:id="1">
    <w:p w14:paraId="76DD5B3A" w14:textId="77777777" w:rsidR="002D28C5" w:rsidRDefault="002D28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368EE" w14:textId="77777777" w:rsidR="00C053A1" w:rsidRPr="00A5474E" w:rsidRDefault="0021426C" w:rsidP="00A5474E">
    <w:pPr>
      <w:pStyle w:val="Header"/>
    </w:pPr>
    <w:r>
      <w:rPr>
        <w:noProof/>
      </w:rPr>
      <w:drawing>
        <wp:inline distT="0" distB="0" distL="0" distR="0" wp14:anchorId="491154FD" wp14:editId="38F64162">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7D82"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60CC"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20E3"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26EE279" w14:textId="77777777" w:rsidTr="00B713BC">
      <w:trPr>
        <w:trHeight w:hRule="exact" w:val="988"/>
      </w:trPr>
      <w:tc>
        <w:tcPr>
          <w:tcW w:w="7678" w:type="dxa"/>
          <w:shd w:val="clear" w:color="auto" w:fill="auto"/>
        </w:tcPr>
        <w:p w14:paraId="751219A6" w14:textId="77777777" w:rsidR="00971914" w:rsidRDefault="00971914" w:rsidP="00971914">
          <w:pPr>
            <w:pStyle w:val="Header"/>
          </w:pPr>
        </w:p>
      </w:tc>
    </w:tr>
    <w:tr w:rsidR="00971914" w14:paraId="46581996" w14:textId="77777777" w:rsidTr="00B713BC">
      <w:tc>
        <w:tcPr>
          <w:tcW w:w="7678" w:type="dxa"/>
          <w:shd w:val="clear" w:color="auto" w:fill="auto"/>
        </w:tcPr>
        <w:p w14:paraId="02F32ED3" w14:textId="77777777" w:rsidR="00971914" w:rsidRDefault="00971914" w:rsidP="00971914">
          <w:pPr>
            <w:pStyle w:val="GridTable31"/>
          </w:pPr>
          <w:r>
            <w:t xml:space="preserve">Contents </w:t>
          </w:r>
          <w:r w:rsidRPr="00915B1C">
            <w:rPr>
              <w:b w:val="0"/>
              <w:spacing w:val="0"/>
              <w:sz w:val="28"/>
              <w:szCs w:val="28"/>
            </w:rPr>
            <w:t>(Continued)</w:t>
          </w:r>
        </w:p>
      </w:tc>
    </w:tr>
    <w:tr w:rsidR="00971914" w14:paraId="22A8C350" w14:textId="77777777" w:rsidTr="00B713BC">
      <w:trPr>
        <w:trHeight w:val="1220"/>
      </w:trPr>
      <w:tc>
        <w:tcPr>
          <w:tcW w:w="7678" w:type="dxa"/>
          <w:shd w:val="clear" w:color="auto" w:fill="auto"/>
        </w:tcPr>
        <w:p w14:paraId="3CDA6D88" w14:textId="77777777" w:rsidR="00971914" w:rsidRDefault="00971914" w:rsidP="00971914"/>
      </w:tc>
    </w:tr>
  </w:tbl>
  <w:p w14:paraId="3F59A3C9"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0EF0CDE4" w14:textId="77777777" w:rsidTr="00B713BC">
      <w:trPr>
        <w:trHeight w:hRule="exact" w:val="988"/>
      </w:trPr>
      <w:tc>
        <w:tcPr>
          <w:tcW w:w="7678" w:type="dxa"/>
          <w:shd w:val="clear" w:color="auto" w:fill="auto"/>
        </w:tcPr>
        <w:p w14:paraId="63D8CB01" w14:textId="77777777" w:rsidR="00971914" w:rsidRDefault="00971914" w:rsidP="00971914">
          <w:pPr>
            <w:pStyle w:val="Header"/>
          </w:pPr>
        </w:p>
      </w:tc>
    </w:tr>
    <w:tr w:rsidR="00971914" w14:paraId="67B92345" w14:textId="77777777" w:rsidTr="00B713BC">
      <w:tc>
        <w:tcPr>
          <w:tcW w:w="7678" w:type="dxa"/>
          <w:shd w:val="clear" w:color="auto" w:fill="auto"/>
        </w:tcPr>
        <w:p w14:paraId="47176637" w14:textId="77777777" w:rsidR="00971914" w:rsidRDefault="00971914" w:rsidP="00971914">
          <w:pPr>
            <w:pStyle w:val="GridTable31"/>
          </w:pPr>
          <w:r>
            <w:t xml:space="preserve">Contents </w:t>
          </w:r>
          <w:r w:rsidRPr="00915B1C">
            <w:rPr>
              <w:b w:val="0"/>
              <w:spacing w:val="0"/>
              <w:sz w:val="28"/>
              <w:szCs w:val="28"/>
            </w:rPr>
            <w:t>(Continued)</w:t>
          </w:r>
        </w:p>
      </w:tc>
    </w:tr>
    <w:tr w:rsidR="00971914" w14:paraId="2373387A" w14:textId="77777777" w:rsidTr="00B713BC">
      <w:trPr>
        <w:trHeight w:val="1220"/>
      </w:trPr>
      <w:tc>
        <w:tcPr>
          <w:tcW w:w="7678" w:type="dxa"/>
          <w:shd w:val="clear" w:color="auto" w:fill="auto"/>
        </w:tcPr>
        <w:p w14:paraId="448AFF5C" w14:textId="77777777" w:rsidR="00971914" w:rsidRDefault="00971914" w:rsidP="00971914"/>
      </w:tc>
    </w:tr>
  </w:tbl>
  <w:p w14:paraId="164A61CF"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7A29"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E8EE"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70402"/>
    <w:multiLevelType w:val="hybridMultilevel"/>
    <w:tmpl w:val="FA0053FE"/>
    <w:lvl w:ilvl="0" w:tplc="FFFFFFFF">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3230AA"/>
    <w:multiLevelType w:val="hybridMultilevel"/>
    <w:tmpl w:val="28CC7DF8"/>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E96108"/>
    <w:multiLevelType w:val="hybridMultilevel"/>
    <w:tmpl w:val="62F82558"/>
    <w:lvl w:ilvl="0" w:tplc="3392CF0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11"/>
  </w:num>
  <w:num w:numId="7">
    <w:abstractNumId w:val="8"/>
  </w:num>
  <w:num w:numId="8">
    <w:abstractNumId w:val="10"/>
  </w:num>
  <w:num w:numId="9">
    <w:abstractNumId w:val="13"/>
  </w:num>
  <w:num w:numId="10">
    <w:abstractNumId w:val="5"/>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7"/>
  </w:num>
  <w:num w:numId="17">
    <w:abstractNumId w:val="2"/>
    <w:lvlOverride w:ilvl="0">
      <w:startOverride w:val="1"/>
    </w:lvlOverride>
  </w:num>
  <w:num w:numId="18">
    <w:abstractNumId w:val="3"/>
  </w:num>
  <w:num w:numId="19">
    <w:abstractNumId w:val="3"/>
  </w:num>
  <w:num w:numId="20">
    <w:abstractNumId w:val="9"/>
  </w:num>
  <w:num w:numId="21">
    <w:abstractNumId w:val="14"/>
  </w:num>
  <w:num w:numId="22">
    <w:abstractNumId w:val="3"/>
  </w:num>
  <w:num w:numId="23">
    <w:abstractNumId w:val="3"/>
  </w:num>
  <w:num w:numId="24">
    <w:abstractNumId w:val="3"/>
  </w:num>
  <w:num w:numId="25">
    <w:abstractNumId w:val="3"/>
  </w:num>
  <w:num w:numId="2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284"/>
  <w:evenAndOddHeaders/>
  <w:drawingGridHorizontalSpacing w:val="100"/>
  <w:displayHorizontalDrawingGridEvery w:val="2"/>
  <w:characterSpacingControl w:val="doNotCompress"/>
  <w:hdrShapeDefaults>
    <o:shapedefaults v:ext="edit" spidmax="8193">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F"/>
    <w:rsid w:val="0000136A"/>
    <w:rsid w:val="0000753D"/>
    <w:rsid w:val="00010667"/>
    <w:rsid w:val="00010B3E"/>
    <w:rsid w:val="00011E52"/>
    <w:rsid w:val="000121F7"/>
    <w:rsid w:val="000129D5"/>
    <w:rsid w:val="00015AE7"/>
    <w:rsid w:val="00016E21"/>
    <w:rsid w:val="00016F98"/>
    <w:rsid w:val="0001719C"/>
    <w:rsid w:val="000178AD"/>
    <w:rsid w:val="0002224E"/>
    <w:rsid w:val="000238E8"/>
    <w:rsid w:val="00023A36"/>
    <w:rsid w:val="00024376"/>
    <w:rsid w:val="000245E5"/>
    <w:rsid w:val="00024655"/>
    <w:rsid w:val="00026F91"/>
    <w:rsid w:val="00031A69"/>
    <w:rsid w:val="00032621"/>
    <w:rsid w:val="00033128"/>
    <w:rsid w:val="00036631"/>
    <w:rsid w:val="00036ED4"/>
    <w:rsid w:val="00036F77"/>
    <w:rsid w:val="00037E58"/>
    <w:rsid w:val="000422DD"/>
    <w:rsid w:val="0004764C"/>
    <w:rsid w:val="0005011A"/>
    <w:rsid w:val="0005045A"/>
    <w:rsid w:val="00051C1E"/>
    <w:rsid w:val="000539F9"/>
    <w:rsid w:val="00053F5A"/>
    <w:rsid w:val="00054C27"/>
    <w:rsid w:val="00055EC3"/>
    <w:rsid w:val="000563CE"/>
    <w:rsid w:val="00057A24"/>
    <w:rsid w:val="0006072A"/>
    <w:rsid w:val="000630AC"/>
    <w:rsid w:val="000659B6"/>
    <w:rsid w:val="000665A5"/>
    <w:rsid w:val="0006686F"/>
    <w:rsid w:val="0006722A"/>
    <w:rsid w:val="00071AB5"/>
    <w:rsid w:val="000732CF"/>
    <w:rsid w:val="00074CF0"/>
    <w:rsid w:val="00075B96"/>
    <w:rsid w:val="0008196A"/>
    <w:rsid w:val="000845DE"/>
    <w:rsid w:val="00084609"/>
    <w:rsid w:val="0009062E"/>
    <w:rsid w:val="000907CF"/>
    <w:rsid w:val="0009085A"/>
    <w:rsid w:val="000915ED"/>
    <w:rsid w:val="0009209D"/>
    <w:rsid w:val="00093A64"/>
    <w:rsid w:val="0009454B"/>
    <w:rsid w:val="0009463C"/>
    <w:rsid w:val="000969BD"/>
    <w:rsid w:val="000969BF"/>
    <w:rsid w:val="000A0C22"/>
    <w:rsid w:val="000A1400"/>
    <w:rsid w:val="000A3C43"/>
    <w:rsid w:val="000A4A51"/>
    <w:rsid w:val="000A5D2B"/>
    <w:rsid w:val="000B1733"/>
    <w:rsid w:val="000B41D9"/>
    <w:rsid w:val="000B4664"/>
    <w:rsid w:val="000B5DE3"/>
    <w:rsid w:val="000B60CE"/>
    <w:rsid w:val="000B6957"/>
    <w:rsid w:val="000C0818"/>
    <w:rsid w:val="000C0A57"/>
    <w:rsid w:val="000C230C"/>
    <w:rsid w:val="000C40CD"/>
    <w:rsid w:val="000C4175"/>
    <w:rsid w:val="000C6AB4"/>
    <w:rsid w:val="000D091F"/>
    <w:rsid w:val="000D123F"/>
    <w:rsid w:val="000D71D9"/>
    <w:rsid w:val="000D76E0"/>
    <w:rsid w:val="000D7E8B"/>
    <w:rsid w:val="000E3694"/>
    <w:rsid w:val="000E4449"/>
    <w:rsid w:val="000E46A2"/>
    <w:rsid w:val="000E5018"/>
    <w:rsid w:val="000E6097"/>
    <w:rsid w:val="000E60EA"/>
    <w:rsid w:val="000E742A"/>
    <w:rsid w:val="000F33ED"/>
    <w:rsid w:val="000F3912"/>
    <w:rsid w:val="000F42C6"/>
    <w:rsid w:val="000F723F"/>
    <w:rsid w:val="000F75A6"/>
    <w:rsid w:val="00103829"/>
    <w:rsid w:val="00104ECF"/>
    <w:rsid w:val="00105127"/>
    <w:rsid w:val="0011095A"/>
    <w:rsid w:val="00111FCE"/>
    <w:rsid w:val="00114971"/>
    <w:rsid w:val="0011687A"/>
    <w:rsid w:val="00120CB3"/>
    <w:rsid w:val="001229A5"/>
    <w:rsid w:val="0012489B"/>
    <w:rsid w:val="00130017"/>
    <w:rsid w:val="00130F91"/>
    <w:rsid w:val="00131033"/>
    <w:rsid w:val="00131759"/>
    <w:rsid w:val="00131ACE"/>
    <w:rsid w:val="001349ED"/>
    <w:rsid w:val="00137424"/>
    <w:rsid w:val="00140318"/>
    <w:rsid w:val="00141AD9"/>
    <w:rsid w:val="00146CE6"/>
    <w:rsid w:val="00146E1F"/>
    <w:rsid w:val="00152903"/>
    <w:rsid w:val="00153FD5"/>
    <w:rsid w:val="00155F09"/>
    <w:rsid w:val="0015614F"/>
    <w:rsid w:val="001577C2"/>
    <w:rsid w:val="00160487"/>
    <w:rsid w:val="00162E52"/>
    <w:rsid w:val="001633C4"/>
    <w:rsid w:val="001704D5"/>
    <w:rsid w:val="00171591"/>
    <w:rsid w:val="0017161C"/>
    <w:rsid w:val="00173981"/>
    <w:rsid w:val="0017719D"/>
    <w:rsid w:val="00183FD7"/>
    <w:rsid w:val="00185CAB"/>
    <w:rsid w:val="001875B7"/>
    <w:rsid w:val="00187858"/>
    <w:rsid w:val="00187B7F"/>
    <w:rsid w:val="00187CB3"/>
    <w:rsid w:val="00187F33"/>
    <w:rsid w:val="0019050A"/>
    <w:rsid w:val="001910D4"/>
    <w:rsid w:val="001930AF"/>
    <w:rsid w:val="001962EB"/>
    <w:rsid w:val="001966C6"/>
    <w:rsid w:val="001976E3"/>
    <w:rsid w:val="001A32BA"/>
    <w:rsid w:val="001A438B"/>
    <w:rsid w:val="001A44EC"/>
    <w:rsid w:val="001A44FC"/>
    <w:rsid w:val="001B0576"/>
    <w:rsid w:val="001B28B4"/>
    <w:rsid w:val="001B33E3"/>
    <w:rsid w:val="001B48CB"/>
    <w:rsid w:val="001B58AA"/>
    <w:rsid w:val="001B7E48"/>
    <w:rsid w:val="001C085F"/>
    <w:rsid w:val="001C17CE"/>
    <w:rsid w:val="001C36CA"/>
    <w:rsid w:val="001C44D1"/>
    <w:rsid w:val="001C6A0B"/>
    <w:rsid w:val="001C6AEE"/>
    <w:rsid w:val="001C72B5"/>
    <w:rsid w:val="001C7630"/>
    <w:rsid w:val="001D2C65"/>
    <w:rsid w:val="001D44C3"/>
    <w:rsid w:val="001D6D15"/>
    <w:rsid w:val="001E3B22"/>
    <w:rsid w:val="001E3DD3"/>
    <w:rsid w:val="001E5538"/>
    <w:rsid w:val="001F1B3A"/>
    <w:rsid w:val="001F39AF"/>
    <w:rsid w:val="001F50F7"/>
    <w:rsid w:val="001F7558"/>
    <w:rsid w:val="002010EA"/>
    <w:rsid w:val="00201EE2"/>
    <w:rsid w:val="00205B57"/>
    <w:rsid w:val="00205E98"/>
    <w:rsid w:val="00207D5B"/>
    <w:rsid w:val="002115A1"/>
    <w:rsid w:val="00213A8F"/>
    <w:rsid w:val="00213DC4"/>
    <w:rsid w:val="0021426C"/>
    <w:rsid w:val="002157E0"/>
    <w:rsid w:val="00215891"/>
    <w:rsid w:val="00216A57"/>
    <w:rsid w:val="00217448"/>
    <w:rsid w:val="002218E8"/>
    <w:rsid w:val="0022334F"/>
    <w:rsid w:val="00226819"/>
    <w:rsid w:val="0023210C"/>
    <w:rsid w:val="00233101"/>
    <w:rsid w:val="00233817"/>
    <w:rsid w:val="002338E4"/>
    <w:rsid w:val="002339EA"/>
    <w:rsid w:val="0023539A"/>
    <w:rsid w:val="002367FF"/>
    <w:rsid w:val="002376FE"/>
    <w:rsid w:val="00240CE9"/>
    <w:rsid w:val="002434BA"/>
    <w:rsid w:val="0024376F"/>
    <w:rsid w:val="00246089"/>
    <w:rsid w:val="00246093"/>
    <w:rsid w:val="00246702"/>
    <w:rsid w:val="00247C59"/>
    <w:rsid w:val="00247F2E"/>
    <w:rsid w:val="00250ADC"/>
    <w:rsid w:val="00250B07"/>
    <w:rsid w:val="00250FC4"/>
    <w:rsid w:val="002514C9"/>
    <w:rsid w:val="00256E02"/>
    <w:rsid w:val="00257553"/>
    <w:rsid w:val="002601CB"/>
    <w:rsid w:val="00260FB2"/>
    <w:rsid w:val="00262128"/>
    <w:rsid w:val="00262774"/>
    <w:rsid w:val="00266618"/>
    <w:rsid w:val="0027165D"/>
    <w:rsid w:val="00273CEB"/>
    <w:rsid w:val="002766A6"/>
    <w:rsid w:val="00277490"/>
    <w:rsid w:val="00281C89"/>
    <w:rsid w:val="0028282F"/>
    <w:rsid w:val="00282EC8"/>
    <w:rsid w:val="00283BBA"/>
    <w:rsid w:val="00285B85"/>
    <w:rsid w:val="0028686C"/>
    <w:rsid w:val="002957F2"/>
    <w:rsid w:val="0029593B"/>
    <w:rsid w:val="00297FC5"/>
    <w:rsid w:val="002A0417"/>
    <w:rsid w:val="002A16D8"/>
    <w:rsid w:val="002A19A3"/>
    <w:rsid w:val="002A1BC8"/>
    <w:rsid w:val="002A22FB"/>
    <w:rsid w:val="002A3EF2"/>
    <w:rsid w:val="002A50FF"/>
    <w:rsid w:val="002A5993"/>
    <w:rsid w:val="002A6ACC"/>
    <w:rsid w:val="002B069E"/>
    <w:rsid w:val="002B0DED"/>
    <w:rsid w:val="002B100F"/>
    <w:rsid w:val="002B19A2"/>
    <w:rsid w:val="002B3159"/>
    <w:rsid w:val="002B381A"/>
    <w:rsid w:val="002B3F0F"/>
    <w:rsid w:val="002B4FCC"/>
    <w:rsid w:val="002B7408"/>
    <w:rsid w:val="002B7CFD"/>
    <w:rsid w:val="002C0530"/>
    <w:rsid w:val="002C0E6C"/>
    <w:rsid w:val="002C210F"/>
    <w:rsid w:val="002C4F0C"/>
    <w:rsid w:val="002D28C5"/>
    <w:rsid w:val="002D3600"/>
    <w:rsid w:val="002D36D6"/>
    <w:rsid w:val="002D41CC"/>
    <w:rsid w:val="002D4226"/>
    <w:rsid w:val="002D434C"/>
    <w:rsid w:val="002D7742"/>
    <w:rsid w:val="002E11C7"/>
    <w:rsid w:val="002E1B30"/>
    <w:rsid w:val="002E4DDC"/>
    <w:rsid w:val="00302480"/>
    <w:rsid w:val="00302758"/>
    <w:rsid w:val="00304331"/>
    <w:rsid w:val="00307A5A"/>
    <w:rsid w:val="00312B70"/>
    <w:rsid w:val="00315841"/>
    <w:rsid w:val="003165E6"/>
    <w:rsid w:val="00320970"/>
    <w:rsid w:val="00320AE4"/>
    <w:rsid w:val="003215B5"/>
    <w:rsid w:val="003221CF"/>
    <w:rsid w:val="003233ED"/>
    <w:rsid w:val="00324D9F"/>
    <w:rsid w:val="003253EE"/>
    <w:rsid w:val="00327948"/>
    <w:rsid w:val="0033000F"/>
    <w:rsid w:val="0033180F"/>
    <w:rsid w:val="00331C82"/>
    <w:rsid w:val="00332011"/>
    <w:rsid w:val="00332518"/>
    <w:rsid w:val="00332925"/>
    <w:rsid w:val="00332E3F"/>
    <w:rsid w:val="003332ED"/>
    <w:rsid w:val="003342A6"/>
    <w:rsid w:val="003368DC"/>
    <w:rsid w:val="00336DAD"/>
    <w:rsid w:val="003411B8"/>
    <w:rsid w:val="00342AA4"/>
    <w:rsid w:val="0034490B"/>
    <w:rsid w:val="00345927"/>
    <w:rsid w:val="00345BA3"/>
    <w:rsid w:val="00350584"/>
    <w:rsid w:val="00351857"/>
    <w:rsid w:val="003545E8"/>
    <w:rsid w:val="0036027C"/>
    <w:rsid w:val="003610E1"/>
    <w:rsid w:val="0036610C"/>
    <w:rsid w:val="003671BE"/>
    <w:rsid w:val="00372485"/>
    <w:rsid w:val="00373200"/>
    <w:rsid w:val="00375EF5"/>
    <w:rsid w:val="003767A5"/>
    <w:rsid w:val="003803BD"/>
    <w:rsid w:val="00381D15"/>
    <w:rsid w:val="00385254"/>
    <w:rsid w:val="003903E5"/>
    <w:rsid w:val="00390D91"/>
    <w:rsid w:val="003933E8"/>
    <w:rsid w:val="00394031"/>
    <w:rsid w:val="00396DC2"/>
    <w:rsid w:val="00397E11"/>
    <w:rsid w:val="003A04DB"/>
    <w:rsid w:val="003A2A7E"/>
    <w:rsid w:val="003A5F5B"/>
    <w:rsid w:val="003A789A"/>
    <w:rsid w:val="003B12EC"/>
    <w:rsid w:val="003B1C84"/>
    <w:rsid w:val="003B220C"/>
    <w:rsid w:val="003B28B9"/>
    <w:rsid w:val="003B2F43"/>
    <w:rsid w:val="003B694A"/>
    <w:rsid w:val="003C03B8"/>
    <w:rsid w:val="003C710D"/>
    <w:rsid w:val="003C77E0"/>
    <w:rsid w:val="003D17D7"/>
    <w:rsid w:val="003D2678"/>
    <w:rsid w:val="003D3636"/>
    <w:rsid w:val="003D6D95"/>
    <w:rsid w:val="003D71A3"/>
    <w:rsid w:val="003E2B8A"/>
    <w:rsid w:val="003E389B"/>
    <w:rsid w:val="003E40C4"/>
    <w:rsid w:val="003E4D9E"/>
    <w:rsid w:val="003E7C12"/>
    <w:rsid w:val="003F10EE"/>
    <w:rsid w:val="003F16F6"/>
    <w:rsid w:val="003F4DC7"/>
    <w:rsid w:val="003F5235"/>
    <w:rsid w:val="003F7837"/>
    <w:rsid w:val="00401DCD"/>
    <w:rsid w:val="004027E4"/>
    <w:rsid w:val="0041071D"/>
    <w:rsid w:val="00411ECA"/>
    <w:rsid w:val="00414AFC"/>
    <w:rsid w:val="004151A7"/>
    <w:rsid w:val="00415310"/>
    <w:rsid w:val="00421709"/>
    <w:rsid w:val="00423763"/>
    <w:rsid w:val="0042762F"/>
    <w:rsid w:val="00427DC7"/>
    <w:rsid w:val="0043033F"/>
    <w:rsid w:val="004306EA"/>
    <w:rsid w:val="00431613"/>
    <w:rsid w:val="00431792"/>
    <w:rsid w:val="0043297A"/>
    <w:rsid w:val="00432EB2"/>
    <w:rsid w:val="00433F4C"/>
    <w:rsid w:val="00435D2B"/>
    <w:rsid w:val="0043714F"/>
    <w:rsid w:val="00437BE6"/>
    <w:rsid w:val="00442DB0"/>
    <w:rsid w:val="0044335B"/>
    <w:rsid w:val="004438B5"/>
    <w:rsid w:val="00447037"/>
    <w:rsid w:val="004475A1"/>
    <w:rsid w:val="0045124D"/>
    <w:rsid w:val="00454596"/>
    <w:rsid w:val="0045605D"/>
    <w:rsid w:val="004604EB"/>
    <w:rsid w:val="0046135B"/>
    <w:rsid w:val="00461D47"/>
    <w:rsid w:val="004718CC"/>
    <w:rsid w:val="00481695"/>
    <w:rsid w:val="00486FF6"/>
    <w:rsid w:val="0049078C"/>
    <w:rsid w:val="00491029"/>
    <w:rsid w:val="00493E90"/>
    <w:rsid w:val="00495A96"/>
    <w:rsid w:val="00495AD2"/>
    <w:rsid w:val="00495BB3"/>
    <w:rsid w:val="00496044"/>
    <w:rsid w:val="004968A6"/>
    <w:rsid w:val="004A3BA4"/>
    <w:rsid w:val="004A446E"/>
    <w:rsid w:val="004A56BB"/>
    <w:rsid w:val="004A5BF1"/>
    <w:rsid w:val="004A70D6"/>
    <w:rsid w:val="004A71F3"/>
    <w:rsid w:val="004A7CF4"/>
    <w:rsid w:val="004B1751"/>
    <w:rsid w:val="004B61A8"/>
    <w:rsid w:val="004B7FAE"/>
    <w:rsid w:val="004C0253"/>
    <w:rsid w:val="004C0BDD"/>
    <w:rsid w:val="004C5DD0"/>
    <w:rsid w:val="004D0373"/>
    <w:rsid w:val="004D0C87"/>
    <w:rsid w:val="004D4E86"/>
    <w:rsid w:val="004D56FF"/>
    <w:rsid w:val="004E08EB"/>
    <w:rsid w:val="004E23F2"/>
    <w:rsid w:val="004E39D3"/>
    <w:rsid w:val="004E508A"/>
    <w:rsid w:val="004E616D"/>
    <w:rsid w:val="004E7609"/>
    <w:rsid w:val="004F1BDE"/>
    <w:rsid w:val="004F2CEE"/>
    <w:rsid w:val="004F556E"/>
    <w:rsid w:val="004F591C"/>
    <w:rsid w:val="004F7F44"/>
    <w:rsid w:val="005037B4"/>
    <w:rsid w:val="00504141"/>
    <w:rsid w:val="005050FD"/>
    <w:rsid w:val="005079BF"/>
    <w:rsid w:val="00507A4C"/>
    <w:rsid w:val="0051269A"/>
    <w:rsid w:val="00515016"/>
    <w:rsid w:val="0051772B"/>
    <w:rsid w:val="005219E7"/>
    <w:rsid w:val="00523A73"/>
    <w:rsid w:val="005243AE"/>
    <w:rsid w:val="00531B9A"/>
    <w:rsid w:val="00531D15"/>
    <w:rsid w:val="005374CC"/>
    <w:rsid w:val="00537604"/>
    <w:rsid w:val="00542377"/>
    <w:rsid w:val="0054241F"/>
    <w:rsid w:val="005476EB"/>
    <w:rsid w:val="00547CC4"/>
    <w:rsid w:val="00547FA9"/>
    <w:rsid w:val="00550E6B"/>
    <w:rsid w:val="00551782"/>
    <w:rsid w:val="00553628"/>
    <w:rsid w:val="0055465C"/>
    <w:rsid w:val="00561056"/>
    <w:rsid w:val="00563EF1"/>
    <w:rsid w:val="00566AB4"/>
    <w:rsid w:val="005705D8"/>
    <w:rsid w:val="00570BF2"/>
    <w:rsid w:val="00573812"/>
    <w:rsid w:val="0057458A"/>
    <w:rsid w:val="00575AC5"/>
    <w:rsid w:val="00575E31"/>
    <w:rsid w:val="00575F82"/>
    <w:rsid w:val="0057605D"/>
    <w:rsid w:val="00581347"/>
    <w:rsid w:val="00581AC9"/>
    <w:rsid w:val="005849F8"/>
    <w:rsid w:val="00584B51"/>
    <w:rsid w:val="00584B81"/>
    <w:rsid w:val="0058577F"/>
    <w:rsid w:val="00586A62"/>
    <w:rsid w:val="005875B5"/>
    <w:rsid w:val="00590EF5"/>
    <w:rsid w:val="005914D8"/>
    <w:rsid w:val="005938DF"/>
    <w:rsid w:val="00594E9C"/>
    <w:rsid w:val="00597427"/>
    <w:rsid w:val="0059794C"/>
    <w:rsid w:val="005A099B"/>
    <w:rsid w:val="005A22A8"/>
    <w:rsid w:val="005A2BDA"/>
    <w:rsid w:val="005A2D9C"/>
    <w:rsid w:val="005A55FE"/>
    <w:rsid w:val="005A6A11"/>
    <w:rsid w:val="005B193F"/>
    <w:rsid w:val="005B2F0D"/>
    <w:rsid w:val="005B325F"/>
    <w:rsid w:val="005B4AED"/>
    <w:rsid w:val="005B7E45"/>
    <w:rsid w:val="005C01AB"/>
    <w:rsid w:val="005C09B6"/>
    <w:rsid w:val="005C34EF"/>
    <w:rsid w:val="005C5026"/>
    <w:rsid w:val="005C7CF5"/>
    <w:rsid w:val="005D2502"/>
    <w:rsid w:val="005D3D7A"/>
    <w:rsid w:val="005D3F13"/>
    <w:rsid w:val="005D40BB"/>
    <w:rsid w:val="005D47F3"/>
    <w:rsid w:val="005D49BF"/>
    <w:rsid w:val="005D4AA5"/>
    <w:rsid w:val="005D6F4E"/>
    <w:rsid w:val="005D7C73"/>
    <w:rsid w:val="005E0E70"/>
    <w:rsid w:val="005E250B"/>
    <w:rsid w:val="005E35CB"/>
    <w:rsid w:val="005E3ACD"/>
    <w:rsid w:val="005E7226"/>
    <w:rsid w:val="005E7A57"/>
    <w:rsid w:val="005F24B0"/>
    <w:rsid w:val="005F4D45"/>
    <w:rsid w:val="005F6CE9"/>
    <w:rsid w:val="0060065C"/>
    <w:rsid w:val="00601A56"/>
    <w:rsid w:val="00601F22"/>
    <w:rsid w:val="00602284"/>
    <w:rsid w:val="00604315"/>
    <w:rsid w:val="00604E26"/>
    <w:rsid w:val="0060523F"/>
    <w:rsid w:val="006052CF"/>
    <w:rsid w:val="006058CD"/>
    <w:rsid w:val="00607B8D"/>
    <w:rsid w:val="00607E10"/>
    <w:rsid w:val="00611F5C"/>
    <w:rsid w:val="00616948"/>
    <w:rsid w:val="00616E09"/>
    <w:rsid w:val="00616EEA"/>
    <w:rsid w:val="0062128A"/>
    <w:rsid w:val="00622A3B"/>
    <w:rsid w:val="00622CCB"/>
    <w:rsid w:val="00622EEA"/>
    <w:rsid w:val="0062367D"/>
    <w:rsid w:val="0062396C"/>
    <w:rsid w:val="00623FF9"/>
    <w:rsid w:val="0062437D"/>
    <w:rsid w:val="00627D4E"/>
    <w:rsid w:val="00630D28"/>
    <w:rsid w:val="006311BD"/>
    <w:rsid w:val="00632B89"/>
    <w:rsid w:val="0063346D"/>
    <w:rsid w:val="00633A85"/>
    <w:rsid w:val="00634478"/>
    <w:rsid w:val="00634F2A"/>
    <w:rsid w:val="00635657"/>
    <w:rsid w:val="006359C3"/>
    <w:rsid w:val="00642A8A"/>
    <w:rsid w:val="00642D20"/>
    <w:rsid w:val="00644373"/>
    <w:rsid w:val="00645915"/>
    <w:rsid w:val="00646CC4"/>
    <w:rsid w:val="006519C3"/>
    <w:rsid w:val="00652B30"/>
    <w:rsid w:val="00654861"/>
    <w:rsid w:val="006551A1"/>
    <w:rsid w:val="00656345"/>
    <w:rsid w:val="00656D94"/>
    <w:rsid w:val="00656DC6"/>
    <w:rsid w:val="00660EC6"/>
    <w:rsid w:val="00664110"/>
    <w:rsid w:val="00664D17"/>
    <w:rsid w:val="0066609A"/>
    <w:rsid w:val="00666520"/>
    <w:rsid w:val="00667C5B"/>
    <w:rsid w:val="006716F9"/>
    <w:rsid w:val="006727CE"/>
    <w:rsid w:val="00674DD6"/>
    <w:rsid w:val="00682205"/>
    <w:rsid w:val="00683930"/>
    <w:rsid w:val="00691EB8"/>
    <w:rsid w:val="00692BB5"/>
    <w:rsid w:val="00692CB7"/>
    <w:rsid w:val="00692CDE"/>
    <w:rsid w:val="00692F3A"/>
    <w:rsid w:val="00693073"/>
    <w:rsid w:val="00694773"/>
    <w:rsid w:val="00694A3E"/>
    <w:rsid w:val="00694AAB"/>
    <w:rsid w:val="00695203"/>
    <w:rsid w:val="006957F1"/>
    <w:rsid w:val="0069731C"/>
    <w:rsid w:val="006977FF"/>
    <w:rsid w:val="006A01FA"/>
    <w:rsid w:val="006A0E9E"/>
    <w:rsid w:val="006A1F51"/>
    <w:rsid w:val="006A25C7"/>
    <w:rsid w:val="006A3ECF"/>
    <w:rsid w:val="006A4AAD"/>
    <w:rsid w:val="006A4CCA"/>
    <w:rsid w:val="006A6DA2"/>
    <w:rsid w:val="006A74FC"/>
    <w:rsid w:val="006A7AB2"/>
    <w:rsid w:val="006B0765"/>
    <w:rsid w:val="006B0912"/>
    <w:rsid w:val="006B1CD2"/>
    <w:rsid w:val="006B52DE"/>
    <w:rsid w:val="006B5717"/>
    <w:rsid w:val="006B582F"/>
    <w:rsid w:val="006B5EB2"/>
    <w:rsid w:val="006C0C9C"/>
    <w:rsid w:val="006C0CEB"/>
    <w:rsid w:val="006C1631"/>
    <w:rsid w:val="006C190A"/>
    <w:rsid w:val="006C1963"/>
    <w:rsid w:val="006C36B3"/>
    <w:rsid w:val="006C3B1E"/>
    <w:rsid w:val="006C47FD"/>
    <w:rsid w:val="006C50C9"/>
    <w:rsid w:val="006C5C19"/>
    <w:rsid w:val="006C5FD4"/>
    <w:rsid w:val="006C70A0"/>
    <w:rsid w:val="006D27CB"/>
    <w:rsid w:val="006D2F08"/>
    <w:rsid w:val="006D576C"/>
    <w:rsid w:val="006D5865"/>
    <w:rsid w:val="006E1A13"/>
    <w:rsid w:val="006E4B1B"/>
    <w:rsid w:val="006E5445"/>
    <w:rsid w:val="006E6848"/>
    <w:rsid w:val="006E7D93"/>
    <w:rsid w:val="006F1D7C"/>
    <w:rsid w:val="006F2420"/>
    <w:rsid w:val="006F3682"/>
    <w:rsid w:val="006F4365"/>
    <w:rsid w:val="006F6511"/>
    <w:rsid w:val="006F7FB7"/>
    <w:rsid w:val="0070067A"/>
    <w:rsid w:val="0070133D"/>
    <w:rsid w:val="007029A3"/>
    <w:rsid w:val="00706E4E"/>
    <w:rsid w:val="0070791C"/>
    <w:rsid w:val="00711FB2"/>
    <w:rsid w:val="00711FCD"/>
    <w:rsid w:val="00712427"/>
    <w:rsid w:val="0071383C"/>
    <w:rsid w:val="007141A7"/>
    <w:rsid w:val="00715722"/>
    <w:rsid w:val="00715BAF"/>
    <w:rsid w:val="00720E3F"/>
    <w:rsid w:val="00721032"/>
    <w:rsid w:val="0072121D"/>
    <w:rsid w:val="00721B55"/>
    <w:rsid w:val="00723A2B"/>
    <w:rsid w:val="00724830"/>
    <w:rsid w:val="00724B75"/>
    <w:rsid w:val="00726CE4"/>
    <w:rsid w:val="00733258"/>
    <w:rsid w:val="00734143"/>
    <w:rsid w:val="00737E47"/>
    <w:rsid w:val="00740EAC"/>
    <w:rsid w:val="00743DCD"/>
    <w:rsid w:val="00744956"/>
    <w:rsid w:val="00745A5C"/>
    <w:rsid w:val="0074605F"/>
    <w:rsid w:val="00747E94"/>
    <w:rsid w:val="00752ABE"/>
    <w:rsid w:val="00753760"/>
    <w:rsid w:val="00754C83"/>
    <w:rsid w:val="00755031"/>
    <w:rsid w:val="00756C54"/>
    <w:rsid w:val="00760B79"/>
    <w:rsid w:val="00761E5C"/>
    <w:rsid w:val="007623DB"/>
    <w:rsid w:val="00765DF8"/>
    <w:rsid w:val="0076630E"/>
    <w:rsid w:val="00766749"/>
    <w:rsid w:val="00767C1B"/>
    <w:rsid w:val="00770038"/>
    <w:rsid w:val="00770104"/>
    <w:rsid w:val="00770B3F"/>
    <w:rsid w:val="007714A9"/>
    <w:rsid w:val="00774922"/>
    <w:rsid w:val="00774F88"/>
    <w:rsid w:val="00774FDB"/>
    <w:rsid w:val="00777BA2"/>
    <w:rsid w:val="00781408"/>
    <w:rsid w:val="00781F53"/>
    <w:rsid w:val="00782A45"/>
    <w:rsid w:val="00784F7F"/>
    <w:rsid w:val="00786240"/>
    <w:rsid w:val="007878BD"/>
    <w:rsid w:val="007910FF"/>
    <w:rsid w:val="007916A5"/>
    <w:rsid w:val="007959B8"/>
    <w:rsid w:val="00795A86"/>
    <w:rsid w:val="00795B94"/>
    <w:rsid w:val="00796F25"/>
    <w:rsid w:val="007A2E98"/>
    <w:rsid w:val="007A3BA3"/>
    <w:rsid w:val="007A6CC0"/>
    <w:rsid w:val="007A6EB5"/>
    <w:rsid w:val="007A7FEC"/>
    <w:rsid w:val="007B1499"/>
    <w:rsid w:val="007B1BBF"/>
    <w:rsid w:val="007B2960"/>
    <w:rsid w:val="007B355D"/>
    <w:rsid w:val="007B67C3"/>
    <w:rsid w:val="007B7016"/>
    <w:rsid w:val="007B710A"/>
    <w:rsid w:val="007B7980"/>
    <w:rsid w:val="007C0DEF"/>
    <w:rsid w:val="007C0E19"/>
    <w:rsid w:val="007C3409"/>
    <w:rsid w:val="007C5D5A"/>
    <w:rsid w:val="007C607F"/>
    <w:rsid w:val="007C79DD"/>
    <w:rsid w:val="007D1255"/>
    <w:rsid w:val="007D19B7"/>
    <w:rsid w:val="007D1A97"/>
    <w:rsid w:val="007D2CD6"/>
    <w:rsid w:val="007D3063"/>
    <w:rsid w:val="007D3816"/>
    <w:rsid w:val="007D3CEB"/>
    <w:rsid w:val="007D6613"/>
    <w:rsid w:val="007E1B94"/>
    <w:rsid w:val="007E4F93"/>
    <w:rsid w:val="007E7683"/>
    <w:rsid w:val="007E7F5E"/>
    <w:rsid w:val="007F240B"/>
    <w:rsid w:val="007F49FA"/>
    <w:rsid w:val="007F54C4"/>
    <w:rsid w:val="007F65BA"/>
    <w:rsid w:val="007F6E9A"/>
    <w:rsid w:val="00800CCD"/>
    <w:rsid w:val="00801FEB"/>
    <w:rsid w:val="008044D4"/>
    <w:rsid w:val="008054D6"/>
    <w:rsid w:val="00810AB4"/>
    <w:rsid w:val="00811A83"/>
    <w:rsid w:val="00816C7F"/>
    <w:rsid w:val="00817921"/>
    <w:rsid w:val="00817B56"/>
    <w:rsid w:val="00820414"/>
    <w:rsid w:val="00821A88"/>
    <w:rsid w:val="0082322E"/>
    <w:rsid w:val="0082495D"/>
    <w:rsid w:val="00826795"/>
    <w:rsid w:val="00826E23"/>
    <w:rsid w:val="00831AC3"/>
    <w:rsid w:val="00834F6B"/>
    <w:rsid w:val="008357E1"/>
    <w:rsid w:val="00835BD5"/>
    <w:rsid w:val="00835E68"/>
    <w:rsid w:val="00836FCE"/>
    <w:rsid w:val="008408FF"/>
    <w:rsid w:val="008418C0"/>
    <w:rsid w:val="00851F3F"/>
    <w:rsid w:val="00854565"/>
    <w:rsid w:val="00856EDC"/>
    <w:rsid w:val="0086073F"/>
    <w:rsid w:val="00861C78"/>
    <w:rsid w:val="008623B5"/>
    <w:rsid w:val="00863B1C"/>
    <w:rsid w:val="00863C0A"/>
    <w:rsid w:val="00865773"/>
    <w:rsid w:val="008669A3"/>
    <w:rsid w:val="00870ABA"/>
    <w:rsid w:val="008710E1"/>
    <w:rsid w:val="008716E5"/>
    <w:rsid w:val="00873C4B"/>
    <w:rsid w:val="00875B22"/>
    <w:rsid w:val="00876680"/>
    <w:rsid w:val="00877800"/>
    <w:rsid w:val="00881CA9"/>
    <w:rsid w:val="00883628"/>
    <w:rsid w:val="00883785"/>
    <w:rsid w:val="00884158"/>
    <w:rsid w:val="00884869"/>
    <w:rsid w:val="00885544"/>
    <w:rsid w:val="0088634E"/>
    <w:rsid w:val="00893AB8"/>
    <w:rsid w:val="00894637"/>
    <w:rsid w:val="008A04C8"/>
    <w:rsid w:val="008A2A16"/>
    <w:rsid w:val="008A4066"/>
    <w:rsid w:val="008A6913"/>
    <w:rsid w:val="008B6C4F"/>
    <w:rsid w:val="008B70F3"/>
    <w:rsid w:val="008B71C4"/>
    <w:rsid w:val="008B76DF"/>
    <w:rsid w:val="008C10F4"/>
    <w:rsid w:val="008C6132"/>
    <w:rsid w:val="008C64BC"/>
    <w:rsid w:val="008C65F7"/>
    <w:rsid w:val="008C7370"/>
    <w:rsid w:val="008E0428"/>
    <w:rsid w:val="008E254B"/>
    <w:rsid w:val="008E4767"/>
    <w:rsid w:val="008E5F14"/>
    <w:rsid w:val="008E7813"/>
    <w:rsid w:val="008E7A8C"/>
    <w:rsid w:val="008F36B7"/>
    <w:rsid w:val="008F5A34"/>
    <w:rsid w:val="0090146D"/>
    <w:rsid w:val="0090203B"/>
    <w:rsid w:val="009026C1"/>
    <w:rsid w:val="00903285"/>
    <w:rsid w:val="009059F1"/>
    <w:rsid w:val="00906F40"/>
    <w:rsid w:val="0090731E"/>
    <w:rsid w:val="00907A9D"/>
    <w:rsid w:val="00912915"/>
    <w:rsid w:val="00914383"/>
    <w:rsid w:val="00915B1C"/>
    <w:rsid w:val="009174F3"/>
    <w:rsid w:val="0091797D"/>
    <w:rsid w:val="00917C7F"/>
    <w:rsid w:val="00917CF6"/>
    <w:rsid w:val="00920C43"/>
    <w:rsid w:val="00923CBA"/>
    <w:rsid w:val="00923DD9"/>
    <w:rsid w:val="009241FA"/>
    <w:rsid w:val="00926363"/>
    <w:rsid w:val="00926703"/>
    <w:rsid w:val="00926FF4"/>
    <w:rsid w:val="00927691"/>
    <w:rsid w:val="00927A5F"/>
    <w:rsid w:val="00927FEF"/>
    <w:rsid w:val="00930510"/>
    <w:rsid w:val="00933552"/>
    <w:rsid w:val="00935B63"/>
    <w:rsid w:val="0093658A"/>
    <w:rsid w:val="00936E95"/>
    <w:rsid w:val="0094078F"/>
    <w:rsid w:val="00940D7C"/>
    <w:rsid w:val="00940FA3"/>
    <w:rsid w:val="00941FB0"/>
    <w:rsid w:val="009422C7"/>
    <w:rsid w:val="009426D4"/>
    <w:rsid w:val="009460C8"/>
    <w:rsid w:val="00947F25"/>
    <w:rsid w:val="00950159"/>
    <w:rsid w:val="009531D4"/>
    <w:rsid w:val="009539BD"/>
    <w:rsid w:val="0095490B"/>
    <w:rsid w:val="009572EC"/>
    <w:rsid w:val="00960A33"/>
    <w:rsid w:val="0096442F"/>
    <w:rsid w:val="00971914"/>
    <w:rsid w:val="00971F06"/>
    <w:rsid w:val="00974363"/>
    <w:rsid w:val="00974DDC"/>
    <w:rsid w:val="00980E33"/>
    <w:rsid w:val="00981898"/>
    <w:rsid w:val="00982909"/>
    <w:rsid w:val="009838CE"/>
    <w:rsid w:val="0099117F"/>
    <w:rsid w:val="0099577C"/>
    <w:rsid w:val="009964DC"/>
    <w:rsid w:val="009A021C"/>
    <w:rsid w:val="009A25CC"/>
    <w:rsid w:val="009A3D2D"/>
    <w:rsid w:val="009A3E71"/>
    <w:rsid w:val="009A4341"/>
    <w:rsid w:val="009A467D"/>
    <w:rsid w:val="009A731C"/>
    <w:rsid w:val="009B24A5"/>
    <w:rsid w:val="009B2601"/>
    <w:rsid w:val="009B4E9E"/>
    <w:rsid w:val="009C1690"/>
    <w:rsid w:val="009C22EC"/>
    <w:rsid w:val="009C2C0E"/>
    <w:rsid w:val="009C417A"/>
    <w:rsid w:val="009C5BF3"/>
    <w:rsid w:val="009C682F"/>
    <w:rsid w:val="009C6881"/>
    <w:rsid w:val="009C7759"/>
    <w:rsid w:val="009D043D"/>
    <w:rsid w:val="009D07C8"/>
    <w:rsid w:val="009D0F64"/>
    <w:rsid w:val="009D4C85"/>
    <w:rsid w:val="009D5195"/>
    <w:rsid w:val="009D6C71"/>
    <w:rsid w:val="009D743D"/>
    <w:rsid w:val="009E0631"/>
    <w:rsid w:val="009E16D0"/>
    <w:rsid w:val="009E2051"/>
    <w:rsid w:val="009E38FD"/>
    <w:rsid w:val="009E45C4"/>
    <w:rsid w:val="009F13D6"/>
    <w:rsid w:val="009F271A"/>
    <w:rsid w:val="009F4C6B"/>
    <w:rsid w:val="009F78A8"/>
    <w:rsid w:val="00A017E0"/>
    <w:rsid w:val="00A02AD6"/>
    <w:rsid w:val="00A036FA"/>
    <w:rsid w:val="00A054DB"/>
    <w:rsid w:val="00A05790"/>
    <w:rsid w:val="00A06CFC"/>
    <w:rsid w:val="00A07096"/>
    <w:rsid w:val="00A07318"/>
    <w:rsid w:val="00A07FA8"/>
    <w:rsid w:val="00A11370"/>
    <w:rsid w:val="00A16FC4"/>
    <w:rsid w:val="00A20BD1"/>
    <w:rsid w:val="00A22389"/>
    <w:rsid w:val="00A224CE"/>
    <w:rsid w:val="00A22522"/>
    <w:rsid w:val="00A24AFD"/>
    <w:rsid w:val="00A24F5C"/>
    <w:rsid w:val="00A2534E"/>
    <w:rsid w:val="00A27CA5"/>
    <w:rsid w:val="00A32F96"/>
    <w:rsid w:val="00A40871"/>
    <w:rsid w:val="00A412AB"/>
    <w:rsid w:val="00A4193E"/>
    <w:rsid w:val="00A42E7E"/>
    <w:rsid w:val="00A440E0"/>
    <w:rsid w:val="00A442EF"/>
    <w:rsid w:val="00A4440E"/>
    <w:rsid w:val="00A473C6"/>
    <w:rsid w:val="00A51A95"/>
    <w:rsid w:val="00A51D1A"/>
    <w:rsid w:val="00A51F0F"/>
    <w:rsid w:val="00A5418D"/>
    <w:rsid w:val="00A542AA"/>
    <w:rsid w:val="00A5474E"/>
    <w:rsid w:val="00A55FF1"/>
    <w:rsid w:val="00A57C46"/>
    <w:rsid w:val="00A64234"/>
    <w:rsid w:val="00A645F8"/>
    <w:rsid w:val="00A70ADF"/>
    <w:rsid w:val="00A71466"/>
    <w:rsid w:val="00A74B5E"/>
    <w:rsid w:val="00A7515D"/>
    <w:rsid w:val="00A768F1"/>
    <w:rsid w:val="00A77D0D"/>
    <w:rsid w:val="00A77FC0"/>
    <w:rsid w:val="00A8106B"/>
    <w:rsid w:val="00A81BED"/>
    <w:rsid w:val="00A81EC4"/>
    <w:rsid w:val="00A824E8"/>
    <w:rsid w:val="00A82661"/>
    <w:rsid w:val="00A82E9A"/>
    <w:rsid w:val="00A83883"/>
    <w:rsid w:val="00A85C35"/>
    <w:rsid w:val="00A9284B"/>
    <w:rsid w:val="00A932AE"/>
    <w:rsid w:val="00A93CF3"/>
    <w:rsid w:val="00A967FD"/>
    <w:rsid w:val="00AA0877"/>
    <w:rsid w:val="00AA284B"/>
    <w:rsid w:val="00AA2DE5"/>
    <w:rsid w:val="00AA3536"/>
    <w:rsid w:val="00AB0097"/>
    <w:rsid w:val="00AB156C"/>
    <w:rsid w:val="00AB283A"/>
    <w:rsid w:val="00AB6814"/>
    <w:rsid w:val="00AC04BA"/>
    <w:rsid w:val="00AC0E39"/>
    <w:rsid w:val="00AC1A36"/>
    <w:rsid w:val="00AC469E"/>
    <w:rsid w:val="00AD2FE9"/>
    <w:rsid w:val="00AD3082"/>
    <w:rsid w:val="00AD32B4"/>
    <w:rsid w:val="00AD4AD0"/>
    <w:rsid w:val="00AD5436"/>
    <w:rsid w:val="00AD5C94"/>
    <w:rsid w:val="00AD60CD"/>
    <w:rsid w:val="00AD6C8C"/>
    <w:rsid w:val="00AE091D"/>
    <w:rsid w:val="00AE1093"/>
    <w:rsid w:val="00AE3B60"/>
    <w:rsid w:val="00AE472C"/>
    <w:rsid w:val="00AE53A1"/>
    <w:rsid w:val="00AE5706"/>
    <w:rsid w:val="00AF2484"/>
    <w:rsid w:val="00AF5C99"/>
    <w:rsid w:val="00AF6086"/>
    <w:rsid w:val="00AF63E7"/>
    <w:rsid w:val="00AF6DCD"/>
    <w:rsid w:val="00AF6E17"/>
    <w:rsid w:val="00AF7A1B"/>
    <w:rsid w:val="00B0165D"/>
    <w:rsid w:val="00B01B60"/>
    <w:rsid w:val="00B031F3"/>
    <w:rsid w:val="00B03805"/>
    <w:rsid w:val="00B052A4"/>
    <w:rsid w:val="00B125DE"/>
    <w:rsid w:val="00B12DBD"/>
    <w:rsid w:val="00B13FDD"/>
    <w:rsid w:val="00B22EB2"/>
    <w:rsid w:val="00B237D8"/>
    <w:rsid w:val="00B27442"/>
    <w:rsid w:val="00B31167"/>
    <w:rsid w:val="00B329D8"/>
    <w:rsid w:val="00B32BB9"/>
    <w:rsid w:val="00B33AE1"/>
    <w:rsid w:val="00B37C38"/>
    <w:rsid w:val="00B40E0F"/>
    <w:rsid w:val="00B41718"/>
    <w:rsid w:val="00B4288C"/>
    <w:rsid w:val="00B4318E"/>
    <w:rsid w:val="00B43262"/>
    <w:rsid w:val="00B44100"/>
    <w:rsid w:val="00B4526F"/>
    <w:rsid w:val="00B46CBA"/>
    <w:rsid w:val="00B46F94"/>
    <w:rsid w:val="00B52915"/>
    <w:rsid w:val="00B532DA"/>
    <w:rsid w:val="00B57EF6"/>
    <w:rsid w:val="00B6003C"/>
    <w:rsid w:val="00B61F03"/>
    <w:rsid w:val="00B626E4"/>
    <w:rsid w:val="00B65495"/>
    <w:rsid w:val="00B672C5"/>
    <w:rsid w:val="00B713BC"/>
    <w:rsid w:val="00B72F2A"/>
    <w:rsid w:val="00B72F4A"/>
    <w:rsid w:val="00B816C7"/>
    <w:rsid w:val="00B83C27"/>
    <w:rsid w:val="00B84BC3"/>
    <w:rsid w:val="00B84BDD"/>
    <w:rsid w:val="00B84C1B"/>
    <w:rsid w:val="00B86969"/>
    <w:rsid w:val="00B87646"/>
    <w:rsid w:val="00B87D39"/>
    <w:rsid w:val="00B91419"/>
    <w:rsid w:val="00B915C6"/>
    <w:rsid w:val="00B92812"/>
    <w:rsid w:val="00B9307B"/>
    <w:rsid w:val="00B93B8D"/>
    <w:rsid w:val="00B9408A"/>
    <w:rsid w:val="00BA52B4"/>
    <w:rsid w:val="00BA5403"/>
    <w:rsid w:val="00BA66BC"/>
    <w:rsid w:val="00BA6FCC"/>
    <w:rsid w:val="00BA700F"/>
    <w:rsid w:val="00BA721E"/>
    <w:rsid w:val="00BB0237"/>
    <w:rsid w:val="00BB2C92"/>
    <w:rsid w:val="00BB31B1"/>
    <w:rsid w:val="00BB352E"/>
    <w:rsid w:val="00BB45A1"/>
    <w:rsid w:val="00BB6335"/>
    <w:rsid w:val="00BB7686"/>
    <w:rsid w:val="00BB7802"/>
    <w:rsid w:val="00BC1258"/>
    <w:rsid w:val="00BC23F9"/>
    <w:rsid w:val="00BC3421"/>
    <w:rsid w:val="00BC6043"/>
    <w:rsid w:val="00BC65E5"/>
    <w:rsid w:val="00BC732C"/>
    <w:rsid w:val="00BD4421"/>
    <w:rsid w:val="00BD5238"/>
    <w:rsid w:val="00BE06F7"/>
    <w:rsid w:val="00BE2580"/>
    <w:rsid w:val="00BE266D"/>
    <w:rsid w:val="00BE3938"/>
    <w:rsid w:val="00BE4C11"/>
    <w:rsid w:val="00BE6D03"/>
    <w:rsid w:val="00BE71C0"/>
    <w:rsid w:val="00BF610C"/>
    <w:rsid w:val="00C0060B"/>
    <w:rsid w:val="00C01A6C"/>
    <w:rsid w:val="00C0277D"/>
    <w:rsid w:val="00C02F26"/>
    <w:rsid w:val="00C03B5C"/>
    <w:rsid w:val="00C053A1"/>
    <w:rsid w:val="00C1055B"/>
    <w:rsid w:val="00C1273A"/>
    <w:rsid w:val="00C16198"/>
    <w:rsid w:val="00C2083D"/>
    <w:rsid w:val="00C23335"/>
    <w:rsid w:val="00C24466"/>
    <w:rsid w:val="00C24A53"/>
    <w:rsid w:val="00C348D7"/>
    <w:rsid w:val="00C34A05"/>
    <w:rsid w:val="00C35CCE"/>
    <w:rsid w:val="00C36536"/>
    <w:rsid w:val="00C36A82"/>
    <w:rsid w:val="00C4032F"/>
    <w:rsid w:val="00C405DF"/>
    <w:rsid w:val="00C417FF"/>
    <w:rsid w:val="00C41F21"/>
    <w:rsid w:val="00C43778"/>
    <w:rsid w:val="00C44047"/>
    <w:rsid w:val="00C45155"/>
    <w:rsid w:val="00C467CD"/>
    <w:rsid w:val="00C5498F"/>
    <w:rsid w:val="00C55235"/>
    <w:rsid w:val="00C56517"/>
    <w:rsid w:val="00C6003B"/>
    <w:rsid w:val="00C64CD0"/>
    <w:rsid w:val="00C65F61"/>
    <w:rsid w:val="00C664E2"/>
    <w:rsid w:val="00C6684F"/>
    <w:rsid w:val="00C70E70"/>
    <w:rsid w:val="00C741CF"/>
    <w:rsid w:val="00C74860"/>
    <w:rsid w:val="00C75F8D"/>
    <w:rsid w:val="00C77380"/>
    <w:rsid w:val="00C804EF"/>
    <w:rsid w:val="00C817EF"/>
    <w:rsid w:val="00C81C16"/>
    <w:rsid w:val="00C87E8A"/>
    <w:rsid w:val="00C913D6"/>
    <w:rsid w:val="00C94F1A"/>
    <w:rsid w:val="00C95693"/>
    <w:rsid w:val="00C97736"/>
    <w:rsid w:val="00CA0157"/>
    <w:rsid w:val="00CA345A"/>
    <w:rsid w:val="00CA3EDE"/>
    <w:rsid w:val="00CB1E82"/>
    <w:rsid w:val="00CB2DAC"/>
    <w:rsid w:val="00CB4BA8"/>
    <w:rsid w:val="00CB52D7"/>
    <w:rsid w:val="00CC0233"/>
    <w:rsid w:val="00CC0DC4"/>
    <w:rsid w:val="00CC1CED"/>
    <w:rsid w:val="00CC6732"/>
    <w:rsid w:val="00CD2B0D"/>
    <w:rsid w:val="00CD376A"/>
    <w:rsid w:val="00CD4855"/>
    <w:rsid w:val="00CD6ACF"/>
    <w:rsid w:val="00CE324E"/>
    <w:rsid w:val="00CE3C96"/>
    <w:rsid w:val="00CE4B37"/>
    <w:rsid w:val="00CE51A8"/>
    <w:rsid w:val="00CF0576"/>
    <w:rsid w:val="00CF0BFE"/>
    <w:rsid w:val="00CF155D"/>
    <w:rsid w:val="00CF369B"/>
    <w:rsid w:val="00CF7FE6"/>
    <w:rsid w:val="00D00E28"/>
    <w:rsid w:val="00D02489"/>
    <w:rsid w:val="00D0269E"/>
    <w:rsid w:val="00D03276"/>
    <w:rsid w:val="00D04903"/>
    <w:rsid w:val="00D05D6C"/>
    <w:rsid w:val="00D070B9"/>
    <w:rsid w:val="00D134BC"/>
    <w:rsid w:val="00D15810"/>
    <w:rsid w:val="00D1640A"/>
    <w:rsid w:val="00D16D4E"/>
    <w:rsid w:val="00D16FE3"/>
    <w:rsid w:val="00D17F43"/>
    <w:rsid w:val="00D25986"/>
    <w:rsid w:val="00D26C46"/>
    <w:rsid w:val="00D26DB6"/>
    <w:rsid w:val="00D27F41"/>
    <w:rsid w:val="00D304C9"/>
    <w:rsid w:val="00D36441"/>
    <w:rsid w:val="00D4064E"/>
    <w:rsid w:val="00D43B47"/>
    <w:rsid w:val="00D44E9B"/>
    <w:rsid w:val="00D47AEB"/>
    <w:rsid w:val="00D50DB9"/>
    <w:rsid w:val="00D51302"/>
    <w:rsid w:val="00D52C43"/>
    <w:rsid w:val="00D549CC"/>
    <w:rsid w:val="00D57B95"/>
    <w:rsid w:val="00D57EE1"/>
    <w:rsid w:val="00D61243"/>
    <w:rsid w:val="00D63FD7"/>
    <w:rsid w:val="00D6507F"/>
    <w:rsid w:val="00D65870"/>
    <w:rsid w:val="00D67A16"/>
    <w:rsid w:val="00D730BC"/>
    <w:rsid w:val="00D73912"/>
    <w:rsid w:val="00D73AF8"/>
    <w:rsid w:val="00D77E33"/>
    <w:rsid w:val="00D85226"/>
    <w:rsid w:val="00D87B94"/>
    <w:rsid w:val="00D92D49"/>
    <w:rsid w:val="00D92EC1"/>
    <w:rsid w:val="00D93239"/>
    <w:rsid w:val="00D933B3"/>
    <w:rsid w:val="00D944CA"/>
    <w:rsid w:val="00D95133"/>
    <w:rsid w:val="00D96DEA"/>
    <w:rsid w:val="00DA02F6"/>
    <w:rsid w:val="00DA4E41"/>
    <w:rsid w:val="00DA5FC6"/>
    <w:rsid w:val="00DB117A"/>
    <w:rsid w:val="00DB5173"/>
    <w:rsid w:val="00DB6E35"/>
    <w:rsid w:val="00DB7873"/>
    <w:rsid w:val="00DC05F3"/>
    <w:rsid w:val="00DC187B"/>
    <w:rsid w:val="00DC203E"/>
    <w:rsid w:val="00DC2948"/>
    <w:rsid w:val="00DC4A30"/>
    <w:rsid w:val="00DC5612"/>
    <w:rsid w:val="00DC569C"/>
    <w:rsid w:val="00DC656F"/>
    <w:rsid w:val="00DD0876"/>
    <w:rsid w:val="00DD1A43"/>
    <w:rsid w:val="00DD24D1"/>
    <w:rsid w:val="00DD3D1E"/>
    <w:rsid w:val="00DD73C2"/>
    <w:rsid w:val="00DE0CA5"/>
    <w:rsid w:val="00DE319B"/>
    <w:rsid w:val="00DE4D01"/>
    <w:rsid w:val="00DE6170"/>
    <w:rsid w:val="00DE7716"/>
    <w:rsid w:val="00DF2552"/>
    <w:rsid w:val="00DF34FE"/>
    <w:rsid w:val="00DF56AA"/>
    <w:rsid w:val="00DF56AF"/>
    <w:rsid w:val="00DF69F6"/>
    <w:rsid w:val="00DF738B"/>
    <w:rsid w:val="00DF78E7"/>
    <w:rsid w:val="00DF7951"/>
    <w:rsid w:val="00DF7C9B"/>
    <w:rsid w:val="00E01091"/>
    <w:rsid w:val="00E011AA"/>
    <w:rsid w:val="00E0260C"/>
    <w:rsid w:val="00E110E0"/>
    <w:rsid w:val="00E14BD3"/>
    <w:rsid w:val="00E15371"/>
    <w:rsid w:val="00E15BC2"/>
    <w:rsid w:val="00E16170"/>
    <w:rsid w:val="00E162C4"/>
    <w:rsid w:val="00E21056"/>
    <w:rsid w:val="00E24104"/>
    <w:rsid w:val="00E302D0"/>
    <w:rsid w:val="00E30618"/>
    <w:rsid w:val="00E30C26"/>
    <w:rsid w:val="00E35707"/>
    <w:rsid w:val="00E35D43"/>
    <w:rsid w:val="00E35FC4"/>
    <w:rsid w:val="00E36AA1"/>
    <w:rsid w:val="00E37A25"/>
    <w:rsid w:val="00E41ECB"/>
    <w:rsid w:val="00E42676"/>
    <w:rsid w:val="00E44954"/>
    <w:rsid w:val="00E45034"/>
    <w:rsid w:val="00E462EE"/>
    <w:rsid w:val="00E54060"/>
    <w:rsid w:val="00E5426D"/>
    <w:rsid w:val="00E54FDB"/>
    <w:rsid w:val="00E5617D"/>
    <w:rsid w:val="00E563D7"/>
    <w:rsid w:val="00E56631"/>
    <w:rsid w:val="00E630BD"/>
    <w:rsid w:val="00E630E0"/>
    <w:rsid w:val="00E64A0A"/>
    <w:rsid w:val="00E65F05"/>
    <w:rsid w:val="00E663F4"/>
    <w:rsid w:val="00E666F2"/>
    <w:rsid w:val="00E66DD4"/>
    <w:rsid w:val="00E71872"/>
    <w:rsid w:val="00E7218F"/>
    <w:rsid w:val="00E748CC"/>
    <w:rsid w:val="00E74F15"/>
    <w:rsid w:val="00E75415"/>
    <w:rsid w:val="00E775B1"/>
    <w:rsid w:val="00E77682"/>
    <w:rsid w:val="00E77F3C"/>
    <w:rsid w:val="00E810A7"/>
    <w:rsid w:val="00E8152A"/>
    <w:rsid w:val="00E8505D"/>
    <w:rsid w:val="00E85ADD"/>
    <w:rsid w:val="00E86241"/>
    <w:rsid w:val="00E90105"/>
    <w:rsid w:val="00E9032D"/>
    <w:rsid w:val="00E93542"/>
    <w:rsid w:val="00E93629"/>
    <w:rsid w:val="00E93B5C"/>
    <w:rsid w:val="00E93B8A"/>
    <w:rsid w:val="00E94AAD"/>
    <w:rsid w:val="00E94CEC"/>
    <w:rsid w:val="00E96A19"/>
    <w:rsid w:val="00E97F81"/>
    <w:rsid w:val="00EA04EF"/>
    <w:rsid w:val="00EA0969"/>
    <w:rsid w:val="00EA53C3"/>
    <w:rsid w:val="00EA6C79"/>
    <w:rsid w:val="00EA6F19"/>
    <w:rsid w:val="00EB4602"/>
    <w:rsid w:val="00EB5FF8"/>
    <w:rsid w:val="00EB7090"/>
    <w:rsid w:val="00EC1BBE"/>
    <w:rsid w:val="00EC2B68"/>
    <w:rsid w:val="00EC3AEF"/>
    <w:rsid w:val="00EC4643"/>
    <w:rsid w:val="00EC5CD7"/>
    <w:rsid w:val="00ED4EB7"/>
    <w:rsid w:val="00EE4D47"/>
    <w:rsid w:val="00EE5FB3"/>
    <w:rsid w:val="00EE61A4"/>
    <w:rsid w:val="00EE7F79"/>
    <w:rsid w:val="00EF0C0D"/>
    <w:rsid w:val="00EF1E8D"/>
    <w:rsid w:val="00EF2FB5"/>
    <w:rsid w:val="00EF3DCA"/>
    <w:rsid w:val="00EF4BEA"/>
    <w:rsid w:val="00EF57AA"/>
    <w:rsid w:val="00EF60F6"/>
    <w:rsid w:val="00EF715A"/>
    <w:rsid w:val="00EF7562"/>
    <w:rsid w:val="00F0059B"/>
    <w:rsid w:val="00F06E14"/>
    <w:rsid w:val="00F10D0A"/>
    <w:rsid w:val="00F12355"/>
    <w:rsid w:val="00F14152"/>
    <w:rsid w:val="00F179D4"/>
    <w:rsid w:val="00F17BCE"/>
    <w:rsid w:val="00F22A23"/>
    <w:rsid w:val="00F26E61"/>
    <w:rsid w:val="00F31CE2"/>
    <w:rsid w:val="00F33C56"/>
    <w:rsid w:val="00F347C7"/>
    <w:rsid w:val="00F34848"/>
    <w:rsid w:val="00F361D7"/>
    <w:rsid w:val="00F41507"/>
    <w:rsid w:val="00F41AEA"/>
    <w:rsid w:val="00F42D46"/>
    <w:rsid w:val="00F4496C"/>
    <w:rsid w:val="00F44F3A"/>
    <w:rsid w:val="00F46F69"/>
    <w:rsid w:val="00F51F10"/>
    <w:rsid w:val="00F522F8"/>
    <w:rsid w:val="00F529A5"/>
    <w:rsid w:val="00F5310D"/>
    <w:rsid w:val="00F60F00"/>
    <w:rsid w:val="00F614C0"/>
    <w:rsid w:val="00F628EB"/>
    <w:rsid w:val="00F64544"/>
    <w:rsid w:val="00F675E2"/>
    <w:rsid w:val="00F7429C"/>
    <w:rsid w:val="00F77142"/>
    <w:rsid w:val="00F77ECE"/>
    <w:rsid w:val="00F82194"/>
    <w:rsid w:val="00F83848"/>
    <w:rsid w:val="00F847BD"/>
    <w:rsid w:val="00F857B2"/>
    <w:rsid w:val="00F86D5C"/>
    <w:rsid w:val="00F91D78"/>
    <w:rsid w:val="00F975E9"/>
    <w:rsid w:val="00F9799D"/>
    <w:rsid w:val="00F97F62"/>
    <w:rsid w:val="00FA0CC8"/>
    <w:rsid w:val="00FA1B7D"/>
    <w:rsid w:val="00FA63C0"/>
    <w:rsid w:val="00FA799E"/>
    <w:rsid w:val="00FA7BFA"/>
    <w:rsid w:val="00FB1173"/>
    <w:rsid w:val="00FB203C"/>
    <w:rsid w:val="00FB3807"/>
    <w:rsid w:val="00FB4552"/>
    <w:rsid w:val="00FB4AAA"/>
    <w:rsid w:val="00FC07B9"/>
    <w:rsid w:val="00FC4BC7"/>
    <w:rsid w:val="00FC4E21"/>
    <w:rsid w:val="00FC5F6D"/>
    <w:rsid w:val="00FD0107"/>
    <w:rsid w:val="00FD04B8"/>
    <w:rsid w:val="00FD2413"/>
    <w:rsid w:val="00FD280E"/>
    <w:rsid w:val="00FD2C2F"/>
    <w:rsid w:val="00FD3B31"/>
    <w:rsid w:val="00FD4228"/>
    <w:rsid w:val="00FE1363"/>
    <w:rsid w:val="00FE1823"/>
    <w:rsid w:val="00FE487A"/>
    <w:rsid w:val="00FF0569"/>
    <w:rsid w:val="00FF1837"/>
    <w:rsid w:val="00FF206E"/>
    <w:rsid w:val="00FF3C69"/>
    <w:rsid w:val="00FF3DC0"/>
    <w:rsid w:val="00FF3E29"/>
    <w:rsid w:val="00FF6E0A"/>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red,#4d4d4f"/>
    </o:shapedefaults>
    <o:shapelayout v:ext="edit">
      <o:idmap v:ext="edit" data="1"/>
    </o:shapelayout>
  </w:shapeDefaults>
  <w:decimalSymbol w:val="."/>
  <w:listSeparator w:val=","/>
  <w14:docId w14:val="3F08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aliases w:val="List Bullet 1"/>
    <w:basedOn w:val="Normal"/>
    <w:link w:val="ListBulletChar"/>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ACMA Footnote Text"/>
    <w:basedOn w:val="Normal"/>
    <w:link w:val="FootnoteTextChar"/>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qFormat/>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character" w:customStyle="1" w:styleId="ListBulletChar">
    <w:name w:val="List Bullet Char"/>
    <w:aliases w:val="List Bullet 1 Char"/>
    <w:basedOn w:val="DefaultParagraphFont"/>
    <w:link w:val="ListBullet"/>
    <w:locked/>
    <w:rsid w:val="00EE61A4"/>
    <w:rPr>
      <w:rFonts w:ascii="Arial" w:hAnsi="Arial"/>
      <w:sz w:val="20"/>
    </w:rPr>
  </w:style>
  <w:style w:type="character" w:customStyle="1" w:styleId="FootnoteTextChar">
    <w:name w:val="Footnote Text Char"/>
    <w:aliases w:val="Footnote text Char,ACMA Footnote Text Char"/>
    <w:basedOn w:val="DefaultParagraphFont"/>
    <w:link w:val="FootnoteText"/>
    <w:rsid w:val="00262774"/>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legislation.gov.au/Series/F2022L00843" TargetMode="External"/><Relationship Id="rId39" Type="http://schemas.openxmlformats.org/officeDocument/2006/relationships/hyperlink" Target="https://www.acma.gov.au/publications/2019-10/rules/embargo-23" TargetMode="External"/><Relationship Id="rId21" Type="http://schemas.openxmlformats.org/officeDocument/2006/relationships/footer" Target="footer4.xml"/><Relationship Id="rId34" Type="http://schemas.openxmlformats.org/officeDocument/2006/relationships/hyperlink" Target="https://www.acma.gov.au/publications/2019-09/instruction/rali-fx3-microwave-fixed-services" TargetMode="External"/><Relationship Id="rId42"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acma.gov.au/consultations/2021-12/replanning-2-ghz-band-review-2-ghz-television-outside-broadcast-frequency-band-plan-consultation-45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consultations/2021-12/replanning-2-ghz-band-review-2-ghz-television-outside-broadcast-frequency-band-plan-consultation-452021" TargetMode="External"/><Relationship Id="rId32" Type="http://schemas.openxmlformats.org/officeDocument/2006/relationships/hyperlink" Target="https://www.acma.gov.au/publications/2019-09/instruction/rali-fx21-television-outside-broadcasting-services" TargetMode="External"/><Relationship Id="rId37" Type="http://schemas.openxmlformats.org/officeDocument/2006/relationships/hyperlink" Target="https://www.acma.gov.au/consultations/2020-07/replanning-options-2-ghz-band-consultation-232020" TargetMode="External"/><Relationship Id="rId40" Type="http://schemas.openxmlformats.org/officeDocument/2006/relationships/hyperlink" Target="https://www.acma.gov.au/publications/2019-09/instruction/rali-fx21-television-outside-broadcasting-service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consultations/2022-06/proposed-updates-channel-arrangements-72-ghz-band-ifc-192022" TargetMode="External"/><Relationship Id="rId36" Type="http://schemas.openxmlformats.org/officeDocument/2006/relationships/hyperlink" Target="https://www.acma.gov.au/consultations/2020-07/replanning-options-2-ghz-band-consultation-232020"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acma.gov.au/consultations/2021-12/replanning-2-ghz-band-review-2-ghz-television-outside-broadcast-frequency-band-plan-consultation-452021" TargetMode="Externa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legislation.gov.au/Series/F2022L00842" TargetMode="External"/><Relationship Id="rId30" Type="http://schemas.openxmlformats.org/officeDocument/2006/relationships/hyperlink" Target="https://www.acma.gov.au/consultations/2020-07/replanning-options-2-ghz-band-consultation-232020" TargetMode="External"/><Relationship Id="rId35" Type="http://schemas.openxmlformats.org/officeDocument/2006/relationships/hyperlink" Target="https://www.acma.gov.au/consultations/2022-06/proposed-updates-channel-arrangements-72-ghz-band-ifc-192022" TargetMode="External"/><Relationship Id="rId43" Type="http://schemas.openxmlformats.org/officeDocument/2006/relationships/footer" Target="footer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legislation.gov.au/Details/F2012L00731" TargetMode="External"/><Relationship Id="rId33" Type="http://schemas.openxmlformats.org/officeDocument/2006/relationships/hyperlink" Target="https://www.acma.gov.au/publications/2019-10/rules/embargo-23" TargetMode="External"/><Relationship Id="rId38" Type="http://schemas.openxmlformats.org/officeDocument/2006/relationships/hyperlink" Target="https://www.acma.gov.au/consultations/2022-06/proposed-updates-channel-arrangements-72-ghz-band-ifc-192022" TargetMode="Externa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7.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2022-06-28T00:03:00Z</dcterms:created>
  <dcterms:modified xsi:type="dcterms:W3CDTF">2022-06-28T00:03:00Z</dcterms:modified>
  <cp:category/>
</cp:coreProperties>
</file>